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88FC4" w14:textId="77777777" w:rsidR="009D0C0B" w:rsidRPr="00B27CB1" w:rsidRDefault="00FA480B">
      <w:pPr>
        <w:tabs>
          <w:tab w:val="left" w:pos="8505"/>
        </w:tabs>
        <w:spacing w:before="480"/>
        <w:ind w:left="-142" w:right="-45"/>
        <w:jc w:val="center"/>
        <w:rPr>
          <w:sz w:val="36"/>
          <w:szCs w:val="36"/>
        </w:rPr>
      </w:pPr>
      <w:r w:rsidRPr="00B27CB1">
        <w:rPr>
          <w:noProof/>
          <w:sz w:val="36"/>
          <w:szCs w:val="36"/>
          <w:lang w:val="fr-FR" w:eastAsia="fr-FR"/>
        </w:rPr>
        <mc:AlternateContent>
          <mc:Choice Requires="wps">
            <w:drawing>
              <wp:anchor distT="0" distB="0" distL="114300" distR="114300" simplePos="0" relativeHeight="251658240" behindDoc="0" locked="0" layoutInCell="1" allowOverlap="1" wp14:anchorId="4E479BB0" wp14:editId="3C17DB7C">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B262A"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B27CB1">
        <w:rPr>
          <w:sz w:val="36"/>
          <w:szCs w:val="36"/>
        </w:rPr>
        <w:t>Regulation (EU) No 528/2012 concerning the making available on the market and use of biocidal products</w:t>
      </w:r>
    </w:p>
    <w:p w14:paraId="4CC05554" w14:textId="77777777" w:rsidR="009D0C0B" w:rsidRPr="00B27CB1" w:rsidRDefault="009D0C0B">
      <w:pPr>
        <w:tabs>
          <w:tab w:val="left" w:pos="8505"/>
        </w:tabs>
        <w:ind w:left="-142" w:right="-45"/>
        <w:rPr>
          <w:sz w:val="36"/>
          <w:szCs w:val="36"/>
        </w:rPr>
      </w:pPr>
    </w:p>
    <w:p w14:paraId="09964C90" w14:textId="77777777" w:rsidR="009D0C0B" w:rsidRPr="00B27CB1" w:rsidRDefault="009D0C0B">
      <w:pPr>
        <w:tabs>
          <w:tab w:val="left" w:pos="8505"/>
        </w:tabs>
        <w:ind w:left="-142" w:right="-45"/>
        <w:jc w:val="center"/>
        <w:rPr>
          <w:b/>
          <w:bCs/>
          <w:sz w:val="22"/>
          <w:szCs w:val="36"/>
        </w:rPr>
      </w:pPr>
    </w:p>
    <w:p w14:paraId="6603EA01" w14:textId="2AD168C6" w:rsidR="009D0C0B" w:rsidRPr="00B27CB1" w:rsidRDefault="00FA480B">
      <w:pPr>
        <w:jc w:val="center"/>
        <w:rPr>
          <w:b/>
          <w:bCs/>
          <w:sz w:val="24"/>
          <w:szCs w:val="24"/>
        </w:rPr>
      </w:pPr>
      <w:r w:rsidRPr="00B27CB1">
        <w:rPr>
          <w:b/>
          <w:bCs/>
          <w:sz w:val="36"/>
          <w:szCs w:val="36"/>
        </w:rPr>
        <w:t>PRODUCT ASSESSMEN</w:t>
      </w:r>
      <w:r w:rsidR="00F7024C" w:rsidRPr="00B27CB1">
        <w:rPr>
          <w:b/>
          <w:bCs/>
          <w:sz w:val="36"/>
          <w:szCs w:val="36"/>
        </w:rPr>
        <w:t>T REPORT OF A BIOCIDAL PRODUCT FAMILY</w:t>
      </w:r>
      <w:r w:rsidRPr="00B27CB1">
        <w:rPr>
          <w:b/>
          <w:bCs/>
          <w:sz w:val="36"/>
          <w:szCs w:val="36"/>
        </w:rPr>
        <w:t xml:space="preserve"> FOR NATIONAL AUTHORISATION APPLICATIONS</w:t>
      </w:r>
    </w:p>
    <w:p w14:paraId="3F352352" w14:textId="77777777" w:rsidR="009D0C0B" w:rsidRPr="00B27CB1" w:rsidRDefault="009D0C0B">
      <w:pPr>
        <w:tabs>
          <w:tab w:val="left" w:pos="8505"/>
        </w:tabs>
        <w:ind w:left="-142" w:right="-45"/>
        <w:jc w:val="center"/>
        <w:rPr>
          <w:b/>
          <w:bCs/>
          <w:sz w:val="24"/>
          <w:szCs w:val="24"/>
        </w:rPr>
      </w:pPr>
    </w:p>
    <w:p w14:paraId="7498DD66" w14:textId="77777777" w:rsidR="009D0C0B" w:rsidRPr="00B27CB1" w:rsidRDefault="00FA480B">
      <w:pPr>
        <w:tabs>
          <w:tab w:val="left" w:pos="8505"/>
        </w:tabs>
        <w:ind w:left="-142" w:right="-45"/>
        <w:jc w:val="center"/>
        <w:rPr>
          <w:b/>
          <w:bCs/>
          <w:sz w:val="36"/>
          <w:szCs w:val="24"/>
        </w:rPr>
      </w:pPr>
      <w:r w:rsidRPr="00B27CB1">
        <w:rPr>
          <w:bCs/>
          <w:sz w:val="24"/>
          <w:szCs w:val="24"/>
        </w:rPr>
        <w:t>(submitted by the evaluating Competent Authority)</w:t>
      </w:r>
    </w:p>
    <w:p w14:paraId="27727F60" w14:textId="77777777" w:rsidR="009D0C0B" w:rsidRPr="00B27CB1" w:rsidRDefault="009D0C0B">
      <w:pPr>
        <w:tabs>
          <w:tab w:val="left" w:pos="8505"/>
        </w:tabs>
        <w:ind w:left="-142" w:right="-45"/>
        <w:jc w:val="center"/>
        <w:rPr>
          <w:b/>
          <w:bCs/>
          <w:sz w:val="36"/>
          <w:szCs w:val="24"/>
        </w:rPr>
      </w:pPr>
    </w:p>
    <w:p w14:paraId="6E8D6050" w14:textId="77777777" w:rsidR="009D0C0B" w:rsidRPr="00B27CB1" w:rsidRDefault="00FA480B">
      <w:pPr>
        <w:tabs>
          <w:tab w:val="left" w:pos="8505"/>
        </w:tabs>
        <w:ind w:left="-142" w:right="-45"/>
        <w:jc w:val="center"/>
        <w:rPr>
          <w:bCs/>
          <w:sz w:val="32"/>
          <w:szCs w:val="32"/>
        </w:rPr>
      </w:pPr>
      <w:r w:rsidRPr="00B27CB1">
        <w:rPr>
          <w:noProof/>
          <w:lang w:val="fr-FR" w:eastAsia="fr-FR"/>
        </w:rPr>
        <w:drawing>
          <wp:inline distT="0" distB="0" distL="0" distR="0" wp14:anchorId="43A4CAAC" wp14:editId="7A4C096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0B4C01E" w14:textId="2386520C" w:rsidR="009D0C0B" w:rsidRPr="00B27CB1" w:rsidRDefault="00406F10">
      <w:pPr>
        <w:keepNext/>
        <w:widowControl w:val="0"/>
        <w:tabs>
          <w:tab w:val="left" w:pos="1304"/>
        </w:tabs>
        <w:autoSpaceDE w:val="0"/>
        <w:spacing w:before="480" w:after="120" w:line="400" w:lineRule="atLeast"/>
        <w:jc w:val="center"/>
        <w:rPr>
          <w:bCs/>
          <w:sz w:val="32"/>
          <w:szCs w:val="32"/>
        </w:rPr>
      </w:pPr>
      <w:r w:rsidRPr="00B27CB1">
        <w:rPr>
          <w:bCs/>
          <w:sz w:val="32"/>
          <w:szCs w:val="32"/>
        </w:rPr>
        <w:t>LACTIC ACID BASED PRODUCTS</w:t>
      </w:r>
    </w:p>
    <w:p w14:paraId="713B1DD4" w14:textId="77777777" w:rsidR="009D0C0B" w:rsidRPr="00B27CB1" w:rsidRDefault="009D0C0B">
      <w:pPr>
        <w:rPr>
          <w:bCs/>
          <w:sz w:val="32"/>
          <w:szCs w:val="32"/>
        </w:rPr>
      </w:pPr>
    </w:p>
    <w:p w14:paraId="03F4538B" w14:textId="2BF49D63" w:rsidR="009D0C0B" w:rsidRPr="00B27CB1" w:rsidRDefault="00406F10">
      <w:pPr>
        <w:tabs>
          <w:tab w:val="left" w:pos="8505"/>
        </w:tabs>
        <w:ind w:left="-142" w:right="-45"/>
        <w:jc w:val="center"/>
        <w:rPr>
          <w:bCs/>
          <w:sz w:val="32"/>
          <w:szCs w:val="32"/>
        </w:rPr>
      </w:pPr>
      <w:r w:rsidRPr="00B27CB1">
        <w:rPr>
          <w:bCs/>
          <w:sz w:val="32"/>
          <w:szCs w:val="32"/>
        </w:rPr>
        <w:t>Product types</w:t>
      </w:r>
      <w:r w:rsidR="00FA480B" w:rsidRPr="00B27CB1">
        <w:rPr>
          <w:bCs/>
          <w:sz w:val="32"/>
          <w:szCs w:val="32"/>
        </w:rPr>
        <w:t xml:space="preserve"> </w:t>
      </w:r>
      <w:r w:rsidRPr="00B27CB1">
        <w:rPr>
          <w:bCs/>
          <w:sz w:val="32"/>
          <w:szCs w:val="32"/>
        </w:rPr>
        <w:t>2, 3 and 4</w:t>
      </w:r>
    </w:p>
    <w:p w14:paraId="4F35A2FC" w14:textId="77777777" w:rsidR="009D0C0B" w:rsidRPr="00B27CB1" w:rsidRDefault="009D0C0B">
      <w:pPr>
        <w:tabs>
          <w:tab w:val="left" w:pos="8505"/>
        </w:tabs>
        <w:ind w:right="-45"/>
        <w:rPr>
          <w:bCs/>
          <w:sz w:val="32"/>
          <w:szCs w:val="32"/>
        </w:rPr>
      </w:pPr>
    </w:p>
    <w:p w14:paraId="57BA6CD2" w14:textId="3827B647" w:rsidR="009D0C0B" w:rsidRPr="00B27CB1" w:rsidRDefault="00406F10">
      <w:pPr>
        <w:tabs>
          <w:tab w:val="left" w:pos="8505"/>
        </w:tabs>
        <w:ind w:left="-142" w:right="-45"/>
        <w:jc w:val="center"/>
        <w:rPr>
          <w:bCs/>
          <w:sz w:val="32"/>
          <w:szCs w:val="32"/>
        </w:rPr>
      </w:pPr>
      <w:r w:rsidRPr="00B27CB1">
        <w:rPr>
          <w:bCs/>
          <w:sz w:val="32"/>
          <w:szCs w:val="32"/>
        </w:rPr>
        <w:t xml:space="preserve">L-(+)-lactic acid </w:t>
      </w:r>
      <w:r w:rsidR="00FA480B" w:rsidRPr="00B27CB1">
        <w:rPr>
          <w:bCs/>
          <w:sz w:val="32"/>
          <w:szCs w:val="32"/>
        </w:rPr>
        <w:t>as included in the Union lis</w:t>
      </w:r>
      <w:r w:rsidRPr="00B27CB1">
        <w:rPr>
          <w:bCs/>
          <w:sz w:val="32"/>
          <w:szCs w:val="32"/>
        </w:rPr>
        <w:t>t of approved active substances</w:t>
      </w:r>
    </w:p>
    <w:p w14:paraId="25ED94E0" w14:textId="77777777" w:rsidR="009D0C0B" w:rsidRPr="00B27CB1" w:rsidRDefault="009D0C0B">
      <w:pPr>
        <w:tabs>
          <w:tab w:val="left" w:pos="8505"/>
        </w:tabs>
        <w:ind w:right="-45"/>
        <w:rPr>
          <w:bCs/>
          <w:sz w:val="32"/>
          <w:szCs w:val="32"/>
        </w:rPr>
      </w:pPr>
    </w:p>
    <w:p w14:paraId="26750E06" w14:textId="77777777" w:rsidR="009D0C0B" w:rsidRPr="00B27CB1" w:rsidRDefault="009D0C0B">
      <w:pPr>
        <w:tabs>
          <w:tab w:val="left" w:pos="8505"/>
        </w:tabs>
        <w:ind w:right="-45"/>
        <w:jc w:val="center"/>
        <w:rPr>
          <w:bCs/>
          <w:sz w:val="32"/>
          <w:szCs w:val="32"/>
        </w:rPr>
      </w:pPr>
    </w:p>
    <w:p w14:paraId="73A7BBF1" w14:textId="2091E940" w:rsidR="009D0C0B" w:rsidRPr="00B27CB1" w:rsidRDefault="00406F10">
      <w:pPr>
        <w:tabs>
          <w:tab w:val="left" w:pos="8505"/>
        </w:tabs>
        <w:ind w:right="-45"/>
        <w:jc w:val="center"/>
        <w:rPr>
          <w:bCs/>
          <w:sz w:val="32"/>
          <w:szCs w:val="32"/>
        </w:rPr>
      </w:pPr>
      <w:r w:rsidRPr="00B27CB1">
        <w:rPr>
          <w:bCs/>
          <w:sz w:val="32"/>
          <w:szCs w:val="32"/>
        </w:rPr>
        <w:t>Case Number in R4BP: BC-YK050899-03</w:t>
      </w:r>
    </w:p>
    <w:p w14:paraId="04E1FC7F" w14:textId="77777777" w:rsidR="009D0C0B" w:rsidRPr="00B27CB1" w:rsidRDefault="009D0C0B">
      <w:pPr>
        <w:tabs>
          <w:tab w:val="left" w:pos="8505"/>
        </w:tabs>
        <w:ind w:right="-45"/>
        <w:rPr>
          <w:bCs/>
          <w:sz w:val="32"/>
          <w:szCs w:val="32"/>
        </w:rPr>
      </w:pPr>
    </w:p>
    <w:p w14:paraId="6CA055FF" w14:textId="77777777" w:rsidR="009D0C0B" w:rsidRPr="00B27CB1" w:rsidRDefault="009D0C0B">
      <w:pPr>
        <w:tabs>
          <w:tab w:val="left" w:pos="8505"/>
        </w:tabs>
        <w:ind w:left="-142" w:right="-45"/>
        <w:jc w:val="center"/>
        <w:rPr>
          <w:bCs/>
          <w:sz w:val="32"/>
          <w:szCs w:val="32"/>
        </w:rPr>
      </w:pPr>
    </w:p>
    <w:p w14:paraId="5E100AE0" w14:textId="53E5E7FE" w:rsidR="009D0C0B" w:rsidRPr="00B27CB1" w:rsidRDefault="00FA480B">
      <w:pPr>
        <w:tabs>
          <w:tab w:val="left" w:pos="8505"/>
        </w:tabs>
        <w:ind w:left="-142" w:right="-45"/>
        <w:jc w:val="center"/>
        <w:rPr>
          <w:rFonts w:eastAsia="Verdana"/>
        </w:rPr>
      </w:pPr>
      <w:r w:rsidRPr="00B27CB1">
        <w:rPr>
          <w:bCs/>
          <w:sz w:val="32"/>
          <w:szCs w:val="32"/>
        </w:rPr>
        <w:t>Evalu</w:t>
      </w:r>
      <w:r w:rsidR="00406F10" w:rsidRPr="00B27CB1">
        <w:rPr>
          <w:bCs/>
          <w:sz w:val="32"/>
          <w:szCs w:val="32"/>
        </w:rPr>
        <w:t>ating Competent Authority: FR</w:t>
      </w:r>
    </w:p>
    <w:p w14:paraId="287E1B4D" w14:textId="77777777" w:rsidR="009D0C0B" w:rsidRPr="00B27CB1" w:rsidRDefault="00FA480B">
      <w:pPr>
        <w:tabs>
          <w:tab w:val="left" w:pos="8505"/>
        </w:tabs>
        <w:ind w:left="-142" w:right="-45"/>
        <w:jc w:val="center"/>
        <w:rPr>
          <w:bCs/>
          <w:sz w:val="32"/>
          <w:szCs w:val="32"/>
        </w:rPr>
      </w:pPr>
      <w:r w:rsidRPr="00B27CB1">
        <w:rPr>
          <w:rFonts w:eastAsia="Verdana"/>
        </w:rPr>
        <w:t xml:space="preserve"> </w:t>
      </w:r>
    </w:p>
    <w:p w14:paraId="08EA3058" w14:textId="77777777" w:rsidR="009D0C0B" w:rsidRPr="00B27CB1" w:rsidRDefault="009D0C0B">
      <w:pPr>
        <w:tabs>
          <w:tab w:val="left" w:pos="8505"/>
        </w:tabs>
        <w:ind w:left="-142" w:right="-45"/>
        <w:jc w:val="center"/>
        <w:rPr>
          <w:bCs/>
          <w:sz w:val="32"/>
          <w:szCs w:val="32"/>
        </w:rPr>
      </w:pPr>
    </w:p>
    <w:p w14:paraId="077196BE" w14:textId="0B126019" w:rsidR="003C0312" w:rsidRDefault="00FA480B">
      <w:pPr>
        <w:tabs>
          <w:tab w:val="left" w:pos="8505"/>
        </w:tabs>
        <w:ind w:left="-142" w:right="-45"/>
        <w:jc w:val="center"/>
        <w:rPr>
          <w:bCs/>
          <w:sz w:val="32"/>
          <w:szCs w:val="32"/>
        </w:rPr>
        <w:sectPr w:rsidR="003C0312">
          <w:footerReference w:type="default" r:id="rId12"/>
          <w:pgSz w:w="11906" w:h="16838"/>
          <w:pgMar w:top="1474" w:right="1247" w:bottom="2013" w:left="1446" w:header="850" w:footer="850" w:gutter="0"/>
          <w:cols w:space="720"/>
        </w:sectPr>
      </w:pPr>
      <w:r w:rsidRPr="00B27CB1">
        <w:rPr>
          <w:bCs/>
          <w:sz w:val="32"/>
          <w:szCs w:val="32"/>
        </w:rPr>
        <w:t>Date: [</w:t>
      </w:r>
      <w:r w:rsidR="0052669C">
        <w:rPr>
          <w:bCs/>
          <w:sz w:val="32"/>
          <w:szCs w:val="32"/>
        </w:rPr>
        <w:t>07/02/2022</w:t>
      </w:r>
      <w:r w:rsidRPr="00B27CB1">
        <w:rPr>
          <w:bCs/>
          <w:sz w:val="32"/>
          <w:szCs w:val="32"/>
        </w:rPr>
        <w:t xml:space="preserve">] </w:t>
      </w:r>
    </w:p>
    <w:p w14:paraId="61710212" w14:textId="77777777" w:rsidR="009D0C0B" w:rsidRPr="00B27CB1" w:rsidRDefault="00FA480B">
      <w:pPr>
        <w:pStyle w:val="Inhaltsverzeichnisberschrift"/>
        <w:pageBreakBefore/>
        <w:rPr>
          <w:rFonts w:cs="Verdana"/>
          <w:color w:val="000000"/>
          <w:u w:val="single"/>
          <w:lang w:val="en-GB"/>
        </w:rPr>
      </w:pPr>
      <w:bookmarkStart w:id="0" w:name="_Toc87361074"/>
      <w:r w:rsidRPr="00B27CB1">
        <w:rPr>
          <w:rFonts w:ascii="Verdana" w:hAnsi="Verdana" w:cs="Verdana"/>
          <w:color w:val="000000"/>
          <w:u w:val="single"/>
          <w:lang w:val="en-GB"/>
        </w:rPr>
        <w:lastRenderedPageBreak/>
        <w:t>Table of Contents</w:t>
      </w:r>
      <w:bookmarkEnd w:id="0"/>
    </w:p>
    <w:p w14:paraId="47695A29" w14:textId="77777777" w:rsidR="009D0C0B" w:rsidRPr="00B27CB1" w:rsidRDefault="009D0C0B">
      <w:pPr>
        <w:rPr>
          <w:color w:val="000000"/>
          <w:u w:val="single"/>
          <w:lang w:eastAsia="ja-JP"/>
        </w:rPr>
      </w:pPr>
    </w:p>
    <w:p w14:paraId="3FC90CF6" w14:textId="75B41B6B" w:rsidR="00854EF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B27CB1">
        <w:rPr>
          <w:rFonts w:ascii="Verdana" w:hAnsi="Verdana"/>
        </w:rPr>
        <w:fldChar w:fldCharType="begin"/>
      </w:r>
      <w:r w:rsidRPr="00B27CB1">
        <w:rPr>
          <w:rFonts w:ascii="Verdana" w:hAnsi="Verdana"/>
        </w:rPr>
        <w:instrText xml:space="preserve"> TOC \o "1-4" \h</w:instrText>
      </w:r>
      <w:r w:rsidRPr="00B27CB1">
        <w:rPr>
          <w:rFonts w:ascii="Verdana" w:hAnsi="Verdana"/>
        </w:rPr>
        <w:fldChar w:fldCharType="separate"/>
      </w:r>
      <w:hyperlink w:anchor="_Toc87361074" w:history="1">
        <w:r w:rsidR="00854EF9" w:rsidRPr="00B14B0A">
          <w:rPr>
            <w:rStyle w:val="Lienhypertexte"/>
            <w:rFonts w:ascii="Verdana" w:hAnsi="Verdana" w:cs="Verdana"/>
            <w:noProof/>
          </w:rPr>
          <w:t>Table of Contents</w:t>
        </w:r>
        <w:r w:rsidR="00854EF9">
          <w:rPr>
            <w:noProof/>
          </w:rPr>
          <w:tab/>
        </w:r>
        <w:r w:rsidR="00854EF9">
          <w:rPr>
            <w:noProof/>
          </w:rPr>
          <w:fldChar w:fldCharType="begin"/>
        </w:r>
        <w:r w:rsidR="00854EF9">
          <w:rPr>
            <w:noProof/>
          </w:rPr>
          <w:instrText xml:space="preserve"> PAGEREF _Toc87361074 \h </w:instrText>
        </w:r>
        <w:r w:rsidR="00854EF9">
          <w:rPr>
            <w:noProof/>
          </w:rPr>
        </w:r>
        <w:r w:rsidR="00854EF9">
          <w:rPr>
            <w:noProof/>
          </w:rPr>
          <w:fldChar w:fldCharType="separate"/>
        </w:r>
        <w:r w:rsidR="003F1FC2">
          <w:rPr>
            <w:noProof/>
          </w:rPr>
          <w:t>2</w:t>
        </w:r>
        <w:r w:rsidR="00854EF9">
          <w:rPr>
            <w:noProof/>
          </w:rPr>
          <w:fldChar w:fldCharType="end"/>
        </w:r>
      </w:hyperlink>
    </w:p>
    <w:p w14:paraId="1F03008D" w14:textId="65021616" w:rsidR="00854EF9" w:rsidRDefault="00E7052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7361075" w:history="1">
        <w:r w:rsidR="00854EF9" w:rsidRPr="00B14B0A">
          <w:rPr>
            <w:rStyle w:val="Lienhypertexte"/>
            <w:rFonts w:eastAsia="Calibri" w:cs="Times New Roman"/>
            <w:i/>
            <w:noProof/>
            <w:kern w:val="1"/>
            <w:lang w:eastAsia="en-US" w:bidi="x-none"/>
          </w:rPr>
          <w:t>1</w:t>
        </w:r>
        <w:r w:rsidR="00854EF9">
          <w:rPr>
            <w:rFonts w:asciiTheme="minorHAnsi" w:eastAsiaTheme="minorEastAsia" w:hAnsiTheme="minorHAnsi" w:cstheme="minorBidi"/>
            <w:b w:val="0"/>
            <w:bCs w:val="0"/>
            <w:caps w:val="0"/>
            <w:noProof/>
            <w:sz w:val="22"/>
            <w:szCs w:val="22"/>
            <w:lang w:val="fr-FR" w:eastAsia="fr-FR"/>
          </w:rPr>
          <w:tab/>
        </w:r>
        <w:r w:rsidR="00854EF9" w:rsidRPr="00B14B0A">
          <w:rPr>
            <w:rStyle w:val="Lienhypertexte"/>
            <w:rFonts w:eastAsia="Calibri"/>
            <w:noProof/>
          </w:rPr>
          <w:t>CONCLUSION</w:t>
        </w:r>
        <w:r w:rsidR="00854EF9">
          <w:rPr>
            <w:noProof/>
          </w:rPr>
          <w:tab/>
        </w:r>
        <w:r w:rsidR="00854EF9">
          <w:rPr>
            <w:noProof/>
          </w:rPr>
          <w:fldChar w:fldCharType="begin"/>
        </w:r>
        <w:r w:rsidR="00854EF9">
          <w:rPr>
            <w:noProof/>
          </w:rPr>
          <w:instrText xml:space="preserve"> PAGEREF _Toc87361075 \h </w:instrText>
        </w:r>
        <w:r w:rsidR="00854EF9">
          <w:rPr>
            <w:noProof/>
          </w:rPr>
        </w:r>
        <w:r w:rsidR="00854EF9">
          <w:rPr>
            <w:noProof/>
          </w:rPr>
          <w:fldChar w:fldCharType="separate"/>
        </w:r>
        <w:r w:rsidR="003F1FC2">
          <w:rPr>
            <w:noProof/>
          </w:rPr>
          <w:t>5</w:t>
        </w:r>
        <w:r w:rsidR="00854EF9">
          <w:rPr>
            <w:noProof/>
          </w:rPr>
          <w:fldChar w:fldCharType="end"/>
        </w:r>
      </w:hyperlink>
    </w:p>
    <w:p w14:paraId="5138EA21" w14:textId="088C1C48" w:rsidR="00854EF9" w:rsidRDefault="00E7052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7361076" w:history="1">
        <w:r w:rsidR="00854EF9" w:rsidRPr="00B14B0A">
          <w:rPr>
            <w:rStyle w:val="Lienhypertexte"/>
            <w:rFonts w:eastAsia="Calibri" w:cs="Times New Roman"/>
            <w:i/>
            <w:noProof/>
            <w:kern w:val="1"/>
            <w:lang w:bidi="x-none"/>
          </w:rPr>
          <w:t>2</w:t>
        </w:r>
        <w:r w:rsidR="00854EF9">
          <w:rPr>
            <w:rFonts w:asciiTheme="minorHAnsi" w:eastAsiaTheme="minorEastAsia" w:hAnsiTheme="minorHAnsi" w:cstheme="minorBidi"/>
            <w:b w:val="0"/>
            <w:bCs w:val="0"/>
            <w:caps w:val="0"/>
            <w:noProof/>
            <w:sz w:val="22"/>
            <w:szCs w:val="22"/>
            <w:lang w:val="fr-FR" w:eastAsia="fr-FR"/>
          </w:rPr>
          <w:tab/>
        </w:r>
        <w:r w:rsidR="00854EF9" w:rsidRPr="00B14B0A">
          <w:rPr>
            <w:rStyle w:val="Lienhypertexte"/>
            <w:rFonts w:eastAsia="Calibri"/>
            <w:noProof/>
          </w:rPr>
          <w:t>ASSESSMENT REPORT</w:t>
        </w:r>
        <w:r w:rsidR="00854EF9">
          <w:rPr>
            <w:noProof/>
          </w:rPr>
          <w:tab/>
        </w:r>
        <w:r w:rsidR="00854EF9">
          <w:rPr>
            <w:noProof/>
          </w:rPr>
          <w:fldChar w:fldCharType="begin"/>
        </w:r>
        <w:r w:rsidR="00854EF9">
          <w:rPr>
            <w:noProof/>
          </w:rPr>
          <w:instrText xml:space="preserve"> PAGEREF _Toc87361076 \h </w:instrText>
        </w:r>
        <w:r w:rsidR="00854EF9">
          <w:rPr>
            <w:noProof/>
          </w:rPr>
        </w:r>
        <w:r w:rsidR="00854EF9">
          <w:rPr>
            <w:noProof/>
          </w:rPr>
          <w:fldChar w:fldCharType="separate"/>
        </w:r>
        <w:r w:rsidR="003F1FC2">
          <w:rPr>
            <w:noProof/>
          </w:rPr>
          <w:t>23</w:t>
        </w:r>
        <w:r w:rsidR="00854EF9">
          <w:rPr>
            <w:noProof/>
          </w:rPr>
          <w:fldChar w:fldCharType="end"/>
        </w:r>
      </w:hyperlink>
    </w:p>
    <w:p w14:paraId="0F7AC3B7" w14:textId="370686CE" w:rsidR="00854EF9" w:rsidRDefault="00E7052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7361077" w:history="1">
        <w:r w:rsidR="00854EF9" w:rsidRPr="00B14B0A">
          <w:rPr>
            <w:rStyle w:val="Lienhypertexte"/>
            <w:noProof/>
            <w:lang w:val="de-DE"/>
          </w:rPr>
          <w:t>2.1</w:t>
        </w:r>
        <w:r w:rsidR="00854EF9">
          <w:rPr>
            <w:rFonts w:asciiTheme="minorHAnsi" w:eastAsiaTheme="minorEastAsia" w:hAnsiTheme="minorHAnsi" w:cstheme="minorBidi"/>
            <w:smallCaps w:val="0"/>
            <w:noProof/>
            <w:sz w:val="22"/>
            <w:szCs w:val="22"/>
            <w:lang w:val="fr-FR" w:eastAsia="fr-FR"/>
          </w:rPr>
          <w:tab/>
        </w:r>
        <w:r w:rsidR="00854EF9" w:rsidRPr="00B14B0A">
          <w:rPr>
            <w:rStyle w:val="Lienhypertexte"/>
            <w:noProof/>
          </w:rPr>
          <w:t>Summary of the product assessment</w:t>
        </w:r>
        <w:r w:rsidR="00854EF9">
          <w:rPr>
            <w:noProof/>
          </w:rPr>
          <w:tab/>
        </w:r>
        <w:r w:rsidR="00854EF9">
          <w:rPr>
            <w:noProof/>
          </w:rPr>
          <w:fldChar w:fldCharType="begin"/>
        </w:r>
        <w:r w:rsidR="00854EF9">
          <w:rPr>
            <w:noProof/>
          </w:rPr>
          <w:instrText xml:space="preserve"> PAGEREF _Toc87361077 \h </w:instrText>
        </w:r>
        <w:r w:rsidR="00854EF9">
          <w:rPr>
            <w:noProof/>
          </w:rPr>
        </w:r>
        <w:r w:rsidR="00854EF9">
          <w:rPr>
            <w:noProof/>
          </w:rPr>
          <w:fldChar w:fldCharType="separate"/>
        </w:r>
        <w:r w:rsidR="003F1FC2">
          <w:rPr>
            <w:noProof/>
          </w:rPr>
          <w:t>23</w:t>
        </w:r>
        <w:r w:rsidR="00854EF9">
          <w:rPr>
            <w:noProof/>
          </w:rPr>
          <w:fldChar w:fldCharType="end"/>
        </w:r>
      </w:hyperlink>
    </w:p>
    <w:p w14:paraId="73B30125" w14:textId="72131BA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78" w:history="1">
        <w:r w:rsidR="00854EF9" w:rsidRPr="00B14B0A">
          <w:rPr>
            <w:rStyle w:val="Lienhypertexte"/>
            <w:rFonts w:cs="Arial"/>
            <w:noProof/>
          </w:rPr>
          <w:t>2.1.1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Administrative information</w:t>
        </w:r>
        <w:r w:rsidR="00854EF9">
          <w:rPr>
            <w:noProof/>
          </w:rPr>
          <w:tab/>
        </w:r>
        <w:r w:rsidR="00854EF9">
          <w:rPr>
            <w:noProof/>
          </w:rPr>
          <w:fldChar w:fldCharType="begin"/>
        </w:r>
        <w:r w:rsidR="00854EF9">
          <w:rPr>
            <w:noProof/>
          </w:rPr>
          <w:instrText xml:space="preserve"> PAGEREF _Toc87361078 \h </w:instrText>
        </w:r>
        <w:r w:rsidR="00854EF9">
          <w:rPr>
            <w:noProof/>
          </w:rPr>
        </w:r>
        <w:r w:rsidR="00854EF9">
          <w:rPr>
            <w:noProof/>
          </w:rPr>
          <w:fldChar w:fldCharType="separate"/>
        </w:r>
        <w:r w:rsidR="003F1FC2">
          <w:rPr>
            <w:noProof/>
          </w:rPr>
          <w:t>23</w:t>
        </w:r>
        <w:r w:rsidR="00854EF9">
          <w:rPr>
            <w:noProof/>
          </w:rPr>
          <w:fldChar w:fldCharType="end"/>
        </w:r>
      </w:hyperlink>
    </w:p>
    <w:p w14:paraId="353FD517" w14:textId="3733083F"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79" w:history="1">
        <w:r w:rsidR="00854EF9" w:rsidRPr="00B14B0A">
          <w:rPr>
            <w:rStyle w:val="Lienhypertexte"/>
            <w:b/>
            <w:bCs/>
            <w:noProof/>
            <w:lang w:eastAsia="en-GB"/>
          </w:rPr>
          <w:t>2.1.1.1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Identifier of the product family</w:t>
        </w:r>
        <w:r w:rsidR="00854EF9">
          <w:rPr>
            <w:noProof/>
          </w:rPr>
          <w:tab/>
        </w:r>
        <w:r w:rsidR="00854EF9">
          <w:rPr>
            <w:noProof/>
          </w:rPr>
          <w:fldChar w:fldCharType="begin"/>
        </w:r>
        <w:r w:rsidR="00854EF9">
          <w:rPr>
            <w:noProof/>
          </w:rPr>
          <w:instrText xml:space="preserve"> PAGEREF _Toc87361079 \h </w:instrText>
        </w:r>
        <w:r w:rsidR="00854EF9">
          <w:rPr>
            <w:noProof/>
          </w:rPr>
        </w:r>
        <w:r w:rsidR="00854EF9">
          <w:rPr>
            <w:noProof/>
          </w:rPr>
          <w:fldChar w:fldCharType="separate"/>
        </w:r>
        <w:r w:rsidR="003F1FC2">
          <w:rPr>
            <w:noProof/>
          </w:rPr>
          <w:t>23</w:t>
        </w:r>
        <w:r w:rsidR="00854EF9">
          <w:rPr>
            <w:noProof/>
          </w:rPr>
          <w:fldChar w:fldCharType="end"/>
        </w:r>
      </w:hyperlink>
    </w:p>
    <w:p w14:paraId="6CDE9584" w14:textId="14514C8A"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0" w:history="1">
        <w:r w:rsidR="00854EF9" w:rsidRPr="00B14B0A">
          <w:rPr>
            <w:rStyle w:val="Lienhypertexte"/>
            <w:b/>
            <w:bCs/>
            <w:noProof/>
            <w:lang w:eastAsia="en-GB"/>
          </w:rPr>
          <w:t>2.1.1.2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Authorisation holder</w:t>
        </w:r>
        <w:r w:rsidR="00854EF9">
          <w:rPr>
            <w:noProof/>
          </w:rPr>
          <w:tab/>
        </w:r>
        <w:r w:rsidR="00854EF9">
          <w:rPr>
            <w:noProof/>
          </w:rPr>
          <w:fldChar w:fldCharType="begin"/>
        </w:r>
        <w:r w:rsidR="00854EF9">
          <w:rPr>
            <w:noProof/>
          </w:rPr>
          <w:instrText xml:space="preserve"> PAGEREF _Toc87361080 \h </w:instrText>
        </w:r>
        <w:r w:rsidR="00854EF9">
          <w:rPr>
            <w:noProof/>
          </w:rPr>
        </w:r>
        <w:r w:rsidR="00854EF9">
          <w:rPr>
            <w:noProof/>
          </w:rPr>
          <w:fldChar w:fldCharType="separate"/>
        </w:r>
        <w:r w:rsidR="003F1FC2">
          <w:rPr>
            <w:noProof/>
          </w:rPr>
          <w:t>23</w:t>
        </w:r>
        <w:r w:rsidR="00854EF9">
          <w:rPr>
            <w:noProof/>
          </w:rPr>
          <w:fldChar w:fldCharType="end"/>
        </w:r>
      </w:hyperlink>
    </w:p>
    <w:p w14:paraId="321AD1B4" w14:textId="73A0836E"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1" w:history="1">
        <w:r w:rsidR="00854EF9" w:rsidRPr="00B14B0A">
          <w:rPr>
            <w:rStyle w:val="Lienhypertexte"/>
            <w:b/>
            <w:bCs/>
            <w:noProof/>
            <w:lang w:eastAsia="en-GB"/>
          </w:rPr>
          <w:t>2.1.1.3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Manufacturer(s) of the products of the family</w:t>
        </w:r>
        <w:r w:rsidR="00854EF9">
          <w:rPr>
            <w:noProof/>
          </w:rPr>
          <w:tab/>
        </w:r>
        <w:r w:rsidR="00854EF9">
          <w:rPr>
            <w:noProof/>
          </w:rPr>
          <w:fldChar w:fldCharType="begin"/>
        </w:r>
        <w:r w:rsidR="00854EF9">
          <w:rPr>
            <w:noProof/>
          </w:rPr>
          <w:instrText xml:space="preserve"> PAGEREF _Toc87361081 \h </w:instrText>
        </w:r>
        <w:r w:rsidR="00854EF9">
          <w:rPr>
            <w:noProof/>
          </w:rPr>
        </w:r>
        <w:r w:rsidR="00854EF9">
          <w:rPr>
            <w:noProof/>
          </w:rPr>
          <w:fldChar w:fldCharType="separate"/>
        </w:r>
        <w:r w:rsidR="003F1FC2">
          <w:rPr>
            <w:noProof/>
          </w:rPr>
          <w:t>23</w:t>
        </w:r>
        <w:r w:rsidR="00854EF9">
          <w:rPr>
            <w:noProof/>
          </w:rPr>
          <w:fldChar w:fldCharType="end"/>
        </w:r>
      </w:hyperlink>
    </w:p>
    <w:p w14:paraId="49EBBDD5" w14:textId="7F857D22"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2" w:history="1">
        <w:r w:rsidR="00854EF9" w:rsidRPr="00B14B0A">
          <w:rPr>
            <w:rStyle w:val="Lienhypertexte"/>
            <w:b/>
            <w:bCs/>
            <w:noProof/>
            <w:lang w:eastAsia="en-GB"/>
          </w:rPr>
          <w:t>2.1.1.4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Manufacturer(s) of the active substance(s)</w:t>
        </w:r>
        <w:r w:rsidR="00854EF9">
          <w:rPr>
            <w:noProof/>
          </w:rPr>
          <w:tab/>
        </w:r>
        <w:r w:rsidR="00854EF9">
          <w:rPr>
            <w:noProof/>
          </w:rPr>
          <w:fldChar w:fldCharType="begin"/>
        </w:r>
        <w:r w:rsidR="00854EF9">
          <w:rPr>
            <w:noProof/>
          </w:rPr>
          <w:instrText xml:space="preserve"> PAGEREF _Toc87361082 \h </w:instrText>
        </w:r>
        <w:r w:rsidR="00854EF9">
          <w:rPr>
            <w:noProof/>
          </w:rPr>
        </w:r>
        <w:r w:rsidR="00854EF9">
          <w:rPr>
            <w:noProof/>
          </w:rPr>
          <w:fldChar w:fldCharType="separate"/>
        </w:r>
        <w:r w:rsidR="003F1FC2">
          <w:rPr>
            <w:noProof/>
          </w:rPr>
          <w:t>23</w:t>
        </w:r>
        <w:r w:rsidR="00854EF9">
          <w:rPr>
            <w:noProof/>
          </w:rPr>
          <w:fldChar w:fldCharType="end"/>
        </w:r>
      </w:hyperlink>
    </w:p>
    <w:p w14:paraId="73DE6D3E" w14:textId="144189E3"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83" w:history="1">
        <w:r w:rsidR="00854EF9" w:rsidRPr="00B14B0A">
          <w:rPr>
            <w:rStyle w:val="Lienhypertexte"/>
            <w:rFonts w:eastAsia="Calibri" w:cs="Arial"/>
            <w:noProof/>
            <w:lang w:eastAsia="en-US"/>
          </w:rPr>
          <w:t>2.1.2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Product family composition and formulation</w:t>
        </w:r>
        <w:r w:rsidR="00854EF9">
          <w:rPr>
            <w:noProof/>
          </w:rPr>
          <w:tab/>
        </w:r>
        <w:r w:rsidR="00854EF9">
          <w:rPr>
            <w:noProof/>
          </w:rPr>
          <w:fldChar w:fldCharType="begin"/>
        </w:r>
        <w:r w:rsidR="00854EF9">
          <w:rPr>
            <w:noProof/>
          </w:rPr>
          <w:instrText xml:space="preserve"> PAGEREF _Toc87361083 \h </w:instrText>
        </w:r>
        <w:r w:rsidR="00854EF9">
          <w:rPr>
            <w:noProof/>
          </w:rPr>
        </w:r>
        <w:r w:rsidR="00854EF9">
          <w:rPr>
            <w:noProof/>
          </w:rPr>
          <w:fldChar w:fldCharType="separate"/>
        </w:r>
        <w:r w:rsidR="003F1FC2">
          <w:rPr>
            <w:noProof/>
          </w:rPr>
          <w:t>24</w:t>
        </w:r>
        <w:r w:rsidR="00854EF9">
          <w:rPr>
            <w:noProof/>
          </w:rPr>
          <w:fldChar w:fldCharType="end"/>
        </w:r>
      </w:hyperlink>
    </w:p>
    <w:p w14:paraId="3711CDB3" w14:textId="02339EA5"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4" w:history="1">
        <w:r w:rsidR="00854EF9" w:rsidRPr="00B14B0A">
          <w:rPr>
            <w:rStyle w:val="Lienhypertexte"/>
            <w:b/>
            <w:noProof/>
            <w:lang w:eastAsia="en-US"/>
          </w:rPr>
          <w:t>2.1.2.1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Identity of the active substance</w:t>
        </w:r>
        <w:r w:rsidR="00854EF9">
          <w:rPr>
            <w:noProof/>
          </w:rPr>
          <w:tab/>
        </w:r>
        <w:r w:rsidR="00854EF9">
          <w:rPr>
            <w:noProof/>
          </w:rPr>
          <w:fldChar w:fldCharType="begin"/>
        </w:r>
        <w:r w:rsidR="00854EF9">
          <w:rPr>
            <w:noProof/>
          </w:rPr>
          <w:instrText xml:space="preserve"> PAGEREF _Toc87361084 \h </w:instrText>
        </w:r>
        <w:r w:rsidR="00854EF9">
          <w:rPr>
            <w:noProof/>
          </w:rPr>
        </w:r>
        <w:r w:rsidR="00854EF9">
          <w:rPr>
            <w:noProof/>
          </w:rPr>
          <w:fldChar w:fldCharType="separate"/>
        </w:r>
        <w:r w:rsidR="003F1FC2">
          <w:rPr>
            <w:noProof/>
          </w:rPr>
          <w:t>24</w:t>
        </w:r>
        <w:r w:rsidR="00854EF9">
          <w:rPr>
            <w:noProof/>
          </w:rPr>
          <w:fldChar w:fldCharType="end"/>
        </w:r>
      </w:hyperlink>
    </w:p>
    <w:p w14:paraId="410D0E57" w14:textId="0648D066"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5" w:history="1">
        <w:r w:rsidR="00854EF9" w:rsidRPr="00B14B0A">
          <w:rPr>
            <w:rStyle w:val="Lienhypertexte"/>
            <w:rFonts w:cs="Times New Roman"/>
            <w:b/>
            <w:noProof/>
            <w:lang w:eastAsia="fr-FR"/>
          </w:rPr>
          <w:t>2.1.2.2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Candidate(s) for substitution</w:t>
        </w:r>
        <w:r w:rsidR="00854EF9">
          <w:rPr>
            <w:noProof/>
          </w:rPr>
          <w:tab/>
        </w:r>
        <w:r w:rsidR="00854EF9">
          <w:rPr>
            <w:noProof/>
          </w:rPr>
          <w:fldChar w:fldCharType="begin"/>
        </w:r>
        <w:r w:rsidR="00854EF9">
          <w:rPr>
            <w:noProof/>
          </w:rPr>
          <w:instrText xml:space="preserve"> PAGEREF _Toc87361085 \h </w:instrText>
        </w:r>
        <w:r w:rsidR="00854EF9">
          <w:rPr>
            <w:noProof/>
          </w:rPr>
        </w:r>
        <w:r w:rsidR="00854EF9">
          <w:rPr>
            <w:noProof/>
          </w:rPr>
          <w:fldChar w:fldCharType="separate"/>
        </w:r>
        <w:r w:rsidR="003F1FC2">
          <w:rPr>
            <w:noProof/>
          </w:rPr>
          <w:t>24</w:t>
        </w:r>
        <w:r w:rsidR="00854EF9">
          <w:rPr>
            <w:noProof/>
          </w:rPr>
          <w:fldChar w:fldCharType="end"/>
        </w:r>
      </w:hyperlink>
    </w:p>
    <w:p w14:paraId="2CEBEFEE" w14:textId="76EF4257"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6" w:history="1">
        <w:r w:rsidR="00854EF9" w:rsidRPr="00B14B0A">
          <w:rPr>
            <w:rStyle w:val="Lienhypertexte"/>
            <w:b/>
            <w:noProof/>
            <w:lang w:eastAsia="en-US"/>
          </w:rPr>
          <w:t>2.1.2.3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Qualitative and quantitative information on the composition of the biocidal product family</w:t>
        </w:r>
        <w:r w:rsidR="00854EF9">
          <w:rPr>
            <w:noProof/>
          </w:rPr>
          <w:tab/>
        </w:r>
        <w:r w:rsidR="00854EF9">
          <w:rPr>
            <w:noProof/>
          </w:rPr>
          <w:fldChar w:fldCharType="begin"/>
        </w:r>
        <w:r w:rsidR="00854EF9">
          <w:rPr>
            <w:noProof/>
          </w:rPr>
          <w:instrText xml:space="preserve"> PAGEREF _Toc87361086 \h </w:instrText>
        </w:r>
        <w:r w:rsidR="00854EF9">
          <w:rPr>
            <w:noProof/>
          </w:rPr>
        </w:r>
        <w:r w:rsidR="00854EF9">
          <w:rPr>
            <w:noProof/>
          </w:rPr>
          <w:fldChar w:fldCharType="separate"/>
        </w:r>
        <w:r w:rsidR="003F1FC2">
          <w:rPr>
            <w:noProof/>
          </w:rPr>
          <w:t>24</w:t>
        </w:r>
        <w:r w:rsidR="00854EF9">
          <w:rPr>
            <w:noProof/>
          </w:rPr>
          <w:fldChar w:fldCharType="end"/>
        </w:r>
      </w:hyperlink>
    </w:p>
    <w:p w14:paraId="72604C82" w14:textId="59595B8C" w:rsidR="00854EF9" w:rsidRDefault="00E70520">
      <w:pPr>
        <w:pStyle w:val="TM4"/>
        <w:tabs>
          <w:tab w:val="right" w:leader="dot" w:pos="9203"/>
        </w:tabs>
        <w:rPr>
          <w:rFonts w:asciiTheme="minorHAnsi" w:eastAsiaTheme="minorEastAsia" w:hAnsiTheme="minorHAnsi" w:cstheme="minorBidi"/>
          <w:noProof/>
          <w:sz w:val="22"/>
          <w:szCs w:val="22"/>
          <w:lang w:val="fr-FR" w:eastAsia="fr-FR"/>
        </w:rPr>
      </w:pPr>
      <w:hyperlink w:anchor="_Toc87361087" w:history="1">
        <w:r w:rsidR="00854EF9" w:rsidRPr="00B14B0A">
          <w:rPr>
            <w:rStyle w:val="Lienhypertexte"/>
            <w:noProof/>
          </w:rPr>
          <w:t>*based on the content of active substance in the mixture used for the formulation of the biocidal product (80% w/w).</w:t>
        </w:r>
        <w:r w:rsidR="00854EF9">
          <w:rPr>
            <w:noProof/>
          </w:rPr>
          <w:tab/>
        </w:r>
        <w:r w:rsidR="00854EF9">
          <w:rPr>
            <w:noProof/>
          </w:rPr>
          <w:fldChar w:fldCharType="begin"/>
        </w:r>
        <w:r w:rsidR="00854EF9">
          <w:rPr>
            <w:noProof/>
          </w:rPr>
          <w:instrText xml:space="preserve"> PAGEREF _Toc87361087 \h </w:instrText>
        </w:r>
        <w:r w:rsidR="00854EF9">
          <w:rPr>
            <w:noProof/>
          </w:rPr>
        </w:r>
        <w:r w:rsidR="00854EF9">
          <w:rPr>
            <w:noProof/>
          </w:rPr>
          <w:fldChar w:fldCharType="separate"/>
        </w:r>
        <w:r w:rsidR="003F1FC2">
          <w:rPr>
            <w:noProof/>
          </w:rPr>
          <w:t>25</w:t>
        </w:r>
        <w:r w:rsidR="00854EF9">
          <w:rPr>
            <w:noProof/>
          </w:rPr>
          <w:fldChar w:fldCharType="end"/>
        </w:r>
      </w:hyperlink>
    </w:p>
    <w:p w14:paraId="73640944" w14:textId="0B6EC5CF"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8" w:history="1">
        <w:r w:rsidR="00854EF9" w:rsidRPr="00B14B0A">
          <w:rPr>
            <w:rStyle w:val="Lienhypertexte"/>
            <w:rFonts w:cs="Times New Roman"/>
            <w:b/>
            <w:noProof/>
            <w:lang w:eastAsia="fr-FR"/>
          </w:rPr>
          <w:t>2.1.2.4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Information on technical equivalence</w:t>
        </w:r>
        <w:r w:rsidR="00854EF9">
          <w:rPr>
            <w:noProof/>
          </w:rPr>
          <w:tab/>
        </w:r>
        <w:r w:rsidR="00854EF9">
          <w:rPr>
            <w:noProof/>
          </w:rPr>
          <w:fldChar w:fldCharType="begin"/>
        </w:r>
        <w:r w:rsidR="00854EF9">
          <w:rPr>
            <w:noProof/>
          </w:rPr>
          <w:instrText xml:space="preserve"> PAGEREF _Toc87361088 \h </w:instrText>
        </w:r>
        <w:r w:rsidR="00854EF9">
          <w:rPr>
            <w:noProof/>
          </w:rPr>
        </w:r>
        <w:r w:rsidR="00854EF9">
          <w:rPr>
            <w:noProof/>
          </w:rPr>
          <w:fldChar w:fldCharType="separate"/>
        </w:r>
        <w:r w:rsidR="003F1FC2">
          <w:rPr>
            <w:noProof/>
          </w:rPr>
          <w:t>25</w:t>
        </w:r>
        <w:r w:rsidR="00854EF9">
          <w:rPr>
            <w:noProof/>
          </w:rPr>
          <w:fldChar w:fldCharType="end"/>
        </w:r>
      </w:hyperlink>
    </w:p>
    <w:p w14:paraId="5FC46139" w14:textId="3C9F1D89"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89" w:history="1">
        <w:r w:rsidR="00854EF9" w:rsidRPr="00B14B0A">
          <w:rPr>
            <w:rStyle w:val="Lienhypertexte"/>
            <w:rFonts w:cs="Times"/>
            <w:b/>
            <w:bCs/>
            <w:noProof/>
          </w:rPr>
          <w:t>2.1.2.5</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Information on the substance(s) of concern</w:t>
        </w:r>
        <w:r w:rsidR="00854EF9">
          <w:rPr>
            <w:noProof/>
          </w:rPr>
          <w:tab/>
        </w:r>
        <w:r w:rsidR="00854EF9">
          <w:rPr>
            <w:noProof/>
          </w:rPr>
          <w:fldChar w:fldCharType="begin"/>
        </w:r>
        <w:r w:rsidR="00854EF9">
          <w:rPr>
            <w:noProof/>
          </w:rPr>
          <w:instrText xml:space="preserve"> PAGEREF _Toc87361089 \h </w:instrText>
        </w:r>
        <w:r w:rsidR="00854EF9">
          <w:rPr>
            <w:noProof/>
          </w:rPr>
        </w:r>
        <w:r w:rsidR="00854EF9">
          <w:rPr>
            <w:noProof/>
          </w:rPr>
          <w:fldChar w:fldCharType="separate"/>
        </w:r>
        <w:r w:rsidR="003F1FC2">
          <w:rPr>
            <w:noProof/>
          </w:rPr>
          <w:t>25</w:t>
        </w:r>
        <w:r w:rsidR="00854EF9">
          <w:rPr>
            <w:noProof/>
          </w:rPr>
          <w:fldChar w:fldCharType="end"/>
        </w:r>
      </w:hyperlink>
    </w:p>
    <w:p w14:paraId="0BD2BABA" w14:textId="3D81CA74"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90" w:history="1">
        <w:r w:rsidR="00854EF9" w:rsidRPr="00B14B0A">
          <w:rPr>
            <w:rStyle w:val="Lienhypertexte"/>
            <w:b/>
            <w:noProof/>
          </w:rPr>
          <w:t>2.1.2.6</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Assessment of endocrine disruption (ED) properties of the biocidal product family</w:t>
        </w:r>
        <w:r w:rsidR="00854EF9">
          <w:rPr>
            <w:noProof/>
          </w:rPr>
          <w:tab/>
        </w:r>
        <w:r w:rsidR="00854EF9">
          <w:rPr>
            <w:noProof/>
          </w:rPr>
          <w:fldChar w:fldCharType="begin"/>
        </w:r>
        <w:r w:rsidR="00854EF9">
          <w:rPr>
            <w:noProof/>
          </w:rPr>
          <w:instrText xml:space="preserve"> PAGEREF _Toc87361090 \h </w:instrText>
        </w:r>
        <w:r w:rsidR="00854EF9">
          <w:rPr>
            <w:noProof/>
          </w:rPr>
        </w:r>
        <w:r w:rsidR="00854EF9">
          <w:rPr>
            <w:noProof/>
          </w:rPr>
          <w:fldChar w:fldCharType="separate"/>
        </w:r>
        <w:r w:rsidR="003F1FC2">
          <w:rPr>
            <w:noProof/>
          </w:rPr>
          <w:t>26</w:t>
        </w:r>
        <w:r w:rsidR="00854EF9">
          <w:rPr>
            <w:noProof/>
          </w:rPr>
          <w:fldChar w:fldCharType="end"/>
        </w:r>
      </w:hyperlink>
    </w:p>
    <w:p w14:paraId="2E521E14" w14:textId="63151A5C"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091" w:history="1">
        <w:r w:rsidR="00854EF9" w:rsidRPr="00B14B0A">
          <w:rPr>
            <w:rStyle w:val="Lienhypertexte"/>
            <w:b/>
            <w:noProof/>
          </w:rPr>
          <w:t>2.1.2.7</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Type of formulation</w:t>
        </w:r>
        <w:r w:rsidR="00854EF9">
          <w:rPr>
            <w:noProof/>
          </w:rPr>
          <w:tab/>
        </w:r>
        <w:r w:rsidR="00854EF9">
          <w:rPr>
            <w:noProof/>
          </w:rPr>
          <w:fldChar w:fldCharType="begin"/>
        </w:r>
        <w:r w:rsidR="00854EF9">
          <w:rPr>
            <w:noProof/>
          </w:rPr>
          <w:instrText xml:space="preserve"> PAGEREF _Toc87361091 \h </w:instrText>
        </w:r>
        <w:r w:rsidR="00854EF9">
          <w:rPr>
            <w:noProof/>
          </w:rPr>
        </w:r>
        <w:r w:rsidR="00854EF9">
          <w:rPr>
            <w:noProof/>
          </w:rPr>
          <w:fldChar w:fldCharType="separate"/>
        </w:r>
        <w:r w:rsidR="003F1FC2">
          <w:rPr>
            <w:noProof/>
          </w:rPr>
          <w:t>26</w:t>
        </w:r>
        <w:r w:rsidR="00854EF9">
          <w:rPr>
            <w:noProof/>
          </w:rPr>
          <w:fldChar w:fldCharType="end"/>
        </w:r>
      </w:hyperlink>
    </w:p>
    <w:p w14:paraId="1F58BB10" w14:textId="19E8F68F"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2" w:history="1">
        <w:r w:rsidR="00854EF9" w:rsidRPr="00B14B0A">
          <w:rPr>
            <w:rStyle w:val="Lienhypertexte"/>
            <w:rFonts w:cs="Arial"/>
            <w:noProof/>
          </w:rPr>
          <w:t>2.1.3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 administrative information</w:t>
        </w:r>
        <w:r w:rsidR="00854EF9">
          <w:rPr>
            <w:noProof/>
          </w:rPr>
          <w:tab/>
        </w:r>
        <w:r w:rsidR="00854EF9">
          <w:rPr>
            <w:noProof/>
          </w:rPr>
          <w:fldChar w:fldCharType="begin"/>
        </w:r>
        <w:r w:rsidR="00854EF9">
          <w:rPr>
            <w:noProof/>
          </w:rPr>
          <w:instrText xml:space="preserve"> PAGEREF _Toc87361092 \h </w:instrText>
        </w:r>
        <w:r w:rsidR="00854EF9">
          <w:rPr>
            <w:noProof/>
          </w:rPr>
        </w:r>
        <w:r w:rsidR="00854EF9">
          <w:rPr>
            <w:noProof/>
          </w:rPr>
          <w:fldChar w:fldCharType="separate"/>
        </w:r>
        <w:r w:rsidR="003F1FC2">
          <w:rPr>
            <w:noProof/>
          </w:rPr>
          <w:t>27</w:t>
        </w:r>
        <w:r w:rsidR="00854EF9">
          <w:rPr>
            <w:noProof/>
          </w:rPr>
          <w:fldChar w:fldCharType="end"/>
        </w:r>
      </w:hyperlink>
    </w:p>
    <w:p w14:paraId="2A0D0777" w14:textId="01D8E2BB"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3" w:history="1">
        <w:r w:rsidR="00854EF9" w:rsidRPr="00B14B0A">
          <w:rPr>
            <w:rStyle w:val="Lienhypertexte"/>
            <w:rFonts w:cs="Arial"/>
            <w:noProof/>
          </w:rPr>
          <w:t>2.1.4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 composition</w:t>
        </w:r>
        <w:r w:rsidR="00854EF9">
          <w:rPr>
            <w:noProof/>
          </w:rPr>
          <w:tab/>
        </w:r>
        <w:r w:rsidR="00854EF9">
          <w:rPr>
            <w:noProof/>
          </w:rPr>
          <w:fldChar w:fldCharType="begin"/>
        </w:r>
        <w:r w:rsidR="00854EF9">
          <w:rPr>
            <w:noProof/>
          </w:rPr>
          <w:instrText xml:space="preserve"> PAGEREF _Toc87361093 \h </w:instrText>
        </w:r>
        <w:r w:rsidR="00854EF9">
          <w:rPr>
            <w:noProof/>
          </w:rPr>
        </w:r>
        <w:r w:rsidR="00854EF9">
          <w:rPr>
            <w:noProof/>
          </w:rPr>
          <w:fldChar w:fldCharType="separate"/>
        </w:r>
        <w:r w:rsidR="003F1FC2">
          <w:rPr>
            <w:noProof/>
          </w:rPr>
          <w:t>27</w:t>
        </w:r>
        <w:r w:rsidR="00854EF9">
          <w:rPr>
            <w:noProof/>
          </w:rPr>
          <w:fldChar w:fldCharType="end"/>
        </w:r>
      </w:hyperlink>
    </w:p>
    <w:p w14:paraId="50E431FA" w14:textId="3AC452AB"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4" w:history="1">
        <w:r w:rsidR="00854EF9" w:rsidRPr="00B14B0A">
          <w:rPr>
            <w:rStyle w:val="Lienhypertexte"/>
            <w:rFonts w:cs="Arial"/>
            <w:noProof/>
            <w:lang w:val="en-US"/>
          </w:rPr>
          <w:t>2.1.5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1</w:t>
        </w:r>
        <w:r w:rsidR="00854EF9">
          <w:rPr>
            <w:noProof/>
          </w:rPr>
          <w:tab/>
        </w:r>
        <w:r w:rsidR="00854EF9">
          <w:rPr>
            <w:noProof/>
          </w:rPr>
          <w:fldChar w:fldCharType="begin"/>
        </w:r>
        <w:r w:rsidR="00854EF9">
          <w:rPr>
            <w:noProof/>
          </w:rPr>
          <w:instrText xml:space="preserve"> PAGEREF _Toc87361094 \h </w:instrText>
        </w:r>
        <w:r w:rsidR="00854EF9">
          <w:rPr>
            <w:noProof/>
          </w:rPr>
        </w:r>
        <w:r w:rsidR="00854EF9">
          <w:rPr>
            <w:noProof/>
          </w:rPr>
          <w:fldChar w:fldCharType="separate"/>
        </w:r>
        <w:r w:rsidR="003F1FC2">
          <w:rPr>
            <w:noProof/>
          </w:rPr>
          <w:t>27</w:t>
        </w:r>
        <w:r w:rsidR="00854EF9">
          <w:rPr>
            <w:noProof/>
          </w:rPr>
          <w:fldChar w:fldCharType="end"/>
        </w:r>
      </w:hyperlink>
    </w:p>
    <w:p w14:paraId="5D5E242D" w14:textId="17874270"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5" w:history="1">
        <w:r w:rsidR="00854EF9" w:rsidRPr="00B14B0A">
          <w:rPr>
            <w:rStyle w:val="Lienhypertexte"/>
            <w:rFonts w:cs="Arial"/>
            <w:noProof/>
            <w:lang w:val="en-US"/>
          </w:rPr>
          <w:t>2.1.6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1</w:t>
        </w:r>
        <w:r w:rsidR="00854EF9">
          <w:rPr>
            <w:noProof/>
          </w:rPr>
          <w:tab/>
        </w:r>
        <w:r w:rsidR="00854EF9">
          <w:rPr>
            <w:noProof/>
          </w:rPr>
          <w:fldChar w:fldCharType="begin"/>
        </w:r>
        <w:r w:rsidR="00854EF9">
          <w:rPr>
            <w:noProof/>
          </w:rPr>
          <w:instrText xml:space="preserve"> PAGEREF _Toc87361095 \h </w:instrText>
        </w:r>
        <w:r w:rsidR="00854EF9">
          <w:rPr>
            <w:noProof/>
          </w:rPr>
        </w:r>
        <w:r w:rsidR="00854EF9">
          <w:rPr>
            <w:noProof/>
          </w:rPr>
          <w:fldChar w:fldCharType="separate"/>
        </w:r>
        <w:r w:rsidR="003F1FC2">
          <w:rPr>
            <w:noProof/>
          </w:rPr>
          <w:t>28</w:t>
        </w:r>
        <w:r w:rsidR="00854EF9">
          <w:rPr>
            <w:noProof/>
          </w:rPr>
          <w:fldChar w:fldCharType="end"/>
        </w:r>
      </w:hyperlink>
    </w:p>
    <w:p w14:paraId="7F9EC2D0" w14:textId="631739E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6" w:history="1">
        <w:r w:rsidR="00854EF9" w:rsidRPr="00B14B0A">
          <w:rPr>
            <w:rStyle w:val="Lienhypertexte"/>
            <w:rFonts w:cs="Arial"/>
            <w:noProof/>
            <w:lang w:val="en-US"/>
          </w:rPr>
          <w:t>2.1.7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1</w:t>
        </w:r>
        <w:r w:rsidR="00854EF9">
          <w:rPr>
            <w:noProof/>
          </w:rPr>
          <w:tab/>
        </w:r>
        <w:r w:rsidR="00854EF9">
          <w:rPr>
            <w:noProof/>
          </w:rPr>
          <w:fldChar w:fldCharType="begin"/>
        </w:r>
        <w:r w:rsidR="00854EF9">
          <w:rPr>
            <w:noProof/>
          </w:rPr>
          <w:instrText xml:space="preserve"> PAGEREF _Toc87361096 \h </w:instrText>
        </w:r>
        <w:r w:rsidR="00854EF9">
          <w:rPr>
            <w:noProof/>
          </w:rPr>
        </w:r>
        <w:r w:rsidR="00854EF9">
          <w:rPr>
            <w:noProof/>
          </w:rPr>
          <w:fldChar w:fldCharType="separate"/>
        </w:r>
        <w:r w:rsidR="003F1FC2">
          <w:rPr>
            <w:noProof/>
          </w:rPr>
          <w:t>29</w:t>
        </w:r>
        <w:r w:rsidR="00854EF9">
          <w:rPr>
            <w:noProof/>
          </w:rPr>
          <w:fldChar w:fldCharType="end"/>
        </w:r>
      </w:hyperlink>
    </w:p>
    <w:p w14:paraId="08A4980E" w14:textId="57999A8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7" w:history="1">
        <w:r w:rsidR="00854EF9" w:rsidRPr="00B14B0A">
          <w:rPr>
            <w:rStyle w:val="Lienhypertexte"/>
            <w:rFonts w:cs="Arial"/>
            <w:noProof/>
          </w:rPr>
          <w:t>2.1.8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_Toc87361097 \h </w:instrText>
        </w:r>
        <w:r w:rsidR="00854EF9">
          <w:rPr>
            <w:noProof/>
          </w:rPr>
        </w:r>
        <w:r w:rsidR="00854EF9">
          <w:rPr>
            <w:noProof/>
          </w:rPr>
          <w:fldChar w:fldCharType="separate"/>
        </w:r>
        <w:r w:rsidR="003F1FC2">
          <w:rPr>
            <w:noProof/>
          </w:rPr>
          <w:t>30</w:t>
        </w:r>
        <w:r w:rsidR="00854EF9">
          <w:rPr>
            <w:noProof/>
          </w:rPr>
          <w:fldChar w:fldCharType="end"/>
        </w:r>
      </w:hyperlink>
    </w:p>
    <w:p w14:paraId="2D6A198B" w14:textId="2C3ED590"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8" w:history="1">
        <w:r w:rsidR="00854EF9" w:rsidRPr="00B14B0A">
          <w:rPr>
            <w:rStyle w:val="Lienhypertexte"/>
            <w:rFonts w:cs="Arial"/>
            <w:noProof/>
            <w:lang w:val="en-US"/>
          </w:rPr>
          <w:t>2.1.9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_Toc87361098 \h </w:instrText>
        </w:r>
        <w:r w:rsidR="00854EF9">
          <w:rPr>
            <w:noProof/>
          </w:rPr>
        </w:r>
        <w:r w:rsidR="00854EF9">
          <w:rPr>
            <w:noProof/>
          </w:rPr>
          <w:fldChar w:fldCharType="separate"/>
        </w:r>
        <w:r w:rsidR="003F1FC2">
          <w:rPr>
            <w:noProof/>
          </w:rPr>
          <w:t>30</w:t>
        </w:r>
        <w:r w:rsidR="00854EF9">
          <w:rPr>
            <w:noProof/>
          </w:rPr>
          <w:fldChar w:fldCharType="end"/>
        </w:r>
      </w:hyperlink>
    </w:p>
    <w:p w14:paraId="5A62B5C6" w14:textId="2206D4D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099" w:history="1">
        <w:r w:rsidR="00854EF9" w:rsidRPr="00B14B0A">
          <w:rPr>
            <w:rStyle w:val="Lienhypertexte"/>
            <w:rFonts w:cs="Arial"/>
            <w:noProof/>
          </w:rPr>
          <w:t>2.1.10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2 administrative information</w:t>
        </w:r>
        <w:r w:rsidR="00854EF9">
          <w:rPr>
            <w:noProof/>
          </w:rPr>
          <w:tab/>
        </w:r>
        <w:r w:rsidR="00854EF9">
          <w:rPr>
            <w:noProof/>
          </w:rPr>
          <w:fldChar w:fldCharType="begin"/>
        </w:r>
        <w:r w:rsidR="00854EF9">
          <w:rPr>
            <w:noProof/>
          </w:rPr>
          <w:instrText xml:space="preserve"> PAGEREF _Toc87361099 \h </w:instrText>
        </w:r>
        <w:r w:rsidR="00854EF9">
          <w:rPr>
            <w:noProof/>
          </w:rPr>
        </w:r>
        <w:r w:rsidR="00854EF9">
          <w:rPr>
            <w:noProof/>
          </w:rPr>
          <w:fldChar w:fldCharType="separate"/>
        </w:r>
        <w:r w:rsidR="003F1FC2">
          <w:rPr>
            <w:noProof/>
          </w:rPr>
          <w:t>31</w:t>
        </w:r>
        <w:r w:rsidR="00854EF9">
          <w:rPr>
            <w:noProof/>
          </w:rPr>
          <w:fldChar w:fldCharType="end"/>
        </w:r>
      </w:hyperlink>
    </w:p>
    <w:p w14:paraId="17E44353" w14:textId="703827E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0" w:history="1">
        <w:r w:rsidR="00854EF9" w:rsidRPr="00B14B0A">
          <w:rPr>
            <w:rStyle w:val="Lienhypertexte"/>
            <w:rFonts w:cs="Arial"/>
            <w:noProof/>
          </w:rPr>
          <w:t>2.1.11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2 composition</w:t>
        </w:r>
        <w:r w:rsidR="00854EF9">
          <w:rPr>
            <w:noProof/>
          </w:rPr>
          <w:tab/>
        </w:r>
        <w:r w:rsidR="00854EF9">
          <w:rPr>
            <w:noProof/>
          </w:rPr>
          <w:fldChar w:fldCharType="begin"/>
        </w:r>
        <w:r w:rsidR="00854EF9">
          <w:rPr>
            <w:noProof/>
          </w:rPr>
          <w:instrText xml:space="preserve"> PAGEREF _Toc87361100 \h </w:instrText>
        </w:r>
        <w:r w:rsidR="00854EF9">
          <w:rPr>
            <w:noProof/>
          </w:rPr>
        </w:r>
        <w:r w:rsidR="00854EF9">
          <w:rPr>
            <w:noProof/>
          </w:rPr>
          <w:fldChar w:fldCharType="separate"/>
        </w:r>
        <w:r w:rsidR="003F1FC2">
          <w:rPr>
            <w:noProof/>
          </w:rPr>
          <w:t>31</w:t>
        </w:r>
        <w:r w:rsidR="00854EF9">
          <w:rPr>
            <w:noProof/>
          </w:rPr>
          <w:fldChar w:fldCharType="end"/>
        </w:r>
      </w:hyperlink>
    </w:p>
    <w:p w14:paraId="2AF78B30" w14:textId="04A7319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1" w:history="1">
        <w:r w:rsidR="00854EF9" w:rsidRPr="00B14B0A">
          <w:rPr>
            <w:rStyle w:val="Lienhypertexte"/>
            <w:rFonts w:cs="Arial"/>
            <w:noProof/>
            <w:lang w:val="en-US"/>
          </w:rPr>
          <w:t>2.1.12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2</w:t>
        </w:r>
        <w:r w:rsidR="00854EF9">
          <w:rPr>
            <w:noProof/>
          </w:rPr>
          <w:tab/>
        </w:r>
        <w:r w:rsidR="00854EF9">
          <w:rPr>
            <w:noProof/>
          </w:rPr>
          <w:fldChar w:fldCharType="begin"/>
        </w:r>
        <w:r w:rsidR="00854EF9">
          <w:rPr>
            <w:noProof/>
          </w:rPr>
          <w:instrText xml:space="preserve"> PAGEREF _Toc87361101 \h </w:instrText>
        </w:r>
        <w:r w:rsidR="00854EF9">
          <w:rPr>
            <w:noProof/>
          </w:rPr>
        </w:r>
        <w:r w:rsidR="00854EF9">
          <w:rPr>
            <w:noProof/>
          </w:rPr>
          <w:fldChar w:fldCharType="separate"/>
        </w:r>
        <w:r w:rsidR="003F1FC2">
          <w:rPr>
            <w:noProof/>
          </w:rPr>
          <w:t>32</w:t>
        </w:r>
        <w:r w:rsidR="00854EF9">
          <w:rPr>
            <w:noProof/>
          </w:rPr>
          <w:fldChar w:fldCharType="end"/>
        </w:r>
      </w:hyperlink>
    </w:p>
    <w:p w14:paraId="75A38793" w14:textId="4AE8F00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2" w:history="1">
        <w:r w:rsidR="00854EF9" w:rsidRPr="00B14B0A">
          <w:rPr>
            <w:rStyle w:val="Lienhypertexte"/>
            <w:rFonts w:cs="Arial"/>
            <w:noProof/>
            <w:lang w:val="en-US"/>
          </w:rPr>
          <w:t>2.1.13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2</w:t>
        </w:r>
        <w:r w:rsidR="00854EF9">
          <w:rPr>
            <w:noProof/>
          </w:rPr>
          <w:tab/>
        </w:r>
        <w:r w:rsidR="00854EF9">
          <w:rPr>
            <w:noProof/>
          </w:rPr>
          <w:fldChar w:fldCharType="begin"/>
        </w:r>
        <w:r w:rsidR="00854EF9">
          <w:rPr>
            <w:noProof/>
          </w:rPr>
          <w:instrText xml:space="preserve"> PAGEREF _Toc87361102 \h </w:instrText>
        </w:r>
        <w:r w:rsidR="00854EF9">
          <w:rPr>
            <w:noProof/>
          </w:rPr>
        </w:r>
        <w:r w:rsidR="00854EF9">
          <w:rPr>
            <w:noProof/>
          </w:rPr>
          <w:fldChar w:fldCharType="separate"/>
        </w:r>
        <w:r w:rsidR="003F1FC2">
          <w:rPr>
            <w:noProof/>
          </w:rPr>
          <w:t>32</w:t>
        </w:r>
        <w:r w:rsidR="00854EF9">
          <w:rPr>
            <w:noProof/>
          </w:rPr>
          <w:fldChar w:fldCharType="end"/>
        </w:r>
      </w:hyperlink>
    </w:p>
    <w:p w14:paraId="1D951C1F" w14:textId="2F0C9C5E"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03" w:history="1">
        <w:r w:rsidR="00854EF9" w:rsidRPr="00B14B0A">
          <w:rPr>
            <w:rStyle w:val="Lienhypertexte"/>
            <w:b/>
            <w:noProof/>
          </w:rPr>
          <w:t>2.1.13.1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_Toc87361103 \h </w:instrText>
        </w:r>
        <w:r w:rsidR="00854EF9">
          <w:rPr>
            <w:noProof/>
          </w:rPr>
        </w:r>
        <w:r w:rsidR="00854EF9">
          <w:rPr>
            <w:noProof/>
          </w:rPr>
          <w:fldChar w:fldCharType="separate"/>
        </w:r>
        <w:r w:rsidR="003F1FC2">
          <w:rPr>
            <w:noProof/>
          </w:rPr>
          <w:t>32</w:t>
        </w:r>
        <w:r w:rsidR="00854EF9">
          <w:rPr>
            <w:noProof/>
          </w:rPr>
          <w:fldChar w:fldCharType="end"/>
        </w:r>
      </w:hyperlink>
    </w:p>
    <w:p w14:paraId="7C64A5B4" w14:textId="1C235FD5"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04" w:history="1">
        <w:r w:rsidR="00854EF9" w:rsidRPr="00B14B0A">
          <w:rPr>
            <w:rStyle w:val="Lienhypertexte"/>
            <w:b/>
            <w:noProof/>
          </w:rPr>
          <w:t>2.1.13.2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_Toc87361104 \h </w:instrText>
        </w:r>
        <w:r w:rsidR="00854EF9">
          <w:rPr>
            <w:noProof/>
          </w:rPr>
        </w:r>
        <w:r w:rsidR="00854EF9">
          <w:rPr>
            <w:noProof/>
          </w:rPr>
          <w:fldChar w:fldCharType="separate"/>
        </w:r>
        <w:r w:rsidR="003F1FC2">
          <w:rPr>
            <w:noProof/>
          </w:rPr>
          <w:t>34</w:t>
        </w:r>
        <w:r w:rsidR="00854EF9">
          <w:rPr>
            <w:noProof/>
          </w:rPr>
          <w:fldChar w:fldCharType="end"/>
        </w:r>
      </w:hyperlink>
    </w:p>
    <w:p w14:paraId="3C35DF6E" w14:textId="7D1F4D56"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05" w:history="1">
        <w:r w:rsidR="00854EF9" w:rsidRPr="00B14B0A">
          <w:rPr>
            <w:rStyle w:val="Lienhypertexte"/>
            <w:b/>
            <w:noProof/>
          </w:rPr>
          <w:t>2.1.13.3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_Toc87361105 \h </w:instrText>
        </w:r>
        <w:r w:rsidR="00854EF9">
          <w:rPr>
            <w:noProof/>
          </w:rPr>
        </w:r>
        <w:r w:rsidR="00854EF9">
          <w:rPr>
            <w:noProof/>
          </w:rPr>
          <w:fldChar w:fldCharType="separate"/>
        </w:r>
        <w:r w:rsidR="003F1FC2">
          <w:rPr>
            <w:noProof/>
          </w:rPr>
          <w:t>35</w:t>
        </w:r>
        <w:r w:rsidR="00854EF9">
          <w:rPr>
            <w:noProof/>
          </w:rPr>
          <w:fldChar w:fldCharType="end"/>
        </w:r>
      </w:hyperlink>
    </w:p>
    <w:p w14:paraId="79C94E4F" w14:textId="34A4FDC6"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06" w:history="1">
        <w:r w:rsidR="00854EF9" w:rsidRPr="00B14B0A">
          <w:rPr>
            <w:rStyle w:val="Lienhypertexte"/>
            <w:b/>
            <w:noProof/>
          </w:rPr>
          <w:t>2.1.13.4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_Toc87361106 \h </w:instrText>
        </w:r>
        <w:r w:rsidR="00854EF9">
          <w:rPr>
            <w:noProof/>
          </w:rPr>
        </w:r>
        <w:r w:rsidR="00854EF9">
          <w:rPr>
            <w:noProof/>
          </w:rPr>
          <w:fldChar w:fldCharType="separate"/>
        </w:r>
        <w:r w:rsidR="003F1FC2">
          <w:rPr>
            <w:noProof/>
          </w:rPr>
          <w:t>37</w:t>
        </w:r>
        <w:r w:rsidR="00854EF9">
          <w:rPr>
            <w:noProof/>
          </w:rPr>
          <w:fldChar w:fldCharType="end"/>
        </w:r>
      </w:hyperlink>
    </w:p>
    <w:p w14:paraId="3ACE1440" w14:textId="533C092C"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7" w:history="1">
        <w:r w:rsidR="00854EF9" w:rsidRPr="00B14B0A">
          <w:rPr>
            <w:rStyle w:val="Lienhypertexte"/>
            <w:rFonts w:cs="Arial"/>
            <w:noProof/>
            <w:lang w:val="en-US"/>
          </w:rPr>
          <w:t>2.1.14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2</w:t>
        </w:r>
        <w:r w:rsidR="00854EF9">
          <w:rPr>
            <w:noProof/>
          </w:rPr>
          <w:tab/>
        </w:r>
        <w:r w:rsidR="00854EF9">
          <w:rPr>
            <w:noProof/>
          </w:rPr>
          <w:fldChar w:fldCharType="begin"/>
        </w:r>
        <w:r w:rsidR="00854EF9">
          <w:rPr>
            <w:noProof/>
          </w:rPr>
          <w:instrText xml:space="preserve"> PAGEREF _Toc87361107 \h </w:instrText>
        </w:r>
        <w:r w:rsidR="00854EF9">
          <w:rPr>
            <w:noProof/>
          </w:rPr>
        </w:r>
        <w:r w:rsidR="00854EF9">
          <w:rPr>
            <w:noProof/>
          </w:rPr>
          <w:fldChar w:fldCharType="separate"/>
        </w:r>
        <w:r w:rsidR="003F1FC2">
          <w:rPr>
            <w:noProof/>
          </w:rPr>
          <w:t>39</w:t>
        </w:r>
        <w:r w:rsidR="00854EF9">
          <w:rPr>
            <w:noProof/>
          </w:rPr>
          <w:fldChar w:fldCharType="end"/>
        </w:r>
      </w:hyperlink>
    </w:p>
    <w:p w14:paraId="0EEBB64B" w14:textId="07F2E7A2"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8" w:history="1">
        <w:r w:rsidR="00854EF9" w:rsidRPr="00B14B0A">
          <w:rPr>
            <w:rStyle w:val="Lienhypertexte"/>
            <w:rFonts w:cs="Arial"/>
            <w:noProof/>
          </w:rPr>
          <w:t>2.1.15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_Toc87361108 \h </w:instrText>
        </w:r>
        <w:r w:rsidR="00854EF9">
          <w:rPr>
            <w:noProof/>
          </w:rPr>
        </w:r>
        <w:r w:rsidR="00854EF9">
          <w:rPr>
            <w:noProof/>
          </w:rPr>
          <w:fldChar w:fldCharType="separate"/>
        </w:r>
        <w:r w:rsidR="003F1FC2">
          <w:rPr>
            <w:noProof/>
          </w:rPr>
          <w:t>39</w:t>
        </w:r>
        <w:r w:rsidR="00854EF9">
          <w:rPr>
            <w:noProof/>
          </w:rPr>
          <w:fldChar w:fldCharType="end"/>
        </w:r>
      </w:hyperlink>
    </w:p>
    <w:p w14:paraId="03BD02F6" w14:textId="42361B2C"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09" w:history="1">
        <w:r w:rsidR="00854EF9" w:rsidRPr="00B14B0A">
          <w:rPr>
            <w:rStyle w:val="Lienhypertexte"/>
            <w:rFonts w:cs="Arial"/>
            <w:noProof/>
            <w:lang w:val="en-US"/>
          </w:rPr>
          <w:t>2.1.16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_Toc87361109 \h </w:instrText>
        </w:r>
        <w:r w:rsidR="00854EF9">
          <w:rPr>
            <w:noProof/>
          </w:rPr>
        </w:r>
        <w:r w:rsidR="00854EF9">
          <w:rPr>
            <w:noProof/>
          </w:rPr>
          <w:fldChar w:fldCharType="separate"/>
        </w:r>
        <w:r w:rsidR="003F1FC2">
          <w:rPr>
            <w:noProof/>
          </w:rPr>
          <w:t>40</w:t>
        </w:r>
        <w:r w:rsidR="00854EF9">
          <w:rPr>
            <w:noProof/>
          </w:rPr>
          <w:fldChar w:fldCharType="end"/>
        </w:r>
      </w:hyperlink>
    </w:p>
    <w:p w14:paraId="05275530" w14:textId="7753853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0" w:history="1">
        <w:r w:rsidR="00854EF9" w:rsidRPr="00B14B0A">
          <w:rPr>
            <w:rStyle w:val="Lienhypertexte"/>
            <w:rFonts w:cs="Arial"/>
            <w:noProof/>
          </w:rPr>
          <w:t>2.1.17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3 administrative information</w:t>
        </w:r>
        <w:r w:rsidR="00854EF9">
          <w:rPr>
            <w:noProof/>
          </w:rPr>
          <w:tab/>
        </w:r>
        <w:r w:rsidR="00854EF9">
          <w:rPr>
            <w:noProof/>
          </w:rPr>
          <w:fldChar w:fldCharType="begin"/>
        </w:r>
        <w:r w:rsidR="00854EF9">
          <w:rPr>
            <w:noProof/>
          </w:rPr>
          <w:instrText xml:space="preserve"> PAGEREF _Toc87361110 \h </w:instrText>
        </w:r>
        <w:r w:rsidR="00854EF9">
          <w:rPr>
            <w:noProof/>
          </w:rPr>
        </w:r>
        <w:r w:rsidR="00854EF9">
          <w:rPr>
            <w:noProof/>
          </w:rPr>
          <w:fldChar w:fldCharType="separate"/>
        </w:r>
        <w:r w:rsidR="003F1FC2">
          <w:rPr>
            <w:noProof/>
          </w:rPr>
          <w:t>40</w:t>
        </w:r>
        <w:r w:rsidR="00854EF9">
          <w:rPr>
            <w:noProof/>
          </w:rPr>
          <w:fldChar w:fldCharType="end"/>
        </w:r>
      </w:hyperlink>
    </w:p>
    <w:p w14:paraId="50FBC04B" w14:textId="40AA20E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1" w:history="1">
        <w:r w:rsidR="00854EF9" w:rsidRPr="00B14B0A">
          <w:rPr>
            <w:rStyle w:val="Lienhypertexte"/>
            <w:rFonts w:cs="Arial"/>
            <w:noProof/>
          </w:rPr>
          <w:t>2.1.18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3 composition</w:t>
        </w:r>
        <w:r w:rsidR="00854EF9">
          <w:rPr>
            <w:noProof/>
          </w:rPr>
          <w:tab/>
        </w:r>
        <w:r w:rsidR="00854EF9">
          <w:rPr>
            <w:noProof/>
          </w:rPr>
          <w:fldChar w:fldCharType="begin"/>
        </w:r>
        <w:r w:rsidR="00854EF9">
          <w:rPr>
            <w:noProof/>
          </w:rPr>
          <w:instrText xml:space="preserve"> PAGEREF _Toc87361111 \h </w:instrText>
        </w:r>
        <w:r w:rsidR="00854EF9">
          <w:rPr>
            <w:noProof/>
          </w:rPr>
        </w:r>
        <w:r w:rsidR="00854EF9">
          <w:rPr>
            <w:noProof/>
          </w:rPr>
          <w:fldChar w:fldCharType="separate"/>
        </w:r>
        <w:r w:rsidR="003F1FC2">
          <w:rPr>
            <w:noProof/>
          </w:rPr>
          <w:t>41</w:t>
        </w:r>
        <w:r w:rsidR="00854EF9">
          <w:rPr>
            <w:noProof/>
          </w:rPr>
          <w:fldChar w:fldCharType="end"/>
        </w:r>
      </w:hyperlink>
    </w:p>
    <w:p w14:paraId="650CDD61" w14:textId="7B6233C3"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2" w:history="1">
        <w:r w:rsidR="00854EF9" w:rsidRPr="00B14B0A">
          <w:rPr>
            <w:rStyle w:val="Lienhypertexte"/>
            <w:rFonts w:cs="Arial"/>
            <w:noProof/>
            <w:lang w:val="en-US"/>
          </w:rPr>
          <w:t>2.1.19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3</w:t>
        </w:r>
        <w:r w:rsidR="00854EF9">
          <w:rPr>
            <w:noProof/>
          </w:rPr>
          <w:tab/>
        </w:r>
        <w:r w:rsidR="00854EF9">
          <w:rPr>
            <w:noProof/>
          </w:rPr>
          <w:fldChar w:fldCharType="begin"/>
        </w:r>
        <w:r w:rsidR="00854EF9">
          <w:rPr>
            <w:noProof/>
          </w:rPr>
          <w:instrText xml:space="preserve"> PAGEREF _Toc87361112 \h </w:instrText>
        </w:r>
        <w:r w:rsidR="00854EF9">
          <w:rPr>
            <w:noProof/>
          </w:rPr>
        </w:r>
        <w:r w:rsidR="00854EF9">
          <w:rPr>
            <w:noProof/>
          </w:rPr>
          <w:fldChar w:fldCharType="separate"/>
        </w:r>
        <w:r w:rsidR="003F1FC2">
          <w:rPr>
            <w:noProof/>
          </w:rPr>
          <w:t>41</w:t>
        </w:r>
        <w:r w:rsidR="00854EF9">
          <w:rPr>
            <w:noProof/>
          </w:rPr>
          <w:fldChar w:fldCharType="end"/>
        </w:r>
      </w:hyperlink>
    </w:p>
    <w:p w14:paraId="3995ADCD" w14:textId="5A3322D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3" w:history="1">
        <w:r w:rsidR="00854EF9" w:rsidRPr="00B14B0A">
          <w:rPr>
            <w:rStyle w:val="Lienhypertexte"/>
            <w:rFonts w:cs="Arial"/>
            <w:noProof/>
            <w:lang w:val="en-US"/>
          </w:rPr>
          <w:t>2.1.20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3</w:t>
        </w:r>
        <w:r w:rsidR="00854EF9">
          <w:rPr>
            <w:noProof/>
          </w:rPr>
          <w:tab/>
        </w:r>
        <w:r w:rsidR="00854EF9">
          <w:rPr>
            <w:noProof/>
          </w:rPr>
          <w:fldChar w:fldCharType="begin"/>
        </w:r>
        <w:r w:rsidR="00854EF9">
          <w:rPr>
            <w:noProof/>
          </w:rPr>
          <w:instrText xml:space="preserve"> PAGEREF _Toc87361113 \h </w:instrText>
        </w:r>
        <w:r w:rsidR="00854EF9">
          <w:rPr>
            <w:noProof/>
          </w:rPr>
        </w:r>
        <w:r w:rsidR="00854EF9">
          <w:rPr>
            <w:noProof/>
          </w:rPr>
          <w:fldChar w:fldCharType="separate"/>
        </w:r>
        <w:r w:rsidR="003F1FC2">
          <w:rPr>
            <w:noProof/>
          </w:rPr>
          <w:t>42</w:t>
        </w:r>
        <w:r w:rsidR="00854EF9">
          <w:rPr>
            <w:noProof/>
          </w:rPr>
          <w:fldChar w:fldCharType="end"/>
        </w:r>
      </w:hyperlink>
    </w:p>
    <w:p w14:paraId="3E3969F7" w14:textId="7572A220"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14" w:history="1">
        <w:r w:rsidR="00854EF9" w:rsidRPr="00B14B0A">
          <w:rPr>
            <w:rStyle w:val="Lienhypertexte"/>
            <w:b/>
            <w:noProof/>
          </w:rPr>
          <w:t>2.1.20.1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_Toc87361114 \h </w:instrText>
        </w:r>
        <w:r w:rsidR="00854EF9">
          <w:rPr>
            <w:noProof/>
          </w:rPr>
        </w:r>
        <w:r w:rsidR="00854EF9">
          <w:rPr>
            <w:noProof/>
          </w:rPr>
          <w:fldChar w:fldCharType="separate"/>
        </w:r>
        <w:r w:rsidR="003F1FC2">
          <w:rPr>
            <w:noProof/>
          </w:rPr>
          <w:t>42</w:t>
        </w:r>
        <w:r w:rsidR="00854EF9">
          <w:rPr>
            <w:noProof/>
          </w:rPr>
          <w:fldChar w:fldCharType="end"/>
        </w:r>
      </w:hyperlink>
    </w:p>
    <w:p w14:paraId="3BA2F010" w14:textId="64E87E3D"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15" w:history="1">
        <w:r w:rsidR="00854EF9" w:rsidRPr="00B14B0A">
          <w:rPr>
            <w:rStyle w:val="Lienhypertexte"/>
            <w:b/>
            <w:noProof/>
          </w:rPr>
          <w:t>2.1.20.2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_Toc87361115 \h </w:instrText>
        </w:r>
        <w:r w:rsidR="00854EF9">
          <w:rPr>
            <w:noProof/>
          </w:rPr>
        </w:r>
        <w:r w:rsidR="00854EF9">
          <w:rPr>
            <w:noProof/>
          </w:rPr>
          <w:fldChar w:fldCharType="separate"/>
        </w:r>
        <w:r w:rsidR="003F1FC2">
          <w:rPr>
            <w:noProof/>
          </w:rPr>
          <w:t>43</w:t>
        </w:r>
        <w:r w:rsidR="00854EF9">
          <w:rPr>
            <w:noProof/>
          </w:rPr>
          <w:fldChar w:fldCharType="end"/>
        </w:r>
      </w:hyperlink>
    </w:p>
    <w:p w14:paraId="74E06CA7" w14:textId="15ABFEBD"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6" w:history="1">
        <w:r w:rsidR="00854EF9" w:rsidRPr="00B14B0A">
          <w:rPr>
            <w:rStyle w:val="Lienhypertexte"/>
            <w:rFonts w:cs="Arial"/>
            <w:noProof/>
            <w:lang w:val="en-US"/>
          </w:rPr>
          <w:t>2.1.21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3</w:t>
        </w:r>
        <w:r w:rsidR="00854EF9">
          <w:rPr>
            <w:noProof/>
          </w:rPr>
          <w:tab/>
        </w:r>
        <w:r w:rsidR="00854EF9">
          <w:rPr>
            <w:noProof/>
          </w:rPr>
          <w:fldChar w:fldCharType="begin"/>
        </w:r>
        <w:r w:rsidR="00854EF9">
          <w:rPr>
            <w:noProof/>
          </w:rPr>
          <w:instrText xml:space="preserve"> PAGEREF _Toc87361116 \h </w:instrText>
        </w:r>
        <w:r w:rsidR="00854EF9">
          <w:rPr>
            <w:noProof/>
          </w:rPr>
        </w:r>
        <w:r w:rsidR="00854EF9">
          <w:rPr>
            <w:noProof/>
          </w:rPr>
          <w:fldChar w:fldCharType="separate"/>
        </w:r>
        <w:r w:rsidR="003F1FC2">
          <w:rPr>
            <w:noProof/>
          </w:rPr>
          <w:t>45</w:t>
        </w:r>
        <w:r w:rsidR="00854EF9">
          <w:rPr>
            <w:noProof/>
          </w:rPr>
          <w:fldChar w:fldCharType="end"/>
        </w:r>
      </w:hyperlink>
    </w:p>
    <w:p w14:paraId="60B53083" w14:textId="4AE6B38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7" w:history="1">
        <w:r w:rsidR="00854EF9" w:rsidRPr="00B14B0A">
          <w:rPr>
            <w:rStyle w:val="Lienhypertexte"/>
            <w:rFonts w:cs="Arial"/>
            <w:noProof/>
          </w:rPr>
          <w:t>2.1.22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_Toc87361117 \h </w:instrText>
        </w:r>
        <w:r w:rsidR="00854EF9">
          <w:rPr>
            <w:noProof/>
          </w:rPr>
        </w:r>
        <w:r w:rsidR="00854EF9">
          <w:rPr>
            <w:noProof/>
          </w:rPr>
          <w:fldChar w:fldCharType="separate"/>
        </w:r>
        <w:r w:rsidR="003F1FC2">
          <w:rPr>
            <w:noProof/>
          </w:rPr>
          <w:t>46</w:t>
        </w:r>
        <w:r w:rsidR="00854EF9">
          <w:rPr>
            <w:noProof/>
          </w:rPr>
          <w:fldChar w:fldCharType="end"/>
        </w:r>
      </w:hyperlink>
    </w:p>
    <w:p w14:paraId="2212F685" w14:textId="7518D38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8" w:history="1">
        <w:r w:rsidR="00854EF9" w:rsidRPr="00B14B0A">
          <w:rPr>
            <w:rStyle w:val="Lienhypertexte"/>
            <w:rFonts w:cs="Arial"/>
            <w:noProof/>
            <w:lang w:val="en-US"/>
          </w:rPr>
          <w:t>2.1.23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_Toc87361118 \h </w:instrText>
        </w:r>
        <w:r w:rsidR="00854EF9">
          <w:rPr>
            <w:noProof/>
          </w:rPr>
        </w:r>
        <w:r w:rsidR="00854EF9">
          <w:rPr>
            <w:noProof/>
          </w:rPr>
          <w:fldChar w:fldCharType="separate"/>
        </w:r>
        <w:r w:rsidR="003F1FC2">
          <w:rPr>
            <w:noProof/>
          </w:rPr>
          <w:t>46</w:t>
        </w:r>
        <w:r w:rsidR="00854EF9">
          <w:rPr>
            <w:noProof/>
          </w:rPr>
          <w:fldChar w:fldCharType="end"/>
        </w:r>
      </w:hyperlink>
    </w:p>
    <w:p w14:paraId="4C88197E" w14:textId="15E0CF64"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19" w:history="1">
        <w:r w:rsidR="00854EF9" w:rsidRPr="00B14B0A">
          <w:rPr>
            <w:rStyle w:val="Lienhypertexte"/>
            <w:rFonts w:cs="Arial"/>
            <w:noProof/>
          </w:rPr>
          <w:t>2.1.24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4 administrative information</w:t>
        </w:r>
        <w:r w:rsidR="00854EF9">
          <w:rPr>
            <w:noProof/>
          </w:rPr>
          <w:tab/>
        </w:r>
        <w:r w:rsidR="00854EF9">
          <w:rPr>
            <w:noProof/>
          </w:rPr>
          <w:fldChar w:fldCharType="begin"/>
        </w:r>
        <w:r w:rsidR="00854EF9">
          <w:rPr>
            <w:noProof/>
          </w:rPr>
          <w:instrText xml:space="preserve"> PAGEREF _Toc87361119 \h </w:instrText>
        </w:r>
        <w:r w:rsidR="00854EF9">
          <w:rPr>
            <w:noProof/>
          </w:rPr>
        </w:r>
        <w:r w:rsidR="00854EF9">
          <w:rPr>
            <w:noProof/>
          </w:rPr>
          <w:fldChar w:fldCharType="separate"/>
        </w:r>
        <w:r w:rsidR="003F1FC2">
          <w:rPr>
            <w:noProof/>
          </w:rPr>
          <w:t>47</w:t>
        </w:r>
        <w:r w:rsidR="00854EF9">
          <w:rPr>
            <w:noProof/>
          </w:rPr>
          <w:fldChar w:fldCharType="end"/>
        </w:r>
      </w:hyperlink>
    </w:p>
    <w:p w14:paraId="1C46D410" w14:textId="4302DE3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0" w:history="1">
        <w:r w:rsidR="00854EF9" w:rsidRPr="00B14B0A">
          <w:rPr>
            <w:rStyle w:val="Lienhypertexte"/>
            <w:rFonts w:cs="Arial"/>
            <w:noProof/>
          </w:rPr>
          <w:t>2.1.25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4 composition</w:t>
        </w:r>
        <w:r w:rsidR="00854EF9">
          <w:rPr>
            <w:noProof/>
          </w:rPr>
          <w:tab/>
        </w:r>
        <w:r w:rsidR="00854EF9">
          <w:rPr>
            <w:noProof/>
          </w:rPr>
          <w:fldChar w:fldCharType="begin"/>
        </w:r>
        <w:r w:rsidR="00854EF9">
          <w:rPr>
            <w:noProof/>
          </w:rPr>
          <w:instrText xml:space="preserve"> PAGEREF _Toc87361120 \h </w:instrText>
        </w:r>
        <w:r w:rsidR="00854EF9">
          <w:rPr>
            <w:noProof/>
          </w:rPr>
        </w:r>
        <w:r w:rsidR="00854EF9">
          <w:rPr>
            <w:noProof/>
          </w:rPr>
          <w:fldChar w:fldCharType="separate"/>
        </w:r>
        <w:r w:rsidR="003F1FC2">
          <w:rPr>
            <w:noProof/>
          </w:rPr>
          <w:t>47</w:t>
        </w:r>
        <w:r w:rsidR="00854EF9">
          <w:rPr>
            <w:noProof/>
          </w:rPr>
          <w:fldChar w:fldCharType="end"/>
        </w:r>
      </w:hyperlink>
    </w:p>
    <w:p w14:paraId="644222C2" w14:textId="72E981A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1" w:history="1">
        <w:r w:rsidR="00854EF9" w:rsidRPr="00B14B0A">
          <w:rPr>
            <w:rStyle w:val="Lienhypertexte"/>
            <w:rFonts w:cs="Arial"/>
            <w:noProof/>
            <w:lang w:val="en-US"/>
          </w:rPr>
          <w:t>2.1.26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4</w:t>
        </w:r>
        <w:r w:rsidR="00854EF9">
          <w:rPr>
            <w:noProof/>
          </w:rPr>
          <w:tab/>
        </w:r>
        <w:r w:rsidR="00854EF9">
          <w:rPr>
            <w:noProof/>
          </w:rPr>
          <w:fldChar w:fldCharType="begin"/>
        </w:r>
        <w:r w:rsidR="00854EF9">
          <w:rPr>
            <w:noProof/>
          </w:rPr>
          <w:instrText xml:space="preserve"> PAGEREF _Toc87361121 \h </w:instrText>
        </w:r>
        <w:r w:rsidR="00854EF9">
          <w:rPr>
            <w:noProof/>
          </w:rPr>
        </w:r>
        <w:r w:rsidR="00854EF9">
          <w:rPr>
            <w:noProof/>
          </w:rPr>
          <w:fldChar w:fldCharType="separate"/>
        </w:r>
        <w:r w:rsidR="003F1FC2">
          <w:rPr>
            <w:noProof/>
          </w:rPr>
          <w:t>47</w:t>
        </w:r>
        <w:r w:rsidR="00854EF9">
          <w:rPr>
            <w:noProof/>
          </w:rPr>
          <w:fldChar w:fldCharType="end"/>
        </w:r>
      </w:hyperlink>
    </w:p>
    <w:p w14:paraId="583C481D" w14:textId="1FA0F14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2" w:history="1">
        <w:r w:rsidR="00854EF9" w:rsidRPr="00B14B0A">
          <w:rPr>
            <w:rStyle w:val="Lienhypertexte"/>
            <w:rFonts w:cs="Arial"/>
            <w:noProof/>
            <w:lang w:val="en-US"/>
          </w:rPr>
          <w:t>2.1.27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4</w:t>
        </w:r>
        <w:r w:rsidR="00854EF9">
          <w:rPr>
            <w:noProof/>
          </w:rPr>
          <w:tab/>
        </w:r>
        <w:r w:rsidR="00854EF9">
          <w:rPr>
            <w:noProof/>
          </w:rPr>
          <w:fldChar w:fldCharType="begin"/>
        </w:r>
        <w:r w:rsidR="00854EF9">
          <w:rPr>
            <w:noProof/>
          </w:rPr>
          <w:instrText xml:space="preserve"> PAGEREF _Toc87361122 \h </w:instrText>
        </w:r>
        <w:r w:rsidR="00854EF9">
          <w:rPr>
            <w:noProof/>
          </w:rPr>
        </w:r>
        <w:r w:rsidR="00854EF9">
          <w:rPr>
            <w:noProof/>
          </w:rPr>
          <w:fldChar w:fldCharType="separate"/>
        </w:r>
        <w:r w:rsidR="003F1FC2">
          <w:rPr>
            <w:noProof/>
          </w:rPr>
          <w:t>48</w:t>
        </w:r>
        <w:r w:rsidR="00854EF9">
          <w:rPr>
            <w:noProof/>
          </w:rPr>
          <w:fldChar w:fldCharType="end"/>
        </w:r>
      </w:hyperlink>
    </w:p>
    <w:p w14:paraId="1BA75FFF" w14:textId="4953AD5F"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23" w:history="1">
        <w:r w:rsidR="00854EF9" w:rsidRPr="00B14B0A">
          <w:rPr>
            <w:rStyle w:val="Lienhypertexte"/>
            <w:b/>
            <w:noProof/>
          </w:rPr>
          <w:t>2.1.27.1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_Toc87361123 \h </w:instrText>
        </w:r>
        <w:r w:rsidR="00854EF9">
          <w:rPr>
            <w:noProof/>
          </w:rPr>
        </w:r>
        <w:r w:rsidR="00854EF9">
          <w:rPr>
            <w:noProof/>
          </w:rPr>
          <w:fldChar w:fldCharType="separate"/>
        </w:r>
        <w:r w:rsidR="003F1FC2">
          <w:rPr>
            <w:noProof/>
          </w:rPr>
          <w:t>48</w:t>
        </w:r>
        <w:r w:rsidR="00854EF9">
          <w:rPr>
            <w:noProof/>
          </w:rPr>
          <w:fldChar w:fldCharType="end"/>
        </w:r>
      </w:hyperlink>
    </w:p>
    <w:p w14:paraId="7F1A7CD8" w14:textId="1CD6E33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4" w:history="1">
        <w:r w:rsidR="00854EF9" w:rsidRPr="00B14B0A">
          <w:rPr>
            <w:rStyle w:val="Lienhypertexte"/>
            <w:rFonts w:cs="Arial"/>
            <w:noProof/>
            <w:lang w:val="en-US"/>
          </w:rPr>
          <w:t>2.1.28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4</w:t>
        </w:r>
        <w:r w:rsidR="00854EF9">
          <w:rPr>
            <w:noProof/>
          </w:rPr>
          <w:tab/>
        </w:r>
        <w:r w:rsidR="00854EF9">
          <w:rPr>
            <w:noProof/>
          </w:rPr>
          <w:fldChar w:fldCharType="begin"/>
        </w:r>
        <w:r w:rsidR="00854EF9">
          <w:rPr>
            <w:noProof/>
          </w:rPr>
          <w:instrText xml:space="preserve"> PAGEREF _Toc87361124 \h </w:instrText>
        </w:r>
        <w:r w:rsidR="00854EF9">
          <w:rPr>
            <w:noProof/>
          </w:rPr>
        </w:r>
        <w:r w:rsidR="00854EF9">
          <w:rPr>
            <w:noProof/>
          </w:rPr>
          <w:fldChar w:fldCharType="separate"/>
        </w:r>
        <w:r w:rsidR="003F1FC2">
          <w:rPr>
            <w:noProof/>
          </w:rPr>
          <w:t>49</w:t>
        </w:r>
        <w:r w:rsidR="00854EF9">
          <w:rPr>
            <w:noProof/>
          </w:rPr>
          <w:fldChar w:fldCharType="end"/>
        </w:r>
      </w:hyperlink>
    </w:p>
    <w:p w14:paraId="3634680D" w14:textId="508CC647"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5" w:history="1">
        <w:r w:rsidR="00854EF9" w:rsidRPr="00B14B0A">
          <w:rPr>
            <w:rStyle w:val="Lienhypertexte"/>
            <w:rFonts w:cs="Arial"/>
            <w:noProof/>
          </w:rPr>
          <w:t>2.1.29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_Toc87361125 \h </w:instrText>
        </w:r>
        <w:r w:rsidR="00854EF9">
          <w:rPr>
            <w:noProof/>
          </w:rPr>
        </w:r>
        <w:r w:rsidR="00854EF9">
          <w:rPr>
            <w:noProof/>
          </w:rPr>
          <w:fldChar w:fldCharType="separate"/>
        </w:r>
        <w:r w:rsidR="003F1FC2">
          <w:rPr>
            <w:noProof/>
          </w:rPr>
          <w:t>50</w:t>
        </w:r>
        <w:r w:rsidR="00854EF9">
          <w:rPr>
            <w:noProof/>
          </w:rPr>
          <w:fldChar w:fldCharType="end"/>
        </w:r>
      </w:hyperlink>
    </w:p>
    <w:p w14:paraId="13887EB0" w14:textId="537451CD"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6" w:history="1">
        <w:r w:rsidR="00854EF9" w:rsidRPr="00B14B0A">
          <w:rPr>
            <w:rStyle w:val="Lienhypertexte"/>
            <w:rFonts w:cs="Arial"/>
            <w:noProof/>
            <w:lang w:val="en-US"/>
          </w:rPr>
          <w:t>2.1.30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_Toc87361126 \h </w:instrText>
        </w:r>
        <w:r w:rsidR="00854EF9">
          <w:rPr>
            <w:noProof/>
          </w:rPr>
        </w:r>
        <w:r w:rsidR="00854EF9">
          <w:rPr>
            <w:noProof/>
          </w:rPr>
          <w:fldChar w:fldCharType="separate"/>
        </w:r>
        <w:r w:rsidR="003F1FC2">
          <w:rPr>
            <w:noProof/>
          </w:rPr>
          <w:t>50</w:t>
        </w:r>
        <w:r w:rsidR="00854EF9">
          <w:rPr>
            <w:noProof/>
          </w:rPr>
          <w:fldChar w:fldCharType="end"/>
        </w:r>
      </w:hyperlink>
    </w:p>
    <w:p w14:paraId="7670CFBF" w14:textId="431D0952"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7" w:history="1">
        <w:r w:rsidR="00854EF9" w:rsidRPr="00B14B0A">
          <w:rPr>
            <w:rStyle w:val="Lienhypertexte"/>
            <w:rFonts w:cs="Arial"/>
            <w:noProof/>
          </w:rPr>
          <w:t>2.1.31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6 administrative information</w:t>
        </w:r>
        <w:r w:rsidR="00854EF9">
          <w:rPr>
            <w:noProof/>
          </w:rPr>
          <w:tab/>
        </w:r>
        <w:r w:rsidR="00854EF9">
          <w:rPr>
            <w:noProof/>
          </w:rPr>
          <w:fldChar w:fldCharType="begin"/>
        </w:r>
        <w:r w:rsidR="00854EF9">
          <w:rPr>
            <w:noProof/>
          </w:rPr>
          <w:instrText xml:space="preserve"> PAGEREF _Toc87361127 \h </w:instrText>
        </w:r>
        <w:r w:rsidR="00854EF9">
          <w:rPr>
            <w:noProof/>
          </w:rPr>
        </w:r>
        <w:r w:rsidR="00854EF9">
          <w:rPr>
            <w:noProof/>
          </w:rPr>
          <w:fldChar w:fldCharType="separate"/>
        </w:r>
        <w:r w:rsidR="003F1FC2">
          <w:rPr>
            <w:noProof/>
          </w:rPr>
          <w:t>51</w:t>
        </w:r>
        <w:r w:rsidR="00854EF9">
          <w:rPr>
            <w:noProof/>
          </w:rPr>
          <w:fldChar w:fldCharType="end"/>
        </w:r>
      </w:hyperlink>
    </w:p>
    <w:p w14:paraId="60DEB9DC" w14:textId="205DB45D"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8" w:history="1">
        <w:r w:rsidR="00854EF9" w:rsidRPr="00B14B0A">
          <w:rPr>
            <w:rStyle w:val="Lienhypertexte"/>
            <w:rFonts w:cs="Arial"/>
            <w:noProof/>
          </w:rPr>
          <w:t>2.1.32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6 composition</w:t>
        </w:r>
        <w:r w:rsidR="00854EF9">
          <w:rPr>
            <w:noProof/>
          </w:rPr>
          <w:tab/>
        </w:r>
        <w:r w:rsidR="00854EF9">
          <w:rPr>
            <w:noProof/>
          </w:rPr>
          <w:fldChar w:fldCharType="begin"/>
        </w:r>
        <w:r w:rsidR="00854EF9">
          <w:rPr>
            <w:noProof/>
          </w:rPr>
          <w:instrText xml:space="preserve"> PAGEREF _Toc87361128 \h </w:instrText>
        </w:r>
        <w:r w:rsidR="00854EF9">
          <w:rPr>
            <w:noProof/>
          </w:rPr>
        </w:r>
        <w:r w:rsidR="00854EF9">
          <w:rPr>
            <w:noProof/>
          </w:rPr>
          <w:fldChar w:fldCharType="separate"/>
        </w:r>
        <w:r w:rsidR="003F1FC2">
          <w:rPr>
            <w:noProof/>
          </w:rPr>
          <w:t>51</w:t>
        </w:r>
        <w:r w:rsidR="00854EF9">
          <w:rPr>
            <w:noProof/>
          </w:rPr>
          <w:fldChar w:fldCharType="end"/>
        </w:r>
      </w:hyperlink>
    </w:p>
    <w:p w14:paraId="5B8D2747" w14:textId="74C916D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29" w:history="1">
        <w:r w:rsidR="00854EF9" w:rsidRPr="00B14B0A">
          <w:rPr>
            <w:rStyle w:val="Lienhypertexte"/>
            <w:rFonts w:cs="Arial"/>
            <w:noProof/>
            <w:lang w:val="en-US"/>
          </w:rPr>
          <w:t>2.1.33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6</w:t>
        </w:r>
        <w:r w:rsidR="00854EF9">
          <w:rPr>
            <w:noProof/>
          </w:rPr>
          <w:tab/>
        </w:r>
        <w:r w:rsidR="00854EF9">
          <w:rPr>
            <w:noProof/>
          </w:rPr>
          <w:fldChar w:fldCharType="begin"/>
        </w:r>
        <w:r w:rsidR="00854EF9">
          <w:rPr>
            <w:noProof/>
          </w:rPr>
          <w:instrText xml:space="preserve"> PAGEREF _Toc87361129 \h </w:instrText>
        </w:r>
        <w:r w:rsidR="00854EF9">
          <w:rPr>
            <w:noProof/>
          </w:rPr>
        </w:r>
        <w:r w:rsidR="00854EF9">
          <w:rPr>
            <w:noProof/>
          </w:rPr>
          <w:fldChar w:fldCharType="separate"/>
        </w:r>
        <w:r w:rsidR="003F1FC2">
          <w:rPr>
            <w:noProof/>
          </w:rPr>
          <w:t>51</w:t>
        </w:r>
        <w:r w:rsidR="00854EF9">
          <w:rPr>
            <w:noProof/>
          </w:rPr>
          <w:fldChar w:fldCharType="end"/>
        </w:r>
      </w:hyperlink>
    </w:p>
    <w:p w14:paraId="5128C062" w14:textId="67891B42"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0" w:history="1">
        <w:r w:rsidR="00854EF9" w:rsidRPr="00B14B0A">
          <w:rPr>
            <w:rStyle w:val="Lienhypertexte"/>
            <w:rFonts w:cs="Arial"/>
            <w:noProof/>
            <w:lang w:val="en-US"/>
          </w:rPr>
          <w:t>2.1.34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6</w:t>
        </w:r>
        <w:r w:rsidR="00854EF9">
          <w:rPr>
            <w:noProof/>
          </w:rPr>
          <w:tab/>
        </w:r>
        <w:r w:rsidR="00854EF9">
          <w:rPr>
            <w:noProof/>
          </w:rPr>
          <w:fldChar w:fldCharType="begin"/>
        </w:r>
        <w:r w:rsidR="00854EF9">
          <w:rPr>
            <w:noProof/>
          </w:rPr>
          <w:instrText xml:space="preserve"> PAGEREF _Toc87361130 \h </w:instrText>
        </w:r>
        <w:r w:rsidR="00854EF9">
          <w:rPr>
            <w:noProof/>
          </w:rPr>
        </w:r>
        <w:r w:rsidR="00854EF9">
          <w:rPr>
            <w:noProof/>
          </w:rPr>
          <w:fldChar w:fldCharType="separate"/>
        </w:r>
        <w:r w:rsidR="003F1FC2">
          <w:rPr>
            <w:noProof/>
          </w:rPr>
          <w:t>52</w:t>
        </w:r>
        <w:r w:rsidR="00854EF9">
          <w:rPr>
            <w:noProof/>
          </w:rPr>
          <w:fldChar w:fldCharType="end"/>
        </w:r>
      </w:hyperlink>
    </w:p>
    <w:p w14:paraId="23695787" w14:textId="7BCCBB54"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31" w:history="1">
        <w:r w:rsidR="00854EF9" w:rsidRPr="00B14B0A">
          <w:rPr>
            <w:rStyle w:val="Lienhypertexte"/>
            <w:b/>
            <w:noProof/>
          </w:rPr>
          <w:t>2.1.34.1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_Toc87361131 \h </w:instrText>
        </w:r>
        <w:r w:rsidR="00854EF9">
          <w:rPr>
            <w:noProof/>
          </w:rPr>
        </w:r>
        <w:r w:rsidR="00854EF9">
          <w:rPr>
            <w:noProof/>
          </w:rPr>
          <w:fldChar w:fldCharType="separate"/>
        </w:r>
        <w:r w:rsidR="003F1FC2">
          <w:rPr>
            <w:noProof/>
          </w:rPr>
          <w:t>52</w:t>
        </w:r>
        <w:r w:rsidR="00854EF9">
          <w:rPr>
            <w:noProof/>
          </w:rPr>
          <w:fldChar w:fldCharType="end"/>
        </w:r>
      </w:hyperlink>
    </w:p>
    <w:p w14:paraId="1B4FAD69" w14:textId="7D4405D6"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32" w:history="1">
        <w:r w:rsidR="00854EF9" w:rsidRPr="00B14B0A">
          <w:rPr>
            <w:rStyle w:val="Lienhypertexte"/>
            <w:b/>
            <w:noProof/>
          </w:rPr>
          <w:t>2.1.34.2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_Toc87361132 \h </w:instrText>
        </w:r>
        <w:r w:rsidR="00854EF9">
          <w:rPr>
            <w:noProof/>
          </w:rPr>
        </w:r>
        <w:r w:rsidR="00854EF9">
          <w:rPr>
            <w:noProof/>
          </w:rPr>
          <w:fldChar w:fldCharType="separate"/>
        </w:r>
        <w:r w:rsidR="003F1FC2">
          <w:rPr>
            <w:noProof/>
          </w:rPr>
          <w:t>54</w:t>
        </w:r>
        <w:r w:rsidR="00854EF9">
          <w:rPr>
            <w:noProof/>
          </w:rPr>
          <w:fldChar w:fldCharType="end"/>
        </w:r>
      </w:hyperlink>
    </w:p>
    <w:p w14:paraId="5ABC670A" w14:textId="4302EB3D"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33" w:history="1">
        <w:r w:rsidR="00854EF9" w:rsidRPr="00B14B0A">
          <w:rPr>
            <w:rStyle w:val="Lienhypertexte"/>
            <w:b/>
            <w:noProof/>
          </w:rPr>
          <w:t>2.1.34.3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_Toc87361133 \h </w:instrText>
        </w:r>
        <w:r w:rsidR="00854EF9">
          <w:rPr>
            <w:noProof/>
          </w:rPr>
        </w:r>
        <w:r w:rsidR="00854EF9">
          <w:rPr>
            <w:noProof/>
          </w:rPr>
          <w:fldChar w:fldCharType="separate"/>
        </w:r>
        <w:r w:rsidR="003F1FC2">
          <w:rPr>
            <w:noProof/>
          </w:rPr>
          <w:t>56</w:t>
        </w:r>
        <w:r w:rsidR="00854EF9">
          <w:rPr>
            <w:noProof/>
          </w:rPr>
          <w:fldChar w:fldCharType="end"/>
        </w:r>
      </w:hyperlink>
    </w:p>
    <w:p w14:paraId="08C9D8EE" w14:textId="3DC5D7B0"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34" w:history="1">
        <w:r w:rsidR="00854EF9" w:rsidRPr="00B14B0A">
          <w:rPr>
            <w:rStyle w:val="Lienhypertexte"/>
            <w:b/>
            <w:noProof/>
          </w:rPr>
          <w:t>2.1.34.4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_Toc87361134 \h </w:instrText>
        </w:r>
        <w:r w:rsidR="00854EF9">
          <w:rPr>
            <w:noProof/>
          </w:rPr>
        </w:r>
        <w:r w:rsidR="00854EF9">
          <w:rPr>
            <w:noProof/>
          </w:rPr>
          <w:fldChar w:fldCharType="separate"/>
        </w:r>
        <w:r w:rsidR="003F1FC2">
          <w:rPr>
            <w:noProof/>
          </w:rPr>
          <w:t>58</w:t>
        </w:r>
        <w:r w:rsidR="00854EF9">
          <w:rPr>
            <w:noProof/>
          </w:rPr>
          <w:fldChar w:fldCharType="end"/>
        </w:r>
      </w:hyperlink>
    </w:p>
    <w:p w14:paraId="4293E453" w14:textId="64764822"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5" w:history="1">
        <w:r w:rsidR="00854EF9" w:rsidRPr="00B14B0A">
          <w:rPr>
            <w:rStyle w:val="Lienhypertexte"/>
            <w:rFonts w:cs="Arial"/>
            <w:noProof/>
            <w:lang w:val="en-US"/>
          </w:rPr>
          <w:t>2.1.35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6</w:t>
        </w:r>
        <w:r w:rsidR="00854EF9">
          <w:rPr>
            <w:noProof/>
          </w:rPr>
          <w:tab/>
        </w:r>
        <w:r w:rsidR="00854EF9">
          <w:rPr>
            <w:noProof/>
          </w:rPr>
          <w:fldChar w:fldCharType="begin"/>
        </w:r>
        <w:r w:rsidR="00854EF9">
          <w:rPr>
            <w:noProof/>
          </w:rPr>
          <w:instrText xml:space="preserve"> PAGEREF _Toc87361135 \h </w:instrText>
        </w:r>
        <w:r w:rsidR="00854EF9">
          <w:rPr>
            <w:noProof/>
          </w:rPr>
        </w:r>
        <w:r w:rsidR="00854EF9">
          <w:rPr>
            <w:noProof/>
          </w:rPr>
          <w:fldChar w:fldCharType="separate"/>
        </w:r>
        <w:r w:rsidR="003F1FC2">
          <w:rPr>
            <w:noProof/>
          </w:rPr>
          <w:t>59</w:t>
        </w:r>
        <w:r w:rsidR="00854EF9">
          <w:rPr>
            <w:noProof/>
          </w:rPr>
          <w:fldChar w:fldCharType="end"/>
        </w:r>
      </w:hyperlink>
    </w:p>
    <w:p w14:paraId="3EAB1107" w14:textId="07663562"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6" w:history="1">
        <w:r w:rsidR="00854EF9" w:rsidRPr="00B14B0A">
          <w:rPr>
            <w:rStyle w:val="Lienhypertexte"/>
            <w:rFonts w:cs="Arial"/>
            <w:noProof/>
          </w:rPr>
          <w:t>2.1.36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_Toc87361136 \h </w:instrText>
        </w:r>
        <w:r w:rsidR="00854EF9">
          <w:rPr>
            <w:noProof/>
          </w:rPr>
        </w:r>
        <w:r w:rsidR="00854EF9">
          <w:rPr>
            <w:noProof/>
          </w:rPr>
          <w:fldChar w:fldCharType="separate"/>
        </w:r>
        <w:r w:rsidR="003F1FC2">
          <w:rPr>
            <w:noProof/>
          </w:rPr>
          <w:t>60</w:t>
        </w:r>
        <w:r w:rsidR="00854EF9">
          <w:rPr>
            <w:noProof/>
          </w:rPr>
          <w:fldChar w:fldCharType="end"/>
        </w:r>
      </w:hyperlink>
    </w:p>
    <w:p w14:paraId="43B92152" w14:textId="2BF19EC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7" w:history="1">
        <w:r w:rsidR="00854EF9" w:rsidRPr="00B14B0A">
          <w:rPr>
            <w:rStyle w:val="Lienhypertexte"/>
            <w:rFonts w:cs="Arial"/>
            <w:noProof/>
            <w:lang w:val="en-US"/>
          </w:rPr>
          <w:t>2.1.37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_Toc87361137 \h </w:instrText>
        </w:r>
        <w:r w:rsidR="00854EF9">
          <w:rPr>
            <w:noProof/>
          </w:rPr>
        </w:r>
        <w:r w:rsidR="00854EF9">
          <w:rPr>
            <w:noProof/>
          </w:rPr>
          <w:fldChar w:fldCharType="separate"/>
        </w:r>
        <w:r w:rsidR="003F1FC2">
          <w:rPr>
            <w:noProof/>
          </w:rPr>
          <w:t>61</w:t>
        </w:r>
        <w:r w:rsidR="00854EF9">
          <w:rPr>
            <w:noProof/>
          </w:rPr>
          <w:fldChar w:fldCharType="end"/>
        </w:r>
      </w:hyperlink>
    </w:p>
    <w:p w14:paraId="30401038" w14:textId="6C4580F0"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8" w:history="1">
        <w:r w:rsidR="00854EF9" w:rsidRPr="00B14B0A">
          <w:rPr>
            <w:rStyle w:val="Lienhypertexte"/>
            <w:rFonts w:cs="Arial"/>
            <w:noProof/>
          </w:rPr>
          <w:t>2.1.38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7 administrative information</w:t>
        </w:r>
        <w:r w:rsidR="00854EF9">
          <w:rPr>
            <w:noProof/>
          </w:rPr>
          <w:tab/>
        </w:r>
        <w:r w:rsidR="00854EF9">
          <w:rPr>
            <w:noProof/>
          </w:rPr>
          <w:fldChar w:fldCharType="begin"/>
        </w:r>
        <w:r w:rsidR="00854EF9">
          <w:rPr>
            <w:noProof/>
          </w:rPr>
          <w:instrText xml:space="preserve"> PAGEREF _Toc87361138 \h </w:instrText>
        </w:r>
        <w:r w:rsidR="00854EF9">
          <w:rPr>
            <w:noProof/>
          </w:rPr>
        </w:r>
        <w:r w:rsidR="00854EF9">
          <w:rPr>
            <w:noProof/>
          </w:rPr>
          <w:fldChar w:fldCharType="separate"/>
        </w:r>
        <w:r w:rsidR="003F1FC2">
          <w:rPr>
            <w:noProof/>
          </w:rPr>
          <w:t>62</w:t>
        </w:r>
        <w:r w:rsidR="00854EF9">
          <w:rPr>
            <w:noProof/>
          </w:rPr>
          <w:fldChar w:fldCharType="end"/>
        </w:r>
      </w:hyperlink>
    </w:p>
    <w:p w14:paraId="24BB0E7C" w14:textId="0A208B8D"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39" w:history="1">
        <w:r w:rsidR="00854EF9" w:rsidRPr="00B14B0A">
          <w:rPr>
            <w:rStyle w:val="Lienhypertexte"/>
            <w:rFonts w:cs="Arial"/>
            <w:noProof/>
          </w:rPr>
          <w:t>2.1.39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7 composition</w:t>
        </w:r>
        <w:r w:rsidR="00854EF9">
          <w:rPr>
            <w:noProof/>
          </w:rPr>
          <w:tab/>
        </w:r>
        <w:r w:rsidR="00854EF9">
          <w:rPr>
            <w:noProof/>
          </w:rPr>
          <w:fldChar w:fldCharType="begin"/>
        </w:r>
        <w:r w:rsidR="00854EF9">
          <w:rPr>
            <w:noProof/>
          </w:rPr>
          <w:instrText xml:space="preserve"> PAGEREF _Toc87361139 \h </w:instrText>
        </w:r>
        <w:r w:rsidR="00854EF9">
          <w:rPr>
            <w:noProof/>
          </w:rPr>
        </w:r>
        <w:r w:rsidR="00854EF9">
          <w:rPr>
            <w:noProof/>
          </w:rPr>
          <w:fldChar w:fldCharType="separate"/>
        </w:r>
        <w:r w:rsidR="003F1FC2">
          <w:rPr>
            <w:noProof/>
          </w:rPr>
          <w:t>62</w:t>
        </w:r>
        <w:r w:rsidR="00854EF9">
          <w:rPr>
            <w:noProof/>
          </w:rPr>
          <w:fldChar w:fldCharType="end"/>
        </w:r>
      </w:hyperlink>
    </w:p>
    <w:p w14:paraId="3727723B" w14:textId="410EC183"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0" w:history="1">
        <w:r w:rsidR="00854EF9" w:rsidRPr="00B14B0A">
          <w:rPr>
            <w:rStyle w:val="Lienhypertexte"/>
            <w:rFonts w:cs="Arial"/>
            <w:noProof/>
            <w:lang w:val="en-US"/>
          </w:rPr>
          <w:t>2.1.40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7</w:t>
        </w:r>
        <w:r w:rsidR="00854EF9">
          <w:rPr>
            <w:noProof/>
          </w:rPr>
          <w:tab/>
        </w:r>
        <w:r w:rsidR="00854EF9">
          <w:rPr>
            <w:noProof/>
          </w:rPr>
          <w:fldChar w:fldCharType="begin"/>
        </w:r>
        <w:r w:rsidR="00854EF9">
          <w:rPr>
            <w:noProof/>
          </w:rPr>
          <w:instrText xml:space="preserve"> PAGEREF _Toc87361140 \h </w:instrText>
        </w:r>
        <w:r w:rsidR="00854EF9">
          <w:rPr>
            <w:noProof/>
          </w:rPr>
        </w:r>
        <w:r w:rsidR="00854EF9">
          <w:rPr>
            <w:noProof/>
          </w:rPr>
          <w:fldChar w:fldCharType="separate"/>
        </w:r>
        <w:r w:rsidR="003F1FC2">
          <w:rPr>
            <w:noProof/>
          </w:rPr>
          <w:t>63</w:t>
        </w:r>
        <w:r w:rsidR="00854EF9">
          <w:rPr>
            <w:noProof/>
          </w:rPr>
          <w:fldChar w:fldCharType="end"/>
        </w:r>
      </w:hyperlink>
    </w:p>
    <w:p w14:paraId="7F560A56" w14:textId="433B02BE"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1" w:history="1">
        <w:r w:rsidR="00854EF9" w:rsidRPr="00B14B0A">
          <w:rPr>
            <w:rStyle w:val="Lienhypertexte"/>
            <w:rFonts w:cs="Arial"/>
            <w:noProof/>
            <w:lang w:val="en-US"/>
          </w:rPr>
          <w:t>2.1.41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7</w:t>
        </w:r>
        <w:r w:rsidR="00854EF9">
          <w:rPr>
            <w:noProof/>
          </w:rPr>
          <w:tab/>
        </w:r>
        <w:r w:rsidR="00854EF9">
          <w:rPr>
            <w:noProof/>
          </w:rPr>
          <w:fldChar w:fldCharType="begin"/>
        </w:r>
        <w:r w:rsidR="00854EF9">
          <w:rPr>
            <w:noProof/>
          </w:rPr>
          <w:instrText xml:space="preserve"> PAGEREF _Toc87361141 \h </w:instrText>
        </w:r>
        <w:r w:rsidR="00854EF9">
          <w:rPr>
            <w:noProof/>
          </w:rPr>
        </w:r>
        <w:r w:rsidR="00854EF9">
          <w:rPr>
            <w:noProof/>
          </w:rPr>
          <w:fldChar w:fldCharType="separate"/>
        </w:r>
        <w:r w:rsidR="003F1FC2">
          <w:rPr>
            <w:noProof/>
          </w:rPr>
          <w:t>64</w:t>
        </w:r>
        <w:r w:rsidR="00854EF9">
          <w:rPr>
            <w:noProof/>
          </w:rPr>
          <w:fldChar w:fldCharType="end"/>
        </w:r>
      </w:hyperlink>
    </w:p>
    <w:p w14:paraId="22D77B55" w14:textId="4D543949"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42" w:history="1">
        <w:r w:rsidR="00854EF9" w:rsidRPr="00B14B0A">
          <w:rPr>
            <w:rStyle w:val="Lienhypertexte"/>
            <w:b/>
            <w:noProof/>
          </w:rPr>
          <w:t>2.1.41.1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_Toc87361142 \h </w:instrText>
        </w:r>
        <w:r w:rsidR="00854EF9">
          <w:rPr>
            <w:noProof/>
          </w:rPr>
        </w:r>
        <w:r w:rsidR="00854EF9">
          <w:rPr>
            <w:noProof/>
          </w:rPr>
          <w:fldChar w:fldCharType="separate"/>
        </w:r>
        <w:r w:rsidR="003F1FC2">
          <w:rPr>
            <w:noProof/>
          </w:rPr>
          <w:t>64</w:t>
        </w:r>
        <w:r w:rsidR="00854EF9">
          <w:rPr>
            <w:noProof/>
          </w:rPr>
          <w:fldChar w:fldCharType="end"/>
        </w:r>
      </w:hyperlink>
    </w:p>
    <w:p w14:paraId="3FA3298C" w14:textId="7C044049"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43" w:history="1">
        <w:r w:rsidR="00854EF9" w:rsidRPr="00B14B0A">
          <w:rPr>
            <w:rStyle w:val="Lienhypertexte"/>
            <w:b/>
            <w:noProof/>
          </w:rPr>
          <w:t>2.1.41.2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_Toc87361143 \h </w:instrText>
        </w:r>
        <w:r w:rsidR="00854EF9">
          <w:rPr>
            <w:noProof/>
          </w:rPr>
        </w:r>
        <w:r w:rsidR="00854EF9">
          <w:rPr>
            <w:noProof/>
          </w:rPr>
          <w:fldChar w:fldCharType="separate"/>
        </w:r>
        <w:r w:rsidR="003F1FC2">
          <w:rPr>
            <w:noProof/>
          </w:rPr>
          <w:t>65</w:t>
        </w:r>
        <w:r w:rsidR="00854EF9">
          <w:rPr>
            <w:noProof/>
          </w:rPr>
          <w:fldChar w:fldCharType="end"/>
        </w:r>
      </w:hyperlink>
    </w:p>
    <w:p w14:paraId="717DA624" w14:textId="0EF0BF07"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44" w:history="1">
        <w:r w:rsidR="00854EF9" w:rsidRPr="00B14B0A">
          <w:rPr>
            <w:rStyle w:val="Lienhypertexte"/>
            <w:b/>
            <w:noProof/>
          </w:rPr>
          <w:t>2.1.41.3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_Toc87361144 \h </w:instrText>
        </w:r>
        <w:r w:rsidR="00854EF9">
          <w:rPr>
            <w:noProof/>
          </w:rPr>
        </w:r>
        <w:r w:rsidR="00854EF9">
          <w:rPr>
            <w:noProof/>
          </w:rPr>
          <w:fldChar w:fldCharType="separate"/>
        </w:r>
        <w:r w:rsidR="003F1FC2">
          <w:rPr>
            <w:noProof/>
          </w:rPr>
          <w:t>67</w:t>
        </w:r>
        <w:r w:rsidR="00854EF9">
          <w:rPr>
            <w:noProof/>
          </w:rPr>
          <w:fldChar w:fldCharType="end"/>
        </w:r>
      </w:hyperlink>
    </w:p>
    <w:p w14:paraId="7C5B9B73" w14:textId="69FDA334"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45" w:history="1">
        <w:r w:rsidR="00854EF9" w:rsidRPr="00B14B0A">
          <w:rPr>
            <w:rStyle w:val="Lienhypertexte"/>
            <w:b/>
            <w:noProof/>
          </w:rPr>
          <w:t>2.1.41.4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_Toc87361145 \h </w:instrText>
        </w:r>
        <w:r w:rsidR="00854EF9">
          <w:rPr>
            <w:noProof/>
          </w:rPr>
        </w:r>
        <w:r w:rsidR="00854EF9">
          <w:rPr>
            <w:noProof/>
          </w:rPr>
          <w:fldChar w:fldCharType="separate"/>
        </w:r>
        <w:r w:rsidR="003F1FC2">
          <w:rPr>
            <w:noProof/>
          </w:rPr>
          <w:t>69</w:t>
        </w:r>
        <w:r w:rsidR="00854EF9">
          <w:rPr>
            <w:noProof/>
          </w:rPr>
          <w:fldChar w:fldCharType="end"/>
        </w:r>
      </w:hyperlink>
    </w:p>
    <w:p w14:paraId="61678C07" w14:textId="4BAFB69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6" w:history="1">
        <w:r w:rsidR="00854EF9" w:rsidRPr="00B14B0A">
          <w:rPr>
            <w:rStyle w:val="Lienhypertexte"/>
            <w:rFonts w:cs="Arial"/>
            <w:noProof/>
            <w:lang w:val="en-US"/>
          </w:rPr>
          <w:t>2.1.42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7</w:t>
        </w:r>
        <w:r w:rsidR="00854EF9">
          <w:rPr>
            <w:noProof/>
          </w:rPr>
          <w:tab/>
        </w:r>
        <w:r w:rsidR="00854EF9">
          <w:rPr>
            <w:noProof/>
          </w:rPr>
          <w:fldChar w:fldCharType="begin"/>
        </w:r>
        <w:r w:rsidR="00854EF9">
          <w:rPr>
            <w:noProof/>
          </w:rPr>
          <w:instrText xml:space="preserve"> PAGEREF _Toc87361146 \h </w:instrText>
        </w:r>
        <w:r w:rsidR="00854EF9">
          <w:rPr>
            <w:noProof/>
          </w:rPr>
        </w:r>
        <w:r w:rsidR="00854EF9">
          <w:rPr>
            <w:noProof/>
          </w:rPr>
          <w:fldChar w:fldCharType="separate"/>
        </w:r>
        <w:r w:rsidR="003F1FC2">
          <w:rPr>
            <w:noProof/>
          </w:rPr>
          <w:t>71</w:t>
        </w:r>
        <w:r w:rsidR="00854EF9">
          <w:rPr>
            <w:noProof/>
          </w:rPr>
          <w:fldChar w:fldCharType="end"/>
        </w:r>
      </w:hyperlink>
    </w:p>
    <w:p w14:paraId="5C73CF1E" w14:textId="4AD185EC"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7" w:history="1">
        <w:r w:rsidR="00854EF9" w:rsidRPr="00B14B0A">
          <w:rPr>
            <w:rStyle w:val="Lienhypertexte"/>
            <w:rFonts w:cs="Arial"/>
            <w:noProof/>
          </w:rPr>
          <w:t>2.1.43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_Toc87361147 \h </w:instrText>
        </w:r>
        <w:r w:rsidR="00854EF9">
          <w:rPr>
            <w:noProof/>
          </w:rPr>
        </w:r>
        <w:r w:rsidR="00854EF9">
          <w:rPr>
            <w:noProof/>
          </w:rPr>
          <w:fldChar w:fldCharType="separate"/>
        </w:r>
        <w:r w:rsidR="003F1FC2">
          <w:rPr>
            <w:noProof/>
          </w:rPr>
          <w:t>72</w:t>
        </w:r>
        <w:r w:rsidR="00854EF9">
          <w:rPr>
            <w:noProof/>
          </w:rPr>
          <w:fldChar w:fldCharType="end"/>
        </w:r>
      </w:hyperlink>
    </w:p>
    <w:p w14:paraId="61DDA549" w14:textId="7FA65AE3"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8" w:history="1">
        <w:r w:rsidR="00854EF9" w:rsidRPr="00B14B0A">
          <w:rPr>
            <w:rStyle w:val="Lienhypertexte"/>
            <w:rFonts w:cs="Arial"/>
            <w:noProof/>
            <w:lang w:val="en-US"/>
          </w:rPr>
          <w:t>2.1.44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_Toc87361148 \h </w:instrText>
        </w:r>
        <w:r w:rsidR="00854EF9">
          <w:rPr>
            <w:noProof/>
          </w:rPr>
        </w:r>
        <w:r w:rsidR="00854EF9">
          <w:rPr>
            <w:noProof/>
          </w:rPr>
          <w:fldChar w:fldCharType="separate"/>
        </w:r>
        <w:r w:rsidR="003F1FC2">
          <w:rPr>
            <w:noProof/>
          </w:rPr>
          <w:t>72</w:t>
        </w:r>
        <w:r w:rsidR="00854EF9">
          <w:rPr>
            <w:noProof/>
          </w:rPr>
          <w:fldChar w:fldCharType="end"/>
        </w:r>
      </w:hyperlink>
    </w:p>
    <w:p w14:paraId="0F1AD73C" w14:textId="1A304CCE"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49" w:history="1">
        <w:r w:rsidR="00854EF9" w:rsidRPr="00B14B0A">
          <w:rPr>
            <w:rStyle w:val="Lienhypertexte"/>
            <w:rFonts w:cs="Arial"/>
            <w:noProof/>
          </w:rPr>
          <w:t>2.1.45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11 administrative information</w:t>
        </w:r>
        <w:r w:rsidR="00854EF9">
          <w:rPr>
            <w:noProof/>
          </w:rPr>
          <w:tab/>
        </w:r>
        <w:r w:rsidR="00854EF9">
          <w:rPr>
            <w:noProof/>
          </w:rPr>
          <w:fldChar w:fldCharType="begin"/>
        </w:r>
        <w:r w:rsidR="00854EF9">
          <w:rPr>
            <w:noProof/>
          </w:rPr>
          <w:instrText xml:space="preserve"> PAGEREF _Toc87361149 \h </w:instrText>
        </w:r>
        <w:r w:rsidR="00854EF9">
          <w:rPr>
            <w:noProof/>
          </w:rPr>
        </w:r>
        <w:r w:rsidR="00854EF9">
          <w:rPr>
            <w:noProof/>
          </w:rPr>
          <w:fldChar w:fldCharType="separate"/>
        </w:r>
        <w:r w:rsidR="003F1FC2">
          <w:rPr>
            <w:noProof/>
          </w:rPr>
          <w:t>73</w:t>
        </w:r>
        <w:r w:rsidR="00854EF9">
          <w:rPr>
            <w:noProof/>
          </w:rPr>
          <w:fldChar w:fldCharType="end"/>
        </w:r>
      </w:hyperlink>
    </w:p>
    <w:p w14:paraId="13BFD9FD" w14:textId="0F53054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0" w:history="1">
        <w:r w:rsidR="00854EF9" w:rsidRPr="00B14B0A">
          <w:rPr>
            <w:rStyle w:val="Lienhypertexte"/>
            <w:rFonts w:cs="Arial"/>
            <w:noProof/>
          </w:rPr>
          <w:t>2.1.46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11 composition</w:t>
        </w:r>
        <w:r w:rsidR="00854EF9">
          <w:rPr>
            <w:noProof/>
          </w:rPr>
          <w:tab/>
        </w:r>
        <w:r w:rsidR="00854EF9">
          <w:rPr>
            <w:noProof/>
          </w:rPr>
          <w:fldChar w:fldCharType="begin"/>
        </w:r>
        <w:r w:rsidR="00854EF9">
          <w:rPr>
            <w:noProof/>
          </w:rPr>
          <w:instrText xml:space="preserve"> PAGEREF _Toc87361150 \h </w:instrText>
        </w:r>
        <w:r w:rsidR="00854EF9">
          <w:rPr>
            <w:noProof/>
          </w:rPr>
        </w:r>
        <w:r w:rsidR="00854EF9">
          <w:rPr>
            <w:noProof/>
          </w:rPr>
          <w:fldChar w:fldCharType="separate"/>
        </w:r>
        <w:r w:rsidR="003F1FC2">
          <w:rPr>
            <w:noProof/>
          </w:rPr>
          <w:t>73</w:t>
        </w:r>
        <w:r w:rsidR="00854EF9">
          <w:rPr>
            <w:noProof/>
          </w:rPr>
          <w:fldChar w:fldCharType="end"/>
        </w:r>
      </w:hyperlink>
    </w:p>
    <w:p w14:paraId="421A736F" w14:textId="7AE7C91B"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1" w:history="1">
        <w:r w:rsidR="00854EF9" w:rsidRPr="00B14B0A">
          <w:rPr>
            <w:rStyle w:val="Lienhypertexte"/>
            <w:rFonts w:cs="Arial"/>
            <w:noProof/>
            <w:lang w:val="en-US"/>
          </w:rPr>
          <w:t>2.1.47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11</w:t>
        </w:r>
        <w:r w:rsidR="00854EF9">
          <w:rPr>
            <w:noProof/>
          </w:rPr>
          <w:tab/>
        </w:r>
        <w:r w:rsidR="00854EF9">
          <w:rPr>
            <w:noProof/>
          </w:rPr>
          <w:fldChar w:fldCharType="begin"/>
        </w:r>
        <w:r w:rsidR="00854EF9">
          <w:rPr>
            <w:noProof/>
          </w:rPr>
          <w:instrText xml:space="preserve"> PAGEREF _Toc87361151 \h </w:instrText>
        </w:r>
        <w:r w:rsidR="00854EF9">
          <w:rPr>
            <w:noProof/>
          </w:rPr>
        </w:r>
        <w:r w:rsidR="00854EF9">
          <w:rPr>
            <w:noProof/>
          </w:rPr>
          <w:fldChar w:fldCharType="separate"/>
        </w:r>
        <w:r w:rsidR="003F1FC2">
          <w:rPr>
            <w:noProof/>
          </w:rPr>
          <w:t>73</w:t>
        </w:r>
        <w:r w:rsidR="00854EF9">
          <w:rPr>
            <w:noProof/>
          </w:rPr>
          <w:fldChar w:fldCharType="end"/>
        </w:r>
      </w:hyperlink>
    </w:p>
    <w:p w14:paraId="0BCB4FD4" w14:textId="5A255A9D"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2" w:history="1">
        <w:r w:rsidR="00854EF9" w:rsidRPr="00B14B0A">
          <w:rPr>
            <w:rStyle w:val="Lienhypertexte"/>
            <w:rFonts w:cs="Arial"/>
            <w:noProof/>
            <w:lang w:val="en-US"/>
          </w:rPr>
          <w:t>2.1.48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11</w:t>
        </w:r>
        <w:r w:rsidR="00854EF9">
          <w:rPr>
            <w:noProof/>
          </w:rPr>
          <w:tab/>
        </w:r>
        <w:r w:rsidR="00854EF9">
          <w:rPr>
            <w:noProof/>
          </w:rPr>
          <w:fldChar w:fldCharType="begin"/>
        </w:r>
        <w:r w:rsidR="00854EF9">
          <w:rPr>
            <w:noProof/>
          </w:rPr>
          <w:instrText xml:space="preserve"> PAGEREF _Toc87361152 \h </w:instrText>
        </w:r>
        <w:r w:rsidR="00854EF9">
          <w:rPr>
            <w:noProof/>
          </w:rPr>
        </w:r>
        <w:r w:rsidR="00854EF9">
          <w:rPr>
            <w:noProof/>
          </w:rPr>
          <w:fldChar w:fldCharType="separate"/>
        </w:r>
        <w:r w:rsidR="003F1FC2">
          <w:rPr>
            <w:noProof/>
          </w:rPr>
          <w:t>74</w:t>
        </w:r>
        <w:r w:rsidR="00854EF9">
          <w:rPr>
            <w:noProof/>
          </w:rPr>
          <w:fldChar w:fldCharType="end"/>
        </w:r>
      </w:hyperlink>
    </w:p>
    <w:p w14:paraId="11C23E14" w14:textId="276F5AA9"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53" w:history="1">
        <w:r w:rsidR="00854EF9" w:rsidRPr="00B14B0A">
          <w:rPr>
            <w:rStyle w:val="Lienhypertexte"/>
            <w:b/>
            <w:noProof/>
          </w:rPr>
          <w:t>2.1.48.1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_Toc87361153 \h </w:instrText>
        </w:r>
        <w:r w:rsidR="00854EF9">
          <w:rPr>
            <w:noProof/>
          </w:rPr>
        </w:r>
        <w:r w:rsidR="00854EF9">
          <w:rPr>
            <w:noProof/>
          </w:rPr>
          <w:fldChar w:fldCharType="separate"/>
        </w:r>
        <w:r w:rsidR="003F1FC2">
          <w:rPr>
            <w:noProof/>
          </w:rPr>
          <w:t>74</w:t>
        </w:r>
        <w:r w:rsidR="00854EF9">
          <w:rPr>
            <w:noProof/>
          </w:rPr>
          <w:fldChar w:fldCharType="end"/>
        </w:r>
      </w:hyperlink>
    </w:p>
    <w:p w14:paraId="63D4325F" w14:textId="43C34588"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4" w:history="1">
        <w:r w:rsidR="00854EF9" w:rsidRPr="00B14B0A">
          <w:rPr>
            <w:rStyle w:val="Lienhypertexte"/>
            <w:rFonts w:cs="Arial"/>
            <w:noProof/>
            <w:lang w:val="en-US"/>
          </w:rPr>
          <w:t>2.1.49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11</w:t>
        </w:r>
        <w:r w:rsidR="00854EF9">
          <w:rPr>
            <w:noProof/>
          </w:rPr>
          <w:tab/>
        </w:r>
        <w:r w:rsidR="00854EF9">
          <w:rPr>
            <w:noProof/>
          </w:rPr>
          <w:fldChar w:fldCharType="begin"/>
        </w:r>
        <w:r w:rsidR="00854EF9">
          <w:rPr>
            <w:noProof/>
          </w:rPr>
          <w:instrText xml:space="preserve"> PAGEREF _Toc87361154 \h </w:instrText>
        </w:r>
        <w:r w:rsidR="00854EF9">
          <w:rPr>
            <w:noProof/>
          </w:rPr>
        </w:r>
        <w:r w:rsidR="00854EF9">
          <w:rPr>
            <w:noProof/>
          </w:rPr>
          <w:fldChar w:fldCharType="separate"/>
        </w:r>
        <w:r w:rsidR="003F1FC2">
          <w:rPr>
            <w:noProof/>
          </w:rPr>
          <w:t>76</w:t>
        </w:r>
        <w:r w:rsidR="00854EF9">
          <w:rPr>
            <w:noProof/>
          </w:rPr>
          <w:fldChar w:fldCharType="end"/>
        </w:r>
      </w:hyperlink>
    </w:p>
    <w:p w14:paraId="5E9D4DB0" w14:textId="0BA2CA70"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5" w:history="1">
        <w:r w:rsidR="00854EF9" w:rsidRPr="00B14B0A">
          <w:rPr>
            <w:rStyle w:val="Lienhypertexte"/>
            <w:rFonts w:cs="Arial"/>
            <w:noProof/>
          </w:rPr>
          <w:t>2.1.50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_Toc87361155 \h </w:instrText>
        </w:r>
        <w:r w:rsidR="00854EF9">
          <w:rPr>
            <w:noProof/>
          </w:rPr>
        </w:r>
        <w:r w:rsidR="00854EF9">
          <w:rPr>
            <w:noProof/>
          </w:rPr>
          <w:fldChar w:fldCharType="separate"/>
        </w:r>
        <w:r w:rsidR="003F1FC2">
          <w:rPr>
            <w:noProof/>
          </w:rPr>
          <w:t>77</w:t>
        </w:r>
        <w:r w:rsidR="00854EF9">
          <w:rPr>
            <w:noProof/>
          </w:rPr>
          <w:fldChar w:fldCharType="end"/>
        </w:r>
      </w:hyperlink>
    </w:p>
    <w:p w14:paraId="53BA3759" w14:textId="7197325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6" w:history="1">
        <w:r w:rsidR="00854EF9" w:rsidRPr="00B14B0A">
          <w:rPr>
            <w:rStyle w:val="Lienhypertexte"/>
            <w:rFonts w:cs="Arial"/>
            <w:noProof/>
          </w:rPr>
          <w:t>2.1.52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12 administrative information</w:t>
        </w:r>
        <w:r w:rsidR="00854EF9">
          <w:rPr>
            <w:noProof/>
          </w:rPr>
          <w:tab/>
        </w:r>
        <w:r w:rsidR="00854EF9">
          <w:rPr>
            <w:noProof/>
          </w:rPr>
          <w:fldChar w:fldCharType="begin"/>
        </w:r>
        <w:r w:rsidR="00854EF9">
          <w:rPr>
            <w:noProof/>
          </w:rPr>
          <w:instrText xml:space="preserve"> PAGEREF _Toc87361156 \h </w:instrText>
        </w:r>
        <w:r w:rsidR="00854EF9">
          <w:rPr>
            <w:noProof/>
          </w:rPr>
        </w:r>
        <w:r w:rsidR="00854EF9">
          <w:rPr>
            <w:noProof/>
          </w:rPr>
          <w:fldChar w:fldCharType="separate"/>
        </w:r>
        <w:r w:rsidR="003F1FC2">
          <w:rPr>
            <w:noProof/>
          </w:rPr>
          <w:t>77</w:t>
        </w:r>
        <w:r w:rsidR="00854EF9">
          <w:rPr>
            <w:noProof/>
          </w:rPr>
          <w:fldChar w:fldCharType="end"/>
        </w:r>
      </w:hyperlink>
    </w:p>
    <w:p w14:paraId="29EA2614" w14:textId="0FD1364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7" w:history="1">
        <w:r w:rsidR="00854EF9" w:rsidRPr="00B14B0A">
          <w:rPr>
            <w:rStyle w:val="Lienhypertexte"/>
            <w:rFonts w:cs="Arial"/>
            <w:noProof/>
          </w:rPr>
          <w:t>2.1.53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12 composition</w:t>
        </w:r>
        <w:r w:rsidR="00854EF9">
          <w:rPr>
            <w:noProof/>
          </w:rPr>
          <w:tab/>
        </w:r>
        <w:r w:rsidR="00854EF9">
          <w:rPr>
            <w:noProof/>
          </w:rPr>
          <w:fldChar w:fldCharType="begin"/>
        </w:r>
        <w:r w:rsidR="00854EF9">
          <w:rPr>
            <w:noProof/>
          </w:rPr>
          <w:instrText xml:space="preserve"> PAGEREF _Toc87361157 \h </w:instrText>
        </w:r>
        <w:r w:rsidR="00854EF9">
          <w:rPr>
            <w:noProof/>
          </w:rPr>
        </w:r>
        <w:r w:rsidR="00854EF9">
          <w:rPr>
            <w:noProof/>
          </w:rPr>
          <w:fldChar w:fldCharType="separate"/>
        </w:r>
        <w:r w:rsidR="003F1FC2">
          <w:rPr>
            <w:noProof/>
          </w:rPr>
          <w:t>78</w:t>
        </w:r>
        <w:r w:rsidR="00854EF9">
          <w:rPr>
            <w:noProof/>
          </w:rPr>
          <w:fldChar w:fldCharType="end"/>
        </w:r>
      </w:hyperlink>
    </w:p>
    <w:p w14:paraId="16C39174" w14:textId="1A10A87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8" w:history="1">
        <w:r w:rsidR="00854EF9" w:rsidRPr="00B14B0A">
          <w:rPr>
            <w:rStyle w:val="Lienhypertexte"/>
            <w:rFonts w:cs="Arial"/>
            <w:noProof/>
            <w:lang w:val="en-US"/>
          </w:rPr>
          <w:t>2.1.54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12</w:t>
        </w:r>
        <w:r w:rsidR="00854EF9">
          <w:rPr>
            <w:noProof/>
          </w:rPr>
          <w:tab/>
        </w:r>
        <w:r w:rsidR="00854EF9">
          <w:rPr>
            <w:noProof/>
          </w:rPr>
          <w:fldChar w:fldCharType="begin"/>
        </w:r>
        <w:r w:rsidR="00854EF9">
          <w:rPr>
            <w:noProof/>
          </w:rPr>
          <w:instrText xml:space="preserve"> PAGEREF _Toc87361158 \h </w:instrText>
        </w:r>
        <w:r w:rsidR="00854EF9">
          <w:rPr>
            <w:noProof/>
          </w:rPr>
        </w:r>
        <w:r w:rsidR="00854EF9">
          <w:rPr>
            <w:noProof/>
          </w:rPr>
          <w:fldChar w:fldCharType="separate"/>
        </w:r>
        <w:r w:rsidR="003F1FC2">
          <w:rPr>
            <w:noProof/>
          </w:rPr>
          <w:t>78</w:t>
        </w:r>
        <w:r w:rsidR="00854EF9">
          <w:rPr>
            <w:noProof/>
          </w:rPr>
          <w:fldChar w:fldCharType="end"/>
        </w:r>
      </w:hyperlink>
    </w:p>
    <w:p w14:paraId="67AFCDDA" w14:textId="1583DBDC"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59" w:history="1">
        <w:r w:rsidR="00854EF9" w:rsidRPr="00B14B0A">
          <w:rPr>
            <w:rStyle w:val="Lienhypertexte"/>
            <w:rFonts w:cs="Arial"/>
            <w:noProof/>
            <w:lang w:val="en-US"/>
          </w:rPr>
          <w:t>2.1.55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12</w:t>
        </w:r>
        <w:r w:rsidR="00854EF9">
          <w:rPr>
            <w:noProof/>
          </w:rPr>
          <w:tab/>
        </w:r>
        <w:r w:rsidR="00854EF9">
          <w:rPr>
            <w:noProof/>
          </w:rPr>
          <w:fldChar w:fldCharType="begin"/>
        </w:r>
        <w:r w:rsidR="00854EF9">
          <w:rPr>
            <w:noProof/>
          </w:rPr>
          <w:instrText xml:space="preserve"> PAGEREF _Toc87361159 \h </w:instrText>
        </w:r>
        <w:r w:rsidR="00854EF9">
          <w:rPr>
            <w:noProof/>
          </w:rPr>
        </w:r>
        <w:r w:rsidR="00854EF9">
          <w:rPr>
            <w:noProof/>
          </w:rPr>
          <w:fldChar w:fldCharType="separate"/>
        </w:r>
        <w:r w:rsidR="003F1FC2">
          <w:rPr>
            <w:noProof/>
          </w:rPr>
          <w:t>79</w:t>
        </w:r>
        <w:r w:rsidR="00854EF9">
          <w:rPr>
            <w:noProof/>
          </w:rPr>
          <w:fldChar w:fldCharType="end"/>
        </w:r>
      </w:hyperlink>
    </w:p>
    <w:p w14:paraId="5E7925AB" w14:textId="640157FD"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60" w:history="1">
        <w:r w:rsidR="00854EF9" w:rsidRPr="00B14B0A">
          <w:rPr>
            <w:rStyle w:val="Lienhypertexte"/>
            <w:b/>
            <w:noProof/>
          </w:rPr>
          <w:t>2.1.55.1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_Toc87361160 \h </w:instrText>
        </w:r>
        <w:r w:rsidR="00854EF9">
          <w:rPr>
            <w:noProof/>
          </w:rPr>
        </w:r>
        <w:r w:rsidR="00854EF9">
          <w:rPr>
            <w:noProof/>
          </w:rPr>
          <w:fldChar w:fldCharType="separate"/>
        </w:r>
        <w:r w:rsidR="003F1FC2">
          <w:rPr>
            <w:noProof/>
          </w:rPr>
          <w:t>79</w:t>
        </w:r>
        <w:r w:rsidR="00854EF9">
          <w:rPr>
            <w:noProof/>
          </w:rPr>
          <w:fldChar w:fldCharType="end"/>
        </w:r>
      </w:hyperlink>
    </w:p>
    <w:p w14:paraId="68A70C87" w14:textId="6F2EEA9C"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61" w:history="1">
        <w:r w:rsidR="00854EF9" w:rsidRPr="00B14B0A">
          <w:rPr>
            <w:rStyle w:val="Lienhypertexte"/>
            <w:rFonts w:cs="Arial"/>
            <w:noProof/>
            <w:lang w:val="en-US"/>
          </w:rPr>
          <w:t>2.1.56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12</w:t>
        </w:r>
        <w:r w:rsidR="00854EF9">
          <w:rPr>
            <w:noProof/>
          </w:rPr>
          <w:tab/>
        </w:r>
        <w:r w:rsidR="00854EF9">
          <w:rPr>
            <w:noProof/>
          </w:rPr>
          <w:fldChar w:fldCharType="begin"/>
        </w:r>
        <w:r w:rsidR="00854EF9">
          <w:rPr>
            <w:noProof/>
          </w:rPr>
          <w:instrText xml:space="preserve"> PAGEREF _Toc87361161 \h </w:instrText>
        </w:r>
        <w:r w:rsidR="00854EF9">
          <w:rPr>
            <w:noProof/>
          </w:rPr>
        </w:r>
        <w:r w:rsidR="00854EF9">
          <w:rPr>
            <w:noProof/>
          </w:rPr>
          <w:fldChar w:fldCharType="separate"/>
        </w:r>
        <w:r w:rsidR="003F1FC2">
          <w:rPr>
            <w:noProof/>
          </w:rPr>
          <w:t>80</w:t>
        </w:r>
        <w:r w:rsidR="00854EF9">
          <w:rPr>
            <w:noProof/>
          </w:rPr>
          <w:fldChar w:fldCharType="end"/>
        </w:r>
      </w:hyperlink>
    </w:p>
    <w:p w14:paraId="6B987719" w14:textId="54F9A69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62" w:history="1">
        <w:r w:rsidR="00854EF9" w:rsidRPr="00B14B0A">
          <w:rPr>
            <w:rStyle w:val="Lienhypertexte"/>
            <w:rFonts w:cs="Arial"/>
            <w:noProof/>
          </w:rPr>
          <w:t>2.1.57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_Toc87361162 \h </w:instrText>
        </w:r>
        <w:r w:rsidR="00854EF9">
          <w:rPr>
            <w:noProof/>
          </w:rPr>
        </w:r>
        <w:r w:rsidR="00854EF9">
          <w:rPr>
            <w:noProof/>
          </w:rPr>
          <w:fldChar w:fldCharType="separate"/>
        </w:r>
        <w:r w:rsidR="003F1FC2">
          <w:rPr>
            <w:noProof/>
          </w:rPr>
          <w:t>81</w:t>
        </w:r>
        <w:r w:rsidR="00854EF9">
          <w:rPr>
            <w:noProof/>
          </w:rPr>
          <w:fldChar w:fldCharType="end"/>
        </w:r>
      </w:hyperlink>
    </w:p>
    <w:p w14:paraId="531DF50A" w14:textId="264D54B1"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63" w:history="1">
        <w:r w:rsidR="00854EF9" w:rsidRPr="00B14B0A">
          <w:rPr>
            <w:rStyle w:val="Lienhypertexte"/>
            <w:rFonts w:cs="Arial"/>
            <w:noProof/>
            <w:lang w:val="en-US"/>
          </w:rPr>
          <w:t>2.1.58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_Toc87361163 \h </w:instrText>
        </w:r>
        <w:r w:rsidR="00854EF9">
          <w:rPr>
            <w:noProof/>
          </w:rPr>
        </w:r>
        <w:r w:rsidR="00854EF9">
          <w:rPr>
            <w:noProof/>
          </w:rPr>
          <w:fldChar w:fldCharType="separate"/>
        </w:r>
        <w:r w:rsidR="003F1FC2">
          <w:rPr>
            <w:noProof/>
          </w:rPr>
          <w:t>81</w:t>
        </w:r>
        <w:r w:rsidR="00854EF9">
          <w:rPr>
            <w:noProof/>
          </w:rPr>
          <w:fldChar w:fldCharType="end"/>
        </w:r>
      </w:hyperlink>
    </w:p>
    <w:p w14:paraId="3F4E5D52" w14:textId="1E64BF1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64" w:history="1">
        <w:r w:rsidR="00854EF9" w:rsidRPr="00B14B0A">
          <w:rPr>
            <w:rStyle w:val="Lienhypertexte"/>
            <w:rFonts w:cs="Arial"/>
            <w:noProof/>
          </w:rPr>
          <w:t>2.1.59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13 administrative information</w:t>
        </w:r>
        <w:r w:rsidR="00854EF9">
          <w:rPr>
            <w:noProof/>
          </w:rPr>
          <w:tab/>
        </w:r>
        <w:r w:rsidR="00854EF9">
          <w:rPr>
            <w:noProof/>
          </w:rPr>
          <w:fldChar w:fldCharType="begin"/>
        </w:r>
        <w:r w:rsidR="00854EF9">
          <w:rPr>
            <w:noProof/>
          </w:rPr>
          <w:instrText xml:space="preserve"> PAGEREF _Toc87361164 \h </w:instrText>
        </w:r>
        <w:r w:rsidR="00854EF9">
          <w:rPr>
            <w:noProof/>
          </w:rPr>
        </w:r>
        <w:r w:rsidR="00854EF9">
          <w:rPr>
            <w:noProof/>
          </w:rPr>
          <w:fldChar w:fldCharType="separate"/>
        </w:r>
        <w:r w:rsidR="003F1FC2">
          <w:rPr>
            <w:noProof/>
          </w:rPr>
          <w:t>82</w:t>
        </w:r>
        <w:r w:rsidR="00854EF9">
          <w:rPr>
            <w:noProof/>
          </w:rPr>
          <w:fldChar w:fldCharType="end"/>
        </w:r>
      </w:hyperlink>
    </w:p>
    <w:p w14:paraId="3C5EE0B7" w14:textId="7FBFA4C4"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65" w:history="1">
        <w:r w:rsidR="00854EF9" w:rsidRPr="00B14B0A">
          <w:rPr>
            <w:rStyle w:val="Lienhypertexte"/>
            <w:b/>
            <w:noProof/>
          </w:rPr>
          <w:t>2.1.59.1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Meta SPC identifier</w:t>
        </w:r>
        <w:r w:rsidR="00854EF9">
          <w:rPr>
            <w:noProof/>
          </w:rPr>
          <w:tab/>
        </w:r>
        <w:r w:rsidR="00854EF9">
          <w:rPr>
            <w:noProof/>
          </w:rPr>
          <w:fldChar w:fldCharType="begin"/>
        </w:r>
        <w:r w:rsidR="00854EF9">
          <w:rPr>
            <w:noProof/>
          </w:rPr>
          <w:instrText xml:space="preserve"> PAGEREF _Toc87361165 \h </w:instrText>
        </w:r>
        <w:r w:rsidR="00854EF9">
          <w:rPr>
            <w:noProof/>
          </w:rPr>
        </w:r>
        <w:r w:rsidR="00854EF9">
          <w:rPr>
            <w:noProof/>
          </w:rPr>
          <w:fldChar w:fldCharType="separate"/>
        </w:r>
        <w:r w:rsidR="003F1FC2">
          <w:rPr>
            <w:noProof/>
          </w:rPr>
          <w:t>82</w:t>
        </w:r>
        <w:r w:rsidR="00854EF9">
          <w:rPr>
            <w:noProof/>
          </w:rPr>
          <w:fldChar w:fldCharType="end"/>
        </w:r>
      </w:hyperlink>
    </w:p>
    <w:p w14:paraId="1EDFA2BA" w14:textId="60B55AC9"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66" w:history="1">
        <w:r w:rsidR="00854EF9" w:rsidRPr="00B14B0A">
          <w:rPr>
            <w:rStyle w:val="Lienhypertexte"/>
            <w:b/>
            <w:noProof/>
          </w:rPr>
          <w:t>2.1.59.2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Suffix to the authorisation number</w:t>
        </w:r>
        <w:r w:rsidR="00854EF9">
          <w:rPr>
            <w:noProof/>
          </w:rPr>
          <w:tab/>
        </w:r>
        <w:r w:rsidR="00854EF9">
          <w:rPr>
            <w:noProof/>
          </w:rPr>
          <w:fldChar w:fldCharType="begin"/>
        </w:r>
        <w:r w:rsidR="00854EF9">
          <w:rPr>
            <w:noProof/>
          </w:rPr>
          <w:instrText xml:space="preserve"> PAGEREF _Toc87361166 \h </w:instrText>
        </w:r>
        <w:r w:rsidR="00854EF9">
          <w:rPr>
            <w:noProof/>
          </w:rPr>
        </w:r>
        <w:r w:rsidR="00854EF9">
          <w:rPr>
            <w:noProof/>
          </w:rPr>
          <w:fldChar w:fldCharType="separate"/>
        </w:r>
        <w:r w:rsidR="003F1FC2">
          <w:rPr>
            <w:noProof/>
          </w:rPr>
          <w:t>82</w:t>
        </w:r>
        <w:r w:rsidR="00854EF9">
          <w:rPr>
            <w:noProof/>
          </w:rPr>
          <w:fldChar w:fldCharType="end"/>
        </w:r>
      </w:hyperlink>
    </w:p>
    <w:p w14:paraId="04726FAC" w14:textId="6A6FB0FA"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67" w:history="1">
        <w:r w:rsidR="00854EF9" w:rsidRPr="00B14B0A">
          <w:rPr>
            <w:rStyle w:val="Lienhypertexte"/>
            <w:b/>
            <w:noProof/>
          </w:rPr>
          <w:t>2.1.59.3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Product type(s)</w:t>
        </w:r>
        <w:r w:rsidR="00854EF9">
          <w:rPr>
            <w:noProof/>
          </w:rPr>
          <w:tab/>
        </w:r>
        <w:r w:rsidR="00854EF9">
          <w:rPr>
            <w:noProof/>
          </w:rPr>
          <w:fldChar w:fldCharType="begin"/>
        </w:r>
        <w:r w:rsidR="00854EF9">
          <w:rPr>
            <w:noProof/>
          </w:rPr>
          <w:instrText xml:space="preserve"> PAGEREF _Toc87361167 \h </w:instrText>
        </w:r>
        <w:r w:rsidR="00854EF9">
          <w:rPr>
            <w:noProof/>
          </w:rPr>
        </w:r>
        <w:r w:rsidR="00854EF9">
          <w:rPr>
            <w:noProof/>
          </w:rPr>
          <w:fldChar w:fldCharType="separate"/>
        </w:r>
        <w:r w:rsidR="003F1FC2">
          <w:rPr>
            <w:noProof/>
          </w:rPr>
          <w:t>82</w:t>
        </w:r>
        <w:r w:rsidR="00854EF9">
          <w:rPr>
            <w:noProof/>
          </w:rPr>
          <w:fldChar w:fldCharType="end"/>
        </w:r>
      </w:hyperlink>
    </w:p>
    <w:p w14:paraId="3532D281" w14:textId="5F15405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68" w:history="1">
        <w:r w:rsidR="00854EF9" w:rsidRPr="00B14B0A">
          <w:rPr>
            <w:rStyle w:val="Lienhypertexte"/>
            <w:rFonts w:cs="Arial"/>
            <w:noProof/>
          </w:rPr>
          <w:t>2.1.60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Meta SPC 13 composition</w:t>
        </w:r>
        <w:r w:rsidR="00854EF9">
          <w:rPr>
            <w:noProof/>
          </w:rPr>
          <w:tab/>
        </w:r>
        <w:r w:rsidR="00854EF9">
          <w:rPr>
            <w:noProof/>
          </w:rPr>
          <w:fldChar w:fldCharType="begin"/>
        </w:r>
        <w:r w:rsidR="00854EF9">
          <w:rPr>
            <w:noProof/>
          </w:rPr>
          <w:instrText xml:space="preserve"> PAGEREF _Toc87361168 \h </w:instrText>
        </w:r>
        <w:r w:rsidR="00854EF9">
          <w:rPr>
            <w:noProof/>
          </w:rPr>
        </w:r>
        <w:r w:rsidR="00854EF9">
          <w:rPr>
            <w:noProof/>
          </w:rPr>
          <w:fldChar w:fldCharType="separate"/>
        </w:r>
        <w:r w:rsidR="003F1FC2">
          <w:rPr>
            <w:noProof/>
          </w:rPr>
          <w:t>82</w:t>
        </w:r>
        <w:r w:rsidR="00854EF9">
          <w:rPr>
            <w:noProof/>
          </w:rPr>
          <w:fldChar w:fldCharType="end"/>
        </w:r>
      </w:hyperlink>
    </w:p>
    <w:p w14:paraId="79C28177" w14:textId="14148F0F"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69" w:history="1">
        <w:r w:rsidR="00854EF9" w:rsidRPr="00B14B0A">
          <w:rPr>
            <w:rStyle w:val="Lienhypertexte"/>
            <w:b/>
            <w:noProof/>
          </w:rPr>
          <w:t>2.1.60.1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Qualitative and quantitative information on the composition of the meta SPC 13</w:t>
        </w:r>
        <w:r w:rsidR="00854EF9">
          <w:rPr>
            <w:noProof/>
          </w:rPr>
          <w:tab/>
        </w:r>
        <w:r w:rsidR="00854EF9">
          <w:rPr>
            <w:noProof/>
          </w:rPr>
          <w:fldChar w:fldCharType="begin"/>
        </w:r>
        <w:r w:rsidR="00854EF9">
          <w:rPr>
            <w:noProof/>
          </w:rPr>
          <w:instrText xml:space="preserve"> PAGEREF _Toc87361169 \h </w:instrText>
        </w:r>
        <w:r w:rsidR="00854EF9">
          <w:rPr>
            <w:noProof/>
          </w:rPr>
        </w:r>
        <w:r w:rsidR="00854EF9">
          <w:rPr>
            <w:noProof/>
          </w:rPr>
          <w:fldChar w:fldCharType="separate"/>
        </w:r>
        <w:r w:rsidR="003F1FC2">
          <w:rPr>
            <w:noProof/>
          </w:rPr>
          <w:t>82</w:t>
        </w:r>
        <w:r w:rsidR="00854EF9">
          <w:rPr>
            <w:noProof/>
          </w:rPr>
          <w:fldChar w:fldCharType="end"/>
        </w:r>
      </w:hyperlink>
    </w:p>
    <w:p w14:paraId="35EDB3EF" w14:textId="0B854270"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0" w:history="1">
        <w:r w:rsidR="00854EF9" w:rsidRPr="00B14B0A">
          <w:rPr>
            <w:rStyle w:val="Lienhypertexte"/>
            <w:b/>
            <w:noProof/>
          </w:rPr>
          <w:t>2.1.60.2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Type(s) of formulation of the meta SPC 13</w:t>
        </w:r>
        <w:r w:rsidR="00854EF9">
          <w:rPr>
            <w:noProof/>
          </w:rPr>
          <w:tab/>
        </w:r>
        <w:r w:rsidR="00854EF9">
          <w:rPr>
            <w:noProof/>
          </w:rPr>
          <w:fldChar w:fldCharType="begin"/>
        </w:r>
        <w:r w:rsidR="00854EF9">
          <w:rPr>
            <w:noProof/>
          </w:rPr>
          <w:instrText xml:space="preserve"> PAGEREF _Toc87361170 \h </w:instrText>
        </w:r>
        <w:r w:rsidR="00854EF9">
          <w:rPr>
            <w:noProof/>
          </w:rPr>
        </w:r>
        <w:r w:rsidR="00854EF9">
          <w:rPr>
            <w:noProof/>
          </w:rPr>
          <w:fldChar w:fldCharType="separate"/>
        </w:r>
        <w:r w:rsidR="003F1FC2">
          <w:rPr>
            <w:noProof/>
          </w:rPr>
          <w:t>83</w:t>
        </w:r>
        <w:r w:rsidR="00854EF9">
          <w:rPr>
            <w:noProof/>
          </w:rPr>
          <w:fldChar w:fldCharType="end"/>
        </w:r>
      </w:hyperlink>
    </w:p>
    <w:p w14:paraId="7B1C9B7B" w14:textId="662AB424"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71" w:history="1">
        <w:r w:rsidR="00854EF9" w:rsidRPr="00B14B0A">
          <w:rPr>
            <w:rStyle w:val="Lienhypertexte"/>
            <w:rFonts w:cs="Arial"/>
            <w:noProof/>
            <w:lang w:val="en-US"/>
          </w:rPr>
          <w:t>2.1.61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Hazard and precautionary statements according to Regulation (EC) 1272/2008 of the meta SPC 13</w:t>
        </w:r>
        <w:r w:rsidR="00854EF9">
          <w:rPr>
            <w:noProof/>
          </w:rPr>
          <w:tab/>
        </w:r>
        <w:r w:rsidR="00854EF9">
          <w:rPr>
            <w:noProof/>
          </w:rPr>
          <w:fldChar w:fldCharType="begin"/>
        </w:r>
        <w:r w:rsidR="00854EF9">
          <w:rPr>
            <w:noProof/>
          </w:rPr>
          <w:instrText xml:space="preserve"> PAGEREF _Toc87361171 \h </w:instrText>
        </w:r>
        <w:r w:rsidR="00854EF9">
          <w:rPr>
            <w:noProof/>
          </w:rPr>
        </w:r>
        <w:r w:rsidR="00854EF9">
          <w:rPr>
            <w:noProof/>
          </w:rPr>
          <w:fldChar w:fldCharType="separate"/>
        </w:r>
        <w:r w:rsidR="003F1FC2">
          <w:rPr>
            <w:noProof/>
          </w:rPr>
          <w:t>83</w:t>
        </w:r>
        <w:r w:rsidR="00854EF9">
          <w:rPr>
            <w:noProof/>
          </w:rPr>
          <w:fldChar w:fldCharType="end"/>
        </w:r>
      </w:hyperlink>
    </w:p>
    <w:p w14:paraId="1385BEB7" w14:textId="398140D4"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72" w:history="1">
        <w:r w:rsidR="00854EF9" w:rsidRPr="00B14B0A">
          <w:rPr>
            <w:rStyle w:val="Lienhypertexte"/>
            <w:rFonts w:cs="Arial"/>
            <w:noProof/>
            <w:lang w:val="en-US"/>
          </w:rPr>
          <w:t>2.1.62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Authorised use(s) of the META SPC 13</w:t>
        </w:r>
        <w:r w:rsidR="00854EF9">
          <w:rPr>
            <w:noProof/>
          </w:rPr>
          <w:tab/>
        </w:r>
        <w:r w:rsidR="00854EF9">
          <w:rPr>
            <w:noProof/>
          </w:rPr>
          <w:fldChar w:fldCharType="begin"/>
        </w:r>
        <w:r w:rsidR="00854EF9">
          <w:rPr>
            <w:noProof/>
          </w:rPr>
          <w:instrText xml:space="preserve"> PAGEREF _Toc87361172 \h </w:instrText>
        </w:r>
        <w:r w:rsidR="00854EF9">
          <w:rPr>
            <w:noProof/>
          </w:rPr>
        </w:r>
        <w:r w:rsidR="00854EF9">
          <w:rPr>
            <w:noProof/>
          </w:rPr>
          <w:fldChar w:fldCharType="separate"/>
        </w:r>
        <w:r w:rsidR="003F1FC2">
          <w:rPr>
            <w:noProof/>
          </w:rPr>
          <w:t>84</w:t>
        </w:r>
        <w:r w:rsidR="00854EF9">
          <w:rPr>
            <w:noProof/>
          </w:rPr>
          <w:fldChar w:fldCharType="end"/>
        </w:r>
      </w:hyperlink>
    </w:p>
    <w:p w14:paraId="0CF21DDE" w14:textId="0422C4F7"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3" w:history="1">
        <w:r w:rsidR="00854EF9" w:rsidRPr="00B14B0A">
          <w:rPr>
            <w:rStyle w:val="Lienhypertexte"/>
            <w:b/>
            <w:noProof/>
          </w:rPr>
          <w:t>2.1.62.1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Use description</w:t>
        </w:r>
        <w:r w:rsidR="00854EF9">
          <w:rPr>
            <w:noProof/>
          </w:rPr>
          <w:tab/>
        </w:r>
        <w:r w:rsidR="00854EF9">
          <w:rPr>
            <w:noProof/>
          </w:rPr>
          <w:fldChar w:fldCharType="begin"/>
        </w:r>
        <w:r w:rsidR="00854EF9">
          <w:rPr>
            <w:noProof/>
          </w:rPr>
          <w:instrText xml:space="preserve"> PAGEREF _Toc87361173 \h </w:instrText>
        </w:r>
        <w:r w:rsidR="00854EF9">
          <w:rPr>
            <w:noProof/>
          </w:rPr>
        </w:r>
        <w:r w:rsidR="00854EF9">
          <w:rPr>
            <w:noProof/>
          </w:rPr>
          <w:fldChar w:fldCharType="separate"/>
        </w:r>
        <w:r w:rsidR="003F1FC2">
          <w:rPr>
            <w:noProof/>
          </w:rPr>
          <w:t>84</w:t>
        </w:r>
        <w:r w:rsidR="00854EF9">
          <w:rPr>
            <w:noProof/>
          </w:rPr>
          <w:fldChar w:fldCharType="end"/>
        </w:r>
      </w:hyperlink>
    </w:p>
    <w:p w14:paraId="3F7087A5" w14:textId="5193A4EE"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74" w:history="1">
        <w:r w:rsidR="00854EF9" w:rsidRPr="00B14B0A">
          <w:rPr>
            <w:rStyle w:val="Lienhypertexte"/>
            <w:rFonts w:cs="Arial"/>
            <w:noProof/>
            <w:lang w:val="en-US"/>
          </w:rPr>
          <w:t>2.1.63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General directions for use of the meta SPC 13</w:t>
        </w:r>
        <w:r w:rsidR="00854EF9">
          <w:rPr>
            <w:noProof/>
          </w:rPr>
          <w:tab/>
        </w:r>
        <w:r w:rsidR="00854EF9">
          <w:rPr>
            <w:noProof/>
          </w:rPr>
          <w:fldChar w:fldCharType="begin"/>
        </w:r>
        <w:r w:rsidR="00854EF9">
          <w:rPr>
            <w:noProof/>
          </w:rPr>
          <w:instrText xml:space="preserve"> PAGEREF _Toc87361174 \h </w:instrText>
        </w:r>
        <w:r w:rsidR="00854EF9">
          <w:rPr>
            <w:noProof/>
          </w:rPr>
        </w:r>
        <w:r w:rsidR="00854EF9">
          <w:rPr>
            <w:noProof/>
          </w:rPr>
          <w:fldChar w:fldCharType="separate"/>
        </w:r>
        <w:r w:rsidR="003F1FC2">
          <w:rPr>
            <w:noProof/>
          </w:rPr>
          <w:t>85</w:t>
        </w:r>
        <w:r w:rsidR="00854EF9">
          <w:rPr>
            <w:noProof/>
          </w:rPr>
          <w:fldChar w:fldCharType="end"/>
        </w:r>
      </w:hyperlink>
    </w:p>
    <w:p w14:paraId="5B108F0B" w14:textId="14210979"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5" w:history="1">
        <w:r w:rsidR="00854EF9" w:rsidRPr="00B14B0A">
          <w:rPr>
            <w:rStyle w:val="Lienhypertexte"/>
            <w:b/>
            <w:noProof/>
          </w:rPr>
          <w:t>2.1.63.1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Instructions for use</w:t>
        </w:r>
        <w:r w:rsidR="00854EF9">
          <w:rPr>
            <w:noProof/>
          </w:rPr>
          <w:tab/>
        </w:r>
        <w:r w:rsidR="00854EF9">
          <w:rPr>
            <w:noProof/>
          </w:rPr>
          <w:fldChar w:fldCharType="begin"/>
        </w:r>
        <w:r w:rsidR="00854EF9">
          <w:rPr>
            <w:noProof/>
          </w:rPr>
          <w:instrText xml:space="preserve"> PAGEREF _Toc87361175 \h </w:instrText>
        </w:r>
        <w:r w:rsidR="00854EF9">
          <w:rPr>
            <w:noProof/>
          </w:rPr>
        </w:r>
        <w:r w:rsidR="00854EF9">
          <w:rPr>
            <w:noProof/>
          </w:rPr>
          <w:fldChar w:fldCharType="separate"/>
        </w:r>
        <w:r w:rsidR="003F1FC2">
          <w:rPr>
            <w:noProof/>
          </w:rPr>
          <w:t>85</w:t>
        </w:r>
        <w:r w:rsidR="00854EF9">
          <w:rPr>
            <w:noProof/>
          </w:rPr>
          <w:fldChar w:fldCharType="end"/>
        </w:r>
      </w:hyperlink>
    </w:p>
    <w:p w14:paraId="254C8B7D" w14:textId="79A9B7AF"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6" w:history="1">
        <w:r w:rsidR="00854EF9" w:rsidRPr="00B14B0A">
          <w:rPr>
            <w:rStyle w:val="Lienhypertexte"/>
            <w:b/>
            <w:noProof/>
          </w:rPr>
          <w:t>2.1.63.2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Risk mitigation measures</w:t>
        </w:r>
        <w:r w:rsidR="00854EF9">
          <w:rPr>
            <w:noProof/>
          </w:rPr>
          <w:tab/>
        </w:r>
        <w:r w:rsidR="00854EF9">
          <w:rPr>
            <w:noProof/>
          </w:rPr>
          <w:fldChar w:fldCharType="begin"/>
        </w:r>
        <w:r w:rsidR="00854EF9">
          <w:rPr>
            <w:noProof/>
          </w:rPr>
          <w:instrText xml:space="preserve"> PAGEREF _Toc87361176 \h </w:instrText>
        </w:r>
        <w:r w:rsidR="00854EF9">
          <w:rPr>
            <w:noProof/>
          </w:rPr>
        </w:r>
        <w:r w:rsidR="00854EF9">
          <w:rPr>
            <w:noProof/>
          </w:rPr>
          <w:fldChar w:fldCharType="separate"/>
        </w:r>
        <w:r w:rsidR="003F1FC2">
          <w:rPr>
            <w:noProof/>
          </w:rPr>
          <w:t>85</w:t>
        </w:r>
        <w:r w:rsidR="00854EF9">
          <w:rPr>
            <w:noProof/>
          </w:rPr>
          <w:fldChar w:fldCharType="end"/>
        </w:r>
      </w:hyperlink>
    </w:p>
    <w:p w14:paraId="049002DF" w14:textId="48A61E30"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7" w:history="1">
        <w:r w:rsidR="00854EF9" w:rsidRPr="00B14B0A">
          <w:rPr>
            <w:rStyle w:val="Lienhypertexte"/>
            <w:b/>
            <w:noProof/>
          </w:rPr>
          <w:t>2.1.63.3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Particulars of likely direct or indirect effects, first aid instructions and emergency measures to protect the environment</w:t>
        </w:r>
        <w:r w:rsidR="00854EF9">
          <w:rPr>
            <w:noProof/>
          </w:rPr>
          <w:tab/>
        </w:r>
        <w:r w:rsidR="00854EF9">
          <w:rPr>
            <w:noProof/>
          </w:rPr>
          <w:fldChar w:fldCharType="begin"/>
        </w:r>
        <w:r w:rsidR="00854EF9">
          <w:rPr>
            <w:noProof/>
          </w:rPr>
          <w:instrText xml:space="preserve"> PAGEREF _Toc87361177 \h </w:instrText>
        </w:r>
        <w:r w:rsidR="00854EF9">
          <w:rPr>
            <w:noProof/>
          </w:rPr>
        </w:r>
        <w:r w:rsidR="00854EF9">
          <w:rPr>
            <w:noProof/>
          </w:rPr>
          <w:fldChar w:fldCharType="separate"/>
        </w:r>
        <w:r w:rsidR="003F1FC2">
          <w:rPr>
            <w:noProof/>
          </w:rPr>
          <w:t>86</w:t>
        </w:r>
        <w:r w:rsidR="00854EF9">
          <w:rPr>
            <w:noProof/>
          </w:rPr>
          <w:fldChar w:fldCharType="end"/>
        </w:r>
      </w:hyperlink>
    </w:p>
    <w:p w14:paraId="23CACAED" w14:textId="282DFA0C"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8" w:history="1">
        <w:r w:rsidR="00854EF9" w:rsidRPr="00B14B0A">
          <w:rPr>
            <w:rStyle w:val="Lienhypertexte"/>
            <w:b/>
            <w:noProof/>
          </w:rPr>
          <w:t>2.1.63.4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Instructions for safe disposal of the product and its packaging</w:t>
        </w:r>
        <w:r w:rsidR="00854EF9">
          <w:rPr>
            <w:noProof/>
          </w:rPr>
          <w:tab/>
        </w:r>
        <w:r w:rsidR="00854EF9">
          <w:rPr>
            <w:noProof/>
          </w:rPr>
          <w:fldChar w:fldCharType="begin"/>
        </w:r>
        <w:r w:rsidR="00854EF9">
          <w:rPr>
            <w:noProof/>
          </w:rPr>
          <w:instrText xml:space="preserve"> PAGEREF _Toc87361178 \h </w:instrText>
        </w:r>
        <w:r w:rsidR="00854EF9">
          <w:rPr>
            <w:noProof/>
          </w:rPr>
        </w:r>
        <w:r w:rsidR="00854EF9">
          <w:rPr>
            <w:noProof/>
          </w:rPr>
          <w:fldChar w:fldCharType="separate"/>
        </w:r>
        <w:r w:rsidR="003F1FC2">
          <w:rPr>
            <w:noProof/>
          </w:rPr>
          <w:t>86</w:t>
        </w:r>
        <w:r w:rsidR="00854EF9">
          <w:rPr>
            <w:noProof/>
          </w:rPr>
          <w:fldChar w:fldCharType="end"/>
        </w:r>
      </w:hyperlink>
    </w:p>
    <w:p w14:paraId="35D7BC7E" w14:textId="04FD85FB"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79" w:history="1">
        <w:r w:rsidR="00854EF9" w:rsidRPr="00B14B0A">
          <w:rPr>
            <w:rStyle w:val="Lienhypertexte"/>
            <w:b/>
            <w:noProof/>
          </w:rPr>
          <w:t>2.1.63.5</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Conditions of storage and shelf-life of the product under normal conditions of storage</w:t>
        </w:r>
        <w:r w:rsidR="00854EF9">
          <w:rPr>
            <w:noProof/>
          </w:rPr>
          <w:tab/>
        </w:r>
        <w:r w:rsidR="00854EF9">
          <w:rPr>
            <w:noProof/>
          </w:rPr>
          <w:fldChar w:fldCharType="begin"/>
        </w:r>
        <w:r w:rsidR="00854EF9">
          <w:rPr>
            <w:noProof/>
          </w:rPr>
          <w:instrText xml:space="preserve"> PAGEREF _Toc87361179 \h </w:instrText>
        </w:r>
        <w:r w:rsidR="00854EF9">
          <w:rPr>
            <w:noProof/>
          </w:rPr>
        </w:r>
        <w:r w:rsidR="00854EF9">
          <w:rPr>
            <w:noProof/>
          </w:rPr>
          <w:fldChar w:fldCharType="separate"/>
        </w:r>
        <w:r w:rsidR="003F1FC2">
          <w:rPr>
            <w:noProof/>
          </w:rPr>
          <w:t>86</w:t>
        </w:r>
        <w:r w:rsidR="00854EF9">
          <w:rPr>
            <w:noProof/>
          </w:rPr>
          <w:fldChar w:fldCharType="end"/>
        </w:r>
      </w:hyperlink>
    </w:p>
    <w:p w14:paraId="3066F1CF" w14:textId="3A80A4D4"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0" w:history="1">
        <w:r w:rsidR="00854EF9" w:rsidRPr="00B14B0A">
          <w:rPr>
            <w:rStyle w:val="Lienhypertexte"/>
            <w:rFonts w:cs="Arial"/>
            <w:noProof/>
          </w:rPr>
          <w:t>2.1.64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Other information</w:t>
        </w:r>
        <w:r w:rsidR="00854EF9">
          <w:rPr>
            <w:noProof/>
          </w:rPr>
          <w:tab/>
        </w:r>
        <w:r w:rsidR="00854EF9">
          <w:rPr>
            <w:noProof/>
          </w:rPr>
          <w:fldChar w:fldCharType="begin"/>
        </w:r>
        <w:r w:rsidR="00854EF9">
          <w:rPr>
            <w:noProof/>
          </w:rPr>
          <w:instrText xml:space="preserve"> PAGEREF _Toc87361180 \h </w:instrText>
        </w:r>
        <w:r w:rsidR="00854EF9">
          <w:rPr>
            <w:noProof/>
          </w:rPr>
        </w:r>
        <w:r w:rsidR="00854EF9">
          <w:rPr>
            <w:noProof/>
          </w:rPr>
          <w:fldChar w:fldCharType="separate"/>
        </w:r>
        <w:r w:rsidR="003F1FC2">
          <w:rPr>
            <w:noProof/>
          </w:rPr>
          <w:t>86</w:t>
        </w:r>
        <w:r w:rsidR="00854EF9">
          <w:rPr>
            <w:noProof/>
          </w:rPr>
          <w:fldChar w:fldCharType="end"/>
        </w:r>
      </w:hyperlink>
    </w:p>
    <w:p w14:paraId="78576956" w14:textId="2AB7CF1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1" w:history="1">
        <w:r w:rsidR="00854EF9" w:rsidRPr="00B14B0A">
          <w:rPr>
            <w:rStyle w:val="Lienhypertexte"/>
            <w:rFonts w:cs="Arial"/>
            <w:noProof/>
            <w:lang w:val="en-US"/>
          </w:rPr>
          <w:t>2.1.65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val="en-US"/>
          </w:rPr>
          <w:t>Trade name(s), authorisation number and specific composition of each individual product</w:t>
        </w:r>
        <w:r w:rsidR="00854EF9">
          <w:rPr>
            <w:noProof/>
          </w:rPr>
          <w:tab/>
        </w:r>
        <w:r w:rsidR="00854EF9">
          <w:rPr>
            <w:noProof/>
          </w:rPr>
          <w:fldChar w:fldCharType="begin"/>
        </w:r>
        <w:r w:rsidR="00854EF9">
          <w:rPr>
            <w:noProof/>
          </w:rPr>
          <w:instrText xml:space="preserve"> PAGEREF _Toc87361181 \h </w:instrText>
        </w:r>
        <w:r w:rsidR="00854EF9">
          <w:rPr>
            <w:noProof/>
          </w:rPr>
        </w:r>
        <w:r w:rsidR="00854EF9">
          <w:rPr>
            <w:noProof/>
          </w:rPr>
          <w:fldChar w:fldCharType="separate"/>
        </w:r>
        <w:r w:rsidR="003F1FC2">
          <w:rPr>
            <w:noProof/>
          </w:rPr>
          <w:t>86</w:t>
        </w:r>
        <w:r w:rsidR="00854EF9">
          <w:rPr>
            <w:noProof/>
          </w:rPr>
          <w:fldChar w:fldCharType="end"/>
        </w:r>
      </w:hyperlink>
    </w:p>
    <w:p w14:paraId="4C7111F6" w14:textId="1EE0928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2" w:history="1">
        <w:r w:rsidR="00854EF9" w:rsidRPr="00B14B0A">
          <w:rPr>
            <w:rStyle w:val="Lienhypertexte"/>
            <w:rFonts w:eastAsia="Calibri" w:cs="Arial"/>
            <w:noProof/>
          </w:rPr>
          <w:t>2.1.66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Packaging of the biocidal product</w:t>
        </w:r>
        <w:r w:rsidR="00854EF9">
          <w:rPr>
            <w:noProof/>
          </w:rPr>
          <w:tab/>
        </w:r>
        <w:r w:rsidR="00854EF9">
          <w:rPr>
            <w:noProof/>
          </w:rPr>
          <w:fldChar w:fldCharType="begin"/>
        </w:r>
        <w:r w:rsidR="00854EF9">
          <w:rPr>
            <w:noProof/>
          </w:rPr>
          <w:instrText xml:space="preserve"> PAGEREF _Toc87361182 \h </w:instrText>
        </w:r>
        <w:r w:rsidR="00854EF9">
          <w:rPr>
            <w:noProof/>
          </w:rPr>
        </w:r>
        <w:r w:rsidR="00854EF9">
          <w:rPr>
            <w:noProof/>
          </w:rPr>
          <w:fldChar w:fldCharType="separate"/>
        </w:r>
        <w:r w:rsidR="003F1FC2">
          <w:rPr>
            <w:noProof/>
          </w:rPr>
          <w:t>87</w:t>
        </w:r>
        <w:r w:rsidR="00854EF9">
          <w:rPr>
            <w:noProof/>
          </w:rPr>
          <w:fldChar w:fldCharType="end"/>
        </w:r>
      </w:hyperlink>
    </w:p>
    <w:p w14:paraId="28CADED0" w14:textId="5F20B41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3" w:history="1">
        <w:r w:rsidR="00854EF9" w:rsidRPr="00B14B0A">
          <w:rPr>
            <w:rStyle w:val="Lienhypertexte"/>
            <w:rFonts w:cs="Arial"/>
            <w:noProof/>
          </w:rPr>
          <w:t>2.1.67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lang w:eastAsia="en-US"/>
          </w:rPr>
          <w:t>Documentation</w:t>
        </w:r>
        <w:r w:rsidR="00854EF9">
          <w:rPr>
            <w:noProof/>
          </w:rPr>
          <w:tab/>
        </w:r>
        <w:r w:rsidR="00854EF9">
          <w:rPr>
            <w:noProof/>
          </w:rPr>
          <w:fldChar w:fldCharType="begin"/>
        </w:r>
        <w:r w:rsidR="00854EF9">
          <w:rPr>
            <w:noProof/>
          </w:rPr>
          <w:instrText xml:space="preserve"> PAGEREF _Toc87361183 \h </w:instrText>
        </w:r>
        <w:r w:rsidR="00854EF9">
          <w:rPr>
            <w:noProof/>
          </w:rPr>
        </w:r>
        <w:r w:rsidR="00854EF9">
          <w:rPr>
            <w:noProof/>
          </w:rPr>
          <w:fldChar w:fldCharType="separate"/>
        </w:r>
        <w:r w:rsidR="003F1FC2">
          <w:rPr>
            <w:noProof/>
          </w:rPr>
          <w:t>89</w:t>
        </w:r>
        <w:r w:rsidR="00854EF9">
          <w:rPr>
            <w:noProof/>
          </w:rPr>
          <w:fldChar w:fldCharType="end"/>
        </w:r>
      </w:hyperlink>
    </w:p>
    <w:p w14:paraId="09D2A03E" w14:textId="5AE10DE0"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84" w:history="1">
        <w:r w:rsidR="00854EF9" w:rsidRPr="00B14B0A">
          <w:rPr>
            <w:rStyle w:val="Lienhypertexte"/>
            <w:rFonts w:cs="Times New Roman"/>
            <w:b/>
            <w:iCs/>
            <w:noProof/>
            <w:lang w:eastAsia="en-US"/>
          </w:rPr>
          <w:t>2.1.67.1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Data submitted in relation to product application</w:t>
        </w:r>
        <w:r w:rsidR="00854EF9">
          <w:rPr>
            <w:noProof/>
          </w:rPr>
          <w:tab/>
        </w:r>
        <w:r w:rsidR="00854EF9">
          <w:rPr>
            <w:noProof/>
          </w:rPr>
          <w:fldChar w:fldCharType="begin"/>
        </w:r>
        <w:r w:rsidR="00854EF9">
          <w:rPr>
            <w:noProof/>
          </w:rPr>
          <w:instrText xml:space="preserve"> PAGEREF _Toc87361184 \h </w:instrText>
        </w:r>
        <w:r w:rsidR="00854EF9">
          <w:rPr>
            <w:noProof/>
          </w:rPr>
        </w:r>
        <w:r w:rsidR="00854EF9">
          <w:rPr>
            <w:noProof/>
          </w:rPr>
          <w:fldChar w:fldCharType="separate"/>
        </w:r>
        <w:r w:rsidR="003F1FC2">
          <w:rPr>
            <w:noProof/>
          </w:rPr>
          <w:t>89</w:t>
        </w:r>
        <w:r w:rsidR="00854EF9">
          <w:rPr>
            <w:noProof/>
          </w:rPr>
          <w:fldChar w:fldCharType="end"/>
        </w:r>
      </w:hyperlink>
    </w:p>
    <w:p w14:paraId="705A135B" w14:textId="4943E886" w:rsidR="00854EF9" w:rsidRDefault="00E70520">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87361185" w:history="1">
        <w:r w:rsidR="00854EF9" w:rsidRPr="00B14B0A">
          <w:rPr>
            <w:rStyle w:val="Lienhypertexte"/>
            <w:rFonts w:cs="Times New Roman"/>
            <w:b/>
            <w:iCs/>
            <w:noProof/>
            <w:lang w:eastAsia="en-US"/>
          </w:rPr>
          <w:t>2.1.67.2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Access to documentation</w:t>
        </w:r>
        <w:r w:rsidR="00854EF9">
          <w:rPr>
            <w:noProof/>
          </w:rPr>
          <w:tab/>
        </w:r>
        <w:r w:rsidR="00854EF9">
          <w:rPr>
            <w:noProof/>
          </w:rPr>
          <w:fldChar w:fldCharType="begin"/>
        </w:r>
        <w:r w:rsidR="00854EF9">
          <w:rPr>
            <w:noProof/>
          </w:rPr>
          <w:instrText xml:space="preserve"> PAGEREF _Toc87361185 \h </w:instrText>
        </w:r>
        <w:r w:rsidR="00854EF9">
          <w:rPr>
            <w:noProof/>
          </w:rPr>
        </w:r>
        <w:r w:rsidR="00854EF9">
          <w:rPr>
            <w:noProof/>
          </w:rPr>
          <w:fldChar w:fldCharType="separate"/>
        </w:r>
        <w:r w:rsidR="003F1FC2">
          <w:rPr>
            <w:noProof/>
          </w:rPr>
          <w:t>89</w:t>
        </w:r>
        <w:r w:rsidR="00854EF9">
          <w:rPr>
            <w:noProof/>
          </w:rPr>
          <w:fldChar w:fldCharType="end"/>
        </w:r>
      </w:hyperlink>
    </w:p>
    <w:p w14:paraId="4AA58A09" w14:textId="4C04CE9A" w:rsidR="00854EF9" w:rsidRDefault="00E7052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7361186" w:history="1">
        <w:r w:rsidR="00854EF9" w:rsidRPr="00B14B0A">
          <w:rPr>
            <w:rStyle w:val="Lienhypertexte"/>
            <w:noProof/>
            <w:lang w:val="de-DE"/>
          </w:rPr>
          <w:t>2.2</w:t>
        </w:r>
        <w:r w:rsidR="00854EF9">
          <w:rPr>
            <w:rFonts w:asciiTheme="minorHAnsi" w:eastAsiaTheme="minorEastAsia" w:hAnsiTheme="minorHAnsi" w:cstheme="minorBidi"/>
            <w:smallCaps w:val="0"/>
            <w:noProof/>
            <w:sz w:val="22"/>
            <w:szCs w:val="22"/>
            <w:lang w:val="fr-FR" w:eastAsia="fr-FR"/>
          </w:rPr>
          <w:tab/>
        </w:r>
        <w:r w:rsidR="00854EF9" w:rsidRPr="00B14B0A">
          <w:rPr>
            <w:rStyle w:val="Lienhypertexte"/>
            <w:noProof/>
          </w:rPr>
          <w:t>Assessment of the biocidal product family</w:t>
        </w:r>
        <w:r w:rsidR="00854EF9">
          <w:rPr>
            <w:noProof/>
          </w:rPr>
          <w:tab/>
        </w:r>
        <w:r w:rsidR="00854EF9">
          <w:rPr>
            <w:noProof/>
          </w:rPr>
          <w:fldChar w:fldCharType="begin"/>
        </w:r>
        <w:r w:rsidR="00854EF9">
          <w:rPr>
            <w:noProof/>
          </w:rPr>
          <w:instrText xml:space="preserve"> PAGEREF _Toc87361186 \h </w:instrText>
        </w:r>
        <w:r w:rsidR="00854EF9">
          <w:rPr>
            <w:noProof/>
          </w:rPr>
        </w:r>
        <w:r w:rsidR="00854EF9">
          <w:rPr>
            <w:noProof/>
          </w:rPr>
          <w:fldChar w:fldCharType="separate"/>
        </w:r>
        <w:r w:rsidR="003F1FC2">
          <w:rPr>
            <w:noProof/>
          </w:rPr>
          <w:t>89</w:t>
        </w:r>
        <w:r w:rsidR="00854EF9">
          <w:rPr>
            <w:noProof/>
          </w:rPr>
          <w:fldChar w:fldCharType="end"/>
        </w:r>
      </w:hyperlink>
    </w:p>
    <w:p w14:paraId="4BAD5E66" w14:textId="2C481146"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7" w:history="1">
        <w:r w:rsidR="00854EF9" w:rsidRPr="00B14B0A">
          <w:rPr>
            <w:rStyle w:val="Lienhypertexte"/>
            <w:rFonts w:cs="Arial"/>
            <w:noProof/>
          </w:rPr>
          <w:t>2.2.1</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Intended use(s) as applied for by the applicant</w:t>
        </w:r>
        <w:r w:rsidR="00854EF9">
          <w:rPr>
            <w:noProof/>
          </w:rPr>
          <w:tab/>
        </w:r>
        <w:r w:rsidR="00854EF9">
          <w:rPr>
            <w:noProof/>
          </w:rPr>
          <w:fldChar w:fldCharType="begin"/>
        </w:r>
        <w:r w:rsidR="00854EF9">
          <w:rPr>
            <w:noProof/>
          </w:rPr>
          <w:instrText xml:space="preserve"> PAGEREF _Toc87361187 \h </w:instrText>
        </w:r>
        <w:r w:rsidR="00854EF9">
          <w:rPr>
            <w:noProof/>
          </w:rPr>
        </w:r>
        <w:r w:rsidR="00854EF9">
          <w:rPr>
            <w:noProof/>
          </w:rPr>
          <w:fldChar w:fldCharType="separate"/>
        </w:r>
        <w:r w:rsidR="003F1FC2">
          <w:rPr>
            <w:noProof/>
          </w:rPr>
          <w:t>89</w:t>
        </w:r>
        <w:r w:rsidR="00854EF9">
          <w:rPr>
            <w:noProof/>
          </w:rPr>
          <w:fldChar w:fldCharType="end"/>
        </w:r>
      </w:hyperlink>
    </w:p>
    <w:p w14:paraId="550B54CE" w14:textId="1392F2D8"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8" w:history="1">
        <w:r w:rsidR="00854EF9" w:rsidRPr="00B14B0A">
          <w:rPr>
            <w:rStyle w:val="Lienhypertexte"/>
            <w:rFonts w:eastAsia="Calibri" w:cs="Arial"/>
            <w:noProof/>
            <w:lang w:eastAsia="sv-SE"/>
          </w:rPr>
          <w:t>2.2.2</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Physical, chemical and technical properties</w:t>
        </w:r>
        <w:r w:rsidR="00854EF9">
          <w:rPr>
            <w:noProof/>
          </w:rPr>
          <w:tab/>
        </w:r>
        <w:r w:rsidR="00854EF9">
          <w:rPr>
            <w:noProof/>
          </w:rPr>
          <w:fldChar w:fldCharType="begin"/>
        </w:r>
        <w:r w:rsidR="00854EF9">
          <w:rPr>
            <w:noProof/>
          </w:rPr>
          <w:instrText xml:space="preserve"> PAGEREF _Toc87361188 \h </w:instrText>
        </w:r>
        <w:r w:rsidR="00854EF9">
          <w:rPr>
            <w:noProof/>
          </w:rPr>
        </w:r>
        <w:r w:rsidR="00854EF9">
          <w:rPr>
            <w:noProof/>
          </w:rPr>
          <w:fldChar w:fldCharType="separate"/>
        </w:r>
        <w:r w:rsidR="003F1FC2">
          <w:rPr>
            <w:noProof/>
          </w:rPr>
          <w:t>105</w:t>
        </w:r>
        <w:r w:rsidR="00854EF9">
          <w:rPr>
            <w:noProof/>
          </w:rPr>
          <w:fldChar w:fldCharType="end"/>
        </w:r>
      </w:hyperlink>
    </w:p>
    <w:p w14:paraId="2EC1564D" w14:textId="0B1180D5"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89" w:history="1">
        <w:r w:rsidR="00854EF9" w:rsidRPr="00B14B0A">
          <w:rPr>
            <w:rStyle w:val="Lienhypertexte"/>
            <w:rFonts w:eastAsia="Calibri" w:cs="Arial"/>
            <w:noProof/>
            <w:lang w:eastAsia="en-US"/>
          </w:rPr>
          <w:t>2.2.3</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Physical hazards and respective characteristics</w:t>
        </w:r>
        <w:r w:rsidR="00854EF9">
          <w:rPr>
            <w:noProof/>
          </w:rPr>
          <w:tab/>
        </w:r>
        <w:r w:rsidR="00854EF9">
          <w:rPr>
            <w:noProof/>
          </w:rPr>
          <w:fldChar w:fldCharType="begin"/>
        </w:r>
        <w:r w:rsidR="00854EF9">
          <w:rPr>
            <w:noProof/>
          </w:rPr>
          <w:instrText xml:space="preserve"> PAGEREF _Toc87361189 \h </w:instrText>
        </w:r>
        <w:r w:rsidR="00854EF9">
          <w:rPr>
            <w:noProof/>
          </w:rPr>
        </w:r>
        <w:r w:rsidR="00854EF9">
          <w:rPr>
            <w:noProof/>
          </w:rPr>
          <w:fldChar w:fldCharType="separate"/>
        </w:r>
        <w:r w:rsidR="003F1FC2">
          <w:rPr>
            <w:noProof/>
          </w:rPr>
          <w:t>183</w:t>
        </w:r>
        <w:r w:rsidR="00854EF9">
          <w:rPr>
            <w:noProof/>
          </w:rPr>
          <w:fldChar w:fldCharType="end"/>
        </w:r>
      </w:hyperlink>
    </w:p>
    <w:p w14:paraId="4A189E4A" w14:textId="1D2B257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90" w:history="1">
        <w:r w:rsidR="00854EF9" w:rsidRPr="00B14B0A">
          <w:rPr>
            <w:rStyle w:val="Lienhypertexte"/>
            <w:rFonts w:cs="Arial"/>
            <w:noProof/>
          </w:rPr>
          <w:t>2.2.4</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Methods for detection and identification</w:t>
        </w:r>
        <w:r w:rsidR="00854EF9">
          <w:rPr>
            <w:noProof/>
          </w:rPr>
          <w:tab/>
        </w:r>
        <w:r w:rsidR="00854EF9">
          <w:rPr>
            <w:noProof/>
          </w:rPr>
          <w:fldChar w:fldCharType="begin"/>
        </w:r>
        <w:r w:rsidR="00854EF9">
          <w:rPr>
            <w:noProof/>
          </w:rPr>
          <w:instrText xml:space="preserve"> PAGEREF _Toc87361190 \h </w:instrText>
        </w:r>
        <w:r w:rsidR="00854EF9">
          <w:rPr>
            <w:noProof/>
          </w:rPr>
        </w:r>
        <w:r w:rsidR="00854EF9">
          <w:rPr>
            <w:noProof/>
          </w:rPr>
          <w:fldChar w:fldCharType="separate"/>
        </w:r>
        <w:r w:rsidR="003F1FC2">
          <w:rPr>
            <w:noProof/>
          </w:rPr>
          <w:t>191</w:t>
        </w:r>
        <w:r w:rsidR="00854EF9">
          <w:rPr>
            <w:noProof/>
          </w:rPr>
          <w:fldChar w:fldCharType="end"/>
        </w:r>
      </w:hyperlink>
    </w:p>
    <w:p w14:paraId="2D7D6050" w14:textId="53285634"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191" w:history="1">
        <w:r w:rsidR="00854EF9" w:rsidRPr="00B14B0A">
          <w:rPr>
            <w:rStyle w:val="Lienhypertexte"/>
            <w:rFonts w:cs="Arial"/>
            <w:noProof/>
          </w:rPr>
          <w:t>2.2.5</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Efficacy against target organisms</w:t>
        </w:r>
        <w:r w:rsidR="00854EF9">
          <w:rPr>
            <w:noProof/>
          </w:rPr>
          <w:tab/>
        </w:r>
        <w:r w:rsidR="00854EF9">
          <w:rPr>
            <w:noProof/>
          </w:rPr>
          <w:fldChar w:fldCharType="begin"/>
        </w:r>
        <w:r w:rsidR="00854EF9">
          <w:rPr>
            <w:noProof/>
          </w:rPr>
          <w:instrText xml:space="preserve"> PAGEREF _Toc87361191 \h </w:instrText>
        </w:r>
        <w:r w:rsidR="00854EF9">
          <w:rPr>
            <w:noProof/>
          </w:rPr>
        </w:r>
        <w:r w:rsidR="00854EF9">
          <w:rPr>
            <w:noProof/>
          </w:rPr>
          <w:fldChar w:fldCharType="separate"/>
        </w:r>
        <w:r w:rsidR="003F1FC2">
          <w:rPr>
            <w:noProof/>
          </w:rPr>
          <w:t>213</w:t>
        </w:r>
        <w:r w:rsidR="00854EF9">
          <w:rPr>
            <w:noProof/>
          </w:rPr>
          <w:fldChar w:fldCharType="end"/>
        </w:r>
      </w:hyperlink>
    </w:p>
    <w:p w14:paraId="3DE4B853" w14:textId="138CB353"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2" w:history="1">
        <w:r w:rsidR="00854EF9" w:rsidRPr="00B14B0A">
          <w:rPr>
            <w:rStyle w:val="Lienhypertexte"/>
            <w:rFonts w:cs="Times New Roman"/>
            <w:b/>
            <w:iCs/>
            <w:noProof/>
            <w:lang w:eastAsia="en-US"/>
          </w:rPr>
          <w:t>2.2.5.1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Function and field of use</w:t>
        </w:r>
        <w:r w:rsidR="00854EF9">
          <w:rPr>
            <w:noProof/>
          </w:rPr>
          <w:tab/>
        </w:r>
        <w:r w:rsidR="00854EF9">
          <w:rPr>
            <w:noProof/>
          </w:rPr>
          <w:fldChar w:fldCharType="begin"/>
        </w:r>
        <w:r w:rsidR="00854EF9">
          <w:rPr>
            <w:noProof/>
          </w:rPr>
          <w:instrText xml:space="preserve"> PAGEREF _Toc87361192 \h </w:instrText>
        </w:r>
        <w:r w:rsidR="00854EF9">
          <w:rPr>
            <w:noProof/>
          </w:rPr>
        </w:r>
        <w:r w:rsidR="00854EF9">
          <w:rPr>
            <w:noProof/>
          </w:rPr>
          <w:fldChar w:fldCharType="separate"/>
        </w:r>
        <w:r w:rsidR="003F1FC2">
          <w:rPr>
            <w:noProof/>
          </w:rPr>
          <w:t>213</w:t>
        </w:r>
        <w:r w:rsidR="00854EF9">
          <w:rPr>
            <w:noProof/>
          </w:rPr>
          <w:fldChar w:fldCharType="end"/>
        </w:r>
      </w:hyperlink>
    </w:p>
    <w:p w14:paraId="0A802B23" w14:textId="53C5EA5F"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3" w:history="1">
        <w:r w:rsidR="00854EF9" w:rsidRPr="00B14B0A">
          <w:rPr>
            <w:rStyle w:val="Lienhypertexte"/>
            <w:rFonts w:cs="Times New Roman"/>
            <w:b/>
            <w:iCs/>
            <w:noProof/>
            <w:lang w:eastAsia="en-US"/>
          </w:rPr>
          <w:t>2.2.5.2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Organisms to be controlled and products, organisms or objects to be protected</w:t>
        </w:r>
        <w:r w:rsidR="00854EF9">
          <w:rPr>
            <w:noProof/>
          </w:rPr>
          <w:tab/>
        </w:r>
        <w:r w:rsidR="00854EF9">
          <w:rPr>
            <w:noProof/>
          </w:rPr>
          <w:fldChar w:fldCharType="begin"/>
        </w:r>
        <w:r w:rsidR="00854EF9">
          <w:rPr>
            <w:noProof/>
          </w:rPr>
          <w:instrText xml:space="preserve"> PAGEREF _Toc87361193 \h </w:instrText>
        </w:r>
        <w:r w:rsidR="00854EF9">
          <w:rPr>
            <w:noProof/>
          </w:rPr>
        </w:r>
        <w:r w:rsidR="00854EF9">
          <w:rPr>
            <w:noProof/>
          </w:rPr>
          <w:fldChar w:fldCharType="separate"/>
        </w:r>
        <w:r w:rsidR="003F1FC2">
          <w:rPr>
            <w:noProof/>
          </w:rPr>
          <w:t>214</w:t>
        </w:r>
        <w:r w:rsidR="00854EF9">
          <w:rPr>
            <w:noProof/>
          </w:rPr>
          <w:fldChar w:fldCharType="end"/>
        </w:r>
      </w:hyperlink>
    </w:p>
    <w:p w14:paraId="72038F2A" w14:textId="1EA06CAA"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4" w:history="1">
        <w:r w:rsidR="00854EF9" w:rsidRPr="00B14B0A">
          <w:rPr>
            <w:rStyle w:val="Lienhypertexte"/>
            <w:rFonts w:cs="Times New Roman"/>
            <w:b/>
            <w:iCs/>
            <w:noProof/>
            <w:lang w:eastAsia="en-US"/>
          </w:rPr>
          <w:t>2.2.5.3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Effects on target organisms, including unacceptable suffering</w:t>
        </w:r>
        <w:r w:rsidR="00854EF9">
          <w:rPr>
            <w:noProof/>
          </w:rPr>
          <w:tab/>
        </w:r>
        <w:r w:rsidR="00854EF9">
          <w:rPr>
            <w:noProof/>
          </w:rPr>
          <w:fldChar w:fldCharType="begin"/>
        </w:r>
        <w:r w:rsidR="00854EF9">
          <w:rPr>
            <w:noProof/>
          </w:rPr>
          <w:instrText xml:space="preserve"> PAGEREF _Toc87361194 \h </w:instrText>
        </w:r>
        <w:r w:rsidR="00854EF9">
          <w:rPr>
            <w:noProof/>
          </w:rPr>
        </w:r>
        <w:r w:rsidR="00854EF9">
          <w:rPr>
            <w:noProof/>
          </w:rPr>
          <w:fldChar w:fldCharType="separate"/>
        </w:r>
        <w:r w:rsidR="003F1FC2">
          <w:rPr>
            <w:noProof/>
          </w:rPr>
          <w:t>214</w:t>
        </w:r>
        <w:r w:rsidR="00854EF9">
          <w:rPr>
            <w:noProof/>
          </w:rPr>
          <w:fldChar w:fldCharType="end"/>
        </w:r>
      </w:hyperlink>
    </w:p>
    <w:p w14:paraId="0D9839F8" w14:textId="24F21978"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5" w:history="1">
        <w:r w:rsidR="00854EF9" w:rsidRPr="00B14B0A">
          <w:rPr>
            <w:rStyle w:val="Lienhypertexte"/>
            <w:rFonts w:cs="Times New Roman"/>
            <w:b/>
            <w:iCs/>
            <w:noProof/>
            <w:lang w:eastAsia="en-US"/>
          </w:rPr>
          <w:t>2.2.5.4</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Mode of action, including time delay</w:t>
        </w:r>
        <w:r w:rsidR="00854EF9">
          <w:rPr>
            <w:noProof/>
          </w:rPr>
          <w:tab/>
        </w:r>
        <w:r w:rsidR="00854EF9">
          <w:rPr>
            <w:noProof/>
          </w:rPr>
          <w:fldChar w:fldCharType="begin"/>
        </w:r>
        <w:r w:rsidR="00854EF9">
          <w:rPr>
            <w:noProof/>
          </w:rPr>
          <w:instrText xml:space="preserve"> PAGEREF _Toc87361195 \h </w:instrText>
        </w:r>
        <w:r w:rsidR="00854EF9">
          <w:rPr>
            <w:noProof/>
          </w:rPr>
        </w:r>
        <w:r w:rsidR="00854EF9">
          <w:rPr>
            <w:noProof/>
          </w:rPr>
          <w:fldChar w:fldCharType="separate"/>
        </w:r>
        <w:r w:rsidR="003F1FC2">
          <w:rPr>
            <w:noProof/>
          </w:rPr>
          <w:t>214</w:t>
        </w:r>
        <w:r w:rsidR="00854EF9">
          <w:rPr>
            <w:noProof/>
          </w:rPr>
          <w:fldChar w:fldCharType="end"/>
        </w:r>
      </w:hyperlink>
    </w:p>
    <w:p w14:paraId="23F48E60" w14:textId="041A7665"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6" w:history="1">
        <w:r w:rsidR="00854EF9" w:rsidRPr="00B14B0A">
          <w:rPr>
            <w:rStyle w:val="Lienhypertexte"/>
            <w:rFonts w:cs="Times New Roman"/>
            <w:b/>
            <w:iCs/>
            <w:noProof/>
            <w:lang w:eastAsia="en-US"/>
          </w:rPr>
          <w:t>2.2.5.5</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Efficacy data</w:t>
        </w:r>
        <w:r w:rsidR="00854EF9">
          <w:rPr>
            <w:noProof/>
          </w:rPr>
          <w:tab/>
        </w:r>
        <w:r w:rsidR="00854EF9">
          <w:rPr>
            <w:noProof/>
          </w:rPr>
          <w:fldChar w:fldCharType="begin"/>
        </w:r>
        <w:r w:rsidR="00854EF9">
          <w:rPr>
            <w:noProof/>
          </w:rPr>
          <w:instrText xml:space="preserve"> PAGEREF _Toc87361196 \h </w:instrText>
        </w:r>
        <w:r w:rsidR="00854EF9">
          <w:rPr>
            <w:noProof/>
          </w:rPr>
        </w:r>
        <w:r w:rsidR="00854EF9">
          <w:rPr>
            <w:noProof/>
          </w:rPr>
          <w:fldChar w:fldCharType="separate"/>
        </w:r>
        <w:r w:rsidR="003F1FC2">
          <w:rPr>
            <w:noProof/>
          </w:rPr>
          <w:t>215</w:t>
        </w:r>
        <w:r w:rsidR="00854EF9">
          <w:rPr>
            <w:noProof/>
          </w:rPr>
          <w:fldChar w:fldCharType="end"/>
        </w:r>
      </w:hyperlink>
    </w:p>
    <w:p w14:paraId="7806C3F3" w14:textId="5F8890C9"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7" w:history="1">
        <w:r w:rsidR="00854EF9" w:rsidRPr="00B14B0A">
          <w:rPr>
            <w:rStyle w:val="Lienhypertexte"/>
            <w:rFonts w:cs="Times New Roman"/>
            <w:b/>
            <w:iCs/>
            <w:noProof/>
            <w:lang w:eastAsia="en-US"/>
          </w:rPr>
          <w:t>2.2.5.6</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Occurrence of resistance and resistance management</w:t>
        </w:r>
        <w:r w:rsidR="00854EF9">
          <w:rPr>
            <w:noProof/>
          </w:rPr>
          <w:tab/>
        </w:r>
        <w:r w:rsidR="00854EF9">
          <w:rPr>
            <w:noProof/>
          </w:rPr>
          <w:fldChar w:fldCharType="begin"/>
        </w:r>
        <w:r w:rsidR="00854EF9">
          <w:rPr>
            <w:noProof/>
          </w:rPr>
          <w:instrText xml:space="preserve"> PAGEREF _Toc87361197 \h </w:instrText>
        </w:r>
        <w:r w:rsidR="00854EF9">
          <w:rPr>
            <w:noProof/>
          </w:rPr>
        </w:r>
        <w:r w:rsidR="00854EF9">
          <w:rPr>
            <w:noProof/>
          </w:rPr>
          <w:fldChar w:fldCharType="separate"/>
        </w:r>
        <w:r w:rsidR="003F1FC2">
          <w:rPr>
            <w:noProof/>
          </w:rPr>
          <w:t>260</w:t>
        </w:r>
        <w:r w:rsidR="00854EF9">
          <w:rPr>
            <w:noProof/>
          </w:rPr>
          <w:fldChar w:fldCharType="end"/>
        </w:r>
      </w:hyperlink>
    </w:p>
    <w:p w14:paraId="369841A1" w14:textId="3F59AC5B" w:rsidR="00854EF9" w:rsidRDefault="00E70520">
      <w:pPr>
        <w:pStyle w:val="TM4"/>
        <w:tabs>
          <w:tab w:val="right" w:leader="dot" w:pos="9203"/>
        </w:tabs>
        <w:rPr>
          <w:rFonts w:asciiTheme="minorHAnsi" w:eastAsiaTheme="minorEastAsia" w:hAnsiTheme="minorHAnsi" w:cstheme="minorBidi"/>
          <w:noProof/>
          <w:sz w:val="22"/>
          <w:szCs w:val="22"/>
          <w:lang w:val="fr-FR" w:eastAsia="fr-FR"/>
        </w:rPr>
      </w:pPr>
      <w:hyperlink w:anchor="_Toc87361198" w:history="1">
        <w:r w:rsidR="00854EF9" w:rsidRPr="00B14B0A">
          <w:rPr>
            <w:rStyle w:val="Lienhypertexte"/>
            <w:rFonts w:cs="Arial"/>
            <w:noProof/>
          </w:rPr>
          <w:t>To ensure a satisfactory level of efficacy and avoid the development of resistance, the recommendations proposed in the SPC have to be implemented</w:t>
        </w:r>
        <w:r w:rsidR="00854EF9">
          <w:rPr>
            <w:noProof/>
          </w:rPr>
          <w:tab/>
        </w:r>
        <w:r w:rsidR="00854EF9">
          <w:rPr>
            <w:noProof/>
          </w:rPr>
          <w:fldChar w:fldCharType="begin"/>
        </w:r>
        <w:r w:rsidR="00854EF9">
          <w:rPr>
            <w:noProof/>
          </w:rPr>
          <w:instrText xml:space="preserve"> PAGEREF _Toc87361198 \h </w:instrText>
        </w:r>
        <w:r w:rsidR="00854EF9">
          <w:rPr>
            <w:noProof/>
          </w:rPr>
        </w:r>
        <w:r w:rsidR="00854EF9">
          <w:rPr>
            <w:noProof/>
          </w:rPr>
          <w:fldChar w:fldCharType="separate"/>
        </w:r>
        <w:r w:rsidR="003F1FC2">
          <w:rPr>
            <w:noProof/>
          </w:rPr>
          <w:t>260</w:t>
        </w:r>
        <w:r w:rsidR="00854EF9">
          <w:rPr>
            <w:noProof/>
          </w:rPr>
          <w:fldChar w:fldCharType="end"/>
        </w:r>
      </w:hyperlink>
    </w:p>
    <w:p w14:paraId="0A1A9D2D" w14:textId="352BCC3D"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199" w:history="1">
        <w:r w:rsidR="00854EF9" w:rsidRPr="00B14B0A">
          <w:rPr>
            <w:rStyle w:val="Lienhypertexte"/>
            <w:rFonts w:cs="Times New Roman"/>
            <w:b/>
            <w:iCs/>
            <w:noProof/>
            <w:lang w:eastAsia="en-US"/>
          </w:rPr>
          <w:t>2.2.5.7</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Known limitations</w:t>
        </w:r>
        <w:r w:rsidR="00854EF9">
          <w:rPr>
            <w:noProof/>
          </w:rPr>
          <w:tab/>
        </w:r>
        <w:r w:rsidR="00854EF9">
          <w:rPr>
            <w:noProof/>
          </w:rPr>
          <w:fldChar w:fldCharType="begin"/>
        </w:r>
        <w:r w:rsidR="00854EF9">
          <w:rPr>
            <w:noProof/>
          </w:rPr>
          <w:instrText xml:space="preserve"> PAGEREF _Toc87361199 \h </w:instrText>
        </w:r>
        <w:r w:rsidR="00854EF9">
          <w:rPr>
            <w:noProof/>
          </w:rPr>
        </w:r>
        <w:r w:rsidR="00854EF9">
          <w:rPr>
            <w:noProof/>
          </w:rPr>
          <w:fldChar w:fldCharType="separate"/>
        </w:r>
        <w:r w:rsidR="003F1FC2">
          <w:rPr>
            <w:noProof/>
          </w:rPr>
          <w:t>261</w:t>
        </w:r>
        <w:r w:rsidR="00854EF9">
          <w:rPr>
            <w:noProof/>
          </w:rPr>
          <w:fldChar w:fldCharType="end"/>
        </w:r>
      </w:hyperlink>
    </w:p>
    <w:p w14:paraId="3A0C791A" w14:textId="0A9418B0"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0" w:history="1">
        <w:r w:rsidR="00854EF9" w:rsidRPr="00B14B0A">
          <w:rPr>
            <w:rStyle w:val="Lienhypertexte"/>
            <w:rFonts w:cs="Times New Roman"/>
            <w:b/>
            <w:iCs/>
            <w:noProof/>
            <w:lang w:eastAsia="en-US"/>
          </w:rPr>
          <w:t>2.2.5.8</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Evaluation of the label claims</w:t>
        </w:r>
        <w:r w:rsidR="00854EF9">
          <w:rPr>
            <w:noProof/>
          </w:rPr>
          <w:tab/>
        </w:r>
        <w:r w:rsidR="00854EF9">
          <w:rPr>
            <w:noProof/>
          </w:rPr>
          <w:fldChar w:fldCharType="begin"/>
        </w:r>
        <w:r w:rsidR="00854EF9">
          <w:rPr>
            <w:noProof/>
          </w:rPr>
          <w:instrText xml:space="preserve"> PAGEREF _Toc87361200 \h </w:instrText>
        </w:r>
        <w:r w:rsidR="00854EF9">
          <w:rPr>
            <w:noProof/>
          </w:rPr>
        </w:r>
        <w:r w:rsidR="00854EF9">
          <w:rPr>
            <w:noProof/>
          </w:rPr>
          <w:fldChar w:fldCharType="separate"/>
        </w:r>
        <w:r w:rsidR="003F1FC2">
          <w:rPr>
            <w:noProof/>
          </w:rPr>
          <w:t>261</w:t>
        </w:r>
        <w:r w:rsidR="00854EF9">
          <w:rPr>
            <w:noProof/>
          </w:rPr>
          <w:fldChar w:fldCharType="end"/>
        </w:r>
      </w:hyperlink>
    </w:p>
    <w:p w14:paraId="0B8EA54D" w14:textId="776DF272"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1" w:history="1">
        <w:r w:rsidR="00854EF9" w:rsidRPr="00B14B0A">
          <w:rPr>
            <w:rStyle w:val="Lienhypertexte"/>
            <w:b/>
            <w:noProof/>
          </w:rPr>
          <w:t>2.2.5.9</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Relevant information if the product is intended to be authorised for use with other biocidal product(s)</w:t>
        </w:r>
        <w:r w:rsidR="00854EF9">
          <w:rPr>
            <w:noProof/>
          </w:rPr>
          <w:tab/>
        </w:r>
        <w:r w:rsidR="00854EF9">
          <w:rPr>
            <w:noProof/>
          </w:rPr>
          <w:fldChar w:fldCharType="begin"/>
        </w:r>
        <w:r w:rsidR="00854EF9">
          <w:rPr>
            <w:noProof/>
          </w:rPr>
          <w:instrText xml:space="preserve"> PAGEREF _Toc87361201 \h </w:instrText>
        </w:r>
        <w:r w:rsidR="00854EF9">
          <w:rPr>
            <w:noProof/>
          </w:rPr>
        </w:r>
        <w:r w:rsidR="00854EF9">
          <w:rPr>
            <w:noProof/>
          </w:rPr>
          <w:fldChar w:fldCharType="separate"/>
        </w:r>
        <w:r w:rsidR="003F1FC2">
          <w:rPr>
            <w:noProof/>
          </w:rPr>
          <w:t>261</w:t>
        </w:r>
        <w:r w:rsidR="00854EF9">
          <w:rPr>
            <w:noProof/>
          </w:rPr>
          <w:fldChar w:fldCharType="end"/>
        </w:r>
      </w:hyperlink>
    </w:p>
    <w:p w14:paraId="7A68400E" w14:textId="0859E358"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202" w:history="1">
        <w:r w:rsidR="00854EF9" w:rsidRPr="00B14B0A">
          <w:rPr>
            <w:rStyle w:val="Lienhypertexte"/>
            <w:rFonts w:eastAsia="Calibri" w:cs="Arial"/>
            <w:noProof/>
            <w:lang w:eastAsia="en-US"/>
          </w:rPr>
          <w:t>2.2.6</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Risk assessment for human health</w:t>
        </w:r>
        <w:r w:rsidR="00854EF9">
          <w:rPr>
            <w:noProof/>
          </w:rPr>
          <w:tab/>
        </w:r>
        <w:r w:rsidR="00854EF9">
          <w:rPr>
            <w:noProof/>
          </w:rPr>
          <w:fldChar w:fldCharType="begin"/>
        </w:r>
        <w:r w:rsidR="00854EF9">
          <w:rPr>
            <w:noProof/>
          </w:rPr>
          <w:instrText xml:space="preserve"> PAGEREF _Toc87361202 \h </w:instrText>
        </w:r>
        <w:r w:rsidR="00854EF9">
          <w:rPr>
            <w:noProof/>
          </w:rPr>
        </w:r>
        <w:r w:rsidR="00854EF9">
          <w:rPr>
            <w:noProof/>
          </w:rPr>
          <w:fldChar w:fldCharType="separate"/>
        </w:r>
        <w:r w:rsidR="003F1FC2">
          <w:rPr>
            <w:noProof/>
          </w:rPr>
          <w:t>262</w:t>
        </w:r>
        <w:r w:rsidR="00854EF9">
          <w:rPr>
            <w:noProof/>
          </w:rPr>
          <w:fldChar w:fldCharType="end"/>
        </w:r>
      </w:hyperlink>
    </w:p>
    <w:p w14:paraId="0C6E4510" w14:textId="5AD7EDAA"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3" w:history="1">
        <w:r w:rsidR="00854EF9" w:rsidRPr="00B14B0A">
          <w:rPr>
            <w:rStyle w:val="Lienhypertexte"/>
            <w:b/>
            <w:noProof/>
            <w:lang w:eastAsia="en-US"/>
          </w:rPr>
          <w:t>2.2.6.1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Assessment of effects on Human Health</w:t>
        </w:r>
        <w:r w:rsidR="00854EF9">
          <w:rPr>
            <w:noProof/>
          </w:rPr>
          <w:tab/>
        </w:r>
        <w:r w:rsidR="00854EF9">
          <w:rPr>
            <w:noProof/>
          </w:rPr>
          <w:fldChar w:fldCharType="begin"/>
        </w:r>
        <w:r w:rsidR="00854EF9">
          <w:rPr>
            <w:noProof/>
          </w:rPr>
          <w:instrText xml:space="preserve"> PAGEREF _Toc87361203 \h </w:instrText>
        </w:r>
        <w:r w:rsidR="00854EF9">
          <w:rPr>
            <w:noProof/>
          </w:rPr>
        </w:r>
        <w:r w:rsidR="00854EF9">
          <w:rPr>
            <w:noProof/>
          </w:rPr>
          <w:fldChar w:fldCharType="separate"/>
        </w:r>
        <w:r w:rsidR="003F1FC2">
          <w:rPr>
            <w:noProof/>
          </w:rPr>
          <w:t>262</w:t>
        </w:r>
        <w:r w:rsidR="00854EF9">
          <w:rPr>
            <w:noProof/>
          </w:rPr>
          <w:fldChar w:fldCharType="end"/>
        </w:r>
      </w:hyperlink>
    </w:p>
    <w:p w14:paraId="7D5C208B" w14:textId="791C083F"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4" w:history="1">
        <w:r w:rsidR="00854EF9" w:rsidRPr="00B14B0A">
          <w:rPr>
            <w:rStyle w:val="Lienhypertexte"/>
            <w:b/>
            <w:noProof/>
            <w:lang w:eastAsia="en-US"/>
          </w:rPr>
          <w:t>2.2.6.2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Exposure assessment</w:t>
        </w:r>
        <w:r w:rsidR="00854EF9">
          <w:rPr>
            <w:noProof/>
          </w:rPr>
          <w:tab/>
        </w:r>
        <w:r w:rsidR="00854EF9">
          <w:rPr>
            <w:noProof/>
          </w:rPr>
          <w:fldChar w:fldCharType="begin"/>
        </w:r>
        <w:r w:rsidR="00854EF9">
          <w:rPr>
            <w:noProof/>
          </w:rPr>
          <w:instrText xml:space="preserve"> PAGEREF _Toc87361204 \h </w:instrText>
        </w:r>
        <w:r w:rsidR="00854EF9">
          <w:rPr>
            <w:noProof/>
          </w:rPr>
        </w:r>
        <w:r w:rsidR="00854EF9">
          <w:rPr>
            <w:noProof/>
          </w:rPr>
          <w:fldChar w:fldCharType="separate"/>
        </w:r>
        <w:r w:rsidR="003F1FC2">
          <w:rPr>
            <w:noProof/>
          </w:rPr>
          <w:t>282</w:t>
        </w:r>
        <w:r w:rsidR="00854EF9">
          <w:rPr>
            <w:noProof/>
          </w:rPr>
          <w:fldChar w:fldCharType="end"/>
        </w:r>
      </w:hyperlink>
    </w:p>
    <w:p w14:paraId="52597B5E" w14:textId="3B8230ED"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5" w:history="1">
        <w:r w:rsidR="00854EF9" w:rsidRPr="00B14B0A">
          <w:rPr>
            <w:rStyle w:val="Lienhypertexte"/>
            <w:b/>
            <w:noProof/>
          </w:rPr>
          <w:t>2.2.6.3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Risk characterisation for human health</w:t>
        </w:r>
        <w:r w:rsidR="00854EF9">
          <w:rPr>
            <w:noProof/>
          </w:rPr>
          <w:tab/>
        </w:r>
        <w:r w:rsidR="00854EF9">
          <w:rPr>
            <w:noProof/>
          </w:rPr>
          <w:fldChar w:fldCharType="begin"/>
        </w:r>
        <w:r w:rsidR="00854EF9">
          <w:rPr>
            <w:noProof/>
          </w:rPr>
          <w:instrText xml:space="preserve"> PAGEREF _Toc87361205 \h </w:instrText>
        </w:r>
        <w:r w:rsidR="00854EF9">
          <w:rPr>
            <w:noProof/>
          </w:rPr>
        </w:r>
        <w:r w:rsidR="00854EF9">
          <w:rPr>
            <w:noProof/>
          </w:rPr>
          <w:fldChar w:fldCharType="separate"/>
        </w:r>
        <w:r w:rsidR="003F1FC2">
          <w:rPr>
            <w:noProof/>
          </w:rPr>
          <w:t>296</w:t>
        </w:r>
        <w:r w:rsidR="00854EF9">
          <w:rPr>
            <w:noProof/>
          </w:rPr>
          <w:fldChar w:fldCharType="end"/>
        </w:r>
      </w:hyperlink>
    </w:p>
    <w:p w14:paraId="4DDE9D30" w14:textId="135087E9"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206" w:history="1">
        <w:r w:rsidR="00854EF9" w:rsidRPr="00B14B0A">
          <w:rPr>
            <w:rStyle w:val="Lienhypertexte"/>
            <w:rFonts w:cs="Arial"/>
            <w:noProof/>
          </w:rPr>
          <w:t>2.2.7</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Risk assessment for animal health</w:t>
        </w:r>
        <w:r w:rsidR="00854EF9">
          <w:rPr>
            <w:noProof/>
          </w:rPr>
          <w:tab/>
        </w:r>
        <w:r w:rsidR="00854EF9">
          <w:rPr>
            <w:noProof/>
          </w:rPr>
          <w:fldChar w:fldCharType="begin"/>
        </w:r>
        <w:r w:rsidR="00854EF9">
          <w:rPr>
            <w:noProof/>
          </w:rPr>
          <w:instrText xml:space="preserve"> PAGEREF _Toc87361206 \h </w:instrText>
        </w:r>
        <w:r w:rsidR="00854EF9">
          <w:rPr>
            <w:noProof/>
          </w:rPr>
        </w:r>
        <w:r w:rsidR="00854EF9">
          <w:rPr>
            <w:noProof/>
          </w:rPr>
          <w:fldChar w:fldCharType="separate"/>
        </w:r>
        <w:r w:rsidR="003F1FC2">
          <w:rPr>
            <w:noProof/>
          </w:rPr>
          <w:t>311</w:t>
        </w:r>
        <w:r w:rsidR="00854EF9">
          <w:rPr>
            <w:noProof/>
          </w:rPr>
          <w:fldChar w:fldCharType="end"/>
        </w:r>
      </w:hyperlink>
    </w:p>
    <w:p w14:paraId="704124AF" w14:textId="16BF9C23"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207" w:history="1">
        <w:r w:rsidR="00854EF9" w:rsidRPr="00B14B0A">
          <w:rPr>
            <w:rStyle w:val="Lienhypertexte"/>
            <w:rFonts w:eastAsia="Calibri" w:cs="Arial"/>
            <w:noProof/>
            <w:lang w:eastAsia="en-US"/>
          </w:rPr>
          <w:t>2.2.8</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Risk assessment for the environment</w:t>
        </w:r>
        <w:r w:rsidR="00854EF9">
          <w:rPr>
            <w:noProof/>
          </w:rPr>
          <w:tab/>
        </w:r>
        <w:r w:rsidR="00854EF9">
          <w:rPr>
            <w:noProof/>
          </w:rPr>
          <w:fldChar w:fldCharType="begin"/>
        </w:r>
        <w:r w:rsidR="00854EF9">
          <w:rPr>
            <w:noProof/>
          </w:rPr>
          <w:instrText xml:space="preserve"> PAGEREF _Toc87361207 \h </w:instrText>
        </w:r>
        <w:r w:rsidR="00854EF9">
          <w:rPr>
            <w:noProof/>
          </w:rPr>
        </w:r>
        <w:r w:rsidR="00854EF9">
          <w:rPr>
            <w:noProof/>
          </w:rPr>
          <w:fldChar w:fldCharType="separate"/>
        </w:r>
        <w:r w:rsidR="003F1FC2">
          <w:rPr>
            <w:noProof/>
          </w:rPr>
          <w:t>312</w:t>
        </w:r>
        <w:r w:rsidR="00854EF9">
          <w:rPr>
            <w:noProof/>
          </w:rPr>
          <w:fldChar w:fldCharType="end"/>
        </w:r>
      </w:hyperlink>
    </w:p>
    <w:p w14:paraId="0E293D25" w14:textId="123587EB"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8" w:history="1">
        <w:r w:rsidR="00854EF9" w:rsidRPr="00B14B0A">
          <w:rPr>
            <w:rStyle w:val="Lienhypertexte"/>
            <w:rFonts w:cs="Times New Roman"/>
            <w:b/>
            <w:iCs/>
            <w:noProof/>
            <w:lang w:eastAsia="en-US"/>
          </w:rPr>
          <w:t>2.2.8.1</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Effects assessment on the environment</w:t>
        </w:r>
        <w:r w:rsidR="00854EF9">
          <w:rPr>
            <w:noProof/>
          </w:rPr>
          <w:tab/>
        </w:r>
        <w:r w:rsidR="00854EF9">
          <w:rPr>
            <w:noProof/>
          </w:rPr>
          <w:fldChar w:fldCharType="begin"/>
        </w:r>
        <w:r w:rsidR="00854EF9">
          <w:rPr>
            <w:noProof/>
          </w:rPr>
          <w:instrText xml:space="preserve"> PAGEREF _Toc87361208 \h </w:instrText>
        </w:r>
        <w:r w:rsidR="00854EF9">
          <w:rPr>
            <w:noProof/>
          </w:rPr>
        </w:r>
        <w:r w:rsidR="00854EF9">
          <w:rPr>
            <w:noProof/>
          </w:rPr>
          <w:fldChar w:fldCharType="separate"/>
        </w:r>
        <w:r w:rsidR="003F1FC2">
          <w:rPr>
            <w:noProof/>
          </w:rPr>
          <w:t>312</w:t>
        </w:r>
        <w:r w:rsidR="00854EF9">
          <w:rPr>
            <w:noProof/>
          </w:rPr>
          <w:fldChar w:fldCharType="end"/>
        </w:r>
      </w:hyperlink>
    </w:p>
    <w:p w14:paraId="5F1B79C0" w14:textId="7153E404"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09" w:history="1">
        <w:r w:rsidR="00854EF9" w:rsidRPr="00B14B0A">
          <w:rPr>
            <w:rStyle w:val="Lienhypertexte"/>
            <w:rFonts w:cs="Times New Roman"/>
            <w:b/>
            <w:noProof/>
            <w:lang w:eastAsia="en-US"/>
          </w:rPr>
          <w:t>2.2.8.2</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Exposure assessment</w:t>
        </w:r>
        <w:r w:rsidR="00854EF9">
          <w:rPr>
            <w:noProof/>
          </w:rPr>
          <w:tab/>
        </w:r>
        <w:r w:rsidR="00854EF9">
          <w:rPr>
            <w:noProof/>
          </w:rPr>
          <w:fldChar w:fldCharType="begin"/>
        </w:r>
        <w:r w:rsidR="00854EF9">
          <w:rPr>
            <w:noProof/>
          </w:rPr>
          <w:instrText xml:space="preserve"> PAGEREF _Toc87361209 \h </w:instrText>
        </w:r>
        <w:r w:rsidR="00854EF9">
          <w:rPr>
            <w:noProof/>
          </w:rPr>
        </w:r>
        <w:r w:rsidR="00854EF9">
          <w:rPr>
            <w:noProof/>
          </w:rPr>
          <w:fldChar w:fldCharType="separate"/>
        </w:r>
        <w:r w:rsidR="003F1FC2">
          <w:rPr>
            <w:noProof/>
          </w:rPr>
          <w:t>315</w:t>
        </w:r>
        <w:r w:rsidR="00854EF9">
          <w:rPr>
            <w:noProof/>
          </w:rPr>
          <w:fldChar w:fldCharType="end"/>
        </w:r>
      </w:hyperlink>
    </w:p>
    <w:p w14:paraId="3C1A9544" w14:textId="5ECEF66C" w:rsidR="00854EF9" w:rsidRDefault="00E7052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7361210" w:history="1">
        <w:r w:rsidR="00854EF9" w:rsidRPr="00B14B0A">
          <w:rPr>
            <w:rStyle w:val="Lienhypertexte"/>
            <w:b/>
            <w:noProof/>
            <w:lang w:eastAsia="en-US"/>
          </w:rPr>
          <w:t>2.2.8.3</w:t>
        </w:r>
        <w:r w:rsidR="00854EF9">
          <w:rPr>
            <w:rFonts w:asciiTheme="minorHAnsi" w:eastAsiaTheme="minorEastAsia" w:hAnsiTheme="minorHAnsi" w:cstheme="minorBidi"/>
            <w:noProof/>
            <w:sz w:val="22"/>
            <w:szCs w:val="22"/>
            <w:lang w:val="fr-FR" w:eastAsia="fr-FR"/>
          </w:rPr>
          <w:tab/>
        </w:r>
        <w:r w:rsidR="00854EF9" w:rsidRPr="00B14B0A">
          <w:rPr>
            <w:rStyle w:val="Lienhypertexte"/>
            <w:noProof/>
          </w:rPr>
          <w:t>Risk characterisation</w:t>
        </w:r>
        <w:r w:rsidR="00854EF9">
          <w:rPr>
            <w:noProof/>
          </w:rPr>
          <w:tab/>
        </w:r>
        <w:r w:rsidR="00854EF9">
          <w:rPr>
            <w:noProof/>
          </w:rPr>
          <w:fldChar w:fldCharType="begin"/>
        </w:r>
        <w:r w:rsidR="00854EF9">
          <w:rPr>
            <w:noProof/>
          </w:rPr>
          <w:instrText xml:space="preserve"> PAGEREF _Toc87361210 \h </w:instrText>
        </w:r>
        <w:r w:rsidR="00854EF9">
          <w:rPr>
            <w:noProof/>
          </w:rPr>
        </w:r>
        <w:r w:rsidR="00854EF9">
          <w:rPr>
            <w:noProof/>
          </w:rPr>
          <w:fldChar w:fldCharType="separate"/>
        </w:r>
        <w:r w:rsidR="003F1FC2">
          <w:rPr>
            <w:noProof/>
          </w:rPr>
          <w:t>348</w:t>
        </w:r>
        <w:r w:rsidR="00854EF9">
          <w:rPr>
            <w:noProof/>
          </w:rPr>
          <w:fldChar w:fldCharType="end"/>
        </w:r>
      </w:hyperlink>
    </w:p>
    <w:p w14:paraId="62DD155D" w14:textId="772708AE"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211" w:history="1">
        <w:r w:rsidR="00854EF9" w:rsidRPr="00B14B0A">
          <w:rPr>
            <w:rStyle w:val="Lienhypertexte"/>
            <w:rFonts w:eastAsia="Calibri" w:cs="Arial"/>
            <w:noProof/>
            <w:lang w:eastAsia="en-US"/>
          </w:rPr>
          <w:t>2.2.9</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Measures to protect man, animals and the environment</w:t>
        </w:r>
        <w:r w:rsidR="00854EF9">
          <w:rPr>
            <w:noProof/>
          </w:rPr>
          <w:tab/>
        </w:r>
        <w:r w:rsidR="00854EF9">
          <w:rPr>
            <w:noProof/>
          </w:rPr>
          <w:fldChar w:fldCharType="begin"/>
        </w:r>
        <w:r w:rsidR="00854EF9">
          <w:rPr>
            <w:noProof/>
          </w:rPr>
          <w:instrText xml:space="preserve"> PAGEREF _Toc87361211 \h </w:instrText>
        </w:r>
        <w:r w:rsidR="00854EF9">
          <w:rPr>
            <w:noProof/>
          </w:rPr>
        </w:r>
        <w:r w:rsidR="00854EF9">
          <w:rPr>
            <w:noProof/>
          </w:rPr>
          <w:fldChar w:fldCharType="separate"/>
        </w:r>
        <w:r w:rsidR="003F1FC2">
          <w:rPr>
            <w:noProof/>
          </w:rPr>
          <w:t>365</w:t>
        </w:r>
        <w:r w:rsidR="00854EF9">
          <w:rPr>
            <w:noProof/>
          </w:rPr>
          <w:fldChar w:fldCharType="end"/>
        </w:r>
      </w:hyperlink>
    </w:p>
    <w:p w14:paraId="56896B73" w14:textId="56199A6A" w:rsidR="00854EF9" w:rsidRDefault="00E7052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7361212" w:history="1">
        <w:r w:rsidR="00854EF9" w:rsidRPr="00B14B0A">
          <w:rPr>
            <w:rStyle w:val="Lienhypertexte"/>
            <w:rFonts w:eastAsia="Calibri" w:cs="Arial"/>
            <w:noProof/>
            <w:lang w:eastAsia="en-US"/>
          </w:rPr>
          <w:t>2.2.10</w:t>
        </w:r>
        <w:r w:rsidR="00854EF9">
          <w:rPr>
            <w:rFonts w:asciiTheme="minorHAnsi" w:eastAsiaTheme="minorEastAsia" w:hAnsiTheme="minorHAnsi" w:cstheme="minorBidi"/>
            <w:i w:val="0"/>
            <w:iCs w:val="0"/>
            <w:noProof/>
            <w:sz w:val="22"/>
            <w:szCs w:val="22"/>
            <w:lang w:val="fr-FR" w:eastAsia="fr-FR"/>
          </w:rPr>
          <w:tab/>
        </w:r>
        <w:r w:rsidR="00854EF9" w:rsidRPr="00B14B0A">
          <w:rPr>
            <w:rStyle w:val="Lienhypertexte"/>
            <w:noProof/>
          </w:rPr>
          <w:t>Assessment of a combination of biocidal products</w:t>
        </w:r>
        <w:r w:rsidR="00854EF9">
          <w:rPr>
            <w:noProof/>
          </w:rPr>
          <w:tab/>
        </w:r>
        <w:r w:rsidR="00854EF9">
          <w:rPr>
            <w:noProof/>
          </w:rPr>
          <w:fldChar w:fldCharType="begin"/>
        </w:r>
        <w:r w:rsidR="00854EF9">
          <w:rPr>
            <w:noProof/>
          </w:rPr>
          <w:instrText xml:space="preserve"> PAGEREF _Toc87361212 \h </w:instrText>
        </w:r>
        <w:r w:rsidR="00854EF9">
          <w:rPr>
            <w:noProof/>
          </w:rPr>
        </w:r>
        <w:r w:rsidR="00854EF9">
          <w:rPr>
            <w:noProof/>
          </w:rPr>
          <w:fldChar w:fldCharType="separate"/>
        </w:r>
        <w:r w:rsidR="003F1FC2">
          <w:rPr>
            <w:noProof/>
          </w:rPr>
          <w:t>365</w:t>
        </w:r>
        <w:r w:rsidR="00854EF9">
          <w:rPr>
            <w:noProof/>
          </w:rPr>
          <w:fldChar w:fldCharType="end"/>
        </w:r>
      </w:hyperlink>
    </w:p>
    <w:p w14:paraId="70EBEC5F" w14:textId="7720235B" w:rsidR="00854EF9" w:rsidRDefault="00E7052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7361213" w:history="1">
        <w:r w:rsidR="00854EF9" w:rsidRPr="00B14B0A">
          <w:rPr>
            <w:rStyle w:val="Lienhypertexte"/>
            <w:rFonts w:cs="Times New Roman"/>
            <w:i/>
            <w:noProof/>
            <w:kern w:val="1"/>
            <w:lang w:bidi="x-none"/>
          </w:rPr>
          <w:t>3</w:t>
        </w:r>
        <w:r w:rsidR="00854EF9">
          <w:rPr>
            <w:rFonts w:asciiTheme="minorHAnsi" w:eastAsiaTheme="minorEastAsia" w:hAnsiTheme="minorHAnsi" w:cstheme="minorBidi"/>
            <w:b w:val="0"/>
            <w:bCs w:val="0"/>
            <w:caps w:val="0"/>
            <w:noProof/>
            <w:sz w:val="22"/>
            <w:szCs w:val="22"/>
            <w:lang w:val="fr-FR" w:eastAsia="fr-FR"/>
          </w:rPr>
          <w:tab/>
        </w:r>
        <w:r w:rsidR="00854EF9" w:rsidRPr="00B14B0A">
          <w:rPr>
            <w:rStyle w:val="Lienhypertexte"/>
            <w:rFonts w:eastAsia="Calibri"/>
            <w:noProof/>
          </w:rPr>
          <w:t>Annexes</w:t>
        </w:r>
        <w:r w:rsidR="00854EF9">
          <w:rPr>
            <w:noProof/>
          </w:rPr>
          <w:tab/>
        </w:r>
        <w:r w:rsidR="00854EF9">
          <w:rPr>
            <w:noProof/>
          </w:rPr>
          <w:fldChar w:fldCharType="begin"/>
        </w:r>
        <w:r w:rsidR="00854EF9">
          <w:rPr>
            <w:noProof/>
          </w:rPr>
          <w:instrText xml:space="preserve"> PAGEREF _Toc87361213 \h </w:instrText>
        </w:r>
        <w:r w:rsidR="00854EF9">
          <w:rPr>
            <w:noProof/>
          </w:rPr>
        </w:r>
        <w:r w:rsidR="00854EF9">
          <w:rPr>
            <w:noProof/>
          </w:rPr>
          <w:fldChar w:fldCharType="separate"/>
        </w:r>
        <w:r w:rsidR="003F1FC2">
          <w:rPr>
            <w:noProof/>
          </w:rPr>
          <w:t>366</w:t>
        </w:r>
        <w:r w:rsidR="00854EF9">
          <w:rPr>
            <w:noProof/>
          </w:rPr>
          <w:fldChar w:fldCharType="end"/>
        </w:r>
      </w:hyperlink>
    </w:p>
    <w:p w14:paraId="25D7F14C" w14:textId="05782123" w:rsidR="00854EF9" w:rsidRDefault="00E7052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7361214" w:history="1">
        <w:r w:rsidR="00854EF9" w:rsidRPr="00B14B0A">
          <w:rPr>
            <w:rStyle w:val="Lienhypertexte"/>
            <w:noProof/>
            <w:lang w:val="de-DE"/>
          </w:rPr>
          <w:t>3.1</w:t>
        </w:r>
        <w:r w:rsidR="00854EF9">
          <w:rPr>
            <w:rFonts w:asciiTheme="minorHAnsi" w:eastAsiaTheme="minorEastAsia" w:hAnsiTheme="minorHAnsi" w:cstheme="minorBidi"/>
            <w:smallCaps w:val="0"/>
            <w:noProof/>
            <w:sz w:val="22"/>
            <w:szCs w:val="22"/>
            <w:lang w:val="fr-FR" w:eastAsia="fr-FR"/>
          </w:rPr>
          <w:tab/>
        </w:r>
        <w:r w:rsidR="00854EF9" w:rsidRPr="00B14B0A">
          <w:rPr>
            <w:rStyle w:val="Lienhypertexte"/>
            <w:noProof/>
          </w:rPr>
          <w:t>List of studies for the biocidal product family</w:t>
        </w:r>
        <w:r w:rsidR="00854EF9">
          <w:rPr>
            <w:noProof/>
          </w:rPr>
          <w:tab/>
        </w:r>
        <w:r w:rsidR="00854EF9">
          <w:rPr>
            <w:noProof/>
          </w:rPr>
          <w:fldChar w:fldCharType="begin"/>
        </w:r>
        <w:r w:rsidR="00854EF9">
          <w:rPr>
            <w:noProof/>
          </w:rPr>
          <w:instrText xml:space="preserve"> PAGEREF _Toc87361214 \h </w:instrText>
        </w:r>
        <w:r w:rsidR="00854EF9">
          <w:rPr>
            <w:noProof/>
          </w:rPr>
        </w:r>
        <w:r w:rsidR="00854EF9">
          <w:rPr>
            <w:noProof/>
          </w:rPr>
          <w:fldChar w:fldCharType="separate"/>
        </w:r>
        <w:r w:rsidR="003F1FC2">
          <w:rPr>
            <w:noProof/>
          </w:rPr>
          <w:t>366</w:t>
        </w:r>
        <w:r w:rsidR="00854EF9">
          <w:rPr>
            <w:noProof/>
          </w:rPr>
          <w:fldChar w:fldCharType="end"/>
        </w:r>
      </w:hyperlink>
    </w:p>
    <w:p w14:paraId="6850C2F4" w14:textId="5A0CBCEE" w:rsidR="00854EF9" w:rsidRDefault="00E7052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7361215" w:history="1">
        <w:r w:rsidR="00854EF9" w:rsidRPr="00B14B0A">
          <w:rPr>
            <w:rStyle w:val="Lienhypertexte"/>
            <w:caps/>
            <w:noProof/>
            <w:lang w:val="de-DE" w:eastAsia="en-US"/>
          </w:rPr>
          <w:t>3.2</w:t>
        </w:r>
        <w:r w:rsidR="00854EF9">
          <w:rPr>
            <w:rFonts w:asciiTheme="minorHAnsi" w:eastAsiaTheme="minorEastAsia" w:hAnsiTheme="minorHAnsi" w:cstheme="minorBidi"/>
            <w:smallCaps w:val="0"/>
            <w:noProof/>
            <w:sz w:val="22"/>
            <w:szCs w:val="22"/>
            <w:lang w:val="fr-FR" w:eastAsia="fr-FR"/>
          </w:rPr>
          <w:tab/>
        </w:r>
        <w:r w:rsidR="00854EF9" w:rsidRPr="00B14B0A">
          <w:rPr>
            <w:rStyle w:val="Lienhypertexte"/>
            <w:noProof/>
          </w:rPr>
          <w:t>Output tables from exposure assessment tools</w:t>
        </w:r>
        <w:r w:rsidR="00854EF9">
          <w:rPr>
            <w:noProof/>
          </w:rPr>
          <w:tab/>
        </w:r>
        <w:r w:rsidR="00854EF9">
          <w:rPr>
            <w:noProof/>
          </w:rPr>
          <w:fldChar w:fldCharType="begin"/>
        </w:r>
        <w:r w:rsidR="00854EF9">
          <w:rPr>
            <w:noProof/>
          </w:rPr>
          <w:instrText xml:space="preserve"> PAGEREF _Toc87361215 \h </w:instrText>
        </w:r>
        <w:r w:rsidR="00854EF9">
          <w:rPr>
            <w:noProof/>
          </w:rPr>
        </w:r>
        <w:r w:rsidR="00854EF9">
          <w:rPr>
            <w:noProof/>
          </w:rPr>
          <w:fldChar w:fldCharType="separate"/>
        </w:r>
        <w:r w:rsidR="003F1FC2">
          <w:rPr>
            <w:noProof/>
          </w:rPr>
          <w:t>374</w:t>
        </w:r>
        <w:r w:rsidR="00854EF9">
          <w:rPr>
            <w:noProof/>
          </w:rPr>
          <w:fldChar w:fldCharType="end"/>
        </w:r>
      </w:hyperlink>
    </w:p>
    <w:p w14:paraId="7D53FC61" w14:textId="44353943" w:rsidR="00854EF9" w:rsidRDefault="00E7052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7361219" w:history="1">
        <w:r w:rsidR="00854EF9" w:rsidRPr="00B14B0A">
          <w:rPr>
            <w:rStyle w:val="Lienhypertexte"/>
            <w:noProof/>
            <w:lang w:val="de-DE"/>
          </w:rPr>
          <w:t>3.3</w:t>
        </w:r>
        <w:r w:rsidR="00854EF9">
          <w:rPr>
            <w:rFonts w:asciiTheme="minorHAnsi" w:eastAsiaTheme="minorEastAsia" w:hAnsiTheme="minorHAnsi" w:cstheme="minorBidi"/>
            <w:smallCaps w:val="0"/>
            <w:noProof/>
            <w:sz w:val="22"/>
            <w:szCs w:val="22"/>
            <w:lang w:val="fr-FR" w:eastAsia="fr-FR"/>
          </w:rPr>
          <w:tab/>
        </w:r>
        <w:r w:rsidR="00854EF9" w:rsidRPr="00B14B0A">
          <w:rPr>
            <w:rStyle w:val="Lienhypertexte"/>
            <w:noProof/>
          </w:rPr>
          <w:t>Confidential annex</w:t>
        </w:r>
        <w:r w:rsidR="00854EF9">
          <w:rPr>
            <w:noProof/>
          </w:rPr>
          <w:tab/>
        </w:r>
        <w:r w:rsidR="00854EF9">
          <w:rPr>
            <w:noProof/>
          </w:rPr>
          <w:fldChar w:fldCharType="begin"/>
        </w:r>
        <w:r w:rsidR="00854EF9">
          <w:rPr>
            <w:noProof/>
          </w:rPr>
          <w:instrText xml:space="preserve"> PAGEREF _Toc87361219 \h </w:instrText>
        </w:r>
        <w:r w:rsidR="00854EF9">
          <w:rPr>
            <w:noProof/>
          </w:rPr>
        </w:r>
        <w:r w:rsidR="00854EF9">
          <w:rPr>
            <w:noProof/>
          </w:rPr>
          <w:fldChar w:fldCharType="separate"/>
        </w:r>
        <w:r w:rsidR="003F1FC2">
          <w:rPr>
            <w:noProof/>
          </w:rPr>
          <w:t>374</w:t>
        </w:r>
        <w:r w:rsidR="00854EF9">
          <w:rPr>
            <w:noProof/>
          </w:rPr>
          <w:fldChar w:fldCharType="end"/>
        </w:r>
      </w:hyperlink>
    </w:p>
    <w:p w14:paraId="6A46FAEA" w14:textId="2A3751AB" w:rsidR="009D0C0B" w:rsidRPr="00B27CB1" w:rsidRDefault="00FA480B">
      <w:pPr>
        <w:spacing w:line="276" w:lineRule="auto"/>
        <w:rPr>
          <w:rFonts w:eastAsia="Calibri"/>
          <w:b/>
          <w:bCs/>
          <w:caps/>
          <w:lang w:eastAsia="en-US"/>
        </w:rPr>
      </w:pPr>
      <w:r w:rsidRPr="00B27CB1">
        <w:fldChar w:fldCharType="end"/>
      </w:r>
    </w:p>
    <w:p w14:paraId="4014E5AF" w14:textId="77777777" w:rsidR="009D0C0B" w:rsidRPr="00B27CB1" w:rsidRDefault="00FA480B">
      <w:pPr>
        <w:pStyle w:val="Titre1"/>
        <w:pageBreakBefore/>
        <w:rPr>
          <w:rFonts w:eastAsia="Calibri"/>
          <w:i/>
          <w:lang w:val="en-GB" w:eastAsia="en-US"/>
        </w:rPr>
      </w:pPr>
      <w:bookmarkStart w:id="1" w:name="_Toc87361075"/>
      <w:r w:rsidRPr="00B27CB1">
        <w:rPr>
          <w:rFonts w:eastAsia="Calibri"/>
          <w:lang w:val="en-GB"/>
        </w:rPr>
        <w:lastRenderedPageBreak/>
        <w:t>CONCLUSION</w:t>
      </w:r>
      <w:bookmarkEnd w:id="1"/>
    </w:p>
    <w:p w14:paraId="59966F17" w14:textId="7F876B48" w:rsidR="00FE1D3D" w:rsidRPr="00FE1D3D" w:rsidRDefault="00FE1D3D" w:rsidP="009B459D">
      <w:pPr>
        <w:spacing w:line="260" w:lineRule="atLeast"/>
        <w:jc w:val="both"/>
        <w:rPr>
          <w:rFonts w:eastAsia="Calibri"/>
          <w:lang w:eastAsia="en-US"/>
        </w:rPr>
      </w:pPr>
      <w:r w:rsidRPr="00FE1D3D">
        <w:rPr>
          <w:rFonts w:eastAsia="Calibri"/>
          <w:lang w:eastAsia="en-US"/>
        </w:rPr>
        <w:t>The biocidal pro</w:t>
      </w:r>
      <w:r>
        <w:rPr>
          <w:rFonts w:eastAsia="Calibri"/>
          <w:lang w:eastAsia="en-US"/>
        </w:rPr>
        <w:t>ducts of</w:t>
      </w:r>
      <w:r w:rsidRPr="00FE1D3D">
        <w:rPr>
          <w:rFonts w:eastAsia="Calibri"/>
          <w:lang w:eastAsia="en-US"/>
        </w:rPr>
        <w:t xml:space="preserve"> LACTIC ACID BASED</w:t>
      </w:r>
      <w:r>
        <w:rPr>
          <w:rFonts w:eastAsia="Calibri"/>
          <w:lang w:eastAsia="en-US"/>
        </w:rPr>
        <w:t xml:space="preserve"> PRODUCTS family, based on 2.4 to</w:t>
      </w:r>
      <w:r w:rsidRPr="00FE1D3D">
        <w:rPr>
          <w:rFonts w:eastAsia="Calibri"/>
          <w:lang w:eastAsia="en-US"/>
        </w:rPr>
        <w:t xml:space="preserve"> 24 % </w:t>
      </w:r>
      <w:r>
        <w:rPr>
          <w:rFonts w:eastAsia="Calibri"/>
          <w:lang w:eastAsia="en-US"/>
        </w:rPr>
        <w:t xml:space="preserve">of </w:t>
      </w:r>
      <w:r w:rsidRPr="00FE1D3D">
        <w:rPr>
          <w:rFonts w:eastAsia="Calibri"/>
          <w:lang w:eastAsia="en-US"/>
        </w:rPr>
        <w:t>L-(+)-lactic acid, are product types 2, 3 and 4 intended for disinfection. The products of</w:t>
      </w:r>
      <w:r>
        <w:rPr>
          <w:rFonts w:eastAsia="Calibri"/>
          <w:lang w:eastAsia="en-US"/>
        </w:rPr>
        <w:t xml:space="preserve"> this biocidal</w:t>
      </w:r>
      <w:r w:rsidRPr="00FE1D3D">
        <w:rPr>
          <w:rFonts w:eastAsia="Calibri"/>
          <w:lang w:eastAsia="en-US"/>
        </w:rPr>
        <w:t xml:space="preserve"> family are in the form of a liquid intended to be used without dilution, a soluble concentrate or a microemulsion, to be applied for the disinfection of hard surfaces by </w:t>
      </w:r>
      <w:r w:rsidR="003F1FC2">
        <w:rPr>
          <w:rFonts w:eastAsia="Calibri"/>
          <w:lang w:eastAsia="en-US"/>
        </w:rPr>
        <w:t xml:space="preserve">industrials, </w:t>
      </w:r>
      <w:r w:rsidRPr="00FE1D3D">
        <w:rPr>
          <w:rFonts w:eastAsia="Calibri"/>
          <w:lang w:eastAsia="en-US"/>
        </w:rPr>
        <w:t>professional and non-professional users.</w:t>
      </w:r>
    </w:p>
    <w:p w14:paraId="6085132F" w14:textId="300E1CF5" w:rsidR="00FE1D3D" w:rsidRDefault="00A31EC3" w:rsidP="009B459D">
      <w:pPr>
        <w:spacing w:line="260" w:lineRule="atLeast"/>
        <w:jc w:val="both"/>
        <w:rPr>
          <w:rFonts w:eastAsia="Calibri"/>
          <w:lang w:eastAsia="en-US"/>
        </w:rPr>
      </w:pPr>
      <w:r>
        <w:rPr>
          <w:rFonts w:eastAsia="Calibri"/>
          <w:lang w:eastAsia="en-US"/>
        </w:rPr>
        <w:t xml:space="preserve">The family is </w:t>
      </w:r>
      <w:r w:rsidR="002F571C">
        <w:rPr>
          <w:rFonts w:eastAsia="Calibri"/>
          <w:lang w:eastAsia="en-US"/>
        </w:rPr>
        <w:t>composed</w:t>
      </w:r>
      <w:r>
        <w:rPr>
          <w:rFonts w:eastAsia="Calibri"/>
          <w:lang w:eastAsia="en-US"/>
        </w:rPr>
        <w:t xml:space="preserve"> by 12 Meta-SPC (n° 1 to 13, without n°5).</w:t>
      </w:r>
    </w:p>
    <w:p w14:paraId="28799D26" w14:textId="77777777" w:rsidR="001D5E60" w:rsidRDefault="001D5E60" w:rsidP="009B459D">
      <w:pPr>
        <w:spacing w:line="260" w:lineRule="atLeast"/>
        <w:jc w:val="both"/>
        <w:rPr>
          <w:rFonts w:eastAsia="Calibri"/>
          <w:lang w:eastAsia="en-US"/>
        </w:rPr>
      </w:pPr>
    </w:p>
    <w:p w14:paraId="1F75725E" w14:textId="5309E43B" w:rsidR="00A859EB" w:rsidRPr="009D0AAA" w:rsidRDefault="00A859EB" w:rsidP="00A859EB">
      <w:pPr>
        <w:pStyle w:val="Absatz"/>
        <w:ind w:left="0"/>
        <w:jc w:val="both"/>
        <w:rPr>
          <w:rFonts w:ascii="Verdana" w:hAnsi="Verdana"/>
          <w:b/>
          <w:color w:val="00B0F0"/>
        </w:rPr>
      </w:pPr>
      <w:r w:rsidRPr="009D0AAA">
        <w:rPr>
          <w:rFonts w:ascii="Verdana" w:hAnsi="Verdana"/>
          <w:b/>
          <w:color w:val="00B0F0"/>
        </w:rPr>
        <w:t>The application methods claimed were revised by the applicant during the evaluation of the</w:t>
      </w:r>
      <w:r>
        <w:rPr>
          <w:rFonts w:ascii="Verdana" w:hAnsi="Verdana"/>
          <w:b/>
          <w:color w:val="00B0F0"/>
        </w:rPr>
        <w:t xml:space="preserve"> </w:t>
      </w:r>
      <w:r w:rsidRPr="009D0AAA">
        <w:rPr>
          <w:rFonts w:ascii="Verdana" w:hAnsi="Verdana"/>
          <w:b/>
          <w:color w:val="00B0F0"/>
        </w:rPr>
        <w:t xml:space="preserve">dossier. These updated claims correspond to deletion of some application methods in various meta SPCs. These modification are </w:t>
      </w:r>
      <w:r>
        <w:rPr>
          <w:rFonts w:ascii="Verdana" w:hAnsi="Verdana"/>
          <w:b/>
          <w:color w:val="00B0F0"/>
        </w:rPr>
        <w:t xml:space="preserve">included and </w:t>
      </w:r>
      <w:r w:rsidRPr="009D0AAA">
        <w:rPr>
          <w:rFonts w:ascii="Verdana" w:hAnsi="Verdana"/>
          <w:b/>
          <w:color w:val="00B0F0"/>
        </w:rPr>
        <w:t xml:space="preserve">materialized as strikethrough text </w:t>
      </w:r>
      <w:r w:rsidR="00B06F00">
        <w:rPr>
          <w:rFonts w:ascii="Verdana" w:hAnsi="Verdana"/>
          <w:b/>
          <w:color w:val="00B0F0"/>
        </w:rPr>
        <w:t>in the Intented uses part (see 2.2.1)</w:t>
      </w:r>
      <w:r w:rsidRPr="009D0AAA">
        <w:rPr>
          <w:rFonts w:ascii="Verdana" w:hAnsi="Verdana"/>
          <w:b/>
          <w:color w:val="00B0F0"/>
        </w:rPr>
        <w:t xml:space="preserve">. </w:t>
      </w:r>
    </w:p>
    <w:p w14:paraId="77B14767" w14:textId="77777777" w:rsidR="00A859EB" w:rsidRPr="009D0AAA" w:rsidRDefault="00A859EB" w:rsidP="00A859EB">
      <w:pPr>
        <w:pStyle w:val="Absatz"/>
        <w:ind w:left="0"/>
        <w:jc w:val="both"/>
        <w:rPr>
          <w:rFonts w:ascii="Verdana" w:hAnsi="Verdana"/>
          <w:b/>
          <w:color w:val="00B0F0"/>
        </w:rPr>
      </w:pPr>
    </w:p>
    <w:p w14:paraId="4160B545" w14:textId="7471B517" w:rsidR="00FE1D3D" w:rsidRDefault="00A859EB" w:rsidP="003F1FC2">
      <w:pPr>
        <w:spacing w:line="260" w:lineRule="atLeast"/>
        <w:jc w:val="both"/>
        <w:rPr>
          <w:rFonts w:eastAsia="Calibri"/>
          <w:lang w:eastAsia="en-US"/>
        </w:rPr>
      </w:pPr>
      <w:r w:rsidRPr="009D0AAA">
        <w:rPr>
          <w:b/>
          <w:color w:val="00B0F0"/>
        </w:rPr>
        <w:t xml:space="preserve">These changes were considered in the efficacy section but not </w:t>
      </w:r>
      <w:r>
        <w:rPr>
          <w:b/>
          <w:color w:val="00B0F0"/>
        </w:rPr>
        <w:t xml:space="preserve">systematically </w:t>
      </w:r>
      <w:r w:rsidRPr="009D0AAA">
        <w:rPr>
          <w:b/>
          <w:color w:val="00B0F0"/>
        </w:rPr>
        <w:t>in human health and environment sections</w:t>
      </w:r>
      <w:r>
        <w:rPr>
          <w:b/>
          <w:color w:val="00B0F0"/>
        </w:rPr>
        <w:t>, as a risk envelop approach was performed</w:t>
      </w:r>
      <w:r w:rsidRPr="009D0AAA">
        <w:rPr>
          <w:b/>
          <w:color w:val="00B0F0"/>
        </w:rPr>
        <w:t>.  However, this has no impact on the overall conclusions which consider only the updated claims.</w:t>
      </w:r>
    </w:p>
    <w:p w14:paraId="42C62C34" w14:textId="77777777" w:rsidR="00657948" w:rsidRPr="00E91F85" w:rsidRDefault="00657948">
      <w:pPr>
        <w:spacing w:line="260" w:lineRule="atLeast"/>
        <w:rPr>
          <w:rFonts w:eastAsia="Calibri"/>
          <w:lang w:eastAsia="en-US"/>
        </w:rPr>
      </w:pPr>
    </w:p>
    <w:p w14:paraId="19C56D52" w14:textId="77777777" w:rsidR="00A31EC3" w:rsidRPr="00755368" w:rsidRDefault="00A31EC3" w:rsidP="00A31EC3">
      <w:pPr>
        <w:suppressAutoHyphens w:val="0"/>
        <w:rPr>
          <w:rFonts w:eastAsia="Calibri"/>
          <w:b/>
          <w:u w:val="single"/>
        </w:rPr>
      </w:pPr>
      <w:bookmarkStart w:id="2" w:name="d0e1044"/>
      <w:r w:rsidRPr="00755368">
        <w:rPr>
          <w:rFonts w:eastAsia="Calibri"/>
          <w:b/>
          <w:u w:val="single"/>
        </w:rPr>
        <w:t>Conclusion of the physico-chemical and technical properties</w:t>
      </w:r>
    </w:p>
    <w:p w14:paraId="45FF9E35" w14:textId="77777777" w:rsidR="00A31EC3" w:rsidRDefault="00A31EC3" w:rsidP="00A31EC3">
      <w:pPr>
        <w:suppressAutoHyphens w:val="0"/>
        <w:rPr>
          <w:rFonts w:eastAsia="Calibri"/>
        </w:rPr>
      </w:pPr>
    </w:p>
    <w:p w14:paraId="7A6532AA" w14:textId="77777777" w:rsidR="00A31EC3" w:rsidRDefault="00A31EC3" w:rsidP="00A31EC3">
      <w:pPr>
        <w:suppressAutoHyphens w:val="0"/>
        <w:jc w:val="both"/>
        <w:rPr>
          <w:rFonts w:eastAsia="Calibri"/>
        </w:rPr>
      </w:pPr>
      <w:r w:rsidRPr="008D207C">
        <w:rPr>
          <w:rFonts w:eastAsia="Calibri"/>
        </w:rPr>
        <w:t>The physico-chemical properties of the biocidal product family</w:t>
      </w:r>
      <w:r w:rsidRPr="008D207C">
        <w:t xml:space="preserve"> </w:t>
      </w:r>
      <w:r w:rsidRPr="008D207C">
        <w:rPr>
          <w:rFonts w:eastAsia="Calibri"/>
        </w:rPr>
        <w:t>LACTIC ACID BASED PRODUCTS</w:t>
      </w:r>
      <w:r>
        <w:rPr>
          <w:rFonts w:eastAsia="Calibri"/>
        </w:rPr>
        <w:t xml:space="preserve"> </w:t>
      </w:r>
      <w:r w:rsidRPr="008D207C">
        <w:rPr>
          <w:rFonts w:eastAsia="Calibri"/>
        </w:rPr>
        <w:t xml:space="preserve">have been described and considered acceptable in the conditions of use detailed in the SPC. </w:t>
      </w:r>
    </w:p>
    <w:p w14:paraId="175594AD" w14:textId="77777777" w:rsidR="00A31EC3" w:rsidRPr="008D207C" w:rsidRDefault="00A31EC3" w:rsidP="00A31EC3">
      <w:pPr>
        <w:suppressAutoHyphens w:val="0"/>
        <w:jc w:val="both"/>
        <w:rPr>
          <w:rFonts w:eastAsia="Calibri"/>
        </w:rPr>
      </w:pPr>
    </w:p>
    <w:p w14:paraId="4935807F" w14:textId="77777777" w:rsidR="00A31EC3" w:rsidRDefault="00A31EC3" w:rsidP="00A31EC3">
      <w:pPr>
        <w:suppressAutoHyphens w:val="0"/>
        <w:jc w:val="both"/>
        <w:rPr>
          <w:rFonts w:eastAsia="Calibri"/>
        </w:rPr>
      </w:pPr>
      <w:r>
        <w:rPr>
          <w:rFonts w:eastAsia="Calibri"/>
        </w:rPr>
        <w:t>For all products within the family, t</w:t>
      </w:r>
      <w:r w:rsidRPr="008D207C">
        <w:rPr>
          <w:rFonts w:eastAsia="Calibri"/>
        </w:rPr>
        <w:t xml:space="preserve">he stability data indicate a shelf life of at least 2 years (extrapolated) at ambient temperature when stored in commercial packaging material. Long-term storage stability </w:t>
      </w:r>
      <w:r>
        <w:rPr>
          <w:rFonts w:eastAsia="Calibri"/>
        </w:rPr>
        <w:t>studies (24</w:t>
      </w:r>
      <w:r w:rsidRPr="008D207C">
        <w:rPr>
          <w:rFonts w:eastAsia="Calibri"/>
        </w:rPr>
        <w:t xml:space="preserve"> months) are on-going and results after 2 years storage are required in post-authorisation</w:t>
      </w:r>
      <w:r>
        <w:rPr>
          <w:rFonts w:eastAsia="Calibri"/>
        </w:rPr>
        <w:t xml:space="preserve"> for all tested products.</w:t>
      </w:r>
    </w:p>
    <w:p w14:paraId="248F6533" w14:textId="77777777" w:rsidR="00A31EC3" w:rsidRDefault="00A31EC3" w:rsidP="00A31EC3">
      <w:pPr>
        <w:suppressAutoHyphens w:val="0"/>
        <w:jc w:val="both"/>
        <w:rPr>
          <w:rFonts w:eastAsia="Calibri"/>
        </w:rPr>
      </w:pPr>
    </w:p>
    <w:p w14:paraId="2C2A1FEF" w14:textId="38A47DE5" w:rsidR="00A31EC3" w:rsidRPr="008D207C" w:rsidRDefault="00A31EC3" w:rsidP="00A31EC3">
      <w:pPr>
        <w:suppressAutoHyphens w:val="0"/>
        <w:jc w:val="both"/>
        <w:rPr>
          <w:rFonts w:eastAsia="Calibri"/>
        </w:rPr>
      </w:pPr>
      <w:r>
        <w:rPr>
          <w:rFonts w:eastAsia="Calibri"/>
        </w:rPr>
        <w:t xml:space="preserve">For Meta SPC 6, 7 and 8, products should be used </w:t>
      </w:r>
      <w:r w:rsidR="00EB1131">
        <w:rPr>
          <w:rFonts w:eastAsia="Calibri"/>
        </w:rPr>
        <w:t>within 30 minutes</w:t>
      </w:r>
      <w:r>
        <w:rPr>
          <w:rFonts w:eastAsia="Calibri"/>
        </w:rPr>
        <w:t xml:space="preserve"> after dilution.</w:t>
      </w:r>
    </w:p>
    <w:p w14:paraId="6717D576" w14:textId="77777777" w:rsidR="00A31EC3" w:rsidRDefault="00A31EC3" w:rsidP="00A31EC3">
      <w:pPr>
        <w:suppressAutoHyphens w:val="0"/>
        <w:jc w:val="both"/>
        <w:rPr>
          <w:rFonts w:eastAsia="Calibri"/>
        </w:rPr>
      </w:pPr>
    </w:p>
    <w:p w14:paraId="1864EE34" w14:textId="0369C835" w:rsidR="00A31EC3" w:rsidRDefault="00A31EC3" w:rsidP="00A31EC3">
      <w:pPr>
        <w:suppressAutoHyphens w:val="0"/>
        <w:jc w:val="both"/>
        <w:rPr>
          <w:rFonts w:eastAsia="Calibri"/>
        </w:rPr>
      </w:pPr>
      <w:r>
        <w:rPr>
          <w:rFonts w:eastAsia="Calibri"/>
        </w:rPr>
        <w:t>P</w:t>
      </w:r>
      <w:r w:rsidRPr="008D207C">
        <w:rPr>
          <w:rFonts w:eastAsia="Calibri"/>
        </w:rPr>
        <w:t xml:space="preserve">roducts </w:t>
      </w:r>
      <w:r>
        <w:rPr>
          <w:rFonts w:eastAsia="Calibri"/>
        </w:rPr>
        <w:t>of Meta SPC</w:t>
      </w:r>
      <w:r w:rsidRPr="008D207C">
        <w:rPr>
          <w:rFonts w:eastAsia="Calibri"/>
        </w:rPr>
        <w:t xml:space="preserve"> </w:t>
      </w:r>
      <w:r>
        <w:rPr>
          <w:rFonts w:eastAsia="Calibri"/>
        </w:rPr>
        <w:t xml:space="preserve">1, 2, 3, 4, 6, 7, 9 and 11 </w:t>
      </w:r>
      <w:r w:rsidRPr="008D207C">
        <w:rPr>
          <w:rFonts w:eastAsia="Calibri"/>
        </w:rPr>
        <w:t>are classified</w:t>
      </w:r>
      <w:r>
        <w:rPr>
          <w:rFonts w:eastAsia="Calibri"/>
        </w:rPr>
        <w:t xml:space="preserve"> </w:t>
      </w:r>
      <w:r w:rsidRPr="008D207C">
        <w:rPr>
          <w:rFonts w:eastAsia="Calibri"/>
        </w:rPr>
        <w:t xml:space="preserve">as Corrosive to Metals (H290). </w:t>
      </w:r>
      <w:r>
        <w:rPr>
          <w:rFonts w:eastAsia="Calibri"/>
        </w:rPr>
        <w:t xml:space="preserve">However, products of Meta SPC 8, 10, 12 and 13 are </w:t>
      </w:r>
      <w:r w:rsidRPr="008D207C">
        <w:rPr>
          <w:rFonts w:eastAsia="Calibri"/>
        </w:rPr>
        <w:t>not classified with regard to physical and chemical properties.</w:t>
      </w:r>
    </w:p>
    <w:p w14:paraId="0C324158" w14:textId="0BF089E9" w:rsidR="00BD008D" w:rsidRPr="008D207C" w:rsidRDefault="00BD008D" w:rsidP="00A31EC3">
      <w:pPr>
        <w:suppressAutoHyphens w:val="0"/>
        <w:jc w:val="both"/>
        <w:rPr>
          <w:rFonts w:eastAsia="Calibri"/>
        </w:rPr>
      </w:pPr>
      <w:r>
        <w:rPr>
          <w:rFonts w:eastAsia="Calibri"/>
          <w:lang w:eastAsia="en-US"/>
        </w:rPr>
        <w:t>For self-reactive properties,</w:t>
      </w:r>
      <w:r w:rsidRPr="00BD008D">
        <w:rPr>
          <w:rFonts w:eastAsia="Calibri"/>
          <w:lang w:eastAsia="en-US"/>
        </w:rPr>
        <w:t xml:space="preserve"> DSC tests of representative products of all Meta SPCs should be provided in p</w:t>
      </w:r>
      <w:r w:rsidR="00C20E1E">
        <w:rPr>
          <w:rFonts w:eastAsia="Calibri"/>
          <w:lang w:eastAsia="en-US"/>
        </w:rPr>
        <w:t>ost-</w:t>
      </w:r>
      <w:r w:rsidR="002C24C2">
        <w:rPr>
          <w:rFonts w:eastAsia="Calibri"/>
          <w:lang w:eastAsia="en-US"/>
        </w:rPr>
        <w:t xml:space="preserve">authorisation </w:t>
      </w:r>
      <w:r w:rsidR="00C20E1E">
        <w:rPr>
          <w:rFonts w:eastAsia="Calibri"/>
          <w:lang w:eastAsia="en-US"/>
        </w:rPr>
        <w:t xml:space="preserve">within 6 months </w:t>
      </w:r>
      <w:r w:rsidR="002C24C2">
        <w:rPr>
          <w:rFonts w:eastAsia="Calibri"/>
          <w:lang w:eastAsia="en-US"/>
        </w:rPr>
        <w:t>to confirm</w:t>
      </w:r>
      <w:r w:rsidRPr="00BD008D">
        <w:rPr>
          <w:rFonts w:eastAsia="Calibri"/>
          <w:lang w:eastAsia="en-US"/>
        </w:rPr>
        <w:t xml:space="preserve"> the non-classification in this hazard class.</w:t>
      </w:r>
    </w:p>
    <w:p w14:paraId="73130EAA" w14:textId="77777777" w:rsidR="00A31EC3" w:rsidRPr="008D207C" w:rsidRDefault="00A31EC3" w:rsidP="00A31EC3">
      <w:pPr>
        <w:suppressAutoHyphens w:val="0"/>
        <w:jc w:val="both"/>
        <w:rPr>
          <w:rFonts w:eastAsia="Calibri"/>
        </w:rPr>
      </w:pPr>
    </w:p>
    <w:p w14:paraId="3D267E6D" w14:textId="77777777" w:rsidR="00A31EC3" w:rsidRDefault="00A31EC3" w:rsidP="00A31EC3">
      <w:pPr>
        <w:suppressAutoHyphens w:val="0"/>
        <w:jc w:val="both"/>
        <w:rPr>
          <w:rFonts w:eastAsia="Calibri"/>
        </w:rPr>
      </w:pPr>
      <w:r w:rsidRPr="008D207C">
        <w:rPr>
          <w:rFonts w:eastAsia="Calibri"/>
        </w:rPr>
        <w:t>The analytical methods provided are fully validated for the determination of the active substance, lactic acid.</w:t>
      </w:r>
    </w:p>
    <w:p w14:paraId="08CD0061" w14:textId="77777777" w:rsidR="00A31EC3" w:rsidRDefault="00A31EC3" w:rsidP="00A31EC3">
      <w:pPr>
        <w:suppressAutoHyphens w:val="0"/>
        <w:rPr>
          <w:rFonts w:eastAsia="Calibri"/>
        </w:rPr>
      </w:pPr>
    </w:p>
    <w:p w14:paraId="62C91BAE" w14:textId="6C382B09" w:rsidR="008D207C" w:rsidRDefault="008D207C">
      <w:pPr>
        <w:suppressAutoHyphens w:val="0"/>
        <w:rPr>
          <w:rFonts w:eastAsia="Calibri"/>
        </w:rPr>
      </w:pPr>
    </w:p>
    <w:p w14:paraId="41D7DB7A" w14:textId="382D1FDD" w:rsidR="00FB455A" w:rsidRPr="00E91F85" w:rsidRDefault="00FB455A" w:rsidP="009B459D">
      <w:pPr>
        <w:suppressAutoHyphens w:val="0"/>
        <w:jc w:val="both"/>
        <w:rPr>
          <w:rFonts w:eastAsia="Calibri"/>
          <w:b/>
          <w:u w:val="single"/>
        </w:rPr>
      </w:pPr>
      <w:r w:rsidRPr="00E91F85">
        <w:rPr>
          <w:rFonts w:eastAsia="Calibri"/>
          <w:b/>
          <w:u w:val="single"/>
        </w:rPr>
        <w:t xml:space="preserve">Efficacy </w:t>
      </w:r>
    </w:p>
    <w:p w14:paraId="362C459D" w14:textId="6766C89B" w:rsidR="00FB455A" w:rsidRDefault="00FB455A" w:rsidP="009B459D">
      <w:pPr>
        <w:suppressAutoHyphens w:val="0"/>
        <w:jc w:val="both"/>
        <w:rPr>
          <w:rFonts w:eastAsia="Calibri"/>
        </w:rPr>
      </w:pPr>
    </w:p>
    <w:p w14:paraId="2A036A8F" w14:textId="11895B67" w:rsidR="00FB455A" w:rsidRPr="000D7D14" w:rsidRDefault="008607FE" w:rsidP="009B459D">
      <w:pPr>
        <w:jc w:val="both"/>
        <w:rPr>
          <w:rFonts w:eastAsia="Calibri"/>
          <w:lang w:eastAsia="en-US"/>
        </w:rPr>
      </w:pPr>
      <w:r w:rsidRPr="008D207C">
        <w:rPr>
          <w:rFonts w:eastAsia="Calibri"/>
        </w:rPr>
        <w:t>LACTIC ACID BASED PRODUCTS</w:t>
      </w:r>
      <w:r>
        <w:rPr>
          <w:rFonts w:eastAsia="Calibri"/>
        </w:rPr>
        <w:t xml:space="preserve"> </w:t>
      </w:r>
      <w:r w:rsidR="00FB455A" w:rsidRPr="004D1209">
        <w:rPr>
          <w:rFonts w:cs="Arial"/>
          <w:iCs/>
          <w:lang w:eastAsia="en-US"/>
        </w:rPr>
        <w:t>family with 1</w:t>
      </w:r>
      <w:r>
        <w:rPr>
          <w:rFonts w:cs="Arial"/>
          <w:iCs/>
          <w:lang w:eastAsia="en-US"/>
        </w:rPr>
        <w:t>2</w:t>
      </w:r>
      <w:r w:rsidR="00FB455A" w:rsidRPr="004D1209">
        <w:rPr>
          <w:rFonts w:cs="Arial"/>
          <w:iCs/>
          <w:lang w:eastAsia="en-US"/>
        </w:rPr>
        <w:t xml:space="preserve"> META SPC</w:t>
      </w:r>
      <w:r w:rsidR="00FB455A" w:rsidRPr="00344BDC">
        <w:rPr>
          <w:rFonts w:eastAsia="Calibri"/>
          <w:lang w:eastAsia="en-US"/>
        </w:rPr>
        <w:t xml:space="preserve"> has shown a sufficient efficacy</w:t>
      </w:r>
      <w:r w:rsidR="00FB455A" w:rsidRPr="000D7D14">
        <w:t>,</w:t>
      </w:r>
      <w:r w:rsidR="00FB455A" w:rsidRPr="000D7D14">
        <w:rPr>
          <w:rFonts w:eastAsia="Calibri"/>
          <w:lang w:eastAsia="en-US"/>
        </w:rPr>
        <w:t xml:space="preserve"> in accordance with the requirements of Guidance on BPR, Volume II Efficacy – Assessment and Evaluation (Parts B+C) for the following uses:</w:t>
      </w:r>
    </w:p>
    <w:p w14:paraId="122576B9" w14:textId="301F9D04" w:rsidR="003C1F63" w:rsidRPr="000D7D14" w:rsidRDefault="003C1F63" w:rsidP="009B459D">
      <w:pPr>
        <w:jc w:val="both"/>
        <w:rPr>
          <w:rFonts w:eastAsia="Calibri"/>
          <w:b/>
          <w:lang w:eastAsia="en-US"/>
        </w:rPr>
      </w:pPr>
    </w:p>
    <w:p w14:paraId="4A0BA2F9" w14:textId="138FC78B" w:rsidR="00C47426" w:rsidRPr="000D7D14" w:rsidRDefault="00C47426" w:rsidP="009B459D">
      <w:pPr>
        <w:pStyle w:val="Commentaire"/>
        <w:jc w:val="both"/>
        <w:rPr>
          <w:rFonts w:eastAsia="Calibri"/>
          <w:lang w:eastAsia="en-US"/>
        </w:rPr>
      </w:pPr>
      <w:r w:rsidRPr="000D7D14">
        <w:rPr>
          <w:rFonts w:eastAsia="Calibri"/>
          <w:b/>
          <w:lang w:eastAsia="en-US"/>
        </w:rPr>
        <w:t>Meta-SPC 1</w:t>
      </w:r>
      <w:r w:rsidRPr="000D7D14">
        <w:rPr>
          <w:rFonts w:eastAsia="Calibri"/>
          <w:lang w:eastAsia="en-US"/>
        </w:rPr>
        <w:t>:</w:t>
      </w:r>
      <w:r w:rsidRPr="000D7D14">
        <w:rPr>
          <w:rFonts w:cs="Arial"/>
          <w:iCs/>
          <w:lang w:eastAsia="en-US"/>
        </w:rPr>
        <w:t xml:space="preserve"> </w:t>
      </w:r>
      <w:r w:rsidRPr="00E91F85">
        <w:rPr>
          <w:bCs/>
          <w:lang w:val="en-US"/>
        </w:rPr>
        <w:t>Disinfectants for hard surfaces of domestic area</w:t>
      </w:r>
      <w:r w:rsidR="00453B14" w:rsidRPr="003C5A0C">
        <w:rPr>
          <w:bCs/>
          <w:lang w:val="en-US"/>
        </w:rPr>
        <w:t>,</w:t>
      </w:r>
      <w:r w:rsidRPr="003C5A0C">
        <w:rPr>
          <w:bCs/>
          <w:lang w:val="en-US"/>
        </w:rPr>
        <w:t xml:space="preserve"> </w:t>
      </w:r>
      <w:r w:rsidRPr="00B06F00">
        <w:rPr>
          <w:rFonts w:eastAsia="Calibri"/>
          <w:iCs/>
          <w:szCs w:val="24"/>
          <w:lang w:eastAsia="en-US"/>
        </w:rPr>
        <w:t>with dirty conditions</w:t>
      </w:r>
      <w:r>
        <w:rPr>
          <w:rFonts w:eastAsia="Calibri"/>
          <w:iCs/>
          <w:szCs w:val="24"/>
          <w:u w:val="single"/>
          <w:lang w:eastAsia="en-US"/>
        </w:rPr>
        <w:t xml:space="preserve"> </w:t>
      </w:r>
      <w:r>
        <w:rPr>
          <w:rFonts w:eastAsia="Calibri"/>
          <w:lang w:eastAsia="en-US"/>
        </w:rPr>
        <w:t>for non porous surfaces</w:t>
      </w:r>
      <w:r w:rsidR="001F534D">
        <w:rPr>
          <w:rFonts w:eastAsia="Calibri"/>
          <w:lang w:eastAsia="en-US"/>
        </w:rPr>
        <w:t>,</w:t>
      </w:r>
      <w:r w:rsidR="001F534D" w:rsidRPr="001F534D">
        <w:rPr>
          <w:rFonts w:eastAsia="Calibri"/>
          <w:lang w:eastAsia="en-US"/>
        </w:rPr>
        <w:t xml:space="preserve"> </w:t>
      </w:r>
      <w:r w:rsidR="001F534D">
        <w:rPr>
          <w:rFonts w:eastAsia="Calibri"/>
          <w:lang w:eastAsia="en-US"/>
        </w:rPr>
        <w:t>with mechanical or non mechanical action</w:t>
      </w:r>
      <w:r w:rsidR="003B4AF0">
        <w:rPr>
          <w:rFonts w:eastAsia="Calibri"/>
          <w:lang w:eastAsia="en-US"/>
        </w:rPr>
        <w:t xml:space="preserve"> – PT2</w:t>
      </w:r>
      <w:r w:rsidR="001F534D">
        <w:rPr>
          <w:rFonts w:eastAsia="Calibri"/>
          <w:lang w:eastAsia="en-US"/>
        </w:rPr>
        <w:t>:</w:t>
      </w:r>
      <w:r w:rsidRPr="000D7D14">
        <w:rPr>
          <w:rFonts w:eastAsia="Calibri"/>
          <w:lang w:eastAsia="en-US"/>
        </w:rPr>
        <w:t xml:space="preserve"> </w:t>
      </w:r>
    </w:p>
    <w:p w14:paraId="3B780A5E" w14:textId="77777777" w:rsidR="00C47426" w:rsidRPr="000D7D14" w:rsidRDefault="00C47426" w:rsidP="009B459D">
      <w:pPr>
        <w:numPr>
          <w:ilvl w:val="0"/>
          <w:numId w:val="20"/>
        </w:numPr>
        <w:suppressAutoHyphens w:val="0"/>
        <w:jc w:val="both"/>
        <w:rPr>
          <w:rFonts w:eastAsia="Calibri"/>
          <w:lang w:eastAsia="en-US"/>
        </w:rPr>
      </w:pPr>
      <w:r w:rsidRPr="000D7D14">
        <w:rPr>
          <w:rFonts w:eastAsia="Calibri"/>
          <w:lang w:eastAsia="en-US"/>
        </w:rPr>
        <w:t xml:space="preserve">Bacteria (including </w:t>
      </w:r>
      <w:r w:rsidRPr="000D7D14">
        <w:rPr>
          <w:rFonts w:eastAsia="Calibri"/>
          <w:i/>
          <w:lang w:eastAsia="en-US"/>
        </w:rPr>
        <w:t>Bartonella henselae)</w:t>
      </w:r>
      <w:r w:rsidRPr="000D7D14">
        <w:rPr>
          <w:rFonts w:eastAsia="Calibri"/>
          <w:lang w:eastAsia="en-US"/>
        </w:rPr>
        <w:t>: 100 % v/v,</w:t>
      </w:r>
      <w:r>
        <w:rPr>
          <w:rFonts w:eastAsia="Calibri"/>
          <w:lang w:eastAsia="en-US"/>
        </w:rPr>
        <w:t xml:space="preserve"> </w:t>
      </w:r>
      <w:r w:rsidRPr="000D7D14">
        <w:rPr>
          <w:rFonts w:eastAsia="Calibri"/>
          <w:lang w:eastAsia="en-US"/>
        </w:rPr>
        <w:t>5 minutes, 20°C.</w:t>
      </w:r>
    </w:p>
    <w:p w14:paraId="07327ECF" w14:textId="77777777" w:rsidR="00C47426" w:rsidRPr="000D7D14" w:rsidRDefault="00C47426" w:rsidP="009B459D">
      <w:pPr>
        <w:spacing w:line="260" w:lineRule="atLeast"/>
        <w:jc w:val="both"/>
        <w:rPr>
          <w:rFonts w:eastAsia="Calibri"/>
          <w:lang w:eastAsia="en-US"/>
        </w:rPr>
      </w:pPr>
    </w:p>
    <w:p w14:paraId="373789B1" w14:textId="77777777" w:rsidR="00C47426" w:rsidRPr="000D7D14" w:rsidRDefault="00C47426" w:rsidP="009B459D">
      <w:pPr>
        <w:spacing w:line="260" w:lineRule="atLeast"/>
        <w:jc w:val="both"/>
        <w:rPr>
          <w:rFonts w:eastAsia="Calibri"/>
          <w:lang w:eastAsia="en-US"/>
        </w:rPr>
      </w:pPr>
      <w:r w:rsidRPr="000D7D14">
        <w:rPr>
          <w:rFonts w:eastAsia="Calibri"/>
          <w:b/>
          <w:lang w:eastAsia="en-US"/>
        </w:rPr>
        <w:lastRenderedPageBreak/>
        <w:t>Meta-SPC 2</w:t>
      </w:r>
      <w:r w:rsidRPr="000D7D14">
        <w:rPr>
          <w:rFonts w:cs="Arial"/>
          <w:iCs/>
          <w:lang w:eastAsia="en-US"/>
        </w:rPr>
        <w:t>:</w:t>
      </w:r>
      <w:r w:rsidRPr="000D7D14">
        <w:rPr>
          <w:rFonts w:eastAsia="Calibri"/>
          <w:lang w:eastAsia="en-US"/>
        </w:rPr>
        <w:t xml:space="preserve"> </w:t>
      </w:r>
    </w:p>
    <w:p w14:paraId="5F6E89A2" w14:textId="18F89393" w:rsidR="00C47426" w:rsidRPr="000D7D14" w:rsidRDefault="00C47426" w:rsidP="009B459D">
      <w:pPr>
        <w:pStyle w:val="Commentaire"/>
        <w:jc w:val="both"/>
        <w:rPr>
          <w:rFonts w:eastAsia="Calibri"/>
          <w:lang w:eastAsia="en-US"/>
        </w:rPr>
      </w:pPr>
      <w:r w:rsidRPr="000D7D14">
        <w:rPr>
          <w:rFonts w:eastAsia="Calibri"/>
          <w:lang w:eastAsia="en-US"/>
        </w:rPr>
        <w:t xml:space="preserve">Use 1: </w:t>
      </w:r>
      <w:r w:rsidRPr="00E91F85">
        <w:rPr>
          <w:bCs/>
          <w:lang w:val="en-US"/>
        </w:rPr>
        <w:t>Disinfectants for hard surfaces of domestic area</w:t>
      </w:r>
      <w:r w:rsidR="00453B14" w:rsidRPr="00E91F85">
        <w:rPr>
          <w:bCs/>
          <w:lang w:val="en-US"/>
        </w:rPr>
        <w:t>,</w:t>
      </w:r>
      <w:r w:rsidRPr="00E91F85">
        <w:rPr>
          <w:bCs/>
          <w:lang w:val="en-US"/>
        </w:rPr>
        <w:t xml:space="preserve"> </w:t>
      </w:r>
      <w:r w:rsidRPr="00C914AE">
        <w:rPr>
          <w:rFonts w:eastAsia="Calibri"/>
          <w:iCs/>
          <w:szCs w:val="24"/>
          <w:lang w:eastAsia="en-US"/>
        </w:rPr>
        <w:t>with dirty conditions</w:t>
      </w:r>
      <w:r>
        <w:rPr>
          <w:rFonts w:eastAsia="Calibri"/>
          <w:iCs/>
          <w:szCs w:val="24"/>
          <w:lang w:eastAsia="en-US"/>
        </w:rPr>
        <w:t xml:space="preserve"> </w:t>
      </w:r>
      <w:r>
        <w:rPr>
          <w:rFonts w:eastAsia="Calibri"/>
          <w:lang w:eastAsia="en-US"/>
        </w:rPr>
        <w:t>for non porous surfaces</w:t>
      </w:r>
      <w:r w:rsidR="001F534D">
        <w:rPr>
          <w:rFonts w:eastAsia="Calibri"/>
          <w:lang w:eastAsia="en-US"/>
        </w:rPr>
        <w:t>, with mechanical or non mechanical action</w:t>
      </w:r>
      <w:r w:rsidR="003B4AF0">
        <w:rPr>
          <w:rFonts w:eastAsia="Calibri"/>
          <w:lang w:eastAsia="en-US"/>
        </w:rPr>
        <w:t xml:space="preserve"> – PT2</w:t>
      </w:r>
      <w:r w:rsidR="001F534D">
        <w:rPr>
          <w:rFonts w:eastAsia="Calibri"/>
          <w:lang w:eastAsia="en-US"/>
        </w:rPr>
        <w:t>:</w:t>
      </w:r>
    </w:p>
    <w:p w14:paraId="2EA2EAC9" w14:textId="128F1458" w:rsidR="00C47426" w:rsidRPr="000D7D14" w:rsidRDefault="00C47426" w:rsidP="009B459D">
      <w:pPr>
        <w:numPr>
          <w:ilvl w:val="0"/>
          <w:numId w:val="20"/>
        </w:numPr>
        <w:suppressAutoHyphens w:val="0"/>
        <w:jc w:val="both"/>
        <w:rPr>
          <w:rFonts w:eastAsia="Calibri"/>
          <w:lang w:eastAsia="en-US"/>
        </w:rPr>
      </w:pPr>
      <w:r>
        <w:rPr>
          <w:rFonts w:eastAsia="Calibri"/>
          <w:lang w:eastAsia="en-US"/>
        </w:rPr>
        <w:t>Bacteria</w:t>
      </w:r>
      <w:r w:rsidRPr="000D7D14">
        <w:rPr>
          <w:rFonts w:eastAsia="Calibri"/>
          <w:lang w:eastAsia="en-US"/>
        </w:rPr>
        <w:t>: 100 % v/v, 5 minutes, 20°C.</w:t>
      </w:r>
    </w:p>
    <w:p w14:paraId="3B16002E" w14:textId="77777777" w:rsidR="00C47426" w:rsidRPr="000D7D14" w:rsidRDefault="00C47426" w:rsidP="009B459D">
      <w:pPr>
        <w:ind w:left="720"/>
        <w:jc w:val="both"/>
        <w:rPr>
          <w:rFonts w:eastAsia="Calibri"/>
          <w:lang w:eastAsia="en-US"/>
        </w:rPr>
      </w:pPr>
    </w:p>
    <w:p w14:paraId="5611B269" w14:textId="06865758" w:rsidR="00C47426" w:rsidRDefault="00C47426" w:rsidP="009B459D">
      <w:pPr>
        <w:jc w:val="both"/>
        <w:rPr>
          <w:rFonts w:eastAsia="Calibri"/>
          <w:lang w:eastAsia="en-US"/>
        </w:rPr>
      </w:pPr>
      <w:r w:rsidRPr="000D7D14">
        <w:rPr>
          <w:rFonts w:eastAsia="Calibri"/>
          <w:lang w:eastAsia="en-US"/>
        </w:rPr>
        <w:t xml:space="preserve">Use 2: </w:t>
      </w:r>
      <w:r w:rsidRPr="000D7D14">
        <w:t>Disinfectants for hard surfaces including food contact surfaces of domestic area</w:t>
      </w:r>
      <w:r w:rsidR="00453B14">
        <w:t>,</w:t>
      </w:r>
      <w:r>
        <w:t xml:space="preserve"> </w:t>
      </w:r>
      <w:r w:rsidRPr="000D7D14">
        <w:rPr>
          <w:rFonts w:eastAsia="Calibri"/>
          <w:lang w:eastAsia="en-US"/>
        </w:rPr>
        <w:t>with dirty conditions</w:t>
      </w:r>
      <w:r>
        <w:rPr>
          <w:rFonts w:eastAsia="Calibri"/>
          <w:lang w:eastAsia="en-US"/>
        </w:rPr>
        <w:t xml:space="preserve"> for non porous surfaces</w:t>
      </w:r>
      <w:r w:rsidR="003B4AF0">
        <w:rPr>
          <w:rFonts w:eastAsia="Calibri"/>
          <w:lang w:eastAsia="en-US"/>
        </w:rPr>
        <w:t xml:space="preserve"> – PT 2 and 4</w:t>
      </w:r>
      <w:r w:rsidRPr="000D7D14">
        <w:rPr>
          <w:rFonts w:eastAsia="Calibri"/>
          <w:lang w:eastAsia="en-US"/>
        </w:rPr>
        <w:t>.</w:t>
      </w:r>
    </w:p>
    <w:p w14:paraId="7FF64DD7" w14:textId="77777777" w:rsidR="00C47426" w:rsidRPr="000D7D14" w:rsidRDefault="00C47426" w:rsidP="009B459D">
      <w:pPr>
        <w:jc w:val="both"/>
        <w:rPr>
          <w:rFonts w:eastAsia="Calibri"/>
          <w:lang w:eastAsia="en-US"/>
        </w:rPr>
      </w:pPr>
      <w:r>
        <w:rPr>
          <w:rFonts w:eastAsia="Calibri"/>
          <w:lang w:eastAsia="en-US"/>
        </w:rPr>
        <w:t xml:space="preserve">With mechanical action: </w:t>
      </w:r>
    </w:p>
    <w:p w14:paraId="2715404C" w14:textId="77777777" w:rsidR="00C47426"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w:t>
      </w:r>
      <w:r>
        <w:rPr>
          <w:rFonts w:eastAsia="Calibri"/>
          <w:lang w:eastAsia="en-US"/>
        </w:rPr>
        <w:t xml:space="preserve"> v/v</w:t>
      </w:r>
      <w:r w:rsidRPr="000D7D14">
        <w:rPr>
          <w:rFonts w:eastAsia="Calibri"/>
          <w:lang w:eastAsia="en-US"/>
        </w:rPr>
        <w:t>, 5 minutes, 20°C.</w:t>
      </w:r>
    </w:p>
    <w:p w14:paraId="75505B94" w14:textId="279D4E2D" w:rsidR="00C47426" w:rsidRPr="000D7D14" w:rsidRDefault="00C47426" w:rsidP="009B459D">
      <w:pPr>
        <w:suppressAutoHyphens w:val="0"/>
        <w:spacing w:line="260" w:lineRule="atLeast"/>
        <w:jc w:val="both"/>
        <w:rPr>
          <w:rFonts w:eastAsia="Calibri"/>
          <w:lang w:eastAsia="en-US"/>
        </w:rPr>
      </w:pPr>
      <w:r>
        <w:rPr>
          <w:rFonts w:eastAsia="Calibri"/>
          <w:lang w:eastAsia="en-US"/>
        </w:rPr>
        <w:t>With</w:t>
      </w:r>
      <w:r w:rsidR="00561978">
        <w:rPr>
          <w:rFonts w:eastAsia="Calibri"/>
          <w:lang w:eastAsia="en-US"/>
        </w:rPr>
        <w:t xml:space="preserve"> non</w:t>
      </w:r>
      <w:r>
        <w:rPr>
          <w:rFonts w:eastAsia="Calibri"/>
          <w:lang w:eastAsia="en-US"/>
        </w:rPr>
        <w:t xml:space="preserve"> mechanical action: </w:t>
      </w:r>
    </w:p>
    <w:p w14:paraId="26D630E8" w14:textId="77777777" w:rsidR="00C47426"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w:t>
      </w:r>
      <w:r>
        <w:rPr>
          <w:rFonts w:eastAsia="Calibri"/>
          <w:lang w:eastAsia="en-US"/>
        </w:rPr>
        <w:t xml:space="preserve"> v/v</w:t>
      </w:r>
      <w:r w:rsidRPr="000D7D14">
        <w:rPr>
          <w:rFonts w:eastAsia="Calibri"/>
          <w:lang w:eastAsia="en-US"/>
        </w:rPr>
        <w:t xml:space="preserve">, </w:t>
      </w:r>
      <w:r>
        <w:rPr>
          <w:rFonts w:eastAsia="Calibri"/>
          <w:lang w:eastAsia="en-US"/>
        </w:rPr>
        <w:t>1</w:t>
      </w:r>
      <w:r w:rsidRPr="000D7D14">
        <w:rPr>
          <w:rFonts w:eastAsia="Calibri"/>
          <w:lang w:eastAsia="en-US"/>
        </w:rPr>
        <w:t>5 minutes, 20°C.</w:t>
      </w:r>
    </w:p>
    <w:p w14:paraId="021EFCBE" w14:textId="77777777" w:rsidR="00C47426" w:rsidRPr="000D7D14" w:rsidRDefault="00C47426" w:rsidP="009B459D">
      <w:pPr>
        <w:spacing w:line="260" w:lineRule="atLeast"/>
        <w:jc w:val="both"/>
        <w:rPr>
          <w:rFonts w:eastAsia="Calibri"/>
          <w:lang w:eastAsia="en-US"/>
        </w:rPr>
      </w:pPr>
    </w:p>
    <w:p w14:paraId="79D2AAEF" w14:textId="156A1139" w:rsidR="00C47426" w:rsidRDefault="00C47426" w:rsidP="009B459D">
      <w:pPr>
        <w:pStyle w:val="Commentaire"/>
        <w:jc w:val="both"/>
        <w:rPr>
          <w:rFonts w:eastAsia="Calibri"/>
          <w:lang w:eastAsia="en-US"/>
        </w:rPr>
      </w:pPr>
      <w:r w:rsidRPr="000D7D14">
        <w:rPr>
          <w:rFonts w:eastAsia="Calibri"/>
          <w:lang w:eastAsia="en-US"/>
        </w:rPr>
        <w:t xml:space="preserve">Use 3: </w:t>
      </w:r>
      <w:r w:rsidRPr="000D7D14">
        <w:t>Disinfectants for hard surfaces of industry, institution, healthcare facilities and</w:t>
      </w:r>
      <w:r w:rsidR="001F534D">
        <w:t>,</w:t>
      </w:r>
      <w:r w:rsidRPr="000D7D14">
        <w:t xml:space="preserve"> food preparation and handling areas</w:t>
      </w:r>
      <w:r w:rsidR="00453B14">
        <w:t>,</w:t>
      </w:r>
      <w:r>
        <w:t xml:space="preserve"> </w:t>
      </w:r>
      <w:r w:rsidRPr="000D7D14">
        <w:rPr>
          <w:rFonts w:eastAsia="Calibri"/>
          <w:lang w:eastAsia="en-US"/>
        </w:rPr>
        <w:t>with dirty conditions</w:t>
      </w:r>
      <w:r>
        <w:rPr>
          <w:rFonts w:eastAsia="Calibri"/>
          <w:lang w:eastAsia="en-US"/>
        </w:rPr>
        <w:t xml:space="preserve"> for non porous surfaces</w:t>
      </w:r>
      <w:r w:rsidR="003B4AF0">
        <w:rPr>
          <w:rFonts w:eastAsia="Calibri"/>
          <w:lang w:eastAsia="en-US"/>
        </w:rPr>
        <w:t xml:space="preserve"> – PT 2 and 4</w:t>
      </w:r>
      <w:r w:rsidRPr="000D7D14">
        <w:rPr>
          <w:rFonts w:eastAsia="Calibri"/>
          <w:lang w:eastAsia="en-US"/>
        </w:rPr>
        <w:t xml:space="preserve">. </w:t>
      </w:r>
    </w:p>
    <w:p w14:paraId="21F48F96" w14:textId="77777777" w:rsidR="00C47426" w:rsidRPr="00405B43" w:rsidRDefault="00C47426" w:rsidP="009B459D">
      <w:pPr>
        <w:pStyle w:val="Commentaire"/>
        <w:jc w:val="both"/>
      </w:pPr>
      <w:r>
        <w:rPr>
          <w:rFonts w:eastAsia="Calibri"/>
          <w:lang w:eastAsia="en-US"/>
        </w:rPr>
        <w:t>With mechanical action:</w:t>
      </w:r>
    </w:p>
    <w:p w14:paraId="3E35222B" w14:textId="58CCDB9A" w:rsidR="00C47426" w:rsidRPr="000D7D14"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8B467E">
        <w:rPr>
          <w:rFonts w:eastAsia="Calibri"/>
          <w:i/>
          <w:lang w:eastAsia="en-US"/>
        </w:rPr>
        <w:t xml:space="preserve">Salmonella </w:t>
      </w:r>
      <w:r w:rsidR="00453B14" w:rsidRPr="009B459D">
        <w:rPr>
          <w:rFonts w:eastAsia="Calibri"/>
          <w:lang w:eastAsia="en-US"/>
        </w:rPr>
        <w:t>T</w:t>
      </w:r>
      <w:r w:rsidRPr="009B459D">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Pr>
          <w:rFonts w:eastAsia="Calibri"/>
          <w:lang w:eastAsia="en-US"/>
        </w:rPr>
        <w:t xml:space="preserve">,) and yeasts: 100 %, </w:t>
      </w:r>
      <w:r w:rsidRPr="000D7D14">
        <w:rPr>
          <w:rFonts w:eastAsia="Calibri"/>
          <w:lang w:eastAsia="en-US"/>
        </w:rPr>
        <w:t>5 minutes, 20°C.</w:t>
      </w:r>
    </w:p>
    <w:p w14:paraId="176C99B3" w14:textId="4611992F" w:rsidR="00C47426" w:rsidRPr="004012BC" w:rsidRDefault="00C47426" w:rsidP="009B459D">
      <w:pPr>
        <w:suppressAutoHyphens w:val="0"/>
        <w:spacing w:line="260" w:lineRule="atLeast"/>
        <w:jc w:val="both"/>
        <w:rPr>
          <w:rFonts w:eastAsia="Calibri"/>
          <w:lang w:eastAsia="en-US"/>
        </w:rPr>
      </w:pPr>
      <w:r w:rsidRPr="004012BC">
        <w:rPr>
          <w:rFonts w:eastAsia="Calibri"/>
          <w:lang w:eastAsia="en-US"/>
        </w:rPr>
        <w:t>With</w:t>
      </w:r>
      <w:r w:rsidR="00561978">
        <w:rPr>
          <w:rFonts w:eastAsia="Calibri"/>
          <w:lang w:eastAsia="en-US"/>
        </w:rPr>
        <w:t xml:space="preserve"> non</w:t>
      </w:r>
      <w:r w:rsidRPr="004012BC">
        <w:rPr>
          <w:rFonts w:eastAsia="Calibri"/>
          <w:lang w:eastAsia="en-US"/>
        </w:rPr>
        <w:t xml:space="preserve"> mechanical action: </w:t>
      </w:r>
    </w:p>
    <w:p w14:paraId="3C5125D8" w14:textId="2C2E6BAE" w:rsidR="00C47426" w:rsidRPr="000D7D14"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0D7D14">
        <w:rPr>
          <w:rFonts w:eastAsia="Calibri"/>
          <w:i/>
          <w:lang w:eastAsia="en-US"/>
        </w:rPr>
        <w:t>Salmonella</w:t>
      </w:r>
      <w:r w:rsidRPr="008B467E">
        <w:rPr>
          <w:rFonts w:eastAsia="Calibri"/>
          <w:i/>
          <w:lang w:eastAsia="en-US"/>
        </w:rPr>
        <w:t xml:space="preserve"> </w:t>
      </w:r>
      <w:r w:rsidR="00453B14" w:rsidRPr="009B459D">
        <w:rPr>
          <w:rFonts w:eastAsia="Calibri"/>
          <w:lang w:eastAsia="en-US"/>
        </w:rPr>
        <w:t>T</w:t>
      </w:r>
      <w:r w:rsidRPr="009B459D">
        <w:rPr>
          <w:rFonts w:eastAsia="Calibri"/>
          <w:lang w:eastAsia="en-US"/>
        </w:rPr>
        <w:t xml:space="preserve">yphimurium </w:t>
      </w:r>
      <w:r w:rsidRPr="000D7D14">
        <w:rPr>
          <w:rFonts w:eastAsia="Calibri"/>
          <w:lang w:eastAsia="en-US"/>
        </w:rPr>
        <w:t xml:space="preserve">and </w:t>
      </w:r>
      <w:r w:rsidRPr="000D7D14">
        <w:rPr>
          <w:rFonts w:eastAsia="Calibri"/>
          <w:i/>
          <w:lang w:eastAsia="en-US"/>
        </w:rPr>
        <w:t>Listeria monocytogenes</w:t>
      </w:r>
      <w:r w:rsidRPr="000D7D14">
        <w:rPr>
          <w:rFonts w:eastAsia="Calibri"/>
          <w:lang w:eastAsia="en-US"/>
        </w:rPr>
        <w:t>,) and yeasts: 100 %, 15 minutes, 20°C.</w:t>
      </w:r>
    </w:p>
    <w:p w14:paraId="1025A3B1" w14:textId="77777777" w:rsidR="00C47426" w:rsidRPr="000D7D14" w:rsidRDefault="00C47426" w:rsidP="009B459D">
      <w:pPr>
        <w:spacing w:line="260" w:lineRule="atLeast"/>
        <w:jc w:val="both"/>
        <w:rPr>
          <w:rFonts w:eastAsia="Calibri"/>
          <w:lang w:eastAsia="en-US"/>
        </w:rPr>
      </w:pPr>
    </w:p>
    <w:p w14:paraId="0F057713" w14:textId="57D6E6EB" w:rsidR="00C47426" w:rsidRPr="00AC665B" w:rsidRDefault="00C47426" w:rsidP="009B459D">
      <w:pPr>
        <w:pStyle w:val="Commentaire"/>
        <w:jc w:val="both"/>
      </w:pPr>
      <w:r w:rsidRPr="000D7D14">
        <w:rPr>
          <w:rFonts w:eastAsia="Calibri"/>
          <w:lang w:eastAsia="en-US"/>
        </w:rPr>
        <w:t xml:space="preserve">Use 4: </w:t>
      </w:r>
      <w:r w:rsidRPr="000D7D14">
        <w:t>Disinfectants for hard surfaces for industry, institution and healthcare facilities areas</w:t>
      </w:r>
      <w:r w:rsidR="00453B14">
        <w:t>,</w:t>
      </w:r>
      <w:r>
        <w:t xml:space="preserve"> </w:t>
      </w:r>
      <w:r w:rsidRPr="00B06F00">
        <w:rPr>
          <w:rFonts w:eastAsia="Calibri"/>
          <w:iCs/>
          <w:szCs w:val="24"/>
          <w:lang w:eastAsia="en-US"/>
        </w:rPr>
        <w:t>with dirty conditions</w:t>
      </w:r>
      <w:r>
        <w:rPr>
          <w:rFonts w:eastAsia="Calibri"/>
          <w:iCs/>
          <w:szCs w:val="24"/>
          <w:u w:val="single"/>
          <w:lang w:eastAsia="en-US"/>
        </w:rPr>
        <w:t xml:space="preserve"> </w:t>
      </w:r>
      <w:r>
        <w:rPr>
          <w:rFonts w:eastAsia="Calibri"/>
          <w:lang w:eastAsia="en-US"/>
        </w:rPr>
        <w:t>for non porous surfaces</w:t>
      </w:r>
      <w:r w:rsidR="003B4AF0">
        <w:rPr>
          <w:rFonts w:eastAsia="Calibri"/>
          <w:lang w:eastAsia="en-US"/>
        </w:rPr>
        <w:t xml:space="preserve"> – PT2</w:t>
      </w:r>
      <w:r w:rsidRPr="000D7D14">
        <w:rPr>
          <w:rFonts w:eastAsia="Calibri"/>
          <w:lang w:eastAsia="en-US"/>
        </w:rPr>
        <w:t>.</w:t>
      </w:r>
    </w:p>
    <w:p w14:paraId="5FB5C91A" w14:textId="77777777" w:rsidR="00C47426" w:rsidRPr="004012BC" w:rsidRDefault="00C47426" w:rsidP="009B459D">
      <w:pPr>
        <w:pStyle w:val="Commentaire"/>
        <w:jc w:val="both"/>
      </w:pPr>
      <w:r>
        <w:rPr>
          <w:rFonts w:eastAsia="Calibri"/>
          <w:lang w:eastAsia="en-US"/>
        </w:rPr>
        <w:t>With mechanical action:</w:t>
      </w:r>
    </w:p>
    <w:p w14:paraId="5BF0C2EF" w14:textId="77777777" w:rsidR="00C47426" w:rsidRPr="000D7D14"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w:t>
      </w:r>
      <w:r>
        <w:rPr>
          <w:rFonts w:eastAsia="Calibri"/>
          <w:lang w:eastAsia="en-US"/>
        </w:rPr>
        <w:t xml:space="preserve">acteria and yeasts: 100 %, </w:t>
      </w:r>
      <w:r w:rsidRPr="000D7D14">
        <w:rPr>
          <w:rFonts w:eastAsia="Calibri"/>
          <w:lang w:eastAsia="en-US"/>
        </w:rPr>
        <w:t>5 minutes, 20°C.</w:t>
      </w:r>
    </w:p>
    <w:p w14:paraId="3E733885" w14:textId="05A77061" w:rsidR="00C47426" w:rsidRPr="004012BC" w:rsidRDefault="00C47426" w:rsidP="009B459D">
      <w:pPr>
        <w:suppressAutoHyphens w:val="0"/>
        <w:spacing w:line="260" w:lineRule="atLeast"/>
        <w:jc w:val="both"/>
        <w:rPr>
          <w:rFonts w:eastAsia="Calibri"/>
          <w:lang w:eastAsia="en-US"/>
        </w:rPr>
      </w:pPr>
      <w:r w:rsidRPr="004012BC">
        <w:rPr>
          <w:rFonts w:eastAsia="Calibri"/>
          <w:lang w:eastAsia="en-US"/>
        </w:rPr>
        <w:t>With</w:t>
      </w:r>
      <w:r w:rsidR="00561978">
        <w:rPr>
          <w:rFonts w:eastAsia="Calibri"/>
          <w:lang w:eastAsia="en-US"/>
        </w:rPr>
        <w:t xml:space="preserve"> non</w:t>
      </w:r>
      <w:r w:rsidRPr="004012BC">
        <w:rPr>
          <w:rFonts w:eastAsia="Calibri"/>
          <w:lang w:eastAsia="en-US"/>
        </w:rPr>
        <w:t xml:space="preserve"> mechanical action: </w:t>
      </w:r>
    </w:p>
    <w:p w14:paraId="654C1D28" w14:textId="77777777" w:rsidR="00C47426" w:rsidRPr="000D7D14"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 15 minutes, 20°C.</w:t>
      </w:r>
    </w:p>
    <w:p w14:paraId="34077561" w14:textId="77777777" w:rsidR="00C47426" w:rsidRPr="000D7D14" w:rsidRDefault="00C47426" w:rsidP="009B459D">
      <w:pPr>
        <w:spacing w:line="260" w:lineRule="atLeast"/>
        <w:jc w:val="both"/>
        <w:rPr>
          <w:rFonts w:eastAsia="Calibri"/>
          <w:lang w:eastAsia="en-US"/>
        </w:rPr>
      </w:pPr>
    </w:p>
    <w:p w14:paraId="1D2EC8A8" w14:textId="77777777" w:rsidR="00C47426" w:rsidRPr="000D7D14" w:rsidRDefault="00C47426" w:rsidP="009B459D">
      <w:pPr>
        <w:spacing w:line="260" w:lineRule="atLeast"/>
        <w:jc w:val="both"/>
        <w:rPr>
          <w:rFonts w:eastAsia="Calibri"/>
          <w:lang w:eastAsia="en-US"/>
        </w:rPr>
      </w:pPr>
      <w:r w:rsidRPr="000D7D14">
        <w:rPr>
          <w:rFonts w:eastAsia="Calibri"/>
          <w:b/>
          <w:lang w:eastAsia="en-US"/>
        </w:rPr>
        <w:t>Meta-SPC 3</w:t>
      </w:r>
      <w:r w:rsidRPr="000D7D14">
        <w:rPr>
          <w:rFonts w:eastAsia="Calibri"/>
          <w:lang w:eastAsia="en-US"/>
        </w:rPr>
        <w:t xml:space="preserve">: </w:t>
      </w:r>
    </w:p>
    <w:p w14:paraId="44490098" w14:textId="2FA32082" w:rsidR="00C47426" w:rsidRPr="000D7D14" w:rsidRDefault="00C47426" w:rsidP="009B459D">
      <w:pPr>
        <w:pStyle w:val="Commentaire"/>
        <w:jc w:val="both"/>
        <w:rPr>
          <w:rFonts w:eastAsia="Calibri"/>
          <w:lang w:eastAsia="en-US"/>
        </w:rPr>
      </w:pPr>
      <w:r w:rsidRPr="000D7D14">
        <w:rPr>
          <w:rFonts w:eastAsia="Calibri"/>
          <w:lang w:eastAsia="en-US"/>
        </w:rPr>
        <w:t xml:space="preserve">Use 1: </w:t>
      </w:r>
      <w:r w:rsidRPr="000D7D14">
        <w:t>Disinfectants for hard surfaces for industry, institution, healthcare facilities, healthcare and food preparation and handling areas</w:t>
      </w:r>
      <w:r w:rsidR="001F534D">
        <w:t>,</w:t>
      </w:r>
      <w:r>
        <w:t xml:space="preserve"> </w:t>
      </w:r>
      <w:r w:rsidRPr="000D7D14">
        <w:rPr>
          <w:rFonts w:eastAsia="Calibri"/>
          <w:lang w:eastAsia="en-US"/>
        </w:rPr>
        <w:t>with dirty conditions</w:t>
      </w:r>
      <w:r>
        <w:rPr>
          <w:rFonts w:eastAsia="Calibri"/>
          <w:lang w:eastAsia="en-US"/>
        </w:rPr>
        <w:t xml:space="preserve"> for non porous surfaces</w:t>
      </w:r>
      <w:r w:rsidR="00561978">
        <w:rPr>
          <w:rFonts w:eastAsia="Calibri"/>
          <w:lang w:eastAsia="en-US"/>
        </w:rPr>
        <w:t>, with mechanical or non mechanical action</w:t>
      </w:r>
      <w:r w:rsidR="003B4AF0">
        <w:rPr>
          <w:rFonts w:eastAsia="Calibri"/>
          <w:lang w:eastAsia="en-US"/>
        </w:rPr>
        <w:t xml:space="preserve"> – PT 2 and 4</w:t>
      </w:r>
      <w:r w:rsidR="00561978">
        <w:rPr>
          <w:rFonts w:eastAsia="Calibri"/>
          <w:lang w:eastAsia="en-US"/>
        </w:rPr>
        <w:t>:</w:t>
      </w:r>
    </w:p>
    <w:p w14:paraId="3FA8A5C7" w14:textId="77777777" w:rsidR="00C47426" w:rsidRPr="000D7D14"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 yeasts: 100%, 5 minutes, 20°C.</w:t>
      </w:r>
    </w:p>
    <w:p w14:paraId="43ECA5F9" w14:textId="77777777" w:rsidR="00C47426" w:rsidRPr="000D7D14" w:rsidRDefault="00C47426" w:rsidP="009B459D">
      <w:pPr>
        <w:spacing w:line="260" w:lineRule="atLeast"/>
        <w:jc w:val="both"/>
        <w:rPr>
          <w:rFonts w:eastAsia="Calibri"/>
          <w:lang w:eastAsia="en-US"/>
        </w:rPr>
      </w:pPr>
    </w:p>
    <w:p w14:paraId="68A823C3" w14:textId="4B2EE6FE" w:rsidR="00C47426" w:rsidRPr="00AC665B" w:rsidRDefault="00C47426" w:rsidP="009B459D">
      <w:pPr>
        <w:pStyle w:val="Commentaire"/>
        <w:jc w:val="both"/>
      </w:pPr>
      <w:r w:rsidRPr="000D7D14">
        <w:rPr>
          <w:rFonts w:eastAsia="Calibri"/>
          <w:lang w:eastAsia="en-US"/>
        </w:rPr>
        <w:t xml:space="preserve">Use 2: </w:t>
      </w:r>
      <w:r w:rsidRPr="000D7D14">
        <w:t>Disinfectants for hard surfaces for industry, institution, healthcare facilities and health care</w:t>
      </w:r>
      <w:r w:rsidR="001F534D">
        <w:t>,</w:t>
      </w:r>
      <w:r w:rsidRPr="000D7D14">
        <w:t xml:space="preserve"> </w:t>
      </w:r>
      <w:r w:rsidRPr="000D7D14">
        <w:rPr>
          <w:rFonts w:eastAsia="Calibri"/>
          <w:lang w:eastAsia="en-US"/>
        </w:rPr>
        <w:t>with dirty conditions</w:t>
      </w:r>
      <w:r>
        <w:rPr>
          <w:rFonts w:eastAsia="Calibri"/>
          <w:lang w:eastAsia="en-US"/>
        </w:rPr>
        <w:t xml:space="preserve"> for non porous surfaces</w:t>
      </w:r>
      <w:r w:rsidR="00561978">
        <w:rPr>
          <w:rFonts w:eastAsia="Calibri"/>
          <w:lang w:eastAsia="en-US"/>
        </w:rPr>
        <w:t>, with mechanical or non mechanical action</w:t>
      </w:r>
      <w:r w:rsidR="003B4AF0">
        <w:rPr>
          <w:rFonts w:eastAsia="Calibri"/>
          <w:lang w:eastAsia="en-US"/>
        </w:rPr>
        <w:t xml:space="preserve"> – PT 2</w:t>
      </w:r>
      <w:r w:rsidR="00561978">
        <w:rPr>
          <w:rFonts w:eastAsia="Calibri"/>
          <w:lang w:eastAsia="en-US"/>
        </w:rPr>
        <w:t>:</w:t>
      </w:r>
      <w:r w:rsidRPr="000D7D14">
        <w:rPr>
          <w:rFonts w:eastAsia="Calibri"/>
          <w:lang w:eastAsia="en-US"/>
        </w:rPr>
        <w:t xml:space="preserve"> </w:t>
      </w:r>
    </w:p>
    <w:p w14:paraId="24C1D531" w14:textId="77777777" w:rsidR="00C47426" w:rsidRPr="003C5A0C" w:rsidRDefault="00C47426" w:rsidP="00B06F00">
      <w:pPr>
        <w:pStyle w:val="Paragraphedeliste"/>
        <w:numPr>
          <w:ilvl w:val="0"/>
          <w:numId w:val="51"/>
        </w:numPr>
        <w:spacing w:line="260" w:lineRule="atLeast"/>
        <w:jc w:val="both"/>
        <w:rPr>
          <w:rFonts w:ascii="Times New Roman" w:eastAsia="Calibri" w:hAnsi="Times New Roman"/>
          <w:i/>
          <w:iCs/>
          <w:lang w:eastAsia="en-US"/>
        </w:rPr>
      </w:pPr>
      <w:r w:rsidRPr="003C5A0C">
        <w:rPr>
          <w:rFonts w:eastAsia="Calibri"/>
          <w:lang w:eastAsia="en-US"/>
        </w:rPr>
        <w:t>Bacteria, yeasts: 100%, 5 minutes, 20°C.</w:t>
      </w:r>
    </w:p>
    <w:p w14:paraId="3B1C8AFF" w14:textId="77777777" w:rsidR="00C47426" w:rsidRPr="000D7D14" w:rsidRDefault="00C47426" w:rsidP="009B459D">
      <w:pPr>
        <w:spacing w:line="260" w:lineRule="atLeast"/>
        <w:jc w:val="both"/>
        <w:rPr>
          <w:rFonts w:eastAsia="Calibri"/>
          <w:lang w:eastAsia="en-US"/>
        </w:rPr>
      </w:pPr>
    </w:p>
    <w:p w14:paraId="510D3C71" w14:textId="1A1BE107" w:rsidR="00C47426" w:rsidRPr="00AC665B" w:rsidRDefault="00C47426" w:rsidP="009B459D">
      <w:pPr>
        <w:pStyle w:val="Commentaire"/>
        <w:jc w:val="both"/>
      </w:pPr>
      <w:r w:rsidRPr="000D7D14">
        <w:rPr>
          <w:rFonts w:eastAsia="Calibri"/>
          <w:b/>
          <w:lang w:eastAsia="en-US"/>
        </w:rPr>
        <w:t>Meta-SPC 4</w:t>
      </w:r>
      <w:r w:rsidRPr="000D7D14">
        <w:rPr>
          <w:rFonts w:eastAsia="Calibri"/>
          <w:lang w:eastAsia="en-US"/>
        </w:rPr>
        <w:t>:</w:t>
      </w:r>
      <w:r w:rsidRPr="006419BB">
        <w:t xml:space="preserve"> </w:t>
      </w:r>
      <w:r w:rsidRPr="000D7D14">
        <w:t>Disinfectants for hard surfaces of industry, institution, healthcare facilities and food preparation and handling areas</w:t>
      </w:r>
      <w:r w:rsidR="00774730">
        <w:t>,</w:t>
      </w:r>
      <w:r>
        <w:t xml:space="preserve"> </w:t>
      </w:r>
      <w:r w:rsidRPr="000D7D14">
        <w:rPr>
          <w:rFonts w:eastAsia="Calibri"/>
          <w:lang w:eastAsia="en-US"/>
        </w:rPr>
        <w:t>with dirty conditons</w:t>
      </w:r>
      <w:r>
        <w:rPr>
          <w:rFonts w:eastAsia="Calibri"/>
          <w:lang w:eastAsia="en-US"/>
        </w:rPr>
        <w:t xml:space="preserve"> for non porous surfaces</w:t>
      </w:r>
      <w:r w:rsidRPr="000D7D14">
        <w:rPr>
          <w:rFonts w:eastAsia="Calibri"/>
          <w:lang w:eastAsia="en-US"/>
        </w:rPr>
        <w:t xml:space="preserve">. </w:t>
      </w:r>
    </w:p>
    <w:p w14:paraId="03D492CC" w14:textId="052E40C2" w:rsidR="00C47426" w:rsidRPr="000D7D14" w:rsidRDefault="00C47426" w:rsidP="009B459D">
      <w:pPr>
        <w:spacing w:line="260" w:lineRule="atLeast"/>
        <w:jc w:val="both"/>
        <w:rPr>
          <w:rFonts w:eastAsia="Calibri"/>
          <w:lang w:eastAsia="en-US"/>
        </w:rPr>
      </w:pPr>
      <w:r>
        <w:rPr>
          <w:rFonts w:eastAsia="Calibri"/>
          <w:lang w:eastAsia="en-US"/>
        </w:rPr>
        <w:t>With mechanical action</w:t>
      </w:r>
      <w:r w:rsidR="003B4AF0">
        <w:rPr>
          <w:rFonts w:eastAsia="Calibri"/>
          <w:lang w:eastAsia="en-US"/>
        </w:rPr>
        <w:t xml:space="preserve"> – PT 2 and 4</w:t>
      </w:r>
      <w:r>
        <w:rPr>
          <w:rFonts w:eastAsia="Calibri"/>
          <w:lang w:eastAsia="en-US"/>
        </w:rPr>
        <w:t xml:space="preserve">: </w:t>
      </w:r>
    </w:p>
    <w:p w14:paraId="0D104420" w14:textId="3A94851D" w:rsidR="00C47426"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00774730" w:rsidRPr="009B459D">
        <w:rPr>
          <w:rFonts w:eastAsia="Calibri"/>
          <w:lang w:eastAsia="en-US"/>
        </w:rPr>
        <w:t>T</w:t>
      </w:r>
      <w:r w:rsidRPr="009B459D">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 100%, 5 minutes, 20°C.</w:t>
      </w:r>
    </w:p>
    <w:p w14:paraId="441232F3" w14:textId="6EC36C85" w:rsidR="00C47426" w:rsidRDefault="00C47426" w:rsidP="009B459D">
      <w:pPr>
        <w:suppressAutoHyphens w:val="0"/>
        <w:spacing w:line="260" w:lineRule="atLeast"/>
        <w:jc w:val="both"/>
        <w:rPr>
          <w:rFonts w:eastAsia="Calibri"/>
          <w:lang w:eastAsia="en-US"/>
        </w:rPr>
      </w:pPr>
      <w:r>
        <w:rPr>
          <w:rFonts w:eastAsia="Calibri"/>
          <w:lang w:eastAsia="en-US"/>
        </w:rPr>
        <w:t>With</w:t>
      </w:r>
      <w:r w:rsidR="00561978">
        <w:rPr>
          <w:rFonts w:eastAsia="Calibri"/>
          <w:lang w:eastAsia="en-US"/>
        </w:rPr>
        <w:t xml:space="preserve"> non</w:t>
      </w:r>
      <w:r>
        <w:rPr>
          <w:rFonts w:eastAsia="Calibri"/>
          <w:lang w:eastAsia="en-US"/>
        </w:rPr>
        <w:t xml:space="preserve"> mechanical action: </w:t>
      </w:r>
    </w:p>
    <w:p w14:paraId="09397E61" w14:textId="5A2712FD" w:rsidR="00C47426" w:rsidRDefault="00C47426" w:rsidP="009B459D">
      <w:pPr>
        <w:numPr>
          <w:ilvl w:val="0"/>
          <w:numId w:val="20"/>
        </w:numPr>
        <w:suppressAutoHyphens w:val="0"/>
        <w:spacing w:line="260" w:lineRule="atLeast"/>
        <w:jc w:val="both"/>
        <w:rPr>
          <w:rFonts w:eastAsia="Calibri"/>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00774730" w:rsidRPr="009B459D">
        <w:rPr>
          <w:rFonts w:eastAsia="Calibri"/>
          <w:lang w:eastAsia="en-US"/>
        </w:rPr>
        <w:t>T</w:t>
      </w:r>
      <w:r w:rsidRPr="009B459D">
        <w:rPr>
          <w:rFonts w:eastAsia="Calibri"/>
          <w:lang w:eastAsia="en-US"/>
        </w:rPr>
        <w:t xml:space="preserve">yphimurium </w:t>
      </w:r>
      <w:r w:rsidRPr="000D7D14">
        <w:rPr>
          <w:rFonts w:eastAsia="Calibri"/>
          <w:lang w:eastAsia="en-US"/>
        </w:rPr>
        <w:t xml:space="preserve">and </w:t>
      </w:r>
      <w:r w:rsidRPr="000D7D14">
        <w:rPr>
          <w:rFonts w:eastAsia="Calibri"/>
          <w:i/>
          <w:lang w:eastAsia="en-US"/>
        </w:rPr>
        <w:t>Listeria monocytogenes)</w:t>
      </w:r>
      <w:r w:rsidRPr="000D7D14">
        <w:rPr>
          <w:rFonts w:eastAsia="Calibri"/>
          <w:lang w:eastAsia="en-US"/>
        </w:rPr>
        <w:t xml:space="preserve">, yeasts: 100%, </w:t>
      </w:r>
      <w:r>
        <w:rPr>
          <w:rFonts w:eastAsia="Calibri"/>
          <w:lang w:eastAsia="en-US"/>
        </w:rPr>
        <w:t>1</w:t>
      </w:r>
      <w:r w:rsidRPr="000D7D14">
        <w:rPr>
          <w:rFonts w:eastAsia="Calibri"/>
          <w:lang w:eastAsia="en-US"/>
        </w:rPr>
        <w:t>5 minutes, 20°C.</w:t>
      </w:r>
    </w:p>
    <w:p w14:paraId="7DB20A81" w14:textId="77777777" w:rsidR="00C47426" w:rsidRPr="000D7D14" w:rsidRDefault="00C47426" w:rsidP="009B459D">
      <w:pPr>
        <w:suppressAutoHyphens w:val="0"/>
        <w:spacing w:line="260" w:lineRule="atLeast"/>
        <w:jc w:val="both"/>
        <w:rPr>
          <w:rFonts w:eastAsia="Calibri"/>
          <w:lang w:eastAsia="en-US"/>
        </w:rPr>
      </w:pPr>
    </w:p>
    <w:p w14:paraId="58BDCE56" w14:textId="77777777" w:rsidR="00C47426" w:rsidRPr="00F0256C" w:rsidRDefault="00C47426" w:rsidP="009B459D">
      <w:pPr>
        <w:spacing w:line="260" w:lineRule="atLeast"/>
        <w:jc w:val="both"/>
        <w:rPr>
          <w:rFonts w:eastAsia="Calibri"/>
          <w:lang w:eastAsia="en-US"/>
        </w:rPr>
      </w:pPr>
      <w:r w:rsidRPr="000D7D14">
        <w:rPr>
          <w:rFonts w:eastAsia="Calibri"/>
          <w:b/>
          <w:lang w:eastAsia="en-US"/>
        </w:rPr>
        <w:t>Meta-SPC 6</w:t>
      </w:r>
      <w:r w:rsidRPr="00F0256C">
        <w:rPr>
          <w:rFonts w:eastAsia="Calibri"/>
          <w:lang w:eastAsia="en-US"/>
        </w:rPr>
        <w:t xml:space="preserve">: </w:t>
      </w:r>
    </w:p>
    <w:p w14:paraId="46047942" w14:textId="2B70EAD2" w:rsidR="00C47426" w:rsidRPr="00AC665B" w:rsidRDefault="00C47426" w:rsidP="009B459D">
      <w:pPr>
        <w:pStyle w:val="Commentaire"/>
        <w:jc w:val="both"/>
      </w:pPr>
      <w:r>
        <w:rPr>
          <w:rFonts w:eastAsia="Calibri"/>
          <w:lang w:eastAsia="en-US"/>
        </w:rPr>
        <w:t>Use 1</w:t>
      </w:r>
      <w:r w:rsidRPr="00820E0E">
        <w:rPr>
          <w:rFonts w:eastAsia="Calibri"/>
          <w:lang w:eastAsia="en-US"/>
        </w:rPr>
        <w:t xml:space="preserve">: </w:t>
      </w:r>
      <w:r w:rsidRPr="000D7D14">
        <w:t>Disinfectants for hard surfaces of industry, institution, healthcare facilities, healthcare and</w:t>
      </w:r>
      <w:r w:rsidR="00774730">
        <w:t>,</w:t>
      </w:r>
      <w:r w:rsidRPr="000D7D14">
        <w:t xml:space="preserve"> food preparation and handling areas</w:t>
      </w:r>
      <w:r w:rsidR="00650FC6">
        <w:t>,</w:t>
      </w:r>
      <w:r>
        <w:t xml:space="preserve"> </w:t>
      </w:r>
      <w:r w:rsidRPr="00344BDC">
        <w:rPr>
          <w:rFonts w:eastAsia="Calibri"/>
          <w:lang w:eastAsia="en-US"/>
        </w:rPr>
        <w:t>with dirty conditions</w:t>
      </w:r>
      <w:r>
        <w:rPr>
          <w:rFonts w:eastAsia="Calibri"/>
          <w:lang w:eastAsia="en-US"/>
        </w:rPr>
        <w:t xml:space="preserve"> for non porous surfaces</w:t>
      </w:r>
      <w:r w:rsidR="00FC5B7E">
        <w:rPr>
          <w:rFonts w:eastAsia="Calibri"/>
          <w:lang w:eastAsia="en-US"/>
        </w:rPr>
        <w:t xml:space="preserve"> – PT2</w:t>
      </w:r>
      <w:r w:rsidR="003B4AF0">
        <w:rPr>
          <w:rFonts w:eastAsia="Calibri"/>
          <w:lang w:eastAsia="en-US"/>
        </w:rPr>
        <w:t xml:space="preserve"> and </w:t>
      </w:r>
      <w:r w:rsidR="00FC5B7E">
        <w:rPr>
          <w:rFonts w:eastAsia="Calibri"/>
          <w:lang w:eastAsia="en-US"/>
        </w:rPr>
        <w:t>4</w:t>
      </w:r>
    </w:p>
    <w:p w14:paraId="34ACAB19" w14:textId="65B82822" w:rsidR="00C47426" w:rsidRDefault="00C47426" w:rsidP="009B459D">
      <w:pPr>
        <w:spacing w:line="260" w:lineRule="atLeast"/>
        <w:jc w:val="both"/>
        <w:rPr>
          <w:rFonts w:eastAsia="Calibri"/>
          <w:lang w:eastAsia="en-US"/>
        </w:rPr>
      </w:pPr>
      <w:r>
        <w:rPr>
          <w:rFonts w:eastAsia="Calibri"/>
          <w:lang w:eastAsia="en-US"/>
        </w:rPr>
        <w:lastRenderedPageBreak/>
        <w:t xml:space="preserve">In </w:t>
      </w:r>
      <w:r w:rsidR="00650FC6">
        <w:rPr>
          <w:rFonts w:eastAsia="Calibri"/>
          <w:lang w:eastAsia="en-US"/>
        </w:rPr>
        <w:t>healthcare,</w:t>
      </w:r>
      <w:r>
        <w:rPr>
          <w:rFonts w:eastAsia="Calibri"/>
          <w:lang w:eastAsia="en-US"/>
        </w:rPr>
        <w:t xml:space="preserve"> with</w:t>
      </w:r>
      <w:r w:rsidR="00561978">
        <w:rPr>
          <w:rFonts w:eastAsia="Calibri"/>
          <w:lang w:eastAsia="en-US"/>
        </w:rPr>
        <w:t xml:space="preserve"> non</w:t>
      </w:r>
      <w:r>
        <w:rPr>
          <w:rFonts w:eastAsia="Calibri"/>
          <w:lang w:eastAsia="en-US"/>
        </w:rPr>
        <w:t xml:space="preserve"> mechanical action: </w:t>
      </w:r>
    </w:p>
    <w:p w14:paraId="5F2CBAEB" w14:textId="5F9B4921"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w:t>
      </w:r>
      <w:r w:rsidR="00774730">
        <w:rPr>
          <w:rFonts w:eastAsia="Calibri"/>
          <w:lang w:eastAsia="en-US"/>
        </w:rPr>
        <w:t>,</w:t>
      </w:r>
      <w:r w:rsidRPr="000D7D14">
        <w:rPr>
          <w:rFonts w:eastAsia="Calibri"/>
          <w:lang w:eastAsia="en-US"/>
        </w:rPr>
        <w:t xml:space="preserve"> yeasts: 8%</w:t>
      </w:r>
      <w:r w:rsidR="00650FC6">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520BA53B" w14:textId="43A1CF26" w:rsidR="00C47426" w:rsidRDefault="00C47426" w:rsidP="009B459D">
      <w:pPr>
        <w:spacing w:line="260" w:lineRule="atLeast"/>
        <w:jc w:val="both"/>
        <w:rPr>
          <w:rFonts w:eastAsia="Calibri"/>
          <w:lang w:eastAsia="en-US"/>
        </w:rPr>
      </w:pPr>
      <w:r>
        <w:rPr>
          <w:rFonts w:eastAsia="Calibri"/>
          <w:lang w:eastAsia="en-US"/>
        </w:rPr>
        <w:t>Other areas</w:t>
      </w:r>
      <w:r w:rsidR="00561978">
        <w:rPr>
          <w:rFonts w:eastAsia="Calibri"/>
          <w:lang w:eastAsia="en-US"/>
        </w:rPr>
        <w:t>,</w:t>
      </w:r>
      <w:r>
        <w:rPr>
          <w:rFonts w:eastAsia="Calibri"/>
          <w:lang w:eastAsia="en-US"/>
        </w:rPr>
        <w:t xml:space="preserve"> with</w:t>
      </w:r>
      <w:r w:rsidR="00561978">
        <w:rPr>
          <w:rFonts w:eastAsia="Calibri"/>
          <w:lang w:eastAsia="en-US"/>
        </w:rPr>
        <w:t xml:space="preserve"> non </w:t>
      </w:r>
      <w:r>
        <w:rPr>
          <w:rFonts w:eastAsia="Calibri"/>
          <w:lang w:eastAsia="en-US"/>
        </w:rPr>
        <w:t xml:space="preserve">mechanical action: </w:t>
      </w:r>
    </w:p>
    <w:p w14:paraId="23CEBCCD" w14:textId="3194CF6E"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5</w:t>
      </w:r>
      <w:r w:rsidRPr="000D7D14">
        <w:rPr>
          <w:rFonts w:eastAsia="Calibri"/>
          <w:lang w:eastAsia="en-US"/>
        </w:rPr>
        <w:t>%</w:t>
      </w:r>
      <w:r w:rsidR="00650FC6">
        <w:rPr>
          <w:rFonts w:eastAsia="Calibri"/>
          <w:lang w:eastAsia="en-US"/>
        </w:rPr>
        <w:t xml:space="preserve"> v/v</w:t>
      </w:r>
      <w:r w:rsidRPr="00F0256C">
        <w:rPr>
          <w:rFonts w:eastAsia="Calibri"/>
          <w:lang w:eastAsia="en-US"/>
        </w:rPr>
        <w:t>, 1</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et </w:t>
      </w:r>
      <w:r>
        <w:rPr>
          <w:rFonts w:eastAsia="Calibri"/>
          <w:lang w:eastAsia="en-US"/>
        </w:rPr>
        <w:t>3%</w:t>
      </w:r>
      <w:r w:rsidR="00650FC6">
        <w:rPr>
          <w:rFonts w:eastAsia="Calibri"/>
          <w:lang w:eastAsia="en-US"/>
        </w:rPr>
        <w:t xml:space="preserve"> v/v</w:t>
      </w:r>
      <w:r>
        <w:rPr>
          <w:rFonts w:eastAsia="Calibri"/>
          <w:lang w:eastAsia="en-US"/>
        </w:rPr>
        <w:t xml:space="preserve">, </w:t>
      </w:r>
      <w:r w:rsidRPr="00344BDC">
        <w:rPr>
          <w:rFonts w:eastAsia="Calibri"/>
          <w:lang w:eastAsia="en-US"/>
        </w:rPr>
        <w:t>30</w:t>
      </w:r>
      <w:r>
        <w:rPr>
          <w:rFonts w:eastAsia="Calibri"/>
          <w:lang w:eastAsia="en-US"/>
        </w:rPr>
        <w:t xml:space="preserve"> </w:t>
      </w:r>
      <w:r w:rsidRPr="00344BDC">
        <w:rPr>
          <w:rFonts w:eastAsia="Calibri"/>
          <w:lang w:eastAsia="en-US"/>
        </w:rPr>
        <w:t>min</w:t>
      </w:r>
      <w:r w:rsidR="00FC5B7E">
        <w:rPr>
          <w:rFonts w:eastAsia="Calibri"/>
          <w:lang w:eastAsia="en-US"/>
        </w:rPr>
        <w:t>utes,</w:t>
      </w:r>
      <w:r w:rsidRPr="00344BDC">
        <w:rPr>
          <w:rFonts w:eastAsia="Calibri"/>
          <w:lang w:eastAsia="en-US"/>
        </w:rPr>
        <w:t xml:space="preserve"> 40°C.</w:t>
      </w:r>
    </w:p>
    <w:p w14:paraId="6E781121" w14:textId="77777777" w:rsidR="00C47426" w:rsidRDefault="00C47426" w:rsidP="009B459D">
      <w:pPr>
        <w:spacing w:line="260" w:lineRule="atLeast"/>
        <w:jc w:val="both"/>
        <w:rPr>
          <w:rFonts w:eastAsia="Calibri"/>
          <w:lang w:eastAsia="en-US"/>
        </w:rPr>
      </w:pPr>
      <w:r>
        <w:rPr>
          <w:rFonts w:eastAsia="Calibri"/>
          <w:lang w:eastAsia="en-US"/>
        </w:rPr>
        <w:t xml:space="preserve">All areas, with mechanical action: </w:t>
      </w:r>
    </w:p>
    <w:p w14:paraId="0F35FEC0" w14:textId="617BF188"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10</w:t>
      </w:r>
      <w:r w:rsidRPr="000D7D14">
        <w:rPr>
          <w:rFonts w:eastAsia="Calibri"/>
          <w:lang w:eastAsia="en-US"/>
        </w:rPr>
        <w:t>%</w:t>
      </w:r>
      <w:r w:rsidR="00650FC6">
        <w:rPr>
          <w:rFonts w:eastAsia="Calibri"/>
          <w:lang w:eastAsia="en-US"/>
        </w:rPr>
        <w:t xml:space="preserve"> v/v</w:t>
      </w:r>
      <w:r>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71D5DC6E" w14:textId="77777777" w:rsidR="00C47426" w:rsidRPr="00344BDC" w:rsidRDefault="00C47426" w:rsidP="009B459D">
      <w:pPr>
        <w:spacing w:line="260" w:lineRule="atLeast"/>
        <w:jc w:val="both"/>
        <w:rPr>
          <w:rFonts w:eastAsia="Calibri"/>
          <w:lang w:eastAsia="en-US"/>
        </w:rPr>
      </w:pPr>
    </w:p>
    <w:p w14:paraId="34764B8B" w14:textId="477CFEDD" w:rsidR="00C47426" w:rsidRDefault="00C47426" w:rsidP="009B459D">
      <w:pPr>
        <w:spacing w:line="260" w:lineRule="atLeast"/>
        <w:jc w:val="both"/>
        <w:rPr>
          <w:rFonts w:eastAsia="Calibri"/>
          <w:lang w:eastAsia="en-US"/>
        </w:rPr>
      </w:pPr>
      <w:r w:rsidRPr="000D7D14">
        <w:rPr>
          <w:rFonts w:eastAsia="Calibri"/>
          <w:lang w:eastAsia="en-US"/>
        </w:rPr>
        <w:t xml:space="preserve">Use 2: </w:t>
      </w:r>
      <w:r w:rsidRPr="000D7D14">
        <w:t>Disinfectants for hard surfaces of industry, institution, healthcare facilities and</w:t>
      </w:r>
      <w:r w:rsidR="00650FC6">
        <w:t>,</w:t>
      </w:r>
      <w:r w:rsidRPr="000D7D14">
        <w:t xml:space="preserve"> food preparation and</w:t>
      </w:r>
      <w:r w:rsidR="00FC5B7E">
        <w:t>, food preparation and</w:t>
      </w:r>
      <w:r w:rsidRPr="000D7D14">
        <w:t xml:space="preserve"> handling areas</w:t>
      </w:r>
      <w:r w:rsidR="00650FC6">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FC5B7E">
        <w:rPr>
          <w:rFonts w:eastAsia="Calibri"/>
          <w:lang w:eastAsia="en-US"/>
        </w:rPr>
        <w:t xml:space="preserve"> – PT2</w:t>
      </w:r>
      <w:r w:rsidR="003B4AF0">
        <w:rPr>
          <w:rFonts w:eastAsia="Calibri"/>
          <w:lang w:eastAsia="en-US"/>
        </w:rPr>
        <w:t xml:space="preserve"> and </w:t>
      </w:r>
      <w:r w:rsidR="00FC5B7E">
        <w:rPr>
          <w:rFonts w:eastAsia="Calibri"/>
          <w:lang w:eastAsia="en-US"/>
        </w:rPr>
        <w:t>4</w:t>
      </w:r>
    </w:p>
    <w:p w14:paraId="32E2D0DB" w14:textId="63C1915B" w:rsidR="00C47426" w:rsidRPr="000D7D14" w:rsidRDefault="00650FC6" w:rsidP="009B459D">
      <w:pPr>
        <w:spacing w:line="260" w:lineRule="atLeast"/>
        <w:jc w:val="both"/>
        <w:rPr>
          <w:rFonts w:eastAsia="Calibri"/>
          <w:lang w:eastAsia="en-US"/>
        </w:rPr>
      </w:pPr>
      <w:r>
        <w:rPr>
          <w:rFonts w:eastAsia="Calibri"/>
          <w:lang w:eastAsia="en-US"/>
        </w:rPr>
        <w:t>W</w:t>
      </w:r>
      <w:r w:rsidR="00C47426">
        <w:rPr>
          <w:rFonts w:eastAsia="Calibri"/>
          <w:lang w:eastAsia="en-US"/>
        </w:rPr>
        <w:t>ith</w:t>
      </w:r>
      <w:r w:rsidR="00561978">
        <w:rPr>
          <w:rFonts w:eastAsia="Calibri"/>
          <w:lang w:eastAsia="en-US"/>
        </w:rPr>
        <w:t xml:space="preserve"> non </w:t>
      </w:r>
      <w:r w:rsidR="00C47426">
        <w:rPr>
          <w:rFonts w:eastAsia="Calibri"/>
          <w:lang w:eastAsia="en-US"/>
        </w:rPr>
        <w:t>mechanical action:</w:t>
      </w:r>
    </w:p>
    <w:p w14:paraId="4273304F" w14:textId="13F2416E" w:rsidR="00C47426" w:rsidRPr="00344BDC"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Pr>
          <w:rFonts w:eastAsia="Calibri"/>
          <w:lang w:eastAsia="en-US"/>
        </w:rPr>
        <w:t>T</w:t>
      </w:r>
      <w:r w:rsidRPr="003719FE">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w:t>
      </w:r>
      <w:r>
        <w:rPr>
          <w:rFonts w:eastAsia="Calibri"/>
          <w:lang w:eastAsia="en-US"/>
        </w:rPr>
        <w:t xml:space="preserve"> 5</w:t>
      </w:r>
      <w:r w:rsidRPr="000D7D14">
        <w:rPr>
          <w:rFonts w:eastAsia="Calibri"/>
          <w:lang w:eastAsia="en-US"/>
        </w:rPr>
        <w:t>%</w:t>
      </w:r>
      <w:r w:rsidR="00650FC6">
        <w:rPr>
          <w:rFonts w:eastAsia="Calibri"/>
          <w:lang w:eastAsia="en-US"/>
        </w:rPr>
        <w:t xml:space="preserve"> v/v</w:t>
      </w:r>
      <w:r w:rsidRPr="00F0256C">
        <w:rPr>
          <w:rFonts w:eastAsia="Calibri"/>
          <w:lang w:eastAsia="en-US"/>
        </w:rPr>
        <w:t>, 15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et </w:t>
      </w:r>
      <w:r>
        <w:rPr>
          <w:rFonts w:eastAsia="Calibri"/>
          <w:lang w:eastAsia="en-US"/>
        </w:rPr>
        <w:t>3%</w:t>
      </w:r>
      <w:r w:rsidR="00650FC6">
        <w:rPr>
          <w:rFonts w:eastAsia="Calibri"/>
          <w:lang w:eastAsia="en-US"/>
        </w:rPr>
        <w:t xml:space="preserve"> v/v</w:t>
      </w:r>
      <w:r>
        <w:rPr>
          <w:rFonts w:eastAsia="Calibri"/>
          <w:lang w:eastAsia="en-US"/>
        </w:rPr>
        <w:t xml:space="preserve">, </w:t>
      </w:r>
      <w:r w:rsidRPr="00344BDC">
        <w:rPr>
          <w:rFonts w:eastAsia="Calibri"/>
          <w:lang w:eastAsia="en-US"/>
        </w:rPr>
        <w:t>30</w:t>
      </w:r>
      <w:r w:rsidR="00FC5B7E">
        <w:rPr>
          <w:rFonts w:eastAsia="Calibri"/>
          <w:lang w:eastAsia="en-US"/>
        </w:rPr>
        <w:t xml:space="preserve"> </w:t>
      </w:r>
      <w:r w:rsidRPr="00344BDC">
        <w:rPr>
          <w:rFonts w:eastAsia="Calibri"/>
          <w:lang w:eastAsia="en-US"/>
        </w:rPr>
        <w:t>min</w:t>
      </w:r>
      <w:r w:rsidR="00FC5B7E">
        <w:rPr>
          <w:rFonts w:eastAsia="Calibri"/>
          <w:lang w:eastAsia="en-US"/>
        </w:rPr>
        <w:t>utes,</w:t>
      </w:r>
      <w:r w:rsidRPr="00344BDC">
        <w:rPr>
          <w:rFonts w:eastAsia="Calibri"/>
          <w:lang w:eastAsia="en-US"/>
        </w:rPr>
        <w:t xml:space="preserve"> 40°C.</w:t>
      </w:r>
    </w:p>
    <w:p w14:paraId="238D4625" w14:textId="11F5B121" w:rsidR="00C47426" w:rsidRPr="003719FE" w:rsidRDefault="00650FC6" w:rsidP="009B459D">
      <w:pPr>
        <w:spacing w:line="260" w:lineRule="atLeast"/>
        <w:jc w:val="both"/>
        <w:rPr>
          <w:rFonts w:eastAsia="Calibri"/>
          <w:lang w:eastAsia="en-US"/>
        </w:rPr>
      </w:pPr>
      <w:r>
        <w:rPr>
          <w:rFonts w:eastAsia="Calibri"/>
          <w:lang w:eastAsia="en-US"/>
        </w:rPr>
        <w:t>W</w:t>
      </w:r>
      <w:r w:rsidR="00C47426">
        <w:rPr>
          <w:rFonts w:eastAsia="Calibri"/>
          <w:lang w:eastAsia="en-US"/>
        </w:rPr>
        <w:t>ith mechanical action</w:t>
      </w:r>
      <w:r w:rsidR="00C47426" w:rsidRPr="003719FE">
        <w:rPr>
          <w:rFonts w:eastAsia="Calibri"/>
          <w:lang w:eastAsia="en-US"/>
        </w:rPr>
        <w:t xml:space="preserve">: </w:t>
      </w:r>
    </w:p>
    <w:p w14:paraId="7DC8B694" w14:textId="152AE9E4" w:rsidR="00C47426" w:rsidRPr="00344BDC"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Pr>
          <w:rFonts w:eastAsia="Calibri"/>
          <w:lang w:eastAsia="en-US"/>
        </w:rPr>
        <w:t>T</w:t>
      </w:r>
      <w:r w:rsidRPr="003719FE">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w:t>
      </w:r>
      <w:r>
        <w:rPr>
          <w:rFonts w:eastAsia="Calibri"/>
          <w:lang w:eastAsia="en-US"/>
        </w:rPr>
        <w:t xml:space="preserve"> 10</w:t>
      </w:r>
      <w:r w:rsidRPr="000D7D14">
        <w:rPr>
          <w:rFonts w:eastAsia="Calibri"/>
          <w:lang w:eastAsia="en-US"/>
        </w:rPr>
        <w:t>%</w:t>
      </w:r>
      <w:r w:rsidR="00650FC6">
        <w:rPr>
          <w:rFonts w:eastAsia="Calibri"/>
          <w:lang w:eastAsia="en-US"/>
        </w:rPr>
        <w:t xml:space="preserve"> v/v</w:t>
      </w:r>
      <w:r w:rsidRPr="00F0256C">
        <w:rPr>
          <w:rFonts w:eastAsia="Calibri"/>
          <w:lang w:eastAsia="en-US"/>
        </w:rPr>
        <w:t>, 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1811545D" w14:textId="77777777" w:rsidR="00C47426" w:rsidRPr="00344BDC" w:rsidRDefault="00C47426" w:rsidP="009B459D">
      <w:pPr>
        <w:spacing w:line="260" w:lineRule="atLeast"/>
        <w:jc w:val="both"/>
        <w:rPr>
          <w:rFonts w:eastAsia="Calibri"/>
          <w:lang w:eastAsia="en-US"/>
        </w:rPr>
      </w:pPr>
    </w:p>
    <w:p w14:paraId="6BDE2C5B" w14:textId="186F07AB" w:rsidR="00C47426" w:rsidRPr="00AC665B" w:rsidRDefault="00C47426" w:rsidP="009B459D">
      <w:pPr>
        <w:pStyle w:val="Commentaire"/>
        <w:jc w:val="both"/>
      </w:pPr>
      <w:r w:rsidRPr="000D7D14">
        <w:rPr>
          <w:rFonts w:eastAsia="Calibri"/>
          <w:lang w:eastAsia="en-US"/>
        </w:rPr>
        <w:t xml:space="preserve">Use 3: </w:t>
      </w:r>
      <w:r w:rsidRPr="000D7D14">
        <w:t>Disinfectants for hard surfaces of industry, institution, healthcare facilities and healthcare</w:t>
      </w:r>
      <w:r w:rsidR="00650FC6">
        <w:t xml:space="preserve">, </w:t>
      </w:r>
      <w:r w:rsidRPr="000D7D14">
        <w:rPr>
          <w:rFonts w:eastAsia="Calibri"/>
          <w:lang w:eastAsia="en-US"/>
        </w:rPr>
        <w:t>with dirty conditions</w:t>
      </w:r>
      <w:r>
        <w:rPr>
          <w:rFonts w:eastAsia="Calibri"/>
          <w:lang w:eastAsia="en-US"/>
        </w:rPr>
        <w:t xml:space="preserve"> for non porous surfaces</w:t>
      </w:r>
      <w:r w:rsidR="00FC5B7E">
        <w:rPr>
          <w:rFonts w:eastAsia="Calibri"/>
          <w:lang w:eastAsia="en-US"/>
        </w:rPr>
        <w:t xml:space="preserve"> - PT2</w:t>
      </w:r>
    </w:p>
    <w:p w14:paraId="56444F06" w14:textId="00EDCB58" w:rsidR="00650FC6" w:rsidRDefault="00650FC6" w:rsidP="009B459D">
      <w:pPr>
        <w:spacing w:line="260" w:lineRule="atLeast"/>
        <w:jc w:val="both"/>
        <w:rPr>
          <w:rFonts w:eastAsia="Calibri"/>
          <w:lang w:eastAsia="en-US"/>
        </w:rPr>
      </w:pPr>
      <w:r>
        <w:rPr>
          <w:rFonts w:eastAsia="Calibri"/>
          <w:lang w:eastAsia="en-US"/>
        </w:rPr>
        <w:t>In healthcare, with</w:t>
      </w:r>
      <w:r w:rsidR="00561978">
        <w:rPr>
          <w:rFonts w:eastAsia="Calibri"/>
          <w:lang w:eastAsia="en-US"/>
        </w:rPr>
        <w:t xml:space="preserve"> non</w:t>
      </w:r>
      <w:r>
        <w:rPr>
          <w:rFonts w:eastAsia="Calibri"/>
          <w:lang w:eastAsia="en-US"/>
        </w:rPr>
        <w:t xml:space="preserve"> mechanical action: </w:t>
      </w:r>
    </w:p>
    <w:p w14:paraId="15988DFF" w14:textId="77777777" w:rsidR="00650FC6" w:rsidRPr="00344BDC" w:rsidRDefault="00650FC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w:t>
      </w:r>
      <w:r>
        <w:rPr>
          <w:rFonts w:eastAsia="Calibri"/>
          <w:lang w:eastAsia="en-US"/>
        </w:rPr>
        <w:t>,</w:t>
      </w:r>
      <w:r w:rsidRPr="000D7D14">
        <w:rPr>
          <w:rFonts w:eastAsia="Calibri"/>
          <w:lang w:eastAsia="en-US"/>
        </w:rPr>
        <w:t xml:space="preserve"> yeasts: 8%</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188C29EF" w14:textId="2CEB0F74" w:rsidR="00650FC6" w:rsidRDefault="00650FC6" w:rsidP="009B459D">
      <w:pPr>
        <w:spacing w:line="260" w:lineRule="atLeast"/>
        <w:jc w:val="both"/>
        <w:rPr>
          <w:rFonts w:eastAsia="Calibri"/>
          <w:lang w:eastAsia="en-US"/>
        </w:rPr>
      </w:pPr>
      <w:r>
        <w:rPr>
          <w:rFonts w:eastAsia="Calibri"/>
          <w:lang w:eastAsia="en-US"/>
        </w:rPr>
        <w:t>Other areas</w:t>
      </w:r>
      <w:r w:rsidR="00561978">
        <w:rPr>
          <w:rFonts w:eastAsia="Calibri"/>
          <w:lang w:eastAsia="en-US"/>
        </w:rPr>
        <w:t>, with non</w:t>
      </w:r>
      <w:r>
        <w:rPr>
          <w:rFonts w:eastAsia="Calibri"/>
          <w:lang w:eastAsia="en-US"/>
        </w:rPr>
        <w:t xml:space="preserve"> mechanical action: </w:t>
      </w:r>
    </w:p>
    <w:p w14:paraId="54317570" w14:textId="4D7B1B87" w:rsidR="00650FC6" w:rsidRPr="00344BDC" w:rsidRDefault="00650FC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yeasts: </w:t>
      </w:r>
      <w:r>
        <w:rPr>
          <w:rFonts w:eastAsia="Calibri"/>
          <w:lang w:eastAsia="en-US"/>
        </w:rPr>
        <w:t>5</w:t>
      </w:r>
      <w:r w:rsidRPr="000D7D14">
        <w:rPr>
          <w:rFonts w:eastAsia="Calibri"/>
          <w:lang w:eastAsia="en-US"/>
        </w:rPr>
        <w:t>%</w:t>
      </w:r>
      <w:r>
        <w:rPr>
          <w:rFonts w:eastAsia="Calibri"/>
          <w:lang w:eastAsia="en-US"/>
        </w:rPr>
        <w:t xml:space="preserve"> v/v</w:t>
      </w:r>
      <w:r w:rsidRPr="00F0256C">
        <w:rPr>
          <w:rFonts w:eastAsia="Calibri"/>
          <w:lang w:eastAsia="en-US"/>
        </w:rPr>
        <w:t>, 1</w:t>
      </w:r>
      <w:r w:rsidRPr="00820E0E">
        <w:rPr>
          <w:rFonts w:eastAsia="Calibri"/>
          <w:lang w:eastAsia="en-US"/>
        </w:rPr>
        <w:t>5 minutes</w:t>
      </w:r>
      <w:r w:rsidRPr="004D1209">
        <w:rPr>
          <w:rFonts w:eastAsia="Calibri"/>
          <w:lang w:eastAsia="en-US"/>
        </w:rPr>
        <w:t>,</w:t>
      </w:r>
      <w:r w:rsidRPr="00344BDC">
        <w:rPr>
          <w:rFonts w:eastAsia="Calibri"/>
          <w:lang w:eastAsia="en-US"/>
        </w:rPr>
        <w:t xml:space="preserve"> 20°C</w:t>
      </w:r>
    </w:p>
    <w:p w14:paraId="4560159E" w14:textId="77777777" w:rsidR="00650FC6" w:rsidRDefault="00650FC6" w:rsidP="009B459D">
      <w:pPr>
        <w:spacing w:line="260" w:lineRule="atLeast"/>
        <w:jc w:val="both"/>
        <w:rPr>
          <w:rFonts w:eastAsia="Calibri"/>
          <w:lang w:eastAsia="en-US"/>
        </w:rPr>
      </w:pPr>
      <w:r>
        <w:rPr>
          <w:rFonts w:eastAsia="Calibri"/>
          <w:lang w:eastAsia="en-US"/>
        </w:rPr>
        <w:t xml:space="preserve">All areas, with mechanical action: </w:t>
      </w:r>
    </w:p>
    <w:p w14:paraId="122A32F5" w14:textId="50E766B6" w:rsidR="00650FC6" w:rsidRPr="00344BDC" w:rsidRDefault="00650FC6" w:rsidP="009B459D">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Pr>
          <w:rFonts w:eastAsia="Calibri"/>
          <w:lang w:eastAsia="en-US"/>
        </w:rPr>
        <w:t xml:space="preserve"> 20°C.</w:t>
      </w:r>
    </w:p>
    <w:p w14:paraId="532DA7D1" w14:textId="77777777" w:rsidR="00C47426" w:rsidRPr="00877857" w:rsidRDefault="00C47426" w:rsidP="009B459D">
      <w:pPr>
        <w:spacing w:line="260" w:lineRule="atLeast"/>
        <w:jc w:val="both"/>
        <w:rPr>
          <w:rFonts w:ascii="Times New Roman" w:eastAsia="Calibri" w:hAnsi="Times New Roman"/>
          <w:i/>
          <w:iCs/>
          <w:lang w:eastAsia="en-US"/>
        </w:rPr>
      </w:pPr>
    </w:p>
    <w:p w14:paraId="198BDAD0" w14:textId="7D9D161C" w:rsidR="00C47426" w:rsidRPr="00AC665B" w:rsidRDefault="00C47426" w:rsidP="009B459D">
      <w:pPr>
        <w:pStyle w:val="Commentaire"/>
        <w:jc w:val="both"/>
      </w:pPr>
      <w:r>
        <w:rPr>
          <w:rFonts w:eastAsia="Calibri"/>
          <w:lang w:eastAsia="en-US"/>
        </w:rPr>
        <w:t>Use 4</w:t>
      </w:r>
      <w:r w:rsidRPr="00344BDC">
        <w:rPr>
          <w:rFonts w:eastAsia="Calibri"/>
          <w:lang w:eastAsia="en-US"/>
        </w:rPr>
        <w:t xml:space="preserve">: </w:t>
      </w:r>
      <w:r w:rsidRPr="000D7D14">
        <w:t>Disinfectants for hard surfaces of industry, institution and healthcare facilities areas</w:t>
      </w:r>
      <w:r w:rsidR="00650FC6">
        <w:t>,</w:t>
      </w:r>
      <w:r>
        <w:t xml:space="preserve"> </w:t>
      </w:r>
      <w:r w:rsidRPr="000D7D14">
        <w:rPr>
          <w:rFonts w:eastAsia="Calibri"/>
          <w:lang w:eastAsia="en-US"/>
        </w:rPr>
        <w:t>with dirty conditions</w:t>
      </w:r>
      <w:r>
        <w:rPr>
          <w:rFonts w:eastAsia="Calibri"/>
          <w:lang w:eastAsia="en-US"/>
        </w:rPr>
        <w:t xml:space="preserve"> for non porous surfaces</w:t>
      </w:r>
      <w:r w:rsidR="00061590">
        <w:rPr>
          <w:rFonts w:eastAsia="Calibri"/>
          <w:lang w:eastAsia="en-US"/>
        </w:rPr>
        <w:t xml:space="preserve"> – PT2</w:t>
      </w:r>
    </w:p>
    <w:p w14:paraId="255627E5" w14:textId="0E6618B3" w:rsidR="00C47426" w:rsidRPr="00344BDC" w:rsidRDefault="00C47426" w:rsidP="009B459D">
      <w:pPr>
        <w:spacing w:line="260" w:lineRule="atLeast"/>
        <w:jc w:val="both"/>
        <w:rPr>
          <w:rFonts w:eastAsia="Calibri"/>
          <w:lang w:eastAsia="en-US"/>
        </w:rPr>
      </w:pPr>
      <w:r w:rsidRPr="000B6C7F">
        <w:rPr>
          <w:rFonts w:eastAsia="Calibri"/>
          <w:lang w:eastAsia="en-US"/>
        </w:rPr>
        <w:t>With</w:t>
      </w:r>
      <w:r w:rsidR="00561978">
        <w:rPr>
          <w:rFonts w:eastAsia="Calibri"/>
          <w:lang w:eastAsia="en-US"/>
        </w:rPr>
        <w:t xml:space="preserve"> non</w:t>
      </w:r>
      <w:r w:rsidRPr="000B6C7F">
        <w:rPr>
          <w:rFonts w:eastAsia="Calibri"/>
          <w:lang w:eastAsia="en-US"/>
        </w:rPr>
        <w:t xml:space="preserve"> mechanical action:</w:t>
      </w:r>
    </w:p>
    <w:p w14:paraId="754536DB" w14:textId="7DCE4D7C" w:rsidR="00C47426" w:rsidRPr="00344BDC" w:rsidRDefault="00C47426" w:rsidP="009B459D">
      <w:pPr>
        <w:numPr>
          <w:ilvl w:val="0"/>
          <w:numId w:val="20"/>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yeasts:</w:t>
      </w:r>
      <w:r>
        <w:rPr>
          <w:rFonts w:eastAsia="Calibri"/>
          <w:lang w:eastAsia="en-US"/>
        </w:rPr>
        <w:t xml:space="preserve"> </w:t>
      </w:r>
      <w:r w:rsidR="005C3BBE">
        <w:rPr>
          <w:rFonts w:eastAsia="Calibri"/>
          <w:lang w:eastAsia="en-US"/>
        </w:rPr>
        <w:t>5</w:t>
      </w:r>
      <w:r w:rsidRPr="000D7D14">
        <w:rPr>
          <w:rFonts w:eastAsia="Calibri"/>
          <w:lang w:eastAsia="en-US"/>
        </w:rPr>
        <w:t>%</w:t>
      </w:r>
      <w:r w:rsidR="005C3BBE">
        <w:rPr>
          <w:rFonts w:eastAsia="Calibri"/>
          <w:lang w:eastAsia="en-US"/>
        </w:rPr>
        <w:t xml:space="preserve"> v/v</w:t>
      </w:r>
      <w:r>
        <w:rPr>
          <w:rFonts w:eastAsia="Calibri"/>
          <w:lang w:eastAsia="en-US"/>
        </w:rPr>
        <w:t>, 1</w:t>
      </w:r>
      <w:r w:rsidRPr="00F0256C">
        <w:rPr>
          <w:rFonts w:eastAsia="Calibri"/>
          <w:lang w:eastAsia="en-US"/>
        </w:rPr>
        <w:t>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7B567860" w14:textId="1000A47E" w:rsidR="00C47426" w:rsidRDefault="00C47426" w:rsidP="009B459D">
      <w:pPr>
        <w:spacing w:line="260" w:lineRule="atLeast"/>
        <w:jc w:val="both"/>
        <w:rPr>
          <w:rFonts w:eastAsia="Calibri"/>
          <w:lang w:eastAsia="en-US"/>
        </w:rPr>
      </w:pPr>
      <w:r>
        <w:rPr>
          <w:rFonts w:eastAsia="Calibri"/>
          <w:lang w:eastAsia="en-US"/>
        </w:rPr>
        <w:t>With mechanical action:</w:t>
      </w:r>
    </w:p>
    <w:p w14:paraId="3F54EECA" w14:textId="5BAEF210" w:rsidR="00C47426" w:rsidRPr="00344BDC" w:rsidRDefault="00C47426" w:rsidP="009B459D">
      <w:pPr>
        <w:numPr>
          <w:ilvl w:val="0"/>
          <w:numId w:val="20"/>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yeasts:</w:t>
      </w:r>
      <w:r>
        <w:rPr>
          <w:rFonts w:eastAsia="Calibri"/>
          <w:lang w:eastAsia="en-US"/>
        </w:rPr>
        <w:t xml:space="preserve"> 10</w:t>
      </w:r>
      <w:r w:rsidRPr="000D7D14">
        <w:rPr>
          <w:rFonts w:eastAsia="Calibri"/>
          <w:lang w:eastAsia="en-US"/>
        </w:rPr>
        <w:t>%</w:t>
      </w:r>
      <w:r w:rsidR="005C3BBE">
        <w:rPr>
          <w:rFonts w:eastAsia="Calibri"/>
          <w:lang w:eastAsia="en-US"/>
        </w:rPr>
        <w:t xml:space="preserve"> v/v</w:t>
      </w:r>
      <w:r>
        <w:rPr>
          <w:rFonts w:eastAsia="Calibri"/>
          <w:lang w:eastAsia="en-US"/>
        </w:rPr>
        <w:t xml:space="preserve">, </w:t>
      </w:r>
      <w:r w:rsidRPr="00F0256C">
        <w:rPr>
          <w:rFonts w:eastAsia="Calibri"/>
          <w:lang w:eastAsia="en-US"/>
        </w:rPr>
        <w:t>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38599539" w14:textId="77777777" w:rsidR="00C47426" w:rsidRPr="00344BDC" w:rsidRDefault="00C47426" w:rsidP="009B459D">
      <w:pPr>
        <w:spacing w:line="260" w:lineRule="atLeast"/>
        <w:jc w:val="both"/>
        <w:rPr>
          <w:rFonts w:eastAsia="Calibri"/>
          <w:lang w:eastAsia="en-US"/>
        </w:rPr>
      </w:pPr>
    </w:p>
    <w:p w14:paraId="5FBE7D61" w14:textId="77777777" w:rsidR="00C47426" w:rsidRPr="00820E0E" w:rsidRDefault="00C47426" w:rsidP="009B459D">
      <w:pPr>
        <w:spacing w:line="260" w:lineRule="atLeast"/>
        <w:jc w:val="both"/>
        <w:rPr>
          <w:rFonts w:eastAsia="Calibri"/>
          <w:lang w:eastAsia="en-US"/>
        </w:rPr>
      </w:pPr>
      <w:r w:rsidRPr="00F0256C">
        <w:rPr>
          <w:rFonts w:eastAsia="Calibri"/>
          <w:b/>
          <w:lang w:eastAsia="en-US"/>
        </w:rPr>
        <w:t>Meta-SPC 7</w:t>
      </w:r>
      <w:r w:rsidRPr="00F0256C">
        <w:rPr>
          <w:rFonts w:eastAsia="Calibri"/>
          <w:lang w:eastAsia="en-US"/>
        </w:rPr>
        <w:t xml:space="preserve">: </w:t>
      </w:r>
    </w:p>
    <w:p w14:paraId="167CADB7" w14:textId="213CFCD6" w:rsidR="00C47426" w:rsidRDefault="00C47426" w:rsidP="009B459D">
      <w:pPr>
        <w:spacing w:line="260" w:lineRule="atLeast"/>
        <w:jc w:val="both"/>
        <w:rPr>
          <w:rFonts w:eastAsia="Calibri"/>
          <w:lang w:eastAsia="en-US"/>
        </w:rPr>
      </w:pPr>
      <w:r>
        <w:rPr>
          <w:rFonts w:eastAsia="Calibri"/>
          <w:lang w:eastAsia="en-US"/>
        </w:rPr>
        <w:t>Use 1</w:t>
      </w:r>
      <w:r w:rsidRPr="004D1209">
        <w:rPr>
          <w:rFonts w:eastAsia="Calibri"/>
          <w:lang w:eastAsia="en-US"/>
        </w:rPr>
        <w:t xml:space="preserve">: </w:t>
      </w:r>
      <w:r w:rsidRPr="000D7D14">
        <w:t>Disinfectants for hard surfaces of industry, institution, healthcare facilities, healthcare and</w:t>
      </w:r>
      <w:r w:rsidR="00C32EB5">
        <w:t>,</w:t>
      </w:r>
      <w:r w:rsidRPr="000D7D14">
        <w:t xml:space="preserve"> food preparation and handling areas</w:t>
      </w:r>
      <w:r w:rsidR="00C32EB5">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ED3C34" w:rsidRPr="00ED3C34">
        <w:rPr>
          <w:rFonts w:eastAsia="Calibri"/>
          <w:lang w:eastAsia="en-US"/>
        </w:rPr>
        <w:t xml:space="preserve"> </w:t>
      </w:r>
      <w:r w:rsidR="00ED3C34">
        <w:rPr>
          <w:rFonts w:eastAsia="Calibri"/>
          <w:lang w:eastAsia="en-US"/>
        </w:rPr>
        <w:t>- PT2</w:t>
      </w:r>
      <w:r w:rsidR="003B4AF0">
        <w:rPr>
          <w:rFonts w:eastAsia="Calibri"/>
          <w:lang w:eastAsia="en-US"/>
        </w:rPr>
        <w:t xml:space="preserve"> and </w:t>
      </w:r>
      <w:r w:rsidR="00ED3C34">
        <w:rPr>
          <w:rFonts w:eastAsia="Calibri"/>
          <w:lang w:eastAsia="en-US"/>
        </w:rPr>
        <w:t>4:</w:t>
      </w:r>
    </w:p>
    <w:p w14:paraId="4821113C" w14:textId="3F067EF4" w:rsidR="00C47426" w:rsidRDefault="00C47426" w:rsidP="009B459D">
      <w:pPr>
        <w:spacing w:line="260" w:lineRule="atLeast"/>
        <w:jc w:val="both"/>
        <w:rPr>
          <w:rFonts w:eastAsia="Calibri"/>
          <w:lang w:eastAsia="en-US"/>
        </w:rPr>
      </w:pPr>
      <w:r>
        <w:rPr>
          <w:rFonts w:eastAsia="Calibri"/>
          <w:lang w:eastAsia="en-US"/>
        </w:rPr>
        <w:t xml:space="preserve">In </w:t>
      </w:r>
      <w:r w:rsidR="00C32EB5">
        <w:rPr>
          <w:rFonts w:eastAsia="Calibri"/>
          <w:lang w:eastAsia="en-US"/>
        </w:rPr>
        <w:t>healthcare area</w:t>
      </w:r>
      <w:r w:rsidR="00ED3C34">
        <w:rPr>
          <w:rFonts w:eastAsia="Calibri"/>
          <w:lang w:eastAsia="en-US"/>
        </w:rPr>
        <w:t>,</w:t>
      </w:r>
      <w:r>
        <w:rPr>
          <w:rFonts w:eastAsia="Calibri"/>
          <w:lang w:eastAsia="en-US"/>
        </w:rPr>
        <w:t xml:space="preserve"> with</w:t>
      </w:r>
      <w:r w:rsidR="00561978">
        <w:rPr>
          <w:rFonts w:eastAsia="Calibri"/>
          <w:lang w:eastAsia="en-US"/>
        </w:rPr>
        <w:t xml:space="preserve"> non</w:t>
      </w:r>
      <w:r>
        <w:rPr>
          <w:rFonts w:eastAsia="Calibri"/>
          <w:lang w:eastAsia="en-US"/>
        </w:rPr>
        <w:t xml:space="preserve"> mechanical action</w:t>
      </w:r>
      <w:r w:rsidR="00D34D25">
        <w:rPr>
          <w:rFonts w:eastAsia="Calibri"/>
          <w:lang w:eastAsia="en-US"/>
        </w:rPr>
        <w:t>:</w:t>
      </w:r>
      <w:r w:rsidR="00ED3C34">
        <w:rPr>
          <w:rFonts w:eastAsia="Calibri"/>
          <w:lang w:eastAsia="en-US"/>
        </w:rPr>
        <w:t xml:space="preserve"> </w:t>
      </w:r>
    </w:p>
    <w:p w14:paraId="379EF6C6" w14:textId="3D65A6EC"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sidR="00C32EB5">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686DEACF" w14:textId="1C57E010" w:rsidR="00C47426" w:rsidRDefault="00C47426" w:rsidP="009B459D">
      <w:pPr>
        <w:spacing w:line="260" w:lineRule="atLeast"/>
        <w:jc w:val="both"/>
        <w:rPr>
          <w:rFonts w:eastAsia="Calibri"/>
          <w:lang w:eastAsia="en-US"/>
        </w:rPr>
      </w:pPr>
      <w:r>
        <w:rPr>
          <w:rFonts w:eastAsia="Calibri"/>
          <w:lang w:eastAsia="en-US"/>
        </w:rPr>
        <w:t>Other areas</w:t>
      </w:r>
      <w:r w:rsidR="00561978">
        <w:rPr>
          <w:rFonts w:eastAsia="Calibri"/>
          <w:lang w:eastAsia="en-US"/>
        </w:rPr>
        <w:t>,</w:t>
      </w:r>
      <w:r>
        <w:rPr>
          <w:rFonts w:eastAsia="Calibri"/>
          <w:lang w:eastAsia="en-US"/>
        </w:rPr>
        <w:t xml:space="preserve"> with</w:t>
      </w:r>
      <w:r w:rsidR="00561978">
        <w:rPr>
          <w:rFonts w:eastAsia="Calibri"/>
          <w:lang w:eastAsia="en-US"/>
        </w:rPr>
        <w:t xml:space="preserve"> non</w:t>
      </w:r>
      <w:r>
        <w:rPr>
          <w:rFonts w:eastAsia="Calibri"/>
          <w:lang w:eastAsia="en-US"/>
        </w:rPr>
        <w:t xml:space="preserve"> mechanical action: </w:t>
      </w:r>
    </w:p>
    <w:p w14:paraId="5BD60215" w14:textId="7143BF8C" w:rsidR="00C47426" w:rsidRPr="00AC665B" w:rsidRDefault="00C47426" w:rsidP="009B459D">
      <w:pPr>
        <w:numPr>
          <w:ilvl w:val="0"/>
          <w:numId w:val="21"/>
        </w:numPr>
        <w:suppressAutoHyphens w:val="0"/>
        <w:spacing w:line="260" w:lineRule="atLeast"/>
        <w:jc w:val="both"/>
        <w:rPr>
          <w:rFonts w:ascii="Times New Roman" w:eastAsia="Calibri" w:hAnsi="Times New Roman"/>
          <w:i/>
          <w:iCs/>
          <w:lang w:eastAsia="en-US"/>
        </w:rPr>
      </w:pPr>
      <w:r w:rsidRPr="00AC665B">
        <w:rPr>
          <w:rFonts w:eastAsia="Calibri"/>
          <w:lang w:eastAsia="en-US"/>
        </w:rPr>
        <w:t>Bacteria, yeasts: 8%</w:t>
      </w:r>
      <w:r w:rsidR="00C32EB5">
        <w:rPr>
          <w:rFonts w:eastAsia="Calibri"/>
          <w:lang w:eastAsia="en-US"/>
        </w:rPr>
        <w:t xml:space="preserve"> v/v</w:t>
      </w:r>
      <w:r w:rsidRPr="00AC665B">
        <w:rPr>
          <w:rFonts w:eastAsia="Calibri"/>
          <w:lang w:eastAsia="en-US"/>
        </w:rPr>
        <w:t>, 15 minutes, 20°C and 6%</w:t>
      </w:r>
      <w:r w:rsidR="00C32EB5">
        <w:rPr>
          <w:rFonts w:eastAsia="Calibri"/>
          <w:lang w:eastAsia="en-US"/>
        </w:rPr>
        <w:t xml:space="preserve"> v/v</w:t>
      </w:r>
      <w:r w:rsidRPr="00AC665B">
        <w:rPr>
          <w:rFonts w:eastAsia="Calibri"/>
          <w:lang w:eastAsia="en-US"/>
        </w:rPr>
        <w:t>, 30 min</w:t>
      </w:r>
      <w:r w:rsidR="00C32EB5">
        <w:rPr>
          <w:rFonts w:eastAsia="Calibri"/>
          <w:lang w:eastAsia="en-US"/>
        </w:rPr>
        <w:t>utes,</w:t>
      </w:r>
      <w:r w:rsidRPr="00AC665B">
        <w:rPr>
          <w:rFonts w:eastAsia="Calibri"/>
          <w:lang w:eastAsia="en-US"/>
        </w:rPr>
        <w:t xml:space="preserve"> 40°C.</w:t>
      </w:r>
    </w:p>
    <w:p w14:paraId="3C1AB546" w14:textId="639160F8" w:rsidR="00C47426" w:rsidRDefault="00C47426" w:rsidP="009B459D">
      <w:pPr>
        <w:spacing w:line="260" w:lineRule="atLeast"/>
        <w:jc w:val="both"/>
        <w:rPr>
          <w:rFonts w:eastAsia="Calibri"/>
          <w:lang w:eastAsia="en-US"/>
        </w:rPr>
      </w:pPr>
      <w:r>
        <w:rPr>
          <w:rFonts w:eastAsia="Calibri"/>
          <w:lang w:eastAsia="en-US"/>
        </w:rPr>
        <w:t xml:space="preserve">All areas, with mechanical action: </w:t>
      </w:r>
    </w:p>
    <w:p w14:paraId="67A90981" w14:textId="3C0850A7"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sidR="00ED3C34">
        <w:rPr>
          <w:rFonts w:eastAsia="Calibri"/>
          <w:lang w:eastAsia="en-US"/>
        </w:rPr>
        <w:t xml:space="preserve"> v/v</w:t>
      </w:r>
      <w:r>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28CF0F97" w14:textId="77777777" w:rsidR="00C47426" w:rsidRPr="000D7D14" w:rsidRDefault="00C47426" w:rsidP="009B459D">
      <w:pPr>
        <w:spacing w:line="260" w:lineRule="atLeast"/>
        <w:jc w:val="both"/>
        <w:rPr>
          <w:rFonts w:eastAsia="Calibri"/>
          <w:lang w:eastAsia="en-US"/>
        </w:rPr>
      </w:pPr>
    </w:p>
    <w:p w14:paraId="2A95E501" w14:textId="50C7DBC5" w:rsidR="00C47426" w:rsidRPr="000B6C7F" w:rsidRDefault="00C47426" w:rsidP="009B459D">
      <w:pPr>
        <w:jc w:val="both"/>
        <w:rPr>
          <w:lang w:eastAsia="de-DE"/>
        </w:rPr>
      </w:pPr>
      <w:r w:rsidRPr="000D7D14">
        <w:rPr>
          <w:rFonts w:eastAsia="Calibri"/>
          <w:lang w:eastAsia="en-US"/>
        </w:rPr>
        <w:t xml:space="preserve">Use 2: </w:t>
      </w:r>
      <w:r w:rsidRPr="000D7D14">
        <w:t>Disinfectants for hard surfaces of industry, institution, healthcare facilities and</w:t>
      </w:r>
      <w:r w:rsidR="00ED3C34">
        <w:t>,</w:t>
      </w:r>
      <w:r w:rsidRPr="000D7D14">
        <w:t xml:space="preserve"> food preparation and handling areas</w:t>
      </w:r>
      <w:r w:rsidR="00ED3C34">
        <w:t>,</w:t>
      </w:r>
      <w:r w:rsidRPr="000D7D14">
        <w:rPr>
          <w:rFonts w:eastAsia="Calibri"/>
          <w:lang w:eastAsia="en-US"/>
        </w:rPr>
        <w:t xml:space="preserve"> with dirty conditions</w:t>
      </w:r>
      <w:r>
        <w:rPr>
          <w:rFonts w:eastAsia="Calibri"/>
          <w:lang w:eastAsia="en-US"/>
        </w:rPr>
        <w:t xml:space="preserve"> for non porous surfaces</w:t>
      </w:r>
      <w:r w:rsidR="00ED3C34">
        <w:rPr>
          <w:rFonts w:eastAsia="Calibri"/>
          <w:lang w:eastAsia="en-US"/>
        </w:rPr>
        <w:t xml:space="preserve"> - PT2</w:t>
      </w:r>
      <w:r w:rsidR="003B4AF0">
        <w:rPr>
          <w:rFonts w:eastAsia="Calibri"/>
          <w:lang w:eastAsia="en-US"/>
        </w:rPr>
        <w:t xml:space="preserve"> and </w:t>
      </w:r>
      <w:r w:rsidR="00ED3C34">
        <w:rPr>
          <w:rFonts w:eastAsia="Calibri"/>
          <w:lang w:eastAsia="en-US"/>
        </w:rPr>
        <w:t>4</w:t>
      </w:r>
    </w:p>
    <w:p w14:paraId="0FEF988F" w14:textId="33E11FDD" w:rsidR="00C47426" w:rsidRDefault="00ED3C34" w:rsidP="009B459D">
      <w:pPr>
        <w:spacing w:line="260" w:lineRule="atLeast"/>
        <w:jc w:val="both"/>
        <w:rPr>
          <w:rFonts w:eastAsia="Calibri"/>
          <w:lang w:eastAsia="en-US"/>
        </w:rPr>
      </w:pPr>
      <w:r>
        <w:rPr>
          <w:rFonts w:eastAsia="Calibri"/>
          <w:lang w:eastAsia="en-US"/>
        </w:rPr>
        <w:t>W</w:t>
      </w:r>
      <w:r w:rsidR="00C47426">
        <w:rPr>
          <w:rFonts w:eastAsia="Calibri"/>
          <w:lang w:eastAsia="en-US"/>
        </w:rPr>
        <w:t>ith</w:t>
      </w:r>
      <w:r w:rsidR="00561978">
        <w:rPr>
          <w:rFonts w:eastAsia="Calibri"/>
          <w:lang w:eastAsia="en-US"/>
        </w:rPr>
        <w:t xml:space="preserve"> non</w:t>
      </w:r>
      <w:r w:rsidR="00C47426">
        <w:rPr>
          <w:rFonts w:eastAsia="Calibri"/>
          <w:lang w:eastAsia="en-US"/>
        </w:rPr>
        <w:t xml:space="preserve"> mechanical action:</w:t>
      </w:r>
    </w:p>
    <w:p w14:paraId="75BC6436" w14:textId="435A66DE" w:rsidR="00C47426" w:rsidRPr="00E91F85" w:rsidRDefault="00C47426" w:rsidP="009B459D">
      <w:pPr>
        <w:numPr>
          <w:ilvl w:val="0"/>
          <w:numId w:val="21"/>
        </w:numPr>
        <w:suppressAutoHyphens w:val="0"/>
        <w:spacing w:line="260" w:lineRule="atLeast"/>
        <w:jc w:val="both"/>
        <w:rPr>
          <w:rFonts w:ascii="Times New Roman" w:eastAsia="Calibri" w:hAnsi="Times New Roman"/>
          <w:i/>
          <w:iCs/>
          <w:lang w:eastAsia="en-US"/>
        </w:rPr>
      </w:pPr>
      <w:r w:rsidRPr="00E91F85">
        <w:rPr>
          <w:rFonts w:eastAsia="Calibri"/>
          <w:lang w:eastAsia="en-US"/>
        </w:rPr>
        <w:t>Bacteria, yeasts: 8%</w:t>
      </w:r>
      <w:r w:rsidR="00ED3C34">
        <w:rPr>
          <w:rFonts w:eastAsia="Calibri"/>
          <w:lang w:eastAsia="en-US"/>
        </w:rPr>
        <w:t xml:space="preserve"> v/v</w:t>
      </w:r>
      <w:r w:rsidRPr="00E91F85">
        <w:rPr>
          <w:rFonts w:eastAsia="Calibri"/>
          <w:lang w:eastAsia="en-US"/>
        </w:rPr>
        <w:t xml:space="preserve">, 15 minutes, 20°C </w:t>
      </w:r>
      <w:r w:rsidR="00ED3C34" w:rsidRPr="00E91F85">
        <w:rPr>
          <w:rFonts w:eastAsia="Calibri"/>
          <w:lang w:eastAsia="en-US"/>
        </w:rPr>
        <w:t xml:space="preserve">and </w:t>
      </w:r>
      <w:r w:rsidRPr="00E91F85">
        <w:rPr>
          <w:rFonts w:eastAsia="Calibri"/>
          <w:lang w:eastAsia="en-US"/>
        </w:rPr>
        <w:t>6%</w:t>
      </w:r>
      <w:r w:rsidR="00ED3C34">
        <w:rPr>
          <w:rFonts w:eastAsia="Calibri"/>
          <w:lang w:eastAsia="en-US"/>
        </w:rPr>
        <w:t xml:space="preserve"> v/v</w:t>
      </w:r>
      <w:r w:rsidRPr="00E91F85">
        <w:rPr>
          <w:rFonts w:eastAsia="Calibri"/>
          <w:lang w:eastAsia="en-US"/>
        </w:rPr>
        <w:t>, 30 min</w:t>
      </w:r>
      <w:r w:rsidR="00ED3C34">
        <w:rPr>
          <w:rFonts w:eastAsia="Calibri"/>
          <w:lang w:eastAsia="en-US"/>
        </w:rPr>
        <w:t>utes,</w:t>
      </w:r>
      <w:r w:rsidRPr="00E91F85">
        <w:rPr>
          <w:rFonts w:eastAsia="Calibri"/>
          <w:lang w:eastAsia="en-US"/>
        </w:rPr>
        <w:t xml:space="preserve"> 40°C.</w:t>
      </w:r>
    </w:p>
    <w:p w14:paraId="575D69A5" w14:textId="21132F2E" w:rsidR="00C47426" w:rsidRPr="008D5E36" w:rsidRDefault="00ED3C34" w:rsidP="009B459D">
      <w:pPr>
        <w:spacing w:line="260" w:lineRule="atLeast"/>
        <w:jc w:val="both"/>
        <w:rPr>
          <w:rFonts w:eastAsia="Calibri"/>
          <w:lang w:eastAsia="en-US"/>
        </w:rPr>
      </w:pPr>
      <w:r>
        <w:rPr>
          <w:rFonts w:eastAsia="Calibri"/>
          <w:lang w:eastAsia="en-US"/>
        </w:rPr>
        <w:lastRenderedPageBreak/>
        <w:t>W</w:t>
      </w:r>
      <w:r w:rsidR="00C47426" w:rsidRPr="008D5E36">
        <w:rPr>
          <w:rFonts w:eastAsia="Calibri"/>
          <w:lang w:eastAsia="en-US"/>
        </w:rPr>
        <w:t>ith mechanical action:</w:t>
      </w:r>
    </w:p>
    <w:p w14:paraId="35AACCDD" w14:textId="712CBA45"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sidR="00ED3C34">
        <w:rPr>
          <w:rFonts w:eastAsia="Calibri"/>
          <w:lang w:eastAsia="en-US"/>
        </w:rPr>
        <w:t xml:space="preserve"> v/v</w:t>
      </w:r>
      <w:r>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7481FFAA" w14:textId="77777777" w:rsidR="00C47426" w:rsidRPr="000D7D14" w:rsidRDefault="00C47426" w:rsidP="009B459D">
      <w:pPr>
        <w:spacing w:line="260" w:lineRule="atLeast"/>
        <w:jc w:val="both"/>
        <w:rPr>
          <w:rFonts w:eastAsia="Calibri"/>
          <w:lang w:eastAsia="en-US"/>
        </w:rPr>
      </w:pPr>
    </w:p>
    <w:p w14:paraId="3A3A249A" w14:textId="3366BF3F" w:rsidR="00C47426" w:rsidRPr="00AC665B" w:rsidRDefault="00C47426" w:rsidP="009B459D">
      <w:pPr>
        <w:spacing w:line="260" w:lineRule="atLeast"/>
        <w:jc w:val="both"/>
        <w:rPr>
          <w:rFonts w:eastAsia="Calibri"/>
          <w:lang w:eastAsia="en-US"/>
        </w:rPr>
      </w:pPr>
      <w:r w:rsidRPr="000D7D14">
        <w:rPr>
          <w:rFonts w:eastAsia="Calibri"/>
          <w:lang w:eastAsia="en-US"/>
        </w:rPr>
        <w:t xml:space="preserve">Use 3: </w:t>
      </w:r>
      <w:r w:rsidRPr="000D7D14">
        <w:t>Disinfectants for hard surfaces of industry, institution, healthcare facilities and healthcare</w:t>
      </w:r>
      <w:r w:rsidR="00ED3C34">
        <w:t>,</w:t>
      </w:r>
      <w:r w:rsidRPr="000D7D14">
        <w:rPr>
          <w:rFonts w:eastAsia="Calibri"/>
          <w:lang w:eastAsia="en-US"/>
        </w:rPr>
        <w:t xml:space="preserve"> with dirty conditions</w:t>
      </w:r>
      <w:r>
        <w:rPr>
          <w:rFonts w:eastAsia="Calibri"/>
          <w:lang w:eastAsia="en-US"/>
        </w:rPr>
        <w:t xml:space="preserve"> for non porous surfaces</w:t>
      </w:r>
      <w:r w:rsidR="00561978">
        <w:rPr>
          <w:rFonts w:eastAsia="Calibri"/>
          <w:lang w:eastAsia="en-US"/>
        </w:rPr>
        <w:t xml:space="preserve"> </w:t>
      </w:r>
      <w:r w:rsidR="00ED3C34">
        <w:rPr>
          <w:rFonts w:eastAsia="Calibri"/>
          <w:lang w:eastAsia="en-US"/>
        </w:rPr>
        <w:t>– PT2</w:t>
      </w:r>
    </w:p>
    <w:p w14:paraId="47648F4A" w14:textId="34E11A6C" w:rsidR="00561978" w:rsidRDefault="00561978" w:rsidP="009B459D">
      <w:pPr>
        <w:spacing w:line="260" w:lineRule="atLeast"/>
        <w:jc w:val="both"/>
        <w:rPr>
          <w:rFonts w:eastAsia="Calibri"/>
          <w:lang w:eastAsia="en-US"/>
        </w:rPr>
      </w:pPr>
      <w:r>
        <w:rPr>
          <w:rFonts w:eastAsia="Calibri"/>
          <w:lang w:eastAsia="en-US"/>
        </w:rPr>
        <w:t>In healthcare area, with non mechanical action</w:t>
      </w:r>
      <w:r w:rsidR="00D34D25">
        <w:rPr>
          <w:rFonts w:eastAsia="Calibri"/>
          <w:lang w:eastAsia="en-US"/>
        </w:rPr>
        <w:t>:</w:t>
      </w:r>
      <w:r>
        <w:rPr>
          <w:rFonts w:eastAsia="Calibri"/>
          <w:lang w:eastAsia="en-US"/>
        </w:rPr>
        <w:t xml:space="preserve"> </w:t>
      </w:r>
    </w:p>
    <w:p w14:paraId="77D9DC00" w14:textId="77777777" w:rsidR="00561978" w:rsidRPr="00344BDC" w:rsidRDefault="00561978"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7BD9EF32" w14:textId="55A1C087" w:rsidR="00561978" w:rsidRDefault="00561978" w:rsidP="009B459D">
      <w:pPr>
        <w:spacing w:line="260" w:lineRule="atLeast"/>
        <w:jc w:val="both"/>
        <w:rPr>
          <w:rFonts w:eastAsia="Calibri"/>
          <w:lang w:eastAsia="en-US"/>
        </w:rPr>
      </w:pPr>
      <w:r>
        <w:rPr>
          <w:rFonts w:eastAsia="Calibri"/>
          <w:lang w:eastAsia="en-US"/>
        </w:rPr>
        <w:t xml:space="preserve">Other areas, with non mechanical action: </w:t>
      </w:r>
    </w:p>
    <w:p w14:paraId="72BA5376" w14:textId="364EB457" w:rsidR="00561978" w:rsidRPr="00AC665B" w:rsidRDefault="00561978" w:rsidP="009B459D">
      <w:pPr>
        <w:numPr>
          <w:ilvl w:val="0"/>
          <w:numId w:val="21"/>
        </w:numPr>
        <w:suppressAutoHyphens w:val="0"/>
        <w:spacing w:line="260" w:lineRule="atLeast"/>
        <w:jc w:val="both"/>
        <w:rPr>
          <w:rFonts w:ascii="Times New Roman" w:eastAsia="Calibri" w:hAnsi="Times New Roman"/>
          <w:i/>
          <w:iCs/>
          <w:lang w:eastAsia="en-US"/>
        </w:rPr>
      </w:pPr>
      <w:r w:rsidRPr="00AC665B">
        <w:rPr>
          <w:rFonts w:eastAsia="Calibri"/>
          <w:lang w:eastAsia="en-US"/>
        </w:rPr>
        <w:t>Bacteria, yeasts: 8%</w:t>
      </w:r>
      <w:r>
        <w:rPr>
          <w:rFonts w:eastAsia="Calibri"/>
          <w:lang w:eastAsia="en-US"/>
        </w:rPr>
        <w:t xml:space="preserve"> v/v</w:t>
      </w:r>
      <w:r w:rsidRPr="00AC665B">
        <w:rPr>
          <w:rFonts w:eastAsia="Calibri"/>
          <w:lang w:eastAsia="en-US"/>
        </w:rPr>
        <w:t>, 15 minutes, 20°C.</w:t>
      </w:r>
    </w:p>
    <w:p w14:paraId="13094A91" w14:textId="77777777" w:rsidR="00561978" w:rsidRDefault="00561978" w:rsidP="009B459D">
      <w:pPr>
        <w:spacing w:line="260" w:lineRule="atLeast"/>
        <w:jc w:val="both"/>
        <w:rPr>
          <w:rFonts w:eastAsia="Calibri"/>
          <w:lang w:eastAsia="en-US"/>
        </w:rPr>
      </w:pPr>
      <w:r>
        <w:rPr>
          <w:rFonts w:eastAsia="Calibri"/>
          <w:lang w:eastAsia="en-US"/>
        </w:rPr>
        <w:t xml:space="preserve">All areas, with mechanical action: </w:t>
      </w:r>
    </w:p>
    <w:p w14:paraId="667E51F3" w14:textId="77777777" w:rsidR="00561978" w:rsidRPr="00344BDC" w:rsidRDefault="00561978"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05605AFB" w14:textId="77777777" w:rsidR="00C47426" w:rsidRPr="000D7D14" w:rsidRDefault="00C47426" w:rsidP="009B459D">
      <w:pPr>
        <w:suppressAutoHyphens w:val="0"/>
        <w:spacing w:line="260" w:lineRule="atLeast"/>
        <w:ind w:left="720"/>
        <w:jc w:val="both"/>
        <w:rPr>
          <w:rFonts w:eastAsia="Calibri"/>
          <w:lang w:eastAsia="en-US"/>
        </w:rPr>
      </w:pPr>
    </w:p>
    <w:p w14:paraId="5C8F0D5F" w14:textId="129C1E93" w:rsidR="00C47426" w:rsidRDefault="00C47426" w:rsidP="009B459D">
      <w:pPr>
        <w:spacing w:line="260" w:lineRule="atLeast"/>
        <w:jc w:val="both"/>
        <w:rPr>
          <w:rFonts w:eastAsia="Calibri"/>
          <w:lang w:eastAsia="en-US"/>
        </w:rPr>
      </w:pPr>
      <w:r w:rsidRPr="000D7D14">
        <w:rPr>
          <w:rFonts w:eastAsia="Calibri"/>
          <w:lang w:eastAsia="en-US"/>
        </w:rPr>
        <w:t xml:space="preserve">Use 4: </w:t>
      </w:r>
      <w:r w:rsidRPr="000D7D14">
        <w:t>Disinfectants for hard surfaces of industry, institution and healthcare facilities</w:t>
      </w:r>
      <w:r w:rsidR="00ED3C34">
        <w:t>,</w:t>
      </w:r>
      <w:r>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ED3C34">
        <w:rPr>
          <w:rFonts w:eastAsia="Calibri"/>
          <w:lang w:eastAsia="en-US"/>
        </w:rPr>
        <w:t xml:space="preserve"> – PT2</w:t>
      </w:r>
    </w:p>
    <w:p w14:paraId="7700EC92" w14:textId="5F8C04A0" w:rsidR="00C47426" w:rsidRPr="000D7D14" w:rsidRDefault="00C47426" w:rsidP="009B459D">
      <w:pPr>
        <w:spacing w:line="260" w:lineRule="atLeast"/>
        <w:jc w:val="both"/>
        <w:rPr>
          <w:rFonts w:eastAsia="Calibri"/>
          <w:lang w:eastAsia="en-US"/>
        </w:rPr>
      </w:pPr>
      <w:r>
        <w:rPr>
          <w:rFonts w:eastAsia="Calibri"/>
          <w:lang w:eastAsia="en-US"/>
        </w:rPr>
        <w:t>With</w:t>
      </w:r>
      <w:r w:rsidR="00561978">
        <w:rPr>
          <w:rFonts w:eastAsia="Calibri"/>
          <w:lang w:eastAsia="en-US"/>
        </w:rPr>
        <w:t xml:space="preserve"> non</w:t>
      </w:r>
      <w:r>
        <w:rPr>
          <w:rFonts w:eastAsia="Calibri"/>
          <w:lang w:eastAsia="en-US"/>
        </w:rPr>
        <w:t xml:space="preserve"> mechanical action:</w:t>
      </w:r>
    </w:p>
    <w:p w14:paraId="79808EED" w14:textId="2FCE5F30" w:rsidR="00C47426" w:rsidRPr="000D7D14" w:rsidRDefault="00C47426" w:rsidP="009B459D">
      <w:pPr>
        <w:numPr>
          <w:ilvl w:val="0"/>
          <w:numId w:val="21"/>
        </w:numPr>
        <w:suppressAutoHyphens w:val="0"/>
        <w:spacing w:line="260" w:lineRule="atLeast"/>
        <w:jc w:val="both"/>
        <w:rPr>
          <w:rFonts w:eastAsia="Calibri"/>
          <w:lang w:eastAsia="en-US"/>
        </w:rPr>
      </w:pPr>
      <w:r w:rsidRPr="000D7D14">
        <w:rPr>
          <w:rFonts w:eastAsia="Calibri"/>
          <w:lang w:eastAsia="en-US"/>
        </w:rPr>
        <w:t xml:space="preserve">Bacteria, yeasts: </w:t>
      </w:r>
      <w:r>
        <w:rPr>
          <w:rFonts w:eastAsia="Calibri"/>
          <w:lang w:eastAsia="en-US"/>
        </w:rPr>
        <w:t>8</w:t>
      </w:r>
      <w:r w:rsidRPr="000D7D14">
        <w:rPr>
          <w:rFonts w:eastAsia="Calibri"/>
          <w:lang w:eastAsia="en-US"/>
        </w:rPr>
        <w:t>%</w:t>
      </w:r>
      <w:r w:rsidR="00ED3C34">
        <w:rPr>
          <w:rFonts w:eastAsia="Calibri"/>
          <w:lang w:eastAsia="en-US"/>
        </w:rPr>
        <w:t xml:space="preserve"> v/v</w:t>
      </w:r>
      <w:r w:rsidRPr="000D7D14">
        <w:rPr>
          <w:rFonts w:eastAsia="Calibri"/>
          <w:lang w:eastAsia="en-US"/>
        </w:rPr>
        <w:t xml:space="preserve">, 15 minutes, 20°C </w:t>
      </w:r>
    </w:p>
    <w:p w14:paraId="53F81DE5" w14:textId="199A487E" w:rsidR="00C47426" w:rsidRPr="008D5E36" w:rsidRDefault="00C47426" w:rsidP="009B459D">
      <w:pPr>
        <w:spacing w:line="260" w:lineRule="atLeast"/>
        <w:jc w:val="both"/>
        <w:rPr>
          <w:rFonts w:eastAsia="Calibri"/>
          <w:lang w:eastAsia="en-US"/>
        </w:rPr>
      </w:pPr>
      <w:r w:rsidRPr="008D5E36">
        <w:rPr>
          <w:rFonts w:eastAsia="Calibri"/>
          <w:lang w:eastAsia="en-US"/>
        </w:rPr>
        <w:t>With mechanical action:</w:t>
      </w:r>
    </w:p>
    <w:p w14:paraId="709FC782" w14:textId="0E59B6B5" w:rsidR="00C47426" w:rsidRPr="00344BDC" w:rsidRDefault="00C47426" w:rsidP="009B459D">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sidR="00ED3C34">
        <w:rPr>
          <w:rFonts w:eastAsia="Calibri"/>
          <w:lang w:eastAsia="en-US"/>
        </w:rPr>
        <w:t xml:space="preserve"> v/v</w:t>
      </w:r>
      <w:r>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3A24FA69" w14:textId="77777777" w:rsidR="00D34D25" w:rsidRDefault="00D34D25" w:rsidP="009B459D">
      <w:pPr>
        <w:spacing w:line="260" w:lineRule="atLeast"/>
        <w:jc w:val="both"/>
        <w:rPr>
          <w:rFonts w:eastAsia="Calibri"/>
          <w:b/>
          <w:lang w:eastAsia="en-US"/>
        </w:rPr>
      </w:pPr>
    </w:p>
    <w:p w14:paraId="6A113437" w14:textId="398F2045" w:rsidR="00C47426" w:rsidRPr="000D7D14" w:rsidRDefault="00C47426" w:rsidP="009B459D">
      <w:pPr>
        <w:spacing w:line="260" w:lineRule="atLeast"/>
        <w:jc w:val="both"/>
        <w:rPr>
          <w:rFonts w:eastAsia="Calibri"/>
          <w:lang w:eastAsia="en-US"/>
        </w:rPr>
      </w:pPr>
      <w:r w:rsidRPr="000D7D14">
        <w:rPr>
          <w:rFonts w:eastAsia="Calibri"/>
          <w:b/>
          <w:lang w:eastAsia="en-US"/>
        </w:rPr>
        <w:t>Meta-SPC 8</w:t>
      </w:r>
      <w:r w:rsidRPr="000D7D14">
        <w:rPr>
          <w:rFonts w:eastAsia="Calibri"/>
          <w:lang w:eastAsia="en-US"/>
        </w:rPr>
        <w:t xml:space="preserve">: </w:t>
      </w:r>
    </w:p>
    <w:p w14:paraId="310D10F3" w14:textId="79B7CD04" w:rsidR="00C47426" w:rsidRDefault="00C47426" w:rsidP="009B459D">
      <w:pPr>
        <w:spacing w:line="260" w:lineRule="atLeast"/>
        <w:jc w:val="both"/>
        <w:rPr>
          <w:rFonts w:eastAsia="Calibri"/>
          <w:lang w:eastAsia="en-US"/>
        </w:rPr>
      </w:pPr>
      <w:r>
        <w:rPr>
          <w:rFonts w:eastAsia="Calibri"/>
          <w:lang w:eastAsia="en-US"/>
        </w:rPr>
        <w:t>Use 1</w:t>
      </w:r>
      <w:r w:rsidRPr="000D7D14">
        <w:rPr>
          <w:rFonts w:eastAsia="Calibri"/>
          <w:lang w:eastAsia="en-US"/>
        </w:rPr>
        <w:t xml:space="preserve">: </w:t>
      </w:r>
      <w:r w:rsidRPr="000D7D14">
        <w:t>Disinfectants for hard surfaces of domestic area</w:t>
      </w:r>
      <w:r w:rsidRPr="000D7D14">
        <w:rPr>
          <w:rFonts w:eastAsia="Calibri"/>
          <w:lang w:eastAsia="en-US"/>
        </w:rPr>
        <w:t xml:space="preserve"> with dirty conditions</w:t>
      </w:r>
      <w:r>
        <w:rPr>
          <w:rFonts w:eastAsia="Calibri"/>
          <w:lang w:eastAsia="en-US"/>
        </w:rPr>
        <w:t xml:space="preserve"> for non porous surfaces</w:t>
      </w:r>
      <w:r w:rsidR="00EB2248">
        <w:rPr>
          <w:rFonts w:eastAsia="Calibri"/>
          <w:lang w:eastAsia="en-US"/>
        </w:rPr>
        <w:t xml:space="preserve"> - PT2</w:t>
      </w:r>
      <w:r w:rsidRPr="000D7D14">
        <w:rPr>
          <w:rFonts w:eastAsia="Calibri"/>
          <w:lang w:eastAsia="en-US"/>
        </w:rPr>
        <w:t xml:space="preserve"> </w:t>
      </w:r>
    </w:p>
    <w:p w14:paraId="5D50147D" w14:textId="77777777" w:rsidR="00C47426" w:rsidRPr="000D7D14" w:rsidRDefault="00C47426" w:rsidP="009B459D">
      <w:pPr>
        <w:spacing w:line="260" w:lineRule="atLeast"/>
        <w:jc w:val="both"/>
        <w:rPr>
          <w:rFonts w:eastAsia="Calibri"/>
          <w:lang w:eastAsia="en-US"/>
        </w:rPr>
      </w:pPr>
      <w:r w:rsidRPr="008D5E36">
        <w:rPr>
          <w:rFonts w:eastAsia="Calibri"/>
          <w:lang w:eastAsia="en-US"/>
        </w:rPr>
        <w:t xml:space="preserve">With mechanical action: </w:t>
      </w:r>
    </w:p>
    <w:p w14:paraId="642EF3EC" w14:textId="6C26DFE6" w:rsidR="00C47426" w:rsidRPr="000D7D14"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Bartonella henselae</w:t>
      </w:r>
      <w:r w:rsidRPr="000D7D14">
        <w:rPr>
          <w:rFonts w:eastAsia="Calibri"/>
          <w:lang w:eastAsia="en-US"/>
        </w:rPr>
        <w:t>): 6%</w:t>
      </w:r>
      <w:r w:rsidR="00EB2248">
        <w:rPr>
          <w:rFonts w:eastAsia="Calibri"/>
          <w:lang w:eastAsia="en-US"/>
        </w:rPr>
        <w:t xml:space="preserve"> v/v</w:t>
      </w:r>
      <w:r w:rsidRPr="000D7D14">
        <w:rPr>
          <w:rFonts w:eastAsia="Calibri"/>
          <w:lang w:eastAsia="en-US"/>
        </w:rPr>
        <w:t xml:space="preserve">, 5 minutes, 20°C </w:t>
      </w:r>
    </w:p>
    <w:p w14:paraId="45ACA133" w14:textId="77777777" w:rsidR="00C47426" w:rsidRPr="00F0256C" w:rsidRDefault="00C47426" w:rsidP="009B459D">
      <w:pPr>
        <w:spacing w:line="260" w:lineRule="atLeast"/>
        <w:jc w:val="both"/>
        <w:rPr>
          <w:rFonts w:eastAsia="Calibri"/>
          <w:lang w:eastAsia="en-US"/>
        </w:rPr>
      </w:pPr>
    </w:p>
    <w:p w14:paraId="0AB1021D" w14:textId="77777777" w:rsidR="00C47426" w:rsidRPr="00344BDC" w:rsidRDefault="00C47426" w:rsidP="009B459D">
      <w:pPr>
        <w:spacing w:line="260" w:lineRule="atLeast"/>
        <w:jc w:val="both"/>
        <w:rPr>
          <w:rFonts w:eastAsia="Calibri"/>
          <w:lang w:eastAsia="en-US"/>
        </w:rPr>
      </w:pPr>
      <w:r w:rsidRPr="00820E0E">
        <w:rPr>
          <w:rFonts w:eastAsia="Calibri"/>
          <w:b/>
          <w:lang w:eastAsia="en-US"/>
        </w:rPr>
        <w:t>Meta-SPC 9</w:t>
      </w:r>
      <w:r w:rsidRPr="004D1209">
        <w:rPr>
          <w:rFonts w:eastAsia="Calibri"/>
          <w:lang w:eastAsia="en-US"/>
        </w:rPr>
        <w:t xml:space="preserve">: </w:t>
      </w:r>
    </w:p>
    <w:p w14:paraId="43AACB2E" w14:textId="45A071B4" w:rsidR="00C47426" w:rsidRDefault="00C47426" w:rsidP="009B459D">
      <w:pPr>
        <w:spacing w:line="260" w:lineRule="atLeast"/>
        <w:jc w:val="both"/>
        <w:rPr>
          <w:rFonts w:eastAsia="Calibri"/>
          <w:lang w:eastAsia="en-US"/>
        </w:rPr>
      </w:pPr>
      <w:r w:rsidRPr="00344BDC">
        <w:rPr>
          <w:rFonts w:eastAsia="Calibri"/>
          <w:lang w:eastAsia="en-US"/>
        </w:rPr>
        <w:t xml:space="preserve">Use 1: </w:t>
      </w:r>
      <w:r w:rsidRPr="000D7D14">
        <w:t>Disinfectants for hard surfaces of domestic area</w:t>
      </w:r>
      <w:r w:rsidR="00EB2248">
        <w:t>,</w:t>
      </w:r>
      <w:r w:rsidRPr="00344BDC">
        <w:rPr>
          <w:rFonts w:eastAsia="Calibri"/>
          <w:lang w:eastAsia="en-US"/>
        </w:rPr>
        <w:t xml:space="preserve"> with dirty conditions</w:t>
      </w:r>
      <w:r>
        <w:rPr>
          <w:rFonts w:eastAsia="Calibri"/>
          <w:lang w:eastAsia="en-US"/>
        </w:rPr>
        <w:t xml:space="preserve"> for non porous surfaces</w:t>
      </w:r>
      <w:r w:rsidR="0055250E">
        <w:rPr>
          <w:rFonts w:eastAsia="Calibri"/>
          <w:lang w:eastAsia="en-US"/>
        </w:rPr>
        <w:t xml:space="preserve"> – PT2</w:t>
      </w:r>
    </w:p>
    <w:p w14:paraId="0A4189D8" w14:textId="3736DAC3" w:rsidR="00C47426" w:rsidRPr="000D7D14" w:rsidRDefault="00C47426" w:rsidP="009B459D">
      <w:pPr>
        <w:spacing w:line="260" w:lineRule="atLeast"/>
        <w:jc w:val="both"/>
        <w:rPr>
          <w:rFonts w:eastAsia="Calibri"/>
          <w:lang w:eastAsia="en-US"/>
        </w:rPr>
      </w:pPr>
      <w:r>
        <w:rPr>
          <w:rFonts w:eastAsia="Calibri"/>
          <w:lang w:eastAsia="en-US"/>
        </w:rPr>
        <w:t>With</w:t>
      </w:r>
      <w:r w:rsidR="0055250E">
        <w:rPr>
          <w:rFonts w:eastAsia="Calibri"/>
          <w:lang w:eastAsia="en-US"/>
        </w:rPr>
        <w:t xml:space="preserve"> no </w:t>
      </w:r>
      <w:r>
        <w:rPr>
          <w:rFonts w:eastAsia="Calibri"/>
          <w:lang w:eastAsia="en-US"/>
        </w:rPr>
        <w:t xml:space="preserve">mechanical action: </w:t>
      </w:r>
    </w:p>
    <w:p w14:paraId="0F51C6B0" w14:textId="4E73328C" w:rsidR="00C47426" w:rsidRPr="000D7D14"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Bartonella henselae</w:t>
      </w:r>
      <w:r w:rsidRPr="000D7D14">
        <w:rPr>
          <w:rFonts w:eastAsia="Calibri"/>
          <w:lang w:eastAsia="en-US"/>
        </w:rPr>
        <w:t xml:space="preserve">): 100%, 5 minutes, 20°C </w:t>
      </w:r>
    </w:p>
    <w:p w14:paraId="4F400FA6" w14:textId="77777777" w:rsidR="00C47426" w:rsidRPr="000D7D14" w:rsidRDefault="00C47426" w:rsidP="009B459D">
      <w:pPr>
        <w:spacing w:line="260" w:lineRule="atLeast"/>
        <w:jc w:val="both"/>
        <w:rPr>
          <w:rFonts w:eastAsia="Calibri"/>
          <w:lang w:eastAsia="en-US"/>
        </w:rPr>
      </w:pPr>
    </w:p>
    <w:p w14:paraId="67A5389B" w14:textId="74CE09C8" w:rsidR="00C47426" w:rsidRDefault="00C47426" w:rsidP="009B459D">
      <w:pPr>
        <w:spacing w:line="260" w:lineRule="atLeast"/>
        <w:jc w:val="both"/>
        <w:rPr>
          <w:rFonts w:eastAsia="Calibri"/>
          <w:lang w:eastAsia="en-US"/>
        </w:rPr>
      </w:pPr>
      <w:r>
        <w:rPr>
          <w:rFonts w:eastAsia="Calibri"/>
          <w:lang w:eastAsia="en-US"/>
        </w:rPr>
        <w:t>Use 2</w:t>
      </w:r>
      <w:r w:rsidRPr="000D7D14">
        <w:rPr>
          <w:rFonts w:eastAsia="Calibri"/>
          <w:lang w:eastAsia="en-US"/>
        </w:rPr>
        <w:t xml:space="preserve">: </w:t>
      </w:r>
      <w:r w:rsidRPr="000D7D14">
        <w:t xml:space="preserve">Disinfectants for hard surfaces </w:t>
      </w:r>
      <w:r w:rsidR="00976902">
        <w:t xml:space="preserve">of domestic area and </w:t>
      </w:r>
      <w:r w:rsidRPr="000D7D14">
        <w:t>in companion animals’ environment for private homes and pets shelters</w:t>
      </w:r>
      <w:r w:rsidR="00C174D4">
        <w:t>,</w:t>
      </w:r>
      <w:r w:rsidRPr="000D7D14">
        <w:rPr>
          <w:rFonts w:eastAsia="Calibri"/>
          <w:lang w:eastAsia="en-US"/>
        </w:rPr>
        <w:t xml:space="preserve"> with </w:t>
      </w:r>
      <w:r w:rsidR="00C174D4">
        <w:rPr>
          <w:rFonts w:eastAsia="Calibri"/>
          <w:lang w:eastAsia="en-US"/>
        </w:rPr>
        <w:t>clean</w:t>
      </w:r>
      <w:r w:rsidRPr="000D7D14">
        <w:rPr>
          <w:rFonts w:eastAsia="Calibri"/>
          <w:lang w:eastAsia="en-US"/>
        </w:rPr>
        <w:t xml:space="preserve"> conditions</w:t>
      </w:r>
      <w:r>
        <w:rPr>
          <w:rFonts w:eastAsia="Calibri"/>
          <w:lang w:eastAsia="en-US"/>
        </w:rPr>
        <w:t>, for non porous surfaces</w:t>
      </w:r>
      <w:r w:rsidR="0055250E">
        <w:rPr>
          <w:rFonts w:eastAsia="Calibri"/>
          <w:lang w:eastAsia="en-US"/>
        </w:rPr>
        <w:t xml:space="preserve"> –PT</w:t>
      </w:r>
      <w:r w:rsidR="00976902">
        <w:rPr>
          <w:rFonts w:eastAsia="Calibri"/>
          <w:lang w:eastAsia="en-US"/>
        </w:rPr>
        <w:t>2</w:t>
      </w:r>
      <w:r w:rsidR="003B4AF0">
        <w:rPr>
          <w:rFonts w:eastAsia="Calibri"/>
          <w:lang w:eastAsia="en-US"/>
        </w:rPr>
        <w:t xml:space="preserve"> and </w:t>
      </w:r>
      <w:r w:rsidR="0055250E">
        <w:rPr>
          <w:rFonts w:eastAsia="Calibri"/>
          <w:lang w:eastAsia="en-US"/>
        </w:rPr>
        <w:t>3</w:t>
      </w:r>
    </w:p>
    <w:p w14:paraId="48798254" w14:textId="07F6E2E8" w:rsidR="00C47426" w:rsidRPr="000D7D14" w:rsidRDefault="00C47426" w:rsidP="009B459D">
      <w:pPr>
        <w:spacing w:line="260" w:lineRule="atLeast"/>
        <w:jc w:val="both"/>
        <w:rPr>
          <w:rFonts w:eastAsia="Calibri"/>
          <w:lang w:eastAsia="en-US"/>
        </w:rPr>
      </w:pPr>
      <w:r>
        <w:rPr>
          <w:rFonts w:eastAsia="Calibri"/>
          <w:lang w:eastAsia="en-US"/>
        </w:rPr>
        <w:t xml:space="preserve">With </w:t>
      </w:r>
      <w:r w:rsidR="0055250E">
        <w:rPr>
          <w:rFonts w:eastAsia="Calibri"/>
          <w:lang w:eastAsia="en-US"/>
        </w:rPr>
        <w:t xml:space="preserve">no </w:t>
      </w:r>
      <w:r>
        <w:rPr>
          <w:rFonts w:eastAsia="Calibri"/>
          <w:lang w:eastAsia="en-US"/>
        </w:rPr>
        <w:t>mechanical action:</w:t>
      </w:r>
    </w:p>
    <w:p w14:paraId="78899931" w14:textId="225DAAB2" w:rsidR="00C47426" w:rsidRPr="00F0256C"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and yeasts: 100%, </w:t>
      </w:r>
      <w:r>
        <w:rPr>
          <w:rFonts w:eastAsia="Calibri"/>
          <w:lang w:eastAsia="en-US"/>
        </w:rPr>
        <w:t xml:space="preserve"> 120 </w:t>
      </w:r>
      <w:r w:rsidRPr="000D7D14">
        <w:rPr>
          <w:rFonts w:eastAsia="Calibri"/>
          <w:lang w:eastAsia="en-US"/>
        </w:rPr>
        <w:t xml:space="preserve">minutes, </w:t>
      </w:r>
      <w:r w:rsidR="00C174D4">
        <w:rPr>
          <w:rFonts w:eastAsia="Calibri"/>
          <w:lang w:eastAsia="en-US"/>
        </w:rPr>
        <w:t>2</w:t>
      </w:r>
      <w:r w:rsidRPr="000D7D14">
        <w:rPr>
          <w:rFonts w:eastAsia="Calibri"/>
          <w:lang w:eastAsia="en-US"/>
        </w:rPr>
        <w:t xml:space="preserve">0°C </w:t>
      </w:r>
    </w:p>
    <w:p w14:paraId="51C6F458" w14:textId="77777777" w:rsidR="00C47426" w:rsidRPr="00F0256C" w:rsidRDefault="00C47426" w:rsidP="009B459D">
      <w:pPr>
        <w:spacing w:line="260" w:lineRule="atLeast"/>
        <w:jc w:val="both"/>
        <w:rPr>
          <w:rFonts w:eastAsia="Calibri"/>
          <w:lang w:eastAsia="en-US"/>
        </w:rPr>
      </w:pPr>
    </w:p>
    <w:p w14:paraId="5898C46F" w14:textId="77777777" w:rsidR="00C47426" w:rsidRPr="00344BDC" w:rsidRDefault="00C47426" w:rsidP="009B459D">
      <w:pPr>
        <w:spacing w:line="260" w:lineRule="atLeast"/>
        <w:jc w:val="both"/>
        <w:rPr>
          <w:rFonts w:eastAsia="Calibri"/>
          <w:lang w:eastAsia="en-US"/>
        </w:rPr>
      </w:pPr>
      <w:r w:rsidRPr="00820E0E">
        <w:rPr>
          <w:rFonts w:eastAsia="Calibri"/>
          <w:b/>
          <w:lang w:eastAsia="en-US"/>
        </w:rPr>
        <w:t>Meta-SPC 10</w:t>
      </w:r>
      <w:r w:rsidRPr="004D1209">
        <w:rPr>
          <w:rFonts w:eastAsia="Calibri"/>
          <w:lang w:eastAsia="en-US"/>
        </w:rPr>
        <w:t xml:space="preserve">: </w:t>
      </w:r>
    </w:p>
    <w:p w14:paraId="77B4C8D0" w14:textId="7E6A3984" w:rsidR="00C47426" w:rsidRDefault="00C47426" w:rsidP="009B459D">
      <w:pPr>
        <w:spacing w:line="260" w:lineRule="atLeast"/>
        <w:jc w:val="both"/>
        <w:rPr>
          <w:rFonts w:eastAsia="Calibri"/>
          <w:lang w:eastAsia="en-US"/>
        </w:rPr>
      </w:pPr>
      <w:r w:rsidRPr="00344BDC">
        <w:rPr>
          <w:rFonts w:eastAsia="Calibri"/>
          <w:lang w:eastAsia="en-US"/>
        </w:rPr>
        <w:t xml:space="preserve">Use 1: </w:t>
      </w:r>
      <w:r w:rsidRPr="000D7D14">
        <w:t>Disinfectants for hard surfaces of domestic area</w:t>
      </w:r>
      <w:r w:rsidR="00C174D4">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C174D4">
        <w:rPr>
          <w:rFonts w:eastAsia="Calibri"/>
          <w:lang w:eastAsia="en-US"/>
        </w:rPr>
        <w:t xml:space="preserve"> – PT2:</w:t>
      </w:r>
    </w:p>
    <w:p w14:paraId="6D88C261" w14:textId="4A055EB4" w:rsidR="00C47426" w:rsidRPr="00B40EF2" w:rsidRDefault="00C47426" w:rsidP="009B459D">
      <w:pPr>
        <w:jc w:val="both"/>
        <w:rPr>
          <w:lang w:eastAsia="de-DE"/>
        </w:rPr>
      </w:pPr>
      <w:r>
        <w:rPr>
          <w:rFonts w:eastAsia="Calibri"/>
          <w:lang w:eastAsia="en-US"/>
        </w:rPr>
        <w:t xml:space="preserve">With </w:t>
      </w:r>
      <w:r w:rsidR="00C174D4">
        <w:rPr>
          <w:rFonts w:eastAsia="Calibri"/>
          <w:lang w:eastAsia="en-US"/>
        </w:rPr>
        <w:t xml:space="preserve">no </w:t>
      </w:r>
      <w:r>
        <w:rPr>
          <w:rFonts w:eastAsia="Calibri"/>
          <w:lang w:eastAsia="en-US"/>
        </w:rPr>
        <w:t xml:space="preserve">mechanical action: </w:t>
      </w:r>
    </w:p>
    <w:p w14:paraId="3295F5F4" w14:textId="151742DB" w:rsidR="00C47426" w:rsidRPr="000D7D14" w:rsidRDefault="00C47426" w:rsidP="009B459D">
      <w:pPr>
        <w:numPr>
          <w:ilvl w:val="0"/>
          <w:numId w:val="21"/>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0D7D14">
        <w:rPr>
          <w:rFonts w:eastAsia="Calibri"/>
          <w:i/>
          <w:lang w:eastAsia="en-US"/>
        </w:rPr>
        <w:t>Bartonella henselae</w:t>
      </w:r>
      <w:r w:rsidRPr="000D7D14">
        <w:rPr>
          <w:rFonts w:eastAsia="Calibri"/>
          <w:lang w:eastAsia="en-US"/>
        </w:rPr>
        <w:t>): 6%</w:t>
      </w:r>
      <w:r w:rsidR="00C174D4">
        <w:rPr>
          <w:rFonts w:eastAsia="Calibri"/>
          <w:lang w:eastAsia="en-US"/>
        </w:rPr>
        <w:t xml:space="preserve"> v/v</w:t>
      </w:r>
      <w:r w:rsidRPr="000D7D14">
        <w:rPr>
          <w:rFonts w:eastAsia="Calibri"/>
          <w:lang w:eastAsia="en-US"/>
        </w:rPr>
        <w:t>, 5 minutes, 20°C</w:t>
      </w:r>
    </w:p>
    <w:p w14:paraId="3E096F14" w14:textId="77777777" w:rsidR="00C47426" w:rsidRPr="000D7D14" w:rsidRDefault="00C47426" w:rsidP="009B459D">
      <w:pPr>
        <w:spacing w:line="260" w:lineRule="atLeast"/>
        <w:jc w:val="both"/>
        <w:rPr>
          <w:rFonts w:eastAsia="Calibri"/>
          <w:lang w:eastAsia="en-US"/>
        </w:rPr>
      </w:pPr>
    </w:p>
    <w:p w14:paraId="0AF71927" w14:textId="42835E3A" w:rsidR="00C47426" w:rsidRDefault="00C47426" w:rsidP="009B459D">
      <w:pPr>
        <w:spacing w:line="260" w:lineRule="atLeast"/>
        <w:jc w:val="both"/>
        <w:rPr>
          <w:color w:val="000000"/>
        </w:rPr>
      </w:pPr>
      <w:r w:rsidRPr="000D7D14">
        <w:rPr>
          <w:rFonts w:eastAsia="Calibri"/>
          <w:lang w:eastAsia="en-US"/>
        </w:rPr>
        <w:t xml:space="preserve">Use 2: </w:t>
      </w:r>
      <w:r w:rsidRPr="000D7D14">
        <w:t>Disinfectants for hard surfaces</w:t>
      </w:r>
      <w:r w:rsidR="00463F7E">
        <w:t xml:space="preserve"> of domes</w:t>
      </w:r>
      <w:r w:rsidR="00B63384">
        <w:t>t</w:t>
      </w:r>
      <w:r w:rsidR="00463F7E">
        <w:t>ic area and</w:t>
      </w:r>
      <w:r w:rsidRPr="000D7D14">
        <w:t xml:space="preserve"> in companion animals’ environment for private homes and pets shelters</w:t>
      </w:r>
      <w:r w:rsidR="00C174D4">
        <w:t>,</w:t>
      </w:r>
      <w:r w:rsidRPr="000D7D14">
        <w:rPr>
          <w:color w:val="000000"/>
        </w:rPr>
        <w:t xml:space="preserve"> </w:t>
      </w:r>
      <w:r w:rsidRPr="000D7D14">
        <w:rPr>
          <w:rFonts w:eastAsia="Calibri"/>
          <w:lang w:eastAsia="en-US"/>
        </w:rPr>
        <w:t xml:space="preserve">with </w:t>
      </w:r>
      <w:r w:rsidR="00C174D4">
        <w:rPr>
          <w:rFonts w:eastAsia="Calibri"/>
          <w:lang w:eastAsia="en-US"/>
        </w:rPr>
        <w:t>clean</w:t>
      </w:r>
      <w:r w:rsidRPr="000D7D14">
        <w:rPr>
          <w:rFonts w:eastAsia="Calibri"/>
          <w:lang w:eastAsia="en-US"/>
        </w:rPr>
        <w:t xml:space="preserve"> conditions</w:t>
      </w:r>
      <w:r>
        <w:rPr>
          <w:rFonts w:eastAsia="Calibri"/>
          <w:lang w:eastAsia="en-US"/>
        </w:rPr>
        <w:t xml:space="preserve"> for non porous surfaces</w:t>
      </w:r>
      <w:r w:rsidR="00C174D4">
        <w:rPr>
          <w:color w:val="000000"/>
        </w:rPr>
        <w:t xml:space="preserve"> – PT</w:t>
      </w:r>
      <w:r w:rsidR="00463F7E">
        <w:rPr>
          <w:color w:val="000000"/>
        </w:rPr>
        <w:t>2</w:t>
      </w:r>
      <w:r w:rsidR="006541C5">
        <w:rPr>
          <w:color w:val="000000"/>
        </w:rPr>
        <w:t xml:space="preserve"> and </w:t>
      </w:r>
      <w:r w:rsidR="00C174D4">
        <w:rPr>
          <w:color w:val="000000"/>
        </w:rPr>
        <w:t>3:</w:t>
      </w:r>
    </w:p>
    <w:p w14:paraId="448C9A33" w14:textId="59BB7EDF" w:rsidR="00C47426" w:rsidRPr="0009246F" w:rsidRDefault="00C47426" w:rsidP="009B459D">
      <w:pPr>
        <w:jc w:val="both"/>
        <w:rPr>
          <w:lang w:eastAsia="de-DE"/>
        </w:rPr>
      </w:pPr>
      <w:r>
        <w:rPr>
          <w:rFonts w:eastAsia="Calibri"/>
          <w:lang w:eastAsia="en-US"/>
        </w:rPr>
        <w:t xml:space="preserve">With </w:t>
      </w:r>
      <w:r w:rsidR="00C174D4">
        <w:rPr>
          <w:rFonts w:eastAsia="Calibri"/>
          <w:lang w:eastAsia="en-US"/>
        </w:rPr>
        <w:t xml:space="preserve">no </w:t>
      </w:r>
      <w:r>
        <w:rPr>
          <w:rFonts w:eastAsia="Calibri"/>
          <w:lang w:eastAsia="en-US"/>
        </w:rPr>
        <w:t xml:space="preserve">mechanical action: </w:t>
      </w:r>
    </w:p>
    <w:p w14:paraId="610476BC" w14:textId="3B2D7CB1" w:rsidR="00C47426" w:rsidRPr="000D7D14" w:rsidRDefault="00C47426" w:rsidP="009B459D">
      <w:pPr>
        <w:numPr>
          <w:ilvl w:val="0"/>
          <w:numId w:val="21"/>
        </w:numPr>
        <w:suppressAutoHyphens w:val="0"/>
        <w:spacing w:line="260" w:lineRule="atLeast"/>
        <w:jc w:val="both"/>
        <w:rPr>
          <w:rFonts w:eastAsia="Calibri"/>
          <w:lang w:eastAsia="en-US"/>
        </w:rPr>
      </w:pPr>
      <w:r w:rsidRPr="000D7D14">
        <w:rPr>
          <w:rFonts w:eastAsia="Calibri"/>
          <w:lang w:eastAsia="en-US"/>
        </w:rPr>
        <w:t xml:space="preserve">Bacteria and yeasts: </w:t>
      </w:r>
      <w:r>
        <w:rPr>
          <w:rFonts w:eastAsia="Calibri"/>
          <w:lang w:eastAsia="en-US"/>
        </w:rPr>
        <w:t>10</w:t>
      </w:r>
      <w:r w:rsidRPr="000D7D14">
        <w:rPr>
          <w:rFonts w:eastAsia="Calibri"/>
          <w:lang w:eastAsia="en-US"/>
        </w:rPr>
        <w:t>%</w:t>
      </w:r>
      <w:r w:rsidR="00C174D4">
        <w:rPr>
          <w:rFonts w:eastAsia="Calibri"/>
          <w:lang w:eastAsia="en-US"/>
        </w:rPr>
        <w:t xml:space="preserve"> v/v</w:t>
      </w:r>
      <w:r w:rsidRPr="000D7D14">
        <w:rPr>
          <w:rFonts w:eastAsia="Calibri"/>
          <w:lang w:eastAsia="en-US"/>
        </w:rPr>
        <w:t xml:space="preserve">, </w:t>
      </w:r>
      <w:r>
        <w:rPr>
          <w:rFonts w:eastAsia="Calibri"/>
          <w:lang w:eastAsia="en-US"/>
        </w:rPr>
        <w:t>120</w:t>
      </w:r>
      <w:r w:rsidRPr="000D7D14">
        <w:rPr>
          <w:rFonts w:eastAsia="Calibri"/>
          <w:lang w:eastAsia="en-US"/>
        </w:rPr>
        <w:t xml:space="preserve"> minutes, </w:t>
      </w:r>
      <w:r w:rsidR="00C174D4">
        <w:rPr>
          <w:rFonts w:eastAsia="Calibri"/>
          <w:lang w:eastAsia="en-US"/>
        </w:rPr>
        <w:t>2</w:t>
      </w:r>
      <w:r w:rsidRPr="000D7D14">
        <w:rPr>
          <w:rFonts w:eastAsia="Calibri"/>
          <w:lang w:eastAsia="en-US"/>
        </w:rPr>
        <w:t>0°C.</w:t>
      </w:r>
    </w:p>
    <w:p w14:paraId="034BECD5" w14:textId="77777777" w:rsidR="00C47426" w:rsidRPr="00F0256C" w:rsidRDefault="00C47426" w:rsidP="009B459D">
      <w:pPr>
        <w:spacing w:line="260" w:lineRule="atLeast"/>
        <w:jc w:val="both"/>
        <w:rPr>
          <w:rFonts w:eastAsia="Calibri"/>
          <w:lang w:eastAsia="en-US"/>
        </w:rPr>
      </w:pPr>
    </w:p>
    <w:p w14:paraId="12C95563" w14:textId="77777777" w:rsidR="00C47426" w:rsidRPr="00344BDC" w:rsidRDefault="00C47426" w:rsidP="009B459D">
      <w:pPr>
        <w:spacing w:line="260" w:lineRule="atLeast"/>
        <w:jc w:val="both"/>
        <w:rPr>
          <w:rFonts w:eastAsia="Calibri"/>
          <w:lang w:eastAsia="en-US"/>
        </w:rPr>
      </w:pPr>
      <w:r w:rsidRPr="00820E0E">
        <w:rPr>
          <w:rFonts w:eastAsia="Calibri"/>
          <w:b/>
          <w:lang w:eastAsia="en-US"/>
        </w:rPr>
        <w:t>Meta-SPC 11</w:t>
      </w:r>
      <w:r w:rsidRPr="004D1209">
        <w:rPr>
          <w:rFonts w:eastAsia="Calibri"/>
          <w:lang w:eastAsia="en-US"/>
        </w:rPr>
        <w:t xml:space="preserve">: </w:t>
      </w:r>
    </w:p>
    <w:p w14:paraId="50DD7EAC" w14:textId="3C604209" w:rsidR="00C47426" w:rsidRDefault="00C47426" w:rsidP="009B459D">
      <w:pPr>
        <w:spacing w:line="260" w:lineRule="atLeast"/>
        <w:jc w:val="both"/>
        <w:rPr>
          <w:rFonts w:eastAsia="Calibri"/>
          <w:lang w:eastAsia="en-US"/>
        </w:rPr>
      </w:pPr>
      <w:r w:rsidRPr="00344BDC">
        <w:rPr>
          <w:rFonts w:eastAsia="Calibri"/>
          <w:lang w:eastAsia="en-US"/>
        </w:rPr>
        <w:lastRenderedPageBreak/>
        <w:t xml:space="preserve">Use 1: </w:t>
      </w:r>
      <w:r w:rsidRPr="000D7D14">
        <w:t>Disinfectants for hard surfaces of industry, institution and healthcare facilities and</w:t>
      </w:r>
      <w:r w:rsidR="00A77676">
        <w:t>,</w:t>
      </w:r>
      <w:r w:rsidRPr="000D7D14">
        <w:t xml:space="preserve"> food preparation and handling areas</w:t>
      </w:r>
      <w:r w:rsidR="00A77676">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A77676">
        <w:rPr>
          <w:rFonts w:eastAsia="Calibri"/>
          <w:lang w:eastAsia="en-US"/>
        </w:rPr>
        <w:t xml:space="preserve"> – PT2</w:t>
      </w:r>
      <w:r w:rsidR="006541C5">
        <w:rPr>
          <w:rFonts w:eastAsia="Calibri"/>
          <w:lang w:eastAsia="en-US"/>
        </w:rPr>
        <w:t xml:space="preserve"> and </w:t>
      </w:r>
      <w:r w:rsidR="00A77676">
        <w:rPr>
          <w:rFonts w:eastAsia="Calibri"/>
          <w:lang w:eastAsia="en-US"/>
        </w:rPr>
        <w:t>4:</w:t>
      </w:r>
    </w:p>
    <w:p w14:paraId="1F0CF2AD" w14:textId="77777777" w:rsidR="00A77676" w:rsidRPr="0009246F" w:rsidRDefault="00A77676" w:rsidP="009B459D">
      <w:pPr>
        <w:jc w:val="both"/>
        <w:rPr>
          <w:lang w:eastAsia="de-DE"/>
        </w:rPr>
      </w:pPr>
      <w:r>
        <w:rPr>
          <w:rFonts w:eastAsia="Calibri"/>
          <w:lang w:eastAsia="en-US"/>
        </w:rPr>
        <w:t xml:space="preserve">With no mechanical action: </w:t>
      </w:r>
    </w:p>
    <w:p w14:paraId="5C5176CE" w14:textId="708E0D50" w:rsidR="00C47426" w:rsidRPr="000D7D14" w:rsidRDefault="00C47426" w:rsidP="009B459D">
      <w:pPr>
        <w:numPr>
          <w:ilvl w:val="0"/>
          <w:numId w:val="21"/>
        </w:numPr>
        <w:suppressAutoHyphens w:val="0"/>
        <w:spacing w:line="260" w:lineRule="atLeast"/>
        <w:jc w:val="both"/>
        <w:rPr>
          <w:rFonts w:eastAsia="Calibri"/>
          <w:lang w:eastAsia="en-US"/>
        </w:rPr>
      </w:pPr>
      <w:r w:rsidRPr="000D7D14">
        <w:rPr>
          <w:rFonts w:eastAsia="Calibri"/>
          <w:lang w:eastAsia="en-US"/>
        </w:rPr>
        <w:t xml:space="preserve">Bacteria (including </w:t>
      </w:r>
      <w:r w:rsidR="00A77676">
        <w:rPr>
          <w:rFonts w:eastAsia="Calibri"/>
          <w:lang w:eastAsia="en-US"/>
        </w:rPr>
        <w:t xml:space="preserve">PT4 </w:t>
      </w:r>
      <w:r w:rsidRPr="000D7D14">
        <w:rPr>
          <w:rFonts w:eastAsia="Calibri"/>
          <w:lang w:eastAsia="en-US"/>
        </w:rPr>
        <w:t>additional strains:</w:t>
      </w:r>
      <w:r w:rsidRPr="000D7D14">
        <w:rPr>
          <w:rFonts w:eastAsia="Calibri"/>
          <w:i/>
          <w:lang w:eastAsia="en-US"/>
        </w:rPr>
        <w:t xml:space="preserve"> Salmonella </w:t>
      </w:r>
      <w:r w:rsidR="00A77676" w:rsidRPr="00E91F85">
        <w:rPr>
          <w:rFonts w:eastAsia="Calibri"/>
          <w:lang w:eastAsia="en-US"/>
        </w:rPr>
        <w:t>T</w:t>
      </w:r>
      <w:r w:rsidRPr="00E91F85">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and yeasts: 1.5%</w:t>
      </w:r>
      <w:r w:rsidR="00A77676">
        <w:rPr>
          <w:rFonts w:eastAsia="Calibri"/>
          <w:lang w:eastAsia="en-US"/>
        </w:rPr>
        <w:t xml:space="preserve"> v/v</w:t>
      </w:r>
      <w:r w:rsidRPr="000D7D14">
        <w:rPr>
          <w:rFonts w:eastAsia="Calibri"/>
          <w:lang w:eastAsia="en-US"/>
        </w:rPr>
        <w:t>, 15</w:t>
      </w:r>
      <w:r>
        <w:rPr>
          <w:rFonts w:eastAsia="Calibri"/>
          <w:lang w:eastAsia="en-US"/>
        </w:rPr>
        <w:t xml:space="preserve"> </w:t>
      </w:r>
      <w:r w:rsidRPr="000D7D14">
        <w:rPr>
          <w:rFonts w:eastAsia="Calibri"/>
          <w:lang w:eastAsia="en-US"/>
        </w:rPr>
        <w:t>minutes, 20°C or 1%</w:t>
      </w:r>
      <w:r w:rsidR="00A77676">
        <w:rPr>
          <w:rFonts w:eastAsia="Calibri"/>
          <w:lang w:eastAsia="en-US"/>
        </w:rPr>
        <w:t xml:space="preserve"> v/v</w:t>
      </w:r>
      <w:r w:rsidRPr="000D7D14">
        <w:rPr>
          <w:rFonts w:eastAsia="Calibri"/>
          <w:lang w:eastAsia="en-US"/>
        </w:rPr>
        <w:t>, 30 minutes, 40°C.</w:t>
      </w:r>
    </w:p>
    <w:p w14:paraId="3C47B35F" w14:textId="77777777" w:rsidR="00C47426" w:rsidRPr="00F0256C" w:rsidRDefault="00C47426" w:rsidP="009B459D">
      <w:pPr>
        <w:spacing w:line="260" w:lineRule="atLeast"/>
        <w:jc w:val="both"/>
        <w:rPr>
          <w:rFonts w:eastAsia="Calibri"/>
          <w:lang w:val="en" w:eastAsia="en-US"/>
        </w:rPr>
      </w:pPr>
    </w:p>
    <w:p w14:paraId="25B92AFD" w14:textId="77777777" w:rsidR="00C47426" w:rsidRPr="00344BDC" w:rsidRDefault="00C47426" w:rsidP="009B459D">
      <w:pPr>
        <w:spacing w:line="260" w:lineRule="atLeast"/>
        <w:jc w:val="both"/>
        <w:rPr>
          <w:rFonts w:eastAsia="Calibri"/>
          <w:lang w:eastAsia="en-US"/>
        </w:rPr>
      </w:pPr>
      <w:r w:rsidRPr="00F0256C">
        <w:rPr>
          <w:rFonts w:eastAsia="Calibri"/>
          <w:b/>
          <w:lang w:eastAsia="en-US"/>
        </w:rPr>
        <w:t xml:space="preserve">Meta-SPC </w:t>
      </w:r>
      <w:r w:rsidRPr="00820E0E">
        <w:rPr>
          <w:rFonts w:eastAsia="Calibri"/>
          <w:b/>
          <w:lang w:eastAsia="en-US"/>
        </w:rPr>
        <w:t>12</w:t>
      </w:r>
      <w:r w:rsidRPr="004D1209">
        <w:rPr>
          <w:rFonts w:eastAsia="Calibri"/>
          <w:lang w:eastAsia="en-US"/>
        </w:rPr>
        <w:t>:</w:t>
      </w:r>
    </w:p>
    <w:p w14:paraId="4BB2FFD4" w14:textId="6A4F96E2" w:rsidR="00C47426" w:rsidRDefault="00C47426" w:rsidP="009B459D">
      <w:pPr>
        <w:spacing w:line="260" w:lineRule="atLeast"/>
        <w:jc w:val="both"/>
        <w:rPr>
          <w:rFonts w:eastAsia="Calibri"/>
          <w:lang w:eastAsia="en-US"/>
        </w:rPr>
      </w:pPr>
      <w:r w:rsidRPr="00344BDC">
        <w:rPr>
          <w:rFonts w:eastAsia="Calibri"/>
          <w:lang w:eastAsia="en-US"/>
        </w:rPr>
        <w:t xml:space="preserve">Use 1: </w:t>
      </w:r>
      <w:r w:rsidRPr="000D7D14">
        <w:t>Disinfectants for hard surfaces for industry, institution, healthcare facilities and healthcare</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00A77676">
        <w:rPr>
          <w:rFonts w:eastAsia="Calibri"/>
          <w:lang w:eastAsia="en-US"/>
        </w:rPr>
        <w:t xml:space="preserve"> – PT2:</w:t>
      </w:r>
    </w:p>
    <w:p w14:paraId="7AD4457F" w14:textId="26B292EC" w:rsidR="00A77676" w:rsidRPr="00E91F85" w:rsidRDefault="00A77676" w:rsidP="009B459D">
      <w:pPr>
        <w:jc w:val="both"/>
        <w:rPr>
          <w:lang w:eastAsia="de-DE"/>
        </w:rPr>
      </w:pPr>
      <w:r>
        <w:rPr>
          <w:rFonts w:eastAsia="Calibri"/>
          <w:lang w:eastAsia="en-US"/>
        </w:rPr>
        <w:t xml:space="preserve">With no mechanical action: </w:t>
      </w:r>
    </w:p>
    <w:p w14:paraId="2D0D52A4" w14:textId="77777777" w:rsidR="00C47426" w:rsidRPr="000D7D14"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 and yeasts: 100%, 5 minutes, 20°C.</w:t>
      </w:r>
    </w:p>
    <w:p w14:paraId="73282342" w14:textId="77777777" w:rsidR="00C47426" w:rsidRPr="000D7D14" w:rsidRDefault="00C47426" w:rsidP="009B459D">
      <w:pPr>
        <w:spacing w:line="260" w:lineRule="atLeast"/>
        <w:jc w:val="both"/>
        <w:rPr>
          <w:rFonts w:eastAsia="Calibri"/>
          <w:lang w:eastAsia="en-US"/>
        </w:rPr>
      </w:pPr>
    </w:p>
    <w:p w14:paraId="65DD9854" w14:textId="77777777" w:rsidR="00C47426" w:rsidRPr="000D7D14" w:rsidRDefault="00C47426" w:rsidP="009B459D">
      <w:pPr>
        <w:spacing w:line="260" w:lineRule="atLeast"/>
        <w:jc w:val="both"/>
        <w:rPr>
          <w:rFonts w:eastAsia="Calibri"/>
          <w:lang w:eastAsia="en-US"/>
        </w:rPr>
      </w:pPr>
      <w:r w:rsidRPr="000D7D14">
        <w:rPr>
          <w:rFonts w:eastAsia="Calibri"/>
          <w:b/>
          <w:lang w:eastAsia="en-US"/>
        </w:rPr>
        <w:t>Meta-SPC 13</w:t>
      </w:r>
      <w:r w:rsidRPr="000D7D14">
        <w:rPr>
          <w:rFonts w:eastAsia="Calibri"/>
          <w:lang w:eastAsia="en-US"/>
        </w:rPr>
        <w:t>:</w:t>
      </w:r>
    </w:p>
    <w:p w14:paraId="0129CA60" w14:textId="14A42A22" w:rsidR="00C47426" w:rsidRDefault="00C47426" w:rsidP="009B459D">
      <w:pPr>
        <w:spacing w:line="260" w:lineRule="atLeast"/>
        <w:jc w:val="both"/>
      </w:pPr>
      <w:r w:rsidRPr="000D7D14">
        <w:rPr>
          <w:rFonts w:eastAsia="Calibri"/>
          <w:lang w:eastAsia="en-US"/>
        </w:rPr>
        <w:t xml:space="preserve">Use 1: </w:t>
      </w:r>
      <w:r w:rsidRPr="000D7D14">
        <w:t>Disinfectants for hard surfaces of industry, institution and healthcare facilities</w:t>
      </w:r>
      <w:r w:rsidR="00EE5FBC">
        <w:t>,</w:t>
      </w:r>
      <w:r w:rsidRPr="000D7D14">
        <w:rPr>
          <w:rFonts w:eastAsia="Calibri"/>
          <w:lang w:eastAsia="en-US"/>
        </w:rPr>
        <w:t xml:space="preserve"> with dirty conditions</w:t>
      </w:r>
      <w:r>
        <w:rPr>
          <w:rFonts w:eastAsia="Calibri"/>
          <w:lang w:eastAsia="en-US"/>
        </w:rPr>
        <w:t xml:space="preserve"> for non porous surfaces</w:t>
      </w:r>
      <w:r w:rsidR="00EE5FBC">
        <w:rPr>
          <w:rFonts w:eastAsia="Calibri"/>
          <w:lang w:eastAsia="en-US"/>
        </w:rPr>
        <w:t xml:space="preserve"> – PT2:</w:t>
      </w:r>
    </w:p>
    <w:p w14:paraId="3B458204" w14:textId="39F567F1" w:rsidR="00C47426" w:rsidRPr="000D7D14" w:rsidRDefault="001404DF" w:rsidP="009B459D">
      <w:pPr>
        <w:spacing w:line="260" w:lineRule="atLeast"/>
        <w:jc w:val="both"/>
        <w:rPr>
          <w:rFonts w:eastAsia="Calibri"/>
          <w:lang w:eastAsia="en-US"/>
        </w:rPr>
      </w:pPr>
      <w:r>
        <w:rPr>
          <w:rFonts w:eastAsia="Calibri"/>
          <w:lang w:eastAsia="en-US"/>
        </w:rPr>
        <w:t>With no mechanical action:</w:t>
      </w:r>
    </w:p>
    <w:p w14:paraId="7499B5AF" w14:textId="78F104D5" w:rsidR="00C47426" w:rsidRPr="000D7D14" w:rsidRDefault="00C47426" w:rsidP="009B459D">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 (including additional strain</w:t>
      </w:r>
      <w:r>
        <w:rPr>
          <w:rFonts w:eastAsia="Calibri"/>
          <w:lang w:eastAsia="en-US"/>
        </w:rPr>
        <w:t xml:space="preserve"> </w:t>
      </w:r>
      <w:r w:rsidRPr="000D7D14">
        <w:rPr>
          <w:rFonts w:eastAsia="Calibri"/>
          <w:i/>
          <w:lang w:eastAsia="en-US"/>
        </w:rPr>
        <w:t>Yersinia enterocolitica</w:t>
      </w:r>
      <w:r w:rsidRPr="000D7D14">
        <w:rPr>
          <w:rFonts w:eastAsia="Calibri"/>
          <w:lang w:eastAsia="en-US"/>
        </w:rPr>
        <w:t>) and yeasts: 8%</w:t>
      </w:r>
      <w:r w:rsidR="001404DF">
        <w:rPr>
          <w:rFonts w:eastAsia="Calibri"/>
          <w:lang w:eastAsia="en-US"/>
        </w:rPr>
        <w:t xml:space="preserve"> v/v</w:t>
      </w:r>
      <w:r w:rsidRPr="000D7D14">
        <w:rPr>
          <w:rFonts w:eastAsia="Calibri"/>
          <w:lang w:eastAsia="en-US"/>
        </w:rPr>
        <w:t>, 15 minutes, 20°C.</w:t>
      </w:r>
    </w:p>
    <w:p w14:paraId="1504CAD2" w14:textId="77777777" w:rsidR="00FB455A" w:rsidRPr="000D7D14" w:rsidRDefault="00FB455A" w:rsidP="00FB455A">
      <w:pPr>
        <w:spacing w:line="260" w:lineRule="atLeast"/>
        <w:rPr>
          <w:rFonts w:eastAsia="Calibri"/>
          <w:lang w:eastAsia="en-US"/>
        </w:rPr>
      </w:pPr>
    </w:p>
    <w:p w14:paraId="6D2AC3DD" w14:textId="77777777" w:rsidR="00FB455A" w:rsidRDefault="00FB455A">
      <w:pPr>
        <w:suppressAutoHyphens w:val="0"/>
        <w:rPr>
          <w:rFonts w:eastAsia="Calibri"/>
        </w:rPr>
      </w:pPr>
    </w:p>
    <w:p w14:paraId="3258F7D3" w14:textId="77777777" w:rsidR="00B66049" w:rsidRPr="00E91F85" w:rsidRDefault="00B66049" w:rsidP="00B66049">
      <w:pPr>
        <w:suppressAutoHyphens w:val="0"/>
        <w:rPr>
          <w:rFonts w:eastAsia="Calibri"/>
          <w:b/>
          <w:u w:val="single"/>
        </w:rPr>
      </w:pPr>
      <w:r w:rsidRPr="00E91F85">
        <w:rPr>
          <w:rFonts w:eastAsia="Calibri"/>
          <w:b/>
          <w:u w:val="single"/>
        </w:rPr>
        <w:t xml:space="preserve">Conclusion for human health </w:t>
      </w:r>
    </w:p>
    <w:p w14:paraId="1A282D20" w14:textId="77777777" w:rsidR="00B66049" w:rsidRPr="0084576F" w:rsidRDefault="00B66049" w:rsidP="00B66049">
      <w:pPr>
        <w:suppressAutoHyphens w:val="0"/>
        <w:rPr>
          <w:rFonts w:eastAsia="Calibri"/>
          <w:b/>
          <w:i/>
        </w:rPr>
      </w:pPr>
    </w:p>
    <w:p w14:paraId="1257E571" w14:textId="736A7C53" w:rsidR="00B66049" w:rsidRPr="0084576F" w:rsidRDefault="003F1FC2" w:rsidP="00B66049">
      <w:pPr>
        <w:jc w:val="both"/>
        <w:rPr>
          <w:b/>
          <w:i/>
          <w:u w:val="single"/>
        </w:rPr>
      </w:pPr>
      <w:r>
        <w:rPr>
          <w:b/>
          <w:i/>
          <w:u w:val="single"/>
        </w:rPr>
        <w:t>Industrials/</w:t>
      </w:r>
      <w:r w:rsidR="00B66049" w:rsidRPr="0084576F">
        <w:rPr>
          <w:b/>
          <w:i/>
          <w:u w:val="single"/>
        </w:rPr>
        <w:t>Professionals</w:t>
      </w:r>
    </w:p>
    <w:p w14:paraId="5109D819" w14:textId="77777777" w:rsidR="00B66049" w:rsidRDefault="00B66049" w:rsidP="00B66049">
      <w:pPr>
        <w:jc w:val="both"/>
      </w:pPr>
    </w:p>
    <w:p w14:paraId="48337C6F" w14:textId="77777777" w:rsidR="00675C8F" w:rsidRDefault="00675C8F" w:rsidP="00675C8F">
      <w:pPr>
        <w:jc w:val="both"/>
      </w:pPr>
      <w:r>
        <w:t>The risk is considered acceptable considering systemic and local effects for all meta SPC.</w:t>
      </w:r>
    </w:p>
    <w:p w14:paraId="7A399353" w14:textId="77777777" w:rsidR="00675C8F" w:rsidRDefault="00675C8F" w:rsidP="00675C8F">
      <w:pPr>
        <w:spacing w:line="260" w:lineRule="atLeast"/>
        <w:rPr>
          <w:highlight w:val="lightGray"/>
        </w:rPr>
      </w:pPr>
    </w:p>
    <w:p w14:paraId="0DD5D1AA" w14:textId="77777777" w:rsidR="00675C8F" w:rsidRDefault="00675C8F" w:rsidP="00675C8F">
      <w:pPr>
        <w:jc w:val="both"/>
        <w:rPr>
          <w:b/>
        </w:rPr>
      </w:pPr>
      <w:r>
        <w:rPr>
          <w:b/>
        </w:rPr>
        <w:t xml:space="preserve">The following PPE and RMM are needed: </w:t>
      </w:r>
    </w:p>
    <w:p w14:paraId="5ED919A2" w14:textId="77777777" w:rsidR="00675C8F" w:rsidRDefault="00675C8F" w:rsidP="00675C8F">
      <w:pPr>
        <w:jc w:val="both"/>
      </w:pPr>
    </w:p>
    <w:p w14:paraId="49B94281" w14:textId="77777777" w:rsidR="00675C8F" w:rsidRDefault="00675C8F" w:rsidP="00675C8F">
      <w:pPr>
        <w:jc w:val="both"/>
        <w:rPr>
          <w:i/>
          <w:u w:val="single"/>
        </w:rPr>
      </w:pPr>
      <w:r>
        <w:rPr>
          <w:i/>
          <w:u w:val="single"/>
        </w:rPr>
        <w:t xml:space="preserve">Meta SPC </w:t>
      </w:r>
      <w:r>
        <w:rPr>
          <w:b/>
          <w:i/>
          <w:u w:val="single"/>
        </w:rPr>
        <w:t>2</w:t>
      </w:r>
      <w:r>
        <w:rPr>
          <w:i/>
          <w:u w:val="single"/>
        </w:rPr>
        <w:t xml:space="preserve"> (Uses #3-4) - </w:t>
      </w:r>
      <w:r>
        <w:rPr>
          <w:b/>
          <w:i/>
          <w:u w:val="single"/>
        </w:rPr>
        <w:t>3</w:t>
      </w:r>
      <w:r>
        <w:rPr>
          <w:i/>
          <w:u w:val="single"/>
        </w:rPr>
        <w:t xml:space="preserve"> (Uses #1-2)</w:t>
      </w:r>
    </w:p>
    <w:p w14:paraId="633922DB" w14:textId="77777777" w:rsidR="00E7364E" w:rsidRDefault="00E7364E" w:rsidP="00675C8F">
      <w:pPr>
        <w:jc w:val="both"/>
      </w:pPr>
    </w:p>
    <w:p w14:paraId="21FB1D27" w14:textId="037D7D20" w:rsidR="00675C8F" w:rsidRDefault="00675C8F" w:rsidP="00675C8F">
      <w:pPr>
        <w:ind w:firstLine="360"/>
        <w:jc w:val="both"/>
      </w:pPr>
      <w:r>
        <w:t>PPE</w:t>
      </w:r>
      <w:r w:rsidR="00E7364E" w:rsidRPr="00E7364E">
        <w:t xml:space="preserve"> </w:t>
      </w:r>
      <w:r w:rsidR="00E7364E">
        <w:t>during loading of the trigger spray and application</w:t>
      </w:r>
      <w:r>
        <w:t>:</w:t>
      </w:r>
    </w:p>
    <w:p w14:paraId="6933374C" w14:textId="77777777" w:rsidR="00675C8F" w:rsidRDefault="00675C8F" w:rsidP="00E91F85">
      <w:pPr>
        <w:numPr>
          <w:ilvl w:val="0"/>
          <w:numId w:val="42"/>
        </w:numPr>
        <w:jc w:val="both"/>
        <w:rPr>
          <w:rFonts w:eastAsia="Calibri"/>
        </w:rPr>
      </w:pPr>
      <w:r>
        <w:rPr>
          <w:rFonts w:eastAsia="Calibri"/>
        </w:rPr>
        <w:t>Face shield</w:t>
      </w:r>
    </w:p>
    <w:p w14:paraId="6CDD56DE" w14:textId="77777777" w:rsidR="00675C8F" w:rsidRDefault="00675C8F" w:rsidP="00E91F85">
      <w:pPr>
        <w:numPr>
          <w:ilvl w:val="0"/>
          <w:numId w:val="42"/>
        </w:numPr>
        <w:jc w:val="both"/>
        <w:rPr>
          <w:rFonts w:eastAsia="Calibri"/>
        </w:rPr>
      </w:pPr>
      <w:r>
        <w:rPr>
          <w:rFonts w:eastAsia="Calibri"/>
        </w:rPr>
        <w:t>Substance/task appropriate gloves</w:t>
      </w:r>
    </w:p>
    <w:p w14:paraId="025A70F2" w14:textId="77777777" w:rsidR="00675C8F" w:rsidRDefault="00675C8F" w:rsidP="00E91F85">
      <w:pPr>
        <w:numPr>
          <w:ilvl w:val="0"/>
          <w:numId w:val="42"/>
        </w:numPr>
        <w:jc w:val="both"/>
        <w:rPr>
          <w:rFonts w:eastAsia="Calibri"/>
        </w:rPr>
      </w:pPr>
      <w:r>
        <w:rPr>
          <w:rFonts w:eastAsia="Calibri"/>
        </w:rPr>
        <w:t>Protection coverall</w:t>
      </w:r>
    </w:p>
    <w:p w14:paraId="62ABB5C6" w14:textId="77777777" w:rsidR="00675C8F" w:rsidRDefault="00675C8F" w:rsidP="00675C8F">
      <w:pPr>
        <w:jc w:val="both"/>
      </w:pPr>
    </w:p>
    <w:p w14:paraId="7069602B" w14:textId="77777777" w:rsidR="00675C8F" w:rsidRDefault="00675C8F" w:rsidP="00675C8F">
      <w:pPr>
        <w:ind w:firstLine="360"/>
        <w:jc w:val="both"/>
      </w:pPr>
      <w:r>
        <w:t>RMM:</w:t>
      </w:r>
    </w:p>
    <w:p w14:paraId="02683FC9" w14:textId="1A8F57ED" w:rsidR="00675C8F" w:rsidRDefault="00675C8F" w:rsidP="00675C8F">
      <w:pPr>
        <w:numPr>
          <w:ilvl w:val="0"/>
          <w:numId w:val="40"/>
        </w:numPr>
        <w:jc w:val="both"/>
        <w:rPr>
          <w:rFonts w:cs="Arial"/>
          <w:iCs/>
          <w:szCs w:val="16"/>
          <w:lang w:val="en-US"/>
        </w:rPr>
      </w:pPr>
      <w:r>
        <w:rPr>
          <w:rFonts w:cs="Arial"/>
          <w:iCs/>
          <w:szCs w:val="16"/>
        </w:rPr>
        <w:t>M</w:t>
      </w:r>
      <w:r>
        <w:rPr>
          <w:rFonts w:cs="Arial"/>
          <w:iCs/>
          <w:szCs w:val="16"/>
          <w:lang w:val="en-US"/>
        </w:rPr>
        <w:t>inimisation of splashes and spills during loading of the trigger spray</w:t>
      </w:r>
      <w:r w:rsidR="009B459D">
        <w:rPr>
          <w:rFonts w:cs="Arial"/>
          <w:iCs/>
          <w:szCs w:val="16"/>
          <w:lang w:val="en-US"/>
        </w:rPr>
        <w:t>.</w:t>
      </w:r>
    </w:p>
    <w:p w14:paraId="7463B69E" w14:textId="322995ED" w:rsidR="00675C8F" w:rsidRDefault="00675C8F" w:rsidP="00675C8F">
      <w:pPr>
        <w:numPr>
          <w:ilvl w:val="0"/>
          <w:numId w:val="40"/>
        </w:numPr>
        <w:jc w:val="both"/>
        <w:rPr>
          <w:rFonts w:cs="Arial"/>
          <w:iCs/>
          <w:szCs w:val="16"/>
          <w:lang w:val="en-US"/>
        </w:rPr>
      </w:pPr>
      <w:r>
        <w:rPr>
          <w:rFonts w:cs="Arial"/>
          <w:iCs/>
          <w:szCs w:val="16"/>
          <w:lang w:val="en-US"/>
        </w:rPr>
        <w:t>The spray application must be downward in order to avoid any facial exposure</w:t>
      </w:r>
      <w:r w:rsidR="009B459D">
        <w:rPr>
          <w:rFonts w:cs="Arial"/>
          <w:iCs/>
          <w:szCs w:val="16"/>
          <w:lang w:val="en-US"/>
        </w:rPr>
        <w:t>.</w:t>
      </w:r>
    </w:p>
    <w:p w14:paraId="3061B8DF" w14:textId="0B822C9D" w:rsidR="00675C8F" w:rsidRDefault="00675C8F" w:rsidP="00675C8F">
      <w:pPr>
        <w:numPr>
          <w:ilvl w:val="0"/>
          <w:numId w:val="40"/>
        </w:numPr>
        <w:ind w:left="785"/>
        <w:jc w:val="both"/>
        <w:rPr>
          <w:rFonts w:cs="Arial"/>
          <w:iCs/>
          <w:szCs w:val="16"/>
          <w:lang w:val="en-US"/>
        </w:rPr>
      </w:pPr>
      <w:r>
        <w:rPr>
          <w:rFonts w:cs="Arial"/>
          <w:iCs/>
          <w:szCs w:val="16"/>
          <w:lang w:val="en-US"/>
        </w:rPr>
        <w:t>Avoidance of contact with freshly treated surfaces (for bystanders)</w:t>
      </w:r>
      <w:r w:rsidR="009B459D">
        <w:rPr>
          <w:rFonts w:cs="Arial"/>
          <w:iCs/>
          <w:szCs w:val="16"/>
          <w:lang w:val="en-US"/>
        </w:rPr>
        <w:t>.</w:t>
      </w:r>
    </w:p>
    <w:p w14:paraId="42832A6B" w14:textId="77777777" w:rsidR="00675C8F" w:rsidRDefault="00675C8F" w:rsidP="00675C8F">
      <w:pPr>
        <w:jc w:val="both"/>
        <w:rPr>
          <w:rFonts w:ascii="Times New Roman" w:eastAsia="Calibri" w:hAnsi="Times New Roman" w:cs="Times New Roman"/>
          <w:i/>
          <w:iCs/>
          <w:lang w:val="en-US"/>
        </w:rPr>
      </w:pPr>
    </w:p>
    <w:p w14:paraId="3CFF2F5A" w14:textId="686E32D6" w:rsidR="00675C8F" w:rsidRDefault="00675C8F" w:rsidP="00675C8F">
      <w:pPr>
        <w:jc w:val="both"/>
        <w:rPr>
          <w:i/>
          <w:u w:val="single"/>
        </w:rPr>
      </w:pPr>
      <w:r>
        <w:rPr>
          <w:i/>
          <w:u w:val="single"/>
        </w:rPr>
        <w:t xml:space="preserve">Meta SPC </w:t>
      </w:r>
      <w:r>
        <w:rPr>
          <w:b/>
          <w:i/>
          <w:u w:val="single"/>
        </w:rPr>
        <w:t>4</w:t>
      </w:r>
      <w:r>
        <w:rPr>
          <w:i/>
          <w:u w:val="single"/>
        </w:rPr>
        <w:t xml:space="preserve"> (Use #1)</w:t>
      </w:r>
    </w:p>
    <w:p w14:paraId="24C8596D" w14:textId="77777777" w:rsidR="00E7364E" w:rsidRDefault="00E7364E" w:rsidP="00675C8F">
      <w:pPr>
        <w:jc w:val="both"/>
      </w:pPr>
    </w:p>
    <w:p w14:paraId="351B7A3F" w14:textId="2CCF9D44" w:rsidR="00675C8F" w:rsidRDefault="00675C8F" w:rsidP="00675C8F">
      <w:pPr>
        <w:ind w:firstLine="360"/>
        <w:jc w:val="both"/>
      </w:pPr>
      <w:r>
        <w:t>PPE</w:t>
      </w:r>
      <w:r w:rsidR="00E7364E">
        <w:t xml:space="preserve"> during loading of the trigger spray and application</w:t>
      </w:r>
      <w:r>
        <w:t>:</w:t>
      </w:r>
    </w:p>
    <w:p w14:paraId="435DF7AE" w14:textId="77777777" w:rsidR="00675C8F" w:rsidRDefault="00675C8F" w:rsidP="00675C8F">
      <w:pPr>
        <w:numPr>
          <w:ilvl w:val="0"/>
          <w:numId w:val="39"/>
        </w:numPr>
        <w:jc w:val="both"/>
        <w:rPr>
          <w:rFonts w:eastAsia="Calibri"/>
        </w:rPr>
      </w:pPr>
      <w:r>
        <w:rPr>
          <w:rFonts w:eastAsia="Calibri"/>
        </w:rPr>
        <w:t>Goggles</w:t>
      </w:r>
    </w:p>
    <w:p w14:paraId="06F3B64A" w14:textId="77777777" w:rsidR="00675C8F" w:rsidRDefault="00675C8F" w:rsidP="00675C8F">
      <w:pPr>
        <w:jc w:val="both"/>
      </w:pPr>
    </w:p>
    <w:p w14:paraId="4EA4F3D2" w14:textId="77777777" w:rsidR="00675C8F" w:rsidRDefault="00675C8F" w:rsidP="00675C8F">
      <w:pPr>
        <w:ind w:firstLine="360"/>
        <w:jc w:val="both"/>
      </w:pPr>
      <w:r>
        <w:t>RMM:</w:t>
      </w:r>
    </w:p>
    <w:p w14:paraId="65943261" w14:textId="363D6EA2" w:rsidR="00675C8F" w:rsidRDefault="00675C8F" w:rsidP="00675C8F">
      <w:pPr>
        <w:numPr>
          <w:ilvl w:val="0"/>
          <w:numId w:val="40"/>
        </w:numPr>
        <w:jc w:val="both"/>
        <w:rPr>
          <w:rFonts w:cs="Arial"/>
          <w:iCs/>
          <w:szCs w:val="16"/>
          <w:lang w:val="en-US"/>
        </w:rPr>
      </w:pPr>
      <w:r>
        <w:rPr>
          <w:rFonts w:cs="Arial"/>
          <w:iCs/>
          <w:szCs w:val="16"/>
        </w:rPr>
        <w:t>M</w:t>
      </w:r>
      <w:r>
        <w:rPr>
          <w:rFonts w:cs="Arial"/>
          <w:iCs/>
          <w:szCs w:val="16"/>
          <w:lang w:val="en-US"/>
        </w:rPr>
        <w:t>inimisation of splashes and spills during loading of the trigger spray</w:t>
      </w:r>
      <w:r w:rsidR="009B459D">
        <w:rPr>
          <w:rFonts w:cs="Arial"/>
          <w:iCs/>
          <w:szCs w:val="16"/>
          <w:lang w:val="en-US"/>
        </w:rPr>
        <w:t>.</w:t>
      </w:r>
    </w:p>
    <w:p w14:paraId="015D946D" w14:textId="77777777" w:rsidR="00675C8F" w:rsidRDefault="00675C8F" w:rsidP="00675C8F">
      <w:pPr>
        <w:numPr>
          <w:ilvl w:val="0"/>
          <w:numId w:val="40"/>
        </w:numPr>
        <w:jc w:val="both"/>
        <w:rPr>
          <w:rFonts w:cs="Arial"/>
          <w:iCs/>
          <w:szCs w:val="16"/>
          <w:lang w:val="en-US"/>
        </w:rPr>
      </w:pPr>
      <w:r>
        <w:rPr>
          <w:rFonts w:cs="Arial"/>
          <w:iCs/>
          <w:szCs w:val="16"/>
          <w:lang w:val="en-US"/>
        </w:rPr>
        <w:t>The spray application must be downward in order to avoid any facial exposure.</w:t>
      </w:r>
    </w:p>
    <w:p w14:paraId="7E13BD43" w14:textId="77777777" w:rsidR="00675C8F" w:rsidRDefault="00675C8F" w:rsidP="00675C8F">
      <w:pPr>
        <w:jc w:val="both"/>
        <w:rPr>
          <w:lang w:val="en-US"/>
        </w:rPr>
      </w:pPr>
    </w:p>
    <w:p w14:paraId="6DEB5C79" w14:textId="77777777" w:rsidR="00675C8F" w:rsidRDefault="00675C8F" w:rsidP="00675C8F">
      <w:pPr>
        <w:jc w:val="both"/>
        <w:rPr>
          <w:i/>
          <w:u w:val="single"/>
        </w:rPr>
      </w:pPr>
      <w:r>
        <w:rPr>
          <w:i/>
          <w:u w:val="single"/>
        </w:rPr>
        <w:t xml:space="preserve">Meta SPC </w:t>
      </w:r>
      <w:r>
        <w:rPr>
          <w:b/>
          <w:i/>
          <w:u w:val="single"/>
        </w:rPr>
        <w:t>6</w:t>
      </w:r>
      <w:r>
        <w:rPr>
          <w:i/>
          <w:u w:val="single"/>
        </w:rPr>
        <w:t xml:space="preserve"> (Uses #1-2-3-4) - </w:t>
      </w:r>
      <w:r>
        <w:rPr>
          <w:b/>
          <w:i/>
          <w:u w:val="single"/>
        </w:rPr>
        <w:t>7</w:t>
      </w:r>
      <w:r>
        <w:rPr>
          <w:i/>
          <w:u w:val="single"/>
        </w:rPr>
        <w:t xml:space="preserve"> (Uses #1-2-3-4) - </w:t>
      </w:r>
      <w:r>
        <w:rPr>
          <w:b/>
          <w:i/>
          <w:u w:val="single"/>
        </w:rPr>
        <w:t>11</w:t>
      </w:r>
      <w:r>
        <w:rPr>
          <w:i/>
          <w:u w:val="single"/>
        </w:rPr>
        <w:t xml:space="preserve"> (Use #1) -</w:t>
      </w:r>
      <w:r>
        <w:rPr>
          <w:b/>
          <w:i/>
          <w:u w:val="single"/>
        </w:rPr>
        <w:t>13</w:t>
      </w:r>
      <w:r>
        <w:rPr>
          <w:i/>
          <w:u w:val="single"/>
        </w:rPr>
        <w:t xml:space="preserve"> (Use #1)</w:t>
      </w:r>
    </w:p>
    <w:p w14:paraId="79478624" w14:textId="77777777" w:rsidR="00675C8F" w:rsidRDefault="00675C8F" w:rsidP="00675C8F">
      <w:pPr>
        <w:jc w:val="both"/>
        <w:rPr>
          <w:i/>
          <w:u w:val="single"/>
        </w:rPr>
      </w:pPr>
    </w:p>
    <w:p w14:paraId="47F1FA67" w14:textId="77777777" w:rsidR="00675C8F" w:rsidRDefault="00675C8F" w:rsidP="00675C8F">
      <w:pPr>
        <w:jc w:val="both"/>
        <w:rPr>
          <w:u w:val="single"/>
        </w:rPr>
      </w:pPr>
      <w:r>
        <w:rPr>
          <w:u w:val="single"/>
        </w:rPr>
        <w:lastRenderedPageBreak/>
        <w:t>During mixing and loading:</w:t>
      </w:r>
    </w:p>
    <w:p w14:paraId="29202DD7" w14:textId="77777777" w:rsidR="00675C8F" w:rsidRDefault="00675C8F" w:rsidP="00675C8F">
      <w:pPr>
        <w:jc w:val="both"/>
      </w:pPr>
    </w:p>
    <w:p w14:paraId="528B6493" w14:textId="77777777" w:rsidR="00675C8F" w:rsidRDefault="00675C8F" w:rsidP="00675C8F">
      <w:pPr>
        <w:ind w:firstLine="360"/>
        <w:jc w:val="both"/>
      </w:pPr>
      <w:r>
        <w:t>PPE:</w:t>
      </w:r>
    </w:p>
    <w:p w14:paraId="7A6D062C" w14:textId="77777777" w:rsidR="00675C8F" w:rsidRDefault="00675C8F" w:rsidP="00675C8F">
      <w:pPr>
        <w:numPr>
          <w:ilvl w:val="0"/>
          <w:numId w:val="39"/>
        </w:numPr>
        <w:jc w:val="both"/>
        <w:rPr>
          <w:rFonts w:eastAsia="Calibri"/>
        </w:rPr>
      </w:pPr>
      <w:r>
        <w:rPr>
          <w:rFonts w:eastAsia="Calibri"/>
        </w:rPr>
        <w:t>Face shield</w:t>
      </w:r>
    </w:p>
    <w:p w14:paraId="4392C117" w14:textId="77777777" w:rsidR="00675C8F" w:rsidRDefault="00675C8F" w:rsidP="00675C8F">
      <w:pPr>
        <w:numPr>
          <w:ilvl w:val="0"/>
          <w:numId w:val="39"/>
        </w:numPr>
        <w:jc w:val="both"/>
        <w:rPr>
          <w:rFonts w:eastAsia="Calibri"/>
        </w:rPr>
      </w:pPr>
      <w:r>
        <w:rPr>
          <w:rFonts w:eastAsia="Calibri"/>
        </w:rPr>
        <w:t>Substance/task appropriate gloves</w:t>
      </w:r>
    </w:p>
    <w:p w14:paraId="700679FA" w14:textId="77777777" w:rsidR="00675C8F" w:rsidRDefault="00675C8F" w:rsidP="00675C8F">
      <w:pPr>
        <w:numPr>
          <w:ilvl w:val="0"/>
          <w:numId w:val="39"/>
        </w:numPr>
        <w:jc w:val="both"/>
        <w:rPr>
          <w:rFonts w:eastAsia="Calibri"/>
        </w:rPr>
      </w:pPr>
      <w:r>
        <w:rPr>
          <w:rFonts w:eastAsia="Calibri"/>
        </w:rPr>
        <w:t>Protection coverall</w:t>
      </w:r>
    </w:p>
    <w:p w14:paraId="438257DE" w14:textId="77777777" w:rsidR="00675C8F" w:rsidRDefault="00675C8F" w:rsidP="00675C8F">
      <w:pPr>
        <w:jc w:val="both"/>
      </w:pPr>
    </w:p>
    <w:p w14:paraId="7A71B6C9" w14:textId="77777777" w:rsidR="00675C8F" w:rsidRDefault="00675C8F" w:rsidP="00675C8F">
      <w:pPr>
        <w:ind w:firstLine="360"/>
        <w:jc w:val="both"/>
      </w:pPr>
      <w:r>
        <w:t>RMM:</w:t>
      </w:r>
    </w:p>
    <w:p w14:paraId="426C951B" w14:textId="77777777" w:rsidR="00675C8F" w:rsidRDefault="00675C8F" w:rsidP="00675C8F">
      <w:pPr>
        <w:numPr>
          <w:ilvl w:val="0"/>
          <w:numId w:val="40"/>
        </w:numPr>
        <w:jc w:val="both"/>
        <w:rPr>
          <w:rFonts w:cs="Arial"/>
          <w:iCs/>
          <w:szCs w:val="16"/>
          <w:lang w:val="en-US"/>
        </w:rPr>
      </w:pPr>
      <w:r>
        <w:rPr>
          <w:rFonts w:cs="Arial"/>
          <w:iCs/>
          <w:szCs w:val="16"/>
        </w:rPr>
        <w:t>M</w:t>
      </w:r>
      <w:r>
        <w:rPr>
          <w:rFonts w:cs="Arial"/>
          <w:iCs/>
          <w:szCs w:val="16"/>
          <w:lang w:val="en-US"/>
        </w:rPr>
        <w:t xml:space="preserve">inimisation of splashes and spills </w:t>
      </w:r>
    </w:p>
    <w:p w14:paraId="5AA0FB8F" w14:textId="77777777" w:rsidR="00675C8F" w:rsidRDefault="00675C8F" w:rsidP="00675C8F">
      <w:pPr>
        <w:numPr>
          <w:ilvl w:val="0"/>
          <w:numId w:val="40"/>
        </w:numPr>
        <w:jc w:val="both"/>
        <w:rPr>
          <w:rFonts w:cs="Arial"/>
          <w:iCs/>
          <w:szCs w:val="16"/>
          <w:lang w:val="en-US"/>
        </w:rPr>
      </w:pPr>
      <w:r>
        <w:rPr>
          <w:rFonts w:cs="Arial"/>
          <w:iCs/>
          <w:szCs w:val="16"/>
          <w:lang w:val="en-US"/>
        </w:rPr>
        <w:t>Minimisation of manual phases</w:t>
      </w:r>
    </w:p>
    <w:p w14:paraId="6CDF731D" w14:textId="77777777" w:rsidR="00675C8F" w:rsidRDefault="00675C8F" w:rsidP="00675C8F">
      <w:pPr>
        <w:jc w:val="both"/>
      </w:pPr>
    </w:p>
    <w:p w14:paraId="53501B64" w14:textId="77777777" w:rsidR="00675C8F" w:rsidRDefault="00675C8F" w:rsidP="00675C8F">
      <w:pPr>
        <w:jc w:val="both"/>
        <w:rPr>
          <w:u w:val="single"/>
        </w:rPr>
      </w:pPr>
      <w:r>
        <w:rPr>
          <w:u w:val="single"/>
        </w:rPr>
        <w:t>During application and cleaning of spray equipment:</w:t>
      </w:r>
    </w:p>
    <w:p w14:paraId="4337AEE8" w14:textId="77777777" w:rsidR="00675C8F" w:rsidRDefault="00675C8F" w:rsidP="00675C8F">
      <w:pPr>
        <w:jc w:val="both"/>
      </w:pPr>
    </w:p>
    <w:p w14:paraId="4A3DE37B" w14:textId="77777777" w:rsidR="00675C8F" w:rsidRDefault="00675C8F" w:rsidP="00675C8F">
      <w:pPr>
        <w:ind w:firstLine="360"/>
        <w:jc w:val="both"/>
      </w:pPr>
      <w:r>
        <w:t>PPE:</w:t>
      </w:r>
    </w:p>
    <w:p w14:paraId="727EC7CC" w14:textId="77777777" w:rsidR="00675C8F" w:rsidRDefault="00675C8F" w:rsidP="00675C8F">
      <w:pPr>
        <w:numPr>
          <w:ilvl w:val="0"/>
          <w:numId w:val="39"/>
        </w:numPr>
        <w:jc w:val="both"/>
        <w:rPr>
          <w:rFonts w:eastAsia="Calibri"/>
        </w:rPr>
      </w:pPr>
      <w:r>
        <w:rPr>
          <w:rFonts w:eastAsia="Calibri"/>
        </w:rPr>
        <w:t>Face shield</w:t>
      </w:r>
    </w:p>
    <w:p w14:paraId="04C3D1C7" w14:textId="77777777" w:rsidR="00675C8F" w:rsidRDefault="00675C8F" w:rsidP="00675C8F">
      <w:pPr>
        <w:numPr>
          <w:ilvl w:val="0"/>
          <w:numId w:val="39"/>
        </w:numPr>
        <w:jc w:val="both"/>
        <w:rPr>
          <w:rFonts w:eastAsia="Calibri"/>
        </w:rPr>
      </w:pPr>
      <w:r>
        <w:rPr>
          <w:rFonts w:eastAsia="Calibri"/>
        </w:rPr>
        <w:t>Substance/task appropriate gloves</w:t>
      </w:r>
    </w:p>
    <w:p w14:paraId="67536BB9" w14:textId="77777777" w:rsidR="00675C8F" w:rsidRDefault="00675C8F" w:rsidP="00675C8F">
      <w:pPr>
        <w:numPr>
          <w:ilvl w:val="0"/>
          <w:numId w:val="39"/>
        </w:numPr>
        <w:jc w:val="both"/>
        <w:rPr>
          <w:rFonts w:eastAsia="Calibri"/>
        </w:rPr>
      </w:pPr>
      <w:r>
        <w:rPr>
          <w:rFonts w:eastAsia="Calibri"/>
        </w:rPr>
        <w:t>Protection coverall</w:t>
      </w:r>
    </w:p>
    <w:p w14:paraId="06588D66" w14:textId="77777777" w:rsidR="00675C8F" w:rsidRDefault="00675C8F" w:rsidP="00675C8F">
      <w:pPr>
        <w:jc w:val="both"/>
      </w:pPr>
    </w:p>
    <w:p w14:paraId="0E3538D5" w14:textId="77777777" w:rsidR="00675C8F" w:rsidRDefault="00675C8F" w:rsidP="00675C8F">
      <w:pPr>
        <w:ind w:firstLine="360"/>
        <w:jc w:val="both"/>
      </w:pPr>
      <w:r>
        <w:t>RMM:</w:t>
      </w:r>
    </w:p>
    <w:p w14:paraId="52B32FD8" w14:textId="77777777" w:rsidR="00675C8F" w:rsidRDefault="00675C8F" w:rsidP="00675C8F">
      <w:pPr>
        <w:numPr>
          <w:ilvl w:val="0"/>
          <w:numId w:val="40"/>
        </w:numPr>
        <w:jc w:val="both"/>
        <w:rPr>
          <w:rFonts w:cs="Arial"/>
          <w:iCs/>
          <w:szCs w:val="16"/>
          <w:lang w:val="en-US"/>
        </w:rPr>
      </w:pPr>
      <w:r>
        <w:rPr>
          <w:rFonts w:cs="Arial"/>
          <w:iCs/>
          <w:szCs w:val="16"/>
          <w:lang w:val="en-US"/>
        </w:rPr>
        <w:t>The spray application must be downward in order to avoid any facial exposure.</w:t>
      </w:r>
    </w:p>
    <w:p w14:paraId="3F3F502E" w14:textId="6635833A" w:rsidR="00675C8F" w:rsidRDefault="00675C8F" w:rsidP="00675C8F">
      <w:pPr>
        <w:numPr>
          <w:ilvl w:val="0"/>
          <w:numId w:val="40"/>
        </w:numPr>
        <w:ind w:left="785"/>
        <w:jc w:val="both"/>
        <w:rPr>
          <w:rFonts w:cs="Arial"/>
          <w:iCs/>
          <w:szCs w:val="16"/>
          <w:lang w:val="en-US"/>
        </w:rPr>
      </w:pPr>
      <w:r>
        <w:rPr>
          <w:rFonts w:cs="Arial"/>
          <w:iCs/>
          <w:szCs w:val="16"/>
          <w:lang w:val="en-US"/>
        </w:rPr>
        <w:t>Avoidance of contact with freshly treated surfaces (for bystanders)</w:t>
      </w:r>
      <w:r w:rsidR="009B459D">
        <w:rPr>
          <w:rFonts w:cs="Arial"/>
          <w:iCs/>
          <w:szCs w:val="16"/>
          <w:lang w:val="en-US"/>
        </w:rPr>
        <w:t>.</w:t>
      </w:r>
    </w:p>
    <w:p w14:paraId="73F1E3CB" w14:textId="77777777" w:rsidR="00675C8F" w:rsidRDefault="00675C8F" w:rsidP="00675C8F">
      <w:pPr>
        <w:spacing w:line="260" w:lineRule="atLeast"/>
        <w:rPr>
          <w:rFonts w:ascii="Times New Roman" w:eastAsia="Calibri" w:hAnsi="Times New Roman" w:cs="Times New Roman"/>
          <w:i/>
          <w:iCs/>
        </w:rPr>
      </w:pPr>
    </w:p>
    <w:p w14:paraId="21BCC97A" w14:textId="36E80103" w:rsidR="00675C8F" w:rsidRDefault="00675C8F" w:rsidP="00675C8F">
      <w:pPr>
        <w:jc w:val="both"/>
        <w:rPr>
          <w:i/>
          <w:u w:val="single"/>
        </w:rPr>
      </w:pPr>
      <w:r>
        <w:rPr>
          <w:i/>
          <w:u w:val="single"/>
        </w:rPr>
        <w:t xml:space="preserve">Meta SPC </w:t>
      </w:r>
      <w:r>
        <w:rPr>
          <w:b/>
          <w:i/>
          <w:u w:val="single"/>
        </w:rPr>
        <w:t>12</w:t>
      </w:r>
      <w:r>
        <w:rPr>
          <w:i/>
          <w:u w:val="single"/>
        </w:rPr>
        <w:t xml:space="preserve"> (Use #1)</w:t>
      </w:r>
    </w:p>
    <w:p w14:paraId="628A01FE" w14:textId="77777777" w:rsidR="00675C8F" w:rsidRDefault="00675C8F" w:rsidP="00675C8F">
      <w:pPr>
        <w:jc w:val="both"/>
      </w:pPr>
    </w:p>
    <w:p w14:paraId="637B61B6" w14:textId="7EFD60FE" w:rsidR="00675C8F" w:rsidRDefault="00675C8F" w:rsidP="00E91F85">
      <w:pPr>
        <w:jc w:val="both"/>
      </w:pPr>
      <w:r>
        <w:t>PPE</w:t>
      </w:r>
      <w:r w:rsidR="00E7364E">
        <w:t xml:space="preserve"> during application</w:t>
      </w:r>
      <w:r>
        <w:t>:</w:t>
      </w:r>
    </w:p>
    <w:p w14:paraId="0067A2D5" w14:textId="77777777" w:rsidR="00675C8F" w:rsidRDefault="00675C8F" w:rsidP="00675C8F">
      <w:pPr>
        <w:numPr>
          <w:ilvl w:val="0"/>
          <w:numId w:val="39"/>
        </w:numPr>
        <w:jc w:val="both"/>
        <w:rPr>
          <w:rFonts w:eastAsia="Calibri"/>
        </w:rPr>
      </w:pPr>
      <w:r>
        <w:rPr>
          <w:rFonts w:eastAsia="Calibri"/>
        </w:rPr>
        <w:t>Substance/task appropriate gloves</w:t>
      </w:r>
    </w:p>
    <w:p w14:paraId="22DE7F27" w14:textId="77777777" w:rsidR="00675C8F" w:rsidRDefault="00675C8F" w:rsidP="00675C8F">
      <w:pPr>
        <w:numPr>
          <w:ilvl w:val="0"/>
          <w:numId w:val="39"/>
        </w:numPr>
        <w:jc w:val="both"/>
        <w:rPr>
          <w:rFonts w:eastAsia="Calibri"/>
        </w:rPr>
      </w:pPr>
      <w:r>
        <w:rPr>
          <w:rFonts w:eastAsia="Calibri"/>
        </w:rPr>
        <w:t>Protection coverall</w:t>
      </w:r>
    </w:p>
    <w:p w14:paraId="4B052F80" w14:textId="77777777" w:rsidR="00D34D25" w:rsidRPr="0084576F" w:rsidRDefault="00D34D25" w:rsidP="00B66049">
      <w:pPr>
        <w:rPr>
          <w:rFonts w:eastAsia="Calibri"/>
          <w:b/>
          <w:i/>
          <w:u w:val="single"/>
          <w:lang w:val="en-US" w:eastAsia="en-US"/>
        </w:rPr>
      </w:pPr>
    </w:p>
    <w:p w14:paraId="08F42E34" w14:textId="77777777" w:rsidR="00B66049" w:rsidRDefault="00B66049" w:rsidP="00B66049">
      <w:pPr>
        <w:rPr>
          <w:rFonts w:eastAsia="Calibri"/>
          <w:b/>
          <w:i/>
          <w:u w:val="single"/>
          <w:lang w:eastAsia="en-US"/>
        </w:rPr>
      </w:pPr>
    </w:p>
    <w:p w14:paraId="7D685EC1" w14:textId="70076B13" w:rsidR="009B2E87" w:rsidRPr="00E91F85" w:rsidRDefault="00B23088" w:rsidP="008D207C">
      <w:pPr>
        <w:suppressAutoHyphens w:val="0"/>
        <w:rPr>
          <w:b/>
          <w:i/>
          <w:u w:val="single"/>
        </w:rPr>
      </w:pPr>
      <w:r w:rsidRPr="00E91F85">
        <w:rPr>
          <w:b/>
          <w:i/>
          <w:u w:val="single"/>
        </w:rPr>
        <w:t>Non-professionals</w:t>
      </w:r>
    </w:p>
    <w:p w14:paraId="67A3A825" w14:textId="6CDAC7A6" w:rsidR="006F6D4C" w:rsidRDefault="006F6D4C" w:rsidP="008D207C">
      <w:pPr>
        <w:suppressAutoHyphens w:val="0"/>
        <w:rPr>
          <w:rFonts w:eastAsia="Calibri"/>
          <w:b/>
          <w:i/>
        </w:rPr>
      </w:pPr>
    </w:p>
    <w:p w14:paraId="202A285D" w14:textId="019FE8C5" w:rsidR="006F6D4C" w:rsidRDefault="006F6D4C" w:rsidP="008D207C">
      <w:pPr>
        <w:suppressAutoHyphens w:val="0"/>
        <w:rPr>
          <w:i/>
          <w:u w:val="single"/>
        </w:rPr>
      </w:pPr>
      <w:r w:rsidRPr="00E91F85">
        <w:rPr>
          <w:rFonts w:eastAsia="Calibri"/>
          <w:i/>
          <w:u w:val="single"/>
        </w:rPr>
        <w:t xml:space="preserve">Meta SPC </w:t>
      </w:r>
      <w:r w:rsidRPr="00B06F00">
        <w:rPr>
          <w:b/>
          <w:i/>
          <w:u w:val="single"/>
        </w:rPr>
        <w:t>1</w:t>
      </w:r>
      <w:r w:rsidRPr="006F6D4C">
        <w:rPr>
          <w:i/>
          <w:u w:val="single"/>
        </w:rPr>
        <w:t xml:space="preserve"> (</w:t>
      </w:r>
      <w:r w:rsidR="007E1416">
        <w:rPr>
          <w:i/>
          <w:u w:val="single"/>
        </w:rPr>
        <w:t>Use #1</w:t>
      </w:r>
      <w:r w:rsidRPr="006F6D4C">
        <w:rPr>
          <w:i/>
          <w:u w:val="single"/>
        </w:rPr>
        <w:t>)</w:t>
      </w:r>
    </w:p>
    <w:p w14:paraId="6BCEB944" w14:textId="53CF6807" w:rsidR="006F6D4C" w:rsidRDefault="006F6D4C" w:rsidP="008D207C">
      <w:pPr>
        <w:suppressAutoHyphens w:val="0"/>
        <w:rPr>
          <w:i/>
          <w:u w:val="single"/>
        </w:rPr>
      </w:pPr>
    </w:p>
    <w:p w14:paraId="56D6B19A" w14:textId="616A838F" w:rsidR="006F6D4C" w:rsidRPr="00E91F85" w:rsidRDefault="006F6D4C" w:rsidP="008D207C">
      <w:pPr>
        <w:suppressAutoHyphens w:val="0"/>
        <w:rPr>
          <w:rFonts w:eastAsia="Calibri"/>
          <w:i/>
        </w:rPr>
      </w:pPr>
      <w:r>
        <w:t>The risk is considered acceptable considering systemic and local effects</w:t>
      </w:r>
      <w:r w:rsidR="00D34D25">
        <w:t>.</w:t>
      </w:r>
    </w:p>
    <w:p w14:paraId="7F27264F" w14:textId="6070E44B" w:rsidR="00B66049" w:rsidRDefault="00B66049" w:rsidP="008D207C">
      <w:pPr>
        <w:suppressAutoHyphens w:val="0"/>
        <w:rPr>
          <w:rFonts w:eastAsia="Calibri"/>
        </w:rPr>
      </w:pPr>
    </w:p>
    <w:p w14:paraId="770C31DE" w14:textId="77777777" w:rsidR="006F6D4C" w:rsidRDefault="006F6D4C" w:rsidP="006F6D4C">
      <w:pPr>
        <w:jc w:val="both"/>
        <w:rPr>
          <w:i/>
          <w:u w:val="single"/>
        </w:rPr>
      </w:pPr>
      <w:r>
        <w:rPr>
          <w:i/>
          <w:u w:val="single"/>
        </w:rPr>
        <w:t xml:space="preserve">Meta SPC </w:t>
      </w:r>
      <w:r w:rsidRPr="005D115E">
        <w:rPr>
          <w:b/>
          <w:i/>
          <w:u w:val="single"/>
        </w:rPr>
        <w:t>2</w:t>
      </w:r>
      <w:r>
        <w:rPr>
          <w:i/>
          <w:u w:val="single"/>
        </w:rPr>
        <w:t xml:space="preserve"> (Uses #1-2)</w:t>
      </w:r>
    </w:p>
    <w:p w14:paraId="29E20D82" w14:textId="77777777" w:rsidR="006F6D4C" w:rsidRDefault="006F6D4C" w:rsidP="006F6D4C">
      <w:pPr>
        <w:spacing w:line="260" w:lineRule="atLeast"/>
        <w:rPr>
          <w:rFonts w:ascii="Times New Roman" w:eastAsia="Calibri" w:hAnsi="Times New Roman" w:cs="Times New Roman"/>
          <w:i/>
          <w:iCs/>
          <w:lang w:eastAsia="en-US"/>
        </w:rPr>
      </w:pPr>
    </w:p>
    <w:p w14:paraId="602CF171" w14:textId="11C0BBD6" w:rsidR="006F6D4C" w:rsidRDefault="006F6D4C" w:rsidP="006F6D4C">
      <w:pPr>
        <w:jc w:val="both"/>
      </w:pPr>
      <w:r>
        <w:t>The risk is considered acceptable considering systemic and local effects.</w:t>
      </w:r>
    </w:p>
    <w:p w14:paraId="37376540" w14:textId="77777777" w:rsidR="006F6D4C" w:rsidRDefault="006F6D4C" w:rsidP="006F6D4C">
      <w:pPr>
        <w:pStyle w:val="Paragraphedeliste"/>
        <w:jc w:val="both"/>
      </w:pPr>
      <w:r>
        <w:t xml:space="preserve"> </w:t>
      </w:r>
    </w:p>
    <w:p w14:paraId="633422FD" w14:textId="77777777" w:rsidR="006F6D4C" w:rsidRDefault="006F6D4C" w:rsidP="006F6D4C">
      <w:pPr>
        <w:jc w:val="both"/>
      </w:pPr>
      <w:r>
        <w:t xml:space="preserve">The following RMM are needed: </w:t>
      </w:r>
    </w:p>
    <w:p w14:paraId="4464429F" w14:textId="4C96921F" w:rsidR="006F6D4C" w:rsidRDefault="006F6D4C" w:rsidP="006F6D4C">
      <w:pPr>
        <w:pStyle w:val="Paragraphedeliste"/>
        <w:numPr>
          <w:ilvl w:val="0"/>
          <w:numId w:val="44"/>
        </w:numPr>
        <w:rPr>
          <w:rFonts w:cs="Arial"/>
          <w:iCs/>
          <w:szCs w:val="16"/>
          <w:lang w:val="en-US"/>
        </w:rPr>
      </w:pPr>
      <w:r w:rsidRPr="00451C51">
        <w:rPr>
          <w:rFonts w:cs="Arial"/>
          <w:iCs/>
          <w:szCs w:val="16"/>
          <w:lang w:val="en-US"/>
        </w:rPr>
        <w:t>Minimisation of splashes and spills during loading of the trigger spray</w:t>
      </w:r>
      <w:r w:rsidR="00657948">
        <w:rPr>
          <w:rFonts w:cs="Arial"/>
          <w:iCs/>
          <w:szCs w:val="16"/>
          <w:lang w:val="en-US"/>
        </w:rPr>
        <w:t>.</w:t>
      </w:r>
    </w:p>
    <w:p w14:paraId="555CA07B" w14:textId="77777777" w:rsidR="006F6D4C" w:rsidRDefault="006F6D4C" w:rsidP="006F6D4C">
      <w:pPr>
        <w:pStyle w:val="Paragraphedeliste"/>
        <w:numPr>
          <w:ilvl w:val="0"/>
          <w:numId w:val="44"/>
        </w:numPr>
        <w:ind w:left="785"/>
        <w:rPr>
          <w:rFonts w:cs="Arial"/>
          <w:iCs/>
          <w:szCs w:val="16"/>
          <w:lang w:val="en-US"/>
        </w:rPr>
      </w:pPr>
      <w:r>
        <w:rPr>
          <w:rFonts w:cs="Arial"/>
          <w:iCs/>
          <w:szCs w:val="16"/>
          <w:lang w:val="en-US"/>
        </w:rPr>
        <w:t xml:space="preserve">The spray application must be downward in order to avoid any facial exposure. </w:t>
      </w:r>
    </w:p>
    <w:p w14:paraId="5D857CE7" w14:textId="2B30AECC" w:rsidR="006F6D4C" w:rsidRDefault="006F6D4C" w:rsidP="006F6D4C">
      <w:pPr>
        <w:pStyle w:val="Paragraphedeliste"/>
        <w:numPr>
          <w:ilvl w:val="0"/>
          <w:numId w:val="44"/>
        </w:numPr>
        <w:jc w:val="both"/>
        <w:rPr>
          <w:rFonts w:cs="Arial"/>
          <w:iCs/>
          <w:szCs w:val="16"/>
          <w:lang w:val="en-US"/>
        </w:rPr>
      </w:pPr>
      <w:r>
        <w:rPr>
          <w:rFonts w:cs="Arial"/>
          <w:iCs/>
          <w:szCs w:val="16"/>
          <w:lang w:val="en-US"/>
        </w:rPr>
        <w:t>Avoidance of contact with treated surfaces</w:t>
      </w:r>
      <w:r w:rsidR="009B459D">
        <w:rPr>
          <w:rFonts w:cs="Arial"/>
          <w:iCs/>
          <w:szCs w:val="16"/>
          <w:lang w:val="en-US"/>
        </w:rPr>
        <w:t>.</w:t>
      </w:r>
    </w:p>
    <w:p w14:paraId="5420C772" w14:textId="195DBEDD" w:rsidR="00EA3328" w:rsidRPr="00657948" w:rsidRDefault="006F6D4C" w:rsidP="00657948">
      <w:pPr>
        <w:pStyle w:val="Paragraphedeliste"/>
        <w:numPr>
          <w:ilvl w:val="0"/>
          <w:numId w:val="44"/>
        </w:numPr>
        <w:jc w:val="both"/>
        <w:rPr>
          <w:rFonts w:cs="Arial"/>
          <w:iCs/>
          <w:szCs w:val="16"/>
          <w:lang w:val="en-US"/>
        </w:rPr>
      </w:pPr>
      <w:r>
        <w:rPr>
          <w:rFonts w:cs="Arial"/>
          <w:iCs/>
          <w:szCs w:val="16"/>
          <w:lang w:val="en-US"/>
        </w:rPr>
        <w:t>Wash hands after application</w:t>
      </w:r>
      <w:r w:rsidR="009B459D">
        <w:rPr>
          <w:rFonts w:cs="Arial"/>
          <w:iCs/>
          <w:szCs w:val="16"/>
          <w:lang w:val="en-US"/>
        </w:rPr>
        <w:t>.</w:t>
      </w:r>
    </w:p>
    <w:p w14:paraId="06890E59" w14:textId="4AD42844" w:rsidR="006F6D4C" w:rsidRDefault="006F6D4C" w:rsidP="006F6D4C">
      <w:pPr>
        <w:spacing w:line="260" w:lineRule="atLeast"/>
        <w:rPr>
          <w:rFonts w:ascii="Times New Roman" w:eastAsia="Calibri" w:hAnsi="Times New Roman" w:cs="Times New Roman"/>
          <w:i/>
          <w:iCs/>
          <w:lang w:eastAsia="en-US"/>
        </w:rPr>
      </w:pPr>
    </w:p>
    <w:p w14:paraId="52F82D5E" w14:textId="77777777" w:rsidR="006F6D4C" w:rsidRDefault="006F6D4C" w:rsidP="006F6D4C">
      <w:pPr>
        <w:jc w:val="both"/>
        <w:rPr>
          <w:i/>
          <w:u w:val="single"/>
        </w:rPr>
      </w:pPr>
      <w:r>
        <w:rPr>
          <w:i/>
          <w:u w:val="single"/>
        </w:rPr>
        <w:t xml:space="preserve">Meta SPC </w:t>
      </w:r>
      <w:r w:rsidRPr="005D115E">
        <w:rPr>
          <w:b/>
          <w:i/>
          <w:u w:val="single"/>
        </w:rPr>
        <w:t>9</w:t>
      </w:r>
      <w:r>
        <w:rPr>
          <w:i/>
          <w:u w:val="single"/>
        </w:rPr>
        <w:t xml:space="preserve"> (Uses #1-2)</w:t>
      </w:r>
    </w:p>
    <w:p w14:paraId="15F16277" w14:textId="77777777" w:rsidR="006F6D4C" w:rsidRDefault="006F6D4C" w:rsidP="006F6D4C">
      <w:pPr>
        <w:jc w:val="both"/>
        <w:rPr>
          <w:i/>
          <w:u w:val="single"/>
        </w:rPr>
      </w:pPr>
    </w:p>
    <w:p w14:paraId="685B379C" w14:textId="0A475E74" w:rsidR="006F6D4C" w:rsidRPr="005D115E" w:rsidRDefault="006F6D4C" w:rsidP="006F6D4C">
      <w:pPr>
        <w:jc w:val="both"/>
      </w:pPr>
      <w:r>
        <w:t>The risk is considered acceptable considering systemic and local effects.</w:t>
      </w:r>
    </w:p>
    <w:p w14:paraId="1D3DE11F" w14:textId="77777777" w:rsidR="00D34D25" w:rsidRDefault="00D34D25" w:rsidP="006F6D4C">
      <w:pPr>
        <w:spacing w:line="260" w:lineRule="atLeast"/>
      </w:pPr>
    </w:p>
    <w:p w14:paraId="0E714759" w14:textId="26C98D49" w:rsidR="006F6D4C" w:rsidRDefault="00D34D25" w:rsidP="006F6D4C">
      <w:pPr>
        <w:spacing w:line="260" w:lineRule="atLeast"/>
      </w:pPr>
      <w:r>
        <w:t>T</w:t>
      </w:r>
      <w:r w:rsidRPr="00D34D25">
        <w:t>he following RMM are needed:</w:t>
      </w:r>
    </w:p>
    <w:p w14:paraId="2ACAD57C" w14:textId="77777777" w:rsidR="006F6D4C" w:rsidRDefault="006F6D4C" w:rsidP="006F6D4C">
      <w:pPr>
        <w:pStyle w:val="Paragraphedeliste"/>
        <w:numPr>
          <w:ilvl w:val="0"/>
          <w:numId w:val="44"/>
        </w:numPr>
        <w:jc w:val="both"/>
        <w:rPr>
          <w:rFonts w:cs="Arial"/>
          <w:iCs/>
          <w:szCs w:val="16"/>
          <w:lang w:val="en-US"/>
        </w:rPr>
      </w:pPr>
      <w:r>
        <w:rPr>
          <w:rFonts w:cs="Arial"/>
          <w:iCs/>
          <w:szCs w:val="16"/>
          <w:lang w:val="en-US"/>
        </w:rPr>
        <w:t>Minimisation of splashes and spills during loading of the trigger spray or knapsack sprayer.</w:t>
      </w:r>
    </w:p>
    <w:p w14:paraId="426CB9B5" w14:textId="77777777" w:rsidR="006F6D4C" w:rsidRDefault="006F6D4C" w:rsidP="006F6D4C">
      <w:pPr>
        <w:pStyle w:val="Paragraphedeliste"/>
        <w:numPr>
          <w:ilvl w:val="0"/>
          <w:numId w:val="44"/>
        </w:numPr>
        <w:jc w:val="both"/>
        <w:rPr>
          <w:rFonts w:cs="Arial"/>
          <w:iCs/>
          <w:szCs w:val="16"/>
          <w:lang w:val="en-US"/>
        </w:rPr>
      </w:pPr>
      <w:r>
        <w:rPr>
          <w:rFonts w:cs="Arial"/>
          <w:iCs/>
          <w:szCs w:val="16"/>
          <w:lang w:val="en-US"/>
        </w:rPr>
        <w:t>The spray application must be downward in order to avoid any facial exposure.</w:t>
      </w:r>
    </w:p>
    <w:p w14:paraId="601D2F6A" w14:textId="39689B75" w:rsidR="006F6D4C" w:rsidRDefault="006F6D4C" w:rsidP="006F6D4C">
      <w:pPr>
        <w:pStyle w:val="Paragraphedeliste"/>
        <w:numPr>
          <w:ilvl w:val="0"/>
          <w:numId w:val="44"/>
        </w:numPr>
        <w:jc w:val="both"/>
        <w:rPr>
          <w:rFonts w:cs="Arial"/>
          <w:iCs/>
          <w:szCs w:val="16"/>
          <w:lang w:val="en-US"/>
        </w:rPr>
      </w:pPr>
      <w:r>
        <w:rPr>
          <w:rFonts w:cs="Arial"/>
          <w:iCs/>
          <w:szCs w:val="16"/>
          <w:lang w:val="en-US"/>
        </w:rPr>
        <w:t>Avoidance of contact with treated surfaces</w:t>
      </w:r>
      <w:r w:rsidR="009B459D">
        <w:rPr>
          <w:rFonts w:cs="Arial"/>
          <w:iCs/>
          <w:szCs w:val="16"/>
          <w:lang w:val="en-US"/>
        </w:rPr>
        <w:t>.</w:t>
      </w:r>
    </w:p>
    <w:p w14:paraId="5AB0ED77" w14:textId="0BA2E92A" w:rsidR="006F6D4C" w:rsidRDefault="006F6D4C" w:rsidP="006F6D4C">
      <w:pPr>
        <w:pStyle w:val="Paragraphedeliste"/>
        <w:numPr>
          <w:ilvl w:val="0"/>
          <w:numId w:val="44"/>
        </w:numPr>
        <w:jc w:val="both"/>
        <w:rPr>
          <w:rFonts w:cs="Arial"/>
          <w:iCs/>
          <w:szCs w:val="16"/>
          <w:lang w:val="en-US"/>
        </w:rPr>
      </w:pPr>
      <w:r>
        <w:rPr>
          <w:rFonts w:cs="Arial"/>
          <w:iCs/>
          <w:szCs w:val="16"/>
          <w:lang w:val="en-US"/>
        </w:rPr>
        <w:lastRenderedPageBreak/>
        <w:t>Avoid touching the eyes with hands during application</w:t>
      </w:r>
      <w:r w:rsidR="009B459D">
        <w:rPr>
          <w:rFonts w:cs="Arial"/>
          <w:iCs/>
          <w:szCs w:val="16"/>
          <w:lang w:val="en-US"/>
        </w:rPr>
        <w:t>.</w:t>
      </w:r>
    </w:p>
    <w:p w14:paraId="5092E704" w14:textId="7BCF84AC" w:rsidR="006F6D4C" w:rsidRDefault="006F6D4C" w:rsidP="006F6D4C">
      <w:pPr>
        <w:pStyle w:val="Paragraphedeliste"/>
        <w:numPr>
          <w:ilvl w:val="0"/>
          <w:numId w:val="44"/>
        </w:numPr>
        <w:jc w:val="both"/>
        <w:rPr>
          <w:rFonts w:cs="Arial"/>
          <w:iCs/>
          <w:szCs w:val="16"/>
          <w:lang w:val="en-US"/>
        </w:rPr>
      </w:pPr>
      <w:r>
        <w:rPr>
          <w:rFonts w:cs="Arial"/>
          <w:iCs/>
          <w:szCs w:val="16"/>
          <w:lang w:val="en-US"/>
        </w:rPr>
        <w:t>Wash hands after application</w:t>
      </w:r>
      <w:r w:rsidR="009B459D">
        <w:rPr>
          <w:rFonts w:cs="Arial"/>
          <w:iCs/>
          <w:szCs w:val="16"/>
          <w:lang w:val="en-US"/>
        </w:rPr>
        <w:t>.</w:t>
      </w:r>
    </w:p>
    <w:p w14:paraId="639EA283" w14:textId="7A0AAFB2" w:rsidR="00EA3328" w:rsidRDefault="00EA3328" w:rsidP="006F6D4C">
      <w:pPr>
        <w:pStyle w:val="Paragraphedeliste"/>
        <w:numPr>
          <w:ilvl w:val="0"/>
          <w:numId w:val="44"/>
        </w:numPr>
        <w:jc w:val="both"/>
        <w:rPr>
          <w:rFonts w:cs="Arial"/>
          <w:iCs/>
          <w:szCs w:val="16"/>
          <w:lang w:val="en-US"/>
        </w:rPr>
      </w:pPr>
      <w:r>
        <w:rPr>
          <w:rFonts w:eastAsia="Calibri"/>
          <w:szCs w:val="22"/>
          <w:lang w:val="en-US" w:eastAsia="en-US"/>
        </w:rPr>
        <w:t xml:space="preserve">Keep companion’s animal away from fresly treated surfaces until dry </w:t>
      </w:r>
      <w:r w:rsidRPr="00E91F85">
        <w:t>(only for use #1)</w:t>
      </w:r>
      <w:r w:rsidR="009B459D">
        <w:t>.</w:t>
      </w:r>
      <w:r w:rsidRPr="00EA3328">
        <w:rPr>
          <w:rFonts w:eastAsia="Calibri"/>
          <w:szCs w:val="22"/>
          <w:lang w:val="en-US" w:eastAsia="en-US"/>
        </w:rPr>
        <w:t xml:space="preserve"> </w:t>
      </w:r>
    </w:p>
    <w:p w14:paraId="2EB556CD" w14:textId="77777777" w:rsidR="006F6D4C" w:rsidRDefault="006F6D4C" w:rsidP="006F6D4C">
      <w:pPr>
        <w:spacing w:line="260" w:lineRule="atLeast"/>
        <w:rPr>
          <w:rFonts w:ascii="Times New Roman" w:eastAsia="Calibri" w:hAnsi="Times New Roman" w:cs="Times New Roman"/>
          <w:i/>
          <w:iCs/>
          <w:lang w:eastAsia="en-US"/>
        </w:rPr>
      </w:pPr>
    </w:p>
    <w:p w14:paraId="7DCFC1D9" w14:textId="77777777" w:rsidR="006F6D4C" w:rsidRDefault="006F6D4C" w:rsidP="006F6D4C">
      <w:pPr>
        <w:jc w:val="both"/>
        <w:rPr>
          <w:i/>
          <w:u w:val="single"/>
        </w:rPr>
      </w:pPr>
      <w:r>
        <w:rPr>
          <w:i/>
          <w:u w:val="single"/>
        </w:rPr>
        <w:t xml:space="preserve">Meta SPC </w:t>
      </w:r>
      <w:r w:rsidRPr="005D115E">
        <w:rPr>
          <w:b/>
          <w:i/>
          <w:u w:val="single"/>
        </w:rPr>
        <w:t>8</w:t>
      </w:r>
      <w:r>
        <w:rPr>
          <w:i/>
          <w:u w:val="single"/>
        </w:rPr>
        <w:t xml:space="preserve"> (Use #1) – </w:t>
      </w:r>
      <w:r w:rsidRPr="005D115E">
        <w:rPr>
          <w:b/>
          <w:i/>
          <w:u w:val="single"/>
        </w:rPr>
        <w:t>10</w:t>
      </w:r>
      <w:r>
        <w:rPr>
          <w:i/>
          <w:u w:val="single"/>
        </w:rPr>
        <w:t xml:space="preserve"> (Uses #1-2)</w:t>
      </w:r>
    </w:p>
    <w:p w14:paraId="264C97B2" w14:textId="77777777" w:rsidR="006F6D4C" w:rsidRDefault="006F6D4C" w:rsidP="006F6D4C">
      <w:pPr>
        <w:jc w:val="both"/>
      </w:pPr>
    </w:p>
    <w:p w14:paraId="636456DD" w14:textId="342CCCD8" w:rsidR="006F6D4C" w:rsidRDefault="006F6D4C" w:rsidP="006F6D4C">
      <w:pPr>
        <w:jc w:val="both"/>
        <w:rPr>
          <w:rFonts w:cs="Arial"/>
          <w:iCs/>
          <w:szCs w:val="16"/>
          <w:lang w:val="en-US"/>
        </w:rPr>
      </w:pPr>
      <w:r w:rsidRPr="005D115E">
        <w:rPr>
          <w:rFonts w:cs="Arial"/>
          <w:iCs/>
          <w:szCs w:val="16"/>
          <w:lang w:val="en-US"/>
        </w:rPr>
        <w:t>The risk is acceptable</w:t>
      </w:r>
      <w:r>
        <w:rPr>
          <w:rFonts w:cs="Arial"/>
          <w:iCs/>
          <w:szCs w:val="16"/>
          <w:lang w:val="en-US"/>
        </w:rPr>
        <w:t xml:space="preserve"> considering systemic effects but unacceptable considering local effects due to the </w:t>
      </w:r>
      <w:r w:rsidR="009A23C1">
        <w:rPr>
          <w:rFonts w:cs="Arial"/>
          <w:iCs/>
          <w:szCs w:val="16"/>
          <w:lang w:val="en-US"/>
        </w:rPr>
        <w:t>potential</w:t>
      </w:r>
      <w:r>
        <w:rPr>
          <w:rFonts w:cs="Arial"/>
          <w:iCs/>
          <w:szCs w:val="16"/>
          <w:lang w:val="en-US"/>
        </w:rPr>
        <w:t xml:space="preserve"> dermal/ocular exposure to the concentrate </w:t>
      </w:r>
      <w:r w:rsidR="000D41B7">
        <w:rPr>
          <w:rFonts w:cs="Arial"/>
          <w:iCs/>
          <w:szCs w:val="16"/>
          <w:lang w:val="en-US"/>
        </w:rPr>
        <w:t xml:space="preserve">and corrosive </w:t>
      </w:r>
      <w:r>
        <w:rPr>
          <w:rFonts w:cs="Arial"/>
          <w:iCs/>
          <w:szCs w:val="16"/>
          <w:lang w:val="en-US"/>
        </w:rPr>
        <w:t>product.</w:t>
      </w:r>
    </w:p>
    <w:p w14:paraId="77EF6E6E" w14:textId="4BDA7F51" w:rsidR="007E1416" w:rsidRDefault="007E1416" w:rsidP="006F6D4C">
      <w:pPr>
        <w:jc w:val="both"/>
        <w:rPr>
          <w:rFonts w:cs="Arial"/>
          <w:szCs w:val="16"/>
          <w:lang w:val="en-US"/>
        </w:rPr>
      </w:pPr>
    </w:p>
    <w:p w14:paraId="18532A4F" w14:textId="77777777" w:rsidR="00D34D25" w:rsidRDefault="00D34D25" w:rsidP="006F6D4C">
      <w:pPr>
        <w:jc w:val="both"/>
        <w:rPr>
          <w:rFonts w:cs="Arial"/>
          <w:szCs w:val="16"/>
          <w:lang w:val="en-US"/>
        </w:rPr>
      </w:pPr>
    </w:p>
    <w:p w14:paraId="41156FB1" w14:textId="6A9E2C09" w:rsidR="007E1416" w:rsidRDefault="007E1416" w:rsidP="007E1416">
      <w:pPr>
        <w:suppressAutoHyphens w:val="0"/>
        <w:rPr>
          <w:b/>
          <w:i/>
          <w:u w:val="single"/>
        </w:rPr>
      </w:pPr>
      <w:r w:rsidRPr="00E91F85">
        <w:rPr>
          <w:b/>
          <w:i/>
          <w:u w:val="single"/>
        </w:rPr>
        <w:t>General public</w:t>
      </w:r>
      <w:r w:rsidR="00527B58">
        <w:rPr>
          <w:b/>
          <w:i/>
          <w:u w:val="single"/>
        </w:rPr>
        <w:t xml:space="preserve"> (secondary exposure)</w:t>
      </w:r>
    </w:p>
    <w:p w14:paraId="449DA90D" w14:textId="08C764A9" w:rsidR="003852BF" w:rsidRDefault="003852BF" w:rsidP="007E1416">
      <w:pPr>
        <w:suppressAutoHyphens w:val="0"/>
        <w:rPr>
          <w:b/>
          <w:i/>
          <w:u w:val="single"/>
        </w:rPr>
      </w:pPr>
    </w:p>
    <w:p w14:paraId="646D6AFA" w14:textId="039F624D" w:rsidR="003852BF" w:rsidRDefault="003852BF" w:rsidP="007E1416">
      <w:pPr>
        <w:suppressAutoHyphens w:val="0"/>
        <w:rPr>
          <w:i/>
          <w:u w:val="single"/>
        </w:rPr>
      </w:pPr>
      <w:r w:rsidRPr="00E91F85">
        <w:rPr>
          <w:i/>
          <w:u w:val="single"/>
        </w:rPr>
        <w:t xml:space="preserve">Meta SPC </w:t>
      </w:r>
      <w:r w:rsidRPr="00E160A1">
        <w:rPr>
          <w:b/>
          <w:i/>
          <w:u w:val="single"/>
        </w:rPr>
        <w:t>1</w:t>
      </w:r>
      <w:r>
        <w:rPr>
          <w:b/>
          <w:i/>
          <w:u w:val="single"/>
        </w:rPr>
        <w:t xml:space="preserve"> </w:t>
      </w:r>
      <w:r w:rsidRPr="005D115E">
        <w:rPr>
          <w:i/>
          <w:u w:val="single"/>
        </w:rPr>
        <w:t>(Use #1)</w:t>
      </w:r>
    </w:p>
    <w:p w14:paraId="148AC3AC" w14:textId="63820B5D" w:rsidR="003852BF" w:rsidRDefault="003852BF" w:rsidP="007E1416">
      <w:pPr>
        <w:suppressAutoHyphens w:val="0"/>
        <w:rPr>
          <w:i/>
          <w:u w:val="single"/>
        </w:rPr>
      </w:pPr>
    </w:p>
    <w:p w14:paraId="0EFAE3B7" w14:textId="5951AAEB" w:rsidR="003852BF" w:rsidRPr="00E91F85" w:rsidRDefault="003852BF" w:rsidP="007E1416">
      <w:pPr>
        <w:suppressAutoHyphens w:val="0"/>
        <w:rPr>
          <w:i/>
          <w:u w:val="single"/>
        </w:rPr>
      </w:pPr>
      <w:r>
        <w:rPr>
          <w:rFonts w:eastAsia="Calibri"/>
          <w:lang w:val="en-US"/>
        </w:rPr>
        <w:t>The risk is acceptable without RMM.</w:t>
      </w:r>
    </w:p>
    <w:p w14:paraId="1E87295A" w14:textId="77777777" w:rsidR="007E1416" w:rsidRDefault="007E1416" w:rsidP="006F6D4C">
      <w:pPr>
        <w:jc w:val="both"/>
        <w:rPr>
          <w:rFonts w:cs="Arial"/>
          <w:szCs w:val="16"/>
          <w:lang w:val="en-US"/>
        </w:rPr>
      </w:pPr>
    </w:p>
    <w:p w14:paraId="356ED2E1" w14:textId="0B1D5686" w:rsidR="00E50648" w:rsidRPr="00E91F85" w:rsidRDefault="00E50648" w:rsidP="00E50648">
      <w:pPr>
        <w:rPr>
          <w:rFonts w:eastAsia="Calibri"/>
          <w:i/>
          <w:szCs w:val="22"/>
          <w:u w:val="single"/>
          <w:lang w:val="en-US" w:eastAsia="en-US"/>
        </w:rPr>
      </w:pPr>
      <w:r w:rsidRPr="00E91F85">
        <w:rPr>
          <w:rFonts w:eastAsia="Calibri"/>
          <w:i/>
          <w:szCs w:val="22"/>
          <w:u w:val="single"/>
          <w:lang w:val="en-US" w:eastAsia="en-US"/>
        </w:rPr>
        <w:t xml:space="preserve">Meta SPC </w:t>
      </w:r>
      <w:r w:rsidRPr="00E160A1">
        <w:rPr>
          <w:rFonts w:eastAsia="Calibri"/>
          <w:b/>
          <w:i/>
          <w:u w:val="single"/>
          <w:lang w:val="en-US" w:eastAsia="en-US"/>
        </w:rPr>
        <w:t>2</w:t>
      </w:r>
      <w:r w:rsidRPr="00E91F85">
        <w:rPr>
          <w:i/>
          <w:u w:val="single"/>
          <w:lang w:val="en-US"/>
        </w:rPr>
        <w:t>–</w:t>
      </w:r>
      <w:r w:rsidRPr="00E160A1">
        <w:rPr>
          <w:b/>
          <w:i/>
          <w:u w:val="single"/>
          <w:lang w:val="en-US"/>
        </w:rPr>
        <w:t>3</w:t>
      </w:r>
      <w:r w:rsidRPr="00E91F85">
        <w:rPr>
          <w:i/>
          <w:u w:val="single"/>
          <w:lang w:val="en-US"/>
        </w:rPr>
        <w:t>-</w:t>
      </w:r>
      <w:r w:rsidRPr="00E160A1">
        <w:rPr>
          <w:b/>
          <w:i/>
          <w:u w:val="single"/>
          <w:lang w:val="en-US"/>
        </w:rPr>
        <w:t>4</w:t>
      </w:r>
      <w:r w:rsidRPr="00E91F85">
        <w:rPr>
          <w:i/>
          <w:u w:val="single"/>
          <w:lang w:val="en-US"/>
        </w:rPr>
        <w:t>-</w:t>
      </w:r>
      <w:r w:rsidRPr="00E160A1">
        <w:rPr>
          <w:b/>
          <w:i/>
          <w:u w:val="single"/>
          <w:lang w:val="en-US"/>
        </w:rPr>
        <w:t>6</w:t>
      </w:r>
      <w:r w:rsidRPr="00E91F85">
        <w:rPr>
          <w:i/>
          <w:u w:val="single"/>
          <w:lang w:val="en-US"/>
        </w:rPr>
        <w:t>-</w:t>
      </w:r>
      <w:r w:rsidRPr="00E160A1">
        <w:rPr>
          <w:b/>
          <w:i/>
          <w:u w:val="single"/>
          <w:lang w:val="en-US"/>
        </w:rPr>
        <w:t>7</w:t>
      </w:r>
      <w:r w:rsidRPr="00E91F85">
        <w:rPr>
          <w:i/>
          <w:u w:val="single"/>
          <w:lang w:val="en-US"/>
        </w:rPr>
        <w:t>-</w:t>
      </w:r>
      <w:r w:rsidRPr="00E160A1">
        <w:rPr>
          <w:b/>
          <w:i/>
          <w:u w:val="single"/>
          <w:lang w:val="en-US"/>
        </w:rPr>
        <w:t>9</w:t>
      </w:r>
      <w:r w:rsidRPr="00E91F85">
        <w:rPr>
          <w:i/>
          <w:u w:val="single"/>
          <w:lang w:val="en-US"/>
        </w:rPr>
        <w:t>-</w:t>
      </w:r>
      <w:r w:rsidRPr="00E160A1">
        <w:rPr>
          <w:rFonts w:eastAsia="Calibri"/>
          <w:b/>
          <w:i/>
          <w:u w:val="single"/>
          <w:lang w:val="en-US" w:eastAsia="en-US"/>
        </w:rPr>
        <w:t>11</w:t>
      </w:r>
      <w:r w:rsidRPr="00E91F85">
        <w:rPr>
          <w:rFonts w:eastAsia="Calibri"/>
          <w:i/>
          <w:u w:val="single"/>
          <w:lang w:val="en-US" w:eastAsia="en-US"/>
        </w:rPr>
        <w:t>-</w:t>
      </w:r>
      <w:r w:rsidRPr="00E160A1">
        <w:rPr>
          <w:rFonts w:eastAsia="Calibri"/>
          <w:b/>
          <w:i/>
          <w:u w:val="single"/>
          <w:lang w:val="en-US" w:eastAsia="en-US"/>
        </w:rPr>
        <w:t>12</w:t>
      </w:r>
      <w:r w:rsidRPr="00E91F85">
        <w:rPr>
          <w:rFonts w:eastAsia="Calibri"/>
          <w:i/>
          <w:u w:val="single"/>
          <w:lang w:val="en-US" w:eastAsia="en-US"/>
        </w:rPr>
        <w:t>-</w:t>
      </w:r>
      <w:r w:rsidRPr="00E160A1">
        <w:rPr>
          <w:rFonts w:eastAsia="Calibri"/>
          <w:b/>
          <w:i/>
          <w:u w:val="single"/>
          <w:lang w:val="en-US" w:eastAsia="en-US"/>
        </w:rPr>
        <w:t>13</w:t>
      </w:r>
      <w:r w:rsidR="001B2D31">
        <w:rPr>
          <w:rStyle w:val="Appelnotedebasdep"/>
          <w:rFonts w:eastAsia="Calibri"/>
          <w:b/>
          <w:i/>
          <w:u w:val="single"/>
          <w:lang w:val="en-US" w:eastAsia="en-US"/>
        </w:rPr>
        <w:footnoteReference w:id="2"/>
      </w:r>
      <w:r w:rsidR="003852BF">
        <w:rPr>
          <w:rFonts w:eastAsia="Calibri"/>
          <w:b/>
          <w:i/>
          <w:u w:val="single"/>
          <w:lang w:val="en-US" w:eastAsia="en-US"/>
        </w:rPr>
        <w:t xml:space="preserve"> </w:t>
      </w:r>
      <w:r w:rsidR="003852BF" w:rsidRPr="00E91F85">
        <w:rPr>
          <w:rFonts w:eastAsia="Calibri"/>
          <w:i/>
          <w:u w:val="single"/>
          <w:lang w:val="en-US" w:eastAsia="en-US"/>
        </w:rPr>
        <w:t>(all uses)</w:t>
      </w:r>
    </w:p>
    <w:p w14:paraId="01007AC2" w14:textId="77777777" w:rsidR="00E50648" w:rsidRDefault="00E50648" w:rsidP="008D207C">
      <w:pPr>
        <w:suppressAutoHyphens w:val="0"/>
        <w:rPr>
          <w:rFonts w:eastAsia="Calibri"/>
          <w:lang w:val="en-US"/>
        </w:rPr>
      </w:pPr>
    </w:p>
    <w:p w14:paraId="575C7E95" w14:textId="195D19D4" w:rsidR="007E1416" w:rsidRDefault="007E1416" w:rsidP="001B2D31">
      <w:pPr>
        <w:pStyle w:val="Paragraphedeliste"/>
        <w:numPr>
          <w:ilvl w:val="0"/>
          <w:numId w:val="44"/>
        </w:numPr>
        <w:ind w:left="426"/>
        <w:jc w:val="both"/>
        <w:rPr>
          <w:rFonts w:cs="Arial"/>
          <w:iCs/>
          <w:szCs w:val="16"/>
          <w:lang w:val="en-US"/>
        </w:rPr>
      </w:pPr>
      <w:r>
        <w:rPr>
          <w:rFonts w:eastAsia="Calibri"/>
          <w:lang w:val="en-US"/>
        </w:rPr>
        <w:t xml:space="preserve">The risk is acceptable considering the following RMM: </w:t>
      </w:r>
      <w:r>
        <w:rPr>
          <w:rFonts w:cs="Arial"/>
          <w:iCs/>
          <w:szCs w:val="16"/>
          <w:lang w:val="en-US"/>
        </w:rPr>
        <w:t>Avoidance of contact with treated surfaces</w:t>
      </w:r>
      <w:r w:rsidR="009B459D">
        <w:rPr>
          <w:rFonts w:cs="Arial"/>
          <w:iCs/>
          <w:szCs w:val="16"/>
          <w:lang w:val="en-US"/>
        </w:rPr>
        <w:t>.</w:t>
      </w:r>
    </w:p>
    <w:p w14:paraId="2930D764" w14:textId="6A538E8B" w:rsidR="00B66049" w:rsidRDefault="00B66049" w:rsidP="008D207C">
      <w:pPr>
        <w:suppressAutoHyphens w:val="0"/>
        <w:rPr>
          <w:rFonts w:eastAsia="Calibri"/>
        </w:rPr>
      </w:pPr>
    </w:p>
    <w:p w14:paraId="49613E01" w14:textId="77777777" w:rsidR="00A31EC3" w:rsidRPr="00452295" w:rsidRDefault="00A31EC3" w:rsidP="00A31EC3">
      <w:pPr>
        <w:suppressAutoHyphens w:val="0"/>
        <w:rPr>
          <w:rFonts w:eastAsia="Calibri"/>
          <w:b/>
          <w:u w:val="single"/>
        </w:rPr>
      </w:pPr>
      <w:r w:rsidRPr="00452295">
        <w:rPr>
          <w:rFonts w:eastAsia="Calibri"/>
          <w:b/>
          <w:u w:val="single"/>
        </w:rPr>
        <w:t>Indirect exposure via food</w:t>
      </w:r>
    </w:p>
    <w:p w14:paraId="32947B1D" w14:textId="77777777" w:rsidR="00A31EC3" w:rsidRDefault="00A31EC3" w:rsidP="00A31EC3">
      <w:pPr>
        <w:jc w:val="both"/>
        <w:rPr>
          <w:lang w:val="en-US" w:eastAsia="de-DE"/>
        </w:rPr>
      </w:pPr>
    </w:p>
    <w:p w14:paraId="0543DDB5" w14:textId="32DA9108" w:rsidR="00A31EC3" w:rsidRDefault="00A31EC3" w:rsidP="00A31EC3">
      <w:pPr>
        <w:jc w:val="both"/>
        <w:rPr>
          <w:lang w:val="en-US" w:eastAsia="de-DE"/>
        </w:rPr>
      </w:pPr>
      <w:r w:rsidRPr="00CB6A6E">
        <w:rPr>
          <w:lang w:val="en-US" w:eastAsia="de-DE"/>
        </w:rPr>
        <w:t>By definition, PT2 biocidal product is not intended for direct application to humans or animals and is not used for direct contact with food or feeding stuffs</w:t>
      </w:r>
      <w:r>
        <w:rPr>
          <w:lang w:val="en-US" w:eastAsia="de-DE"/>
        </w:rPr>
        <w:t xml:space="preserve">. </w:t>
      </w:r>
    </w:p>
    <w:p w14:paraId="179D17E3" w14:textId="572C60C3" w:rsidR="00A31EC3" w:rsidRDefault="00A31EC3" w:rsidP="00A31EC3">
      <w:pPr>
        <w:jc w:val="both"/>
        <w:rPr>
          <w:lang w:val="en-US" w:eastAsia="de-DE"/>
        </w:rPr>
      </w:pPr>
      <w:r>
        <w:rPr>
          <w:lang w:val="en-US" w:eastAsia="de-DE"/>
        </w:rPr>
        <w:t xml:space="preserve">Regarding the intended uses on PT3 and 4, residues in food, feed, milk or drinking water might be expected. </w:t>
      </w:r>
    </w:p>
    <w:p w14:paraId="00AA1C9C" w14:textId="77777777" w:rsidR="00A31EC3" w:rsidRPr="00CB6A6E" w:rsidRDefault="00A31EC3" w:rsidP="00A31EC3">
      <w:pPr>
        <w:jc w:val="both"/>
        <w:rPr>
          <w:lang w:val="en-US" w:eastAsia="de-DE"/>
        </w:rPr>
      </w:pPr>
      <w:r>
        <w:rPr>
          <w:lang w:val="en-US" w:eastAsia="de-DE"/>
        </w:rPr>
        <w:t xml:space="preserve">Nevertheless, based on the low concentration of L(+) lactic acid, the endogenous production and the authorized uses of this active substance as food additive (E 270), significant indirect exposure via intended uses is not expected. </w:t>
      </w:r>
    </w:p>
    <w:p w14:paraId="42166928" w14:textId="77777777" w:rsidR="00D34D25" w:rsidRDefault="00D34D25" w:rsidP="008D207C">
      <w:pPr>
        <w:suppressAutoHyphens w:val="0"/>
        <w:rPr>
          <w:rFonts w:eastAsia="Calibri"/>
        </w:rPr>
      </w:pPr>
    </w:p>
    <w:p w14:paraId="2807FDA3" w14:textId="77777777" w:rsidR="009B2E87" w:rsidRPr="00E91F85" w:rsidRDefault="009B2E87" w:rsidP="009B2E87">
      <w:pPr>
        <w:spacing w:line="260" w:lineRule="atLeast"/>
        <w:rPr>
          <w:rFonts w:eastAsia="Calibri"/>
          <w:u w:val="single"/>
          <w:lang w:eastAsia="en-US"/>
        </w:rPr>
      </w:pPr>
      <w:r w:rsidRPr="00E91F85">
        <w:rPr>
          <w:rFonts w:eastAsia="Calibri"/>
          <w:b/>
          <w:u w:val="single"/>
          <w:lang w:val="en-US"/>
        </w:rPr>
        <w:t>Environment</w:t>
      </w:r>
    </w:p>
    <w:p w14:paraId="559A22DE" w14:textId="77777777" w:rsidR="009B2E87" w:rsidRPr="00B27CB1" w:rsidRDefault="009B2E87" w:rsidP="009B2E87">
      <w:pPr>
        <w:spacing w:line="260" w:lineRule="atLeast"/>
        <w:rPr>
          <w:rFonts w:eastAsia="Calibri"/>
          <w:i/>
          <w:lang w:eastAsia="en-US"/>
        </w:rPr>
      </w:pPr>
    </w:p>
    <w:p w14:paraId="15387186" w14:textId="64458263" w:rsidR="009B2E87" w:rsidRPr="00107D62" w:rsidRDefault="00B52977" w:rsidP="009B2E87">
      <w:pPr>
        <w:autoSpaceDE w:val="0"/>
        <w:snapToGrid w:val="0"/>
        <w:spacing w:before="60" w:after="60" w:line="260" w:lineRule="atLeast"/>
        <w:jc w:val="both"/>
        <w:rPr>
          <w:rFonts w:eastAsia="Calibri" w:cs="Arial"/>
          <w:color w:val="000000"/>
          <w:lang w:eastAsia="en-GB"/>
        </w:rPr>
      </w:pPr>
      <w:r>
        <w:rPr>
          <w:rFonts w:eastAsia="Calibri" w:cs="Arial"/>
          <w:color w:val="000000"/>
          <w:lang w:eastAsia="en-GB"/>
        </w:rPr>
        <w:t>The r</w:t>
      </w:r>
      <w:r w:rsidR="009B2E87">
        <w:rPr>
          <w:rFonts w:eastAsia="Calibri" w:cs="Arial"/>
          <w:color w:val="000000"/>
          <w:lang w:eastAsia="en-GB"/>
        </w:rPr>
        <w:t>isk a</w:t>
      </w:r>
      <w:r w:rsidR="009B2E87" w:rsidRPr="00107D62">
        <w:rPr>
          <w:rFonts w:eastAsia="Calibri" w:cs="Arial"/>
          <w:color w:val="000000"/>
          <w:lang w:eastAsia="en-GB"/>
        </w:rPr>
        <w:t xml:space="preserve">ssessment for active substance </w:t>
      </w:r>
      <w:r w:rsidR="009B2E87" w:rsidRPr="00E91F85">
        <w:rPr>
          <w:bCs/>
          <w:lang w:val="en-US"/>
        </w:rPr>
        <w:t>L(+) Lactic acid</w:t>
      </w:r>
      <w:r w:rsidR="009B2E87" w:rsidRPr="00E91F85">
        <w:rPr>
          <w:rFonts w:eastAsia="Calibri" w:cs="Arial"/>
          <w:color w:val="000000"/>
          <w:lang w:eastAsia="en-GB"/>
        </w:rPr>
        <w:t xml:space="preserve">, </w:t>
      </w:r>
      <w:r w:rsidR="009B2E87" w:rsidRPr="00107D62">
        <w:rPr>
          <w:rFonts w:eastAsia="Calibri" w:cs="Arial"/>
          <w:color w:val="000000"/>
          <w:lang w:eastAsia="en-GB"/>
        </w:rPr>
        <w:t>and substances of concern</w:t>
      </w:r>
      <w:r>
        <w:rPr>
          <w:rFonts w:eastAsia="Calibri" w:cs="Arial"/>
          <w:color w:val="000000"/>
          <w:lang w:eastAsia="en-GB"/>
        </w:rPr>
        <w:t xml:space="preserve"> (SoC)</w:t>
      </w:r>
      <w:r w:rsidR="009B2E87">
        <w:rPr>
          <w:rFonts w:eastAsia="Calibri" w:cs="Arial"/>
          <w:color w:val="000000"/>
          <w:lang w:eastAsia="en-GB"/>
        </w:rPr>
        <w:t xml:space="preserve"> for the environment</w:t>
      </w:r>
      <w:r w:rsidR="009B2E87" w:rsidRPr="00107D62">
        <w:rPr>
          <w:rFonts w:eastAsia="Calibri" w:cs="Arial"/>
          <w:color w:val="000000"/>
          <w:lang w:eastAsia="en-GB"/>
        </w:rPr>
        <w:t xml:space="preserve"> </w:t>
      </w:r>
      <w:r w:rsidR="009B2E87" w:rsidRPr="004B6BA0">
        <w:t>Amines, coco alkyldimethyl, N-oxides (M</w:t>
      </w:r>
      <w:r w:rsidR="009B2E87">
        <w:t>eta-</w:t>
      </w:r>
      <w:r w:rsidR="009B2E87" w:rsidRPr="004B6BA0">
        <w:t>SPC 11</w:t>
      </w:r>
      <w:r w:rsidR="00165D86">
        <w:t>;</w:t>
      </w:r>
      <w:r w:rsidR="009B2E87" w:rsidRPr="004B6BA0">
        <w:t xml:space="preserve"> CAS 61788-90-7), and</w:t>
      </w:r>
      <w:r w:rsidR="009B2E87" w:rsidRPr="004B6BA0">
        <w:rPr>
          <w:rFonts w:eastAsia="Calibri" w:cs="Times New Roman"/>
          <w:lang w:eastAsia="en-US"/>
        </w:rPr>
        <w:t xml:space="preserve"> </w:t>
      </w:r>
      <w:r w:rsidR="009B2E87">
        <w:rPr>
          <w:rFonts w:eastAsia="Calibri" w:cs="Times New Roman"/>
          <w:lang w:eastAsia="en-US"/>
        </w:rPr>
        <w:t>OTNE</w:t>
      </w:r>
      <w:r w:rsidR="009B2E87" w:rsidRPr="004B6BA0">
        <w:rPr>
          <w:rFonts w:eastAsia="Calibri" w:cs="Times New Roman"/>
          <w:lang w:eastAsia="en-US"/>
        </w:rPr>
        <w:t xml:space="preserve"> (</w:t>
      </w:r>
      <w:r w:rsidR="009B2E87">
        <w:rPr>
          <w:rFonts w:eastAsia="Calibri" w:cs="Times New Roman"/>
          <w:lang w:eastAsia="en-US"/>
        </w:rPr>
        <w:t>Meta-</w:t>
      </w:r>
      <w:r w:rsidR="009B2E87" w:rsidRPr="004B6BA0">
        <w:rPr>
          <w:rFonts w:eastAsia="Calibri" w:cs="Times New Roman"/>
          <w:lang w:eastAsia="en-US"/>
        </w:rPr>
        <w:t>SPC 9, 10, 13</w:t>
      </w:r>
      <w:r w:rsidR="00165D86">
        <w:rPr>
          <w:rFonts w:eastAsia="Calibri" w:cs="Times New Roman"/>
          <w:lang w:eastAsia="en-US"/>
        </w:rPr>
        <w:t>;</w:t>
      </w:r>
      <w:r w:rsidR="009B2E87" w:rsidRPr="004B6BA0">
        <w:rPr>
          <w:rFonts w:eastAsia="Calibri" w:cs="Times New Roman"/>
          <w:lang w:eastAsia="en-US"/>
        </w:rPr>
        <w:t xml:space="preserve"> EC:</w:t>
      </w:r>
      <w:r w:rsidR="009B2E87" w:rsidRPr="002526D9">
        <w:rPr>
          <w:rFonts w:eastAsia="Calibri" w:cs="Times New Roman"/>
          <w:lang w:eastAsia="en-US"/>
        </w:rPr>
        <w:t>915-730-3)</w:t>
      </w:r>
      <w:r w:rsidR="009B2E87" w:rsidRPr="00031EF1">
        <w:rPr>
          <w:rFonts w:eastAsia="Calibri" w:cs="Times New Roman"/>
          <w:lang w:eastAsia="en-US"/>
        </w:rPr>
        <w:t xml:space="preserve"> </w:t>
      </w:r>
      <w:r w:rsidR="009B2E87" w:rsidRPr="00107D62">
        <w:rPr>
          <w:rFonts w:eastAsia="Calibri" w:cs="Arial"/>
          <w:color w:val="000000"/>
          <w:lang w:eastAsia="en-GB"/>
        </w:rPr>
        <w:t xml:space="preserve">has been performed </w:t>
      </w:r>
      <w:r w:rsidR="00165D86" w:rsidRPr="00107D62">
        <w:rPr>
          <w:rFonts w:eastAsia="Calibri" w:cs="Arial"/>
          <w:color w:val="000000"/>
          <w:lang w:eastAsia="en-GB"/>
        </w:rPr>
        <w:t xml:space="preserve">for each individual use </w:t>
      </w:r>
      <w:r w:rsidR="009B2E87" w:rsidRPr="00107D62">
        <w:rPr>
          <w:rFonts w:eastAsia="Calibri" w:cs="Arial"/>
          <w:color w:val="000000"/>
          <w:lang w:eastAsia="en-GB"/>
        </w:rPr>
        <w:t xml:space="preserve">with the following conclusions: </w:t>
      </w:r>
    </w:p>
    <w:p w14:paraId="3167D11C" w14:textId="77777777" w:rsidR="009B2E87" w:rsidRPr="00A56662" w:rsidRDefault="009B2E87" w:rsidP="009B2E87">
      <w:pPr>
        <w:autoSpaceDE w:val="0"/>
        <w:snapToGrid w:val="0"/>
        <w:spacing w:before="60" w:after="60" w:line="260" w:lineRule="atLeast"/>
        <w:jc w:val="both"/>
        <w:rPr>
          <w:rFonts w:eastAsia="Calibri" w:cs="Arial"/>
          <w:color w:val="000000"/>
          <w:lang w:eastAsia="en-GB"/>
        </w:rPr>
      </w:pPr>
    </w:p>
    <w:p w14:paraId="76CDF82F" w14:textId="77777777" w:rsidR="009B2E87" w:rsidRPr="00B96563" w:rsidRDefault="009B2E87" w:rsidP="009B2E87">
      <w:pPr>
        <w:autoSpaceDE w:val="0"/>
        <w:snapToGrid w:val="0"/>
        <w:spacing w:before="60" w:after="60" w:line="260" w:lineRule="atLeast"/>
        <w:jc w:val="both"/>
        <w:rPr>
          <w:rFonts w:eastAsia="Calibri" w:cs="Arial"/>
          <w:color w:val="000000"/>
          <w:u w:val="single"/>
          <w:lang w:eastAsia="en-GB"/>
        </w:rPr>
      </w:pPr>
      <w:r w:rsidRPr="00B96563">
        <w:rPr>
          <w:rFonts w:eastAsia="Calibri" w:cs="Arial"/>
          <w:color w:val="000000"/>
          <w:u w:val="single"/>
          <w:lang w:eastAsia="en-GB"/>
        </w:rPr>
        <w:t>Acceptables risks are reached for the environment for:</w:t>
      </w:r>
    </w:p>
    <w:p w14:paraId="212F1C66" w14:textId="4C979491" w:rsidR="009B0D50" w:rsidRPr="001365D5" w:rsidRDefault="009B2E87" w:rsidP="001365D5">
      <w:pPr>
        <w:autoSpaceDE w:val="0"/>
        <w:snapToGrid w:val="0"/>
        <w:spacing w:before="60" w:after="60" w:line="260" w:lineRule="atLeast"/>
        <w:jc w:val="both"/>
        <w:rPr>
          <w:rFonts w:eastAsia="Calibri" w:cs="Arial"/>
          <w:color w:val="000000"/>
          <w:u w:val="single"/>
          <w:lang w:eastAsia="en-GB"/>
        </w:rPr>
      </w:pPr>
      <w:r>
        <w:rPr>
          <w:rFonts w:eastAsia="Calibri" w:cs="Arial"/>
          <w:color w:val="000000"/>
          <w:u w:val="single"/>
          <w:lang w:eastAsia="en-GB"/>
        </w:rPr>
        <w:t>Meta</w:t>
      </w:r>
      <w:r w:rsidRPr="00B96563">
        <w:rPr>
          <w:rFonts w:eastAsia="Calibri" w:cs="Arial"/>
          <w:color w:val="000000"/>
          <w:u w:val="single"/>
          <w:lang w:eastAsia="en-GB"/>
        </w:rPr>
        <w:t xml:space="preserve">-SPC 1, 2, 3, 4, 6, 7, 8, </w:t>
      </w:r>
      <w:r>
        <w:rPr>
          <w:rFonts w:eastAsia="Calibri" w:cs="Arial"/>
          <w:color w:val="000000"/>
          <w:u w:val="single"/>
          <w:lang w:eastAsia="en-GB"/>
        </w:rPr>
        <w:t xml:space="preserve">10, </w:t>
      </w:r>
      <w:r w:rsidRPr="00B96563">
        <w:rPr>
          <w:rFonts w:eastAsia="Calibri" w:cs="Arial"/>
          <w:color w:val="000000"/>
          <w:u w:val="single"/>
          <w:lang w:eastAsia="en-GB"/>
        </w:rPr>
        <w:t>11</w:t>
      </w:r>
      <w:r w:rsidR="009B0D50" w:rsidRPr="001365D5">
        <w:rPr>
          <w:rFonts w:eastAsia="Calibri" w:cs="Arial"/>
          <w:color w:val="000000"/>
          <w:u w:val="single"/>
          <w:lang w:eastAsia="en-GB"/>
        </w:rPr>
        <w:t>,</w:t>
      </w:r>
      <w:r w:rsidRPr="001365D5">
        <w:rPr>
          <w:rFonts w:eastAsia="Calibri" w:cs="Arial"/>
          <w:color w:val="000000"/>
          <w:u w:val="single"/>
          <w:lang w:eastAsia="en-GB"/>
        </w:rPr>
        <w:t xml:space="preserve"> 12</w:t>
      </w:r>
      <w:r w:rsidRPr="00B96563">
        <w:rPr>
          <w:rFonts w:eastAsia="Calibri" w:cs="Arial"/>
          <w:color w:val="000000"/>
          <w:u w:val="single"/>
          <w:lang w:eastAsia="en-GB"/>
        </w:rPr>
        <w:t xml:space="preserve"> and </w:t>
      </w:r>
      <w:r w:rsidR="009B0D50" w:rsidRPr="001365D5">
        <w:rPr>
          <w:rFonts w:eastAsia="Calibri" w:cs="Arial"/>
          <w:color w:val="000000"/>
          <w:u w:val="single"/>
          <w:lang w:eastAsia="en-GB"/>
        </w:rPr>
        <w:t>13 for the following uses:</w:t>
      </w:r>
    </w:p>
    <w:p w14:paraId="0665D747" w14:textId="63AAA5FE" w:rsidR="009B0D50" w:rsidRDefault="00850176" w:rsidP="009B0D50">
      <w:pPr>
        <w:pStyle w:val="Paragraphedeliste"/>
        <w:numPr>
          <w:ilvl w:val="0"/>
          <w:numId w:val="11"/>
        </w:numPr>
        <w:autoSpaceDE w:val="0"/>
        <w:snapToGrid w:val="0"/>
        <w:spacing w:before="60" w:after="60" w:line="260" w:lineRule="atLeast"/>
        <w:jc w:val="both"/>
      </w:pPr>
      <w:r>
        <w:t>PT</w:t>
      </w:r>
      <w:r w:rsidR="003B2A58">
        <w:t>2/</w:t>
      </w:r>
      <w:r>
        <w:t>4 -</w:t>
      </w:r>
      <w:r w:rsidRPr="00850176">
        <w:t xml:space="preserve"> </w:t>
      </w:r>
      <w:r w:rsidRPr="009B0D50">
        <w:t>Disinfect</w:t>
      </w:r>
      <w:r>
        <w:t>ion</w:t>
      </w:r>
      <w:r w:rsidRPr="009B0D50" w:rsidDel="00850176">
        <w:t xml:space="preserve"> </w:t>
      </w:r>
      <w:r w:rsidR="00B52977">
        <w:t xml:space="preserve">of </w:t>
      </w:r>
      <w:r w:rsidR="009B0D50" w:rsidRPr="00387D42">
        <w:rPr>
          <w:b/>
        </w:rPr>
        <w:t>indoor</w:t>
      </w:r>
      <w:r w:rsidR="009B0D50" w:rsidRPr="009B0D50">
        <w:t xml:space="preserve"> hard surfaces</w:t>
      </w:r>
      <w:r w:rsidR="009B0D50">
        <w:t xml:space="preserve"> i</w:t>
      </w:r>
      <w:r w:rsidR="009B0D50" w:rsidRPr="009B0D50">
        <w:t>ncluding food contact surfaces of domestic area</w:t>
      </w:r>
    </w:p>
    <w:p w14:paraId="3BF1DF8A" w14:textId="0726D20F" w:rsidR="009B0D50" w:rsidRPr="001365D5" w:rsidRDefault="00850176" w:rsidP="009B0D50">
      <w:pPr>
        <w:pStyle w:val="Paragraphedeliste"/>
        <w:numPr>
          <w:ilvl w:val="0"/>
          <w:numId w:val="11"/>
        </w:numPr>
        <w:autoSpaceDE w:val="0"/>
        <w:snapToGrid w:val="0"/>
        <w:spacing w:before="60" w:after="60" w:line="260" w:lineRule="atLeast"/>
        <w:jc w:val="both"/>
      </w:pPr>
      <w:r>
        <w:t xml:space="preserve">PT2/4 - </w:t>
      </w:r>
      <w:r w:rsidRPr="009B0D50">
        <w:t>Disinfect</w:t>
      </w:r>
      <w:r>
        <w:t>ion</w:t>
      </w:r>
      <w:r w:rsidR="009B0D50" w:rsidRPr="009B0D50">
        <w:t xml:space="preserve"> </w:t>
      </w:r>
      <w:r w:rsidR="00B52977">
        <w:t>of</w:t>
      </w:r>
      <w:r w:rsidR="00B52977" w:rsidRPr="009B0D50">
        <w:t xml:space="preserve"> </w:t>
      </w:r>
      <w:r w:rsidR="009B0D50" w:rsidRPr="00387D42">
        <w:rPr>
          <w:b/>
        </w:rPr>
        <w:t xml:space="preserve">indoor </w:t>
      </w:r>
      <w:r w:rsidR="009B0D50" w:rsidRPr="009B0D50">
        <w:t>hard surfaces of industry, institution, healthcare facilities and food</w:t>
      </w:r>
      <w:r w:rsidR="009B0D50">
        <w:t xml:space="preserve"> and feed area</w:t>
      </w:r>
    </w:p>
    <w:p w14:paraId="56B71B2F" w14:textId="42303EE0" w:rsidR="009B2E87" w:rsidRDefault="009B2E87" w:rsidP="001365D5">
      <w:pPr>
        <w:autoSpaceDE w:val="0"/>
        <w:snapToGrid w:val="0"/>
        <w:spacing w:before="60" w:after="60" w:line="260" w:lineRule="atLeast"/>
        <w:jc w:val="both"/>
        <w:rPr>
          <w:rFonts w:eastAsia="Calibri" w:cs="Arial"/>
          <w:lang w:eastAsia="de-DE"/>
        </w:rPr>
      </w:pPr>
      <w:r>
        <w:rPr>
          <w:rFonts w:cs="Arial"/>
          <w:lang w:val="en-US" w:eastAsia="de-DE"/>
        </w:rPr>
        <w:t>The l</w:t>
      </w:r>
      <w:r w:rsidRPr="00280457">
        <w:rPr>
          <w:rFonts w:cs="Arial"/>
          <w:lang w:val="en-US" w:eastAsia="de-DE"/>
        </w:rPr>
        <w:t xml:space="preserve">evels of exposure for non-target species of </w:t>
      </w:r>
      <w:r>
        <w:rPr>
          <w:rFonts w:cs="Arial"/>
          <w:lang w:val="en-US" w:eastAsia="de-DE"/>
        </w:rPr>
        <w:t>aquatic and terrestrial compartments</w:t>
      </w:r>
      <w:r w:rsidRPr="00280457">
        <w:rPr>
          <w:rFonts w:cs="Arial"/>
          <w:lang w:val="en-US" w:eastAsia="de-DE"/>
        </w:rPr>
        <w:t xml:space="preserve"> are lower than </w:t>
      </w:r>
      <w:r>
        <w:rPr>
          <w:rFonts w:cs="Arial"/>
          <w:lang w:val="en-US" w:eastAsia="de-DE"/>
        </w:rPr>
        <w:t>the reference values for</w:t>
      </w:r>
      <w:r w:rsidRPr="00280457">
        <w:rPr>
          <w:rFonts w:cs="Arial"/>
          <w:lang w:val="en-US" w:eastAsia="de-DE"/>
        </w:rPr>
        <w:t xml:space="preserve"> the active substance</w:t>
      </w:r>
      <w:r>
        <w:rPr>
          <w:rFonts w:cs="Arial"/>
          <w:lang w:val="en-US" w:eastAsia="de-DE"/>
        </w:rPr>
        <w:t xml:space="preserve"> L(+) Lactic acid and substances of concern </w:t>
      </w:r>
      <w:r w:rsidRPr="003B5640">
        <w:t>Amines, coco alkyldimethyl, N-oxides</w:t>
      </w:r>
      <w:r w:rsidR="008816B7">
        <w:t xml:space="preserve"> and </w:t>
      </w:r>
      <w:r w:rsidR="008816B7">
        <w:rPr>
          <w:rFonts w:cs="Arial"/>
          <w:lang w:val="en-US" w:eastAsia="de-DE"/>
        </w:rPr>
        <w:t>OTNE</w:t>
      </w:r>
      <w:r w:rsidRPr="009B0D50">
        <w:rPr>
          <w:rFonts w:cs="Arial"/>
          <w:lang w:val="en-US" w:eastAsia="de-DE"/>
        </w:rPr>
        <w:t>.</w:t>
      </w:r>
      <w:r>
        <w:rPr>
          <w:rFonts w:cs="Arial"/>
          <w:lang w:val="en-US" w:eastAsia="de-DE"/>
        </w:rPr>
        <w:t xml:space="preserve"> Moreover, c</w:t>
      </w:r>
      <w:r w:rsidRPr="00F769C2">
        <w:rPr>
          <w:rFonts w:cs="Arial"/>
          <w:lang w:val="en-US" w:eastAsia="de-DE"/>
        </w:rPr>
        <w:t xml:space="preserve">oncentrations of </w:t>
      </w:r>
      <w:r w:rsidRPr="00F769C2">
        <w:rPr>
          <w:rFonts w:cs="Arial"/>
          <w:lang w:eastAsia="en-US"/>
        </w:rPr>
        <w:t xml:space="preserve">L(+) </w:t>
      </w:r>
      <w:r w:rsidRPr="00F769C2">
        <w:rPr>
          <w:rFonts w:cs="Arial"/>
          <w:lang w:eastAsia="en-US"/>
        </w:rPr>
        <w:lastRenderedPageBreak/>
        <w:t xml:space="preserve">Lactic acid </w:t>
      </w:r>
      <w:r>
        <w:rPr>
          <w:rFonts w:cs="Arial"/>
          <w:lang w:eastAsia="en-US"/>
        </w:rPr>
        <w:t xml:space="preserve">and all the SoC </w:t>
      </w:r>
      <w:r w:rsidRPr="00F769C2">
        <w:rPr>
          <w:rFonts w:cs="Arial"/>
          <w:lang w:val="en-US" w:eastAsia="de-DE"/>
        </w:rPr>
        <w:t xml:space="preserve">in groundwater related to the use of the products </w:t>
      </w:r>
      <w:r>
        <w:rPr>
          <w:rFonts w:eastAsia="Calibri"/>
          <w:lang w:eastAsia="en-US"/>
        </w:rPr>
        <w:t>LACTIC ACID BASED PRODUCTS</w:t>
      </w:r>
      <w:r w:rsidRPr="00F769C2">
        <w:rPr>
          <w:rFonts w:cs="Arial"/>
          <w:lang w:val="en-US" w:eastAsia="de-DE"/>
        </w:rPr>
        <w:t xml:space="preserve"> are </w:t>
      </w:r>
      <w:r w:rsidRPr="00AD3605">
        <w:rPr>
          <w:rFonts w:cs="Arial"/>
          <w:lang w:val="en-US" w:eastAsia="de-DE"/>
        </w:rPr>
        <w:t xml:space="preserve">lower </w:t>
      </w:r>
      <w:r w:rsidRPr="00581688">
        <w:rPr>
          <w:rFonts w:cs="Arial"/>
          <w:lang w:val="en-US" w:eastAsia="de-DE"/>
        </w:rPr>
        <w:t>than the threshold value set by Directive 98/83/EC</w:t>
      </w:r>
      <w:r w:rsidRPr="006D4D1A">
        <w:t xml:space="preserve"> </w:t>
      </w:r>
      <w:r>
        <w:t>a</w:t>
      </w:r>
      <w:r w:rsidRPr="006D4D1A">
        <w:t>fter refinement of the groundwater assessment with the FOCUS PEARL model</w:t>
      </w:r>
      <w:r>
        <w:rPr>
          <w:rFonts w:cs="Arial"/>
          <w:lang w:eastAsia="de-DE"/>
        </w:rPr>
        <w:t>.</w:t>
      </w:r>
    </w:p>
    <w:p w14:paraId="3D592B36" w14:textId="77777777" w:rsidR="000626B6" w:rsidRDefault="000626B6" w:rsidP="000626B6">
      <w:pPr>
        <w:autoSpaceDE w:val="0"/>
        <w:snapToGrid w:val="0"/>
        <w:spacing w:before="60" w:after="60" w:line="260" w:lineRule="atLeast"/>
        <w:jc w:val="both"/>
        <w:rPr>
          <w:rFonts w:eastAsia="Calibri" w:cs="Arial"/>
          <w:color w:val="000000"/>
          <w:u w:val="single"/>
          <w:lang w:eastAsia="en-GB"/>
        </w:rPr>
      </w:pPr>
    </w:p>
    <w:p w14:paraId="67D4A76F" w14:textId="52B67952" w:rsidR="000626B6" w:rsidRDefault="000626B6" w:rsidP="000626B6">
      <w:pPr>
        <w:autoSpaceDE w:val="0"/>
        <w:snapToGrid w:val="0"/>
        <w:spacing w:before="60" w:after="60" w:line="260" w:lineRule="atLeast"/>
        <w:jc w:val="both"/>
        <w:rPr>
          <w:rFonts w:eastAsia="Calibri" w:cs="Arial"/>
          <w:color w:val="000000"/>
          <w:u w:val="single"/>
          <w:lang w:eastAsia="en-GB"/>
        </w:rPr>
      </w:pPr>
      <w:r w:rsidRPr="00B96563">
        <w:rPr>
          <w:rFonts w:eastAsia="Calibri" w:cs="Arial"/>
          <w:color w:val="000000"/>
          <w:u w:val="single"/>
          <w:lang w:eastAsia="en-GB"/>
        </w:rPr>
        <w:t>Acceptables risks are reached for the environment for:</w:t>
      </w:r>
    </w:p>
    <w:p w14:paraId="642847FB" w14:textId="47581137" w:rsidR="000626B6" w:rsidRPr="00291E39" w:rsidRDefault="000626B6" w:rsidP="000626B6">
      <w:pPr>
        <w:autoSpaceDE w:val="0"/>
        <w:snapToGrid w:val="0"/>
        <w:spacing w:before="60" w:after="60" w:line="260" w:lineRule="atLeast"/>
        <w:jc w:val="both"/>
        <w:rPr>
          <w:rFonts w:eastAsia="Calibri" w:cs="Arial"/>
          <w:color w:val="000000"/>
          <w:u w:val="single"/>
          <w:lang w:eastAsia="en-GB"/>
        </w:rPr>
      </w:pPr>
      <w:r w:rsidRPr="00291E39">
        <w:rPr>
          <w:rFonts w:eastAsia="Calibri" w:cs="Arial"/>
          <w:color w:val="000000"/>
          <w:u w:val="single"/>
          <w:lang w:eastAsia="en-GB"/>
        </w:rPr>
        <w:t>Meta</w:t>
      </w:r>
      <w:r>
        <w:rPr>
          <w:rFonts w:eastAsia="Calibri" w:cs="Arial"/>
          <w:color w:val="000000"/>
          <w:u w:val="single"/>
          <w:lang w:eastAsia="en-GB"/>
        </w:rPr>
        <w:t>-SPC 10</w:t>
      </w:r>
      <w:r w:rsidRPr="00291E39">
        <w:rPr>
          <w:rFonts w:eastAsia="Calibri" w:cs="Arial"/>
          <w:color w:val="000000"/>
          <w:u w:val="single"/>
          <w:lang w:eastAsia="en-GB"/>
        </w:rPr>
        <w:t xml:space="preserve"> for the following use:</w:t>
      </w:r>
    </w:p>
    <w:p w14:paraId="183BB1F1" w14:textId="67128346" w:rsidR="000626B6" w:rsidRDefault="000626B6" w:rsidP="000626B6">
      <w:pPr>
        <w:autoSpaceDE w:val="0"/>
        <w:snapToGrid w:val="0"/>
        <w:spacing w:before="60" w:after="60" w:line="260" w:lineRule="atLeast"/>
        <w:jc w:val="both"/>
      </w:pPr>
      <w:r>
        <w:t xml:space="preserve">- </w:t>
      </w:r>
      <w:r w:rsidR="00850176">
        <w:t xml:space="preserve">PT2/3 - </w:t>
      </w:r>
      <w:r w:rsidR="00850176" w:rsidRPr="009B0D50">
        <w:t>Disinfect</w:t>
      </w:r>
      <w:r w:rsidR="00850176">
        <w:t>ion</w:t>
      </w:r>
      <w:r w:rsidRPr="000626B6">
        <w:t xml:space="preserve"> for </w:t>
      </w:r>
      <w:r w:rsidR="008816B7">
        <w:t xml:space="preserve">indoor and outdoor </w:t>
      </w:r>
      <w:r w:rsidRPr="000626B6">
        <w:t>hard surfaces in companion animals’ environment for private home</w:t>
      </w:r>
      <w:r w:rsidR="00B52977">
        <w:t>.</w:t>
      </w:r>
    </w:p>
    <w:p w14:paraId="0D23CF9A" w14:textId="04C619DC" w:rsidR="008816B7" w:rsidRDefault="000626B6" w:rsidP="000626B6">
      <w:pPr>
        <w:autoSpaceDE w:val="0"/>
        <w:snapToGrid w:val="0"/>
        <w:spacing w:before="60" w:after="60" w:line="260" w:lineRule="atLeast"/>
        <w:jc w:val="both"/>
        <w:rPr>
          <w:rFonts w:cs="Arial"/>
          <w:lang w:val="en-US" w:eastAsia="de-DE"/>
        </w:rPr>
      </w:pPr>
      <w:r w:rsidRPr="00291E39">
        <w:rPr>
          <w:rFonts w:cs="Arial"/>
          <w:lang w:val="en-US" w:eastAsia="de-DE"/>
        </w:rPr>
        <w:t xml:space="preserve">The levels of exposure for non-target species of aquatic and terrestrial compartments are lower than the reference values for the active substance L(+) Lactic acid and </w:t>
      </w:r>
      <w:r w:rsidR="008816B7">
        <w:rPr>
          <w:rFonts w:cs="Arial"/>
          <w:lang w:val="en-US" w:eastAsia="de-DE"/>
        </w:rPr>
        <w:t>substance</w:t>
      </w:r>
      <w:r w:rsidRPr="00291E39">
        <w:rPr>
          <w:rFonts w:cs="Arial"/>
          <w:lang w:val="en-US" w:eastAsia="de-DE"/>
        </w:rPr>
        <w:t xml:space="preserve"> of concern </w:t>
      </w:r>
      <w:r w:rsidR="008816B7">
        <w:rPr>
          <w:rFonts w:cs="Arial"/>
          <w:lang w:val="en-US" w:eastAsia="de-DE"/>
        </w:rPr>
        <w:t xml:space="preserve">OTNE </w:t>
      </w:r>
      <w:r w:rsidR="00B52977">
        <w:rPr>
          <w:rFonts w:cs="Arial"/>
          <w:lang w:val="en-US" w:eastAsia="de-DE"/>
        </w:rPr>
        <w:t xml:space="preserve">(the </w:t>
      </w:r>
      <w:r w:rsidR="008816B7">
        <w:rPr>
          <w:rFonts w:cs="Arial"/>
          <w:lang w:val="en-US" w:eastAsia="de-DE"/>
        </w:rPr>
        <w:t>only</w:t>
      </w:r>
      <w:r w:rsidR="00850176">
        <w:rPr>
          <w:rFonts w:cs="Arial"/>
          <w:lang w:val="en-US" w:eastAsia="de-DE"/>
        </w:rPr>
        <w:t xml:space="preserve"> SoC</w:t>
      </w:r>
      <w:r w:rsidR="00B52977">
        <w:rPr>
          <w:rFonts w:cs="Arial"/>
          <w:lang w:val="en-US" w:eastAsia="de-DE"/>
        </w:rPr>
        <w:t xml:space="preserve"> fo this Meta-SPC)</w:t>
      </w:r>
      <w:r w:rsidR="008816B7">
        <w:rPr>
          <w:rFonts w:cs="Arial"/>
          <w:lang w:val="en-US" w:eastAsia="de-DE"/>
        </w:rPr>
        <w:t xml:space="preserve"> when the following risk mitigation measure is applied:</w:t>
      </w:r>
    </w:p>
    <w:p w14:paraId="58A3A639" w14:textId="57A21781" w:rsidR="008816B7" w:rsidRPr="001365D5" w:rsidRDefault="008816B7" w:rsidP="001365D5">
      <w:pPr>
        <w:widowControl w:val="0"/>
        <w:autoSpaceDE w:val="0"/>
        <w:autoSpaceDN w:val="0"/>
        <w:adjustRightInd w:val="0"/>
        <w:jc w:val="both"/>
        <w:rPr>
          <w:rFonts w:eastAsia="Calibri"/>
          <w:b/>
          <w:i/>
          <w:lang w:eastAsia="en-US"/>
        </w:rPr>
      </w:pPr>
      <w:r w:rsidRPr="001365D5">
        <w:rPr>
          <w:rFonts w:eastAsia="Calibri"/>
          <w:b/>
          <w:i/>
          <w:lang w:eastAsia="en-US"/>
        </w:rPr>
        <w:t>Do not rinse the treated surfaces when the product is used outdoor.</w:t>
      </w:r>
    </w:p>
    <w:p w14:paraId="3CC328E2" w14:textId="45BE6321" w:rsidR="000626B6" w:rsidRPr="009B0D50" w:rsidRDefault="000626B6" w:rsidP="000626B6">
      <w:pPr>
        <w:autoSpaceDE w:val="0"/>
        <w:snapToGrid w:val="0"/>
        <w:spacing w:before="60" w:after="60" w:line="260" w:lineRule="atLeast"/>
        <w:jc w:val="both"/>
        <w:rPr>
          <w:rFonts w:eastAsia="Calibri" w:cs="Arial"/>
          <w:color w:val="000000"/>
          <w:u w:val="single"/>
          <w:lang w:eastAsia="en-GB"/>
        </w:rPr>
      </w:pPr>
      <w:r w:rsidRPr="009B0D50">
        <w:rPr>
          <w:rFonts w:cs="Arial"/>
          <w:lang w:val="en-US" w:eastAsia="de-DE"/>
        </w:rPr>
        <w:t xml:space="preserve">Moreover, concentrations of </w:t>
      </w:r>
      <w:r w:rsidRPr="009B0D50">
        <w:rPr>
          <w:rFonts w:cs="Arial"/>
          <w:lang w:eastAsia="en-US"/>
        </w:rPr>
        <w:t xml:space="preserve">L(+) Lactic acid and SoC </w:t>
      </w:r>
      <w:r w:rsidRPr="009B0D50">
        <w:rPr>
          <w:rFonts w:cs="Arial"/>
          <w:lang w:val="en-US" w:eastAsia="de-DE"/>
        </w:rPr>
        <w:t>in groundwater related to th</w:t>
      </w:r>
      <w:r w:rsidR="00B52977">
        <w:rPr>
          <w:rFonts w:cs="Arial"/>
          <w:lang w:val="en-US" w:eastAsia="de-DE"/>
        </w:rPr>
        <w:t>is</w:t>
      </w:r>
      <w:r w:rsidRPr="009B0D50">
        <w:rPr>
          <w:rFonts w:cs="Arial"/>
          <w:lang w:val="en-US" w:eastAsia="de-DE"/>
        </w:rPr>
        <w:t xml:space="preserve"> use of the products </w:t>
      </w:r>
      <w:r w:rsidRPr="009B0D50">
        <w:rPr>
          <w:rFonts w:eastAsia="Calibri"/>
          <w:lang w:eastAsia="en-US"/>
        </w:rPr>
        <w:t>LACTIC ACID BASED PRODUCTS</w:t>
      </w:r>
      <w:r w:rsidRPr="009B0D50">
        <w:rPr>
          <w:rFonts w:cs="Arial"/>
          <w:lang w:val="en-US" w:eastAsia="de-DE"/>
        </w:rPr>
        <w:t xml:space="preserve"> are lower than the threshold value set by Directive 98/83/EC</w:t>
      </w:r>
      <w:r w:rsidRPr="006D4D1A">
        <w:t xml:space="preserve"> </w:t>
      </w:r>
      <w:r>
        <w:t>a</w:t>
      </w:r>
      <w:r w:rsidRPr="006D4D1A">
        <w:t>fter refinement of the groundwater assessment with the FOCUS PEARL model</w:t>
      </w:r>
      <w:r w:rsidRPr="009B0D50">
        <w:rPr>
          <w:rFonts w:cs="Arial"/>
          <w:lang w:eastAsia="de-DE"/>
        </w:rPr>
        <w:t>.</w:t>
      </w:r>
    </w:p>
    <w:p w14:paraId="4FF1DE4C" w14:textId="77777777" w:rsidR="009B2E87" w:rsidRPr="001365D5" w:rsidRDefault="009B2E87" w:rsidP="009B2E87">
      <w:pPr>
        <w:autoSpaceDE w:val="0"/>
        <w:snapToGrid w:val="0"/>
        <w:spacing w:before="60" w:after="60" w:line="260" w:lineRule="atLeast"/>
        <w:jc w:val="both"/>
        <w:rPr>
          <w:rFonts w:eastAsia="Calibri"/>
        </w:rPr>
      </w:pPr>
    </w:p>
    <w:p w14:paraId="0CE9F7FB" w14:textId="77777777" w:rsidR="009B2E87" w:rsidRPr="00387D42" w:rsidRDefault="009B2E87" w:rsidP="009B2E87">
      <w:pPr>
        <w:autoSpaceDE w:val="0"/>
        <w:snapToGrid w:val="0"/>
        <w:spacing w:before="60" w:after="60" w:line="260" w:lineRule="atLeast"/>
        <w:jc w:val="both"/>
        <w:rPr>
          <w:rFonts w:eastAsia="Calibri" w:cs="Arial"/>
          <w:b/>
          <w:color w:val="000000"/>
          <w:lang w:eastAsia="en-GB"/>
        </w:rPr>
      </w:pPr>
      <w:r w:rsidRPr="00387D42">
        <w:rPr>
          <w:rFonts w:eastAsia="Calibri" w:cs="Arial"/>
          <w:b/>
          <w:color w:val="000000"/>
          <w:u w:val="single"/>
          <w:lang w:eastAsia="en-GB"/>
        </w:rPr>
        <w:t>Unacceptable risks are foreseen for:</w:t>
      </w:r>
    </w:p>
    <w:p w14:paraId="215395A7" w14:textId="77777777" w:rsidR="008816B7" w:rsidRPr="00291E39" w:rsidRDefault="009B0D50" w:rsidP="008816B7">
      <w:pPr>
        <w:autoSpaceDE w:val="0"/>
        <w:snapToGrid w:val="0"/>
        <w:spacing w:before="60" w:after="60" w:line="260" w:lineRule="atLeast"/>
        <w:jc w:val="both"/>
        <w:rPr>
          <w:rFonts w:eastAsia="Calibri" w:cs="Arial"/>
          <w:color w:val="000000"/>
          <w:u w:val="single"/>
          <w:lang w:eastAsia="en-GB"/>
        </w:rPr>
      </w:pPr>
      <w:r>
        <w:rPr>
          <w:rFonts w:eastAsia="Calibri" w:cs="Arial"/>
          <w:color w:val="000000"/>
          <w:u w:val="single"/>
          <w:lang w:eastAsia="en-GB"/>
        </w:rPr>
        <w:t>Meta</w:t>
      </w:r>
      <w:r w:rsidRPr="004A5B45">
        <w:rPr>
          <w:rFonts w:eastAsia="Calibri" w:cs="Arial"/>
          <w:color w:val="000000"/>
          <w:u w:val="single"/>
          <w:lang w:eastAsia="en-GB"/>
        </w:rPr>
        <w:t>-SPC</w:t>
      </w:r>
      <w:r>
        <w:rPr>
          <w:rFonts w:eastAsia="Calibri" w:cs="Arial"/>
          <w:color w:val="000000"/>
          <w:u w:val="single"/>
          <w:lang w:eastAsia="en-GB"/>
        </w:rPr>
        <w:t xml:space="preserve"> 9</w:t>
      </w:r>
      <w:r w:rsidR="008816B7">
        <w:rPr>
          <w:rFonts w:eastAsia="Calibri" w:cs="Arial"/>
          <w:color w:val="000000"/>
          <w:u w:val="single"/>
          <w:lang w:eastAsia="en-GB"/>
        </w:rPr>
        <w:t xml:space="preserve"> </w:t>
      </w:r>
      <w:r w:rsidR="008816B7" w:rsidRPr="00291E39">
        <w:rPr>
          <w:rFonts w:eastAsia="Calibri" w:cs="Arial"/>
          <w:color w:val="000000"/>
          <w:u w:val="single"/>
          <w:lang w:eastAsia="en-GB"/>
        </w:rPr>
        <w:t>for the following uses:</w:t>
      </w:r>
    </w:p>
    <w:p w14:paraId="646A91FE" w14:textId="20275E66" w:rsidR="008816B7" w:rsidRDefault="008816B7" w:rsidP="001365D5">
      <w:pPr>
        <w:autoSpaceDE w:val="0"/>
        <w:snapToGrid w:val="0"/>
        <w:spacing w:before="60" w:after="60" w:line="260" w:lineRule="atLeast"/>
        <w:jc w:val="both"/>
      </w:pPr>
      <w:r>
        <w:t xml:space="preserve">- </w:t>
      </w:r>
      <w:r w:rsidR="00850176">
        <w:t xml:space="preserve">PT2 - </w:t>
      </w:r>
      <w:r w:rsidRPr="009B0D50">
        <w:t>Disinfect</w:t>
      </w:r>
      <w:r w:rsidR="00B52977">
        <w:t>ion of</w:t>
      </w:r>
      <w:r>
        <w:t xml:space="preserve"> </w:t>
      </w:r>
      <w:r w:rsidRPr="009F205D">
        <w:rPr>
          <w:b/>
        </w:rPr>
        <w:t>indoor</w:t>
      </w:r>
      <w:r w:rsidRPr="009B0D50">
        <w:t xml:space="preserve"> hard surfaces of domestic area</w:t>
      </w:r>
    </w:p>
    <w:p w14:paraId="498700A1" w14:textId="47BB5683" w:rsidR="008816B7" w:rsidRDefault="008816B7" w:rsidP="001365D5">
      <w:pPr>
        <w:autoSpaceDE w:val="0"/>
        <w:snapToGrid w:val="0"/>
        <w:spacing w:before="60" w:after="60" w:line="260" w:lineRule="atLeast"/>
        <w:jc w:val="both"/>
      </w:pPr>
      <w:r>
        <w:t xml:space="preserve">- </w:t>
      </w:r>
      <w:r w:rsidR="00850176">
        <w:t xml:space="preserve">PT2/3 - </w:t>
      </w:r>
      <w:r w:rsidR="00850176" w:rsidRPr="009B0D50">
        <w:t>Disinfect</w:t>
      </w:r>
      <w:r w:rsidR="00850176">
        <w:t>ion</w:t>
      </w:r>
      <w:r w:rsidRPr="000626B6">
        <w:t xml:space="preserve"> </w:t>
      </w:r>
      <w:r w:rsidR="00B52977">
        <w:t xml:space="preserve">of </w:t>
      </w:r>
      <w:r w:rsidRPr="009F205D">
        <w:rPr>
          <w:b/>
        </w:rPr>
        <w:t>indoor and outdoor</w:t>
      </w:r>
      <w:r w:rsidRPr="000626B6">
        <w:t xml:space="preserve"> hard surfaces in companion animals’ environment for private home</w:t>
      </w:r>
      <w:r w:rsidR="00B52977">
        <w:t>.</w:t>
      </w:r>
    </w:p>
    <w:p w14:paraId="5A611B3D" w14:textId="15EA676C" w:rsidR="008816B7" w:rsidRPr="001365D5" w:rsidRDefault="008816B7" w:rsidP="008816B7">
      <w:pPr>
        <w:autoSpaceDE w:val="0"/>
        <w:snapToGrid w:val="0"/>
        <w:spacing w:before="60" w:after="60" w:line="260" w:lineRule="atLeast"/>
        <w:jc w:val="both"/>
        <w:rPr>
          <w:rFonts w:cs="Arial"/>
          <w:lang w:val="en-US" w:eastAsia="de-DE"/>
        </w:rPr>
      </w:pPr>
      <w:r w:rsidRPr="00291E39">
        <w:rPr>
          <w:rFonts w:cs="Arial"/>
          <w:lang w:val="en-US" w:eastAsia="de-DE"/>
        </w:rPr>
        <w:t xml:space="preserve">The levels of exposure for non-target species of aquatic and terrestrial compartments are </w:t>
      </w:r>
      <w:r>
        <w:rPr>
          <w:rFonts w:cs="Arial"/>
          <w:lang w:val="en-US" w:eastAsia="de-DE"/>
        </w:rPr>
        <w:t>above</w:t>
      </w:r>
      <w:r w:rsidRPr="00291E39">
        <w:rPr>
          <w:rFonts w:cs="Arial"/>
          <w:lang w:val="en-US" w:eastAsia="de-DE"/>
        </w:rPr>
        <w:t xml:space="preserve"> the reference values for the active substance L(+) Lactic acid and</w:t>
      </w:r>
      <w:r w:rsidR="001365D5">
        <w:rPr>
          <w:rFonts w:cs="Arial"/>
          <w:lang w:val="en-US" w:eastAsia="de-DE"/>
        </w:rPr>
        <w:t>/or</w:t>
      </w:r>
      <w:r w:rsidRPr="00291E39">
        <w:rPr>
          <w:rFonts w:cs="Arial"/>
          <w:lang w:val="en-US" w:eastAsia="de-DE"/>
        </w:rPr>
        <w:t xml:space="preserve"> </w:t>
      </w:r>
      <w:r>
        <w:rPr>
          <w:rFonts w:cs="Arial"/>
          <w:lang w:val="en-US" w:eastAsia="de-DE"/>
        </w:rPr>
        <w:t>substance</w:t>
      </w:r>
      <w:r w:rsidRPr="00291E39">
        <w:rPr>
          <w:rFonts w:cs="Arial"/>
          <w:lang w:val="en-US" w:eastAsia="de-DE"/>
        </w:rPr>
        <w:t xml:space="preserve"> of concern </w:t>
      </w:r>
      <w:r>
        <w:rPr>
          <w:rFonts w:cs="Arial"/>
          <w:lang w:val="en-US" w:eastAsia="de-DE"/>
        </w:rPr>
        <w:t>OTNE</w:t>
      </w:r>
      <w:r w:rsidR="004254C7">
        <w:rPr>
          <w:rFonts w:cs="Arial"/>
          <w:lang w:val="en-US" w:eastAsia="de-DE"/>
        </w:rPr>
        <w:t xml:space="preserve"> in Scenario </w:t>
      </w:r>
      <w:r w:rsidR="009F205D" w:rsidRPr="001365D5">
        <w:rPr>
          <w:rFonts w:cs="Arial"/>
          <w:lang w:val="en-US" w:eastAsia="de-DE"/>
        </w:rPr>
        <w:t>1</w:t>
      </w:r>
      <w:r w:rsidR="001365D5" w:rsidRPr="001365D5">
        <w:rPr>
          <w:rFonts w:cs="Arial"/>
          <w:lang w:val="en-US" w:eastAsia="de-DE"/>
        </w:rPr>
        <w:t>:</w:t>
      </w:r>
      <w:r w:rsidR="001365D5" w:rsidRPr="001365D5">
        <w:rPr>
          <w:color w:val="221E1F"/>
          <w:lang w:val="en-US"/>
        </w:rPr>
        <w:t xml:space="preserve"> Indoor - Disinfection </w:t>
      </w:r>
      <w:r w:rsidR="001365D5" w:rsidRPr="001365D5">
        <w:rPr>
          <w:rFonts w:eastAsia="Calibri"/>
          <w:lang w:eastAsia="en-US"/>
        </w:rPr>
        <w:t>of institutional areas - releases of disinfectants used for sanitary purposes based on average consumption</w:t>
      </w:r>
      <w:r w:rsidR="001365D5" w:rsidRPr="001365D5">
        <w:rPr>
          <w:color w:val="221E1F"/>
          <w:lang w:val="en-US"/>
        </w:rPr>
        <w:t xml:space="preserve"> areas</w:t>
      </w:r>
      <w:r w:rsidR="009F205D" w:rsidRPr="001365D5">
        <w:rPr>
          <w:rFonts w:cs="Arial"/>
          <w:lang w:val="en-US" w:eastAsia="de-DE"/>
        </w:rPr>
        <w:t xml:space="preserve"> and </w:t>
      </w:r>
      <w:r w:rsidR="004254C7" w:rsidRPr="001365D5">
        <w:rPr>
          <w:rFonts w:cs="Arial"/>
          <w:lang w:val="en-US" w:eastAsia="de-DE"/>
        </w:rPr>
        <w:t>6</w:t>
      </w:r>
      <w:r w:rsidR="001365D5" w:rsidRPr="001365D5">
        <w:rPr>
          <w:rFonts w:cs="Arial"/>
          <w:lang w:val="en-US" w:eastAsia="de-DE"/>
        </w:rPr>
        <w:t xml:space="preserve"> :</w:t>
      </w:r>
      <w:r w:rsidR="004254C7" w:rsidRPr="001365D5">
        <w:rPr>
          <w:rFonts w:cs="Arial"/>
          <w:lang w:val="en-US" w:eastAsia="de-DE"/>
        </w:rPr>
        <w:t xml:space="preserve"> Outdoor </w:t>
      </w:r>
      <w:r w:rsidR="003B2A58">
        <w:rPr>
          <w:rFonts w:cs="Arial"/>
          <w:lang w:val="en-US" w:eastAsia="de-DE"/>
        </w:rPr>
        <w:t>- A</w:t>
      </w:r>
      <w:r w:rsidR="004254C7" w:rsidRPr="001365D5">
        <w:rPr>
          <w:rFonts w:cs="Arial"/>
          <w:lang w:val="en-US" w:eastAsia="de-DE"/>
        </w:rPr>
        <w:t>nimal housing direct emission to soil and indirect emission via STP</w:t>
      </w:r>
      <w:r w:rsidR="004254C7">
        <w:rPr>
          <w:rFonts w:cs="Arial"/>
          <w:lang w:val="en-US" w:eastAsia="de-DE"/>
        </w:rPr>
        <w:t>.</w:t>
      </w:r>
    </w:p>
    <w:p w14:paraId="567C56EF" w14:textId="0B67EB87" w:rsidR="009B0D50" w:rsidRDefault="00251ED2" w:rsidP="009B2E87">
      <w:pPr>
        <w:spacing w:line="276" w:lineRule="auto"/>
        <w:jc w:val="both"/>
        <w:rPr>
          <w:rFonts w:eastAsia="Calibri" w:cs="Arial"/>
          <w:color w:val="000000"/>
          <w:u w:val="single"/>
          <w:lang w:eastAsia="en-GB"/>
        </w:rPr>
      </w:pPr>
      <w:r>
        <w:rPr>
          <w:rFonts w:eastAsia="Calibri" w:cs="Arial"/>
          <w:color w:val="000000"/>
          <w:u w:val="single"/>
          <w:lang w:eastAsia="en-GB"/>
        </w:rPr>
        <w:t>All the uses of Meta-SPC 9 lead to unacceptable risks for the environment.</w:t>
      </w:r>
    </w:p>
    <w:p w14:paraId="2D9CA5A9" w14:textId="77777777" w:rsidR="00387D42" w:rsidRDefault="00387D42" w:rsidP="004254C7">
      <w:pPr>
        <w:autoSpaceDE w:val="0"/>
        <w:snapToGrid w:val="0"/>
        <w:spacing w:before="60" w:after="60" w:line="260" w:lineRule="atLeast"/>
        <w:jc w:val="both"/>
        <w:rPr>
          <w:rFonts w:eastAsia="Calibri" w:cs="Arial"/>
          <w:color w:val="000000"/>
          <w:u w:val="single"/>
          <w:lang w:eastAsia="en-GB"/>
        </w:rPr>
      </w:pPr>
    </w:p>
    <w:p w14:paraId="547804DB" w14:textId="15064BF5" w:rsidR="004254C7" w:rsidRPr="00387D42" w:rsidRDefault="004254C7" w:rsidP="00FE1D3D">
      <w:pPr>
        <w:autoSpaceDE w:val="0"/>
        <w:snapToGrid w:val="0"/>
        <w:spacing w:before="60" w:after="60" w:line="260" w:lineRule="atLeast"/>
        <w:jc w:val="both"/>
        <w:rPr>
          <w:rFonts w:eastAsia="Calibri" w:cs="Arial"/>
          <w:b/>
          <w:color w:val="000000"/>
          <w:lang w:eastAsia="en-GB"/>
        </w:rPr>
      </w:pPr>
      <w:r w:rsidRPr="00387D42">
        <w:rPr>
          <w:rFonts w:eastAsia="Calibri" w:cs="Arial"/>
          <w:b/>
          <w:color w:val="000000"/>
          <w:u w:val="single"/>
          <w:lang w:eastAsia="en-GB"/>
        </w:rPr>
        <w:t>Unacceptable risks are foreseen for:</w:t>
      </w:r>
    </w:p>
    <w:p w14:paraId="0B9539AF" w14:textId="428369AB" w:rsidR="004254C7" w:rsidRDefault="009B2E87">
      <w:pPr>
        <w:spacing w:line="276" w:lineRule="auto"/>
        <w:jc w:val="both"/>
        <w:rPr>
          <w:rFonts w:eastAsia="Calibri" w:cs="Arial"/>
          <w:color w:val="000000"/>
          <w:u w:val="single"/>
          <w:lang w:eastAsia="en-GB"/>
        </w:rPr>
      </w:pPr>
      <w:r>
        <w:rPr>
          <w:rFonts w:eastAsia="Calibri" w:cs="Arial"/>
          <w:color w:val="000000"/>
          <w:u w:val="single"/>
          <w:lang w:eastAsia="en-GB"/>
        </w:rPr>
        <w:t>Meta</w:t>
      </w:r>
      <w:r w:rsidRPr="004A5B45">
        <w:rPr>
          <w:rFonts w:eastAsia="Calibri" w:cs="Arial"/>
          <w:color w:val="000000"/>
          <w:u w:val="single"/>
          <w:lang w:eastAsia="en-GB"/>
        </w:rPr>
        <w:t>-SPC</w:t>
      </w:r>
      <w:r>
        <w:rPr>
          <w:rFonts w:eastAsia="Calibri" w:cs="Arial"/>
          <w:color w:val="000000"/>
          <w:u w:val="single"/>
          <w:lang w:eastAsia="en-GB"/>
        </w:rPr>
        <w:t xml:space="preserve"> 13</w:t>
      </w:r>
      <w:r w:rsidR="004254C7">
        <w:rPr>
          <w:rFonts w:eastAsia="Calibri" w:cs="Arial"/>
          <w:color w:val="000000"/>
          <w:u w:val="single"/>
          <w:lang w:eastAsia="en-GB"/>
        </w:rPr>
        <w:t xml:space="preserve"> </w:t>
      </w:r>
      <w:r w:rsidR="004254C7" w:rsidRPr="00291E39">
        <w:rPr>
          <w:rFonts w:eastAsia="Calibri" w:cs="Arial"/>
          <w:color w:val="000000"/>
          <w:u w:val="single"/>
          <w:lang w:eastAsia="en-GB"/>
        </w:rPr>
        <w:t>for the following uses</w:t>
      </w:r>
      <w:r w:rsidRPr="00B96563">
        <w:rPr>
          <w:rFonts w:eastAsia="Calibri" w:cs="Arial"/>
          <w:color w:val="000000"/>
          <w:u w:val="single"/>
          <w:lang w:eastAsia="en-GB"/>
        </w:rPr>
        <w:t>:</w:t>
      </w:r>
      <w:r>
        <w:rPr>
          <w:rFonts w:eastAsia="Calibri" w:cs="Arial"/>
          <w:color w:val="000000"/>
          <w:u w:val="single"/>
          <w:lang w:eastAsia="en-GB"/>
        </w:rPr>
        <w:t xml:space="preserve"> </w:t>
      </w:r>
    </w:p>
    <w:p w14:paraId="46799D76" w14:textId="1D966A1B" w:rsidR="004254C7" w:rsidRPr="00387D42" w:rsidRDefault="004254C7" w:rsidP="00E91F85">
      <w:pPr>
        <w:suppressAutoHyphens w:val="0"/>
        <w:autoSpaceDE w:val="0"/>
        <w:autoSpaceDN w:val="0"/>
        <w:adjustRightInd w:val="0"/>
        <w:spacing w:line="276" w:lineRule="auto"/>
        <w:jc w:val="both"/>
      </w:pPr>
      <w:r>
        <w:t xml:space="preserve">- </w:t>
      </w:r>
      <w:r w:rsidR="00850176">
        <w:t xml:space="preserve">PT2 - </w:t>
      </w:r>
      <w:r w:rsidRPr="009B0D50">
        <w:t>Disinfectants for</w:t>
      </w:r>
      <w:r>
        <w:t xml:space="preserve"> </w:t>
      </w:r>
      <w:r w:rsidRPr="001365D5">
        <w:rPr>
          <w:b/>
        </w:rPr>
        <w:t xml:space="preserve">outdoor </w:t>
      </w:r>
      <w:r w:rsidRPr="009B0D50">
        <w:t>hard surfaces of industry, institution, healthcare facilities</w:t>
      </w:r>
      <w:r w:rsidR="00850176">
        <w:t xml:space="preserve"> </w:t>
      </w:r>
      <w:r w:rsidR="00850176" w:rsidRPr="00387D42">
        <w:rPr>
          <w:b/>
        </w:rPr>
        <w:t>including roadways (marketplaces, city events...) and waste containers and the floor around.</w:t>
      </w:r>
      <w:r w:rsidR="00850176" w:rsidRPr="00387D42" w:rsidDel="00850176">
        <w:t xml:space="preserve"> </w:t>
      </w:r>
    </w:p>
    <w:p w14:paraId="06DB2105" w14:textId="65C373E4" w:rsidR="009B2E87" w:rsidRDefault="009B2E87" w:rsidP="00FE1D3D">
      <w:pPr>
        <w:spacing w:line="276" w:lineRule="auto"/>
        <w:jc w:val="both"/>
        <w:rPr>
          <w:rFonts w:cs="Arial"/>
          <w:lang w:val="en-US" w:eastAsia="de-DE"/>
        </w:rPr>
      </w:pPr>
      <w:r>
        <w:rPr>
          <w:rFonts w:cs="Arial"/>
          <w:lang w:val="en-US" w:eastAsia="de-DE"/>
        </w:rPr>
        <w:t>The l</w:t>
      </w:r>
      <w:r w:rsidRPr="00280457">
        <w:rPr>
          <w:rFonts w:cs="Arial"/>
          <w:lang w:val="en-US" w:eastAsia="de-DE"/>
        </w:rPr>
        <w:t xml:space="preserve">evels of exposure for non-target species of </w:t>
      </w:r>
      <w:r>
        <w:rPr>
          <w:rFonts w:cs="Arial"/>
          <w:lang w:val="en-US" w:eastAsia="de-DE"/>
        </w:rPr>
        <w:t xml:space="preserve">aquatic compartment are above the </w:t>
      </w:r>
      <w:r w:rsidRPr="00280457">
        <w:rPr>
          <w:rFonts w:cs="Arial"/>
          <w:lang w:val="en-US" w:eastAsia="de-DE"/>
        </w:rPr>
        <w:t>referenc</w:t>
      </w:r>
      <w:r>
        <w:rPr>
          <w:rFonts w:cs="Arial"/>
          <w:lang w:val="en-US" w:eastAsia="de-DE"/>
        </w:rPr>
        <w:t xml:space="preserve">e values </w:t>
      </w:r>
      <w:r w:rsidR="004254C7">
        <w:rPr>
          <w:rFonts w:cs="Arial"/>
          <w:lang w:val="en-US" w:eastAsia="de-DE"/>
        </w:rPr>
        <w:t>for</w:t>
      </w:r>
      <w:r>
        <w:rPr>
          <w:rFonts w:cs="Arial"/>
          <w:lang w:val="en-US" w:eastAsia="de-DE"/>
        </w:rPr>
        <w:t xml:space="preserve"> the substance of concern </w:t>
      </w:r>
      <w:r>
        <w:t>OTNE in Scenario</w:t>
      </w:r>
      <w:r w:rsidRPr="00152357">
        <w:rPr>
          <w:iCs/>
        </w:rPr>
        <w:t xml:space="preserve"> </w:t>
      </w:r>
      <w:r>
        <w:rPr>
          <w:iCs/>
        </w:rPr>
        <w:t>4</w:t>
      </w:r>
      <w:r w:rsidRPr="00152357">
        <w:rPr>
          <w:iCs/>
        </w:rPr>
        <w:t xml:space="preserve">: Outdoor - </w:t>
      </w:r>
      <w:r w:rsidRPr="003F1021">
        <w:t>Disinfection of road ways</w:t>
      </w:r>
      <w:r w:rsidRPr="00152357">
        <w:t xml:space="preserve"> indirect emission via STP</w:t>
      </w:r>
      <w:r>
        <w:t xml:space="preserve"> and in</w:t>
      </w:r>
      <w:r>
        <w:rPr>
          <w:iCs/>
        </w:rPr>
        <w:t xml:space="preserve"> </w:t>
      </w:r>
      <w:r w:rsidRPr="00152357">
        <w:rPr>
          <w:iCs/>
        </w:rPr>
        <w:t xml:space="preserve">Scenario </w:t>
      </w:r>
      <w:r>
        <w:rPr>
          <w:iCs/>
        </w:rPr>
        <w:t>5</w:t>
      </w:r>
      <w:r w:rsidRPr="00152357">
        <w:rPr>
          <w:iCs/>
        </w:rPr>
        <w:t xml:space="preserve">: Outdoor - </w:t>
      </w:r>
      <w:r w:rsidRPr="003F1021">
        <w:t>Disinfection of road ways</w:t>
      </w:r>
      <w:r w:rsidRPr="00152357">
        <w:t xml:space="preserve"> </w:t>
      </w:r>
      <w:r w:rsidRPr="003F1021">
        <w:t>direct emission to surface water</w:t>
      </w:r>
      <w:r>
        <w:rPr>
          <w:rFonts w:cs="Arial"/>
          <w:lang w:val="en-US" w:eastAsia="de-DE"/>
        </w:rPr>
        <w:t>.</w:t>
      </w:r>
      <w:r w:rsidR="006A230E">
        <w:rPr>
          <w:rFonts w:cs="Arial"/>
          <w:lang w:val="en-US" w:eastAsia="de-DE"/>
        </w:rPr>
        <w:t xml:space="preserve"> </w:t>
      </w:r>
    </w:p>
    <w:p w14:paraId="1641D795" w14:textId="13ACF0D6" w:rsidR="006A230E" w:rsidRPr="006A230E" w:rsidRDefault="006A230E" w:rsidP="00FE1D3D">
      <w:pPr>
        <w:spacing w:line="276" w:lineRule="auto"/>
        <w:jc w:val="both"/>
        <w:rPr>
          <w:rFonts w:cs="Arial"/>
          <w:u w:val="single"/>
          <w:lang w:val="en-US" w:eastAsia="de-DE"/>
        </w:rPr>
      </w:pPr>
      <w:r w:rsidRPr="006A230E">
        <w:rPr>
          <w:rFonts w:cs="Arial"/>
          <w:u w:val="single"/>
          <w:lang w:val="en-US" w:eastAsia="de-DE"/>
        </w:rPr>
        <w:t xml:space="preserve">The outdoor </w:t>
      </w:r>
      <w:r>
        <w:rPr>
          <w:rFonts w:cs="Arial"/>
          <w:u w:val="single"/>
          <w:lang w:val="en-US" w:eastAsia="de-DE"/>
        </w:rPr>
        <w:t>use</w:t>
      </w:r>
      <w:r w:rsidRPr="006A230E">
        <w:rPr>
          <w:rFonts w:cs="Arial"/>
          <w:u w:val="single"/>
          <w:lang w:val="en-US" w:eastAsia="de-DE"/>
        </w:rPr>
        <w:t xml:space="preserve"> of Meta-SPC 13</w:t>
      </w:r>
      <w:r>
        <w:rPr>
          <w:rFonts w:cs="Arial"/>
          <w:u w:val="single"/>
          <w:lang w:val="en-US" w:eastAsia="de-DE"/>
        </w:rPr>
        <w:t xml:space="preserve"> product’s</w:t>
      </w:r>
      <w:r w:rsidRPr="006A230E">
        <w:rPr>
          <w:rFonts w:cs="Arial"/>
          <w:u w:val="single"/>
          <w:lang w:val="en-US" w:eastAsia="de-DE"/>
        </w:rPr>
        <w:t xml:space="preserve"> lead</w:t>
      </w:r>
      <w:r w:rsidR="00C63C36">
        <w:rPr>
          <w:rFonts w:cs="Arial"/>
          <w:u w:val="single"/>
          <w:lang w:val="en-US" w:eastAsia="de-DE"/>
        </w:rPr>
        <w:t>s</w:t>
      </w:r>
      <w:r w:rsidRPr="006A230E">
        <w:rPr>
          <w:rFonts w:cs="Arial"/>
          <w:u w:val="single"/>
          <w:lang w:val="en-US" w:eastAsia="de-DE"/>
        </w:rPr>
        <w:t xml:space="preserve"> to unacceptable risks for the environment. The use of the products of meta-</w:t>
      </w:r>
      <w:r w:rsidR="00164467">
        <w:rPr>
          <w:rFonts w:cs="Arial"/>
          <w:u w:val="single"/>
          <w:lang w:val="en-US" w:eastAsia="de-DE"/>
        </w:rPr>
        <w:t>SPC</w:t>
      </w:r>
      <w:r w:rsidRPr="006A230E">
        <w:rPr>
          <w:rFonts w:cs="Arial"/>
          <w:u w:val="single"/>
          <w:lang w:val="en-US" w:eastAsia="de-DE"/>
        </w:rPr>
        <w:t xml:space="preserve"> 13 is restricted to indoor use.</w:t>
      </w:r>
    </w:p>
    <w:p w14:paraId="07100F7A" w14:textId="197BF2FD" w:rsidR="00EB197B" w:rsidRDefault="00EB197B">
      <w:pPr>
        <w:autoSpaceDE w:val="0"/>
        <w:snapToGrid w:val="0"/>
        <w:spacing w:before="60" w:after="60" w:line="260" w:lineRule="atLeast"/>
        <w:jc w:val="both"/>
        <w:rPr>
          <w:rFonts w:cs="Arial"/>
          <w:lang w:val="en-US" w:eastAsia="de-DE"/>
        </w:rPr>
      </w:pPr>
      <w:r>
        <w:rPr>
          <w:rFonts w:cs="Arial"/>
          <w:lang w:val="en-US" w:eastAsia="de-DE"/>
        </w:rPr>
        <w:t>The following risk mitigation measure must be applied:</w:t>
      </w:r>
    </w:p>
    <w:p w14:paraId="3DB39762" w14:textId="19C90EB4" w:rsidR="00EB197B" w:rsidRPr="00EB197B" w:rsidRDefault="00EB197B">
      <w:pPr>
        <w:autoSpaceDE w:val="0"/>
        <w:snapToGrid w:val="0"/>
        <w:spacing w:before="60" w:after="60" w:line="260" w:lineRule="atLeast"/>
        <w:jc w:val="both"/>
        <w:rPr>
          <w:iCs/>
        </w:rPr>
      </w:pPr>
      <w:r w:rsidRPr="001365D5">
        <w:rPr>
          <w:b/>
          <w:i/>
        </w:rPr>
        <w:t>The product is for an indoor use only</w:t>
      </w:r>
    </w:p>
    <w:p w14:paraId="39EBF3F9" w14:textId="77777777" w:rsidR="00657948" w:rsidRDefault="00657948" w:rsidP="009B2E87">
      <w:pPr>
        <w:suppressAutoHyphens w:val="0"/>
        <w:jc w:val="both"/>
        <w:rPr>
          <w:rFonts w:eastAsia="Calibri"/>
          <w:b/>
          <w:caps/>
          <w:sz w:val="28"/>
        </w:rPr>
      </w:pPr>
    </w:p>
    <w:p w14:paraId="7E37161A" w14:textId="77777777" w:rsidR="00657948" w:rsidRDefault="00657948" w:rsidP="009B2E87">
      <w:pPr>
        <w:suppressAutoHyphens w:val="0"/>
        <w:jc w:val="both"/>
        <w:rPr>
          <w:rFonts w:eastAsia="Calibri"/>
          <w:b/>
          <w:caps/>
          <w:sz w:val="28"/>
        </w:rPr>
      </w:pPr>
    </w:p>
    <w:p w14:paraId="0B8E7ED5" w14:textId="7DECE481" w:rsidR="00D71B9A" w:rsidRDefault="00D71B9A" w:rsidP="009B2E87">
      <w:pPr>
        <w:suppressAutoHyphens w:val="0"/>
        <w:jc w:val="both"/>
        <w:rPr>
          <w:rFonts w:eastAsia="Calibri"/>
          <w:b/>
          <w:sz w:val="28"/>
        </w:rPr>
      </w:pPr>
      <w:r>
        <w:rPr>
          <w:rFonts w:eastAsia="Calibri"/>
          <w:b/>
          <w:caps/>
          <w:sz w:val="28"/>
        </w:rPr>
        <w:lastRenderedPageBreak/>
        <w:t>G</w:t>
      </w:r>
      <w:r>
        <w:rPr>
          <w:rFonts w:eastAsia="Calibri"/>
          <w:b/>
          <w:sz w:val="28"/>
        </w:rPr>
        <w:t>eneral conclusion</w:t>
      </w:r>
    </w:p>
    <w:p w14:paraId="4E24A8E8" w14:textId="77777777" w:rsidR="00D71B9A" w:rsidRDefault="00D71B9A" w:rsidP="009B2E87">
      <w:pPr>
        <w:suppressAutoHyphens w:val="0"/>
        <w:jc w:val="both"/>
        <w:rPr>
          <w:rFonts w:eastAsia="Calibri"/>
          <w:b/>
          <w:sz w:val="28"/>
        </w:rPr>
      </w:pPr>
    </w:p>
    <w:p w14:paraId="1AFB1D08" w14:textId="77777777" w:rsidR="00D71B9A" w:rsidRDefault="00D71B9A" w:rsidP="00D71B9A">
      <w:pPr>
        <w:spacing w:line="260" w:lineRule="atLeast"/>
        <w:rPr>
          <w:rFonts w:eastAsia="Calibri"/>
          <w:lang w:val="en-US" w:eastAsia="en-US"/>
        </w:rPr>
      </w:pPr>
      <w:r>
        <w:rPr>
          <w:rFonts w:eastAsia="Calibri"/>
          <w:b/>
          <w:lang w:val="en-US" w:eastAsia="en-US"/>
        </w:rPr>
        <w:t>Overall conclusions for the claimed uses</w:t>
      </w:r>
      <w:r>
        <w:rPr>
          <w:rFonts w:eastAsia="Calibri"/>
          <w:lang w:val="en-US" w:eastAsia="en-US"/>
        </w:rPr>
        <w:t xml:space="preserve">: </w:t>
      </w:r>
    </w:p>
    <w:p w14:paraId="0F7D19AF" w14:textId="768FF3F2" w:rsidR="00D71B9A" w:rsidRDefault="00D71B9A" w:rsidP="009B2E87">
      <w:pPr>
        <w:suppressAutoHyphens w:val="0"/>
        <w:jc w:val="both"/>
        <w:rPr>
          <w:rFonts w:eastAsia="Calibri"/>
        </w:rPr>
      </w:pPr>
      <w:r w:rsidRPr="00B27CB1" w:rsidDel="006746DA">
        <w:rPr>
          <w:rFonts w:eastAsia="Calibri"/>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1701"/>
        <w:gridCol w:w="1701"/>
        <w:gridCol w:w="2547"/>
        <w:gridCol w:w="1422"/>
      </w:tblGrid>
      <w:tr w:rsidR="00853F2D" w:rsidRPr="00043187" w14:paraId="2ED3F6DE" w14:textId="77777777" w:rsidTr="00CF41A1">
        <w:trPr>
          <w:trHeight w:val="545"/>
        </w:trPr>
        <w:tc>
          <w:tcPr>
            <w:tcW w:w="851" w:type="dxa"/>
            <w:vAlign w:val="center"/>
          </w:tcPr>
          <w:p w14:paraId="64DB8568" w14:textId="77777777" w:rsidR="00853F2D" w:rsidRDefault="00853F2D" w:rsidP="00CF41A1">
            <w:pPr>
              <w:keepNext/>
              <w:ind w:right="-109"/>
              <w:outlineLvl w:val="1"/>
              <w:rPr>
                <w:rFonts w:eastAsia="Calibri" w:cs="Arial"/>
                <w:b/>
                <w:lang w:val="sv-SE" w:eastAsia="sv-SE"/>
              </w:rPr>
            </w:pPr>
            <w:r>
              <w:rPr>
                <w:rFonts w:eastAsia="Calibri" w:cs="Arial"/>
                <w:b/>
                <w:lang w:val="sv-SE" w:eastAsia="sv-SE"/>
              </w:rPr>
              <w:t>Meta SPC</w:t>
            </w:r>
          </w:p>
        </w:tc>
        <w:tc>
          <w:tcPr>
            <w:tcW w:w="1984" w:type="dxa"/>
            <w:vAlign w:val="center"/>
          </w:tcPr>
          <w:p w14:paraId="5499DC1E" w14:textId="77777777" w:rsidR="00853F2D" w:rsidRPr="004A79AF" w:rsidRDefault="00853F2D" w:rsidP="00CF41A1">
            <w:pPr>
              <w:keepNext/>
              <w:outlineLvl w:val="1"/>
              <w:rPr>
                <w:rFonts w:eastAsia="Calibri" w:cs="Arial"/>
                <w:b/>
                <w:lang w:val="sv-SE" w:eastAsia="sv-SE"/>
              </w:rPr>
            </w:pPr>
            <w:r>
              <w:rPr>
                <w:rFonts w:eastAsia="Calibri" w:cs="Arial"/>
                <w:b/>
                <w:lang w:val="sv-SE" w:eastAsia="sv-SE"/>
              </w:rPr>
              <w:t>Uses</w:t>
            </w:r>
          </w:p>
        </w:tc>
        <w:tc>
          <w:tcPr>
            <w:tcW w:w="1701" w:type="dxa"/>
            <w:vAlign w:val="center"/>
          </w:tcPr>
          <w:p w14:paraId="2D9E55F9" w14:textId="77777777" w:rsidR="00853F2D" w:rsidRPr="004A79AF" w:rsidRDefault="00853F2D" w:rsidP="00CF41A1">
            <w:pPr>
              <w:keepNext/>
              <w:ind w:right="-108"/>
              <w:outlineLvl w:val="1"/>
              <w:rPr>
                <w:rFonts w:eastAsia="Calibri" w:cs="Arial"/>
                <w:b/>
                <w:lang w:val="sv-SE" w:eastAsia="sv-SE"/>
              </w:rPr>
            </w:pPr>
            <w:r w:rsidRPr="004A79AF">
              <w:rPr>
                <w:rFonts w:eastAsia="Calibri" w:cs="Arial"/>
                <w:b/>
                <w:lang w:val="sv-SE" w:eastAsia="sv-SE"/>
              </w:rPr>
              <w:t>Target organism</w:t>
            </w:r>
          </w:p>
        </w:tc>
        <w:tc>
          <w:tcPr>
            <w:tcW w:w="1701" w:type="dxa"/>
            <w:vAlign w:val="center"/>
          </w:tcPr>
          <w:p w14:paraId="2E54FA97" w14:textId="77777777" w:rsidR="00853F2D" w:rsidRPr="004A79AF" w:rsidRDefault="00853F2D" w:rsidP="00CF41A1">
            <w:pPr>
              <w:keepNext/>
              <w:autoSpaceDE w:val="0"/>
              <w:autoSpaceDN w:val="0"/>
              <w:adjustRightInd w:val="0"/>
              <w:ind w:right="-108"/>
              <w:rPr>
                <w:rFonts w:eastAsia="Calibri" w:cs="Arial"/>
                <w:b/>
                <w:lang w:val="sv-SE" w:eastAsia="sv-SE"/>
              </w:rPr>
            </w:pPr>
            <w:r w:rsidRPr="004A79AF">
              <w:rPr>
                <w:rFonts w:eastAsia="Calibri" w:cs="Arial"/>
                <w:b/>
                <w:lang w:val="sv-SE" w:eastAsia="sv-SE"/>
              </w:rPr>
              <w:t>Application rates</w:t>
            </w:r>
          </w:p>
        </w:tc>
        <w:tc>
          <w:tcPr>
            <w:tcW w:w="2547" w:type="dxa"/>
            <w:vAlign w:val="center"/>
          </w:tcPr>
          <w:p w14:paraId="0D1E3120" w14:textId="77777777" w:rsidR="00853F2D" w:rsidRPr="004A79AF" w:rsidRDefault="00853F2D" w:rsidP="00CF41A1">
            <w:pPr>
              <w:keepNext/>
              <w:autoSpaceDE w:val="0"/>
              <w:autoSpaceDN w:val="0"/>
              <w:adjustRightInd w:val="0"/>
              <w:ind w:right="-108"/>
              <w:rPr>
                <w:rFonts w:eastAsia="Calibri" w:cs="Arial"/>
                <w:b/>
                <w:lang w:val="sv-SE" w:eastAsia="sv-SE"/>
              </w:rPr>
            </w:pPr>
            <w:r w:rsidRPr="004A79AF">
              <w:rPr>
                <w:rFonts w:eastAsia="Calibri" w:cs="Arial"/>
                <w:b/>
                <w:lang w:val="sv-SE" w:eastAsia="sv-SE"/>
              </w:rPr>
              <w:t>Use conditions</w:t>
            </w:r>
          </w:p>
        </w:tc>
        <w:tc>
          <w:tcPr>
            <w:tcW w:w="1422" w:type="dxa"/>
            <w:vAlign w:val="center"/>
          </w:tcPr>
          <w:p w14:paraId="5A4F49ED" w14:textId="77777777" w:rsidR="00853F2D" w:rsidRDefault="00853F2D" w:rsidP="00CF41A1">
            <w:pPr>
              <w:keepNext/>
              <w:autoSpaceDE w:val="0"/>
              <w:autoSpaceDN w:val="0"/>
              <w:adjustRightInd w:val="0"/>
              <w:ind w:right="-102"/>
              <w:rPr>
                <w:rFonts w:eastAsia="Calibri" w:cs="Arial"/>
                <w:b/>
                <w:lang w:val="sv-SE" w:eastAsia="sv-SE"/>
              </w:rPr>
            </w:pPr>
            <w:r>
              <w:rPr>
                <w:rFonts w:eastAsia="Calibri" w:cs="Arial"/>
                <w:b/>
                <w:lang w:val="sv-SE" w:eastAsia="sv-SE"/>
              </w:rPr>
              <w:t>Acceptable/no acceptable</w:t>
            </w:r>
          </w:p>
        </w:tc>
      </w:tr>
      <w:tr w:rsidR="00853F2D" w:rsidRPr="00D101A0" w14:paraId="4F54F539" w14:textId="77777777" w:rsidTr="00CF41A1">
        <w:trPr>
          <w:trHeight w:val="1820"/>
        </w:trPr>
        <w:tc>
          <w:tcPr>
            <w:tcW w:w="851" w:type="dxa"/>
            <w:vMerge w:val="restart"/>
            <w:vAlign w:val="center"/>
          </w:tcPr>
          <w:p w14:paraId="14B28076" w14:textId="77777777" w:rsidR="00853F2D" w:rsidRDefault="00853F2D" w:rsidP="00CF41A1">
            <w:pPr>
              <w:spacing w:line="260" w:lineRule="atLeast"/>
              <w:ind w:right="-109"/>
            </w:pPr>
            <w:r>
              <w:t>Meta SPC 1</w:t>
            </w:r>
          </w:p>
        </w:tc>
        <w:tc>
          <w:tcPr>
            <w:tcW w:w="1984" w:type="dxa"/>
            <w:vMerge w:val="restart"/>
            <w:shd w:val="clear" w:color="auto" w:fill="auto"/>
            <w:vAlign w:val="center"/>
          </w:tcPr>
          <w:p w14:paraId="1EF6F23B"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02B7803A" w14:textId="77777777" w:rsidR="00853F2D" w:rsidRPr="00DE7D94" w:rsidRDefault="00853F2D" w:rsidP="00CF41A1">
            <w:pPr>
              <w:spacing w:line="260" w:lineRule="atLeast"/>
              <w:rPr>
                <w:rFonts w:eastAsia="Calibri" w:cs="Arial"/>
                <w:lang w:val="sv-SE" w:eastAsia="sv-SE"/>
              </w:rPr>
            </w:pPr>
            <w:r w:rsidRPr="00DE7D94">
              <w:rPr>
                <w:rFonts w:eastAsia="Calibri" w:cs="Arial"/>
                <w:lang w:val="sv-SE" w:eastAsia="sv-SE"/>
              </w:rPr>
              <w:t>Disinfectants for hard surfaces of domestic area</w:t>
            </w:r>
            <w:r>
              <w:rPr>
                <w:rFonts w:eastAsia="Calibri" w:cs="Arial"/>
                <w:lang w:val="sv-SE" w:eastAsia="sv-SE"/>
              </w:rPr>
              <w:t xml:space="preserve"> (PT2)</w:t>
            </w:r>
          </w:p>
        </w:tc>
        <w:tc>
          <w:tcPr>
            <w:tcW w:w="1701" w:type="dxa"/>
            <w:vMerge w:val="restart"/>
            <w:shd w:val="clear" w:color="auto" w:fill="auto"/>
            <w:vAlign w:val="center"/>
          </w:tcPr>
          <w:p w14:paraId="54BEECCA" w14:textId="77777777" w:rsidR="00853F2D" w:rsidRPr="000B1785" w:rsidRDefault="00853F2D" w:rsidP="00CF41A1">
            <w:pPr>
              <w:snapToGrid w:val="0"/>
              <w:spacing w:line="260" w:lineRule="atLeast"/>
              <w:ind w:right="-108"/>
              <w:rPr>
                <w:bCs/>
                <w:color w:val="000000"/>
                <w:lang w:val="en-US"/>
              </w:rPr>
            </w:pPr>
            <w:r w:rsidRPr="00DE7D94">
              <w:rPr>
                <w:bCs/>
                <w:color w:val="000000"/>
                <w:lang w:val="en-US"/>
              </w:rPr>
              <w:t xml:space="preserve">Bacteria (including additionnal strain </w:t>
            </w:r>
            <w:r w:rsidRPr="00DE7D94">
              <w:rPr>
                <w:bCs/>
                <w:i/>
                <w:color w:val="000000"/>
                <w:lang w:val="en-US"/>
              </w:rPr>
              <w:t>Bartonella henselae</w:t>
            </w:r>
            <w:r w:rsidRPr="00DE7D94">
              <w:rPr>
                <w:bCs/>
                <w:color w:val="000000"/>
                <w:lang w:val="en-US"/>
              </w:rPr>
              <w:t>)</w:t>
            </w:r>
          </w:p>
        </w:tc>
        <w:tc>
          <w:tcPr>
            <w:tcW w:w="1701" w:type="dxa"/>
            <w:shd w:val="clear" w:color="auto" w:fill="auto"/>
            <w:vAlign w:val="center"/>
          </w:tcPr>
          <w:p w14:paraId="3B8ED24F"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7126F1C5" w14:textId="77777777" w:rsidR="00853F2D" w:rsidRDefault="00853F2D" w:rsidP="00CF41A1">
            <w:pPr>
              <w:snapToGrid w:val="0"/>
              <w:spacing w:line="260" w:lineRule="atLeast"/>
              <w:ind w:right="-108"/>
            </w:pPr>
          </w:p>
          <w:p w14:paraId="7E1600EF"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2D2EC018"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758C2884" w14:textId="77777777" w:rsidR="00853F2D" w:rsidRPr="00991E44" w:rsidRDefault="00853F2D" w:rsidP="00CF41A1">
            <w:pPr>
              <w:keepNext/>
              <w:tabs>
                <w:tab w:val="left" w:pos="426"/>
              </w:tabs>
              <w:ind w:right="-108"/>
              <w:textAlignment w:val="top"/>
              <w:rPr>
                <w:rFonts w:eastAsia="Calibri" w:cs="Arial"/>
                <w:lang w:val="sv-SE" w:eastAsia="sv-SE"/>
              </w:rPr>
            </w:pPr>
          </w:p>
          <w:p w14:paraId="1CFB3AF4"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6D1164CD" w14:textId="77777777" w:rsidR="00853F2D" w:rsidRDefault="00853F2D" w:rsidP="00CF41A1">
            <w:pPr>
              <w:ind w:right="-102"/>
            </w:pPr>
            <w:r w:rsidRPr="00CF2528">
              <w:t>Acceptable</w:t>
            </w:r>
          </w:p>
        </w:tc>
      </w:tr>
      <w:tr w:rsidR="00853F2D" w:rsidRPr="00D101A0" w14:paraId="1DC40A97" w14:textId="77777777" w:rsidTr="00CF41A1">
        <w:trPr>
          <w:trHeight w:val="1820"/>
        </w:trPr>
        <w:tc>
          <w:tcPr>
            <w:tcW w:w="851" w:type="dxa"/>
            <w:vMerge/>
            <w:vAlign w:val="center"/>
          </w:tcPr>
          <w:p w14:paraId="09506327" w14:textId="77777777" w:rsidR="00853F2D" w:rsidRDefault="00853F2D" w:rsidP="00CF41A1">
            <w:pPr>
              <w:spacing w:line="260" w:lineRule="atLeast"/>
              <w:ind w:right="-109"/>
            </w:pPr>
          </w:p>
        </w:tc>
        <w:tc>
          <w:tcPr>
            <w:tcW w:w="1984" w:type="dxa"/>
            <w:vMerge/>
            <w:shd w:val="clear" w:color="auto" w:fill="auto"/>
            <w:vAlign w:val="center"/>
          </w:tcPr>
          <w:p w14:paraId="6BF881AB"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793674C"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shd w:val="clear" w:color="auto" w:fill="auto"/>
            <w:vAlign w:val="center"/>
          </w:tcPr>
          <w:p w14:paraId="2CEE90EC"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573A7E0E"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7A02D47F" w14:textId="77777777" w:rsidR="00853F2D" w:rsidRPr="00991E44" w:rsidRDefault="00853F2D" w:rsidP="00CF41A1">
            <w:pPr>
              <w:keepNext/>
              <w:tabs>
                <w:tab w:val="left" w:pos="426"/>
              </w:tabs>
              <w:ind w:right="-108"/>
              <w:textAlignment w:val="top"/>
              <w:rPr>
                <w:rFonts w:eastAsia="Calibri" w:cs="Arial"/>
                <w:lang w:val="sv-SE" w:eastAsia="sv-SE"/>
              </w:rPr>
            </w:pPr>
          </w:p>
          <w:p w14:paraId="599EFE2D"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4389EFDF" w14:textId="77777777" w:rsidR="00853F2D" w:rsidRDefault="00853F2D" w:rsidP="00CF41A1">
            <w:pPr>
              <w:ind w:right="-102"/>
            </w:pPr>
            <w:r w:rsidRPr="00CF2528">
              <w:t>Acceptable</w:t>
            </w:r>
          </w:p>
        </w:tc>
      </w:tr>
      <w:tr w:rsidR="00853F2D" w:rsidRPr="00D101A0" w14:paraId="0CF6E3F6" w14:textId="77777777" w:rsidTr="00CF41A1">
        <w:trPr>
          <w:trHeight w:val="1820"/>
        </w:trPr>
        <w:tc>
          <w:tcPr>
            <w:tcW w:w="851" w:type="dxa"/>
            <w:vMerge w:val="restart"/>
            <w:vAlign w:val="center"/>
          </w:tcPr>
          <w:p w14:paraId="04D70EC3" w14:textId="77777777" w:rsidR="00853F2D" w:rsidRDefault="00853F2D" w:rsidP="00CF41A1">
            <w:pPr>
              <w:spacing w:line="260" w:lineRule="atLeast"/>
              <w:ind w:right="-109"/>
            </w:pPr>
            <w:r>
              <w:t>Meta SPC 2</w:t>
            </w:r>
          </w:p>
        </w:tc>
        <w:tc>
          <w:tcPr>
            <w:tcW w:w="1984" w:type="dxa"/>
            <w:vMerge w:val="restart"/>
            <w:shd w:val="clear" w:color="auto" w:fill="auto"/>
            <w:vAlign w:val="center"/>
          </w:tcPr>
          <w:p w14:paraId="495E0264"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368E8EF8" w14:textId="77777777" w:rsidR="00853F2D" w:rsidRPr="004A79AF" w:rsidRDefault="00853F2D" w:rsidP="00CF41A1">
            <w:pPr>
              <w:spacing w:line="260" w:lineRule="atLeast"/>
              <w:rPr>
                <w:rFonts w:eastAsia="Calibri" w:cs="Arial"/>
                <w:lang w:val="sv-SE" w:eastAsia="sv-SE"/>
              </w:rPr>
            </w:pPr>
            <w:r w:rsidRPr="00DE7D94">
              <w:rPr>
                <w:rFonts w:eastAsia="Calibri" w:cs="Arial"/>
                <w:lang w:val="sv-SE" w:eastAsia="sv-SE"/>
              </w:rPr>
              <w:t>Disinfectants for hard surfaces of domestic area</w:t>
            </w:r>
            <w:r>
              <w:rPr>
                <w:rFonts w:eastAsia="Calibri" w:cs="Arial"/>
                <w:lang w:val="sv-SE" w:eastAsia="sv-SE"/>
              </w:rPr>
              <w:t xml:space="preserve"> (PT2)</w:t>
            </w:r>
          </w:p>
        </w:tc>
        <w:tc>
          <w:tcPr>
            <w:tcW w:w="1701" w:type="dxa"/>
            <w:vMerge w:val="restart"/>
            <w:shd w:val="clear" w:color="auto" w:fill="auto"/>
            <w:vAlign w:val="center"/>
          </w:tcPr>
          <w:p w14:paraId="160F955D"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Bacteria</w:t>
            </w:r>
          </w:p>
        </w:tc>
        <w:tc>
          <w:tcPr>
            <w:tcW w:w="1701" w:type="dxa"/>
            <w:shd w:val="clear" w:color="auto" w:fill="auto"/>
            <w:vAlign w:val="center"/>
          </w:tcPr>
          <w:p w14:paraId="6EE1DF62"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6A43A132" w14:textId="77777777" w:rsidR="00853F2D" w:rsidRDefault="00853F2D" w:rsidP="00CF41A1">
            <w:pPr>
              <w:snapToGrid w:val="0"/>
              <w:spacing w:line="260" w:lineRule="atLeast"/>
              <w:ind w:right="-108"/>
            </w:pPr>
          </w:p>
          <w:p w14:paraId="3F8BD8E6"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730CD24F"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4DED09F9" w14:textId="77777777" w:rsidR="00853F2D" w:rsidRPr="00991E44" w:rsidRDefault="00853F2D" w:rsidP="00CF41A1">
            <w:pPr>
              <w:keepNext/>
              <w:tabs>
                <w:tab w:val="left" w:pos="426"/>
              </w:tabs>
              <w:ind w:right="-108"/>
              <w:textAlignment w:val="top"/>
              <w:rPr>
                <w:rFonts w:eastAsia="Calibri" w:cs="Arial"/>
                <w:lang w:val="sv-SE" w:eastAsia="sv-SE"/>
              </w:rPr>
            </w:pPr>
          </w:p>
          <w:p w14:paraId="19A4773E"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557F3A92" w14:textId="77777777" w:rsidR="00853F2D" w:rsidRDefault="00853F2D" w:rsidP="00CF41A1">
            <w:pPr>
              <w:ind w:right="-102"/>
            </w:pPr>
            <w:r w:rsidRPr="00CF2528">
              <w:t>Acceptable</w:t>
            </w:r>
          </w:p>
        </w:tc>
      </w:tr>
      <w:tr w:rsidR="00853F2D" w:rsidRPr="00D101A0" w14:paraId="3B37B91F" w14:textId="77777777" w:rsidTr="00CF41A1">
        <w:trPr>
          <w:trHeight w:val="1820"/>
        </w:trPr>
        <w:tc>
          <w:tcPr>
            <w:tcW w:w="851" w:type="dxa"/>
            <w:vMerge/>
            <w:vAlign w:val="center"/>
          </w:tcPr>
          <w:p w14:paraId="7693FD93" w14:textId="77777777" w:rsidR="00853F2D" w:rsidRDefault="00853F2D" w:rsidP="00CF41A1">
            <w:pPr>
              <w:spacing w:line="260" w:lineRule="atLeast"/>
              <w:ind w:right="-109"/>
            </w:pPr>
          </w:p>
        </w:tc>
        <w:tc>
          <w:tcPr>
            <w:tcW w:w="1984" w:type="dxa"/>
            <w:vMerge/>
            <w:shd w:val="clear" w:color="auto" w:fill="auto"/>
            <w:vAlign w:val="center"/>
          </w:tcPr>
          <w:p w14:paraId="2673ECDC"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8528285"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shd w:val="clear" w:color="auto" w:fill="auto"/>
            <w:vAlign w:val="center"/>
          </w:tcPr>
          <w:p w14:paraId="206616EA"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0789C662"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4B8C59FE" w14:textId="77777777" w:rsidR="00853F2D" w:rsidRPr="00991E44" w:rsidRDefault="00853F2D" w:rsidP="00CF41A1">
            <w:pPr>
              <w:keepNext/>
              <w:tabs>
                <w:tab w:val="left" w:pos="426"/>
              </w:tabs>
              <w:ind w:right="-108"/>
              <w:textAlignment w:val="top"/>
              <w:rPr>
                <w:rFonts w:eastAsia="Calibri" w:cs="Arial"/>
                <w:lang w:val="sv-SE" w:eastAsia="sv-SE"/>
              </w:rPr>
            </w:pPr>
          </w:p>
          <w:p w14:paraId="62654E8C"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63833290" w14:textId="77777777" w:rsidR="00853F2D" w:rsidRDefault="00853F2D" w:rsidP="00CF41A1">
            <w:pPr>
              <w:ind w:right="-102"/>
            </w:pPr>
            <w:r w:rsidRPr="00CF2528">
              <w:t>Acceptable</w:t>
            </w:r>
          </w:p>
        </w:tc>
      </w:tr>
      <w:tr w:rsidR="00853F2D" w:rsidRPr="00D101A0" w14:paraId="22A20529" w14:textId="77777777" w:rsidTr="00CF41A1">
        <w:trPr>
          <w:trHeight w:val="1820"/>
        </w:trPr>
        <w:tc>
          <w:tcPr>
            <w:tcW w:w="851" w:type="dxa"/>
            <w:vMerge/>
            <w:vAlign w:val="center"/>
          </w:tcPr>
          <w:p w14:paraId="63C5A8EF" w14:textId="77777777" w:rsidR="00853F2D" w:rsidRDefault="00853F2D" w:rsidP="00CF41A1">
            <w:pPr>
              <w:spacing w:line="260" w:lineRule="atLeast"/>
              <w:ind w:right="-109"/>
            </w:pPr>
          </w:p>
        </w:tc>
        <w:tc>
          <w:tcPr>
            <w:tcW w:w="1984" w:type="dxa"/>
            <w:vMerge w:val="restart"/>
            <w:shd w:val="clear" w:color="auto" w:fill="auto"/>
            <w:vAlign w:val="center"/>
          </w:tcPr>
          <w:p w14:paraId="30EECE63" w14:textId="77777777" w:rsidR="00853F2D" w:rsidRDefault="00853F2D" w:rsidP="00CF41A1">
            <w:pPr>
              <w:spacing w:line="260" w:lineRule="atLeast"/>
              <w:rPr>
                <w:rFonts w:eastAsia="Calibri" w:cs="Arial"/>
                <w:lang w:val="sv-SE" w:eastAsia="sv-SE"/>
              </w:rPr>
            </w:pPr>
            <w:r>
              <w:rPr>
                <w:rFonts w:eastAsia="Calibri" w:cs="Arial"/>
                <w:lang w:val="sv-SE" w:eastAsia="sv-SE"/>
              </w:rPr>
              <w:t>2</w:t>
            </w:r>
          </w:p>
          <w:p w14:paraId="54708594" w14:textId="77777777" w:rsidR="00853F2D" w:rsidRPr="004A79AF" w:rsidRDefault="00853F2D" w:rsidP="00CF41A1">
            <w:pPr>
              <w:spacing w:line="260" w:lineRule="atLeast"/>
              <w:rPr>
                <w:rFonts w:eastAsia="Calibri" w:cs="Arial"/>
                <w:lang w:val="sv-SE" w:eastAsia="sv-SE"/>
              </w:rPr>
            </w:pPr>
            <w:r w:rsidRPr="00DE7D94">
              <w:rPr>
                <w:rFonts w:eastAsia="Calibri" w:cs="Arial"/>
                <w:lang w:val="sv-SE" w:eastAsia="sv-SE"/>
              </w:rPr>
              <w:t>Disinfectants for hard surfaces including food contact surfaces of domestic area</w:t>
            </w:r>
            <w:r>
              <w:rPr>
                <w:rFonts w:eastAsia="Calibri" w:cs="Arial"/>
                <w:lang w:val="sv-SE" w:eastAsia="sv-SE"/>
              </w:rPr>
              <w:t xml:space="preserve"> (PT2 and 4)</w:t>
            </w:r>
          </w:p>
        </w:tc>
        <w:tc>
          <w:tcPr>
            <w:tcW w:w="1701" w:type="dxa"/>
            <w:vMerge w:val="restart"/>
            <w:shd w:val="clear" w:color="auto" w:fill="auto"/>
            <w:vAlign w:val="center"/>
          </w:tcPr>
          <w:p w14:paraId="7BC161E4" w14:textId="77777777" w:rsidR="00853F2D" w:rsidRPr="00DE7D94"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Bacteria (including </w:t>
            </w:r>
            <w:r w:rsidRPr="00DE7D94">
              <w:rPr>
                <w:rFonts w:eastAsia="Calibri" w:cs="Arial"/>
                <w:i/>
                <w:lang w:val="sv-SE" w:eastAsia="sv-SE"/>
              </w:rPr>
              <w:t xml:space="preserve">Salmonella </w:t>
            </w:r>
            <w:r w:rsidRPr="00DE7D94">
              <w:rPr>
                <w:rFonts w:eastAsia="Calibri" w:cs="Arial"/>
                <w:lang w:val="sv-SE" w:eastAsia="sv-SE"/>
              </w:rPr>
              <w:t xml:space="preserve">Typhimurium and </w:t>
            </w:r>
            <w:r w:rsidRPr="00DE7D94">
              <w:rPr>
                <w:rFonts w:eastAsia="Calibri" w:cs="Arial"/>
                <w:i/>
                <w:lang w:val="sv-SE" w:eastAsia="sv-SE"/>
              </w:rPr>
              <w:t>Listeria monocytogenes</w:t>
            </w:r>
            <w:r w:rsidRPr="00DE7D94">
              <w:rPr>
                <w:rFonts w:eastAsia="Calibri" w:cs="Arial"/>
                <w:lang w:val="sv-SE" w:eastAsia="sv-SE"/>
              </w:rPr>
              <w:t>)</w:t>
            </w:r>
          </w:p>
          <w:p w14:paraId="44D573F2"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Yeasts</w:t>
            </w:r>
          </w:p>
        </w:tc>
        <w:tc>
          <w:tcPr>
            <w:tcW w:w="1701" w:type="dxa"/>
            <w:shd w:val="clear" w:color="auto" w:fill="auto"/>
            <w:vAlign w:val="center"/>
          </w:tcPr>
          <w:p w14:paraId="4BCDD82A"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32EAA783" w14:textId="77777777" w:rsidR="00853F2D" w:rsidRDefault="00853F2D" w:rsidP="00CF41A1">
            <w:pPr>
              <w:snapToGrid w:val="0"/>
              <w:spacing w:line="260" w:lineRule="atLeast"/>
              <w:ind w:right="-108"/>
            </w:pPr>
          </w:p>
          <w:p w14:paraId="6F2927C6"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18E7D94F"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11886147" w14:textId="77777777" w:rsidR="00853F2D" w:rsidRPr="00991E44" w:rsidRDefault="00853F2D" w:rsidP="00CF41A1">
            <w:pPr>
              <w:keepNext/>
              <w:tabs>
                <w:tab w:val="left" w:pos="426"/>
              </w:tabs>
              <w:ind w:right="-108"/>
              <w:textAlignment w:val="top"/>
              <w:rPr>
                <w:rFonts w:eastAsia="Calibri" w:cs="Arial"/>
                <w:lang w:val="sv-SE" w:eastAsia="sv-SE"/>
              </w:rPr>
            </w:pPr>
          </w:p>
          <w:p w14:paraId="38088F6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3B721525" w14:textId="77777777" w:rsidR="00853F2D" w:rsidRDefault="00853F2D" w:rsidP="00CF41A1">
            <w:pPr>
              <w:ind w:right="-102"/>
            </w:pPr>
            <w:r w:rsidRPr="00CF2528">
              <w:t>Acceptable</w:t>
            </w:r>
          </w:p>
        </w:tc>
      </w:tr>
      <w:tr w:rsidR="00853F2D" w:rsidRPr="00D101A0" w14:paraId="342D2AB4" w14:textId="77777777" w:rsidTr="00CF41A1">
        <w:trPr>
          <w:trHeight w:val="1820"/>
        </w:trPr>
        <w:tc>
          <w:tcPr>
            <w:tcW w:w="851" w:type="dxa"/>
            <w:vMerge/>
            <w:vAlign w:val="center"/>
          </w:tcPr>
          <w:p w14:paraId="3CACABC5" w14:textId="77777777" w:rsidR="00853F2D" w:rsidRDefault="00853F2D" w:rsidP="00CF41A1">
            <w:pPr>
              <w:spacing w:line="260" w:lineRule="atLeast"/>
              <w:ind w:right="-109"/>
            </w:pPr>
          </w:p>
        </w:tc>
        <w:tc>
          <w:tcPr>
            <w:tcW w:w="1984" w:type="dxa"/>
            <w:vMerge/>
            <w:shd w:val="clear" w:color="auto" w:fill="auto"/>
            <w:vAlign w:val="center"/>
          </w:tcPr>
          <w:p w14:paraId="47466F0C"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41EE7F6"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shd w:val="clear" w:color="auto" w:fill="auto"/>
            <w:vAlign w:val="center"/>
          </w:tcPr>
          <w:p w14:paraId="60B5C8F1"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38EABA11" w14:textId="77777777" w:rsidR="00853F2D" w:rsidRPr="00991E44"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Non-professional</w:t>
            </w:r>
          </w:p>
          <w:p w14:paraId="1FF0E2F6" w14:textId="77777777" w:rsidR="00853F2D" w:rsidRPr="00991E44" w:rsidRDefault="00853F2D" w:rsidP="00CF41A1">
            <w:pPr>
              <w:keepNext/>
              <w:tabs>
                <w:tab w:val="left" w:pos="426"/>
              </w:tabs>
              <w:ind w:right="-108"/>
              <w:textAlignment w:val="top"/>
              <w:rPr>
                <w:rFonts w:eastAsia="Calibri" w:cs="Arial"/>
                <w:lang w:val="sv-SE" w:eastAsia="sv-SE"/>
              </w:rPr>
            </w:pPr>
          </w:p>
          <w:p w14:paraId="773FC77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64D400BC" w14:textId="77777777" w:rsidR="00853F2D" w:rsidRDefault="00853F2D" w:rsidP="00CF41A1">
            <w:pPr>
              <w:ind w:right="-102"/>
            </w:pPr>
            <w:r w:rsidRPr="00CF2528">
              <w:t>Acceptable</w:t>
            </w:r>
          </w:p>
        </w:tc>
      </w:tr>
      <w:tr w:rsidR="00853F2D" w:rsidRPr="00D101A0" w14:paraId="4DC2223C" w14:textId="77777777" w:rsidTr="00CF41A1">
        <w:trPr>
          <w:trHeight w:val="411"/>
        </w:trPr>
        <w:tc>
          <w:tcPr>
            <w:tcW w:w="851" w:type="dxa"/>
            <w:vMerge/>
            <w:vAlign w:val="center"/>
          </w:tcPr>
          <w:p w14:paraId="43CBFF47" w14:textId="77777777" w:rsidR="00853F2D" w:rsidRDefault="00853F2D" w:rsidP="00CF41A1">
            <w:pPr>
              <w:spacing w:line="260" w:lineRule="atLeast"/>
              <w:ind w:right="-109"/>
            </w:pPr>
          </w:p>
        </w:tc>
        <w:tc>
          <w:tcPr>
            <w:tcW w:w="1984" w:type="dxa"/>
            <w:vMerge w:val="restart"/>
            <w:shd w:val="clear" w:color="auto" w:fill="auto"/>
            <w:vAlign w:val="center"/>
          </w:tcPr>
          <w:p w14:paraId="040D1000" w14:textId="77777777" w:rsidR="00853F2D" w:rsidRDefault="00853F2D" w:rsidP="00CF41A1">
            <w:pPr>
              <w:spacing w:line="260" w:lineRule="atLeast"/>
              <w:rPr>
                <w:rFonts w:eastAsia="Calibri" w:cs="Arial"/>
                <w:lang w:val="sv-SE" w:eastAsia="sv-SE"/>
              </w:rPr>
            </w:pPr>
            <w:r>
              <w:rPr>
                <w:rFonts w:eastAsia="Calibri" w:cs="Arial"/>
                <w:lang w:val="sv-SE" w:eastAsia="sv-SE"/>
              </w:rPr>
              <w:t>3</w:t>
            </w:r>
          </w:p>
          <w:p w14:paraId="042B953D" w14:textId="77777777" w:rsidR="00853F2D" w:rsidRPr="004A79AF" w:rsidRDefault="00853F2D" w:rsidP="00CF41A1">
            <w:pPr>
              <w:spacing w:line="260" w:lineRule="atLeast"/>
              <w:rPr>
                <w:rFonts w:eastAsia="Calibri" w:cs="Arial"/>
                <w:lang w:val="sv-SE" w:eastAsia="sv-SE"/>
              </w:rPr>
            </w:pPr>
            <w:r w:rsidRPr="00DE7D94">
              <w:rPr>
                <w:rFonts w:eastAsia="Calibri" w:cs="Arial"/>
                <w:lang w:val="sv-SE" w:eastAsia="sv-SE"/>
              </w:rPr>
              <w:t>Disinfectants for hard surfaces of industry, institution, healthcare facilities and food preparation and handling areas</w:t>
            </w:r>
            <w:r>
              <w:rPr>
                <w:rFonts w:eastAsia="Calibri" w:cs="Arial"/>
                <w:lang w:val="sv-SE" w:eastAsia="sv-SE"/>
              </w:rPr>
              <w:t xml:space="preserve"> (PT2 and 4)</w:t>
            </w:r>
          </w:p>
        </w:tc>
        <w:tc>
          <w:tcPr>
            <w:tcW w:w="1701" w:type="dxa"/>
            <w:vMerge w:val="restart"/>
            <w:shd w:val="clear" w:color="auto" w:fill="auto"/>
            <w:vAlign w:val="center"/>
          </w:tcPr>
          <w:p w14:paraId="1708F258" w14:textId="77777777" w:rsidR="00853F2D" w:rsidRPr="00DE7D94"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Bacteria (including </w:t>
            </w:r>
            <w:r w:rsidRPr="00DE7D94">
              <w:rPr>
                <w:rFonts w:eastAsia="Calibri" w:cs="Arial"/>
                <w:i/>
                <w:lang w:val="sv-SE" w:eastAsia="sv-SE"/>
              </w:rPr>
              <w:t xml:space="preserve">Salmonella </w:t>
            </w:r>
            <w:r w:rsidRPr="00DE7D94">
              <w:rPr>
                <w:rFonts w:eastAsia="Calibri" w:cs="Arial"/>
                <w:lang w:val="sv-SE" w:eastAsia="sv-SE"/>
              </w:rPr>
              <w:t xml:space="preserve">Typhimurium and </w:t>
            </w:r>
            <w:r w:rsidRPr="00DE7D94">
              <w:rPr>
                <w:rFonts w:eastAsia="Calibri" w:cs="Arial"/>
                <w:i/>
                <w:lang w:val="sv-SE" w:eastAsia="sv-SE"/>
              </w:rPr>
              <w:t>Listeria monocytogenes</w:t>
            </w:r>
            <w:r w:rsidRPr="00DE7D94">
              <w:rPr>
                <w:rFonts w:eastAsia="Calibri" w:cs="Arial"/>
                <w:lang w:val="sv-SE" w:eastAsia="sv-SE"/>
              </w:rPr>
              <w:t>)</w:t>
            </w:r>
          </w:p>
          <w:p w14:paraId="4D45E1C0"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Yeasts</w:t>
            </w:r>
          </w:p>
        </w:tc>
        <w:tc>
          <w:tcPr>
            <w:tcW w:w="1701" w:type="dxa"/>
            <w:shd w:val="clear" w:color="auto" w:fill="auto"/>
            <w:vAlign w:val="center"/>
          </w:tcPr>
          <w:p w14:paraId="0CF25D0B" w14:textId="77777777" w:rsidR="00853F2D" w:rsidRPr="000B1785"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vAlign w:val="center"/>
          </w:tcPr>
          <w:p w14:paraId="48E81DC0" w14:textId="07EEF91E"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BCA35C8" w14:textId="77777777" w:rsidR="00853F2D" w:rsidRPr="00991E44" w:rsidRDefault="00853F2D" w:rsidP="00CF41A1">
            <w:pPr>
              <w:keepNext/>
              <w:tabs>
                <w:tab w:val="left" w:pos="426"/>
              </w:tabs>
              <w:ind w:right="-108"/>
              <w:textAlignment w:val="top"/>
              <w:rPr>
                <w:rFonts w:eastAsia="Calibri" w:cs="Arial"/>
                <w:lang w:val="sv-SE" w:eastAsia="sv-SE"/>
              </w:rPr>
            </w:pPr>
          </w:p>
          <w:p w14:paraId="677DE3C4"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6397B330" w14:textId="77777777" w:rsidR="00853F2D" w:rsidRDefault="00853F2D" w:rsidP="00CF41A1">
            <w:pPr>
              <w:ind w:right="-102"/>
            </w:pPr>
            <w:r w:rsidRPr="00CF2528">
              <w:t>Acceptable</w:t>
            </w:r>
          </w:p>
        </w:tc>
      </w:tr>
      <w:tr w:rsidR="00853F2D" w:rsidRPr="00D101A0" w14:paraId="4C4FCD83" w14:textId="77777777" w:rsidTr="00CF41A1">
        <w:trPr>
          <w:trHeight w:val="1820"/>
        </w:trPr>
        <w:tc>
          <w:tcPr>
            <w:tcW w:w="851" w:type="dxa"/>
            <w:vMerge/>
            <w:vAlign w:val="center"/>
          </w:tcPr>
          <w:p w14:paraId="2BA843EC" w14:textId="77777777" w:rsidR="00853F2D" w:rsidRDefault="00853F2D" w:rsidP="00CF41A1">
            <w:pPr>
              <w:spacing w:line="260" w:lineRule="atLeast"/>
              <w:ind w:right="-109"/>
            </w:pPr>
          </w:p>
        </w:tc>
        <w:tc>
          <w:tcPr>
            <w:tcW w:w="1984" w:type="dxa"/>
            <w:vMerge/>
            <w:shd w:val="clear" w:color="auto" w:fill="auto"/>
            <w:vAlign w:val="center"/>
          </w:tcPr>
          <w:p w14:paraId="71426C54"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1C42CA2E"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4952FD55" w14:textId="0376C874" w:rsidR="00853F2D" w:rsidRPr="004A79AF" w:rsidRDefault="00853F2D" w:rsidP="00CF41A1">
            <w:pPr>
              <w:keepNext/>
              <w:tabs>
                <w:tab w:val="left" w:pos="426"/>
              </w:tabs>
              <w:ind w:right="-108"/>
              <w:textAlignment w:val="top"/>
              <w:rPr>
                <w:rFonts w:eastAsia="Calibri" w:cs="Arial"/>
                <w:lang w:val="sv-SE" w:eastAsia="sv-SE"/>
              </w:rPr>
            </w:pPr>
            <w:r w:rsidRPr="000D7D14">
              <w:t>16 ml on wipe</w:t>
            </w:r>
            <w:r>
              <w:t>/mop</w:t>
            </w:r>
            <w:r w:rsidRPr="000D7D14">
              <w:t xml:space="preserv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0FCD8FAE" w14:textId="3342A8CA"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C0DCBF8" w14:textId="77777777" w:rsidR="00853F2D" w:rsidRPr="00991E44" w:rsidRDefault="00853F2D" w:rsidP="00CF41A1">
            <w:pPr>
              <w:keepNext/>
              <w:tabs>
                <w:tab w:val="left" w:pos="426"/>
              </w:tabs>
              <w:ind w:right="-108"/>
              <w:textAlignment w:val="top"/>
              <w:rPr>
                <w:rFonts w:eastAsia="Calibri" w:cs="Arial"/>
                <w:lang w:val="sv-SE" w:eastAsia="sv-SE"/>
              </w:rPr>
            </w:pPr>
          </w:p>
          <w:p w14:paraId="1856C70E"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541F3562" w14:textId="77777777" w:rsidR="00853F2D" w:rsidRDefault="00853F2D" w:rsidP="00CF41A1">
            <w:pPr>
              <w:ind w:right="-102"/>
            </w:pPr>
            <w:r w:rsidRPr="00CF2528">
              <w:t>Acceptable</w:t>
            </w:r>
          </w:p>
        </w:tc>
      </w:tr>
      <w:tr w:rsidR="00853F2D" w:rsidRPr="00D101A0" w14:paraId="1CA2D921" w14:textId="77777777" w:rsidTr="00CF41A1">
        <w:trPr>
          <w:trHeight w:val="1820"/>
        </w:trPr>
        <w:tc>
          <w:tcPr>
            <w:tcW w:w="851" w:type="dxa"/>
            <w:vMerge/>
            <w:vAlign w:val="center"/>
          </w:tcPr>
          <w:p w14:paraId="2C8BFD6C" w14:textId="77777777" w:rsidR="00853F2D" w:rsidRDefault="00853F2D" w:rsidP="00CF41A1">
            <w:pPr>
              <w:spacing w:line="260" w:lineRule="atLeast"/>
              <w:ind w:right="-109"/>
            </w:pPr>
          </w:p>
        </w:tc>
        <w:tc>
          <w:tcPr>
            <w:tcW w:w="1984" w:type="dxa"/>
            <w:vMerge/>
            <w:shd w:val="clear" w:color="auto" w:fill="auto"/>
            <w:vAlign w:val="center"/>
          </w:tcPr>
          <w:p w14:paraId="1185E21E"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5840501F"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364E8A15"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7E1412C7" w14:textId="7F68CFF6"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321639D" w14:textId="77777777" w:rsidR="00853F2D" w:rsidRPr="00991E44" w:rsidRDefault="00853F2D" w:rsidP="00CF41A1">
            <w:pPr>
              <w:keepNext/>
              <w:tabs>
                <w:tab w:val="left" w:pos="426"/>
              </w:tabs>
              <w:ind w:right="-108"/>
              <w:textAlignment w:val="top"/>
              <w:rPr>
                <w:rFonts w:eastAsia="Calibri" w:cs="Arial"/>
                <w:lang w:val="sv-SE" w:eastAsia="sv-SE"/>
              </w:rPr>
            </w:pPr>
          </w:p>
          <w:p w14:paraId="12F759AD"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wiping).</w:t>
            </w:r>
          </w:p>
        </w:tc>
        <w:tc>
          <w:tcPr>
            <w:tcW w:w="1422" w:type="dxa"/>
            <w:vAlign w:val="center"/>
          </w:tcPr>
          <w:p w14:paraId="3637FAF2" w14:textId="77777777" w:rsidR="00853F2D" w:rsidRDefault="00853F2D" w:rsidP="00CF41A1">
            <w:pPr>
              <w:ind w:right="-102"/>
            </w:pPr>
            <w:r w:rsidRPr="00CF2528">
              <w:t>Acceptable</w:t>
            </w:r>
          </w:p>
        </w:tc>
      </w:tr>
      <w:tr w:rsidR="00853F2D" w:rsidRPr="00D101A0" w14:paraId="3A308FED" w14:textId="77777777" w:rsidTr="00CF41A1">
        <w:trPr>
          <w:trHeight w:val="1820"/>
        </w:trPr>
        <w:tc>
          <w:tcPr>
            <w:tcW w:w="851" w:type="dxa"/>
            <w:vMerge/>
            <w:vAlign w:val="center"/>
          </w:tcPr>
          <w:p w14:paraId="2E7077D8" w14:textId="77777777" w:rsidR="00853F2D" w:rsidRDefault="00853F2D" w:rsidP="00CF41A1">
            <w:pPr>
              <w:spacing w:line="260" w:lineRule="atLeast"/>
              <w:ind w:right="-109"/>
            </w:pPr>
          </w:p>
        </w:tc>
        <w:tc>
          <w:tcPr>
            <w:tcW w:w="1984" w:type="dxa"/>
            <w:vMerge w:val="restart"/>
            <w:shd w:val="clear" w:color="auto" w:fill="auto"/>
            <w:vAlign w:val="center"/>
          </w:tcPr>
          <w:p w14:paraId="2BB25D6E" w14:textId="77777777" w:rsidR="00853F2D" w:rsidRDefault="00853F2D" w:rsidP="00CF41A1">
            <w:pPr>
              <w:spacing w:line="260" w:lineRule="atLeast"/>
              <w:rPr>
                <w:rFonts w:eastAsia="Calibri" w:cs="Arial"/>
                <w:lang w:val="sv-SE" w:eastAsia="sv-SE"/>
              </w:rPr>
            </w:pPr>
            <w:r>
              <w:rPr>
                <w:rFonts w:eastAsia="Calibri" w:cs="Arial"/>
                <w:lang w:val="sv-SE" w:eastAsia="sv-SE"/>
              </w:rPr>
              <w:t>4</w:t>
            </w:r>
          </w:p>
          <w:p w14:paraId="74B71522"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for industry, institution and healthcare facilities areas</w:t>
            </w:r>
            <w:r>
              <w:rPr>
                <w:rFonts w:eastAsia="Calibri" w:cs="Arial"/>
                <w:lang w:val="sv-SE" w:eastAsia="sv-SE"/>
              </w:rPr>
              <w:t xml:space="preserve"> (PT2)</w:t>
            </w:r>
          </w:p>
        </w:tc>
        <w:tc>
          <w:tcPr>
            <w:tcW w:w="1701" w:type="dxa"/>
            <w:vMerge w:val="restart"/>
            <w:shd w:val="clear" w:color="auto" w:fill="auto"/>
            <w:vAlign w:val="center"/>
          </w:tcPr>
          <w:p w14:paraId="2EB2A0D4"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Bacteria</w:t>
            </w:r>
          </w:p>
          <w:p w14:paraId="15D0B903"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03567352"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2692D25A" w14:textId="77777777" w:rsidR="00853F2D" w:rsidRDefault="00853F2D" w:rsidP="00CF41A1">
            <w:pPr>
              <w:snapToGrid w:val="0"/>
              <w:spacing w:line="260" w:lineRule="atLeast"/>
              <w:ind w:right="-108"/>
            </w:pPr>
          </w:p>
          <w:p w14:paraId="699C9E0F"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38689DB6" w14:textId="517912BE"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2077170D" w14:textId="77777777" w:rsidR="00853F2D" w:rsidRPr="00991E44" w:rsidRDefault="00853F2D" w:rsidP="00CF41A1">
            <w:pPr>
              <w:keepNext/>
              <w:tabs>
                <w:tab w:val="left" w:pos="426"/>
              </w:tabs>
              <w:ind w:right="-108"/>
              <w:textAlignment w:val="top"/>
              <w:rPr>
                <w:rFonts w:eastAsia="Calibri" w:cs="Arial"/>
                <w:lang w:val="sv-SE" w:eastAsia="sv-SE"/>
              </w:rPr>
            </w:pPr>
          </w:p>
          <w:p w14:paraId="13BC0F9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30AEBA5F" w14:textId="77777777" w:rsidR="00853F2D" w:rsidRDefault="00853F2D" w:rsidP="00CF41A1">
            <w:pPr>
              <w:ind w:right="-102"/>
            </w:pPr>
            <w:r w:rsidRPr="00CF2528">
              <w:t>Acceptable</w:t>
            </w:r>
          </w:p>
        </w:tc>
      </w:tr>
      <w:tr w:rsidR="00853F2D" w:rsidRPr="00D101A0" w14:paraId="47F50FE3" w14:textId="77777777" w:rsidTr="00CF41A1">
        <w:trPr>
          <w:trHeight w:val="1820"/>
        </w:trPr>
        <w:tc>
          <w:tcPr>
            <w:tcW w:w="851" w:type="dxa"/>
            <w:vMerge/>
            <w:vAlign w:val="center"/>
          </w:tcPr>
          <w:p w14:paraId="740E4086" w14:textId="77777777" w:rsidR="00853F2D" w:rsidRDefault="00853F2D" w:rsidP="00CF41A1">
            <w:pPr>
              <w:spacing w:line="260" w:lineRule="atLeast"/>
              <w:ind w:right="-109"/>
            </w:pPr>
          </w:p>
        </w:tc>
        <w:tc>
          <w:tcPr>
            <w:tcW w:w="1984" w:type="dxa"/>
            <w:vMerge/>
            <w:shd w:val="clear" w:color="auto" w:fill="auto"/>
            <w:vAlign w:val="center"/>
          </w:tcPr>
          <w:p w14:paraId="61CE552E"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3A6B355"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6D3A93C0"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w:t>
            </w:r>
            <w:r>
              <w:t>/mop</w:t>
            </w:r>
            <w:r w:rsidRPr="000D7D14">
              <w:t xml:space="preserv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7B431EB6" w14:textId="40E3D7FF"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8FE36F5" w14:textId="77777777" w:rsidR="00853F2D" w:rsidRPr="00991E44" w:rsidRDefault="00853F2D" w:rsidP="00CF41A1">
            <w:pPr>
              <w:keepNext/>
              <w:tabs>
                <w:tab w:val="left" w:pos="426"/>
              </w:tabs>
              <w:ind w:right="-108"/>
              <w:textAlignment w:val="top"/>
              <w:rPr>
                <w:rFonts w:eastAsia="Calibri" w:cs="Arial"/>
                <w:lang w:val="sv-SE" w:eastAsia="sv-SE"/>
              </w:rPr>
            </w:pPr>
          </w:p>
          <w:p w14:paraId="2B8F452C"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325D7F9A" w14:textId="77777777" w:rsidR="00853F2D" w:rsidRDefault="00853F2D" w:rsidP="00CF41A1">
            <w:pPr>
              <w:ind w:right="-102"/>
            </w:pPr>
            <w:r w:rsidRPr="00CF2528">
              <w:t>Acceptable</w:t>
            </w:r>
          </w:p>
        </w:tc>
      </w:tr>
      <w:tr w:rsidR="00853F2D" w:rsidRPr="00D101A0" w14:paraId="3D94D0C4" w14:textId="77777777" w:rsidTr="00CF41A1">
        <w:trPr>
          <w:trHeight w:val="1820"/>
        </w:trPr>
        <w:tc>
          <w:tcPr>
            <w:tcW w:w="851" w:type="dxa"/>
            <w:vMerge/>
            <w:vAlign w:val="center"/>
          </w:tcPr>
          <w:p w14:paraId="1F6F423F" w14:textId="77777777" w:rsidR="00853F2D" w:rsidRDefault="00853F2D" w:rsidP="00CF41A1">
            <w:pPr>
              <w:spacing w:line="260" w:lineRule="atLeast"/>
              <w:ind w:right="-109"/>
            </w:pPr>
          </w:p>
        </w:tc>
        <w:tc>
          <w:tcPr>
            <w:tcW w:w="1984" w:type="dxa"/>
            <w:vMerge/>
            <w:shd w:val="clear" w:color="auto" w:fill="auto"/>
            <w:vAlign w:val="center"/>
          </w:tcPr>
          <w:p w14:paraId="0A4D2902"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D2AD518"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F3DC95D"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0062F837" w14:textId="346F10E2"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FD8FA2B" w14:textId="77777777" w:rsidR="00853F2D" w:rsidRPr="00991E44" w:rsidRDefault="00853F2D" w:rsidP="00CF41A1">
            <w:pPr>
              <w:keepNext/>
              <w:tabs>
                <w:tab w:val="left" w:pos="426"/>
              </w:tabs>
              <w:ind w:right="-108"/>
              <w:textAlignment w:val="top"/>
              <w:rPr>
                <w:rFonts w:eastAsia="Calibri" w:cs="Arial"/>
                <w:lang w:val="sv-SE" w:eastAsia="sv-SE"/>
              </w:rPr>
            </w:pPr>
          </w:p>
          <w:p w14:paraId="7202398F"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wiping).</w:t>
            </w:r>
          </w:p>
        </w:tc>
        <w:tc>
          <w:tcPr>
            <w:tcW w:w="1422" w:type="dxa"/>
            <w:vAlign w:val="center"/>
          </w:tcPr>
          <w:p w14:paraId="5A67076D" w14:textId="77777777" w:rsidR="00853F2D" w:rsidRDefault="00853F2D" w:rsidP="00CF41A1">
            <w:pPr>
              <w:ind w:right="-102"/>
            </w:pPr>
            <w:r w:rsidRPr="00CF2528">
              <w:t>Acceptable</w:t>
            </w:r>
          </w:p>
        </w:tc>
      </w:tr>
      <w:tr w:rsidR="00853F2D" w:rsidRPr="00D101A0" w14:paraId="5003CBC7" w14:textId="77777777" w:rsidTr="00CF41A1">
        <w:trPr>
          <w:trHeight w:val="699"/>
        </w:trPr>
        <w:tc>
          <w:tcPr>
            <w:tcW w:w="851" w:type="dxa"/>
            <w:vMerge w:val="restart"/>
            <w:vAlign w:val="center"/>
          </w:tcPr>
          <w:p w14:paraId="1119C5D3" w14:textId="77777777" w:rsidR="00853F2D" w:rsidRDefault="00853F2D" w:rsidP="00CF41A1">
            <w:pPr>
              <w:spacing w:line="260" w:lineRule="atLeast"/>
              <w:ind w:right="-109"/>
            </w:pPr>
            <w:r>
              <w:t>Meta SPC 3</w:t>
            </w:r>
          </w:p>
        </w:tc>
        <w:tc>
          <w:tcPr>
            <w:tcW w:w="1984" w:type="dxa"/>
            <w:vMerge w:val="restart"/>
            <w:shd w:val="clear" w:color="auto" w:fill="auto"/>
            <w:vAlign w:val="center"/>
          </w:tcPr>
          <w:p w14:paraId="24C6E23B"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7CE1BC35" w14:textId="77777777" w:rsidR="00853F2D" w:rsidRDefault="00853F2D" w:rsidP="00CF41A1">
            <w:pPr>
              <w:spacing w:line="260" w:lineRule="atLeast"/>
              <w:rPr>
                <w:rFonts w:eastAsia="Calibri" w:cs="Arial"/>
                <w:lang w:val="sv-SE" w:eastAsia="sv-SE"/>
              </w:rPr>
            </w:pPr>
            <w:r w:rsidRPr="007A4A14">
              <w:rPr>
                <w:rFonts w:eastAsia="Calibri" w:cs="Arial"/>
                <w:lang w:val="sv-SE" w:eastAsia="sv-SE"/>
              </w:rPr>
              <w:t xml:space="preserve">Disinfectants for hard surfaces for industry, institution, healthcare facilities, </w:t>
            </w:r>
            <w:r w:rsidRPr="007A4A14">
              <w:rPr>
                <w:rFonts w:eastAsia="Calibri" w:cs="Arial"/>
                <w:lang w:val="sv-SE" w:eastAsia="sv-SE"/>
              </w:rPr>
              <w:lastRenderedPageBreak/>
              <w:t>healthcare and, food preparation and handling areas</w:t>
            </w:r>
            <w:r>
              <w:rPr>
                <w:rFonts w:eastAsia="Calibri" w:cs="Arial"/>
                <w:lang w:val="sv-SE" w:eastAsia="sv-SE"/>
              </w:rPr>
              <w:t xml:space="preserve"> (PT2 and 4)</w:t>
            </w:r>
          </w:p>
          <w:p w14:paraId="7AFE4818" w14:textId="77777777" w:rsidR="00853F2D" w:rsidRDefault="00853F2D" w:rsidP="00CF41A1">
            <w:pPr>
              <w:spacing w:line="260" w:lineRule="atLeast"/>
              <w:rPr>
                <w:rFonts w:eastAsia="Calibri" w:cs="Arial"/>
                <w:lang w:val="sv-SE" w:eastAsia="sv-SE"/>
              </w:rPr>
            </w:pPr>
          </w:p>
          <w:p w14:paraId="0820B0E4" w14:textId="77777777" w:rsidR="00853F2D" w:rsidRDefault="00853F2D" w:rsidP="00CF41A1">
            <w:pPr>
              <w:spacing w:line="260" w:lineRule="atLeast"/>
              <w:rPr>
                <w:rFonts w:eastAsia="Calibri" w:cs="Arial"/>
                <w:lang w:val="sv-SE" w:eastAsia="sv-SE"/>
              </w:rPr>
            </w:pPr>
            <w:r>
              <w:rPr>
                <w:rFonts w:eastAsia="Calibri" w:cs="Arial"/>
                <w:lang w:val="sv-SE" w:eastAsia="sv-SE"/>
              </w:rPr>
              <w:t>And</w:t>
            </w:r>
          </w:p>
          <w:p w14:paraId="692ECB28" w14:textId="77777777" w:rsidR="00853F2D" w:rsidRDefault="00853F2D" w:rsidP="00CF41A1">
            <w:pPr>
              <w:spacing w:line="260" w:lineRule="atLeast"/>
              <w:rPr>
                <w:rFonts w:eastAsia="Calibri" w:cs="Arial"/>
                <w:lang w:val="sv-SE" w:eastAsia="sv-SE"/>
              </w:rPr>
            </w:pPr>
          </w:p>
          <w:p w14:paraId="43349D71" w14:textId="77777777" w:rsidR="00853F2D" w:rsidRDefault="00853F2D" w:rsidP="00CF41A1">
            <w:pPr>
              <w:spacing w:line="260" w:lineRule="atLeast"/>
              <w:rPr>
                <w:rFonts w:eastAsia="Calibri" w:cs="Arial"/>
                <w:lang w:val="sv-SE" w:eastAsia="sv-SE"/>
              </w:rPr>
            </w:pPr>
            <w:r>
              <w:rPr>
                <w:rFonts w:eastAsia="Calibri" w:cs="Arial"/>
                <w:lang w:val="sv-SE" w:eastAsia="sv-SE"/>
              </w:rPr>
              <w:t>2</w:t>
            </w:r>
          </w:p>
          <w:p w14:paraId="5488BEB5"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for industry, institution, healthcare facilities and healthcare</w:t>
            </w:r>
            <w:r>
              <w:rPr>
                <w:rFonts w:eastAsia="Calibri" w:cs="Arial"/>
                <w:lang w:val="sv-SE" w:eastAsia="sv-SE"/>
              </w:rPr>
              <w:t xml:space="preserve"> (PT2)</w:t>
            </w:r>
          </w:p>
        </w:tc>
        <w:tc>
          <w:tcPr>
            <w:tcW w:w="1701" w:type="dxa"/>
            <w:vMerge w:val="restart"/>
            <w:shd w:val="clear" w:color="auto" w:fill="auto"/>
            <w:vAlign w:val="center"/>
          </w:tcPr>
          <w:p w14:paraId="1D090A9C"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lastRenderedPageBreak/>
              <w:t>Bacteria</w:t>
            </w:r>
          </w:p>
          <w:p w14:paraId="7EE8C8E0"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436F4125"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1E230761" w14:textId="77777777" w:rsidR="00853F2D" w:rsidRDefault="00853F2D" w:rsidP="00CF41A1">
            <w:pPr>
              <w:snapToGrid w:val="0"/>
              <w:spacing w:line="260" w:lineRule="atLeast"/>
              <w:ind w:right="-108"/>
            </w:pPr>
          </w:p>
          <w:p w14:paraId="40DECD09"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3E6C9FF8" w14:textId="1A16A249"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841D4CB" w14:textId="77777777" w:rsidR="00853F2D" w:rsidRPr="00991E44" w:rsidRDefault="00853F2D" w:rsidP="00CF41A1">
            <w:pPr>
              <w:keepNext/>
              <w:tabs>
                <w:tab w:val="left" w:pos="426"/>
              </w:tabs>
              <w:ind w:right="-108"/>
              <w:textAlignment w:val="top"/>
              <w:rPr>
                <w:rFonts w:eastAsia="Calibri" w:cs="Arial"/>
                <w:lang w:val="sv-SE" w:eastAsia="sv-SE"/>
              </w:rPr>
            </w:pPr>
          </w:p>
          <w:p w14:paraId="408D5892"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098BB74D" w14:textId="77777777" w:rsidR="00853F2D" w:rsidRDefault="00853F2D" w:rsidP="00CF41A1">
            <w:pPr>
              <w:ind w:right="-102"/>
            </w:pPr>
            <w:r w:rsidRPr="00CF2528">
              <w:t>Acceptable</w:t>
            </w:r>
          </w:p>
        </w:tc>
      </w:tr>
      <w:tr w:rsidR="00853F2D" w:rsidRPr="00D101A0" w14:paraId="7728BF7B" w14:textId="77777777" w:rsidTr="00CF41A1">
        <w:trPr>
          <w:trHeight w:val="1820"/>
        </w:trPr>
        <w:tc>
          <w:tcPr>
            <w:tcW w:w="851" w:type="dxa"/>
            <w:vMerge/>
            <w:vAlign w:val="center"/>
          </w:tcPr>
          <w:p w14:paraId="3CAD8415" w14:textId="77777777" w:rsidR="00853F2D" w:rsidRDefault="00853F2D" w:rsidP="00CF41A1">
            <w:pPr>
              <w:spacing w:line="260" w:lineRule="atLeast"/>
              <w:ind w:right="-109"/>
            </w:pPr>
          </w:p>
        </w:tc>
        <w:tc>
          <w:tcPr>
            <w:tcW w:w="1984" w:type="dxa"/>
            <w:vMerge/>
            <w:shd w:val="clear" w:color="auto" w:fill="auto"/>
            <w:vAlign w:val="center"/>
          </w:tcPr>
          <w:p w14:paraId="67B0FDF5"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0C0B822A"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308D36C9"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w:t>
            </w:r>
            <w:r>
              <w:t>/mop</w:t>
            </w:r>
            <w:r w:rsidRPr="000D7D14">
              <w:t xml:space="preserv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347B9955" w14:textId="764BBA6A"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4B62354" w14:textId="77777777" w:rsidR="00853F2D" w:rsidRPr="00991E44" w:rsidRDefault="00853F2D" w:rsidP="00CF41A1">
            <w:pPr>
              <w:keepNext/>
              <w:tabs>
                <w:tab w:val="left" w:pos="426"/>
              </w:tabs>
              <w:ind w:right="-108"/>
              <w:textAlignment w:val="top"/>
              <w:rPr>
                <w:rFonts w:eastAsia="Calibri" w:cs="Arial"/>
                <w:lang w:val="sv-SE" w:eastAsia="sv-SE"/>
              </w:rPr>
            </w:pPr>
          </w:p>
          <w:p w14:paraId="5A761200"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7E9D6496" w14:textId="77777777" w:rsidR="00853F2D" w:rsidRDefault="00853F2D" w:rsidP="00CF41A1">
            <w:pPr>
              <w:ind w:right="-102"/>
            </w:pPr>
            <w:r w:rsidRPr="00CF2528">
              <w:t>Acceptable</w:t>
            </w:r>
          </w:p>
        </w:tc>
      </w:tr>
      <w:tr w:rsidR="00853F2D" w:rsidRPr="00D101A0" w14:paraId="77C43A28" w14:textId="77777777" w:rsidTr="00CF41A1">
        <w:trPr>
          <w:trHeight w:val="1820"/>
        </w:trPr>
        <w:tc>
          <w:tcPr>
            <w:tcW w:w="851" w:type="dxa"/>
            <w:vMerge/>
            <w:vAlign w:val="center"/>
          </w:tcPr>
          <w:p w14:paraId="7146CE96" w14:textId="77777777" w:rsidR="00853F2D" w:rsidRDefault="00853F2D" w:rsidP="00CF41A1">
            <w:pPr>
              <w:spacing w:line="260" w:lineRule="atLeast"/>
              <w:ind w:right="-109"/>
            </w:pPr>
          </w:p>
        </w:tc>
        <w:tc>
          <w:tcPr>
            <w:tcW w:w="1984" w:type="dxa"/>
            <w:vMerge/>
            <w:shd w:val="clear" w:color="auto" w:fill="auto"/>
            <w:vAlign w:val="center"/>
          </w:tcPr>
          <w:p w14:paraId="447048E7"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2A99BDD"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FCD2DDF"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D65B3E1" w14:textId="4D2C50D6"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21B29FD9" w14:textId="77777777" w:rsidR="00853F2D" w:rsidRPr="00991E44" w:rsidRDefault="00853F2D" w:rsidP="00CF41A1">
            <w:pPr>
              <w:keepNext/>
              <w:tabs>
                <w:tab w:val="left" w:pos="426"/>
              </w:tabs>
              <w:ind w:right="-108"/>
              <w:textAlignment w:val="top"/>
              <w:rPr>
                <w:rFonts w:eastAsia="Calibri" w:cs="Arial"/>
                <w:lang w:val="sv-SE" w:eastAsia="sv-SE"/>
              </w:rPr>
            </w:pPr>
          </w:p>
          <w:p w14:paraId="5CAB0AE4"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wiping).</w:t>
            </w:r>
          </w:p>
        </w:tc>
        <w:tc>
          <w:tcPr>
            <w:tcW w:w="1422" w:type="dxa"/>
            <w:vAlign w:val="center"/>
          </w:tcPr>
          <w:p w14:paraId="28CDBC79" w14:textId="77777777" w:rsidR="00853F2D" w:rsidRDefault="00853F2D" w:rsidP="00CF41A1">
            <w:pPr>
              <w:ind w:right="-102"/>
            </w:pPr>
            <w:r w:rsidRPr="00CF2528">
              <w:t>Acceptable</w:t>
            </w:r>
          </w:p>
        </w:tc>
      </w:tr>
      <w:tr w:rsidR="00853F2D" w:rsidRPr="00D101A0" w14:paraId="3133A3F8" w14:textId="77777777" w:rsidTr="00CF41A1">
        <w:trPr>
          <w:trHeight w:val="433"/>
        </w:trPr>
        <w:tc>
          <w:tcPr>
            <w:tcW w:w="851" w:type="dxa"/>
            <w:vMerge w:val="restart"/>
            <w:vAlign w:val="center"/>
          </w:tcPr>
          <w:p w14:paraId="3DF80652" w14:textId="77777777" w:rsidR="00853F2D" w:rsidRDefault="00853F2D" w:rsidP="00CF41A1">
            <w:pPr>
              <w:spacing w:line="260" w:lineRule="atLeast"/>
              <w:ind w:right="-109"/>
            </w:pPr>
            <w:r>
              <w:t>Meta SPC 4</w:t>
            </w:r>
          </w:p>
        </w:tc>
        <w:tc>
          <w:tcPr>
            <w:tcW w:w="1984" w:type="dxa"/>
            <w:vMerge w:val="restart"/>
            <w:shd w:val="clear" w:color="auto" w:fill="auto"/>
            <w:vAlign w:val="center"/>
          </w:tcPr>
          <w:p w14:paraId="6F173FF1"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69FCFDAE"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and, food preparation and handling areas</w:t>
            </w:r>
            <w:r>
              <w:rPr>
                <w:rFonts w:eastAsia="Calibri" w:cs="Arial"/>
                <w:lang w:val="sv-SE" w:eastAsia="sv-SE"/>
              </w:rPr>
              <w:t xml:space="preserve"> (PT2 and 4)</w:t>
            </w:r>
          </w:p>
        </w:tc>
        <w:tc>
          <w:tcPr>
            <w:tcW w:w="1701" w:type="dxa"/>
            <w:vMerge w:val="restart"/>
            <w:shd w:val="clear" w:color="auto" w:fill="auto"/>
            <w:vAlign w:val="center"/>
          </w:tcPr>
          <w:p w14:paraId="299CE33D"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 xml:space="preserve">Bacteria (including </w:t>
            </w:r>
            <w:r w:rsidRPr="007A4A14">
              <w:rPr>
                <w:rFonts w:eastAsia="Calibri" w:cs="Arial"/>
                <w:i/>
                <w:lang w:val="sv-SE" w:eastAsia="sv-SE"/>
              </w:rPr>
              <w:t xml:space="preserve">Salmonella </w:t>
            </w:r>
            <w:r w:rsidRPr="007A4A14">
              <w:rPr>
                <w:rFonts w:eastAsia="Calibri" w:cs="Arial"/>
                <w:lang w:val="sv-SE" w:eastAsia="sv-SE"/>
              </w:rPr>
              <w:t xml:space="preserve">Typhimurium and </w:t>
            </w:r>
            <w:r w:rsidRPr="007A4A14">
              <w:rPr>
                <w:rFonts w:eastAsia="Calibri" w:cs="Arial"/>
                <w:i/>
                <w:lang w:val="sv-SE" w:eastAsia="sv-SE"/>
              </w:rPr>
              <w:t>Listeria monocytogenes</w:t>
            </w:r>
            <w:r w:rsidRPr="007A4A14">
              <w:rPr>
                <w:rFonts w:eastAsia="Calibri" w:cs="Arial"/>
                <w:lang w:val="sv-SE" w:eastAsia="sv-SE"/>
              </w:rPr>
              <w:t>)</w:t>
            </w:r>
          </w:p>
          <w:p w14:paraId="02C66BA3"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111C02D7" w14:textId="77777777" w:rsidR="00853F2D" w:rsidRPr="000B1785"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vAlign w:val="center"/>
          </w:tcPr>
          <w:p w14:paraId="7AA5B58A" w14:textId="65366F14"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2327242" w14:textId="77777777" w:rsidR="00853F2D" w:rsidRPr="00991E44" w:rsidRDefault="00853F2D" w:rsidP="00CF41A1">
            <w:pPr>
              <w:keepNext/>
              <w:tabs>
                <w:tab w:val="left" w:pos="426"/>
              </w:tabs>
              <w:ind w:right="-108"/>
              <w:textAlignment w:val="top"/>
              <w:rPr>
                <w:rFonts w:eastAsia="Calibri" w:cs="Arial"/>
                <w:lang w:val="sv-SE" w:eastAsia="sv-SE"/>
              </w:rPr>
            </w:pPr>
          </w:p>
          <w:p w14:paraId="2456230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178A56E1" w14:textId="77777777" w:rsidR="00853F2D" w:rsidRDefault="00853F2D" w:rsidP="00CF41A1">
            <w:pPr>
              <w:ind w:right="-102"/>
            </w:pPr>
            <w:r w:rsidRPr="00CF2528">
              <w:t>Acceptable</w:t>
            </w:r>
          </w:p>
        </w:tc>
      </w:tr>
      <w:tr w:rsidR="00853F2D" w:rsidRPr="00D101A0" w14:paraId="0053B342" w14:textId="77777777" w:rsidTr="00CF41A1">
        <w:trPr>
          <w:trHeight w:val="1820"/>
        </w:trPr>
        <w:tc>
          <w:tcPr>
            <w:tcW w:w="851" w:type="dxa"/>
            <w:vMerge/>
            <w:vAlign w:val="center"/>
          </w:tcPr>
          <w:p w14:paraId="25263DB5" w14:textId="77777777" w:rsidR="00853F2D" w:rsidRDefault="00853F2D" w:rsidP="00CF41A1">
            <w:pPr>
              <w:spacing w:line="260" w:lineRule="atLeast"/>
              <w:ind w:right="-109"/>
            </w:pPr>
          </w:p>
        </w:tc>
        <w:tc>
          <w:tcPr>
            <w:tcW w:w="1984" w:type="dxa"/>
            <w:vMerge/>
            <w:shd w:val="clear" w:color="auto" w:fill="auto"/>
            <w:vAlign w:val="center"/>
          </w:tcPr>
          <w:p w14:paraId="471A0FB6"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DD9937B"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2EFBB1C6" w14:textId="77777777" w:rsidR="00853F2D" w:rsidRPr="004A79AF" w:rsidRDefault="00853F2D" w:rsidP="00CF41A1">
            <w:pPr>
              <w:keepNext/>
              <w:tabs>
                <w:tab w:val="left" w:pos="426"/>
              </w:tabs>
              <w:ind w:right="-108"/>
              <w:textAlignment w:val="top"/>
              <w:rPr>
                <w:rFonts w:eastAsia="Calibri" w:cs="Arial"/>
                <w:lang w:val="sv-SE" w:eastAsia="sv-SE"/>
              </w:rPr>
            </w:pPr>
            <w:r w:rsidRPr="000D7D14">
              <w:t>16 ml on wipe</w:t>
            </w:r>
            <w:r>
              <w:t>/mop</w:t>
            </w:r>
            <w:r w:rsidRPr="000D7D14">
              <w:t xml:space="preserve"> per 0.1m</w:t>
            </w:r>
            <w:r w:rsidRPr="000D7D14">
              <w:rPr>
                <w:vertAlign w:val="superscript"/>
              </w:rPr>
              <w:t>2</w:t>
            </w:r>
            <w:r>
              <w:rPr>
                <w:vertAlign w:val="superscript"/>
              </w:rPr>
              <w:t xml:space="preserve"> </w:t>
            </w:r>
            <w:r>
              <w:t>(</w:t>
            </w:r>
            <w:r w:rsidRPr="000D7D14">
              <w:t>8 to 12 sprays</w:t>
            </w:r>
            <w:r>
              <w:t>)</w:t>
            </w:r>
          </w:p>
        </w:tc>
        <w:tc>
          <w:tcPr>
            <w:tcW w:w="2547" w:type="dxa"/>
            <w:vAlign w:val="center"/>
          </w:tcPr>
          <w:p w14:paraId="08DFB57A" w14:textId="7D7D8B51"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941B3CF" w14:textId="77777777" w:rsidR="00853F2D" w:rsidRPr="00991E44" w:rsidRDefault="00853F2D" w:rsidP="00CF41A1">
            <w:pPr>
              <w:keepNext/>
              <w:tabs>
                <w:tab w:val="left" w:pos="426"/>
              </w:tabs>
              <w:ind w:right="-108"/>
              <w:textAlignment w:val="top"/>
              <w:rPr>
                <w:rFonts w:eastAsia="Calibri" w:cs="Arial"/>
                <w:lang w:val="sv-SE" w:eastAsia="sv-SE"/>
              </w:rPr>
            </w:pPr>
          </w:p>
          <w:p w14:paraId="389BBF4D"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4A06C22A" w14:textId="77777777" w:rsidR="00853F2D" w:rsidRDefault="00853F2D" w:rsidP="00CF41A1">
            <w:pPr>
              <w:ind w:right="-102"/>
            </w:pPr>
            <w:r w:rsidRPr="00CF2528">
              <w:t>Acceptable</w:t>
            </w:r>
          </w:p>
        </w:tc>
      </w:tr>
      <w:tr w:rsidR="00853F2D" w:rsidRPr="00D101A0" w14:paraId="34C2D56D" w14:textId="77777777" w:rsidTr="00CF41A1">
        <w:trPr>
          <w:trHeight w:val="1820"/>
        </w:trPr>
        <w:tc>
          <w:tcPr>
            <w:tcW w:w="851" w:type="dxa"/>
            <w:vMerge/>
            <w:vAlign w:val="center"/>
          </w:tcPr>
          <w:p w14:paraId="261090F8" w14:textId="77777777" w:rsidR="00853F2D" w:rsidRDefault="00853F2D" w:rsidP="00CF41A1">
            <w:pPr>
              <w:spacing w:line="260" w:lineRule="atLeast"/>
              <w:ind w:right="-109"/>
            </w:pPr>
          </w:p>
        </w:tc>
        <w:tc>
          <w:tcPr>
            <w:tcW w:w="1984" w:type="dxa"/>
            <w:vMerge/>
            <w:shd w:val="clear" w:color="auto" w:fill="auto"/>
            <w:vAlign w:val="center"/>
          </w:tcPr>
          <w:p w14:paraId="64963117"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0E63404"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4A66768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7DE53FD" w14:textId="6F84172C"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748F22C" w14:textId="77777777" w:rsidR="00853F2D" w:rsidRPr="00991E44" w:rsidRDefault="00853F2D" w:rsidP="00CF41A1">
            <w:pPr>
              <w:keepNext/>
              <w:tabs>
                <w:tab w:val="left" w:pos="426"/>
              </w:tabs>
              <w:ind w:right="-108"/>
              <w:textAlignment w:val="top"/>
              <w:rPr>
                <w:rFonts w:eastAsia="Calibri" w:cs="Arial"/>
                <w:lang w:val="sv-SE" w:eastAsia="sv-SE"/>
              </w:rPr>
            </w:pPr>
          </w:p>
          <w:p w14:paraId="147F2C9F"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wiping).</w:t>
            </w:r>
          </w:p>
        </w:tc>
        <w:tc>
          <w:tcPr>
            <w:tcW w:w="1422" w:type="dxa"/>
            <w:vAlign w:val="center"/>
          </w:tcPr>
          <w:p w14:paraId="6DDF90CC" w14:textId="77777777" w:rsidR="00853F2D" w:rsidRDefault="00853F2D" w:rsidP="00CF41A1">
            <w:pPr>
              <w:ind w:right="-102"/>
            </w:pPr>
            <w:r w:rsidRPr="00CF2528">
              <w:t>Acceptable</w:t>
            </w:r>
          </w:p>
        </w:tc>
      </w:tr>
      <w:tr w:rsidR="00853F2D" w:rsidRPr="00D101A0" w14:paraId="275519F0" w14:textId="77777777" w:rsidTr="00CF41A1">
        <w:trPr>
          <w:trHeight w:val="1820"/>
        </w:trPr>
        <w:tc>
          <w:tcPr>
            <w:tcW w:w="851" w:type="dxa"/>
            <w:vMerge w:val="restart"/>
            <w:vAlign w:val="center"/>
          </w:tcPr>
          <w:p w14:paraId="31827F0E" w14:textId="77777777" w:rsidR="00853F2D" w:rsidRDefault="00853F2D" w:rsidP="00CF41A1">
            <w:pPr>
              <w:spacing w:line="260" w:lineRule="atLeast"/>
              <w:ind w:right="-109"/>
            </w:pPr>
            <w:r>
              <w:t>Meta SPC 6</w:t>
            </w:r>
          </w:p>
        </w:tc>
        <w:tc>
          <w:tcPr>
            <w:tcW w:w="1984" w:type="dxa"/>
            <w:vMerge w:val="restart"/>
            <w:shd w:val="clear" w:color="auto" w:fill="auto"/>
            <w:vAlign w:val="center"/>
          </w:tcPr>
          <w:p w14:paraId="7651085C"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1DBAAE2E"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healthcare and, food preparation and handling areas</w:t>
            </w:r>
            <w:r>
              <w:rPr>
                <w:rFonts w:eastAsia="Calibri" w:cs="Arial"/>
                <w:lang w:val="sv-SE" w:eastAsia="sv-SE"/>
              </w:rPr>
              <w:t xml:space="preserve"> (PT2 and 4)</w:t>
            </w:r>
          </w:p>
        </w:tc>
        <w:tc>
          <w:tcPr>
            <w:tcW w:w="1701" w:type="dxa"/>
            <w:vMerge w:val="restart"/>
            <w:shd w:val="clear" w:color="auto" w:fill="auto"/>
            <w:vAlign w:val="center"/>
          </w:tcPr>
          <w:p w14:paraId="1DB8DED3"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 xml:space="preserve">Bacteria (including </w:t>
            </w:r>
            <w:r w:rsidRPr="007A4A14">
              <w:rPr>
                <w:rFonts w:eastAsia="Calibri" w:cs="Arial"/>
                <w:i/>
                <w:lang w:val="sv-SE" w:eastAsia="sv-SE"/>
              </w:rPr>
              <w:t xml:space="preserve">Salmonella </w:t>
            </w:r>
            <w:r w:rsidRPr="007A4A14">
              <w:rPr>
                <w:rFonts w:eastAsia="Calibri" w:cs="Arial"/>
                <w:lang w:val="sv-SE" w:eastAsia="sv-SE"/>
              </w:rPr>
              <w:t xml:space="preserve">Typhimurium and </w:t>
            </w:r>
            <w:r w:rsidRPr="007A4A14">
              <w:rPr>
                <w:rFonts w:eastAsia="Calibri" w:cs="Arial"/>
                <w:i/>
                <w:lang w:val="sv-SE" w:eastAsia="sv-SE"/>
              </w:rPr>
              <w:t>Listeria monocytogenes</w:t>
            </w:r>
            <w:r w:rsidRPr="007A4A14">
              <w:rPr>
                <w:rFonts w:eastAsia="Calibri" w:cs="Arial"/>
                <w:lang w:val="sv-SE" w:eastAsia="sv-SE"/>
              </w:rPr>
              <w:t>)</w:t>
            </w:r>
          </w:p>
          <w:p w14:paraId="5848FC66"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0307B44B"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599C4F8D" w14:textId="77777777" w:rsidR="00853F2D" w:rsidRDefault="00853F2D" w:rsidP="00CF41A1">
            <w:pPr>
              <w:snapToGrid w:val="0"/>
              <w:spacing w:line="260" w:lineRule="atLeast"/>
              <w:ind w:right="-108"/>
            </w:pPr>
          </w:p>
          <w:p w14:paraId="5CA4B7CE"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362C33AD" w14:textId="15482A61"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8C74585" w14:textId="77777777" w:rsidR="00853F2D" w:rsidRPr="00991E44" w:rsidRDefault="00853F2D" w:rsidP="00CF41A1">
            <w:pPr>
              <w:keepNext/>
              <w:tabs>
                <w:tab w:val="left" w:pos="426"/>
              </w:tabs>
              <w:ind w:right="-108"/>
              <w:textAlignment w:val="top"/>
              <w:rPr>
                <w:rFonts w:eastAsia="Calibri" w:cs="Arial"/>
                <w:lang w:val="sv-SE" w:eastAsia="sv-SE"/>
              </w:rPr>
            </w:pPr>
          </w:p>
          <w:p w14:paraId="6FC2D8B4"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210065FB" w14:textId="77777777" w:rsidR="00853F2D" w:rsidRDefault="00853F2D" w:rsidP="00CF41A1">
            <w:pPr>
              <w:ind w:right="-102"/>
            </w:pPr>
            <w:r w:rsidRPr="00CF2528">
              <w:t>Acceptable</w:t>
            </w:r>
          </w:p>
        </w:tc>
      </w:tr>
      <w:tr w:rsidR="00853F2D" w:rsidRPr="00D101A0" w14:paraId="366F1D99" w14:textId="77777777" w:rsidTr="00CF41A1">
        <w:trPr>
          <w:trHeight w:val="552"/>
        </w:trPr>
        <w:tc>
          <w:tcPr>
            <w:tcW w:w="851" w:type="dxa"/>
            <w:vMerge/>
            <w:vAlign w:val="center"/>
          </w:tcPr>
          <w:p w14:paraId="06D0D82B" w14:textId="77777777" w:rsidR="00853F2D" w:rsidRDefault="00853F2D" w:rsidP="00CF41A1">
            <w:pPr>
              <w:spacing w:line="260" w:lineRule="atLeast"/>
              <w:ind w:right="-109"/>
            </w:pPr>
          </w:p>
        </w:tc>
        <w:tc>
          <w:tcPr>
            <w:tcW w:w="1984" w:type="dxa"/>
            <w:vMerge/>
            <w:shd w:val="clear" w:color="auto" w:fill="auto"/>
            <w:vAlign w:val="center"/>
          </w:tcPr>
          <w:p w14:paraId="1501A425"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B02CD98"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35963C3A"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5F914839" w14:textId="774E294B"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38C93AA" w14:textId="77777777" w:rsidR="00853F2D" w:rsidRPr="00991E44" w:rsidRDefault="00853F2D" w:rsidP="00CF41A1">
            <w:pPr>
              <w:keepNext/>
              <w:tabs>
                <w:tab w:val="left" w:pos="426"/>
              </w:tabs>
              <w:ind w:right="-108"/>
              <w:textAlignment w:val="top"/>
              <w:rPr>
                <w:rFonts w:eastAsia="Calibri" w:cs="Arial"/>
                <w:lang w:val="sv-SE" w:eastAsia="sv-SE"/>
              </w:rPr>
            </w:pPr>
          </w:p>
          <w:p w14:paraId="2309BC3F"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47878E69" w14:textId="77777777" w:rsidR="00853F2D" w:rsidRDefault="00853F2D" w:rsidP="00CF41A1">
            <w:pPr>
              <w:ind w:right="-102"/>
            </w:pPr>
            <w:r w:rsidRPr="00CF2528">
              <w:t>Acceptable</w:t>
            </w:r>
          </w:p>
        </w:tc>
      </w:tr>
      <w:tr w:rsidR="00853F2D" w:rsidRPr="00D101A0" w14:paraId="515E1DBD" w14:textId="77777777" w:rsidTr="00CF41A1">
        <w:trPr>
          <w:trHeight w:val="1820"/>
        </w:trPr>
        <w:tc>
          <w:tcPr>
            <w:tcW w:w="851" w:type="dxa"/>
            <w:vMerge/>
            <w:vAlign w:val="center"/>
          </w:tcPr>
          <w:p w14:paraId="5FCF4D0C" w14:textId="77777777" w:rsidR="00853F2D" w:rsidRDefault="00853F2D" w:rsidP="00CF41A1">
            <w:pPr>
              <w:spacing w:line="260" w:lineRule="atLeast"/>
              <w:ind w:right="-109"/>
            </w:pPr>
          </w:p>
        </w:tc>
        <w:tc>
          <w:tcPr>
            <w:tcW w:w="1984" w:type="dxa"/>
            <w:vMerge/>
            <w:shd w:val="clear" w:color="auto" w:fill="auto"/>
            <w:vAlign w:val="center"/>
          </w:tcPr>
          <w:p w14:paraId="2ECBB6BA"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582DD097"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0A81495"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7B2A8F43" w14:textId="21B14E16"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2AC6F65A" w14:textId="77777777" w:rsidR="00853F2D" w:rsidRPr="00991E44" w:rsidRDefault="00853F2D" w:rsidP="00CF41A1">
            <w:pPr>
              <w:keepNext/>
              <w:tabs>
                <w:tab w:val="left" w:pos="426"/>
              </w:tabs>
              <w:ind w:right="-108"/>
              <w:textAlignment w:val="top"/>
              <w:rPr>
                <w:rFonts w:eastAsia="Calibri" w:cs="Arial"/>
                <w:lang w:val="sv-SE" w:eastAsia="sv-SE"/>
              </w:rPr>
            </w:pPr>
          </w:p>
          <w:p w14:paraId="2DE59BA9"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5C916860" w14:textId="77777777" w:rsidR="00853F2D" w:rsidRDefault="00853F2D" w:rsidP="00CF41A1">
            <w:pPr>
              <w:ind w:right="-102"/>
            </w:pPr>
            <w:r w:rsidRPr="00CF2528">
              <w:t>Acceptable</w:t>
            </w:r>
          </w:p>
        </w:tc>
      </w:tr>
      <w:tr w:rsidR="00853F2D" w:rsidRPr="00D101A0" w14:paraId="00B510D3" w14:textId="77777777" w:rsidTr="00CF41A1">
        <w:trPr>
          <w:trHeight w:val="1820"/>
        </w:trPr>
        <w:tc>
          <w:tcPr>
            <w:tcW w:w="851" w:type="dxa"/>
            <w:vMerge/>
            <w:vAlign w:val="center"/>
          </w:tcPr>
          <w:p w14:paraId="22A7C6F6" w14:textId="77777777" w:rsidR="00853F2D" w:rsidRDefault="00853F2D" w:rsidP="00CF41A1">
            <w:pPr>
              <w:spacing w:line="260" w:lineRule="atLeast"/>
              <w:ind w:right="-109"/>
            </w:pPr>
          </w:p>
        </w:tc>
        <w:tc>
          <w:tcPr>
            <w:tcW w:w="1984" w:type="dxa"/>
            <w:vMerge/>
            <w:shd w:val="clear" w:color="auto" w:fill="auto"/>
            <w:vAlign w:val="center"/>
          </w:tcPr>
          <w:p w14:paraId="1988830B"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517EEE6"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2234C65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DAA012C" w14:textId="1E4B9F9D"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DFBE1B4" w14:textId="77777777" w:rsidR="00853F2D" w:rsidRPr="00DE7D94" w:rsidRDefault="00853F2D" w:rsidP="00CF41A1">
            <w:pPr>
              <w:keepNext/>
              <w:tabs>
                <w:tab w:val="left" w:pos="426"/>
              </w:tabs>
              <w:ind w:right="-108"/>
              <w:textAlignment w:val="top"/>
              <w:rPr>
                <w:rFonts w:eastAsia="Calibri" w:cs="Arial"/>
                <w:lang w:val="sv-SE" w:eastAsia="sv-SE"/>
              </w:rPr>
            </w:pPr>
          </w:p>
          <w:p w14:paraId="230EA5BC"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03F8F3FE" w14:textId="77777777" w:rsidR="00853F2D" w:rsidRDefault="00853F2D" w:rsidP="00CF41A1">
            <w:pPr>
              <w:ind w:right="-102"/>
            </w:pPr>
            <w:r w:rsidRPr="00CF2528">
              <w:t>Acceptable</w:t>
            </w:r>
          </w:p>
        </w:tc>
      </w:tr>
      <w:tr w:rsidR="00853F2D" w:rsidRPr="00D101A0" w14:paraId="33191E91" w14:textId="77777777" w:rsidTr="00CF41A1">
        <w:trPr>
          <w:trHeight w:val="1820"/>
        </w:trPr>
        <w:tc>
          <w:tcPr>
            <w:tcW w:w="851" w:type="dxa"/>
            <w:vMerge/>
            <w:vAlign w:val="center"/>
          </w:tcPr>
          <w:p w14:paraId="3D530EF2" w14:textId="77777777" w:rsidR="00853F2D" w:rsidRDefault="00853F2D" w:rsidP="00CF41A1">
            <w:pPr>
              <w:spacing w:line="260" w:lineRule="atLeast"/>
              <w:ind w:right="-109"/>
            </w:pPr>
          </w:p>
        </w:tc>
        <w:tc>
          <w:tcPr>
            <w:tcW w:w="1984" w:type="dxa"/>
            <w:vMerge/>
            <w:shd w:val="clear" w:color="auto" w:fill="auto"/>
            <w:vAlign w:val="center"/>
          </w:tcPr>
          <w:p w14:paraId="36713EC5"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181DD3D"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E11468C"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7CC5D72" w14:textId="61915C72"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629D087" w14:textId="77777777" w:rsidR="00853F2D" w:rsidRPr="00DE7D94" w:rsidRDefault="00853F2D" w:rsidP="00CF41A1">
            <w:pPr>
              <w:keepNext/>
              <w:tabs>
                <w:tab w:val="left" w:pos="426"/>
              </w:tabs>
              <w:ind w:right="-108"/>
              <w:textAlignment w:val="top"/>
              <w:rPr>
                <w:rFonts w:eastAsia="Calibri" w:cs="Arial"/>
                <w:lang w:val="sv-SE" w:eastAsia="sv-SE"/>
              </w:rPr>
            </w:pPr>
          </w:p>
          <w:p w14:paraId="1D31BD63"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183B397D" w14:textId="77777777" w:rsidR="00853F2D" w:rsidRDefault="00853F2D" w:rsidP="00CF41A1">
            <w:pPr>
              <w:ind w:right="-102"/>
            </w:pPr>
            <w:r w:rsidRPr="00CF2528">
              <w:t>Acceptable</w:t>
            </w:r>
          </w:p>
        </w:tc>
      </w:tr>
      <w:tr w:rsidR="00853F2D" w:rsidRPr="00D101A0" w14:paraId="5537AED6" w14:textId="77777777" w:rsidTr="00CF41A1">
        <w:trPr>
          <w:trHeight w:val="378"/>
        </w:trPr>
        <w:tc>
          <w:tcPr>
            <w:tcW w:w="851" w:type="dxa"/>
            <w:vMerge/>
            <w:vAlign w:val="center"/>
          </w:tcPr>
          <w:p w14:paraId="65B67651" w14:textId="77777777" w:rsidR="00853F2D" w:rsidRDefault="00853F2D" w:rsidP="00CF41A1">
            <w:pPr>
              <w:spacing w:line="260" w:lineRule="atLeast"/>
              <w:ind w:right="-109"/>
            </w:pPr>
          </w:p>
        </w:tc>
        <w:tc>
          <w:tcPr>
            <w:tcW w:w="1984" w:type="dxa"/>
            <w:vMerge w:val="restart"/>
            <w:shd w:val="clear" w:color="auto" w:fill="auto"/>
            <w:vAlign w:val="center"/>
          </w:tcPr>
          <w:p w14:paraId="23E5F2DF" w14:textId="77777777" w:rsidR="00853F2D" w:rsidRDefault="00853F2D" w:rsidP="00CF41A1">
            <w:pPr>
              <w:spacing w:line="260" w:lineRule="atLeast"/>
              <w:rPr>
                <w:rFonts w:eastAsia="Calibri" w:cs="Arial"/>
                <w:lang w:val="sv-SE" w:eastAsia="sv-SE"/>
              </w:rPr>
            </w:pPr>
            <w:r>
              <w:rPr>
                <w:rFonts w:eastAsia="Calibri" w:cs="Arial"/>
                <w:lang w:val="sv-SE" w:eastAsia="sv-SE"/>
              </w:rPr>
              <w:t>2</w:t>
            </w:r>
          </w:p>
          <w:p w14:paraId="47A308A3"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and food</w:t>
            </w:r>
            <w:r>
              <w:rPr>
                <w:rFonts w:eastAsia="Calibri" w:cs="Arial"/>
                <w:lang w:val="sv-SE" w:eastAsia="sv-SE"/>
              </w:rPr>
              <w:t xml:space="preserve"> preparation and handling areas (PT2 and 4)</w:t>
            </w:r>
          </w:p>
        </w:tc>
        <w:tc>
          <w:tcPr>
            <w:tcW w:w="1701" w:type="dxa"/>
            <w:vMerge w:val="restart"/>
            <w:shd w:val="clear" w:color="auto" w:fill="auto"/>
            <w:vAlign w:val="center"/>
          </w:tcPr>
          <w:p w14:paraId="548F34D3"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 xml:space="preserve">Bacteria (including </w:t>
            </w:r>
            <w:r w:rsidRPr="007A4A14">
              <w:rPr>
                <w:rFonts w:eastAsia="Calibri" w:cs="Arial"/>
                <w:i/>
                <w:lang w:val="sv-SE" w:eastAsia="sv-SE"/>
              </w:rPr>
              <w:t xml:space="preserve">Salmonella </w:t>
            </w:r>
            <w:r w:rsidRPr="007A4A14">
              <w:rPr>
                <w:rFonts w:eastAsia="Calibri" w:cs="Arial"/>
                <w:lang w:val="sv-SE" w:eastAsia="sv-SE"/>
              </w:rPr>
              <w:t xml:space="preserve">Typhimurium and </w:t>
            </w:r>
            <w:r w:rsidRPr="007A4A14">
              <w:rPr>
                <w:rFonts w:eastAsia="Calibri" w:cs="Arial"/>
                <w:i/>
                <w:lang w:val="sv-SE" w:eastAsia="sv-SE"/>
              </w:rPr>
              <w:t>Listeria monocytogenes</w:t>
            </w:r>
            <w:r w:rsidRPr="007A4A14">
              <w:rPr>
                <w:rFonts w:eastAsia="Calibri" w:cs="Arial"/>
                <w:lang w:val="sv-SE" w:eastAsia="sv-SE"/>
              </w:rPr>
              <w:t>)</w:t>
            </w:r>
          </w:p>
          <w:p w14:paraId="14EA53CD"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7C9DAE72" w14:textId="77777777" w:rsidR="00853F2D" w:rsidRPr="000B1785"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vAlign w:val="center"/>
          </w:tcPr>
          <w:p w14:paraId="483A367D" w14:textId="37F33C40"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7C49229D" w14:textId="77777777" w:rsidR="00853F2D" w:rsidRPr="00991E44" w:rsidRDefault="00853F2D" w:rsidP="00CF41A1">
            <w:pPr>
              <w:keepNext/>
              <w:tabs>
                <w:tab w:val="left" w:pos="426"/>
              </w:tabs>
              <w:ind w:right="-108"/>
              <w:textAlignment w:val="top"/>
              <w:rPr>
                <w:rFonts w:eastAsia="Calibri" w:cs="Arial"/>
                <w:lang w:val="sv-SE" w:eastAsia="sv-SE"/>
              </w:rPr>
            </w:pPr>
          </w:p>
          <w:p w14:paraId="1CC1CCA2"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51D43665" w14:textId="77777777" w:rsidR="00853F2D" w:rsidRDefault="00853F2D" w:rsidP="00CF41A1">
            <w:pPr>
              <w:ind w:right="-102"/>
            </w:pPr>
            <w:r w:rsidRPr="00CF2528">
              <w:t>Acceptable</w:t>
            </w:r>
          </w:p>
        </w:tc>
      </w:tr>
      <w:tr w:rsidR="00853F2D" w:rsidRPr="00D101A0" w14:paraId="6489E13A" w14:textId="77777777" w:rsidTr="00CF41A1">
        <w:trPr>
          <w:trHeight w:val="1820"/>
        </w:trPr>
        <w:tc>
          <w:tcPr>
            <w:tcW w:w="851" w:type="dxa"/>
            <w:vMerge/>
            <w:vAlign w:val="center"/>
          </w:tcPr>
          <w:p w14:paraId="543B2208" w14:textId="77777777" w:rsidR="00853F2D" w:rsidRDefault="00853F2D" w:rsidP="00CF41A1">
            <w:pPr>
              <w:spacing w:line="260" w:lineRule="atLeast"/>
              <w:ind w:right="-109"/>
            </w:pPr>
          </w:p>
        </w:tc>
        <w:tc>
          <w:tcPr>
            <w:tcW w:w="1984" w:type="dxa"/>
            <w:vMerge/>
            <w:shd w:val="clear" w:color="auto" w:fill="auto"/>
            <w:vAlign w:val="center"/>
          </w:tcPr>
          <w:p w14:paraId="7B956205"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CDE6735"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6B2A2CCD"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4C05986D" w14:textId="4289E2CF"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DB5736E" w14:textId="77777777" w:rsidR="00853F2D" w:rsidRPr="00991E44" w:rsidRDefault="00853F2D" w:rsidP="00CF41A1">
            <w:pPr>
              <w:keepNext/>
              <w:tabs>
                <w:tab w:val="left" w:pos="426"/>
              </w:tabs>
              <w:ind w:right="-108"/>
              <w:textAlignment w:val="top"/>
              <w:rPr>
                <w:rFonts w:eastAsia="Calibri" w:cs="Arial"/>
                <w:lang w:val="sv-SE" w:eastAsia="sv-SE"/>
              </w:rPr>
            </w:pPr>
          </w:p>
          <w:p w14:paraId="0519F0AC"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4F32A251" w14:textId="77777777" w:rsidR="00853F2D" w:rsidRDefault="00853F2D" w:rsidP="00CF41A1">
            <w:pPr>
              <w:ind w:right="-102"/>
            </w:pPr>
            <w:r w:rsidRPr="00CF2528">
              <w:t>Acceptable</w:t>
            </w:r>
          </w:p>
        </w:tc>
      </w:tr>
      <w:tr w:rsidR="00853F2D" w:rsidRPr="00D101A0" w14:paraId="155CEBFB" w14:textId="77777777" w:rsidTr="00CF41A1">
        <w:trPr>
          <w:trHeight w:val="1820"/>
        </w:trPr>
        <w:tc>
          <w:tcPr>
            <w:tcW w:w="851" w:type="dxa"/>
            <w:vMerge/>
            <w:vAlign w:val="center"/>
          </w:tcPr>
          <w:p w14:paraId="18926C2D" w14:textId="77777777" w:rsidR="00853F2D" w:rsidRDefault="00853F2D" w:rsidP="00CF41A1">
            <w:pPr>
              <w:spacing w:line="260" w:lineRule="atLeast"/>
              <w:ind w:right="-109"/>
            </w:pPr>
          </w:p>
        </w:tc>
        <w:tc>
          <w:tcPr>
            <w:tcW w:w="1984" w:type="dxa"/>
            <w:vMerge/>
            <w:shd w:val="clear" w:color="auto" w:fill="auto"/>
            <w:vAlign w:val="center"/>
          </w:tcPr>
          <w:p w14:paraId="444CC8B9"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50BD3AE5"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06894D4B"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C66F183" w14:textId="687B9960"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744C226D" w14:textId="77777777" w:rsidR="00853F2D" w:rsidRPr="00991E44" w:rsidRDefault="00853F2D" w:rsidP="00CF41A1">
            <w:pPr>
              <w:keepNext/>
              <w:tabs>
                <w:tab w:val="left" w:pos="426"/>
              </w:tabs>
              <w:ind w:right="-108"/>
              <w:textAlignment w:val="top"/>
              <w:rPr>
                <w:rFonts w:eastAsia="Calibri" w:cs="Arial"/>
                <w:lang w:val="sv-SE" w:eastAsia="sv-SE"/>
              </w:rPr>
            </w:pPr>
          </w:p>
          <w:p w14:paraId="27D1A8C2"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3143E961" w14:textId="77777777" w:rsidR="00853F2D" w:rsidRDefault="00853F2D" w:rsidP="00CF41A1">
            <w:pPr>
              <w:ind w:right="-102"/>
            </w:pPr>
            <w:r w:rsidRPr="00CF2528">
              <w:t>Acceptable</w:t>
            </w:r>
          </w:p>
        </w:tc>
      </w:tr>
      <w:tr w:rsidR="00853F2D" w:rsidRPr="00D101A0" w14:paraId="0AC773F3" w14:textId="77777777" w:rsidTr="00CF41A1">
        <w:trPr>
          <w:trHeight w:val="1820"/>
        </w:trPr>
        <w:tc>
          <w:tcPr>
            <w:tcW w:w="851" w:type="dxa"/>
            <w:vMerge/>
            <w:vAlign w:val="center"/>
          </w:tcPr>
          <w:p w14:paraId="28D5C970" w14:textId="77777777" w:rsidR="00853F2D" w:rsidRDefault="00853F2D" w:rsidP="00CF41A1">
            <w:pPr>
              <w:spacing w:line="260" w:lineRule="atLeast"/>
              <w:ind w:right="-109"/>
            </w:pPr>
          </w:p>
        </w:tc>
        <w:tc>
          <w:tcPr>
            <w:tcW w:w="1984" w:type="dxa"/>
            <w:vMerge/>
            <w:shd w:val="clear" w:color="auto" w:fill="auto"/>
            <w:vAlign w:val="center"/>
          </w:tcPr>
          <w:p w14:paraId="2C9D8B94"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30087F4"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366C77A7"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7A371D9A" w14:textId="657F88E6"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2F779847" w14:textId="77777777" w:rsidR="00853F2D" w:rsidRPr="00DE7D94" w:rsidRDefault="00853F2D" w:rsidP="00CF41A1">
            <w:pPr>
              <w:keepNext/>
              <w:tabs>
                <w:tab w:val="left" w:pos="426"/>
              </w:tabs>
              <w:ind w:right="-108"/>
              <w:textAlignment w:val="top"/>
              <w:rPr>
                <w:rFonts w:eastAsia="Calibri" w:cs="Arial"/>
                <w:lang w:val="sv-SE" w:eastAsia="sv-SE"/>
              </w:rPr>
            </w:pPr>
          </w:p>
          <w:p w14:paraId="1A19B509"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6742DA8E" w14:textId="77777777" w:rsidR="00853F2D" w:rsidRDefault="00853F2D" w:rsidP="00CF41A1">
            <w:pPr>
              <w:ind w:right="-102"/>
            </w:pPr>
            <w:r w:rsidRPr="00CF2528">
              <w:t>Acceptable</w:t>
            </w:r>
          </w:p>
        </w:tc>
      </w:tr>
      <w:tr w:rsidR="00853F2D" w:rsidRPr="00D101A0" w14:paraId="020A6F3B" w14:textId="77777777" w:rsidTr="00CF41A1">
        <w:trPr>
          <w:trHeight w:val="1820"/>
        </w:trPr>
        <w:tc>
          <w:tcPr>
            <w:tcW w:w="851" w:type="dxa"/>
            <w:vMerge/>
            <w:vAlign w:val="center"/>
          </w:tcPr>
          <w:p w14:paraId="20B7D625" w14:textId="77777777" w:rsidR="00853F2D" w:rsidRDefault="00853F2D" w:rsidP="00CF41A1">
            <w:pPr>
              <w:spacing w:line="260" w:lineRule="atLeast"/>
              <w:ind w:right="-109"/>
            </w:pPr>
          </w:p>
        </w:tc>
        <w:tc>
          <w:tcPr>
            <w:tcW w:w="1984" w:type="dxa"/>
            <w:vMerge/>
            <w:shd w:val="clear" w:color="auto" w:fill="auto"/>
            <w:vAlign w:val="center"/>
          </w:tcPr>
          <w:p w14:paraId="479F0B01"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B75FCBB"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386D63D5"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79BAA4F" w14:textId="35A1BEAC"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9E180EE" w14:textId="77777777" w:rsidR="00853F2D" w:rsidRPr="00DE7D94" w:rsidRDefault="00853F2D" w:rsidP="00CF41A1">
            <w:pPr>
              <w:keepNext/>
              <w:tabs>
                <w:tab w:val="left" w:pos="426"/>
              </w:tabs>
              <w:ind w:right="-108"/>
              <w:textAlignment w:val="top"/>
              <w:rPr>
                <w:rFonts w:eastAsia="Calibri" w:cs="Arial"/>
                <w:lang w:val="sv-SE" w:eastAsia="sv-SE"/>
              </w:rPr>
            </w:pPr>
          </w:p>
          <w:p w14:paraId="2B1BD0FA"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652CC83B" w14:textId="77777777" w:rsidR="00853F2D" w:rsidRDefault="00853F2D" w:rsidP="00CF41A1">
            <w:pPr>
              <w:ind w:right="-102"/>
            </w:pPr>
            <w:r w:rsidRPr="00CF2528">
              <w:t>Acceptable</w:t>
            </w:r>
          </w:p>
        </w:tc>
      </w:tr>
      <w:tr w:rsidR="00853F2D" w:rsidRPr="00D101A0" w14:paraId="768C3262" w14:textId="77777777" w:rsidTr="00CF41A1">
        <w:trPr>
          <w:trHeight w:val="1820"/>
        </w:trPr>
        <w:tc>
          <w:tcPr>
            <w:tcW w:w="851" w:type="dxa"/>
            <w:vMerge/>
            <w:vAlign w:val="center"/>
          </w:tcPr>
          <w:p w14:paraId="6559DE35" w14:textId="77777777" w:rsidR="00853F2D" w:rsidRDefault="00853F2D" w:rsidP="00CF41A1">
            <w:pPr>
              <w:spacing w:line="260" w:lineRule="atLeast"/>
              <w:ind w:right="-109"/>
            </w:pPr>
          </w:p>
        </w:tc>
        <w:tc>
          <w:tcPr>
            <w:tcW w:w="1984" w:type="dxa"/>
            <w:vMerge w:val="restart"/>
            <w:shd w:val="clear" w:color="auto" w:fill="auto"/>
            <w:vAlign w:val="center"/>
          </w:tcPr>
          <w:p w14:paraId="43AE84CD" w14:textId="77777777" w:rsidR="00853F2D" w:rsidRDefault="00853F2D" w:rsidP="00CF41A1">
            <w:pPr>
              <w:spacing w:line="260" w:lineRule="atLeast"/>
              <w:rPr>
                <w:rFonts w:eastAsia="Calibri" w:cs="Arial"/>
                <w:lang w:val="sv-SE" w:eastAsia="sv-SE"/>
              </w:rPr>
            </w:pPr>
            <w:r>
              <w:rPr>
                <w:rFonts w:eastAsia="Calibri" w:cs="Arial"/>
                <w:lang w:val="sv-SE" w:eastAsia="sv-SE"/>
              </w:rPr>
              <w:t>3</w:t>
            </w:r>
          </w:p>
          <w:p w14:paraId="19298C62"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and healthcare</w:t>
            </w:r>
            <w:r>
              <w:rPr>
                <w:rFonts w:eastAsia="Calibri" w:cs="Arial"/>
                <w:lang w:val="sv-SE" w:eastAsia="sv-SE"/>
              </w:rPr>
              <w:t xml:space="preserve"> (PT2)</w:t>
            </w:r>
          </w:p>
        </w:tc>
        <w:tc>
          <w:tcPr>
            <w:tcW w:w="1701" w:type="dxa"/>
            <w:vMerge w:val="restart"/>
            <w:shd w:val="clear" w:color="auto" w:fill="auto"/>
            <w:vAlign w:val="center"/>
          </w:tcPr>
          <w:p w14:paraId="69FB5242"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Bacteria</w:t>
            </w:r>
          </w:p>
          <w:p w14:paraId="698F92D4"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4400BB96"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6B294AE6" w14:textId="77777777" w:rsidR="00853F2D" w:rsidRDefault="00853F2D" w:rsidP="00CF41A1">
            <w:pPr>
              <w:snapToGrid w:val="0"/>
              <w:spacing w:line="260" w:lineRule="atLeast"/>
              <w:ind w:right="-108"/>
            </w:pPr>
          </w:p>
          <w:p w14:paraId="2A2B387E"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5722F2A5" w14:textId="053000FA"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72C3789C" w14:textId="77777777" w:rsidR="00853F2D" w:rsidRPr="00991E44" w:rsidRDefault="00853F2D" w:rsidP="00CF41A1">
            <w:pPr>
              <w:keepNext/>
              <w:tabs>
                <w:tab w:val="left" w:pos="426"/>
              </w:tabs>
              <w:ind w:right="-108"/>
              <w:textAlignment w:val="top"/>
              <w:rPr>
                <w:rFonts w:eastAsia="Calibri" w:cs="Arial"/>
                <w:lang w:val="sv-SE" w:eastAsia="sv-SE"/>
              </w:rPr>
            </w:pPr>
          </w:p>
          <w:p w14:paraId="4FF6DC40"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4C6C6C86" w14:textId="77777777" w:rsidR="00853F2D" w:rsidRDefault="00853F2D" w:rsidP="00CF41A1">
            <w:pPr>
              <w:ind w:right="-102"/>
            </w:pPr>
            <w:r w:rsidRPr="00CF2528">
              <w:t>Acceptable</w:t>
            </w:r>
          </w:p>
        </w:tc>
      </w:tr>
      <w:tr w:rsidR="00853F2D" w:rsidRPr="00D101A0" w14:paraId="688F3DFF" w14:textId="77777777" w:rsidTr="00CF41A1">
        <w:trPr>
          <w:trHeight w:val="1820"/>
        </w:trPr>
        <w:tc>
          <w:tcPr>
            <w:tcW w:w="851" w:type="dxa"/>
            <w:vMerge/>
            <w:vAlign w:val="center"/>
          </w:tcPr>
          <w:p w14:paraId="7B75D468" w14:textId="77777777" w:rsidR="00853F2D" w:rsidRDefault="00853F2D" w:rsidP="00CF41A1">
            <w:pPr>
              <w:spacing w:line="260" w:lineRule="atLeast"/>
              <w:ind w:right="-109"/>
            </w:pPr>
          </w:p>
        </w:tc>
        <w:tc>
          <w:tcPr>
            <w:tcW w:w="1984" w:type="dxa"/>
            <w:vMerge/>
            <w:shd w:val="clear" w:color="auto" w:fill="auto"/>
            <w:vAlign w:val="center"/>
          </w:tcPr>
          <w:p w14:paraId="72628EE4"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A10BD6F"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7F4027DB"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5B460946" w14:textId="073672CE"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28DEA111" w14:textId="77777777" w:rsidR="00853F2D" w:rsidRPr="00991E44" w:rsidRDefault="00853F2D" w:rsidP="00CF41A1">
            <w:pPr>
              <w:keepNext/>
              <w:tabs>
                <w:tab w:val="left" w:pos="426"/>
              </w:tabs>
              <w:ind w:right="-108"/>
              <w:textAlignment w:val="top"/>
              <w:rPr>
                <w:rFonts w:eastAsia="Calibri" w:cs="Arial"/>
                <w:lang w:val="sv-SE" w:eastAsia="sv-SE"/>
              </w:rPr>
            </w:pPr>
          </w:p>
          <w:p w14:paraId="7FD5CC75"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4811A90D" w14:textId="77777777" w:rsidR="00853F2D" w:rsidRDefault="00853F2D" w:rsidP="00CF41A1">
            <w:pPr>
              <w:ind w:right="-102"/>
            </w:pPr>
            <w:r w:rsidRPr="00CF2528">
              <w:t>Acceptable</w:t>
            </w:r>
          </w:p>
        </w:tc>
      </w:tr>
      <w:tr w:rsidR="00853F2D" w:rsidRPr="00D101A0" w14:paraId="769AFC16" w14:textId="77777777" w:rsidTr="00CF41A1">
        <w:trPr>
          <w:trHeight w:val="1820"/>
        </w:trPr>
        <w:tc>
          <w:tcPr>
            <w:tcW w:w="851" w:type="dxa"/>
            <w:vMerge/>
            <w:vAlign w:val="center"/>
          </w:tcPr>
          <w:p w14:paraId="5A4A5D84" w14:textId="77777777" w:rsidR="00853F2D" w:rsidRDefault="00853F2D" w:rsidP="00CF41A1">
            <w:pPr>
              <w:spacing w:line="260" w:lineRule="atLeast"/>
              <w:ind w:right="-109"/>
            </w:pPr>
          </w:p>
        </w:tc>
        <w:tc>
          <w:tcPr>
            <w:tcW w:w="1984" w:type="dxa"/>
            <w:vMerge/>
            <w:shd w:val="clear" w:color="auto" w:fill="auto"/>
            <w:vAlign w:val="center"/>
          </w:tcPr>
          <w:p w14:paraId="71F270C9"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CDDB512"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60785CA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0487B99B" w14:textId="00154EFC"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5E82C99" w14:textId="77777777" w:rsidR="00853F2D" w:rsidRPr="00991E44" w:rsidRDefault="00853F2D" w:rsidP="00CF41A1">
            <w:pPr>
              <w:keepNext/>
              <w:tabs>
                <w:tab w:val="left" w:pos="426"/>
              </w:tabs>
              <w:ind w:right="-108"/>
              <w:textAlignment w:val="top"/>
              <w:rPr>
                <w:rFonts w:eastAsia="Calibri" w:cs="Arial"/>
                <w:lang w:val="sv-SE" w:eastAsia="sv-SE"/>
              </w:rPr>
            </w:pPr>
          </w:p>
          <w:p w14:paraId="1703D9C1"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09C5715F" w14:textId="77777777" w:rsidR="00853F2D" w:rsidRDefault="00853F2D" w:rsidP="00CF41A1">
            <w:pPr>
              <w:ind w:right="-102"/>
            </w:pPr>
            <w:r w:rsidRPr="00CF2528">
              <w:t>Acceptable</w:t>
            </w:r>
          </w:p>
        </w:tc>
      </w:tr>
      <w:tr w:rsidR="00853F2D" w:rsidRPr="00D101A0" w14:paraId="7E13C6B9" w14:textId="77777777" w:rsidTr="00CF41A1">
        <w:trPr>
          <w:trHeight w:val="1820"/>
        </w:trPr>
        <w:tc>
          <w:tcPr>
            <w:tcW w:w="851" w:type="dxa"/>
            <w:vMerge/>
            <w:vAlign w:val="center"/>
          </w:tcPr>
          <w:p w14:paraId="32C5C923" w14:textId="77777777" w:rsidR="00853F2D" w:rsidRDefault="00853F2D" w:rsidP="00CF41A1">
            <w:pPr>
              <w:spacing w:line="260" w:lineRule="atLeast"/>
              <w:ind w:right="-109"/>
            </w:pPr>
          </w:p>
        </w:tc>
        <w:tc>
          <w:tcPr>
            <w:tcW w:w="1984" w:type="dxa"/>
            <w:vMerge/>
            <w:shd w:val="clear" w:color="auto" w:fill="auto"/>
            <w:vAlign w:val="center"/>
          </w:tcPr>
          <w:p w14:paraId="68C201FA"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5D2D1D9"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33C95F9A"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4F6574D4" w14:textId="7134F49E"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23FD9B6" w14:textId="77777777" w:rsidR="00853F2D" w:rsidRPr="00DE7D94" w:rsidRDefault="00853F2D" w:rsidP="00CF41A1">
            <w:pPr>
              <w:keepNext/>
              <w:tabs>
                <w:tab w:val="left" w:pos="426"/>
              </w:tabs>
              <w:ind w:right="-108"/>
              <w:textAlignment w:val="top"/>
              <w:rPr>
                <w:rFonts w:eastAsia="Calibri" w:cs="Arial"/>
                <w:lang w:val="sv-SE" w:eastAsia="sv-SE"/>
              </w:rPr>
            </w:pPr>
          </w:p>
          <w:p w14:paraId="668FD5C9"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3709627B" w14:textId="77777777" w:rsidR="00853F2D" w:rsidRDefault="00853F2D" w:rsidP="00CF41A1">
            <w:pPr>
              <w:ind w:right="-102"/>
            </w:pPr>
            <w:r w:rsidRPr="00CF2528">
              <w:t>Acceptable</w:t>
            </w:r>
          </w:p>
        </w:tc>
      </w:tr>
      <w:tr w:rsidR="00853F2D" w:rsidRPr="00D101A0" w14:paraId="561BD8A6" w14:textId="77777777" w:rsidTr="00CF41A1">
        <w:trPr>
          <w:trHeight w:val="1820"/>
        </w:trPr>
        <w:tc>
          <w:tcPr>
            <w:tcW w:w="851" w:type="dxa"/>
            <w:vMerge/>
            <w:vAlign w:val="center"/>
          </w:tcPr>
          <w:p w14:paraId="57BB9055" w14:textId="77777777" w:rsidR="00853F2D" w:rsidRDefault="00853F2D" w:rsidP="00CF41A1">
            <w:pPr>
              <w:spacing w:line="260" w:lineRule="atLeast"/>
              <w:ind w:right="-109"/>
            </w:pPr>
          </w:p>
        </w:tc>
        <w:tc>
          <w:tcPr>
            <w:tcW w:w="1984" w:type="dxa"/>
            <w:vMerge/>
            <w:shd w:val="clear" w:color="auto" w:fill="auto"/>
            <w:vAlign w:val="center"/>
          </w:tcPr>
          <w:p w14:paraId="519CE0B9"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0A65FCDE"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05A27418"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444C6CF9" w14:textId="3A3BD7F4"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2FD6566" w14:textId="77777777" w:rsidR="00853F2D" w:rsidRPr="00DE7D94" w:rsidRDefault="00853F2D" w:rsidP="00CF41A1">
            <w:pPr>
              <w:keepNext/>
              <w:tabs>
                <w:tab w:val="left" w:pos="426"/>
              </w:tabs>
              <w:ind w:right="-108"/>
              <w:textAlignment w:val="top"/>
              <w:rPr>
                <w:rFonts w:eastAsia="Calibri" w:cs="Arial"/>
                <w:lang w:val="sv-SE" w:eastAsia="sv-SE"/>
              </w:rPr>
            </w:pPr>
          </w:p>
          <w:p w14:paraId="0E27C4D6"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26B703DC" w14:textId="77777777" w:rsidR="00853F2D" w:rsidRDefault="00853F2D" w:rsidP="00CF41A1">
            <w:pPr>
              <w:ind w:right="-102"/>
            </w:pPr>
            <w:r w:rsidRPr="00CF2528">
              <w:t>Acceptable</w:t>
            </w:r>
          </w:p>
        </w:tc>
      </w:tr>
      <w:tr w:rsidR="00853F2D" w:rsidRPr="00D101A0" w14:paraId="5E00640F" w14:textId="77777777" w:rsidTr="00CF41A1">
        <w:trPr>
          <w:trHeight w:val="411"/>
        </w:trPr>
        <w:tc>
          <w:tcPr>
            <w:tcW w:w="851" w:type="dxa"/>
            <w:vMerge/>
            <w:vAlign w:val="center"/>
          </w:tcPr>
          <w:p w14:paraId="05534E52" w14:textId="77777777" w:rsidR="00853F2D" w:rsidRDefault="00853F2D" w:rsidP="00CF41A1">
            <w:pPr>
              <w:spacing w:line="260" w:lineRule="atLeast"/>
              <w:ind w:right="-109"/>
            </w:pPr>
          </w:p>
        </w:tc>
        <w:tc>
          <w:tcPr>
            <w:tcW w:w="1984" w:type="dxa"/>
            <w:vMerge w:val="restart"/>
            <w:shd w:val="clear" w:color="auto" w:fill="auto"/>
            <w:vAlign w:val="center"/>
          </w:tcPr>
          <w:p w14:paraId="67F0567C" w14:textId="77777777" w:rsidR="00853F2D" w:rsidRDefault="00853F2D" w:rsidP="00CF41A1">
            <w:pPr>
              <w:spacing w:line="260" w:lineRule="atLeast"/>
              <w:rPr>
                <w:rFonts w:eastAsia="Calibri" w:cs="Arial"/>
                <w:lang w:val="sv-SE" w:eastAsia="sv-SE"/>
              </w:rPr>
            </w:pPr>
            <w:r>
              <w:rPr>
                <w:rFonts w:eastAsia="Calibri" w:cs="Arial"/>
                <w:lang w:val="sv-SE" w:eastAsia="sv-SE"/>
              </w:rPr>
              <w:t>4</w:t>
            </w:r>
          </w:p>
          <w:p w14:paraId="0A32C3D1"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 xml:space="preserve">Disinfectants for hard surfaces of </w:t>
            </w:r>
            <w:r w:rsidRPr="007A4A14">
              <w:rPr>
                <w:rFonts w:eastAsia="Calibri" w:cs="Arial"/>
                <w:lang w:val="sv-SE" w:eastAsia="sv-SE"/>
              </w:rPr>
              <w:lastRenderedPageBreak/>
              <w:t>industry, institution and healthcare facilities areas</w:t>
            </w:r>
            <w:r>
              <w:rPr>
                <w:rFonts w:eastAsia="Calibri" w:cs="Arial"/>
                <w:lang w:val="sv-SE" w:eastAsia="sv-SE"/>
              </w:rPr>
              <w:t xml:space="preserve"> (PT2)</w:t>
            </w:r>
          </w:p>
        </w:tc>
        <w:tc>
          <w:tcPr>
            <w:tcW w:w="1701" w:type="dxa"/>
            <w:vMerge w:val="restart"/>
            <w:shd w:val="clear" w:color="auto" w:fill="auto"/>
            <w:vAlign w:val="center"/>
          </w:tcPr>
          <w:p w14:paraId="588EEA90"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lastRenderedPageBreak/>
              <w:t>Bacteria</w:t>
            </w:r>
          </w:p>
          <w:p w14:paraId="7DC974A5"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348CD215" w14:textId="77777777" w:rsidR="00853F2D" w:rsidRPr="000B1785"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vAlign w:val="center"/>
          </w:tcPr>
          <w:p w14:paraId="19643816" w14:textId="4749F839"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34C87045" w14:textId="77777777" w:rsidR="00853F2D" w:rsidRPr="00991E44" w:rsidRDefault="00853F2D" w:rsidP="00CF41A1">
            <w:pPr>
              <w:keepNext/>
              <w:tabs>
                <w:tab w:val="left" w:pos="426"/>
              </w:tabs>
              <w:ind w:right="-108"/>
              <w:textAlignment w:val="top"/>
              <w:rPr>
                <w:rFonts w:eastAsia="Calibri" w:cs="Arial"/>
                <w:lang w:val="sv-SE" w:eastAsia="sv-SE"/>
              </w:rPr>
            </w:pPr>
          </w:p>
          <w:p w14:paraId="0887DD7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5F47BBE7" w14:textId="77777777" w:rsidR="00853F2D" w:rsidRDefault="00853F2D" w:rsidP="00CF41A1">
            <w:pPr>
              <w:ind w:right="-102"/>
            </w:pPr>
            <w:r w:rsidRPr="00CF2528">
              <w:t>Acceptable</w:t>
            </w:r>
          </w:p>
        </w:tc>
      </w:tr>
      <w:tr w:rsidR="00853F2D" w:rsidRPr="00D101A0" w14:paraId="32B1ECB9" w14:textId="77777777" w:rsidTr="00CF41A1">
        <w:trPr>
          <w:trHeight w:val="1820"/>
        </w:trPr>
        <w:tc>
          <w:tcPr>
            <w:tcW w:w="851" w:type="dxa"/>
            <w:vMerge/>
            <w:vAlign w:val="center"/>
          </w:tcPr>
          <w:p w14:paraId="500B76CE" w14:textId="77777777" w:rsidR="00853F2D" w:rsidRDefault="00853F2D" w:rsidP="00CF41A1">
            <w:pPr>
              <w:spacing w:line="260" w:lineRule="atLeast"/>
              <w:ind w:right="-109"/>
            </w:pPr>
          </w:p>
        </w:tc>
        <w:tc>
          <w:tcPr>
            <w:tcW w:w="1984" w:type="dxa"/>
            <w:vMerge/>
            <w:shd w:val="clear" w:color="auto" w:fill="auto"/>
            <w:vAlign w:val="center"/>
          </w:tcPr>
          <w:p w14:paraId="62D99121"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FA18617"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02A1F7CD"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1AAC25FA" w14:textId="415D2BC2"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939ABA2" w14:textId="77777777" w:rsidR="00853F2D" w:rsidRPr="00991E44" w:rsidRDefault="00853F2D" w:rsidP="00CF41A1">
            <w:pPr>
              <w:keepNext/>
              <w:tabs>
                <w:tab w:val="left" w:pos="426"/>
              </w:tabs>
              <w:ind w:right="-108"/>
              <w:textAlignment w:val="top"/>
              <w:rPr>
                <w:rFonts w:eastAsia="Calibri" w:cs="Arial"/>
                <w:lang w:val="sv-SE" w:eastAsia="sv-SE"/>
              </w:rPr>
            </w:pPr>
          </w:p>
          <w:p w14:paraId="147A3F18"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30D33C02" w14:textId="77777777" w:rsidR="00853F2D" w:rsidRDefault="00853F2D" w:rsidP="00CF41A1">
            <w:pPr>
              <w:ind w:right="-102"/>
            </w:pPr>
            <w:r w:rsidRPr="00CF2528">
              <w:t>Acceptable</w:t>
            </w:r>
          </w:p>
        </w:tc>
      </w:tr>
      <w:tr w:rsidR="00853F2D" w:rsidRPr="00D101A0" w14:paraId="471F508D" w14:textId="77777777" w:rsidTr="00CF41A1">
        <w:trPr>
          <w:trHeight w:val="1820"/>
        </w:trPr>
        <w:tc>
          <w:tcPr>
            <w:tcW w:w="851" w:type="dxa"/>
            <w:vMerge/>
            <w:vAlign w:val="center"/>
          </w:tcPr>
          <w:p w14:paraId="6ED3406F" w14:textId="77777777" w:rsidR="00853F2D" w:rsidRDefault="00853F2D" w:rsidP="00CF41A1">
            <w:pPr>
              <w:spacing w:line="260" w:lineRule="atLeast"/>
              <w:ind w:right="-109"/>
            </w:pPr>
          </w:p>
        </w:tc>
        <w:tc>
          <w:tcPr>
            <w:tcW w:w="1984" w:type="dxa"/>
            <w:vMerge/>
            <w:shd w:val="clear" w:color="auto" w:fill="auto"/>
            <w:vAlign w:val="center"/>
          </w:tcPr>
          <w:p w14:paraId="395BCA40"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116AD0B2"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49D4EF2A"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08E8086F" w14:textId="5F98EC78"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8984C90" w14:textId="77777777" w:rsidR="00853F2D" w:rsidRPr="00991E44" w:rsidRDefault="00853F2D" w:rsidP="00CF41A1">
            <w:pPr>
              <w:keepNext/>
              <w:tabs>
                <w:tab w:val="left" w:pos="426"/>
              </w:tabs>
              <w:ind w:right="-108"/>
              <w:textAlignment w:val="top"/>
              <w:rPr>
                <w:rFonts w:eastAsia="Calibri" w:cs="Arial"/>
                <w:lang w:val="sv-SE" w:eastAsia="sv-SE"/>
              </w:rPr>
            </w:pPr>
          </w:p>
          <w:p w14:paraId="15BDF9AC"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341FE84B" w14:textId="77777777" w:rsidR="00853F2D" w:rsidRDefault="00853F2D" w:rsidP="00CF41A1">
            <w:pPr>
              <w:ind w:right="-102"/>
            </w:pPr>
            <w:r w:rsidRPr="00CF2528">
              <w:t>Acceptable</w:t>
            </w:r>
          </w:p>
        </w:tc>
      </w:tr>
      <w:tr w:rsidR="00853F2D" w:rsidRPr="00D101A0" w14:paraId="28C5DE31" w14:textId="77777777" w:rsidTr="00CF41A1">
        <w:trPr>
          <w:trHeight w:val="1820"/>
        </w:trPr>
        <w:tc>
          <w:tcPr>
            <w:tcW w:w="851" w:type="dxa"/>
            <w:vMerge/>
            <w:vAlign w:val="center"/>
          </w:tcPr>
          <w:p w14:paraId="1761F9C2" w14:textId="77777777" w:rsidR="00853F2D" w:rsidRDefault="00853F2D" w:rsidP="00CF41A1">
            <w:pPr>
              <w:spacing w:line="260" w:lineRule="atLeast"/>
              <w:ind w:right="-109"/>
            </w:pPr>
          </w:p>
        </w:tc>
        <w:tc>
          <w:tcPr>
            <w:tcW w:w="1984" w:type="dxa"/>
            <w:vMerge/>
            <w:shd w:val="clear" w:color="auto" w:fill="auto"/>
            <w:vAlign w:val="center"/>
          </w:tcPr>
          <w:p w14:paraId="24B7345C"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3607FB2"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480F9413"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18B07086" w14:textId="64DE20CA"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3D9936E" w14:textId="77777777" w:rsidR="00853F2D" w:rsidRPr="00DE7D94" w:rsidRDefault="00853F2D" w:rsidP="00CF41A1">
            <w:pPr>
              <w:keepNext/>
              <w:tabs>
                <w:tab w:val="left" w:pos="426"/>
              </w:tabs>
              <w:ind w:right="-108"/>
              <w:textAlignment w:val="top"/>
              <w:rPr>
                <w:rFonts w:eastAsia="Calibri" w:cs="Arial"/>
                <w:lang w:val="sv-SE" w:eastAsia="sv-SE"/>
              </w:rPr>
            </w:pPr>
          </w:p>
          <w:p w14:paraId="0CF9B922"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633FFC7B" w14:textId="77777777" w:rsidR="00853F2D" w:rsidRDefault="00853F2D" w:rsidP="00CF41A1">
            <w:pPr>
              <w:ind w:right="-102"/>
            </w:pPr>
            <w:r w:rsidRPr="00CF2528">
              <w:t>Acceptable</w:t>
            </w:r>
          </w:p>
        </w:tc>
      </w:tr>
      <w:tr w:rsidR="00853F2D" w:rsidRPr="00D101A0" w14:paraId="7AEAB36E" w14:textId="77777777" w:rsidTr="00CF41A1">
        <w:trPr>
          <w:trHeight w:val="1820"/>
        </w:trPr>
        <w:tc>
          <w:tcPr>
            <w:tcW w:w="851" w:type="dxa"/>
            <w:vMerge/>
            <w:vAlign w:val="center"/>
          </w:tcPr>
          <w:p w14:paraId="49E9B9AB" w14:textId="77777777" w:rsidR="00853F2D" w:rsidRDefault="00853F2D" w:rsidP="00CF41A1">
            <w:pPr>
              <w:spacing w:line="260" w:lineRule="atLeast"/>
              <w:ind w:right="-109"/>
            </w:pPr>
          </w:p>
        </w:tc>
        <w:tc>
          <w:tcPr>
            <w:tcW w:w="1984" w:type="dxa"/>
            <w:vMerge/>
            <w:shd w:val="clear" w:color="auto" w:fill="auto"/>
            <w:vAlign w:val="center"/>
          </w:tcPr>
          <w:p w14:paraId="2684B3FB"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BF97C60"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3D2540B2"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92FD3FD" w14:textId="42855470"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1AE47D42" w14:textId="77777777" w:rsidR="00853F2D" w:rsidRPr="00DE7D94" w:rsidRDefault="00853F2D" w:rsidP="00CF41A1">
            <w:pPr>
              <w:keepNext/>
              <w:tabs>
                <w:tab w:val="left" w:pos="426"/>
              </w:tabs>
              <w:ind w:right="-108"/>
              <w:textAlignment w:val="top"/>
              <w:rPr>
                <w:rFonts w:eastAsia="Calibri" w:cs="Arial"/>
                <w:lang w:val="sv-SE" w:eastAsia="sv-SE"/>
              </w:rPr>
            </w:pPr>
          </w:p>
          <w:p w14:paraId="4AA6197A"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612C489E" w14:textId="77777777" w:rsidR="00853F2D" w:rsidRDefault="00853F2D" w:rsidP="00CF41A1">
            <w:pPr>
              <w:ind w:right="-102"/>
            </w:pPr>
            <w:r w:rsidRPr="00CF2528">
              <w:t>Acceptable</w:t>
            </w:r>
          </w:p>
        </w:tc>
      </w:tr>
      <w:tr w:rsidR="00853F2D" w:rsidRPr="00D101A0" w14:paraId="5E8B50F7" w14:textId="77777777" w:rsidTr="00CF41A1">
        <w:trPr>
          <w:trHeight w:val="1949"/>
        </w:trPr>
        <w:tc>
          <w:tcPr>
            <w:tcW w:w="851" w:type="dxa"/>
            <w:vMerge w:val="restart"/>
            <w:vAlign w:val="center"/>
          </w:tcPr>
          <w:p w14:paraId="18F28198" w14:textId="77777777" w:rsidR="00853F2D" w:rsidRDefault="00853F2D" w:rsidP="00CF41A1">
            <w:pPr>
              <w:spacing w:line="260" w:lineRule="atLeast"/>
              <w:ind w:right="-109"/>
            </w:pPr>
            <w:r>
              <w:t>Meta SPC 7</w:t>
            </w:r>
          </w:p>
        </w:tc>
        <w:tc>
          <w:tcPr>
            <w:tcW w:w="1984" w:type="dxa"/>
            <w:vMerge w:val="restart"/>
            <w:shd w:val="clear" w:color="auto" w:fill="auto"/>
            <w:vAlign w:val="center"/>
          </w:tcPr>
          <w:p w14:paraId="2A6256CC"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19A89AE4" w14:textId="77777777" w:rsidR="00853F2D"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healthcare and, food preparation and handling areas</w:t>
            </w:r>
            <w:r>
              <w:rPr>
                <w:rFonts w:eastAsia="Calibri" w:cs="Arial"/>
                <w:lang w:val="sv-SE" w:eastAsia="sv-SE"/>
              </w:rPr>
              <w:t xml:space="preserve"> (PT2 and 4)</w:t>
            </w:r>
          </w:p>
          <w:p w14:paraId="744ADAF1" w14:textId="77777777" w:rsidR="00853F2D" w:rsidRDefault="00853F2D" w:rsidP="00CF41A1">
            <w:pPr>
              <w:spacing w:line="260" w:lineRule="atLeast"/>
              <w:rPr>
                <w:rFonts w:eastAsia="Calibri" w:cs="Arial"/>
                <w:lang w:val="sv-SE" w:eastAsia="sv-SE"/>
              </w:rPr>
            </w:pPr>
          </w:p>
          <w:p w14:paraId="76BE3FA4" w14:textId="77777777" w:rsidR="00853F2D" w:rsidRDefault="00853F2D" w:rsidP="00CF41A1">
            <w:pPr>
              <w:spacing w:line="260" w:lineRule="atLeast"/>
              <w:rPr>
                <w:rFonts w:eastAsia="Calibri" w:cs="Arial"/>
                <w:lang w:val="sv-SE" w:eastAsia="sv-SE"/>
              </w:rPr>
            </w:pPr>
            <w:r>
              <w:rPr>
                <w:rFonts w:eastAsia="Calibri" w:cs="Arial"/>
                <w:lang w:val="sv-SE" w:eastAsia="sv-SE"/>
              </w:rPr>
              <w:t>And</w:t>
            </w:r>
          </w:p>
          <w:p w14:paraId="7B9C6C96" w14:textId="77777777" w:rsidR="00853F2D" w:rsidRDefault="00853F2D" w:rsidP="00CF41A1">
            <w:pPr>
              <w:spacing w:line="260" w:lineRule="atLeast"/>
              <w:rPr>
                <w:rFonts w:eastAsia="Calibri" w:cs="Arial"/>
                <w:lang w:val="sv-SE" w:eastAsia="sv-SE"/>
              </w:rPr>
            </w:pPr>
          </w:p>
          <w:p w14:paraId="3AFEB9FE" w14:textId="77777777" w:rsidR="00853F2D" w:rsidRDefault="00853F2D" w:rsidP="00CF41A1">
            <w:pPr>
              <w:spacing w:line="260" w:lineRule="atLeast"/>
              <w:rPr>
                <w:rFonts w:eastAsia="Calibri" w:cs="Arial"/>
                <w:lang w:val="sv-SE" w:eastAsia="sv-SE"/>
              </w:rPr>
            </w:pPr>
            <w:r>
              <w:rPr>
                <w:rFonts w:eastAsia="Calibri" w:cs="Arial"/>
                <w:lang w:val="sv-SE" w:eastAsia="sv-SE"/>
              </w:rPr>
              <w:t>3</w:t>
            </w:r>
          </w:p>
          <w:p w14:paraId="593216B8" w14:textId="77777777"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 xml:space="preserve">Disinfectants for hard surfaces of industry, institution, healthcare </w:t>
            </w:r>
            <w:r w:rsidRPr="007A4A14">
              <w:rPr>
                <w:rFonts w:eastAsia="Calibri" w:cs="Arial"/>
                <w:lang w:val="sv-SE" w:eastAsia="sv-SE"/>
              </w:rPr>
              <w:lastRenderedPageBreak/>
              <w:t>facilities and healthcare</w:t>
            </w:r>
            <w:r>
              <w:rPr>
                <w:rFonts w:eastAsia="Calibri" w:cs="Arial"/>
                <w:lang w:val="sv-SE" w:eastAsia="sv-SE"/>
              </w:rPr>
              <w:t xml:space="preserve"> (PT2)</w:t>
            </w:r>
          </w:p>
        </w:tc>
        <w:tc>
          <w:tcPr>
            <w:tcW w:w="1701" w:type="dxa"/>
            <w:vMerge w:val="restart"/>
            <w:shd w:val="clear" w:color="auto" w:fill="auto"/>
            <w:vAlign w:val="center"/>
          </w:tcPr>
          <w:p w14:paraId="719E7BB0"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lastRenderedPageBreak/>
              <w:t>Bacteria</w:t>
            </w:r>
          </w:p>
          <w:p w14:paraId="67FC0FE3"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4BFA6888"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608906EA" w14:textId="77777777" w:rsidR="00853F2D" w:rsidRDefault="00853F2D" w:rsidP="00CF41A1">
            <w:pPr>
              <w:snapToGrid w:val="0"/>
              <w:spacing w:line="260" w:lineRule="atLeast"/>
              <w:ind w:right="-108"/>
            </w:pPr>
          </w:p>
          <w:p w14:paraId="03DB333A"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vAlign w:val="center"/>
          </w:tcPr>
          <w:p w14:paraId="0B48E0FC" w14:textId="3C06E993"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5EBDDC5" w14:textId="77777777" w:rsidR="00853F2D" w:rsidRPr="00991E44" w:rsidRDefault="00853F2D" w:rsidP="00CF41A1">
            <w:pPr>
              <w:keepNext/>
              <w:tabs>
                <w:tab w:val="left" w:pos="426"/>
              </w:tabs>
              <w:ind w:right="-108"/>
              <w:textAlignment w:val="top"/>
              <w:rPr>
                <w:rFonts w:eastAsia="Calibri" w:cs="Arial"/>
                <w:lang w:val="sv-SE" w:eastAsia="sv-SE"/>
              </w:rPr>
            </w:pPr>
          </w:p>
          <w:p w14:paraId="44A78736"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69FB08BE" w14:textId="77777777" w:rsidR="00853F2D" w:rsidRDefault="00853F2D" w:rsidP="00CF41A1">
            <w:pPr>
              <w:ind w:right="-102"/>
            </w:pPr>
            <w:r w:rsidRPr="00CF2528">
              <w:t>Acceptable</w:t>
            </w:r>
          </w:p>
        </w:tc>
      </w:tr>
      <w:tr w:rsidR="00853F2D" w:rsidRPr="00D101A0" w14:paraId="3AE13B09" w14:textId="77777777" w:rsidTr="00CF41A1">
        <w:trPr>
          <w:trHeight w:val="1820"/>
        </w:trPr>
        <w:tc>
          <w:tcPr>
            <w:tcW w:w="851" w:type="dxa"/>
            <w:vMerge/>
            <w:vAlign w:val="center"/>
          </w:tcPr>
          <w:p w14:paraId="21ADFBCF" w14:textId="77777777" w:rsidR="00853F2D" w:rsidRDefault="00853F2D" w:rsidP="00CF41A1">
            <w:pPr>
              <w:spacing w:line="260" w:lineRule="atLeast"/>
              <w:ind w:right="-109"/>
            </w:pPr>
          </w:p>
        </w:tc>
        <w:tc>
          <w:tcPr>
            <w:tcW w:w="1984" w:type="dxa"/>
            <w:vMerge/>
            <w:shd w:val="clear" w:color="auto" w:fill="auto"/>
            <w:vAlign w:val="center"/>
          </w:tcPr>
          <w:p w14:paraId="2AA1F324"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1F975BC"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7A2675F9"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3088D901" w14:textId="2B5DF938"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CF9C579" w14:textId="77777777" w:rsidR="00853F2D" w:rsidRPr="00991E44" w:rsidRDefault="00853F2D" w:rsidP="00CF41A1">
            <w:pPr>
              <w:keepNext/>
              <w:tabs>
                <w:tab w:val="left" w:pos="426"/>
              </w:tabs>
              <w:ind w:right="-108"/>
              <w:textAlignment w:val="top"/>
              <w:rPr>
                <w:rFonts w:eastAsia="Calibri" w:cs="Arial"/>
                <w:lang w:val="sv-SE" w:eastAsia="sv-SE"/>
              </w:rPr>
            </w:pPr>
          </w:p>
          <w:p w14:paraId="651958B8"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186D79AA" w14:textId="77777777" w:rsidR="00853F2D" w:rsidRDefault="00853F2D" w:rsidP="00CF41A1">
            <w:pPr>
              <w:ind w:right="-102"/>
            </w:pPr>
            <w:r w:rsidRPr="00CF2528">
              <w:t>Acceptable</w:t>
            </w:r>
          </w:p>
        </w:tc>
      </w:tr>
      <w:tr w:rsidR="00853F2D" w:rsidRPr="00D101A0" w14:paraId="79250D7B" w14:textId="77777777" w:rsidTr="00CF41A1">
        <w:trPr>
          <w:trHeight w:val="1820"/>
        </w:trPr>
        <w:tc>
          <w:tcPr>
            <w:tcW w:w="851" w:type="dxa"/>
            <w:vMerge/>
            <w:vAlign w:val="center"/>
          </w:tcPr>
          <w:p w14:paraId="6DA29EA9" w14:textId="77777777" w:rsidR="00853F2D" w:rsidRDefault="00853F2D" w:rsidP="00CF41A1">
            <w:pPr>
              <w:spacing w:line="260" w:lineRule="atLeast"/>
              <w:ind w:right="-109"/>
            </w:pPr>
          </w:p>
        </w:tc>
        <w:tc>
          <w:tcPr>
            <w:tcW w:w="1984" w:type="dxa"/>
            <w:vMerge/>
            <w:shd w:val="clear" w:color="auto" w:fill="auto"/>
            <w:vAlign w:val="center"/>
          </w:tcPr>
          <w:p w14:paraId="12ADA3CC"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2A7179E4"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E5DDCD1"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51ED3895" w14:textId="48B0889C"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14A0933C" w14:textId="77777777" w:rsidR="00853F2D" w:rsidRPr="00991E44" w:rsidRDefault="00853F2D" w:rsidP="00CF41A1">
            <w:pPr>
              <w:keepNext/>
              <w:tabs>
                <w:tab w:val="left" w:pos="426"/>
              </w:tabs>
              <w:ind w:right="-108"/>
              <w:textAlignment w:val="top"/>
              <w:rPr>
                <w:rFonts w:eastAsia="Calibri" w:cs="Arial"/>
                <w:lang w:val="sv-SE" w:eastAsia="sv-SE"/>
              </w:rPr>
            </w:pPr>
          </w:p>
          <w:p w14:paraId="6F3D15DF"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157D0B3E" w14:textId="77777777" w:rsidR="00853F2D" w:rsidRDefault="00853F2D" w:rsidP="00CF41A1">
            <w:pPr>
              <w:ind w:right="-102"/>
            </w:pPr>
            <w:r w:rsidRPr="00CF2528">
              <w:t>Acceptable</w:t>
            </w:r>
          </w:p>
        </w:tc>
      </w:tr>
      <w:tr w:rsidR="00853F2D" w:rsidRPr="00D101A0" w14:paraId="5809C77B" w14:textId="77777777" w:rsidTr="00CF41A1">
        <w:trPr>
          <w:trHeight w:val="1820"/>
        </w:trPr>
        <w:tc>
          <w:tcPr>
            <w:tcW w:w="851" w:type="dxa"/>
            <w:vMerge/>
            <w:vAlign w:val="center"/>
          </w:tcPr>
          <w:p w14:paraId="1D831E39" w14:textId="77777777" w:rsidR="00853F2D" w:rsidRDefault="00853F2D" w:rsidP="00CF41A1">
            <w:pPr>
              <w:spacing w:line="260" w:lineRule="atLeast"/>
              <w:ind w:right="-109"/>
            </w:pPr>
          </w:p>
        </w:tc>
        <w:tc>
          <w:tcPr>
            <w:tcW w:w="1984" w:type="dxa"/>
            <w:vMerge/>
            <w:shd w:val="clear" w:color="auto" w:fill="auto"/>
            <w:vAlign w:val="center"/>
          </w:tcPr>
          <w:p w14:paraId="4A2B31F8"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628D8F2"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1817C4A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62E04DE6" w14:textId="2C205D2D"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2196DD6" w14:textId="77777777" w:rsidR="00853F2D" w:rsidRPr="00DE7D94" w:rsidRDefault="00853F2D" w:rsidP="00CF41A1">
            <w:pPr>
              <w:keepNext/>
              <w:tabs>
                <w:tab w:val="left" w:pos="426"/>
              </w:tabs>
              <w:ind w:right="-108"/>
              <w:textAlignment w:val="top"/>
              <w:rPr>
                <w:rFonts w:eastAsia="Calibri" w:cs="Arial"/>
                <w:lang w:val="sv-SE" w:eastAsia="sv-SE"/>
              </w:rPr>
            </w:pPr>
          </w:p>
          <w:p w14:paraId="34977931"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32112D76" w14:textId="77777777" w:rsidR="00853F2D" w:rsidRDefault="00853F2D" w:rsidP="00CF41A1">
            <w:pPr>
              <w:ind w:right="-102"/>
            </w:pPr>
            <w:r w:rsidRPr="00CF2528">
              <w:t>Acceptable</w:t>
            </w:r>
          </w:p>
        </w:tc>
      </w:tr>
      <w:tr w:rsidR="00853F2D" w:rsidRPr="00D101A0" w14:paraId="64D2122D" w14:textId="77777777" w:rsidTr="00CF41A1">
        <w:trPr>
          <w:trHeight w:val="1820"/>
        </w:trPr>
        <w:tc>
          <w:tcPr>
            <w:tcW w:w="851" w:type="dxa"/>
            <w:vMerge/>
            <w:vAlign w:val="center"/>
          </w:tcPr>
          <w:p w14:paraId="0A369BB2" w14:textId="77777777" w:rsidR="00853F2D" w:rsidRDefault="00853F2D" w:rsidP="00CF41A1">
            <w:pPr>
              <w:spacing w:line="260" w:lineRule="atLeast"/>
              <w:ind w:right="-109"/>
            </w:pPr>
          </w:p>
        </w:tc>
        <w:tc>
          <w:tcPr>
            <w:tcW w:w="1984" w:type="dxa"/>
            <w:vMerge/>
            <w:shd w:val="clear" w:color="auto" w:fill="auto"/>
            <w:vAlign w:val="center"/>
          </w:tcPr>
          <w:p w14:paraId="6BFF9F41"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88D652B"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36EF377"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027F1C10" w14:textId="26850ABD"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16440CA" w14:textId="77777777" w:rsidR="00853F2D" w:rsidRPr="00DE7D94" w:rsidRDefault="00853F2D" w:rsidP="00CF41A1">
            <w:pPr>
              <w:keepNext/>
              <w:tabs>
                <w:tab w:val="left" w:pos="426"/>
              </w:tabs>
              <w:ind w:right="-108"/>
              <w:textAlignment w:val="top"/>
              <w:rPr>
                <w:rFonts w:eastAsia="Calibri" w:cs="Arial"/>
                <w:lang w:val="sv-SE" w:eastAsia="sv-SE"/>
              </w:rPr>
            </w:pPr>
          </w:p>
          <w:p w14:paraId="5E168151"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206BDB8A" w14:textId="77777777" w:rsidR="00853F2D" w:rsidRDefault="00853F2D" w:rsidP="00CF41A1">
            <w:pPr>
              <w:ind w:right="-102"/>
            </w:pPr>
            <w:r w:rsidRPr="00CF2528">
              <w:t>Acceptable</w:t>
            </w:r>
          </w:p>
        </w:tc>
      </w:tr>
      <w:tr w:rsidR="00853F2D" w:rsidRPr="00D101A0" w14:paraId="27F847BD" w14:textId="77777777" w:rsidTr="00CF41A1">
        <w:trPr>
          <w:trHeight w:val="619"/>
        </w:trPr>
        <w:tc>
          <w:tcPr>
            <w:tcW w:w="851" w:type="dxa"/>
            <w:vMerge/>
            <w:vAlign w:val="center"/>
          </w:tcPr>
          <w:p w14:paraId="6A102867" w14:textId="77777777" w:rsidR="00853F2D" w:rsidRDefault="00853F2D" w:rsidP="00CF41A1">
            <w:pPr>
              <w:spacing w:line="260" w:lineRule="atLeast"/>
              <w:ind w:right="-109"/>
            </w:pPr>
          </w:p>
        </w:tc>
        <w:tc>
          <w:tcPr>
            <w:tcW w:w="1984" w:type="dxa"/>
            <w:vMerge w:val="restart"/>
            <w:shd w:val="clear" w:color="auto" w:fill="auto"/>
            <w:vAlign w:val="center"/>
          </w:tcPr>
          <w:p w14:paraId="08EAF261" w14:textId="77777777" w:rsidR="00853F2D" w:rsidRDefault="00853F2D" w:rsidP="00CF41A1">
            <w:pPr>
              <w:spacing w:line="260" w:lineRule="atLeast"/>
              <w:rPr>
                <w:rFonts w:eastAsia="Calibri" w:cs="Arial"/>
                <w:lang w:val="sv-SE" w:eastAsia="sv-SE"/>
              </w:rPr>
            </w:pPr>
            <w:r>
              <w:rPr>
                <w:rFonts w:eastAsia="Calibri" w:cs="Arial"/>
                <w:lang w:val="sv-SE" w:eastAsia="sv-SE"/>
              </w:rPr>
              <w:t>2</w:t>
            </w:r>
          </w:p>
          <w:p w14:paraId="3861297D" w14:textId="77777777" w:rsidR="00853F2D"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healthcare facilities and, food preparation and handling areas</w:t>
            </w:r>
            <w:r>
              <w:rPr>
                <w:rFonts w:eastAsia="Calibri" w:cs="Arial"/>
                <w:lang w:val="sv-SE" w:eastAsia="sv-SE"/>
              </w:rPr>
              <w:t xml:space="preserve"> (PT2 and 4)</w:t>
            </w:r>
          </w:p>
          <w:p w14:paraId="0281675F" w14:textId="77777777" w:rsidR="00853F2D" w:rsidRDefault="00853F2D" w:rsidP="00CF41A1">
            <w:pPr>
              <w:spacing w:line="260" w:lineRule="atLeast"/>
              <w:rPr>
                <w:rFonts w:eastAsia="Calibri" w:cs="Arial"/>
                <w:lang w:val="sv-SE" w:eastAsia="sv-SE"/>
              </w:rPr>
            </w:pPr>
          </w:p>
          <w:p w14:paraId="39675B83" w14:textId="77777777" w:rsidR="00853F2D" w:rsidRDefault="00853F2D" w:rsidP="00CF41A1">
            <w:pPr>
              <w:spacing w:line="260" w:lineRule="atLeast"/>
              <w:rPr>
                <w:rFonts w:eastAsia="Calibri" w:cs="Arial"/>
                <w:lang w:val="sv-SE" w:eastAsia="sv-SE"/>
              </w:rPr>
            </w:pPr>
            <w:r>
              <w:rPr>
                <w:rFonts w:eastAsia="Calibri" w:cs="Arial"/>
                <w:lang w:val="sv-SE" w:eastAsia="sv-SE"/>
              </w:rPr>
              <w:t>And</w:t>
            </w:r>
          </w:p>
          <w:p w14:paraId="4D2E8CAE" w14:textId="77777777" w:rsidR="00853F2D" w:rsidRDefault="00853F2D" w:rsidP="00CF41A1">
            <w:pPr>
              <w:spacing w:line="260" w:lineRule="atLeast"/>
              <w:rPr>
                <w:rFonts w:eastAsia="Calibri" w:cs="Arial"/>
                <w:lang w:val="sv-SE" w:eastAsia="sv-SE"/>
              </w:rPr>
            </w:pPr>
          </w:p>
          <w:p w14:paraId="0DD7C2C2" w14:textId="77777777" w:rsidR="00853F2D" w:rsidRDefault="00853F2D" w:rsidP="00CF41A1">
            <w:pPr>
              <w:spacing w:line="260" w:lineRule="atLeast"/>
              <w:rPr>
                <w:rFonts w:eastAsia="Calibri" w:cs="Arial"/>
                <w:lang w:val="sv-SE" w:eastAsia="sv-SE"/>
              </w:rPr>
            </w:pPr>
            <w:r>
              <w:rPr>
                <w:rFonts w:eastAsia="Calibri" w:cs="Arial"/>
                <w:lang w:val="sv-SE" w:eastAsia="sv-SE"/>
              </w:rPr>
              <w:t>4</w:t>
            </w:r>
          </w:p>
          <w:p w14:paraId="29575442" w14:textId="18FE122C" w:rsidR="00853F2D" w:rsidRPr="004A79AF" w:rsidRDefault="00853F2D" w:rsidP="00CF41A1">
            <w:pPr>
              <w:spacing w:line="260" w:lineRule="atLeast"/>
              <w:rPr>
                <w:rFonts w:eastAsia="Calibri" w:cs="Arial"/>
                <w:lang w:val="sv-SE" w:eastAsia="sv-SE"/>
              </w:rPr>
            </w:pPr>
            <w:r w:rsidRPr="007A4A14">
              <w:rPr>
                <w:rFonts w:eastAsia="Calibri" w:cs="Arial"/>
                <w:lang w:val="sv-SE" w:eastAsia="sv-SE"/>
              </w:rPr>
              <w:t>Disinfectants for hard surfaces of industry, institution and healthcare facilities areas</w:t>
            </w:r>
            <w:r>
              <w:rPr>
                <w:rFonts w:eastAsia="Calibri" w:cs="Arial"/>
                <w:lang w:val="sv-SE" w:eastAsia="sv-SE"/>
              </w:rPr>
              <w:t xml:space="preserve"> (PT</w:t>
            </w:r>
            <w:r w:rsidR="006541C5">
              <w:rPr>
                <w:rFonts w:eastAsia="Calibri" w:cs="Arial"/>
                <w:lang w:val="sv-SE" w:eastAsia="sv-SE"/>
              </w:rPr>
              <w:t>2</w:t>
            </w:r>
            <w:r>
              <w:rPr>
                <w:rFonts w:eastAsia="Calibri" w:cs="Arial"/>
                <w:lang w:val="sv-SE" w:eastAsia="sv-SE"/>
              </w:rPr>
              <w:t>)</w:t>
            </w:r>
          </w:p>
        </w:tc>
        <w:tc>
          <w:tcPr>
            <w:tcW w:w="1701" w:type="dxa"/>
            <w:vMerge w:val="restart"/>
            <w:shd w:val="clear" w:color="auto" w:fill="auto"/>
            <w:vAlign w:val="center"/>
          </w:tcPr>
          <w:p w14:paraId="16484245"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Bacteria</w:t>
            </w:r>
          </w:p>
          <w:p w14:paraId="6D22FFD2"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shd w:val="clear" w:color="auto" w:fill="auto"/>
            <w:vAlign w:val="center"/>
          </w:tcPr>
          <w:p w14:paraId="72BD0250" w14:textId="77777777" w:rsidR="00853F2D" w:rsidRPr="007A4A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vAlign w:val="center"/>
          </w:tcPr>
          <w:p w14:paraId="580EADF9" w14:textId="724DD3CF"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6350D7C" w14:textId="77777777" w:rsidR="00853F2D" w:rsidRPr="00991E44" w:rsidRDefault="00853F2D" w:rsidP="00CF41A1">
            <w:pPr>
              <w:keepNext/>
              <w:tabs>
                <w:tab w:val="left" w:pos="426"/>
              </w:tabs>
              <w:ind w:right="-108"/>
              <w:textAlignment w:val="top"/>
              <w:rPr>
                <w:rFonts w:eastAsia="Calibri" w:cs="Arial"/>
                <w:lang w:val="sv-SE" w:eastAsia="sv-SE"/>
              </w:rPr>
            </w:pPr>
          </w:p>
          <w:p w14:paraId="7C533AB1"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Spraying on hard surfaces.</w:t>
            </w:r>
          </w:p>
        </w:tc>
        <w:tc>
          <w:tcPr>
            <w:tcW w:w="1422" w:type="dxa"/>
            <w:vAlign w:val="center"/>
          </w:tcPr>
          <w:p w14:paraId="1FFF80AE" w14:textId="77777777" w:rsidR="00853F2D" w:rsidRDefault="00853F2D" w:rsidP="00CF41A1">
            <w:pPr>
              <w:ind w:right="-102"/>
            </w:pPr>
            <w:r w:rsidRPr="00CF2528">
              <w:t>Acceptable</w:t>
            </w:r>
          </w:p>
        </w:tc>
      </w:tr>
      <w:tr w:rsidR="00853F2D" w:rsidRPr="00D101A0" w14:paraId="4AFB476C" w14:textId="77777777" w:rsidTr="00CF41A1">
        <w:trPr>
          <w:trHeight w:val="1820"/>
        </w:trPr>
        <w:tc>
          <w:tcPr>
            <w:tcW w:w="851" w:type="dxa"/>
            <w:vMerge/>
            <w:vAlign w:val="center"/>
          </w:tcPr>
          <w:p w14:paraId="7AE4DDCC" w14:textId="77777777" w:rsidR="00853F2D" w:rsidRDefault="00853F2D" w:rsidP="00CF41A1">
            <w:pPr>
              <w:spacing w:line="260" w:lineRule="atLeast"/>
              <w:ind w:right="-109"/>
            </w:pPr>
          </w:p>
        </w:tc>
        <w:tc>
          <w:tcPr>
            <w:tcW w:w="1984" w:type="dxa"/>
            <w:vMerge/>
            <w:shd w:val="clear" w:color="auto" w:fill="auto"/>
            <w:vAlign w:val="center"/>
          </w:tcPr>
          <w:p w14:paraId="391DC788"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467C7FF4"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val="restart"/>
            <w:shd w:val="clear" w:color="auto" w:fill="auto"/>
            <w:vAlign w:val="center"/>
          </w:tcPr>
          <w:p w14:paraId="31457B6C"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16 ml on wipe/mop</w:t>
            </w:r>
            <w:r>
              <w:rPr>
                <w:rFonts w:eastAsia="Calibri" w:cs="Arial"/>
                <w:lang w:val="sv-SE" w:eastAsia="sv-SE"/>
              </w:rPr>
              <w:t>/brush/by machine</w:t>
            </w:r>
            <w:r w:rsidRPr="00DE7D94">
              <w:rPr>
                <w:rFonts w:eastAsia="Calibri" w:cs="Arial"/>
                <w:lang w:val="sv-SE" w:eastAsia="sv-SE"/>
              </w:rPr>
              <w:t xml:space="preserve"> per 0.1m</w:t>
            </w:r>
            <w:r w:rsidRPr="00DE7D94">
              <w:rPr>
                <w:rFonts w:eastAsia="Calibri" w:cs="Arial"/>
                <w:vertAlign w:val="superscript"/>
                <w:lang w:val="sv-SE" w:eastAsia="sv-SE"/>
              </w:rPr>
              <w:t>2</w:t>
            </w:r>
            <w:r w:rsidRPr="00DE7D94">
              <w:rPr>
                <w:rFonts w:eastAsia="Calibri" w:cs="Arial"/>
                <w:lang w:val="sv-SE" w:eastAsia="sv-SE"/>
              </w:rPr>
              <w:t xml:space="preserve"> (8 to 12 sprays)</w:t>
            </w:r>
          </w:p>
        </w:tc>
        <w:tc>
          <w:tcPr>
            <w:tcW w:w="2547" w:type="dxa"/>
            <w:vAlign w:val="center"/>
          </w:tcPr>
          <w:p w14:paraId="519CB886" w14:textId="69582C82"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045FC1CD" w14:textId="77777777" w:rsidR="00853F2D" w:rsidRPr="00991E44" w:rsidRDefault="00853F2D" w:rsidP="00CF41A1">
            <w:pPr>
              <w:keepNext/>
              <w:tabs>
                <w:tab w:val="left" w:pos="426"/>
              </w:tabs>
              <w:ind w:right="-108"/>
              <w:textAlignment w:val="top"/>
              <w:rPr>
                <w:rFonts w:eastAsia="Calibri" w:cs="Arial"/>
                <w:lang w:val="sv-SE" w:eastAsia="sv-SE"/>
              </w:rPr>
            </w:pPr>
          </w:p>
          <w:p w14:paraId="689A9622"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Align w:val="center"/>
          </w:tcPr>
          <w:p w14:paraId="0D7E8D31" w14:textId="77777777" w:rsidR="00853F2D" w:rsidRDefault="00853F2D" w:rsidP="00CF41A1">
            <w:pPr>
              <w:ind w:right="-102"/>
            </w:pPr>
            <w:r w:rsidRPr="00CF2528">
              <w:t>Acceptable</w:t>
            </w:r>
          </w:p>
        </w:tc>
      </w:tr>
      <w:tr w:rsidR="00853F2D" w:rsidRPr="00D101A0" w14:paraId="50B55F4F" w14:textId="77777777" w:rsidTr="00CF41A1">
        <w:trPr>
          <w:trHeight w:val="552"/>
        </w:trPr>
        <w:tc>
          <w:tcPr>
            <w:tcW w:w="851" w:type="dxa"/>
            <w:vMerge/>
            <w:vAlign w:val="center"/>
          </w:tcPr>
          <w:p w14:paraId="24EFE409" w14:textId="77777777" w:rsidR="00853F2D" w:rsidRDefault="00853F2D" w:rsidP="00CF41A1">
            <w:pPr>
              <w:spacing w:line="260" w:lineRule="atLeast"/>
              <w:ind w:right="-109"/>
            </w:pPr>
          </w:p>
        </w:tc>
        <w:tc>
          <w:tcPr>
            <w:tcW w:w="1984" w:type="dxa"/>
            <w:vMerge/>
            <w:shd w:val="clear" w:color="auto" w:fill="auto"/>
            <w:vAlign w:val="center"/>
          </w:tcPr>
          <w:p w14:paraId="220BF308"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F773181"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AB2F32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1E2748CF" w14:textId="04832569"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420E9AA" w14:textId="77777777" w:rsidR="00853F2D" w:rsidRPr="00991E44" w:rsidRDefault="00853F2D" w:rsidP="00CF41A1">
            <w:pPr>
              <w:keepNext/>
              <w:tabs>
                <w:tab w:val="left" w:pos="426"/>
              </w:tabs>
              <w:ind w:right="-108"/>
              <w:textAlignment w:val="top"/>
              <w:rPr>
                <w:rFonts w:eastAsia="Calibri" w:cs="Arial"/>
                <w:lang w:val="sv-SE" w:eastAsia="sv-SE"/>
              </w:rPr>
            </w:pPr>
          </w:p>
          <w:p w14:paraId="5DB10F00"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Align w:val="center"/>
          </w:tcPr>
          <w:p w14:paraId="6C995095" w14:textId="77777777" w:rsidR="00853F2D" w:rsidRDefault="00853F2D" w:rsidP="00CF41A1">
            <w:pPr>
              <w:ind w:right="-102"/>
            </w:pPr>
            <w:r w:rsidRPr="00CF2528">
              <w:t>Acceptable</w:t>
            </w:r>
          </w:p>
        </w:tc>
      </w:tr>
      <w:tr w:rsidR="00853F2D" w:rsidRPr="00D101A0" w14:paraId="676F9687" w14:textId="77777777" w:rsidTr="00CF41A1">
        <w:trPr>
          <w:trHeight w:val="1820"/>
        </w:trPr>
        <w:tc>
          <w:tcPr>
            <w:tcW w:w="851" w:type="dxa"/>
            <w:vMerge/>
            <w:vAlign w:val="center"/>
          </w:tcPr>
          <w:p w14:paraId="59164B37" w14:textId="77777777" w:rsidR="00853F2D" w:rsidRDefault="00853F2D" w:rsidP="00CF41A1">
            <w:pPr>
              <w:spacing w:line="260" w:lineRule="atLeast"/>
              <w:ind w:right="-109"/>
            </w:pPr>
          </w:p>
        </w:tc>
        <w:tc>
          <w:tcPr>
            <w:tcW w:w="1984" w:type="dxa"/>
            <w:vMerge/>
            <w:shd w:val="clear" w:color="auto" w:fill="auto"/>
            <w:vAlign w:val="center"/>
          </w:tcPr>
          <w:p w14:paraId="47505DF0"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71309BAC"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0D10D5E"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1EFAC0F8" w14:textId="2D2E1F35"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14C99A47" w14:textId="77777777" w:rsidR="00853F2D" w:rsidRPr="00DE7D94" w:rsidRDefault="00853F2D" w:rsidP="00CF41A1">
            <w:pPr>
              <w:keepNext/>
              <w:tabs>
                <w:tab w:val="left" w:pos="426"/>
              </w:tabs>
              <w:ind w:right="-108"/>
              <w:textAlignment w:val="top"/>
              <w:rPr>
                <w:rFonts w:eastAsia="Calibri" w:cs="Arial"/>
                <w:lang w:val="sv-SE" w:eastAsia="sv-SE"/>
              </w:rPr>
            </w:pPr>
          </w:p>
          <w:p w14:paraId="15304167"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Align w:val="center"/>
          </w:tcPr>
          <w:p w14:paraId="7749DB50" w14:textId="77777777" w:rsidR="00853F2D" w:rsidRDefault="00853F2D" w:rsidP="00CF41A1">
            <w:pPr>
              <w:ind w:right="-102"/>
            </w:pPr>
            <w:r w:rsidRPr="00CF2528">
              <w:t>Acceptable</w:t>
            </w:r>
          </w:p>
        </w:tc>
      </w:tr>
      <w:tr w:rsidR="00853F2D" w:rsidRPr="00D101A0" w14:paraId="796A9F02" w14:textId="77777777" w:rsidTr="00CF41A1">
        <w:trPr>
          <w:trHeight w:val="1820"/>
        </w:trPr>
        <w:tc>
          <w:tcPr>
            <w:tcW w:w="851" w:type="dxa"/>
            <w:vMerge/>
            <w:vAlign w:val="center"/>
          </w:tcPr>
          <w:p w14:paraId="3EEEACA8" w14:textId="77777777" w:rsidR="00853F2D" w:rsidRDefault="00853F2D" w:rsidP="00CF41A1">
            <w:pPr>
              <w:spacing w:line="260" w:lineRule="atLeast"/>
              <w:ind w:right="-109"/>
            </w:pPr>
          </w:p>
        </w:tc>
        <w:tc>
          <w:tcPr>
            <w:tcW w:w="1984" w:type="dxa"/>
            <w:vMerge/>
            <w:shd w:val="clear" w:color="auto" w:fill="auto"/>
            <w:vAlign w:val="center"/>
          </w:tcPr>
          <w:p w14:paraId="65628D49"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10D304B6"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0A686FC5"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63948E23" w14:textId="28A6B0D3"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51DD00C" w14:textId="77777777" w:rsidR="00853F2D" w:rsidRPr="00DE7D94" w:rsidRDefault="00853F2D" w:rsidP="00CF41A1">
            <w:pPr>
              <w:keepNext/>
              <w:tabs>
                <w:tab w:val="left" w:pos="426"/>
              </w:tabs>
              <w:ind w:right="-108"/>
              <w:textAlignment w:val="top"/>
              <w:rPr>
                <w:rFonts w:eastAsia="Calibri" w:cs="Arial"/>
                <w:lang w:val="sv-SE" w:eastAsia="sv-SE"/>
              </w:rPr>
            </w:pPr>
          </w:p>
          <w:p w14:paraId="73C33572"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scrubbing</w:t>
            </w:r>
            <w:r w:rsidRPr="00DE7D94">
              <w:rPr>
                <w:rFonts w:eastAsia="Calibri" w:cs="Arial"/>
                <w:lang w:val="sv-SE" w:eastAsia="sv-SE"/>
              </w:rPr>
              <w:t xml:space="preserve"> on hard surfaces (applying product </w:t>
            </w:r>
            <w:r>
              <w:rPr>
                <w:rFonts w:eastAsia="Calibri" w:cs="Arial"/>
                <w:lang w:val="sv-SE" w:eastAsia="sv-SE"/>
              </w:rPr>
              <w:t>by machine</w:t>
            </w:r>
            <w:r w:rsidRPr="00DE7D94">
              <w:rPr>
                <w:rFonts w:eastAsia="Calibri" w:cs="Arial"/>
                <w:lang w:val="sv-SE" w:eastAsia="sv-SE"/>
              </w:rPr>
              <w:t>).</w:t>
            </w:r>
          </w:p>
        </w:tc>
        <w:tc>
          <w:tcPr>
            <w:tcW w:w="1422" w:type="dxa"/>
            <w:vAlign w:val="center"/>
          </w:tcPr>
          <w:p w14:paraId="22E6557F" w14:textId="77777777" w:rsidR="00853F2D" w:rsidRDefault="00853F2D" w:rsidP="00CF41A1">
            <w:pPr>
              <w:ind w:right="-102"/>
            </w:pPr>
            <w:r w:rsidRPr="00CF2528">
              <w:t>Acceptable</w:t>
            </w:r>
          </w:p>
        </w:tc>
      </w:tr>
      <w:tr w:rsidR="00853F2D" w:rsidRPr="00D101A0" w14:paraId="49D781A1" w14:textId="77777777" w:rsidTr="00CF41A1">
        <w:trPr>
          <w:trHeight w:val="1820"/>
        </w:trPr>
        <w:tc>
          <w:tcPr>
            <w:tcW w:w="851" w:type="dxa"/>
            <w:vMerge w:val="restart"/>
            <w:shd w:val="clear" w:color="auto" w:fill="BFBFBF" w:themeFill="background1" w:themeFillShade="BF"/>
            <w:vAlign w:val="center"/>
          </w:tcPr>
          <w:p w14:paraId="0A630092" w14:textId="77777777" w:rsidR="00853F2D" w:rsidRDefault="00853F2D" w:rsidP="00CF41A1">
            <w:pPr>
              <w:spacing w:line="260" w:lineRule="atLeast"/>
              <w:ind w:right="-109"/>
            </w:pPr>
            <w:r>
              <w:lastRenderedPageBreak/>
              <w:t>Meta SPC 8</w:t>
            </w:r>
          </w:p>
        </w:tc>
        <w:tc>
          <w:tcPr>
            <w:tcW w:w="1984" w:type="dxa"/>
            <w:vMerge w:val="restart"/>
            <w:shd w:val="clear" w:color="auto" w:fill="BFBFBF" w:themeFill="background1" w:themeFillShade="BF"/>
            <w:vAlign w:val="center"/>
          </w:tcPr>
          <w:p w14:paraId="1319A9CC"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5A93B8E5" w14:textId="77777777" w:rsidR="00853F2D" w:rsidRPr="004A79AF" w:rsidRDefault="00853F2D" w:rsidP="00CF41A1">
            <w:pPr>
              <w:spacing w:line="260" w:lineRule="atLeast"/>
              <w:rPr>
                <w:rFonts w:eastAsia="Calibri" w:cs="Arial"/>
                <w:lang w:val="sv-SE" w:eastAsia="sv-SE"/>
              </w:rPr>
            </w:pPr>
            <w:r w:rsidRPr="00F86A8D">
              <w:rPr>
                <w:rFonts w:eastAsia="Calibri" w:cs="Arial"/>
                <w:lang w:val="sv-SE" w:eastAsia="sv-SE"/>
              </w:rPr>
              <w:t>Disinfectants for hard surfaces of domestic area</w:t>
            </w:r>
            <w:r>
              <w:rPr>
                <w:rFonts w:eastAsia="Calibri" w:cs="Arial"/>
                <w:lang w:val="sv-SE" w:eastAsia="sv-SE"/>
              </w:rPr>
              <w:t xml:space="preserve"> (PT2)</w:t>
            </w:r>
          </w:p>
        </w:tc>
        <w:tc>
          <w:tcPr>
            <w:tcW w:w="1701" w:type="dxa"/>
            <w:vMerge w:val="restart"/>
            <w:shd w:val="clear" w:color="auto" w:fill="BFBFBF" w:themeFill="background1" w:themeFillShade="BF"/>
            <w:vAlign w:val="center"/>
          </w:tcPr>
          <w:p w14:paraId="70291576"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 xml:space="preserve">Bacteria (including additional strain </w:t>
            </w:r>
            <w:r w:rsidRPr="00F86A8D">
              <w:rPr>
                <w:rFonts w:eastAsia="Calibri" w:cs="Arial"/>
                <w:i/>
                <w:lang w:val="sv-SE" w:eastAsia="sv-SE"/>
              </w:rPr>
              <w:t>Bartonella henselae</w:t>
            </w:r>
            <w:r w:rsidRPr="00F86A8D">
              <w:rPr>
                <w:rFonts w:eastAsia="Calibri" w:cs="Arial"/>
                <w:lang w:val="sv-SE" w:eastAsia="sv-SE"/>
              </w:rPr>
              <w:t>)</w:t>
            </w:r>
          </w:p>
        </w:tc>
        <w:tc>
          <w:tcPr>
            <w:tcW w:w="1701" w:type="dxa"/>
            <w:vMerge w:val="restart"/>
            <w:shd w:val="clear" w:color="auto" w:fill="BFBFBF" w:themeFill="background1" w:themeFillShade="BF"/>
            <w:vAlign w:val="center"/>
          </w:tcPr>
          <w:p w14:paraId="73293BC3"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0FE69743" w14:textId="77777777" w:rsidR="00853F2D" w:rsidRDefault="00853F2D" w:rsidP="00CF41A1">
            <w:pPr>
              <w:snapToGrid w:val="0"/>
              <w:spacing w:line="260" w:lineRule="atLeast"/>
              <w:ind w:right="-108"/>
            </w:pPr>
          </w:p>
          <w:p w14:paraId="1C459CB7"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shd w:val="clear" w:color="auto" w:fill="BFBFBF" w:themeFill="background1" w:themeFillShade="BF"/>
            <w:vAlign w:val="center"/>
          </w:tcPr>
          <w:p w14:paraId="3599D4E0" w14:textId="77777777" w:rsidR="00853F2D" w:rsidRPr="00F86A8D"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69885849" w14:textId="77777777" w:rsidR="00853F2D" w:rsidRPr="00991E44" w:rsidRDefault="00853F2D" w:rsidP="00CF41A1">
            <w:pPr>
              <w:keepNext/>
              <w:tabs>
                <w:tab w:val="left" w:pos="426"/>
              </w:tabs>
              <w:ind w:right="-108"/>
              <w:textAlignment w:val="top"/>
              <w:rPr>
                <w:rFonts w:eastAsia="Calibri" w:cs="Arial"/>
                <w:lang w:val="sv-SE" w:eastAsia="sv-SE"/>
              </w:rPr>
            </w:pPr>
          </w:p>
          <w:p w14:paraId="2EAFCA3A"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Application by wiping on hard surfaces (applying product onto wipe followed by wiping).</w:t>
            </w:r>
          </w:p>
        </w:tc>
        <w:tc>
          <w:tcPr>
            <w:tcW w:w="1422" w:type="dxa"/>
            <w:vMerge w:val="restart"/>
            <w:shd w:val="clear" w:color="auto" w:fill="BFBFBF" w:themeFill="background1" w:themeFillShade="BF"/>
            <w:vAlign w:val="center"/>
          </w:tcPr>
          <w:p w14:paraId="3B7136A8" w14:textId="77777777" w:rsidR="00853F2D" w:rsidRPr="003F1E71" w:rsidRDefault="00853F2D" w:rsidP="00CF41A1">
            <w:pPr>
              <w:ind w:left="37" w:right="-102"/>
              <w:rPr>
                <w:lang w:val="en-US"/>
              </w:rPr>
            </w:pPr>
            <w:r w:rsidRPr="003F1E71">
              <w:rPr>
                <w:lang w:val="en-US"/>
              </w:rPr>
              <w:t>Non acceptable</w:t>
            </w:r>
          </w:p>
          <w:p w14:paraId="28EDE784" w14:textId="7E1336AB" w:rsidR="002A6A18" w:rsidRPr="003F1E71" w:rsidRDefault="002A6A18" w:rsidP="00CF41A1">
            <w:pPr>
              <w:ind w:left="37" w:right="-102"/>
              <w:rPr>
                <w:lang w:val="en-US"/>
              </w:rPr>
            </w:pPr>
            <w:r w:rsidRPr="003F1E71">
              <w:rPr>
                <w:lang w:val="en-US"/>
              </w:rPr>
              <w:t>for human health</w:t>
            </w:r>
          </w:p>
        </w:tc>
      </w:tr>
      <w:tr w:rsidR="00853F2D" w:rsidRPr="00D101A0" w14:paraId="310198F6" w14:textId="77777777" w:rsidTr="00CF41A1">
        <w:trPr>
          <w:trHeight w:val="1215"/>
        </w:trPr>
        <w:tc>
          <w:tcPr>
            <w:tcW w:w="851" w:type="dxa"/>
            <w:vMerge/>
            <w:shd w:val="clear" w:color="auto" w:fill="BFBFBF" w:themeFill="background1" w:themeFillShade="BF"/>
            <w:vAlign w:val="center"/>
          </w:tcPr>
          <w:p w14:paraId="6B94CCAF" w14:textId="77777777" w:rsidR="00853F2D" w:rsidRDefault="00853F2D" w:rsidP="00CF41A1">
            <w:pPr>
              <w:spacing w:line="260" w:lineRule="atLeast"/>
              <w:ind w:right="-109"/>
            </w:pPr>
          </w:p>
        </w:tc>
        <w:tc>
          <w:tcPr>
            <w:tcW w:w="1984" w:type="dxa"/>
            <w:vMerge/>
            <w:shd w:val="clear" w:color="auto" w:fill="BFBFBF" w:themeFill="background1" w:themeFillShade="BF"/>
            <w:vAlign w:val="center"/>
          </w:tcPr>
          <w:p w14:paraId="467D558D"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5147E55A"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4E369373"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1EC36FE2" w14:textId="77777777" w:rsidR="00853F2D" w:rsidRPr="00F86A8D"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4AA7E10E" w14:textId="77777777" w:rsidR="00853F2D" w:rsidRPr="00991E44" w:rsidRDefault="00853F2D" w:rsidP="00CF41A1">
            <w:pPr>
              <w:keepNext/>
              <w:tabs>
                <w:tab w:val="left" w:pos="426"/>
              </w:tabs>
              <w:ind w:right="-108"/>
              <w:textAlignment w:val="top"/>
              <w:rPr>
                <w:rFonts w:eastAsia="Calibri" w:cs="Arial"/>
                <w:lang w:val="sv-SE" w:eastAsia="sv-SE"/>
              </w:rPr>
            </w:pPr>
          </w:p>
          <w:p w14:paraId="2571B985" w14:textId="77777777" w:rsidR="00853F2D" w:rsidRPr="004A79AF" w:rsidRDefault="00853F2D" w:rsidP="00CF41A1">
            <w:pPr>
              <w:keepNext/>
              <w:tabs>
                <w:tab w:val="left" w:pos="426"/>
              </w:tabs>
              <w:ind w:right="-108"/>
              <w:textAlignment w:val="top"/>
              <w:rPr>
                <w:rFonts w:eastAsia="Calibri" w:cs="Arial"/>
                <w:lang w:val="sv-SE" w:eastAsia="sv-SE"/>
              </w:rPr>
            </w:pPr>
            <w:r w:rsidRPr="00991E44">
              <w:rPr>
                <w:rFonts w:eastAsia="Calibri" w:cs="Arial"/>
                <w:lang w:val="sv-SE" w:eastAsia="sv-SE"/>
              </w:rPr>
              <w:t xml:space="preserve">Application by </w:t>
            </w:r>
            <w:r>
              <w:rPr>
                <w:rFonts w:eastAsia="Calibri" w:cs="Arial"/>
                <w:lang w:val="sv-SE" w:eastAsia="sv-SE"/>
              </w:rPr>
              <w:t>mopping</w:t>
            </w:r>
            <w:r w:rsidRPr="00991E44">
              <w:rPr>
                <w:rFonts w:eastAsia="Calibri" w:cs="Arial"/>
                <w:lang w:val="sv-SE" w:eastAsia="sv-SE"/>
              </w:rPr>
              <w:t xml:space="preserve"> on hard surfaces (</w:t>
            </w:r>
            <w:r>
              <w:rPr>
                <w:rFonts w:eastAsia="Calibri" w:cs="Arial"/>
                <w:lang w:val="sv-SE" w:eastAsia="sv-SE"/>
              </w:rPr>
              <w:t>applying product onto mop</w:t>
            </w:r>
            <w:r w:rsidRPr="00991E44">
              <w:rPr>
                <w:rFonts w:eastAsia="Calibri" w:cs="Arial"/>
                <w:lang w:val="sv-SE" w:eastAsia="sv-SE"/>
              </w:rPr>
              <w:t xml:space="preserve"> followed by </w:t>
            </w:r>
            <w:r>
              <w:rPr>
                <w:rFonts w:eastAsia="Calibri" w:cs="Arial"/>
                <w:lang w:val="sv-SE" w:eastAsia="sv-SE"/>
              </w:rPr>
              <w:t>mopping</w:t>
            </w:r>
            <w:r w:rsidRPr="00991E44">
              <w:rPr>
                <w:rFonts w:eastAsia="Calibri" w:cs="Arial"/>
                <w:lang w:val="sv-SE" w:eastAsia="sv-SE"/>
              </w:rPr>
              <w:t>).</w:t>
            </w:r>
          </w:p>
        </w:tc>
        <w:tc>
          <w:tcPr>
            <w:tcW w:w="1422" w:type="dxa"/>
            <w:vMerge/>
            <w:shd w:val="clear" w:color="auto" w:fill="BFBFBF" w:themeFill="background1" w:themeFillShade="BF"/>
            <w:vAlign w:val="center"/>
          </w:tcPr>
          <w:p w14:paraId="16E6D838" w14:textId="77777777" w:rsidR="00853F2D" w:rsidRPr="007A4A14" w:rsidRDefault="00853F2D" w:rsidP="00CF41A1">
            <w:pPr>
              <w:ind w:left="37" w:right="-102"/>
              <w:rPr>
                <w:lang w:val="en-US"/>
              </w:rPr>
            </w:pPr>
          </w:p>
        </w:tc>
      </w:tr>
      <w:tr w:rsidR="00853F2D" w:rsidRPr="00D101A0" w14:paraId="768BC77D" w14:textId="77777777" w:rsidTr="00CF41A1">
        <w:trPr>
          <w:trHeight w:val="1215"/>
        </w:trPr>
        <w:tc>
          <w:tcPr>
            <w:tcW w:w="851" w:type="dxa"/>
            <w:vMerge/>
            <w:tcBorders>
              <w:bottom w:val="single" w:sz="4" w:space="0" w:color="auto"/>
            </w:tcBorders>
            <w:shd w:val="clear" w:color="auto" w:fill="BFBFBF" w:themeFill="background1" w:themeFillShade="BF"/>
            <w:vAlign w:val="center"/>
          </w:tcPr>
          <w:p w14:paraId="2555ED2F" w14:textId="77777777" w:rsidR="00853F2D" w:rsidRDefault="00853F2D" w:rsidP="00CF41A1">
            <w:pPr>
              <w:spacing w:line="260" w:lineRule="atLeast"/>
              <w:ind w:right="-109"/>
            </w:pPr>
          </w:p>
        </w:tc>
        <w:tc>
          <w:tcPr>
            <w:tcW w:w="1984" w:type="dxa"/>
            <w:vMerge/>
            <w:tcBorders>
              <w:bottom w:val="single" w:sz="4" w:space="0" w:color="auto"/>
            </w:tcBorders>
            <w:shd w:val="clear" w:color="auto" w:fill="BFBFBF" w:themeFill="background1" w:themeFillShade="BF"/>
            <w:vAlign w:val="center"/>
          </w:tcPr>
          <w:p w14:paraId="6C78F96A" w14:textId="77777777" w:rsidR="00853F2D" w:rsidRPr="004A79AF" w:rsidRDefault="00853F2D" w:rsidP="00CF41A1">
            <w:pPr>
              <w:spacing w:line="260" w:lineRule="atLeast"/>
              <w:rPr>
                <w:rFonts w:eastAsia="Calibri" w:cs="Arial"/>
                <w:lang w:val="sv-SE" w:eastAsia="sv-SE"/>
              </w:rPr>
            </w:pPr>
          </w:p>
        </w:tc>
        <w:tc>
          <w:tcPr>
            <w:tcW w:w="1701" w:type="dxa"/>
            <w:vMerge/>
            <w:tcBorders>
              <w:bottom w:val="single" w:sz="4" w:space="0" w:color="auto"/>
            </w:tcBorders>
            <w:shd w:val="clear" w:color="auto" w:fill="BFBFBF" w:themeFill="background1" w:themeFillShade="BF"/>
            <w:vAlign w:val="center"/>
          </w:tcPr>
          <w:p w14:paraId="78055370"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tcBorders>
              <w:bottom w:val="single" w:sz="4" w:space="0" w:color="auto"/>
            </w:tcBorders>
            <w:shd w:val="clear" w:color="auto" w:fill="BFBFBF" w:themeFill="background1" w:themeFillShade="BF"/>
            <w:vAlign w:val="center"/>
          </w:tcPr>
          <w:p w14:paraId="7F5EDA4F"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74E9F4D1" w14:textId="77777777" w:rsidR="00853F2D" w:rsidRPr="00F86A8D"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4E61FA53" w14:textId="77777777" w:rsidR="00853F2D" w:rsidRPr="00DE7D94" w:rsidRDefault="00853F2D" w:rsidP="00CF41A1">
            <w:pPr>
              <w:keepNext/>
              <w:tabs>
                <w:tab w:val="left" w:pos="426"/>
              </w:tabs>
              <w:ind w:right="-108"/>
              <w:textAlignment w:val="top"/>
              <w:rPr>
                <w:rFonts w:eastAsia="Calibri" w:cs="Arial"/>
                <w:lang w:val="sv-SE" w:eastAsia="sv-SE"/>
              </w:rPr>
            </w:pPr>
          </w:p>
          <w:p w14:paraId="1FCD1A7F" w14:textId="77777777" w:rsidR="00853F2D" w:rsidRPr="004A79AF" w:rsidRDefault="00853F2D" w:rsidP="00CF41A1">
            <w:pPr>
              <w:keepNext/>
              <w:tabs>
                <w:tab w:val="left" w:pos="426"/>
              </w:tabs>
              <w:ind w:right="-108"/>
              <w:textAlignment w:val="top"/>
              <w:rPr>
                <w:rFonts w:eastAsia="Calibri" w:cs="Arial"/>
                <w:lang w:val="sv-SE" w:eastAsia="sv-SE"/>
              </w:rPr>
            </w:pPr>
            <w:r w:rsidRPr="00DE7D94">
              <w:rPr>
                <w:rFonts w:eastAsia="Calibri" w:cs="Arial"/>
                <w:lang w:val="sv-SE" w:eastAsia="sv-SE"/>
              </w:rPr>
              <w:t xml:space="preserve">Application by </w:t>
            </w:r>
            <w:r>
              <w:rPr>
                <w:rFonts w:eastAsia="Calibri" w:cs="Arial"/>
                <w:lang w:val="sv-SE" w:eastAsia="sv-SE"/>
              </w:rPr>
              <w:t>brushing</w:t>
            </w:r>
            <w:r w:rsidRPr="00DE7D94">
              <w:rPr>
                <w:rFonts w:eastAsia="Calibri" w:cs="Arial"/>
                <w:lang w:val="sv-SE" w:eastAsia="sv-SE"/>
              </w:rPr>
              <w:t xml:space="preserve"> on hard surfaces (applying product onto </w:t>
            </w:r>
            <w:r>
              <w:rPr>
                <w:rFonts w:eastAsia="Calibri" w:cs="Arial"/>
                <w:lang w:val="sv-SE" w:eastAsia="sv-SE"/>
              </w:rPr>
              <w:t>brush</w:t>
            </w:r>
            <w:r w:rsidRPr="00DE7D94">
              <w:rPr>
                <w:rFonts w:eastAsia="Calibri" w:cs="Arial"/>
                <w:lang w:val="sv-SE" w:eastAsia="sv-SE"/>
              </w:rPr>
              <w:t xml:space="preserve"> followed by </w:t>
            </w:r>
            <w:r>
              <w:rPr>
                <w:rFonts w:eastAsia="Calibri" w:cs="Arial"/>
                <w:lang w:val="sv-SE" w:eastAsia="sv-SE"/>
              </w:rPr>
              <w:t>brushing</w:t>
            </w:r>
            <w:r w:rsidRPr="00DE7D94">
              <w:rPr>
                <w:rFonts w:eastAsia="Calibri" w:cs="Arial"/>
                <w:lang w:val="sv-SE" w:eastAsia="sv-SE"/>
              </w:rPr>
              <w:t>).</w:t>
            </w:r>
          </w:p>
        </w:tc>
        <w:tc>
          <w:tcPr>
            <w:tcW w:w="1422" w:type="dxa"/>
            <w:vMerge/>
            <w:tcBorders>
              <w:bottom w:val="single" w:sz="4" w:space="0" w:color="auto"/>
            </w:tcBorders>
            <w:shd w:val="clear" w:color="auto" w:fill="BFBFBF" w:themeFill="background1" w:themeFillShade="BF"/>
            <w:vAlign w:val="center"/>
          </w:tcPr>
          <w:p w14:paraId="1A7E3389" w14:textId="77777777" w:rsidR="00853F2D" w:rsidRPr="007A4A14" w:rsidRDefault="00853F2D" w:rsidP="00CF41A1">
            <w:pPr>
              <w:ind w:left="37" w:right="-102"/>
              <w:rPr>
                <w:lang w:val="en-US"/>
              </w:rPr>
            </w:pPr>
          </w:p>
        </w:tc>
      </w:tr>
      <w:tr w:rsidR="00853F2D" w:rsidRPr="00D101A0" w14:paraId="2E41C451" w14:textId="77777777" w:rsidTr="00CF41A1">
        <w:trPr>
          <w:trHeight w:val="945"/>
        </w:trPr>
        <w:tc>
          <w:tcPr>
            <w:tcW w:w="851" w:type="dxa"/>
            <w:vMerge w:val="restart"/>
            <w:shd w:val="clear" w:color="auto" w:fill="BFBFBF" w:themeFill="background1" w:themeFillShade="BF"/>
            <w:vAlign w:val="center"/>
          </w:tcPr>
          <w:p w14:paraId="6B70F381" w14:textId="77777777" w:rsidR="00853F2D" w:rsidRDefault="00853F2D" w:rsidP="00CF41A1">
            <w:pPr>
              <w:spacing w:line="260" w:lineRule="atLeast"/>
              <w:ind w:right="-109"/>
            </w:pPr>
            <w:r>
              <w:t>Meta SPC 9</w:t>
            </w:r>
          </w:p>
        </w:tc>
        <w:tc>
          <w:tcPr>
            <w:tcW w:w="1984" w:type="dxa"/>
            <w:vMerge w:val="restart"/>
            <w:shd w:val="clear" w:color="auto" w:fill="BFBFBF" w:themeFill="background1" w:themeFillShade="BF"/>
            <w:vAlign w:val="center"/>
          </w:tcPr>
          <w:p w14:paraId="673A87AF"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4B742D19" w14:textId="77777777" w:rsidR="00853F2D" w:rsidRPr="004A79AF" w:rsidRDefault="00853F2D" w:rsidP="00CF41A1">
            <w:pPr>
              <w:spacing w:line="260" w:lineRule="atLeast"/>
              <w:rPr>
                <w:rFonts w:eastAsia="Calibri" w:cs="Arial"/>
                <w:lang w:val="sv-SE" w:eastAsia="sv-SE"/>
              </w:rPr>
            </w:pPr>
            <w:r w:rsidRPr="00F86A8D">
              <w:rPr>
                <w:rFonts w:eastAsia="Calibri" w:cs="Arial"/>
                <w:lang w:val="sv-SE" w:eastAsia="sv-SE"/>
              </w:rPr>
              <w:t>Disinfectants for hard surfaces of domestic area</w:t>
            </w:r>
            <w:r>
              <w:rPr>
                <w:rFonts w:eastAsia="Calibri" w:cs="Arial"/>
                <w:lang w:val="sv-SE" w:eastAsia="sv-SE"/>
              </w:rPr>
              <w:t xml:space="preserve"> (PT2)</w:t>
            </w:r>
          </w:p>
        </w:tc>
        <w:tc>
          <w:tcPr>
            <w:tcW w:w="1701" w:type="dxa"/>
            <w:vMerge w:val="restart"/>
            <w:shd w:val="clear" w:color="auto" w:fill="BFBFBF" w:themeFill="background1" w:themeFillShade="BF"/>
            <w:vAlign w:val="center"/>
          </w:tcPr>
          <w:p w14:paraId="42F300D5"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 xml:space="preserve">Bacteria (including additional strain </w:t>
            </w:r>
            <w:r w:rsidRPr="00F86A8D">
              <w:rPr>
                <w:rFonts w:eastAsia="Calibri" w:cs="Arial"/>
                <w:i/>
                <w:lang w:val="sv-SE" w:eastAsia="sv-SE"/>
              </w:rPr>
              <w:t>Bartonella henselae</w:t>
            </w:r>
            <w:r w:rsidRPr="00F86A8D">
              <w:rPr>
                <w:rFonts w:eastAsia="Calibri" w:cs="Arial"/>
                <w:lang w:val="sv-SE" w:eastAsia="sv-SE"/>
              </w:rPr>
              <w:t>)</w:t>
            </w:r>
          </w:p>
        </w:tc>
        <w:tc>
          <w:tcPr>
            <w:tcW w:w="1701" w:type="dxa"/>
            <w:vMerge w:val="restart"/>
            <w:shd w:val="clear" w:color="auto" w:fill="BFBFBF" w:themeFill="background1" w:themeFillShade="BF"/>
            <w:vAlign w:val="center"/>
          </w:tcPr>
          <w:p w14:paraId="7F73C2AB" w14:textId="77777777" w:rsidR="00853F2D" w:rsidRPr="000D7D14"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p w14:paraId="17000B6A" w14:textId="77777777" w:rsidR="00853F2D" w:rsidRDefault="00853F2D" w:rsidP="00CF41A1">
            <w:pPr>
              <w:snapToGrid w:val="0"/>
              <w:spacing w:line="260" w:lineRule="atLeast"/>
              <w:ind w:right="-108"/>
            </w:pPr>
          </w:p>
          <w:p w14:paraId="77C2AD8F" w14:textId="77777777" w:rsidR="00853F2D" w:rsidRPr="004A79AF" w:rsidRDefault="00853F2D" w:rsidP="00CF41A1">
            <w:pPr>
              <w:keepNext/>
              <w:tabs>
                <w:tab w:val="left" w:pos="426"/>
              </w:tabs>
              <w:ind w:right="-108"/>
              <w:textAlignment w:val="top"/>
              <w:rPr>
                <w:rFonts w:eastAsia="Calibri" w:cs="Arial"/>
                <w:lang w:val="sv-SE" w:eastAsia="sv-SE"/>
              </w:rPr>
            </w:pPr>
            <w:r w:rsidRPr="000D7D14">
              <w:t xml:space="preserve">For toilet bowls, </w:t>
            </w:r>
            <w:r w:rsidRPr="00E91F85">
              <w:rPr>
                <w:bCs/>
                <w:color w:val="000000"/>
                <w:lang w:val="en-US"/>
              </w:rPr>
              <w:t>50 ml or 33 sprays per toilet</w:t>
            </w:r>
          </w:p>
        </w:tc>
        <w:tc>
          <w:tcPr>
            <w:tcW w:w="2547" w:type="dxa"/>
            <w:shd w:val="clear" w:color="auto" w:fill="BFBFBF" w:themeFill="background1" w:themeFillShade="BF"/>
            <w:vAlign w:val="center"/>
          </w:tcPr>
          <w:p w14:paraId="02892ECE" w14:textId="77777777" w:rsidR="00853F2D" w:rsidRPr="00F86A8D"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63D53F05" w14:textId="77777777" w:rsidR="00853F2D" w:rsidRPr="00F86A8D" w:rsidRDefault="00853F2D" w:rsidP="00CF41A1">
            <w:pPr>
              <w:keepNext/>
              <w:tabs>
                <w:tab w:val="left" w:pos="426"/>
              </w:tabs>
              <w:ind w:right="-108"/>
              <w:textAlignment w:val="top"/>
              <w:rPr>
                <w:rFonts w:eastAsia="Calibri" w:cs="Arial"/>
                <w:lang w:val="sv-SE" w:eastAsia="sv-SE"/>
              </w:rPr>
            </w:pPr>
          </w:p>
          <w:p w14:paraId="06DF86C7"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val="restart"/>
            <w:shd w:val="clear" w:color="auto" w:fill="BFBFBF" w:themeFill="background1" w:themeFillShade="BF"/>
            <w:vAlign w:val="center"/>
          </w:tcPr>
          <w:p w14:paraId="65B89274" w14:textId="77777777" w:rsidR="00853F2D" w:rsidRDefault="00853F2D" w:rsidP="00CF41A1">
            <w:pPr>
              <w:ind w:left="37" w:right="-102"/>
              <w:rPr>
                <w:lang w:val="fr-FR"/>
              </w:rPr>
            </w:pPr>
            <w:r>
              <w:rPr>
                <w:lang w:val="fr-FR"/>
              </w:rPr>
              <w:t>Non a</w:t>
            </w:r>
            <w:r w:rsidRPr="007A4A14">
              <w:rPr>
                <w:lang w:val="fr-FR"/>
              </w:rPr>
              <w:t>cceptable</w:t>
            </w:r>
          </w:p>
          <w:p w14:paraId="4842303F" w14:textId="4B8CA8A7" w:rsidR="002A6A18" w:rsidRPr="00D72558" w:rsidRDefault="002A6A18" w:rsidP="002A6A18">
            <w:pPr>
              <w:ind w:left="37" w:right="-102"/>
              <w:rPr>
                <w:lang w:val="fr-FR"/>
              </w:rPr>
            </w:pPr>
            <w:r>
              <w:rPr>
                <w:lang w:val="fr-FR"/>
              </w:rPr>
              <w:t>for environment</w:t>
            </w:r>
          </w:p>
        </w:tc>
      </w:tr>
      <w:tr w:rsidR="00853F2D" w:rsidRPr="00D101A0" w14:paraId="34792E5A" w14:textId="77777777" w:rsidTr="00CF41A1">
        <w:trPr>
          <w:trHeight w:val="945"/>
        </w:trPr>
        <w:tc>
          <w:tcPr>
            <w:tcW w:w="851" w:type="dxa"/>
            <w:vMerge/>
            <w:shd w:val="clear" w:color="auto" w:fill="BFBFBF" w:themeFill="background1" w:themeFillShade="BF"/>
            <w:vAlign w:val="center"/>
          </w:tcPr>
          <w:p w14:paraId="2C1532B1" w14:textId="77777777" w:rsidR="00853F2D" w:rsidRDefault="00853F2D" w:rsidP="00CF41A1">
            <w:pPr>
              <w:spacing w:line="260" w:lineRule="atLeast"/>
              <w:ind w:right="-109"/>
            </w:pPr>
          </w:p>
        </w:tc>
        <w:tc>
          <w:tcPr>
            <w:tcW w:w="1984" w:type="dxa"/>
            <w:vMerge/>
            <w:shd w:val="clear" w:color="auto" w:fill="BFBFBF" w:themeFill="background1" w:themeFillShade="BF"/>
            <w:vAlign w:val="center"/>
          </w:tcPr>
          <w:p w14:paraId="44466CEB"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5CCD4B30"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4ACA45C8"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4CE3DF39" w14:textId="77777777" w:rsidR="00853F2D" w:rsidRPr="00F86A8D"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5CF7782E" w14:textId="77777777" w:rsidR="00853F2D" w:rsidRPr="00F86A8D" w:rsidRDefault="00853F2D" w:rsidP="00CF41A1">
            <w:pPr>
              <w:keepNext/>
              <w:tabs>
                <w:tab w:val="left" w:pos="426"/>
              </w:tabs>
              <w:ind w:right="-108"/>
              <w:textAlignment w:val="top"/>
              <w:rPr>
                <w:rFonts w:eastAsia="Calibri" w:cs="Arial"/>
                <w:lang w:val="sv-SE" w:eastAsia="sv-SE"/>
              </w:rPr>
            </w:pPr>
          </w:p>
          <w:p w14:paraId="1CCA5AD3"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shd w:val="clear" w:color="auto" w:fill="BFBFBF" w:themeFill="background1" w:themeFillShade="BF"/>
            <w:vAlign w:val="center"/>
          </w:tcPr>
          <w:p w14:paraId="1A0B0987" w14:textId="77777777" w:rsidR="00853F2D" w:rsidRPr="00F86A8D" w:rsidRDefault="00853F2D" w:rsidP="00CF41A1">
            <w:pPr>
              <w:ind w:left="37" w:right="-102"/>
              <w:rPr>
                <w:lang w:val="en-US"/>
              </w:rPr>
            </w:pPr>
          </w:p>
        </w:tc>
      </w:tr>
      <w:tr w:rsidR="00853F2D" w:rsidRPr="00D101A0" w14:paraId="495BA9AE" w14:textId="77777777" w:rsidTr="00CF41A1">
        <w:trPr>
          <w:trHeight w:val="721"/>
        </w:trPr>
        <w:tc>
          <w:tcPr>
            <w:tcW w:w="851" w:type="dxa"/>
            <w:vMerge/>
            <w:shd w:val="clear" w:color="auto" w:fill="BFBFBF" w:themeFill="background1" w:themeFillShade="BF"/>
            <w:vAlign w:val="center"/>
          </w:tcPr>
          <w:p w14:paraId="27F3EFEA" w14:textId="77777777" w:rsidR="00853F2D" w:rsidRDefault="00853F2D" w:rsidP="00CF41A1">
            <w:pPr>
              <w:spacing w:line="260" w:lineRule="atLeast"/>
              <w:ind w:right="-109"/>
            </w:pPr>
          </w:p>
        </w:tc>
        <w:tc>
          <w:tcPr>
            <w:tcW w:w="1984" w:type="dxa"/>
            <w:vMerge w:val="restart"/>
            <w:shd w:val="clear" w:color="auto" w:fill="BFBFBF" w:themeFill="background1" w:themeFillShade="BF"/>
            <w:vAlign w:val="center"/>
          </w:tcPr>
          <w:p w14:paraId="5447A6D8" w14:textId="77777777" w:rsidR="00853F2D" w:rsidRDefault="00853F2D" w:rsidP="00CF41A1">
            <w:pPr>
              <w:spacing w:line="260" w:lineRule="atLeast"/>
              <w:rPr>
                <w:rFonts w:eastAsia="Calibri" w:cs="Arial"/>
                <w:lang w:val="sv-SE" w:eastAsia="sv-SE"/>
              </w:rPr>
            </w:pPr>
            <w:r>
              <w:rPr>
                <w:rFonts w:eastAsia="Calibri" w:cs="Arial"/>
                <w:lang w:val="sv-SE" w:eastAsia="sv-SE"/>
              </w:rPr>
              <w:t>2</w:t>
            </w:r>
          </w:p>
          <w:p w14:paraId="5BD88735" w14:textId="6754054A" w:rsidR="00853F2D" w:rsidRPr="004A79AF" w:rsidRDefault="00853F2D" w:rsidP="00A95581">
            <w:pPr>
              <w:spacing w:line="260" w:lineRule="atLeast"/>
              <w:rPr>
                <w:rFonts w:eastAsia="Calibri" w:cs="Arial"/>
                <w:lang w:val="sv-SE" w:eastAsia="sv-SE"/>
              </w:rPr>
            </w:pPr>
            <w:r w:rsidRPr="00F86A8D">
              <w:rPr>
                <w:rFonts w:eastAsia="Calibri" w:cs="Arial"/>
                <w:lang w:val="sv-SE" w:eastAsia="sv-SE"/>
              </w:rPr>
              <w:t>Disinfectants for hard surfaces</w:t>
            </w:r>
            <w:r w:rsidR="00463F7E">
              <w:rPr>
                <w:rFonts w:eastAsia="Calibri" w:cs="Arial"/>
                <w:lang w:val="sv-SE" w:eastAsia="sv-SE"/>
              </w:rPr>
              <w:t xml:space="preserve"> of domestic area and</w:t>
            </w:r>
            <w:r w:rsidRPr="00F86A8D">
              <w:rPr>
                <w:rFonts w:eastAsia="Calibri" w:cs="Arial"/>
                <w:lang w:val="sv-SE" w:eastAsia="sv-SE"/>
              </w:rPr>
              <w:t xml:space="preserve"> in companion animals’ environment for private homes, … and pets shelters</w:t>
            </w:r>
            <w:r>
              <w:rPr>
                <w:rFonts w:eastAsia="Calibri" w:cs="Arial"/>
                <w:lang w:val="sv-SE" w:eastAsia="sv-SE"/>
              </w:rPr>
              <w:t xml:space="preserve"> (PT</w:t>
            </w:r>
            <w:r w:rsidR="00463F7E">
              <w:rPr>
                <w:rFonts w:eastAsia="Calibri" w:cs="Arial"/>
                <w:lang w:val="sv-SE" w:eastAsia="sv-SE"/>
              </w:rPr>
              <w:t>2/</w:t>
            </w:r>
            <w:r>
              <w:rPr>
                <w:rFonts w:eastAsia="Calibri" w:cs="Arial"/>
                <w:lang w:val="sv-SE" w:eastAsia="sv-SE"/>
              </w:rPr>
              <w:t>3)</w:t>
            </w:r>
          </w:p>
        </w:tc>
        <w:tc>
          <w:tcPr>
            <w:tcW w:w="1701" w:type="dxa"/>
            <w:vMerge w:val="restart"/>
            <w:shd w:val="clear" w:color="auto" w:fill="BFBFBF" w:themeFill="background1" w:themeFillShade="BF"/>
            <w:vAlign w:val="center"/>
          </w:tcPr>
          <w:p w14:paraId="1CC7D4D2" w14:textId="77777777" w:rsidR="00853F2D" w:rsidRPr="00F86A8D"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 xml:space="preserve">Bacteria </w:t>
            </w:r>
          </w:p>
          <w:p w14:paraId="393C4A97"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Yeasts</w:t>
            </w:r>
          </w:p>
        </w:tc>
        <w:tc>
          <w:tcPr>
            <w:tcW w:w="1701" w:type="dxa"/>
            <w:vMerge w:val="restart"/>
            <w:shd w:val="clear" w:color="auto" w:fill="BFBFBF" w:themeFill="background1" w:themeFillShade="BF"/>
            <w:vAlign w:val="center"/>
          </w:tcPr>
          <w:p w14:paraId="59065593" w14:textId="77777777" w:rsidR="00853F2D" w:rsidRPr="00F86A8D" w:rsidRDefault="00853F2D" w:rsidP="00CF41A1">
            <w:pPr>
              <w:ind w:right="-108"/>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shd w:val="clear" w:color="auto" w:fill="BFBFBF" w:themeFill="background1" w:themeFillShade="BF"/>
            <w:vAlign w:val="center"/>
          </w:tcPr>
          <w:p w14:paraId="630DD69F" w14:textId="77777777" w:rsidR="00853F2D" w:rsidRPr="00F86A8D"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24EF7305" w14:textId="77777777" w:rsidR="00853F2D" w:rsidRPr="00F86A8D" w:rsidRDefault="00853F2D" w:rsidP="00CF41A1">
            <w:pPr>
              <w:keepNext/>
              <w:tabs>
                <w:tab w:val="left" w:pos="426"/>
              </w:tabs>
              <w:ind w:right="-108"/>
              <w:textAlignment w:val="top"/>
              <w:rPr>
                <w:rFonts w:eastAsia="Calibri" w:cs="Arial"/>
                <w:lang w:val="sv-SE" w:eastAsia="sv-SE"/>
              </w:rPr>
            </w:pPr>
          </w:p>
          <w:p w14:paraId="111C57D1"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shd w:val="clear" w:color="auto" w:fill="BFBFBF" w:themeFill="background1" w:themeFillShade="BF"/>
            <w:vAlign w:val="center"/>
          </w:tcPr>
          <w:p w14:paraId="0761ADF8" w14:textId="77777777" w:rsidR="00853F2D" w:rsidRPr="000125D1" w:rsidRDefault="00853F2D" w:rsidP="00CF41A1">
            <w:pPr>
              <w:ind w:left="37" w:right="-102"/>
              <w:rPr>
                <w:lang w:val="en-US"/>
              </w:rPr>
            </w:pPr>
          </w:p>
        </w:tc>
      </w:tr>
      <w:tr w:rsidR="00853F2D" w:rsidRPr="00D101A0" w14:paraId="2465C832" w14:textId="77777777" w:rsidTr="00CF41A1">
        <w:trPr>
          <w:trHeight w:val="1820"/>
        </w:trPr>
        <w:tc>
          <w:tcPr>
            <w:tcW w:w="851" w:type="dxa"/>
            <w:vMerge/>
            <w:shd w:val="clear" w:color="auto" w:fill="BFBFBF" w:themeFill="background1" w:themeFillShade="BF"/>
            <w:vAlign w:val="center"/>
          </w:tcPr>
          <w:p w14:paraId="5C8966F4" w14:textId="77777777" w:rsidR="00853F2D" w:rsidRDefault="00853F2D" w:rsidP="00CF41A1">
            <w:pPr>
              <w:spacing w:line="260" w:lineRule="atLeast"/>
              <w:ind w:right="-109"/>
            </w:pPr>
          </w:p>
        </w:tc>
        <w:tc>
          <w:tcPr>
            <w:tcW w:w="1984" w:type="dxa"/>
            <w:vMerge/>
            <w:shd w:val="clear" w:color="auto" w:fill="BFBFBF" w:themeFill="background1" w:themeFillShade="BF"/>
            <w:vAlign w:val="center"/>
          </w:tcPr>
          <w:p w14:paraId="1E3F8A51"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06A9F994"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41D8666D"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25DE3E43" w14:textId="77777777" w:rsidR="00853F2D" w:rsidRPr="00F86A8D"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5A0761EF" w14:textId="77777777" w:rsidR="00853F2D" w:rsidRPr="00F86A8D" w:rsidRDefault="00853F2D" w:rsidP="00CF41A1">
            <w:pPr>
              <w:keepNext/>
              <w:tabs>
                <w:tab w:val="left" w:pos="426"/>
              </w:tabs>
              <w:ind w:right="-108"/>
              <w:textAlignment w:val="top"/>
              <w:rPr>
                <w:rFonts w:eastAsia="Calibri" w:cs="Arial"/>
                <w:lang w:val="sv-SE" w:eastAsia="sv-SE"/>
              </w:rPr>
            </w:pPr>
          </w:p>
          <w:p w14:paraId="6845069B"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shd w:val="clear" w:color="auto" w:fill="BFBFBF" w:themeFill="background1" w:themeFillShade="BF"/>
            <w:vAlign w:val="center"/>
          </w:tcPr>
          <w:p w14:paraId="3B1B6105" w14:textId="77777777" w:rsidR="00853F2D" w:rsidRPr="00F86A8D" w:rsidRDefault="00853F2D" w:rsidP="00CF41A1">
            <w:pPr>
              <w:ind w:left="37" w:right="-102"/>
              <w:rPr>
                <w:lang w:val="en-US"/>
              </w:rPr>
            </w:pPr>
          </w:p>
        </w:tc>
      </w:tr>
      <w:tr w:rsidR="00D737C6" w:rsidRPr="00D101A0" w14:paraId="04003960" w14:textId="77777777" w:rsidTr="00CF41A1">
        <w:trPr>
          <w:trHeight w:val="1120"/>
        </w:trPr>
        <w:tc>
          <w:tcPr>
            <w:tcW w:w="851" w:type="dxa"/>
            <w:vMerge w:val="restart"/>
            <w:shd w:val="clear" w:color="auto" w:fill="BFBFBF" w:themeFill="background1" w:themeFillShade="BF"/>
            <w:vAlign w:val="center"/>
          </w:tcPr>
          <w:p w14:paraId="6FBDF5A9" w14:textId="77777777" w:rsidR="00D737C6" w:rsidRDefault="00D737C6" w:rsidP="00CF41A1">
            <w:pPr>
              <w:spacing w:line="260" w:lineRule="atLeast"/>
              <w:ind w:right="-109"/>
            </w:pPr>
            <w:r>
              <w:t>Meta SPC 10</w:t>
            </w:r>
          </w:p>
        </w:tc>
        <w:tc>
          <w:tcPr>
            <w:tcW w:w="1984" w:type="dxa"/>
            <w:vMerge w:val="restart"/>
            <w:shd w:val="clear" w:color="auto" w:fill="BFBFBF" w:themeFill="background1" w:themeFillShade="BF"/>
            <w:vAlign w:val="center"/>
          </w:tcPr>
          <w:p w14:paraId="658649E1" w14:textId="77777777" w:rsidR="00D737C6" w:rsidRDefault="00D737C6" w:rsidP="00CF41A1">
            <w:pPr>
              <w:spacing w:line="260" w:lineRule="atLeast"/>
              <w:rPr>
                <w:rFonts w:eastAsia="Calibri" w:cs="Arial"/>
                <w:lang w:val="sv-SE" w:eastAsia="sv-SE"/>
              </w:rPr>
            </w:pPr>
            <w:r>
              <w:rPr>
                <w:rFonts w:eastAsia="Calibri" w:cs="Arial"/>
                <w:lang w:val="sv-SE" w:eastAsia="sv-SE"/>
              </w:rPr>
              <w:t>1</w:t>
            </w:r>
          </w:p>
          <w:p w14:paraId="6BCD35BF" w14:textId="77777777" w:rsidR="00D737C6" w:rsidRPr="004A79AF" w:rsidRDefault="00D737C6" w:rsidP="00CF41A1">
            <w:pPr>
              <w:spacing w:line="260" w:lineRule="atLeast"/>
              <w:rPr>
                <w:rFonts w:eastAsia="Calibri" w:cs="Arial"/>
                <w:lang w:val="sv-SE" w:eastAsia="sv-SE"/>
              </w:rPr>
            </w:pPr>
            <w:r w:rsidRPr="00220883">
              <w:rPr>
                <w:rFonts w:eastAsia="Calibri" w:cs="Arial"/>
                <w:lang w:val="sv-SE" w:eastAsia="sv-SE"/>
              </w:rPr>
              <w:t>Disinfectants for hard surfaces of domestic area</w:t>
            </w:r>
            <w:r>
              <w:rPr>
                <w:rFonts w:eastAsia="Calibri" w:cs="Arial"/>
                <w:lang w:val="sv-SE" w:eastAsia="sv-SE"/>
              </w:rPr>
              <w:t xml:space="preserve"> (PT2)</w:t>
            </w:r>
          </w:p>
        </w:tc>
        <w:tc>
          <w:tcPr>
            <w:tcW w:w="1701" w:type="dxa"/>
            <w:vMerge w:val="restart"/>
            <w:shd w:val="clear" w:color="auto" w:fill="BFBFBF" w:themeFill="background1" w:themeFillShade="BF"/>
            <w:vAlign w:val="center"/>
          </w:tcPr>
          <w:p w14:paraId="3A93C7A3" w14:textId="77777777" w:rsidR="00D737C6" w:rsidRPr="004A79AF" w:rsidRDefault="00D737C6" w:rsidP="00CF41A1">
            <w:pPr>
              <w:keepNext/>
              <w:tabs>
                <w:tab w:val="left" w:pos="426"/>
              </w:tabs>
              <w:ind w:right="-108"/>
              <w:textAlignment w:val="top"/>
              <w:rPr>
                <w:rFonts w:eastAsia="Calibri" w:cs="Arial"/>
                <w:lang w:val="sv-SE" w:eastAsia="sv-SE"/>
              </w:rPr>
            </w:pPr>
            <w:r w:rsidRPr="00F86A8D">
              <w:rPr>
                <w:rFonts w:eastAsia="Calibri" w:cs="Arial"/>
                <w:lang w:val="sv-SE" w:eastAsia="sv-SE"/>
              </w:rPr>
              <w:t xml:space="preserve">Bacteria (including additional strain </w:t>
            </w:r>
            <w:r w:rsidRPr="00F86A8D">
              <w:rPr>
                <w:rFonts w:eastAsia="Calibri" w:cs="Arial"/>
                <w:i/>
                <w:lang w:val="sv-SE" w:eastAsia="sv-SE"/>
              </w:rPr>
              <w:t>Bartonella henselae</w:t>
            </w:r>
            <w:r w:rsidRPr="00F86A8D">
              <w:rPr>
                <w:rFonts w:eastAsia="Calibri" w:cs="Arial"/>
                <w:lang w:val="sv-SE" w:eastAsia="sv-SE"/>
              </w:rPr>
              <w:t>)</w:t>
            </w:r>
          </w:p>
        </w:tc>
        <w:tc>
          <w:tcPr>
            <w:tcW w:w="1701" w:type="dxa"/>
            <w:vMerge w:val="restart"/>
            <w:shd w:val="clear" w:color="auto" w:fill="BFBFBF" w:themeFill="background1" w:themeFillShade="BF"/>
            <w:vAlign w:val="center"/>
          </w:tcPr>
          <w:p w14:paraId="525E9DBE" w14:textId="77777777" w:rsidR="00D737C6" w:rsidRPr="004A79AF" w:rsidRDefault="00D737C6" w:rsidP="00CF41A1">
            <w:pPr>
              <w:keepNext/>
              <w:tabs>
                <w:tab w:val="left" w:pos="426"/>
              </w:tabs>
              <w:ind w:right="-108"/>
              <w:textAlignment w:val="top"/>
              <w:rPr>
                <w:rFonts w:eastAsia="Calibri" w:cs="Arial"/>
                <w:lang w:val="sv-SE" w:eastAsia="sv-SE"/>
              </w:rPr>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shd w:val="clear" w:color="auto" w:fill="BFBFBF" w:themeFill="background1" w:themeFillShade="BF"/>
            <w:vAlign w:val="center"/>
          </w:tcPr>
          <w:p w14:paraId="12D66096" w14:textId="77777777" w:rsidR="00D737C6" w:rsidRPr="00F86A8D" w:rsidRDefault="00D737C6"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454416CF" w14:textId="77777777" w:rsidR="00D737C6" w:rsidRPr="00F86A8D" w:rsidRDefault="00D737C6" w:rsidP="00CF41A1">
            <w:pPr>
              <w:keepNext/>
              <w:tabs>
                <w:tab w:val="left" w:pos="426"/>
              </w:tabs>
              <w:ind w:right="-108"/>
              <w:textAlignment w:val="top"/>
              <w:rPr>
                <w:rFonts w:eastAsia="Calibri" w:cs="Arial"/>
                <w:lang w:val="sv-SE" w:eastAsia="sv-SE"/>
              </w:rPr>
            </w:pPr>
          </w:p>
          <w:p w14:paraId="602BE581" w14:textId="77777777" w:rsidR="00D737C6" w:rsidRPr="004A79AF" w:rsidRDefault="00D737C6"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val="restart"/>
            <w:shd w:val="clear" w:color="auto" w:fill="BFBFBF" w:themeFill="background1" w:themeFillShade="BF"/>
            <w:vAlign w:val="center"/>
          </w:tcPr>
          <w:p w14:paraId="6E95495C" w14:textId="77777777" w:rsidR="00D737C6" w:rsidRPr="003F1E71" w:rsidRDefault="00D737C6" w:rsidP="00CF41A1">
            <w:pPr>
              <w:ind w:left="37" w:right="-102"/>
              <w:rPr>
                <w:lang w:val="en-US"/>
              </w:rPr>
            </w:pPr>
            <w:r w:rsidRPr="003F1E71">
              <w:rPr>
                <w:lang w:val="en-US"/>
              </w:rPr>
              <w:t>Non acceptable</w:t>
            </w:r>
          </w:p>
          <w:p w14:paraId="0F106BB2" w14:textId="09FCD81C" w:rsidR="00D737C6" w:rsidRPr="003F1E71" w:rsidRDefault="00D737C6" w:rsidP="00CF41A1">
            <w:pPr>
              <w:ind w:left="37" w:right="-102"/>
              <w:rPr>
                <w:lang w:val="en-US"/>
              </w:rPr>
            </w:pPr>
            <w:r w:rsidRPr="003F1E71">
              <w:rPr>
                <w:lang w:val="en-US"/>
              </w:rPr>
              <w:t>For human health</w:t>
            </w:r>
          </w:p>
        </w:tc>
      </w:tr>
      <w:tr w:rsidR="00D737C6" w:rsidRPr="00D101A0" w14:paraId="142A08A6" w14:textId="77777777" w:rsidTr="003F1FC2">
        <w:trPr>
          <w:trHeight w:val="304"/>
        </w:trPr>
        <w:tc>
          <w:tcPr>
            <w:tcW w:w="851" w:type="dxa"/>
            <w:vMerge/>
            <w:shd w:val="clear" w:color="auto" w:fill="BFBFBF" w:themeFill="background1" w:themeFillShade="BF"/>
            <w:vAlign w:val="center"/>
          </w:tcPr>
          <w:p w14:paraId="17A5C3B6" w14:textId="77777777" w:rsidR="00D737C6" w:rsidRDefault="00D737C6" w:rsidP="00CF41A1">
            <w:pPr>
              <w:spacing w:line="260" w:lineRule="atLeast"/>
              <w:ind w:right="-109"/>
            </w:pPr>
          </w:p>
        </w:tc>
        <w:tc>
          <w:tcPr>
            <w:tcW w:w="1984" w:type="dxa"/>
            <w:vMerge/>
            <w:shd w:val="clear" w:color="auto" w:fill="BFBFBF" w:themeFill="background1" w:themeFillShade="BF"/>
            <w:vAlign w:val="center"/>
          </w:tcPr>
          <w:p w14:paraId="4D51DA8F" w14:textId="77777777" w:rsidR="00D737C6" w:rsidRPr="004A79AF" w:rsidRDefault="00D737C6"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583A77B0" w14:textId="77777777" w:rsidR="00D737C6" w:rsidRPr="004A79AF" w:rsidRDefault="00D737C6"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560E8FAD" w14:textId="77777777" w:rsidR="00D737C6" w:rsidRPr="004A79AF" w:rsidRDefault="00D737C6"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29319D53" w14:textId="77777777"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6F6D52FD" w14:textId="77777777" w:rsidR="00D737C6" w:rsidRPr="00F86A8D" w:rsidRDefault="00D737C6" w:rsidP="00D737C6">
            <w:pPr>
              <w:keepNext/>
              <w:tabs>
                <w:tab w:val="left" w:pos="426"/>
              </w:tabs>
              <w:ind w:right="-108"/>
              <w:textAlignment w:val="top"/>
              <w:rPr>
                <w:rFonts w:eastAsia="Calibri" w:cs="Arial"/>
                <w:lang w:val="sv-SE" w:eastAsia="sv-SE"/>
              </w:rPr>
            </w:pPr>
          </w:p>
          <w:p w14:paraId="03BA7449" w14:textId="2FF13351" w:rsidR="00D737C6" w:rsidRPr="004A79AF"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 xml:space="preserve">Application by </w:t>
            </w:r>
            <w:r>
              <w:rPr>
                <w:rFonts w:eastAsia="Calibri" w:cs="Arial"/>
                <w:lang w:val="sv-SE" w:eastAsia="sv-SE"/>
              </w:rPr>
              <w:t>brushing</w:t>
            </w:r>
            <w:r w:rsidRPr="00F86A8D">
              <w:rPr>
                <w:rFonts w:eastAsia="Calibri" w:cs="Arial"/>
                <w:lang w:val="sv-SE" w:eastAsia="sv-SE"/>
              </w:rPr>
              <w:t xml:space="preserve"> on hard surfaces.</w:t>
            </w:r>
          </w:p>
        </w:tc>
        <w:tc>
          <w:tcPr>
            <w:tcW w:w="1422" w:type="dxa"/>
            <w:vMerge/>
            <w:shd w:val="clear" w:color="auto" w:fill="BFBFBF" w:themeFill="background1" w:themeFillShade="BF"/>
            <w:vAlign w:val="center"/>
          </w:tcPr>
          <w:p w14:paraId="230BBBA2" w14:textId="77777777" w:rsidR="00D737C6" w:rsidRPr="00220883" w:rsidRDefault="00D737C6" w:rsidP="00CF41A1">
            <w:pPr>
              <w:ind w:left="37" w:right="-102"/>
              <w:rPr>
                <w:lang w:val="en-US"/>
              </w:rPr>
            </w:pPr>
          </w:p>
        </w:tc>
      </w:tr>
      <w:tr w:rsidR="00D737C6" w:rsidRPr="00D101A0" w14:paraId="4CE5F21A" w14:textId="77777777" w:rsidTr="003F1E71">
        <w:trPr>
          <w:trHeight w:val="304"/>
        </w:trPr>
        <w:tc>
          <w:tcPr>
            <w:tcW w:w="851" w:type="dxa"/>
            <w:vMerge/>
            <w:shd w:val="clear" w:color="auto" w:fill="BFBFBF" w:themeFill="background1" w:themeFillShade="BF"/>
            <w:vAlign w:val="center"/>
          </w:tcPr>
          <w:p w14:paraId="7F54F6B1" w14:textId="77777777" w:rsidR="00D737C6" w:rsidRDefault="00D737C6" w:rsidP="00CF41A1">
            <w:pPr>
              <w:spacing w:line="260" w:lineRule="atLeast"/>
              <w:ind w:right="-109"/>
            </w:pPr>
          </w:p>
        </w:tc>
        <w:tc>
          <w:tcPr>
            <w:tcW w:w="1984" w:type="dxa"/>
            <w:vMerge/>
            <w:shd w:val="clear" w:color="auto" w:fill="BFBFBF" w:themeFill="background1" w:themeFillShade="BF"/>
            <w:vAlign w:val="center"/>
          </w:tcPr>
          <w:p w14:paraId="7988EC84" w14:textId="77777777" w:rsidR="00D737C6" w:rsidRPr="004A79AF" w:rsidRDefault="00D737C6"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14E68CDA" w14:textId="77777777" w:rsidR="00D737C6" w:rsidRPr="004A79AF" w:rsidRDefault="00D737C6"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6BB63546" w14:textId="77777777" w:rsidR="00D737C6" w:rsidRPr="004A79AF" w:rsidRDefault="00D737C6"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236285F9" w14:textId="77777777"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15BA63D9" w14:textId="77777777" w:rsidR="00D737C6" w:rsidRPr="00F86A8D" w:rsidRDefault="00D737C6" w:rsidP="00D737C6">
            <w:pPr>
              <w:keepNext/>
              <w:tabs>
                <w:tab w:val="left" w:pos="426"/>
              </w:tabs>
              <w:ind w:right="-108"/>
              <w:textAlignment w:val="top"/>
              <w:rPr>
                <w:rFonts w:eastAsia="Calibri" w:cs="Arial"/>
                <w:lang w:val="sv-SE" w:eastAsia="sv-SE"/>
              </w:rPr>
            </w:pPr>
          </w:p>
          <w:p w14:paraId="4826B378" w14:textId="2A952CC3"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shd w:val="clear" w:color="auto" w:fill="BFBFBF" w:themeFill="background1" w:themeFillShade="BF"/>
            <w:vAlign w:val="center"/>
          </w:tcPr>
          <w:p w14:paraId="0FBFD1F2" w14:textId="77777777" w:rsidR="00D737C6" w:rsidRPr="00220883" w:rsidRDefault="00D737C6" w:rsidP="00CF41A1">
            <w:pPr>
              <w:ind w:left="37" w:right="-102"/>
              <w:rPr>
                <w:lang w:val="en-US"/>
              </w:rPr>
            </w:pPr>
          </w:p>
        </w:tc>
      </w:tr>
      <w:tr w:rsidR="00D737C6" w:rsidRPr="00D101A0" w14:paraId="4415A67B" w14:textId="77777777" w:rsidTr="00CF41A1">
        <w:trPr>
          <w:trHeight w:val="883"/>
        </w:trPr>
        <w:tc>
          <w:tcPr>
            <w:tcW w:w="851" w:type="dxa"/>
            <w:vMerge/>
            <w:shd w:val="clear" w:color="auto" w:fill="BFBFBF" w:themeFill="background1" w:themeFillShade="BF"/>
            <w:vAlign w:val="center"/>
          </w:tcPr>
          <w:p w14:paraId="2B9A9721" w14:textId="77777777" w:rsidR="00D737C6" w:rsidRDefault="00D737C6" w:rsidP="00CF41A1">
            <w:pPr>
              <w:spacing w:line="260" w:lineRule="atLeast"/>
              <w:ind w:right="-109"/>
            </w:pPr>
          </w:p>
        </w:tc>
        <w:tc>
          <w:tcPr>
            <w:tcW w:w="1984" w:type="dxa"/>
            <w:vMerge w:val="restart"/>
            <w:shd w:val="clear" w:color="auto" w:fill="BFBFBF" w:themeFill="background1" w:themeFillShade="BF"/>
            <w:vAlign w:val="center"/>
          </w:tcPr>
          <w:p w14:paraId="64A4AA1F" w14:textId="77777777" w:rsidR="00D737C6" w:rsidRDefault="00D737C6" w:rsidP="00CF41A1">
            <w:pPr>
              <w:spacing w:line="260" w:lineRule="atLeast"/>
              <w:rPr>
                <w:rFonts w:eastAsia="Calibri" w:cs="Arial"/>
                <w:lang w:val="sv-SE" w:eastAsia="sv-SE"/>
              </w:rPr>
            </w:pPr>
            <w:r>
              <w:rPr>
                <w:rFonts w:eastAsia="Calibri" w:cs="Arial"/>
                <w:lang w:val="sv-SE" w:eastAsia="sv-SE"/>
              </w:rPr>
              <w:t>2</w:t>
            </w:r>
          </w:p>
          <w:p w14:paraId="1C1F5F00" w14:textId="3A40E89A" w:rsidR="00D737C6" w:rsidRPr="004A79AF" w:rsidRDefault="00D737C6" w:rsidP="00A95581">
            <w:pPr>
              <w:spacing w:line="260" w:lineRule="atLeast"/>
              <w:rPr>
                <w:rFonts w:eastAsia="Calibri" w:cs="Arial"/>
                <w:lang w:val="sv-SE" w:eastAsia="sv-SE"/>
              </w:rPr>
            </w:pPr>
            <w:r w:rsidRPr="00220883">
              <w:rPr>
                <w:rFonts w:eastAsia="Calibri" w:cs="Arial"/>
                <w:lang w:val="sv-SE" w:eastAsia="sv-SE"/>
              </w:rPr>
              <w:t>Disinfectants for hard surfaces</w:t>
            </w:r>
            <w:r>
              <w:rPr>
                <w:rFonts w:eastAsia="Calibri" w:cs="Arial"/>
                <w:lang w:val="sv-SE" w:eastAsia="sv-SE"/>
              </w:rPr>
              <w:t xml:space="preserve"> of domestic area and</w:t>
            </w:r>
            <w:r w:rsidRPr="00220883">
              <w:rPr>
                <w:rFonts w:eastAsia="Calibri" w:cs="Arial"/>
                <w:lang w:val="sv-SE" w:eastAsia="sv-SE"/>
              </w:rPr>
              <w:t xml:space="preserve"> in companion animals’ environment for private homes and pets shelters</w:t>
            </w:r>
            <w:r>
              <w:rPr>
                <w:rFonts w:eastAsia="Calibri" w:cs="Arial"/>
                <w:lang w:val="sv-SE" w:eastAsia="sv-SE"/>
              </w:rPr>
              <w:t xml:space="preserve"> (PT2/3)</w:t>
            </w:r>
          </w:p>
        </w:tc>
        <w:tc>
          <w:tcPr>
            <w:tcW w:w="1701" w:type="dxa"/>
            <w:vMerge w:val="restart"/>
            <w:shd w:val="clear" w:color="auto" w:fill="BFBFBF" w:themeFill="background1" w:themeFillShade="BF"/>
            <w:vAlign w:val="center"/>
          </w:tcPr>
          <w:p w14:paraId="7A8C4083" w14:textId="77777777" w:rsidR="00D737C6" w:rsidRPr="00220883" w:rsidRDefault="00D737C6" w:rsidP="00CF41A1">
            <w:pPr>
              <w:keepNext/>
              <w:tabs>
                <w:tab w:val="left" w:pos="426"/>
              </w:tabs>
              <w:ind w:right="-108"/>
              <w:textAlignment w:val="top"/>
              <w:rPr>
                <w:rFonts w:eastAsia="Calibri" w:cs="Arial"/>
                <w:lang w:val="sv-SE" w:eastAsia="sv-SE"/>
              </w:rPr>
            </w:pPr>
            <w:r w:rsidRPr="00220883">
              <w:rPr>
                <w:rFonts w:eastAsia="Calibri" w:cs="Arial"/>
                <w:lang w:val="sv-SE" w:eastAsia="sv-SE"/>
              </w:rPr>
              <w:t xml:space="preserve">Bacteria </w:t>
            </w:r>
          </w:p>
          <w:p w14:paraId="7193E6A9" w14:textId="77777777" w:rsidR="00D737C6" w:rsidRPr="004A79AF" w:rsidRDefault="00D737C6" w:rsidP="00CF41A1">
            <w:pPr>
              <w:keepNext/>
              <w:tabs>
                <w:tab w:val="left" w:pos="426"/>
              </w:tabs>
              <w:ind w:right="-108"/>
              <w:textAlignment w:val="top"/>
              <w:rPr>
                <w:rFonts w:eastAsia="Calibri" w:cs="Arial"/>
                <w:lang w:val="sv-SE" w:eastAsia="sv-SE"/>
              </w:rPr>
            </w:pPr>
            <w:r w:rsidRPr="00220883">
              <w:rPr>
                <w:rFonts w:eastAsia="Calibri" w:cs="Arial"/>
                <w:lang w:val="sv-SE" w:eastAsia="sv-SE"/>
              </w:rPr>
              <w:t>Yeasts</w:t>
            </w:r>
          </w:p>
        </w:tc>
        <w:tc>
          <w:tcPr>
            <w:tcW w:w="1701" w:type="dxa"/>
            <w:vMerge w:val="restart"/>
            <w:shd w:val="clear" w:color="auto" w:fill="BFBFBF" w:themeFill="background1" w:themeFillShade="BF"/>
            <w:vAlign w:val="center"/>
          </w:tcPr>
          <w:p w14:paraId="5204D203" w14:textId="77777777" w:rsidR="00D737C6" w:rsidRPr="004A79AF" w:rsidRDefault="00D737C6" w:rsidP="00CF41A1">
            <w:pPr>
              <w:keepNext/>
              <w:tabs>
                <w:tab w:val="left" w:pos="426"/>
              </w:tabs>
              <w:ind w:right="-108"/>
              <w:textAlignment w:val="top"/>
              <w:rPr>
                <w:rFonts w:eastAsia="Calibri" w:cs="Arial"/>
                <w:lang w:val="sv-SE" w:eastAsia="sv-SE"/>
              </w:rPr>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shd w:val="clear" w:color="auto" w:fill="BFBFBF" w:themeFill="background1" w:themeFillShade="BF"/>
            <w:vAlign w:val="center"/>
          </w:tcPr>
          <w:p w14:paraId="1DF9973B" w14:textId="77777777" w:rsidR="00D737C6" w:rsidRPr="00F86A8D" w:rsidRDefault="00D737C6" w:rsidP="00CF41A1">
            <w:pPr>
              <w:keepNext/>
              <w:tabs>
                <w:tab w:val="left" w:pos="426"/>
              </w:tabs>
              <w:ind w:right="-108"/>
              <w:textAlignment w:val="top"/>
              <w:rPr>
                <w:rFonts w:eastAsia="Calibri" w:cs="Arial"/>
                <w:lang w:val="sv-SE" w:eastAsia="sv-SE"/>
              </w:rPr>
            </w:pPr>
            <w:r>
              <w:rPr>
                <w:rFonts w:eastAsia="Calibri" w:cs="Arial"/>
                <w:lang w:val="sv-SE" w:eastAsia="sv-SE"/>
              </w:rPr>
              <w:t>Non-p</w:t>
            </w:r>
            <w:r w:rsidRPr="00F86A8D">
              <w:rPr>
                <w:rFonts w:eastAsia="Calibri" w:cs="Arial"/>
                <w:lang w:val="sv-SE" w:eastAsia="sv-SE"/>
              </w:rPr>
              <w:t>rofessional</w:t>
            </w:r>
          </w:p>
          <w:p w14:paraId="0B2B799E" w14:textId="77777777" w:rsidR="00D737C6" w:rsidRPr="00F86A8D" w:rsidRDefault="00D737C6" w:rsidP="00CF41A1">
            <w:pPr>
              <w:keepNext/>
              <w:tabs>
                <w:tab w:val="left" w:pos="426"/>
              </w:tabs>
              <w:ind w:right="-108"/>
              <w:textAlignment w:val="top"/>
              <w:rPr>
                <w:rFonts w:eastAsia="Calibri" w:cs="Arial"/>
                <w:lang w:val="sv-SE" w:eastAsia="sv-SE"/>
              </w:rPr>
            </w:pPr>
          </w:p>
          <w:p w14:paraId="1DE56B4E" w14:textId="77777777" w:rsidR="00D737C6" w:rsidRPr="004A79AF" w:rsidRDefault="00D737C6"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shd w:val="clear" w:color="auto" w:fill="BFBFBF" w:themeFill="background1" w:themeFillShade="BF"/>
            <w:vAlign w:val="center"/>
          </w:tcPr>
          <w:p w14:paraId="05525F10" w14:textId="77777777" w:rsidR="00D737C6" w:rsidRPr="00220883" w:rsidRDefault="00D737C6" w:rsidP="00CF41A1">
            <w:pPr>
              <w:ind w:left="37" w:right="-102"/>
              <w:rPr>
                <w:lang w:val="en-US"/>
              </w:rPr>
            </w:pPr>
          </w:p>
        </w:tc>
      </w:tr>
      <w:tr w:rsidR="00D737C6" w:rsidRPr="00D101A0" w14:paraId="36EA358A" w14:textId="77777777" w:rsidTr="00D737C6">
        <w:trPr>
          <w:trHeight w:val="585"/>
        </w:trPr>
        <w:tc>
          <w:tcPr>
            <w:tcW w:w="851" w:type="dxa"/>
            <w:vMerge/>
            <w:shd w:val="clear" w:color="auto" w:fill="BFBFBF" w:themeFill="background1" w:themeFillShade="BF"/>
            <w:vAlign w:val="center"/>
          </w:tcPr>
          <w:p w14:paraId="0DA082F8" w14:textId="77777777" w:rsidR="00D737C6" w:rsidRDefault="00D737C6" w:rsidP="00CF41A1">
            <w:pPr>
              <w:spacing w:line="260" w:lineRule="atLeast"/>
              <w:ind w:right="-109"/>
            </w:pPr>
          </w:p>
        </w:tc>
        <w:tc>
          <w:tcPr>
            <w:tcW w:w="1984" w:type="dxa"/>
            <w:vMerge/>
            <w:shd w:val="clear" w:color="auto" w:fill="BFBFBF" w:themeFill="background1" w:themeFillShade="BF"/>
            <w:vAlign w:val="center"/>
          </w:tcPr>
          <w:p w14:paraId="61CD261B" w14:textId="77777777" w:rsidR="00D737C6" w:rsidRPr="004A79AF" w:rsidRDefault="00D737C6"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163BB4A0" w14:textId="77777777" w:rsidR="00D737C6" w:rsidRPr="004A79AF" w:rsidRDefault="00D737C6"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0B8D174C" w14:textId="77777777" w:rsidR="00D737C6" w:rsidRPr="004A79AF" w:rsidRDefault="00D737C6"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43EDCF60" w14:textId="77777777"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15396DEB" w14:textId="77777777" w:rsidR="00D737C6" w:rsidRPr="00F86A8D" w:rsidRDefault="00D737C6" w:rsidP="00D737C6">
            <w:pPr>
              <w:keepNext/>
              <w:tabs>
                <w:tab w:val="left" w:pos="426"/>
              </w:tabs>
              <w:ind w:right="-108"/>
              <w:textAlignment w:val="top"/>
              <w:rPr>
                <w:rFonts w:eastAsia="Calibri" w:cs="Arial"/>
                <w:lang w:val="sv-SE" w:eastAsia="sv-SE"/>
              </w:rPr>
            </w:pPr>
          </w:p>
          <w:p w14:paraId="7A44B304" w14:textId="573A9441" w:rsidR="00D737C6" w:rsidRPr="004A79AF"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 xml:space="preserve">Application by </w:t>
            </w:r>
            <w:r>
              <w:rPr>
                <w:rFonts w:eastAsia="Calibri" w:cs="Arial"/>
                <w:lang w:val="sv-SE" w:eastAsia="sv-SE"/>
              </w:rPr>
              <w:t>brushing</w:t>
            </w:r>
            <w:r w:rsidRPr="00F86A8D">
              <w:rPr>
                <w:rFonts w:eastAsia="Calibri" w:cs="Arial"/>
                <w:lang w:val="sv-SE" w:eastAsia="sv-SE"/>
              </w:rPr>
              <w:t xml:space="preserve"> on hard surfaces.</w:t>
            </w:r>
          </w:p>
        </w:tc>
        <w:tc>
          <w:tcPr>
            <w:tcW w:w="1422" w:type="dxa"/>
            <w:vMerge/>
            <w:shd w:val="clear" w:color="auto" w:fill="BFBFBF" w:themeFill="background1" w:themeFillShade="BF"/>
            <w:vAlign w:val="center"/>
          </w:tcPr>
          <w:p w14:paraId="38949378" w14:textId="77777777" w:rsidR="00D737C6" w:rsidRPr="00220883" w:rsidRDefault="00D737C6" w:rsidP="00CF41A1">
            <w:pPr>
              <w:ind w:left="37" w:right="-102"/>
              <w:rPr>
                <w:lang w:val="en-US"/>
              </w:rPr>
            </w:pPr>
          </w:p>
        </w:tc>
      </w:tr>
      <w:tr w:rsidR="00D737C6" w:rsidRPr="00D101A0" w14:paraId="1B33C6C5" w14:textId="77777777" w:rsidTr="003F1E71">
        <w:trPr>
          <w:trHeight w:val="584"/>
        </w:trPr>
        <w:tc>
          <w:tcPr>
            <w:tcW w:w="851" w:type="dxa"/>
            <w:vMerge/>
            <w:shd w:val="clear" w:color="auto" w:fill="BFBFBF" w:themeFill="background1" w:themeFillShade="BF"/>
            <w:vAlign w:val="center"/>
          </w:tcPr>
          <w:p w14:paraId="46DD23CA" w14:textId="77777777" w:rsidR="00D737C6" w:rsidRDefault="00D737C6" w:rsidP="00CF41A1">
            <w:pPr>
              <w:spacing w:line="260" w:lineRule="atLeast"/>
              <w:ind w:right="-109"/>
            </w:pPr>
          </w:p>
        </w:tc>
        <w:tc>
          <w:tcPr>
            <w:tcW w:w="1984" w:type="dxa"/>
            <w:vMerge/>
            <w:shd w:val="clear" w:color="auto" w:fill="BFBFBF" w:themeFill="background1" w:themeFillShade="BF"/>
            <w:vAlign w:val="center"/>
          </w:tcPr>
          <w:p w14:paraId="2CB2D3D3" w14:textId="77777777" w:rsidR="00D737C6" w:rsidRPr="004A79AF" w:rsidRDefault="00D737C6" w:rsidP="00CF41A1">
            <w:pPr>
              <w:spacing w:line="260" w:lineRule="atLeast"/>
              <w:rPr>
                <w:rFonts w:eastAsia="Calibri" w:cs="Arial"/>
                <w:lang w:val="sv-SE" w:eastAsia="sv-SE"/>
              </w:rPr>
            </w:pPr>
          </w:p>
        </w:tc>
        <w:tc>
          <w:tcPr>
            <w:tcW w:w="1701" w:type="dxa"/>
            <w:vMerge/>
            <w:shd w:val="clear" w:color="auto" w:fill="BFBFBF" w:themeFill="background1" w:themeFillShade="BF"/>
            <w:vAlign w:val="center"/>
          </w:tcPr>
          <w:p w14:paraId="63751E84" w14:textId="77777777" w:rsidR="00D737C6" w:rsidRPr="004A79AF" w:rsidRDefault="00D737C6" w:rsidP="00CF41A1">
            <w:pPr>
              <w:keepNext/>
              <w:tabs>
                <w:tab w:val="left" w:pos="426"/>
              </w:tabs>
              <w:ind w:right="-108"/>
              <w:textAlignment w:val="top"/>
              <w:rPr>
                <w:rFonts w:eastAsia="Calibri" w:cs="Arial"/>
                <w:lang w:val="sv-SE" w:eastAsia="sv-SE"/>
              </w:rPr>
            </w:pPr>
          </w:p>
        </w:tc>
        <w:tc>
          <w:tcPr>
            <w:tcW w:w="1701" w:type="dxa"/>
            <w:vMerge/>
            <w:shd w:val="clear" w:color="auto" w:fill="BFBFBF" w:themeFill="background1" w:themeFillShade="BF"/>
            <w:vAlign w:val="center"/>
          </w:tcPr>
          <w:p w14:paraId="1F209821" w14:textId="77777777" w:rsidR="00D737C6" w:rsidRPr="004A79AF" w:rsidRDefault="00D737C6"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5DFB4362" w14:textId="77777777"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Non-professional</w:t>
            </w:r>
          </w:p>
          <w:p w14:paraId="0B54FB1E" w14:textId="77777777" w:rsidR="00D737C6" w:rsidRPr="00F86A8D" w:rsidRDefault="00D737C6" w:rsidP="00D737C6">
            <w:pPr>
              <w:keepNext/>
              <w:tabs>
                <w:tab w:val="left" w:pos="426"/>
              </w:tabs>
              <w:ind w:right="-108"/>
              <w:textAlignment w:val="top"/>
              <w:rPr>
                <w:rFonts w:eastAsia="Calibri" w:cs="Arial"/>
                <w:lang w:val="sv-SE" w:eastAsia="sv-SE"/>
              </w:rPr>
            </w:pPr>
          </w:p>
          <w:p w14:paraId="4078EC3A" w14:textId="563272AE" w:rsidR="00D737C6" w:rsidRPr="00F86A8D" w:rsidRDefault="00D737C6" w:rsidP="00D737C6">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shd w:val="clear" w:color="auto" w:fill="BFBFBF" w:themeFill="background1" w:themeFillShade="BF"/>
            <w:vAlign w:val="center"/>
          </w:tcPr>
          <w:p w14:paraId="7A0B366C" w14:textId="77777777" w:rsidR="00D737C6" w:rsidRPr="00220883" w:rsidRDefault="00D737C6" w:rsidP="00CF41A1">
            <w:pPr>
              <w:ind w:left="37" w:right="-102"/>
              <w:rPr>
                <w:lang w:val="en-US"/>
              </w:rPr>
            </w:pPr>
          </w:p>
        </w:tc>
      </w:tr>
      <w:tr w:rsidR="00853F2D" w:rsidRPr="00D101A0" w14:paraId="79CE7D19" w14:textId="77777777" w:rsidTr="00CF41A1">
        <w:trPr>
          <w:trHeight w:val="661"/>
        </w:trPr>
        <w:tc>
          <w:tcPr>
            <w:tcW w:w="851" w:type="dxa"/>
            <w:vMerge w:val="restart"/>
            <w:vAlign w:val="center"/>
          </w:tcPr>
          <w:p w14:paraId="5214CBE5" w14:textId="77777777" w:rsidR="00853F2D" w:rsidRDefault="00853F2D" w:rsidP="00CF41A1">
            <w:pPr>
              <w:spacing w:line="260" w:lineRule="atLeast"/>
              <w:ind w:right="-109"/>
            </w:pPr>
            <w:r>
              <w:t>Meta SPC 11</w:t>
            </w:r>
          </w:p>
        </w:tc>
        <w:tc>
          <w:tcPr>
            <w:tcW w:w="1984" w:type="dxa"/>
            <w:vMerge w:val="restart"/>
            <w:shd w:val="clear" w:color="auto" w:fill="auto"/>
            <w:vAlign w:val="center"/>
          </w:tcPr>
          <w:p w14:paraId="02DEE517"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3C074F1D" w14:textId="77777777" w:rsidR="00853F2D" w:rsidRPr="004A79AF" w:rsidRDefault="00853F2D" w:rsidP="00CF41A1">
            <w:pPr>
              <w:spacing w:line="260" w:lineRule="atLeast"/>
              <w:rPr>
                <w:rFonts w:eastAsia="Calibri" w:cs="Arial"/>
                <w:lang w:val="sv-SE" w:eastAsia="sv-SE"/>
              </w:rPr>
            </w:pPr>
            <w:r w:rsidRPr="00220883">
              <w:rPr>
                <w:rFonts w:eastAsia="Calibri" w:cs="Arial"/>
                <w:lang w:val="sv-SE" w:eastAsia="sv-SE"/>
              </w:rPr>
              <w:t>Disinfectants for hard surfaces of industry, institution and h</w:t>
            </w:r>
            <w:r>
              <w:rPr>
                <w:rFonts w:eastAsia="Calibri" w:cs="Arial"/>
                <w:lang w:val="sv-SE" w:eastAsia="sv-SE"/>
              </w:rPr>
              <w:t xml:space="preserve">ealthcare facilities and, food </w:t>
            </w:r>
            <w:r w:rsidRPr="00220883">
              <w:rPr>
                <w:rFonts w:eastAsia="Calibri" w:cs="Arial"/>
                <w:lang w:val="sv-SE" w:eastAsia="sv-SE"/>
              </w:rPr>
              <w:t>preparation and handling areas</w:t>
            </w:r>
            <w:r>
              <w:rPr>
                <w:rFonts w:eastAsia="Calibri" w:cs="Arial"/>
                <w:lang w:val="sv-SE" w:eastAsia="sv-SE"/>
              </w:rPr>
              <w:t xml:space="preserve"> (PT2 and 4)</w:t>
            </w:r>
          </w:p>
        </w:tc>
        <w:tc>
          <w:tcPr>
            <w:tcW w:w="1701" w:type="dxa"/>
            <w:vMerge w:val="restart"/>
            <w:shd w:val="clear" w:color="auto" w:fill="auto"/>
            <w:vAlign w:val="center"/>
          </w:tcPr>
          <w:p w14:paraId="7F72E85F" w14:textId="77777777" w:rsidR="00853F2D" w:rsidRPr="007A4A14"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 xml:space="preserve">Bacteria (including </w:t>
            </w:r>
            <w:r>
              <w:rPr>
                <w:rFonts w:eastAsia="Calibri" w:cs="Arial"/>
                <w:lang w:val="sv-SE" w:eastAsia="sv-SE"/>
              </w:rPr>
              <w:t xml:space="preserve">including additional PT4 strain </w:t>
            </w:r>
            <w:r w:rsidRPr="007A4A14">
              <w:rPr>
                <w:rFonts w:eastAsia="Calibri" w:cs="Arial"/>
                <w:i/>
                <w:lang w:val="sv-SE" w:eastAsia="sv-SE"/>
              </w:rPr>
              <w:t xml:space="preserve">Salmonella </w:t>
            </w:r>
            <w:r w:rsidRPr="007A4A14">
              <w:rPr>
                <w:rFonts w:eastAsia="Calibri" w:cs="Arial"/>
                <w:lang w:val="sv-SE" w:eastAsia="sv-SE"/>
              </w:rPr>
              <w:t xml:space="preserve">Typhimurium and </w:t>
            </w:r>
            <w:r w:rsidRPr="007A4A14">
              <w:rPr>
                <w:rFonts w:eastAsia="Calibri" w:cs="Arial"/>
                <w:i/>
                <w:lang w:val="sv-SE" w:eastAsia="sv-SE"/>
              </w:rPr>
              <w:t>Listeria monocytogenes</w:t>
            </w:r>
            <w:r w:rsidRPr="007A4A14">
              <w:rPr>
                <w:rFonts w:eastAsia="Calibri" w:cs="Arial"/>
                <w:lang w:val="sv-SE" w:eastAsia="sv-SE"/>
              </w:rPr>
              <w:t>)</w:t>
            </w:r>
          </w:p>
          <w:p w14:paraId="76497760" w14:textId="77777777" w:rsidR="00853F2D" w:rsidRPr="004A79AF" w:rsidRDefault="00853F2D" w:rsidP="00CF41A1">
            <w:pPr>
              <w:keepNext/>
              <w:tabs>
                <w:tab w:val="left" w:pos="426"/>
              </w:tabs>
              <w:ind w:right="-108"/>
              <w:textAlignment w:val="top"/>
              <w:rPr>
                <w:rFonts w:eastAsia="Calibri" w:cs="Arial"/>
                <w:lang w:val="sv-SE" w:eastAsia="sv-SE"/>
              </w:rPr>
            </w:pPr>
            <w:r w:rsidRPr="007A4A14">
              <w:rPr>
                <w:rFonts w:eastAsia="Calibri" w:cs="Arial"/>
                <w:lang w:val="sv-SE" w:eastAsia="sv-SE"/>
              </w:rPr>
              <w:t>Yeasts</w:t>
            </w:r>
          </w:p>
        </w:tc>
        <w:tc>
          <w:tcPr>
            <w:tcW w:w="1701" w:type="dxa"/>
            <w:vMerge w:val="restart"/>
            <w:shd w:val="clear" w:color="auto" w:fill="auto"/>
            <w:vAlign w:val="center"/>
          </w:tcPr>
          <w:p w14:paraId="7B75893E" w14:textId="77777777" w:rsidR="00853F2D" w:rsidRPr="004A79AF" w:rsidRDefault="00853F2D" w:rsidP="00CF41A1">
            <w:pPr>
              <w:keepNext/>
              <w:tabs>
                <w:tab w:val="left" w:pos="426"/>
              </w:tabs>
              <w:ind w:right="-108"/>
              <w:textAlignment w:val="top"/>
              <w:rPr>
                <w:rFonts w:eastAsia="Calibri" w:cs="Arial"/>
                <w:lang w:val="sv-SE" w:eastAsia="sv-SE"/>
              </w:rPr>
            </w:pPr>
            <w:r w:rsidRPr="000D7D14">
              <w:t>30 ml/m</w:t>
            </w:r>
            <w:r w:rsidRPr="000D7D14">
              <w:rPr>
                <w:vertAlign w:val="superscript"/>
              </w:rPr>
              <w:t>2</w:t>
            </w:r>
            <w:r w:rsidRPr="000D7D14">
              <w:t xml:space="preserve"> (20 sprays on the surface per m</w:t>
            </w:r>
            <w:r w:rsidRPr="000D7D14">
              <w:rPr>
                <w:vertAlign w:val="superscript"/>
              </w:rPr>
              <w:t>2</w:t>
            </w:r>
            <w:r>
              <w:t>)</w:t>
            </w:r>
          </w:p>
        </w:tc>
        <w:tc>
          <w:tcPr>
            <w:tcW w:w="2547" w:type="dxa"/>
            <w:shd w:val="clear" w:color="auto" w:fill="FFFFFF" w:themeFill="background1"/>
            <w:vAlign w:val="center"/>
          </w:tcPr>
          <w:p w14:paraId="671F1AF7" w14:textId="163A90CB" w:rsidR="00853F2D" w:rsidRPr="00F86A8D" w:rsidRDefault="00D016EC" w:rsidP="00CF41A1">
            <w:pPr>
              <w:keepNext/>
              <w:tabs>
                <w:tab w:val="left" w:pos="426"/>
              </w:tabs>
              <w:ind w:right="-108"/>
              <w:textAlignment w:val="top"/>
              <w:rPr>
                <w:rFonts w:eastAsia="Calibri" w:cs="Arial"/>
                <w:lang w:val="sv-SE" w:eastAsia="sv-SE"/>
              </w:rPr>
            </w:pPr>
            <w:r>
              <w:rPr>
                <w:rFonts w:eastAsia="Calibri" w:cs="Arial"/>
                <w:lang w:val="sv-SE" w:eastAsia="sv-SE"/>
              </w:rPr>
              <w:t>P</w:t>
            </w:r>
            <w:r w:rsidR="00853F2D" w:rsidRPr="00F86A8D">
              <w:rPr>
                <w:rFonts w:eastAsia="Calibri" w:cs="Arial"/>
                <w:lang w:val="sv-SE" w:eastAsia="sv-SE"/>
              </w:rPr>
              <w:t>rofessional</w:t>
            </w:r>
          </w:p>
          <w:p w14:paraId="2F5A50EB" w14:textId="77777777" w:rsidR="00853F2D" w:rsidRPr="00F86A8D" w:rsidRDefault="00853F2D" w:rsidP="00CF41A1">
            <w:pPr>
              <w:keepNext/>
              <w:tabs>
                <w:tab w:val="left" w:pos="426"/>
              </w:tabs>
              <w:ind w:right="-108"/>
              <w:textAlignment w:val="top"/>
              <w:rPr>
                <w:rFonts w:eastAsia="Calibri" w:cs="Arial"/>
                <w:lang w:val="sv-SE" w:eastAsia="sv-SE"/>
              </w:rPr>
            </w:pPr>
          </w:p>
          <w:p w14:paraId="36DF2362"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Align w:val="center"/>
          </w:tcPr>
          <w:p w14:paraId="295D428A" w14:textId="77777777" w:rsidR="00853F2D" w:rsidRPr="00220883" w:rsidRDefault="00853F2D" w:rsidP="00CF41A1">
            <w:pPr>
              <w:ind w:left="37" w:right="-102"/>
              <w:rPr>
                <w:lang w:val="en-US"/>
              </w:rPr>
            </w:pPr>
            <w:r w:rsidRPr="00CF2528">
              <w:t>Acceptable</w:t>
            </w:r>
          </w:p>
        </w:tc>
      </w:tr>
      <w:tr w:rsidR="00853F2D" w:rsidRPr="00D101A0" w14:paraId="1EBED9FA" w14:textId="77777777" w:rsidTr="00CF41A1">
        <w:trPr>
          <w:trHeight w:val="1101"/>
        </w:trPr>
        <w:tc>
          <w:tcPr>
            <w:tcW w:w="851" w:type="dxa"/>
            <w:vMerge/>
            <w:vAlign w:val="center"/>
          </w:tcPr>
          <w:p w14:paraId="01A2278A" w14:textId="77777777" w:rsidR="00853F2D" w:rsidRDefault="00853F2D" w:rsidP="00CF41A1">
            <w:pPr>
              <w:spacing w:line="260" w:lineRule="atLeast"/>
              <w:ind w:right="-109"/>
            </w:pPr>
          </w:p>
        </w:tc>
        <w:tc>
          <w:tcPr>
            <w:tcW w:w="1984" w:type="dxa"/>
            <w:vMerge/>
            <w:shd w:val="clear" w:color="auto" w:fill="auto"/>
            <w:vAlign w:val="center"/>
          </w:tcPr>
          <w:p w14:paraId="44D38B8F"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029DD029"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B47605A"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FFFFFF" w:themeFill="background1"/>
            <w:vAlign w:val="center"/>
          </w:tcPr>
          <w:p w14:paraId="7C484405" w14:textId="50D833A4" w:rsidR="00853F2D" w:rsidRPr="00F86A8D" w:rsidRDefault="00D016EC" w:rsidP="00CF41A1">
            <w:pPr>
              <w:keepNext/>
              <w:tabs>
                <w:tab w:val="left" w:pos="426"/>
              </w:tabs>
              <w:ind w:right="-108"/>
              <w:textAlignment w:val="top"/>
              <w:rPr>
                <w:rFonts w:eastAsia="Calibri" w:cs="Arial"/>
                <w:lang w:val="sv-SE" w:eastAsia="sv-SE"/>
              </w:rPr>
            </w:pPr>
            <w:r>
              <w:rPr>
                <w:rFonts w:eastAsia="Calibri" w:cs="Arial"/>
                <w:lang w:val="sv-SE" w:eastAsia="sv-SE"/>
              </w:rPr>
              <w:t>P</w:t>
            </w:r>
            <w:r w:rsidR="00853F2D" w:rsidRPr="00F86A8D">
              <w:rPr>
                <w:rFonts w:eastAsia="Calibri" w:cs="Arial"/>
                <w:lang w:val="sv-SE" w:eastAsia="sv-SE"/>
              </w:rPr>
              <w:t>rofessional</w:t>
            </w:r>
          </w:p>
          <w:p w14:paraId="7B66772A" w14:textId="77777777" w:rsidR="00853F2D" w:rsidRPr="00F86A8D" w:rsidRDefault="00853F2D" w:rsidP="00CF41A1">
            <w:pPr>
              <w:keepNext/>
              <w:tabs>
                <w:tab w:val="left" w:pos="426"/>
              </w:tabs>
              <w:ind w:right="-108"/>
              <w:textAlignment w:val="top"/>
              <w:rPr>
                <w:rFonts w:eastAsia="Calibri" w:cs="Arial"/>
                <w:lang w:val="sv-SE" w:eastAsia="sv-SE"/>
              </w:rPr>
            </w:pPr>
          </w:p>
          <w:p w14:paraId="24F67022"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Align w:val="center"/>
          </w:tcPr>
          <w:p w14:paraId="1D389528" w14:textId="77777777" w:rsidR="00853F2D" w:rsidRPr="00220883" w:rsidRDefault="00853F2D" w:rsidP="00CF41A1">
            <w:pPr>
              <w:ind w:left="37" w:right="-102"/>
              <w:rPr>
                <w:lang w:val="en-US"/>
              </w:rPr>
            </w:pPr>
            <w:r w:rsidRPr="00CF2528">
              <w:t>Acceptable</w:t>
            </w:r>
          </w:p>
        </w:tc>
      </w:tr>
      <w:tr w:rsidR="00853F2D" w:rsidRPr="00D101A0" w14:paraId="4D502511" w14:textId="77777777" w:rsidTr="00CF41A1">
        <w:trPr>
          <w:trHeight w:val="1820"/>
        </w:trPr>
        <w:tc>
          <w:tcPr>
            <w:tcW w:w="851" w:type="dxa"/>
            <w:vMerge/>
            <w:vAlign w:val="center"/>
          </w:tcPr>
          <w:p w14:paraId="1ABD1960" w14:textId="77777777" w:rsidR="00853F2D" w:rsidRDefault="00853F2D" w:rsidP="00CF41A1">
            <w:pPr>
              <w:spacing w:line="260" w:lineRule="atLeast"/>
              <w:ind w:right="-109"/>
            </w:pPr>
          </w:p>
        </w:tc>
        <w:tc>
          <w:tcPr>
            <w:tcW w:w="1984" w:type="dxa"/>
            <w:vMerge/>
            <w:shd w:val="clear" w:color="auto" w:fill="auto"/>
            <w:vAlign w:val="center"/>
          </w:tcPr>
          <w:p w14:paraId="63832B46"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A200D7F"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AB29EA5"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317D1428" w14:textId="07B4DA9B" w:rsidR="00853F2D" w:rsidRPr="00F86A8D" w:rsidRDefault="00D016EC" w:rsidP="00CF41A1">
            <w:pPr>
              <w:keepNext/>
              <w:tabs>
                <w:tab w:val="left" w:pos="426"/>
              </w:tabs>
              <w:ind w:right="-108"/>
              <w:textAlignment w:val="top"/>
              <w:rPr>
                <w:rFonts w:eastAsia="Calibri" w:cs="Arial"/>
                <w:lang w:val="sv-SE" w:eastAsia="sv-SE"/>
              </w:rPr>
            </w:pPr>
            <w:r>
              <w:rPr>
                <w:rFonts w:eastAsia="Calibri" w:cs="Arial"/>
                <w:lang w:val="sv-SE" w:eastAsia="sv-SE"/>
              </w:rPr>
              <w:t>P</w:t>
            </w:r>
            <w:r w:rsidR="00853F2D" w:rsidRPr="00F86A8D">
              <w:rPr>
                <w:rFonts w:eastAsia="Calibri" w:cs="Arial"/>
                <w:lang w:val="sv-SE" w:eastAsia="sv-SE"/>
              </w:rPr>
              <w:t>rofessional</w:t>
            </w:r>
          </w:p>
          <w:p w14:paraId="267B11E2" w14:textId="77777777" w:rsidR="00853F2D" w:rsidRPr="00F86A8D" w:rsidRDefault="00853F2D" w:rsidP="00CF41A1">
            <w:pPr>
              <w:keepNext/>
              <w:tabs>
                <w:tab w:val="left" w:pos="426"/>
              </w:tabs>
              <w:ind w:right="-108"/>
              <w:textAlignment w:val="top"/>
              <w:rPr>
                <w:rFonts w:eastAsia="Calibri" w:cs="Arial"/>
                <w:lang w:val="sv-SE" w:eastAsia="sv-SE"/>
              </w:rPr>
            </w:pPr>
          </w:p>
          <w:p w14:paraId="5A69CC4A" w14:textId="77777777" w:rsidR="00853F2D" w:rsidRPr="004A79AF" w:rsidRDefault="00853F2D" w:rsidP="00CF41A1">
            <w:pPr>
              <w:keepNext/>
              <w:tabs>
                <w:tab w:val="left" w:pos="426"/>
              </w:tabs>
              <w:ind w:right="-108"/>
              <w:textAlignment w:val="top"/>
              <w:rPr>
                <w:rFonts w:eastAsia="Calibri" w:cs="Arial"/>
                <w:lang w:val="sv-SE" w:eastAsia="sv-SE"/>
              </w:rPr>
            </w:pPr>
            <w:r w:rsidRPr="00220883">
              <w:rPr>
                <w:rFonts w:eastAsia="Calibri" w:cs="Arial"/>
                <w:lang w:val="sv-SE" w:eastAsia="sv-SE"/>
              </w:rPr>
              <w:t>Application by scrubbing on hard surfaces (applying product by machine).</w:t>
            </w:r>
          </w:p>
        </w:tc>
        <w:tc>
          <w:tcPr>
            <w:tcW w:w="1422" w:type="dxa"/>
            <w:vAlign w:val="center"/>
          </w:tcPr>
          <w:p w14:paraId="27CF0DC6" w14:textId="77777777" w:rsidR="00853F2D" w:rsidRPr="00220883" w:rsidRDefault="00853F2D" w:rsidP="00CF41A1">
            <w:pPr>
              <w:ind w:left="37" w:right="-102"/>
              <w:rPr>
                <w:lang w:val="en-US"/>
              </w:rPr>
            </w:pPr>
            <w:r w:rsidRPr="00CF2528">
              <w:t>Acceptable</w:t>
            </w:r>
          </w:p>
        </w:tc>
      </w:tr>
      <w:tr w:rsidR="00853F2D" w:rsidRPr="00D101A0" w14:paraId="52EC8100" w14:textId="77777777" w:rsidTr="00CF41A1">
        <w:trPr>
          <w:trHeight w:val="1820"/>
        </w:trPr>
        <w:tc>
          <w:tcPr>
            <w:tcW w:w="851" w:type="dxa"/>
            <w:vAlign w:val="center"/>
          </w:tcPr>
          <w:p w14:paraId="16AAE99A" w14:textId="77777777" w:rsidR="00853F2D" w:rsidRDefault="00853F2D" w:rsidP="00CF41A1">
            <w:pPr>
              <w:spacing w:line="260" w:lineRule="atLeast"/>
              <w:ind w:right="-109"/>
            </w:pPr>
            <w:r>
              <w:t>Meta SPC 12</w:t>
            </w:r>
          </w:p>
        </w:tc>
        <w:tc>
          <w:tcPr>
            <w:tcW w:w="1984" w:type="dxa"/>
            <w:tcBorders>
              <w:bottom w:val="single" w:sz="4" w:space="0" w:color="auto"/>
            </w:tcBorders>
            <w:shd w:val="clear" w:color="auto" w:fill="auto"/>
            <w:vAlign w:val="center"/>
          </w:tcPr>
          <w:p w14:paraId="35D0660E"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16E7E7E7" w14:textId="77777777" w:rsidR="00853F2D" w:rsidRPr="004A79AF" w:rsidRDefault="00853F2D" w:rsidP="00CF41A1">
            <w:pPr>
              <w:spacing w:line="260" w:lineRule="atLeast"/>
              <w:rPr>
                <w:rFonts w:eastAsia="Calibri" w:cs="Arial"/>
                <w:lang w:val="sv-SE" w:eastAsia="sv-SE"/>
              </w:rPr>
            </w:pPr>
            <w:r w:rsidRPr="00121594">
              <w:rPr>
                <w:rFonts w:eastAsia="Calibri" w:cs="Arial"/>
                <w:lang w:val="sv-SE" w:eastAsia="sv-SE"/>
              </w:rPr>
              <w:t xml:space="preserve">Disinfectants </w:t>
            </w:r>
            <w:r w:rsidRPr="000125D1">
              <w:rPr>
                <w:rFonts w:eastAsia="Calibri" w:cs="Arial"/>
                <w:lang w:val="sv-SE" w:eastAsia="sv-SE"/>
              </w:rPr>
              <w:t>for toilet bowls of</w:t>
            </w:r>
            <w:r w:rsidRPr="00121594">
              <w:rPr>
                <w:rFonts w:eastAsia="Calibri" w:cs="Arial"/>
                <w:lang w:val="sv-SE" w:eastAsia="sv-SE"/>
              </w:rPr>
              <w:t xml:space="preserve"> industry, institution, healthcare facilities and health care</w:t>
            </w:r>
            <w:r>
              <w:rPr>
                <w:rFonts w:eastAsia="Calibri" w:cs="Arial"/>
                <w:lang w:val="sv-SE" w:eastAsia="sv-SE"/>
              </w:rPr>
              <w:t xml:space="preserve"> (PT2)</w:t>
            </w:r>
          </w:p>
        </w:tc>
        <w:tc>
          <w:tcPr>
            <w:tcW w:w="1701" w:type="dxa"/>
            <w:tcBorders>
              <w:bottom w:val="single" w:sz="4" w:space="0" w:color="auto"/>
            </w:tcBorders>
            <w:shd w:val="clear" w:color="auto" w:fill="auto"/>
            <w:vAlign w:val="center"/>
          </w:tcPr>
          <w:p w14:paraId="59B840F7" w14:textId="77777777" w:rsidR="00853F2D" w:rsidRPr="00220883" w:rsidRDefault="00853F2D" w:rsidP="00CF41A1">
            <w:pPr>
              <w:keepNext/>
              <w:tabs>
                <w:tab w:val="left" w:pos="426"/>
              </w:tabs>
              <w:ind w:right="-108"/>
              <w:textAlignment w:val="top"/>
              <w:rPr>
                <w:rFonts w:eastAsia="Calibri" w:cs="Arial"/>
                <w:lang w:val="sv-SE" w:eastAsia="sv-SE"/>
              </w:rPr>
            </w:pPr>
            <w:r w:rsidRPr="00220883">
              <w:rPr>
                <w:rFonts w:eastAsia="Calibri" w:cs="Arial"/>
                <w:lang w:val="sv-SE" w:eastAsia="sv-SE"/>
              </w:rPr>
              <w:t xml:space="preserve">Bacteria </w:t>
            </w:r>
          </w:p>
          <w:p w14:paraId="0CA1187A" w14:textId="77777777" w:rsidR="00853F2D" w:rsidRPr="004A79AF" w:rsidRDefault="00853F2D" w:rsidP="00CF41A1">
            <w:pPr>
              <w:keepNext/>
              <w:tabs>
                <w:tab w:val="left" w:pos="426"/>
              </w:tabs>
              <w:ind w:right="-108"/>
              <w:textAlignment w:val="top"/>
              <w:rPr>
                <w:rFonts w:eastAsia="Calibri" w:cs="Arial"/>
                <w:lang w:val="sv-SE" w:eastAsia="sv-SE"/>
              </w:rPr>
            </w:pPr>
            <w:r w:rsidRPr="00220883">
              <w:rPr>
                <w:rFonts w:eastAsia="Calibri" w:cs="Arial"/>
                <w:lang w:val="sv-SE" w:eastAsia="sv-SE"/>
              </w:rPr>
              <w:t>Yeasts</w:t>
            </w:r>
          </w:p>
        </w:tc>
        <w:tc>
          <w:tcPr>
            <w:tcW w:w="1701" w:type="dxa"/>
            <w:tcBorders>
              <w:bottom w:val="single" w:sz="4" w:space="0" w:color="auto"/>
            </w:tcBorders>
            <w:shd w:val="clear" w:color="auto" w:fill="auto"/>
            <w:vAlign w:val="center"/>
          </w:tcPr>
          <w:p w14:paraId="1B34C482" w14:textId="77777777" w:rsidR="00853F2D" w:rsidRPr="004A79AF" w:rsidRDefault="00853F2D" w:rsidP="00CF41A1">
            <w:pPr>
              <w:keepNext/>
              <w:tabs>
                <w:tab w:val="left" w:pos="426"/>
              </w:tabs>
              <w:ind w:right="-108"/>
              <w:textAlignment w:val="top"/>
              <w:rPr>
                <w:rFonts w:eastAsia="Calibri" w:cs="Arial"/>
                <w:lang w:val="sv-SE" w:eastAsia="sv-SE"/>
              </w:rPr>
            </w:pPr>
            <w:r>
              <w:rPr>
                <w:rFonts w:eastAsia="Calibri" w:cs="Arial"/>
                <w:lang w:val="sv-SE" w:eastAsia="sv-SE"/>
              </w:rPr>
              <w:t>5</w:t>
            </w:r>
            <w:r w:rsidRPr="00121594">
              <w:rPr>
                <w:rFonts w:eastAsia="Calibri" w:cs="Arial"/>
                <w:lang w:val="sv-SE" w:eastAsia="sv-SE"/>
              </w:rPr>
              <w:t>0 ml/m</w:t>
            </w:r>
            <w:r w:rsidRPr="00121594">
              <w:rPr>
                <w:rFonts w:eastAsia="Calibri" w:cs="Arial"/>
                <w:vertAlign w:val="superscript"/>
                <w:lang w:val="sv-SE" w:eastAsia="sv-SE"/>
              </w:rPr>
              <w:t>2</w:t>
            </w:r>
          </w:p>
        </w:tc>
        <w:tc>
          <w:tcPr>
            <w:tcW w:w="2547" w:type="dxa"/>
            <w:tcBorders>
              <w:bottom w:val="single" w:sz="4" w:space="0" w:color="auto"/>
            </w:tcBorders>
            <w:vAlign w:val="center"/>
          </w:tcPr>
          <w:p w14:paraId="52636DF1" w14:textId="25FE4CCB"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B7D91AA" w14:textId="77777777" w:rsidR="00853F2D" w:rsidRPr="00121594" w:rsidRDefault="00853F2D" w:rsidP="00CF41A1">
            <w:pPr>
              <w:keepNext/>
              <w:tabs>
                <w:tab w:val="left" w:pos="426"/>
              </w:tabs>
              <w:ind w:right="-108"/>
              <w:textAlignment w:val="top"/>
              <w:rPr>
                <w:rFonts w:eastAsia="Calibri" w:cs="Arial"/>
                <w:lang w:val="sv-SE" w:eastAsia="sv-SE"/>
              </w:rPr>
            </w:pPr>
          </w:p>
          <w:p w14:paraId="2B49FBCE" w14:textId="77777777" w:rsidR="00853F2D" w:rsidRPr="004A79AF" w:rsidRDefault="00853F2D" w:rsidP="00CF41A1">
            <w:pPr>
              <w:keepNext/>
              <w:tabs>
                <w:tab w:val="left" w:pos="426"/>
              </w:tabs>
              <w:ind w:right="-108"/>
              <w:textAlignment w:val="top"/>
              <w:rPr>
                <w:rFonts w:eastAsia="Calibri" w:cs="Arial"/>
                <w:lang w:val="sv-SE" w:eastAsia="sv-SE"/>
              </w:rPr>
            </w:pPr>
            <w:r w:rsidRPr="00121594">
              <w:rPr>
                <w:rFonts w:eastAsia="Calibri" w:cs="Arial"/>
                <w:lang w:val="sv-SE" w:eastAsia="sv-SE"/>
              </w:rPr>
              <w:t>Application by pouring on hard surfaces.</w:t>
            </w:r>
          </w:p>
        </w:tc>
        <w:tc>
          <w:tcPr>
            <w:tcW w:w="1422" w:type="dxa"/>
            <w:tcBorders>
              <w:bottom w:val="single" w:sz="4" w:space="0" w:color="auto"/>
            </w:tcBorders>
            <w:vAlign w:val="center"/>
          </w:tcPr>
          <w:p w14:paraId="504DC788" w14:textId="77777777" w:rsidR="00853F2D" w:rsidRPr="00220883" w:rsidRDefault="00853F2D" w:rsidP="00CF41A1">
            <w:pPr>
              <w:ind w:left="37" w:right="-102"/>
              <w:rPr>
                <w:lang w:val="en-US"/>
              </w:rPr>
            </w:pPr>
            <w:r w:rsidRPr="00CF2528">
              <w:t>Acceptable</w:t>
            </w:r>
          </w:p>
        </w:tc>
      </w:tr>
      <w:tr w:rsidR="00853F2D" w:rsidRPr="00D101A0" w14:paraId="11F03E50" w14:textId="77777777" w:rsidTr="00CF41A1">
        <w:trPr>
          <w:trHeight w:val="1120"/>
        </w:trPr>
        <w:tc>
          <w:tcPr>
            <w:tcW w:w="851" w:type="dxa"/>
            <w:vMerge w:val="restart"/>
            <w:vAlign w:val="center"/>
          </w:tcPr>
          <w:p w14:paraId="561DB99C" w14:textId="77777777" w:rsidR="00853F2D" w:rsidRDefault="00853F2D" w:rsidP="00CF41A1">
            <w:pPr>
              <w:spacing w:line="260" w:lineRule="atLeast"/>
              <w:ind w:right="-109"/>
            </w:pPr>
            <w:r>
              <w:t>Meta SPC 13</w:t>
            </w:r>
          </w:p>
        </w:tc>
        <w:tc>
          <w:tcPr>
            <w:tcW w:w="1984" w:type="dxa"/>
            <w:vMerge w:val="restart"/>
            <w:tcBorders>
              <w:bottom w:val="nil"/>
            </w:tcBorders>
            <w:shd w:val="clear" w:color="auto" w:fill="BFBFBF" w:themeFill="background1" w:themeFillShade="BF"/>
            <w:vAlign w:val="center"/>
          </w:tcPr>
          <w:p w14:paraId="4D6682FE"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70BC24A2" w14:textId="77777777" w:rsidR="00853F2D" w:rsidRPr="004A79AF" w:rsidRDefault="00853F2D" w:rsidP="00CF41A1">
            <w:pPr>
              <w:spacing w:line="260" w:lineRule="atLeast"/>
              <w:rPr>
                <w:rFonts w:eastAsia="Calibri" w:cs="Arial"/>
                <w:lang w:val="sv-SE" w:eastAsia="sv-SE"/>
              </w:rPr>
            </w:pPr>
            <w:r w:rsidRPr="00121594">
              <w:rPr>
                <w:rFonts w:eastAsia="Calibri" w:cs="Arial"/>
                <w:lang w:val="sv-SE" w:eastAsia="sv-SE"/>
              </w:rPr>
              <w:t>Disinfectants for hard surfaces of industry, institution and healthcare facilities</w:t>
            </w:r>
            <w:r>
              <w:rPr>
                <w:rFonts w:eastAsia="Calibri" w:cs="Arial"/>
                <w:lang w:val="sv-SE" w:eastAsia="sv-SE"/>
              </w:rPr>
              <w:t xml:space="preserve"> (PT2)</w:t>
            </w:r>
          </w:p>
        </w:tc>
        <w:tc>
          <w:tcPr>
            <w:tcW w:w="1701" w:type="dxa"/>
            <w:vMerge w:val="restart"/>
            <w:tcBorders>
              <w:bottom w:val="nil"/>
            </w:tcBorders>
            <w:shd w:val="clear" w:color="auto" w:fill="BFBFBF" w:themeFill="background1" w:themeFillShade="BF"/>
            <w:vAlign w:val="center"/>
          </w:tcPr>
          <w:p w14:paraId="7CD65D4C" w14:textId="77777777" w:rsidR="00853F2D" w:rsidRPr="00121594" w:rsidRDefault="00853F2D" w:rsidP="00CF41A1">
            <w:pPr>
              <w:keepNext/>
              <w:tabs>
                <w:tab w:val="left" w:pos="426"/>
              </w:tabs>
              <w:ind w:right="-108"/>
              <w:textAlignment w:val="top"/>
              <w:rPr>
                <w:rFonts w:eastAsia="Calibri" w:cs="Arial"/>
                <w:lang w:val="sv-SE" w:eastAsia="sv-SE"/>
              </w:rPr>
            </w:pPr>
            <w:r w:rsidRPr="00121594">
              <w:rPr>
                <w:rFonts w:eastAsia="Calibri" w:cs="Arial"/>
                <w:lang w:val="sv-SE" w:eastAsia="sv-SE"/>
              </w:rPr>
              <w:t xml:space="preserve">Bacteria (including the additional strain </w:t>
            </w:r>
            <w:r w:rsidRPr="00121594">
              <w:rPr>
                <w:rFonts w:eastAsia="Calibri" w:cs="Arial"/>
                <w:i/>
                <w:lang w:val="sv-SE" w:eastAsia="sv-SE"/>
              </w:rPr>
              <w:t>Yersinia enterocolitica</w:t>
            </w:r>
            <w:r w:rsidRPr="00121594">
              <w:rPr>
                <w:rFonts w:eastAsia="Calibri" w:cs="Arial"/>
                <w:lang w:val="sv-SE" w:eastAsia="sv-SE"/>
              </w:rPr>
              <w:t>)</w:t>
            </w:r>
          </w:p>
          <w:p w14:paraId="46C635F4" w14:textId="77777777" w:rsidR="00853F2D" w:rsidRPr="004A79AF" w:rsidRDefault="00853F2D" w:rsidP="00CF41A1">
            <w:pPr>
              <w:keepNext/>
              <w:tabs>
                <w:tab w:val="left" w:pos="426"/>
              </w:tabs>
              <w:ind w:right="-108"/>
              <w:textAlignment w:val="top"/>
              <w:rPr>
                <w:rFonts w:eastAsia="Calibri" w:cs="Arial"/>
                <w:lang w:val="sv-SE" w:eastAsia="sv-SE"/>
              </w:rPr>
            </w:pPr>
            <w:r w:rsidRPr="00121594">
              <w:rPr>
                <w:rFonts w:eastAsia="Calibri" w:cs="Arial"/>
                <w:lang w:val="sv-SE" w:eastAsia="sv-SE"/>
              </w:rPr>
              <w:t>Yeasts</w:t>
            </w:r>
          </w:p>
        </w:tc>
        <w:tc>
          <w:tcPr>
            <w:tcW w:w="1701" w:type="dxa"/>
            <w:vMerge w:val="restart"/>
            <w:tcBorders>
              <w:bottom w:val="nil"/>
            </w:tcBorders>
            <w:shd w:val="clear" w:color="auto" w:fill="BFBFBF" w:themeFill="background1" w:themeFillShade="BF"/>
            <w:vAlign w:val="center"/>
          </w:tcPr>
          <w:p w14:paraId="3D10A988" w14:textId="612BAAD0" w:rsidR="00853F2D" w:rsidRPr="004A79AF" w:rsidRDefault="00853F2D" w:rsidP="00CF41A1">
            <w:pPr>
              <w:keepNext/>
              <w:tabs>
                <w:tab w:val="left" w:pos="426"/>
              </w:tabs>
              <w:ind w:right="-108"/>
              <w:textAlignment w:val="top"/>
              <w:rPr>
                <w:rFonts w:eastAsia="Calibri" w:cs="Arial"/>
                <w:lang w:val="sv-SE" w:eastAsia="sv-SE"/>
              </w:rPr>
            </w:pPr>
            <w:r w:rsidRPr="000D7D14">
              <w:t>30 ml/m</w:t>
            </w:r>
            <w:r w:rsidRPr="000D7D14">
              <w:rPr>
                <w:vertAlign w:val="superscript"/>
              </w:rPr>
              <w:t>2</w:t>
            </w:r>
            <w:r w:rsidRPr="000D7D14">
              <w:t xml:space="preserve"> (20 sprays on the surface per m</w:t>
            </w:r>
            <w:r w:rsidRPr="000D7D14">
              <w:rPr>
                <w:vertAlign w:val="superscript"/>
              </w:rPr>
              <w:t>2</w:t>
            </w:r>
            <w:r>
              <w:t xml:space="preserve">) for the </w:t>
            </w:r>
            <w:r w:rsidR="002A6A18">
              <w:t xml:space="preserve">outdoor </w:t>
            </w:r>
            <w:r>
              <w:t>disinfection of waste containers and around and roadways</w:t>
            </w:r>
          </w:p>
        </w:tc>
        <w:tc>
          <w:tcPr>
            <w:tcW w:w="2547" w:type="dxa"/>
            <w:tcBorders>
              <w:bottom w:val="single" w:sz="4" w:space="0" w:color="auto"/>
            </w:tcBorders>
            <w:shd w:val="clear" w:color="auto" w:fill="BFBFBF" w:themeFill="background1" w:themeFillShade="BF"/>
            <w:vAlign w:val="center"/>
          </w:tcPr>
          <w:p w14:paraId="4344A2B8" w14:textId="4D4E3EE8"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3B233E4B" w14:textId="77777777" w:rsidR="00853F2D" w:rsidRPr="00F86A8D" w:rsidRDefault="00853F2D" w:rsidP="00CF41A1">
            <w:pPr>
              <w:keepNext/>
              <w:tabs>
                <w:tab w:val="left" w:pos="426"/>
              </w:tabs>
              <w:ind w:right="-108"/>
              <w:textAlignment w:val="top"/>
              <w:rPr>
                <w:rFonts w:eastAsia="Calibri" w:cs="Arial"/>
                <w:lang w:val="sv-SE" w:eastAsia="sv-SE"/>
              </w:rPr>
            </w:pPr>
          </w:p>
          <w:p w14:paraId="521987BB"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val="restart"/>
            <w:tcBorders>
              <w:bottom w:val="nil"/>
            </w:tcBorders>
            <w:shd w:val="clear" w:color="auto" w:fill="BFBFBF" w:themeFill="background1" w:themeFillShade="BF"/>
            <w:vAlign w:val="center"/>
          </w:tcPr>
          <w:p w14:paraId="3878EB86" w14:textId="77777777" w:rsidR="00853F2D" w:rsidRPr="00D72558" w:rsidRDefault="00853F2D" w:rsidP="00CF41A1">
            <w:pPr>
              <w:ind w:left="37" w:right="-102"/>
              <w:rPr>
                <w:lang w:val="fr-FR"/>
              </w:rPr>
            </w:pPr>
            <w:r>
              <w:rPr>
                <w:lang w:val="fr-FR"/>
              </w:rPr>
              <w:t>Non a</w:t>
            </w:r>
            <w:r w:rsidRPr="007A4A14">
              <w:rPr>
                <w:lang w:val="fr-FR"/>
              </w:rPr>
              <w:t>cceptable</w:t>
            </w:r>
          </w:p>
        </w:tc>
      </w:tr>
      <w:tr w:rsidR="00853F2D" w:rsidRPr="00D101A0" w14:paraId="2133D5E4" w14:textId="77777777" w:rsidTr="00CF41A1">
        <w:trPr>
          <w:trHeight w:val="705"/>
        </w:trPr>
        <w:tc>
          <w:tcPr>
            <w:tcW w:w="851" w:type="dxa"/>
            <w:vMerge/>
            <w:vAlign w:val="center"/>
          </w:tcPr>
          <w:p w14:paraId="4893333E" w14:textId="77777777" w:rsidR="00853F2D" w:rsidRDefault="00853F2D" w:rsidP="00CF41A1">
            <w:pPr>
              <w:spacing w:line="260" w:lineRule="atLeast"/>
              <w:ind w:right="-109"/>
            </w:pPr>
          </w:p>
        </w:tc>
        <w:tc>
          <w:tcPr>
            <w:tcW w:w="1984" w:type="dxa"/>
            <w:vMerge/>
            <w:tcBorders>
              <w:top w:val="nil"/>
            </w:tcBorders>
            <w:shd w:val="clear" w:color="auto" w:fill="auto"/>
            <w:vAlign w:val="center"/>
          </w:tcPr>
          <w:p w14:paraId="5221A37F" w14:textId="77777777" w:rsidR="00853F2D" w:rsidRPr="004A79AF" w:rsidRDefault="00853F2D" w:rsidP="00CF41A1">
            <w:pPr>
              <w:spacing w:line="260" w:lineRule="atLeast"/>
              <w:rPr>
                <w:rFonts w:eastAsia="Calibri" w:cs="Arial"/>
                <w:lang w:val="sv-SE" w:eastAsia="sv-SE"/>
              </w:rPr>
            </w:pPr>
          </w:p>
        </w:tc>
        <w:tc>
          <w:tcPr>
            <w:tcW w:w="1701" w:type="dxa"/>
            <w:vMerge/>
            <w:tcBorders>
              <w:top w:val="nil"/>
            </w:tcBorders>
            <w:shd w:val="clear" w:color="auto" w:fill="auto"/>
            <w:vAlign w:val="center"/>
          </w:tcPr>
          <w:p w14:paraId="6F8A0E09"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tcBorders>
              <w:top w:val="nil"/>
            </w:tcBorders>
            <w:shd w:val="clear" w:color="auto" w:fill="auto"/>
            <w:vAlign w:val="center"/>
          </w:tcPr>
          <w:p w14:paraId="1E495360"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tcBorders>
              <w:top w:val="single" w:sz="4" w:space="0" w:color="auto"/>
            </w:tcBorders>
            <w:shd w:val="clear" w:color="auto" w:fill="BFBFBF" w:themeFill="background1" w:themeFillShade="BF"/>
            <w:vAlign w:val="center"/>
          </w:tcPr>
          <w:p w14:paraId="7E10571F" w14:textId="3E01D9D9"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53EB4AE1" w14:textId="77777777" w:rsidR="00853F2D" w:rsidRPr="00F86A8D" w:rsidRDefault="00853F2D" w:rsidP="00CF41A1">
            <w:pPr>
              <w:keepNext/>
              <w:tabs>
                <w:tab w:val="left" w:pos="426"/>
              </w:tabs>
              <w:ind w:right="-108"/>
              <w:textAlignment w:val="top"/>
              <w:rPr>
                <w:rFonts w:eastAsia="Calibri" w:cs="Arial"/>
                <w:lang w:val="sv-SE" w:eastAsia="sv-SE"/>
              </w:rPr>
            </w:pPr>
          </w:p>
          <w:p w14:paraId="04A47514"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tcBorders>
              <w:top w:val="nil"/>
            </w:tcBorders>
            <w:shd w:val="clear" w:color="auto" w:fill="BFBFBF" w:themeFill="background1" w:themeFillShade="BF"/>
            <w:vAlign w:val="center"/>
          </w:tcPr>
          <w:p w14:paraId="342C43DA" w14:textId="77777777" w:rsidR="00853F2D" w:rsidRPr="00121594" w:rsidRDefault="00853F2D" w:rsidP="00CF41A1">
            <w:pPr>
              <w:ind w:left="37" w:right="-102"/>
              <w:rPr>
                <w:lang w:val="en-US"/>
              </w:rPr>
            </w:pPr>
          </w:p>
        </w:tc>
      </w:tr>
      <w:tr w:rsidR="00853F2D" w:rsidRPr="00D101A0" w14:paraId="2ED19E2A" w14:textId="77777777" w:rsidTr="00CF41A1">
        <w:trPr>
          <w:trHeight w:val="1820"/>
        </w:trPr>
        <w:tc>
          <w:tcPr>
            <w:tcW w:w="851" w:type="dxa"/>
            <w:vMerge/>
            <w:vAlign w:val="center"/>
          </w:tcPr>
          <w:p w14:paraId="5CA1618B" w14:textId="77777777" w:rsidR="00853F2D" w:rsidRDefault="00853F2D" w:rsidP="00CF41A1">
            <w:pPr>
              <w:spacing w:line="260" w:lineRule="atLeast"/>
              <w:ind w:right="-109"/>
            </w:pPr>
          </w:p>
        </w:tc>
        <w:tc>
          <w:tcPr>
            <w:tcW w:w="1984" w:type="dxa"/>
            <w:vMerge/>
            <w:shd w:val="clear" w:color="auto" w:fill="auto"/>
            <w:vAlign w:val="center"/>
          </w:tcPr>
          <w:p w14:paraId="362809E8"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3910DF26"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74D94C9"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BFBFBF" w:themeFill="background1" w:themeFillShade="BF"/>
            <w:vAlign w:val="center"/>
          </w:tcPr>
          <w:p w14:paraId="5651D702" w14:textId="6A062458"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1CB24876" w14:textId="77777777" w:rsidR="00853F2D" w:rsidRPr="00F86A8D" w:rsidRDefault="00853F2D" w:rsidP="00CF41A1">
            <w:pPr>
              <w:keepNext/>
              <w:tabs>
                <w:tab w:val="left" w:pos="426"/>
              </w:tabs>
              <w:ind w:right="-108"/>
              <w:textAlignment w:val="top"/>
              <w:rPr>
                <w:rFonts w:eastAsia="Calibri" w:cs="Arial"/>
                <w:lang w:val="sv-SE" w:eastAsia="sv-SE"/>
              </w:rPr>
            </w:pPr>
          </w:p>
          <w:p w14:paraId="7E929D72" w14:textId="77777777" w:rsidR="00853F2D" w:rsidRPr="004A79AF" w:rsidRDefault="00853F2D" w:rsidP="00CF41A1">
            <w:pPr>
              <w:keepNext/>
              <w:tabs>
                <w:tab w:val="left" w:pos="426"/>
              </w:tabs>
              <w:ind w:right="-108"/>
              <w:textAlignment w:val="top"/>
              <w:rPr>
                <w:rFonts w:eastAsia="Calibri" w:cs="Arial"/>
                <w:lang w:val="sv-SE" w:eastAsia="sv-SE"/>
              </w:rPr>
            </w:pPr>
            <w:r w:rsidRPr="00220883">
              <w:rPr>
                <w:rFonts w:eastAsia="Calibri" w:cs="Arial"/>
                <w:lang w:val="sv-SE" w:eastAsia="sv-SE"/>
              </w:rPr>
              <w:t>Application by scrubbing on hard surfaces (applying product by machine).</w:t>
            </w:r>
          </w:p>
        </w:tc>
        <w:tc>
          <w:tcPr>
            <w:tcW w:w="1422" w:type="dxa"/>
            <w:vMerge/>
            <w:shd w:val="clear" w:color="auto" w:fill="BFBFBF" w:themeFill="background1" w:themeFillShade="BF"/>
            <w:vAlign w:val="center"/>
          </w:tcPr>
          <w:p w14:paraId="59AF22A9" w14:textId="77777777" w:rsidR="00853F2D" w:rsidRPr="00121594" w:rsidRDefault="00853F2D" w:rsidP="00CF41A1">
            <w:pPr>
              <w:ind w:left="37" w:right="-102"/>
              <w:rPr>
                <w:lang w:val="en-US"/>
              </w:rPr>
            </w:pPr>
          </w:p>
        </w:tc>
      </w:tr>
      <w:tr w:rsidR="00853F2D" w:rsidRPr="00D101A0" w14:paraId="28E8C61C" w14:textId="77777777" w:rsidTr="00CF41A1">
        <w:trPr>
          <w:trHeight w:val="446"/>
        </w:trPr>
        <w:tc>
          <w:tcPr>
            <w:tcW w:w="851" w:type="dxa"/>
            <w:vMerge/>
            <w:vAlign w:val="center"/>
          </w:tcPr>
          <w:p w14:paraId="3AAD72E5" w14:textId="77777777" w:rsidR="00853F2D" w:rsidRDefault="00853F2D" w:rsidP="00CF41A1">
            <w:pPr>
              <w:spacing w:line="260" w:lineRule="atLeast"/>
              <w:ind w:right="-109"/>
            </w:pPr>
          </w:p>
        </w:tc>
        <w:tc>
          <w:tcPr>
            <w:tcW w:w="1984" w:type="dxa"/>
            <w:vMerge w:val="restart"/>
            <w:shd w:val="clear" w:color="auto" w:fill="auto"/>
            <w:vAlign w:val="center"/>
          </w:tcPr>
          <w:p w14:paraId="2B1D9987" w14:textId="77777777" w:rsidR="00853F2D" w:rsidRDefault="00853F2D" w:rsidP="00CF41A1">
            <w:pPr>
              <w:spacing w:line="260" w:lineRule="atLeast"/>
              <w:rPr>
                <w:rFonts w:eastAsia="Calibri" w:cs="Arial"/>
                <w:lang w:val="sv-SE" w:eastAsia="sv-SE"/>
              </w:rPr>
            </w:pPr>
            <w:r>
              <w:rPr>
                <w:rFonts w:eastAsia="Calibri" w:cs="Arial"/>
                <w:lang w:val="sv-SE" w:eastAsia="sv-SE"/>
              </w:rPr>
              <w:t>1</w:t>
            </w:r>
          </w:p>
          <w:p w14:paraId="29979DD2" w14:textId="77777777" w:rsidR="00853F2D" w:rsidRPr="004A79AF" w:rsidRDefault="00853F2D" w:rsidP="00CF41A1">
            <w:pPr>
              <w:spacing w:line="260" w:lineRule="atLeast"/>
              <w:rPr>
                <w:rFonts w:eastAsia="Calibri" w:cs="Arial"/>
                <w:lang w:val="sv-SE" w:eastAsia="sv-SE"/>
              </w:rPr>
            </w:pPr>
            <w:r w:rsidRPr="00121594">
              <w:rPr>
                <w:rFonts w:eastAsia="Calibri" w:cs="Arial"/>
                <w:lang w:val="sv-SE" w:eastAsia="sv-SE"/>
              </w:rPr>
              <w:t>Disinfectants for hard surfaces of industry, institution and healthcare facilities</w:t>
            </w:r>
            <w:r>
              <w:rPr>
                <w:rFonts w:eastAsia="Calibri" w:cs="Arial"/>
                <w:lang w:val="sv-SE" w:eastAsia="sv-SE"/>
              </w:rPr>
              <w:t xml:space="preserve"> (PT2)</w:t>
            </w:r>
          </w:p>
        </w:tc>
        <w:tc>
          <w:tcPr>
            <w:tcW w:w="1701" w:type="dxa"/>
            <w:vMerge w:val="restart"/>
            <w:shd w:val="clear" w:color="auto" w:fill="auto"/>
            <w:vAlign w:val="center"/>
          </w:tcPr>
          <w:p w14:paraId="388E4998" w14:textId="77777777" w:rsidR="00853F2D" w:rsidRPr="00121594" w:rsidRDefault="00853F2D" w:rsidP="00CF41A1">
            <w:pPr>
              <w:keepNext/>
              <w:tabs>
                <w:tab w:val="left" w:pos="426"/>
              </w:tabs>
              <w:ind w:right="-108"/>
              <w:textAlignment w:val="top"/>
              <w:rPr>
                <w:rFonts w:eastAsia="Calibri" w:cs="Arial"/>
                <w:lang w:val="sv-SE" w:eastAsia="sv-SE"/>
              </w:rPr>
            </w:pPr>
            <w:r w:rsidRPr="00121594">
              <w:rPr>
                <w:rFonts w:eastAsia="Calibri" w:cs="Arial"/>
                <w:lang w:val="sv-SE" w:eastAsia="sv-SE"/>
              </w:rPr>
              <w:t xml:space="preserve">Bacteria (including the additional strain </w:t>
            </w:r>
            <w:r w:rsidRPr="00121594">
              <w:rPr>
                <w:rFonts w:eastAsia="Calibri" w:cs="Arial"/>
                <w:i/>
                <w:lang w:val="sv-SE" w:eastAsia="sv-SE"/>
              </w:rPr>
              <w:t>Yersinia enterocolitica</w:t>
            </w:r>
            <w:r w:rsidRPr="00121594">
              <w:rPr>
                <w:rFonts w:eastAsia="Calibri" w:cs="Arial"/>
                <w:lang w:val="sv-SE" w:eastAsia="sv-SE"/>
              </w:rPr>
              <w:t>)</w:t>
            </w:r>
          </w:p>
          <w:p w14:paraId="45AA30EC" w14:textId="77777777" w:rsidR="00853F2D" w:rsidRPr="004A79AF" w:rsidRDefault="00853F2D" w:rsidP="00CF41A1">
            <w:pPr>
              <w:keepNext/>
              <w:tabs>
                <w:tab w:val="left" w:pos="426"/>
              </w:tabs>
              <w:ind w:right="-108"/>
              <w:textAlignment w:val="top"/>
              <w:rPr>
                <w:rFonts w:eastAsia="Calibri" w:cs="Arial"/>
                <w:lang w:val="sv-SE" w:eastAsia="sv-SE"/>
              </w:rPr>
            </w:pPr>
            <w:r w:rsidRPr="00121594">
              <w:rPr>
                <w:rFonts w:eastAsia="Calibri" w:cs="Arial"/>
                <w:lang w:val="sv-SE" w:eastAsia="sv-SE"/>
              </w:rPr>
              <w:t>Yeasts</w:t>
            </w:r>
          </w:p>
        </w:tc>
        <w:tc>
          <w:tcPr>
            <w:tcW w:w="1701" w:type="dxa"/>
            <w:vMerge w:val="restart"/>
            <w:shd w:val="clear" w:color="auto" w:fill="auto"/>
            <w:vAlign w:val="center"/>
          </w:tcPr>
          <w:p w14:paraId="2D23AC5F" w14:textId="77777777" w:rsidR="00853F2D" w:rsidRPr="004A79AF" w:rsidRDefault="00853F2D" w:rsidP="00CF41A1">
            <w:pPr>
              <w:keepNext/>
              <w:tabs>
                <w:tab w:val="left" w:pos="426"/>
              </w:tabs>
              <w:ind w:right="-108"/>
              <w:textAlignment w:val="top"/>
              <w:rPr>
                <w:rFonts w:eastAsia="Calibri" w:cs="Arial"/>
                <w:lang w:val="sv-SE" w:eastAsia="sv-SE"/>
              </w:rPr>
            </w:pPr>
            <w:r w:rsidRPr="000D7D14">
              <w:t>30 ml/m</w:t>
            </w:r>
            <w:r w:rsidRPr="000D7D14">
              <w:rPr>
                <w:vertAlign w:val="superscript"/>
              </w:rPr>
              <w:t>2</w:t>
            </w:r>
            <w:r w:rsidRPr="000D7D14">
              <w:t xml:space="preserve"> (20 sprays on the surface per m</w:t>
            </w:r>
            <w:r w:rsidRPr="000D7D14">
              <w:rPr>
                <w:vertAlign w:val="superscript"/>
              </w:rPr>
              <w:t>2</w:t>
            </w:r>
            <w:r>
              <w:t xml:space="preserve">) </w:t>
            </w:r>
            <w:r w:rsidRPr="00121594">
              <w:t xml:space="preserve">for the </w:t>
            </w:r>
            <w:r>
              <w:t xml:space="preserve">indoor </w:t>
            </w:r>
            <w:r w:rsidRPr="00121594">
              <w:t>disinfection</w:t>
            </w:r>
            <w:r>
              <w:t xml:space="preserve"> of waste containers and around</w:t>
            </w:r>
          </w:p>
        </w:tc>
        <w:tc>
          <w:tcPr>
            <w:tcW w:w="2547" w:type="dxa"/>
            <w:shd w:val="clear" w:color="auto" w:fill="FFFFFF" w:themeFill="background1"/>
            <w:vAlign w:val="center"/>
          </w:tcPr>
          <w:p w14:paraId="4C987BCC" w14:textId="2736AD54"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10D21F4C" w14:textId="77777777" w:rsidR="00853F2D" w:rsidRPr="00F86A8D" w:rsidRDefault="00853F2D" w:rsidP="00CF41A1">
            <w:pPr>
              <w:keepNext/>
              <w:tabs>
                <w:tab w:val="left" w:pos="426"/>
              </w:tabs>
              <w:ind w:right="-108"/>
              <w:textAlignment w:val="top"/>
              <w:rPr>
                <w:rFonts w:eastAsia="Calibri" w:cs="Arial"/>
                <w:lang w:val="sv-SE" w:eastAsia="sv-SE"/>
              </w:rPr>
            </w:pPr>
          </w:p>
          <w:p w14:paraId="68076672"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Spraying on hard surfaces.</w:t>
            </w:r>
          </w:p>
        </w:tc>
        <w:tc>
          <w:tcPr>
            <w:tcW w:w="1422" w:type="dxa"/>
            <w:vMerge w:val="restart"/>
            <w:shd w:val="clear" w:color="auto" w:fill="auto"/>
            <w:vAlign w:val="center"/>
          </w:tcPr>
          <w:p w14:paraId="7EF21A52" w14:textId="77777777" w:rsidR="00853F2D" w:rsidRPr="00220883" w:rsidRDefault="00853F2D" w:rsidP="00CF41A1">
            <w:pPr>
              <w:ind w:left="37" w:right="-102"/>
              <w:rPr>
                <w:lang w:val="en-US"/>
              </w:rPr>
            </w:pPr>
            <w:r w:rsidRPr="00CF2528">
              <w:t>Acceptable</w:t>
            </w:r>
          </w:p>
        </w:tc>
      </w:tr>
      <w:tr w:rsidR="00853F2D" w:rsidRPr="00D101A0" w14:paraId="14B9DFAE" w14:textId="77777777" w:rsidTr="00CF41A1">
        <w:trPr>
          <w:trHeight w:val="885"/>
        </w:trPr>
        <w:tc>
          <w:tcPr>
            <w:tcW w:w="851" w:type="dxa"/>
            <w:vMerge/>
            <w:vAlign w:val="center"/>
          </w:tcPr>
          <w:p w14:paraId="0504DFA4" w14:textId="77777777" w:rsidR="00853F2D" w:rsidRDefault="00853F2D" w:rsidP="00CF41A1">
            <w:pPr>
              <w:spacing w:line="260" w:lineRule="atLeast"/>
              <w:ind w:right="-109"/>
            </w:pPr>
          </w:p>
        </w:tc>
        <w:tc>
          <w:tcPr>
            <w:tcW w:w="1984" w:type="dxa"/>
            <w:vMerge/>
            <w:shd w:val="clear" w:color="auto" w:fill="auto"/>
            <w:vAlign w:val="center"/>
          </w:tcPr>
          <w:p w14:paraId="27044449"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69BC76B7"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7E232E48"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shd w:val="clear" w:color="auto" w:fill="FFFFFF" w:themeFill="background1"/>
            <w:vAlign w:val="center"/>
          </w:tcPr>
          <w:p w14:paraId="26B37E43" w14:textId="3EDD908F"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4EFF9ECA" w14:textId="77777777" w:rsidR="00853F2D" w:rsidRPr="00F86A8D" w:rsidRDefault="00853F2D" w:rsidP="00CF41A1">
            <w:pPr>
              <w:keepNext/>
              <w:tabs>
                <w:tab w:val="left" w:pos="426"/>
              </w:tabs>
              <w:ind w:right="-108"/>
              <w:textAlignment w:val="top"/>
              <w:rPr>
                <w:rFonts w:eastAsia="Calibri" w:cs="Arial"/>
                <w:lang w:val="sv-SE" w:eastAsia="sv-SE"/>
              </w:rPr>
            </w:pPr>
          </w:p>
          <w:p w14:paraId="3F7B8C0A" w14:textId="77777777" w:rsidR="00853F2D" w:rsidRPr="004A79AF" w:rsidRDefault="00853F2D" w:rsidP="00CF41A1">
            <w:pPr>
              <w:keepNext/>
              <w:tabs>
                <w:tab w:val="left" w:pos="426"/>
              </w:tabs>
              <w:ind w:right="-108"/>
              <w:textAlignment w:val="top"/>
              <w:rPr>
                <w:rFonts w:eastAsia="Calibri" w:cs="Arial"/>
                <w:lang w:val="sv-SE" w:eastAsia="sv-SE"/>
              </w:rPr>
            </w:pPr>
            <w:r w:rsidRPr="00F86A8D">
              <w:rPr>
                <w:rFonts w:eastAsia="Calibri" w:cs="Arial"/>
                <w:lang w:val="sv-SE" w:eastAsia="sv-SE"/>
              </w:rPr>
              <w:t>Application by pouring on hard surfaces.</w:t>
            </w:r>
          </w:p>
        </w:tc>
        <w:tc>
          <w:tcPr>
            <w:tcW w:w="1422" w:type="dxa"/>
            <w:vMerge/>
            <w:shd w:val="clear" w:color="auto" w:fill="auto"/>
            <w:vAlign w:val="center"/>
          </w:tcPr>
          <w:p w14:paraId="01B8419D" w14:textId="77777777" w:rsidR="00853F2D" w:rsidRPr="00121594" w:rsidRDefault="00853F2D" w:rsidP="00CF41A1">
            <w:pPr>
              <w:ind w:left="37" w:right="-102"/>
              <w:rPr>
                <w:lang w:val="en-US"/>
              </w:rPr>
            </w:pPr>
          </w:p>
        </w:tc>
      </w:tr>
      <w:tr w:rsidR="00853F2D" w:rsidRPr="00D101A0" w14:paraId="7D15C6ED" w14:textId="77777777" w:rsidTr="00CF41A1">
        <w:trPr>
          <w:trHeight w:val="1820"/>
        </w:trPr>
        <w:tc>
          <w:tcPr>
            <w:tcW w:w="851" w:type="dxa"/>
            <w:vMerge/>
            <w:vAlign w:val="center"/>
          </w:tcPr>
          <w:p w14:paraId="39C6E02B" w14:textId="77777777" w:rsidR="00853F2D" w:rsidRDefault="00853F2D" w:rsidP="00CF41A1">
            <w:pPr>
              <w:spacing w:line="260" w:lineRule="atLeast"/>
              <w:ind w:right="-109"/>
            </w:pPr>
          </w:p>
        </w:tc>
        <w:tc>
          <w:tcPr>
            <w:tcW w:w="1984" w:type="dxa"/>
            <w:vMerge/>
            <w:shd w:val="clear" w:color="auto" w:fill="auto"/>
            <w:vAlign w:val="center"/>
          </w:tcPr>
          <w:p w14:paraId="1D92A6D1" w14:textId="77777777" w:rsidR="00853F2D" w:rsidRPr="004A79AF" w:rsidRDefault="00853F2D" w:rsidP="00CF41A1">
            <w:pPr>
              <w:spacing w:line="260" w:lineRule="atLeast"/>
              <w:rPr>
                <w:rFonts w:eastAsia="Calibri" w:cs="Arial"/>
                <w:lang w:val="sv-SE" w:eastAsia="sv-SE"/>
              </w:rPr>
            </w:pPr>
          </w:p>
        </w:tc>
        <w:tc>
          <w:tcPr>
            <w:tcW w:w="1701" w:type="dxa"/>
            <w:vMerge/>
            <w:shd w:val="clear" w:color="auto" w:fill="auto"/>
            <w:vAlign w:val="center"/>
          </w:tcPr>
          <w:p w14:paraId="1E16678F" w14:textId="77777777" w:rsidR="00853F2D" w:rsidRPr="004A79AF" w:rsidRDefault="00853F2D" w:rsidP="00CF41A1">
            <w:pPr>
              <w:keepNext/>
              <w:tabs>
                <w:tab w:val="left" w:pos="426"/>
              </w:tabs>
              <w:ind w:right="-108"/>
              <w:textAlignment w:val="top"/>
              <w:rPr>
                <w:rFonts w:eastAsia="Calibri" w:cs="Arial"/>
                <w:lang w:val="sv-SE" w:eastAsia="sv-SE"/>
              </w:rPr>
            </w:pPr>
          </w:p>
        </w:tc>
        <w:tc>
          <w:tcPr>
            <w:tcW w:w="1701" w:type="dxa"/>
            <w:vMerge/>
            <w:shd w:val="clear" w:color="auto" w:fill="auto"/>
            <w:vAlign w:val="center"/>
          </w:tcPr>
          <w:p w14:paraId="5C8FA54D" w14:textId="77777777" w:rsidR="00853F2D" w:rsidRPr="004A79AF" w:rsidRDefault="00853F2D" w:rsidP="00CF41A1">
            <w:pPr>
              <w:keepNext/>
              <w:tabs>
                <w:tab w:val="left" w:pos="426"/>
              </w:tabs>
              <w:ind w:right="-108"/>
              <w:textAlignment w:val="top"/>
              <w:rPr>
                <w:rFonts w:eastAsia="Calibri" w:cs="Arial"/>
                <w:lang w:val="sv-SE" w:eastAsia="sv-SE"/>
              </w:rPr>
            </w:pPr>
          </w:p>
        </w:tc>
        <w:tc>
          <w:tcPr>
            <w:tcW w:w="2547" w:type="dxa"/>
            <w:vAlign w:val="center"/>
          </w:tcPr>
          <w:p w14:paraId="0DC55856" w14:textId="3F10377A" w:rsidR="00853F2D" w:rsidRDefault="00853F2D" w:rsidP="00CF41A1">
            <w:pPr>
              <w:keepNext/>
              <w:tabs>
                <w:tab w:val="left" w:pos="426"/>
              </w:tabs>
              <w:ind w:right="-108"/>
              <w:textAlignment w:val="top"/>
              <w:rPr>
                <w:rFonts w:eastAsia="Calibri" w:cs="Arial"/>
                <w:lang w:val="sv-SE" w:eastAsia="sv-SE"/>
              </w:rPr>
            </w:pPr>
            <w:r w:rsidRPr="00C5316B">
              <w:rPr>
                <w:rFonts w:eastAsia="Calibri" w:cs="Arial"/>
                <w:lang w:val="sv-SE" w:eastAsia="sv-SE"/>
              </w:rPr>
              <w:t xml:space="preserve">Industrial, Professional </w:t>
            </w:r>
          </w:p>
          <w:p w14:paraId="66DA9B27" w14:textId="77777777" w:rsidR="00853F2D" w:rsidRPr="00F86A8D" w:rsidRDefault="00853F2D" w:rsidP="00CF41A1">
            <w:pPr>
              <w:keepNext/>
              <w:tabs>
                <w:tab w:val="left" w:pos="426"/>
              </w:tabs>
              <w:ind w:right="-108"/>
              <w:textAlignment w:val="top"/>
              <w:rPr>
                <w:rFonts w:eastAsia="Calibri" w:cs="Arial"/>
                <w:lang w:val="sv-SE" w:eastAsia="sv-SE"/>
              </w:rPr>
            </w:pPr>
          </w:p>
          <w:p w14:paraId="6B7F250C" w14:textId="77777777" w:rsidR="00853F2D" w:rsidRPr="004A79AF" w:rsidRDefault="00853F2D" w:rsidP="00CF41A1">
            <w:pPr>
              <w:keepNext/>
              <w:tabs>
                <w:tab w:val="left" w:pos="426"/>
              </w:tabs>
              <w:ind w:right="-108"/>
              <w:textAlignment w:val="top"/>
              <w:rPr>
                <w:rFonts w:eastAsia="Calibri" w:cs="Arial"/>
                <w:lang w:val="sv-SE" w:eastAsia="sv-SE"/>
              </w:rPr>
            </w:pPr>
            <w:r w:rsidRPr="00220883">
              <w:rPr>
                <w:rFonts w:eastAsia="Calibri" w:cs="Arial"/>
                <w:lang w:val="sv-SE" w:eastAsia="sv-SE"/>
              </w:rPr>
              <w:t>Application by scrubbing on hard surfaces (applying product by machine).</w:t>
            </w:r>
          </w:p>
        </w:tc>
        <w:tc>
          <w:tcPr>
            <w:tcW w:w="1422" w:type="dxa"/>
            <w:vMerge/>
            <w:shd w:val="clear" w:color="auto" w:fill="auto"/>
            <w:vAlign w:val="center"/>
          </w:tcPr>
          <w:p w14:paraId="07BD1D32" w14:textId="77777777" w:rsidR="00853F2D" w:rsidRPr="00121594" w:rsidRDefault="00853F2D" w:rsidP="00CF41A1">
            <w:pPr>
              <w:ind w:left="37" w:right="-102"/>
              <w:rPr>
                <w:lang w:val="en-US"/>
              </w:rPr>
            </w:pPr>
          </w:p>
        </w:tc>
      </w:tr>
    </w:tbl>
    <w:p w14:paraId="7FE39ADC" w14:textId="77777777" w:rsidR="00853F2D" w:rsidRDefault="00853F2D" w:rsidP="008D207C">
      <w:pPr>
        <w:suppressAutoHyphens w:val="0"/>
        <w:rPr>
          <w:rFonts w:eastAsia="Calibri"/>
        </w:rPr>
      </w:pPr>
    </w:p>
    <w:p w14:paraId="22703280" w14:textId="33F2AD00" w:rsidR="00EA5C1F" w:rsidRPr="00B27CB1" w:rsidRDefault="00EA5C1F" w:rsidP="008D207C">
      <w:pPr>
        <w:suppressAutoHyphens w:val="0"/>
        <w:rPr>
          <w:rFonts w:eastAsia="Calibri"/>
          <w:b/>
          <w:caps/>
          <w:sz w:val="28"/>
        </w:rPr>
      </w:pPr>
      <w:r w:rsidRPr="00B27CB1">
        <w:rPr>
          <w:rFonts w:eastAsia="Calibri"/>
        </w:rPr>
        <w:br w:type="page"/>
      </w:r>
    </w:p>
    <w:p w14:paraId="454E0AB4" w14:textId="77777777" w:rsidR="0030419B" w:rsidRPr="00B27CB1" w:rsidRDefault="0030419B" w:rsidP="0030419B">
      <w:pPr>
        <w:pStyle w:val="Titre1"/>
        <w:numPr>
          <w:ilvl w:val="0"/>
          <w:numId w:val="6"/>
        </w:numPr>
        <w:rPr>
          <w:rFonts w:eastAsia="Calibri"/>
          <w:lang w:val="en-GB"/>
        </w:rPr>
      </w:pPr>
      <w:bookmarkStart w:id="3" w:name="_Toc87361076"/>
      <w:r w:rsidRPr="00B27CB1">
        <w:rPr>
          <w:rFonts w:eastAsia="Calibri"/>
          <w:lang w:val="en-GB"/>
        </w:rPr>
        <w:lastRenderedPageBreak/>
        <w:t>ASSESSMENT REPORT</w:t>
      </w:r>
      <w:bookmarkEnd w:id="3"/>
    </w:p>
    <w:p w14:paraId="5DFD69B0" w14:textId="77777777" w:rsidR="0030419B" w:rsidRPr="00B27CB1" w:rsidRDefault="0030419B" w:rsidP="0030419B">
      <w:pPr>
        <w:keepNext/>
        <w:spacing w:after="120"/>
        <w:ind w:left="432" w:hanging="432"/>
        <w:outlineLvl w:val="0"/>
        <w:rPr>
          <w:b/>
          <w:caps/>
          <w:sz w:val="28"/>
        </w:rPr>
      </w:pPr>
      <w:bookmarkStart w:id="4" w:name="_Toc512506004"/>
      <w:r w:rsidRPr="00B27CB1">
        <w:rPr>
          <w:b/>
          <w:caps/>
          <w:sz w:val="28"/>
        </w:rPr>
        <w:t>Part I - First information level</w:t>
      </w:r>
      <w:bookmarkEnd w:id="4"/>
    </w:p>
    <w:p w14:paraId="5DCC7E05" w14:textId="77777777" w:rsidR="0030419B" w:rsidRPr="00B27CB1" w:rsidRDefault="0030419B" w:rsidP="0030419B">
      <w:pPr>
        <w:spacing w:line="260" w:lineRule="atLeast"/>
        <w:jc w:val="both"/>
        <w:rPr>
          <w:rFonts w:eastAsia="Calibri"/>
          <w:lang w:eastAsia="fr-FR"/>
        </w:rPr>
      </w:pPr>
    </w:p>
    <w:p w14:paraId="090B740A" w14:textId="77777777" w:rsidR="0030419B" w:rsidRPr="00B27CB1" w:rsidRDefault="0030419B" w:rsidP="0030419B">
      <w:pPr>
        <w:pStyle w:val="Titre2"/>
        <w:numPr>
          <w:ilvl w:val="1"/>
          <w:numId w:val="6"/>
        </w:numPr>
      </w:pPr>
      <w:bookmarkStart w:id="5" w:name="_Toc87361077"/>
      <w:bookmarkStart w:id="6" w:name="d0e6"/>
      <w:bookmarkStart w:id="7" w:name="d0e7"/>
      <w:r w:rsidRPr="00B27CB1">
        <w:rPr>
          <w:b w:val="0"/>
        </w:rPr>
        <w:t>Summary of the product assessment</w:t>
      </w:r>
      <w:bookmarkEnd w:id="5"/>
      <w:r w:rsidRPr="00B27CB1">
        <w:rPr>
          <w:b w:val="0"/>
        </w:rPr>
        <w:t xml:space="preserve"> </w:t>
      </w:r>
    </w:p>
    <w:p w14:paraId="176F5E87" w14:textId="77777777" w:rsidR="0030419B" w:rsidRPr="00B27CB1" w:rsidRDefault="0030419B" w:rsidP="0030419B">
      <w:pPr>
        <w:pStyle w:val="Titre3"/>
        <w:numPr>
          <w:ilvl w:val="2"/>
          <w:numId w:val="6"/>
        </w:numPr>
        <w:rPr>
          <w:b w:val="0"/>
          <w:lang w:val="en-GB"/>
        </w:rPr>
      </w:pPr>
      <w:bookmarkStart w:id="8" w:name="_Toc87361078"/>
      <w:r w:rsidRPr="00B27CB1">
        <w:rPr>
          <w:b w:val="0"/>
          <w:lang w:val="en-GB"/>
        </w:rPr>
        <w:t>Administrative information</w:t>
      </w:r>
      <w:bookmarkEnd w:id="8"/>
    </w:p>
    <w:p w14:paraId="268A320B" w14:textId="449D3F7A" w:rsidR="0030419B" w:rsidRPr="00B27CB1" w:rsidRDefault="0030419B" w:rsidP="0030419B">
      <w:pPr>
        <w:pStyle w:val="Titre4"/>
        <w:numPr>
          <w:ilvl w:val="3"/>
          <w:numId w:val="6"/>
        </w:numPr>
        <w:rPr>
          <w:b/>
          <w:bCs/>
          <w:lang w:val="en-GB" w:eastAsia="en-GB"/>
        </w:rPr>
      </w:pPr>
      <w:bookmarkStart w:id="9" w:name="d0e10"/>
      <w:bookmarkStart w:id="10" w:name="_Toc87361079"/>
      <w:bookmarkEnd w:id="6"/>
      <w:bookmarkEnd w:id="7"/>
      <w:r w:rsidRPr="00B27CB1">
        <w:rPr>
          <w:lang w:val="en-GB"/>
        </w:rPr>
        <w:t>Identifier of the product family</w:t>
      </w:r>
      <w:bookmarkEnd w:id="9"/>
      <w:bookmarkEnd w:id="10"/>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30419B" w:rsidRPr="00B27CB1" w14:paraId="2FF9FA17" w14:textId="77777777" w:rsidTr="0030419B">
        <w:trPr>
          <w:tblHeader/>
        </w:trPr>
        <w:tc>
          <w:tcPr>
            <w:tcW w:w="3397" w:type="dxa"/>
            <w:tcBorders>
              <w:top w:val="single" w:sz="4" w:space="0" w:color="000000"/>
              <w:left w:val="single" w:sz="4" w:space="0" w:color="000000"/>
              <w:bottom w:val="single" w:sz="4" w:space="0" w:color="000000"/>
              <w:right w:val="nil"/>
            </w:tcBorders>
            <w:hideMark/>
          </w:tcPr>
          <w:p w14:paraId="1EAE9109" w14:textId="760C6F29" w:rsidR="0030419B" w:rsidRPr="00B27CB1" w:rsidRDefault="0030419B" w:rsidP="00F3249E">
            <w:pPr>
              <w:spacing w:line="256" w:lineRule="auto"/>
              <w:rPr>
                <w:b/>
                <w:bCs/>
                <w:szCs w:val="24"/>
                <w:lang w:eastAsia="en-GB"/>
              </w:rPr>
            </w:pPr>
            <w:r w:rsidRPr="00B27CB1">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hideMark/>
          </w:tcPr>
          <w:p w14:paraId="29FED339" w14:textId="77777777" w:rsidR="0030419B" w:rsidRPr="00B27CB1" w:rsidRDefault="0030419B">
            <w:pPr>
              <w:spacing w:line="256" w:lineRule="auto"/>
            </w:pPr>
            <w:r w:rsidRPr="00B27CB1">
              <w:rPr>
                <w:b/>
                <w:bCs/>
                <w:szCs w:val="24"/>
                <w:lang w:eastAsia="en-GB"/>
              </w:rPr>
              <w:t>Country (if relevant)</w:t>
            </w:r>
          </w:p>
        </w:tc>
      </w:tr>
      <w:tr w:rsidR="0030419B" w:rsidRPr="00B27CB1" w14:paraId="3303D617" w14:textId="77777777" w:rsidTr="0030419B">
        <w:tc>
          <w:tcPr>
            <w:tcW w:w="3397" w:type="dxa"/>
            <w:tcBorders>
              <w:top w:val="nil"/>
              <w:left w:val="single" w:sz="4" w:space="0" w:color="000000"/>
              <w:bottom w:val="single" w:sz="4" w:space="0" w:color="000000"/>
              <w:right w:val="nil"/>
            </w:tcBorders>
          </w:tcPr>
          <w:p w14:paraId="23FC09AB" w14:textId="18ED13ED" w:rsidR="0030419B" w:rsidRPr="00B27CB1" w:rsidRDefault="00310531">
            <w:pPr>
              <w:snapToGrid w:val="0"/>
              <w:spacing w:line="256" w:lineRule="auto"/>
            </w:pPr>
            <w:r w:rsidRPr="00B27CB1">
              <w:t>Lactic acid based products</w:t>
            </w:r>
          </w:p>
        </w:tc>
        <w:tc>
          <w:tcPr>
            <w:tcW w:w="5680" w:type="dxa"/>
            <w:tcBorders>
              <w:top w:val="nil"/>
              <w:left w:val="single" w:sz="4" w:space="0" w:color="000000"/>
              <w:bottom w:val="single" w:sz="4" w:space="0" w:color="000000"/>
              <w:right w:val="single" w:sz="4" w:space="0" w:color="000000"/>
            </w:tcBorders>
          </w:tcPr>
          <w:p w14:paraId="170B9946" w14:textId="77777777" w:rsidR="0030419B" w:rsidRPr="00B27CB1" w:rsidRDefault="0030419B">
            <w:pPr>
              <w:snapToGrid w:val="0"/>
              <w:spacing w:line="256" w:lineRule="auto"/>
            </w:pPr>
          </w:p>
        </w:tc>
      </w:tr>
    </w:tbl>
    <w:p w14:paraId="35390B05" w14:textId="77777777" w:rsidR="0030419B" w:rsidRPr="00B27CB1" w:rsidRDefault="0030419B" w:rsidP="0030419B">
      <w:pPr>
        <w:pStyle w:val="Titre4"/>
        <w:numPr>
          <w:ilvl w:val="3"/>
          <w:numId w:val="6"/>
        </w:numPr>
        <w:rPr>
          <w:b/>
          <w:bCs/>
          <w:color w:val="000000"/>
          <w:lang w:val="en-GB" w:eastAsia="en-GB"/>
        </w:rPr>
      </w:pPr>
      <w:bookmarkStart w:id="11" w:name="_Toc87361080"/>
      <w:bookmarkStart w:id="12" w:name="d0e350"/>
      <w:r w:rsidRPr="00B27CB1">
        <w:rPr>
          <w:lang w:val="en-GB"/>
        </w:rPr>
        <w:t>Authorisation holder</w:t>
      </w:r>
      <w:bookmarkEnd w:id="11"/>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30419B" w:rsidRPr="00B27CB1" w14:paraId="5F290093" w14:textId="77777777" w:rsidTr="0030419B">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68689069" w14:textId="77777777" w:rsidR="0030419B" w:rsidRPr="00B27CB1" w:rsidRDefault="0030419B">
            <w:pPr>
              <w:spacing w:line="256" w:lineRule="auto"/>
              <w:rPr>
                <w:b/>
              </w:rPr>
            </w:pPr>
            <w:bookmarkStart w:id="13" w:name="d0e66"/>
            <w:bookmarkEnd w:id="13"/>
            <w:r w:rsidRPr="00B27CB1">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E7904EF" w14:textId="77777777" w:rsidR="0030419B" w:rsidRPr="00B27CB1" w:rsidRDefault="0030419B">
            <w:pPr>
              <w:spacing w:line="256" w:lineRule="auto"/>
              <w:rPr>
                <w:b/>
              </w:rPr>
            </w:pPr>
            <w:r w:rsidRPr="00B27CB1">
              <w:rPr>
                <w:b/>
              </w:rPr>
              <w:t>Name</w:t>
            </w:r>
          </w:p>
        </w:tc>
        <w:tc>
          <w:tcPr>
            <w:tcW w:w="4523" w:type="dxa"/>
            <w:tcBorders>
              <w:top w:val="single" w:sz="4" w:space="0" w:color="000000"/>
              <w:left w:val="single" w:sz="4" w:space="0" w:color="000000"/>
              <w:bottom w:val="single" w:sz="4" w:space="0" w:color="000000"/>
              <w:right w:val="single" w:sz="4" w:space="0" w:color="000000"/>
            </w:tcBorders>
          </w:tcPr>
          <w:p w14:paraId="53BEF0CE" w14:textId="781C8EBD" w:rsidR="0030419B" w:rsidRPr="00B27CB1" w:rsidRDefault="006746DA">
            <w:pPr>
              <w:snapToGrid w:val="0"/>
              <w:spacing w:line="256" w:lineRule="auto"/>
              <w:rPr>
                <w:b/>
              </w:rPr>
            </w:pPr>
            <w:r w:rsidRPr="006746DA">
              <w:rPr>
                <w:b/>
              </w:rPr>
              <w:t>ACTION PIN</w:t>
            </w:r>
          </w:p>
        </w:tc>
      </w:tr>
      <w:tr w:rsidR="0030419B" w:rsidRPr="00B27CB1" w14:paraId="2CE43DA6" w14:textId="77777777" w:rsidTr="0030419B">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307FD44" w14:textId="77777777" w:rsidR="0030419B" w:rsidRPr="00B27CB1" w:rsidRDefault="0030419B">
            <w:pPr>
              <w:suppressAutoHyphens w:val="0"/>
              <w:spacing w:line="256" w:lineRule="auto"/>
              <w:rPr>
                <w:b/>
              </w:rPr>
            </w:pPr>
          </w:p>
        </w:tc>
        <w:tc>
          <w:tcPr>
            <w:tcW w:w="1115" w:type="dxa"/>
            <w:tcBorders>
              <w:top w:val="nil"/>
              <w:left w:val="single" w:sz="4" w:space="0" w:color="auto"/>
              <w:bottom w:val="single" w:sz="4" w:space="0" w:color="000000"/>
              <w:right w:val="nil"/>
            </w:tcBorders>
            <w:hideMark/>
          </w:tcPr>
          <w:p w14:paraId="248BE8D4" w14:textId="77777777" w:rsidR="0030419B" w:rsidRPr="00B27CB1" w:rsidRDefault="0030419B">
            <w:pPr>
              <w:spacing w:line="256" w:lineRule="auto"/>
              <w:rPr>
                <w:b/>
              </w:rPr>
            </w:pPr>
            <w:r w:rsidRPr="00B27CB1">
              <w:rPr>
                <w:b/>
              </w:rPr>
              <w:t>Address</w:t>
            </w:r>
          </w:p>
        </w:tc>
        <w:tc>
          <w:tcPr>
            <w:tcW w:w="4523" w:type="dxa"/>
            <w:tcBorders>
              <w:top w:val="nil"/>
              <w:left w:val="single" w:sz="4" w:space="0" w:color="000000"/>
              <w:bottom w:val="single" w:sz="4" w:space="0" w:color="000000"/>
              <w:right w:val="single" w:sz="4" w:space="0" w:color="000000"/>
            </w:tcBorders>
          </w:tcPr>
          <w:p w14:paraId="749CC8AB" w14:textId="77777777" w:rsidR="006746DA" w:rsidRPr="00E91F85" w:rsidRDefault="006746DA" w:rsidP="006746DA">
            <w:pPr>
              <w:snapToGrid w:val="0"/>
              <w:spacing w:line="256" w:lineRule="auto"/>
              <w:rPr>
                <w:b/>
                <w:lang w:val="fr-FR"/>
              </w:rPr>
            </w:pPr>
            <w:r w:rsidRPr="00E91F85">
              <w:rPr>
                <w:b/>
                <w:lang w:val="fr-FR"/>
              </w:rPr>
              <w:t>Z.I. de Cazalieu CS 60030</w:t>
            </w:r>
          </w:p>
          <w:p w14:paraId="3DCB44E1" w14:textId="77777777" w:rsidR="006746DA" w:rsidRPr="006746DA" w:rsidRDefault="006746DA" w:rsidP="006746DA">
            <w:pPr>
              <w:snapToGrid w:val="0"/>
              <w:spacing w:line="256" w:lineRule="auto"/>
              <w:rPr>
                <w:b/>
              </w:rPr>
            </w:pPr>
            <w:r w:rsidRPr="006746DA">
              <w:rPr>
                <w:b/>
              </w:rPr>
              <w:t>40260 CASTETS</w:t>
            </w:r>
          </w:p>
          <w:p w14:paraId="266FDFAA" w14:textId="3A1E2FD9" w:rsidR="0030419B" w:rsidRPr="00B27CB1" w:rsidRDefault="006746DA" w:rsidP="006746DA">
            <w:pPr>
              <w:snapToGrid w:val="0"/>
              <w:spacing w:line="256" w:lineRule="auto"/>
              <w:rPr>
                <w:b/>
              </w:rPr>
            </w:pPr>
            <w:r w:rsidRPr="006746DA">
              <w:rPr>
                <w:b/>
              </w:rPr>
              <w:t>France</w:t>
            </w:r>
          </w:p>
        </w:tc>
      </w:tr>
      <w:tr w:rsidR="0030419B" w:rsidRPr="00B27CB1" w14:paraId="5C212111" w14:textId="77777777" w:rsidTr="0030419B">
        <w:tc>
          <w:tcPr>
            <w:tcW w:w="3397" w:type="dxa"/>
            <w:tcBorders>
              <w:top w:val="single" w:sz="4" w:space="0" w:color="auto"/>
              <w:left w:val="single" w:sz="4" w:space="0" w:color="auto"/>
              <w:bottom w:val="single" w:sz="4" w:space="0" w:color="auto"/>
              <w:right w:val="single" w:sz="4" w:space="0" w:color="auto"/>
            </w:tcBorders>
            <w:hideMark/>
          </w:tcPr>
          <w:p w14:paraId="4B1DC852" w14:textId="77777777" w:rsidR="0030419B" w:rsidRPr="00B27CB1" w:rsidRDefault="0030419B">
            <w:pPr>
              <w:spacing w:line="256" w:lineRule="auto"/>
              <w:rPr>
                <w:b/>
              </w:rPr>
            </w:pPr>
            <w:r w:rsidRPr="00B27CB1">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509AC269" w14:textId="77777777" w:rsidR="0030419B" w:rsidRPr="00B27CB1" w:rsidRDefault="0030419B">
            <w:pPr>
              <w:snapToGrid w:val="0"/>
              <w:spacing w:line="256" w:lineRule="auto"/>
              <w:rPr>
                <w:b/>
              </w:rPr>
            </w:pPr>
          </w:p>
        </w:tc>
      </w:tr>
      <w:tr w:rsidR="0030419B" w:rsidRPr="00B27CB1" w14:paraId="63FAD9D3" w14:textId="77777777" w:rsidTr="0030419B">
        <w:tc>
          <w:tcPr>
            <w:tcW w:w="3397" w:type="dxa"/>
            <w:tcBorders>
              <w:top w:val="single" w:sz="4" w:space="0" w:color="auto"/>
              <w:left w:val="single" w:sz="4" w:space="0" w:color="000000"/>
              <w:bottom w:val="single" w:sz="4" w:space="0" w:color="000000"/>
              <w:right w:val="nil"/>
            </w:tcBorders>
            <w:hideMark/>
          </w:tcPr>
          <w:p w14:paraId="7DFE6ABB" w14:textId="77777777" w:rsidR="0030419B" w:rsidRPr="00B27CB1" w:rsidRDefault="0030419B">
            <w:pPr>
              <w:spacing w:line="256" w:lineRule="auto"/>
              <w:rPr>
                <w:b/>
              </w:rPr>
            </w:pPr>
            <w:r w:rsidRPr="00B27CB1">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245174CE" w14:textId="77777777" w:rsidR="0030419B" w:rsidRPr="00B27CB1" w:rsidRDefault="0030419B">
            <w:pPr>
              <w:snapToGrid w:val="0"/>
              <w:spacing w:line="256" w:lineRule="auto"/>
              <w:rPr>
                <w:b/>
              </w:rPr>
            </w:pPr>
          </w:p>
        </w:tc>
      </w:tr>
      <w:tr w:rsidR="0030419B" w:rsidRPr="00B27CB1" w14:paraId="47BDCB46" w14:textId="77777777" w:rsidTr="0030419B">
        <w:tc>
          <w:tcPr>
            <w:tcW w:w="3397" w:type="dxa"/>
            <w:tcBorders>
              <w:top w:val="nil"/>
              <w:left w:val="single" w:sz="4" w:space="0" w:color="000000"/>
              <w:bottom w:val="single" w:sz="4" w:space="0" w:color="000000"/>
              <w:right w:val="nil"/>
            </w:tcBorders>
            <w:hideMark/>
          </w:tcPr>
          <w:p w14:paraId="29836F70" w14:textId="77777777" w:rsidR="0030419B" w:rsidRPr="00B27CB1" w:rsidRDefault="0030419B">
            <w:pPr>
              <w:spacing w:line="256" w:lineRule="auto"/>
              <w:rPr>
                <w:b/>
              </w:rPr>
            </w:pPr>
            <w:r w:rsidRPr="00B27CB1">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3256D1DD" w14:textId="77777777" w:rsidR="0030419B" w:rsidRPr="00B27CB1" w:rsidRDefault="0030419B">
            <w:pPr>
              <w:snapToGrid w:val="0"/>
              <w:spacing w:line="256" w:lineRule="auto"/>
              <w:rPr>
                <w:b/>
              </w:rPr>
            </w:pPr>
          </w:p>
        </w:tc>
      </w:tr>
    </w:tbl>
    <w:p w14:paraId="572C1AEA" w14:textId="77777777" w:rsidR="0030419B" w:rsidRPr="00B27CB1" w:rsidRDefault="0030419B" w:rsidP="0030419B">
      <w:pPr>
        <w:pStyle w:val="Titre4"/>
        <w:numPr>
          <w:ilvl w:val="3"/>
          <w:numId w:val="6"/>
        </w:numPr>
        <w:rPr>
          <w:b/>
          <w:bCs/>
          <w:color w:val="000000"/>
          <w:lang w:val="en-GB" w:eastAsia="en-GB"/>
        </w:rPr>
      </w:pPr>
      <w:bookmarkStart w:id="14" w:name="d0e146"/>
      <w:bookmarkStart w:id="15" w:name="_Toc87361081"/>
      <w:r w:rsidRPr="00B27CB1">
        <w:rPr>
          <w:lang w:val="en-GB"/>
        </w:rPr>
        <w:t>Manufacturer(s) of the products of the family</w:t>
      </w:r>
      <w:bookmarkEnd w:id="14"/>
      <w:bookmarkEnd w:id="15"/>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rsidRPr="00B27CB1" w14:paraId="5EC9FF85" w14:textId="77777777" w:rsidTr="0030419B">
        <w:tc>
          <w:tcPr>
            <w:tcW w:w="3397" w:type="dxa"/>
            <w:tcBorders>
              <w:top w:val="single" w:sz="4" w:space="0" w:color="000000"/>
              <w:left w:val="single" w:sz="4" w:space="0" w:color="000000"/>
              <w:bottom w:val="single" w:sz="4" w:space="0" w:color="000000"/>
              <w:right w:val="nil"/>
            </w:tcBorders>
            <w:hideMark/>
          </w:tcPr>
          <w:p w14:paraId="52115EB8" w14:textId="77777777" w:rsidR="0030419B" w:rsidRPr="00B27CB1" w:rsidRDefault="0030419B">
            <w:pPr>
              <w:spacing w:line="256" w:lineRule="auto"/>
              <w:rPr>
                <w:b/>
              </w:rPr>
            </w:pPr>
            <w:r w:rsidRPr="00B27CB1">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7F6B9F44" w14:textId="11A46E7A" w:rsidR="0030419B" w:rsidRPr="00B27CB1" w:rsidRDefault="00310531">
            <w:pPr>
              <w:snapToGrid w:val="0"/>
              <w:spacing w:line="256" w:lineRule="auto"/>
            </w:pPr>
            <w:r w:rsidRPr="00B27CB1">
              <w:t>ACTION PIN</w:t>
            </w:r>
          </w:p>
        </w:tc>
      </w:tr>
      <w:tr w:rsidR="0030419B" w:rsidRPr="00B27CB1" w14:paraId="3AA5A258" w14:textId="77777777" w:rsidTr="0030419B">
        <w:tc>
          <w:tcPr>
            <w:tcW w:w="3397" w:type="dxa"/>
            <w:tcBorders>
              <w:top w:val="nil"/>
              <w:left w:val="single" w:sz="4" w:space="0" w:color="000000"/>
              <w:bottom w:val="single" w:sz="4" w:space="0" w:color="000000"/>
              <w:right w:val="nil"/>
            </w:tcBorders>
            <w:hideMark/>
          </w:tcPr>
          <w:p w14:paraId="065C6910" w14:textId="77777777" w:rsidR="0030419B" w:rsidRPr="00B27CB1" w:rsidRDefault="0030419B">
            <w:pPr>
              <w:spacing w:line="256" w:lineRule="auto"/>
              <w:rPr>
                <w:b/>
              </w:rPr>
            </w:pPr>
            <w:r w:rsidRPr="00B27CB1">
              <w:rPr>
                <w:b/>
                <w:bCs/>
                <w:color w:val="000000"/>
                <w:szCs w:val="24"/>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61759D29" w14:textId="77777777" w:rsidR="00310531" w:rsidRPr="005A150D" w:rsidRDefault="00310531">
            <w:pPr>
              <w:snapToGrid w:val="0"/>
              <w:spacing w:line="256" w:lineRule="auto"/>
              <w:rPr>
                <w:lang w:val="fr-FR"/>
              </w:rPr>
            </w:pPr>
            <w:r w:rsidRPr="005A150D">
              <w:rPr>
                <w:lang w:val="fr-FR"/>
              </w:rPr>
              <w:t xml:space="preserve">Z.I. de Cazalieu - CS 60030 </w:t>
            </w:r>
          </w:p>
          <w:p w14:paraId="31746806" w14:textId="77777777" w:rsidR="00310531" w:rsidRPr="00B27CB1" w:rsidRDefault="00310531">
            <w:pPr>
              <w:snapToGrid w:val="0"/>
              <w:spacing w:line="256" w:lineRule="auto"/>
            </w:pPr>
            <w:r w:rsidRPr="00B27CB1">
              <w:t xml:space="preserve">40260 CASTETS </w:t>
            </w:r>
          </w:p>
          <w:p w14:paraId="223732D4" w14:textId="0DDEA534" w:rsidR="0030419B" w:rsidRPr="00B27CB1" w:rsidRDefault="00310531">
            <w:pPr>
              <w:snapToGrid w:val="0"/>
              <w:spacing w:line="256" w:lineRule="auto"/>
            </w:pPr>
            <w:r w:rsidRPr="00B27CB1">
              <w:t>France</w:t>
            </w:r>
          </w:p>
        </w:tc>
      </w:tr>
      <w:tr w:rsidR="0030419B" w:rsidRPr="00B27CB1" w14:paraId="319D37BB" w14:textId="77777777" w:rsidTr="0030419B">
        <w:tc>
          <w:tcPr>
            <w:tcW w:w="3397" w:type="dxa"/>
            <w:tcBorders>
              <w:top w:val="nil"/>
              <w:left w:val="single" w:sz="4" w:space="0" w:color="000000"/>
              <w:bottom w:val="single" w:sz="4" w:space="0" w:color="000000"/>
              <w:right w:val="nil"/>
            </w:tcBorders>
            <w:hideMark/>
          </w:tcPr>
          <w:p w14:paraId="7F51CDB3" w14:textId="77777777" w:rsidR="0030419B" w:rsidRPr="00B27CB1" w:rsidRDefault="0030419B">
            <w:pPr>
              <w:spacing w:line="256" w:lineRule="auto"/>
              <w:rPr>
                <w:b/>
              </w:rPr>
            </w:pPr>
            <w:r w:rsidRPr="00B27CB1">
              <w:rPr>
                <w:b/>
                <w:bCs/>
                <w:color w:val="000000"/>
                <w:szCs w:val="24"/>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68A7F447" w14:textId="77777777" w:rsidR="00310531" w:rsidRPr="005A150D" w:rsidRDefault="00310531">
            <w:pPr>
              <w:snapToGrid w:val="0"/>
              <w:spacing w:line="256" w:lineRule="auto"/>
              <w:rPr>
                <w:lang w:val="fr-FR"/>
              </w:rPr>
            </w:pPr>
            <w:r w:rsidRPr="005A150D">
              <w:rPr>
                <w:lang w:val="fr-FR"/>
              </w:rPr>
              <w:t xml:space="preserve">448 Route de l'Océan </w:t>
            </w:r>
          </w:p>
          <w:p w14:paraId="784FA91C" w14:textId="77777777" w:rsidR="00310531" w:rsidRPr="005A150D" w:rsidRDefault="00310531">
            <w:pPr>
              <w:snapToGrid w:val="0"/>
              <w:spacing w:line="256" w:lineRule="auto"/>
              <w:rPr>
                <w:lang w:val="fr-FR"/>
              </w:rPr>
            </w:pPr>
            <w:r w:rsidRPr="005A150D">
              <w:rPr>
                <w:lang w:val="fr-FR"/>
              </w:rPr>
              <w:t xml:space="preserve">40560 VIELLE-SAINT-GIRONS </w:t>
            </w:r>
          </w:p>
          <w:p w14:paraId="004D5407" w14:textId="77C915A1" w:rsidR="0030419B" w:rsidRPr="00B27CB1" w:rsidRDefault="00310531">
            <w:pPr>
              <w:snapToGrid w:val="0"/>
              <w:spacing w:line="256" w:lineRule="auto"/>
            </w:pPr>
            <w:r w:rsidRPr="00B27CB1">
              <w:t>France</w:t>
            </w:r>
          </w:p>
        </w:tc>
      </w:tr>
    </w:tbl>
    <w:p w14:paraId="776FDAB2" w14:textId="77777777" w:rsidR="0030419B" w:rsidRPr="00B27CB1" w:rsidRDefault="0030419B" w:rsidP="0030419B">
      <w:pPr>
        <w:pStyle w:val="Titre4"/>
        <w:numPr>
          <w:ilvl w:val="3"/>
          <w:numId w:val="6"/>
        </w:numPr>
        <w:rPr>
          <w:b/>
          <w:bCs/>
          <w:color w:val="000000"/>
          <w:lang w:val="en-GB" w:eastAsia="en-GB"/>
        </w:rPr>
      </w:pPr>
      <w:bookmarkStart w:id="16" w:name="_Toc87361082"/>
      <w:r w:rsidRPr="00B27CB1">
        <w:rPr>
          <w:lang w:val="en-GB"/>
        </w:rPr>
        <w:t>Manufacturer(s) of the active substance(s)</w:t>
      </w:r>
      <w:bookmarkEnd w:id="16"/>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rsidRPr="00B27CB1" w14:paraId="58FF2C24" w14:textId="77777777" w:rsidTr="0030419B">
        <w:tc>
          <w:tcPr>
            <w:tcW w:w="3397" w:type="dxa"/>
            <w:tcBorders>
              <w:top w:val="single" w:sz="4" w:space="0" w:color="000000"/>
              <w:left w:val="single" w:sz="4" w:space="0" w:color="000000"/>
              <w:bottom w:val="single" w:sz="4" w:space="0" w:color="000000"/>
              <w:right w:val="nil"/>
            </w:tcBorders>
            <w:hideMark/>
          </w:tcPr>
          <w:p w14:paraId="1925DE1F" w14:textId="77777777" w:rsidR="0030419B" w:rsidRPr="00B27CB1" w:rsidRDefault="0030419B">
            <w:pPr>
              <w:spacing w:line="256" w:lineRule="auto"/>
              <w:rPr>
                <w:b/>
              </w:rPr>
            </w:pPr>
            <w:bookmarkStart w:id="17" w:name="d0e246"/>
            <w:bookmarkEnd w:id="17"/>
            <w:r w:rsidRPr="00B27CB1">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5CC6FDB0" w14:textId="2541343B" w:rsidR="0030419B" w:rsidRPr="00B27CB1" w:rsidRDefault="00310531">
            <w:pPr>
              <w:snapToGrid w:val="0"/>
              <w:spacing w:line="256" w:lineRule="auto"/>
            </w:pPr>
            <w:r w:rsidRPr="00B27CB1">
              <w:t>1322 - L-(+)-lactic acid</w:t>
            </w:r>
          </w:p>
        </w:tc>
      </w:tr>
      <w:tr w:rsidR="0030419B" w:rsidRPr="00B27CB1" w14:paraId="009C8AD6" w14:textId="77777777" w:rsidTr="0030419B">
        <w:tc>
          <w:tcPr>
            <w:tcW w:w="3397" w:type="dxa"/>
            <w:tcBorders>
              <w:top w:val="nil"/>
              <w:left w:val="single" w:sz="4" w:space="0" w:color="000000"/>
              <w:bottom w:val="single" w:sz="4" w:space="0" w:color="000000"/>
              <w:right w:val="nil"/>
            </w:tcBorders>
            <w:hideMark/>
          </w:tcPr>
          <w:p w14:paraId="504D4DCC" w14:textId="77777777" w:rsidR="0030419B" w:rsidRPr="00B27CB1" w:rsidRDefault="0030419B">
            <w:pPr>
              <w:spacing w:line="256" w:lineRule="auto"/>
              <w:rPr>
                <w:b/>
              </w:rPr>
            </w:pPr>
            <w:r w:rsidRPr="00B27CB1">
              <w:rPr>
                <w:b/>
                <w:bCs/>
                <w:color w:val="000000"/>
                <w:szCs w:val="24"/>
                <w:lang w:eastAsia="en-GB"/>
              </w:rPr>
              <w:t>Name of manufacturer</w:t>
            </w:r>
          </w:p>
        </w:tc>
        <w:tc>
          <w:tcPr>
            <w:tcW w:w="5638" w:type="dxa"/>
            <w:tcBorders>
              <w:top w:val="nil"/>
              <w:left w:val="single" w:sz="4" w:space="0" w:color="000000"/>
              <w:bottom w:val="single" w:sz="4" w:space="0" w:color="000000"/>
              <w:right w:val="single" w:sz="4" w:space="0" w:color="000000"/>
            </w:tcBorders>
          </w:tcPr>
          <w:p w14:paraId="40AE7A74" w14:textId="460403AE" w:rsidR="0030419B" w:rsidRPr="00B27CB1" w:rsidRDefault="00310531">
            <w:pPr>
              <w:snapToGrid w:val="0"/>
              <w:spacing w:line="256" w:lineRule="auto"/>
            </w:pPr>
            <w:r w:rsidRPr="00B27CB1">
              <w:t>Jungbunzlauer S.A.</w:t>
            </w:r>
          </w:p>
        </w:tc>
      </w:tr>
      <w:tr w:rsidR="0030419B" w:rsidRPr="00B27CB1" w14:paraId="6783FC7C" w14:textId="77777777" w:rsidTr="0030419B">
        <w:tc>
          <w:tcPr>
            <w:tcW w:w="3397" w:type="dxa"/>
            <w:tcBorders>
              <w:top w:val="nil"/>
              <w:left w:val="single" w:sz="4" w:space="0" w:color="000000"/>
              <w:bottom w:val="single" w:sz="4" w:space="0" w:color="000000"/>
              <w:right w:val="nil"/>
            </w:tcBorders>
            <w:hideMark/>
          </w:tcPr>
          <w:p w14:paraId="1086ED4A" w14:textId="77777777" w:rsidR="0030419B" w:rsidRPr="00B27CB1" w:rsidRDefault="0030419B">
            <w:pPr>
              <w:spacing w:line="256" w:lineRule="auto"/>
              <w:rPr>
                <w:b/>
              </w:rPr>
            </w:pPr>
            <w:bookmarkStart w:id="18" w:name="d0e269"/>
            <w:bookmarkEnd w:id="18"/>
            <w:r w:rsidRPr="00B27CB1">
              <w:rPr>
                <w:b/>
                <w:bCs/>
                <w:color w:val="000000"/>
                <w:szCs w:val="24"/>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337C8468" w14:textId="77777777" w:rsidR="00310531" w:rsidRPr="005A150D" w:rsidRDefault="00310531">
            <w:pPr>
              <w:snapToGrid w:val="0"/>
              <w:spacing w:line="256" w:lineRule="auto"/>
              <w:rPr>
                <w:lang w:val="fr-FR"/>
              </w:rPr>
            </w:pPr>
            <w:r w:rsidRPr="005A150D">
              <w:rPr>
                <w:lang w:val="fr-FR"/>
              </w:rPr>
              <w:t xml:space="preserve">Z.I. et Portuaire B.P. 32 </w:t>
            </w:r>
          </w:p>
          <w:p w14:paraId="6CBDBEC6" w14:textId="77777777" w:rsidR="00310531" w:rsidRPr="00E91F85" w:rsidRDefault="00310531">
            <w:pPr>
              <w:snapToGrid w:val="0"/>
              <w:spacing w:line="256" w:lineRule="auto"/>
              <w:rPr>
                <w:lang w:val="fr-FR"/>
              </w:rPr>
            </w:pPr>
            <w:r w:rsidRPr="00E91F85">
              <w:rPr>
                <w:lang w:val="fr-FR"/>
              </w:rPr>
              <w:t xml:space="preserve">67390 MARCKOLSHEIM </w:t>
            </w:r>
          </w:p>
          <w:p w14:paraId="2349F68B" w14:textId="5B97E1C9" w:rsidR="0030419B" w:rsidRPr="00E91F85" w:rsidRDefault="00310531">
            <w:pPr>
              <w:snapToGrid w:val="0"/>
              <w:spacing w:line="256" w:lineRule="auto"/>
              <w:rPr>
                <w:lang w:val="fr-FR"/>
              </w:rPr>
            </w:pPr>
            <w:r w:rsidRPr="00E91F85">
              <w:rPr>
                <w:lang w:val="fr-FR"/>
              </w:rPr>
              <w:t>France</w:t>
            </w:r>
          </w:p>
        </w:tc>
      </w:tr>
      <w:tr w:rsidR="0030419B" w:rsidRPr="00B27CB1" w14:paraId="3EBBD655" w14:textId="77777777" w:rsidTr="0030419B">
        <w:tc>
          <w:tcPr>
            <w:tcW w:w="3397" w:type="dxa"/>
            <w:tcBorders>
              <w:top w:val="nil"/>
              <w:left w:val="single" w:sz="4" w:space="0" w:color="000000"/>
              <w:bottom w:val="single" w:sz="4" w:space="0" w:color="000000"/>
              <w:right w:val="nil"/>
            </w:tcBorders>
            <w:hideMark/>
          </w:tcPr>
          <w:p w14:paraId="4D7A1C44" w14:textId="77777777" w:rsidR="0030419B" w:rsidRPr="00B27CB1" w:rsidRDefault="0030419B">
            <w:pPr>
              <w:spacing w:line="256" w:lineRule="auto"/>
              <w:rPr>
                <w:b/>
              </w:rPr>
            </w:pPr>
            <w:r w:rsidRPr="00B27CB1">
              <w:rPr>
                <w:b/>
                <w:bCs/>
                <w:color w:val="000000"/>
                <w:szCs w:val="24"/>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19DFF959" w14:textId="77777777" w:rsidR="00310531" w:rsidRPr="005A150D" w:rsidRDefault="00310531">
            <w:pPr>
              <w:snapToGrid w:val="0"/>
              <w:spacing w:line="256" w:lineRule="auto"/>
              <w:rPr>
                <w:lang w:val="fr-FR"/>
              </w:rPr>
            </w:pPr>
            <w:r w:rsidRPr="005A150D">
              <w:rPr>
                <w:lang w:val="fr-FR"/>
              </w:rPr>
              <w:t xml:space="preserve">Z.I. et Portuaire B.P. 32 </w:t>
            </w:r>
          </w:p>
          <w:p w14:paraId="402B271F" w14:textId="77777777" w:rsidR="00310531" w:rsidRPr="00E91F85" w:rsidRDefault="00310531">
            <w:pPr>
              <w:snapToGrid w:val="0"/>
              <w:spacing w:line="256" w:lineRule="auto"/>
              <w:rPr>
                <w:lang w:val="fr-FR"/>
              </w:rPr>
            </w:pPr>
            <w:r w:rsidRPr="00E91F85">
              <w:rPr>
                <w:lang w:val="fr-FR"/>
              </w:rPr>
              <w:t xml:space="preserve">67390 MARCKOLSHEIM </w:t>
            </w:r>
          </w:p>
          <w:p w14:paraId="609B3E8F" w14:textId="55588675" w:rsidR="0030419B" w:rsidRPr="00E91F85" w:rsidRDefault="00310531">
            <w:pPr>
              <w:snapToGrid w:val="0"/>
              <w:spacing w:line="256" w:lineRule="auto"/>
              <w:rPr>
                <w:lang w:val="fr-FR"/>
              </w:rPr>
            </w:pPr>
            <w:r w:rsidRPr="00E91F85">
              <w:rPr>
                <w:lang w:val="fr-FR"/>
              </w:rPr>
              <w:t>France</w:t>
            </w:r>
          </w:p>
        </w:tc>
      </w:tr>
    </w:tbl>
    <w:p w14:paraId="471A4150" w14:textId="77777777" w:rsidR="0030419B" w:rsidRPr="00B27CB1" w:rsidRDefault="0030419B" w:rsidP="0030419B">
      <w:pPr>
        <w:suppressAutoHyphens w:val="0"/>
        <w:sectPr w:rsidR="0030419B" w:rsidRPr="00B27CB1">
          <w:headerReference w:type="default" r:id="rId13"/>
          <w:pgSz w:w="11906" w:h="16838"/>
          <w:pgMar w:top="1474" w:right="1247" w:bottom="2013" w:left="1446" w:header="850" w:footer="850" w:gutter="0"/>
          <w:cols w:space="720"/>
        </w:sectPr>
      </w:pPr>
    </w:p>
    <w:p w14:paraId="643F37DA" w14:textId="0A9C672C" w:rsidR="00310531" w:rsidRPr="00B27CB1" w:rsidRDefault="00310531" w:rsidP="00310531">
      <w:pPr>
        <w:spacing w:line="260" w:lineRule="atLea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5638"/>
      </w:tblGrid>
      <w:tr w:rsidR="00310531" w:rsidRPr="00B27CB1" w14:paraId="00F6FC2A" w14:textId="77777777" w:rsidTr="00310531">
        <w:tc>
          <w:tcPr>
            <w:tcW w:w="3397" w:type="dxa"/>
            <w:hideMark/>
          </w:tcPr>
          <w:p w14:paraId="6E82106C" w14:textId="77777777" w:rsidR="00310531" w:rsidRPr="00B27CB1" w:rsidRDefault="00310531" w:rsidP="00310531">
            <w:pPr>
              <w:spacing w:line="256" w:lineRule="auto"/>
              <w:rPr>
                <w:b/>
              </w:rPr>
            </w:pPr>
            <w:r w:rsidRPr="00B27CB1">
              <w:rPr>
                <w:b/>
                <w:bCs/>
                <w:color w:val="000000"/>
                <w:szCs w:val="24"/>
                <w:lang w:eastAsia="en-GB"/>
              </w:rPr>
              <w:t>Active substance</w:t>
            </w:r>
          </w:p>
        </w:tc>
        <w:tc>
          <w:tcPr>
            <w:tcW w:w="5638" w:type="dxa"/>
          </w:tcPr>
          <w:p w14:paraId="0EBCEDAF" w14:textId="285DCE4E" w:rsidR="00310531" w:rsidRPr="00B27CB1" w:rsidRDefault="00310531" w:rsidP="00310531">
            <w:pPr>
              <w:snapToGrid w:val="0"/>
              <w:spacing w:line="256" w:lineRule="auto"/>
            </w:pPr>
            <w:r w:rsidRPr="00B27CB1">
              <w:t>1322 - L-(+)-lactic acid</w:t>
            </w:r>
          </w:p>
        </w:tc>
      </w:tr>
      <w:tr w:rsidR="00310531" w:rsidRPr="00B27CB1" w14:paraId="3D183297" w14:textId="77777777" w:rsidTr="00310531">
        <w:tc>
          <w:tcPr>
            <w:tcW w:w="3397" w:type="dxa"/>
            <w:hideMark/>
          </w:tcPr>
          <w:p w14:paraId="1E348378" w14:textId="77777777" w:rsidR="00310531" w:rsidRPr="00B27CB1" w:rsidRDefault="00310531" w:rsidP="00310531">
            <w:pPr>
              <w:spacing w:line="256" w:lineRule="auto"/>
              <w:rPr>
                <w:b/>
              </w:rPr>
            </w:pPr>
            <w:r w:rsidRPr="00B27CB1">
              <w:rPr>
                <w:b/>
                <w:bCs/>
                <w:color w:val="000000"/>
                <w:szCs w:val="24"/>
                <w:lang w:eastAsia="en-GB"/>
              </w:rPr>
              <w:t>Name of manufacturer</w:t>
            </w:r>
          </w:p>
        </w:tc>
        <w:tc>
          <w:tcPr>
            <w:tcW w:w="5638" w:type="dxa"/>
          </w:tcPr>
          <w:p w14:paraId="5FA44C83" w14:textId="72B51325" w:rsidR="00310531" w:rsidRPr="00B27CB1" w:rsidRDefault="00310531" w:rsidP="00310531">
            <w:pPr>
              <w:snapToGrid w:val="0"/>
              <w:spacing w:line="256" w:lineRule="auto"/>
            </w:pPr>
            <w:r w:rsidRPr="00B27CB1">
              <w:t>Purac Biochem bv</w:t>
            </w:r>
          </w:p>
        </w:tc>
      </w:tr>
      <w:tr w:rsidR="00310531" w:rsidRPr="00B27CB1" w14:paraId="0609FD4F" w14:textId="77777777" w:rsidTr="00310531">
        <w:tc>
          <w:tcPr>
            <w:tcW w:w="3397" w:type="dxa"/>
            <w:hideMark/>
          </w:tcPr>
          <w:p w14:paraId="6459A9B6" w14:textId="77777777" w:rsidR="00310531" w:rsidRPr="00B27CB1" w:rsidRDefault="00310531" w:rsidP="00310531">
            <w:pPr>
              <w:spacing w:line="256" w:lineRule="auto"/>
              <w:rPr>
                <w:b/>
              </w:rPr>
            </w:pPr>
            <w:r w:rsidRPr="00B27CB1">
              <w:rPr>
                <w:b/>
                <w:bCs/>
                <w:color w:val="000000"/>
                <w:szCs w:val="24"/>
                <w:lang w:eastAsia="en-GB"/>
              </w:rPr>
              <w:t>Address of manufacturer</w:t>
            </w:r>
          </w:p>
        </w:tc>
        <w:tc>
          <w:tcPr>
            <w:tcW w:w="5638" w:type="dxa"/>
          </w:tcPr>
          <w:p w14:paraId="437C9A10" w14:textId="77777777" w:rsidR="00310531" w:rsidRPr="00B27CB1" w:rsidRDefault="00310531" w:rsidP="00310531">
            <w:pPr>
              <w:snapToGrid w:val="0"/>
              <w:spacing w:line="256" w:lineRule="auto"/>
            </w:pPr>
            <w:r w:rsidRPr="00B27CB1">
              <w:t xml:space="preserve">Arkelsedijk 46 – NL </w:t>
            </w:r>
          </w:p>
          <w:p w14:paraId="4E9ACB11" w14:textId="77777777" w:rsidR="00310531" w:rsidRPr="00B27CB1" w:rsidRDefault="00310531" w:rsidP="00310531">
            <w:pPr>
              <w:snapToGrid w:val="0"/>
              <w:spacing w:line="256" w:lineRule="auto"/>
            </w:pPr>
            <w:r w:rsidRPr="00B27CB1">
              <w:t xml:space="preserve">4206 AC Gorinchem </w:t>
            </w:r>
          </w:p>
          <w:p w14:paraId="5ED0A9AB" w14:textId="19D65580" w:rsidR="00310531" w:rsidRPr="00B27CB1" w:rsidRDefault="00310531" w:rsidP="00310531">
            <w:pPr>
              <w:snapToGrid w:val="0"/>
              <w:spacing w:line="256" w:lineRule="auto"/>
            </w:pPr>
            <w:r w:rsidRPr="00B27CB1">
              <w:t>Netherlands</w:t>
            </w:r>
          </w:p>
        </w:tc>
      </w:tr>
      <w:tr w:rsidR="00310531" w:rsidRPr="00B27CB1" w14:paraId="2F0BA887" w14:textId="77777777" w:rsidTr="00310531">
        <w:tc>
          <w:tcPr>
            <w:tcW w:w="3397" w:type="dxa"/>
            <w:hideMark/>
          </w:tcPr>
          <w:p w14:paraId="484780A9" w14:textId="42332DEA" w:rsidR="00310531" w:rsidRPr="00B27CB1" w:rsidRDefault="00310531" w:rsidP="00310531">
            <w:pPr>
              <w:spacing w:line="256" w:lineRule="auto"/>
              <w:rPr>
                <w:b/>
              </w:rPr>
            </w:pPr>
            <w:r w:rsidRPr="00B27CB1">
              <w:rPr>
                <w:b/>
                <w:bCs/>
                <w:color w:val="000000"/>
                <w:szCs w:val="24"/>
                <w:lang w:eastAsia="en-GB"/>
              </w:rPr>
              <w:t>Location of manufacturing sites 1</w:t>
            </w:r>
          </w:p>
        </w:tc>
        <w:tc>
          <w:tcPr>
            <w:tcW w:w="5638" w:type="dxa"/>
          </w:tcPr>
          <w:p w14:paraId="39A5F9A7" w14:textId="77777777" w:rsidR="00310531" w:rsidRPr="00B27CB1" w:rsidRDefault="00310531" w:rsidP="00310531">
            <w:pPr>
              <w:snapToGrid w:val="0"/>
              <w:spacing w:line="256" w:lineRule="auto"/>
            </w:pPr>
            <w:r w:rsidRPr="00B27CB1">
              <w:t xml:space="preserve">Arkelsedijk 46 – NL </w:t>
            </w:r>
          </w:p>
          <w:p w14:paraId="60332BE9" w14:textId="77777777" w:rsidR="00310531" w:rsidRPr="00B27CB1" w:rsidRDefault="00310531" w:rsidP="00310531">
            <w:pPr>
              <w:snapToGrid w:val="0"/>
              <w:spacing w:line="256" w:lineRule="auto"/>
            </w:pPr>
            <w:r w:rsidRPr="00B27CB1">
              <w:t xml:space="preserve">4206 AC Gorinchem </w:t>
            </w:r>
          </w:p>
          <w:p w14:paraId="7A1FBFBD" w14:textId="007D40FF" w:rsidR="00310531" w:rsidRPr="00B27CB1" w:rsidRDefault="00310531" w:rsidP="00310531">
            <w:pPr>
              <w:snapToGrid w:val="0"/>
              <w:spacing w:line="256" w:lineRule="auto"/>
            </w:pPr>
            <w:r w:rsidRPr="00B27CB1">
              <w:t>Netherlands</w:t>
            </w:r>
          </w:p>
        </w:tc>
      </w:tr>
      <w:tr w:rsidR="00310531" w:rsidRPr="00B27CB1" w14:paraId="3393C6D7" w14:textId="77777777" w:rsidTr="00310531">
        <w:tc>
          <w:tcPr>
            <w:tcW w:w="3397" w:type="dxa"/>
          </w:tcPr>
          <w:p w14:paraId="7F944590" w14:textId="7D5A4162" w:rsidR="00310531" w:rsidRPr="00B27CB1" w:rsidRDefault="00310531" w:rsidP="00310531">
            <w:pPr>
              <w:spacing w:line="256" w:lineRule="auto"/>
              <w:rPr>
                <w:b/>
                <w:bCs/>
                <w:color w:val="000000"/>
                <w:szCs w:val="24"/>
                <w:lang w:eastAsia="en-GB"/>
              </w:rPr>
            </w:pPr>
            <w:r w:rsidRPr="00B27CB1">
              <w:rPr>
                <w:b/>
                <w:bCs/>
                <w:color w:val="000000"/>
                <w:szCs w:val="24"/>
                <w:lang w:eastAsia="en-GB"/>
              </w:rPr>
              <w:t>Location of manufacturing sites 2</w:t>
            </w:r>
          </w:p>
        </w:tc>
        <w:tc>
          <w:tcPr>
            <w:tcW w:w="5638" w:type="dxa"/>
          </w:tcPr>
          <w:p w14:paraId="4EE0913C" w14:textId="77777777" w:rsidR="00310531" w:rsidRPr="00B27CB1" w:rsidRDefault="00310531" w:rsidP="00310531">
            <w:pPr>
              <w:snapToGrid w:val="0"/>
              <w:spacing w:line="256" w:lineRule="auto"/>
            </w:pPr>
            <w:r w:rsidRPr="00B27CB1">
              <w:t xml:space="preserve">Gran Vial 19-25 </w:t>
            </w:r>
          </w:p>
          <w:p w14:paraId="0BE5660E" w14:textId="77777777" w:rsidR="00310531" w:rsidRPr="00B27CB1" w:rsidRDefault="00310531" w:rsidP="00310531">
            <w:pPr>
              <w:snapToGrid w:val="0"/>
              <w:spacing w:line="256" w:lineRule="auto"/>
            </w:pPr>
            <w:r w:rsidRPr="00B27CB1">
              <w:t xml:space="preserve">08160 MONTMELÓ </w:t>
            </w:r>
          </w:p>
          <w:p w14:paraId="763D9541" w14:textId="08DC70F0" w:rsidR="00310531" w:rsidRPr="00B27CB1" w:rsidRDefault="00310531" w:rsidP="00310531">
            <w:pPr>
              <w:snapToGrid w:val="0"/>
              <w:spacing w:line="256" w:lineRule="auto"/>
            </w:pPr>
            <w:r w:rsidRPr="00B27CB1">
              <w:t>Spain</w:t>
            </w:r>
          </w:p>
        </w:tc>
      </w:tr>
    </w:tbl>
    <w:p w14:paraId="75589F68" w14:textId="77777777" w:rsidR="00310531" w:rsidRPr="00B27CB1" w:rsidRDefault="00310531" w:rsidP="00310531">
      <w:pPr>
        <w:spacing w:line="260" w:lineRule="atLeast"/>
        <w:rPr>
          <w:rFonts w:eastAsia="Calibri"/>
          <w:lang w:eastAsia="en-US"/>
        </w:rPr>
      </w:pPr>
    </w:p>
    <w:p w14:paraId="55486A03" w14:textId="104D0229" w:rsidR="0030419B" w:rsidRPr="00B27CB1" w:rsidRDefault="00F7024C" w:rsidP="0030419B">
      <w:pPr>
        <w:pStyle w:val="Titre3"/>
        <w:numPr>
          <w:ilvl w:val="2"/>
          <w:numId w:val="6"/>
        </w:numPr>
        <w:rPr>
          <w:rFonts w:eastAsia="Calibri"/>
          <w:lang w:val="en-GB" w:eastAsia="en-US"/>
        </w:rPr>
      </w:pPr>
      <w:bookmarkStart w:id="19" w:name="_Toc87361083"/>
      <w:r w:rsidRPr="00B27CB1">
        <w:rPr>
          <w:b w:val="0"/>
          <w:lang w:val="en-GB"/>
        </w:rPr>
        <w:t>Product family</w:t>
      </w:r>
      <w:r w:rsidR="0030419B" w:rsidRPr="00B27CB1">
        <w:rPr>
          <w:b w:val="0"/>
          <w:lang w:val="en-GB"/>
        </w:rPr>
        <w:t xml:space="preserve"> composition and formulation</w:t>
      </w:r>
      <w:bookmarkEnd w:id="19"/>
    </w:p>
    <w:bookmarkEnd w:id="12"/>
    <w:p w14:paraId="5617C7A9" w14:textId="77777777" w:rsidR="0030419B" w:rsidRPr="00B27CB1" w:rsidRDefault="0030419B" w:rsidP="0030419B">
      <w:pPr>
        <w:spacing w:line="260" w:lineRule="atLeast"/>
        <w:rPr>
          <w:rFonts w:eastAsia="Calibri"/>
          <w:lang w:eastAsia="en-US"/>
        </w:rPr>
      </w:pPr>
      <w:r w:rsidRPr="00B27CB1">
        <w:rPr>
          <w:rFonts w:eastAsia="Calibri"/>
          <w:lang w:eastAsia="en-US"/>
        </w:rPr>
        <w:t>NB: the full composition of the product according to Annex III Title 1 should be provided in the confidential annex.</w:t>
      </w:r>
    </w:p>
    <w:p w14:paraId="69537EAD" w14:textId="77777777" w:rsidR="0030419B" w:rsidRPr="00B27CB1" w:rsidRDefault="0030419B" w:rsidP="0030419B">
      <w:pPr>
        <w:spacing w:line="260" w:lineRule="atLeast"/>
        <w:rPr>
          <w:rFonts w:eastAsia="Calibri"/>
          <w:lang w:eastAsia="en-US"/>
        </w:rPr>
      </w:pPr>
    </w:p>
    <w:p w14:paraId="432F9C59" w14:textId="77777777" w:rsidR="0030419B" w:rsidRPr="00B27CB1" w:rsidRDefault="0030419B" w:rsidP="0030419B">
      <w:pPr>
        <w:spacing w:line="260" w:lineRule="atLeast"/>
        <w:jc w:val="both"/>
        <w:rPr>
          <w:rFonts w:eastAsia="Calibri"/>
          <w:lang w:eastAsia="en-US"/>
        </w:rPr>
      </w:pPr>
      <w:r w:rsidRPr="00B27CB1">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48DD295" w14:textId="77777777" w:rsidR="0030419B" w:rsidRPr="00B27CB1" w:rsidRDefault="0030419B" w:rsidP="0030419B">
      <w:pPr>
        <w:spacing w:line="260" w:lineRule="atLeast"/>
        <w:ind w:left="720"/>
        <w:jc w:val="both"/>
        <w:rPr>
          <w:rFonts w:eastAsia="Calibri"/>
          <w:lang w:eastAsia="en-US"/>
        </w:rPr>
      </w:pPr>
      <w:r w:rsidRPr="00B27CB1">
        <w:rPr>
          <w:rFonts w:eastAsia="Calibri"/>
          <w:lang w:eastAsia="en-US"/>
        </w:rPr>
        <w:t xml:space="preserve">Yes </w:t>
      </w:r>
      <w:r w:rsidRPr="00B27CB1">
        <w:rPr>
          <w:rFonts w:eastAsia="Calibri"/>
          <w:lang w:eastAsia="en-US"/>
        </w:rPr>
        <w:tab/>
      </w:r>
      <w:bookmarkStart w:id="20" w:name="__Fieldmark__1124_528645922"/>
      <w:r w:rsidRPr="00B27CB1">
        <w:fldChar w:fldCharType="begin">
          <w:ffData>
            <w:name w:val=""/>
            <w:enabled/>
            <w:calcOnExit w:val="0"/>
            <w:checkBox>
              <w:sizeAuto/>
              <w:default w:val="0"/>
              <w:checked w:val="0"/>
            </w:checkBox>
          </w:ffData>
        </w:fldChar>
      </w:r>
      <w:r w:rsidRPr="00B27CB1">
        <w:instrText xml:space="preserve"> FORMCHECKBOX </w:instrText>
      </w:r>
      <w:r w:rsidR="00E70520">
        <w:fldChar w:fldCharType="separate"/>
      </w:r>
      <w:r w:rsidRPr="00B27CB1">
        <w:fldChar w:fldCharType="end"/>
      </w:r>
      <w:bookmarkEnd w:id="20"/>
    </w:p>
    <w:p w14:paraId="1FD46636" w14:textId="18CF2452" w:rsidR="0030419B" w:rsidRPr="00B27CB1" w:rsidRDefault="0030419B" w:rsidP="0030419B">
      <w:pPr>
        <w:spacing w:line="260" w:lineRule="atLeast"/>
        <w:ind w:left="720"/>
        <w:jc w:val="both"/>
      </w:pPr>
      <w:r w:rsidRPr="00B27CB1">
        <w:rPr>
          <w:rFonts w:eastAsia="Calibri"/>
          <w:lang w:eastAsia="en-US"/>
        </w:rPr>
        <w:t xml:space="preserve">No </w:t>
      </w:r>
      <w:r w:rsidRPr="00B27CB1">
        <w:rPr>
          <w:rFonts w:eastAsia="Calibri"/>
          <w:lang w:eastAsia="en-US"/>
        </w:rPr>
        <w:tab/>
      </w:r>
      <w:r w:rsidR="00EE7164">
        <w:fldChar w:fldCharType="begin">
          <w:ffData>
            <w:name w:val=""/>
            <w:enabled/>
            <w:calcOnExit w:val="0"/>
            <w:checkBox>
              <w:sizeAuto/>
              <w:default w:val="1"/>
            </w:checkBox>
          </w:ffData>
        </w:fldChar>
      </w:r>
      <w:r w:rsidR="00EE7164">
        <w:instrText xml:space="preserve"> FORMCHECKBOX </w:instrText>
      </w:r>
      <w:r w:rsidR="00E70520">
        <w:fldChar w:fldCharType="separate"/>
      </w:r>
      <w:r w:rsidR="00EE7164">
        <w:fldChar w:fldCharType="end"/>
      </w:r>
    </w:p>
    <w:p w14:paraId="3261F56B" w14:textId="77777777" w:rsidR="0030419B" w:rsidRPr="00B27CB1" w:rsidRDefault="0030419B" w:rsidP="0030419B">
      <w:pPr>
        <w:pStyle w:val="Titre4"/>
        <w:numPr>
          <w:ilvl w:val="3"/>
          <w:numId w:val="6"/>
        </w:numPr>
        <w:rPr>
          <w:b/>
          <w:lang w:val="en-GB" w:eastAsia="en-US"/>
        </w:rPr>
      </w:pPr>
      <w:bookmarkStart w:id="21" w:name="_Toc87361084"/>
      <w:r w:rsidRPr="00B27CB1">
        <w:rPr>
          <w:lang w:val="en-GB"/>
        </w:rPr>
        <w:t>Identity of the active substance</w:t>
      </w:r>
      <w:bookmarkEnd w:id="21"/>
    </w:p>
    <w:tbl>
      <w:tblPr>
        <w:tblW w:w="9440" w:type="dxa"/>
        <w:tblInd w:w="-5" w:type="dxa"/>
        <w:tblLayout w:type="fixed"/>
        <w:tblLook w:val="04A0" w:firstRow="1" w:lastRow="0" w:firstColumn="1" w:lastColumn="0" w:noHBand="0" w:noVBand="1"/>
      </w:tblPr>
      <w:tblGrid>
        <w:gridCol w:w="4077"/>
        <w:gridCol w:w="5363"/>
      </w:tblGrid>
      <w:tr w:rsidR="0030419B" w:rsidRPr="00B27CB1" w14:paraId="66CF1363" w14:textId="77777777" w:rsidTr="00434119">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310CE81" w14:textId="77777777" w:rsidR="0030419B" w:rsidRPr="00B27CB1" w:rsidRDefault="0030419B">
            <w:pPr>
              <w:spacing w:line="260" w:lineRule="atLeast"/>
              <w:jc w:val="center"/>
            </w:pPr>
            <w:r w:rsidRPr="00B27CB1">
              <w:rPr>
                <w:rFonts w:eastAsia="Calibri"/>
                <w:b/>
                <w:lang w:eastAsia="en-US"/>
              </w:rPr>
              <w:t>Main constituent(s)</w:t>
            </w:r>
          </w:p>
        </w:tc>
      </w:tr>
      <w:tr w:rsidR="00434119" w:rsidRPr="00B27CB1" w14:paraId="58F4C4BF" w14:textId="77777777" w:rsidTr="00434119">
        <w:tc>
          <w:tcPr>
            <w:tcW w:w="4077" w:type="dxa"/>
            <w:tcBorders>
              <w:top w:val="single" w:sz="4" w:space="0" w:color="000000"/>
              <w:left w:val="single" w:sz="4" w:space="0" w:color="000000"/>
              <w:bottom w:val="single" w:sz="4" w:space="0" w:color="000000"/>
              <w:right w:val="nil"/>
            </w:tcBorders>
            <w:hideMark/>
          </w:tcPr>
          <w:p w14:paraId="3127A5CA" w14:textId="77777777" w:rsidR="00434119" w:rsidRPr="00B27CB1" w:rsidRDefault="00434119" w:rsidP="00434119">
            <w:pPr>
              <w:spacing w:line="260" w:lineRule="atLeast"/>
              <w:rPr>
                <w:rFonts w:eastAsia="Calibri"/>
                <w:b/>
                <w:lang w:eastAsia="en-US"/>
              </w:rPr>
            </w:pPr>
            <w:r w:rsidRPr="00B27CB1">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591014A4" w14:textId="2477A8A4" w:rsidR="00434119" w:rsidRPr="00B27CB1" w:rsidRDefault="00434119" w:rsidP="00434119">
            <w:pPr>
              <w:snapToGrid w:val="0"/>
              <w:spacing w:line="260" w:lineRule="atLeast"/>
              <w:rPr>
                <w:rFonts w:eastAsia="Calibri"/>
                <w:b/>
                <w:lang w:eastAsia="en-US"/>
              </w:rPr>
            </w:pPr>
            <w:r w:rsidRPr="00452328">
              <w:rPr>
                <w:rFonts w:eastAsia="Calibri"/>
                <w:lang w:eastAsia="en-US"/>
              </w:rPr>
              <w:t>L(+) lactic acid</w:t>
            </w:r>
          </w:p>
        </w:tc>
      </w:tr>
      <w:tr w:rsidR="00434119" w:rsidRPr="00B27CB1" w14:paraId="4FAA1F01" w14:textId="77777777" w:rsidTr="00434119">
        <w:tc>
          <w:tcPr>
            <w:tcW w:w="4077" w:type="dxa"/>
            <w:tcBorders>
              <w:top w:val="single" w:sz="4" w:space="0" w:color="000000"/>
              <w:left w:val="single" w:sz="4" w:space="0" w:color="000000"/>
              <w:bottom w:val="single" w:sz="4" w:space="0" w:color="000000"/>
              <w:right w:val="nil"/>
            </w:tcBorders>
            <w:hideMark/>
          </w:tcPr>
          <w:p w14:paraId="412CC62D" w14:textId="77777777" w:rsidR="00434119" w:rsidRPr="00B27CB1" w:rsidRDefault="00434119" w:rsidP="00434119">
            <w:pPr>
              <w:spacing w:line="260" w:lineRule="atLeast"/>
              <w:rPr>
                <w:rFonts w:eastAsia="Calibri"/>
                <w:b/>
                <w:lang w:eastAsia="en-US"/>
              </w:rPr>
            </w:pPr>
            <w:r w:rsidRPr="00B27CB1">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6DBB90AD" w14:textId="1D8D6E27" w:rsidR="00434119" w:rsidRPr="00B27CB1" w:rsidRDefault="00434119" w:rsidP="00434119">
            <w:pPr>
              <w:snapToGrid w:val="0"/>
              <w:spacing w:line="260" w:lineRule="atLeast"/>
              <w:rPr>
                <w:rFonts w:eastAsia="Calibri"/>
                <w:b/>
                <w:lang w:eastAsia="en-US"/>
              </w:rPr>
            </w:pPr>
            <w:r w:rsidRPr="005E5392">
              <w:rPr>
                <w:rFonts w:eastAsia="Calibri"/>
                <w:lang w:eastAsia="en-US"/>
              </w:rPr>
              <w:t>(2S)-2- Hydroxypropanoic acid</w:t>
            </w:r>
          </w:p>
        </w:tc>
      </w:tr>
      <w:tr w:rsidR="00434119" w:rsidRPr="00B27CB1" w14:paraId="03ECC754" w14:textId="77777777" w:rsidTr="00434119">
        <w:tc>
          <w:tcPr>
            <w:tcW w:w="4077" w:type="dxa"/>
            <w:tcBorders>
              <w:top w:val="single" w:sz="4" w:space="0" w:color="000000"/>
              <w:left w:val="single" w:sz="4" w:space="0" w:color="000000"/>
              <w:bottom w:val="single" w:sz="4" w:space="0" w:color="000000"/>
              <w:right w:val="nil"/>
            </w:tcBorders>
            <w:hideMark/>
          </w:tcPr>
          <w:p w14:paraId="4C744167" w14:textId="77777777" w:rsidR="00434119" w:rsidRPr="00B27CB1" w:rsidRDefault="00434119" w:rsidP="00434119">
            <w:pPr>
              <w:spacing w:line="260" w:lineRule="atLeast"/>
              <w:rPr>
                <w:rFonts w:eastAsia="Calibri"/>
                <w:b/>
                <w:lang w:eastAsia="en-US"/>
              </w:rPr>
            </w:pPr>
            <w:r w:rsidRPr="00B27CB1">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tcPr>
          <w:p w14:paraId="22FDF6AB" w14:textId="55C78816" w:rsidR="00434119" w:rsidRPr="00B27CB1" w:rsidRDefault="00434119" w:rsidP="00434119">
            <w:pPr>
              <w:snapToGrid w:val="0"/>
              <w:spacing w:line="260" w:lineRule="atLeast"/>
              <w:rPr>
                <w:rFonts w:eastAsia="Calibri"/>
                <w:b/>
                <w:lang w:eastAsia="en-US"/>
              </w:rPr>
            </w:pPr>
            <w:r>
              <w:rPr>
                <w:rFonts w:eastAsia="Calibri"/>
                <w:lang w:eastAsia="en-US"/>
              </w:rPr>
              <w:t>201-196-2</w:t>
            </w:r>
          </w:p>
        </w:tc>
      </w:tr>
      <w:tr w:rsidR="00434119" w:rsidRPr="00B27CB1" w14:paraId="1E1A1665" w14:textId="77777777" w:rsidTr="00434119">
        <w:tc>
          <w:tcPr>
            <w:tcW w:w="4077" w:type="dxa"/>
            <w:tcBorders>
              <w:top w:val="single" w:sz="4" w:space="0" w:color="000000"/>
              <w:left w:val="single" w:sz="4" w:space="0" w:color="000000"/>
              <w:bottom w:val="single" w:sz="4" w:space="0" w:color="000000"/>
              <w:right w:val="nil"/>
            </w:tcBorders>
            <w:hideMark/>
          </w:tcPr>
          <w:p w14:paraId="2DA7A6C0" w14:textId="77777777" w:rsidR="00434119" w:rsidRPr="00B27CB1" w:rsidRDefault="00434119" w:rsidP="00434119">
            <w:pPr>
              <w:spacing w:line="260" w:lineRule="atLeast"/>
              <w:rPr>
                <w:rFonts w:eastAsia="Calibri"/>
                <w:b/>
                <w:lang w:eastAsia="en-US"/>
              </w:rPr>
            </w:pPr>
            <w:r w:rsidRPr="00B27CB1">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13B4E74C" w14:textId="62BC9D7D" w:rsidR="00434119" w:rsidRPr="00B27CB1" w:rsidRDefault="00434119" w:rsidP="00434119">
            <w:pPr>
              <w:snapToGrid w:val="0"/>
              <w:spacing w:line="260" w:lineRule="atLeast"/>
              <w:rPr>
                <w:rFonts w:eastAsia="Calibri"/>
                <w:b/>
                <w:lang w:eastAsia="en-US"/>
              </w:rPr>
            </w:pPr>
            <w:r>
              <w:rPr>
                <w:rFonts w:eastAsia="Calibri"/>
                <w:lang w:eastAsia="en-US"/>
              </w:rPr>
              <w:t>79-33-4</w:t>
            </w:r>
          </w:p>
        </w:tc>
      </w:tr>
      <w:tr w:rsidR="00434119" w:rsidRPr="00B27CB1" w14:paraId="7C3B5CFA" w14:textId="77777777" w:rsidTr="00434119">
        <w:tc>
          <w:tcPr>
            <w:tcW w:w="4077" w:type="dxa"/>
            <w:tcBorders>
              <w:top w:val="single" w:sz="4" w:space="0" w:color="000000"/>
              <w:left w:val="single" w:sz="4" w:space="0" w:color="000000"/>
              <w:bottom w:val="single" w:sz="4" w:space="0" w:color="000000"/>
              <w:right w:val="nil"/>
            </w:tcBorders>
            <w:hideMark/>
          </w:tcPr>
          <w:p w14:paraId="69D9D49D" w14:textId="77777777" w:rsidR="00434119" w:rsidRPr="00B27CB1" w:rsidRDefault="00434119" w:rsidP="00434119">
            <w:pPr>
              <w:spacing w:line="260" w:lineRule="atLeast"/>
              <w:rPr>
                <w:rFonts w:eastAsia="Calibri"/>
                <w:b/>
                <w:lang w:eastAsia="en-US"/>
              </w:rPr>
            </w:pPr>
            <w:r w:rsidRPr="00B27CB1">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64BE8684" w14:textId="77777777" w:rsidR="00434119" w:rsidRPr="00B27CB1" w:rsidRDefault="00434119" w:rsidP="00434119">
            <w:pPr>
              <w:snapToGrid w:val="0"/>
              <w:spacing w:line="260" w:lineRule="atLeast"/>
              <w:rPr>
                <w:rFonts w:eastAsia="Calibri"/>
                <w:b/>
                <w:lang w:eastAsia="en-US"/>
              </w:rPr>
            </w:pPr>
          </w:p>
        </w:tc>
      </w:tr>
      <w:tr w:rsidR="00434119" w:rsidRPr="00B27CB1" w14:paraId="267A45FF" w14:textId="77777777" w:rsidTr="00434119">
        <w:tc>
          <w:tcPr>
            <w:tcW w:w="4077" w:type="dxa"/>
            <w:tcBorders>
              <w:top w:val="single" w:sz="4" w:space="0" w:color="000000"/>
              <w:left w:val="single" w:sz="4" w:space="0" w:color="000000"/>
              <w:bottom w:val="single" w:sz="4" w:space="0" w:color="000000"/>
              <w:right w:val="nil"/>
            </w:tcBorders>
            <w:hideMark/>
          </w:tcPr>
          <w:p w14:paraId="0C6AD9A9" w14:textId="12A8C70F" w:rsidR="00434119" w:rsidRPr="00B27CB1" w:rsidRDefault="00434119">
            <w:pPr>
              <w:spacing w:line="260" w:lineRule="atLeast"/>
              <w:rPr>
                <w:rFonts w:eastAsia="Calibri"/>
                <w:b/>
                <w:lang w:eastAsia="en-US"/>
              </w:rPr>
            </w:pPr>
            <w:r w:rsidRPr="00B27CB1">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7A2CDF2A" w14:textId="1BFCD437" w:rsidR="00434119" w:rsidRPr="00B27CB1" w:rsidRDefault="00434119">
            <w:pPr>
              <w:snapToGrid w:val="0"/>
              <w:spacing w:line="260" w:lineRule="atLeast"/>
              <w:rPr>
                <w:rFonts w:eastAsia="Calibri"/>
                <w:b/>
                <w:lang w:eastAsia="en-US"/>
              </w:rPr>
            </w:pPr>
            <w:r>
              <w:rPr>
                <w:rFonts w:eastAsia="Calibri"/>
                <w:lang w:eastAsia="en-US"/>
              </w:rPr>
              <w:t xml:space="preserve">≥ 955 g/kg </w:t>
            </w:r>
            <w:r w:rsidRPr="00434119">
              <w:rPr>
                <w:rFonts w:eastAsia="Calibri"/>
                <w:lang w:eastAsia="en-US"/>
              </w:rPr>
              <w:t>(dry weight)</w:t>
            </w:r>
          </w:p>
        </w:tc>
      </w:tr>
      <w:tr w:rsidR="00434119" w:rsidRPr="00B27CB1" w14:paraId="3EFC60C6" w14:textId="77777777" w:rsidTr="00E91F85">
        <w:trPr>
          <w:trHeight w:val="1934"/>
        </w:trPr>
        <w:tc>
          <w:tcPr>
            <w:tcW w:w="4077" w:type="dxa"/>
            <w:tcBorders>
              <w:top w:val="single" w:sz="4" w:space="0" w:color="000000"/>
              <w:left w:val="single" w:sz="4" w:space="0" w:color="000000"/>
              <w:bottom w:val="single" w:sz="4" w:space="0" w:color="000000"/>
              <w:right w:val="nil"/>
            </w:tcBorders>
            <w:hideMark/>
          </w:tcPr>
          <w:p w14:paraId="3BDC054E" w14:textId="77777777" w:rsidR="00434119" w:rsidRPr="00B27CB1" w:rsidRDefault="00434119" w:rsidP="00434119">
            <w:pPr>
              <w:spacing w:line="260" w:lineRule="atLeast"/>
              <w:rPr>
                <w:rFonts w:eastAsia="Calibri"/>
                <w:b/>
                <w:lang w:eastAsia="en-US"/>
              </w:rPr>
            </w:pPr>
            <w:r w:rsidRPr="00B27CB1">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2686E34A" w14:textId="796DC412" w:rsidR="00434119" w:rsidRDefault="000C20F2" w:rsidP="00434119">
            <w:pPr>
              <w:spacing w:line="260" w:lineRule="atLeast"/>
              <w:rPr>
                <w:rFonts w:eastAsia="Calibri"/>
                <w:vertAlign w:val="subscript"/>
                <w:lang w:eastAsia="en-US"/>
              </w:rPr>
            </w:pPr>
            <w:r>
              <w:rPr>
                <w:noProof/>
                <w:lang w:val="fr-FR" w:eastAsia="fr-FR"/>
              </w:rPr>
              <w:drawing>
                <wp:anchor distT="0" distB="0" distL="114300" distR="114300" simplePos="0" relativeHeight="251658241" behindDoc="0" locked="0" layoutInCell="1" allowOverlap="1" wp14:anchorId="12FD9D44" wp14:editId="785F41D7">
                  <wp:simplePos x="0" y="0"/>
                  <wp:positionH relativeFrom="column">
                    <wp:posOffset>716915</wp:posOffset>
                  </wp:positionH>
                  <wp:positionV relativeFrom="paragraph">
                    <wp:posOffset>118745</wp:posOffset>
                  </wp:positionV>
                  <wp:extent cx="1504315" cy="1005840"/>
                  <wp:effectExtent l="0" t="0" r="635" b="381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315" cy="1005840"/>
                          </a:xfrm>
                          <a:prstGeom prst="rect">
                            <a:avLst/>
                          </a:prstGeom>
                          <a:noFill/>
                        </pic:spPr>
                      </pic:pic>
                    </a:graphicData>
                  </a:graphic>
                  <wp14:sizeRelH relativeFrom="page">
                    <wp14:pctWidth>0</wp14:pctWidth>
                  </wp14:sizeRelH>
                  <wp14:sizeRelV relativeFrom="page">
                    <wp14:pctHeight>0</wp14:pctHeight>
                  </wp14:sizeRelV>
                </wp:anchor>
              </w:drawing>
            </w:r>
            <w:r w:rsidR="00434119" w:rsidRPr="005500CB">
              <w:rPr>
                <w:rFonts w:eastAsia="Calibri"/>
                <w:lang w:eastAsia="en-US"/>
              </w:rPr>
              <w:t>C</w:t>
            </w:r>
            <w:r w:rsidR="00434119" w:rsidRPr="001D704F">
              <w:rPr>
                <w:rFonts w:eastAsia="Calibri"/>
                <w:vertAlign w:val="subscript"/>
                <w:lang w:eastAsia="en-US"/>
              </w:rPr>
              <w:t>3</w:t>
            </w:r>
            <w:r w:rsidR="00434119" w:rsidRPr="005500CB">
              <w:rPr>
                <w:rFonts w:eastAsia="Calibri"/>
                <w:lang w:eastAsia="en-US"/>
              </w:rPr>
              <w:t>H</w:t>
            </w:r>
            <w:r w:rsidR="00434119" w:rsidRPr="001D704F">
              <w:rPr>
                <w:rFonts w:eastAsia="Calibri"/>
                <w:vertAlign w:val="subscript"/>
                <w:lang w:eastAsia="en-US"/>
              </w:rPr>
              <w:t>6</w:t>
            </w:r>
            <w:r w:rsidR="00434119" w:rsidRPr="005500CB">
              <w:rPr>
                <w:rFonts w:eastAsia="Calibri"/>
                <w:lang w:eastAsia="en-US"/>
              </w:rPr>
              <w:t>O</w:t>
            </w:r>
            <w:r w:rsidR="00434119" w:rsidRPr="001D704F">
              <w:rPr>
                <w:rFonts w:eastAsia="Calibri"/>
                <w:vertAlign w:val="subscript"/>
                <w:lang w:eastAsia="en-US"/>
              </w:rPr>
              <w:t>3</w:t>
            </w:r>
          </w:p>
          <w:p w14:paraId="02C4479F" w14:textId="77777777" w:rsidR="00434119" w:rsidRPr="00B27CB1" w:rsidRDefault="00434119" w:rsidP="00434119">
            <w:pPr>
              <w:snapToGrid w:val="0"/>
              <w:spacing w:line="260" w:lineRule="atLeast"/>
              <w:rPr>
                <w:rFonts w:eastAsia="Calibri"/>
                <w:b/>
                <w:lang w:eastAsia="en-US"/>
              </w:rPr>
            </w:pPr>
          </w:p>
        </w:tc>
      </w:tr>
    </w:tbl>
    <w:p w14:paraId="731966BE" w14:textId="77777777" w:rsidR="0030419B" w:rsidRPr="00B27CB1" w:rsidRDefault="0030419B" w:rsidP="0030419B">
      <w:pPr>
        <w:spacing w:line="260" w:lineRule="atLeast"/>
        <w:jc w:val="both"/>
        <w:rPr>
          <w:rFonts w:eastAsia="Calibri"/>
          <w:lang w:eastAsia="fr-FR"/>
        </w:rPr>
      </w:pPr>
    </w:p>
    <w:p w14:paraId="30877D90" w14:textId="77777777" w:rsidR="0030419B" w:rsidRPr="00B27CB1" w:rsidRDefault="0030419B" w:rsidP="0030419B">
      <w:pPr>
        <w:pStyle w:val="Titre4"/>
        <w:numPr>
          <w:ilvl w:val="3"/>
          <w:numId w:val="6"/>
        </w:numPr>
        <w:rPr>
          <w:rFonts w:ascii="Times New Roman" w:hAnsi="Times New Roman" w:cs="Times New Roman"/>
          <w:i/>
          <w:lang w:val="en-GB" w:eastAsia="fr-FR"/>
        </w:rPr>
      </w:pPr>
      <w:bookmarkStart w:id="22" w:name="_Toc87361085"/>
      <w:r w:rsidRPr="00B27CB1">
        <w:rPr>
          <w:lang w:val="en-GB"/>
        </w:rPr>
        <w:t>Candidate(s) for substitution</w:t>
      </w:r>
      <w:bookmarkEnd w:id="22"/>
    </w:p>
    <w:p w14:paraId="58E8BE93" w14:textId="66038BD5" w:rsidR="0030419B" w:rsidRPr="00E91F85" w:rsidRDefault="006746DA" w:rsidP="0030419B">
      <w:pPr>
        <w:spacing w:line="260" w:lineRule="atLeast"/>
        <w:jc w:val="both"/>
        <w:rPr>
          <w:rFonts w:eastAsia="Calibri" w:cs="Times New Roman"/>
          <w:lang w:eastAsia="fr-FR"/>
        </w:rPr>
      </w:pPr>
      <w:r w:rsidRPr="00E91F85">
        <w:rPr>
          <w:rFonts w:eastAsia="Calibri" w:cs="Times New Roman"/>
          <w:lang w:eastAsia="fr-FR"/>
        </w:rPr>
        <w:t xml:space="preserve">L(+) lactic acid is not </w:t>
      </w:r>
      <w:r w:rsidR="0030419B" w:rsidRPr="00E91F85">
        <w:rPr>
          <w:rFonts w:eastAsia="Calibri" w:cs="Times New Roman"/>
          <w:lang w:eastAsia="fr-FR"/>
        </w:rPr>
        <w:t>candidate for substitution in accordance with Article 10 of BPR</w:t>
      </w:r>
      <w:r w:rsidRPr="00E91F85">
        <w:rPr>
          <w:rFonts w:eastAsia="Calibri" w:cs="Times New Roman"/>
          <w:lang w:eastAsia="fr-FR"/>
        </w:rPr>
        <w:t>.</w:t>
      </w:r>
    </w:p>
    <w:p w14:paraId="73E3EF41" w14:textId="77777777" w:rsidR="0030419B" w:rsidRPr="00B27CB1" w:rsidRDefault="0030419B" w:rsidP="0030419B">
      <w:pPr>
        <w:spacing w:line="260" w:lineRule="atLeast"/>
        <w:jc w:val="both"/>
        <w:rPr>
          <w:rFonts w:ascii="Times New Roman" w:eastAsia="Calibri" w:hAnsi="Times New Roman" w:cs="Times New Roman"/>
          <w:i/>
          <w:lang w:eastAsia="fr-FR"/>
        </w:rPr>
      </w:pPr>
    </w:p>
    <w:p w14:paraId="0A5E995C" w14:textId="77777777" w:rsidR="0030419B" w:rsidRPr="00B27CB1" w:rsidRDefault="0030419B" w:rsidP="0030419B">
      <w:pPr>
        <w:pStyle w:val="Absatz"/>
        <w:rPr>
          <w:lang w:eastAsia="en-US"/>
        </w:rPr>
      </w:pPr>
    </w:p>
    <w:p w14:paraId="6A2E24ED" w14:textId="31186483" w:rsidR="0030419B" w:rsidRPr="00B27CB1" w:rsidRDefault="0030419B" w:rsidP="0030419B">
      <w:pPr>
        <w:pStyle w:val="Titre4"/>
        <w:numPr>
          <w:ilvl w:val="3"/>
          <w:numId w:val="6"/>
        </w:numPr>
        <w:rPr>
          <w:lang w:val="en-GB" w:eastAsia="en-US"/>
        </w:rPr>
      </w:pPr>
      <w:bookmarkStart w:id="23" w:name="_Toc87361086"/>
      <w:r w:rsidRPr="00B27CB1">
        <w:rPr>
          <w:lang w:val="en-GB"/>
        </w:rPr>
        <w:t>Qualitative and quantitative information on the composition of the biocidal product family</w:t>
      </w:r>
      <w:bookmarkEnd w:id="23"/>
    </w:p>
    <w:p w14:paraId="074B9562" w14:textId="77777777" w:rsidR="0030419B" w:rsidRPr="00B27CB1" w:rsidRDefault="0030419B" w:rsidP="0030419B">
      <w:pPr>
        <w:pStyle w:val="Absatz"/>
        <w:rPr>
          <w:lang w:eastAsia="en-US"/>
        </w:rPr>
      </w:pPr>
    </w:p>
    <w:tbl>
      <w:tblPr>
        <w:tblW w:w="0" w:type="auto"/>
        <w:tblInd w:w="-137" w:type="dxa"/>
        <w:tblLayout w:type="fixed"/>
        <w:tblCellMar>
          <w:left w:w="0" w:type="dxa"/>
          <w:right w:w="0" w:type="dxa"/>
        </w:tblCellMar>
        <w:tblLook w:val="04A0" w:firstRow="1" w:lastRow="0" w:firstColumn="1" w:lastColumn="0" w:noHBand="0" w:noVBand="1"/>
      </w:tblPr>
      <w:tblGrid>
        <w:gridCol w:w="2117"/>
        <w:gridCol w:w="1636"/>
        <w:gridCol w:w="65"/>
        <w:gridCol w:w="1276"/>
        <w:gridCol w:w="12"/>
        <w:gridCol w:w="1353"/>
        <w:gridCol w:w="52"/>
        <w:gridCol w:w="1301"/>
        <w:gridCol w:w="625"/>
        <w:gridCol w:w="738"/>
      </w:tblGrid>
      <w:tr w:rsidR="0030419B" w:rsidRPr="00B27CB1" w14:paraId="6081C575" w14:textId="77777777" w:rsidTr="003F1E71">
        <w:trPr>
          <w:cantSplit/>
          <w:trHeight w:val="692"/>
          <w:tblHeader/>
        </w:trPr>
        <w:tc>
          <w:tcPr>
            <w:tcW w:w="2117" w:type="dxa"/>
            <w:vMerge w:val="restart"/>
            <w:tcBorders>
              <w:top w:val="single" w:sz="4" w:space="0" w:color="000000"/>
              <w:left w:val="single" w:sz="4" w:space="0" w:color="000000"/>
              <w:bottom w:val="single" w:sz="4" w:space="0" w:color="000000"/>
              <w:right w:val="nil"/>
            </w:tcBorders>
            <w:vAlign w:val="center"/>
            <w:hideMark/>
          </w:tcPr>
          <w:p w14:paraId="79AE78AF" w14:textId="77777777" w:rsidR="0030419B" w:rsidRPr="00B27CB1" w:rsidRDefault="0030419B" w:rsidP="00E91F85">
            <w:pPr>
              <w:spacing w:line="256" w:lineRule="auto"/>
              <w:jc w:val="center"/>
              <w:rPr>
                <w:b/>
                <w:bCs/>
                <w:szCs w:val="24"/>
                <w:lang w:eastAsia="en-GB"/>
              </w:rPr>
            </w:pPr>
            <w:r w:rsidRPr="00B27CB1">
              <w:rPr>
                <w:b/>
                <w:bCs/>
                <w:szCs w:val="24"/>
                <w:lang w:eastAsia="en-GB"/>
              </w:rPr>
              <w:lastRenderedPageBreak/>
              <w:t>Common name</w:t>
            </w:r>
          </w:p>
        </w:tc>
        <w:tc>
          <w:tcPr>
            <w:tcW w:w="1636" w:type="dxa"/>
            <w:vMerge w:val="restart"/>
            <w:tcBorders>
              <w:top w:val="single" w:sz="4" w:space="0" w:color="000000"/>
              <w:left w:val="single" w:sz="4" w:space="0" w:color="000000"/>
              <w:bottom w:val="single" w:sz="4" w:space="0" w:color="000000"/>
              <w:right w:val="nil"/>
            </w:tcBorders>
            <w:vAlign w:val="center"/>
            <w:hideMark/>
          </w:tcPr>
          <w:p w14:paraId="3558D899" w14:textId="77777777" w:rsidR="0030419B" w:rsidRPr="00B27CB1" w:rsidRDefault="0030419B" w:rsidP="00E91F85">
            <w:pPr>
              <w:spacing w:line="256" w:lineRule="auto"/>
              <w:jc w:val="center"/>
              <w:rPr>
                <w:b/>
                <w:bCs/>
                <w:szCs w:val="24"/>
                <w:lang w:eastAsia="en-GB"/>
              </w:rPr>
            </w:pPr>
            <w:r w:rsidRPr="00B27CB1">
              <w:rPr>
                <w:b/>
                <w:bCs/>
                <w:szCs w:val="24"/>
                <w:lang w:eastAsia="en-GB"/>
              </w:rPr>
              <w:t>IUPAC name</w:t>
            </w:r>
          </w:p>
        </w:tc>
        <w:tc>
          <w:tcPr>
            <w:tcW w:w="1353" w:type="dxa"/>
            <w:gridSpan w:val="3"/>
            <w:vMerge w:val="restart"/>
            <w:tcBorders>
              <w:top w:val="single" w:sz="4" w:space="0" w:color="000000"/>
              <w:left w:val="single" w:sz="4" w:space="0" w:color="000000"/>
              <w:bottom w:val="single" w:sz="4" w:space="0" w:color="000000"/>
              <w:right w:val="nil"/>
            </w:tcBorders>
            <w:vAlign w:val="center"/>
            <w:hideMark/>
          </w:tcPr>
          <w:p w14:paraId="2C7A2559" w14:textId="77777777" w:rsidR="0030419B" w:rsidRPr="00B27CB1" w:rsidRDefault="0030419B" w:rsidP="00E91F85">
            <w:pPr>
              <w:spacing w:line="256" w:lineRule="auto"/>
              <w:jc w:val="center"/>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vAlign w:val="center"/>
            <w:hideMark/>
          </w:tcPr>
          <w:p w14:paraId="64F790E9" w14:textId="77777777" w:rsidR="0030419B" w:rsidRPr="00B27CB1" w:rsidRDefault="0030419B" w:rsidP="00E91F85">
            <w:pPr>
              <w:spacing w:line="256" w:lineRule="auto"/>
              <w:jc w:val="center"/>
              <w:rPr>
                <w:b/>
                <w:bCs/>
                <w:szCs w:val="24"/>
                <w:lang w:eastAsia="en-GB"/>
              </w:rPr>
            </w:pPr>
            <w:r w:rsidRPr="00B27CB1">
              <w:rPr>
                <w:b/>
                <w:bCs/>
                <w:szCs w:val="24"/>
                <w:lang w:eastAsia="en-GB"/>
              </w:rPr>
              <w:t>CAS number</w:t>
            </w:r>
          </w:p>
        </w:tc>
        <w:tc>
          <w:tcPr>
            <w:tcW w:w="1353" w:type="dxa"/>
            <w:gridSpan w:val="2"/>
            <w:vMerge w:val="restart"/>
            <w:tcBorders>
              <w:top w:val="single" w:sz="4" w:space="0" w:color="000000"/>
              <w:left w:val="single" w:sz="4" w:space="0" w:color="000000"/>
              <w:bottom w:val="single" w:sz="4" w:space="0" w:color="000000"/>
              <w:right w:val="nil"/>
            </w:tcBorders>
            <w:vAlign w:val="center"/>
            <w:hideMark/>
          </w:tcPr>
          <w:p w14:paraId="087F22B9" w14:textId="77777777" w:rsidR="0030419B" w:rsidRPr="00B27CB1" w:rsidRDefault="0030419B" w:rsidP="00E91F85">
            <w:pPr>
              <w:spacing w:line="256" w:lineRule="auto"/>
              <w:jc w:val="center"/>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14:paraId="1063D226" w14:textId="77777777" w:rsidR="0030419B" w:rsidRPr="00B27CB1" w:rsidRDefault="0030419B" w:rsidP="00E91F85">
            <w:pPr>
              <w:spacing w:line="256" w:lineRule="auto"/>
              <w:jc w:val="center"/>
            </w:pPr>
            <w:r w:rsidRPr="00B27CB1">
              <w:rPr>
                <w:b/>
                <w:bCs/>
                <w:szCs w:val="24"/>
                <w:lang w:eastAsia="en-GB"/>
              </w:rPr>
              <w:t>Content (%)</w:t>
            </w:r>
          </w:p>
        </w:tc>
      </w:tr>
      <w:tr w:rsidR="0030419B" w:rsidRPr="00B27CB1" w14:paraId="2756C33C" w14:textId="77777777" w:rsidTr="003F1E71">
        <w:trPr>
          <w:cantSplit/>
          <w:trHeight w:val="272"/>
        </w:trPr>
        <w:tc>
          <w:tcPr>
            <w:tcW w:w="2117" w:type="dxa"/>
            <w:vMerge/>
            <w:tcBorders>
              <w:top w:val="single" w:sz="4" w:space="0" w:color="000000"/>
              <w:left w:val="single" w:sz="4" w:space="0" w:color="000000"/>
              <w:bottom w:val="single" w:sz="4" w:space="0" w:color="000000"/>
              <w:right w:val="nil"/>
            </w:tcBorders>
            <w:vAlign w:val="center"/>
            <w:hideMark/>
          </w:tcPr>
          <w:p w14:paraId="6D81088C" w14:textId="77777777" w:rsidR="0030419B" w:rsidRPr="00B27CB1" w:rsidRDefault="0030419B" w:rsidP="00E91F85">
            <w:pPr>
              <w:suppressAutoHyphens w:val="0"/>
              <w:spacing w:line="256" w:lineRule="auto"/>
              <w:jc w:val="center"/>
              <w:rPr>
                <w:b/>
                <w:bCs/>
                <w:szCs w:val="24"/>
                <w:lang w:eastAsia="en-GB"/>
              </w:rPr>
            </w:pPr>
          </w:p>
        </w:tc>
        <w:tc>
          <w:tcPr>
            <w:tcW w:w="1636" w:type="dxa"/>
            <w:vMerge/>
            <w:tcBorders>
              <w:top w:val="single" w:sz="4" w:space="0" w:color="000000"/>
              <w:left w:val="single" w:sz="4" w:space="0" w:color="000000"/>
              <w:bottom w:val="single" w:sz="4" w:space="0" w:color="000000"/>
              <w:right w:val="nil"/>
            </w:tcBorders>
            <w:vAlign w:val="center"/>
            <w:hideMark/>
          </w:tcPr>
          <w:p w14:paraId="0A31C40C" w14:textId="77777777" w:rsidR="0030419B" w:rsidRPr="00B27CB1" w:rsidRDefault="0030419B" w:rsidP="00E91F85">
            <w:pPr>
              <w:suppressAutoHyphens w:val="0"/>
              <w:spacing w:line="256" w:lineRule="auto"/>
              <w:jc w:val="center"/>
              <w:rPr>
                <w:b/>
                <w:bCs/>
                <w:szCs w:val="24"/>
                <w:lang w:eastAsia="en-GB"/>
              </w:rPr>
            </w:pPr>
          </w:p>
        </w:tc>
        <w:tc>
          <w:tcPr>
            <w:tcW w:w="1353" w:type="dxa"/>
            <w:gridSpan w:val="3"/>
            <w:vMerge/>
            <w:tcBorders>
              <w:top w:val="single" w:sz="4" w:space="0" w:color="000000"/>
              <w:left w:val="single" w:sz="4" w:space="0" w:color="000000"/>
              <w:bottom w:val="single" w:sz="4" w:space="0" w:color="000000"/>
              <w:right w:val="nil"/>
            </w:tcBorders>
            <w:vAlign w:val="center"/>
            <w:hideMark/>
          </w:tcPr>
          <w:p w14:paraId="323AA41A" w14:textId="77777777" w:rsidR="0030419B" w:rsidRPr="00B27CB1" w:rsidRDefault="0030419B" w:rsidP="00E91F85">
            <w:pPr>
              <w:suppressAutoHyphens w:val="0"/>
              <w:spacing w:line="256" w:lineRule="auto"/>
              <w:jc w:val="center"/>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EB64593" w14:textId="77777777" w:rsidR="0030419B" w:rsidRPr="00B27CB1" w:rsidRDefault="0030419B" w:rsidP="00E91F85">
            <w:pPr>
              <w:suppressAutoHyphens w:val="0"/>
              <w:spacing w:line="256" w:lineRule="auto"/>
              <w:jc w:val="center"/>
              <w:rPr>
                <w:b/>
                <w:bCs/>
                <w:szCs w:val="24"/>
                <w:lang w:eastAsia="en-GB"/>
              </w:rPr>
            </w:pPr>
          </w:p>
        </w:tc>
        <w:tc>
          <w:tcPr>
            <w:tcW w:w="1353" w:type="dxa"/>
            <w:gridSpan w:val="2"/>
            <w:vMerge/>
            <w:tcBorders>
              <w:top w:val="single" w:sz="4" w:space="0" w:color="000000"/>
              <w:left w:val="single" w:sz="4" w:space="0" w:color="000000"/>
              <w:bottom w:val="single" w:sz="4" w:space="0" w:color="000000"/>
              <w:right w:val="nil"/>
            </w:tcBorders>
            <w:vAlign w:val="center"/>
            <w:hideMark/>
          </w:tcPr>
          <w:p w14:paraId="0197E0DD" w14:textId="77777777" w:rsidR="0030419B" w:rsidRPr="00B27CB1" w:rsidRDefault="0030419B" w:rsidP="00E91F85">
            <w:pPr>
              <w:suppressAutoHyphens w:val="0"/>
              <w:spacing w:line="256" w:lineRule="auto"/>
              <w:jc w:val="center"/>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9A2433" w14:textId="77777777" w:rsidR="0030419B" w:rsidRPr="00B27CB1" w:rsidRDefault="0030419B" w:rsidP="00E91F85">
            <w:pPr>
              <w:spacing w:line="256" w:lineRule="auto"/>
              <w:jc w:val="center"/>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B8EEC" w14:textId="77777777" w:rsidR="0030419B" w:rsidRPr="00B27CB1" w:rsidRDefault="0030419B" w:rsidP="00E91F85">
            <w:pPr>
              <w:spacing w:line="256" w:lineRule="auto"/>
              <w:jc w:val="center"/>
            </w:pPr>
            <w:r w:rsidRPr="00B27CB1">
              <w:rPr>
                <w:b/>
                <w:bCs/>
                <w:szCs w:val="24"/>
                <w:lang w:eastAsia="en-GB"/>
              </w:rPr>
              <w:t>Max</w:t>
            </w:r>
          </w:p>
        </w:tc>
      </w:tr>
      <w:tr w:rsidR="00E67A4D" w:rsidRPr="00B27CB1" w14:paraId="0F6985FB" w14:textId="77777777" w:rsidTr="003F1E71">
        <w:tc>
          <w:tcPr>
            <w:tcW w:w="2117" w:type="dxa"/>
            <w:vMerge w:val="restart"/>
            <w:tcBorders>
              <w:top w:val="single" w:sz="4" w:space="0" w:color="000000"/>
              <w:left w:val="single" w:sz="4" w:space="0" w:color="000000"/>
              <w:right w:val="nil"/>
            </w:tcBorders>
            <w:vAlign w:val="center"/>
          </w:tcPr>
          <w:p w14:paraId="468CA3EC" w14:textId="0FF39035" w:rsidR="00E67A4D" w:rsidRPr="00B27CB1" w:rsidRDefault="00932929" w:rsidP="00E91F85">
            <w:pPr>
              <w:snapToGrid w:val="0"/>
              <w:spacing w:line="256" w:lineRule="auto"/>
              <w:jc w:val="center"/>
              <w:rPr>
                <w:b/>
                <w:bCs/>
                <w:szCs w:val="24"/>
                <w:lang w:eastAsia="en-GB"/>
              </w:rPr>
            </w:pPr>
            <w:r w:rsidRPr="00932929">
              <w:rPr>
                <w:lang w:val="pl-PL"/>
              </w:rPr>
              <w:t xml:space="preserve">L(+) </w:t>
            </w:r>
            <w:r w:rsidR="00E67A4D">
              <w:rPr>
                <w:lang w:val="pl-PL"/>
              </w:rPr>
              <w:t>Lactic acid</w:t>
            </w:r>
          </w:p>
        </w:tc>
        <w:tc>
          <w:tcPr>
            <w:tcW w:w="1636" w:type="dxa"/>
            <w:vMerge w:val="restart"/>
            <w:tcBorders>
              <w:top w:val="single" w:sz="4" w:space="0" w:color="000000"/>
              <w:left w:val="single" w:sz="4" w:space="0" w:color="000000"/>
              <w:right w:val="nil"/>
            </w:tcBorders>
            <w:vAlign w:val="center"/>
          </w:tcPr>
          <w:p w14:paraId="1C796762" w14:textId="7396337A" w:rsidR="00E67A4D" w:rsidRPr="00B27CB1" w:rsidRDefault="00932929" w:rsidP="00E91F85">
            <w:pPr>
              <w:snapToGrid w:val="0"/>
              <w:spacing w:line="256" w:lineRule="auto"/>
              <w:jc w:val="center"/>
            </w:pPr>
            <w:r w:rsidRPr="00932929">
              <w:t>(S)-2-Hydroxypropanoic acid</w:t>
            </w:r>
          </w:p>
        </w:tc>
        <w:tc>
          <w:tcPr>
            <w:tcW w:w="1353" w:type="dxa"/>
            <w:gridSpan w:val="3"/>
            <w:tcBorders>
              <w:top w:val="single" w:sz="4" w:space="0" w:color="000000"/>
              <w:left w:val="single" w:sz="4" w:space="0" w:color="000000"/>
              <w:bottom w:val="single" w:sz="4" w:space="0" w:color="000000"/>
              <w:right w:val="nil"/>
            </w:tcBorders>
            <w:vAlign w:val="center"/>
          </w:tcPr>
          <w:p w14:paraId="787FDB7D" w14:textId="54AB800F" w:rsidR="00E67A4D" w:rsidRPr="00B27CB1" w:rsidRDefault="00E67A4D" w:rsidP="00E91F85">
            <w:pPr>
              <w:spacing w:line="256" w:lineRule="auto"/>
              <w:jc w:val="center"/>
            </w:pPr>
            <w:r>
              <w:t>Technical active substance*</w:t>
            </w:r>
          </w:p>
        </w:tc>
        <w:tc>
          <w:tcPr>
            <w:tcW w:w="1353" w:type="dxa"/>
            <w:vMerge w:val="restart"/>
            <w:tcBorders>
              <w:top w:val="single" w:sz="4" w:space="0" w:color="000000"/>
              <w:left w:val="single" w:sz="4" w:space="0" w:color="000000"/>
              <w:right w:val="nil"/>
            </w:tcBorders>
            <w:vAlign w:val="center"/>
          </w:tcPr>
          <w:p w14:paraId="5C142FC9" w14:textId="17502C38" w:rsidR="00E67A4D" w:rsidRPr="00B27CB1" w:rsidRDefault="00E67A4D" w:rsidP="00E91F85">
            <w:pPr>
              <w:snapToGrid w:val="0"/>
              <w:spacing w:line="256" w:lineRule="auto"/>
              <w:jc w:val="center"/>
            </w:pPr>
            <w:r w:rsidRPr="000B213C">
              <w:t>79-33-4</w:t>
            </w:r>
          </w:p>
        </w:tc>
        <w:tc>
          <w:tcPr>
            <w:tcW w:w="1353" w:type="dxa"/>
            <w:gridSpan w:val="2"/>
            <w:vMerge w:val="restart"/>
            <w:tcBorders>
              <w:top w:val="single" w:sz="4" w:space="0" w:color="000000"/>
              <w:left w:val="single" w:sz="4" w:space="0" w:color="000000"/>
              <w:right w:val="nil"/>
            </w:tcBorders>
            <w:vAlign w:val="center"/>
          </w:tcPr>
          <w:p w14:paraId="0D7A2916" w14:textId="79BD311D" w:rsidR="00E67A4D" w:rsidRPr="00B27CB1" w:rsidRDefault="00E67A4D" w:rsidP="00E91F85">
            <w:pPr>
              <w:snapToGrid w:val="0"/>
              <w:spacing w:line="256" w:lineRule="auto"/>
              <w:jc w:val="center"/>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2286D629" w14:textId="17021278" w:rsidR="00E67A4D" w:rsidRPr="00B27CB1" w:rsidRDefault="00E67A4D" w:rsidP="00E91F85">
            <w:pPr>
              <w:snapToGrid w:val="0"/>
              <w:spacing w:line="256" w:lineRule="auto"/>
              <w:jc w:val="center"/>
            </w:pPr>
            <w:r w:rsidRPr="00F66A8B">
              <w:t>2.40</w:t>
            </w:r>
          </w:p>
        </w:tc>
        <w:tc>
          <w:tcPr>
            <w:tcW w:w="738" w:type="dxa"/>
            <w:tcBorders>
              <w:top w:val="single" w:sz="4" w:space="0" w:color="000000"/>
              <w:left w:val="single" w:sz="4" w:space="0" w:color="000000"/>
              <w:bottom w:val="single" w:sz="4" w:space="0" w:color="000000"/>
              <w:right w:val="single" w:sz="4" w:space="0" w:color="000000"/>
            </w:tcBorders>
            <w:vAlign w:val="center"/>
          </w:tcPr>
          <w:p w14:paraId="29D299F8" w14:textId="46718585" w:rsidR="00E67A4D" w:rsidRPr="00B27CB1" w:rsidRDefault="00E67A4D" w:rsidP="00E91F85">
            <w:pPr>
              <w:snapToGrid w:val="0"/>
              <w:spacing w:line="256" w:lineRule="auto"/>
              <w:jc w:val="center"/>
            </w:pPr>
            <w:r w:rsidRPr="00F66A8B">
              <w:t>24</w:t>
            </w:r>
          </w:p>
        </w:tc>
      </w:tr>
      <w:tr w:rsidR="00E67A4D" w:rsidRPr="00B27CB1" w14:paraId="40C57FE2" w14:textId="77777777" w:rsidTr="003F1E71">
        <w:tc>
          <w:tcPr>
            <w:tcW w:w="2117" w:type="dxa"/>
            <w:vMerge/>
            <w:tcBorders>
              <w:left w:val="single" w:sz="4" w:space="0" w:color="000000"/>
              <w:bottom w:val="single" w:sz="4" w:space="0" w:color="auto"/>
              <w:right w:val="nil"/>
            </w:tcBorders>
            <w:vAlign w:val="center"/>
          </w:tcPr>
          <w:p w14:paraId="5E459B37" w14:textId="2890A028" w:rsidR="00E67A4D" w:rsidRPr="00B27CB1" w:rsidRDefault="00E67A4D" w:rsidP="00E91F85">
            <w:pPr>
              <w:snapToGrid w:val="0"/>
              <w:spacing w:line="256" w:lineRule="auto"/>
              <w:jc w:val="center"/>
            </w:pPr>
          </w:p>
        </w:tc>
        <w:tc>
          <w:tcPr>
            <w:tcW w:w="1636" w:type="dxa"/>
            <w:vMerge/>
            <w:tcBorders>
              <w:left w:val="single" w:sz="4" w:space="0" w:color="000000"/>
              <w:bottom w:val="single" w:sz="4" w:space="0" w:color="auto"/>
              <w:right w:val="nil"/>
            </w:tcBorders>
            <w:vAlign w:val="center"/>
          </w:tcPr>
          <w:p w14:paraId="2F606D31" w14:textId="69294879" w:rsidR="00E67A4D" w:rsidRPr="00B27CB1" w:rsidRDefault="00E67A4D" w:rsidP="00E91F85">
            <w:pPr>
              <w:snapToGrid w:val="0"/>
              <w:spacing w:line="256" w:lineRule="auto"/>
              <w:jc w:val="center"/>
            </w:pPr>
          </w:p>
        </w:tc>
        <w:tc>
          <w:tcPr>
            <w:tcW w:w="1353" w:type="dxa"/>
            <w:gridSpan w:val="3"/>
            <w:tcBorders>
              <w:top w:val="single" w:sz="4" w:space="0" w:color="000000"/>
              <w:left w:val="single" w:sz="4" w:space="0" w:color="000000"/>
              <w:bottom w:val="single" w:sz="4" w:space="0" w:color="auto"/>
              <w:right w:val="nil"/>
            </w:tcBorders>
            <w:vAlign w:val="center"/>
            <w:hideMark/>
          </w:tcPr>
          <w:p w14:paraId="2149ACF8" w14:textId="475467D4" w:rsidR="00E67A4D" w:rsidRPr="00B27CB1" w:rsidRDefault="00E67A4D" w:rsidP="00E91F85">
            <w:pPr>
              <w:spacing w:line="256" w:lineRule="auto"/>
              <w:jc w:val="center"/>
              <w:rPr>
                <w:vertAlign w:val="superscript"/>
              </w:rPr>
            </w:pPr>
            <w:r>
              <w:t>Pure active substance**</w:t>
            </w:r>
          </w:p>
        </w:tc>
        <w:tc>
          <w:tcPr>
            <w:tcW w:w="1353" w:type="dxa"/>
            <w:vMerge/>
            <w:tcBorders>
              <w:left w:val="single" w:sz="4" w:space="0" w:color="000000"/>
              <w:bottom w:val="single" w:sz="4" w:space="0" w:color="auto"/>
              <w:right w:val="nil"/>
            </w:tcBorders>
            <w:vAlign w:val="center"/>
          </w:tcPr>
          <w:p w14:paraId="227D7A77" w14:textId="77777777" w:rsidR="00E67A4D" w:rsidRPr="00B27CB1" w:rsidRDefault="00E67A4D" w:rsidP="00E91F85">
            <w:pPr>
              <w:snapToGrid w:val="0"/>
              <w:spacing w:line="256" w:lineRule="auto"/>
              <w:jc w:val="center"/>
              <w:rPr>
                <w:vertAlign w:val="superscript"/>
              </w:rPr>
            </w:pPr>
          </w:p>
        </w:tc>
        <w:tc>
          <w:tcPr>
            <w:tcW w:w="1353" w:type="dxa"/>
            <w:gridSpan w:val="2"/>
            <w:vMerge/>
            <w:tcBorders>
              <w:left w:val="single" w:sz="4" w:space="0" w:color="000000"/>
              <w:bottom w:val="single" w:sz="4" w:space="0" w:color="auto"/>
              <w:right w:val="nil"/>
            </w:tcBorders>
            <w:vAlign w:val="center"/>
          </w:tcPr>
          <w:p w14:paraId="42CFEEF0" w14:textId="77777777" w:rsidR="00E67A4D" w:rsidRPr="00B27CB1" w:rsidRDefault="00E67A4D" w:rsidP="00E91F85">
            <w:pPr>
              <w:snapToGrid w:val="0"/>
              <w:spacing w:line="256" w:lineRule="auto"/>
              <w:jc w:val="center"/>
            </w:pPr>
          </w:p>
        </w:tc>
        <w:tc>
          <w:tcPr>
            <w:tcW w:w="625" w:type="dxa"/>
            <w:tcBorders>
              <w:top w:val="single" w:sz="4" w:space="0" w:color="000000"/>
              <w:left w:val="single" w:sz="4" w:space="0" w:color="000000"/>
              <w:bottom w:val="single" w:sz="4" w:space="0" w:color="auto"/>
              <w:right w:val="nil"/>
            </w:tcBorders>
            <w:vAlign w:val="center"/>
          </w:tcPr>
          <w:p w14:paraId="3E0E4082" w14:textId="719F4A27" w:rsidR="00E67A4D" w:rsidRPr="00B27CB1" w:rsidRDefault="00E67A4D" w:rsidP="00E91F85">
            <w:pPr>
              <w:snapToGrid w:val="0"/>
              <w:spacing w:line="256" w:lineRule="auto"/>
              <w:jc w:val="center"/>
            </w:pPr>
            <w:r>
              <w:t>2.29</w:t>
            </w:r>
          </w:p>
        </w:tc>
        <w:tc>
          <w:tcPr>
            <w:tcW w:w="738" w:type="dxa"/>
            <w:tcBorders>
              <w:top w:val="single" w:sz="4" w:space="0" w:color="000000"/>
              <w:left w:val="single" w:sz="4" w:space="0" w:color="000000"/>
              <w:bottom w:val="single" w:sz="4" w:space="0" w:color="auto"/>
              <w:right w:val="single" w:sz="4" w:space="0" w:color="000000"/>
            </w:tcBorders>
            <w:vAlign w:val="center"/>
          </w:tcPr>
          <w:p w14:paraId="43CD9477" w14:textId="7039A185" w:rsidR="00E67A4D" w:rsidRPr="00B27CB1" w:rsidRDefault="00E67A4D" w:rsidP="00E91F85">
            <w:pPr>
              <w:snapToGrid w:val="0"/>
              <w:spacing w:line="256" w:lineRule="auto"/>
              <w:jc w:val="center"/>
            </w:pPr>
            <w:r>
              <w:t>22.92</w:t>
            </w:r>
          </w:p>
        </w:tc>
      </w:tr>
      <w:tr w:rsidR="00E67A4D" w:rsidRPr="00B27CB1" w14:paraId="509C9063" w14:textId="77777777" w:rsidTr="00E91F85">
        <w:trPr>
          <w:trHeight w:val="341"/>
        </w:trPr>
        <w:tc>
          <w:tcPr>
            <w:tcW w:w="7812" w:type="dxa"/>
            <w:gridSpan w:val="8"/>
            <w:tcBorders>
              <w:top w:val="single" w:sz="4" w:space="0" w:color="auto"/>
              <w:left w:val="single" w:sz="4" w:space="0" w:color="000000"/>
              <w:bottom w:val="single" w:sz="4" w:space="0" w:color="auto"/>
              <w:right w:val="nil"/>
            </w:tcBorders>
            <w:vAlign w:val="center"/>
          </w:tcPr>
          <w:p w14:paraId="78DCBE26" w14:textId="37853FA0" w:rsidR="00E67A4D" w:rsidRPr="00E91F85" w:rsidRDefault="00E67A4D" w:rsidP="00E91F85">
            <w:pPr>
              <w:snapToGrid w:val="0"/>
              <w:spacing w:line="256" w:lineRule="auto"/>
              <w:jc w:val="center"/>
              <w:rPr>
                <w:i/>
              </w:rPr>
            </w:pPr>
            <w:r w:rsidRPr="00E91F85">
              <w:rPr>
                <w:i/>
              </w:rPr>
              <w:t>Content in the biocidal product of the mixture including the active substance</w:t>
            </w:r>
          </w:p>
        </w:tc>
        <w:tc>
          <w:tcPr>
            <w:tcW w:w="625" w:type="dxa"/>
            <w:tcBorders>
              <w:top w:val="single" w:sz="4" w:space="0" w:color="auto"/>
              <w:left w:val="single" w:sz="4" w:space="0" w:color="000000"/>
              <w:bottom w:val="single" w:sz="4" w:space="0" w:color="auto"/>
              <w:right w:val="nil"/>
            </w:tcBorders>
            <w:vAlign w:val="center"/>
          </w:tcPr>
          <w:p w14:paraId="4777B5F2" w14:textId="2B850609" w:rsidR="00E67A4D" w:rsidRPr="00E91F85" w:rsidRDefault="00E67A4D" w:rsidP="00E91F85">
            <w:pPr>
              <w:snapToGrid w:val="0"/>
              <w:spacing w:line="256" w:lineRule="auto"/>
              <w:jc w:val="center"/>
              <w:rPr>
                <w:i/>
              </w:rPr>
            </w:pPr>
            <w:r w:rsidRPr="00E91F85">
              <w:rPr>
                <w:i/>
              </w:rPr>
              <w:t>3</w:t>
            </w:r>
          </w:p>
        </w:tc>
        <w:tc>
          <w:tcPr>
            <w:tcW w:w="738" w:type="dxa"/>
            <w:tcBorders>
              <w:top w:val="single" w:sz="4" w:space="0" w:color="auto"/>
              <w:left w:val="single" w:sz="4" w:space="0" w:color="000000"/>
              <w:bottom w:val="single" w:sz="4" w:space="0" w:color="auto"/>
              <w:right w:val="single" w:sz="4" w:space="0" w:color="000000"/>
            </w:tcBorders>
            <w:vAlign w:val="center"/>
          </w:tcPr>
          <w:p w14:paraId="568BE9FE" w14:textId="46EDE3F3" w:rsidR="00E67A4D" w:rsidRPr="00E91F85" w:rsidRDefault="00E67A4D" w:rsidP="00E91F85">
            <w:pPr>
              <w:snapToGrid w:val="0"/>
              <w:spacing w:line="256" w:lineRule="auto"/>
              <w:jc w:val="center"/>
              <w:rPr>
                <w:i/>
              </w:rPr>
            </w:pPr>
            <w:r w:rsidRPr="00E91F85">
              <w:rPr>
                <w:i/>
              </w:rPr>
              <w:t>30</w:t>
            </w:r>
          </w:p>
        </w:tc>
      </w:tr>
      <w:tr w:rsidR="00B07A5B" w:rsidRPr="00B27CB1" w14:paraId="53200E10" w14:textId="77777777" w:rsidTr="003F1E71">
        <w:trPr>
          <w:trHeight w:val="341"/>
        </w:trPr>
        <w:tc>
          <w:tcPr>
            <w:tcW w:w="2117" w:type="dxa"/>
            <w:tcBorders>
              <w:top w:val="single" w:sz="4" w:space="0" w:color="auto"/>
              <w:left w:val="single" w:sz="4" w:space="0" w:color="auto"/>
              <w:bottom w:val="single" w:sz="4" w:space="0" w:color="auto"/>
              <w:right w:val="single" w:sz="4" w:space="0" w:color="auto"/>
            </w:tcBorders>
            <w:vAlign w:val="center"/>
          </w:tcPr>
          <w:p w14:paraId="1BFF27F4" w14:textId="555D8EBB" w:rsidR="00B07A5B" w:rsidRPr="00E91F85" w:rsidRDefault="00B07A5B">
            <w:pPr>
              <w:snapToGrid w:val="0"/>
              <w:spacing w:line="256" w:lineRule="auto"/>
              <w:jc w:val="center"/>
              <w:rPr>
                <w:lang w:val="pl-PL"/>
              </w:rPr>
            </w:pPr>
            <w:r w:rsidRPr="00E91F85">
              <w:rPr>
                <w:lang w:val="pl-PL"/>
              </w:rPr>
              <w:t>Amines, coco alkyldimethyl, N-oxides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AC7842" w14:textId="133BB4D1" w:rsidR="00B07A5B" w:rsidRPr="00E91F85" w:rsidRDefault="00B07A5B">
            <w:pPr>
              <w:snapToGrid w:val="0"/>
              <w:spacing w:line="256" w:lineRule="auto"/>
              <w:jc w:val="center"/>
              <w:rPr>
                <w:lang w:val="pl-PL"/>
              </w:rPr>
            </w:pPr>
            <w:r w:rsidRPr="00E91F85">
              <w:rPr>
                <w:lang w:val="pl-PL"/>
              </w:rPr>
              <w:t>Amines, coco alkyldimethyl, N-oxides</w:t>
            </w:r>
          </w:p>
        </w:tc>
        <w:tc>
          <w:tcPr>
            <w:tcW w:w="1276" w:type="dxa"/>
            <w:tcBorders>
              <w:top w:val="single" w:sz="4" w:space="0" w:color="auto"/>
              <w:left w:val="single" w:sz="4" w:space="0" w:color="auto"/>
              <w:bottom w:val="single" w:sz="4" w:space="0" w:color="auto"/>
              <w:right w:val="single" w:sz="4" w:space="0" w:color="auto"/>
            </w:tcBorders>
            <w:vAlign w:val="center"/>
          </w:tcPr>
          <w:p w14:paraId="418E53CB" w14:textId="7D265FE1" w:rsidR="00B07A5B" w:rsidRPr="00E91F85" w:rsidRDefault="00B07A5B">
            <w:pPr>
              <w:snapToGrid w:val="0"/>
              <w:spacing w:line="256" w:lineRule="auto"/>
              <w:jc w:val="center"/>
              <w:rPr>
                <w:lang w:val="pl-PL"/>
              </w:rPr>
            </w:pPr>
            <w:r w:rsidRPr="00E91F85">
              <w:rPr>
                <w:lang w:val="pl-PL"/>
              </w:rPr>
              <w:t>Co-formulant</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C316818" w14:textId="26FEE227" w:rsidR="00B07A5B" w:rsidRPr="00E91F85" w:rsidRDefault="00B07A5B">
            <w:pPr>
              <w:snapToGrid w:val="0"/>
              <w:spacing w:line="256" w:lineRule="auto"/>
              <w:jc w:val="center"/>
              <w:rPr>
                <w:lang w:val="pl-PL"/>
              </w:rPr>
            </w:pPr>
            <w:r w:rsidRPr="00E91F85">
              <w:rPr>
                <w:lang w:val="pl-PL"/>
              </w:rPr>
              <w:t>61788-90-7</w:t>
            </w:r>
          </w:p>
        </w:tc>
        <w:tc>
          <w:tcPr>
            <w:tcW w:w="1301" w:type="dxa"/>
            <w:tcBorders>
              <w:top w:val="single" w:sz="4" w:space="0" w:color="auto"/>
              <w:left w:val="single" w:sz="4" w:space="0" w:color="auto"/>
              <w:bottom w:val="single" w:sz="4" w:space="0" w:color="auto"/>
              <w:right w:val="single" w:sz="4" w:space="0" w:color="auto"/>
            </w:tcBorders>
            <w:vAlign w:val="center"/>
          </w:tcPr>
          <w:p w14:paraId="32C933BC" w14:textId="1B36C32B" w:rsidR="00B07A5B" w:rsidRPr="00E91F85" w:rsidRDefault="00B07A5B">
            <w:pPr>
              <w:snapToGrid w:val="0"/>
              <w:spacing w:line="256" w:lineRule="auto"/>
              <w:jc w:val="center"/>
              <w:rPr>
                <w:lang w:val="pl-PL"/>
              </w:rPr>
            </w:pPr>
            <w:r w:rsidRPr="00E91F85">
              <w:rPr>
                <w:lang w:val="pl-PL"/>
              </w:rPr>
              <w:t>263-016-9</w:t>
            </w:r>
          </w:p>
        </w:tc>
        <w:tc>
          <w:tcPr>
            <w:tcW w:w="625" w:type="dxa"/>
            <w:tcBorders>
              <w:top w:val="single" w:sz="4" w:space="0" w:color="auto"/>
              <w:left w:val="single" w:sz="4" w:space="0" w:color="auto"/>
              <w:bottom w:val="single" w:sz="4" w:space="0" w:color="auto"/>
              <w:right w:val="single" w:sz="4" w:space="0" w:color="auto"/>
            </w:tcBorders>
            <w:vAlign w:val="center"/>
          </w:tcPr>
          <w:p w14:paraId="6BD2826B" w14:textId="1EEA09A9" w:rsidR="00B07A5B" w:rsidRPr="00E91F85" w:rsidRDefault="00B07A5B">
            <w:pPr>
              <w:snapToGrid w:val="0"/>
              <w:spacing w:line="256" w:lineRule="auto"/>
              <w:jc w:val="center"/>
              <w:rPr>
                <w:lang w:val="pl-PL"/>
              </w:rPr>
            </w:pPr>
            <w:r w:rsidRPr="00E91F85">
              <w:rPr>
                <w:lang w:val="pl-PL"/>
              </w:rPr>
              <w:t>0</w:t>
            </w:r>
          </w:p>
        </w:tc>
        <w:tc>
          <w:tcPr>
            <w:tcW w:w="738" w:type="dxa"/>
            <w:tcBorders>
              <w:top w:val="single" w:sz="4" w:space="0" w:color="auto"/>
              <w:left w:val="single" w:sz="4" w:space="0" w:color="auto"/>
              <w:bottom w:val="single" w:sz="4" w:space="0" w:color="auto"/>
              <w:right w:val="single" w:sz="4" w:space="0" w:color="auto"/>
            </w:tcBorders>
            <w:vAlign w:val="center"/>
          </w:tcPr>
          <w:p w14:paraId="05E23BE2" w14:textId="1EF5B003" w:rsidR="00B07A5B" w:rsidRPr="00E91F85" w:rsidRDefault="00B07A5B">
            <w:pPr>
              <w:snapToGrid w:val="0"/>
              <w:spacing w:line="256" w:lineRule="auto"/>
              <w:jc w:val="center"/>
              <w:rPr>
                <w:lang w:val="pl-PL"/>
              </w:rPr>
            </w:pPr>
            <w:r w:rsidRPr="00E91F85">
              <w:rPr>
                <w:lang w:val="pl-PL"/>
              </w:rPr>
              <w:t>6</w:t>
            </w:r>
            <w:r>
              <w:rPr>
                <w:lang w:val="pl-PL"/>
              </w:rPr>
              <w:t>.</w:t>
            </w:r>
            <w:r w:rsidRPr="00E91F85">
              <w:rPr>
                <w:lang w:val="pl-PL"/>
              </w:rPr>
              <w:t>68</w:t>
            </w:r>
          </w:p>
        </w:tc>
      </w:tr>
      <w:tr w:rsidR="00B07A5B" w:rsidRPr="00B27CB1" w14:paraId="620FCA19" w14:textId="77777777" w:rsidTr="003F1E71">
        <w:trPr>
          <w:trHeight w:val="341"/>
        </w:trPr>
        <w:tc>
          <w:tcPr>
            <w:tcW w:w="2117" w:type="dxa"/>
            <w:tcBorders>
              <w:top w:val="single" w:sz="4" w:space="0" w:color="auto"/>
              <w:left w:val="single" w:sz="4" w:space="0" w:color="auto"/>
              <w:bottom w:val="single" w:sz="4" w:space="0" w:color="auto"/>
              <w:right w:val="single" w:sz="4" w:space="0" w:color="auto"/>
            </w:tcBorders>
            <w:vAlign w:val="center"/>
          </w:tcPr>
          <w:p w14:paraId="35833AD3" w14:textId="06908983" w:rsidR="00B07A5B" w:rsidRPr="00E91F85" w:rsidRDefault="00B07A5B">
            <w:pPr>
              <w:snapToGrid w:val="0"/>
              <w:spacing w:line="256" w:lineRule="auto"/>
              <w:jc w:val="center"/>
              <w:rPr>
                <w:lang w:val="pl-PL"/>
              </w:rPr>
            </w:pPr>
            <w:r w:rsidRPr="00E91F85">
              <w:rPr>
                <w:lang w:val="pl-PL"/>
              </w:rPr>
              <w:t>Reaction mass of 1-(1,2,3,4,5,6,7,8-octahydro-2,3,8,8-tetramethyl-2-naphthyl)ethan-1-one and 1-(1,2,3,4,6,7,8,8a-octahydro-2,3,8,8-tetramethyl-2-naphthyl)ethan-1-one and 1-(1,2,3,5,6,7,8,8a-octahydro-2,3,8,8-tetramethyl-2-naphthyl)ethan-1-one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7478D0" w14:textId="3829D2A5" w:rsidR="00B07A5B" w:rsidRPr="00E91F85" w:rsidRDefault="00B07A5B">
            <w:pPr>
              <w:snapToGrid w:val="0"/>
              <w:spacing w:line="256" w:lineRule="auto"/>
              <w:jc w:val="center"/>
              <w:rPr>
                <w:lang w:val="pl-PL"/>
              </w:rPr>
            </w:pPr>
            <w:r w:rsidRPr="00E91F85">
              <w:rPr>
                <w:lang w:val="pl-PL"/>
              </w:rPr>
              <w:t>OTNE</w:t>
            </w:r>
          </w:p>
        </w:tc>
        <w:tc>
          <w:tcPr>
            <w:tcW w:w="1276" w:type="dxa"/>
            <w:tcBorders>
              <w:top w:val="single" w:sz="4" w:space="0" w:color="auto"/>
              <w:left w:val="single" w:sz="4" w:space="0" w:color="auto"/>
              <w:bottom w:val="single" w:sz="4" w:space="0" w:color="auto"/>
              <w:right w:val="single" w:sz="4" w:space="0" w:color="auto"/>
            </w:tcBorders>
            <w:vAlign w:val="center"/>
          </w:tcPr>
          <w:p w14:paraId="3D4B73F7" w14:textId="3782D58A" w:rsidR="00B07A5B" w:rsidRPr="00E91F85" w:rsidRDefault="00B07A5B">
            <w:pPr>
              <w:snapToGrid w:val="0"/>
              <w:spacing w:line="256" w:lineRule="auto"/>
              <w:jc w:val="center"/>
              <w:rPr>
                <w:lang w:val="pl-PL"/>
              </w:rPr>
            </w:pPr>
            <w:r w:rsidRPr="00E91F85">
              <w:rPr>
                <w:lang w:val="pl-PL"/>
              </w:rPr>
              <w:t>Co-formulant</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2ACB19C" w14:textId="3146E18E" w:rsidR="00B07A5B" w:rsidRPr="00E91F85" w:rsidRDefault="00B07A5B">
            <w:pPr>
              <w:snapToGrid w:val="0"/>
              <w:spacing w:line="256" w:lineRule="auto"/>
              <w:jc w:val="center"/>
              <w:rPr>
                <w:lang w:val="pl-PL"/>
              </w:rPr>
            </w:pPr>
            <w:r w:rsidRPr="00E91F85">
              <w:rPr>
                <w:lang w:val="pl-PL"/>
              </w:rPr>
              <w:t>-</w:t>
            </w:r>
          </w:p>
        </w:tc>
        <w:tc>
          <w:tcPr>
            <w:tcW w:w="1301" w:type="dxa"/>
            <w:tcBorders>
              <w:top w:val="single" w:sz="4" w:space="0" w:color="auto"/>
              <w:left w:val="single" w:sz="4" w:space="0" w:color="auto"/>
              <w:bottom w:val="single" w:sz="4" w:space="0" w:color="auto"/>
              <w:right w:val="single" w:sz="4" w:space="0" w:color="auto"/>
            </w:tcBorders>
            <w:vAlign w:val="center"/>
          </w:tcPr>
          <w:p w14:paraId="06267036" w14:textId="0747D6F0" w:rsidR="00B07A5B" w:rsidRPr="00E91F85" w:rsidRDefault="00B07A5B">
            <w:pPr>
              <w:snapToGrid w:val="0"/>
              <w:spacing w:line="256" w:lineRule="auto"/>
              <w:jc w:val="center"/>
              <w:rPr>
                <w:lang w:val="pl-PL"/>
              </w:rPr>
            </w:pPr>
            <w:r w:rsidRPr="00E91F85">
              <w:rPr>
                <w:lang w:val="pl-PL"/>
              </w:rPr>
              <w:t>915-730-3</w:t>
            </w:r>
          </w:p>
        </w:tc>
        <w:tc>
          <w:tcPr>
            <w:tcW w:w="625" w:type="dxa"/>
            <w:tcBorders>
              <w:top w:val="single" w:sz="4" w:space="0" w:color="auto"/>
              <w:left w:val="single" w:sz="4" w:space="0" w:color="auto"/>
              <w:bottom w:val="single" w:sz="4" w:space="0" w:color="auto"/>
              <w:right w:val="single" w:sz="4" w:space="0" w:color="auto"/>
            </w:tcBorders>
            <w:vAlign w:val="center"/>
          </w:tcPr>
          <w:p w14:paraId="0BAB867C" w14:textId="6A0D5A33" w:rsidR="00B07A5B" w:rsidRPr="00E91F85" w:rsidRDefault="00B07A5B">
            <w:pPr>
              <w:snapToGrid w:val="0"/>
              <w:spacing w:line="256" w:lineRule="auto"/>
              <w:jc w:val="center"/>
              <w:rPr>
                <w:lang w:val="pl-PL"/>
              </w:rPr>
            </w:pPr>
            <w:r w:rsidRPr="00E91F85">
              <w:rPr>
                <w:lang w:val="pl-PL"/>
              </w:rPr>
              <w:t>0</w:t>
            </w:r>
          </w:p>
        </w:tc>
        <w:tc>
          <w:tcPr>
            <w:tcW w:w="738" w:type="dxa"/>
            <w:tcBorders>
              <w:top w:val="single" w:sz="4" w:space="0" w:color="auto"/>
              <w:left w:val="single" w:sz="4" w:space="0" w:color="auto"/>
              <w:bottom w:val="single" w:sz="4" w:space="0" w:color="auto"/>
              <w:right w:val="single" w:sz="4" w:space="0" w:color="auto"/>
            </w:tcBorders>
            <w:vAlign w:val="center"/>
          </w:tcPr>
          <w:p w14:paraId="4E5305BC" w14:textId="32D3E8F3" w:rsidR="00B07A5B" w:rsidRPr="00E91F85" w:rsidRDefault="00B07A5B">
            <w:pPr>
              <w:snapToGrid w:val="0"/>
              <w:spacing w:line="256" w:lineRule="auto"/>
              <w:jc w:val="center"/>
              <w:rPr>
                <w:lang w:val="pl-PL"/>
              </w:rPr>
            </w:pPr>
            <w:r>
              <w:rPr>
                <w:lang w:val="pl-PL"/>
              </w:rPr>
              <w:t>0.</w:t>
            </w:r>
            <w:r w:rsidRPr="00E91F85">
              <w:rPr>
                <w:lang w:val="pl-PL"/>
              </w:rPr>
              <w:t>9</w:t>
            </w:r>
          </w:p>
        </w:tc>
      </w:tr>
      <w:tr w:rsidR="00B07A5B" w:rsidRPr="00B27CB1" w14:paraId="2D64ECB4" w14:textId="77777777" w:rsidTr="003F1E71">
        <w:trPr>
          <w:trHeight w:val="341"/>
        </w:trPr>
        <w:tc>
          <w:tcPr>
            <w:tcW w:w="2117" w:type="dxa"/>
            <w:tcBorders>
              <w:top w:val="nil"/>
              <w:left w:val="single" w:sz="4" w:space="0" w:color="000000"/>
              <w:bottom w:val="single" w:sz="4" w:space="0" w:color="000000"/>
              <w:right w:val="single" w:sz="4" w:space="0" w:color="000000"/>
            </w:tcBorders>
            <w:vAlign w:val="center"/>
          </w:tcPr>
          <w:p w14:paraId="25DDD0F7" w14:textId="733F6C99" w:rsidR="00B07A5B" w:rsidRPr="00E91F85" w:rsidRDefault="00B07A5B">
            <w:pPr>
              <w:snapToGrid w:val="0"/>
              <w:spacing w:line="256" w:lineRule="auto"/>
              <w:jc w:val="center"/>
              <w:rPr>
                <w:lang w:val="pl-PL"/>
              </w:rPr>
            </w:pPr>
            <w:r w:rsidRPr="00E91F85">
              <w:rPr>
                <w:lang w:val="pl-PL"/>
              </w:rPr>
              <w:t>Diethylene glycol monobutyl ether</w:t>
            </w:r>
          </w:p>
        </w:tc>
        <w:tc>
          <w:tcPr>
            <w:tcW w:w="1701" w:type="dxa"/>
            <w:gridSpan w:val="2"/>
            <w:tcBorders>
              <w:top w:val="nil"/>
              <w:left w:val="nil"/>
              <w:bottom w:val="single" w:sz="4" w:space="0" w:color="000000"/>
              <w:right w:val="single" w:sz="4" w:space="0" w:color="000000"/>
            </w:tcBorders>
            <w:vAlign w:val="center"/>
          </w:tcPr>
          <w:p w14:paraId="49A656DE" w14:textId="48C947CE" w:rsidR="00B07A5B" w:rsidRPr="00E91F85" w:rsidRDefault="00B07A5B">
            <w:pPr>
              <w:snapToGrid w:val="0"/>
              <w:spacing w:line="256" w:lineRule="auto"/>
              <w:jc w:val="center"/>
              <w:rPr>
                <w:lang w:val="pl-PL"/>
              </w:rPr>
            </w:pPr>
            <w:r w:rsidRPr="00E91F85">
              <w:rPr>
                <w:lang w:val="pl-PL"/>
              </w:rPr>
              <w:t>2-(2-Butoxyethoxy)ethan-1-ol</w:t>
            </w:r>
          </w:p>
        </w:tc>
        <w:tc>
          <w:tcPr>
            <w:tcW w:w="1276" w:type="dxa"/>
            <w:tcBorders>
              <w:top w:val="nil"/>
              <w:left w:val="nil"/>
              <w:bottom w:val="single" w:sz="4" w:space="0" w:color="000000"/>
              <w:right w:val="single" w:sz="4" w:space="0" w:color="000000"/>
            </w:tcBorders>
            <w:vAlign w:val="center"/>
          </w:tcPr>
          <w:p w14:paraId="0D5F52E6" w14:textId="6CD489AB" w:rsidR="00B07A5B" w:rsidRPr="00E91F85" w:rsidRDefault="00B07A5B">
            <w:pPr>
              <w:snapToGrid w:val="0"/>
              <w:spacing w:line="256" w:lineRule="auto"/>
              <w:jc w:val="center"/>
              <w:rPr>
                <w:lang w:val="pl-PL"/>
              </w:rPr>
            </w:pPr>
            <w:r w:rsidRPr="00E91F85">
              <w:rPr>
                <w:lang w:val="pl-PL"/>
              </w:rPr>
              <w:t>Co-formulant</w:t>
            </w:r>
          </w:p>
        </w:tc>
        <w:tc>
          <w:tcPr>
            <w:tcW w:w="1417" w:type="dxa"/>
            <w:gridSpan w:val="3"/>
            <w:tcBorders>
              <w:top w:val="nil"/>
              <w:left w:val="nil"/>
              <w:bottom w:val="single" w:sz="4" w:space="0" w:color="000000"/>
              <w:right w:val="single" w:sz="4" w:space="0" w:color="000000"/>
            </w:tcBorders>
            <w:vAlign w:val="center"/>
          </w:tcPr>
          <w:p w14:paraId="1CFC09A3" w14:textId="30B24B2D" w:rsidR="00B07A5B" w:rsidRPr="00E91F85" w:rsidRDefault="00B07A5B">
            <w:pPr>
              <w:snapToGrid w:val="0"/>
              <w:spacing w:line="256" w:lineRule="auto"/>
              <w:jc w:val="center"/>
              <w:rPr>
                <w:lang w:val="pl-PL"/>
              </w:rPr>
            </w:pPr>
            <w:r w:rsidRPr="00E91F85">
              <w:rPr>
                <w:lang w:val="pl-PL"/>
              </w:rPr>
              <w:t>112-34-5</w:t>
            </w:r>
          </w:p>
        </w:tc>
        <w:tc>
          <w:tcPr>
            <w:tcW w:w="1301" w:type="dxa"/>
            <w:tcBorders>
              <w:top w:val="nil"/>
              <w:left w:val="nil"/>
              <w:bottom w:val="single" w:sz="4" w:space="0" w:color="000000"/>
              <w:right w:val="single" w:sz="4" w:space="0" w:color="auto"/>
            </w:tcBorders>
            <w:vAlign w:val="center"/>
          </w:tcPr>
          <w:p w14:paraId="0C0A8204" w14:textId="42FAC01C" w:rsidR="00B07A5B" w:rsidRPr="00E91F85" w:rsidRDefault="00B07A5B">
            <w:pPr>
              <w:snapToGrid w:val="0"/>
              <w:spacing w:line="256" w:lineRule="auto"/>
              <w:jc w:val="center"/>
              <w:rPr>
                <w:lang w:val="pl-PL"/>
              </w:rPr>
            </w:pPr>
            <w:r w:rsidRPr="00E91F85">
              <w:rPr>
                <w:lang w:val="pl-PL"/>
              </w:rPr>
              <w:t>203-961-6</w:t>
            </w:r>
          </w:p>
        </w:tc>
        <w:tc>
          <w:tcPr>
            <w:tcW w:w="625" w:type="dxa"/>
            <w:tcBorders>
              <w:top w:val="single" w:sz="4" w:space="0" w:color="auto"/>
              <w:left w:val="single" w:sz="4" w:space="0" w:color="auto"/>
              <w:bottom w:val="single" w:sz="4" w:space="0" w:color="auto"/>
              <w:right w:val="single" w:sz="4" w:space="0" w:color="auto"/>
            </w:tcBorders>
            <w:vAlign w:val="center"/>
          </w:tcPr>
          <w:p w14:paraId="0A2A9817" w14:textId="28A8C5F2" w:rsidR="00B07A5B" w:rsidRPr="00E91F85" w:rsidRDefault="00B07A5B">
            <w:pPr>
              <w:snapToGrid w:val="0"/>
              <w:spacing w:line="256" w:lineRule="auto"/>
              <w:jc w:val="center"/>
              <w:rPr>
                <w:lang w:val="pl-PL"/>
              </w:rPr>
            </w:pPr>
            <w:r w:rsidRPr="00E91F85">
              <w:rPr>
                <w:lang w:val="pl-PL"/>
              </w:rPr>
              <w:t>0</w:t>
            </w:r>
          </w:p>
        </w:tc>
        <w:tc>
          <w:tcPr>
            <w:tcW w:w="738" w:type="dxa"/>
            <w:tcBorders>
              <w:top w:val="single" w:sz="4" w:space="0" w:color="auto"/>
              <w:left w:val="single" w:sz="4" w:space="0" w:color="auto"/>
              <w:bottom w:val="single" w:sz="4" w:space="0" w:color="auto"/>
              <w:right w:val="single" w:sz="4" w:space="0" w:color="auto"/>
            </w:tcBorders>
            <w:vAlign w:val="center"/>
          </w:tcPr>
          <w:p w14:paraId="1F196C85" w14:textId="14551FDD" w:rsidR="00B07A5B" w:rsidRPr="00E91F85" w:rsidRDefault="00B07A5B">
            <w:pPr>
              <w:snapToGrid w:val="0"/>
              <w:spacing w:line="256" w:lineRule="auto"/>
              <w:jc w:val="center"/>
              <w:rPr>
                <w:lang w:val="pl-PL"/>
              </w:rPr>
            </w:pPr>
            <w:r>
              <w:rPr>
                <w:lang w:val="pl-PL"/>
              </w:rPr>
              <w:t>5.</w:t>
            </w:r>
            <w:r w:rsidRPr="00E91F85">
              <w:rPr>
                <w:lang w:val="pl-PL"/>
              </w:rPr>
              <w:t>5</w:t>
            </w:r>
          </w:p>
        </w:tc>
      </w:tr>
    </w:tbl>
    <w:p w14:paraId="73C7D518" w14:textId="77A24929" w:rsidR="0030419B" w:rsidRPr="00E91F85" w:rsidRDefault="00E67A4D" w:rsidP="00585B02">
      <w:bookmarkStart w:id="24" w:name="d0e437"/>
      <w:bookmarkStart w:id="25" w:name="_Toc87361087"/>
      <w:bookmarkEnd w:id="24"/>
      <w:r w:rsidRPr="00E91F85">
        <w:t xml:space="preserve">*based on the content of active substance in </w:t>
      </w:r>
      <w:r w:rsidR="00650A2C">
        <w:t>the mixture used for the formula</w:t>
      </w:r>
      <w:r w:rsidRPr="00E91F85">
        <w:t>tion of the biocidal product (80%</w:t>
      </w:r>
      <w:r w:rsidR="003F7F4C" w:rsidRPr="00E91F85">
        <w:t xml:space="preserve"> </w:t>
      </w:r>
      <w:r w:rsidRPr="00E91F85">
        <w:t>w/w).</w:t>
      </w:r>
      <w:bookmarkEnd w:id="25"/>
      <w:r w:rsidRPr="00E91F85">
        <w:t xml:space="preserve"> </w:t>
      </w:r>
    </w:p>
    <w:p w14:paraId="73B49BCB" w14:textId="062B88E2" w:rsidR="00E67A4D" w:rsidRPr="00C12569" w:rsidRDefault="00E67A4D" w:rsidP="00585B02">
      <w:r>
        <w:t xml:space="preserve">**based on the </w:t>
      </w:r>
      <w:r w:rsidRPr="00E67A4D">
        <w:t xml:space="preserve">minimum </w:t>
      </w:r>
      <w:r w:rsidR="003F7F4C">
        <w:t>purity of active substance: 95.5</w:t>
      </w:r>
      <w:r w:rsidRPr="00E67A4D">
        <w:t>% w/w</w:t>
      </w:r>
    </w:p>
    <w:p w14:paraId="5446EB4F" w14:textId="77777777" w:rsidR="0030419B" w:rsidRPr="00B27CB1" w:rsidRDefault="0030419B" w:rsidP="0030419B">
      <w:pPr>
        <w:pStyle w:val="Titre4"/>
        <w:numPr>
          <w:ilvl w:val="3"/>
          <w:numId w:val="6"/>
        </w:numPr>
        <w:rPr>
          <w:rFonts w:ascii="Times New Roman" w:hAnsi="Times New Roman" w:cs="Times New Roman"/>
          <w:i/>
          <w:lang w:val="en-GB" w:eastAsia="fr-FR"/>
        </w:rPr>
      </w:pPr>
      <w:bookmarkStart w:id="26" w:name="_Toc87361088"/>
      <w:r w:rsidRPr="00B27CB1">
        <w:rPr>
          <w:lang w:val="en-GB"/>
        </w:rPr>
        <w:t>Information on technical equivalence</w:t>
      </w:r>
      <w:bookmarkEnd w:id="26"/>
    </w:p>
    <w:p w14:paraId="0B82D587" w14:textId="77777777" w:rsidR="00E007D8" w:rsidRDefault="00E007D8" w:rsidP="00E007D8">
      <w:pPr>
        <w:jc w:val="both"/>
      </w:pPr>
      <w:r w:rsidRPr="001518D8">
        <w:t>The source of the active substan</w:t>
      </w:r>
      <w:r>
        <w:t xml:space="preserve">ce from </w:t>
      </w:r>
      <w:r w:rsidRPr="00685460">
        <w:t>Purac Biochem</w:t>
      </w:r>
      <w:r>
        <w:t xml:space="preserve"> is the same as the one</w:t>
      </w:r>
      <w:r w:rsidRPr="001518D8">
        <w:t xml:space="preserve"> evaluated for inclusion in the Union li</w:t>
      </w:r>
      <w:r>
        <w:t>st of approved active substance</w:t>
      </w:r>
      <w:r w:rsidRPr="001518D8">
        <w:t>.</w:t>
      </w:r>
    </w:p>
    <w:p w14:paraId="35465D88" w14:textId="77777777" w:rsidR="00E007D8" w:rsidRDefault="00E007D8" w:rsidP="00E007D8">
      <w:pPr>
        <w:jc w:val="both"/>
      </w:pPr>
    </w:p>
    <w:p w14:paraId="677EFACD" w14:textId="77777777" w:rsidR="00E007D8" w:rsidRDefault="00E007D8" w:rsidP="00E007D8">
      <w:pPr>
        <w:jc w:val="both"/>
        <w:rPr>
          <w:rFonts w:ascii="Times New Roman" w:eastAsia="Calibri" w:hAnsi="Times New Roman"/>
          <w:i/>
          <w:szCs w:val="24"/>
          <w:lang w:eastAsia="en-US"/>
        </w:rPr>
      </w:pPr>
      <w:r>
        <w:t xml:space="preserve">The </w:t>
      </w:r>
      <w:r w:rsidRPr="001518D8">
        <w:t xml:space="preserve">source </w:t>
      </w:r>
      <w:r>
        <w:t xml:space="preserve">of the active substance </w:t>
      </w:r>
      <w:r w:rsidRPr="001518D8">
        <w:t>from Jungbunzlauer S.A. is considered technically equivalent compared to the reference source</w:t>
      </w:r>
      <w:r>
        <w:t xml:space="preserve"> (</w:t>
      </w:r>
      <w:r w:rsidRPr="00141C57">
        <w:t>Decision number: TAP-D-1403137-31-00/F</w:t>
      </w:r>
      <w:r>
        <w:t>)</w:t>
      </w:r>
      <w:r w:rsidRPr="001518D8">
        <w:t>.</w:t>
      </w:r>
    </w:p>
    <w:p w14:paraId="7B835A7D" w14:textId="77777777" w:rsidR="0030419B" w:rsidRPr="00B27CB1" w:rsidRDefault="0030419B" w:rsidP="0030419B">
      <w:pPr>
        <w:spacing w:line="260" w:lineRule="atLeast"/>
        <w:rPr>
          <w:rFonts w:ascii="Times New Roman" w:eastAsia="Calibri" w:hAnsi="Times New Roman" w:cs="Times New Roman"/>
          <w:i/>
          <w:szCs w:val="24"/>
          <w:lang w:eastAsia="en-US"/>
        </w:rPr>
      </w:pPr>
    </w:p>
    <w:p w14:paraId="793365AB" w14:textId="77777777" w:rsidR="0030419B" w:rsidRPr="00B27CB1" w:rsidRDefault="0030419B" w:rsidP="0030419B">
      <w:pPr>
        <w:pStyle w:val="Titre4"/>
        <w:numPr>
          <w:ilvl w:val="3"/>
          <w:numId w:val="6"/>
        </w:numPr>
        <w:rPr>
          <w:rFonts w:cs="Times"/>
          <w:bCs/>
          <w:szCs w:val="29"/>
          <w:lang w:val="en-GB"/>
        </w:rPr>
      </w:pPr>
      <w:bookmarkStart w:id="27" w:name="_Toc87361089"/>
      <w:r w:rsidRPr="00B27CB1">
        <w:rPr>
          <w:lang w:val="en-GB"/>
        </w:rPr>
        <w:t>Information on the substance(s) of concern</w:t>
      </w:r>
      <w:bookmarkEnd w:id="27"/>
    </w:p>
    <w:p w14:paraId="43D03F7E" w14:textId="31E420DD" w:rsidR="0030419B" w:rsidRPr="00B27CB1" w:rsidRDefault="0030419B" w:rsidP="0030419B">
      <w:pPr>
        <w:spacing w:line="260" w:lineRule="atLeast"/>
        <w:jc w:val="both"/>
        <w:rPr>
          <w:rFonts w:eastAsia="Calibri" w:cs="Times"/>
          <w:bCs/>
          <w:szCs w:val="29"/>
        </w:rPr>
      </w:pPr>
      <w:r w:rsidRPr="00B27CB1">
        <w:rPr>
          <w:rFonts w:eastAsia="Calibri" w:cs="Times"/>
          <w:bCs/>
          <w:szCs w:val="29"/>
        </w:rPr>
        <w:t>Please see the confidential annex for further details.</w:t>
      </w:r>
    </w:p>
    <w:p w14:paraId="17CD7D3A" w14:textId="67A5AF03" w:rsidR="00D92172" w:rsidRPr="00B27CB1" w:rsidRDefault="00D92172" w:rsidP="0030419B">
      <w:pPr>
        <w:spacing w:line="260" w:lineRule="atLeast"/>
        <w:jc w:val="both"/>
        <w:rPr>
          <w:rFonts w:eastAsia="Calibri" w:cs="Times"/>
          <w:bCs/>
          <w:szCs w:val="29"/>
        </w:rPr>
      </w:pPr>
    </w:p>
    <w:p w14:paraId="5222FF3B" w14:textId="3131B2B0" w:rsidR="00D92172" w:rsidRPr="00B27CB1" w:rsidRDefault="00D92172" w:rsidP="00D92172">
      <w:pPr>
        <w:pStyle w:val="Titre4"/>
        <w:numPr>
          <w:ilvl w:val="3"/>
          <w:numId w:val="6"/>
        </w:numPr>
        <w:rPr>
          <w:lang w:val="en-GB"/>
        </w:rPr>
      </w:pPr>
      <w:bookmarkStart w:id="28" w:name="_Toc2154055"/>
      <w:bookmarkStart w:id="29" w:name="_Toc533154532"/>
      <w:bookmarkStart w:id="30" w:name="_Toc532221594"/>
      <w:bookmarkStart w:id="31" w:name="_Toc87361090"/>
      <w:r w:rsidRPr="00B27CB1">
        <w:rPr>
          <w:lang w:val="en-GB"/>
        </w:rPr>
        <w:lastRenderedPageBreak/>
        <w:t>Assessment of endocrine disruption (ED) properties of the biocidal product</w:t>
      </w:r>
      <w:bookmarkEnd w:id="28"/>
      <w:bookmarkEnd w:id="29"/>
      <w:bookmarkEnd w:id="30"/>
      <w:r w:rsidRPr="00B27CB1">
        <w:rPr>
          <w:lang w:val="en-GB"/>
        </w:rPr>
        <w:t xml:space="preserve"> family</w:t>
      </w:r>
      <w:bookmarkEnd w:id="31"/>
    </w:p>
    <w:p w14:paraId="230CC9CF" w14:textId="04FC6EFF" w:rsidR="006541C5" w:rsidRDefault="006541C5" w:rsidP="001C730D">
      <w:pPr>
        <w:spacing w:line="260" w:lineRule="atLeast"/>
        <w:jc w:val="both"/>
        <w:rPr>
          <w:rFonts w:eastAsia="Calibri" w:cs="Times"/>
          <w:bCs/>
          <w:szCs w:val="29"/>
        </w:rPr>
      </w:pPr>
    </w:p>
    <w:p w14:paraId="2A5D332D" w14:textId="77777777" w:rsidR="00F56248" w:rsidRPr="00CF536A" w:rsidRDefault="00F56248" w:rsidP="00F56248">
      <w:pPr>
        <w:autoSpaceDE w:val="0"/>
        <w:autoSpaceDN w:val="0"/>
        <w:adjustRightInd w:val="0"/>
        <w:rPr>
          <w:lang w:eastAsia="fr-FR"/>
        </w:rPr>
      </w:pPr>
      <w:r w:rsidRPr="00CF536A">
        <w:rPr>
          <w:lang w:val="en-US"/>
        </w:rPr>
        <w:t xml:space="preserve">The biocidal product contains the active substance “Lactic Acid”, </w:t>
      </w:r>
      <w:r w:rsidRPr="00CF536A">
        <w:rPr>
          <w:lang w:eastAsia="fr-FR"/>
        </w:rPr>
        <w:t>which is not considered to have endocrine disrupting properties.</w:t>
      </w:r>
    </w:p>
    <w:p w14:paraId="54811093" w14:textId="77777777" w:rsidR="00F56248" w:rsidRDefault="00F56248" w:rsidP="00F56248">
      <w:pPr>
        <w:spacing w:line="260" w:lineRule="atLeast"/>
        <w:jc w:val="both"/>
        <w:rPr>
          <w:lang w:val="en-US"/>
        </w:rPr>
      </w:pPr>
    </w:p>
    <w:p w14:paraId="7665BF53" w14:textId="77777777" w:rsidR="00F56248" w:rsidRPr="00AA0FA8" w:rsidRDefault="00F56248" w:rsidP="00F56248">
      <w:pPr>
        <w:spacing w:line="260" w:lineRule="atLeast"/>
        <w:jc w:val="both"/>
        <w:rPr>
          <w:lang w:val="en-US"/>
        </w:rPr>
      </w:pPr>
      <w:r w:rsidRPr="00AA0FA8">
        <w:rPr>
          <w:lang w:val="en-US"/>
        </w:rPr>
        <w:t xml:space="preserve">None of the co-formulants contained in the family are regulatory identified as endocrine disruptors or have significant ED properties. </w:t>
      </w:r>
    </w:p>
    <w:p w14:paraId="3869D0E2" w14:textId="77777777" w:rsidR="00F56248" w:rsidRPr="00AA0FA8" w:rsidRDefault="00F56248" w:rsidP="00F56248">
      <w:pPr>
        <w:spacing w:line="260" w:lineRule="atLeast"/>
        <w:jc w:val="both"/>
        <w:rPr>
          <w:lang w:val="en-US"/>
        </w:rPr>
      </w:pPr>
      <w:r w:rsidRPr="00AA0FA8">
        <w:rPr>
          <w:lang w:val="en-US"/>
        </w:rPr>
        <w:t>However, that are indications that some co-formulants have ED properties</w:t>
      </w:r>
      <w:r>
        <w:rPr>
          <w:lang w:val="en-US"/>
        </w:rPr>
        <w:t xml:space="preserve"> </w:t>
      </w:r>
      <w:r w:rsidRPr="00AA0FA8">
        <w:rPr>
          <w:lang w:val="en-US"/>
        </w:rPr>
        <w:t>and they should be further assessed in the frame of REACH Regulation.</w:t>
      </w:r>
    </w:p>
    <w:p w14:paraId="0B84942B" w14:textId="77777777" w:rsidR="001C730D" w:rsidRPr="001C730D" w:rsidRDefault="001C730D" w:rsidP="001C730D">
      <w:pPr>
        <w:spacing w:line="260" w:lineRule="atLeast"/>
        <w:jc w:val="both"/>
        <w:rPr>
          <w:rFonts w:eastAsia="Calibri" w:cs="Times"/>
          <w:bCs/>
          <w:szCs w:val="29"/>
        </w:rPr>
      </w:pPr>
    </w:p>
    <w:p w14:paraId="27208DAE" w14:textId="7834F59B" w:rsidR="0030419B" w:rsidRPr="00B27CB1" w:rsidRDefault="001C730D" w:rsidP="001C730D">
      <w:pPr>
        <w:spacing w:line="260" w:lineRule="atLeast"/>
        <w:jc w:val="both"/>
        <w:rPr>
          <w:rFonts w:eastAsia="Calibri" w:cs="Times"/>
          <w:bCs/>
          <w:szCs w:val="29"/>
        </w:rPr>
      </w:pPr>
      <w:r w:rsidRPr="001C730D">
        <w:rPr>
          <w:rFonts w:eastAsia="Calibri" w:cs="Times"/>
          <w:bCs/>
          <w:szCs w:val="29"/>
        </w:rPr>
        <w:t>Please see the confidential annex for further details.</w:t>
      </w:r>
    </w:p>
    <w:p w14:paraId="26E81BF0" w14:textId="77777777" w:rsidR="0030419B" w:rsidRPr="00B27CB1" w:rsidRDefault="0030419B" w:rsidP="0030419B">
      <w:pPr>
        <w:pStyle w:val="Titre4"/>
        <w:numPr>
          <w:ilvl w:val="3"/>
          <w:numId w:val="6"/>
        </w:numPr>
        <w:rPr>
          <w:lang w:val="en-GB"/>
        </w:rPr>
      </w:pPr>
      <w:bookmarkStart w:id="32" w:name="_Toc87361091"/>
      <w:r w:rsidRPr="00B27CB1">
        <w:rPr>
          <w:lang w:val="en-GB"/>
        </w:rPr>
        <w:t>Type of formulation</w:t>
      </w:r>
      <w:bookmarkEnd w:id="3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rsidRPr="00C97335" w14:paraId="43C32ED7" w14:textId="77777777" w:rsidTr="0030419B">
        <w:tc>
          <w:tcPr>
            <w:tcW w:w="9036" w:type="dxa"/>
            <w:tcBorders>
              <w:top w:val="single" w:sz="4" w:space="0" w:color="000000"/>
              <w:left w:val="single" w:sz="4" w:space="0" w:color="000000"/>
              <w:bottom w:val="single" w:sz="4" w:space="0" w:color="000000"/>
              <w:right w:val="single" w:sz="4" w:space="0" w:color="000000"/>
            </w:tcBorders>
          </w:tcPr>
          <w:p w14:paraId="48F585DC" w14:textId="043022F5" w:rsidR="00310531" w:rsidRPr="00B27CB1" w:rsidRDefault="00310531" w:rsidP="00310531">
            <w:pPr>
              <w:snapToGrid w:val="0"/>
              <w:spacing w:line="256" w:lineRule="auto"/>
            </w:pPr>
            <w:r w:rsidRPr="00B27CB1">
              <w:t>AL - Any other liquid</w:t>
            </w:r>
            <w:r w:rsidR="008E787E">
              <w:t xml:space="preserve"> (META SPC 1 – 2 – 3 – 4 – 9 – 12)</w:t>
            </w:r>
          </w:p>
          <w:p w14:paraId="0E1D2DC7" w14:textId="7A6638E6" w:rsidR="00310531" w:rsidRPr="00E91F85" w:rsidRDefault="00310531" w:rsidP="00310531">
            <w:pPr>
              <w:snapToGrid w:val="0"/>
              <w:spacing w:line="256" w:lineRule="auto"/>
              <w:rPr>
                <w:lang w:val="fr-FR"/>
              </w:rPr>
            </w:pPr>
            <w:r w:rsidRPr="00E91F85">
              <w:rPr>
                <w:lang w:val="fr-FR"/>
              </w:rPr>
              <w:t>SL - Soluble concentrate</w:t>
            </w:r>
            <w:r w:rsidR="008E787E" w:rsidRPr="00E91F85">
              <w:rPr>
                <w:lang w:val="fr-FR"/>
              </w:rPr>
              <w:t xml:space="preserve"> (META SPC 6 – 7 – 8 – 11)</w:t>
            </w:r>
          </w:p>
          <w:p w14:paraId="318483DB" w14:textId="1B00421B" w:rsidR="00310531" w:rsidRPr="00E91F85" w:rsidRDefault="00310531">
            <w:pPr>
              <w:snapToGrid w:val="0"/>
              <w:spacing w:line="256" w:lineRule="auto"/>
              <w:rPr>
                <w:lang w:val="fr-FR"/>
              </w:rPr>
            </w:pPr>
            <w:r w:rsidRPr="00E91F85">
              <w:rPr>
                <w:lang w:val="fr-FR"/>
              </w:rPr>
              <w:t>ME - Micro-emulsion</w:t>
            </w:r>
            <w:r w:rsidR="008E787E">
              <w:rPr>
                <w:lang w:val="fr-FR"/>
              </w:rPr>
              <w:t xml:space="preserve"> </w:t>
            </w:r>
            <w:r w:rsidR="008E787E" w:rsidRPr="005B2C43">
              <w:rPr>
                <w:lang w:val="fr-FR"/>
              </w:rPr>
              <w:t>(META SPC 10 – 13)</w:t>
            </w:r>
          </w:p>
        </w:tc>
      </w:tr>
    </w:tbl>
    <w:p w14:paraId="31E8D67B" w14:textId="77777777" w:rsidR="0030419B" w:rsidRPr="00E91F85" w:rsidRDefault="0030419B" w:rsidP="0030419B">
      <w:pPr>
        <w:rPr>
          <w:lang w:val="fr-FR"/>
        </w:rPr>
      </w:pPr>
    </w:p>
    <w:p w14:paraId="4C79077F" w14:textId="77777777" w:rsidR="0030419B" w:rsidRPr="00E91F85" w:rsidRDefault="0030419B" w:rsidP="0030419B">
      <w:pPr>
        <w:rPr>
          <w:lang w:val="fr-FR"/>
        </w:rPr>
      </w:pPr>
    </w:p>
    <w:p w14:paraId="5A2172AB" w14:textId="77777777" w:rsidR="0030419B" w:rsidRPr="00B27CB1" w:rsidRDefault="0030419B" w:rsidP="0030419B">
      <w:pPr>
        <w:keepNext/>
        <w:spacing w:after="120"/>
        <w:ind w:left="432" w:hanging="432"/>
        <w:outlineLvl w:val="0"/>
        <w:rPr>
          <w:b/>
          <w:caps/>
          <w:sz w:val="28"/>
        </w:rPr>
      </w:pPr>
      <w:bookmarkStart w:id="33" w:name="_Toc512506016"/>
      <w:bookmarkStart w:id="34" w:name="_Toc454870196"/>
      <w:bookmarkStart w:id="35" w:name="_Toc450741097"/>
      <w:r w:rsidRPr="00B27CB1">
        <w:rPr>
          <w:b/>
          <w:caps/>
          <w:sz w:val="28"/>
        </w:rPr>
        <w:t>Part II - Second information level - meta SPC 1</w:t>
      </w:r>
      <w:bookmarkEnd w:id="33"/>
      <w:bookmarkEnd w:id="34"/>
      <w:bookmarkEnd w:id="35"/>
    </w:p>
    <w:p w14:paraId="5038FAAA" w14:textId="77777777" w:rsidR="0030419B" w:rsidRPr="00B27CB1" w:rsidRDefault="0030419B" w:rsidP="0030419B"/>
    <w:p w14:paraId="46EDCA64" w14:textId="77777777" w:rsidR="00A932DC" w:rsidRPr="00B27CB1" w:rsidRDefault="00A932DC" w:rsidP="00E91F85">
      <w:pPr>
        <w:pStyle w:val="Titre3"/>
      </w:pPr>
      <w:bookmarkStart w:id="36" w:name="_Toc87361092"/>
      <w:r w:rsidRPr="00B27CB1">
        <w:t>Meta SPC 1 administrative information</w:t>
      </w:r>
      <w:bookmarkEnd w:id="36"/>
    </w:p>
    <w:p w14:paraId="2B7A3300"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17514E74"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034438"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A5CDB2E" w14:textId="77777777" w:rsidR="00A932DC" w:rsidRPr="00B27CB1" w:rsidRDefault="00A932DC" w:rsidP="00A932DC">
            <w:pPr>
              <w:spacing w:line="256" w:lineRule="auto"/>
            </w:pPr>
            <w:r w:rsidRPr="00B27CB1">
              <w:t>META SPC 1</w:t>
            </w:r>
          </w:p>
        </w:tc>
      </w:tr>
    </w:tbl>
    <w:p w14:paraId="253B6A58" w14:textId="77777777" w:rsidR="00A932DC" w:rsidRPr="00B27CB1" w:rsidRDefault="00A932DC" w:rsidP="00A932DC"/>
    <w:p w14:paraId="736B8044"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10356F7F"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24A9C9" w14:textId="1EE21394" w:rsidR="00A932DC" w:rsidRPr="00B27CB1" w:rsidRDefault="00DC78BC" w:rsidP="00A932DC">
            <w:pPr>
              <w:spacing w:line="256" w:lineRule="auto"/>
            </w:pPr>
            <w:r>
              <w:t>Number 1</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92723D" w14:textId="77777777" w:rsidR="00A932DC" w:rsidRPr="00B27CB1" w:rsidRDefault="00A932DC" w:rsidP="00A932DC">
            <w:pPr>
              <w:spacing w:line="256" w:lineRule="auto"/>
            </w:pPr>
          </w:p>
        </w:tc>
      </w:tr>
    </w:tbl>
    <w:p w14:paraId="6D030CBD" w14:textId="77777777" w:rsidR="00A932DC" w:rsidRPr="00B27CB1" w:rsidRDefault="00A932DC" w:rsidP="00A932DC"/>
    <w:p w14:paraId="290C91F1"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D65C989"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24797F3"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9D3777" w14:textId="4336893C" w:rsidR="00A932DC" w:rsidRPr="00B27CB1" w:rsidRDefault="00310531" w:rsidP="00DC78BC">
            <w:pPr>
              <w:spacing w:line="256" w:lineRule="auto"/>
            </w:pPr>
            <w:r w:rsidRPr="00B27CB1">
              <w:t>2</w:t>
            </w:r>
          </w:p>
        </w:tc>
      </w:tr>
    </w:tbl>
    <w:p w14:paraId="44F18FF8" w14:textId="77777777" w:rsidR="00A932DC" w:rsidRPr="00B27CB1" w:rsidRDefault="00A932DC" w:rsidP="00A932DC"/>
    <w:p w14:paraId="022CF909" w14:textId="77777777" w:rsidR="00A932DC" w:rsidRPr="00B27CB1" w:rsidRDefault="00A932DC" w:rsidP="00E91F85">
      <w:pPr>
        <w:pStyle w:val="Titre3"/>
      </w:pPr>
      <w:bookmarkStart w:id="37" w:name="_Toc87361093"/>
      <w:r w:rsidRPr="00B27CB1">
        <w:t>Meta SPC 1 composition</w:t>
      </w:r>
      <w:bookmarkEnd w:id="37"/>
    </w:p>
    <w:p w14:paraId="125A7CE1"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1</w:t>
      </w:r>
    </w:p>
    <w:tbl>
      <w:tblPr>
        <w:tblW w:w="9769" w:type="dxa"/>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gridCol w:w="738"/>
      </w:tblGrid>
      <w:tr w:rsidR="00A932DC" w:rsidRPr="00B27CB1" w14:paraId="71D4813D" w14:textId="77777777" w:rsidTr="006B190F">
        <w:trPr>
          <w:gridAfter w:val="1"/>
          <w:wAfter w:w="738" w:type="dxa"/>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34757678"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194EA2F4"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8CE1772"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15666215"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13CD883D"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4EF04003" w14:textId="77777777" w:rsidR="00A932DC" w:rsidRPr="00B27CB1" w:rsidRDefault="00A932DC" w:rsidP="00A932DC">
            <w:pPr>
              <w:spacing w:line="256" w:lineRule="auto"/>
            </w:pPr>
            <w:r w:rsidRPr="00B27CB1">
              <w:rPr>
                <w:b/>
                <w:bCs/>
                <w:szCs w:val="24"/>
                <w:lang w:eastAsia="en-GB"/>
              </w:rPr>
              <w:t>Content (%)</w:t>
            </w:r>
          </w:p>
        </w:tc>
      </w:tr>
      <w:tr w:rsidR="00A932DC" w:rsidRPr="00B27CB1" w14:paraId="46AAC58E" w14:textId="77777777" w:rsidTr="006B190F">
        <w:trPr>
          <w:gridAfter w:val="1"/>
          <w:wAfter w:w="738" w:type="dxa"/>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006EEC50"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A6C62F3"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B1CCC5B"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AD8C0AF"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864DCB4"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073CB25"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517B2" w14:textId="77777777" w:rsidR="00A932DC" w:rsidRPr="00B27CB1" w:rsidRDefault="00A932DC" w:rsidP="00A932DC">
            <w:pPr>
              <w:spacing w:line="256" w:lineRule="auto"/>
            </w:pPr>
            <w:r w:rsidRPr="00B27CB1">
              <w:rPr>
                <w:b/>
                <w:bCs/>
                <w:szCs w:val="24"/>
                <w:lang w:eastAsia="en-GB"/>
              </w:rPr>
              <w:t>Max</w:t>
            </w:r>
          </w:p>
        </w:tc>
      </w:tr>
      <w:tr w:rsidR="006B190F" w:rsidRPr="00B27CB1" w14:paraId="018C05DC" w14:textId="77777777" w:rsidTr="00E91F85">
        <w:trPr>
          <w:gridAfter w:val="1"/>
          <w:wAfter w:w="738" w:type="dxa"/>
        </w:trPr>
        <w:tc>
          <w:tcPr>
            <w:tcW w:w="2256" w:type="dxa"/>
            <w:vMerge w:val="restart"/>
            <w:tcBorders>
              <w:top w:val="single" w:sz="4" w:space="0" w:color="000000"/>
              <w:left w:val="single" w:sz="4" w:space="0" w:color="000000"/>
              <w:bottom w:val="single" w:sz="4" w:space="0" w:color="000000"/>
              <w:right w:val="nil"/>
            </w:tcBorders>
          </w:tcPr>
          <w:p w14:paraId="2069B3C7" w14:textId="019FDB6E" w:rsidR="006B190F" w:rsidRPr="00B27CB1" w:rsidRDefault="00280428" w:rsidP="006B190F">
            <w:pPr>
              <w:snapToGrid w:val="0"/>
              <w:spacing w:line="256" w:lineRule="auto"/>
              <w:rPr>
                <w:bCs/>
                <w:szCs w:val="24"/>
                <w:lang w:eastAsia="en-GB"/>
              </w:rPr>
            </w:pPr>
            <w:r w:rsidRPr="00932929">
              <w:rPr>
                <w:lang w:val="pl-PL"/>
              </w:rPr>
              <w:t xml:space="preserve">L(+) </w:t>
            </w:r>
            <w:r w:rsidR="006B190F">
              <w:rPr>
                <w:lang w:val="pl-PL"/>
              </w:rPr>
              <w:t>Lactic acid</w:t>
            </w:r>
          </w:p>
        </w:tc>
        <w:tc>
          <w:tcPr>
            <w:tcW w:w="1353" w:type="dxa"/>
            <w:vMerge w:val="restart"/>
            <w:tcBorders>
              <w:top w:val="single" w:sz="4" w:space="0" w:color="000000"/>
              <w:left w:val="single" w:sz="4" w:space="0" w:color="000000"/>
              <w:bottom w:val="single" w:sz="4" w:space="0" w:color="000000"/>
              <w:right w:val="nil"/>
            </w:tcBorders>
          </w:tcPr>
          <w:p w14:paraId="12228EF2" w14:textId="6EDC541E" w:rsidR="006B190F" w:rsidRPr="00B27CB1" w:rsidRDefault="00280428" w:rsidP="006B190F">
            <w:pPr>
              <w:snapToGrid w:val="0"/>
              <w:spacing w:line="256" w:lineRule="auto"/>
            </w:pPr>
            <w:r w:rsidRPr="00932929">
              <w:t>(S)-2-Hydroxypropanoic acid</w:t>
            </w:r>
          </w:p>
        </w:tc>
        <w:tc>
          <w:tcPr>
            <w:tcW w:w="1353" w:type="dxa"/>
            <w:tcBorders>
              <w:top w:val="single" w:sz="4" w:space="0" w:color="000000"/>
              <w:left w:val="single" w:sz="4" w:space="0" w:color="000000"/>
              <w:bottom w:val="single" w:sz="4" w:space="0" w:color="000000"/>
              <w:right w:val="nil"/>
            </w:tcBorders>
            <w:vAlign w:val="center"/>
            <w:hideMark/>
          </w:tcPr>
          <w:p w14:paraId="52D28F7D" w14:textId="77777777" w:rsidR="006B190F" w:rsidRPr="00B27CB1" w:rsidRDefault="006B190F" w:rsidP="006B190F">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72D78360" w14:textId="0375978E" w:rsidR="006B190F" w:rsidRPr="00B27CB1" w:rsidRDefault="006B190F" w:rsidP="006B190F">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50D7F954" w14:textId="5143D131" w:rsidR="006B190F" w:rsidRPr="00B27CB1" w:rsidRDefault="006B190F" w:rsidP="006B190F">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0884E44F" w14:textId="3C4D5FA6" w:rsidR="006B190F" w:rsidRPr="00B27CB1" w:rsidRDefault="006B190F" w:rsidP="006B190F">
            <w:pPr>
              <w:snapToGrid w:val="0"/>
              <w:spacing w:line="256" w:lineRule="auto"/>
            </w:pPr>
            <w:r>
              <w:t>2.29</w:t>
            </w:r>
          </w:p>
        </w:tc>
        <w:tc>
          <w:tcPr>
            <w:tcW w:w="738" w:type="dxa"/>
            <w:tcBorders>
              <w:top w:val="single" w:sz="4" w:space="0" w:color="000000"/>
              <w:left w:val="single" w:sz="4" w:space="0" w:color="000000"/>
              <w:bottom w:val="single" w:sz="4" w:space="0" w:color="000000"/>
              <w:right w:val="single" w:sz="4" w:space="0" w:color="000000"/>
            </w:tcBorders>
            <w:vAlign w:val="center"/>
          </w:tcPr>
          <w:p w14:paraId="6D37678A" w14:textId="52E9AE37" w:rsidR="006B190F" w:rsidRPr="00B27CB1" w:rsidRDefault="006B190F" w:rsidP="006B190F">
            <w:pPr>
              <w:snapToGrid w:val="0"/>
              <w:spacing w:line="256" w:lineRule="auto"/>
            </w:pPr>
            <w:r>
              <w:t>2.29</w:t>
            </w:r>
          </w:p>
        </w:tc>
      </w:tr>
      <w:tr w:rsidR="006B190F" w:rsidRPr="00B27CB1" w14:paraId="5DEE367B" w14:textId="49E6D076" w:rsidTr="00E91F85">
        <w:tc>
          <w:tcPr>
            <w:tcW w:w="2256" w:type="dxa"/>
            <w:vMerge/>
            <w:tcBorders>
              <w:top w:val="single" w:sz="4" w:space="0" w:color="000000"/>
              <w:left w:val="single" w:sz="4" w:space="0" w:color="000000"/>
              <w:bottom w:val="single" w:sz="4" w:space="0" w:color="000000"/>
              <w:right w:val="nil"/>
            </w:tcBorders>
            <w:hideMark/>
          </w:tcPr>
          <w:p w14:paraId="73C96B9C" w14:textId="77777777" w:rsidR="006B190F" w:rsidRPr="00B27CB1" w:rsidRDefault="006B190F" w:rsidP="006B190F">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113243B3" w14:textId="77777777" w:rsidR="006B190F" w:rsidRPr="00B27CB1" w:rsidRDefault="006B190F" w:rsidP="006B190F">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505BEAFD" w14:textId="0581C26B" w:rsidR="006B190F" w:rsidRPr="00B27CB1" w:rsidRDefault="006B190F" w:rsidP="006B190F">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7152D841" w14:textId="77777777" w:rsidR="006B190F" w:rsidRPr="00B27CB1" w:rsidRDefault="006B190F" w:rsidP="006B190F">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123F287B" w14:textId="77777777" w:rsidR="006B190F" w:rsidRPr="00B27CB1" w:rsidRDefault="006B190F" w:rsidP="006B190F">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1C00BBB2" w14:textId="067899B3" w:rsidR="006B190F" w:rsidRPr="00B27CB1" w:rsidRDefault="006B190F" w:rsidP="006B190F">
            <w:pPr>
              <w:snapToGrid w:val="0"/>
              <w:spacing w:line="256" w:lineRule="auto"/>
            </w:pPr>
            <w:r>
              <w:t>2.4</w:t>
            </w:r>
          </w:p>
        </w:tc>
        <w:tc>
          <w:tcPr>
            <w:tcW w:w="738" w:type="dxa"/>
            <w:tcBorders>
              <w:top w:val="single" w:sz="4" w:space="0" w:color="000000"/>
              <w:left w:val="single" w:sz="4" w:space="0" w:color="000000"/>
              <w:bottom w:val="single" w:sz="4" w:space="0" w:color="000000"/>
              <w:right w:val="single" w:sz="4" w:space="0" w:color="000000"/>
            </w:tcBorders>
            <w:vAlign w:val="center"/>
          </w:tcPr>
          <w:p w14:paraId="632D5A4D" w14:textId="5BAD2265" w:rsidR="006B190F" w:rsidRPr="00B27CB1" w:rsidRDefault="006B190F" w:rsidP="006B190F">
            <w:pPr>
              <w:snapToGrid w:val="0"/>
              <w:spacing w:line="256" w:lineRule="auto"/>
            </w:pPr>
            <w:r>
              <w:t>2.4</w:t>
            </w:r>
          </w:p>
        </w:tc>
        <w:tc>
          <w:tcPr>
            <w:tcW w:w="738" w:type="dxa"/>
            <w:vAlign w:val="center"/>
          </w:tcPr>
          <w:p w14:paraId="36D829CA" w14:textId="00DBA626" w:rsidR="006B190F" w:rsidRPr="00B27CB1" w:rsidRDefault="006B190F" w:rsidP="006B190F">
            <w:pPr>
              <w:suppressAutoHyphens w:val="0"/>
            </w:pPr>
          </w:p>
        </w:tc>
      </w:tr>
    </w:tbl>
    <w:p w14:paraId="3671BE94" w14:textId="77777777" w:rsidR="00A932DC" w:rsidRPr="00B27CB1" w:rsidRDefault="00A932DC" w:rsidP="00A932DC"/>
    <w:p w14:paraId="44A90DFB"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1</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2A0BC06" w14:textId="77777777" w:rsidTr="00310531">
        <w:trPr>
          <w:trHeight w:val="293"/>
        </w:trPr>
        <w:tc>
          <w:tcPr>
            <w:tcW w:w="9036" w:type="dxa"/>
            <w:tcBorders>
              <w:top w:val="single" w:sz="4" w:space="0" w:color="000000"/>
              <w:left w:val="single" w:sz="4" w:space="0" w:color="000000"/>
              <w:bottom w:val="single" w:sz="4" w:space="0" w:color="000000"/>
              <w:right w:val="single" w:sz="4" w:space="0" w:color="000000"/>
            </w:tcBorders>
          </w:tcPr>
          <w:p w14:paraId="248A2456" w14:textId="779A6D16" w:rsidR="00A932DC" w:rsidRPr="00B27CB1" w:rsidRDefault="00310531" w:rsidP="003F1E71">
            <w:pPr>
              <w:keepNext/>
              <w:outlineLvl w:val="2"/>
            </w:pPr>
            <w:r w:rsidRPr="00B27CB1">
              <w:t>AL - Any other liquid</w:t>
            </w:r>
          </w:p>
        </w:tc>
      </w:tr>
    </w:tbl>
    <w:p w14:paraId="4B5A28A4" w14:textId="77777777" w:rsidR="00A932DC" w:rsidRPr="00B27CB1" w:rsidRDefault="00A932DC" w:rsidP="00A932DC"/>
    <w:p w14:paraId="5CD5FC16" w14:textId="77777777" w:rsidR="00A932DC" w:rsidRPr="003F1E71" w:rsidRDefault="00A932DC" w:rsidP="00E91F85">
      <w:pPr>
        <w:pStyle w:val="Titre3"/>
        <w:rPr>
          <w:lang w:val="en-US"/>
        </w:rPr>
      </w:pPr>
      <w:bookmarkStart w:id="38" w:name="_Toc87361094"/>
      <w:r w:rsidRPr="003F1E71">
        <w:rPr>
          <w:lang w:val="en-US"/>
        </w:rPr>
        <w:t>Hazard and precautionary statements according to Regulation (EC) 1272/2008 of the meta SPC 1</w:t>
      </w:r>
      <w:bookmarkEnd w:id="38"/>
    </w:p>
    <w:p w14:paraId="1834B009" w14:textId="77777777" w:rsidR="00A932DC" w:rsidRPr="00B27CB1" w:rsidRDefault="00A932DC" w:rsidP="00A932DC"/>
    <w:p w14:paraId="38520D28" w14:textId="77777777" w:rsidR="00A932DC" w:rsidRPr="00B27CB1" w:rsidRDefault="00A932DC" w:rsidP="00A932DC">
      <w:pPr>
        <w:rPr>
          <w:b/>
        </w:rPr>
      </w:pPr>
      <w:r w:rsidRPr="00B27CB1">
        <w:rPr>
          <w:b/>
        </w:rPr>
        <w:t>Classification and labelling of the products of the family according to the Regulation (EC) 1272/2008</w:t>
      </w:r>
    </w:p>
    <w:p w14:paraId="398A97E5"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22ECBD72"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14F1FFBD" w14:textId="77777777" w:rsidR="00A932DC" w:rsidRPr="00B27CB1" w:rsidRDefault="00A932DC" w:rsidP="00A932DC">
            <w:pPr>
              <w:spacing w:line="256" w:lineRule="auto"/>
            </w:pPr>
            <w:r w:rsidRPr="00B27CB1">
              <w:rPr>
                <w:b/>
                <w:lang w:eastAsia="en-US"/>
              </w:rPr>
              <w:t>Classification</w:t>
            </w:r>
          </w:p>
        </w:tc>
      </w:tr>
      <w:tr w:rsidR="00012AAF" w:rsidRPr="00B27CB1" w14:paraId="7291C83B"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6F2C7256" w14:textId="77777777" w:rsidR="00012AAF" w:rsidRPr="00B27CB1" w:rsidRDefault="00012AAF" w:rsidP="00012AAF">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72B48BA" w14:textId="6BB582F3" w:rsidR="00012AAF" w:rsidRPr="00B27CB1" w:rsidRDefault="00DC78BC" w:rsidP="00C211D1">
            <w:pPr>
              <w:pStyle w:val="Corpsdetexte"/>
              <w:ind w:right="806"/>
              <w:rPr>
                <w:rFonts w:ascii="Times New Roman" w:hAnsi="Times New Roman" w:cs="Times New Roman"/>
                <w:sz w:val="24"/>
                <w:szCs w:val="24"/>
                <w:lang w:eastAsia="fi-FI"/>
              </w:rPr>
            </w:pPr>
            <w:r w:rsidRPr="00E240FD">
              <w:rPr>
                <w:lang w:val="es-ES" w:eastAsia="fi-FI"/>
              </w:rPr>
              <w:t>Met. Corr. 1</w:t>
            </w:r>
          </w:p>
        </w:tc>
      </w:tr>
      <w:tr w:rsidR="00012AAF" w:rsidRPr="00B27CB1" w14:paraId="6C88264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DBB7645" w14:textId="77777777" w:rsidR="00012AAF" w:rsidRPr="00B27CB1" w:rsidRDefault="00012AAF" w:rsidP="00012AAF">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BB51233" w14:textId="2D557A7E" w:rsidR="00012AAF" w:rsidRPr="00B27CB1" w:rsidRDefault="00012AAF" w:rsidP="00012AAF">
            <w:pPr>
              <w:suppressAutoHyphens w:val="0"/>
              <w:autoSpaceDE w:val="0"/>
              <w:autoSpaceDN w:val="0"/>
              <w:adjustRightInd w:val="0"/>
              <w:spacing w:after="60" w:line="256" w:lineRule="auto"/>
              <w:jc w:val="both"/>
              <w:rPr>
                <w:rFonts w:ascii="Times New Roman" w:hAnsi="Times New Roman" w:cs="Times New Roman"/>
                <w:sz w:val="24"/>
                <w:szCs w:val="24"/>
                <w:lang w:eastAsia="fi-FI"/>
              </w:rPr>
            </w:pPr>
            <w:r w:rsidRPr="00930421">
              <w:t xml:space="preserve">H290: May be corrosive to metals.  </w:t>
            </w:r>
          </w:p>
        </w:tc>
      </w:tr>
      <w:tr w:rsidR="00012AAF" w:rsidRPr="00B27CB1" w14:paraId="6EB74EDE"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E30BC5F" w14:textId="77777777" w:rsidR="00012AAF" w:rsidRPr="00B27CB1" w:rsidRDefault="00012AAF" w:rsidP="00012AAF">
            <w:pPr>
              <w:snapToGrid w:val="0"/>
              <w:spacing w:line="256" w:lineRule="auto"/>
              <w:rPr>
                <w:lang w:eastAsia="fi-FI"/>
              </w:rPr>
            </w:pPr>
          </w:p>
        </w:tc>
      </w:tr>
      <w:tr w:rsidR="00012AAF" w:rsidRPr="00B27CB1" w14:paraId="4B0FAC1D"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095989FF" w14:textId="77777777" w:rsidR="00012AAF" w:rsidRPr="00B27CB1" w:rsidRDefault="00012AAF" w:rsidP="00012AAF">
            <w:pPr>
              <w:spacing w:line="256" w:lineRule="auto"/>
            </w:pPr>
            <w:r w:rsidRPr="00B27CB1">
              <w:rPr>
                <w:b/>
                <w:lang w:eastAsia="en-US"/>
              </w:rPr>
              <w:t>Labelling</w:t>
            </w:r>
          </w:p>
        </w:tc>
      </w:tr>
      <w:tr w:rsidR="00012AAF" w:rsidRPr="00B27CB1" w14:paraId="3B44C70E"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334AC262" w14:textId="77777777" w:rsidR="00012AAF" w:rsidRPr="00B27CB1" w:rsidRDefault="00012AAF" w:rsidP="00012AAF">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560FE804" w14:textId="77777777" w:rsidR="00012AAF" w:rsidRPr="00B27CB1" w:rsidRDefault="00012AAF" w:rsidP="00012AAF">
            <w:pPr>
              <w:suppressAutoHyphens w:val="0"/>
              <w:autoSpaceDE w:val="0"/>
              <w:autoSpaceDN w:val="0"/>
              <w:adjustRightInd w:val="0"/>
              <w:spacing w:after="60" w:line="256" w:lineRule="auto"/>
              <w:jc w:val="both"/>
              <w:rPr>
                <w:rFonts w:cs="Times New Roman"/>
                <w:szCs w:val="24"/>
                <w:lang w:eastAsia="fi-FI"/>
              </w:rPr>
            </w:pPr>
          </w:p>
        </w:tc>
      </w:tr>
      <w:tr w:rsidR="00012AAF" w:rsidRPr="00B27CB1" w14:paraId="1975ABE7"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895499D" w14:textId="77777777" w:rsidR="00012AAF" w:rsidRPr="00B27CB1" w:rsidRDefault="00012AAF" w:rsidP="00012AAF">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7235EA98" w14:textId="36ED891B" w:rsidR="00012AAF" w:rsidRPr="00B27CB1" w:rsidRDefault="00012AAF" w:rsidP="00012AAF">
            <w:pPr>
              <w:suppressAutoHyphens w:val="0"/>
              <w:autoSpaceDE w:val="0"/>
              <w:autoSpaceDN w:val="0"/>
              <w:adjustRightInd w:val="0"/>
              <w:spacing w:after="60" w:line="256" w:lineRule="auto"/>
              <w:jc w:val="both"/>
              <w:rPr>
                <w:rFonts w:cs="Times New Roman"/>
                <w:szCs w:val="24"/>
                <w:lang w:eastAsia="fi-FI"/>
              </w:rPr>
            </w:pPr>
            <w:r w:rsidRPr="008F425A">
              <w:rPr>
                <w:lang w:eastAsia="fi-FI"/>
              </w:rPr>
              <w:t>H290: May be corrosive to metals.</w:t>
            </w:r>
          </w:p>
        </w:tc>
      </w:tr>
      <w:tr w:rsidR="00012AAF" w:rsidRPr="00B27CB1" w14:paraId="49AD84B6"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25078EF" w14:textId="77777777" w:rsidR="00012AAF" w:rsidRPr="00B27CB1" w:rsidRDefault="00012AAF" w:rsidP="00012AAF">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41125582" w14:textId="77777777" w:rsidR="00012AAF" w:rsidRDefault="00012AAF" w:rsidP="00012AAF">
            <w:pPr>
              <w:rPr>
                <w:lang w:eastAsia="fi-FI"/>
              </w:rPr>
            </w:pPr>
            <w:r>
              <w:rPr>
                <w:lang w:eastAsia="fi-FI"/>
              </w:rPr>
              <w:t>P234: Keep only in original container.</w:t>
            </w:r>
          </w:p>
          <w:p w14:paraId="7767425A" w14:textId="77777777" w:rsidR="00012AAF" w:rsidRDefault="00012AAF" w:rsidP="00012AAF">
            <w:pPr>
              <w:rPr>
                <w:lang w:eastAsia="fi-FI"/>
              </w:rPr>
            </w:pPr>
            <w:r>
              <w:rPr>
                <w:lang w:eastAsia="fi-FI"/>
              </w:rPr>
              <w:t>P390: Absorb spillage to prevent material damage.</w:t>
            </w:r>
          </w:p>
          <w:p w14:paraId="743C559E" w14:textId="142F499C" w:rsidR="00C12569" w:rsidRPr="00B27CB1" w:rsidRDefault="00012AAF" w:rsidP="00F340E3">
            <w:pPr>
              <w:autoSpaceDE w:val="0"/>
              <w:spacing w:after="60" w:line="256" w:lineRule="auto"/>
              <w:rPr>
                <w:rFonts w:cs="Times New Roman"/>
                <w:color w:val="000000"/>
                <w:lang w:eastAsia="en-US"/>
              </w:rPr>
            </w:pPr>
            <w:r>
              <w:rPr>
                <w:lang w:eastAsia="fi-FI"/>
              </w:rPr>
              <w:t>P406: Store in a corrosive resistant/… container with a resistant inner liner.</w:t>
            </w:r>
          </w:p>
        </w:tc>
      </w:tr>
      <w:tr w:rsidR="00012AAF" w:rsidRPr="00B27CB1" w14:paraId="5BFB7C17"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0C90CC4" w14:textId="77777777" w:rsidR="00012AAF" w:rsidRPr="00B27CB1" w:rsidRDefault="00012AAF" w:rsidP="00012AAF">
            <w:pPr>
              <w:snapToGrid w:val="0"/>
              <w:spacing w:line="256" w:lineRule="auto"/>
              <w:rPr>
                <w:lang w:eastAsia="fi-FI"/>
              </w:rPr>
            </w:pPr>
          </w:p>
        </w:tc>
      </w:tr>
      <w:tr w:rsidR="00012AAF" w:rsidRPr="00B27CB1" w14:paraId="4054694B"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9D463BB" w14:textId="77777777" w:rsidR="00012AAF" w:rsidRPr="00B27CB1" w:rsidRDefault="00012AAF" w:rsidP="00012AAF">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4402F3EB" w14:textId="77777777" w:rsidR="00012AAF" w:rsidRPr="00B27CB1" w:rsidRDefault="00012AAF" w:rsidP="00012AAF">
            <w:pPr>
              <w:snapToGrid w:val="0"/>
              <w:spacing w:line="256" w:lineRule="auto"/>
              <w:rPr>
                <w:b/>
                <w:lang w:eastAsia="fi-FI"/>
              </w:rPr>
            </w:pPr>
          </w:p>
        </w:tc>
      </w:tr>
    </w:tbl>
    <w:p w14:paraId="015843CF" w14:textId="77777777" w:rsidR="00A932DC" w:rsidRPr="00B27CB1" w:rsidRDefault="00A932DC" w:rsidP="00A932DC">
      <w:pPr>
        <w:tabs>
          <w:tab w:val="left" w:pos="500"/>
        </w:tabs>
        <w:ind w:left="500" w:hanging="500"/>
      </w:pPr>
    </w:p>
    <w:p w14:paraId="322DFC58" w14:textId="77777777" w:rsidR="00A932DC" w:rsidRPr="00B27CB1" w:rsidRDefault="00A932DC" w:rsidP="00A932DC"/>
    <w:p w14:paraId="293692E3" w14:textId="77777777" w:rsidR="00A932DC" w:rsidRPr="003F1E71" w:rsidRDefault="00A932DC" w:rsidP="00E91F85">
      <w:pPr>
        <w:pStyle w:val="Titre3"/>
        <w:rPr>
          <w:lang w:val="en-US"/>
        </w:rPr>
      </w:pPr>
      <w:bookmarkStart w:id="39" w:name="_Toc517184298"/>
      <w:bookmarkStart w:id="40" w:name="_Toc87361095"/>
      <w:r w:rsidRPr="003F1E71">
        <w:rPr>
          <w:lang w:val="en-US"/>
        </w:rPr>
        <w:t>Authorised use(s) of the META SPC 1</w:t>
      </w:r>
      <w:bookmarkEnd w:id="39"/>
      <w:bookmarkEnd w:id="40"/>
    </w:p>
    <w:p w14:paraId="379D21C5" w14:textId="77777777" w:rsidR="00310531" w:rsidRPr="00B27CB1" w:rsidRDefault="00310531" w:rsidP="00310531">
      <w:pPr>
        <w:keepNext/>
        <w:numPr>
          <w:ilvl w:val="3"/>
          <w:numId w:val="9"/>
        </w:numPr>
        <w:spacing w:before="240" w:after="120"/>
        <w:jc w:val="both"/>
        <w:outlineLvl w:val="3"/>
        <w:rPr>
          <w:rFonts w:eastAsia="Calibri"/>
          <w:sz w:val="22"/>
          <w:szCs w:val="24"/>
        </w:rPr>
      </w:pPr>
      <w:bookmarkStart w:id="41" w:name="_Toc517184299"/>
      <w:r w:rsidRPr="00B27CB1">
        <w:rPr>
          <w:rFonts w:eastAsia="Calibri"/>
          <w:sz w:val="22"/>
          <w:szCs w:val="24"/>
        </w:rPr>
        <w:t>Use description</w:t>
      </w:r>
      <w:bookmarkEnd w:id="41"/>
    </w:p>
    <w:p w14:paraId="22254554" w14:textId="7699E55C" w:rsidR="00310531" w:rsidRPr="00B27CB1" w:rsidRDefault="00310531" w:rsidP="00310531">
      <w:pPr>
        <w:spacing w:after="120"/>
        <w:ind w:left="1418" w:hanging="1418"/>
        <w:rPr>
          <w:rFonts w:cs="Times New Roman"/>
          <w:b/>
          <w:bCs/>
          <w:szCs w:val="24"/>
          <w:lang w:eastAsia="en-GB"/>
        </w:rPr>
      </w:pPr>
      <w:r w:rsidRPr="00B27CB1">
        <w:t xml:space="preserve">Table </w:t>
      </w:r>
      <w:r w:rsidRPr="00B27CB1">
        <w:fldChar w:fldCharType="begin"/>
      </w:r>
      <w:r w:rsidRPr="00B27CB1">
        <w:instrText xml:space="preserve"> SEQ "Tableau" \* ARABIC </w:instrText>
      </w:r>
      <w:r w:rsidRPr="00B27CB1">
        <w:fldChar w:fldCharType="separate"/>
      </w:r>
      <w:r w:rsidR="00245178">
        <w:rPr>
          <w:noProof/>
        </w:rPr>
        <w:t>1</w:t>
      </w:r>
      <w:r w:rsidRPr="00B27CB1">
        <w:fldChar w:fldCharType="end"/>
      </w:r>
      <w:r w:rsidRPr="00B27CB1">
        <w:rPr>
          <w:rFonts w:cs="Times New Roman"/>
        </w:rPr>
        <w:t xml:space="preserve">. Use # </w:t>
      </w:r>
      <w:r w:rsidRPr="00657948">
        <w:rPr>
          <w:rFonts w:cs="Times New Roman"/>
        </w:rPr>
        <w:t xml:space="preserve">1 – </w:t>
      </w:r>
      <w:r w:rsidR="00627B6C" w:rsidRPr="00657948">
        <w:rPr>
          <w:rFonts w:cs="Times New Roman"/>
        </w:rPr>
        <w:t>Disinfectants for hard surfaces of domestic area</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310531" w:rsidRPr="00B27CB1" w14:paraId="4300CB2E" w14:textId="77777777" w:rsidTr="00310531">
        <w:tc>
          <w:tcPr>
            <w:tcW w:w="2707" w:type="dxa"/>
            <w:tcBorders>
              <w:top w:val="single" w:sz="4" w:space="0" w:color="000000"/>
              <w:left w:val="single" w:sz="4" w:space="0" w:color="000000"/>
              <w:bottom w:val="single" w:sz="4" w:space="0" w:color="000000"/>
              <w:right w:val="nil"/>
            </w:tcBorders>
            <w:hideMark/>
          </w:tcPr>
          <w:p w14:paraId="0AE17B4A" w14:textId="77777777" w:rsidR="00310531" w:rsidRPr="00B27CB1" w:rsidRDefault="00310531" w:rsidP="00310531">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7437C36" w14:textId="6330B6D9" w:rsidR="00310531" w:rsidRPr="00B27CB1" w:rsidRDefault="00627B6C" w:rsidP="00310531">
            <w:pPr>
              <w:snapToGrid w:val="0"/>
              <w:spacing w:line="254" w:lineRule="auto"/>
            </w:pPr>
            <w:r w:rsidRPr="00B27CB1">
              <w:t>PT02 - Disinfectants and algaecides not intended for direct application to humans or animals (Disinfectants)</w:t>
            </w:r>
          </w:p>
        </w:tc>
      </w:tr>
      <w:tr w:rsidR="00310531" w:rsidRPr="00B27CB1" w14:paraId="299E5ED5" w14:textId="77777777" w:rsidTr="00310531">
        <w:tc>
          <w:tcPr>
            <w:tcW w:w="2707" w:type="dxa"/>
            <w:tcBorders>
              <w:top w:val="nil"/>
              <w:left w:val="single" w:sz="4" w:space="0" w:color="000000"/>
              <w:bottom w:val="single" w:sz="4" w:space="0" w:color="000000"/>
              <w:right w:val="nil"/>
            </w:tcBorders>
            <w:hideMark/>
          </w:tcPr>
          <w:p w14:paraId="107F79F5" w14:textId="77777777" w:rsidR="00310531" w:rsidRPr="00B27CB1" w:rsidRDefault="00310531" w:rsidP="00310531">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16AA2112" w14:textId="77777777" w:rsidR="00657F12" w:rsidRPr="00E91F85" w:rsidRDefault="00657F12" w:rsidP="00657F12">
            <w:pPr>
              <w:rPr>
                <w:bCs/>
                <w:lang w:val="en-US"/>
              </w:rPr>
            </w:pPr>
            <w:r w:rsidRPr="00E91F85">
              <w:rPr>
                <w:bCs/>
                <w:lang w:val="en-US"/>
              </w:rPr>
              <w:t xml:space="preserve">Products used for the disinfection of households surfaces including toilets bowls. </w:t>
            </w:r>
          </w:p>
          <w:p w14:paraId="13E8FC3B" w14:textId="77777777" w:rsidR="00310531" w:rsidRDefault="00310531" w:rsidP="00310531">
            <w:pPr>
              <w:snapToGrid w:val="0"/>
              <w:spacing w:line="254" w:lineRule="auto"/>
              <w:rPr>
                <w:b/>
              </w:rPr>
            </w:pPr>
          </w:p>
          <w:p w14:paraId="0576621B" w14:textId="0C44CBCE" w:rsidR="0089334C" w:rsidRPr="00B27CB1" w:rsidRDefault="006E596F" w:rsidP="00FD54CB">
            <w:pPr>
              <w:snapToGrid w:val="0"/>
              <w:spacing w:line="254" w:lineRule="auto"/>
              <w:rPr>
                <w:b/>
              </w:rPr>
            </w:pPr>
            <w:r>
              <w:rPr>
                <w:color w:val="000000"/>
              </w:rPr>
              <w:t>D</w:t>
            </w:r>
            <w:r w:rsidR="0089334C" w:rsidRPr="000D7D14">
              <w:rPr>
                <w:color w:val="000000"/>
              </w:rPr>
              <w:t xml:space="preserve">isinfection of all kind of </w:t>
            </w:r>
            <w:r w:rsidR="0089334C">
              <w:rPr>
                <w:color w:val="000000"/>
              </w:rPr>
              <w:t xml:space="preserve">non </w:t>
            </w:r>
            <w:r w:rsidR="0089334C" w:rsidRPr="000D7D14">
              <w:rPr>
                <w:color w:val="000000"/>
              </w:rPr>
              <w:t>porous surfaces.</w:t>
            </w:r>
          </w:p>
        </w:tc>
      </w:tr>
      <w:tr w:rsidR="00310531" w:rsidRPr="00B27CB1" w14:paraId="53403108" w14:textId="77777777" w:rsidTr="00310531">
        <w:tc>
          <w:tcPr>
            <w:tcW w:w="2707" w:type="dxa"/>
            <w:tcBorders>
              <w:top w:val="nil"/>
              <w:left w:val="single" w:sz="4" w:space="0" w:color="000000"/>
              <w:bottom w:val="single" w:sz="4" w:space="0" w:color="000000"/>
              <w:right w:val="nil"/>
            </w:tcBorders>
            <w:hideMark/>
          </w:tcPr>
          <w:p w14:paraId="3BA8CD9F" w14:textId="77777777" w:rsidR="00310531" w:rsidRPr="00B27CB1" w:rsidRDefault="00310531" w:rsidP="00310531">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55E52819" w14:textId="2CD9B531" w:rsidR="00310531" w:rsidRPr="00B27CB1" w:rsidRDefault="00657F12" w:rsidP="00310531">
            <w:pPr>
              <w:snapToGrid w:val="0"/>
              <w:spacing w:line="254" w:lineRule="auto"/>
              <w:rPr>
                <w:b/>
              </w:rPr>
            </w:pPr>
            <w:r w:rsidRPr="00E91F85">
              <w:rPr>
                <w:bCs/>
                <w:lang w:val="en-US"/>
              </w:rPr>
              <w:t xml:space="preserve">Bacteria </w:t>
            </w:r>
          </w:p>
        </w:tc>
      </w:tr>
      <w:tr w:rsidR="00310531" w:rsidRPr="00B27CB1" w14:paraId="07C19BCF" w14:textId="77777777" w:rsidTr="00310531">
        <w:tc>
          <w:tcPr>
            <w:tcW w:w="2707" w:type="dxa"/>
            <w:tcBorders>
              <w:top w:val="nil"/>
              <w:left w:val="single" w:sz="4" w:space="0" w:color="000000"/>
              <w:bottom w:val="single" w:sz="4" w:space="0" w:color="000000"/>
              <w:right w:val="nil"/>
            </w:tcBorders>
            <w:hideMark/>
          </w:tcPr>
          <w:p w14:paraId="60A5D399" w14:textId="77777777" w:rsidR="00310531" w:rsidRPr="00B27CB1" w:rsidRDefault="00310531" w:rsidP="00310531">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4B390AA" w14:textId="12E03056" w:rsidR="00310531" w:rsidRPr="00B27CB1" w:rsidRDefault="00657F12" w:rsidP="008E4099">
            <w:pPr>
              <w:tabs>
                <w:tab w:val="left" w:pos="2587"/>
              </w:tabs>
              <w:snapToGrid w:val="0"/>
              <w:spacing w:line="254" w:lineRule="auto"/>
              <w:rPr>
                <w:b/>
              </w:rPr>
            </w:pPr>
            <w:r w:rsidRPr="000D7D14">
              <w:rPr>
                <w:bCs/>
                <w:lang w:val="de-DE"/>
              </w:rPr>
              <w:t>Indoor</w:t>
            </w:r>
          </w:p>
        </w:tc>
      </w:tr>
      <w:tr w:rsidR="00310531" w:rsidRPr="00B27CB1" w14:paraId="70DF6080" w14:textId="77777777" w:rsidTr="00310531">
        <w:tc>
          <w:tcPr>
            <w:tcW w:w="2707" w:type="dxa"/>
            <w:tcBorders>
              <w:top w:val="nil"/>
              <w:left w:val="single" w:sz="4" w:space="0" w:color="000000"/>
              <w:bottom w:val="single" w:sz="4" w:space="0" w:color="000000"/>
              <w:right w:val="nil"/>
            </w:tcBorders>
            <w:hideMark/>
          </w:tcPr>
          <w:p w14:paraId="298303B5" w14:textId="77777777" w:rsidR="00310531" w:rsidRPr="00B27CB1" w:rsidRDefault="00310531" w:rsidP="00310531">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E7B88B4" w14:textId="77777777" w:rsidR="00E35910" w:rsidRDefault="00657F12" w:rsidP="00A70A2E">
            <w:pPr>
              <w:suppressAutoHyphens w:val="0"/>
              <w:snapToGrid w:val="0"/>
              <w:spacing w:line="260" w:lineRule="atLeast"/>
            </w:pPr>
            <w:r w:rsidRPr="000D7D14">
              <w:t>Spraying</w:t>
            </w:r>
            <w:r w:rsidR="00B13D28">
              <w:t>,</w:t>
            </w:r>
          </w:p>
          <w:p w14:paraId="2231F060" w14:textId="5C764204" w:rsidR="008E4099" w:rsidRPr="00B27CB1" w:rsidRDefault="00657F12" w:rsidP="005B7759">
            <w:pPr>
              <w:suppressAutoHyphens w:val="0"/>
              <w:snapToGrid w:val="0"/>
              <w:spacing w:line="260" w:lineRule="atLeast"/>
              <w:rPr>
                <w:rFonts w:cs="Times New Roman"/>
                <w:lang w:eastAsia="de-DE"/>
              </w:rPr>
            </w:pPr>
            <w:r w:rsidRPr="000D7D14">
              <w:lastRenderedPageBreak/>
              <w:t>Wiping (applying product onto wipe followed by wiping)</w:t>
            </w:r>
          </w:p>
        </w:tc>
      </w:tr>
      <w:tr w:rsidR="00310531" w:rsidRPr="00B27CB1" w14:paraId="2CBA21FF" w14:textId="77777777" w:rsidTr="00310531">
        <w:tc>
          <w:tcPr>
            <w:tcW w:w="2707" w:type="dxa"/>
            <w:tcBorders>
              <w:top w:val="nil"/>
              <w:left w:val="single" w:sz="4" w:space="0" w:color="000000"/>
              <w:bottom w:val="single" w:sz="4" w:space="0" w:color="000000"/>
              <w:right w:val="nil"/>
            </w:tcBorders>
            <w:hideMark/>
          </w:tcPr>
          <w:p w14:paraId="4485EF3C" w14:textId="77777777" w:rsidR="00310531" w:rsidRPr="00B27CB1" w:rsidRDefault="00310531" w:rsidP="00310531">
            <w:pPr>
              <w:spacing w:line="254" w:lineRule="auto"/>
              <w:rPr>
                <w:b/>
              </w:rPr>
            </w:pPr>
            <w:r w:rsidRPr="00B27CB1">
              <w:rPr>
                <w:b/>
                <w:bCs/>
                <w:szCs w:val="24"/>
                <w:lang w:eastAsia="en-GB"/>
              </w:rPr>
              <w:lastRenderedPageBreak/>
              <w:t>Application rate(s) and frequency</w:t>
            </w:r>
          </w:p>
        </w:tc>
        <w:tc>
          <w:tcPr>
            <w:tcW w:w="6328" w:type="dxa"/>
            <w:tcBorders>
              <w:top w:val="nil"/>
              <w:left w:val="single" w:sz="4" w:space="0" w:color="000000"/>
              <w:bottom w:val="single" w:sz="4" w:space="0" w:color="000000"/>
              <w:right w:val="single" w:sz="4" w:space="0" w:color="000000"/>
            </w:tcBorders>
          </w:tcPr>
          <w:p w14:paraId="25A27E83" w14:textId="12A98AB8" w:rsidR="00657F12" w:rsidRDefault="00657F12" w:rsidP="00657F12">
            <w:pPr>
              <w:snapToGrid w:val="0"/>
              <w:spacing w:line="260" w:lineRule="atLeast"/>
            </w:pPr>
            <w:r w:rsidRPr="00F0256C">
              <w:t>Ready to use</w:t>
            </w:r>
          </w:p>
          <w:p w14:paraId="74460CCF" w14:textId="77777777" w:rsidR="00E35910" w:rsidRDefault="008E4099" w:rsidP="00657F12">
            <w:pPr>
              <w:snapToGrid w:val="0"/>
              <w:spacing w:line="260" w:lineRule="atLeast"/>
            </w:pPr>
            <w:r>
              <w:t>N</w:t>
            </w:r>
            <w:r w:rsidR="00A70A2E">
              <w:t>on mechanical action (spraying)</w:t>
            </w:r>
            <w:r>
              <w:t xml:space="preserve"> or mechanical action (wiping)</w:t>
            </w:r>
          </w:p>
          <w:p w14:paraId="0D3B6B78" w14:textId="2896C7FF" w:rsidR="00A70A2E" w:rsidRPr="00F0256C" w:rsidRDefault="00A70A2E" w:rsidP="00657F12">
            <w:pPr>
              <w:snapToGrid w:val="0"/>
              <w:spacing w:line="260" w:lineRule="atLeast"/>
            </w:pPr>
          </w:p>
          <w:p w14:paraId="65DC2CF9" w14:textId="3D527C5F" w:rsidR="00657F12" w:rsidRPr="00820E0E" w:rsidRDefault="00657F12" w:rsidP="00657F12">
            <w:pPr>
              <w:snapToGrid w:val="0"/>
              <w:spacing w:line="260" w:lineRule="atLeast"/>
            </w:pPr>
            <w:r w:rsidRPr="00F0256C">
              <w:t>Contact time: 5 min</w:t>
            </w:r>
          </w:p>
          <w:p w14:paraId="4AB62DF0" w14:textId="77777777" w:rsidR="00657F12" w:rsidRPr="004D1209" w:rsidRDefault="00657F12" w:rsidP="00657F12">
            <w:pPr>
              <w:snapToGrid w:val="0"/>
              <w:spacing w:line="260" w:lineRule="atLeast"/>
            </w:pPr>
            <w:r w:rsidRPr="004D1209">
              <w:t>Dirty conditions</w:t>
            </w:r>
          </w:p>
          <w:p w14:paraId="4A0D3617" w14:textId="4E0BF4CE" w:rsidR="00657F12" w:rsidRPr="00344BDC" w:rsidRDefault="00470C2C" w:rsidP="00657F12">
            <w:pPr>
              <w:snapToGrid w:val="0"/>
              <w:spacing w:line="260" w:lineRule="atLeast"/>
            </w:pPr>
            <w:r>
              <w:t>T</w:t>
            </w:r>
            <w:r w:rsidR="00657F12" w:rsidRPr="00344BDC">
              <w:t>emperature</w:t>
            </w:r>
            <w:r>
              <w:t>: 20°C</w:t>
            </w:r>
          </w:p>
          <w:p w14:paraId="77E0EB64" w14:textId="77777777" w:rsidR="00657F12" w:rsidRPr="000D7D14" w:rsidRDefault="00657F12" w:rsidP="00657F12">
            <w:pPr>
              <w:snapToGrid w:val="0"/>
              <w:spacing w:line="260" w:lineRule="atLeast"/>
            </w:pPr>
          </w:p>
          <w:p w14:paraId="0AB34FC5" w14:textId="07610C47" w:rsidR="00657F12" w:rsidRPr="00F0256C" w:rsidRDefault="00532D54" w:rsidP="00657F12">
            <w:pPr>
              <w:snapToGrid w:val="0"/>
              <w:spacing w:line="260" w:lineRule="atLeast"/>
            </w:pPr>
            <w:r>
              <w:t>A</w:t>
            </w:r>
            <w:r w:rsidR="00657F12" w:rsidRPr="000D7D14">
              <w:t>pplication rate</w:t>
            </w:r>
            <w:r>
              <w:t>s</w:t>
            </w:r>
            <w:r w:rsidR="00657F12" w:rsidRPr="00F0256C">
              <w:t xml:space="preserve">: </w:t>
            </w:r>
          </w:p>
          <w:p w14:paraId="1C07F689" w14:textId="013C910D" w:rsidR="00657F12" w:rsidRPr="000D7D14" w:rsidRDefault="005B7759" w:rsidP="00657F12">
            <w:pPr>
              <w:snapToGrid w:val="0"/>
              <w:spacing w:line="260" w:lineRule="atLeast"/>
            </w:pPr>
            <w:r>
              <w:t xml:space="preserve">Spraying : </w:t>
            </w:r>
            <w:r w:rsidR="00657F12" w:rsidRPr="00820E0E">
              <w:t>30 ml/m</w:t>
            </w:r>
            <w:r w:rsidR="00657F12" w:rsidRPr="004D1209">
              <w:rPr>
                <w:vertAlign w:val="superscript"/>
              </w:rPr>
              <w:t>2</w:t>
            </w:r>
            <w:r w:rsidR="00657F12" w:rsidRPr="00344BDC">
              <w:t xml:space="preserve"> (20 sprays on the surface per m</w:t>
            </w:r>
            <w:r w:rsidR="00657F12" w:rsidRPr="00344BDC">
              <w:rPr>
                <w:vertAlign w:val="superscript"/>
              </w:rPr>
              <w:t>2</w:t>
            </w:r>
            <w:r w:rsidR="00657F12" w:rsidRPr="00344BDC">
              <w:t>)</w:t>
            </w:r>
            <w:r w:rsidR="00657F12" w:rsidRPr="000D7D14">
              <w:t xml:space="preserve"> </w:t>
            </w:r>
          </w:p>
          <w:p w14:paraId="7889A18F" w14:textId="3FCF6C18" w:rsidR="00657F12" w:rsidRPr="00E91F85" w:rsidRDefault="005B7759" w:rsidP="00657F12">
            <w:pPr>
              <w:snapToGrid w:val="0"/>
              <w:spacing w:line="260" w:lineRule="atLeast"/>
            </w:pPr>
            <w:r>
              <w:t xml:space="preserve">Wiping : </w:t>
            </w:r>
            <w:r w:rsidR="00657F12" w:rsidRPr="000D7D14">
              <w:t>16 ml onto wipe per 0.1 m</w:t>
            </w:r>
            <w:r w:rsidR="00657F12" w:rsidRPr="000D7D14">
              <w:rPr>
                <w:vertAlign w:val="superscript"/>
              </w:rPr>
              <w:t>2</w:t>
            </w:r>
            <w:r>
              <w:t xml:space="preserve"> (</w:t>
            </w:r>
            <w:r w:rsidRPr="000D7D14">
              <w:t>8 to 12 sprays</w:t>
            </w:r>
            <w:r>
              <w:t>)</w:t>
            </w:r>
          </w:p>
          <w:p w14:paraId="61379774" w14:textId="2CFC319A" w:rsidR="00310531" w:rsidRPr="00B27CB1" w:rsidRDefault="00657F12" w:rsidP="004A347E">
            <w:pPr>
              <w:snapToGrid w:val="0"/>
              <w:spacing w:line="260" w:lineRule="atLeast"/>
              <w:rPr>
                <w:rFonts w:cs="Times New Roman"/>
                <w:lang w:eastAsia="de-DE"/>
              </w:rPr>
            </w:pPr>
            <w:r w:rsidRPr="000D7D14">
              <w:t xml:space="preserve">For toilet bowls, </w:t>
            </w:r>
            <w:r w:rsidRPr="00E91F85">
              <w:rPr>
                <w:bCs/>
                <w:color w:val="000000"/>
                <w:lang w:val="en-US"/>
              </w:rPr>
              <w:t>50 ml or 33 sprays per toilet</w:t>
            </w:r>
          </w:p>
        </w:tc>
      </w:tr>
      <w:tr w:rsidR="00310531" w:rsidRPr="00B27CB1" w14:paraId="3176D44F" w14:textId="77777777" w:rsidTr="00310531">
        <w:tc>
          <w:tcPr>
            <w:tcW w:w="2707" w:type="dxa"/>
            <w:tcBorders>
              <w:top w:val="nil"/>
              <w:left w:val="single" w:sz="4" w:space="0" w:color="000000"/>
              <w:bottom w:val="single" w:sz="4" w:space="0" w:color="000000"/>
              <w:right w:val="nil"/>
            </w:tcBorders>
            <w:hideMark/>
          </w:tcPr>
          <w:p w14:paraId="7BB6F9D7" w14:textId="77777777" w:rsidR="00310531" w:rsidRPr="00B27CB1" w:rsidRDefault="00310531" w:rsidP="00310531">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359BB4E0" w14:textId="08E0C935" w:rsidR="00310531" w:rsidRPr="00B27CB1" w:rsidRDefault="00657F12" w:rsidP="00310531">
            <w:pPr>
              <w:snapToGrid w:val="0"/>
              <w:spacing w:line="254" w:lineRule="auto"/>
              <w:rPr>
                <w:b/>
              </w:rPr>
            </w:pPr>
            <w:r w:rsidRPr="000D7D14">
              <w:t>General public (non-professional)</w:t>
            </w:r>
          </w:p>
        </w:tc>
      </w:tr>
      <w:tr w:rsidR="00310531" w:rsidRPr="00A04731" w14:paraId="5DFC8D76" w14:textId="77777777" w:rsidTr="00310531">
        <w:tc>
          <w:tcPr>
            <w:tcW w:w="2707" w:type="dxa"/>
            <w:tcBorders>
              <w:top w:val="nil"/>
              <w:left w:val="single" w:sz="4" w:space="0" w:color="000000"/>
              <w:bottom w:val="single" w:sz="4" w:space="0" w:color="000000"/>
              <w:right w:val="nil"/>
            </w:tcBorders>
            <w:hideMark/>
          </w:tcPr>
          <w:p w14:paraId="36BBB9DC" w14:textId="77777777" w:rsidR="00310531" w:rsidRPr="00B27CB1" w:rsidRDefault="00310531" w:rsidP="00310531">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06EE1AD" w14:textId="1D38413A" w:rsidR="00CD3A30" w:rsidRDefault="00CD3A30" w:rsidP="00CD3A30">
            <w:pPr>
              <w:spacing w:line="254" w:lineRule="auto"/>
            </w:pPr>
            <w:r>
              <w:t>HDPE:</w:t>
            </w:r>
            <w:r w:rsidR="00B639F8">
              <w:t xml:space="preserve"> </w:t>
            </w:r>
            <w:r>
              <w:t>500 mL trigger spray, 750 mL trigger spray, 5 L, 1 L</w:t>
            </w:r>
          </w:p>
          <w:p w14:paraId="31880742" w14:textId="030E9E25" w:rsidR="00CD3A30" w:rsidRDefault="00CD3A30" w:rsidP="00CD3A30">
            <w:pPr>
              <w:spacing w:line="254" w:lineRule="auto"/>
            </w:pPr>
            <w:r>
              <w:t>PET:</w:t>
            </w:r>
            <w:r w:rsidR="00B639F8">
              <w:t xml:space="preserve"> </w:t>
            </w:r>
            <w:r>
              <w:t xml:space="preserve">500 mL trigger spray, 750 mL trigger spray, 1 L </w:t>
            </w:r>
          </w:p>
          <w:p w14:paraId="5AD5FA9F" w14:textId="6EC3261C" w:rsidR="00310531" w:rsidRPr="00B639F8" w:rsidRDefault="00CD3A30" w:rsidP="00B639F8">
            <w:pPr>
              <w:spacing w:line="254" w:lineRule="auto"/>
              <w:rPr>
                <w:lang w:val="fr-FR"/>
              </w:rPr>
            </w:pPr>
            <w:r w:rsidRPr="00E91F85">
              <w:rPr>
                <w:lang w:val="fr-FR"/>
              </w:rPr>
              <w:t>Coextrude (HDPE/Adhesive/Nylon polyamide):</w:t>
            </w:r>
            <w:r w:rsidRPr="00B639F8">
              <w:rPr>
                <w:lang w:val="fr-FR"/>
              </w:rPr>
              <w:t>5 L</w:t>
            </w:r>
          </w:p>
        </w:tc>
      </w:tr>
    </w:tbl>
    <w:p w14:paraId="3CCBD0B1" w14:textId="77777777" w:rsidR="00310531" w:rsidRPr="00B27CB1" w:rsidRDefault="00310531" w:rsidP="00310531">
      <w:pPr>
        <w:keepNext/>
        <w:numPr>
          <w:ilvl w:val="4"/>
          <w:numId w:val="9"/>
        </w:numPr>
        <w:spacing w:before="255" w:after="80" w:line="255" w:lineRule="exact"/>
        <w:outlineLvl w:val="4"/>
        <w:rPr>
          <w:rFonts w:cs="Times"/>
          <w:bCs/>
          <w:sz w:val="22"/>
          <w:szCs w:val="29"/>
        </w:rPr>
      </w:pPr>
      <w:bookmarkStart w:id="42" w:name="_Toc517184300"/>
      <w:r w:rsidRPr="00B27CB1">
        <w:rPr>
          <w:sz w:val="22"/>
        </w:rPr>
        <w:t>Use-specific instructions for use</w:t>
      </w:r>
      <w:bookmarkEnd w:id="4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10531" w:rsidRPr="00B27CB1" w14:paraId="35DFFF1F"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16C8E8B" w14:textId="5B4CFF5E" w:rsidR="00E35910" w:rsidRPr="00E91F85" w:rsidRDefault="0068018B" w:rsidP="00E91F85">
            <w:pPr>
              <w:keepNext/>
              <w:widowControl w:val="0"/>
              <w:numPr>
                <w:ilvl w:val="0"/>
                <w:numId w:val="7"/>
              </w:numPr>
              <w:suppressAutoHyphens w:val="0"/>
              <w:autoSpaceDE w:val="0"/>
              <w:spacing w:after="60" w:line="260" w:lineRule="atLeast"/>
              <w:ind w:left="357" w:hanging="357"/>
              <w:jc w:val="both"/>
              <w:rPr>
                <w:bCs/>
                <w:iCs/>
              </w:rPr>
            </w:pPr>
            <w:r w:rsidRPr="00E91F85">
              <w:rPr>
                <w:bCs/>
                <w:iCs/>
              </w:rPr>
              <w:t xml:space="preserve">Ready-to-use liquid </w:t>
            </w:r>
            <w:r w:rsidR="00A70A2E" w:rsidRPr="00E91F85">
              <w:rPr>
                <w:bCs/>
                <w:iCs/>
              </w:rPr>
              <w:t>for hard surfaces</w:t>
            </w:r>
            <w:r w:rsidR="009D61F3" w:rsidRPr="00E91F85">
              <w:rPr>
                <w:bCs/>
                <w:iCs/>
              </w:rPr>
              <w:t xml:space="preserve"> by spraying</w:t>
            </w:r>
            <w:r w:rsidR="00A70A2E" w:rsidRPr="00E91F85">
              <w:rPr>
                <w:bCs/>
                <w:iCs/>
              </w:rPr>
              <w:t xml:space="preserve">: </w:t>
            </w:r>
            <w:r w:rsidR="00657F12" w:rsidRPr="00E91F85">
              <w:rPr>
                <w:bCs/>
                <w:iCs/>
              </w:rPr>
              <w:t>Spray directly on the surface</w:t>
            </w:r>
            <w:r w:rsidR="009D61F3" w:rsidRPr="00E91F85">
              <w:rPr>
                <w:bCs/>
                <w:iCs/>
              </w:rPr>
              <w:t>s</w:t>
            </w:r>
            <w:r w:rsidR="00657F12" w:rsidRPr="00E91F85">
              <w:rPr>
                <w:bCs/>
                <w:iCs/>
              </w:rPr>
              <w:t xml:space="preserve"> intended to be treated and cover the entire surface. Allow to take effect for at least 5 minutes, then brush or scrub if required and </w:t>
            </w:r>
            <w:r w:rsidR="00A70A2E" w:rsidRPr="00E91F85">
              <w:rPr>
                <w:bCs/>
                <w:iCs/>
              </w:rPr>
              <w:t>w</w:t>
            </w:r>
            <w:r w:rsidR="00657F12" w:rsidRPr="00E91F85">
              <w:rPr>
                <w:bCs/>
                <w:iCs/>
              </w:rPr>
              <w:t>ipe with a dry cloth.</w:t>
            </w:r>
          </w:p>
          <w:p w14:paraId="7DB09A14" w14:textId="2B9A355C" w:rsidR="00E35910" w:rsidRPr="00E91F85" w:rsidRDefault="00E35910" w:rsidP="00E91F85">
            <w:pPr>
              <w:keepNext/>
              <w:widowControl w:val="0"/>
              <w:numPr>
                <w:ilvl w:val="0"/>
                <w:numId w:val="7"/>
              </w:numPr>
              <w:suppressAutoHyphens w:val="0"/>
              <w:autoSpaceDE w:val="0"/>
              <w:spacing w:after="60" w:line="260" w:lineRule="atLeast"/>
              <w:ind w:left="357" w:hanging="357"/>
              <w:jc w:val="both"/>
              <w:rPr>
                <w:bCs/>
                <w:iCs/>
              </w:rPr>
            </w:pPr>
            <w:r w:rsidRPr="00E91F85">
              <w:rPr>
                <w:bCs/>
                <w:iCs/>
              </w:rPr>
              <w:t>Ready-to-use liquid on hard surfaces</w:t>
            </w:r>
            <w:r w:rsidR="00532D54" w:rsidRPr="00E91F85">
              <w:rPr>
                <w:bCs/>
                <w:iCs/>
              </w:rPr>
              <w:t xml:space="preserve"> by wiping</w:t>
            </w:r>
            <w:r w:rsidRPr="00E91F85">
              <w:rPr>
                <w:bCs/>
                <w:iCs/>
              </w:rPr>
              <w:t xml:space="preserve">: </w:t>
            </w:r>
            <w:r w:rsidR="006E596F" w:rsidRPr="00E91F85">
              <w:rPr>
                <w:bCs/>
                <w:iCs/>
              </w:rPr>
              <w:t>Spray on wipe</w:t>
            </w:r>
            <w:r w:rsidR="00A42425" w:rsidRPr="00E91F85">
              <w:rPr>
                <w:bCs/>
                <w:iCs/>
              </w:rPr>
              <w:t xml:space="preserve"> </w:t>
            </w:r>
            <w:r w:rsidR="006E596F" w:rsidRPr="00E91F85">
              <w:rPr>
                <w:bCs/>
                <w:iCs/>
              </w:rPr>
              <w:t>and apply</w:t>
            </w:r>
            <w:r w:rsidR="00A42425" w:rsidRPr="00E91F85">
              <w:rPr>
                <w:bCs/>
                <w:iCs/>
              </w:rPr>
              <w:t xml:space="preserve"> by fully wetting all surfaces</w:t>
            </w:r>
            <w:r w:rsidR="006E596F" w:rsidRPr="00E91F85">
              <w:rPr>
                <w:bCs/>
                <w:iCs/>
              </w:rPr>
              <w:t xml:space="preserve"> intended to be treated</w:t>
            </w:r>
            <w:r w:rsidRPr="00E91F85">
              <w:rPr>
                <w:bCs/>
                <w:iCs/>
              </w:rPr>
              <w:t>. Allow to take effect for at least 5 minutes and then wipe the surface with a dry cloth if required or let to dry.</w:t>
            </w:r>
          </w:p>
          <w:p w14:paraId="7211F48F" w14:textId="14EF9336" w:rsidR="00310531" w:rsidRPr="00657948" w:rsidRDefault="0068018B" w:rsidP="00657948">
            <w:pPr>
              <w:keepNext/>
              <w:widowControl w:val="0"/>
              <w:numPr>
                <w:ilvl w:val="0"/>
                <w:numId w:val="7"/>
              </w:numPr>
              <w:suppressAutoHyphens w:val="0"/>
              <w:autoSpaceDE w:val="0"/>
              <w:spacing w:after="60" w:line="260" w:lineRule="atLeast"/>
              <w:ind w:left="357" w:hanging="357"/>
              <w:jc w:val="both"/>
              <w:rPr>
                <w:bCs/>
                <w:iCs/>
              </w:rPr>
            </w:pPr>
            <w:r w:rsidRPr="00E91F85">
              <w:rPr>
                <w:bCs/>
                <w:iCs/>
              </w:rPr>
              <w:t>Ready-to-use liquid for t</w:t>
            </w:r>
            <w:r w:rsidR="00A70A2E" w:rsidRPr="00E91F85">
              <w:rPr>
                <w:bCs/>
                <w:iCs/>
              </w:rPr>
              <w:t>oilet bowls:</w:t>
            </w:r>
            <w:r w:rsidR="00E35910" w:rsidRPr="00E91F85">
              <w:rPr>
                <w:bCs/>
                <w:iCs/>
              </w:rPr>
              <w:t xml:space="preserve"> </w:t>
            </w:r>
            <w:r w:rsidR="00657F12" w:rsidRPr="00E91F85">
              <w:rPr>
                <w:bCs/>
                <w:iCs/>
              </w:rPr>
              <w:t>Spray inside the toilet bowls by fully covering all surface</w:t>
            </w:r>
            <w:r w:rsidR="00A70A2E" w:rsidRPr="00E91F85">
              <w:rPr>
                <w:bCs/>
                <w:iCs/>
              </w:rPr>
              <w:t>s</w:t>
            </w:r>
            <w:r w:rsidR="00657F12" w:rsidRPr="00E91F85">
              <w:rPr>
                <w:bCs/>
                <w:iCs/>
              </w:rPr>
              <w:t xml:space="preserve"> to be treated. Allow to take effect for at least 5 minutes, then brush if required and flush the toilet.</w:t>
            </w:r>
          </w:p>
        </w:tc>
      </w:tr>
    </w:tbl>
    <w:p w14:paraId="6D4B14C3" w14:textId="77777777" w:rsidR="00310531" w:rsidRPr="00B27CB1" w:rsidRDefault="00310531" w:rsidP="00310531">
      <w:pPr>
        <w:keepNext/>
        <w:numPr>
          <w:ilvl w:val="4"/>
          <w:numId w:val="9"/>
        </w:numPr>
        <w:spacing w:before="255" w:after="80" w:line="255" w:lineRule="exact"/>
        <w:outlineLvl w:val="4"/>
        <w:rPr>
          <w:rFonts w:cs="Times"/>
          <w:bCs/>
          <w:sz w:val="22"/>
          <w:szCs w:val="29"/>
        </w:rPr>
      </w:pPr>
      <w:bookmarkStart w:id="43" w:name="_Toc517184301"/>
      <w:r w:rsidRPr="00B27CB1">
        <w:rPr>
          <w:sz w:val="22"/>
        </w:rPr>
        <w:t>Use-specific risk mitigation measures</w:t>
      </w:r>
      <w:bookmarkEnd w:id="43"/>
      <w:r w:rsidRPr="00B27CB1">
        <w:rPr>
          <w:sz w:val="22"/>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10531" w:rsidRPr="00B27CB1" w14:paraId="646FE4BF"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4686822" w14:textId="0B997FFD" w:rsidR="00310531" w:rsidRPr="00B27CB1" w:rsidRDefault="00DC78BC" w:rsidP="00310531">
            <w:pPr>
              <w:widowControl w:val="0"/>
              <w:autoSpaceDE w:val="0"/>
              <w:snapToGrid w:val="0"/>
              <w:spacing w:before="80" w:line="254" w:lineRule="auto"/>
              <w:rPr>
                <w:rFonts w:cs="Times"/>
                <w:bCs/>
                <w:szCs w:val="29"/>
              </w:rPr>
            </w:pPr>
            <w:r>
              <w:rPr>
                <w:rFonts w:cs="Times"/>
                <w:bCs/>
                <w:szCs w:val="29"/>
              </w:rPr>
              <w:t>-</w:t>
            </w:r>
          </w:p>
        </w:tc>
      </w:tr>
    </w:tbl>
    <w:p w14:paraId="326C3F42" w14:textId="34B116C0" w:rsidR="00DC78BC" w:rsidRDefault="00310531" w:rsidP="00DC78BC">
      <w:pPr>
        <w:keepNext/>
        <w:numPr>
          <w:ilvl w:val="4"/>
          <w:numId w:val="9"/>
        </w:numPr>
        <w:spacing w:before="255" w:after="80" w:line="255" w:lineRule="exact"/>
        <w:outlineLvl w:val="4"/>
        <w:rPr>
          <w:rFonts w:cs="Times"/>
          <w:bCs/>
          <w:sz w:val="22"/>
          <w:szCs w:val="29"/>
        </w:rPr>
      </w:pPr>
      <w:bookmarkStart w:id="44" w:name="_Toc517184302"/>
      <w:r w:rsidRPr="00B27CB1">
        <w:rPr>
          <w:sz w:val="22"/>
        </w:rPr>
        <w:t>Where specific to the use, the particulars of likely direct or indirect effects, first aid instructions and emergency measures to protect the environment</w:t>
      </w:r>
      <w:bookmarkEnd w:id="44"/>
    </w:p>
    <w:tbl>
      <w:tblPr>
        <w:tblpPr w:leftFromText="141" w:rightFromText="141" w:vertAnchor="text" w:horzAnchor="margin" w:tblpX="137" w:tblpY="-13"/>
        <w:tblW w:w="0" w:type="auto"/>
        <w:tblLayout w:type="fixed"/>
        <w:tblCellMar>
          <w:top w:w="40" w:type="dxa"/>
          <w:left w:w="40" w:type="dxa"/>
          <w:bottom w:w="40" w:type="dxa"/>
          <w:right w:w="40" w:type="dxa"/>
        </w:tblCellMar>
        <w:tblLook w:val="04A0" w:firstRow="1" w:lastRow="0" w:firstColumn="1" w:lastColumn="0" w:noHBand="0" w:noVBand="1"/>
      </w:tblPr>
      <w:tblGrid>
        <w:gridCol w:w="9036"/>
      </w:tblGrid>
      <w:tr w:rsidR="00DC78BC" w:rsidRPr="00B27CB1" w14:paraId="1EE594CF" w14:textId="77777777" w:rsidTr="003F1E71">
        <w:tc>
          <w:tcPr>
            <w:tcW w:w="9036" w:type="dxa"/>
            <w:tcBorders>
              <w:top w:val="single" w:sz="4" w:space="0" w:color="000000"/>
              <w:left w:val="single" w:sz="4" w:space="0" w:color="000000"/>
              <w:bottom w:val="single" w:sz="4" w:space="0" w:color="000000"/>
              <w:right w:val="single" w:sz="4" w:space="0" w:color="000000"/>
            </w:tcBorders>
          </w:tcPr>
          <w:p w14:paraId="124291F1" w14:textId="181843D6" w:rsidR="00DC78BC" w:rsidRPr="00B27CB1" w:rsidRDefault="00DC78BC" w:rsidP="00DC78BC">
            <w:pPr>
              <w:widowControl w:val="0"/>
              <w:autoSpaceDE w:val="0"/>
              <w:snapToGrid w:val="0"/>
              <w:spacing w:before="80" w:line="254" w:lineRule="auto"/>
              <w:rPr>
                <w:rFonts w:cs="Times"/>
                <w:bCs/>
                <w:szCs w:val="29"/>
              </w:rPr>
            </w:pPr>
            <w:r>
              <w:rPr>
                <w:rFonts w:cs="Times"/>
                <w:bCs/>
                <w:szCs w:val="29"/>
              </w:rPr>
              <w:t>-</w:t>
            </w:r>
          </w:p>
        </w:tc>
      </w:tr>
    </w:tbl>
    <w:p w14:paraId="423F317F" w14:textId="30B40000" w:rsidR="00310531" w:rsidRPr="00B27CB1" w:rsidRDefault="00310531" w:rsidP="00310531">
      <w:pPr>
        <w:keepNext/>
        <w:numPr>
          <w:ilvl w:val="4"/>
          <w:numId w:val="9"/>
        </w:numPr>
        <w:spacing w:before="255" w:after="80" w:line="255" w:lineRule="exact"/>
        <w:outlineLvl w:val="4"/>
        <w:rPr>
          <w:rFonts w:cs="Times"/>
          <w:bCs/>
          <w:sz w:val="22"/>
          <w:szCs w:val="29"/>
        </w:rPr>
      </w:pPr>
      <w:bookmarkStart w:id="45" w:name="_Toc517184303"/>
      <w:r w:rsidRPr="00B27CB1">
        <w:rPr>
          <w:sz w:val="22"/>
        </w:rPr>
        <w:t>Where specific to the use, the instructions for safe disposal of the product and its packaging</w:t>
      </w:r>
      <w:bookmarkEnd w:id="45"/>
      <w:r w:rsidRPr="00B27CB1">
        <w:rPr>
          <w:sz w:val="22"/>
        </w:rPr>
        <w:t xml:space="preserve"> </w:t>
      </w:r>
    </w:p>
    <w:p w14:paraId="1976BA62" w14:textId="77777777" w:rsidR="00DC78BC" w:rsidRPr="00B27CB1" w:rsidRDefault="00DC78BC" w:rsidP="00DC78BC">
      <w:pPr>
        <w:widowControl w:val="0"/>
        <w:autoSpaceDE w:val="0"/>
        <w:snapToGrid w:val="0"/>
        <w:spacing w:before="80" w:line="254" w:lineRule="auto"/>
        <w:rPr>
          <w:rFonts w:cs="Times"/>
          <w:bCs/>
          <w:szCs w:val="29"/>
        </w:rPr>
      </w:pPr>
    </w:p>
    <w:p w14:paraId="08EBFEE8" w14:textId="02DD9305" w:rsidR="00310531" w:rsidRPr="00B27CB1" w:rsidRDefault="00DC78BC" w:rsidP="00310531">
      <w:pPr>
        <w:keepNext/>
        <w:numPr>
          <w:ilvl w:val="4"/>
          <w:numId w:val="9"/>
        </w:numPr>
        <w:spacing w:before="255" w:after="80" w:line="255" w:lineRule="exact"/>
        <w:outlineLvl w:val="4"/>
        <w:rPr>
          <w:rFonts w:cs="Times"/>
          <w:bCs/>
          <w:sz w:val="22"/>
          <w:szCs w:val="29"/>
        </w:rPr>
      </w:pPr>
      <w:r>
        <w:rPr>
          <w:rFonts w:cs="Times"/>
          <w:bCs/>
          <w:szCs w:val="29"/>
        </w:rPr>
        <w:t>-</w:t>
      </w:r>
      <w:bookmarkStart w:id="46" w:name="_Toc517184304"/>
      <w:r w:rsidR="00310531" w:rsidRPr="00B27CB1">
        <w:rPr>
          <w:sz w:val="22"/>
        </w:rPr>
        <w:t>Where specific to the use, the conditions of storage and shelf-life of the product under normal conditions of storage</w:t>
      </w:r>
      <w:bookmarkEnd w:id="4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10531" w:rsidRPr="00B27CB1" w14:paraId="451EEA6F"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09EBF54" w14:textId="6AB16C3F" w:rsidR="00310531" w:rsidRPr="00B27CB1" w:rsidRDefault="00DC78BC" w:rsidP="00310531">
            <w:pPr>
              <w:widowControl w:val="0"/>
              <w:autoSpaceDE w:val="0"/>
              <w:snapToGrid w:val="0"/>
              <w:spacing w:before="80" w:line="254" w:lineRule="auto"/>
              <w:rPr>
                <w:rFonts w:cs="Times"/>
                <w:bCs/>
                <w:szCs w:val="29"/>
              </w:rPr>
            </w:pPr>
            <w:r>
              <w:rPr>
                <w:rFonts w:cs="Times"/>
                <w:bCs/>
                <w:szCs w:val="29"/>
              </w:rPr>
              <w:t>-</w:t>
            </w:r>
          </w:p>
        </w:tc>
      </w:tr>
    </w:tbl>
    <w:p w14:paraId="4E1473E6" w14:textId="77777777" w:rsidR="00310531" w:rsidRPr="00B27CB1" w:rsidRDefault="00310531" w:rsidP="00310531">
      <w:pPr>
        <w:widowControl w:val="0"/>
        <w:autoSpaceDE w:val="0"/>
        <w:rPr>
          <w:rFonts w:cs="Times"/>
          <w:bCs/>
          <w:szCs w:val="29"/>
        </w:rPr>
      </w:pPr>
    </w:p>
    <w:p w14:paraId="6E779B6E" w14:textId="77777777" w:rsidR="00A932DC" w:rsidRPr="003F1E71" w:rsidRDefault="00A932DC" w:rsidP="00E91F85">
      <w:pPr>
        <w:pStyle w:val="Titre3"/>
        <w:rPr>
          <w:lang w:val="en-US"/>
        </w:rPr>
      </w:pPr>
      <w:bookmarkStart w:id="47" w:name="_Toc517184310"/>
      <w:bookmarkStart w:id="48" w:name="_Toc506911804"/>
      <w:bookmarkStart w:id="49" w:name="_Toc454870216"/>
      <w:bookmarkStart w:id="50" w:name="_Toc450741117"/>
      <w:bookmarkStart w:id="51" w:name="_Toc87361096"/>
      <w:bookmarkStart w:id="52" w:name="d0e1873"/>
      <w:r w:rsidRPr="003F1E71">
        <w:rPr>
          <w:lang w:val="en-US"/>
        </w:rPr>
        <w:lastRenderedPageBreak/>
        <w:t>General directions for use of the meta SPC 1</w:t>
      </w:r>
      <w:bookmarkEnd w:id="47"/>
      <w:bookmarkEnd w:id="48"/>
      <w:bookmarkEnd w:id="49"/>
      <w:bookmarkEnd w:id="50"/>
      <w:bookmarkEnd w:id="51"/>
    </w:p>
    <w:p w14:paraId="7D92B1AF" w14:textId="77777777" w:rsidR="00A932DC" w:rsidRPr="00B27CB1" w:rsidRDefault="00A932DC" w:rsidP="00A932DC">
      <w:pPr>
        <w:keepNext/>
        <w:numPr>
          <w:ilvl w:val="3"/>
          <w:numId w:val="6"/>
        </w:numPr>
        <w:spacing w:before="240" w:after="120"/>
        <w:jc w:val="both"/>
        <w:outlineLvl w:val="3"/>
        <w:rPr>
          <w:rFonts w:eastAsia="Calibri"/>
          <w:sz w:val="22"/>
          <w:szCs w:val="24"/>
        </w:rPr>
      </w:pPr>
      <w:bookmarkStart w:id="53" w:name="_Toc517184311"/>
      <w:bookmarkStart w:id="54" w:name="_Toc506911805"/>
      <w:bookmarkStart w:id="55" w:name="_Toc454870217"/>
      <w:bookmarkStart w:id="56" w:name="_Toc450741118"/>
      <w:bookmarkEnd w:id="52"/>
      <w:r w:rsidRPr="00B27CB1">
        <w:rPr>
          <w:rFonts w:eastAsia="Calibri"/>
          <w:sz w:val="22"/>
          <w:szCs w:val="24"/>
        </w:rPr>
        <w:t>Instructions for use</w:t>
      </w:r>
      <w:bookmarkEnd w:id="53"/>
      <w:bookmarkEnd w:id="54"/>
      <w:bookmarkEnd w:id="55"/>
      <w:bookmarkEnd w:id="56"/>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3EE84FF9"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0058D7" w14:textId="001ECC1B" w:rsidR="003E7958" w:rsidRDefault="00753187" w:rsidP="003F1E71">
            <w:pPr>
              <w:keepNext/>
              <w:widowControl w:val="0"/>
              <w:numPr>
                <w:ilvl w:val="0"/>
                <w:numId w:val="7"/>
              </w:numPr>
              <w:suppressAutoHyphens w:val="0"/>
              <w:autoSpaceDE w:val="0"/>
              <w:ind w:left="357" w:hanging="357"/>
              <w:jc w:val="both"/>
              <w:rPr>
                <w:bCs/>
                <w:iCs/>
              </w:rPr>
            </w:pPr>
            <w:r>
              <w:rPr>
                <w:bCs/>
                <w:iCs/>
              </w:rPr>
              <w:t>Read carefully and follow all instructions</w:t>
            </w:r>
            <w:r w:rsidR="00F340E3">
              <w:rPr>
                <w:bCs/>
                <w:iCs/>
              </w:rPr>
              <w:t>.</w:t>
            </w:r>
          </w:p>
          <w:p w14:paraId="04376630" w14:textId="773509A1" w:rsidR="00657F12" w:rsidRPr="00E91F85" w:rsidRDefault="00657F12" w:rsidP="003F1E71">
            <w:pPr>
              <w:keepNext/>
              <w:widowControl w:val="0"/>
              <w:numPr>
                <w:ilvl w:val="0"/>
                <w:numId w:val="7"/>
              </w:numPr>
              <w:suppressAutoHyphens w:val="0"/>
              <w:autoSpaceDE w:val="0"/>
              <w:ind w:left="357" w:hanging="357"/>
              <w:jc w:val="both"/>
              <w:rPr>
                <w:bCs/>
                <w:iCs/>
              </w:rPr>
            </w:pPr>
            <w:r w:rsidRPr="00E91F85">
              <w:rPr>
                <w:bCs/>
                <w:iCs/>
              </w:rPr>
              <w:t>Respect the conditions of use of the product (concentration, contact time, temperature, pH, etc.)</w:t>
            </w:r>
            <w:r w:rsidR="009E07D6">
              <w:rPr>
                <w:bCs/>
                <w:iCs/>
              </w:rPr>
              <w:t>.</w:t>
            </w:r>
          </w:p>
          <w:p w14:paraId="4FBF195E" w14:textId="77777777" w:rsidR="003E7958" w:rsidRDefault="00657F12" w:rsidP="003F1E71">
            <w:pPr>
              <w:keepNext/>
              <w:widowControl w:val="0"/>
              <w:numPr>
                <w:ilvl w:val="0"/>
                <w:numId w:val="7"/>
              </w:numPr>
              <w:suppressAutoHyphens w:val="0"/>
              <w:autoSpaceDE w:val="0"/>
              <w:ind w:left="357" w:hanging="357"/>
              <w:jc w:val="both"/>
              <w:rPr>
                <w:bCs/>
                <w:iCs/>
              </w:rPr>
            </w:pPr>
            <w:r w:rsidRPr="00E91F85">
              <w:rPr>
                <w:bCs/>
                <w:iCs/>
              </w:rPr>
              <w:t>Inform the registration holder if the treatment is ineffective.</w:t>
            </w:r>
          </w:p>
          <w:p w14:paraId="7FB787F9" w14:textId="2E09027C" w:rsidR="003E7958" w:rsidRPr="008C0E41" w:rsidRDefault="00E042E9" w:rsidP="00E042E9">
            <w:pPr>
              <w:keepNext/>
              <w:widowControl w:val="0"/>
              <w:numPr>
                <w:ilvl w:val="0"/>
                <w:numId w:val="7"/>
              </w:numPr>
              <w:suppressAutoHyphens w:val="0"/>
              <w:autoSpaceDE w:val="0"/>
              <w:ind w:left="357" w:hanging="357"/>
              <w:jc w:val="both"/>
              <w:rPr>
                <w:bCs/>
                <w:iCs/>
              </w:rPr>
            </w:pPr>
            <w:r>
              <w:rPr>
                <w:rFonts w:cs="Times"/>
                <w:bCs/>
                <w:szCs w:val="29"/>
              </w:rPr>
              <w:t>Product</w:t>
            </w:r>
            <w:r w:rsidR="00FB5572" w:rsidRPr="00533866">
              <w:rPr>
                <w:rFonts w:cs="Times"/>
                <w:bCs/>
                <w:szCs w:val="29"/>
              </w:rPr>
              <w:t xml:space="preserve"> ha</w:t>
            </w:r>
            <w:r>
              <w:rPr>
                <w:rFonts w:cs="Times"/>
                <w:bCs/>
                <w:szCs w:val="29"/>
              </w:rPr>
              <w:t xml:space="preserve">s </w:t>
            </w:r>
            <w:r w:rsidR="00FB5572" w:rsidRPr="00533866">
              <w:rPr>
                <w:rFonts w:cs="Times"/>
                <w:bCs/>
                <w:szCs w:val="29"/>
              </w:rPr>
              <w:t xml:space="preserve">been tested against </w:t>
            </w:r>
            <w:r w:rsidR="00FB5572">
              <w:rPr>
                <w:rFonts w:cs="Times"/>
                <w:bCs/>
                <w:szCs w:val="29"/>
              </w:rPr>
              <w:t>bacteria</w:t>
            </w:r>
            <w:r w:rsidR="00FB5572" w:rsidRPr="00533866">
              <w:rPr>
                <w:rFonts w:cs="Times"/>
                <w:bCs/>
                <w:szCs w:val="29"/>
              </w:rPr>
              <w:t>, including</w:t>
            </w:r>
            <w:r w:rsidR="00FB5572">
              <w:rPr>
                <w:rFonts w:cs="Times"/>
                <w:bCs/>
                <w:szCs w:val="29"/>
              </w:rPr>
              <w:t xml:space="preserve"> </w:t>
            </w:r>
            <w:r w:rsidR="00FB5572" w:rsidRPr="003F1E71">
              <w:rPr>
                <w:rFonts w:cs="Arial"/>
                <w:bCs/>
                <w:i/>
                <w:lang w:eastAsia="de-DE"/>
              </w:rPr>
              <w:t>Bartonella henselae</w:t>
            </w:r>
            <w:r w:rsidR="00FB5572">
              <w:rPr>
                <w:rFonts w:ascii="Arial" w:hAnsi="Arial" w:cs="Arial"/>
                <w:bCs/>
                <w:i/>
                <w:lang w:eastAsia="de-DE"/>
              </w:rPr>
              <w:t xml:space="preserve"> </w:t>
            </w:r>
            <w:r w:rsidR="00FB5572" w:rsidRPr="00FB5572">
              <w:rPr>
                <w:rFonts w:cs="Times"/>
                <w:bCs/>
                <w:szCs w:val="29"/>
              </w:rPr>
              <w:t>(agent of cat scratch disease)</w:t>
            </w:r>
          </w:p>
        </w:tc>
      </w:tr>
    </w:tbl>
    <w:p w14:paraId="7150C850" w14:textId="77777777" w:rsidR="00A932DC" w:rsidRPr="00B27CB1" w:rsidRDefault="00A932DC" w:rsidP="00A932DC">
      <w:pPr>
        <w:keepNext/>
        <w:numPr>
          <w:ilvl w:val="3"/>
          <w:numId w:val="6"/>
        </w:numPr>
        <w:spacing w:before="240" w:after="120"/>
        <w:jc w:val="both"/>
        <w:outlineLvl w:val="3"/>
        <w:rPr>
          <w:rFonts w:eastAsia="Calibri"/>
          <w:sz w:val="22"/>
          <w:szCs w:val="24"/>
        </w:rPr>
      </w:pPr>
      <w:bookmarkStart w:id="57" w:name="_Toc517184312"/>
      <w:r w:rsidRPr="00B27CB1">
        <w:rPr>
          <w:rFonts w:eastAsia="Calibri"/>
          <w:sz w:val="22"/>
          <w:szCs w:val="24"/>
        </w:rPr>
        <w:t>Risk mitigation measures</w:t>
      </w:r>
      <w:bookmarkEnd w:id="5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C63984E"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4321A27E" w14:textId="488ED496" w:rsidR="00A932DC" w:rsidRPr="00B27CB1" w:rsidRDefault="00DC78BC" w:rsidP="00A932DC">
            <w:pPr>
              <w:spacing w:line="256" w:lineRule="auto"/>
              <w:jc w:val="both"/>
            </w:pPr>
            <w:r>
              <w:t>-</w:t>
            </w:r>
          </w:p>
        </w:tc>
      </w:tr>
    </w:tbl>
    <w:p w14:paraId="13D6F50E" w14:textId="77777777" w:rsidR="00A932DC" w:rsidRPr="00B27CB1" w:rsidRDefault="00A932DC" w:rsidP="00DC78BC">
      <w:pPr>
        <w:numPr>
          <w:ilvl w:val="3"/>
          <w:numId w:val="6"/>
        </w:numPr>
        <w:spacing w:before="240" w:after="120"/>
        <w:jc w:val="both"/>
        <w:outlineLvl w:val="3"/>
        <w:rPr>
          <w:rFonts w:eastAsia="Calibri"/>
          <w:sz w:val="22"/>
          <w:szCs w:val="24"/>
        </w:rPr>
      </w:pPr>
      <w:bookmarkStart w:id="58" w:name="_Toc517184313"/>
      <w:r w:rsidRPr="00B27CB1">
        <w:rPr>
          <w:rFonts w:eastAsia="Calibri"/>
          <w:sz w:val="22"/>
          <w:szCs w:val="24"/>
        </w:rPr>
        <w:t>Particulars of likely direct or indirect effects, first aid instructions and emergency measures to protect the environment</w:t>
      </w:r>
      <w:bookmarkEnd w:id="5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429D6B5"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0F50024" w14:textId="77777777" w:rsidR="000341AC" w:rsidRPr="00E91F85" w:rsidRDefault="000341AC" w:rsidP="00DC78BC">
            <w:pPr>
              <w:widowControl w:val="0"/>
              <w:numPr>
                <w:ilvl w:val="0"/>
                <w:numId w:val="7"/>
              </w:numPr>
              <w:suppressAutoHyphens w:val="0"/>
              <w:autoSpaceDE w:val="0"/>
              <w:ind w:left="357" w:hanging="357"/>
              <w:jc w:val="both"/>
              <w:rPr>
                <w:bCs/>
                <w:iCs/>
              </w:rPr>
            </w:pPr>
            <w:r w:rsidRPr="00E91F85">
              <w:rPr>
                <w:bCs/>
                <w:iCs/>
              </w:rPr>
              <w:t>Skin contact: Remove contaminated clothing and shoes. Wash contaminated skin with soap and water. Contact poison treatment specialist if symptoms occur.</w:t>
            </w:r>
          </w:p>
          <w:p w14:paraId="52131DF3" w14:textId="2237ED29" w:rsidR="000341AC" w:rsidRPr="00E91F85" w:rsidRDefault="000341AC" w:rsidP="00DC78BC">
            <w:pPr>
              <w:widowControl w:val="0"/>
              <w:numPr>
                <w:ilvl w:val="0"/>
                <w:numId w:val="7"/>
              </w:numPr>
              <w:suppressAutoHyphens w:val="0"/>
              <w:autoSpaceDE w:val="0"/>
              <w:ind w:left="357" w:hanging="357"/>
              <w:jc w:val="both"/>
              <w:rPr>
                <w:bCs/>
                <w:iCs/>
              </w:rPr>
            </w:pPr>
            <w:r w:rsidRPr="00E91F85">
              <w:rPr>
                <w:bCs/>
                <w:iC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270C7F3" w14:textId="06210918" w:rsidR="000341AC" w:rsidRPr="00E91F85" w:rsidRDefault="000341AC" w:rsidP="00DC78BC">
            <w:pPr>
              <w:widowControl w:val="0"/>
              <w:numPr>
                <w:ilvl w:val="0"/>
                <w:numId w:val="7"/>
              </w:numPr>
              <w:suppressAutoHyphens w:val="0"/>
              <w:autoSpaceDE w:val="0"/>
              <w:ind w:left="357" w:hanging="357"/>
              <w:jc w:val="both"/>
              <w:rPr>
                <w:bCs/>
                <w:iCs/>
              </w:rPr>
            </w:pPr>
            <w:r w:rsidRPr="00E91F85">
              <w:rPr>
                <w:bCs/>
                <w:iCs/>
              </w:rPr>
              <w:t>Ingestion: Wash out mouth with water. Contact poison treatment specialist. Seek medical advice immediately if symptoms occur and/or large quantities have been ingested.</w:t>
            </w:r>
          </w:p>
          <w:p w14:paraId="7BB37DF4" w14:textId="77777777" w:rsidR="000341AC" w:rsidRPr="00E91F85" w:rsidRDefault="000341AC" w:rsidP="00DC78BC">
            <w:pPr>
              <w:widowControl w:val="0"/>
              <w:numPr>
                <w:ilvl w:val="0"/>
                <w:numId w:val="7"/>
              </w:numPr>
              <w:suppressAutoHyphens w:val="0"/>
              <w:autoSpaceDE w:val="0"/>
              <w:ind w:left="357" w:hanging="357"/>
              <w:jc w:val="both"/>
              <w:rPr>
                <w:bCs/>
                <w:iCs/>
              </w:rPr>
            </w:pPr>
            <w:r w:rsidRPr="00E91F85">
              <w:rPr>
                <w:bCs/>
                <w:iCs/>
              </w:rPr>
              <w:t>Inhalation (spray mist): Remove victim to fresh air and keep at rest in a position comfortable for breathing. Seek medical advice immediately if symptoms occur and/or large quantities have been inhaled.</w:t>
            </w:r>
          </w:p>
          <w:p w14:paraId="2FF40130" w14:textId="77777777" w:rsidR="000341AC" w:rsidRPr="00E91F85" w:rsidRDefault="000341AC" w:rsidP="00DC78BC">
            <w:pPr>
              <w:widowControl w:val="0"/>
              <w:numPr>
                <w:ilvl w:val="0"/>
                <w:numId w:val="7"/>
              </w:numPr>
              <w:suppressAutoHyphens w:val="0"/>
              <w:autoSpaceDE w:val="0"/>
              <w:ind w:left="357" w:hanging="357"/>
              <w:jc w:val="both"/>
              <w:rPr>
                <w:bCs/>
                <w:iCs/>
              </w:rPr>
            </w:pPr>
            <w:r w:rsidRPr="00E91F85">
              <w:rPr>
                <w:bCs/>
                <w:iCs/>
              </w:rPr>
              <w:t>In case of impaired consciousness place in recovery position and seek medical advice immediately. Do not give fluids or induce vomiting.</w:t>
            </w:r>
          </w:p>
          <w:p w14:paraId="44F4C6BF" w14:textId="11EB6E91" w:rsidR="003E7958" w:rsidRPr="00F340E3" w:rsidRDefault="000341AC" w:rsidP="00DC78BC">
            <w:pPr>
              <w:widowControl w:val="0"/>
              <w:numPr>
                <w:ilvl w:val="0"/>
                <w:numId w:val="7"/>
              </w:numPr>
              <w:suppressAutoHyphens w:val="0"/>
              <w:autoSpaceDE w:val="0"/>
              <w:ind w:left="357" w:hanging="357"/>
              <w:jc w:val="both"/>
              <w:rPr>
                <w:bCs/>
                <w:iCs/>
              </w:rPr>
            </w:pPr>
            <w:r w:rsidRPr="00E91F85">
              <w:rPr>
                <w:bCs/>
                <w:iCs/>
              </w:rPr>
              <w:t>Keep the container or label available.</w:t>
            </w:r>
          </w:p>
          <w:p w14:paraId="3883D25C" w14:textId="3F44DFC3" w:rsidR="00A932DC" w:rsidRPr="00B27CB1" w:rsidRDefault="00293640" w:rsidP="00DC78BC">
            <w:pPr>
              <w:widowControl w:val="0"/>
              <w:numPr>
                <w:ilvl w:val="0"/>
                <w:numId w:val="7"/>
              </w:numPr>
              <w:suppressAutoHyphens w:val="0"/>
              <w:autoSpaceDE w:val="0"/>
              <w:ind w:left="357" w:hanging="357"/>
              <w:jc w:val="both"/>
            </w:pPr>
            <w:r w:rsidRPr="00C826CA">
              <w:rPr>
                <w:bCs/>
                <w:iCs/>
              </w:rPr>
              <w:t>If medical advice is needed, have product container or label at hand.</w:t>
            </w:r>
          </w:p>
        </w:tc>
      </w:tr>
    </w:tbl>
    <w:p w14:paraId="441EBBF0" w14:textId="77777777" w:rsidR="00A932DC" w:rsidRPr="00B27CB1" w:rsidRDefault="00A932DC" w:rsidP="00A932DC">
      <w:pPr>
        <w:keepNext/>
        <w:numPr>
          <w:ilvl w:val="3"/>
          <w:numId w:val="6"/>
        </w:numPr>
        <w:spacing w:before="240" w:after="120"/>
        <w:jc w:val="both"/>
        <w:outlineLvl w:val="3"/>
        <w:rPr>
          <w:rFonts w:eastAsia="Calibri"/>
          <w:sz w:val="22"/>
          <w:szCs w:val="24"/>
        </w:rPr>
      </w:pPr>
      <w:bookmarkStart w:id="59" w:name="_Toc517184314"/>
      <w:r w:rsidRPr="00B27CB1">
        <w:rPr>
          <w:rFonts w:eastAsia="Calibri"/>
          <w:sz w:val="22"/>
          <w:szCs w:val="24"/>
        </w:rPr>
        <w:t>Instructions for safe disposal of the product and its packaging</w:t>
      </w:r>
      <w:bookmarkEnd w:id="5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DD9E8E0"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16DD02F" w14:textId="74634FFD" w:rsidR="00D463CD" w:rsidRPr="00E91F85" w:rsidRDefault="00D463CD" w:rsidP="00DC78BC">
            <w:pPr>
              <w:keepNext/>
              <w:widowControl w:val="0"/>
              <w:numPr>
                <w:ilvl w:val="0"/>
                <w:numId w:val="7"/>
              </w:numPr>
              <w:suppressAutoHyphens w:val="0"/>
              <w:autoSpaceDE w:val="0"/>
              <w:ind w:left="357" w:hanging="357"/>
              <w:jc w:val="both"/>
              <w:rPr>
                <w:bCs/>
                <w:iCs/>
              </w:rPr>
            </w:pPr>
            <w:r w:rsidRPr="00E91F85">
              <w:rPr>
                <w:bCs/>
                <w:iCs/>
              </w:rPr>
              <w:t>Do not discharge unused product on the ground, into water courses, into pipes (sink, toilets…) nor down the drains</w:t>
            </w:r>
            <w:r w:rsidR="00F340E3">
              <w:rPr>
                <w:bCs/>
                <w:iCs/>
              </w:rPr>
              <w:t>.</w:t>
            </w:r>
          </w:p>
          <w:p w14:paraId="6A1CCC63" w14:textId="37120766" w:rsidR="00A932DC" w:rsidRPr="00B27CB1" w:rsidRDefault="00D463CD" w:rsidP="00DC78BC">
            <w:pPr>
              <w:keepNext/>
              <w:widowControl w:val="0"/>
              <w:numPr>
                <w:ilvl w:val="0"/>
                <w:numId w:val="7"/>
              </w:numPr>
              <w:suppressAutoHyphens w:val="0"/>
              <w:autoSpaceDE w:val="0"/>
              <w:ind w:left="357" w:hanging="357"/>
              <w:jc w:val="both"/>
            </w:pPr>
            <w:r w:rsidRPr="00E91F85">
              <w:rPr>
                <w:bCs/>
                <w:iCs/>
              </w:rPr>
              <w:t>Dispose of unused product, its packaging and all other waste, in accordance with local regulations</w:t>
            </w:r>
            <w:r w:rsidR="00F340E3">
              <w:rPr>
                <w:bCs/>
                <w:iCs/>
              </w:rPr>
              <w:t>.</w:t>
            </w:r>
          </w:p>
        </w:tc>
      </w:tr>
    </w:tbl>
    <w:p w14:paraId="5BC7BD54" w14:textId="77777777" w:rsidR="00A932DC" w:rsidRPr="00B27CB1" w:rsidRDefault="00A932DC" w:rsidP="00A932DC">
      <w:pPr>
        <w:keepNext/>
        <w:numPr>
          <w:ilvl w:val="3"/>
          <w:numId w:val="6"/>
        </w:numPr>
        <w:spacing w:before="240" w:after="120"/>
        <w:jc w:val="both"/>
        <w:outlineLvl w:val="3"/>
        <w:rPr>
          <w:rFonts w:eastAsia="Calibri"/>
          <w:sz w:val="22"/>
          <w:szCs w:val="24"/>
        </w:rPr>
      </w:pPr>
      <w:bookmarkStart w:id="60" w:name="_Toc517184315"/>
      <w:r w:rsidRPr="00B27CB1">
        <w:rPr>
          <w:rFonts w:eastAsia="Calibri"/>
          <w:sz w:val="22"/>
          <w:szCs w:val="24"/>
        </w:rPr>
        <w:t>Conditions of storage and shelf-life of the product under normal conditions of storage</w:t>
      </w:r>
      <w:bookmarkEnd w:id="6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4520750A"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546233F4" w14:textId="783BCDC5" w:rsidR="00A932DC" w:rsidRPr="00F340E3" w:rsidRDefault="00C97330" w:rsidP="00DC78BC">
            <w:pPr>
              <w:keepNext/>
              <w:widowControl w:val="0"/>
              <w:numPr>
                <w:ilvl w:val="0"/>
                <w:numId w:val="7"/>
              </w:numPr>
              <w:suppressAutoHyphens w:val="0"/>
              <w:autoSpaceDE w:val="0"/>
              <w:ind w:left="357" w:hanging="357"/>
              <w:jc w:val="both"/>
              <w:rPr>
                <w:bCs/>
                <w:iCs/>
              </w:rPr>
            </w:pPr>
            <w:r w:rsidRPr="00F340E3">
              <w:rPr>
                <w:bCs/>
                <w:iCs/>
              </w:rPr>
              <w:t>Shelf life: 2 years</w:t>
            </w:r>
            <w:r w:rsidR="00F340E3">
              <w:rPr>
                <w:bCs/>
                <w:iCs/>
              </w:rPr>
              <w:t>.</w:t>
            </w:r>
          </w:p>
          <w:p w14:paraId="18B72559" w14:textId="53922DA5" w:rsidR="00390574" w:rsidRPr="00B27CB1" w:rsidRDefault="00390574" w:rsidP="00DC78BC">
            <w:pPr>
              <w:keepNext/>
              <w:widowControl w:val="0"/>
              <w:numPr>
                <w:ilvl w:val="0"/>
                <w:numId w:val="7"/>
              </w:numPr>
              <w:suppressAutoHyphens w:val="0"/>
              <w:autoSpaceDE w:val="0"/>
              <w:ind w:left="357" w:hanging="357"/>
              <w:jc w:val="both"/>
              <w:rPr>
                <w:lang w:eastAsia="fi-FI"/>
              </w:rPr>
            </w:pPr>
            <w:r w:rsidRPr="00E91F85">
              <w:rPr>
                <w:bCs/>
                <w:iCs/>
              </w:rPr>
              <w:t>Keep out of reach of children</w:t>
            </w:r>
            <w:r w:rsidR="00791036">
              <w:rPr>
                <w:bCs/>
                <w:iCs/>
              </w:rPr>
              <w:t xml:space="preserve"> and pets</w:t>
            </w:r>
            <w:r w:rsidRPr="00E91F85">
              <w:rPr>
                <w:bCs/>
                <w:iCs/>
              </w:rPr>
              <w:t>.</w:t>
            </w:r>
          </w:p>
        </w:tc>
      </w:tr>
    </w:tbl>
    <w:p w14:paraId="0936D2D5" w14:textId="77777777" w:rsidR="00A932DC" w:rsidRPr="00B27CB1" w:rsidRDefault="00A932DC" w:rsidP="00A932DC">
      <w:pPr>
        <w:widowControl w:val="0"/>
        <w:autoSpaceDE w:val="0"/>
        <w:rPr>
          <w:bCs/>
          <w:iCs/>
          <w:szCs w:val="22"/>
        </w:rPr>
      </w:pPr>
    </w:p>
    <w:p w14:paraId="1742F2D3" w14:textId="77777777" w:rsidR="00A932DC" w:rsidRPr="00B27CB1" w:rsidRDefault="00A932DC" w:rsidP="00E91F85">
      <w:pPr>
        <w:pStyle w:val="Titre3"/>
      </w:pPr>
      <w:bookmarkStart w:id="61" w:name="_Toc517184316"/>
      <w:bookmarkStart w:id="62" w:name="_Toc87361097"/>
      <w:r w:rsidRPr="00B27CB1">
        <w:t>Other information</w:t>
      </w:r>
      <w:bookmarkEnd w:id="61"/>
      <w:bookmarkEnd w:id="6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4C411348"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E6A3A07" w14:textId="4872762C" w:rsidR="00A932DC" w:rsidRPr="00B27CB1" w:rsidRDefault="00DC78BC" w:rsidP="00A932DC">
            <w:pPr>
              <w:widowControl w:val="0"/>
              <w:autoSpaceDE w:val="0"/>
              <w:snapToGrid w:val="0"/>
              <w:spacing w:line="256" w:lineRule="auto"/>
              <w:jc w:val="both"/>
            </w:pPr>
            <w:r>
              <w:t>-</w:t>
            </w:r>
          </w:p>
        </w:tc>
      </w:tr>
    </w:tbl>
    <w:p w14:paraId="778D8AFE" w14:textId="77777777" w:rsidR="00A932DC" w:rsidRPr="00B27CB1" w:rsidRDefault="00A932DC" w:rsidP="00A932DC"/>
    <w:p w14:paraId="0C1A2A50" w14:textId="77777777" w:rsidR="00A932DC" w:rsidRPr="00B27CB1" w:rsidRDefault="00A932DC" w:rsidP="00A932DC"/>
    <w:p w14:paraId="62D5F23D" w14:textId="77777777" w:rsidR="00A932DC" w:rsidRPr="00B27CB1" w:rsidRDefault="00A932DC" w:rsidP="00A932DC"/>
    <w:p w14:paraId="44BAEA52" w14:textId="77777777" w:rsidR="00A932DC" w:rsidRPr="00B27CB1" w:rsidRDefault="00A932DC" w:rsidP="00A932DC"/>
    <w:p w14:paraId="51BC35A9" w14:textId="7777777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1</w:t>
      </w:r>
    </w:p>
    <w:p w14:paraId="3C63877C" w14:textId="77777777" w:rsidR="00A932DC" w:rsidRPr="00B27CB1" w:rsidRDefault="00A932DC" w:rsidP="00A932DC">
      <w:pPr>
        <w:widowControl w:val="0"/>
        <w:autoSpaceDE w:val="0"/>
        <w:rPr>
          <w:rFonts w:cs="Times"/>
          <w:bCs/>
          <w:szCs w:val="29"/>
        </w:rPr>
      </w:pPr>
    </w:p>
    <w:p w14:paraId="515179E3" w14:textId="77777777" w:rsidR="00A932DC" w:rsidRPr="003F1E71" w:rsidRDefault="00A932DC" w:rsidP="00E91F85">
      <w:pPr>
        <w:pStyle w:val="Titre3"/>
        <w:rPr>
          <w:lang w:val="en-US"/>
        </w:rPr>
      </w:pPr>
      <w:bookmarkStart w:id="63" w:name="_Toc87361098"/>
      <w:r w:rsidRPr="003F1E71">
        <w:rPr>
          <w:lang w:val="en-US"/>
        </w:rPr>
        <w:t>Trade name(s), authorisation number and specific composition of each individual product</w:t>
      </w:r>
      <w:bookmarkEnd w:id="63"/>
    </w:p>
    <w:p w14:paraId="3DBDCB23" w14:textId="77777777"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B27CB1" w14:paraId="41C32606"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526D71B" w14:textId="77777777" w:rsidR="00A932DC" w:rsidRPr="00B27CB1" w:rsidRDefault="00A932DC" w:rsidP="00A932DC">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16F509" w14:textId="68A92142" w:rsidR="00A932DC" w:rsidRPr="00B27CB1" w:rsidRDefault="00627B6C" w:rsidP="00A932DC">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DETERGENT DESINFECTANT</w:t>
            </w:r>
          </w:p>
        </w:tc>
      </w:tr>
      <w:tr w:rsidR="00A932DC" w:rsidRPr="00B27CB1" w14:paraId="76BC3A19"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6968027" w14:textId="77777777" w:rsidR="00A932DC" w:rsidRPr="00B27CB1" w:rsidRDefault="00A932DC" w:rsidP="00A932DC">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BF5F6B" w14:textId="77777777" w:rsidR="00A932DC" w:rsidRPr="00B27CB1" w:rsidRDefault="00A932DC" w:rsidP="00A932DC">
            <w:pPr>
              <w:spacing w:line="256" w:lineRule="auto"/>
              <w:rPr>
                <w:b/>
                <w:bCs/>
                <w:szCs w:val="24"/>
                <w:lang w:eastAsia="en-GB"/>
              </w:rPr>
            </w:pPr>
          </w:p>
        </w:tc>
      </w:tr>
      <w:tr w:rsidR="00A932DC" w:rsidRPr="00B27CB1" w14:paraId="16248E18"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0DD40F" w14:textId="77777777" w:rsidR="00A932DC" w:rsidRPr="00B27CB1" w:rsidRDefault="00A932DC" w:rsidP="00A932DC">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38D0A68" w14:textId="77777777" w:rsidR="00A932DC" w:rsidRPr="00B27CB1" w:rsidRDefault="00A932DC" w:rsidP="00A932DC">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D51225" w14:textId="77777777" w:rsidR="00A932DC" w:rsidRPr="00B27CB1" w:rsidRDefault="00A932DC" w:rsidP="00A932DC">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D25F187" w14:textId="77777777" w:rsidR="00A932DC" w:rsidRPr="00B27CB1" w:rsidRDefault="00A932DC" w:rsidP="00A932D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3AFAAF2" w14:textId="77777777" w:rsidR="00A932DC" w:rsidRPr="00B27CB1" w:rsidRDefault="00A932DC" w:rsidP="00A932DC">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3DFD1F" w14:textId="77777777" w:rsidR="00A932DC" w:rsidRPr="00B27CB1" w:rsidRDefault="00A932DC" w:rsidP="00A932DC">
            <w:pPr>
              <w:spacing w:line="256" w:lineRule="auto"/>
            </w:pPr>
            <w:r w:rsidRPr="00B27CB1">
              <w:rPr>
                <w:b/>
                <w:bCs/>
                <w:szCs w:val="24"/>
                <w:lang w:eastAsia="en-GB"/>
              </w:rPr>
              <w:t>Content (%)</w:t>
            </w:r>
          </w:p>
        </w:tc>
      </w:tr>
      <w:tr w:rsidR="006B190F" w:rsidRPr="00B27CB1" w14:paraId="461B156C"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36BDD8D" w14:textId="0F3811FC" w:rsidR="006B190F" w:rsidRPr="003F1E71" w:rsidRDefault="00280428" w:rsidP="00E91F85">
            <w:pPr>
              <w:widowControl w:val="0"/>
              <w:autoSpaceDE w:val="0"/>
              <w:spacing w:line="256" w:lineRule="auto"/>
              <w:jc w:val="center"/>
              <w:rPr>
                <w:rFonts w:cs="Arial"/>
              </w:rPr>
            </w:pPr>
            <w:r w:rsidRPr="005D3980">
              <w:rPr>
                <w:rFonts w:cs="Arial"/>
              </w:rPr>
              <w:t xml:space="preserve">L(+) </w:t>
            </w:r>
            <w:r w:rsidR="006B190F" w:rsidRPr="003F1E71">
              <w:rPr>
                <w:rFonts w:cs="Arial"/>
              </w:rPr>
              <w:t>Lactic acid</w:t>
            </w: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1F31DB" w14:textId="2CD48571" w:rsidR="006B190F" w:rsidRPr="003F1E71" w:rsidRDefault="00280428" w:rsidP="00E91F85">
            <w:pPr>
              <w:widowControl w:val="0"/>
              <w:autoSpaceDE w:val="0"/>
              <w:spacing w:line="256" w:lineRule="auto"/>
              <w:jc w:val="center"/>
              <w:rPr>
                <w:rFonts w:cs="Arial"/>
              </w:rPr>
            </w:pPr>
            <w:r w:rsidRPr="00932929">
              <w:t>(S)-2-Hydroxypropanoic acid</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3C86AE9" w14:textId="30FDB551" w:rsidR="006B190F" w:rsidRPr="003F1E71" w:rsidRDefault="006B190F" w:rsidP="00E91F85">
            <w:pPr>
              <w:spacing w:line="256" w:lineRule="auto"/>
              <w:jc w:val="center"/>
              <w:rPr>
                <w:rFonts w:cs="Arial"/>
              </w:rPr>
            </w:pPr>
            <w:r w:rsidRPr="003F1E71">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ABA4A00" w14:textId="207D98A2" w:rsidR="006B190F" w:rsidRPr="003F1E71" w:rsidRDefault="006B190F" w:rsidP="00E91F85">
            <w:pPr>
              <w:spacing w:line="256" w:lineRule="auto"/>
              <w:jc w:val="center"/>
              <w:rPr>
                <w:rFonts w:cs="Arial"/>
              </w:rPr>
            </w:pPr>
            <w:r w:rsidRPr="003F1E71">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7B5EEA4" w14:textId="0D55486F" w:rsidR="006B190F" w:rsidRPr="003F1E71" w:rsidRDefault="006B190F" w:rsidP="00E91F85">
            <w:pPr>
              <w:widowControl w:val="0"/>
              <w:autoSpaceDE w:val="0"/>
              <w:spacing w:line="256" w:lineRule="auto"/>
              <w:jc w:val="center"/>
              <w:rPr>
                <w:rFonts w:cs="Arial"/>
              </w:rPr>
            </w:pPr>
            <w:r w:rsidRPr="003F1E71">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90E12B" w14:textId="1BC88C0A" w:rsidR="006B190F" w:rsidRPr="003F1E71" w:rsidRDefault="006B190F" w:rsidP="00E91F85">
            <w:pPr>
              <w:autoSpaceDE w:val="0"/>
              <w:spacing w:line="256" w:lineRule="auto"/>
              <w:jc w:val="center"/>
              <w:rPr>
                <w:rFonts w:cs="Arial"/>
              </w:rPr>
            </w:pPr>
            <w:r w:rsidRPr="003F1E71">
              <w:rPr>
                <w:rFonts w:cs="Arial"/>
              </w:rPr>
              <w:t>2.29</w:t>
            </w:r>
          </w:p>
        </w:tc>
      </w:tr>
      <w:tr w:rsidR="006B190F" w:rsidRPr="00B27CB1" w14:paraId="4FA874FC" w14:textId="77777777" w:rsidTr="00E91F85">
        <w:tc>
          <w:tcPr>
            <w:tcW w:w="2021" w:type="dxa"/>
            <w:vMerge/>
            <w:tcBorders>
              <w:top w:val="single" w:sz="4" w:space="0" w:color="000000"/>
              <w:left w:val="single" w:sz="4" w:space="0" w:color="000000"/>
              <w:bottom w:val="single" w:sz="4" w:space="0" w:color="000000"/>
              <w:right w:val="single" w:sz="4" w:space="0" w:color="000000"/>
            </w:tcBorders>
            <w:vAlign w:val="center"/>
            <w:hideMark/>
          </w:tcPr>
          <w:p w14:paraId="1811B22B" w14:textId="77777777" w:rsidR="006B190F" w:rsidRPr="003F1E71" w:rsidRDefault="006B190F" w:rsidP="00E91F85">
            <w:pPr>
              <w:suppressAutoHyphens w:val="0"/>
              <w:spacing w:line="256" w:lineRule="auto"/>
              <w:jc w:val="center"/>
              <w:rPr>
                <w:rFonts w:cs="Arial"/>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14:paraId="79ECDE9B" w14:textId="77777777" w:rsidR="006B190F" w:rsidRPr="003F1E71" w:rsidRDefault="006B190F" w:rsidP="00E91F85">
            <w:pPr>
              <w:suppressAutoHyphens w:val="0"/>
              <w:spacing w:line="256" w:lineRule="auto"/>
              <w:jc w:val="center"/>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F24C8FD" w14:textId="1021A1A5" w:rsidR="006B190F" w:rsidRPr="003F1E71" w:rsidRDefault="006B190F" w:rsidP="00E91F85">
            <w:pPr>
              <w:spacing w:line="256" w:lineRule="auto"/>
              <w:jc w:val="center"/>
              <w:rPr>
                <w:rFonts w:cs="Arial"/>
              </w:rPr>
            </w:pPr>
            <w:r w:rsidRPr="003F1E71">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13F3BF3" w14:textId="77777777" w:rsidR="006B190F" w:rsidRPr="003F1E71" w:rsidRDefault="006B190F" w:rsidP="00E91F85">
            <w:pPr>
              <w:suppressAutoHyphens w:val="0"/>
              <w:spacing w:line="256" w:lineRule="auto"/>
              <w:jc w:val="center"/>
              <w:rPr>
                <w:rFonts w:cs="Arial"/>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41EB88EF" w14:textId="77777777" w:rsidR="006B190F" w:rsidRPr="003F1E71" w:rsidRDefault="006B190F" w:rsidP="00E91F85">
            <w:pPr>
              <w:suppressAutoHyphens w:val="0"/>
              <w:spacing w:line="256" w:lineRule="auto"/>
              <w:jc w:val="center"/>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3F10062" w14:textId="3D23360B" w:rsidR="006B190F" w:rsidRPr="003F1E71" w:rsidRDefault="006B190F" w:rsidP="00E91F85">
            <w:pPr>
              <w:spacing w:line="256" w:lineRule="auto"/>
              <w:jc w:val="center"/>
              <w:rPr>
                <w:rFonts w:cs="Arial"/>
              </w:rPr>
            </w:pPr>
            <w:r w:rsidRPr="003F1E71">
              <w:rPr>
                <w:rFonts w:cs="Arial"/>
              </w:rPr>
              <w:t>2.4</w:t>
            </w:r>
          </w:p>
        </w:tc>
      </w:tr>
    </w:tbl>
    <w:p w14:paraId="3DD9550E" w14:textId="77777777" w:rsidR="00A932DC" w:rsidRPr="00B27CB1" w:rsidRDefault="00A932DC" w:rsidP="00A932DC"/>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627B6C" w:rsidRPr="00B27CB1" w14:paraId="6F91BA53"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16E938B" w14:textId="77777777" w:rsidR="00627B6C" w:rsidRPr="00B27CB1" w:rsidRDefault="00627B6C"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82FB10" w14:textId="77777777" w:rsidR="00627B6C" w:rsidRPr="005A150D" w:rsidRDefault="00627B6C"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ANTI CALCAIRE DESINFECTANT SALLE DE BAINS</w:t>
            </w:r>
          </w:p>
          <w:p w14:paraId="5A1EEDB2" w14:textId="2CDEF7E9" w:rsidR="00627B6C" w:rsidRPr="00B27CB1" w:rsidRDefault="00627B6C" w:rsidP="00685495">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ANTI CALCAIRE DESINFECTANT</w:t>
            </w:r>
          </w:p>
        </w:tc>
      </w:tr>
      <w:tr w:rsidR="00627B6C" w:rsidRPr="00B27CB1" w14:paraId="68AD49B5"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A5FB3D" w14:textId="77777777" w:rsidR="00627B6C" w:rsidRPr="00B27CB1" w:rsidRDefault="00627B6C"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A41B05" w14:textId="77777777" w:rsidR="00627B6C" w:rsidRPr="00B27CB1" w:rsidRDefault="00627B6C" w:rsidP="00685495">
            <w:pPr>
              <w:spacing w:line="256" w:lineRule="auto"/>
              <w:rPr>
                <w:b/>
                <w:bCs/>
                <w:szCs w:val="24"/>
                <w:lang w:eastAsia="en-GB"/>
              </w:rPr>
            </w:pPr>
          </w:p>
        </w:tc>
      </w:tr>
      <w:tr w:rsidR="00627B6C" w:rsidRPr="00B27CB1" w14:paraId="559C9E61"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F19C1D" w14:textId="77777777" w:rsidR="00627B6C" w:rsidRPr="00B27CB1" w:rsidRDefault="00627B6C" w:rsidP="00685495">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FEEBF1" w14:textId="77777777" w:rsidR="00627B6C" w:rsidRPr="00B27CB1" w:rsidRDefault="00627B6C" w:rsidP="00685495">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BAE2324" w14:textId="77777777" w:rsidR="00627B6C" w:rsidRPr="00B27CB1" w:rsidRDefault="00627B6C"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286E476" w14:textId="77777777" w:rsidR="00627B6C" w:rsidRPr="00B27CB1" w:rsidRDefault="00627B6C"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BF75F2E" w14:textId="77777777" w:rsidR="00627B6C" w:rsidRPr="00B27CB1" w:rsidRDefault="00627B6C"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0B3928" w14:textId="77777777" w:rsidR="00627B6C" w:rsidRPr="00B27CB1" w:rsidRDefault="00627B6C" w:rsidP="00685495">
            <w:pPr>
              <w:spacing w:line="256" w:lineRule="auto"/>
            </w:pPr>
            <w:r w:rsidRPr="00B27CB1">
              <w:rPr>
                <w:b/>
                <w:bCs/>
                <w:szCs w:val="24"/>
                <w:lang w:eastAsia="en-GB"/>
              </w:rPr>
              <w:t>Content (%)</w:t>
            </w:r>
          </w:p>
        </w:tc>
      </w:tr>
      <w:tr w:rsidR="006B190F" w:rsidRPr="00B27CB1" w14:paraId="28399BCB"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74C9F9" w14:textId="661F2623" w:rsidR="006B190F" w:rsidRPr="003F1E71" w:rsidRDefault="00280428" w:rsidP="00E91F85">
            <w:pPr>
              <w:widowControl w:val="0"/>
              <w:autoSpaceDE w:val="0"/>
              <w:spacing w:line="256" w:lineRule="auto"/>
              <w:jc w:val="center"/>
              <w:rPr>
                <w:rFonts w:cs="Arial"/>
                <w:bCs/>
              </w:rPr>
            </w:pPr>
            <w:r w:rsidRPr="005D3980">
              <w:rPr>
                <w:rFonts w:cs="Arial"/>
              </w:rPr>
              <w:t xml:space="preserve">L(+) </w:t>
            </w:r>
            <w:r w:rsidR="006B190F" w:rsidRPr="003F1E71">
              <w:rPr>
                <w:rFonts w:cs="Arial"/>
              </w:rPr>
              <w:t>Lactic acid</w:t>
            </w: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F755463" w14:textId="01AFAD52" w:rsidR="006B190F" w:rsidRPr="003F1E71" w:rsidRDefault="00280428" w:rsidP="00E91F85">
            <w:pPr>
              <w:widowControl w:val="0"/>
              <w:autoSpaceDE w:val="0"/>
              <w:spacing w:line="256" w:lineRule="auto"/>
              <w:jc w:val="center"/>
              <w:rPr>
                <w:rFonts w:cs="Arial"/>
                <w:bCs/>
              </w:rPr>
            </w:pPr>
            <w:r w:rsidRPr="00932929">
              <w:t>(S)-2-Hydroxypropanoic acid</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333286B" w14:textId="4041B861" w:rsidR="006B190F" w:rsidRPr="003F1E71" w:rsidRDefault="006B190F" w:rsidP="00E91F85">
            <w:pPr>
              <w:spacing w:line="256" w:lineRule="auto"/>
              <w:jc w:val="center"/>
              <w:rPr>
                <w:rFonts w:cs="Arial"/>
              </w:rPr>
            </w:pPr>
            <w:r w:rsidRPr="003F1E71">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A24B2B" w14:textId="5D17C687" w:rsidR="006B190F" w:rsidRPr="003F1E71" w:rsidRDefault="006B190F" w:rsidP="00E91F85">
            <w:pPr>
              <w:spacing w:line="256" w:lineRule="auto"/>
              <w:jc w:val="center"/>
              <w:rPr>
                <w:rFonts w:cs="Arial"/>
              </w:rPr>
            </w:pPr>
            <w:r w:rsidRPr="003F1E71">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92A703C" w14:textId="74280F78" w:rsidR="006B190F" w:rsidRPr="003F1E71" w:rsidRDefault="006B190F" w:rsidP="00E91F85">
            <w:pPr>
              <w:widowControl w:val="0"/>
              <w:autoSpaceDE w:val="0"/>
              <w:spacing w:line="256" w:lineRule="auto"/>
              <w:jc w:val="center"/>
              <w:rPr>
                <w:rFonts w:cs="Arial"/>
                <w:bCs/>
              </w:rPr>
            </w:pPr>
            <w:r w:rsidRPr="003F1E71">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C208FCE" w14:textId="3FE6540C" w:rsidR="006B190F" w:rsidRPr="003F1E71" w:rsidRDefault="006B190F" w:rsidP="00E91F85">
            <w:pPr>
              <w:autoSpaceDE w:val="0"/>
              <w:spacing w:line="256" w:lineRule="auto"/>
              <w:jc w:val="center"/>
              <w:rPr>
                <w:rFonts w:cs="Arial"/>
                <w:color w:val="000000"/>
              </w:rPr>
            </w:pPr>
            <w:r w:rsidRPr="003F1E71">
              <w:rPr>
                <w:rFonts w:cs="Arial"/>
              </w:rPr>
              <w:t>2.29</w:t>
            </w:r>
          </w:p>
        </w:tc>
      </w:tr>
      <w:tr w:rsidR="006B190F" w:rsidRPr="00B27CB1" w14:paraId="552A71E6" w14:textId="77777777" w:rsidTr="00E91F85">
        <w:tc>
          <w:tcPr>
            <w:tcW w:w="2021" w:type="dxa"/>
            <w:vMerge/>
            <w:tcBorders>
              <w:top w:val="single" w:sz="4" w:space="0" w:color="000000"/>
              <w:left w:val="single" w:sz="4" w:space="0" w:color="000000"/>
              <w:bottom w:val="single" w:sz="4" w:space="0" w:color="000000"/>
              <w:right w:val="single" w:sz="4" w:space="0" w:color="000000"/>
            </w:tcBorders>
            <w:vAlign w:val="center"/>
            <w:hideMark/>
          </w:tcPr>
          <w:p w14:paraId="451A78F0" w14:textId="77777777" w:rsidR="006B190F" w:rsidRPr="003F1E71" w:rsidRDefault="006B190F" w:rsidP="00E91F85">
            <w:pPr>
              <w:suppressAutoHyphens w:val="0"/>
              <w:spacing w:line="256" w:lineRule="auto"/>
              <w:jc w:val="center"/>
              <w:rPr>
                <w:rFonts w:cs="Arial"/>
                <w:bCs/>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14:paraId="239E5FE3" w14:textId="77777777" w:rsidR="006B190F" w:rsidRPr="003F1E71" w:rsidRDefault="006B190F" w:rsidP="00E91F85">
            <w:pPr>
              <w:suppressAutoHyphens w:val="0"/>
              <w:spacing w:line="256" w:lineRule="auto"/>
              <w:jc w:val="center"/>
              <w:rPr>
                <w:rFonts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DD152FF" w14:textId="344B4857" w:rsidR="006B190F" w:rsidRPr="003F1E71" w:rsidRDefault="006B190F" w:rsidP="00E91F85">
            <w:pPr>
              <w:spacing w:line="256" w:lineRule="auto"/>
              <w:jc w:val="center"/>
              <w:rPr>
                <w:rFonts w:cs="Arial"/>
                <w:color w:val="000000"/>
                <w:lang w:eastAsia="fr-FR"/>
              </w:rPr>
            </w:pPr>
            <w:r w:rsidRPr="003F1E71">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269B7B6" w14:textId="77777777" w:rsidR="006B190F" w:rsidRPr="003F1E71" w:rsidRDefault="006B190F" w:rsidP="00E91F85">
            <w:pPr>
              <w:suppressAutoHyphens w:val="0"/>
              <w:spacing w:line="256" w:lineRule="auto"/>
              <w:jc w:val="center"/>
              <w:rPr>
                <w:rFonts w:cs="Arial"/>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1CB98800" w14:textId="77777777" w:rsidR="006B190F" w:rsidRPr="003F1E71" w:rsidRDefault="006B190F" w:rsidP="00E91F85">
            <w:pPr>
              <w:suppressAutoHyphens w:val="0"/>
              <w:spacing w:line="256" w:lineRule="auto"/>
              <w:jc w:val="center"/>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A33B66" w14:textId="29D537EC" w:rsidR="006B190F" w:rsidRPr="003F1E71" w:rsidRDefault="006B190F" w:rsidP="00E91F85">
            <w:pPr>
              <w:spacing w:line="256" w:lineRule="auto"/>
              <w:jc w:val="center"/>
              <w:rPr>
                <w:rFonts w:cs="Arial"/>
              </w:rPr>
            </w:pPr>
            <w:r w:rsidRPr="003F1E71">
              <w:rPr>
                <w:rFonts w:cs="Arial"/>
              </w:rPr>
              <w:t>2.4</w:t>
            </w:r>
          </w:p>
        </w:tc>
      </w:tr>
    </w:tbl>
    <w:p w14:paraId="14373BCD" w14:textId="40708ADA" w:rsidR="00627B6C" w:rsidRPr="00B27CB1" w:rsidRDefault="00627B6C" w:rsidP="00A932DC"/>
    <w:p w14:paraId="388BAEE7" w14:textId="77777777" w:rsidR="00627B6C" w:rsidRPr="00B27CB1" w:rsidRDefault="00627B6C" w:rsidP="00A932DC"/>
    <w:p w14:paraId="12A4C2AA" w14:textId="7777777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2</w:t>
      </w:r>
    </w:p>
    <w:p w14:paraId="55CCB8FE" w14:textId="77777777" w:rsidR="00A932DC" w:rsidRPr="00B27CB1" w:rsidRDefault="00A932DC" w:rsidP="00A932DC"/>
    <w:p w14:paraId="29E1BBD2" w14:textId="77777777" w:rsidR="00A932DC" w:rsidRPr="00B27CB1" w:rsidRDefault="00A932DC" w:rsidP="00E91F85">
      <w:pPr>
        <w:pStyle w:val="Titre3"/>
      </w:pPr>
      <w:bookmarkStart w:id="64" w:name="_Toc87361099"/>
      <w:r w:rsidRPr="00B27CB1">
        <w:t>Meta SPC 2 administrative information</w:t>
      </w:r>
      <w:bookmarkEnd w:id="64"/>
    </w:p>
    <w:p w14:paraId="53EF2F12"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0416C862"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ED9FD5"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C195D22" w14:textId="77777777" w:rsidR="00A932DC" w:rsidRPr="00B27CB1" w:rsidRDefault="00A932DC" w:rsidP="00A932DC">
            <w:pPr>
              <w:spacing w:line="256" w:lineRule="auto"/>
            </w:pPr>
            <w:r w:rsidRPr="00B27CB1">
              <w:t>META SPC 2</w:t>
            </w:r>
          </w:p>
        </w:tc>
      </w:tr>
    </w:tbl>
    <w:p w14:paraId="791201B5" w14:textId="77777777" w:rsidR="00A932DC" w:rsidRPr="00B27CB1" w:rsidRDefault="00A932DC" w:rsidP="00A932DC"/>
    <w:p w14:paraId="42D8801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lastRenderedPageBreak/>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38C1A6CB"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B74F53" w14:textId="28F648F3" w:rsidR="00A932DC" w:rsidRPr="00B27CB1" w:rsidRDefault="00DC78BC" w:rsidP="00A932DC">
            <w:pPr>
              <w:spacing w:line="256" w:lineRule="auto"/>
            </w:pPr>
            <w:r>
              <w:t>Number 2</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6AC984" w14:textId="77777777" w:rsidR="00A932DC" w:rsidRPr="00B27CB1" w:rsidRDefault="00A932DC" w:rsidP="00A932DC">
            <w:pPr>
              <w:spacing w:line="256" w:lineRule="auto"/>
            </w:pPr>
          </w:p>
        </w:tc>
      </w:tr>
    </w:tbl>
    <w:p w14:paraId="78288B6A" w14:textId="77777777" w:rsidR="00A932DC" w:rsidRPr="00B27CB1" w:rsidRDefault="00A932DC" w:rsidP="00A932DC"/>
    <w:p w14:paraId="46796143"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660DCD3"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9515A4"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6C074D" w14:textId="6892E4B7" w:rsidR="00A932DC" w:rsidRPr="00B27CB1" w:rsidRDefault="00627B6C" w:rsidP="00DC78BC">
            <w:pPr>
              <w:spacing w:line="256" w:lineRule="auto"/>
            </w:pPr>
            <w:r w:rsidRPr="00B27CB1">
              <w:t>2, 4</w:t>
            </w:r>
          </w:p>
        </w:tc>
      </w:tr>
    </w:tbl>
    <w:p w14:paraId="7D049245" w14:textId="77777777" w:rsidR="00A932DC" w:rsidRPr="00B27CB1" w:rsidRDefault="00A932DC" w:rsidP="00A932DC"/>
    <w:p w14:paraId="336C5894" w14:textId="77777777" w:rsidR="00A932DC" w:rsidRPr="00B27CB1" w:rsidRDefault="00A932DC" w:rsidP="00E91F85">
      <w:pPr>
        <w:pStyle w:val="Titre3"/>
      </w:pPr>
      <w:bookmarkStart w:id="65" w:name="_Toc87361100"/>
      <w:r w:rsidRPr="00B27CB1">
        <w:t>Meta SPC 2 composition</w:t>
      </w:r>
      <w:bookmarkEnd w:id="65"/>
    </w:p>
    <w:p w14:paraId="5E8EF4D0"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2</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12811F16"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2D52C19B"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5ADA1C51"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C7D346D"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6A51341A"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4848C90C"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2B55B803" w14:textId="77777777" w:rsidR="00A932DC" w:rsidRPr="00B27CB1" w:rsidRDefault="00A932DC" w:rsidP="00A932DC">
            <w:pPr>
              <w:spacing w:line="256" w:lineRule="auto"/>
            </w:pPr>
            <w:r w:rsidRPr="00B27CB1">
              <w:rPr>
                <w:b/>
                <w:bCs/>
                <w:szCs w:val="24"/>
                <w:lang w:eastAsia="en-GB"/>
              </w:rPr>
              <w:t>Content (%)</w:t>
            </w:r>
          </w:p>
        </w:tc>
      </w:tr>
      <w:tr w:rsidR="00A932DC" w:rsidRPr="00B27CB1" w14:paraId="0D420CC9"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7E925A37"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F9BFE45"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E767482"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1607818"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CEBF488"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310C7A5"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7CE4B" w14:textId="77777777" w:rsidR="00A932DC" w:rsidRPr="00B27CB1" w:rsidRDefault="00A932DC" w:rsidP="00A932DC">
            <w:pPr>
              <w:spacing w:line="256" w:lineRule="auto"/>
            </w:pPr>
            <w:r w:rsidRPr="00B27CB1">
              <w:rPr>
                <w:b/>
                <w:bCs/>
                <w:szCs w:val="24"/>
                <w:lang w:eastAsia="en-GB"/>
              </w:rPr>
              <w:t>Max</w:t>
            </w:r>
          </w:p>
        </w:tc>
      </w:tr>
      <w:tr w:rsidR="006B190F" w:rsidRPr="00B27CB1" w14:paraId="597434D4" w14:textId="77777777" w:rsidTr="00E91F85">
        <w:tc>
          <w:tcPr>
            <w:tcW w:w="2256" w:type="dxa"/>
            <w:vMerge w:val="restart"/>
            <w:tcBorders>
              <w:top w:val="single" w:sz="4" w:space="0" w:color="000000"/>
              <w:left w:val="single" w:sz="4" w:space="0" w:color="000000"/>
              <w:bottom w:val="single" w:sz="4" w:space="0" w:color="000000"/>
              <w:right w:val="nil"/>
            </w:tcBorders>
            <w:vAlign w:val="center"/>
          </w:tcPr>
          <w:p w14:paraId="39F1201C" w14:textId="2D7D3690" w:rsidR="006B190F" w:rsidRPr="00B27CB1" w:rsidRDefault="00280428" w:rsidP="00E91F85">
            <w:pPr>
              <w:snapToGrid w:val="0"/>
              <w:spacing w:line="256" w:lineRule="auto"/>
              <w:jc w:val="center"/>
              <w:rPr>
                <w:bCs/>
                <w:szCs w:val="24"/>
                <w:lang w:eastAsia="en-GB"/>
              </w:rPr>
            </w:pPr>
            <w:r w:rsidRPr="00F67FDB">
              <w:t xml:space="preserve">L(+) </w:t>
            </w:r>
            <w:r w:rsidR="006B190F">
              <w:rPr>
                <w:lang w:val="pl-PL"/>
              </w:rPr>
              <w:t>Lactic acid</w:t>
            </w:r>
          </w:p>
        </w:tc>
        <w:tc>
          <w:tcPr>
            <w:tcW w:w="1353" w:type="dxa"/>
            <w:vMerge w:val="restart"/>
            <w:tcBorders>
              <w:top w:val="single" w:sz="4" w:space="0" w:color="000000"/>
              <w:left w:val="single" w:sz="4" w:space="0" w:color="000000"/>
              <w:bottom w:val="single" w:sz="4" w:space="0" w:color="000000"/>
              <w:right w:val="nil"/>
            </w:tcBorders>
            <w:vAlign w:val="center"/>
          </w:tcPr>
          <w:p w14:paraId="7269A8A3" w14:textId="2E510F34" w:rsidR="006B190F" w:rsidRPr="00B27CB1" w:rsidRDefault="00280428" w:rsidP="00E91F85">
            <w:pPr>
              <w:snapToGrid w:val="0"/>
              <w:spacing w:line="256" w:lineRule="auto"/>
              <w:jc w:val="center"/>
            </w:pPr>
            <w:r w:rsidRPr="00932929">
              <w:t>(S)-2-Hydroxypropanoic acid</w:t>
            </w:r>
          </w:p>
        </w:tc>
        <w:tc>
          <w:tcPr>
            <w:tcW w:w="1353" w:type="dxa"/>
            <w:tcBorders>
              <w:top w:val="single" w:sz="4" w:space="0" w:color="000000"/>
              <w:left w:val="single" w:sz="4" w:space="0" w:color="000000"/>
              <w:bottom w:val="single" w:sz="4" w:space="0" w:color="000000"/>
              <w:right w:val="nil"/>
            </w:tcBorders>
            <w:vAlign w:val="center"/>
            <w:hideMark/>
          </w:tcPr>
          <w:p w14:paraId="5A776694" w14:textId="23729648" w:rsidR="006B190F" w:rsidRPr="00B27CB1" w:rsidRDefault="006B190F" w:rsidP="00E91F85">
            <w:pPr>
              <w:spacing w:line="256" w:lineRule="auto"/>
              <w:jc w:val="center"/>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vAlign w:val="center"/>
          </w:tcPr>
          <w:p w14:paraId="31A7353A" w14:textId="3CBA8F14" w:rsidR="006B190F" w:rsidRPr="00B27CB1" w:rsidRDefault="006B190F" w:rsidP="00E91F85">
            <w:pPr>
              <w:snapToGrid w:val="0"/>
              <w:spacing w:line="256" w:lineRule="auto"/>
              <w:jc w:val="center"/>
            </w:pPr>
            <w:r w:rsidRPr="000B213C">
              <w:t>79-33-4</w:t>
            </w:r>
          </w:p>
        </w:tc>
        <w:tc>
          <w:tcPr>
            <w:tcW w:w="1353" w:type="dxa"/>
            <w:vMerge w:val="restart"/>
            <w:tcBorders>
              <w:top w:val="single" w:sz="4" w:space="0" w:color="000000"/>
              <w:left w:val="single" w:sz="4" w:space="0" w:color="000000"/>
              <w:bottom w:val="single" w:sz="4" w:space="0" w:color="000000"/>
              <w:right w:val="nil"/>
            </w:tcBorders>
            <w:vAlign w:val="center"/>
          </w:tcPr>
          <w:p w14:paraId="76B1B667" w14:textId="5C0FC79C" w:rsidR="006B190F" w:rsidRPr="00B27CB1" w:rsidRDefault="006B190F" w:rsidP="00E91F85">
            <w:pPr>
              <w:snapToGrid w:val="0"/>
              <w:spacing w:line="256" w:lineRule="auto"/>
              <w:jc w:val="center"/>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1AAF806F" w14:textId="34A748AA" w:rsidR="006B190F" w:rsidRPr="00B27CB1" w:rsidRDefault="006B190F" w:rsidP="00E91F85">
            <w:pPr>
              <w:snapToGrid w:val="0"/>
              <w:spacing w:line="256" w:lineRule="auto"/>
              <w:jc w:val="center"/>
            </w:pPr>
            <w:r>
              <w:t>2.87</w:t>
            </w:r>
          </w:p>
        </w:tc>
        <w:tc>
          <w:tcPr>
            <w:tcW w:w="738" w:type="dxa"/>
            <w:tcBorders>
              <w:top w:val="single" w:sz="4" w:space="0" w:color="000000"/>
              <w:left w:val="single" w:sz="4" w:space="0" w:color="000000"/>
              <w:bottom w:val="single" w:sz="4" w:space="0" w:color="000000"/>
              <w:right w:val="single" w:sz="4" w:space="0" w:color="000000"/>
            </w:tcBorders>
            <w:vAlign w:val="center"/>
          </w:tcPr>
          <w:p w14:paraId="59DEF545" w14:textId="01C5F42F" w:rsidR="006B190F" w:rsidRPr="00B27CB1" w:rsidRDefault="006B190F" w:rsidP="00E91F85">
            <w:pPr>
              <w:snapToGrid w:val="0"/>
              <w:spacing w:line="256" w:lineRule="auto"/>
              <w:jc w:val="center"/>
            </w:pPr>
            <w:r>
              <w:t>2.87</w:t>
            </w:r>
          </w:p>
        </w:tc>
      </w:tr>
      <w:tr w:rsidR="006B190F" w:rsidRPr="00B27CB1" w14:paraId="68A9C0D0" w14:textId="77777777" w:rsidTr="00E91F85">
        <w:tc>
          <w:tcPr>
            <w:tcW w:w="2256" w:type="dxa"/>
            <w:vMerge/>
            <w:tcBorders>
              <w:top w:val="single" w:sz="4" w:space="0" w:color="000000"/>
              <w:left w:val="single" w:sz="4" w:space="0" w:color="000000"/>
              <w:bottom w:val="single" w:sz="4" w:space="0" w:color="000000"/>
              <w:right w:val="nil"/>
            </w:tcBorders>
            <w:vAlign w:val="center"/>
            <w:hideMark/>
          </w:tcPr>
          <w:p w14:paraId="5A1B7DE8" w14:textId="77777777" w:rsidR="006B190F" w:rsidRPr="00B27CB1" w:rsidRDefault="006B190F" w:rsidP="00E91F85">
            <w:pPr>
              <w:suppressAutoHyphens w:val="0"/>
              <w:spacing w:line="256" w:lineRule="auto"/>
              <w:jc w:val="center"/>
              <w:rPr>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BBA25C3" w14:textId="77777777" w:rsidR="006B190F" w:rsidRPr="00B27CB1" w:rsidRDefault="006B190F" w:rsidP="00E91F85">
            <w:pPr>
              <w:suppressAutoHyphens w:val="0"/>
              <w:spacing w:line="256" w:lineRule="auto"/>
              <w:jc w:val="center"/>
            </w:pPr>
          </w:p>
        </w:tc>
        <w:tc>
          <w:tcPr>
            <w:tcW w:w="1353" w:type="dxa"/>
            <w:tcBorders>
              <w:top w:val="single" w:sz="4" w:space="0" w:color="000000"/>
              <w:left w:val="single" w:sz="4" w:space="0" w:color="000000"/>
              <w:bottom w:val="single" w:sz="4" w:space="0" w:color="000000"/>
              <w:right w:val="nil"/>
            </w:tcBorders>
            <w:vAlign w:val="center"/>
            <w:hideMark/>
          </w:tcPr>
          <w:p w14:paraId="5F47AD0A" w14:textId="7DFBFDF4" w:rsidR="006B190F" w:rsidRPr="00B27CB1" w:rsidRDefault="006B190F" w:rsidP="00E91F85">
            <w:pPr>
              <w:spacing w:line="256" w:lineRule="auto"/>
              <w:jc w:val="center"/>
            </w:pPr>
            <w:r w:rsidRPr="00B27CB1">
              <w:t>Technical active substance</w:t>
            </w:r>
          </w:p>
        </w:tc>
        <w:tc>
          <w:tcPr>
            <w:tcW w:w="1353" w:type="dxa"/>
            <w:vMerge/>
            <w:tcBorders>
              <w:top w:val="single" w:sz="4" w:space="0" w:color="000000"/>
              <w:left w:val="single" w:sz="4" w:space="0" w:color="000000"/>
              <w:bottom w:val="single" w:sz="4" w:space="0" w:color="000000"/>
              <w:right w:val="nil"/>
            </w:tcBorders>
            <w:vAlign w:val="center"/>
            <w:hideMark/>
          </w:tcPr>
          <w:p w14:paraId="5BC63492" w14:textId="77777777" w:rsidR="006B190F" w:rsidRPr="00B27CB1" w:rsidRDefault="006B190F" w:rsidP="00E91F85">
            <w:pPr>
              <w:suppressAutoHyphens w:val="0"/>
              <w:spacing w:line="256" w:lineRule="auto"/>
              <w:jc w:val="center"/>
            </w:pPr>
          </w:p>
        </w:tc>
        <w:tc>
          <w:tcPr>
            <w:tcW w:w="1353" w:type="dxa"/>
            <w:vMerge/>
            <w:tcBorders>
              <w:top w:val="single" w:sz="4" w:space="0" w:color="000000"/>
              <w:left w:val="single" w:sz="4" w:space="0" w:color="000000"/>
              <w:bottom w:val="single" w:sz="4" w:space="0" w:color="000000"/>
              <w:right w:val="nil"/>
            </w:tcBorders>
            <w:vAlign w:val="center"/>
            <w:hideMark/>
          </w:tcPr>
          <w:p w14:paraId="5DDB9A02" w14:textId="77777777" w:rsidR="006B190F" w:rsidRPr="00B27CB1" w:rsidRDefault="006B190F" w:rsidP="00E91F85">
            <w:pPr>
              <w:suppressAutoHyphens w:val="0"/>
              <w:spacing w:line="256" w:lineRule="auto"/>
              <w:jc w:val="center"/>
            </w:pPr>
          </w:p>
        </w:tc>
        <w:tc>
          <w:tcPr>
            <w:tcW w:w="625" w:type="dxa"/>
            <w:tcBorders>
              <w:top w:val="single" w:sz="4" w:space="0" w:color="000000"/>
              <w:left w:val="single" w:sz="4" w:space="0" w:color="000000"/>
              <w:bottom w:val="single" w:sz="4" w:space="0" w:color="000000"/>
              <w:right w:val="nil"/>
            </w:tcBorders>
            <w:vAlign w:val="center"/>
          </w:tcPr>
          <w:p w14:paraId="4CB017D1" w14:textId="561557B3" w:rsidR="006B190F" w:rsidRPr="00B27CB1" w:rsidRDefault="006B190F" w:rsidP="00E91F85">
            <w:pPr>
              <w:snapToGrid w:val="0"/>
              <w:spacing w:line="256" w:lineRule="auto"/>
              <w:jc w:val="center"/>
            </w:pPr>
            <w:r>
              <w:t>3</w:t>
            </w:r>
          </w:p>
        </w:tc>
        <w:tc>
          <w:tcPr>
            <w:tcW w:w="738" w:type="dxa"/>
            <w:tcBorders>
              <w:top w:val="single" w:sz="4" w:space="0" w:color="000000"/>
              <w:left w:val="single" w:sz="4" w:space="0" w:color="000000"/>
              <w:bottom w:val="single" w:sz="4" w:space="0" w:color="000000"/>
              <w:right w:val="single" w:sz="4" w:space="0" w:color="000000"/>
            </w:tcBorders>
            <w:vAlign w:val="center"/>
          </w:tcPr>
          <w:p w14:paraId="1A8E85A5" w14:textId="700A89BA" w:rsidR="006B190F" w:rsidRPr="00B27CB1" w:rsidRDefault="006B190F" w:rsidP="00E91F85">
            <w:pPr>
              <w:snapToGrid w:val="0"/>
              <w:spacing w:line="256" w:lineRule="auto"/>
              <w:jc w:val="center"/>
            </w:pPr>
            <w:r>
              <w:t>3</w:t>
            </w:r>
          </w:p>
        </w:tc>
      </w:tr>
    </w:tbl>
    <w:p w14:paraId="5F626622" w14:textId="77777777" w:rsidR="00A932DC" w:rsidRPr="00B27CB1" w:rsidRDefault="00A932DC" w:rsidP="00A932DC"/>
    <w:p w14:paraId="5CF515EB"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2</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8A8D4A4"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4156C3F8" w14:textId="2FF29B97" w:rsidR="00A932DC" w:rsidRPr="00B27CB1" w:rsidRDefault="00627B6C" w:rsidP="003F1E71">
            <w:pPr>
              <w:keepNext/>
              <w:outlineLvl w:val="2"/>
            </w:pPr>
            <w:r w:rsidRPr="00B27CB1">
              <w:t>AL - Any other liquid</w:t>
            </w:r>
          </w:p>
        </w:tc>
      </w:tr>
    </w:tbl>
    <w:p w14:paraId="3FF25F5C" w14:textId="77777777" w:rsidR="00A932DC" w:rsidRPr="00B27CB1" w:rsidRDefault="00A932DC" w:rsidP="00A932DC"/>
    <w:p w14:paraId="504126B6" w14:textId="77777777" w:rsidR="00A932DC" w:rsidRPr="003F1E71" w:rsidRDefault="00A932DC" w:rsidP="00E91F85">
      <w:pPr>
        <w:pStyle w:val="Titre3"/>
        <w:rPr>
          <w:lang w:val="en-US"/>
        </w:rPr>
      </w:pPr>
      <w:bookmarkStart w:id="66" w:name="_Toc87361101"/>
      <w:r w:rsidRPr="003F1E71">
        <w:rPr>
          <w:lang w:val="en-US"/>
        </w:rPr>
        <w:t>Hazard and precautionary statements according to Regulation (EC) 1272/2008 of the meta SPC 2</w:t>
      </w:r>
      <w:bookmarkEnd w:id="66"/>
    </w:p>
    <w:p w14:paraId="6E76E93C" w14:textId="77777777" w:rsidR="00A932DC" w:rsidRPr="00B27CB1" w:rsidRDefault="00A932DC" w:rsidP="00A932DC"/>
    <w:p w14:paraId="62DE89D2" w14:textId="77777777" w:rsidR="00A932DC" w:rsidRPr="00B27CB1" w:rsidRDefault="00A932DC" w:rsidP="00A932DC">
      <w:pPr>
        <w:rPr>
          <w:b/>
        </w:rPr>
      </w:pPr>
      <w:r w:rsidRPr="00B27CB1">
        <w:rPr>
          <w:b/>
        </w:rPr>
        <w:t>Classification and labelling of the products of the family according to the Regulation (EC) 1272/2008</w:t>
      </w:r>
    </w:p>
    <w:p w14:paraId="35916C7C"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1BDE05EC"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6FB905D" w14:textId="77777777" w:rsidR="00A932DC" w:rsidRPr="00B27CB1" w:rsidRDefault="00A932DC" w:rsidP="00A932DC">
            <w:pPr>
              <w:spacing w:line="256" w:lineRule="auto"/>
            </w:pPr>
            <w:r w:rsidRPr="00B27CB1">
              <w:rPr>
                <w:b/>
                <w:lang w:eastAsia="en-US"/>
              </w:rPr>
              <w:t>Classification</w:t>
            </w:r>
          </w:p>
        </w:tc>
      </w:tr>
      <w:tr w:rsidR="001A3296" w:rsidRPr="00B27CB1" w14:paraId="21025666"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F95E2D0" w14:textId="77777777" w:rsidR="001A3296" w:rsidRPr="00B27CB1" w:rsidRDefault="001A3296" w:rsidP="001A3296">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A1B77D9" w14:textId="48B5F8C2" w:rsidR="00DC78BC" w:rsidRDefault="00DC78BC" w:rsidP="003F1E71">
            <w:pPr>
              <w:pStyle w:val="Corpsdetexte"/>
              <w:ind w:right="806"/>
            </w:pPr>
            <w:r w:rsidRPr="00E240FD">
              <w:rPr>
                <w:lang w:val="es-ES" w:eastAsia="fi-FI"/>
              </w:rPr>
              <w:t>Met. Corr. 1</w:t>
            </w:r>
          </w:p>
          <w:p w14:paraId="242B0242" w14:textId="0DDBE7AE" w:rsidR="001A3296" w:rsidRPr="00B27CB1" w:rsidRDefault="00AB1818" w:rsidP="003F1E71">
            <w:pPr>
              <w:suppressAutoHyphens w:val="0"/>
              <w:autoSpaceDE w:val="0"/>
              <w:autoSpaceDN w:val="0"/>
              <w:adjustRightInd w:val="0"/>
              <w:jc w:val="both"/>
              <w:rPr>
                <w:rFonts w:ascii="Times New Roman" w:hAnsi="Times New Roman" w:cs="Times New Roman"/>
                <w:sz w:val="24"/>
                <w:szCs w:val="24"/>
                <w:lang w:eastAsia="fi-FI"/>
              </w:rPr>
            </w:pPr>
            <w:r>
              <w:t>Skin Irrit. 2</w:t>
            </w:r>
          </w:p>
        </w:tc>
      </w:tr>
      <w:tr w:rsidR="001A3296" w:rsidRPr="00B27CB1" w14:paraId="3724205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1B95846" w14:textId="77777777" w:rsidR="001A3296" w:rsidRPr="00B27CB1" w:rsidRDefault="001A3296" w:rsidP="001A3296">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4439F6B9" w14:textId="77777777" w:rsidR="001A3296" w:rsidRDefault="001A3296" w:rsidP="003F1E71">
            <w:pPr>
              <w:suppressAutoHyphens w:val="0"/>
              <w:autoSpaceDE w:val="0"/>
              <w:autoSpaceDN w:val="0"/>
              <w:adjustRightInd w:val="0"/>
              <w:jc w:val="both"/>
            </w:pPr>
            <w:r w:rsidRPr="00930421">
              <w:t xml:space="preserve">H290: May be corrosive to metals.  </w:t>
            </w:r>
          </w:p>
          <w:p w14:paraId="6E7C71BC" w14:textId="529E624F" w:rsidR="00AB1818" w:rsidRPr="00E91F85" w:rsidRDefault="00AB1818" w:rsidP="00DC78BC">
            <w:pPr>
              <w:suppressAutoHyphens w:val="0"/>
              <w:rPr>
                <w:rFonts w:eastAsia="Calibri" w:cs="Times New Roman"/>
                <w:lang w:eastAsia="en-US"/>
              </w:rPr>
            </w:pPr>
            <w:r w:rsidRPr="00AB1818">
              <w:rPr>
                <w:rFonts w:eastAsia="Calibri" w:cs="Times New Roman"/>
                <w:lang w:eastAsia="en-US"/>
              </w:rPr>
              <w:t>H315: Causes skin irritation.</w:t>
            </w:r>
          </w:p>
        </w:tc>
      </w:tr>
      <w:tr w:rsidR="001A3296" w:rsidRPr="00B27CB1" w14:paraId="09D116FC"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FF8E0B2" w14:textId="77777777" w:rsidR="001A3296" w:rsidRPr="00B27CB1" w:rsidRDefault="001A3296" w:rsidP="003F1E71">
            <w:pPr>
              <w:snapToGrid w:val="0"/>
              <w:rPr>
                <w:lang w:eastAsia="fi-FI"/>
              </w:rPr>
            </w:pPr>
          </w:p>
        </w:tc>
      </w:tr>
      <w:tr w:rsidR="001A3296" w:rsidRPr="00B27CB1" w14:paraId="78412428"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56B8103" w14:textId="77777777" w:rsidR="001A3296" w:rsidRPr="00B27CB1" w:rsidRDefault="001A3296" w:rsidP="003F1E71">
            <w:r w:rsidRPr="00B27CB1">
              <w:rPr>
                <w:b/>
                <w:lang w:eastAsia="en-US"/>
              </w:rPr>
              <w:t>Labelling</w:t>
            </w:r>
          </w:p>
        </w:tc>
      </w:tr>
      <w:tr w:rsidR="001A3296" w:rsidRPr="00B27CB1" w14:paraId="516DBD95"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6150B17" w14:textId="77777777" w:rsidR="001A3296" w:rsidRPr="00B27CB1" w:rsidRDefault="001A3296" w:rsidP="001A3296">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2057553D" w14:textId="03866BB9" w:rsidR="001A3296" w:rsidRPr="00B27CB1" w:rsidRDefault="00B13145" w:rsidP="003F1E71">
            <w:pPr>
              <w:suppressAutoHyphens w:val="0"/>
              <w:autoSpaceDE w:val="0"/>
              <w:autoSpaceDN w:val="0"/>
              <w:adjustRightInd w:val="0"/>
              <w:jc w:val="both"/>
              <w:rPr>
                <w:rFonts w:cs="Times New Roman"/>
                <w:szCs w:val="24"/>
                <w:lang w:eastAsia="fi-FI"/>
              </w:rPr>
            </w:pPr>
            <w:r>
              <w:rPr>
                <w:rFonts w:cs="Times New Roman"/>
                <w:szCs w:val="24"/>
                <w:lang w:eastAsia="fi-FI"/>
              </w:rPr>
              <w:t>Warning</w:t>
            </w:r>
          </w:p>
        </w:tc>
      </w:tr>
      <w:tr w:rsidR="001A3296" w:rsidRPr="00B27CB1" w14:paraId="5196DC3E"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A0ECE59" w14:textId="30E671AD" w:rsidR="001A3296" w:rsidRPr="00B27CB1" w:rsidRDefault="001A3296" w:rsidP="001A3296">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2C83FB3" w14:textId="77777777" w:rsidR="001A3296" w:rsidRDefault="001A3296" w:rsidP="003F1E71">
            <w:pPr>
              <w:suppressAutoHyphens w:val="0"/>
              <w:autoSpaceDE w:val="0"/>
              <w:autoSpaceDN w:val="0"/>
              <w:adjustRightInd w:val="0"/>
              <w:jc w:val="both"/>
              <w:rPr>
                <w:lang w:eastAsia="fi-FI"/>
              </w:rPr>
            </w:pPr>
            <w:r w:rsidRPr="008F425A">
              <w:rPr>
                <w:lang w:eastAsia="fi-FI"/>
              </w:rPr>
              <w:t>H290: May be corrosive to metals.</w:t>
            </w:r>
          </w:p>
          <w:p w14:paraId="250F28A4" w14:textId="62D16C77" w:rsidR="009658D0" w:rsidRPr="00B27CB1" w:rsidRDefault="009658D0" w:rsidP="003F1E71">
            <w:pPr>
              <w:suppressAutoHyphens w:val="0"/>
              <w:autoSpaceDE w:val="0"/>
              <w:autoSpaceDN w:val="0"/>
              <w:adjustRightInd w:val="0"/>
              <w:jc w:val="both"/>
              <w:rPr>
                <w:rFonts w:cs="Times New Roman"/>
                <w:szCs w:val="24"/>
                <w:lang w:eastAsia="fi-FI"/>
              </w:rPr>
            </w:pPr>
            <w:r w:rsidRPr="00AB1818">
              <w:rPr>
                <w:rFonts w:eastAsia="Calibri" w:cs="Times New Roman"/>
                <w:lang w:eastAsia="en-US"/>
              </w:rPr>
              <w:t>H315: Causes skin irritation.</w:t>
            </w:r>
          </w:p>
        </w:tc>
      </w:tr>
      <w:tr w:rsidR="001A3296" w:rsidRPr="00B27CB1" w14:paraId="54E35A8F"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38C0700" w14:textId="70EE7630" w:rsidR="001A3296" w:rsidRPr="00B27CB1" w:rsidRDefault="001A3296" w:rsidP="001A3296">
            <w:pPr>
              <w:spacing w:line="256" w:lineRule="auto"/>
              <w:rPr>
                <w:lang w:eastAsia="fi-FI"/>
              </w:rPr>
            </w:pPr>
            <w:r w:rsidRPr="00B27CB1">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33F4A449" w14:textId="28D611C5" w:rsidR="001A3296" w:rsidRDefault="001A3296" w:rsidP="00DC78BC">
            <w:pPr>
              <w:rPr>
                <w:lang w:eastAsia="fi-FI"/>
              </w:rPr>
            </w:pPr>
            <w:r>
              <w:rPr>
                <w:lang w:eastAsia="fi-FI"/>
              </w:rPr>
              <w:t>P234: Keep only in original container.</w:t>
            </w:r>
          </w:p>
          <w:p w14:paraId="65CDD9D8" w14:textId="77777777" w:rsidR="005D552F" w:rsidRDefault="005D552F" w:rsidP="00B639F8">
            <w:pPr>
              <w:rPr>
                <w:lang w:eastAsia="fi-FI"/>
              </w:rPr>
            </w:pPr>
            <w:r>
              <w:rPr>
                <w:lang w:eastAsia="fi-FI"/>
              </w:rPr>
              <w:t>P264: Wash ... thoroughly after handling.</w:t>
            </w:r>
          </w:p>
          <w:p w14:paraId="252B0D9C" w14:textId="77777777" w:rsidR="005D552F" w:rsidRDefault="005D552F" w:rsidP="003F1647">
            <w:pPr>
              <w:rPr>
                <w:lang w:eastAsia="fi-FI"/>
              </w:rPr>
            </w:pPr>
            <w:r>
              <w:rPr>
                <w:lang w:eastAsia="fi-FI"/>
              </w:rPr>
              <w:t>P280: Wear protective gloves/protective clothing/eye protection/face protection.</w:t>
            </w:r>
          </w:p>
          <w:p w14:paraId="7FB5EC50" w14:textId="52864469" w:rsidR="005D552F" w:rsidRDefault="005D552F" w:rsidP="0004436A">
            <w:pPr>
              <w:rPr>
                <w:lang w:eastAsia="fi-FI"/>
              </w:rPr>
            </w:pPr>
            <w:r>
              <w:rPr>
                <w:lang w:eastAsia="fi-FI"/>
              </w:rPr>
              <w:t>P302+P352: IF ON SKIN: Wash with plenty of water</w:t>
            </w:r>
          </w:p>
          <w:p w14:paraId="0137C6AE" w14:textId="4315CC78" w:rsidR="005D552F" w:rsidRDefault="005D552F" w:rsidP="00245178">
            <w:pPr>
              <w:rPr>
                <w:lang w:eastAsia="fi-FI"/>
              </w:rPr>
            </w:pPr>
            <w:r>
              <w:rPr>
                <w:lang w:eastAsia="fi-FI"/>
              </w:rPr>
              <w:t>P321: Specific treatment (see ... on this label).</w:t>
            </w:r>
          </w:p>
          <w:p w14:paraId="53CDC060" w14:textId="68F747FB" w:rsidR="005D552F" w:rsidRDefault="005D552F" w:rsidP="00245178">
            <w:pPr>
              <w:rPr>
                <w:lang w:eastAsia="fi-FI"/>
              </w:rPr>
            </w:pPr>
            <w:r>
              <w:rPr>
                <w:lang w:eastAsia="fi-FI"/>
              </w:rPr>
              <w:t>P332+P313: If skin irritation occurs: Get medical advice/attention.</w:t>
            </w:r>
          </w:p>
          <w:p w14:paraId="37747FD1" w14:textId="4BA558F2" w:rsidR="005D552F" w:rsidRDefault="005D552F" w:rsidP="00245178">
            <w:pPr>
              <w:rPr>
                <w:lang w:eastAsia="fi-FI"/>
              </w:rPr>
            </w:pPr>
            <w:r>
              <w:rPr>
                <w:lang w:eastAsia="fi-FI"/>
              </w:rPr>
              <w:t>P362+P364: Take off contaminated clothing and wash it before reuse.</w:t>
            </w:r>
          </w:p>
          <w:p w14:paraId="4B4F50DF" w14:textId="77777777" w:rsidR="001A3296" w:rsidRDefault="001A3296" w:rsidP="00245178">
            <w:pPr>
              <w:rPr>
                <w:lang w:eastAsia="fi-FI"/>
              </w:rPr>
            </w:pPr>
            <w:r>
              <w:rPr>
                <w:lang w:eastAsia="fi-FI"/>
              </w:rPr>
              <w:t>P390: Absorb spillage to prevent material damage.</w:t>
            </w:r>
          </w:p>
          <w:p w14:paraId="4DF5419F" w14:textId="779381FB" w:rsidR="001A3296" w:rsidRPr="00B27CB1" w:rsidRDefault="001A3296" w:rsidP="003F1E71">
            <w:pPr>
              <w:autoSpaceDE w:val="0"/>
              <w:rPr>
                <w:rFonts w:cs="Times New Roman"/>
                <w:color w:val="000000"/>
                <w:lang w:eastAsia="en-US"/>
              </w:rPr>
            </w:pPr>
            <w:r>
              <w:rPr>
                <w:lang w:eastAsia="fi-FI"/>
              </w:rPr>
              <w:t>P406: Store in a corrosive resistant/… container with a resistant inner liner.</w:t>
            </w:r>
          </w:p>
        </w:tc>
      </w:tr>
      <w:tr w:rsidR="001A3296" w:rsidRPr="00B27CB1" w14:paraId="35D9EC80"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1160C12" w14:textId="5729BF0F" w:rsidR="001A3296" w:rsidRPr="00B27CB1" w:rsidRDefault="001A3296" w:rsidP="001A3296">
            <w:pPr>
              <w:snapToGrid w:val="0"/>
              <w:spacing w:line="256" w:lineRule="auto"/>
              <w:rPr>
                <w:lang w:eastAsia="fi-FI"/>
              </w:rPr>
            </w:pPr>
          </w:p>
        </w:tc>
      </w:tr>
      <w:tr w:rsidR="001A3296" w:rsidRPr="00B27CB1" w14:paraId="6A52C8A5"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452BBCD" w14:textId="4F22B1E7" w:rsidR="001A3296" w:rsidRPr="00B27CB1" w:rsidRDefault="001A3296" w:rsidP="001A3296">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4FB5E04" w14:textId="6921C22A" w:rsidR="001A3296" w:rsidRPr="00B27CB1" w:rsidRDefault="001A3296" w:rsidP="001A3296">
            <w:pPr>
              <w:snapToGrid w:val="0"/>
              <w:spacing w:line="256" w:lineRule="auto"/>
              <w:rPr>
                <w:b/>
                <w:lang w:eastAsia="fi-FI"/>
              </w:rPr>
            </w:pPr>
          </w:p>
        </w:tc>
      </w:tr>
    </w:tbl>
    <w:p w14:paraId="04E85243" w14:textId="77777777" w:rsidR="00A932DC" w:rsidRPr="00B27CB1" w:rsidRDefault="00A932DC" w:rsidP="00A932DC">
      <w:pPr>
        <w:tabs>
          <w:tab w:val="left" w:pos="500"/>
        </w:tabs>
        <w:ind w:left="500" w:hanging="500"/>
      </w:pPr>
    </w:p>
    <w:p w14:paraId="5FA89287" w14:textId="77777777" w:rsidR="00A932DC" w:rsidRPr="00B27CB1" w:rsidRDefault="00A932DC" w:rsidP="00A932DC"/>
    <w:p w14:paraId="610A3C1A" w14:textId="77777777" w:rsidR="00A932DC" w:rsidRPr="003F1E71" w:rsidRDefault="00A932DC" w:rsidP="00E91F85">
      <w:pPr>
        <w:pStyle w:val="Titre3"/>
        <w:rPr>
          <w:lang w:val="en-US"/>
        </w:rPr>
      </w:pPr>
      <w:bookmarkStart w:id="67" w:name="_Toc87361102"/>
      <w:r w:rsidRPr="003F1E71">
        <w:rPr>
          <w:lang w:val="en-US"/>
        </w:rPr>
        <w:t>Authorised use(s) of the META SPC 2</w:t>
      </w:r>
      <w:bookmarkEnd w:id="67"/>
    </w:p>
    <w:p w14:paraId="31F7FC14" w14:textId="77777777" w:rsidR="00636650" w:rsidRPr="00B27CB1" w:rsidRDefault="00636650" w:rsidP="00636650">
      <w:pPr>
        <w:pStyle w:val="Titre4"/>
        <w:numPr>
          <w:ilvl w:val="3"/>
          <w:numId w:val="9"/>
        </w:numPr>
        <w:rPr>
          <w:lang w:val="en-GB"/>
        </w:rPr>
      </w:pPr>
      <w:bookmarkStart w:id="68" w:name="_Toc87361103"/>
      <w:r w:rsidRPr="00B27CB1">
        <w:rPr>
          <w:lang w:val="en-GB"/>
        </w:rPr>
        <w:t>Use description</w:t>
      </w:r>
      <w:bookmarkEnd w:id="68"/>
    </w:p>
    <w:p w14:paraId="118E5CA4" w14:textId="3C72F1B4"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2</w:t>
      </w:r>
      <w:r w:rsidRPr="00B27CB1">
        <w:rPr>
          <w:rFonts w:ascii="Verdana" w:hAnsi="Verdana" w:cs="Verdana"/>
        </w:rPr>
        <w:fldChar w:fldCharType="end"/>
      </w:r>
      <w:r w:rsidRPr="00B27CB1">
        <w:rPr>
          <w:rFonts w:ascii="Verdana" w:hAnsi="Verdana"/>
        </w:rPr>
        <w:t xml:space="preserve">. Use # 1 – </w:t>
      </w:r>
      <w:r w:rsidRPr="00657948">
        <w:rPr>
          <w:rFonts w:ascii="Verdana" w:hAnsi="Verdana"/>
        </w:rPr>
        <w:t>Disinfectants for hard surfaces of domestic area</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1183E638" w14:textId="77777777" w:rsidTr="00685495">
        <w:tc>
          <w:tcPr>
            <w:tcW w:w="2707" w:type="dxa"/>
            <w:tcBorders>
              <w:top w:val="single" w:sz="4" w:space="0" w:color="000000"/>
              <w:left w:val="single" w:sz="4" w:space="0" w:color="000000"/>
              <w:bottom w:val="single" w:sz="4" w:space="0" w:color="000000"/>
              <w:right w:val="nil"/>
            </w:tcBorders>
            <w:hideMark/>
          </w:tcPr>
          <w:p w14:paraId="1D84BD19"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857206F" w14:textId="11CC8257" w:rsidR="00636650" w:rsidRPr="00657F12" w:rsidRDefault="00657F12" w:rsidP="00685495">
            <w:pPr>
              <w:snapToGrid w:val="0"/>
              <w:spacing w:line="254" w:lineRule="auto"/>
            </w:pPr>
            <w:r w:rsidRPr="00657F12">
              <w:t>PT02 - Disinfectants and algaecides not intended for direct application to humans or animals (Disinfectants)</w:t>
            </w:r>
          </w:p>
        </w:tc>
      </w:tr>
      <w:tr w:rsidR="00636650" w:rsidRPr="00B27CB1" w14:paraId="4BBF066E" w14:textId="77777777" w:rsidTr="00685495">
        <w:tc>
          <w:tcPr>
            <w:tcW w:w="2707" w:type="dxa"/>
            <w:tcBorders>
              <w:top w:val="nil"/>
              <w:left w:val="single" w:sz="4" w:space="0" w:color="000000"/>
              <w:bottom w:val="single" w:sz="4" w:space="0" w:color="000000"/>
              <w:right w:val="nil"/>
            </w:tcBorders>
            <w:hideMark/>
          </w:tcPr>
          <w:p w14:paraId="0C23A60C"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CD98DF3" w14:textId="39433570" w:rsidR="000702EE" w:rsidRPr="000D7D14" w:rsidRDefault="000702EE" w:rsidP="000702EE">
            <w:r w:rsidRPr="000D7D14">
              <w:rPr>
                <w:color w:val="000000"/>
              </w:rPr>
              <w:t>Product used for the disinfection of households surfaces</w:t>
            </w:r>
            <w:r w:rsidR="001F534D">
              <w:rPr>
                <w:color w:val="000000"/>
              </w:rPr>
              <w:t>,</w:t>
            </w:r>
            <w:r w:rsidRPr="000D7D14">
              <w:rPr>
                <w:color w:val="000000"/>
              </w:rPr>
              <w:t xml:space="preserve"> including toilets bowls. </w:t>
            </w:r>
          </w:p>
          <w:p w14:paraId="2A1E539F" w14:textId="77777777" w:rsidR="00636650" w:rsidRDefault="00636650" w:rsidP="00685495">
            <w:pPr>
              <w:snapToGrid w:val="0"/>
              <w:spacing w:line="254" w:lineRule="auto"/>
              <w:rPr>
                <w:b/>
              </w:rPr>
            </w:pPr>
          </w:p>
          <w:p w14:paraId="4EA5DA93" w14:textId="3205CE61" w:rsidR="0089334C" w:rsidRPr="00B27CB1" w:rsidRDefault="006E596F" w:rsidP="00FD54CB">
            <w:pPr>
              <w:snapToGrid w:val="0"/>
              <w:spacing w:line="254" w:lineRule="auto"/>
              <w:rPr>
                <w:b/>
              </w:rPr>
            </w:pPr>
            <w:r>
              <w:rPr>
                <w:color w:val="000000"/>
              </w:rPr>
              <w:t>D</w:t>
            </w:r>
            <w:r w:rsidR="0089334C" w:rsidRPr="000D7D14">
              <w:rPr>
                <w:color w:val="000000"/>
              </w:rPr>
              <w:t xml:space="preserve">isinfection of all kind of </w:t>
            </w:r>
            <w:r w:rsidR="0089334C">
              <w:rPr>
                <w:color w:val="000000"/>
              </w:rPr>
              <w:t xml:space="preserve">non </w:t>
            </w:r>
            <w:r w:rsidR="0089334C" w:rsidRPr="000D7D14">
              <w:rPr>
                <w:color w:val="000000"/>
              </w:rPr>
              <w:t>porous surfaces.</w:t>
            </w:r>
          </w:p>
        </w:tc>
      </w:tr>
      <w:tr w:rsidR="00636650" w:rsidRPr="00B27CB1" w14:paraId="2811794A" w14:textId="77777777" w:rsidTr="00685495">
        <w:tc>
          <w:tcPr>
            <w:tcW w:w="2707" w:type="dxa"/>
            <w:tcBorders>
              <w:top w:val="nil"/>
              <w:left w:val="single" w:sz="4" w:space="0" w:color="000000"/>
              <w:bottom w:val="single" w:sz="4" w:space="0" w:color="000000"/>
              <w:right w:val="nil"/>
            </w:tcBorders>
            <w:hideMark/>
          </w:tcPr>
          <w:p w14:paraId="7A66794F" w14:textId="77777777" w:rsidR="00636650" w:rsidRPr="00B27CB1" w:rsidRDefault="00636650"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848B340" w14:textId="3C19212E" w:rsidR="00636650" w:rsidRPr="00B27CB1" w:rsidRDefault="000702EE" w:rsidP="00685495">
            <w:pPr>
              <w:snapToGrid w:val="0"/>
              <w:spacing w:line="254" w:lineRule="auto"/>
              <w:rPr>
                <w:b/>
              </w:rPr>
            </w:pPr>
            <w:r w:rsidRPr="000D7D14">
              <w:rPr>
                <w:bCs/>
                <w:lang w:val="de-DE"/>
              </w:rPr>
              <w:t>Bacteria</w:t>
            </w:r>
          </w:p>
        </w:tc>
      </w:tr>
      <w:tr w:rsidR="00636650" w:rsidRPr="00B27CB1" w14:paraId="08108F4C" w14:textId="77777777" w:rsidTr="00685495">
        <w:tc>
          <w:tcPr>
            <w:tcW w:w="2707" w:type="dxa"/>
            <w:tcBorders>
              <w:top w:val="nil"/>
              <w:left w:val="single" w:sz="4" w:space="0" w:color="000000"/>
              <w:bottom w:val="single" w:sz="4" w:space="0" w:color="000000"/>
              <w:right w:val="nil"/>
            </w:tcBorders>
            <w:hideMark/>
          </w:tcPr>
          <w:p w14:paraId="4166D9F5"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1C4702F" w14:textId="7E9EDBA0" w:rsidR="00636650" w:rsidRPr="00B27CB1" w:rsidRDefault="000702EE" w:rsidP="00BD32A0">
            <w:pPr>
              <w:snapToGrid w:val="0"/>
              <w:spacing w:line="254" w:lineRule="auto"/>
              <w:rPr>
                <w:b/>
              </w:rPr>
            </w:pPr>
            <w:r w:rsidRPr="000D7D14">
              <w:rPr>
                <w:bCs/>
                <w:lang w:val="de-DE"/>
              </w:rPr>
              <w:t>Indoor</w:t>
            </w:r>
          </w:p>
        </w:tc>
      </w:tr>
      <w:tr w:rsidR="00636650" w:rsidRPr="00B27CB1" w14:paraId="3059751D" w14:textId="77777777" w:rsidTr="00685495">
        <w:tc>
          <w:tcPr>
            <w:tcW w:w="2707" w:type="dxa"/>
            <w:tcBorders>
              <w:top w:val="nil"/>
              <w:left w:val="single" w:sz="4" w:space="0" w:color="000000"/>
              <w:bottom w:val="single" w:sz="4" w:space="0" w:color="000000"/>
              <w:right w:val="nil"/>
            </w:tcBorders>
            <w:hideMark/>
          </w:tcPr>
          <w:p w14:paraId="7E561060"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7778EDB" w14:textId="77777777" w:rsidR="0068018B" w:rsidRDefault="000702EE" w:rsidP="00BD32A0">
            <w:pPr>
              <w:suppressAutoHyphens w:val="0"/>
              <w:snapToGrid w:val="0"/>
              <w:spacing w:line="260" w:lineRule="atLeast"/>
            </w:pPr>
            <w:r w:rsidRPr="000D7D14">
              <w:t>Spraying,</w:t>
            </w:r>
          </w:p>
          <w:p w14:paraId="46BF34CD" w14:textId="23CB2D64" w:rsidR="00636650" w:rsidRPr="00B27CB1" w:rsidRDefault="000702EE" w:rsidP="00E35910">
            <w:pPr>
              <w:suppressAutoHyphens w:val="0"/>
              <w:snapToGrid w:val="0"/>
              <w:spacing w:line="260" w:lineRule="atLeast"/>
              <w:rPr>
                <w:rFonts w:cs="Times New Roman"/>
                <w:lang w:eastAsia="de-DE"/>
              </w:rPr>
            </w:pPr>
            <w:r w:rsidRPr="000D7D14">
              <w:t>Wiping (applying product onto wipe followed by wiping)</w:t>
            </w:r>
          </w:p>
        </w:tc>
      </w:tr>
      <w:tr w:rsidR="00636650" w:rsidRPr="00B27CB1" w14:paraId="3B8607FE" w14:textId="77777777" w:rsidTr="00685495">
        <w:tc>
          <w:tcPr>
            <w:tcW w:w="2707" w:type="dxa"/>
            <w:tcBorders>
              <w:top w:val="nil"/>
              <w:left w:val="single" w:sz="4" w:space="0" w:color="000000"/>
              <w:bottom w:val="single" w:sz="4" w:space="0" w:color="000000"/>
              <w:right w:val="nil"/>
            </w:tcBorders>
            <w:hideMark/>
          </w:tcPr>
          <w:p w14:paraId="72EEAECD" w14:textId="77777777" w:rsidR="00636650" w:rsidRPr="00B27CB1" w:rsidRDefault="00636650"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3837E479" w14:textId="4B79D7B0" w:rsidR="000702EE" w:rsidRDefault="000702EE" w:rsidP="000702EE">
            <w:r w:rsidRPr="00F0256C">
              <w:t>Ready to use</w:t>
            </w:r>
          </w:p>
          <w:p w14:paraId="1C545CDF" w14:textId="77777777" w:rsidR="0068018B" w:rsidRDefault="0068018B" w:rsidP="000702EE"/>
          <w:p w14:paraId="46A395A4" w14:textId="36AF9DB2" w:rsidR="0068018B" w:rsidRDefault="00E35910" w:rsidP="00E35910">
            <w:pPr>
              <w:snapToGrid w:val="0"/>
              <w:spacing w:line="260" w:lineRule="atLeast"/>
            </w:pPr>
            <w:r>
              <w:t>N</w:t>
            </w:r>
            <w:r w:rsidR="0068018B">
              <w:t>on mechanical action (spraying)</w:t>
            </w:r>
            <w:r>
              <w:t xml:space="preserve"> or mechanical action (wiping)</w:t>
            </w:r>
          </w:p>
          <w:p w14:paraId="0A419427" w14:textId="77777777" w:rsidR="00E35910" w:rsidRPr="00F0256C" w:rsidRDefault="00E35910" w:rsidP="00E35910">
            <w:pPr>
              <w:snapToGrid w:val="0"/>
              <w:spacing w:line="260" w:lineRule="atLeast"/>
            </w:pPr>
          </w:p>
          <w:p w14:paraId="61E83DD9" w14:textId="77777777" w:rsidR="00E35910" w:rsidRDefault="000702EE" w:rsidP="00E35910">
            <w:r w:rsidRPr="00F0256C">
              <w:t>Contact time : 5 minutes</w:t>
            </w:r>
            <w:r w:rsidR="00E35910" w:rsidRPr="004D1209">
              <w:t xml:space="preserve"> </w:t>
            </w:r>
          </w:p>
          <w:p w14:paraId="5344BB1E" w14:textId="709F931F" w:rsidR="000702EE" w:rsidRPr="00F0256C" w:rsidRDefault="00E35910" w:rsidP="000702EE">
            <w:r w:rsidRPr="004D1209">
              <w:t>Dirty conditions</w:t>
            </w:r>
          </w:p>
          <w:p w14:paraId="0ECB48DD" w14:textId="3BE9F82C" w:rsidR="000702EE" w:rsidRPr="00820E0E" w:rsidRDefault="0079217E" w:rsidP="000702EE">
            <w:r>
              <w:t>T</w:t>
            </w:r>
            <w:r w:rsidR="000702EE" w:rsidRPr="00820E0E">
              <w:t>emperature</w:t>
            </w:r>
            <w:r>
              <w:t>: 20°C</w:t>
            </w:r>
          </w:p>
          <w:p w14:paraId="34899DA1" w14:textId="1CCCA205" w:rsidR="000702EE" w:rsidRPr="00344BDC" w:rsidRDefault="000702EE" w:rsidP="000702EE"/>
          <w:p w14:paraId="1E70FD56" w14:textId="1FB1B677" w:rsidR="000702EE" w:rsidRPr="000D7D14" w:rsidRDefault="006E596F" w:rsidP="000702EE">
            <w:r>
              <w:t>A</w:t>
            </w:r>
            <w:r w:rsidR="000702EE" w:rsidRPr="00344BDC">
              <w:t>pplication rate</w:t>
            </w:r>
            <w:r>
              <w:t>s</w:t>
            </w:r>
            <w:r w:rsidR="000702EE" w:rsidRPr="00344BDC">
              <w:t>:</w:t>
            </w:r>
            <w:r w:rsidR="000702EE" w:rsidRPr="000D7D14">
              <w:t xml:space="preserve"> </w:t>
            </w:r>
          </w:p>
          <w:p w14:paraId="6FB38988" w14:textId="7FB1B71D" w:rsidR="000702EE" w:rsidRPr="000D7D14" w:rsidRDefault="000702EE" w:rsidP="000702EE">
            <w:r w:rsidRPr="000D7D14">
              <w:t>30 ml/m</w:t>
            </w:r>
            <w:r w:rsidRPr="000D7D14">
              <w:rPr>
                <w:vertAlign w:val="superscript"/>
              </w:rPr>
              <w:t>2</w:t>
            </w:r>
            <w:r w:rsidRPr="000D7D14">
              <w:t xml:space="preserve"> (20 sprays on the surface per m</w:t>
            </w:r>
            <w:r w:rsidRPr="000D7D14">
              <w:rPr>
                <w:vertAlign w:val="superscript"/>
              </w:rPr>
              <w:t>2</w:t>
            </w:r>
            <w:r w:rsidR="006E596F">
              <w:t>)</w:t>
            </w:r>
          </w:p>
          <w:p w14:paraId="55B01693" w14:textId="70A7D66F" w:rsidR="000702EE" w:rsidRPr="000D7D14" w:rsidRDefault="000702EE" w:rsidP="000702EE">
            <w:r w:rsidRPr="000D7D14">
              <w:t>8 to 12 sprays or 16 ml on wipe per 0.1</w:t>
            </w:r>
            <w:r w:rsidR="00383E12">
              <w:t xml:space="preserve"> </w:t>
            </w:r>
            <w:r w:rsidRPr="000D7D14">
              <w:t>m</w:t>
            </w:r>
            <w:r w:rsidRPr="000D7D14">
              <w:rPr>
                <w:vertAlign w:val="superscript"/>
              </w:rPr>
              <w:t>2</w:t>
            </w:r>
            <w:r w:rsidRPr="000D7D14">
              <w:t>)</w:t>
            </w:r>
          </w:p>
          <w:p w14:paraId="49B4E36F" w14:textId="20D6A043" w:rsidR="00636650" w:rsidRPr="00B27CB1" w:rsidRDefault="000702EE" w:rsidP="004A347E">
            <w:pPr>
              <w:snapToGrid w:val="0"/>
              <w:spacing w:line="260" w:lineRule="atLeast"/>
              <w:rPr>
                <w:rFonts w:cs="Times New Roman"/>
                <w:lang w:eastAsia="de-DE"/>
              </w:rPr>
            </w:pPr>
            <w:r w:rsidRPr="000D7D14">
              <w:t xml:space="preserve">For toilet bowls, </w:t>
            </w:r>
            <w:r w:rsidRPr="00E91F85">
              <w:rPr>
                <w:bCs/>
                <w:color w:val="000000"/>
                <w:lang w:val="en-US"/>
              </w:rPr>
              <w:t>50 ml or 33 sprays per toilet</w:t>
            </w:r>
          </w:p>
        </w:tc>
      </w:tr>
      <w:tr w:rsidR="00636650" w:rsidRPr="00B27CB1" w14:paraId="1E40E3CB" w14:textId="77777777" w:rsidTr="00685495">
        <w:tc>
          <w:tcPr>
            <w:tcW w:w="2707" w:type="dxa"/>
            <w:tcBorders>
              <w:top w:val="nil"/>
              <w:left w:val="single" w:sz="4" w:space="0" w:color="000000"/>
              <w:bottom w:val="single" w:sz="4" w:space="0" w:color="000000"/>
              <w:right w:val="nil"/>
            </w:tcBorders>
            <w:hideMark/>
          </w:tcPr>
          <w:p w14:paraId="1FED7FFB" w14:textId="77777777" w:rsidR="00636650" w:rsidRPr="00B27CB1" w:rsidRDefault="00636650"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5537874" w14:textId="7F87E3D0" w:rsidR="00636650" w:rsidRPr="00B27CB1" w:rsidRDefault="000702EE" w:rsidP="00685495">
            <w:pPr>
              <w:snapToGrid w:val="0"/>
              <w:spacing w:line="254" w:lineRule="auto"/>
              <w:rPr>
                <w:b/>
              </w:rPr>
            </w:pPr>
            <w:r w:rsidRPr="000D7D14">
              <w:t>General public (non-professional)</w:t>
            </w:r>
          </w:p>
        </w:tc>
      </w:tr>
      <w:tr w:rsidR="00636650" w:rsidRPr="00A04731" w14:paraId="23616612" w14:textId="77777777" w:rsidTr="00685495">
        <w:tc>
          <w:tcPr>
            <w:tcW w:w="2707" w:type="dxa"/>
            <w:tcBorders>
              <w:top w:val="nil"/>
              <w:left w:val="single" w:sz="4" w:space="0" w:color="000000"/>
              <w:bottom w:val="single" w:sz="4" w:space="0" w:color="000000"/>
              <w:right w:val="nil"/>
            </w:tcBorders>
            <w:hideMark/>
          </w:tcPr>
          <w:p w14:paraId="3A6F9AB8" w14:textId="77777777" w:rsidR="00636650" w:rsidRPr="00B27CB1" w:rsidRDefault="00636650"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74D690A" w14:textId="7031544E" w:rsidR="009D6FC5" w:rsidRDefault="009D6FC5" w:rsidP="009D6FC5">
            <w:pPr>
              <w:spacing w:line="254" w:lineRule="auto"/>
            </w:pPr>
            <w:r>
              <w:t>HDPE:</w:t>
            </w:r>
            <w:r w:rsidR="00B639F8">
              <w:t xml:space="preserve"> </w:t>
            </w:r>
            <w:r>
              <w:t xml:space="preserve">500 mL trigger spray, 750 mL trigger spray, 1 L trigger spray, 1 L,  5 L </w:t>
            </w:r>
          </w:p>
          <w:p w14:paraId="465C875E" w14:textId="09CE4B37" w:rsidR="009D6FC5" w:rsidRDefault="009D6FC5" w:rsidP="009D6FC5">
            <w:pPr>
              <w:spacing w:line="254" w:lineRule="auto"/>
            </w:pPr>
            <w:r>
              <w:t>PET:</w:t>
            </w:r>
            <w:r w:rsidR="00B639F8">
              <w:t xml:space="preserve"> </w:t>
            </w:r>
            <w:r>
              <w:t>500 mL trigger spray, 750 mL trigger spray, 1 L</w:t>
            </w:r>
          </w:p>
          <w:p w14:paraId="668F529E" w14:textId="55619752" w:rsidR="00636650" w:rsidRPr="00B639F8" w:rsidRDefault="009D6FC5" w:rsidP="00B639F8">
            <w:pPr>
              <w:spacing w:line="254" w:lineRule="auto"/>
              <w:rPr>
                <w:lang w:val="fr-FR"/>
              </w:rPr>
            </w:pPr>
            <w:r w:rsidRPr="00E91F85">
              <w:rPr>
                <w:lang w:val="fr-FR"/>
              </w:rPr>
              <w:lastRenderedPageBreak/>
              <w:t>Coextrude (HDPE/Adhesive/Nylon polyamide):</w:t>
            </w:r>
            <w:r w:rsidR="00B639F8">
              <w:rPr>
                <w:lang w:val="fr-FR"/>
              </w:rPr>
              <w:t xml:space="preserve"> </w:t>
            </w:r>
            <w:r w:rsidRPr="00B639F8">
              <w:rPr>
                <w:lang w:val="fr-FR"/>
              </w:rPr>
              <w:t>5 L</w:t>
            </w:r>
          </w:p>
        </w:tc>
      </w:tr>
    </w:tbl>
    <w:p w14:paraId="6A957EE1"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4B19228" w14:textId="0C5F6EFB" w:rsidTr="00685495">
        <w:tc>
          <w:tcPr>
            <w:tcW w:w="9036" w:type="dxa"/>
            <w:tcBorders>
              <w:top w:val="single" w:sz="4" w:space="0" w:color="000000"/>
              <w:left w:val="single" w:sz="4" w:space="0" w:color="000000"/>
              <w:bottom w:val="single" w:sz="4" w:space="0" w:color="000000"/>
              <w:right w:val="single" w:sz="4" w:space="0" w:color="000000"/>
            </w:tcBorders>
          </w:tcPr>
          <w:p w14:paraId="362403D3" w14:textId="156645EB" w:rsidR="00E35910" w:rsidRPr="003F1E71" w:rsidRDefault="003B6713" w:rsidP="003B6713">
            <w:pPr>
              <w:widowControl w:val="0"/>
              <w:numPr>
                <w:ilvl w:val="0"/>
                <w:numId w:val="7"/>
              </w:numPr>
              <w:suppressAutoHyphens w:val="0"/>
              <w:autoSpaceDE w:val="0"/>
              <w:snapToGrid w:val="0"/>
              <w:spacing w:before="80" w:line="260" w:lineRule="atLeast"/>
              <w:contextualSpacing/>
              <w:jc w:val="both"/>
              <w:rPr>
                <w:rFonts w:eastAsia="Calibri" w:cs="Times"/>
                <w:bCs/>
                <w:szCs w:val="24"/>
                <w:lang w:eastAsia="sv-SE"/>
              </w:rPr>
            </w:pPr>
            <w:r w:rsidRPr="003F1E71">
              <w:rPr>
                <w:rFonts w:eastAsia="Calibri" w:cs="Times"/>
                <w:bCs/>
                <w:szCs w:val="24"/>
                <w:lang w:eastAsia="sv-SE"/>
              </w:rPr>
              <w:t>Read carefully and follow all instructions</w:t>
            </w:r>
            <w:r w:rsidR="005B7759" w:rsidRPr="003F1E71">
              <w:rPr>
                <w:rFonts w:eastAsia="Calibri" w:cs="Times"/>
                <w:bCs/>
                <w:szCs w:val="24"/>
                <w:lang w:eastAsia="sv-SE"/>
              </w:rPr>
              <w:t>.</w:t>
            </w:r>
          </w:p>
          <w:p w14:paraId="33C9CA8B" w14:textId="1EFAB88A" w:rsidR="00E12D8D" w:rsidRPr="003F1E71" w:rsidRDefault="00E12D8D" w:rsidP="00E91F85">
            <w:pPr>
              <w:widowControl w:val="0"/>
              <w:numPr>
                <w:ilvl w:val="0"/>
                <w:numId w:val="7"/>
              </w:numPr>
              <w:suppressAutoHyphens w:val="0"/>
              <w:autoSpaceDE w:val="0"/>
              <w:snapToGrid w:val="0"/>
              <w:spacing w:before="80" w:line="260" w:lineRule="atLeast"/>
              <w:contextualSpacing/>
              <w:jc w:val="both"/>
              <w:rPr>
                <w:rFonts w:eastAsia="Calibri" w:cs="Times"/>
                <w:bCs/>
                <w:szCs w:val="24"/>
                <w:lang w:eastAsia="sv-SE"/>
              </w:rPr>
            </w:pPr>
            <w:r w:rsidRPr="003F1E71">
              <w:rPr>
                <w:rFonts w:eastAsia="Calibri" w:cs="Times"/>
                <w:bCs/>
                <w:szCs w:val="24"/>
                <w:lang w:eastAsia="sv-SE"/>
              </w:rPr>
              <w:t>Ready-to-use liquid for spraying for hard surfaces: Spray directly on the surface</w:t>
            </w:r>
            <w:r w:rsidR="00CB2C87" w:rsidRPr="003F1E71">
              <w:rPr>
                <w:rFonts w:eastAsia="Calibri" w:cs="Times"/>
                <w:bCs/>
                <w:szCs w:val="24"/>
                <w:lang w:eastAsia="sv-SE"/>
              </w:rPr>
              <w:t>s</w:t>
            </w:r>
            <w:r w:rsidRPr="003F1E71">
              <w:rPr>
                <w:rFonts w:eastAsia="Calibri" w:cs="Times"/>
                <w:bCs/>
                <w:szCs w:val="24"/>
                <w:lang w:eastAsia="sv-SE"/>
              </w:rPr>
              <w:t xml:space="preserve"> intended to be treated and cover the entire surface</w:t>
            </w:r>
            <w:r w:rsidR="00CB2C87" w:rsidRPr="003F1E71">
              <w:rPr>
                <w:rFonts w:eastAsia="Calibri" w:cs="Times"/>
                <w:bCs/>
                <w:szCs w:val="24"/>
                <w:lang w:eastAsia="sv-SE"/>
              </w:rPr>
              <w:t>s</w:t>
            </w:r>
            <w:r w:rsidRPr="003F1E71">
              <w:rPr>
                <w:rFonts w:eastAsia="Calibri" w:cs="Times"/>
                <w:bCs/>
                <w:szCs w:val="24"/>
                <w:lang w:eastAsia="sv-SE"/>
              </w:rPr>
              <w:t>. Allow to take effect for at least 5 minutes, then brush or scrub if required and wipe with a dry cloth.</w:t>
            </w:r>
          </w:p>
          <w:p w14:paraId="4C5A4BD7" w14:textId="7ECFECB4" w:rsidR="00E12D8D" w:rsidRPr="003F1E71" w:rsidRDefault="00E12D8D" w:rsidP="00E91F85">
            <w:pPr>
              <w:widowControl w:val="0"/>
              <w:numPr>
                <w:ilvl w:val="0"/>
                <w:numId w:val="7"/>
              </w:numPr>
              <w:suppressAutoHyphens w:val="0"/>
              <w:autoSpaceDE w:val="0"/>
              <w:snapToGrid w:val="0"/>
              <w:spacing w:before="80" w:line="260" w:lineRule="atLeast"/>
              <w:contextualSpacing/>
              <w:jc w:val="both"/>
              <w:rPr>
                <w:rFonts w:eastAsia="Calibri" w:cs="Times"/>
                <w:bCs/>
                <w:szCs w:val="24"/>
                <w:lang w:eastAsia="sv-SE"/>
              </w:rPr>
            </w:pPr>
            <w:r w:rsidRPr="003F1E71">
              <w:rPr>
                <w:rFonts w:eastAsia="Calibri" w:cs="Times"/>
                <w:bCs/>
                <w:szCs w:val="24"/>
                <w:lang w:eastAsia="sv-SE"/>
              </w:rPr>
              <w:t xml:space="preserve">Ready-to-use liquid for wipping on hard surfaces: </w:t>
            </w:r>
            <w:r w:rsidR="006E596F" w:rsidRPr="003F1E71">
              <w:rPr>
                <w:rFonts w:eastAsia="Calibri" w:cs="Times"/>
                <w:bCs/>
                <w:szCs w:val="24"/>
                <w:lang w:eastAsia="sv-SE"/>
              </w:rPr>
              <w:t>Spray on wipe and apply by fully wetting all surfaces intended to be treated.</w:t>
            </w:r>
            <w:r w:rsidRPr="003F1E71">
              <w:rPr>
                <w:rFonts w:eastAsia="Calibri" w:cs="Times"/>
                <w:bCs/>
                <w:szCs w:val="24"/>
                <w:lang w:eastAsia="sv-SE"/>
              </w:rPr>
              <w:t xml:space="preserve"> Allow to take effect for at least 5 minutes</w:t>
            </w:r>
            <w:r w:rsidR="0079217E">
              <w:rPr>
                <w:rFonts w:eastAsia="Calibri" w:cs="Times"/>
                <w:bCs/>
                <w:szCs w:val="24"/>
                <w:lang w:eastAsia="sv-SE"/>
              </w:rPr>
              <w:t xml:space="preserve">, </w:t>
            </w:r>
            <w:r w:rsidRPr="003F1E71">
              <w:rPr>
                <w:rFonts w:eastAsia="Calibri" w:cs="Times"/>
                <w:bCs/>
                <w:szCs w:val="24"/>
                <w:lang w:eastAsia="sv-SE"/>
              </w:rPr>
              <w:t>then wipe the surface with a dry cloth if required or let to dry.</w:t>
            </w:r>
          </w:p>
          <w:p w14:paraId="04315C60" w14:textId="2824E772" w:rsidR="00E35910" w:rsidRPr="00657948" w:rsidRDefault="00E12D8D" w:rsidP="00657948">
            <w:pPr>
              <w:widowControl w:val="0"/>
              <w:numPr>
                <w:ilvl w:val="0"/>
                <w:numId w:val="7"/>
              </w:numPr>
              <w:suppressAutoHyphens w:val="0"/>
              <w:autoSpaceDE w:val="0"/>
              <w:snapToGrid w:val="0"/>
              <w:spacing w:before="80" w:line="260" w:lineRule="atLeast"/>
              <w:contextualSpacing/>
              <w:jc w:val="both"/>
              <w:rPr>
                <w:rFonts w:eastAsia="Calibri" w:cs="Times"/>
                <w:bCs/>
                <w:sz w:val="22"/>
                <w:szCs w:val="24"/>
                <w:lang w:eastAsia="sv-SE"/>
              </w:rPr>
            </w:pPr>
            <w:r w:rsidRPr="003F1E71">
              <w:rPr>
                <w:rFonts w:eastAsia="Calibri" w:cs="Times"/>
                <w:bCs/>
                <w:szCs w:val="24"/>
                <w:lang w:eastAsia="sv-SE"/>
              </w:rPr>
              <w:t>Ready-to-use liquid for toilet bowls: Spray inside the toilet bowls by fully covering all surfaces to be treated (approximately 50 ml or 33 sprays per toilet). Allow to take effect for at least 5 minutes, then brush if required and flush the toilet.</w:t>
            </w:r>
          </w:p>
        </w:tc>
      </w:tr>
    </w:tbl>
    <w:p w14:paraId="5B410D14"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2B921204"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E4BD269" w14:textId="3B241237" w:rsidR="00A81BFA" w:rsidRPr="003F1E71" w:rsidRDefault="00A81BFA" w:rsidP="00E91F85">
            <w:pPr>
              <w:widowControl w:val="0"/>
              <w:numPr>
                <w:ilvl w:val="0"/>
                <w:numId w:val="7"/>
              </w:numPr>
              <w:suppressAutoHyphens w:val="0"/>
              <w:autoSpaceDE w:val="0"/>
              <w:snapToGrid w:val="0"/>
              <w:spacing w:before="80" w:line="260" w:lineRule="atLeast"/>
              <w:contextualSpacing/>
              <w:jc w:val="both"/>
              <w:rPr>
                <w:rFonts w:eastAsia="Calibri" w:cs="Times"/>
                <w:bCs/>
                <w:szCs w:val="24"/>
                <w:lang w:eastAsia="sv-SE"/>
              </w:rPr>
            </w:pPr>
            <w:r w:rsidRPr="003F1E71">
              <w:rPr>
                <w:rFonts w:eastAsia="Calibri" w:cs="Times"/>
                <w:bCs/>
                <w:szCs w:val="24"/>
                <w:lang w:eastAsia="sv-SE"/>
              </w:rPr>
              <w:t>Minimisation of splashes and spills during loading of the trigger spray</w:t>
            </w:r>
            <w:r w:rsidR="005B7759" w:rsidRPr="003F1E71">
              <w:rPr>
                <w:rFonts w:eastAsia="Calibri" w:cs="Times"/>
                <w:bCs/>
                <w:szCs w:val="24"/>
                <w:lang w:eastAsia="sv-SE"/>
              </w:rPr>
              <w:t>.</w:t>
            </w:r>
          </w:p>
          <w:p w14:paraId="552A8DDF" w14:textId="71DBAB42" w:rsidR="00A81BFA" w:rsidRPr="003F1E71" w:rsidRDefault="00A81BFA" w:rsidP="00E91F85">
            <w:pPr>
              <w:widowControl w:val="0"/>
              <w:numPr>
                <w:ilvl w:val="0"/>
                <w:numId w:val="7"/>
              </w:numPr>
              <w:suppressAutoHyphens w:val="0"/>
              <w:autoSpaceDE w:val="0"/>
              <w:snapToGrid w:val="0"/>
              <w:spacing w:before="80" w:line="260" w:lineRule="atLeast"/>
              <w:contextualSpacing/>
              <w:jc w:val="both"/>
              <w:rPr>
                <w:rFonts w:eastAsia="Calibri" w:cs="Times"/>
                <w:bCs/>
                <w:szCs w:val="24"/>
                <w:lang w:eastAsia="sv-SE"/>
              </w:rPr>
            </w:pPr>
            <w:r w:rsidRPr="003F1E71">
              <w:rPr>
                <w:rFonts w:eastAsia="Calibri" w:cs="Times"/>
                <w:bCs/>
                <w:szCs w:val="24"/>
                <w:lang w:eastAsia="sv-SE"/>
              </w:rPr>
              <w:t xml:space="preserve">The spray application must be downward in order to avoid any facial exposure. </w:t>
            </w:r>
          </w:p>
          <w:p w14:paraId="699F9E8A" w14:textId="1345F6AB" w:rsidR="00636650" w:rsidRPr="00B27CB1" w:rsidRDefault="00A81BFA" w:rsidP="00E91F85">
            <w:pPr>
              <w:widowControl w:val="0"/>
              <w:numPr>
                <w:ilvl w:val="0"/>
                <w:numId w:val="7"/>
              </w:numPr>
              <w:suppressAutoHyphens w:val="0"/>
              <w:autoSpaceDE w:val="0"/>
              <w:snapToGrid w:val="0"/>
              <w:spacing w:before="80" w:line="260" w:lineRule="atLeast"/>
              <w:contextualSpacing/>
              <w:jc w:val="both"/>
              <w:rPr>
                <w:rFonts w:cs="Times"/>
                <w:bCs/>
                <w:szCs w:val="29"/>
              </w:rPr>
            </w:pPr>
            <w:r w:rsidRPr="003F1E71">
              <w:rPr>
                <w:rFonts w:eastAsia="Calibri" w:cs="Times"/>
                <w:bCs/>
                <w:szCs w:val="24"/>
                <w:lang w:eastAsia="sv-SE"/>
              </w:rPr>
              <w:t>Wash hands after application</w:t>
            </w:r>
            <w:r w:rsidR="005B7759" w:rsidRPr="003F1E71">
              <w:rPr>
                <w:rFonts w:eastAsia="Calibri" w:cs="Times"/>
                <w:bCs/>
                <w:szCs w:val="24"/>
                <w:lang w:eastAsia="sv-SE"/>
              </w:rPr>
              <w:t>.</w:t>
            </w:r>
          </w:p>
        </w:tc>
      </w:tr>
    </w:tbl>
    <w:p w14:paraId="1DC9DCED"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348F1AFF"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42D2FC9" w14:textId="75C6642E" w:rsidR="00636650" w:rsidRPr="005F27B1" w:rsidRDefault="003B6713" w:rsidP="00E91F85">
            <w:pPr>
              <w:pStyle w:val="Paragraphedeliste"/>
              <w:widowControl w:val="0"/>
              <w:numPr>
                <w:ilvl w:val="0"/>
                <w:numId w:val="7"/>
              </w:numPr>
              <w:autoSpaceDE w:val="0"/>
              <w:snapToGrid w:val="0"/>
              <w:spacing w:before="80" w:line="254" w:lineRule="auto"/>
              <w:rPr>
                <w:rFonts w:cs="Times"/>
                <w:bCs/>
                <w:szCs w:val="29"/>
              </w:rPr>
            </w:pPr>
            <w:r w:rsidRPr="00AE3876">
              <w:rPr>
                <w:rFonts w:cs="Times"/>
                <w:bCs/>
                <w:szCs w:val="29"/>
              </w:rPr>
              <w:t>If medical advice is needed, have product container or label at hand.</w:t>
            </w:r>
          </w:p>
        </w:tc>
      </w:tr>
    </w:tbl>
    <w:p w14:paraId="710B6E78"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EC79FE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E99D685" w14:textId="42AC16CC" w:rsidR="00636650" w:rsidRPr="00B27CB1" w:rsidRDefault="00AE3069" w:rsidP="00685495">
            <w:pPr>
              <w:widowControl w:val="0"/>
              <w:autoSpaceDE w:val="0"/>
              <w:snapToGrid w:val="0"/>
              <w:spacing w:before="80" w:line="254" w:lineRule="auto"/>
              <w:rPr>
                <w:rFonts w:cs="Times"/>
                <w:bCs/>
                <w:szCs w:val="29"/>
              </w:rPr>
            </w:pPr>
            <w:r>
              <w:rPr>
                <w:rFonts w:cs="Times"/>
                <w:bCs/>
                <w:szCs w:val="29"/>
              </w:rPr>
              <w:t>-</w:t>
            </w:r>
          </w:p>
        </w:tc>
      </w:tr>
    </w:tbl>
    <w:p w14:paraId="5B4F51B7"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2265E02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CFEB4AC" w14:textId="57178EC6" w:rsidR="00636650" w:rsidRPr="00B27CB1" w:rsidRDefault="003B6713" w:rsidP="00E91F85">
            <w:pPr>
              <w:pStyle w:val="Paragraphedeliste"/>
              <w:widowControl w:val="0"/>
              <w:numPr>
                <w:ilvl w:val="0"/>
                <w:numId w:val="7"/>
              </w:numPr>
              <w:autoSpaceDE w:val="0"/>
              <w:snapToGrid w:val="0"/>
              <w:spacing w:before="80" w:line="254" w:lineRule="auto"/>
              <w:rPr>
                <w:rFonts w:cs="Times"/>
                <w:bCs/>
                <w:szCs w:val="29"/>
              </w:rPr>
            </w:pPr>
            <w:r w:rsidRPr="003B6713">
              <w:rPr>
                <w:rFonts w:cs="Times"/>
                <w:bCs/>
                <w:szCs w:val="29"/>
              </w:rPr>
              <w:t>Keep out of reach of children</w:t>
            </w:r>
            <w:r w:rsidR="00791036">
              <w:rPr>
                <w:rFonts w:cs="Times"/>
                <w:bCs/>
                <w:szCs w:val="29"/>
              </w:rPr>
              <w:t xml:space="preserve"> and pets</w:t>
            </w:r>
            <w:r w:rsidRPr="003B6713">
              <w:rPr>
                <w:rFonts w:cs="Times"/>
                <w:bCs/>
                <w:szCs w:val="29"/>
              </w:rPr>
              <w:t>.</w:t>
            </w:r>
          </w:p>
        </w:tc>
      </w:tr>
    </w:tbl>
    <w:p w14:paraId="3954544A" w14:textId="77777777" w:rsidR="00636650" w:rsidRPr="00B27CB1" w:rsidRDefault="00636650" w:rsidP="00636650">
      <w:pPr>
        <w:widowControl w:val="0"/>
        <w:autoSpaceDE w:val="0"/>
        <w:rPr>
          <w:rFonts w:cs="Times"/>
          <w:bCs/>
          <w:szCs w:val="29"/>
        </w:rPr>
      </w:pPr>
    </w:p>
    <w:p w14:paraId="73326FD9" w14:textId="77777777" w:rsidR="00636650" w:rsidRPr="00B27CB1" w:rsidRDefault="00636650" w:rsidP="00636650">
      <w:pPr>
        <w:pStyle w:val="Titre4"/>
        <w:numPr>
          <w:ilvl w:val="3"/>
          <w:numId w:val="9"/>
        </w:numPr>
        <w:rPr>
          <w:lang w:val="en-GB"/>
        </w:rPr>
      </w:pPr>
      <w:bookmarkStart w:id="69" w:name="_Toc87361104"/>
      <w:r w:rsidRPr="00B27CB1">
        <w:rPr>
          <w:lang w:val="en-GB"/>
        </w:rPr>
        <w:t>Use description</w:t>
      </w:r>
      <w:bookmarkEnd w:id="69"/>
    </w:p>
    <w:p w14:paraId="3BC4E44F" w14:textId="2E719C80"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3</w:t>
      </w:r>
      <w:r w:rsidRPr="00B27CB1">
        <w:rPr>
          <w:rFonts w:ascii="Verdana" w:hAnsi="Verdana" w:cs="Verdana"/>
        </w:rPr>
        <w:fldChar w:fldCharType="end"/>
      </w:r>
      <w:r w:rsidRPr="00B27CB1">
        <w:rPr>
          <w:rFonts w:ascii="Verdana" w:hAnsi="Verdana"/>
        </w:rPr>
        <w:t xml:space="preserve">. Use # 2 </w:t>
      </w:r>
      <w:r w:rsidRPr="00657948">
        <w:rPr>
          <w:rFonts w:ascii="Verdana" w:hAnsi="Verdana"/>
        </w:rPr>
        <w:t>– Disinfectants for hard surfaces including food contact surfaces of domestic area</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6F239D72" w14:textId="77777777" w:rsidTr="00685495">
        <w:tc>
          <w:tcPr>
            <w:tcW w:w="2707" w:type="dxa"/>
            <w:tcBorders>
              <w:top w:val="single" w:sz="4" w:space="0" w:color="000000"/>
              <w:left w:val="single" w:sz="4" w:space="0" w:color="000000"/>
              <w:bottom w:val="single" w:sz="4" w:space="0" w:color="000000"/>
              <w:right w:val="nil"/>
            </w:tcBorders>
            <w:hideMark/>
          </w:tcPr>
          <w:p w14:paraId="0B778DFC"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48EA383" w14:textId="353E91BA" w:rsidR="00636650" w:rsidRPr="00B27CB1" w:rsidRDefault="00B0180E"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636650" w:rsidRPr="00B27CB1" w14:paraId="027DAEB8" w14:textId="77777777" w:rsidTr="00685495">
        <w:tc>
          <w:tcPr>
            <w:tcW w:w="2707" w:type="dxa"/>
            <w:tcBorders>
              <w:top w:val="nil"/>
              <w:left w:val="single" w:sz="4" w:space="0" w:color="000000"/>
              <w:bottom w:val="single" w:sz="4" w:space="0" w:color="000000"/>
              <w:right w:val="nil"/>
            </w:tcBorders>
            <w:hideMark/>
          </w:tcPr>
          <w:p w14:paraId="445C1BD8"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D362551" w14:textId="77777777" w:rsidR="00B0180E" w:rsidRPr="000D7D14" w:rsidRDefault="00B0180E" w:rsidP="00B0180E">
            <w:r w:rsidRPr="000D7D14">
              <w:rPr>
                <w:color w:val="000000"/>
              </w:rPr>
              <w:t xml:space="preserve">Product used for the disinfection of households surfaces including food contact surfaces, toilets bowls and devices for baby care and other risk groups. </w:t>
            </w:r>
          </w:p>
          <w:p w14:paraId="63442E24" w14:textId="77777777" w:rsidR="00636650" w:rsidRDefault="00636650" w:rsidP="00685495">
            <w:pPr>
              <w:snapToGrid w:val="0"/>
              <w:spacing w:line="254" w:lineRule="auto"/>
              <w:rPr>
                <w:b/>
              </w:rPr>
            </w:pPr>
          </w:p>
          <w:p w14:paraId="1CA50A02" w14:textId="7D88EE3F" w:rsidR="0089334C" w:rsidRPr="00B27CB1" w:rsidRDefault="00CB2C87" w:rsidP="00685495">
            <w:pPr>
              <w:snapToGrid w:val="0"/>
              <w:spacing w:line="254" w:lineRule="auto"/>
              <w:rPr>
                <w:b/>
              </w:rPr>
            </w:pPr>
            <w:r>
              <w:rPr>
                <w:color w:val="000000"/>
              </w:rPr>
              <w:t>D</w:t>
            </w:r>
            <w:r w:rsidR="0089334C" w:rsidRPr="000D7D14">
              <w:rPr>
                <w:color w:val="000000"/>
              </w:rPr>
              <w:t xml:space="preserve">isinfection of all kind of </w:t>
            </w:r>
            <w:r w:rsidR="0089334C">
              <w:rPr>
                <w:color w:val="000000"/>
              </w:rPr>
              <w:t xml:space="preserve">non </w:t>
            </w:r>
            <w:r w:rsidR="0089334C" w:rsidRPr="000D7D14">
              <w:rPr>
                <w:color w:val="000000"/>
              </w:rPr>
              <w:t>porous surfaces.</w:t>
            </w:r>
          </w:p>
        </w:tc>
      </w:tr>
      <w:tr w:rsidR="00636650" w:rsidRPr="00B27CB1" w14:paraId="50FE6F7B" w14:textId="77777777" w:rsidTr="00685495">
        <w:tc>
          <w:tcPr>
            <w:tcW w:w="2707" w:type="dxa"/>
            <w:tcBorders>
              <w:top w:val="nil"/>
              <w:left w:val="single" w:sz="4" w:space="0" w:color="000000"/>
              <w:bottom w:val="single" w:sz="4" w:space="0" w:color="000000"/>
              <w:right w:val="nil"/>
            </w:tcBorders>
            <w:hideMark/>
          </w:tcPr>
          <w:p w14:paraId="2AA480F7" w14:textId="77777777" w:rsidR="00636650" w:rsidRPr="00B27CB1" w:rsidRDefault="00636650" w:rsidP="00685495">
            <w:pPr>
              <w:spacing w:line="254" w:lineRule="auto"/>
              <w:rPr>
                <w:b/>
              </w:rPr>
            </w:pPr>
            <w:r w:rsidRPr="00B27CB1">
              <w:rPr>
                <w:b/>
                <w:bCs/>
                <w:szCs w:val="24"/>
                <w:lang w:eastAsia="en-GB"/>
              </w:rPr>
              <w:lastRenderedPageBreak/>
              <w:t>Target organism (including development stage)</w:t>
            </w:r>
          </w:p>
        </w:tc>
        <w:tc>
          <w:tcPr>
            <w:tcW w:w="6328" w:type="dxa"/>
            <w:tcBorders>
              <w:top w:val="nil"/>
              <w:left w:val="single" w:sz="4" w:space="0" w:color="000000"/>
              <w:bottom w:val="single" w:sz="4" w:space="0" w:color="000000"/>
              <w:right w:val="single" w:sz="4" w:space="0" w:color="000000"/>
            </w:tcBorders>
          </w:tcPr>
          <w:p w14:paraId="03F45F73" w14:textId="4701AE26" w:rsidR="00636650" w:rsidRPr="00B27CB1" w:rsidRDefault="005F776A" w:rsidP="00685495">
            <w:pPr>
              <w:snapToGrid w:val="0"/>
              <w:spacing w:line="254" w:lineRule="auto"/>
              <w:rPr>
                <w:lang w:eastAsia="de-DE"/>
              </w:rPr>
            </w:pPr>
            <w:r w:rsidRPr="000D7D14">
              <w:t xml:space="preserve">Bacteria </w:t>
            </w:r>
            <w:r w:rsidRPr="000D7D14">
              <w:br/>
              <w:t>Yeasts</w:t>
            </w:r>
          </w:p>
        </w:tc>
      </w:tr>
      <w:tr w:rsidR="00636650" w:rsidRPr="00B27CB1" w14:paraId="71F3A75D" w14:textId="77777777" w:rsidTr="00685495">
        <w:tc>
          <w:tcPr>
            <w:tcW w:w="2707" w:type="dxa"/>
            <w:tcBorders>
              <w:top w:val="nil"/>
              <w:left w:val="single" w:sz="4" w:space="0" w:color="000000"/>
              <w:bottom w:val="single" w:sz="4" w:space="0" w:color="000000"/>
              <w:right w:val="nil"/>
            </w:tcBorders>
            <w:hideMark/>
          </w:tcPr>
          <w:p w14:paraId="4C079E12"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B47F0F4" w14:textId="37F1E308" w:rsidR="00636650" w:rsidRPr="00B27CB1" w:rsidRDefault="005F776A" w:rsidP="00BD32A0">
            <w:pPr>
              <w:suppressAutoHyphens w:val="0"/>
              <w:snapToGrid w:val="0"/>
              <w:spacing w:line="260" w:lineRule="atLeast"/>
              <w:jc w:val="both"/>
              <w:rPr>
                <w:rFonts w:cs="Times New Roman"/>
                <w:lang w:eastAsia="de-DE"/>
              </w:rPr>
            </w:pPr>
            <w:r w:rsidRPr="000D7D14">
              <w:rPr>
                <w:bCs/>
                <w:lang w:val="de-DE"/>
              </w:rPr>
              <w:t>Indoor</w:t>
            </w:r>
          </w:p>
        </w:tc>
      </w:tr>
      <w:tr w:rsidR="00636650" w:rsidRPr="00B27CB1" w14:paraId="2F4BFA9F" w14:textId="77777777" w:rsidTr="00685495">
        <w:tc>
          <w:tcPr>
            <w:tcW w:w="2707" w:type="dxa"/>
            <w:tcBorders>
              <w:top w:val="nil"/>
              <w:left w:val="single" w:sz="4" w:space="0" w:color="000000"/>
              <w:bottom w:val="single" w:sz="4" w:space="0" w:color="000000"/>
              <w:right w:val="nil"/>
            </w:tcBorders>
            <w:hideMark/>
          </w:tcPr>
          <w:p w14:paraId="2B689C1D"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A731B5E" w14:textId="77777777" w:rsidR="0068018B" w:rsidRDefault="005F776A" w:rsidP="00BD32A0">
            <w:pPr>
              <w:suppressAutoHyphens w:val="0"/>
              <w:snapToGrid w:val="0"/>
              <w:spacing w:line="260" w:lineRule="atLeast"/>
            </w:pPr>
            <w:r w:rsidRPr="000D7D14">
              <w:t xml:space="preserve">Spraying, </w:t>
            </w:r>
          </w:p>
          <w:p w14:paraId="6739CBCA" w14:textId="0928E9CA" w:rsidR="00636650" w:rsidRPr="00B27CB1" w:rsidRDefault="005F776A" w:rsidP="00E35910">
            <w:pPr>
              <w:suppressAutoHyphens w:val="0"/>
              <w:snapToGrid w:val="0"/>
              <w:spacing w:line="260" w:lineRule="atLeast"/>
              <w:rPr>
                <w:rFonts w:cs="Times New Roman"/>
                <w:lang w:eastAsia="de-DE"/>
              </w:rPr>
            </w:pPr>
            <w:r w:rsidRPr="000D7D14">
              <w:t>Wiping (applying product onto wipe followed by wiping)</w:t>
            </w:r>
          </w:p>
        </w:tc>
      </w:tr>
      <w:tr w:rsidR="00636650" w:rsidRPr="00B27CB1" w14:paraId="3F3AD790" w14:textId="77777777" w:rsidTr="00685495">
        <w:tc>
          <w:tcPr>
            <w:tcW w:w="2707" w:type="dxa"/>
            <w:tcBorders>
              <w:top w:val="nil"/>
              <w:left w:val="single" w:sz="4" w:space="0" w:color="000000"/>
              <w:bottom w:val="single" w:sz="4" w:space="0" w:color="000000"/>
              <w:right w:val="nil"/>
            </w:tcBorders>
            <w:hideMark/>
          </w:tcPr>
          <w:p w14:paraId="10DA715E" w14:textId="116BA2D8" w:rsidR="00636650" w:rsidRPr="00B27CB1" w:rsidRDefault="00636650" w:rsidP="007E1CD0">
            <w:pPr>
              <w:spacing w:line="254" w:lineRule="auto"/>
              <w:rPr>
                <w:b/>
              </w:rPr>
            </w:pPr>
            <w:r w:rsidRPr="00B27CB1">
              <w:rPr>
                <w:b/>
                <w:bCs/>
                <w:szCs w:val="24"/>
                <w:lang w:eastAsia="en-GB"/>
              </w:rPr>
              <w:t>Application rate(s) and frequency</w:t>
            </w:r>
            <w:r w:rsidR="007E1CD0">
              <w:t xml:space="preserve"> </w:t>
            </w:r>
          </w:p>
        </w:tc>
        <w:tc>
          <w:tcPr>
            <w:tcW w:w="6328" w:type="dxa"/>
            <w:tcBorders>
              <w:top w:val="nil"/>
              <w:left w:val="single" w:sz="4" w:space="0" w:color="000000"/>
              <w:bottom w:val="single" w:sz="4" w:space="0" w:color="000000"/>
              <w:right w:val="single" w:sz="4" w:space="0" w:color="000000"/>
            </w:tcBorders>
          </w:tcPr>
          <w:p w14:paraId="518FA965" w14:textId="77777777" w:rsidR="00E12D8D" w:rsidRDefault="005F776A" w:rsidP="00E12D8D">
            <w:r w:rsidRPr="00F0256C">
              <w:t>Ready to use</w:t>
            </w:r>
            <w:r w:rsidR="00E12D8D" w:rsidRPr="00344BDC">
              <w:t xml:space="preserve"> </w:t>
            </w:r>
          </w:p>
          <w:p w14:paraId="58C0E4FC" w14:textId="3966C6B2" w:rsidR="005F776A" w:rsidRDefault="00E12D8D" w:rsidP="005F776A">
            <w:r w:rsidRPr="00344BDC">
              <w:t>Dirty conditions</w:t>
            </w:r>
          </w:p>
          <w:p w14:paraId="00089F5A" w14:textId="20FBCC19" w:rsidR="007E1CD0" w:rsidRPr="004D1209" w:rsidRDefault="0079217E" w:rsidP="007E1CD0">
            <w:r>
              <w:t>T</w:t>
            </w:r>
            <w:r w:rsidR="007E1CD0" w:rsidRPr="004D1209">
              <w:t>emperature</w:t>
            </w:r>
            <w:r>
              <w:t>: 20°C</w:t>
            </w:r>
          </w:p>
          <w:p w14:paraId="57F5D26C" w14:textId="3CDA6ED8" w:rsidR="00817221" w:rsidRDefault="00817221" w:rsidP="007E1CD0"/>
          <w:p w14:paraId="15975328" w14:textId="77777777" w:rsidR="00E12D8D" w:rsidRPr="00F0256C" w:rsidRDefault="00E12D8D" w:rsidP="00E12D8D">
            <w:r>
              <w:t>Non mechanical action (spraying):</w:t>
            </w:r>
          </w:p>
          <w:p w14:paraId="695DD782" w14:textId="77777777" w:rsidR="00E12D8D" w:rsidRPr="00F0256C" w:rsidRDefault="00E12D8D" w:rsidP="00E12D8D">
            <w:r w:rsidRPr="00F0256C">
              <w:t>Contact time</w:t>
            </w:r>
            <w:r>
              <w:t xml:space="preserve"> (</w:t>
            </w:r>
            <w:r w:rsidRPr="00820E0E">
              <w:t>bacteria and yeasts</w:t>
            </w:r>
            <w:r>
              <w:t>)</w:t>
            </w:r>
            <w:r w:rsidRPr="00F0256C">
              <w:t>: 15 minutes</w:t>
            </w:r>
          </w:p>
          <w:p w14:paraId="22DB2C49" w14:textId="77777777" w:rsidR="00E12D8D" w:rsidRPr="00344BDC" w:rsidRDefault="00E12D8D" w:rsidP="007E1CD0"/>
          <w:p w14:paraId="2E3E95C9" w14:textId="7679B6B0" w:rsidR="007E1CD0" w:rsidRDefault="0068018B" w:rsidP="005F776A">
            <w:r>
              <w:t>Mechanical action (wiping)</w:t>
            </w:r>
            <w:r w:rsidR="007E1CD0">
              <w:t>:</w:t>
            </w:r>
          </w:p>
          <w:p w14:paraId="213537D2" w14:textId="17FDDE77" w:rsidR="007E1CD0" w:rsidRDefault="007E1CD0" w:rsidP="005F776A">
            <w:r>
              <w:t>Contact time (</w:t>
            </w:r>
            <w:r w:rsidR="00357F13">
              <w:t>b</w:t>
            </w:r>
            <w:r>
              <w:t>acteria, yeasts): 5 minutes</w:t>
            </w:r>
          </w:p>
          <w:p w14:paraId="0B88951E" w14:textId="77777777" w:rsidR="005F776A" w:rsidRPr="00344BDC" w:rsidRDefault="005F776A" w:rsidP="005F776A"/>
          <w:p w14:paraId="11CD6104" w14:textId="04DD89AF" w:rsidR="005F776A" w:rsidRPr="000D7D14" w:rsidRDefault="00357F13" w:rsidP="005F776A">
            <w:r>
              <w:t>A</w:t>
            </w:r>
            <w:r w:rsidR="005F776A" w:rsidRPr="000D7D14">
              <w:t>pplication rate</w:t>
            </w:r>
            <w:r>
              <w:t>s</w:t>
            </w:r>
            <w:r w:rsidR="005F776A" w:rsidRPr="000D7D14">
              <w:t xml:space="preserve">: </w:t>
            </w:r>
          </w:p>
          <w:p w14:paraId="0D3C7557" w14:textId="59422E31" w:rsidR="00BD49AE" w:rsidRDefault="005F776A" w:rsidP="005F776A">
            <w:r w:rsidRPr="000D7D14">
              <w:t>30 ml/m</w:t>
            </w:r>
            <w:r w:rsidRPr="000D7D14">
              <w:rPr>
                <w:vertAlign w:val="superscript"/>
              </w:rPr>
              <w:t>2</w:t>
            </w:r>
            <w:r w:rsidRPr="000D7D14">
              <w:t xml:space="preserve"> </w:t>
            </w:r>
            <w:r w:rsidR="001F534D">
              <w:t xml:space="preserve">- </w:t>
            </w:r>
            <w:r w:rsidRPr="000D7D14">
              <w:t>20 sprays on the surface per m</w:t>
            </w:r>
            <w:r w:rsidRPr="000D7D14">
              <w:rPr>
                <w:vertAlign w:val="superscript"/>
              </w:rPr>
              <w:t>2</w:t>
            </w:r>
          </w:p>
          <w:p w14:paraId="61482B59" w14:textId="5A0E7025" w:rsidR="005F776A" w:rsidRPr="00F0256C" w:rsidRDefault="005F776A" w:rsidP="005F776A">
            <w:r w:rsidRPr="000D7D14">
              <w:t>8 to 12 sprays or 16 ml on wipe per 0.1</w:t>
            </w:r>
            <w:r w:rsidR="00383E12">
              <w:t xml:space="preserve"> </w:t>
            </w:r>
            <w:r w:rsidRPr="000D7D14">
              <w:t>m</w:t>
            </w:r>
            <w:r w:rsidRPr="000D7D14">
              <w:rPr>
                <w:vertAlign w:val="superscript"/>
              </w:rPr>
              <w:t>2</w:t>
            </w:r>
          </w:p>
          <w:p w14:paraId="273BE131" w14:textId="4BD500FB" w:rsidR="00636650" w:rsidRPr="00B27CB1" w:rsidRDefault="005F776A" w:rsidP="004A347E">
            <w:pPr>
              <w:snapToGrid w:val="0"/>
              <w:spacing w:line="260" w:lineRule="atLeast"/>
              <w:rPr>
                <w:rFonts w:cs="Times New Roman"/>
                <w:lang w:eastAsia="de-DE"/>
              </w:rPr>
            </w:pPr>
            <w:r w:rsidRPr="00F0256C">
              <w:t>For toilet bowls</w:t>
            </w:r>
            <w:r w:rsidR="00BD49AE">
              <w:t>:</w:t>
            </w:r>
            <w:r w:rsidRPr="00F0256C">
              <w:t xml:space="preserve"> </w:t>
            </w:r>
            <w:r w:rsidRPr="00E91F85">
              <w:rPr>
                <w:bCs/>
                <w:color w:val="000000"/>
                <w:lang w:val="en-US"/>
              </w:rPr>
              <w:t>50 ml or 33 sprays per toilet</w:t>
            </w:r>
          </w:p>
        </w:tc>
      </w:tr>
      <w:tr w:rsidR="00636650" w:rsidRPr="00B27CB1" w14:paraId="061F865B" w14:textId="77777777" w:rsidTr="00685495">
        <w:tc>
          <w:tcPr>
            <w:tcW w:w="2707" w:type="dxa"/>
            <w:tcBorders>
              <w:top w:val="nil"/>
              <w:left w:val="single" w:sz="4" w:space="0" w:color="000000"/>
              <w:bottom w:val="single" w:sz="4" w:space="0" w:color="000000"/>
              <w:right w:val="nil"/>
            </w:tcBorders>
            <w:hideMark/>
          </w:tcPr>
          <w:p w14:paraId="4F6C8315" w14:textId="77777777" w:rsidR="00636650" w:rsidRPr="00B27CB1" w:rsidRDefault="00636650"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10ED9952" w14:textId="6278B491" w:rsidR="00636650" w:rsidRPr="00B27CB1" w:rsidRDefault="005F776A" w:rsidP="00685495">
            <w:pPr>
              <w:snapToGrid w:val="0"/>
              <w:spacing w:line="254" w:lineRule="auto"/>
              <w:rPr>
                <w:b/>
              </w:rPr>
            </w:pPr>
            <w:r w:rsidRPr="000D7D14">
              <w:t>General public (non-professional)</w:t>
            </w:r>
          </w:p>
        </w:tc>
      </w:tr>
      <w:tr w:rsidR="00636650" w:rsidRPr="00A04731" w14:paraId="50B666B1" w14:textId="77777777" w:rsidTr="00685495">
        <w:tc>
          <w:tcPr>
            <w:tcW w:w="2707" w:type="dxa"/>
            <w:tcBorders>
              <w:top w:val="nil"/>
              <w:left w:val="single" w:sz="4" w:space="0" w:color="000000"/>
              <w:bottom w:val="single" w:sz="4" w:space="0" w:color="000000"/>
              <w:right w:val="nil"/>
            </w:tcBorders>
            <w:hideMark/>
          </w:tcPr>
          <w:p w14:paraId="027200F1" w14:textId="77777777" w:rsidR="00636650" w:rsidRPr="00B27CB1" w:rsidRDefault="00636650"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D3024EA" w14:textId="4692EB78" w:rsidR="009D6FC5" w:rsidRDefault="009D6FC5" w:rsidP="009D6FC5">
            <w:pPr>
              <w:spacing w:line="254" w:lineRule="auto"/>
            </w:pPr>
            <w:r>
              <w:t>HDPE:</w:t>
            </w:r>
            <w:r w:rsidR="00B639F8">
              <w:t xml:space="preserve"> </w:t>
            </w:r>
            <w:r>
              <w:t xml:space="preserve">500 mL trigger spray, 750 mL trigger spray, 1 L trigger spray, 1 L,  5 L </w:t>
            </w:r>
          </w:p>
          <w:p w14:paraId="6D733E57" w14:textId="44E9590D" w:rsidR="009D6FC5" w:rsidRDefault="009D6FC5" w:rsidP="009D6FC5">
            <w:pPr>
              <w:spacing w:line="254" w:lineRule="auto"/>
            </w:pPr>
            <w:r>
              <w:t>PET:</w:t>
            </w:r>
            <w:r w:rsidR="00B639F8">
              <w:t xml:space="preserve"> </w:t>
            </w:r>
            <w:r>
              <w:t>500 mL trigger spray, 750 mL trigger spray, 1 L</w:t>
            </w:r>
          </w:p>
          <w:p w14:paraId="6A9AD3A6" w14:textId="4718C636" w:rsidR="00636650" w:rsidRPr="00B639F8" w:rsidRDefault="009D6FC5" w:rsidP="00B639F8">
            <w:pPr>
              <w:spacing w:line="254" w:lineRule="auto"/>
              <w:rPr>
                <w:lang w:val="fr-FR"/>
              </w:rPr>
            </w:pPr>
            <w:r w:rsidRPr="00E91F85">
              <w:rPr>
                <w:lang w:val="fr-FR"/>
              </w:rPr>
              <w:t>Coextrude (HDPE/Adhesive/Nylon polyamide):</w:t>
            </w:r>
            <w:r w:rsidR="00B639F8">
              <w:rPr>
                <w:lang w:val="fr-FR"/>
              </w:rPr>
              <w:t xml:space="preserve"> </w:t>
            </w:r>
            <w:r w:rsidRPr="00B639F8">
              <w:rPr>
                <w:lang w:val="fr-FR"/>
              </w:rPr>
              <w:t>5 L</w:t>
            </w:r>
          </w:p>
        </w:tc>
      </w:tr>
    </w:tbl>
    <w:p w14:paraId="008E678D" w14:textId="77777777" w:rsidR="00636650" w:rsidRPr="00B639F8" w:rsidRDefault="00636650" w:rsidP="00636650">
      <w:pPr>
        <w:tabs>
          <w:tab w:val="left" w:pos="500"/>
        </w:tabs>
        <w:ind w:left="500" w:hanging="500"/>
        <w:rPr>
          <w:lang w:val="fr-FR"/>
        </w:rPr>
      </w:pPr>
    </w:p>
    <w:p w14:paraId="72273821" w14:textId="77777777" w:rsidR="00636650" w:rsidRPr="003F1E71" w:rsidRDefault="00636650" w:rsidP="003F1E71">
      <w:pPr>
        <w:keepNext/>
        <w:numPr>
          <w:ilvl w:val="4"/>
          <w:numId w:val="9"/>
        </w:numPr>
        <w:spacing w:before="255" w:after="80" w:line="255" w:lineRule="exact"/>
        <w:outlineLvl w:val="4"/>
        <w:rPr>
          <w:sz w:val="22"/>
        </w:rPr>
      </w:pPr>
      <w:bookmarkStart w:id="70" w:name="_Toc517184305"/>
      <w:r w:rsidRPr="003F1E71">
        <w:rPr>
          <w:sz w:val="22"/>
        </w:rPr>
        <w:t>Use-specific instructions for use</w:t>
      </w:r>
      <w:bookmarkEnd w:id="7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471FC1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0786528" w14:textId="77777777" w:rsidR="00367700" w:rsidRDefault="003B6713" w:rsidP="00E12D8D">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Read carefully and follow all instructions</w:t>
            </w:r>
            <w:r w:rsidR="00406F7F" w:rsidRPr="00E91F85">
              <w:rPr>
                <w:color w:val="000000"/>
                <w:lang w:eastAsia="en-GB"/>
              </w:rPr>
              <w:t>.</w:t>
            </w:r>
          </w:p>
          <w:p w14:paraId="343DB5C5" w14:textId="7A92E56C" w:rsidR="00E12D8D" w:rsidRPr="00E91F85" w:rsidRDefault="00E12D8D" w:rsidP="00E12D8D">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Ready-to-use liquid for hard surfaces by spraying: Spray directly on the surface</w:t>
            </w:r>
            <w:r w:rsidR="00BD49AE" w:rsidRPr="00E91F85">
              <w:rPr>
                <w:color w:val="000000"/>
                <w:lang w:eastAsia="en-GB"/>
              </w:rPr>
              <w:t>s</w:t>
            </w:r>
            <w:r w:rsidRPr="00E91F85">
              <w:rPr>
                <w:color w:val="000000"/>
                <w:lang w:eastAsia="en-GB"/>
              </w:rPr>
              <w:t xml:space="preserve"> intended to be treated and cover the entire surface</w:t>
            </w:r>
            <w:r w:rsidR="00BD49AE" w:rsidRPr="00E91F85">
              <w:rPr>
                <w:color w:val="000000"/>
                <w:lang w:eastAsia="en-GB"/>
              </w:rPr>
              <w:t>s</w:t>
            </w:r>
            <w:r w:rsidRPr="00E91F85">
              <w:rPr>
                <w:color w:val="000000"/>
                <w:lang w:eastAsia="en-GB"/>
              </w:rPr>
              <w:t>. Allow to take effect for at least 15 minutes, then brush or scrub if required and wipe with a dry cloth.</w:t>
            </w:r>
          </w:p>
          <w:p w14:paraId="252D7B4C" w14:textId="718FA29B" w:rsidR="003D6EF7" w:rsidRPr="00E91F85" w:rsidRDefault="006C412F" w:rsidP="00E12D8D">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Ready-to-use</w:t>
            </w:r>
            <w:r w:rsidR="003D6EF7" w:rsidRPr="00E91F85">
              <w:rPr>
                <w:color w:val="000000"/>
                <w:lang w:eastAsia="en-GB"/>
              </w:rPr>
              <w:t xml:space="preserve"> </w:t>
            </w:r>
            <w:r w:rsidRPr="00E91F85">
              <w:rPr>
                <w:color w:val="000000"/>
                <w:lang w:eastAsia="en-GB"/>
              </w:rPr>
              <w:t>liquid</w:t>
            </w:r>
            <w:r w:rsidR="003D6EF7" w:rsidRPr="00E91F85">
              <w:rPr>
                <w:color w:val="000000"/>
                <w:lang w:eastAsia="en-GB"/>
              </w:rPr>
              <w:t xml:space="preserve"> for hard surfaces by wipping:</w:t>
            </w:r>
            <w:r w:rsidR="00E12D8D" w:rsidRPr="00E91F85">
              <w:rPr>
                <w:color w:val="000000"/>
                <w:lang w:eastAsia="en-GB"/>
              </w:rPr>
              <w:t xml:space="preserve"> </w:t>
            </w:r>
            <w:r w:rsidR="006E596F" w:rsidRPr="00E91F85">
              <w:rPr>
                <w:color w:val="000000"/>
                <w:lang w:eastAsia="en-GB"/>
              </w:rPr>
              <w:t>Spray on wipe and apply by fully wetting all surfaces intended to be treated</w:t>
            </w:r>
            <w:r w:rsidRPr="00E91F85">
              <w:rPr>
                <w:color w:val="000000"/>
                <w:lang w:eastAsia="en-GB"/>
              </w:rPr>
              <w:t>. Allow to take effect for at least 5 minutes</w:t>
            </w:r>
            <w:r w:rsidR="00775ABA">
              <w:rPr>
                <w:color w:val="000000"/>
                <w:lang w:eastAsia="en-GB"/>
              </w:rPr>
              <w:t>,</w:t>
            </w:r>
            <w:r w:rsidRPr="00E91F85">
              <w:rPr>
                <w:color w:val="000000"/>
                <w:lang w:eastAsia="en-GB"/>
              </w:rPr>
              <w:t xml:space="preserve"> then wipe the surface with a dry cloth if required or let to dry.</w:t>
            </w:r>
          </w:p>
          <w:p w14:paraId="2F252D6D" w14:textId="77777777" w:rsidR="00EA0688" w:rsidRDefault="003D6EF7" w:rsidP="00657948">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Ready-to-use liquid for to</w:t>
            </w:r>
            <w:r w:rsidR="00040093" w:rsidRPr="00E91F85">
              <w:rPr>
                <w:color w:val="000000"/>
                <w:lang w:eastAsia="en-GB"/>
              </w:rPr>
              <w:t>i</w:t>
            </w:r>
            <w:r w:rsidRPr="00E91F85">
              <w:rPr>
                <w:color w:val="000000"/>
                <w:lang w:eastAsia="en-GB"/>
              </w:rPr>
              <w:t>let bowls:</w:t>
            </w:r>
            <w:r w:rsidR="00E12D8D" w:rsidRPr="00E91F85">
              <w:rPr>
                <w:color w:val="000000"/>
                <w:lang w:eastAsia="en-GB"/>
              </w:rPr>
              <w:t xml:space="preserve"> </w:t>
            </w:r>
            <w:r w:rsidR="006C412F" w:rsidRPr="00E91F85">
              <w:rPr>
                <w:color w:val="000000"/>
                <w:lang w:eastAsia="en-GB"/>
              </w:rPr>
              <w:t xml:space="preserve">Spray inside the toilet bowls by fully covering all surface to be treated. </w:t>
            </w:r>
            <w:r w:rsidRPr="00E91F85">
              <w:rPr>
                <w:color w:val="000000"/>
                <w:lang w:eastAsia="en-GB"/>
              </w:rPr>
              <w:t>Allow to take effect for at least 15 minutes</w:t>
            </w:r>
            <w:r w:rsidR="006C412F" w:rsidRPr="00E91F85">
              <w:rPr>
                <w:color w:val="000000"/>
                <w:lang w:eastAsia="en-GB"/>
              </w:rPr>
              <w:t>, then brush if required and flush the toilet.</w:t>
            </w:r>
          </w:p>
          <w:p w14:paraId="65A134C3" w14:textId="5E5FD00A" w:rsidR="00EA0688" w:rsidRPr="00657948" w:rsidRDefault="00E042E9" w:rsidP="00E042E9">
            <w:pPr>
              <w:widowControl w:val="0"/>
              <w:numPr>
                <w:ilvl w:val="0"/>
                <w:numId w:val="7"/>
              </w:numPr>
              <w:suppressAutoHyphens w:val="0"/>
              <w:autoSpaceDE w:val="0"/>
              <w:snapToGrid w:val="0"/>
              <w:spacing w:before="80" w:line="260" w:lineRule="atLeast"/>
              <w:contextualSpacing/>
              <w:jc w:val="both"/>
              <w:rPr>
                <w:color w:val="000000"/>
                <w:lang w:eastAsia="en-GB"/>
              </w:rPr>
            </w:pPr>
            <w:r>
              <w:rPr>
                <w:rFonts w:cs="Times"/>
                <w:bCs/>
                <w:szCs w:val="29"/>
              </w:rPr>
              <w:t>Product</w:t>
            </w:r>
            <w:r w:rsidR="00FB5572" w:rsidRPr="00533866">
              <w:rPr>
                <w:rFonts w:cs="Times"/>
                <w:bCs/>
                <w:szCs w:val="29"/>
              </w:rPr>
              <w:t xml:space="preserve"> ha</w:t>
            </w:r>
            <w:r>
              <w:rPr>
                <w:rFonts w:cs="Times"/>
                <w:bCs/>
                <w:szCs w:val="29"/>
              </w:rPr>
              <w:t>s</w:t>
            </w:r>
            <w:r w:rsidR="00FB5572" w:rsidRPr="00533866">
              <w:rPr>
                <w:rFonts w:cs="Times"/>
                <w:bCs/>
                <w:szCs w:val="29"/>
              </w:rPr>
              <w:t xml:space="preserve"> been tested against </w:t>
            </w:r>
            <w:r w:rsidR="00FB5572">
              <w:rPr>
                <w:rFonts w:cs="Times"/>
                <w:bCs/>
                <w:szCs w:val="29"/>
              </w:rPr>
              <w:t>bacteria</w:t>
            </w:r>
            <w:r w:rsidR="00FB5572" w:rsidRPr="00533866">
              <w:rPr>
                <w:rFonts w:cs="Times"/>
                <w:bCs/>
                <w:szCs w:val="29"/>
              </w:rPr>
              <w:t xml:space="preserve">, </w:t>
            </w:r>
            <w:r w:rsidR="00FB5572" w:rsidRPr="000D7D14">
              <w:t xml:space="preserve">including </w:t>
            </w:r>
            <w:r w:rsidR="00FB5572" w:rsidRPr="00E91F85">
              <w:rPr>
                <w:bCs/>
                <w:i/>
                <w:color w:val="000000"/>
                <w:lang w:val="en-US"/>
              </w:rPr>
              <w:t xml:space="preserve">Salmonella </w:t>
            </w:r>
            <w:r w:rsidR="00FB5572" w:rsidRPr="000434AD">
              <w:rPr>
                <w:bCs/>
                <w:color w:val="000000"/>
                <w:lang w:val="en-US"/>
              </w:rPr>
              <w:t>Typhimurium</w:t>
            </w:r>
            <w:r w:rsidR="00FB5572" w:rsidRPr="00E91F85">
              <w:rPr>
                <w:bCs/>
                <w:color w:val="000000"/>
                <w:lang w:val="en-US"/>
              </w:rPr>
              <w:t xml:space="preserve"> </w:t>
            </w:r>
            <w:r w:rsidR="00FB5572">
              <w:rPr>
                <w:bCs/>
                <w:color w:val="000000"/>
                <w:lang w:val="en-US"/>
              </w:rPr>
              <w:t>(</w:t>
            </w:r>
            <w:r w:rsidR="00D34D33">
              <w:rPr>
                <w:bCs/>
                <w:color w:val="000000"/>
                <w:lang w:val="en-US"/>
              </w:rPr>
              <w:t xml:space="preserve">agent of </w:t>
            </w:r>
            <w:r w:rsidR="00FB5572">
              <w:rPr>
                <w:bCs/>
                <w:color w:val="000000"/>
                <w:lang w:val="en-US"/>
              </w:rPr>
              <w:t>Salmonellosis</w:t>
            </w:r>
            <w:r w:rsidR="00D34D33">
              <w:rPr>
                <w:bCs/>
                <w:color w:val="000000"/>
                <w:lang w:val="en-US"/>
              </w:rPr>
              <w:t xml:space="preserve"> disease</w:t>
            </w:r>
            <w:r w:rsidR="00FB5572">
              <w:rPr>
                <w:bCs/>
                <w:color w:val="000000"/>
                <w:lang w:val="en-US"/>
              </w:rPr>
              <w:t xml:space="preserve">) </w:t>
            </w:r>
            <w:r w:rsidR="00FB5572" w:rsidRPr="00E91F85">
              <w:rPr>
                <w:bCs/>
                <w:color w:val="000000"/>
                <w:lang w:val="en-US"/>
              </w:rPr>
              <w:t xml:space="preserve">and </w:t>
            </w:r>
            <w:r w:rsidR="00FB5572" w:rsidRPr="00E91F85">
              <w:rPr>
                <w:bCs/>
                <w:i/>
                <w:color w:val="000000"/>
                <w:lang w:val="en-US"/>
              </w:rPr>
              <w:t>Listeria monocytogenes</w:t>
            </w:r>
            <w:r w:rsidR="00FB5572" w:rsidRPr="003F1E71">
              <w:rPr>
                <w:bCs/>
                <w:color w:val="000000"/>
                <w:lang w:val="en-US"/>
              </w:rPr>
              <w:t xml:space="preserve"> (</w:t>
            </w:r>
            <w:r w:rsidR="00D34D33" w:rsidRPr="003F1E71">
              <w:rPr>
                <w:bCs/>
                <w:color w:val="000000"/>
                <w:lang w:val="en-US"/>
              </w:rPr>
              <w:t xml:space="preserve">agent of </w:t>
            </w:r>
            <w:r w:rsidR="00FB5572" w:rsidRPr="003F1E71">
              <w:rPr>
                <w:bCs/>
                <w:color w:val="000000"/>
                <w:lang w:val="en-US"/>
              </w:rPr>
              <w:t>Listeriosis</w:t>
            </w:r>
            <w:r w:rsidR="00D34D33" w:rsidRPr="003F1E71">
              <w:rPr>
                <w:bCs/>
                <w:color w:val="000000"/>
                <w:lang w:val="en-US"/>
              </w:rPr>
              <w:t xml:space="preserve"> disease</w:t>
            </w:r>
            <w:r w:rsidR="00FB5572" w:rsidRPr="003F1E71">
              <w:rPr>
                <w:bCs/>
                <w:color w:val="000000"/>
                <w:lang w:val="en-US"/>
              </w:rPr>
              <w:t>)</w:t>
            </w:r>
          </w:p>
        </w:tc>
      </w:tr>
    </w:tbl>
    <w:p w14:paraId="53E03992" w14:textId="77777777" w:rsidR="00636650" w:rsidRPr="003F1E71" w:rsidRDefault="00636650" w:rsidP="003F1E71">
      <w:pPr>
        <w:keepNext/>
        <w:numPr>
          <w:ilvl w:val="4"/>
          <w:numId w:val="9"/>
        </w:numPr>
        <w:spacing w:before="255" w:after="80" w:line="255" w:lineRule="exact"/>
        <w:outlineLvl w:val="4"/>
        <w:rPr>
          <w:sz w:val="22"/>
        </w:rPr>
      </w:pPr>
      <w:bookmarkStart w:id="71" w:name="_Toc517184306"/>
      <w:r w:rsidRPr="003F1E71">
        <w:rPr>
          <w:sz w:val="22"/>
        </w:rPr>
        <w:t>Use-specific risk mitigation measures</w:t>
      </w:r>
      <w:bookmarkEnd w:id="71"/>
      <w:r w:rsidRPr="003F1E71">
        <w:rPr>
          <w:sz w:val="22"/>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0C054B5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8899C1B" w14:textId="4E44A1BA" w:rsidR="00A81BFA" w:rsidRPr="00E91F85" w:rsidRDefault="00A81BFA" w:rsidP="00354982">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Minimisation of splashes and spills during loading of the trigger spray</w:t>
            </w:r>
            <w:r w:rsidR="001337EA">
              <w:rPr>
                <w:color w:val="000000"/>
                <w:lang w:eastAsia="en-GB"/>
              </w:rPr>
              <w:t>.</w:t>
            </w:r>
          </w:p>
          <w:p w14:paraId="737E3377" w14:textId="440504AE" w:rsidR="00A81BFA" w:rsidRPr="00E91F85" w:rsidRDefault="00A81BFA" w:rsidP="00354982">
            <w:pPr>
              <w:widowControl w:val="0"/>
              <w:numPr>
                <w:ilvl w:val="0"/>
                <w:numId w:val="7"/>
              </w:numPr>
              <w:suppressAutoHyphens w:val="0"/>
              <w:autoSpaceDE w:val="0"/>
              <w:snapToGrid w:val="0"/>
              <w:spacing w:before="80" w:line="260" w:lineRule="atLeast"/>
              <w:contextualSpacing/>
              <w:jc w:val="both"/>
              <w:rPr>
                <w:color w:val="000000"/>
                <w:lang w:eastAsia="en-GB"/>
              </w:rPr>
            </w:pPr>
            <w:r w:rsidRPr="00E91F85">
              <w:rPr>
                <w:color w:val="000000"/>
                <w:lang w:eastAsia="en-GB"/>
              </w:rPr>
              <w:t xml:space="preserve">The spray application must be downward in order to avoid any facial exposure. </w:t>
            </w:r>
          </w:p>
          <w:p w14:paraId="5C0D79C4" w14:textId="0F91597C" w:rsidR="00636650" w:rsidRPr="00B27CB1" w:rsidRDefault="00A81BFA" w:rsidP="00354982">
            <w:pPr>
              <w:widowControl w:val="0"/>
              <w:numPr>
                <w:ilvl w:val="0"/>
                <w:numId w:val="7"/>
              </w:numPr>
              <w:suppressAutoHyphens w:val="0"/>
              <w:autoSpaceDE w:val="0"/>
              <w:snapToGrid w:val="0"/>
              <w:spacing w:before="80" w:line="260" w:lineRule="atLeast"/>
              <w:contextualSpacing/>
              <w:jc w:val="both"/>
              <w:rPr>
                <w:rFonts w:cs="Times"/>
                <w:bCs/>
                <w:szCs w:val="29"/>
              </w:rPr>
            </w:pPr>
            <w:r w:rsidRPr="00E91F85">
              <w:rPr>
                <w:color w:val="000000"/>
                <w:lang w:eastAsia="en-GB"/>
              </w:rPr>
              <w:t>Wash hands after application</w:t>
            </w:r>
            <w:r w:rsidR="001337EA">
              <w:rPr>
                <w:color w:val="000000"/>
                <w:lang w:eastAsia="en-GB"/>
              </w:rPr>
              <w:t>.</w:t>
            </w:r>
          </w:p>
        </w:tc>
      </w:tr>
    </w:tbl>
    <w:p w14:paraId="42281B1A" w14:textId="77777777" w:rsidR="00636650" w:rsidRPr="003F1E71" w:rsidRDefault="00636650" w:rsidP="003F1E71">
      <w:pPr>
        <w:keepNext/>
        <w:numPr>
          <w:ilvl w:val="4"/>
          <w:numId w:val="9"/>
        </w:numPr>
        <w:spacing w:before="255" w:after="80" w:line="255" w:lineRule="exact"/>
        <w:outlineLvl w:val="4"/>
        <w:rPr>
          <w:sz w:val="22"/>
        </w:rPr>
      </w:pPr>
      <w:bookmarkStart w:id="72" w:name="_Toc517184307"/>
      <w:r w:rsidRPr="003F1E71">
        <w:rPr>
          <w:sz w:val="22"/>
        </w:rPr>
        <w:lastRenderedPageBreak/>
        <w:t>Where specific to the use, the particulars of likely direct or indirect effects, first aid instructions and emergency measures to protect the environment</w:t>
      </w:r>
      <w:bookmarkEnd w:id="7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1EDF3919"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7A48DC3" w14:textId="02302778" w:rsidR="00636650" w:rsidRPr="003F6943" w:rsidRDefault="00FC44CE" w:rsidP="00E91F85">
            <w:pPr>
              <w:pStyle w:val="Paragraphedeliste"/>
              <w:widowControl w:val="0"/>
              <w:numPr>
                <w:ilvl w:val="0"/>
                <w:numId w:val="7"/>
              </w:numPr>
              <w:autoSpaceDE w:val="0"/>
              <w:snapToGrid w:val="0"/>
              <w:spacing w:before="80" w:line="254" w:lineRule="auto"/>
              <w:rPr>
                <w:rFonts w:cs="Times"/>
                <w:szCs w:val="29"/>
              </w:rPr>
            </w:pPr>
            <w:r w:rsidRPr="00CD2767">
              <w:rPr>
                <w:rFonts w:cs="Times"/>
                <w:szCs w:val="29"/>
              </w:rPr>
              <w:t>If medical advice is needed, have product container or label at hand.</w:t>
            </w:r>
          </w:p>
        </w:tc>
      </w:tr>
    </w:tbl>
    <w:p w14:paraId="749E43F4" w14:textId="77777777" w:rsidR="00636650" w:rsidRPr="003F1E71" w:rsidRDefault="00636650" w:rsidP="003F1E71">
      <w:pPr>
        <w:keepNext/>
        <w:numPr>
          <w:ilvl w:val="4"/>
          <w:numId w:val="9"/>
        </w:numPr>
        <w:spacing w:before="255" w:after="80" w:line="255" w:lineRule="exact"/>
        <w:outlineLvl w:val="4"/>
        <w:rPr>
          <w:sz w:val="22"/>
        </w:rPr>
      </w:pPr>
      <w:bookmarkStart w:id="73" w:name="_Toc517184308"/>
      <w:r w:rsidRPr="003F1E71">
        <w:rPr>
          <w:sz w:val="22"/>
        </w:rPr>
        <w:t>Where specific to the use, the instructions for safe disposal of the product and its packaging</w:t>
      </w:r>
      <w:bookmarkEnd w:id="73"/>
      <w:r w:rsidRPr="003F1E71">
        <w:rPr>
          <w:sz w:val="22"/>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3A25F3C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6A1D99B" w14:textId="16852609" w:rsidR="00636650" w:rsidRPr="005F27B1" w:rsidRDefault="00AE3069" w:rsidP="00AE3069">
            <w:pPr>
              <w:pStyle w:val="Paragraphedeliste"/>
              <w:widowControl w:val="0"/>
              <w:autoSpaceDE w:val="0"/>
              <w:snapToGrid w:val="0"/>
              <w:spacing w:before="80" w:line="254" w:lineRule="auto"/>
              <w:ind w:left="0"/>
              <w:rPr>
                <w:rFonts w:cs="Times"/>
                <w:bCs/>
                <w:szCs w:val="29"/>
              </w:rPr>
            </w:pPr>
            <w:r>
              <w:rPr>
                <w:rFonts w:cs="Times"/>
                <w:bCs/>
                <w:szCs w:val="29"/>
              </w:rPr>
              <w:t>-</w:t>
            </w:r>
          </w:p>
        </w:tc>
      </w:tr>
    </w:tbl>
    <w:p w14:paraId="5D065630" w14:textId="77777777" w:rsidR="00636650" w:rsidRPr="003F1E71" w:rsidRDefault="00636650" w:rsidP="003F1E71">
      <w:pPr>
        <w:keepNext/>
        <w:numPr>
          <w:ilvl w:val="4"/>
          <w:numId w:val="9"/>
        </w:numPr>
        <w:spacing w:before="255" w:after="80" w:line="255" w:lineRule="exact"/>
        <w:outlineLvl w:val="4"/>
        <w:rPr>
          <w:sz w:val="22"/>
        </w:rPr>
      </w:pPr>
      <w:bookmarkStart w:id="74" w:name="_Toc517184309"/>
      <w:r w:rsidRPr="003F1E71">
        <w:rPr>
          <w:sz w:val="22"/>
        </w:rPr>
        <w:t>Where specific to the use, the conditions of storage and shelf-life of the product under normal conditions of storage</w:t>
      </w:r>
      <w:bookmarkEnd w:id="7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BFD6007"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725460E" w14:textId="23A7CE43" w:rsidR="00636650" w:rsidRPr="005F27B1" w:rsidRDefault="003B6713" w:rsidP="00E91F85">
            <w:pPr>
              <w:pStyle w:val="Paragraphedeliste"/>
              <w:widowControl w:val="0"/>
              <w:numPr>
                <w:ilvl w:val="0"/>
                <w:numId w:val="7"/>
              </w:numPr>
              <w:autoSpaceDE w:val="0"/>
              <w:snapToGrid w:val="0"/>
              <w:spacing w:before="80" w:line="254" w:lineRule="auto"/>
              <w:rPr>
                <w:rFonts w:cs="Times"/>
                <w:bCs/>
                <w:szCs w:val="29"/>
              </w:rPr>
            </w:pPr>
            <w:r w:rsidRPr="00AE3876">
              <w:rPr>
                <w:rFonts w:cs="Times"/>
                <w:bCs/>
                <w:szCs w:val="29"/>
              </w:rPr>
              <w:t>Keep out of reach of children</w:t>
            </w:r>
            <w:r w:rsidR="00791036">
              <w:rPr>
                <w:rFonts w:cs="Times"/>
                <w:bCs/>
                <w:szCs w:val="29"/>
              </w:rPr>
              <w:t xml:space="preserve"> and pets</w:t>
            </w:r>
            <w:r w:rsidRPr="00AE3876">
              <w:rPr>
                <w:rFonts w:cs="Times"/>
                <w:bCs/>
                <w:szCs w:val="29"/>
              </w:rPr>
              <w:t>.</w:t>
            </w:r>
          </w:p>
        </w:tc>
      </w:tr>
    </w:tbl>
    <w:p w14:paraId="5259B752" w14:textId="77777777" w:rsidR="00636650" w:rsidRPr="00B27CB1" w:rsidRDefault="00636650" w:rsidP="00636650">
      <w:pPr>
        <w:widowControl w:val="0"/>
        <w:autoSpaceDE w:val="0"/>
        <w:rPr>
          <w:rFonts w:cs="Times"/>
          <w:bCs/>
          <w:szCs w:val="29"/>
        </w:rPr>
      </w:pPr>
    </w:p>
    <w:p w14:paraId="56DAA944" w14:textId="77777777" w:rsidR="00636650" w:rsidRPr="00B27CB1" w:rsidRDefault="00636650" w:rsidP="00636650">
      <w:pPr>
        <w:pStyle w:val="Titre4"/>
        <w:numPr>
          <w:ilvl w:val="3"/>
          <w:numId w:val="9"/>
        </w:numPr>
        <w:rPr>
          <w:lang w:val="en-GB"/>
        </w:rPr>
      </w:pPr>
      <w:bookmarkStart w:id="75" w:name="_Toc87361105"/>
      <w:r w:rsidRPr="00B27CB1">
        <w:rPr>
          <w:lang w:val="en-GB"/>
        </w:rPr>
        <w:t>Use description</w:t>
      </w:r>
      <w:bookmarkEnd w:id="75"/>
    </w:p>
    <w:p w14:paraId="1D9C85CC" w14:textId="77777777" w:rsidR="00636650" w:rsidRPr="00B27CB1" w:rsidRDefault="00636650" w:rsidP="00636650">
      <w:pPr>
        <w:widowControl w:val="0"/>
        <w:autoSpaceDE w:val="0"/>
        <w:rPr>
          <w:rFonts w:cs="Times"/>
          <w:bCs/>
          <w:szCs w:val="29"/>
        </w:rPr>
      </w:pPr>
    </w:p>
    <w:p w14:paraId="18C5B2C3" w14:textId="50317ABA"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4</w:t>
      </w:r>
      <w:r w:rsidRPr="00B27CB1">
        <w:rPr>
          <w:rFonts w:ascii="Verdana" w:hAnsi="Verdana" w:cs="Verdana"/>
        </w:rPr>
        <w:fldChar w:fldCharType="end"/>
      </w:r>
      <w:r w:rsidRPr="00B27CB1">
        <w:rPr>
          <w:rFonts w:ascii="Verdana" w:hAnsi="Verdana"/>
        </w:rPr>
        <w:t xml:space="preserve">. Use # 3 – </w:t>
      </w:r>
      <w:r w:rsidRPr="00657948">
        <w:rPr>
          <w:rFonts w:ascii="Verdana" w:hAnsi="Verdana"/>
        </w:rPr>
        <w:t>Disinfectants for hard surfaces of industry, institution, healthcare facilities and food</w:t>
      </w:r>
      <w:r w:rsidR="004F131D" w:rsidRPr="00657948">
        <w:rPr>
          <w:rFonts w:ascii="Verdana" w:hAnsi="Verdana"/>
        </w:rPr>
        <w:t xml:space="preserve">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2D6628D9" w14:textId="77777777" w:rsidTr="00685495">
        <w:tc>
          <w:tcPr>
            <w:tcW w:w="2707" w:type="dxa"/>
            <w:tcBorders>
              <w:top w:val="single" w:sz="4" w:space="0" w:color="000000"/>
              <w:left w:val="single" w:sz="4" w:space="0" w:color="000000"/>
              <w:bottom w:val="single" w:sz="4" w:space="0" w:color="000000"/>
              <w:right w:val="nil"/>
            </w:tcBorders>
            <w:hideMark/>
          </w:tcPr>
          <w:p w14:paraId="73679989"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87A0D89" w14:textId="4BBBD49C" w:rsidR="00636650" w:rsidRPr="00B27CB1" w:rsidRDefault="006C412F"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r w:rsidR="00104912">
              <w:t>)</w:t>
            </w:r>
          </w:p>
        </w:tc>
      </w:tr>
      <w:tr w:rsidR="00636650" w:rsidRPr="00B27CB1" w14:paraId="2F2D272D" w14:textId="77777777" w:rsidTr="00685495">
        <w:tc>
          <w:tcPr>
            <w:tcW w:w="2707" w:type="dxa"/>
            <w:tcBorders>
              <w:top w:val="nil"/>
              <w:left w:val="single" w:sz="4" w:space="0" w:color="000000"/>
              <w:bottom w:val="single" w:sz="4" w:space="0" w:color="000000"/>
              <w:right w:val="nil"/>
            </w:tcBorders>
            <w:hideMark/>
          </w:tcPr>
          <w:p w14:paraId="4339CBC6"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FF44E25" w14:textId="15CF838C" w:rsidR="006C412F" w:rsidRPr="000D7D14" w:rsidRDefault="006C412F" w:rsidP="006C412F">
            <w:r w:rsidRPr="000D7D14">
              <w:rPr>
                <w:color w:val="000000"/>
              </w:rPr>
              <w:t>Product used for the disinfection for industry, institution and healthcare facilities</w:t>
            </w:r>
            <w:r w:rsidR="00BD49AE">
              <w:rPr>
                <w:color w:val="000000"/>
              </w:rPr>
              <w:t>,</w:t>
            </w:r>
            <w:r w:rsidRPr="000D7D14">
              <w:rPr>
                <w:color w:val="000000"/>
              </w:rPr>
              <w:t xml:space="preserve"> including external surfaces of toilets bowls and</w:t>
            </w:r>
            <w:r w:rsidR="002547BB">
              <w:rPr>
                <w:color w:val="000000"/>
              </w:rPr>
              <w:t>,</w:t>
            </w:r>
            <w:r w:rsidRPr="000D7D14">
              <w:rPr>
                <w:color w:val="000000"/>
              </w:rPr>
              <w:t xml:space="preserve"> food preparation and handling area. </w:t>
            </w:r>
          </w:p>
          <w:p w14:paraId="1B4B3496" w14:textId="0B8B9221" w:rsidR="00636650" w:rsidRPr="00B27CB1" w:rsidRDefault="006C412F" w:rsidP="00BD49AE">
            <w:pPr>
              <w:snapToGrid w:val="0"/>
              <w:spacing w:line="254" w:lineRule="auto"/>
              <w:rPr>
                <w:b/>
              </w:rPr>
            </w:pPr>
            <w:r w:rsidRPr="000D7D14">
              <w:br/>
            </w:r>
            <w:r w:rsidR="00BD49AE">
              <w:rPr>
                <w:color w:val="000000"/>
              </w:rPr>
              <w:t>D</w:t>
            </w:r>
            <w:r w:rsidRPr="000D7D14">
              <w:rPr>
                <w:color w:val="000000"/>
              </w:rPr>
              <w:t>isinfection of all kind of non porous surfaces.</w:t>
            </w:r>
          </w:p>
        </w:tc>
      </w:tr>
      <w:tr w:rsidR="00636650" w:rsidRPr="00B27CB1" w14:paraId="0CDCFED5" w14:textId="77777777" w:rsidTr="00685495">
        <w:tc>
          <w:tcPr>
            <w:tcW w:w="2707" w:type="dxa"/>
            <w:tcBorders>
              <w:top w:val="nil"/>
              <w:left w:val="single" w:sz="4" w:space="0" w:color="000000"/>
              <w:bottom w:val="single" w:sz="4" w:space="0" w:color="000000"/>
              <w:right w:val="nil"/>
            </w:tcBorders>
            <w:hideMark/>
          </w:tcPr>
          <w:p w14:paraId="7244A42A" w14:textId="77777777" w:rsidR="00636650" w:rsidRPr="00B27CB1" w:rsidRDefault="00636650"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E5ACFA6" w14:textId="3D318964" w:rsidR="00636650" w:rsidRPr="00B27CB1" w:rsidRDefault="006C412F" w:rsidP="00685495">
            <w:pPr>
              <w:snapToGrid w:val="0"/>
              <w:spacing w:line="254" w:lineRule="auto"/>
              <w:rPr>
                <w:lang w:eastAsia="de-DE"/>
              </w:rPr>
            </w:pPr>
            <w:r w:rsidRPr="000D7D14">
              <w:t xml:space="preserve">Bacteria </w:t>
            </w:r>
            <w:r w:rsidRPr="000D7D14">
              <w:br/>
              <w:t>Yeasts</w:t>
            </w:r>
          </w:p>
        </w:tc>
      </w:tr>
      <w:tr w:rsidR="00636650" w:rsidRPr="00B27CB1" w14:paraId="6B9BB52C" w14:textId="77777777" w:rsidTr="00685495">
        <w:tc>
          <w:tcPr>
            <w:tcW w:w="2707" w:type="dxa"/>
            <w:tcBorders>
              <w:top w:val="nil"/>
              <w:left w:val="single" w:sz="4" w:space="0" w:color="000000"/>
              <w:bottom w:val="single" w:sz="4" w:space="0" w:color="000000"/>
              <w:right w:val="nil"/>
            </w:tcBorders>
            <w:hideMark/>
          </w:tcPr>
          <w:p w14:paraId="1528D798"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AE3AE1F" w14:textId="0471A461" w:rsidR="00636650" w:rsidRPr="00B27CB1" w:rsidRDefault="006C412F" w:rsidP="002547BB">
            <w:pPr>
              <w:suppressAutoHyphens w:val="0"/>
              <w:snapToGrid w:val="0"/>
              <w:spacing w:line="260" w:lineRule="atLeast"/>
              <w:jc w:val="both"/>
              <w:rPr>
                <w:rFonts w:cs="Times New Roman"/>
                <w:lang w:eastAsia="de-DE"/>
              </w:rPr>
            </w:pPr>
            <w:r w:rsidRPr="000D7D14">
              <w:t>Indoor</w:t>
            </w:r>
          </w:p>
        </w:tc>
      </w:tr>
      <w:tr w:rsidR="00636650" w:rsidRPr="00B27CB1" w14:paraId="1571452F" w14:textId="77777777" w:rsidTr="00685495">
        <w:tc>
          <w:tcPr>
            <w:tcW w:w="2707" w:type="dxa"/>
            <w:tcBorders>
              <w:top w:val="nil"/>
              <w:left w:val="single" w:sz="4" w:space="0" w:color="000000"/>
              <w:bottom w:val="single" w:sz="4" w:space="0" w:color="000000"/>
              <w:right w:val="nil"/>
            </w:tcBorders>
            <w:hideMark/>
          </w:tcPr>
          <w:p w14:paraId="4F8257FD"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CD642DB" w14:textId="77777777" w:rsidR="003D6EF7" w:rsidRDefault="006C412F" w:rsidP="002547BB">
            <w:pPr>
              <w:suppressAutoHyphens w:val="0"/>
              <w:snapToGrid w:val="0"/>
              <w:spacing w:line="260" w:lineRule="atLeast"/>
            </w:pPr>
            <w:r w:rsidRPr="000D7D14">
              <w:t xml:space="preserve">Spraying, </w:t>
            </w:r>
          </w:p>
          <w:p w14:paraId="4480A7A1" w14:textId="3DB5F47D" w:rsidR="003D6EF7" w:rsidRDefault="006C412F" w:rsidP="003D6EF7">
            <w:pPr>
              <w:suppressAutoHyphens w:val="0"/>
              <w:snapToGrid w:val="0"/>
              <w:spacing w:line="260" w:lineRule="atLeast"/>
            </w:pPr>
            <w:r w:rsidRPr="000D7D14">
              <w:t>Wiping (applying product onto wipe followed by wiping</w:t>
            </w:r>
            <w:r w:rsidR="00665914">
              <w:t>)</w:t>
            </w:r>
          </w:p>
          <w:p w14:paraId="56765A41" w14:textId="1D4A2E7B" w:rsidR="00636650" w:rsidRPr="00B27CB1" w:rsidRDefault="003D6EF7" w:rsidP="003D6EF7">
            <w:pPr>
              <w:suppressAutoHyphens w:val="0"/>
              <w:snapToGrid w:val="0"/>
              <w:spacing w:line="260" w:lineRule="atLeast"/>
              <w:rPr>
                <w:rFonts w:cs="Times New Roman"/>
                <w:lang w:eastAsia="de-DE"/>
              </w:rPr>
            </w:pPr>
            <w:r>
              <w:t>M</w:t>
            </w:r>
            <w:r w:rsidR="006C412F" w:rsidRPr="000D7D14">
              <w:t>opping (applying product onto mop followed by mopping)</w:t>
            </w:r>
          </w:p>
        </w:tc>
      </w:tr>
      <w:tr w:rsidR="00636650" w:rsidRPr="00B27CB1" w14:paraId="01646F50" w14:textId="689C33B6" w:rsidTr="00685495">
        <w:tc>
          <w:tcPr>
            <w:tcW w:w="2707" w:type="dxa"/>
            <w:tcBorders>
              <w:top w:val="nil"/>
              <w:left w:val="single" w:sz="4" w:space="0" w:color="000000"/>
              <w:bottom w:val="single" w:sz="4" w:space="0" w:color="000000"/>
              <w:right w:val="nil"/>
            </w:tcBorders>
            <w:hideMark/>
          </w:tcPr>
          <w:p w14:paraId="3577E02F" w14:textId="038DA555" w:rsidR="00636650" w:rsidRPr="00B27CB1" w:rsidRDefault="00636650" w:rsidP="008D54BA">
            <w:pPr>
              <w:spacing w:line="254" w:lineRule="auto"/>
              <w:jc w:val="both"/>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86565A1" w14:textId="46813A01" w:rsidR="00817221" w:rsidRDefault="006C412F" w:rsidP="008D54BA">
            <w:pPr>
              <w:jc w:val="both"/>
            </w:pPr>
            <w:r w:rsidRPr="00F0256C">
              <w:t>Ready to use</w:t>
            </w:r>
          </w:p>
          <w:p w14:paraId="669B0949" w14:textId="0AF79342" w:rsidR="001F534D" w:rsidRDefault="001F534D" w:rsidP="008D54BA">
            <w:pPr>
              <w:jc w:val="both"/>
            </w:pPr>
            <w:r>
              <w:t>Dirty conditions</w:t>
            </w:r>
          </w:p>
          <w:p w14:paraId="56D8F5C2" w14:textId="27C52388" w:rsidR="001F534D" w:rsidRDefault="0079217E" w:rsidP="008D54BA">
            <w:pPr>
              <w:jc w:val="both"/>
            </w:pPr>
            <w:r>
              <w:t>T</w:t>
            </w:r>
            <w:r w:rsidR="001F534D">
              <w:t>emperature</w:t>
            </w:r>
            <w:r>
              <w:t>: 20°C</w:t>
            </w:r>
          </w:p>
          <w:p w14:paraId="44980B95" w14:textId="699896D6" w:rsidR="006C412F" w:rsidRDefault="006C412F" w:rsidP="008D54BA">
            <w:pPr>
              <w:jc w:val="both"/>
            </w:pPr>
          </w:p>
          <w:p w14:paraId="2A4266EA" w14:textId="77777777" w:rsidR="001F534D" w:rsidRPr="00F0256C" w:rsidRDefault="001F534D" w:rsidP="001F534D">
            <w:r>
              <w:t>Non mechanical action (spraying):</w:t>
            </w:r>
          </w:p>
          <w:p w14:paraId="5072F194" w14:textId="77777777" w:rsidR="001F534D" w:rsidRPr="00F0256C" w:rsidRDefault="001F534D" w:rsidP="001F534D">
            <w:r w:rsidRPr="00F0256C">
              <w:t>Contact time</w:t>
            </w:r>
            <w:r>
              <w:t xml:space="preserve"> (</w:t>
            </w:r>
            <w:r w:rsidRPr="00820E0E">
              <w:t>bacteria and yeasts</w:t>
            </w:r>
            <w:r>
              <w:t>)</w:t>
            </w:r>
            <w:r w:rsidRPr="00F0256C">
              <w:t>: 15 minutes</w:t>
            </w:r>
          </w:p>
          <w:p w14:paraId="64AA9B0C" w14:textId="77777777" w:rsidR="001F534D" w:rsidRPr="00344BDC" w:rsidRDefault="001F534D" w:rsidP="001F534D"/>
          <w:p w14:paraId="000B04DD" w14:textId="47D84B30" w:rsidR="001F534D" w:rsidRDefault="001F534D" w:rsidP="001F534D">
            <w:r>
              <w:t>Mechanical action (wiping, mopping):</w:t>
            </w:r>
          </w:p>
          <w:p w14:paraId="41C63C2C" w14:textId="77777777" w:rsidR="001F534D" w:rsidRDefault="001F534D" w:rsidP="001F534D">
            <w:r>
              <w:t>Contact time (bacteria, yeasts): 5 minutes</w:t>
            </w:r>
          </w:p>
          <w:p w14:paraId="1DDF7B7E" w14:textId="77777777" w:rsidR="001F534D" w:rsidRPr="00344BDC" w:rsidRDefault="001F534D" w:rsidP="008D54BA">
            <w:pPr>
              <w:jc w:val="both"/>
            </w:pPr>
          </w:p>
          <w:p w14:paraId="180122EE" w14:textId="163A1C06" w:rsidR="006C412F" w:rsidRPr="000D7D14" w:rsidRDefault="004E61D3" w:rsidP="008D54BA">
            <w:pPr>
              <w:jc w:val="both"/>
            </w:pPr>
            <w:r>
              <w:t>A</w:t>
            </w:r>
            <w:r w:rsidR="006C412F" w:rsidRPr="000D7D14">
              <w:t>pplication rate</w:t>
            </w:r>
            <w:r>
              <w:t>s</w:t>
            </w:r>
            <w:r w:rsidR="006C412F" w:rsidRPr="000D7D14">
              <w:t xml:space="preserve">: </w:t>
            </w:r>
          </w:p>
          <w:p w14:paraId="7EA5C917" w14:textId="31DF124A" w:rsidR="006C412F" w:rsidRPr="000D7D14" w:rsidRDefault="006C412F" w:rsidP="008D54BA">
            <w:pPr>
              <w:jc w:val="both"/>
            </w:pPr>
            <w:r w:rsidRPr="000D7D14">
              <w:t>30 ml/m</w:t>
            </w:r>
            <w:r w:rsidRPr="000D7D14">
              <w:rPr>
                <w:vertAlign w:val="superscript"/>
              </w:rPr>
              <w:t>2</w:t>
            </w:r>
            <w:r w:rsidRPr="000D7D14">
              <w:t xml:space="preserve"> (20 sprays on the surface per m</w:t>
            </w:r>
            <w:r w:rsidRPr="000D7D14">
              <w:rPr>
                <w:vertAlign w:val="superscript"/>
              </w:rPr>
              <w:t>2</w:t>
            </w:r>
            <w:r w:rsidR="00BD49AE">
              <w:t>)</w:t>
            </w:r>
          </w:p>
          <w:p w14:paraId="52E0492F" w14:textId="7102C4DA" w:rsidR="00636650" w:rsidRPr="00B27CB1" w:rsidRDefault="006C412F" w:rsidP="004A347E">
            <w:pPr>
              <w:jc w:val="both"/>
              <w:rPr>
                <w:rFonts w:cs="Times New Roman"/>
                <w:lang w:eastAsia="de-DE"/>
              </w:rPr>
            </w:pPr>
            <w:r w:rsidRPr="000D7D14">
              <w:t>8 to 12 sprays or 16 ml on wipe per 0.1</w:t>
            </w:r>
            <w:r w:rsidR="00383E12">
              <w:t xml:space="preserve"> </w:t>
            </w:r>
            <w:r w:rsidRPr="000D7D14">
              <w:t>m</w:t>
            </w:r>
            <w:r w:rsidRPr="000D7D14">
              <w:rPr>
                <w:vertAlign w:val="superscript"/>
              </w:rPr>
              <w:t>2</w:t>
            </w:r>
          </w:p>
        </w:tc>
      </w:tr>
      <w:tr w:rsidR="00636650" w:rsidRPr="00B27CB1" w14:paraId="0136B745" w14:textId="77777777" w:rsidTr="00685495">
        <w:tc>
          <w:tcPr>
            <w:tcW w:w="2707" w:type="dxa"/>
            <w:tcBorders>
              <w:top w:val="nil"/>
              <w:left w:val="single" w:sz="4" w:space="0" w:color="000000"/>
              <w:bottom w:val="single" w:sz="4" w:space="0" w:color="000000"/>
              <w:right w:val="nil"/>
            </w:tcBorders>
            <w:hideMark/>
          </w:tcPr>
          <w:p w14:paraId="050EFE5F" w14:textId="77777777" w:rsidR="00636650" w:rsidRPr="00B27CB1" w:rsidRDefault="00636650"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2B413FBB" w14:textId="42B0DAD4" w:rsidR="00636650" w:rsidRPr="00B27CB1" w:rsidRDefault="006C412F" w:rsidP="00685495">
            <w:pPr>
              <w:snapToGrid w:val="0"/>
              <w:spacing w:line="254" w:lineRule="auto"/>
              <w:rPr>
                <w:b/>
              </w:rPr>
            </w:pPr>
            <w:r w:rsidRPr="000D7D14">
              <w:t>Industrial, Professional</w:t>
            </w:r>
          </w:p>
        </w:tc>
      </w:tr>
      <w:tr w:rsidR="00636650" w:rsidRPr="00A04731" w14:paraId="3E77B4FA" w14:textId="77777777" w:rsidTr="00685495">
        <w:tc>
          <w:tcPr>
            <w:tcW w:w="2707" w:type="dxa"/>
            <w:tcBorders>
              <w:top w:val="nil"/>
              <w:left w:val="single" w:sz="4" w:space="0" w:color="000000"/>
              <w:bottom w:val="single" w:sz="4" w:space="0" w:color="000000"/>
              <w:right w:val="nil"/>
            </w:tcBorders>
            <w:hideMark/>
          </w:tcPr>
          <w:p w14:paraId="2B218D73" w14:textId="77777777" w:rsidR="00636650" w:rsidRPr="00B27CB1" w:rsidRDefault="00636650" w:rsidP="00685495">
            <w:pPr>
              <w:spacing w:line="254" w:lineRule="auto"/>
            </w:pPr>
            <w:r w:rsidRPr="00B27CB1">
              <w:rPr>
                <w:b/>
                <w:bCs/>
                <w:szCs w:val="24"/>
                <w:lang w:eastAsia="en-GB"/>
              </w:rPr>
              <w:lastRenderedPageBreak/>
              <w:t>Pack sizes and packaging material</w:t>
            </w:r>
          </w:p>
        </w:tc>
        <w:tc>
          <w:tcPr>
            <w:tcW w:w="6328" w:type="dxa"/>
            <w:tcBorders>
              <w:top w:val="nil"/>
              <w:left w:val="single" w:sz="4" w:space="0" w:color="000000"/>
              <w:bottom w:val="single" w:sz="4" w:space="0" w:color="000000"/>
              <w:right w:val="single" w:sz="4" w:space="0" w:color="000000"/>
            </w:tcBorders>
          </w:tcPr>
          <w:p w14:paraId="55579E71" w14:textId="51864908" w:rsidR="00BF2C29" w:rsidRDefault="00BF2C29" w:rsidP="00BF2C29">
            <w:pPr>
              <w:spacing w:line="254" w:lineRule="auto"/>
            </w:pPr>
            <w:r>
              <w:t>HDPE:</w:t>
            </w:r>
            <w:r w:rsidR="00B639F8">
              <w:t xml:space="preserve"> </w:t>
            </w:r>
            <w:r>
              <w:t xml:space="preserve">500 mL trigger spray, 750 mL trigger spray, 1 L,  5 L </w:t>
            </w:r>
          </w:p>
          <w:p w14:paraId="7510A767" w14:textId="236F55B3" w:rsidR="00BF2C29" w:rsidRDefault="00BF2C29" w:rsidP="00BF2C29">
            <w:pPr>
              <w:spacing w:line="254" w:lineRule="auto"/>
            </w:pPr>
            <w:r>
              <w:t>PET:</w:t>
            </w:r>
            <w:r w:rsidR="00B639F8">
              <w:t xml:space="preserve"> </w:t>
            </w:r>
            <w:r>
              <w:t>500 mL trigger spray, 750 mL trigger spray, 1 L</w:t>
            </w:r>
          </w:p>
          <w:p w14:paraId="413C3987" w14:textId="5B0CC532" w:rsidR="00636650" w:rsidRPr="00B639F8" w:rsidRDefault="00BF2C29" w:rsidP="00B639F8">
            <w:pPr>
              <w:spacing w:line="254" w:lineRule="auto"/>
              <w:rPr>
                <w:lang w:val="fr-FR"/>
              </w:rPr>
            </w:pPr>
            <w:r w:rsidRPr="005B2C43">
              <w:rPr>
                <w:lang w:val="fr-FR"/>
              </w:rPr>
              <w:t>Coextrude (HDPE/Adhesive/Nylon polyamide):</w:t>
            </w:r>
            <w:r w:rsidRPr="00B639F8">
              <w:rPr>
                <w:lang w:val="fr-FR"/>
              </w:rPr>
              <w:t>5 L</w:t>
            </w:r>
          </w:p>
        </w:tc>
      </w:tr>
    </w:tbl>
    <w:p w14:paraId="1166B8DC" w14:textId="77777777" w:rsidR="00636650" w:rsidRPr="00B639F8" w:rsidRDefault="00636650" w:rsidP="00636650">
      <w:pPr>
        <w:tabs>
          <w:tab w:val="left" w:pos="500"/>
        </w:tabs>
        <w:ind w:left="500" w:hanging="500"/>
        <w:rPr>
          <w:lang w:val="fr-FR"/>
        </w:rPr>
      </w:pPr>
    </w:p>
    <w:p w14:paraId="2CCE81D3"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64F5641"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16727BB" w14:textId="77777777" w:rsidR="00E16D2D" w:rsidRPr="00E91F85" w:rsidRDefault="003D6EF7"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Ready-to-use liquid for hard surfaces by spraying:</w:t>
            </w:r>
            <w:r w:rsidR="000C20F2" w:rsidRPr="00E91F85">
              <w:rPr>
                <w:rFonts w:cs="Arial"/>
                <w:iCs/>
                <w:color w:val="000000" w:themeColor="text1"/>
                <w:szCs w:val="16"/>
              </w:rPr>
              <w:t xml:space="preserve"> </w:t>
            </w:r>
            <w:r w:rsidR="006C412F" w:rsidRPr="00E91F85">
              <w:rPr>
                <w:rFonts w:cs="Arial"/>
                <w:iCs/>
                <w:color w:val="000000" w:themeColor="text1"/>
                <w:szCs w:val="16"/>
              </w:rPr>
              <w:t>Spray directly on the surface</w:t>
            </w:r>
            <w:r w:rsidR="00BD49AE" w:rsidRPr="00E91F85">
              <w:rPr>
                <w:rFonts w:cs="Arial"/>
                <w:iCs/>
                <w:color w:val="000000" w:themeColor="text1"/>
                <w:szCs w:val="16"/>
              </w:rPr>
              <w:t>s</w:t>
            </w:r>
            <w:r w:rsidR="006C412F" w:rsidRPr="00E91F85">
              <w:rPr>
                <w:rFonts w:cs="Arial"/>
                <w:iCs/>
                <w:color w:val="000000" w:themeColor="text1"/>
                <w:szCs w:val="16"/>
              </w:rPr>
              <w:t xml:space="preserve"> intended to be treated and cover the entire surface</w:t>
            </w:r>
            <w:r w:rsidR="00BD49AE" w:rsidRPr="00E91F85">
              <w:rPr>
                <w:rFonts w:cs="Arial"/>
                <w:iCs/>
                <w:color w:val="000000" w:themeColor="text1"/>
                <w:szCs w:val="16"/>
              </w:rPr>
              <w:t>s</w:t>
            </w:r>
            <w:r w:rsidR="006C412F" w:rsidRPr="00E91F85">
              <w:rPr>
                <w:rFonts w:cs="Arial"/>
                <w:iCs/>
                <w:color w:val="000000" w:themeColor="text1"/>
                <w:szCs w:val="16"/>
              </w:rPr>
              <w:t>. Allow to take effect for at least 15 minutes, then brush or scrub if required and wipe with a dry cloth.</w:t>
            </w:r>
          </w:p>
          <w:p w14:paraId="25C77E84" w14:textId="2FCC49E1" w:rsidR="00EA0688" w:rsidRDefault="003D6EF7" w:rsidP="00657948">
            <w:pPr>
              <w:pStyle w:val="Paragraphedeliste"/>
              <w:numPr>
                <w:ilvl w:val="0"/>
                <w:numId w:val="7"/>
              </w:numPr>
              <w:suppressAutoHyphens w:val="0"/>
              <w:spacing w:line="256" w:lineRule="auto"/>
              <w:jc w:val="both"/>
              <w:rPr>
                <w:rFonts w:cs="Arial"/>
                <w:iCs/>
                <w:color w:val="000000" w:themeColor="text1"/>
                <w:szCs w:val="16"/>
              </w:rPr>
            </w:pPr>
            <w:r w:rsidRPr="00E91F85">
              <w:rPr>
                <w:rFonts w:cs="Arial"/>
                <w:iCs/>
                <w:color w:val="000000" w:themeColor="text1"/>
                <w:szCs w:val="16"/>
              </w:rPr>
              <w:t>Ready-to-use liquid for hard surfaces by wipping/mopping:</w:t>
            </w:r>
            <w:r w:rsidR="000C20F2" w:rsidRPr="00E91F85">
              <w:rPr>
                <w:rFonts w:cs="Arial"/>
                <w:iCs/>
                <w:color w:val="000000" w:themeColor="text1"/>
                <w:szCs w:val="16"/>
              </w:rPr>
              <w:t xml:space="preserve"> </w:t>
            </w:r>
            <w:r w:rsidR="00BD49AE" w:rsidRPr="00E91F85">
              <w:rPr>
                <w:rFonts w:cs="Arial"/>
                <w:iCs/>
                <w:color w:val="000000" w:themeColor="text1"/>
                <w:szCs w:val="16"/>
              </w:rPr>
              <w:t>Spray</w:t>
            </w:r>
            <w:r w:rsidR="00A42425" w:rsidRPr="00E91F85">
              <w:rPr>
                <w:rFonts w:cs="Arial"/>
                <w:iCs/>
                <w:color w:val="000000" w:themeColor="text1"/>
                <w:szCs w:val="16"/>
              </w:rPr>
              <w:t xml:space="preserve"> on wipe</w:t>
            </w:r>
            <w:r w:rsidR="00E16D2D" w:rsidRPr="00E91F85">
              <w:rPr>
                <w:rFonts w:cs="Arial"/>
                <w:iCs/>
                <w:color w:val="000000" w:themeColor="text1"/>
                <w:szCs w:val="16"/>
              </w:rPr>
              <w:t xml:space="preserve"> or </w:t>
            </w:r>
            <w:r w:rsidR="00BD49AE" w:rsidRPr="00E91F85">
              <w:rPr>
                <w:rFonts w:cs="Arial"/>
                <w:iCs/>
                <w:color w:val="000000" w:themeColor="text1"/>
                <w:szCs w:val="16"/>
              </w:rPr>
              <w:t xml:space="preserve">soak the </w:t>
            </w:r>
            <w:r w:rsidR="00A42425" w:rsidRPr="00E91F85">
              <w:rPr>
                <w:rFonts w:cs="Arial"/>
                <w:iCs/>
                <w:color w:val="000000" w:themeColor="text1"/>
                <w:szCs w:val="16"/>
              </w:rPr>
              <w:t>mop</w:t>
            </w:r>
            <w:r w:rsidR="00BD49AE" w:rsidRPr="00E91F85">
              <w:rPr>
                <w:rFonts w:cs="Arial"/>
                <w:iCs/>
                <w:color w:val="000000" w:themeColor="text1"/>
                <w:szCs w:val="16"/>
              </w:rPr>
              <w:t xml:space="preserve">/wipe and apply </w:t>
            </w:r>
            <w:r w:rsidR="00A42425" w:rsidRPr="00E91F85">
              <w:rPr>
                <w:rFonts w:cs="Arial"/>
                <w:iCs/>
                <w:color w:val="000000" w:themeColor="text1"/>
                <w:szCs w:val="16"/>
              </w:rPr>
              <w:t>by fully wetting all surfaces</w:t>
            </w:r>
            <w:r w:rsidR="00BD49AE" w:rsidRPr="00E91F85">
              <w:rPr>
                <w:rFonts w:cs="Arial"/>
                <w:iCs/>
                <w:color w:val="000000" w:themeColor="text1"/>
                <w:szCs w:val="16"/>
              </w:rPr>
              <w:t xml:space="preserve"> intended to be treated</w:t>
            </w:r>
            <w:r w:rsidR="006C412F" w:rsidRPr="00E91F85">
              <w:rPr>
                <w:rFonts w:cs="Arial"/>
                <w:iCs/>
                <w:color w:val="000000" w:themeColor="text1"/>
                <w:szCs w:val="16"/>
              </w:rPr>
              <w:t>. Allow to take effect for at least 5 minutes</w:t>
            </w:r>
            <w:r w:rsidR="000C20F2" w:rsidRPr="00E91F85">
              <w:rPr>
                <w:rFonts w:cs="Arial"/>
                <w:iCs/>
                <w:color w:val="000000" w:themeColor="text1"/>
                <w:szCs w:val="16"/>
              </w:rPr>
              <w:t>,</w:t>
            </w:r>
            <w:r w:rsidRPr="00E91F85">
              <w:rPr>
                <w:rFonts w:cs="Arial"/>
                <w:iCs/>
                <w:color w:val="000000" w:themeColor="text1"/>
                <w:szCs w:val="16"/>
              </w:rPr>
              <w:t xml:space="preserve"> </w:t>
            </w:r>
            <w:r w:rsidR="006C412F" w:rsidRPr="00E91F85">
              <w:rPr>
                <w:rFonts w:cs="Arial"/>
                <w:iCs/>
                <w:color w:val="000000" w:themeColor="text1"/>
                <w:szCs w:val="16"/>
              </w:rPr>
              <w:t>then wipe the surface with a dry cloth if required or let to dry.</w:t>
            </w:r>
          </w:p>
          <w:p w14:paraId="09575472" w14:textId="2CF3E9A3" w:rsidR="00EA0688" w:rsidRPr="00657948" w:rsidRDefault="00E042E9" w:rsidP="00E042E9">
            <w:pPr>
              <w:pStyle w:val="Paragraphedeliste"/>
              <w:numPr>
                <w:ilvl w:val="0"/>
                <w:numId w:val="38"/>
              </w:numPr>
              <w:suppressAutoHyphens w:val="0"/>
              <w:spacing w:line="256" w:lineRule="auto"/>
              <w:jc w:val="both"/>
              <w:rPr>
                <w:rFonts w:cs="Arial"/>
                <w:iCs/>
                <w:color w:val="000000" w:themeColor="text1"/>
                <w:szCs w:val="16"/>
              </w:rPr>
            </w:pPr>
            <w:r>
              <w:rPr>
                <w:rFonts w:cs="Times"/>
                <w:bCs/>
                <w:szCs w:val="29"/>
              </w:rPr>
              <w:t>Product</w:t>
            </w:r>
            <w:r w:rsidR="00D34D33" w:rsidRPr="00533866">
              <w:rPr>
                <w:rFonts w:cs="Times"/>
                <w:bCs/>
                <w:szCs w:val="29"/>
              </w:rPr>
              <w:t xml:space="preserve"> ha</w:t>
            </w:r>
            <w:r>
              <w:rPr>
                <w:rFonts w:cs="Times"/>
                <w:bCs/>
                <w:szCs w:val="29"/>
              </w:rPr>
              <w:t>s</w:t>
            </w:r>
            <w:r w:rsidR="00D34D33" w:rsidRPr="00533866">
              <w:rPr>
                <w:rFonts w:cs="Times"/>
                <w:bCs/>
                <w:szCs w:val="29"/>
              </w:rPr>
              <w:t xml:space="preserve"> been tested against </w:t>
            </w:r>
            <w:r w:rsidR="00D34D33">
              <w:rPr>
                <w:rFonts w:cs="Times"/>
                <w:bCs/>
                <w:szCs w:val="29"/>
              </w:rPr>
              <w:t>bacteria</w:t>
            </w:r>
            <w:r w:rsidR="00D34D33" w:rsidRPr="00533866">
              <w:rPr>
                <w:rFonts w:cs="Times"/>
                <w:bCs/>
                <w:szCs w:val="29"/>
              </w:rPr>
              <w:t xml:space="preserve">, </w:t>
            </w:r>
            <w:r w:rsidR="00D34D33" w:rsidRPr="000D7D14">
              <w:t xml:space="preserve">including </w:t>
            </w:r>
            <w:r w:rsidR="00D34D33" w:rsidRPr="00E91F85">
              <w:rPr>
                <w:bCs/>
                <w:i/>
                <w:color w:val="000000"/>
                <w:lang w:val="en-US"/>
              </w:rPr>
              <w:t xml:space="preserve">Salmonella </w:t>
            </w:r>
            <w:r w:rsidR="00D34D33" w:rsidRPr="000434AD">
              <w:rPr>
                <w:bCs/>
                <w:color w:val="000000"/>
                <w:lang w:val="en-US"/>
              </w:rPr>
              <w:t>Typhimurium</w:t>
            </w:r>
            <w:r w:rsidR="00D34D33" w:rsidRPr="00E91F85">
              <w:rPr>
                <w:bCs/>
                <w:color w:val="000000"/>
                <w:lang w:val="en-US"/>
              </w:rPr>
              <w:t xml:space="preserve"> </w:t>
            </w:r>
            <w:r w:rsidR="00D34D33">
              <w:rPr>
                <w:bCs/>
                <w:color w:val="000000"/>
                <w:lang w:val="en-US"/>
              </w:rPr>
              <w:t xml:space="preserve">(agent of Salmonellosis disease) </w:t>
            </w:r>
            <w:r w:rsidR="00D34D33" w:rsidRPr="00E91F85">
              <w:rPr>
                <w:bCs/>
                <w:color w:val="000000"/>
                <w:lang w:val="en-US"/>
              </w:rPr>
              <w:t xml:space="preserve">and </w:t>
            </w:r>
            <w:r w:rsidR="00D34D33" w:rsidRPr="00E91F85">
              <w:rPr>
                <w:bCs/>
                <w:i/>
                <w:color w:val="000000"/>
                <w:lang w:val="en-US"/>
              </w:rPr>
              <w:t>Listeria monocytogenes</w:t>
            </w:r>
            <w:r w:rsidR="00D34D33" w:rsidRPr="000434AD">
              <w:rPr>
                <w:bCs/>
                <w:color w:val="000000"/>
                <w:lang w:val="en-US"/>
              </w:rPr>
              <w:t xml:space="preserve"> (agent of Listeriosis disease)</w:t>
            </w:r>
          </w:p>
        </w:tc>
      </w:tr>
    </w:tbl>
    <w:p w14:paraId="5CACE855"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5FDE545"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0B4773E" w14:textId="77777777" w:rsidR="00636650" w:rsidRPr="00E91F85" w:rsidRDefault="006C412F"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For heathcare facilities, apply the product only in areas where disinfection is not medically indicated.</w:t>
            </w:r>
          </w:p>
          <w:p w14:paraId="5E936704" w14:textId="1F292763" w:rsidR="00D20EDF" w:rsidRPr="009E07D6" w:rsidRDefault="003D0D7E" w:rsidP="00E91F85">
            <w:pPr>
              <w:pStyle w:val="Paragraphedeliste"/>
              <w:numPr>
                <w:ilvl w:val="0"/>
                <w:numId w:val="38"/>
              </w:numPr>
              <w:suppressAutoHyphens w:val="0"/>
              <w:spacing w:line="256" w:lineRule="auto"/>
              <w:jc w:val="both"/>
              <w:rPr>
                <w:rFonts w:cs="Arial"/>
                <w:iCs/>
                <w:color w:val="000000" w:themeColor="text1"/>
                <w:szCs w:val="16"/>
              </w:rPr>
            </w:pPr>
            <w:r w:rsidRPr="00305DEF">
              <w:rPr>
                <w:rFonts w:cs="Arial"/>
                <w:iCs/>
                <w:color w:val="000000" w:themeColor="text1"/>
                <w:szCs w:val="16"/>
              </w:rPr>
              <w:t>During loading of the trigger spray and application</w:t>
            </w:r>
            <w:r w:rsidR="00D20EDF" w:rsidRPr="009E07D6">
              <w:rPr>
                <w:rFonts w:cs="Arial"/>
                <w:iCs/>
                <w:color w:val="000000" w:themeColor="text1"/>
                <w:szCs w:val="16"/>
              </w:rPr>
              <w:t>, wear:</w:t>
            </w:r>
          </w:p>
          <w:p w14:paraId="5F09CFEE" w14:textId="77777777" w:rsidR="00D20EDF" w:rsidRDefault="00D20EDF" w:rsidP="00D20EDF">
            <w:pPr>
              <w:pStyle w:val="Paragraphedeliste"/>
              <w:numPr>
                <w:ilvl w:val="0"/>
                <w:numId w:val="41"/>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167AC17E" w14:textId="77777777" w:rsidR="00D20EDF" w:rsidRDefault="00D20EDF" w:rsidP="00D20EDF">
            <w:pPr>
              <w:pStyle w:val="Paragraphedeliste"/>
              <w:numPr>
                <w:ilvl w:val="0"/>
                <w:numId w:val="41"/>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 xml:space="preserve">coated coverall (at least category III type 6), </w:t>
            </w:r>
          </w:p>
          <w:p w14:paraId="7E5DC50D" w14:textId="1CE695A9" w:rsidR="00D20EDF" w:rsidRDefault="00D20EDF" w:rsidP="00D20EDF">
            <w:pPr>
              <w:pStyle w:val="Paragraphedeliste"/>
              <w:numPr>
                <w:ilvl w:val="0"/>
                <w:numId w:val="41"/>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face shield</w:t>
            </w:r>
            <w:r w:rsidR="00960B6A">
              <w:rPr>
                <w:rFonts w:cs="Arial"/>
                <w:iCs/>
                <w:color w:val="000000" w:themeColor="text1"/>
                <w:szCs w:val="16"/>
                <w:lang w:val="en-US"/>
              </w:rPr>
              <w:t>.</w:t>
            </w:r>
          </w:p>
          <w:p w14:paraId="16C893C2" w14:textId="31BF2FEA" w:rsidR="00D20EDF" w:rsidRDefault="00D20EDF" w:rsidP="00D20EDF">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 during loading of the trigger spray</w:t>
            </w:r>
            <w:r w:rsidR="00F010FD">
              <w:rPr>
                <w:rFonts w:cs="Arial"/>
                <w:iCs/>
                <w:color w:val="000000" w:themeColor="text1"/>
                <w:szCs w:val="16"/>
                <w:lang w:val="en-US"/>
              </w:rPr>
              <w:t>.</w:t>
            </w:r>
          </w:p>
          <w:p w14:paraId="7059F44B" w14:textId="781A1D0C" w:rsidR="00D20EDF" w:rsidRPr="003419A9" w:rsidRDefault="00D20EDF" w:rsidP="00E91F85">
            <w:pPr>
              <w:pStyle w:val="Paragraphedeliste"/>
              <w:numPr>
                <w:ilvl w:val="0"/>
                <w:numId w:val="38"/>
              </w:numPr>
              <w:rPr>
                <w:rFonts w:cs="Times"/>
                <w:bCs/>
                <w:szCs w:val="29"/>
              </w:rPr>
            </w:pPr>
            <w:r w:rsidRPr="00E91F85">
              <w:rPr>
                <w:rFonts w:cs="Arial"/>
                <w:iCs/>
                <w:color w:val="000000" w:themeColor="text1"/>
                <w:szCs w:val="16"/>
              </w:rPr>
              <w:t>The spray application must be downward in order to avoid any facial exposure.</w:t>
            </w:r>
          </w:p>
        </w:tc>
      </w:tr>
    </w:tbl>
    <w:p w14:paraId="38516401"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6CE48F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5764F55" w14:textId="7C2BE901" w:rsidR="00636650" w:rsidRPr="00B27CB1" w:rsidRDefault="00AE3069" w:rsidP="00685495">
            <w:pPr>
              <w:widowControl w:val="0"/>
              <w:autoSpaceDE w:val="0"/>
              <w:snapToGrid w:val="0"/>
              <w:spacing w:before="80" w:line="254" w:lineRule="auto"/>
              <w:rPr>
                <w:rFonts w:cs="Times"/>
                <w:bCs/>
                <w:szCs w:val="29"/>
              </w:rPr>
            </w:pPr>
            <w:r>
              <w:rPr>
                <w:rFonts w:cs="Times"/>
                <w:bCs/>
                <w:szCs w:val="29"/>
              </w:rPr>
              <w:t>-</w:t>
            </w:r>
          </w:p>
        </w:tc>
      </w:tr>
    </w:tbl>
    <w:p w14:paraId="72D22ACE"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23794A3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3C12371" w14:textId="0D6FCF25" w:rsidR="00636650" w:rsidRPr="00B27CB1" w:rsidRDefault="00AE3069" w:rsidP="00685495">
            <w:pPr>
              <w:widowControl w:val="0"/>
              <w:autoSpaceDE w:val="0"/>
              <w:snapToGrid w:val="0"/>
              <w:spacing w:before="80" w:line="254" w:lineRule="auto"/>
              <w:rPr>
                <w:rFonts w:cs="Times"/>
                <w:bCs/>
                <w:szCs w:val="29"/>
              </w:rPr>
            </w:pPr>
            <w:r>
              <w:rPr>
                <w:rFonts w:cs="Times"/>
                <w:bCs/>
                <w:szCs w:val="29"/>
              </w:rPr>
              <w:t>-</w:t>
            </w:r>
          </w:p>
        </w:tc>
      </w:tr>
    </w:tbl>
    <w:p w14:paraId="7F21FC18"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52F289F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5D1212C" w14:textId="483C29C2" w:rsidR="00636650" w:rsidRPr="00B27CB1" w:rsidRDefault="00AE3069" w:rsidP="00685495">
            <w:pPr>
              <w:widowControl w:val="0"/>
              <w:autoSpaceDE w:val="0"/>
              <w:snapToGrid w:val="0"/>
              <w:spacing w:before="80" w:line="254" w:lineRule="auto"/>
              <w:rPr>
                <w:rFonts w:cs="Times"/>
                <w:bCs/>
                <w:szCs w:val="29"/>
              </w:rPr>
            </w:pPr>
            <w:r>
              <w:rPr>
                <w:rFonts w:cs="Times"/>
                <w:bCs/>
                <w:szCs w:val="29"/>
              </w:rPr>
              <w:t>-</w:t>
            </w:r>
          </w:p>
        </w:tc>
      </w:tr>
    </w:tbl>
    <w:p w14:paraId="3DA2F782" w14:textId="77777777" w:rsidR="00636650" w:rsidRPr="00B27CB1" w:rsidRDefault="00636650" w:rsidP="00636650">
      <w:pPr>
        <w:widowControl w:val="0"/>
        <w:autoSpaceDE w:val="0"/>
        <w:rPr>
          <w:rFonts w:cs="Times"/>
          <w:bCs/>
          <w:szCs w:val="29"/>
        </w:rPr>
      </w:pPr>
    </w:p>
    <w:p w14:paraId="2FFE13F7" w14:textId="77777777" w:rsidR="00636650" w:rsidRPr="00B27CB1" w:rsidRDefault="00636650" w:rsidP="00636650">
      <w:pPr>
        <w:pStyle w:val="Titre4"/>
        <w:numPr>
          <w:ilvl w:val="3"/>
          <w:numId w:val="9"/>
        </w:numPr>
        <w:rPr>
          <w:lang w:val="en-GB"/>
        </w:rPr>
      </w:pPr>
      <w:bookmarkStart w:id="76" w:name="_Toc87361106"/>
      <w:r w:rsidRPr="00B27CB1">
        <w:rPr>
          <w:lang w:val="en-GB"/>
        </w:rPr>
        <w:t>Use description</w:t>
      </w:r>
      <w:bookmarkEnd w:id="76"/>
    </w:p>
    <w:p w14:paraId="4150A71F" w14:textId="77777777" w:rsidR="00636650" w:rsidRPr="00B27CB1" w:rsidRDefault="00636650" w:rsidP="00636650">
      <w:pPr>
        <w:widowControl w:val="0"/>
        <w:autoSpaceDE w:val="0"/>
        <w:rPr>
          <w:rFonts w:cs="Times"/>
          <w:bCs/>
          <w:szCs w:val="29"/>
        </w:rPr>
      </w:pPr>
    </w:p>
    <w:p w14:paraId="4E283989" w14:textId="54217F20"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5</w:t>
      </w:r>
      <w:r w:rsidRPr="00B27CB1">
        <w:rPr>
          <w:rFonts w:ascii="Verdana" w:hAnsi="Verdana" w:cs="Verdana"/>
        </w:rPr>
        <w:fldChar w:fldCharType="end"/>
      </w:r>
      <w:r w:rsidRPr="00B27CB1">
        <w:rPr>
          <w:rFonts w:ascii="Verdana" w:hAnsi="Verdana"/>
        </w:rPr>
        <w:t xml:space="preserve">. Use # 4 </w:t>
      </w:r>
      <w:r w:rsidRPr="00657948">
        <w:rPr>
          <w:rFonts w:ascii="Verdana" w:hAnsi="Verdana"/>
        </w:rPr>
        <w:t>– Disinfectants for hard surfaces for industry, institution and healthcare facilities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50B0E7F4" w14:textId="77777777" w:rsidTr="00685495">
        <w:tc>
          <w:tcPr>
            <w:tcW w:w="2707" w:type="dxa"/>
            <w:tcBorders>
              <w:top w:val="single" w:sz="4" w:space="0" w:color="000000"/>
              <w:left w:val="single" w:sz="4" w:space="0" w:color="000000"/>
              <w:bottom w:val="single" w:sz="4" w:space="0" w:color="000000"/>
              <w:right w:val="nil"/>
            </w:tcBorders>
            <w:hideMark/>
          </w:tcPr>
          <w:p w14:paraId="78341E79" w14:textId="77777777" w:rsidR="00636650" w:rsidRPr="00B27CB1" w:rsidRDefault="00636650" w:rsidP="00685495">
            <w:pPr>
              <w:spacing w:line="254" w:lineRule="auto"/>
              <w:rPr>
                <w:b/>
              </w:rPr>
            </w:pPr>
            <w:r w:rsidRPr="00B27CB1">
              <w:rPr>
                <w:b/>
                <w:bCs/>
                <w:szCs w:val="24"/>
                <w:lang w:eastAsia="en-GB"/>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tcPr>
          <w:p w14:paraId="028202C5" w14:textId="268685A1" w:rsidR="00636650" w:rsidRPr="00B27CB1" w:rsidRDefault="006C412F" w:rsidP="00685495">
            <w:pPr>
              <w:snapToGrid w:val="0"/>
              <w:spacing w:line="254" w:lineRule="auto"/>
              <w:rPr>
                <w:b/>
              </w:rPr>
            </w:pPr>
            <w:r w:rsidRPr="000D7D14">
              <w:t>PT02 - Disinfectants and algaecides not intended for direct application to humans or animals (Disinfectants)</w:t>
            </w:r>
          </w:p>
        </w:tc>
      </w:tr>
      <w:tr w:rsidR="00636650" w:rsidRPr="00B27CB1" w14:paraId="18E7AD1B" w14:textId="77777777" w:rsidTr="00685495">
        <w:tc>
          <w:tcPr>
            <w:tcW w:w="2707" w:type="dxa"/>
            <w:tcBorders>
              <w:top w:val="nil"/>
              <w:left w:val="single" w:sz="4" w:space="0" w:color="000000"/>
              <w:bottom w:val="single" w:sz="4" w:space="0" w:color="000000"/>
              <w:right w:val="nil"/>
            </w:tcBorders>
            <w:hideMark/>
          </w:tcPr>
          <w:p w14:paraId="2DBF51D0"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EA83632" w14:textId="77777777" w:rsidR="006C412F" w:rsidRPr="000D7D14" w:rsidRDefault="006C412F" w:rsidP="006C412F">
            <w:pPr>
              <w:rPr>
                <w:color w:val="000000"/>
              </w:rPr>
            </w:pPr>
            <w:r w:rsidRPr="000D7D14">
              <w:rPr>
                <w:color w:val="000000"/>
              </w:rPr>
              <w:t>Product used for the disinfection of industry, institution and healthcare facilities including external surfaces of toilets bowls.</w:t>
            </w:r>
          </w:p>
          <w:p w14:paraId="1FB25EB3" w14:textId="30D1D7FD" w:rsidR="00636650" w:rsidRPr="00B27CB1" w:rsidRDefault="006C412F" w:rsidP="00685495">
            <w:pPr>
              <w:snapToGrid w:val="0"/>
              <w:spacing w:line="254" w:lineRule="auto"/>
              <w:rPr>
                <w:b/>
              </w:rPr>
            </w:pPr>
            <w:r w:rsidRPr="000D7D14">
              <w:br/>
            </w:r>
            <w:r w:rsidRPr="000D7D14">
              <w:rPr>
                <w:color w:val="000000"/>
              </w:rPr>
              <w:t>Use for cleaning and disinfection of all kind of non porous surfaces.</w:t>
            </w:r>
          </w:p>
        </w:tc>
      </w:tr>
      <w:tr w:rsidR="00636650" w:rsidRPr="00B27CB1" w14:paraId="262DE3BE" w14:textId="77777777" w:rsidTr="00685495">
        <w:tc>
          <w:tcPr>
            <w:tcW w:w="2707" w:type="dxa"/>
            <w:tcBorders>
              <w:top w:val="nil"/>
              <w:left w:val="single" w:sz="4" w:space="0" w:color="000000"/>
              <w:bottom w:val="single" w:sz="4" w:space="0" w:color="000000"/>
              <w:right w:val="nil"/>
            </w:tcBorders>
            <w:hideMark/>
          </w:tcPr>
          <w:p w14:paraId="0AE8A181" w14:textId="77777777" w:rsidR="00636650" w:rsidRPr="00B27CB1" w:rsidRDefault="00636650"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9888A49" w14:textId="7F1C379A" w:rsidR="00636650" w:rsidRPr="00B27CB1" w:rsidRDefault="006C412F" w:rsidP="00685495">
            <w:pPr>
              <w:snapToGrid w:val="0"/>
              <w:spacing w:line="254" w:lineRule="auto"/>
              <w:rPr>
                <w:lang w:eastAsia="de-DE"/>
              </w:rPr>
            </w:pPr>
            <w:r w:rsidRPr="000D7D14">
              <w:t>Bacteria</w:t>
            </w:r>
            <w:r w:rsidRPr="000D7D14">
              <w:br/>
              <w:t>Yeasts</w:t>
            </w:r>
          </w:p>
        </w:tc>
      </w:tr>
      <w:tr w:rsidR="00636650" w:rsidRPr="00B27CB1" w14:paraId="1A46B215" w14:textId="77777777" w:rsidTr="00685495">
        <w:tc>
          <w:tcPr>
            <w:tcW w:w="2707" w:type="dxa"/>
            <w:tcBorders>
              <w:top w:val="nil"/>
              <w:left w:val="single" w:sz="4" w:space="0" w:color="000000"/>
              <w:bottom w:val="single" w:sz="4" w:space="0" w:color="000000"/>
              <w:right w:val="nil"/>
            </w:tcBorders>
            <w:hideMark/>
          </w:tcPr>
          <w:p w14:paraId="4986C5F7"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2657BAE" w14:textId="073D015B" w:rsidR="00636650" w:rsidRPr="00B27CB1" w:rsidRDefault="006C412F" w:rsidP="002547BB">
            <w:pPr>
              <w:suppressAutoHyphens w:val="0"/>
              <w:snapToGrid w:val="0"/>
              <w:spacing w:line="260" w:lineRule="atLeast"/>
              <w:jc w:val="both"/>
              <w:rPr>
                <w:rFonts w:cs="Times New Roman"/>
                <w:lang w:eastAsia="de-DE"/>
              </w:rPr>
            </w:pPr>
            <w:r w:rsidRPr="000D7D14">
              <w:t>Indoor</w:t>
            </w:r>
          </w:p>
        </w:tc>
      </w:tr>
      <w:tr w:rsidR="00636650" w:rsidRPr="00B27CB1" w14:paraId="07D38B79" w14:textId="77777777" w:rsidTr="00685495">
        <w:tc>
          <w:tcPr>
            <w:tcW w:w="2707" w:type="dxa"/>
            <w:tcBorders>
              <w:top w:val="nil"/>
              <w:left w:val="single" w:sz="4" w:space="0" w:color="000000"/>
              <w:bottom w:val="single" w:sz="4" w:space="0" w:color="000000"/>
              <w:right w:val="nil"/>
            </w:tcBorders>
            <w:hideMark/>
          </w:tcPr>
          <w:p w14:paraId="252A8A60"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1404174" w14:textId="77777777" w:rsidR="00EF6425" w:rsidRDefault="006C412F" w:rsidP="00EF6425">
            <w:pPr>
              <w:suppressAutoHyphens w:val="0"/>
              <w:snapToGrid w:val="0"/>
              <w:spacing w:line="260" w:lineRule="atLeast"/>
            </w:pPr>
            <w:r w:rsidRPr="000D7D14">
              <w:t xml:space="preserve">Spraying, </w:t>
            </w:r>
          </w:p>
          <w:p w14:paraId="1D840DF9" w14:textId="39BD218B" w:rsidR="00EF6425" w:rsidRDefault="00EF6425" w:rsidP="00EF6425">
            <w:pPr>
              <w:suppressAutoHyphens w:val="0"/>
              <w:snapToGrid w:val="0"/>
              <w:spacing w:line="260" w:lineRule="atLeast"/>
            </w:pPr>
            <w:r>
              <w:t>W</w:t>
            </w:r>
            <w:r w:rsidR="006C412F" w:rsidRPr="000D7D14">
              <w:t>iping (applying product onto wipe followed by wiping</w:t>
            </w:r>
            <w:r>
              <w:t>)</w:t>
            </w:r>
          </w:p>
          <w:p w14:paraId="6C0B47EF" w14:textId="214E51C6" w:rsidR="00636650" w:rsidRPr="00B27CB1" w:rsidRDefault="00EF6425" w:rsidP="00EF6425">
            <w:pPr>
              <w:suppressAutoHyphens w:val="0"/>
              <w:snapToGrid w:val="0"/>
              <w:spacing w:line="260" w:lineRule="atLeast"/>
              <w:rPr>
                <w:rFonts w:cs="Times New Roman"/>
                <w:lang w:eastAsia="de-DE"/>
              </w:rPr>
            </w:pPr>
            <w:r>
              <w:t>M</w:t>
            </w:r>
            <w:r w:rsidR="006C412F" w:rsidRPr="000D7D14">
              <w:t>opping (applying product onto mop followed by mopping)</w:t>
            </w:r>
          </w:p>
        </w:tc>
      </w:tr>
      <w:tr w:rsidR="00636650" w:rsidRPr="00B27CB1" w14:paraId="40A556B5" w14:textId="77777777" w:rsidTr="00685495">
        <w:tc>
          <w:tcPr>
            <w:tcW w:w="2707" w:type="dxa"/>
            <w:tcBorders>
              <w:top w:val="nil"/>
              <w:left w:val="single" w:sz="4" w:space="0" w:color="000000"/>
              <w:bottom w:val="single" w:sz="4" w:space="0" w:color="000000"/>
              <w:right w:val="nil"/>
            </w:tcBorders>
            <w:hideMark/>
          </w:tcPr>
          <w:p w14:paraId="599A46F2" w14:textId="77777777" w:rsidR="00636650" w:rsidRPr="00B27CB1" w:rsidRDefault="00636650"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4B6C03A" w14:textId="77777777" w:rsidR="00EE524E" w:rsidRDefault="006C412F" w:rsidP="00EE524E">
            <w:r w:rsidRPr="00F0256C">
              <w:t>Ready to use</w:t>
            </w:r>
            <w:r w:rsidR="00EE524E" w:rsidRPr="00344BDC">
              <w:t xml:space="preserve"> </w:t>
            </w:r>
          </w:p>
          <w:p w14:paraId="7E96B58B" w14:textId="02557DAB" w:rsidR="006C412F" w:rsidRPr="00F0256C" w:rsidRDefault="00EE524E" w:rsidP="006C412F">
            <w:r w:rsidRPr="00344BDC">
              <w:t>Dirty conditions</w:t>
            </w:r>
          </w:p>
          <w:p w14:paraId="30B63091" w14:textId="63A2C3C0" w:rsidR="006C412F" w:rsidRDefault="00775ABA" w:rsidP="006C412F">
            <w:r>
              <w:t>T</w:t>
            </w:r>
            <w:r w:rsidR="006C412F" w:rsidRPr="00344BDC">
              <w:t>emperature</w:t>
            </w:r>
            <w:r>
              <w:t>: 20°C</w:t>
            </w:r>
          </w:p>
          <w:p w14:paraId="68EAD3FE" w14:textId="77777777" w:rsidR="00EE524E" w:rsidRPr="00344BDC" w:rsidRDefault="00EE524E" w:rsidP="006C412F"/>
          <w:p w14:paraId="30268C54" w14:textId="77777777" w:rsidR="001F534D" w:rsidRDefault="00EE524E" w:rsidP="00EE524E">
            <w:r>
              <w:t xml:space="preserve">Non mechanical action (spraying): </w:t>
            </w:r>
          </w:p>
          <w:p w14:paraId="6D3D3C1C" w14:textId="49147057" w:rsidR="00EE524E" w:rsidRPr="00F0256C" w:rsidRDefault="00EE524E" w:rsidP="00EE524E">
            <w:r w:rsidRPr="00F0256C">
              <w:t>Contact time</w:t>
            </w:r>
            <w:r>
              <w:t xml:space="preserve"> (</w:t>
            </w:r>
            <w:r w:rsidRPr="00820E0E">
              <w:t>bacteria and yeasts</w:t>
            </w:r>
            <w:r>
              <w:t>)</w:t>
            </w:r>
            <w:r w:rsidRPr="00F0256C">
              <w:t>: 15 minutes</w:t>
            </w:r>
          </w:p>
          <w:p w14:paraId="1E6E6B77" w14:textId="77777777" w:rsidR="00E16D2D" w:rsidRDefault="00E16D2D" w:rsidP="0045519B"/>
          <w:p w14:paraId="44513026" w14:textId="77777777" w:rsidR="001F534D" w:rsidRDefault="00817221" w:rsidP="0045519B">
            <w:r>
              <w:t>Mechanical action (wiping and mopping):</w:t>
            </w:r>
            <w:r w:rsidR="00EE524E">
              <w:t xml:space="preserve"> </w:t>
            </w:r>
          </w:p>
          <w:p w14:paraId="63080EA0" w14:textId="1726BDEF" w:rsidR="0045519B" w:rsidRPr="00F0256C" w:rsidRDefault="0045519B" w:rsidP="0045519B">
            <w:r w:rsidRPr="00F0256C">
              <w:t>Contact time</w:t>
            </w:r>
            <w:r>
              <w:t xml:space="preserve"> (</w:t>
            </w:r>
            <w:r w:rsidRPr="00820E0E">
              <w:t>bacteria and yeasts</w:t>
            </w:r>
            <w:r>
              <w:t>)</w:t>
            </w:r>
            <w:r w:rsidRPr="00F0256C">
              <w:t>: 5 minutes</w:t>
            </w:r>
          </w:p>
          <w:p w14:paraId="0D919113" w14:textId="77777777" w:rsidR="004E61D3" w:rsidRPr="000D7D14" w:rsidRDefault="004E61D3" w:rsidP="006C412F"/>
          <w:p w14:paraId="30753D72" w14:textId="46498E41" w:rsidR="006C412F" w:rsidRPr="000D7D14" w:rsidRDefault="004E61D3" w:rsidP="006C412F">
            <w:r>
              <w:t>A</w:t>
            </w:r>
            <w:r w:rsidR="006C412F" w:rsidRPr="000D7D14">
              <w:t>pplication rate</w:t>
            </w:r>
            <w:r>
              <w:t>s</w:t>
            </w:r>
            <w:r w:rsidR="006C412F" w:rsidRPr="000D7D14">
              <w:t xml:space="preserve">: </w:t>
            </w:r>
          </w:p>
          <w:p w14:paraId="4FEC9832" w14:textId="667A17A7" w:rsidR="00E16D2D" w:rsidRPr="000D7D14" w:rsidRDefault="006C412F" w:rsidP="006C412F">
            <w:r w:rsidRPr="000D7D14">
              <w:t>30 ml/m</w:t>
            </w:r>
            <w:r w:rsidRPr="000D7D14">
              <w:rPr>
                <w:vertAlign w:val="superscript"/>
              </w:rPr>
              <w:t>2</w:t>
            </w:r>
            <w:r w:rsidRPr="000D7D14">
              <w:t xml:space="preserve"> (20 sprays on the surface per m</w:t>
            </w:r>
            <w:r w:rsidRPr="000D7D14">
              <w:rPr>
                <w:vertAlign w:val="superscript"/>
              </w:rPr>
              <w:t>2</w:t>
            </w:r>
            <w:r w:rsidRPr="000D7D14">
              <w:t xml:space="preserve"> </w:t>
            </w:r>
            <w:r w:rsidR="00E16D2D">
              <w:t>)</w:t>
            </w:r>
          </w:p>
          <w:p w14:paraId="0EA08F47" w14:textId="4F3DE124" w:rsidR="00636650" w:rsidRPr="00B27CB1" w:rsidRDefault="006C412F" w:rsidP="004A347E">
            <w:pPr>
              <w:rPr>
                <w:rFonts w:cs="Times New Roman"/>
                <w:lang w:eastAsia="de-DE"/>
              </w:rPr>
            </w:pPr>
            <w:r w:rsidRPr="000D7D14">
              <w:t>8 to 12 sprays or 16 ml on wipe per 0.1</w:t>
            </w:r>
            <w:r w:rsidR="00383E12">
              <w:t xml:space="preserve"> </w:t>
            </w:r>
            <w:r w:rsidRPr="000D7D14">
              <w:t>m</w:t>
            </w:r>
            <w:r w:rsidRPr="000D7D14">
              <w:rPr>
                <w:vertAlign w:val="superscript"/>
              </w:rPr>
              <w:t>2</w:t>
            </w:r>
            <w:r w:rsidRPr="000D7D14">
              <w:t>)</w:t>
            </w:r>
          </w:p>
        </w:tc>
      </w:tr>
      <w:tr w:rsidR="00636650" w:rsidRPr="00B27CB1" w14:paraId="51C8989B" w14:textId="77777777" w:rsidTr="00685495">
        <w:tc>
          <w:tcPr>
            <w:tcW w:w="2707" w:type="dxa"/>
            <w:tcBorders>
              <w:top w:val="nil"/>
              <w:left w:val="single" w:sz="4" w:space="0" w:color="000000"/>
              <w:bottom w:val="single" w:sz="4" w:space="0" w:color="000000"/>
              <w:right w:val="nil"/>
            </w:tcBorders>
            <w:hideMark/>
          </w:tcPr>
          <w:p w14:paraId="21FC3546" w14:textId="77777777" w:rsidR="00636650" w:rsidRPr="00B27CB1" w:rsidRDefault="00636650"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639477E6" w14:textId="5976816E" w:rsidR="00636650" w:rsidRPr="00B27CB1" w:rsidRDefault="006C412F" w:rsidP="00685495">
            <w:pPr>
              <w:snapToGrid w:val="0"/>
              <w:spacing w:line="254" w:lineRule="auto"/>
              <w:rPr>
                <w:b/>
              </w:rPr>
            </w:pPr>
            <w:r w:rsidRPr="000D7D14">
              <w:t>Industrial, Professional</w:t>
            </w:r>
          </w:p>
        </w:tc>
      </w:tr>
      <w:tr w:rsidR="00636650" w:rsidRPr="00A04731" w14:paraId="299CF2A0" w14:textId="77777777" w:rsidTr="00685495">
        <w:tc>
          <w:tcPr>
            <w:tcW w:w="2707" w:type="dxa"/>
            <w:tcBorders>
              <w:top w:val="nil"/>
              <w:left w:val="single" w:sz="4" w:space="0" w:color="000000"/>
              <w:bottom w:val="single" w:sz="4" w:space="0" w:color="000000"/>
              <w:right w:val="nil"/>
            </w:tcBorders>
            <w:hideMark/>
          </w:tcPr>
          <w:p w14:paraId="17935B49" w14:textId="77777777" w:rsidR="00636650" w:rsidRPr="00B27CB1" w:rsidRDefault="00636650"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2E650A02" w14:textId="7D6D2FF2" w:rsidR="00C609FB" w:rsidRDefault="00C609FB" w:rsidP="00C609FB">
            <w:pPr>
              <w:spacing w:line="254" w:lineRule="auto"/>
            </w:pPr>
            <w:r>
              <w:t>HDPE:</w:t>
            </w:r>
            <w:r w:rsidR="00B639F8">
              <w:t xml:space="preserve"> </w:t>
            </w:r>
            <w:r>
              <w:t xml:space="preserve">500 mL trigger spray, 750 mL trigger spray, 1 L,  5 L </w:t>
            </w:r>
          </w:p>
          <w:p w14:paraId="46EEC6FE" w14:textId="5147F45E" w:rsidR="00C609FB" w:rsidRDefault="00C609FB" w:rsidP="00C609FB">
            <w:pPr>
              <w:spacing w:line="254" w:lineRule="auto"/>
            </w:pPr>
            <w:r>
              <w:t>PET:</w:t>
            </w:r>
            <w:r w:rsidR="00B639F8">
              <w:t xml:space="preserve"> </w:t>
            </w:r>
            <w:r>
              <w:t>500 mL trigger spray, 750 mL trigger spray, 1 L</w:t>
            </w:r>
          </w:p>
          <w:p w14:paraId="0B21C55B" w14:textId="466ADBD3" w:rsidR="00636650" w:rsidRPr="00B639F8" w:rsidRDefault="00C609FB" w:rsidP="00B639F8">
            <w:pPr>
              <w:spacing w:line="254" w:lineRule="auto"/>
              <w:rPr>
                <w:lang w:val="fr-FR"/>
              </w:rPr>
            </w:pPr>
            <w:r w:rsidRPr="005B2C43">
              <w:rPr>
                <w:lang w:val="fr-FR"/>
              </w:rPr>
              <w:t>Coextrude (HDPE/Adhesive/Nylon polyamide):</w:t>
            </w:r>
            <w:r w:rsidR="00B639F8">
              <w:rPr>
                <w:lang w:val="fr-FR"/>
              </w:rPr>
              <w:t xml:space="preserve"> </w:t>
            </w:r>
            <w:r w:rsidRPr="00B639F8">
              <w:rPr>
                <w:lang w:val="fr-FR"/>
              </w:rPr>
              <w:t>5 L</w:t>
            </w:r>
          </w:p>
        </w:tc>
      </w:tr>
    </w:tbl>
    <w:p w14:paraId="05E2B443"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1D31F729"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9C117B1" w14:textId="1CD7D3A5" w:rsidR="006C412F" w:rsidRPr="00E91F85" w:rsidRDefault="00FC1BB9"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Ready-to-use liquid for hard surfaces by spraying:</w:t>
            </w:r>
            <w:r w:rsidR="00724DC3" w:rsidRPr="00E91F85">
              <w:rPr>
                <w:rFonts w:cs="Arial"/>
                <w:iCs/>
                <w:color w:val="000000" w:themeColor="text1"/>
                <w:szCs w:val="16"/>
              </w:rPr>
              <w:t xml:space="preserve"> </w:t>
            </w:r>
            <w:r w:rsidR="006C412F" w:rsidRPr="00E91F85">
              <w:rPr>
                <w:rFonts w:cs="Arial"/>
                <w:iCs/>
                <w:color w:val="000000" w:themeColor="text1"/>
                <w:szCs w:val="16"/>
              </w:rPr>
              <w:t>Spray directly on the surface intended to be treated and cover the entire surface. Allow to take effect for at least 15 minutes, then brush or scrub if required and rinse with water, wipe with a dry cloth.</w:t>
            </w:r>
          </w:p>
          <w:p w14:paraId="652A2749" w14:textId="2A11F15E" w:rsidR="00636650" w:rsidRPr="00657948" w:rsidRDefault="00FC1BB9" w:rsidP="00657948">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Ready-to-use liquid for hard surfaces by wipping/mopping</w:t>
            </w:r>
            <w:r w:rsidR="00B74263" w:rsidRPr="00E91F85">
              <w:rPr>
                <w:rFonts w:cs="Arial"/>
                <w:iCs/>
                <w:color w:val="000000" w:themeColor="text1"/>
                <w:szCs w:val="16"/>
              </w:rPr>
              <w:t>:</w:t>
            </w:r>
            <w:r w:rsidR="00E16D2D" w:rsidRPr="00E91F85">
              <w:rPr>
                <w:rFonts w:cs="Arial"/>
                <w:iCs/>
                <w:color w:val="000000" w:themeColor="text1"/>
                <w:szCs w:val="16"/>
              </w:rPr>
              <w:t xml:space="preserve"> Spray on wipe or soak the mop/wipe and apply by fully wetting all surfaces intended to be treated</w:t>
            </w:r>
            <w:r w:rsidR="006C412F" w:rsidRPr="00E91F85">
              <w:rPr>
                <w:rFonts w:cs="Arial"/>
                <w:iCs/>
                <w:color w:val="000000" w:themeColor="text1"/>
                <w:szCs w:val="16"/>
              </w:rPr>
              <w:t>. Allow to tak</w:t>
            </w:r>
            <w:r w:rsidR="0045519B" w:rsidRPr="00E91F85">
              <w:rPr>
                <w:rFonts w:cs="Arial"/>
                <w:iCs/>
                <w:color w:val="000000" w:themeColor="text1"/>
                <w:szCs w:val="16"/>
              </w:rPr>
              <w:t xml:space="preserve">e effect for at least </w:t>
            </w:r>
            <w:r w:rsidR="006C412F" w:rsidRPr="00E91F85">
              <w:rPr>
                <w:rFonts w:cs="Arial"/>
                <w:iCs/>
                <w:color w:val="000000" w:themeColor="text1"/>
                <w:szCs w:val="16"/>
              </w:rPr>
              <w:t>5 minutes and rinse with water, then wipe the surface with a dry cloth if required or let to dry.</w:t>
            </w:r>
          </w:p>
        </w:tc>
      </w:tr>
    </w:tbl>
    <w:p w14:paraId="20E398FE"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9D26B4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FAC6634" w14:textId="77777777" w:rsidR="00636650" w:rsidRPr="00E91F85" w:rsidRDefault="00137FDC"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For heathcare facilities, apply the product only in areas where disinfection is not medically indicated.</w:t>
            </w:r>
          </w:p>
          <w:p w14:paraId="19483A72" w14:textId="77777777" w:rsidR="006F5102" w:rsidRPr="00305DEF" w:rsidRDefault="006F5102" w:rsidP="00E91F85">
            <w:pPr>
              <w:pStyle w:val="Paragraphedeliste"/>
              <w:numPr>
                <w:ilvl w:val="0"/>
                <w:numId w:val="38"/>
              </w:numPr>
              <w:suppressAutoHyphens w:val="0"/>
              <w:spacing w:line="256" w:lineRule="auto"/>
              <w:jc w:val="both"/>
              <w:rPr>
                <w:rFonts w:cs="Arial"/>
                <w:iCs/>
                <w:color w:val="000000" w:themeColor="text1"/>
                <w:szCs w:val="16"/>
              </w:rPr>
            </w:pPr>
            <w:r w:rsidRPr="00305DEF">
              <w:rPr>
                <w:rFonts w:cs="Arial"/>
                <w:iCs/>
                <w:color w:val="000000" w:themeColor="text1"/>
                <w:szCs w:val="16"/>
              </w:rPr>
              <w:t>During loading of the trigger spray and application, wear:</w:t>
            </w:r>
          </w:p>
          <w:p w14:paraId="3D207FA6" w14:textId="77777777" w:rsidR="006F5102" w:rsidRDefault="006F5102" w:rsidP="006F5102">
            <w:pPr>
              <w:pStyle w:val="Paragraphedeliste"/>
              <w:numPr>
                <w:ilvl w:val="0"/>
                <w:numId w:val="41"/>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22CDDE6B" w14:textId="77777777" w:rsidR="006F5102" w:rsidRDefault="006F5102" w:rsidP="006F5102">
            <w:pPr>
              <w:pStyle w:val="Paragraphedeliste"/>
              <w:numPr>
                <w:ilvl w:val="0"/>
                <w:numId w:val="41"/>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 xml:space="preserve">coated coverall (at least category III type 6), </w:t>
            </w:r>
          </w:p>
          <w:p w14:paraId="4EDA83EA" w14:textId="6EF2CA64" w:rsidR="006F5102" w:rsidRDefault="006F5102" w:rsidP="006F5102">
            <w:pPr>
              <w:pStyle w:val="Paragraphedeliste"/>
              <w:numPr>
                <w:ilvl w:val="0"/>
                <w:numId w:val="41"/>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face shield</w:t>
            </w:r>
            <w:r w:rsidR="00960B6A">
              <w:rPr>
                <w:rFonts w:cs="Arial"/>
                <w:iCs/>
                <w:color w:val="000000" w:themeColor="text1"/>
                <w:szCs w:val="16"/>
                <w:lang w:val="en-US"/>
              </w:rPr>
              <w:t>.</w:t>
            </w:r>
          </w:p>
          <w:p w14:paraId="1287C8C6" w14:textId="421EB4AC" w:rsidR="006F5102" w:rsidRDefault="006F5102" w:rsidP="006F5102">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 during loading of the trigger spray</w:t>
            </w:r>
            <w:r w:rsidR="005531C2">
              <w:rPr>
                <w:rFonts w:cs="Arial"/>
                <w:iCs/>
                <w:color w:val="000000" w:themeColor="text1"/>
                <w:szCs w:val="16"/>
                <w:lang w:val="en-US"/>
              </w:rPr>
              <w:t>.</w:t>
            </w:r>
          </w:p>
          <w:p w14:paraId="56710B7C" w14:textId="63F9E07D" w:rsidR="00D20EDF" w:rsidRPr="00E91F85" w:rsidRDefault="006F5102" w:rsidP="00E91F85">
            <w:pPr>
              <w:pStyle w:val="Paragraphedeliste"/>
              <w:numPr>
                <w:ilvl w:val="0"/>
                <w:numId w:val="38"/>
              </w:numPr>
              <w:rPr>
                <w:rFonts w:cs="Arial"/>
                <w:iCs/>
                <w:color w:val="000000" w:themeColor="text1"/>
                <w:szCs w:val="16"/>
                <w:lang w:val="en-US"/>
              </w:rPr>
            </w:pPr>
            <w:r w:rsidRPr="00960B6A">
              <w:rPr>
                <w:rFonts w:cs="Arial"/>
                <w:iCs/>
                <w:color w:val="000000" w:themeColor="text1"/>
                <w:szCs w:val="16"/>
                <w:lang w:val="en-US"/>
              </w:rPr>
              <w:lastRenderedPageBreak/>
              <w:t>The spray application must be downward in order to avoid any facial exposure.</w:t>
            </w:r>
          </w:p>
        </w:tc>
      </w:tr>
    </w:tbl>
    <w:p w14:paraId="2869D3AA"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lastRenderedPageBreak/>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6FCCC1EF"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EE9F0ED" w14:textId="613EA6BE" w:rsidR="00636650" w:rsidRPr="00B27CB1" w:rsidRDefault="00367700" w:rsidP="00685495">
            <w:pPr>
              <w:widowControl w:val="0"/>
              <w:autoSpaceDE w:val="0"/>
              <w:snapToGrid w:val="0"/>
              <w:spacing w:before="80" w:line="254" w:lineRule="auto"/>
              <w:rPr>
                <w:rFonts w:cs="Times"/>
                <w:bCs/>
                <w:szCs w:val="29"/>
              </w:rPr>
            </w:pPr>
            <w:r>
              <w:rPr>
                <w:rFonts w:cs="Times"/>
                <w:bCs/>
                <w:szCs w:val="29"/>
              </w:rPr>
              <w:t>-</w:t>
            </w:r>
          </w:p>
        </w:tc>
      </w:tr>
    </w:tbl>
    <w:p w14:paraId="1D38E82F"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00A37C4"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B301E61" w14:textId="7D2DFAA6" w:rsidR="00636650" w:rsidRPr="00B27CB1" w:rsidRDefault="00367700" w:rsidP="00685495">
            <w:pPr>
              <w:widowControl w:val="0"/>
              <w:autoSpaceDE w:val="0"/>
              <w:snapToGrid w:val="0"/>
              <w:spacing w:before="80" w:line="254" w:lineRule="auto"/>
              <w:rPr>
                <w:rFonts w:cs="Times"/>
                <w:bCs/>
                <w:szCs w:val="29"/>
              </w:rPr>
            </w:pPr>
            <w:r>
              <w:rPr>
                <w:rFonts w:cs="Times"/>
                <w:bCs/>
                <w:szCs w:val="29"/>
              </w:rPr>
              <w:t>-</w:t>
            </w:r>
          </w:p>
        </w:tc>
      </w:tr>
    </w:tbl>
    <w:p w14:paraId="530A53D0"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11ACA06"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E3E24E8" w14:textId="5DBE2128" w:rsidR="00636650" w:rsidRPr="00B27CB1" w:rsidRDefault="00367700" w:rsidP="00685495">
            <w:pPr>
              <w:widowControl w:val="0"/>
              <w:autoSpaceDE w:val="0"/>
              <w:snapToGrid w:val="0"/>
              <w:spacing w:before="80" w:line="254" w:lineRule="auto"/>
              <w:rPr>
                <w:rFonts w:cs="Times"/>
                <w:bCs/>
                <w:szCs w:val="29"/>
              </w:rPr>
            </w:pPr>
            <w:r>
              <w:rPr>
                <w:rFonts w:cs="Times"/>
                <w:bCs/>
                <w:szCs w:val="29"/>
              </w:rPr>
              <w:t>-</w:t>
            </w:r>
          </w:p>
        </w:tc>
      </w:tr>
    </w:tbl>
    <w:p w14:paraId="4DD4317C" w14:textId="1875951D" w:rsidR="00A932DC" w:rsidRDefault="00A932DC" w:rsidP="00A932DC"/>
    <w:p w14:paraId="71E64A74" w14:textId="77777777" w:rsidR="00657948" w:rsidRPr="00B27CB1" w:rsidRDefault="00657948" w:rsidP="00A932DC"/>
    <w:p w14:paraId="607B3C56" w14:textId="77777777" w:rsidR="00A932DC" w:rsidRPr="003F1E71" w:rsidRDefault="00A932DC" w:rsidP="00E91F85">
      <w:pPr>
        <w:pStyle w:val="Titre3"/>
        <w:rPr>
          <w:lang w:val="en-US"/>
        </w:rPr>
      </w:pPr>
      <w:bookmarkStart w:id="77" w:name="_Toc87361107"/>
      <w:r w:rsidRPr="003F1E71">
        <w:rPr>
          <w:lang w:val="en-US"/>
        </w:rPr>
        <w:t>General directions for use of the meta SPC 2</w:t>
      </w:r>
      <w:bookmarkEnd w:id="77"/>
    </w:p>
    <w:p w14:paraId="72C69B5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51B29CD5"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93C9B4" w14:textId="25F53BBE" w:rsidR="00137FDC" w:rsidRPr="00E91F85" w:rsidRDefault="003B507C"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Comply with the instructions of uses</w:t>
            </w:r>
            <w:r w:rsidR="00367700">
              <w:rPr>
                <w:rFonts w:cs="Arial"/>
                <w:iCs/>
                <w:color w:val="000000" w:themeColor="text1"/>
                <w:szCs w:val="16"/>
              </w:rPr>
              <w:t>.</w:t>
            </w:r>
          </w:p>
          <w:p w14:paraId="17ADD755" w14:textId="2305210E" w:rsidR="00137FDC" w:rsidRPr="00E91F85" w:rsidRDefault="00137FDC"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Respect the conditions of use of the product (concentration, contact time, temperature, pH, etc.)</w:t>
            </w:r>
            <w:r w:rsidR="00367700">
              <w:rPr>
                <w:rFonts w:cs="Arial"/>
                <w:iCs/>
                <w:color w:val="000000" w:themeColor="text1"/>
                <w:szCs w:val="16"/>
              </w:rPr>
              <w:t>.</w:t>
            </w:r>
          </w:p>
          <w:p w14:paraId="032AA2A9" w14:textId="77777777" w:rsidR="00137FDC" w:rsidRPr="00E91F85" w:rsidRDefault="00137FDC"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Inform the authorization holder if the treatment is ineffective.</w:t>
            </w:r>
          </w:p>
          <w:p w14:paraId="48431CBF" w14:textId="538911E0" w:rsidR="00A932DC" w:rsidRPr="00B27CB1" w:rsidRDefault="00137FDC" w:rsidP="00E91F85">
            <w:pPr>
              <w:pStyle w:val="Paragraphedeliste"/>
              <w:numPr>
                <w:ilvl w:val="0"/>
                <w:numId w:val="38"/>
              </w:numPr>
              <w:rPr>
                <w:bCs/>
              </w:rPr>
            </w:pPr>
            <w:r w:rsidRPr="00E91F85">
              <w:rPr>
                <w:rFonts w:cs="Arial"/>
                <w:iCs/>
                <w:color w:val="000000" w:themeColor="text1"/>
                <w:szCs w:val="16"/>
              </w:rPr>
              <w:t>For PT4</w:t>
            </w:r>
            <w:r w:rsidR="002547BB" w:rsidRPr="00E91F85">
              <w:rPr>
                <w:rFonts w:cs="Arial"/>
                <w:iCs/>
                <w:color w:val="000000" w:themeColor="text1"/>
                <w:szCs w:val="16"/>
              </w:rPr>
              <w:t xml:space="preserve"> surfaces</w:t>
            </w:r>
            <w:r w:rsidRPr="00E91F85">
              <w:rPr>
                <w:rFonts w:cs="Arial"/>
                <w:iCs/>
                <w:color w:val="000000" w:themeColor="text1"/>
                <w:szCs w:val="16"/>
              </w:rPr>
              <w:t>, application is only for general disinfection.</w:t>
            </w:r>
            <w:r w:rsidRPr="00305DEF">
              <w:rPr>
                <w:bCs/>
                <w:iCs/>
              </w:rPr>
              <w:t xml:space="preserve"> </w:t>
            </w:r>
          </w:p>
        </w:tc>
      </w:tr>
    </w:tbl>
    <w:p w14:paraId="4C37823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52AAF05"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88BC5AA" w14:textId="5EC4A8CB" w:rsidR="00A932DC" w:rsidRPr="00B27CB1" w:rsidRDefault="003419A9" w:rsidP="00E91F85">
            <w:pPr>
              <w:pStyle w:val="Paragraphedeliste"/>
              <w:numPr>
                <w:ilvl w:val="0"/>
                <w:numId w:val="38"/>
              </w:numPr>
              <w:suppressAutoHyphens w:val="0"/>
              <w:spacing w:line="256" w:lineRule="auto"/>
              <w:jc w:val="both"/>
            </w:pPr>
            <w:r w:rsidRPr="00E91F85">
              <w:rPr>
                <w:rFonts w:cs="Arial"/>
                <w:iCs/>
                <w:color w:val="000000" w:themeColor="text1"/>
                <w:szCs w:val="16"/>
              </w:rPr>
              <w:t>Avoidance of contact with freshly treated surfaces.</w:t>
            </w:r>
          </w:p>
        </w:tc>
      </w:tr>
    </w:tbl>
    <w:p w14:paraId="01894FB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295197D"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DF0064B" w14:textId="77777777" w:rsidR="007B0F8D" w:rsidRPr="00E91F85" w:rsidRDefault="007B0F8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ON SKIN: Wash with plenty of water</w:t>
            </w:r>
          </w:p>
          <w:p w14:paraId="7C2E5B8F" w14:textId="77777777" w:rsidR="007B0F8D" w:rsidRPr="00E91F85" w:rsidRDefault="007B0F8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197B87F2" w14:textId="77777777" w:rsidR="007B0F8D" w:rsidRPr="00E91F85" w:rsidRDefault="007B0F8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Ingestion: Wash out mouth with water. Contact poison treatment specialist. Seek medical advice immediately if symptoms occur and/or large quantities have been ingested. Do not give fluids or induce vomiting.</w:t>
            </w:r>
          </w:p>
          <w:p w14:paraId="331B004B" w14:textId="77777777" w:rsidR="007B0F8D" w:rsidRPr="00E91F85" w:rsidRDefault="007B0F8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Inhalation (of spray mist): Remove victim to fresh air and keep at rest in a position comfortable for breathing. Seek medical advice immediately if symptoms occur and/or large quantities have been inhaled.</w:t>
            </w:r>
          </w:p>
          <w:p w14:paraId="2DE70B9F" w14:textId="77777777" w:rsidR="007B0F8D" w:rsidRPr="00E91F85" w:rsidRDefault="007B0F8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 case of impaired consciousness place in recovery position and seek medical advice immediately.</w:t>
            </w:r>
          </w:p>
          <w:p w14:paraId="0BC43E42" w14:textId="43425043" w:rsidR="00A932DC" w:rsidRPr="00AE3876" w:rsidRDefault="007B0F8D" w:rsidP="00E91F85">
            <w:pPr>
              <w:pStyle w:val="Paragraphedeliste"/>
              <w:numPr>
                <w:ilvl w:val="0"/>
                <w:numId w:val="38"/>
              </w:numPr>
              <w:suppressAutoHyphens w:val="0"/>
              <w:spacing w:line="256" w:lineRule="auto"/>
              <w:jc w:val="both"/>
              <w:rPr>
                <w:rFonts w:cs="Times"/>
                <w:bCs/>
                <w:szCs w:val="29"/>
              </w:rPr>
            </w:pPr>
            <w:r w:rsidRPr="00E91F85">
              <w:rPr>
                <w:rFonts w:cs="Arial"/>
                <w:iCs/>
                <w:color w:val="000000" w:themeColor="text1"/>
                <w:szCs w:val="16"/>
              </w:rPr>
              <w:t>Keep the container or label available.</w:t>
            </w:r>
          </w:p>
        </w:tc>
      </w:tr>
    </w:tbl>
    <w:p w14:paraId="2CFF6F2B"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lastRenderedPageBreak/>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9216958"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B490B1A" w14:textId="3A02E77B" w:rsidR="00D463CD" w:rsidRPr="00E91F85" w:rsidRDefault="00D463C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Do not discharge unused product on the ground, into water courses, into pipes (sink, toilets…) nor down the drains</w:t>
            </w:r>
            <w:r w:rsidR="005531C2">
              <w:rPr>
                <w:rFonts w:cs="Arial"/>
                <w:iCs/>
                <w:color w:val="000000" w:themeColor="text1"/>
                <w:szCs w:val="16"/>
              </w:rPr>
              <w:t>.</w:t>
            </w:r>
          </w:p>
          <w:p w14:paraId="5E58A0E5" w14:textId="7609DE31" w:rsidR="00A932DC" w:rsidRPr="00B27CB1" w:rsidRDefault="00D463CD" w:rsidP="00E91F85">
            <w:pPr>
              <w:pStyle w:val="Paragraphedeliste"/>
              <w:numPr>
                <w:ilvl w:val="0"/>
                <w:numId w:val="38"/>
              </w:numPr>
              <w:suppressAutoHyphens w:val="0"/>
              <w:spacing w:line="256" w:lineRule="auto"/>
              <w:jc w:val="both"/>
            </w:pPr>
            <w:r w:rsidRPr="00E91F85">
              <w:rPr>
                <w:rFonts w:cs="Arial"/>
                <w:iCs/>
                <w:color w:val="000000" w:themeColor="text1"/>
                <w:szCs w:val="16"/>
              </w:rPr>
              <w:t>Dispose of unused product, its packaging and all other waste, in accordance with local regulations</w:t>
            </w:r>
            <w:r w:rsidR="005531C2">
              <w:rPr>
                <w:rFonts w:cs="Arial"/>
                <w:iCs/>
                <w:color w:val="000000" w:themeColor="text1"/>
                <w:szCs w:val="16"/>
              </w:rPr>
              <w:t>.</w:t>
            </w:r>
          </w:p>
        </w:tc>
      </w:tr>
    </w:tbl>
    <w:p w14:paraId="61D2FF3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CFB77D4"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6963EFD" w14:textId="14A52586" w:rsidR="003B740B" w:rsidRPr="00B27CB1" w:rsidRDefault="001A3296" w:rsidP="00E91F85">
            <w:pPr>
              <w:pStyle w:val="Paragraphedeliste"/>
              <w:numPr>
                <w:ilvl w:val="0"/>
                <w:numId w:val="38"/>
              </w:numPr>
              <w:suppressAutoHyphens w:val="0"/>
              <w:spacing w:line="256" w:lineRule="auto"/>
              <w:jc w:val="both"/>
            </w:pPr>
            <w:r w:rsidRPr="00E91F85">
              <w:rPr>
                <w:rFonts w:cs="Arial"/>
                <w:iCs/>
                <w:color w:val="000000" w:themeColor="text1"/>
                <w:szCs w:val="16"/>
              </w:rPr>
              <w:t>Shel life</w:t>
            </w:r>
            <w:r w:rsidR="00AE3069">
              <w:rPr>
                <w:rFonts w:cs="Arial"/>
                <w:iCs/>
                <w:color w:val="000000" w:themeColor="text1"/>
                <w:szCs w:val="16"/>
              </w:rPr>
              <w:t>-</w:t>
            </w:r>
            <w:r w:rsidRPr="00E91F85">
              <w:rPr>
                <w:rFonts w:cs="Arial"/>
                <w:iCs/>
                <w:color w:val="000000" w:themeColor="text1"/>
                <w:szCs w:val="16"/>
              </w:rPr>
              <w:t xml:space="preserve"> : 2 years</w:t>
            </w:r>
            <w:r w:rsidR="005531C2">
              <w:rPr>
                <w:rFonts w:cs="Arial"/>
                <w:iCs/>
                <w:color w:val="000000" w:themeColor="text1"/>
                <w:szCs w:val="16"/>
              </w:rPr>
              <w:t>.</w:t>
            </w:r>
          </w:p>
        </w:tc>
      </w:tr>
    </w:tbl>
    <w:p w14:paraId="5630ED09" w14:textId="77777777" w:rsidR="00A932DC" w:rsidRPr="00B27CB1" w:rsidRDefault="00A932DC" w:rsidP="00A932DC">
      <w:pPr>
        <w:widowControl w:val="0"/>
        <w:autoSpaceDE w:val="0"/>
        <w:rPr>
          <w:bCs/>
          <w:iCs/>
          <w:szCs w:val="22"/>
        </w:rPr>
      </w:pPr>
    </w:p>
    <w:p w14:paraId="2E025733" w14:textId="77777777" w:rsidR="00A932DC" w:rsidRPr="00B27CB1" w:rsidRDefault="00A932DC" w:rsidP="00E91F85">
      <w:pPr>
        <w:pStyle w:val="Titre3"/>
      </w:pPr>
      <w:bookmarkStart w:id="78" w:name="_Toc87361108"/>
      <w:r w:rsidRPr="00B27CB1">
        <w:t>Other information</w:t>
      </w:r>
      <w:bookmarkEnd w:id="7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D6C32AD"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AD80CB5" w14:textId="10C22098" w:rsidR="00A932DC" w:rsidRPr="00B27CB1" w:rsidRDefault="00AE3069" w:rsidP="00A932DC">
            <w:pPr>
              <w:widowControl w:val="0"/>
              <w:autoSpaceDE w:val="0"/>
              <w:snapToGrid w:val="0"/>
              <w:spacing w:line="256" w:lineRule="auto"/>
              <w:jc w:val="both"/>
            </w:pPr>
            <w:r>
              <w:t>-</w:t>
            </w:r>
          </w:p>
        </w:tc>
      </w:tr>
    </w:tbl>
    <w:p w14:paraId="7AE0F627" w14:textId="77777777" w:rsidR="00A932DC" w:rsidRPr="00B27CB1" w:rsidRDefault="00A932DC" w:rsidP="00A932DC"/>
    <w:p w14:paraId="2350382C" w14:textId="77777777" w:rsidR="00A932DC" w:rsidRPr="00B27CB1" w:rsidRDefault="00A932DC" w:rsidP="00A932DC"/>
    <w:p w14:paraId="5787A927" w14:textId="7777777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2</w:t>
      </w:r>
    </w:p>
    <w:p w14:paraId="0A712DB7" w14:textId="77777777" w:rsidR="00A932DC" w:rsidRPr="00B27CB1" w:rsidRDefault="00A932DC" w:rsidP="00A932DC">
      <w:pPr>
        <w:widowControl w:val="0"/>
        <w:autoSpaceDE w:val="0"/>
        <w:rPr>
          <w:rFonts w:cs="Times"/>
          <w:bCs/>
          <w:szCs w:val="29"/>
        </w:rPr>
      </w:pPr>
    </w:p>
    <w:p w14:paraId="32F37237" w14:textId="77777777" w:rsidR="00A932DC" w:rsidRPr="003F1E71" w:rsidRDefault="00A932DC" w:rsidP="00E91F85">
      <w:pPr>
        <w:pStyle w:val="Titre3"/>
        <w:rPr>
          <w:lang w:val="en-US"/>
        </w:rPr>
      </w:pPr>
      <w:bookmarkStart w:id="79" w:name="_Toc87361109"/>
      <w:r w:rsidRPr="003F1E71">
        <w:rPr>
          <w:lang w:val="en-US"/>
        </w:rPr>
        <w:t>Trade name(s), authorisation number and specific composition of each individual product</w:t>
      </w:r>
      <w:bookmarkEnd w:id="79"/>
    </w:p>
    <w:p w14:paraId="40716C51" w14:textId="3FB2C9F2"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522"/>
        <w:gridCol w:w="1462"/>
        <w:gridCol w:w="1276"/>
        <w:gridCol w:w="1152"/>
        <w:gridCol w:w="967"/>
      </w:tblGrid>
      <w:tr w:rsidR="00636650" w:rsidRPr="00B27CB1" w14:paraId="476C82BE"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C077BC" w14:textId="77777777" w:rsidR="00636650" w:rsidRPr="00B27CB1" w:rsidRDefault="00636650"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6BB7F5" w14:textId="77777777"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DÉGRAISSANT DÉSINFECTANT MULTI-SURFACES</w:t>
            </w:r>
          </w:p>
          <w:p w14:paraId="7E7D0AF1" w14:textId="77777777"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DEGRAISSANT DESINFECTANT CUISINE</w:t>
            </w:r>
          </w:p>
          <w:p w14:paraId="1E19B0B2" w14:textId="77777777"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RESOLUTIONS Dégraissant Désinfectant Alimentaire P.A.E.</w:t>
            </w:r>
          </w:p>
          <w:p w14:paraId="65BE0FAE" w14:textId="5A9C5AEE" w:rsidR="00636650" w:rsidRPr="00B27CB1" w:rsidRDefault="00636650" w:rsidP="00636650">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DÉGRAISSANT DÉSINFECTANT SANS RINCAGE</w:t>
            </w:r>
          </w:p>
        </w:tc>
      </w:tr>
      <w:tr w:rsidR="00636650" w:rsidRPr="00B27CB1" w14:paraId="241151BD"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8E08885" w14:textId="77777777" w:rsidR="00636650" w:rsidRPr="00B27CB1" w:rsidRDefault="00636650"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21375" w14:textId="77777777" w:rsidR="00636650" w:rsidRPr="00B27CB1" w:rsidRDefault="00636650" w:rsidP="00685495">
            <w:pPr>
              <w:spacing w:line="256" w:lineRule="auto"/>
              <w:rPr>
                <w:b/>
                <w:bCs/>
                <w:szCs w:val="24"/>
                <w:lang w:eastAsia="en-GB"/>
              </w:rPr>
            </w:pPr>
          </w:p>
        </w:tc>
      </w:tr>
      <w:tr w:rsidR="00636650" w:rsidRPr="00B27CB1" w14:paraId="3FD90103" w14:textId="77777777" w:rsidTr="003F1E7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7797828" w14:textId="77777777" w:rsidR="00636650" w:rsidRPr="00B27CB1" w:rsidRDefault="00636650" w:rsidP="00685495">
            <w:pPr>
              <w:spacing w:line="256" w:lineRule="auto"/>
            </w:pPr>
            <w:r w:rsidRPr="00B27CB1">
              <w:rPr>
                <w:b/>
                <w:bCs/>
                <w:szCs w:val="24"/>
                <w:lang w:eastAsia="en-GB"/>
              </w:rPr>
              <w:t>Common name</w:t>
            </w:r>
          </w:p>
        </w:tc>
        <w:tc>
          <w:tcPr>
            <w:tcW w:w="15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036EB9" w14:textId="77777777" w:rsidR="00636650" w:rsidRPr="00B27CB1" w:rsidRDefault="00636650" w:rsidP="00685495">
            <w:pPr>
              <w:spacing w:line="256" w:lineRule="auto"/>
            </w:pPr>
            <w:r w:rsidRPr="00B27CB1">
              <w:rPr>
                <w:b/>
                <w:bCs/>
                <w:szCs w:val="24"/>
                <w:lang w:eastAsia="en-GB"/>
              </w:rPr>
              <w:t>IUPAC name</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BB8108" w14:textId="77777777" w:rsidR="00636650" w:rsidRPr="00B27CB1" w:rsidRDefault="00636650"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51D0E0" w14:textId="77777777" w:rsidR="00636650" w:rsidRPr="00B27CB1" w:rsidRDefault="00636650"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1C6C0FE" w14:textId="77777777" w:rsidR="00636650" w:rsidRPr="00B27CB1" w:rsidRDefault="00636650"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0E6C323" w14:textId="77777777" w:rsidR="00636650" w:rsidRPr="00B27CB1" w:rsidRDefault="00636650" w:rsidP="00685495">
            <w:pPr>
              <w:spacing w:line="256" w:lineRule="auto"/>
            </w:pPr>
            <w:r w:rsidRPr="00B27CB1">
              <w:rPr>
                <w:b/>
                <w:bCs/>
                <w:szCs w:val="24"/>
                <w:lang w:eastAsia="en-GB"/>
              </w:rPr>
              <w:t>Content (%)</w:t>
            </w:r>
          </w:p>
        </w:tc>
      </w:tr>
      <w:tr w:rsidR="00EE5406" w:rsidRPr="00B27CB1" w14:paraId="53713763" w14:textId="77777777" w:rsidTr="003F1E71">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79F6C7" w14:textId="5A208280" w:rsidR="00EE5406" w:rsidRPr="003F1E71" w:rsidRDefault="00280428" w:rsidP="00EE5406">
            <w:pPr>
              <w:snapToGrid w:val="0"/>
              <w:spacing w:line="256" w:lineRule="auto"/>
              <w:rPr>
                <w:rFonts w:cs="Arial"/>
              </w:rPr>
            </w:pPr>
            <w:r w:rsidRPr="005D3980">
              <w:rPr>
                <w:rFonts w:cs="Arial"/>
              </w:rPr>
              <w:t xml:space="preserve">L(+) </w:t>
            </w:r>
            <w:r w:rsidR="00EE5406" w:rsidRPr="003F1E71">
              <w:rPr>
                <w:rFonts w:cs="Arial"/>
              </w:rPr>
              <w:t>Lactic acid</w:t>
            </w:r>
          </w:p>
          <w:p w14:paraId="0308AE21" w14:textId="77777777" w:rsidR="00EE5406" w:rsidRPr="003F1E71" w:rsidRDefault="00EE5406" w:rsidP="00EE5406">
            <w:pPr>
              <w:widowControl w:val="0"/>
              <w:autoSpaceDE w:val="0"/>
              <w:spacing w:line="256" w:lineRule="auto"/>
              <w:rPr>
                <w:rFonts w:cs="Arial"/>
              </w:rPr>
            </w:pPr>
          </w:p>
        </w:tc>
        <w:tc>
          <w:tcPr>
            <w:tcW w:w="152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0CD9E3" w14:textId="0CF4C147" w:rsidR="00EE5406" w:rsidRPr="003F1E71" w:rsidRDefault="00280428" w:rsidP="00EE5406">
            <w:pPr>
              <w:widowControl w:val="0"/>
              <w:autoSpaceDE w:val="0"/>
              <w:spacing w:line="256" w:lineRule="auto"/>
              <w:rPr>
                <w:rFonts w:cs="Arial"/>
              </w:rPr>
            </w:pPr>
            <w:r w:rsidRPr="00932929">
              <w:t>(S)-2-Hydroxypropanoic acid</w:t>
            </w:r>
            <w:r w:rsidRPr="00280428" w:rsidDel="00280428">
              <w:rPr>
                <w:rFonts w:cs="Arial"/>
              </w:rPr>
              <w:t xml:space="preserve"> </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B0FD89F" w14:textId="739DE234" w:rsidR="00EE5406" w:rsidRPr="003F1E71" w:rsidRDefault="00EE5406" w:rsidP="00EE5406">
            <w:pPr>
              <w:spacing w:line="256" w:lineRule="auto"/>
              <w:rPr>
                <w:rFonts w:cs="Arial"/>
              </w:rPr>
            </w:pPr>
            <w:r w:rsidRPr="003F1E71">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F61F9C" w14:textId="292C6ACF" w:rsidR="00EE5406" w:rsidRPr="003F1E71" w:rsidRDefault="00EE5406" w:rsidP="00EE5406">
            <w:pPr>
              <w:spacing w:line="256" w:lineRule="auto"/>
              <w:rPr>
                <w:rFonts w:cs="Arial"/>
              </w:rPr>
            </w:pPr>
            <w:r w:rsidRPr="003F1E71">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2760F7" w14:textId="280A61DD" w:rsidR="00EE5406" w:rsidRPr="003F1E71" w:rsidRDefault="00EE5406" w:rsidP="00EE5406">
            <w:pPr>
              <w:widowControl w:val="0"/>
              <w:autoSpaceDE w:val="0"/>
              <w:spacing w:line="256" w:lineRule="auto"/>
              <w:rPr>
                <w:rFonts w:cs="Arial"/>
              </w:rPr>
            </w:pPr>
            <w:r w:rsidRPr="003F1E71">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BBFAD8A" w14:textId="31592CE2" w:rsidR="00EE5406" w:rsidRPr="003F1E71" w:rsidRDefault="00EE5406" w:rsidP="00EE5406">
            <w:pPr>
              <w:autoSpaceDE w:val="0"/>
              <w:spacing w:line="256" w:lineRule="auto"/>
              <w:rPr>
                <w:rFonts w:cs="Arial"/>
              </w:rPr>
            </w:pPr>
            <w:r w:rsidRPr="003F1E71">
              <w:rPr>
                <w:rFonts w:cs="Arial"/>
              </w:rPr>
              <w:t>2.87</w:t>
            </w:r>
          </w:p>
        </w:tc>
      </w:tr>
      <w:tr w:rsidR="00EE5406" w:rsidRPr="00B27CB1" w14:paraId="51B0F461" w14:textId="77777777" w:rsidTr="003F1E71">
        <w:tc>
          <w:tcPr>
            <w:tcW w:w="2021" w:type="dxa"/>
            <w:vMerge/>
            <w:tcBorders>
              <w:top w:val="single" w:sz="4" w:space="0" w:color="000000"/>
              <w:left w:val="single" w:sz="4" w:space="0" w:color="000000"/>
              <w:bottom w:val="single" w:sz="4" w:space="0" w:color="000000"/>
              <w:right w:val="single" w:sz="4" w:space="0" w:color="000000"/>
            </w:tcBorders>
            <w:hideMark/>
          </w:tcPr>
          <w:p w14:paraId="3966A9E8" w14:textId="77777777" w:rsidR="00EE5406" w:rsidRPr="003F1E71" w:rsidRDefault="00EE5406" w:rsidP="00EE5406">
            <w:pPr>
              <w:suppressAutoHyphens w:val="0"/>
              <w:spacing w:line="256" w:lineRule="auto"/>
              <w:rPr>
                <w:rFonts w:cs="Arial"/>
              </w:rPr>
            </w:pPr>
          </w:p>
        </w:tc>
        <w:tc>
          <w:tcPr>
            <w:tcW w:w="1522" w:type="dxa"/>
            <w:vMerge/>
            <w:tcBorders>
              <w:top w:val="single" w:sz="4" w:space="0" w:color="000000"/>
              <w:left w:val="single" w:sz="4" w:space="0" w:color="000000"/>
              <w:bottom w:val="single" w:sz="4" w:space="0" w:color="000000"/>
              <w:right w:val="single" w:sz="4" w:space="0" w:color="000000"/>
            </w:tcBorders>
            <w:hideMark/>
          </w:tcPr>
          <w:p w14:paraId="3290F410" w14:textId="77777777" w:rsidR="00EE5406" w:rsidRPr="003F1E71" w:rsidRDefault="00EE5406" w:rsidP="00EE5406">
            <w:pPr>
              <w:suppressAutoHyphens w:val="0"/>
              <w:spacing w:line="256" w:lineRule="auto"/>
              <w:rPr>
                <w:rFonts w:cs="Arial"/>
              </w:rPr>
            </w:pP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DEFC7ED" w14:textId="0AFBCE05" w:rsidR="00EE5406" w:rsidRPr="003F1E71" w:rsidRDefault="00EE5406" w:rsidP="00EE5406">
            <w:pPr>
              <w:spacing w:line="256" w:lineRule="auto"/>
              <w:rPr>
                <w:rFonts w:cs="Arial"/>
              </w:rPr>
            </w:pPr>
            <w:r w:rsidRPr="003F1E71">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72D5BF30" w14:textId="77777777" w:rsidR="00EE5406" w:rsidRPr="003F1E71"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0D148A74" w14:textId="77777777" w:rsidR="00EE5406" w:rsidRPr="003F1E71" w:rsidRDefault="00EE5406" w:rsidP="00EE5406">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8103AE9" w14:textId="5D01CEEB" w:rsidR="00EE5406" w:rsidRPr="003F1E71" w:rsidRDefault="00EE5406" w:rsidP="00EE5406">
            <w:pPr>
              <w:spacing w:line="256" w:lineRule="auto"/>
              <w:rPr>
                <w:rFonts w:cs="Arial"/>
              </w:rPr>
            </w:pPr>
            <w:r w:rsidRPr="003F1E71">
              <w:rPr>
                <w:rFonts w:cs="Arial"/>
              </w:rPr>
              <w:t>3</w:t>
            </w:r>
          </w:p>
        </w:tc>
      </w:tr>
    </w:tbl>
    <w:p w14:paraId="2C64EC8B" w14:textId="77777777" w:rsidR="00636650" w:rsidRPr="00B27CB1" w:rsidRDefault="00636650"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522"/>
        <w:gridCol w:w="1462"/>
        <w:gridCol w:w="1276"/>
        <w:gridCol w:w="1152"/>
        <w:gridCol w:w="967"/>
      </w:tblGrid>
      <w:tr w:rsidR="00A932DC" w:rsidRPr="00A04731" w14:paraId="6B58EA81"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552C13" w14:textId="77777777" w:rsidR="00A932DC" w:rsidRPr="00B27CB1" w:rsidRDefault="00A932DC" w:rsidP="00A932DC">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F40974" w14:textId="77777777"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DÉTARTRANT DÉSINFECTANT SANITAIRES</w:t>
            </w:r>
          </w:p>
          <w:p w14:paraId="6A514B00" w14:textId="77777777" w:rsidR="00A932DC"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DÉTARTRANT DÉSINFECTANT SALLE DE BAINS</w:t>
            </w:r>
          </w:p>
          <w:p w14:paraId="1088CE24" w14:textId="4E73C8BB"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RESOLUTIONS Détartrant Désinfectant Sanitaires P.A.E.</w:t>
            </w:r>
          </w:p>
        </w:tc>
      </w:tr>
      <w:tr w:rsidR="00A932DC" w:rsidRPr="00B27CB1" w14:paraId="7E39E96C"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D29563E" w14:textId="77777777" w:rsidR="00A932DC" w:rsidRPr="00B27CB1" w:rsidRDefault="00A932DC" w:rsidP="00A932DC">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E5A45" w14:textId="77777777" w:rsidR="00A932DC" w:rsidRPr="00B27CB1" w:rsidRDefault="00A932DC" w:rsidP="00A932DC">
            <w:pPr>
              <w:spacing w:line="256" w:lineRule="auto"/>
              <w:rPr>
                <w:b/>
                <w:bCs/>
                <w:szCs w:val="24"/>
                <w:lang w:eastAsia="en-GB"/>
              </w:rPr>
            </w:pPr>
          </w:p>
        </w:tc>
      </w:tr>
      <w:tr w:rsidR="00A932DC" w:rsidRPr="00B27CB1" w14:paraId="786F69BA" w14:textId="77777777" w:rsidTr="003F1E7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EBCC4B5" w14:textId="77777777" w:rsidR="00A932DC" w:rsidRPr="00B27CB1" w:rsidRDefault="00A932DC" w:rsidP="00A932DC">
            <w:pPr>
              <w:spacing w:line="256" w:lineRule="auto"/>
            </w:pPr>
            <w:r w:rsidRPr="00B27CB1">
              <w:rPr>
                <w:b/>
                <w:bCs/>
                <w:szCs w:val="24"/>
                <w:lang w:eastAsia="en-GB"/>
              </w:rPr>
              <w:lastRenderedPageBreak/>
              <w:t>Common name</w:t>
            </w:r>
          </w:p>
        </w:tc>
        <w:tc>
          <w:tcPr>
            <w:tcW w:w="15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AD2F997" w14:textId="77777777" w:rsidR="00A932DC" w:rsidRPr="00B27CB1" w:rsidRDefault="00A932DC" w:rsidP="00A932DC">
            <w:pPr>
              <w:spacing w:line="256" w:lineRule="auto"/>
            </w:pPr>
            <w:r w:rsidRPr="00B27CB1">
              <w:rPr>
                <w:b/>
                <w:bCs/>
                <w:szCs w:val="24"/>
                <w:lang w:eastAsia="en-GB"/>
              </w:rPr>
              <w:t>IUPAC name</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BE0BA5" w14:textId="77777777" w:rsidR="00A932DC" w:rsidRPr="00B27CB1" w:rsidRDefault="00A932DC" w:rsidP="00A932DC">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D18119" w14:textId="77777777" w:rsidR="00A932DC" w:rsidRPr="00B27CB1" w:rsidRDefault="00A932DC" w:rsidP="00A932D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B5272D8" w14:textId="77777777" w:rsidR="00A932DC" w:rsidRPr="00B27CB1" w:rsidRDefault="00A932DC" w:rsidP="00A932DC">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50CD5B6" w14:textId="77777777" w:rsidR="00A932DC" w:rsidRPr="00B27CB1" w:rsidRDefault="00A932DC" w:rsidP="00A932DC">
            <w:pPr>
              <w:spacing w:line="256" w:lineRule="auto"/>
            </w:pPr>
            <w:r w:rsidRPr="00B27CB1">
              <w:rPr>
                <w:b/>
                <w:bCs/>
                <w:szCs w:val="24"/>
                <w:lang w:eastAsia="en-GB"/>
              </w:rPr>
              <w:t>Content (%)</w:t>
            </w:r>
          </w:p>
        </w:tc>
      </w:tr>
      <w:tr w:rsidR="00EE5406" w:rsidRPr="00B27CB1" w14:paraId="7665F66A" w14:textId="77777777" w:rsidTr="003F1E71">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154503" w14:textId="21371C57" w:rsidR="00EE5406" w:rsidRPr="003F1E71" w:rsidRDefault="00480A68" w:rsidP="00EE5406">
            <w:pPr>
              <w:snapToGrid w:val="0"/>
              <w:spacing w:line="256" w:lineRule="auto"/>
              <w:rPr>
                <w:rFonts w:cs="Arial"/>
              </w:rPr>
            </w:pPr>
            <w:r w:rsidRPr="005D3980">
              <w:rPr>
                <w:rFonts w:cs="Arial"/>
              </w:rPr>
              <w:t xml:space="preserve">L(+) </w:t>
            </w:r>
            <w:r w:rsidR="00EE5406" w:rsidRPr="003F1E71">
              <w:rPr>
                <w:rFonts w:cs="Arial"/>
              </w:rPr>
              <w:t>Lactic acid</w:t>
            </w:r>
          </w:p>
          <w:p w14:paraId="6537F0C4" w14:textId="77777777" w:rsidR="00EE5406" w:rsidRPr="003F1E71" w:rsidRDefault="00EE5406" w:rsidP="00EE5406">
            <w:pPr>
              <w:widowControl w:val="0"/>
              <w:autoSpaceDE w:val="0"/>
              <w:spacing w:line="256" w:lineRule="auto"/>
              <w:rPr>
                <w:rFonts w:cs="Arial"/>
                <w:bCs/>
              </w:rPr>
            </w:pPr>
          </w:p>
        </w:tc>
        <w:tc>
          <w:tcPr>
            <w:tcW w:w="152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1C7422" w14:textId="472DD46D" w:rsidR="00EE5406" w:rsidRPr="003F1E71" w:rsidRDefault="00480A68" w:rsidP="00EE5406">
            <w:pPr>
              <w:widowControl w:val="0"/>
              <w:autoSpaceDE w:val="0"/>
              <w:spacing w:line="256" w:lineRule="auto"/>
              <w:rPr>
                <w:rFonts w:cs="Arial"/>
                <w:bCs/>
              </w:rPr>
            </w:pPr>
            <w:r w:rsidRPr="00932929">
              <w:t>(S)-2-Hydroxypropanoic acid</w:t>
            </w:r>
            <w:r w:rsidRPr="00480A68" w:rsidDel="00480A68">
              <w:rPr>
                <w:rFonts w:cs="Arial"/>
              </w:rPr>
              <w:t xml:space="preserve"> </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4A00988" w14:textId="3CAA0A12" w:rsidR="00EE5406" w:rsidRPr="003F1E71" w:rsidRDefault="00EE5406" w:rsidP="00EE5406">
            <w:pPr>
              <w:spacing w:line="256" w:lineRule="auto"/>
              <w:rPr>
                <w:rFonts w:cs="Arial"/>
              </w:rPr>
            </w:pPr>
            <w:r w:rsidRPr="003F1E71">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9A5D54" w14:textId="5B4CD110" w:rsidR="00EE5406" w:rsidRPr="003F1E71" w:rsidRDefault="00EE5406" w:rsidP="00EE5406">
            <w:pPr>
              <w:spacing w:line="256" w:lineRule="auto"/>
              <w:rPr>
                <w:rFonts w:cs="Arial"/>
              </w:rPr>
            </w:pPr>
            <w:r w:rsidRPr="003F1E71">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FB3ED2" w14:textId="2CFD301A" w:rsidR="00EE5406" w:rsidRPr="003F1E71" w:rsidRDefault="00EE5406" w:rsidP="00EE5406">
            <w:pPr>
              <w:widowControl w:val="0"/>
              <w:autoSpaceDE w:val="0"/>
              <w:spacing w:line="256" w:lineRule="auto"/>
              <w:rPr>
                <w:rFonts w:cs="Arial"/>
                <w:bCs/>
              </w:rPr>
            </w:pPr>
            <w:r w:rsidRPr="003F1E71">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7A6004A" w14:textId="082B0E65" w:rsidR="00EE5406" w:rsidRPr="003F1E71" w:rsidRDefault="00EE5406" w:rsidP="00EE5406">
            <w:pPr>
              <w:autoSpaceDE w:val="0"/>
              <w:spacing w:line="256" w:lineRule="auto"/>
              <w:rPr>
                <w:rFonts w:cs="Arial"/>
                <w:color w:val="000000"/>
              </w:rPr>
            </w:pPr>
            <w:r w:rsidRPr="003F1E71">
              <w:rPr>
                <w:rFonts w:cs="Arial"/>
              </w:rPr>
              <w:t>2.87</w:t>
            </w:r>
          </w:p>
        </w:tc>
      </w:tr>
      <w:tr w:rsidR="00EE5406" w:rsidRPr="00B27CB1" w14:paraId="1AFDBBEF" w14:textId="77777777" w:rsidTr="003F1E71">
        <w:tc>
          <w:tcPr>
            <w:tcW w:w="2021" w:type="dxa"/>
            <w:vMerge/>
            <w:tcBorders>
              <w:top w:val="single" w:sz="4" w:space="0" w:color="000000"/>
              <w:left w:val="single" w:sz="4" w:space="0" w:color="000000"/>
              <w:bottom w:val="single" w:sz="4" w:space="0" w:color="000000"/>
              <w:right w:val="single" w:sz="4" w:space="0" w:color="000000"/>
            </w:tcBorders>
            <w:hideMark/>
          </w:tcPr>
          <w:p w14:paraId="40AB310D" w14:textId="77777777" w:rsidR="00EE5406" w:rsidRPr="003F1E71" w:rsidRDefault="00EE5406" w:rsidP="00EE5406">
            <w:pPr>
              <w:suppressAutoHyphens w:val="0"/>
              <w:spacing w:line="256" w:lineRule="auto"/>
              <w:rPr>
                <w:rFonts w:cs="Arial"/>
                <w:bCs/>
              </w:rPr>
            </w:pPr>
          </w:p>
        </w:tc>
        <w:tc>
          <w:tcPr>
            <w:tcW w:w="1522" w:type="dxa"/>
            <w:vMerge/>
            <w:tcBorders>
              <w:top w:val="single" w:sz="4" w:space="0" w:color="000000"/>
              <w:left w:val="single" w:sz="4" w:space="0" w:color="000000"/>
              <w:bottom w:val="single" w:sz="4" w:space="0" w:color="000000"/>
              <w:right w:val="single" w:sz="4" w:space="0" w:color="000000"/>
            </w:tcBorders>
            <w:hideMark/>
          </w:tcPr>
          <w:p w14:paraId="028592F9" w14:textId="77777777" w:rsidR="00EE5406" w:rsidRPr="003F1E71" w:rsidRDefault="00EE5406" w:rsidP="00EE5406">
            <w:pPr>
              <w:suppressAutoHyphens w:val="0"/>
              <w:spacing w:line="256" w:lineRule="auto"/>
              <w:rPr>
                <w:rFonts w:cs="Arial"/>
                <w:bCs/>
              </w:rPr>
            </w:pP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964065D" w14:textId="62512C5A" w:rsidR="00EE5406" w:rsidRPr="003F1E71" w:rsidRDefault="00EE5406" w:rsidP="00EE5406">
            <w:pPr>
              <w:spacing w:line="256" w:lineRule="auto"/>
              <w:rPr>
                <w:rFonts w:cs="Arial"/>
                <w:color w:val="000000"/>
                <w:lang w:eastAsia="fr-FR"/>
              </w:rPr>
            </w:pPr>
            <w:r w:rsidRPr="003F1E71">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6D55088F" w14:textId="77777777" w:rsidR="00EE5406" w:rsidRPr="003F1E71"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72364092" w14:textId="77777777" w:rsidR="00EE5406" w:rsidRPr="003F1E71" w:rsidRDefault="00EE5406" w:rsidP="00EE5406">
            <w:pPr>
              <w:suppressAutoHyphens w:val="0"/>
              <w:spacing w:line="256" w:lineRule="auto"/>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580D2A" w14:textId="7943A728" w:rsidR="00EE5406" w:rsidRPr="003F1E71" w:rsidRDefault="00EE5406" w:rsidP="00EE5406">
            <w:pPr>
              <w:spacing w:line="256" w:lineRule="auto"/>
              <w:rPr>
                <w:rFonts w:cs="Arial"/>
              </w:rPr>
            </w:pPr>
            <w:r w:rsidRPr="003F1E71">
              <w:rPr>
                <w:rFonts w:cs="Arial"/>
              </w:rPr>
              <w:t>3</w:t>
            </w:r>
          </w:p>
        </w:tc>
      </w:tr>
    </w:tbl>
    <w:p w14:paraId="73503656" w14:textId="77777777" w:rsidR="00A932DC" w:rsidRPr="00B27CB1" w:rsidRDefault="00A932DC" w:rsidP="00A932DC"/>
    <w:p w14:paraId="67416618" w14:textId="77777777" w:rsidR="00A932DC" w:rsidRPr="00B27CB1" w:rsidRDefault="00A932DC" w:rsidP="00A932DC"/>
    <w:p w14:paraId="52F69370" w14:textId="7777777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3</w:t>
      </w:r>
    </w:p>
    <w:p w14:paraId="58831F08" w14:textId="77777777" w:rsidR="00A932DC" w:rsidRPr="00B27CB1" w:rsidRDefault="00A932DC" w:rsidP="00A932DC"/>
    <w:p w14:paraId="394A4C99" w14:textId="77777777" w:rsidR="00A932DC" w:rsidRPr="00B27CB1" w:rsidRDefault="00A932DC" w:rsidP="00E91F85">
      <w:pPr>
        <w:pStyle w:val="Titre3"/>
      </w:pPr>
      <w:bookmarkStart w:id="80" w:name="_Toc87361110"/>
      <w:r w:rsidRPr="00B27CB1">
        <w:t>Meta SPC 3 administrative information</w:t>
      </w:r>
      <w:bookmarkEnd w:id="80"/>
    </w:p>
    <w:p w14:paraId="7269697D"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514CD00"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100CD6E"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6D5D9E4" w14:textId="77777777" w:rsidR="00A932DC" w:rsidRPr="00B27CB1" w:rsidRDefault="00A932DC" w:rsidP="00A932DC">
            <w:pPr>
              <w:spacing w:line="256" w:lineRule="auto"/>
            </w:pPr>
            <w:r w:rsidRPr="00B27CB1">
              <w:t>META SPC 3</w:t>
            </w:r>
          </w:p>
        </w:tc>
      </w:tr>
    </w:tbl>
    <w:p w14:paraId="3A097CA6" w14:textId="77777777" w:rsidR="00A932DC" w:rsidRPr="00B27CB1" w:rsidRDefault="00A932DC" w:rsidP="00A932DC"/>
    <w:p w14:paraId="18FFCBB1"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26873154"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36018B" w14:textId="23F6DC9F" w:rsidR="00A932DC" w:rsidRPr="00B27CB1" w:rsidRDefault="00AE3069" w:rsidP="00A932DC">
            <w:pPr>
              <w:spacing w:line="256" w:lineRule="auto"/>
            </w:pPr>
            <w:r>
              <w:t>Number 3</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E60CD6" w14:textId="77777777" w:rsidR="00A932DC" w:rsidRPr="00B27CB1" w:rsidRDefault="00A932DC" w:rsidP="00A932DC">
            <w:pPr>
              <w:spacing w:line="256" w:lineRule="auto"/>
            </w:pPr>
          </w:p>
        </w:tc>
      </w:tr>
    </w:tbl>
    <w:p w14:paraId="2B7C3736" w14:textId="77777777" w:rsidR="00A932DC" w:rsidRPr="00B27CB1" w:rsidRDefault="00A932DC" w:rsidP="00A932DC"/>
    <w:p w14:paraId="575EE856"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5ECD06E2"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F03FD49"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718D5C1" w14:textId="0ED7D631" w:rsidR="00A932DC" w:rsidRPr="00B27CB1" w:rsidRDefault="00636650" w:rsidP="00B639F8">
            <w:pPr>
              <w:spacing w:line="256" w:lineRule="auto"/>
            </w:pPr>
            <w:r w:rsidRPr="00B27CB1">
              <w:t>2, 4</w:t>
            </w:r>
          </w:p>
        </w:tc>
      </w:tr>
    </w:tbl>
    <w:p w14:paraId="7A8DE7A9" w14:textId="77777777" w:rsidR="00A932DC" w:rsidRPr="00B27CB1" w:rsidRDefault="00A932DC" w:rsidP="00A932DC"/>
    <w:p w14:paraId="30FD3D40" w14:textId="77777777" w:rsidR="00A932DC" w:rsidRPr="00B27CB1" w:rsidRDefault="00A932DC" w:rsidP="00E91F85">
      <w:pPr>
        <w:pStyle w:val="Titre3"/>
      </w:pPr>
      <w:bookmarkStart w:id="81" w:name="_Toc87361111"/>
      <w:r w:rsidRPr="00B27CB1">
        <w:t>Meta SPC 3 composition</w:t>
      </w:r>
      <w:bookmarkEnd w:id="81"/>
    </w:p>
    <w:p w14:paraId="7E2387A7"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3</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48D8BF35"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341815D8"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1B0AC2D5"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06E1242C"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063567B5"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49D83550"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06821E80" w14:textId="77777777" w:rsidR="00A932DC" w:rsidRPr="00B27CB1" w:rsidRDefault="00A932DC" w:rsidP="00A932DC">
            <w:pPr>
              <w:spacing w:line="256" w:lineRule="auto"/>
            </w:pPr>
            <w:r w:rsidRPr="00B27CB1">
              <w:rPr>
                <w:b/>
                <w:bCs/>
                <w:szCs w:val="24"/>
                <w:lang w:eastAsia="en-GB"/>
              </w:rPr>
              <w:t>Content (%)</w:t>
            </w:r>
          </w:p>
        </w:tc>
      </w:tr>
      <w:tr w:rsidR="00A932DC" w:rsidRPr="00B27CB1" w14:paraId="5090724E"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3E2C42A0"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304BCF5"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7D1CBC3"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682B9A1"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50181B65"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DFDD97"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4B2E8" w14:textId="77777777" w:rsidR="00A932DC" w:rsidRPr="00B27CB1" w:rsidRDefault="00A932DC" w:rsidP="00A932DC">
            <w:pPr>
              <w:spacing w:line="256" w:lineRule="auto"/>
            </w:pPr>
            <w:r w:rsidRPr="00B27CB1">
              <w:rPr>
                <w:b/>
                <w:bCs/>
                <w:szCs w:val="24"/>
                <w:lang w:eastAsia="en-GB"/>
              </w:rPr>
              <w:t>Max</w:t>
            </w:r>
          </w:p>
        </w:tc>
      </w:tr>
      <w:tr w:rsidR="00EE5406" w:rsidRPr="00B27CB1" w14:paraId="53D601F1" w14:textId="77777777" w:rsidTr="00E91F85">
        <w:tc>
          <w:tcPr>
            <w:tcW w:w="2256" w:type="dxa"/>
            <w:vMerge w:val="restart"/>
            <w:tcBorders>
              <w:top w:val="single" w:sz="4" w:space="0" w:color="000000"/>
              <w:left w:val="single" w:sz="4" w:space="0" w:color="000000"/>
              <w:bottom w:val="single" w:sz="4" w:space="0" w:color="000000"/>
              <w:right w:val="nil"/>
            </w:tcBorders>
          </w:tcPr>
          <w:p w14:paraId="60A45A77" w14:textId="02884146" w:rsidR="00EE5406" w:rsidRPr="00B27CB1" w:rsidRDefault="00480A68" w:rsidP="00EE5406">
            <w:pPr>
              <w:snapToGrid w:val="0"/>
              <w:spacing w:line="256" w:lineRule="auto"/>
              <w:rPr>
                <w:b/>
                <w:bCs/>
                <w:szCs w:val="24"/>
                <w:lang w:eastAsia="en-GB"/>
              </w:rPr>
            </w:pPr>
            <w:r w:rsidRPr="00F67FDB">
              <w:t xml:space="preserve">L(+) </w:t>
            </w:r>
            <w:r w:rsidR="00EE5406">
              <w:rPr>
                <w:lang w:val="pl-PL"/>
              </w:rPr>
              <w:t>Lactic acid</w:t>
            </w:r>
          </w:p>
          <w:p w14:paraId="507DF646" w14:textId="77777777" w:rsidR="00EE5406" w:rsidRPr="00B27CB1" w:rsidRDefault="00EE5406" w:rsidP="00EE5406">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0B5DB067" w14:textId="6766F082" w:rsidR="00EE5406" w:rsidRPr="00B27CB1" w:rsidRDefault="00480A68" w:rsidP="00EE5406">
            <w:pPr>
              <w:snapToGrid w:val="0"/>
              <w:spacing w:line="256" w:lineRule="auto"/>
            </w:pPr>
            <w:r w:rsidRPr="00932929">
              <w:t>(S)-2-Hydroxypropanoic acid</w:t>
            </w:r>
            <w:r w:rsidRPr="00F67FDB" w:rsidDel="00480A68">
              <w:t xml:space="preserve"> </w:t>
            </w:r>
          </w:p>
        </w:tc>
        <w:tc>
          <w:tcPr>
            <w:tcW w:w="1353" w:type="dxa"/>
            <w:tcBorders>
              <w:top w:val="single" w:sz="4" w:space="0" w:color="000000"/>
              <w:left w:val="single" w:sz="4" w:space="0" w:color="000000"/>
              <w:bottom w:val="single" w:sz="4" w:space="0" w:color="000000"/>
              <w:right w:val="nil"/>
            </w:tcBorders>
            <w:vAlign w:val="center"/>
            <w:hideMark/>
          </w:tcPr>
          <w:p w14:paraId="24451225" w14:textId="6FD6158F" w:rsidR="00EE5406" w:rsidRPr="00B27CB1" w:rsidRDefault="00EE5406" w:rsidP="00EE5406">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08D5EE29" w14:textId="7977BC4E" w:rsidR="00EE5406" w:rsidRPr="00B27CB1" w:rsidRDefault="00EE5406" w:rsidP="00EE5406">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121E50C5" w14:textId="017FE910" w:rsidR="00EE5406" w:rsidRPr="00B27CB1" w:rsidRDefault="00EE5406" w:rsidP="00EE5406">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300D600C" w14:textId="507D60D7" w:rsidR="00EE5406" w:rsidRPr="00B27CB1" w:rsidRDefault="00EE5406" w:rsidP="00EE5406">
            <w:pPr>
              <w:snapToGrid w:val="0"/>
              <w:spacing w:line="256" w:lineRule="auto"/>
            </w:pPr>
            <w:r>
              <w:t>3.82</w:t>
            </w:r>
          </w:p>
        </w:tc>
        <w:tc>
          <w:tcPr>
            <w:tcW w:w="738" w:type="dxa"/>
            <w:tcBorders>
              <w:top w:val="single" w:sz="4" w:space="0" w:color="000000"/>
              <w:left w:val="single" w:sz="4" w:space="0" w:color="000000"/>
              <w:bottom w:val="single" w:sz="4" w:space="0" w:color="000000"/>
              <w:right w:val="single" w:sz="4" w:space="0" w:color="000000"/>
            </w:tcBorders>
            <w:vAlign w:val="center"/>
          </w:tcPr>
          <w:p w14:paraId="0C2A74F8" w14:textId="7ABF23E7" w:rsidR="00EE5406" w:rsidRPr="00B27CB1" w:rsidRDefault="00EE5406" w:rsidP="00EE5406">
            <w:pPr>
              <w:snapToGrid w:val="0"/>
              <w:spacing w:line="256" w:lineRule="auto"/>
            </w:pPr>
            <w:r>
              <w:t>3.82</w:t>
            </w:r>
          </w:p>
        </w:tc>
      </w:tr>
      <w:tr w:rsidR="00EE5406" w:rsidRPr="00B27CB1" w14:paraId="5ACDD820" w14:textId="77777777" w:rsidTr="00E91F85">
        <w:tc>
          <w:tcPr>
            <w:tcW w:w="2256" w:type="dxa"/>
            <w:vMerge/>
            <w:tcBorders>
              <w:top w:val="single" w:sz="4" w:space="0" w:color="000000"/>
              <w:left w:val="single" w:sz="4" w:space="0" w:color="000000"/>
              <w:bottom w:val="single" w:sz="4" w:space="0" w:color="000000"/>
              <w:right w:val="nil"/>
            </w:tcBorders>
            <w:hideMark/>
          </w:tcPr>
          <w:p w14:paraId="54156F10" w14:textId="77777777" w:rsidR="00EE5406" w:rsidRPr="00B27CB1" w:rsidRDefault="00EE5406" w:rsidP="00EE5406">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5552A3F5" w14:textId="77777777" w:rsidR="00EE5406" w:rsidRPr="00B27CB1" w:rsidRDefault="00EE5406" w:rsidP="00EE5406">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5E68E477" w14:textId="0305FCCC" w:rsidR="00EE5406" w:rsidRPr="00B27CB1" w:rsidRDefault="00EE5406" w:rsidP="00EE5406">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791189BC" w14:textId="77777777" w:rsidR="00EE5406" w:rsidRPr="00B27CB1" w:rsidRDefault="00EE5406" w:rsidP="00EE5406">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30DDEFB4" w14:textId="77777777" w:rsidR="00EE5406" w:rsidRPr="00B27CB1" w:rsidRDefault="00EE5406" w:rsidP="00EE5406">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4D41905A" w14:textId="3044507A" w:rsidR="00EE5406" w:rsidRPr="00B27CB1" w:rsidRDefault="00EE5406" w:rsidP="00EE5406">
            <w:pPr>
              <w:snapToGrid w:val="0"/>
              <w:spacing w:line="256" w:lineRule="auto"/>
            </w:pPr>
            <w: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674B9CDE" w14:textId="6C00A0F1" w:rsidR="00EE5406" w:rsidRPr="00B27CB1" w:rsidRDefault="00EE5406" w:rsidP="00EE5406">
            <w:pPr>
              <w:snapToGrid w:val="0"/>
              <w:spacing w:line="256" w:lineRule="auto"/>
            </w:pPr>
            <w:r>
              <w:t>4</w:t>
            </w:r>
          </w:p>
        </w:tc>
      </w:tr>
    </w:tbl>
    <w:p w14:paraId="30A4276B" w14:textId="77777777" w:rsidR="00A932DC" w:rsidRPr="00B27CB1" w:rsidRDefault="00A932DC" w:rsidP="00A932DC"/>
    <w:p w14:paraId="24890971"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3</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FAC1B00"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83BF829" w14:textId="6EA141FA" w:rsidR="00A932DC" w:rsidRPr="00B27CB1" w:rsidRDefault="00636650" w:rsidP="003F1E71">
            <w:pPr>
              <w:keepNext/>
              <w:outlineLvl w:val="2"/>
            </w:pPr>
            <w:r w:rsidRPr="00B27CB1">
              <w:t>AL - Any other liquid</w:t>
            </w:r>
          </w:p>
        </w:tc>
      </w:tr>
    </w:tbl>
    <w:p w14:paraId="3894D499" w14:textId="77777777" w:rsidR="00A932DC" w:rsidRPr="00B27CB1" w:rsidRDefault="00A932DC" w:rsidP="00A932DC"/>
    <w:p w14:paraId="40ACC654" w14:textId="77777777" w:rsidR="00A932DC" w:rsidRPr="003F1E71" w:rsidRDefault="00A932DC" w:rsidP="00E91F85">
      <w:pPr>
        <w:pStyle w:val="Titre3"/>
        <w:rPr>
          <w:lang w:val="en-US"/>
        </w:rPr>
      </w:pPr>
      <w:bookmarkStart w:id="82" w:name="_Toc87361112"/>
      <w:r w:rsidRPr="003F1E71">
        <w:rPr>
          <w:lang w:val="en-US"/>
        </w:rPr>
        <w:t>Hazard and precautionary statements according to Regulation (EC) 1272/2008 of the meta SPC 3</w:t>
      </w:r>
      <w:bookmarkEnd w:id="82"/>
    </w:p>
    <w:p w14:paraId="3F4148B3" w14:textId="77777777" w:rsidR="00A932DC" w:rsidRPr="00B27CB1" w:rsidRDefault="00A932DC" w:rsidP="00A932DC"/>
    <w:p w14:paraId="468EE01B" w14:textId="77777777" w:rsidR="00A932DC" w:rsidRPr="00B27CB1" w:rsidRDefault="00A932DC" w:rsidP="00A932DC">
      <w:pPr>
        <w:rPr>
          <w:b/>
        </w:rPr>
      </w:pPr>
      <w:r w:rsidRPr="00B27CB1">
        <w:rPr>
          <w:b/>
        </w:rPr>
        <w:lastRenderedPageBreak/>
        <w:t>Classification and labelling of the products of the family according to the Regulation (EC) 1272/2008</w:t>
      </w:r>
    </w:p>
    <w:p w14:paraId="7405A0C6"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6F967B3B"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16F5D26E" w14:textId="77777777" w:rsidR="00A932DC" w:rsidRPr="00B27CB1" w:rsidRDefault="00A932DC" w:rsidP="00A932DC">
            <w:pPr>
              <w:spacing w:line="256" w:lineRule="auto"/>
            </w:pPr>
            <w:r w:rsidRPr="00B27CB1">
              <w:rPr>
                <w:b/>
                <w:lang w:eastAsia="en-US"/>
              </w:rPr>
              <w:t>Classification</w:t>
            </w:r>
          </w:p>
        </w:tc>
      </w:tr>
      <w:tr w:rsidR="001A3296" w:rsidRPr="003F1E71" w14:paraId="397A5F79"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B028C41" w14:textId="77777777" w:rsidR="001A3296" w:rsidRPr="00B27CB1" w:rsidRDefault="001A3296" w:rsidP="001A3296">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50577657" w14:textId="77777777" w:rsidR="00B639F8" w:rsidRPr="00E240FD" w:rsidRDefault="00B639F8" w:rsidP="00B639F8">
            <w:pPr>
              <w:pStyle w:val="Corpsdetexte"/>
              <w:ind w:right="806"/>
              <w:rPr>
                <w:lang w:val="es-ES" w:eastAsia="fi-FI"/>
              </w:rPr>
            </w:pPr>
            <w:r w:rsidRPr="00E240FD">
              <w:rPr>
                <w:lang w:val="es-ES" w:eastAsia="fi-FI"/>
              </w:rPr>
              <w:t>Met. Corr. 1</w:t>
            </w:r>
          </w:p>
          <w:p w14:paraId="39EDB9E8" w14:textId="446D8B82" w:rsidR="002F1F3A" w:rsidRPr="003F1E71" w:rsidRDefault="002F1F3A" w:rsidP="003F1E71">
            <w:pPr>
              <w:suppressAutoHyphens w:val="0"/>
              <w:autoSpaceDE w:val="0"/>
              <w:autoSpaceDN w:val="0"/>
              <w:adjustRightInd w:val="0"/>
              <w:jc w:val="both"/>
              <w:rPr>
                <w:lang w:val="fr-FR"/>
              </w:rPr>
            </w:pPr>
            <w:r w:rsidRPr="003F1E71">
              <w:rPr>
                <w:lang w:val="fr-FR"/>
              </w:rPr>
              <w:t>Eye Dam. 1</w:t>
            </w:r>
          </w:p>
          <w:p w14:paraId="2BCB8357" w14:textId="168C8914" w:rsidR="001A3296" w:rsidRPr="003F1E71" w:rsidRDefault="002F1F3A" w:rsidP="003F1E71">
            <w:pPr>
              <w:suppressAutoHyphens w:val="0"/>
              <w:autoSpaceDE w:val="0"/>
              <w:autoSpaceDN w:val="0"/>
              <w:adjustRightInd w:val="0"/>
              <w:jc w:val="both"/>
              <w:rPr>
                <w:rFonts w:ascii="Times New Roman" w:hAnsi="Times New Roman" w:cs="Times New Roman"/>
                <w:sz w:val="24"/>
                <w:szCs w:val="24"/>
                <w:lang w:val="fr-FR" w:eastAsia="fi-FI"/>
              </w:rPr>
            </w:pPr>
            <w:r w:rsidRPr="003F1E71">
              <w:rPr>
                <w:lang w:val="fr-FR"/>
              </w:rPr>
              <w:t>Skin Irrit.</w:t>
            </w:r>
            <w:r w:rsidR="003F1E71">
              <w:rPr>
                <w:lang w:val="fr-FR"/>
              </w:rPr>
              <w:t xml:space="preserve"> </w:t>
            </w:r>
            <w:r w:rsidRPr="003F1E71">
              <w:rPr>
                <w:lang w:val="fr-FR"/>
              </w:rPr>
              <w:t>2</w:t>
            </w:r>
          </w:p>
        </w:tc>
      </w:tr>
      <w:tr w:rsidR="001A3296" w:rsidRPr="00B27CB1" w14:paraId="45DFE6D5"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6AD67A5" w14:textId="77777777" w:rsidR="001A3296" w:rsidRPr="00B27CB1" w:rsidRDefault="001A3296" w:rsidP="001A3296">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27CD88D7" w14:textId="77777777" w:rsidR="001A3296" w:rsidRDefault="001A3296" w:rsidP="003F1E71">
            <w:pPr>
              <w:suppressAutoHyphens w:val="0"/>
              <w:autoSpaceDE w:val="0"/>
              <w:autoSpaceDN w:val="0"/>
              <w:adjustRightInd w:val="0"/>
              <w:jc w:val="both"/>
            </w:pPr>
            <w:r w:rsidRPr="00930421">
              <w:t xml:space="preserve">H290: May be corrosive to metals.  </w:t>
            </w:r>
          </w:p>
          <w:p w14:paraId="2C1F8E67" w14:textId="77777777" w:rsidR="002F1F3A" w:rsidRDefault="002F1F3A" w:rsidP="003F1E71">
            <w:pPr>
              <w:suppressAutoHyphens w:val="0"/>
              <w:autoSpaceDE w:val="0"/>
              <w:autoSpaceDN w:val="0"/>
              <w:adjustRightInd w:val="0"/>
              <w:jc w:val="both"/>
            </w:pPr>
            <w:r>
              <w:t>H315: Causes skin irritation</w:t>
            </w:r>
          </w:p>
          <w:p w14:paraId="656DF1BE" w14:textId="6DF9AEBC" w:rsidR="00190F34" w:rsidRPr="00B27CB1" w:rsidRDefault="00190F34" w:rsidP="003F1E71">
            <w:pPr>
              <w:suppressAutoHyphens w:val="0"/>
              <w:autoSpaceDE w:val="0"/>
              <w:autoSpaceDN w:val="0"/>
              <w:adjustRightInd w:val="0"/>
              <w:jc w:val="both"/>
              <w:rPr>
                <w:rFonts w:ascii="Times New Roman" w:hAnsi="Times New Roman" w:cs="Times New Roman"/>
                <w:sz w:val="24"/>
                <w:szCs w:val="24"/>
                <w:lang w:eastAsia="fi-FI"/>
              </w:rPr>
            </w:pPr>
            <w:r>
              <w:t>H318: Causes serious eye damage</w:t>
            </w:r>
          </w:p>
        </w:tc>
      </w:tr>
      <w:tr w:rsidR="001A3296" w:rsidRPr="00B27CB1" w14:paraId="6158F239"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9A746EE" w14:textId="77777777" w:rsidR="001A3296" w:rsidRPr="00B27CB1" w:rsidRDefault="001A3296" w:rsidP="003F1E71">
            <w:pPr>
              <w:snapToGrid w:val="0"/>
              <w:rPr>
                <w:lang w:eastAsia="fi-FI"/>
              </w:rPr>
            </w:pPr>
          </w:p>
        </w:tc>
      </w:tr>
      <w:tr w:rsidR="001A3296" w:rsidRPr="00B27CB1" w14:paraId="49BA3A71"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2C5165C6" w14:textId="77777777" w:rsidR="001A3296" w:rsidRPr="00B27CB1" w:rsidRDefault="001A3296" w:rsidP="003F1E71">
            <w:r w:rsidRPr="00B27CB1">
              <w:rPr>
                <w:b/>
                <w:lang w:eastAsia="en-US"/>
              </w:rPr>
              <w:t>Labelling</w:t>
            </w:r>
          </w:p>
        </w:tc>
      </w:tr>
      <w:tr w:rsidR="001A3296" w:rsidRPr="00B27CB1" w14:paraId="43948F62"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860CEE8" w14:textId="77777777" w:rsidR="001A3296" w:rsidRPr="00B27CB1" w:rsidRDefault="001A3296" w:rsidP="001A3296">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04EE4332" w14:textId="47A7E971" w:rsidR="001A3296" w:rsidRPr="00B27CB1" w:rsidRDefault="00B13145" w:rsidP="003F1E71">
            <w:pPr>
              <w:suppressAutoHyphens w:val="0"/>
              <w:autoSpaceDE w:val="0"/>
              <w:autoSpaceDN w:val="0"/>
              <w:adjustRightInd w:val="0"/>
              <w:jc w:val="both"/>
              <w:rPr>
                <w:rFonts w:cs="Times New Roman"/>
                <w:szCs w:val="24"/>
                <w:lang w:eastAsia="fi-FI"/>
              </w:rPr>
            </w:pPr>
            <w:r>
              <w:rPr>
                <w:rFonts w:cs="Times New Roman"/>
                <w:szCs w:val="24"/>
                <w:lang w:eastAsia="fi-FI"/>
              </w:rPr>
              <w:t>Danger</w:t>
            </w:r>
          </w:p>
        </w:tc>
      </w:tr>
      <w:tr w:rsidR="001A3296" w:rsidRPr="00B27CB1" w14:paraId="2AD4390E"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354D819D" w14:textId="41E04480" w:rsidR="001A3296" w:rsidRPr="00B27CB1" w:rsidRDefault="001A3296" w:rsidP="001A3296">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6758BE8F" w14:textId="77777777" w:rsidR="001A3296" w:rsidRDefault="001A3296" w:rsidP="003F1E71">
            <w:pPr>
              <w:suppressAutoHyphens w:val="0"/>
              <w:autoSpaceDE w:val="0"/>
              <w:autoSpaceDN w:val="0"/>
              <w:adjustRightInd w:val="0"/>
              <w:jc w:val="both"/>
              <w:rPr>
                <w:lang w:eastAsia="fi-FI"/>
              </w:rPr>
            </w:pPr>
            <w:r w:rsidRPr="008F425A">
              <w:rPr>
                <w:lang w:eastAsia="fi-FI"/>
              </w:rPr>
              <w:t>H290: May be corrosive to metals.</w:t>
            </w:r>
          </w:p>
          <w:p w14:paraId="7E4B5617" w14:textId="77777777" w:rsidR="00190F34" w:rsidRDefault="00190F34" w:rsidP="003F1E71">
            <w:pPr>
              <w:suppressAutoHyphens w:val="0"/>
              <w:autoSpaceDE w:val="0"/>
              <w:autoSpaceDN w:val="0"/>
              <w:adjustRightInd w:val="0"/>
              <w:jc w:val="both"/>
            </w:pPr>
            <w:r>
              <w:t>H315: Causes skin irritation</w:t>
            </w:r>
          </w:p>
          <w:p w14:paraId="797223CC" w14:textId="2B32AAF1" w:rsidR="00190F34" w:rsidRPr="00B27CB1" w:rsidRDefault="00190F34" w:rsidP="003F1E71">
            <w:pPr>
              <w:suppressAutoHyphens w:val="0"/>
              <w:autoSpaceDE w:val="0"/>
              <w:autoSpaceDN w:val="0"/>
              <w:adjustRightInd w:val="0"/>
              <w:jc w:val="both"/>
              <w:rPr>
                <w:rFonts w:cs="Times New Roman"/>
                <w:szCs w:val="24"/>
                <w:lang w:eastAsia="fi-FI"/>
              </w:rPr>
            </w:pPr>
            <w:r>
              <w:t>H318: Causes serious eye damage</w:t>
            </w:r>
          </w:p>
        </w:tc>
      </w:tr>
      <w:tr w:rsidR="001A3296" w:rsidRPr="00B27CB1" w14:paraId="436601F2"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A9D8FF3" w14:textId="79BD91D0" w:rsidR="001A3296" w:rsidRPr="00B27CB1" w:rsidRDefault="001A3296" w:rsidP="001A3296">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71ADFF9C" w14:textId="22FB2EEA" w:rsidR="001A3296" w:rsidRDefault="001A3296" w:rsidP="00B639F8">
            <w:pPr>
              <w:rPr>
                <w:lang w:eastAsia="fi-FI"/>
              </w:rPr>
            </w:pPr>
            <w:r>
              <w:rPr>
                <w:lang w:eastAsia="fi-FI"/>
              </w:rPr>
              <w:t>P234: Keep only in original container.</w:t>
            </w:r>
          </w:p>
          <w:p w14:paraId="3BA79155" w14:textId="77777777" w:rsidR="00956DD5" w:rsidRDefault="00956DD5" w:rsidP="003F1647">
            <w:pPr>
              <w:rPr>
                <w:rFonts w:cs="Arial"/>
                <w:szCs w:val="23"/>
              </w:rPr>
            </w:pPr>
            <w:r w:rsidRPr="00AC1701">
              <w:t>P2</w:t>
            </w:r>
            <w:r>
              <w:t>64:</w:t>
            </w:r>
            <w:r w:rsidRPr="00AC1701">
              <w:t xml:space="preserve"> </w:t>
            </w:r>
            <w:r w:rsidRPr="00AC1701">
              <w:rPr>
                <w:rFonts w:cs="Arial"/>
                <w:szCs w:val="23"/>
              </w:rPr>
              <w:t>Wash ... thoroughly after handling.</w:t>
            </w:r>
          </w:p>
          <w:p w14:paraId="267F4FA2" w14:textId="77777777" w:rsidR="00956DD5" w:rsidRDefault="00956DD5" w:rsidP="0004436A">
            <w:r w:rsidRPr="00AC1701">
              <w:t>P280</w:t>
            </w:r>
            <w:r>
              <w:t xml:space="preserve">: </w:t>
            </w:r>
            <w:r w:rsidRPr="00AC1701">
              <w:t>Wear protective gloves/protective clothing/eye protection/face protection.</w:t>
            </w:r>
          </w:p>
          <w:p w14:paraId="7D1EC6F3" w14:textId="225B8F3E" w:rsidR="00956DD5" w:rsidRDefault="00956DD5" w:rsidP="00245178">
            <w:r>
              <w:t>P302</w:t>
            </w:r>
            <w:r w:rsidRPr="00AC1701">
              <w:t>+P352</w:t>
            </w:r>
            <w:r>
              <w:t xml:space="preserve">: </w:t>
            </w:r>
            <w:r w:rsidRPr="00AC1701">
              <w:t xml:space="preserve">IF ON </w:t>
            </w:r>
            <w:r>
              <w:t>SKIN: Wash with plenty of water</w:t>
            </w:r>
          </w:p>
          <w:p w14:paraId="16AFBAA6" w14:textId="77777777" w:rsidR="00956DD5" w:rsidRDefault="00956DD5" w:rsidP="00245178">
            <w:r w:rsidRPr="004368DC">
              <w:t>P305 + P351 + P338</w:t>
            </w:r>
            <w:r>
              <w:t xml:space="preserve">: </w:t>
            </w:r>
            <w:r w:rsidRPr="004368DC">
              <w:t>IF IN EYES: Rinse cautiously with water for several minutes. Remove contact lenses, if present and easy to do. Continue rinsing</w:t>
            </w:r>
            <w:r>
              <w:t>.</w:t>
            </w:r>
          </w:p>
          <w:p w14:paraId="2D9312CB" w14:textId="0D640501" w:rsidR="00956DD5" w:rsidRDefault="00956DD5" w:rsidP="00245178">
            <w:r w:rsidRPr="004368DC">
              <w:t>P310</w:t>
            </w:r>
            <w:r>
              <w:t xml:space="preserve">: </w:t>
            </w:r>
            <w:r w:rsidRPr="004368DC">
              <w:t>Immediately call a POISON CENTER/doctor/...</w:t>
            </w:r>
          </w:p>
          <w:p w14:paraId="20C354F6" w14:textId="65535693" w:rsidR="00956DD5" w:rsidRDefault="00956DD5" w:rsidP="00245178">
            <w:r w:rsidRPr="00AC1701">
              <w:t>P321</w:t>
            </w:r>
            <w:r>
              <w:t xml:space="preserve">: </w:t>
            </w:r>
            <w:r w:rsidRPr="00AC1701">
              <w:t>Specific treatment (see ... on this label).</w:t>
            </w:r>
          </w:p>
          <w:p w14:paraId="009F1E70" w14:textId="2F10B790" w:rsidR="00956DD5" w:rsidRDefault="00956DD5" w:rsidP="00245178">
            <w:r>
              <w:t>P332+</w:t>
            </w:r>
            <w:r w:rsidRPr="00AC1701">
              <w:t>P313</w:t>
            </w:r>
            <w:r>
              <w:t xml:space="preserve">: </w:t>
            </w:r>
            <w:r w:rsidRPr="00AC1701">
              <w:t>If skin irritation occurs: Get medical advice/attention.</w:t>
            </w:r>
          </w:p>
          <w:p w14:paraId="1943984F" w14:textId="092EBBC6" w:rsidR="00956DD5" w:rsidRDefault="00956DD5" w:rsidP="00BB3563">
            <w:r>
              <w:t>P362+</w:t>
            </w:r>
            <w:r w:rsidRPr="000B3837">
              <w:t>P364</w:t>
            </w:r>
            <w:r>
              <w:t xml:space="preserve">: </w:t>
            </w:r>
            <w:r w:rsidRPr="000B3837">
              <w:t>Take off contaminated clothing and wash it before reuse.</w:t>
            </w:r>
          </w:p>
          <w:p w14:paraId="3B33EF6B" w14:textId="77777777" w:rsidR="001A3296" w:rsidRDefault="001A3296" w:rsidP="002F6E1B">
            <w:pPr>
              <w:rPr>
                <w:lang w:eastAsia="fi-FI"/>
              </w:rPr>
            </w:pPr>
            <w:r>
              <w:rPr>
                <w:lang w:eastAsia="fi-FI"/>
              </w:rPr>
              <w:t>P390: Absorb spillage to prevent material damage.</w:t>
            </w:r>
          </w:p>
          <w:p w14:paraId="79A82A27" w14:textId="36446AAF" w:rsidR="001A3296" w:rsidRPr="00B27CB1" w:rsidRDefault="001A3296" w:rsidP="003F1E71">
            <w:pPr>
              <w:autoSpaceDE w:val="0"/>
              <w:rPr>
                <w:rFonts w:cs="Times New Roman"/>
                <w:color w:val="000000"/>
                <w:lang w:eastAsia="en-US"/>
              </w:rPr>
            </w:pPr>
            <w:r>
              <w:rPr>
                <w:lang w:eastAsia="fi-FI"/>
              </w:rPr>
              <w:t>P406: Store in a corrosive resistant/… container with a resistant inner liner.</w:t>
            </w:r>
          </w:p>
        </w:tc>
      </w:tr>
      <w:tr w:rsidR="001A3296" w:rsidRPr="00B27CB1" w14:paraId="3CB06BFB"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B656A6B" w14:textId="3B0E7FAA" w:rsidR="001A3296" w:rsidRPr="00B27CB1" w:rsidRDefault="001A3296" w:rsidP="001A3296">
            <w:pPr>
              <w:snapToGrid w:val="0"/>
              <w:spacing w:line="256" w:lineRule="auto"/>
              <w:rPr>
                <w:lang w:eastAsia="fi-FI"/>
              </w:rPr>
            </w:pPr>
          </w:p>
        </w:tc>
      </w:tr>
      <w:tr w:rsidR="001A3296" w:rsidRPr="00B27CB1" w14:paraId="1E39C6D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72B3F3E" w14:textId="112BC3A2" w:rsidR="001A3296" w:rsidRPr="00B27CB1" w:rsidRDefault="001A3296" w:rsidP="001A3296">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31261D2B" w14:textId="0C897A76" w:rsidR="001A3296" w:rsidRPr="00B27CB1" w:rsidRDefault="001A3296" w:rsidP="001A3296">
            <w:pPr>
              <w:snapToGrid w:val="0"/>
              <w:spacing w:line="256" w:lineRule="auto"/>
              <w:rPr>
                <w:b/>
                <w:lang w:eastAsia="fi-FI"/>
              </w:rPr>
            </w:pPr>
          </w:p>
        </w:tc>
      </w:tr>
    </w:tbl>
    <w:p w14:paraId="298D5C14" w14:textId="77777777" w:rsidR="00A932DC" w:rsidRPr="00B27CB1" w:rsidRDefault="00A932DC" w:rsidP="00A932DC">
      <w:pPr>
        <w:tabs>
          <w:tab w:val="left" w:pos="500"/>
        </w:tabs>
        <w:ind w:left="500" w:hanging="500"/>
      </w:pPr>
    </w:p>
    <w:p w14:paraId="2F12336C" w14:textId="77777777" w:rsidR="00A932DC" w:rsidRPr="00B27CB1" w:rsidRDefault="00A932DC" w:rsidP="00A932DC"/>
    <w:p w14:paraId="684B8D00" w14:textId="77777777" w:rsidR="00A932DC" w:rsidRPr="003F1E71" w:rsidRDefault="00A932DC" w:rsidP="00E91F85">
      <w:pPr>
        <w:pStyle w:val="Titre3"/>
        <w:rPr>
          <w:lang w:val="en-US"/>
        </w:rPr>
      </w:pPr>
      <w:r w:rsidRPr="003F1E71">
        <w:rPr>
          <w:lang w:val="en-US"/>
        </w:rPr>
        <w:t xml:space="preserve"> </w:t>
      </w:r>
      <w:bookmarkStart w:id="83" w:name="_Toc87361113"/>
      <w:r w:rsidRPr="003F1E71">
        <w:rPr>
          <w:lang w:val="en-US"/>
        </w:rPr>
        <w:t>Authorised use(s) of the META SPC 3</w:t>
      </w:r>
      <w:bookmarkEnd w:id="83"/>
    </w:p>
    <w:p w14:paraId="49D40CB7" w14:textId="77777777" w:rsidR="00636650" w:rsidRPr="00B27CB1" w:rsidRDefault="00636650" w:rsidP="00636650">
      <w:pPr>
        <w:pStyle w:val="Titre4"/>
        <w:numPr>
          <w:ilvl w:val="3"/>
          <w:numId w:val="9"/>
        </w:numPr>
        <w:rPr>
          <w:lang w:val="en-GB"/>
        </w:rPr>
      </w:pPr>
      <w:bookmarkStart w:id="84" w:name="_Toc87361114"/>
      <w:r w:rsidRPr="00B27CB1">
        <w:rPr>
          <w:lang w:val="en-GB"/>
        </w:rPr>
        <w:t>Use description</w:t>
      </w:r>
      <w:bookmarkEnd w:id="84"/>
    </w:p>
    <w:p w14:paraId="66F8A983" w14:textId="1764FEF3"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00846366">
        <w:rPr>
          <w:rFonts w:ascii="Verdana" w:hAnsi="Verdana" w:cs="Verdana"/>
        </w:rPr>
        <w:t>6</w:t>
      </w:r>
      <w:r w:rsidRPr="00B27CB1">
        <w:rPr>
          <w:rFonts w:ascii="Verdana" w:hAnsi="Verdana"/>
        </w:rPr>
        <w:t xml:space="preserve">. Use # 1 – </w:t>
      </w:r>
      <w:r w:rsidRPr="00657948">
        <w:rPr>
          <w:rFonts w:ascii="Verdana" w:hAnsi="Verdana"/>
        </w:rPr>
        <w:t>Disinfectants for hard surfaces for industry, institution, healthcare facilities, healthcare and</w:t>
      </w:r>
      <w:r w:rsidR="001F534D" w:rsidRPr="00657948">
        <w:rPr>
          <w:rFonts w:ascii="Verdana" w:hAnsi="Verdana"/>
        </w:rPr>
        <w:t>,</w:t>
      </w:r>
      <w:r w:rsidRPr="00657948">
        <w:rPr>
          <w:rFonts w:ascii="Verdana" w:hAnsi="Verdana"/>
        </w:rPr>
        <w:t xml:space="preserve"> </w:t>
      </w:r>
      <w:r w:rsidR="00B95C48" w:rsidRPr="00657948">
        <w:rPr>
          <w:rFonts w:ascii="Verdana" w:hAnsi="Verdana"/>
        </w:rPr>
        <w:t>food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760C8ABD" w14:textId="77777777" w:rsidTr="00685495">
        <w:tc>
          <w:tcPr>
            <w:tcW w:w="2707" w:type="dxa"/>
            <w:tcBorders>
              <w:top w:val="single" w:sz="4" w:space="0" w:color="000000"/>
              <w:left w:val="single" w:sz="4" w:space="0" w:color="000000"/>
              <w:bottom w:val="single" w:sz="4" w:space="0" w:color="000000"/>
              <w:right w:val="nil"/>
            </w:tcBorders>
            <w:hideMark/>
          </w:tcPr>
          <w:p w14:paraId="6C8BE90B"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4E783EC2" w14:textId="0E86B40F" w:rsidR="00636650" w:rsidRPr="00B27CB1" w:rsidRDefault="00B95C48"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636650" w:rsidRPr="00B27CB1" w14:paraId="15ABE149" w14:textId="77777777" w:rsidTr="00685495">
        <w:tc>
          <w:tcPr>
            <w:tcW w:w="2707" w:type="dxa"/>
            <w:tcBorders>
              <w:top w:val="nil"/>
              <w:left w:val="single" w:sz="4" w:space="0" w:color="000000"/>
              <w:bottom w:val="single" w:sz="4" w:space="0" w:color="000000"/>
              <w:right w:val="nil"/>
            </w:tcBorders>
            <w:hideMark/>
          </w:tcPr>
          <w:p w14:paraId="5A3374F0"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8F14ACC" w14:textId="251EE2D8" w:rsidR="00B95C48" w:rsidRPr="000D7D14" w:rsidRDefault="00B95C48" w:rsidP="00B95C48">
            <w:r w:rsidRPr="000D7D14">
              <w:rPr>
                <w:color w:val="000000"/>
              </w:rPr>
              <w:t xml:space="preserve">Product used for the disinfection of industry, institution, healthcare facilities and healthcare including toilets bowls and food preparation and handling area. </w:t>
            </w:r>
          </w:p>
          <w:p w14:paraId="0319F3D5" w14:textId="0BCF5F09" w:rsidR="00636650" w:rsidRPr="00B27CB1" w:rsidRDefault="00B95C48" w:rsidP="00B95C48">
            <w:pPr>
              <w:snapToGrid w:val="0"/>
              <w:spacing w:line="254" w:lineRule="auto"/>
              <w:rPr>
                <w:b/>
              </w:rPr>
            </w:pPr>
            <w:r w:rsidRPr="000D7D14">
              <w:br/>
            </w:r>
            <w:r w:rsidRPr="000D7D14">
              <w:rPr>
                <w:color w:val="000000"/>
              </w:rPr>
              <w:t>Use for cleaning and disinfection of all kind of non porous surfaces.</w:t>
            </w:r>
          </w:p>
        </w:tc>
      </w:tr>
      <w:tr w:rsidR="00636650" w:rsidRPr="00B27CB1" w14:paraId="7FE02CE1" w14:textId="77777777" w:rsidTr="00685495">
        <w:tc>
          <w:tcPr>
            <w:tcW w:w="2707" w:type="dxa"/>
            <w:tcBorders>
              <w:top w:val="nil"/>
              <w:left w:val="single" w:sz="4" w:space="0" w:color="000000"/>
              <w:bottom w:val="single" w:sz="4" w:space="0" w:color="000000"/>
              <w:right w:val="nil"/>
            </w:tcBorders>
            <w:hideMark/>
          </w:tcPr>
          <w:p w14:paraId="7DEE7C1E" w14:textId="77777777" w:rsidR="00636650" w:rsidRPr="00B27CB1" w:rsidRDefault="00636650" w:rsidP="00685495">
            <w:pPr>
              <w:spacing w:line="254" w:lineRule="auto"/>
              <w:rPr>
                <w:b/>
              </w:rPr>
            </w:pPr>
            <w:r w:rsidRPr="00B27CB1">
              <w:rPr>
                <w:b/>
                <w:bCs/>
                <w:szCs w:val="24"/>
                <w:lang w:eastAsia="en-GB"/>
              </w:rPr>
              <w:lastRenderedPageBreak/>
              <w:t>Target organism (including development stage)</w:t>
            </w:r>
          </w:p>
        </w:tc>
        <w:tc>
          <w:tcPr>
            <w:tcW w:w="6328" w:type="dxa"/>
            <w:tcBorders>
              <w:top w:val="nil"/>
              <w:left w:val="single" w:sz="4" w:space="0" w:color="000000"/>
              <w:bottom w:val="single" w:sz="4" w:space="0" w:color="000000"/>
              <w:right w:val="single" w:sz="4" w:space="0" w:color="000000"/>
            </w:tcBorders>
          </w:tcPr>
          <w:p w14:paraId="411C907F" w14:textId="6DAFA675" w:rsidR="00636650" w:rsidRPr="00B27CB1" w:rsidRDefault="00B95C48" w:rsidP="00685495">
            <w:pPr>
              <w:snapToGrid w:val="0"/>
              <w:spacing w:line="254" w:lineRule="auto"/>
              <w:rPr>
                <w:b/>
              </w:rPr>
            </w:pPr>
            <w:r w:rsidRPr="000D7D14">
              <w:t>Bacteria</w:t>
            </w:r>
            <w:r w:rsidRPr="000D7D14">
              <w:br/>
              <w:t>Yeasts</w:t>
            </w:r>
          </w:p>
        </w:tc>
      </w:tr>
      <w:tr w:rsidR="00636650" w:rsidRPr="00B27CB1" w14:paraId="0567F771" w14:textId="77777777" w:rsidTr="00685495">
        <w:tc>
          <w:tcPr>
            <w:tcW w:w="2707" w:type="dxa"/>
            <w:tcBorders>
              <w:top w:val="nil"/>
              <w:left w:val="single" w:sz="4" w:space="0" w:color="000000"/>
              <w:bottom w:val="single" w:sz="4" w:space="0" w:color="000000"/>
              <w:right w:val="nil"/>
            </w:tcBorders>
            <w:hideMark/>
          </w:tcPr>
          <w:p w14:paraId="56269E49"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2933BC0" w14:textId="53980E09" w:rsidR="00636650" w:rsidRPr="00B27CB1" w:rsidRDefault="00B95C48" w:rsidP="002B7590">
            <w:pPr>
              <w:snapToGrid w:val="0"/>
              <w:spacing w:line="254" w:lineRule="auto"/>
              <w:rPr>
                <w:b/>
              </w:rPr>
            </w:pPr>
            <w:r w:rsidRPr="000D7D14">
              <w:t>Indoor</w:t>
            </w:r>
          </w:p>
        </w:tc>
      </w:tr>
      <w:tr w:rsidR="00636650" w:rsidRPr="00B27CB1" w14:paraId="5BF3ADE5" w14:textId="77777777" w:rsidTr="00685495">
        <w:tc>
          <w:tcPr>
            <w:tcW w:w="2707" w:type="dxa"/>
            <w:tcBorders>
              <w:top w:val="nil"/>
              <w:left w:val="single" w:sz="4" w:space="0" w:color="000000"/>
              <w:bottom w:val="single" w:sz="4" w:space="0" w:color="000000"/>
              <w:right w:val="nil"/>
            </w:tcBorders>
            <w:hideMark/>
          </w:tcPr>
          <w:p w14:paraId="008C507E"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FBFE166" w14:textId="77777777" w:rsidR="00341746" w:rsidRDefault="00B95C48" w:rsidP="002B7590">
            <w:pPr>
              <w:suppressAutoHyphens w:val="0"/>
              <w:snapToGrid w:val="0"/>
              <w:spacing w:line="260" w:lineRule="atLeast"/>
            </w:pPr>
            <w:r w:rsidRPr="000D7D14">
              <w:t xml:space="preserve">Spraying, </w:t>
            </w:r>
          </w:p>
          <w:p w14:paraId="221ED356" w14:textId="6A3B5D51" w:rsidR="0040796C" w:rsidRDefault="00341746" w:rsidP="0040796C">
            <w:pPr>
              <w:suppressAutoHyphens w:val="0"/>
              <w:snapToGrid w:val="0"/>
              <w:spacing w:line="260" w:lineRule="atLeast"/>
            </w:pPr>
            <w:r>
              <w:t>W</w:t>
            </w:r>
            <w:r w:rsidR="00B95C48" w:rsidRPr="000D7D14">
              <w:t>iping (applying product onto wipe followed by wiping)</w:t>
            </w:r>
          </w:p>
          <w:p w14:paraId="21F8AC38" w14:textId="36336070" w:rsidR="00B74263" w:rsidRPr="00B27CB1" w:rsidRDefault="0040796C" w:rsidP="0040796C">
            <w:pPr>
              <w:suppressAutoHyphens w:val="0"/>
              <w:snapToGrid w:val="0"/>
              <w:spacing w:line="260" w:lineRule="atLeast"/>
              <w:rPr>
                <w:rFonts w:cs="Times New Roman"/>
                <w:lang w:eastAsia="de-DE"/>
              </w:rPr>
            </w:pPr>
            <w:r w:rsidRPr="0040796C">
              <w:t>Mopping (applying product onto mop followed by mopping)</w:t>
            </w:r>
          </w:p>
        </w:tc>
      </w:tr>
      <w:tr w:rsidR="00636650" w:rsidRPr="00B27CB1" w14:paraId="3675438C" w14:textId="77777777" w:rsidTr="00685495">
        <w:tc>
          <w:tcPr>
            <w:tcW w:w="2707" w:type="dxa"/>
            <w:tcBorders>
              <w:top w:val="nil"/>
              <w:left w:val="single" w:sz="4" w:space="0" w:color="000000"/>
              <w:bottom w:val="single" w:sz="4" w:space="0" w:color="000000"/>
              <w:right w:val="nil"/>
            </w:tcBorders>
            <w:hideMark/>
          </w:tcPr>
          <w:p w14:paraId="2E630F75" w14:textId="77777777" w:rsidR="00636650" w:rsidRPr="00B27CB1" w:rsidRDefault="00636650"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22633BC6" w14:textId="77777777" w:rsidR="0040796C" w:rsidRDefault="00B95C48" w:rsidP="0040796C">
            <w:r w:rsidRPr="00F0256C">
              <w:t>Ready to use</w:t>
            </w:r>
            <w:r w:rsidR="0040796C" w:rsidRPr="00344BDC">
              <w:t xml:space="preserve"> </w:t>
            </w:r>
          </w:p>
          <w:p w14:paraId="5B0092D6" w14:textId="7D58CBB8" w:rsidR="00B95C48" w:rsidRPr="00F0256C" w:rsidRDefault="0040796C" w:rsidP="00B95C48">
            <w:r w:rsidRPr="00344BDC">
              <w:t>Dirty conditions</w:t>
            </w:r>
          </w:p>
          <w:p w14:paraId="0D2DD6EC" w14:textId="49B5F3F1" w:rsidR="004E1ABA" w:rsidRPr="004D1209" w:rsidRDefault="00775ABA" w:rsidP="004E1ABA">
            <w:r>
              <w:t>T</w:t>
            </w:r>
            <w:r w:rsidR="004E1ABA" w:rsidRPr="004D1209">
              <w:t>emperature</w:t>
            </w:r>
            <w:r>
              <w:t>: 20°C</w:t>
            </w:r>
          </w:p>
          <w:p w14:paraId="64194DA6" w14:textId="77777777" w:rsidR="004E1ABA" w:rsidRDefault="004E1ABA" w:rsidP="00B95C48"/>
          <w:p w14:paraId="1261DF78" w14:textId="493B9CB4" w:rsidR="00817221" w:rsidRPr="00F0256C" w:rsidRDefault="0040796C" w:rsidP="00DF2F36">
            <w:pPr>
              <w:snapToGrid w:val="0"/>
              <w:spacing w:line="260" w:lineRule="atLeast"/>
              <w:jc w:val="both"/>
            </w:pPr>
            <w:r>
              <w:t>N</w:t>
            </w:r>
            <w:r w:rsidR="00817221">
              <w:t>on mechanical action (spraying)</w:t>
            </w:r>
            <w:r w:rsidR="008D35E9">
              <w:t xml:space="preserve"> or </w:t>
            </w:r>
            <w:r>
              <w:t>mechanical action (wiping and mopping):</w:t>
            </w:r>
          </w:p>
          <w:p w14:paraId="4D364BCD" w14:textId="03FB1C3F" w:rsidR="004F131D" w:rsidRDefault="00B95C48" w:rsidP="00E91F85">
            <w:pPr>
              <w:jc w:val="both"/>
            </w:pPr>
            <w:r w:rsidRPr="00F0256C">
              <w:t xml:space="preserve">Contact time </w:t>
            </w:r>
            <w:r w:rsidR="002B7590">
              <w:t>(bacteria and yeasts)</w:t>
            </w:r>
            <w:r w:rsidRPr="00F0256C">
              <w:t xml:space="preserve">: </w:t>
            </w:r>
            <w:r w:rsidRPr="00820E0E">
              <w:t>5 minutes</w:t>
            </w:r>
          </w:p>
          <w:p w14:paraId="57702852" w14:textId="77777777" w:rsidR="004F131D" w:rsidRPr="00344BDC" w:rsidRDefault="004F131D" w:rsidP="00E91F85">
            <w:pPr>
              <w:jc w:val="both"/>
            </w:pPr>
          </w:p>
          <w:p w14:paraId="24F568F0" w14:textId="4BA96E19" w:rsidR="00B95C48" w:rsidRPr="000D7D14" w:rsidRDefault="004F131D" w:rsidP="00B95C48">
            <w:r>
              <w:t>A</w:t>
            </w:r>
            <w:r w:rsidR="00B95C48" w:rsidRPr="000D7D14">
              <w:t>pplication rate</w:t>
            </w:r>
            <w:r>
              <w:t>s</w:t>
            </w:r>
            <w:r w:rsidR="00B95C48" w:rsidRPr="000D7D14">
              <w:t>:</w:t>
            </w:r>
          </w:p>
          <w:p w14:paraId="29B4DA2D" w14:textId="77777777" w:rsidR="00E16D2D" w:rsidRDefault="00B95C48" w:rsidP="00B95C48">
            <w:r w:rsidRPr="000D7D14">
              <w:t>30 ml/m</w:t>
            </w:r>
            <w:r w:rsidRPr="000D7D14">
              <w:rPr>
                <w:vertAlign w:val="superscript"/>
              </w:rPr>
              <w:t>2</w:t>
            </w:r>
            <w:r w:rsidRPr="000D7D14">
              <w:t xml:space="preserve"> (20 sprays on the surface per m</w:t>
            </w:r>
            <w:r w:rsidRPr="000D7D14">
              <w:rPr>
                <w:vertAlign w:val="superscript"/>
              </w:rPr>
              <w:t>2</w:t>
            </w:r>
            <w:r w:rsidR="00E16D2D">
              <w:t>)</w:t>
            </w:r>
          </w:p>
          <w:p w14:paraId="007DEA50" w14:textId="0C7E8A16" w:rsidR="00B95C48" w:rsidRPr="000D7D14" w:rsidRDefault="00B95C48" w:rsidP="00B95C48">
            <w:r w:rsidRPr="000D7D14">
              <w:t>8 to 12 sprays or 16 ml on wipe per 0.1</w:t>
            </w:r>
            <w:r w:rsidR="00383E12">
              <w:t xml:space="preserve"> </w:t>
            </w:r>
            <w:r w:rsidRPr="000D7D14">
              <w:t>m</w:t>
            </w:r>
            <w:r w:rsidRPr="000D7D14">
              <w:rPr>
                <w:vertAlign w:val="superscript"/>
              </w:rPr>
              <w:t>2</w:t>
            </w:r>
          </w:p>
          <w:p w14:paraId="2954D4D2" w14:textId="1486143A" w:rsidR="00636650" w:rsidRPr="00B27CB1" w:rsidRDefault="00B95C48" w:rsidP="004A347E">
            <w:pPr>
              <w:snapToGrid w:val="0"/>
              <w:spacing w:line="260" w:lineRule="atLeast"/>
              <w:rPr>
                <w:rFonts w:cs="Times New Roman"/>
                <w:lang w:eastAsia="de-DE"/>
              </w:rPr>
            </w:pPr>
            <w:r w:rsidRPr="000D7D14">
              <w:t>For toilet bowls</w:t>
            </w:r>
            <w:r w:rsidR="004F131D">
              <w:t>:</w:t>
            </w:r>
            <w:r w:rsidRPr="000D7D14">
              <w:t xml:space="preserve"> </w:t>
            </w:r>
            <w:r w:rsidRPr="00E91F85">
              <w:rPr>
                <w:bCs/>
                <w:color w:val="000000"/>
                <w:lang w:val="en-US"/>
              </w:rPr>
              <w:t>50 ml or 33 sprays per toilet</w:t>
            </w:r>
          </w:p>
        </w:tc>
      </w:tr>
      <w:tr w:rsidR="00B95C48" w:rsidRPr="00B27CB1" w14:paraId="6906FFF5" w14:textId="77777777" w:rsidTr="00685495">
        <w:tc>
          <w:tcPr>
            <w:tcW w:w="2707" w:type="dxa"/>
            <w:tcBorders>
              <w:top w:val="nil"/>
              <w:left w:val="single" w:sz="4" w:space="0" w:color="000000"/>
              <w:bottom w:val="single" w:sz="4" w:space="0" w:color="000000"/>
              <w:right w:val="nil"/>
            </w:tcBorders>
            <w:hideMark/>
          </w:tcPr>
          <w:p w14:paraId="4BAD21BC" w14:textId="77777777" w:rsidR="00B95C48" w:rsidRPr="00B27CB1" w:rsidRDefault="00B95C48" w:rsidP="00B95C48">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4BF3F4E6" w14:textId="6A02CD9E" w:rsidR="00B95C48" w:rsidRPr="00B27CB1" w:rsidRDefault="00B95C48" w:rsidP="00B95C48">
            <w:pPr>
              <w:snapToGrid w:val="0"/>
              <w:spacing w:line="254" w:lineRule="auto"/>
              <w:rPr>
                <w:b/>
              </w:rPr>
            </w:pPr>
            <w:r w:rsidRPr="000D7D14">
              <w:t>Industrial, Professional</w:t>
            </w:r>
          </w:p>
        </w:tc>
      </w:tr>
      <w:tr w:rsidR="00B95C48" w:rsidRPr="00A04731" w14:paraId="224E1B2A" w14:textId="77777777" w:rsidTr="00685495">
        <w:tc>
          <w:tcPr>
            <w:tcW w:w="2707" w:type="dxa"/>
            <w:tcBorders>
              <w:top w:val="nil"/>
              <w:left w:val="single" w:sz="4" w:space="0" w:color="000000"/>
              <w:bottom w:val="single" w:sz="4" w:space="0" w:color="000000"/>
              <w:right w:val="nil"/>
            </w:tcBorders>
            <w:hideMark/>
          </w:tcPr>
          <w:p w14:paraId="4C964321" w14:textId="77777777" w:rsidR="00B95C48" w:rsidRPr="00B27CB1" w:rsidRDefault="00B95C48" w:rsidP="00B95C48">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3DD635F" w14:textId="1FB4A8E7" w:rsidR="00B95C48" w:rsidRDefault="00B95C48" w:rsidP="00B95C48">
            <w:pPr>
              <w:spacing w:line="254" w:lineRule="auto"/>
            </w:pPr>
            <w:r>
              <w:t>HDPE:</w:t>
            </w:r>
            <w:r w:rsidR="00B639F8">
              <w:t xml:space="preserve"> </w:t>
            </w:r>
            <w:r>
              <w:t>500 mL trigger spray, 750 mL trigger spray, 1 L, 5 L</w:t>
            </w:r>
          </w:p>
          <w:p w14:paraId="049B9B29" w14:textId="10CF9959" w:rsidR="00B95C48" w:rsidRDefault="00B95C48" w:rsidP="00B95C48">
            <w:pPr>
              <w:spacing w:line="254" w:lineRule="auto"/>
            </w:pPr>
            <w:r>
              <w:t>PET:</w:t>
            </w:r>
            <w:r w:rsidR="00B639F8">
              <w:t xml:space="preserve"> </w:t>
            </w:r>
            <w:r>
              <w:t>500 mL trigger spray, 750 mL trigger spray, 1 L</w:t>
            </w:r>
          </w:p>
          <w:p w14:paraId="3B9A1CC2" w14:textId="659781B9" w:rsidR="00B95C48" w:rsidRPr="00B639F8" w:rsidRDefault="00B95C48" w:rsidP="00B639F8">
            <w:pPr>
              <w:spacing w:line="254" w:lineRule="auto"/>
              <w:rPr>
                <w:lang w:val="fr-FR"/>
              </w:rPr>
            </w:pPr>
            <w:r w:rsidRPr="00E91F85">
              <w:rPr>
                <w:lang w:val="fr-FR"/>
              </w:rPr>
              <w:t>Coextrude (HDPE/Adhesive/Nylon polyamide):</w:t>
            </w:r>
            <w:r w:rsidR="00B639F8">
              <w:rPr>
                <w:lang w:val="fr-FR"/>
              </w:rPr>
              <w:t xml:space="preserve"> </w:t>
            </w:r>
            <w:r w:rsidRPr="00B639F8">
              <w:rPr>
                <w:lang w:val="fr-FR"/>
              </w:rPr>
              <w:t>5 L</w:t>
            </w:r>
          </w:p>
        </w:tc>
      </w:tr>
    </w:tbl>
    <w:p w14:paraId="2974E82F" w14:textId="77777777" w:rsidR="00636650" w:rsidRPr="00B639F8" w:rsidRDefault="00636650" w:rsidP="00B639F8">
      <w:pPr>
        <w:keepNext/>
        <w:numPr>
          <w:ilvl w:val="4"/>
          <w:numId w:val="9"/>
        </w:numPr>
        <w:spacing w:before="255" w:after="80" w:line="255" w:lineRule="exact"/>
        <w:outlineLvl w:val="4"/>
        <w:rPr>
          <w:sz w:val="22"/>
        </w:rPr>
      </w:pPr>
      <w:r w:rsidRPr="00B639F8">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58C9E4E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752950C" w14:textId="72158820" w:rsidR="008D35E9" w:rsidRPr="008D35E9" w:rsidRDefault="008D35E9" w:rsidP="008D35E9">
            <w:pPr>
              <w:widowControl w:val="0"/>
              <w:numPr>
                <w:ilvl w:val="0"/>
                <w:numId w:val="7"/>
              </w:numPr>
              <w:suppressAutoHyphens w:val="0"/>
              <w:autoSpaceDE w:val="0"/>
              <w:snapToGrid w:val="0"/>
              <w:spacing w:line="260" w:lineRule="atLeast"/>
              <w:ind w:left="357" w:hanging="357"/>
              <w:contextualSpacing/>
              <w:jc w:val="both"/>
              <w:rPr>
                <w:bCs/>
                <w:color w:val="000000"/>
              </w:rPr>
            </w:pPr>
            <w:r w:rsidRPr="008D35E9">
              <w:rPr>
                <w:bCs/>
                <w:color w:val="000000"/>
              </w:rPr>
              <w:t>Ready-to-use liquid for hard surfaces by spraying: Spray directly on the surfaces intended to be treated and cover the entire surfaces. Allow to take effect for at least 5 minutes, then brush or scrub if required and wipe with a dry cloth.</w:t>
            </w:r>
          </w:p>
          <w:p w14:paraId="762CBD28" w14:textId="497BB5F0" w:rsidR="008D35E9" w:rsidRPr="008D35E9" w:rsidRDefault="008D35E9" w:rsidP="008D35E9">
            <w:pPr>
              <w:widowControl w:val="0"/>
              <w:numPr>
                <w:ilvl w:val="0"/>
                <w:numId w:val="7"/>
              </w:numPr>
              <w:suppressAutoHyphens w:val="0"/>
              <w:autoSpaceDE w:val="0"/>
              <w:snapToGrid w:val="0"/>
              <w:spacing w:line="260" w:lineRule="atLeast"/>
              <w:ind w:left="357" w:hanging="357"/>
              <w:contextualSpacing/>
              <w:jc w:val="both"/>
              <w:rPr>
                <w:bCs/>
                <w:color w:val="000000"/>
              </w:rPr>
            </w:pPr>
            <w:r w:rsidRPr="008D35E9">
              <w:rPr>
                <w:bCs/>
                <w:color w:val="000000"/>
              </w:rPr>
              <w:t>Ready-to-use liquid for hard surfaces by wipping</w:t>
            </w:r>
            <w:r>
              <w:rPr>
                <w:bCs/>
                <w:color w:val="000000"/>
              </w:rPr>
              <w:t>/mopping</w:t>
            </w:r>
            <w:r w:rsidRPr="008D35E9">
              <w:rPr>
                <w:bCs/>
                <w:color w:val="000000"/>
              </w:rPr>
              <w:t>: Spray on wipe or soak the mop/wipe and apply by fully wetting all surfaces intended to be treated. Allow to take effect for at least 5 minutes and then rinse with water, wipe the surface with a dry cloth if required or let to dry.</w:t>
            </w:r>
          </w:p>
          <w:p w14:paraId="04FC2952" w14:textId="00E6E7EC" w:rsidR="008D35E9" w:rsidRPr="00657948" w:rsidRDefault="008D35E9" w:rsidP="008D35E9">
            <w:pPr>
              <w:widowControl w:val="0"/>
              <w:numPr>
                <w:ilvl w:val="0"/>
                <w:numId w:val="7"/>
              </w:numPr>
              <w:suppressAutoHyphens w:val="0"/>
              <w:autoSpaceDE w:val="0"/>
              <w:snapToGrid w:val="0"/>
              <w:spacing w:line="260" w:lineRule="atLeast"/>
              <w:ind w:left="357" w:hanging="357"/>
              <w:contextualSpacing/>
              <w:jc w:val="both"/>
              <w:rPr>
                <w:bCs/>
                <w:color w:val="000000"/>
                <w:lang w:val="en-US"/>
              </w:rPr>
            </w:pPr>
            <w:r w:rsidRPr="008D35E9">
              <w:rPr>
                <w:bCs/>
                <w:color w:val="000000"/>
              </w:rPr>
              <w:t>Ready-to-use liquid for toilet bowls: Spray inside the toilet bowls by fully covering all surface to be treated. All</w:t>
            </w:r>
            <w:r>
              <w:rPr>
                <w:bCs/>
                <w:color w:val="000000"/>
              </w:rPr>
              <w:t xml:space="preserve">ow to take effect for at least </w:t>
            </w:r>
            <w:r w:rsidRPr="008D35E9">
              <w:rPr>
                <w:bCs/>
                <w:color w:val="000000"/>
              </w:rPr>
              <w:t>5 minutes, then brush if required and flush the toilet.</w:t>
            </w:r>
          </w:p>
        </w:tc>
      </w:tr>
    </w:tbl>
    <w:p w14:paraId="545EB7D9" w14:textId="77777777" w:rsidR="00636650" w:rsidRPr="00B639F8" w:rsidRDefault="00636650" w:rsidP="00B639F8">
      <w:pPr>
        <w:keepNext/>
        <w:numPr>
          <w:ilvl w:val="4"/>
          <w:numId w:val="9"/>
        </w:numPr>
        <w:spacing w:before="255" w:after="80" w:line="255" w:lineRule="exact"/>
        <w:outlineLvl w:val="4"/>
        <w:rPr>
          <w:sz w:val="22"/>
        </w:rPr>
      </w:pPr>
      <w:r w:rsidRPr="00B639F8">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6C5EBE06"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0BFE270" w14:textId="148143AA"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09ACD622"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091660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69F83D5" w14:textId="52B1142B"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15043114"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6B47B32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CDB7C98" w14:textId="5E5E790B"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38AFBFA5" w14:textId="77777777" w:rsidR="00636650" w:rsidRPr="003F1E71" w:rsidRDefault="00636650" w:rsidP="003F1E71">
      <w:pPr>
        <w:keepNext/>
        <w:numPr>
          <w:ilvl w:val="4"/>
          <w:numId w:val="9"/>
        </w:numPr>
        <w:spacing w:before="255" w:after="80" w:line="255" w:lineRule="exact"/>
        <w:outlineLvl w:val="4"/>
        <w:rPr>
          <w:sz w:val="22"/>
        </w:rPr>
      </w:pPr>
      <w:r w:rsidRPr="003F1E71">
        <w:rPr>
          <w:sz w:val="22"/>
        </w:rPr>
        <w:lastRenderedPageBreak/>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504C953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95801DF" w14:textId="358D0613"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25042FBA" w14:textId="77777777" w:rsidR="00636650" w:rsidRPr="00B27CB1" w:rsidRDefault="00636650" w:rsidP="00636650">
      <w:pPr>
        <w:widowControl w:val="0"/>
        <w:autoSpaceDE w:val="0"/>
        <w:rPr>
          <w:rFonts w:cs="Times"/>
          <w:bCs/>
          <w:szCs w:val="29"/>
        </w:rPr>
      </w:pPr>
    </w:p>
    <w:p w14:paraId="2CA7AB84" w14:textId="77777777" w:rsidR="00636650" w:rsidRPr="00B27CB1" w:rsidRDefault="00636650" w:rsidP="00636650">
      <w:pPr>
        <w:pStyle w:val="Titre4"/>
        <w:numPr>
          <w:ilvl w:val="3"/>
          <w:numId w:val="9"/>
        </w:numPr>
        <w:rPr>
          <w:lang w:val="en-GB"/>
        </w:rPr>
      </w:pPr>
      <w:bookmarkStart w:id="85" w:name="_Toc87361115"/>
      <w:r w:rsidRPr="00B27CB1">
        <w:rPr>
          <w:lang w:val="en-GB"/>
        </w:rPr>
        <w:t>Use description</w:t>
      </w:r>
      <w:bookmarkEnd w:id="85"/>
    </w:p>
    <w:p w14:paraId="376BC297" w14:textId="77777777" w:rsidR="00636650" w:rsidRPr="00B27CB1" w:rsidRDefault="00636650" w:rsidP="00636650">
      <w:pPr>
        <w:widowControl w:val="0"/>
        <w:autoSpaceDE w:val="0"/>
        <w:rPr>
          <w:rFonts w:cs="Times"/>
          <w:bCs/>
          <w:szCs w:val="29"/>
        </w:rPr>
      </w:pPr>
    </w:p>
    <w:p w14:paraId="3C14FA51" w14:textId="4DE8F7E5"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00846366">
        <w:rPr>
          <w:rFonts w:ascii="Verdana" w:hAnsi="Verdana" w:cs="Verdana"/>
        </w:rPr>
        <w:t>7</w:t>
      </w:r>
      <w:r w:rsidRPr="00B27CB1">
        <w:rPr>
          <w:rFonts w:ascii="Verdana" w:hAnsi="Verdana"/>
        </w:rPr>
        <w:t xml:space="preserve">. Use # 2 – </w:t>
      </w:r>
      <w:r w:rsidRPr="008D35E9">
        <w:rPr>
          <w:rFonts w:ascii="Verdana" w:hAnsi="Verdana"/>
        </w:rPr>
        <w:t>Disinfectants for hard surfaces for industry, institution, healthcare facilities and healthcare</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5FD29248" w14:textId="77777777" w:rsidTr="00685495">
        <w:tc>
          <w:tcPr>
            <w:tcW w:w="2707" w:type="dxa"/>
            <w:tcBorders>
              <w:top w:val="single" w:sz="4" w:space="0" w:color="000000"/>
              <w:left w:val="single" w:sz="4" w:space="0" w:color="000000"/>
              <w:bottom w:val="single" w:sz="4" w:space="0" w:color="000000"/>
              <w:right w:val="nil"/>
            </w:tcBorders>
            <w:hideMark/>
          </w:tcPr>
          <w:p w14:paraId="0BD3B8A4"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45F1C6E" w14:textId="623E7B39" w:rsidR="00636650" w:rsidRPr="00B27CB1" w:rsidRDefault="00B95C48" w:rsidP="00685495">
            <w:pPr>
              <w:snapToGrid w:val="0"/>
              <w:spacing w:line="254" w:lineRule="auto"/>
              <w:rPr>
                <w:b/>
              </w:rPr>
            </w:pPr>
            <w:r w:rsidRPr="000D7D14">
              <w:t>PT02 - Disinfectants and algaecides not intended for direct application to humans or animals (Disinfectants)</w:t>
            </w:r>
          </w:p>
        </w:tc>
      </w:tr>
      <w:tr w:rsidR="00636650" w:rsidRPr="00B27CB1" w14:paraId="183DD937" w14:textId="77777777" w:rsidTr="00685495">
        <w:tc>
          <w:tcPr>
            <w:tcW w:w="2707" w:type="dxa"/>
            <w:tcBorders>
              <w:top w:val="nil"/>
              <w:left w:val="single" w:sz="4" w:space="0" w:color="000000"/>
              <w:bottom w:val="single" w:sz="4" w:space="0" w:color="000000"/>
              <w:right w:val="nil"/>
            </w:tcBorders>
            <w:hideMark/>
          </w:tcPr>
          <w:p w14:paraId="2C42CAB2"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28EAA4F" w14:textId="77777777" w:rsidR="00B95C48" w:rsidRPr="000D7D14" w:rsidRDefault="00B95C48" w:rsidP="00B95C48">
            <w:r w:rsidRPr="000D7D14">
              <w:rPr>
                <w:color w:val="000000"/>
              </w:rPr>
              <w:t xml:space="preserve">Product used for the disinfection of industry, institution, healthcare facilities and health care including toilets bowls. </w:t>
            </w:r>
          </w:p>
          <w:p w14:paraId="1966CFC8" w14:textId="3D48C3A6" w:rsidR="00636650" w:rsidRPr="00B27CB1" w:rsidRDefault="00B95C48" w:rsidP="00E16D2D">
            <w:pPr>
              <w:snapToGrid w:val="0"/>
              <w:spacing w:line="254" w:lineRule="auto"/>
              <w:rPr>
                <w:b/>
              </w:rPr>
            </w:pPr>
            <w:r w:rsidRPr="000D7D14">
              <w:br/>
            </w:r>
            <w:r w:rsidR="00E16D2D">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636650" w:rsidRPr="00B27CB1" w14:paraId="222E673F" w14:textId="77777777" w:rsidTr="00685495">
        <w:tc>
          <w:tcPr>
            <w:tcW w:w="2707" w:type="dxa"/>
            <w:tcBorders>
              <w:top w:val="nil"/>
              <w:left w:val="single" w:sz="4" w:space="0" w:color="000000"/>
              <w:bottom w:val="single" w:sz="4" w:space="0" w:color="000000"/>
              <w:right w:val="nil"/>
            </w:tcBorders>
            <w:hideMark/>
          </w:tcPr>
          <w:p w14:paraId="17C2D73E" w14:textId="77777777" w:rsidR="00636650" w:rsidRPr="00B27CB1" w:rsidRDefault="00636650"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28C82B35" w14:textId="731B667D" w:rsidR="00636650" w:rsidRPr="00B27CB1" w:rsidRDefault="00B95C48" w:rsidP="00685495">
            <w:pPr>
              <w:snapToGrid w:val="0"/>
              <w:spacing w:line="254" w:lineRule="auto"/>
              <w:rPr>
                <w:lang w:eastAsia="de-DE"/>
              </w:rPr>
            </w:pPr>
            <w:r w:rsidRPr="000D7D14">
              <w:t>Bacteria</w:t>
            </w:r>
            <w:r w:rsidRPr="000D7D14">
              <w:br/>
              <w:t>Yeasts</w:t>
            </w:r>
          </w:p>
        </w:tc>
      </w:tr>
      <w:tr w:rsidR="00636650" w:rsidRPr="00B27CB1" w14:paraId="586C265D" w14:textId="77777777" w:rsidTr="00685495">
        <w:tc>
          <w:tcPr>
            <w:tcW w:w="2707" w:type="dxa"/>
            <w:tcBorders>
              <w:top w:val="nil"/>
              <w:left w:val="single" w:sz="4" w:space="0" w:color="000000"/>
              <w:bottom w:val="single" w:sz="4" w:space="0" w:color="000000"/>
              <w:right w:val="nil"/>
            </w:tcBorders>
            <w:hideMark/>
          </w:tcPr>
          <w:p w14:paraId="693BB14E"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320DD9E0" w14:textId="21BE8ABC" w:rsidR="00636650" w:rsidRPr="00B27CB1" w:rsidRDefault="00B95C48" w:rsidP="002B7590">
            <w:pPr>
              <w:suppressAutoHyphens w:val="0"/>
              <w:snapToGrid w:val="0"/>
              <w:spacing w:line="260" w:lineRule="atLeast"/>
              <w:jc w:val="both"/>
              <w:rPr>
                <w:rFonts w:cs="Times New Roman"/>
                <w:lang w:eastAsia="de-DE"/>
              </w:rPr>
            </w:pPr>
            <w:r w:rsidRPr="000D7D14">
              <w:t>Indoor</w:t>
            </w:r>
          </w:p>
        </w:tc>
      </w:tr>
      <w:tr w:rsidR="00636650" w:rsidRPr="00B27CB1" w14:paraId="31F25EB9" w14:textId="77777777" w:rsidTr="00685495">
        <w:tc>
          <w:tcPr>
            <w:tcW w:w="2707" w:type="dxa"/>
            <w:tcBorders>
              <w:top w:val="nil"/>
              <w:left w:val="single" w:sz="4" w:space="0" w:color="000000"/>
              <w:bottom w:val="single" w:sz="4" w:space="0" w:color="000000"/>
              <w:right w:val="nil"/>
            </w:tcBorders>
            <w:hideMark/>
          </w:tcPr>
          <w:p w14:paraId="48089C45"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83B8DB9" w14:textId="77777777" w:rsidR="00001565" w:rsidRDefault="00B95C48" w:rsidP="00001565">
            <w:pPr>
              <w:suppressAutoHyphens w:val="0"/>
              <w:snapToGrid w:val="0"/>
              <w:spacing w:line="260" w:lineRule="atLeast"/>
            </w:pPr>
            <w:r w:rsidRPr="000D7D14">
              <w:t>Spraying,</w:t>
            </w:r>
          </w:p>
          <w:p w14:paraId="7FB59F8D" w14:textId="39BBAC73" w:rsidR="00636650" w:rsidRDefault="00B95C48" w:rsidP="00001565">
            <w:pPr>
              <w:suppressAutoHyphens w:val="0"/>
              <w:snapToGrid w:val="0"/>
              <w:spacing w:line="260" w:lineRule="atLeast"/>
            </w:pPr>
            <w:r w:rsidRPr="000D7D14">
              <w:t>Wiping (applying product onto wipe followed by wiping</w:t>
            </w:r>
            <w:r w:rsidR="00001565">
              <w:t>)</w:t>
            </w:r>
          </w:p>
          <w:p w14:paraId="0D5FDEC8" w14:textId="5D158F1A" w:rsidR="00B74263" w:rsidRPr="00B27CB1" w:rsidRDefault="00EA0688" w:rsidP="00001565">
            <w:pPr>
              <w:suppressAutoHyphens w:val="0"/>
              <w:snapToGrid w:val="0"/>
              <w:spacing w:line="260" w:lineRule="atLeast"/>
              <w:rPr>
                <w:rFonts w:cs="Times New Roman"/>
                <w:lang w:eastAsia="de-DE"/>
              </w:rPr>
            </w:pPr>
            <w:r w:rsidRPr="00EA0688">
              <w:t>Mopping (applying product onto mop followed by mopping)</w:t>
            </w:r>
          </w:p>
        </w:tc>
      </w:tr>
      <w:tr w:rsidR="00636650" w:rsidRPr="00B27CB1" w14:paraId="142E0855" w14:textId="77777777" w:rsidTr="00685495">
        <w:tc>
          <w:tcPr>
            <w:tcW w:w="2707" w:type="dxa"/>
            <w:tcBorders>
              <w:top w:val="nil"/>
              <w:left w:val="single" w:sz="4" w:space="0" w:color="000000"/>
              <w:bottom w:val="single" w:sz="4" w:space="0" w:color="000000"/>
              <w:right w:val="nil"/>
            </w:tcBorders>
            <w:hideMark/>
          </w:tcPr>
          <w:p w14:paraId="3A289E4C" w14:textId="77777777" w:rsidR="00636650" w:rsidRPr="00B27CB1" w:rsidRDefault="00636650"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04B34DE" w14:textId="77777777" w:rsidR="00EA0688" w:rsidRDefault="00B95C48" w:rsidP="00EA0688">
            <w:r w:rsidRPr="00F0256C">
              <w:t>Ready to use</w:t>
            </w:r>
            <w:r w:rsidR="00EA0688" w:rsidRPr="00344BDC">
              <w:t xml:space="preserve"> </w:t>
            </w:r>
          </w:p>
          <w:p w14:paraId="7F57A292" w14:textId="33BA8F91" w:rsidR="00B95C48" w:rsidRPr="00F0256C" w:rsidRDefault="00EA0688" w:rsidP="00B95C48">
            <w:r w:rsidRPr="00344BDC">
              <w:t>Dirty conditions</w:t>
            </w:r>
          </w:p>
          <w:p w14:paraId="74E667CE" w14:textId="0BADA0F3" w:rsidR="00001565" w:rsidRDefault="007F73C9" w:rsidP="00001565">
            <w:r>
              <w:t>T</w:t>
            </w:r>
            <w:r w:rsidR="00001565" w:rsidRPr="004D1209">
              <w:t>emperature</w:t>
            </w:r>
            <w:r>
              <w:t>: 20°C</w:t>
            </w:r>
          </w:p>
          <w:p w14:paraId="1145F772" w14:textId="77777777" w:rsidR="00EA0688" w:rsidRPr="004D1209" w:rsidRDefault="00EA0688" w:rsidP="00001565"/>
          <w:p w14:paraId="18AB35D9" w14:textId="77777777" w:rsidR="001F534D" w:rsidRDefault="00EA0688" w:rsidP="00EA0688">
            <w:pPr>
              <w:snapToGrid w:val="0"/>
              <w:spacing w:line="260" w:lineRule="atLeast"/>
              <w:jc w:val="both"/>
            </w:pPr>
            <w:r>
              <w:t>Non mechanical action (spraying) or m</w:t>
            </w:r>
            <w:r w:rsidR="00817221">
              <w:t>echanical action (wiping and mopping):</w:t>
            </w:r>
            <w:r>
              <w:t xml:space="preserve"> </w:t>
            </w:r>
          </w:p>
          <w:p w14:paraId="6004A596" w14:textId="74D13355" w:rsidR="00B95C48" w:rsidRPr="00820E0E" w:rsidRDefault="00B95C48" w:rsidP="00EA0688">
            <w:pPr>
              <w:snapToGrid w:val="0"/>
              <w:spacing w:line="260" w:lineRule="atLeast"/>
              <w:jc w:val="both"/>
            </w:pPr>
            <w:r w:rsidRPr="00F0256C">
              <w:t>Contact time</w:t>
            </w:r>
            <w:r w:rsidR="00511583">
              <w:t xml:space="preserve"> (bacteria and yeasts</w:t>
            </w:r>
            <w:r w:rsidR="00EA0688">
              <w:t>)</w:t>
            </w:r>
            <w:r w:rsidRPr="00F0256C">
              <w:t xml:space="preserve">: </w:t>
            </w:r>
            <w:r w:rsidRPr="00820E0E">
              <w:t>5 minutes</w:t>
            </w:r>
          </w:p>
          <w:p w14:paraId="480D9CFE" w14:textId="77777777" w:rsidR="00B95C48" w:rsidRPr="000D7D14" w:rsidRDefault="00B95C48" w:rsidP="00B95C48"/>
          <w:p w14:paraId="4D4C9D15" w14:textId="76EC5070" w:rsidR="00B95C48" w:rsidRPr="000D7D14" w:rsidRDefault="004F131D" w:rsidP="00B95C48">
            <w:r>
              <w:t>A</w:t>
            </w:r>
            <w:r w:rsidR="00B95C48" w:rsidRPr="000D7D14">
              <w:t>pplication rate</w:t>
            </w:r>
            <w:r>
              <w:t>s</w:t>
            </w:r>
            <w:r w:rsidR="00B95C48" w:rsidRPr="000D7D14">
              <w:t xml:space="preserve">: </w:t>
            </w:r>
          </w:p>
          <w:p w14:paraId="6E8477DC" w14:textId="05876B33" w:rsidR="00E16D2D" w:rsidRPr="000D7D14" w:rsidRDefault="00B95C48" w:rsidP="00B95C48">
            <w:r w:rsidRPr="000D7D14">
              <w:t>30 ml/m</w:t>
            </w:r>
            <w:r w:rsidRPr="000D7D14">
              <w:rPr>
                <w:vertAlign w:val="superscript"/>
              </w:rPr>
              <w:t>2</w:t>
            </w:r>
            <w:r w:rsidRPr="000D7D14">
              <w:t xml:space="preserve"> (20 sprays on the surface per m</w:t>
            </w:r>
            <w:r w:rsidRPr="000D7D14">
              <w:rPr>
                <w:vertAlign w:val="superscript"/>
              </w:rPr>
              <w:t>2</w:t>
            </w:r>
            <w:r w:rsidR="00E16D2D">
              <w:t>)</w:t>
            </w:r>
            <w:r w:rsidRPr="000D7D14">
              <w:t xml:space="preserve"> </w:t>
            </w:r>
          </w:p>
          <w:p w14:paraId="32014A7A" w14:textId="08439746" w:rsidR="00B95C48" w:rsidRPr="000D7D14" w:rsidRDefault="00B95C48" w:rsidP="00B95C48">
            <w:r w:rsidRPr="000D7D14">
              <w:t>8 to 12 sprays or 16 ml on wipe per 0.1</w:t>
            </w:r>
            <w:r w:rsidR="00383E12">
              <w:t xml:space="preserve"> </w:t>
            </w:r>
            <w:r w:rsidRPr="000D7D14">
              <w:t>m</w:t>
            </w:r>
            <w:r w:rsidRPr="000D7D14">
              <w:rPr>
                <w:vertAlign w:val="superscript"/>
              </w:rPr>
              <w:t>2</w:t>
            </w:r>
          </w:p>
          <w:p w14:paraId="434DA133" w14:textId="025DDE45" w:rsidR="00636650" w:rsidRPr="00B27CB1" w:rsidRDefault="00B95C48" w:rsidP="004A347E">
            <w:pPr>
              <w:snapToGrid w:val="0"/>
              <w:spacing w:line="260" w:lineRule="atLeast"/>
              <w:rPr>
                <w:rFonts w:cs="Times New Roman"/>
                <w:lang w:eastAsia="de-DE"/>
              </w:rPr>
            </w:pPr>
            <w:r w:rsidRPr="000D7D14">
              <w:t>For toilet bowls</w:t>
            </w:r>
            <w:r w:rsidR="004F131D">
              <w:t>:</w:t>
            </w:r>
            <w:r w:rsidRPr="000D7D14">
              <w:t xml:space="preserve"> </w:t>
            </w:r>
            <w:r w:rsidRPr="00E91F85">
              <w:rPr>
                <w:bCs/>
                <w:color w:val="000000"/>
                <w:lang w:val="en-US"/>
              </w:rPr>
              <w:t>50 ml or 33 sprays per toilet</w:t>
            </w:r>
          </w:p>
        </w:tc>
      </w:tr>
      <w:tr w:rsidR="00B95C48" w:rsidRPr="00B27CB1" w14:paraId="7880C783" w14:textId="77777777" w:rsidTr="00685495">
        <w:tc>
          <w:tcPr>
            <w:tcW w:w="2707" w:type="dxa"/>
            <w:tcBorders>
              <w:top w:val="nil"/>
              <w:left w:val="single" w:sz="4" w:space="0" w:color="000000"/>
              <w:bottom w:val="single" w:sz="4" w:space="0" w:color="000000"/>
              <w:right w:val="nil"/>
            </w:tcBorders>
            <w:hideMark/>
          </w:tcPr>
          <w:p w14:paraId="45026072" w14:textId="77777777" w:rsidR="00B95C48" w:rsidRPr="00B27CB1" w:rsidRDefault="00B95C48" w:rsidP="00B95C48">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073ADEC4" w14:textId="4C32969A" w:rsidR="00B95C48" w:rsidRPr="00B27CB1" w:rsidRDefault="00B95C48" w:rsidP="00B95C48">
            <w:pPr>
              <w:snapToGrid w:val="0"/>
              <w:spacing w:line="254" w:lineRule="auto"/>
              <w:rPr>
                <w:b/>
              </w:rPr>
            </w:pPr>
            <w:r w:rsidRPr="000D7D14">
              <w:t>Industrial, Professional</w:t>
            </w:r>
          </w:p>
        </w:tc>
      </w:tr>
      <w:tr w:rsidR="00B95C48" w:rsidRPr="00A04731" w14:paraId="2D68CF39" w14:textId="77777777" w:rsidTr="00685495">
        <w:tc>
          <w:tcPr>
            <w:tcW w:w="2707" w:type="dxa"/>
            <w:tcBorders>
              <w:top w:val="nil"/>
              <w:left w:val="single" w:sz="4" w:space="0" w:color="000000"/>
              <w:bottom w:val="single" w:sz="4" w:space="0" w:color="000000"/>
              <w:right w:val="nil"/>
            </w:tcBorders>
            <w:hideMark/>
          </w:tcPr>
          <w:p w14:paraId="7F72E346" w14:textId="77777777" w:rsidR="00B95C48" w:rsidRPr="00B27CB1" w:rsidRDefault="00B95C48" w:rsidP="00B95C48">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0A2B7C8" w14:textId="6558D4DF" w:rsidR="00B95C48" w:rsidRDefault="00B95C48" w:rsidP="00B95C48">
            <w:pPr>
              <w:spacing w:line="254" w:lineRule="auto"/>
            </w:pPr>
            <w:r>
              <w:t>HDPE:</w:t>
            </w:r>
            <w:r w:rsidR="00B639F8">
              <w:t xml:space="preserve"> </w:t>
            </w:r>
            <w:r>
              <w:t>500 mL trigger spray, 750 mL trigger spray, 1 L, 5 L</w:t>
            </w:r>
          </w:p>
          <w:p w14:paraId="08F77F35" w14:textId="7AC9469E" w:rsidR="00B95C48" w:rsidRDefault="00B95C48" w:rsidP="00B95C48">
            <w:pPr>
              <w:spacing w:line="254" w:lineRule="auto"/>
            </w:pPr>
            <w:r>
              <w:t>PET:</w:t>
            </w:r>
            <w:r w:rsidR="00B639F8">
              <w:t xml:space="preserve"> </w:t>
            </w:r>
            <w:r>
              <w:t>500 mL trigger spray, 750 mL trigger spray, 1 L</w:t>
            </w:r>
          </w:p>
          <w:p w14:paraId="7585E9D7" w14:textId="552766FD" w:rsidR="00B95C48" w:rsidRPr="00846366" w:rsidRDefault="00B95C48" w:rsidP="00B639F8">
            <w:pPr>
              <w:spacing w:line="254" w:lineRule="auto"/>
              <w:rPr>
                <w:lang w:val="fr-FR"/>
              </w:rPr>
            </w:pPr>
            <w:r w:rsidRPr="005B2C43">
              <w:rPr>
                <w:lang w:val="fr-FR"/>
              </w:rPr>
              <w:t>Coextrude (HDPE/Adhesive/Nylon polyamide):</w:t>
            </w:r>
            <w:r w:rsidR="00B639F8">
              <w:rPr>
                <w:lang w:val="fr-FR"/>
              </w:rPr>
              <w:t xml:space="preserve"> </w:t>
            </w:r>
            <w:r w:rsidRPr="00846366">
              <w:rPr>
                <w:lang w:val="fr-FR"/>
              </w:rPr>
              <w:t>5 L</w:t>
            </w:r>
          </w:p>
        </w:tc>
      </w:tr>
    </w:tbl>
    <w:p w14:paraId="28E289C3" w14:textId="77777777" w:rsidR="00636650" w:rsidRPr="00846366" w:rsidRDefault="00636650" w:rsidP="00636650">
      <w:pPr>
        <w:tabs>
          <w:tab w:val="left" w:pos="500"/>
        </w:tabs>
        <w:ind w:left="500" w:hanging="500"/>
        <w:rPr>
          <w:lang w:val="fr-FR"/>
        </w:rPr>
      </w:pPr>
    </w:p>
    <w:p w14:paraId="15CBBF54" w14:textId="77777777" w:rsidR="00636650" w:rsidRPr="00B27CB1" w:rsidRDefault="00636650" w:rsidP="00846366">
      <w:pPr>
        <w:keepNext/>
        <w:numPr>
          <w:ilvl w:val="4"/>
          <w:numId w:val="9"/>
        </w:numPr>
        <w:spacing w:before="255" w:after="80" w:line="255" w:lineRule="exact"/>
        <w:outlineLvl w:val="4"/>
        <w:rPr>
          <w:rFonts w:cs="Times"/>
          <w:szCs w:val="29"/>
        </w:rPr>
      </w:pPr>
      <w:r w:rsidRPr="00846366">
        <w:rPr>
          <w:sz w:val="22"/>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289EC07"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2E1F902" w14:textId="48C6A2B5" w:rsidR="00A42425" w:rsidRPr="00E91F85" w:rsidRDefault="00040093" w:rsidP="00E91F85">
            <w:pPr>
              <w:keepNext/>
              <w:widowControl w:val="0"/>
              <w:numPr>
                <w:ilvl w:val="0"/>
                <w:numId w:val="7"/>
              </w:numPr>
              <w:suppressAutoHyphens w:val="0"/>
              <w:autoSpaceDE w:val="0"/>
              <w:spacing w:after="120" w:line="260" w:lineRule="atLeast"/>
              <w:contextualSpacing/>
              <w:jc w:val="both"/>
              <w:rPr>
                <w:bCs/>
                <w:iCs/>
              </w:rPr>
            </w:pPr>
            <w:r w:rsidRPr="00E91F85">
              <w:rPr>
                <w:bCs/>
                <w:iCs/>
              </w:rPr>
              <w:t>Ready-to-use liquid for hard surfaces by spraying:</w:t>
            </w:r>
            <w:r w:rsidR="00EA0688" w:rsidRPr="00E91F85">
              <w:rPr>
                <w:bCs/>
                <w:iCs/>
              </w:rPr>
              <w:t xml:space="preserve"> </w:t>
            </w:r>
            <w:r w:rsidR="00B95C48" w:rsidRPr="00E91F85">
              <w:rPr>
                <w:bCs/>
                <w:iCs/>
              </w:rPr>
              <w:t>Spray directly on the surface</w:t>
            </w:r>
            <w:r w:rsidR="00E16D2D" w:rsidRPr="00E91F85">
              <w:rPr>
                <w:bCs/>
                <w:iCs/>
              </w:rPr>
              <w:t>s</w:t>
            </w:r>
            <w:r w:rsidR="00B95C48" w:rsidRPr="00E91F85">
              <w:rPr>
                <w:bCs/>
                <w:iCs/>
              </w:rPr>
              <w:t xml:space="preserve"> intended to be treated and cover the entire surface</w:t>
            </w:r>
            <w:r w:rsidR="00E16D2D" w:rsidRPr="00E91F85">
              <w:rPr>
                <w:bCs/>
                <w:iCs/>
              </w:rPr>
              <w:t>s</w:t>
            </w:r>
            <w:r w:rsidR="00B95C48" w:rsidRPr="00E91F85">
              <w:rPr>
                <w:bCs/>
                <w:iCs/>
              </w:rPr>
              <w:t>. Allow to take effect for at least 5 minutes, then brush or scrub if required, rinse with water and wipe with a dry cloth.</w:t>
            </w:r>
          </w:p>
          <w:p w14:paraId="13E65FFA" w14:textId="45976B90" w:rsidR="00A42425" w:rsidRPr="00E91F85" w:rsidRDefault="00040093" w:rsidP="00E91F85">
            <w:pPr>
              <w:keepNext/>
              <w:widowControl w:val="0"/>
              <w:numPr>
                <w:ilvl w:val="0"/>
                <w:numId w:val="7"/>
              </w:numPr>
              <w:suppressAutoHyphens w:val="0"/>
              <w:autoSpaceDE w:val="0"/>
              <w:spacing w:after="120" w:line="260" w:lineRule="atLeast"/>
              <w:contextualSpacing/>
              <w:jc w:val="both"/>
              <w:rPr>
                <w:bCs/>
                <w:iCs/>
              </w:rPr>
            </w:pPr>
            <w:r w:rsidRPr="00E91F85">
              <w:rPr>
                <w:bCs/>
                <w:iCs/>
              </w:rPr>
              <w:t>Ready-to-use liquid for hard surfaces by wipping/mopping:</w:t>
            </w:r>
            <w:r w:rsidR="00EA0688" w:rsidRPr="00E91F85">
              <w:rPr>
                <w:bCs/>
                <w:iCs/>
              </w:rPr>
              <w:t xml:space="preserve"> </w:t>
            </w:r>
            <w:r w:rsidR="00E16D2D" w:rsidRPr="00E91F85">
              <w:rPr>
                <w:bCs/>
                <w:iCs/>
              </w:rPr>
              <w:t>Spray on wipe or soak the mop/wipe and apply by fully wetting all surfaces intended to be treated</w:t>
            </w:r>
            <w:r w:rsidR="00B95C48" w:rsidRPr="00E91F85">
              <w:rPr>
                <w:bCs/>
                <w:iCs/>
              </w:rPr>
              <w:t>. Allow to take effect for at least 5 minutes and then rinse with water, wipe the surface with a dry cloth if required or let to dry.</w:t>
            </w:r>
          </w:p>
          <w:p w14:paraId="4477C9EA" w14:textId="04093E26" w:rsidR="00636650" w:rsidRPr="008D35E9" w:rsidRDefault="00A42425" w:rsidP="008D35E9">
            <w:pPr>
              <w:keepNext/>
              <w:widowControl w:val="0"/>
              <w:numPr>
                <w:ilvl w:val="0"/>
                <w:numId w:val="7"/>
              </w:numPr>
              <w:suppressAutoHyphens w:val="0"/>
              <w:autoSpaceDE w:val="0"/>
              <w:spacing w:after="120" w:line="260" w:lineRule="atLeast"/>
              <w:contextualSpacing/>
              <w:jc w:val="both"/>
              <w:rPr>
                <w:bCs/>
                <w:iCs/>
              </w:rPr>
            </w:pPr>
            <w:r w:rsidRPr="00E91F85">
              <w:rPr>
                <w:bCs/>
                <w:iCs/>
              </w:rPr>
              <w:t>Ready-to-use liquid for toilet bowls: Spray inside the toilet bowls by fully covering all surface to be treated.  Allow to take effect for at least 5 minutes, then brush if required and flush the toilet.</w:t>
            </w:r>
          </w:p>
        </w:tc>
      </w:tr>
    </w:tbl>
    <w:p w14:paraId="4030901A"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19E7788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214FAD5" w14:textId="7FEC1B33"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6006860A"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0C67C8F"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55108AB" w14:textId="436359B3"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19A55E48"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BB7612B"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81EABF2" w14:textId="72A4F405"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55178B02"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871DFC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33CA425" w14:textId="6A72E211" w:rsidR="00636650" w:rsidRPr="00B27CB1" w:rsidRDefault="00B639F8" w:rsidP="00685495">
            <w:pPr>
              <w:widowControl w:val="0"/>
              <w:autoSpaceDE w:val="0"/>
              <w:snapToGrid w:val="0"/>
              <w:spacing w:before="80" w:line="254" w:lineRule="auto"/>
              <w:rPr>
                <w:rFonts w:cs="Times"/>
                <w:bCs/>
                <w:szCs w:val="29"/>
              </w:rPr>
            </w:pPr>
            <w:r>
              <w:rPr>
                <w:rFonts w:cs="Times"/>
                <w:bCs/>
                <w:szCs w:val="29"/>
              </w:rPr>
              <w:t>-</w:t>
            </w:r>
          </w:p>
        </w:tc>
      </w:tr>
    </w:tbl>
    <w:p w14:paraId="53A3BCCD" w14:textId="0630C3D7" w:rsidR="00636650" w:rsidRPr="00B27CB1" w:rsidRDefault="00636650" w:rsidP="00636650">
      <w:pPr>
        <w:widowControl w:val="0"/>
        <w:autoSpaceDE w:val="0"/>
        <w:rPr>
          <w:rFonts w:cs="Times"/>
          <w:bCs/>
          <w:szCs w:val="29"/>
        </w:rPr>
      </w:pPr>
    </w:p>
    <w:p w14:paraId="17D5C668" w14:textId="77777777" w:rsidR="00636650" w:rsidRPr="00B27CB1" w:rsidRDefault="00636650" w:rsidP="00636650">
      <w:pPr>
        <w:widowControl w:val="0"/>
        <w:autoSpaceDE w:val="0"/>
        <w:rPr>
          <w:rFonts w:cs="Times"/>
          <w:bCs/>
          <w:szCs w:val="29"/>
        </w:rPr>
      </w:pPr>
    </w:p>
    <w:p w14:paraId="10A7936F" w14:textId="77777777" w:rsidR="00A932DC" w:rsidRPr="00846366" w:rsidRDefault="00A932DC" w:rsidP="00E91F85">
      <w:pPr>
        <w:pStyle w:val="Titre3"/>
        <w:rPr>
          <w:lang w:val="en-US"/>
        </w:rPr>
      </w:pPr>
      <w:bookmarkStart w:id="86" w:name="_Toc87361116"/>
      <w:r w:rsidRPr="00846366">
        <w:rPr>
          <w:lang w:val="en-US"/>
        </w:rPr>
        <w:t>General directions for use of the meta SPC 3</w:t>
      </w:r>
      <w:bookmarkEnd w:id="86"/>
    </w:p>
    <w:p w14:paraId="07CFC3D9"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3221048E"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E55B1C" w14:textId="5697B062" w:rsidR="002C7AED" w:rsidRDefault="002C7AED" w:rsidP="002C7AED">
            <w:pPr>
              <w:keepNext/>
              <w:widowControl w:val="0"/>
              <w:numPr>
                <w:ilvl w:val="0"/>
                <w:numId w:val="7"/>
              </w:numPr>
              <w:suppressAutoHyphens w:val="0"/>
              <w:autoSpaceDE w:val="0"/>
              <w:spacing w:after="120" w:line="260" w:lineRule="atLeast"/>
              <w:contextualSpacing/>
              <w:jc w:val="both"/>
              <w:rPr>
                <w:bCs/>
                <w:iCs/>
              </w:rPr>
            </w:pPr>
            <w:r>
              <w:rPr>
                <w:bCs/>
                <w:iCs/>
              </w:rPr>
              <w:t>Comply with the instructions of uses</w:t>
            </w:r>
            <w:r w:rsidR="005531C2">
              <w:rPr>
                <w:bCs/>
                <w:iCs/>
              </w:rPr>
              <w:t>.</w:t>
            </w:r>
          </w:p>
          <w:p w14:paraId="1CEAB272" w14:textId="43D3C6AA" w:rsidR="00B95C48" w:rsidRPr="00B95C48" w:rsidRDefault="00B95C48" w:rsidP="002C7AED">
            <w:pPr>
              <w:keepNext/>
              <w:widowControl w:val="0"/>
              <w:numPr>
                <w:ilvl w:val="0"/>
                <w:numId w:val="7"/>
              </w:numPr>
              <w:suppressAutoHyphens w:val="0"/>
              <w:autoSpaceDE w:val="0"/>
              <w:spacing w:after="120" w:line="260" w:lineRule="atLeast"/>
              <w:contextualSpacing/>
              <w:jc w:val="both"/>
              <w:rPr>
                <w:bCs/>
                <w:iCs/>
              </w:rPr>
            </w:pPr>
            <w:r w:rsidRPr="00B95C48">
              <w:rPr>
                <w:bCs/>
                <w:iCs/>
              </w:rPr>
              <w:t>Respect the conditions of use of the product (concentration, contact time, temperature, pH, etc.)</w:t>
            </w:r>
            <w:r w:rsidR="005531C2">
              <w:rPr>
                <w:bCs/>
                <w:iCs/>
              </w:rPr>
              <w:t>.</w:t>
            </w:r>
          </w:p>
          <w:p w14:paraId="72CC8A6A" w14:textId="77777777" w:rsidR="00B95C48" w:rsidRPr="00B95C48" w:rsidRDefault="00B95C48" w:rsidP="002C7AED">
            <w:pPr>
              <w:keepNext/>
              <w:widowControl w:val="0"/>
              <w:numPr>
                <w:ilvl w:val="0"/>
                <w:numId w:val="7"/>
              </w:numPr>
              <w:suppressAutoHyphens w:val="0"/>
              <w:autoSpaceDE w:val="0"/>
              <w:spacing w:after="120" w:line="260" w:lineRule="atLeast"/>
              <w:contextualSpacing/>
              <w:jc w:val="both"/>
              <w:rPr>
                <w:bCs/>
                <w:iCs/>
              </w:rPr>
            </w:pPr>
            <w:r w:rsidRPr="00B95C48">
              <w:rPr>
                <w:bCs/>
                <w:iCs/>
              </w:rPr>
              <w:t>Inform the authorization holder if the treatment is ineffective.</w:t>
            </w:r>
          </w:p>
          <w:p w14:paraId="489909FD" w14:textId="00EF7F78" w:rsidR="00A932DC" w:rsidRPr="00B27CB1" w:rsidRDefault="00B95C48" w:rsidP="002C7AED">
            <w:pPr>
              <w:keepNext/>
              <w:widowControl w:val="0"/>
              <w:numPr>
                <w:ilvl w:val="0"/>
                <w:numId w:val="7"/>
              </w:numPr>
              <w:suppressAutoHyphens w:val="0"/>
              <w:autoSpaceDE w:val="0"/>
              <w:spacing w:after="120" w:line="260" w:lineRule="atLeast"/>
              <w:contextualSpacing/>
              <w:jc w:val="both"/>
              <w:rPr>
                <w:bCs/>
                <w:iCs/>
              </w:rPr>
            </w:pPr>
            <w:r w:rsidRPr="00B95C48">
              <w:rPr>
                <w:bCs/>
                <w:iCs/>
              </w:rPr>
              <w:t>For PT4</w:t>
            </w:r>
            <w:r w:rsidR="002B7590">
              <w:rPr>
                <w:bCs/>
                <w:iCs/>
              </w:rPr>
              <w:t xml:space="preserve"> surfaces</w:t>
            </w:r>
            <w:r w:rsidRPr="00B95C48">
              <w:rPr>
                <w:bCs/>
                <w:iCs/>
              </w:rPr>
              <w:t>, application is only for general disinfection.</w:t>
            </w:r>
          </w:p>
        </w:tc>
      </w:tr>
    </w:tbl>
    <w:p w14:paraId="37B886A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D36DBFF"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D23F886" w14:textId="77777777" w:rsidR="00D76329" w:rsidRPr="009E07D6" w:rsidRDefault="00D76329" w:rsidP="00E91F85">
            <w:pPr>
              <w:pStyle w:val="Paragraphedeliste"/>
              <w:numPr>
                <w:ilvl w:val="0"/>
                <w:numId w:val="38"/>
              </w:numPr>
              <w:suppressAutoHyphens w:val="0"/>
              <w:spacing w:line="252" w:lineRule="auto"/>
              <w:jc w:val="both"/>
              <w:rPr>
                <w:rFonts w:cs="Arial"/>
                <w:iCs/>
                <w:color w:val="000000" w:themeColor="text1"/>
                <w:szCs w:val="16"/>
              </w:rPr>
            </w:pPr>
            <w:r w:rsidRPr="00305DEF">
              <w:rPr>
                <w:rFonts w:cs="Arial"/>
                <w:iCs/>
                <w:color w:val="000000" w:themeColor="text1"/>
                <w:szCs w:val="16"/>
              </w:rPr>
              <w:t>During loading of the trigger spray and app</w:t>
            </w:r>
            <w:r w:rsidRPr="009E07D6">
              <w:rPr>
                <w:rFonts w:cs="Arial"/>
                <w:iCs/>
                <w:color w:val="000000" w:themeColor="text1"/>
                <w:szCs w:val="16"/>
              </w:rPr>
              <w:t>lication, wear:</w:t>
            </w:r>
          </w:p>
          <w:p w14:paraId="2A13E13D" w14:textId="77777777" w:rsidR="00D20EDF" w:rsidRDefault="00D20EDF" w:rsidP="00E91F85">
            <w:pPr>
              <w:pStyle w:val="Paragraphedeliste"/>
              <w:numPr>
                <w:ilvl w:val="0"/>
                <w:numId w:val="41"/>
              </w:numPr>
              <w:suppressAutoHyphens w:val="0"/>
              <w:spacing w:line="252" w:lineRule="auto"/>
              <w:jc w:val="both"/>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57B4AD49" w14:textId="77777777" w:rsidR="00D20EDF" w:rsidRDefault="00D20EDF" w:rsidP="00D20EDF">
            <w:pPr>
              <w:pStyle w:val="Paragraphedeliste"/>
              <w:numPr>
                <w:ilvl w:val="0"/>
                <w:numId w:val="41"/>
              </w:numPr>
              <w:suppressAutoHyphens w:val="0"/>
              <w:spacing w:line="252" w:lineRule="auto"/>
              <w:jc w:val="both"/>
              <w:rPr>
                <w:rFonts w:cs="Arial"/>
                <w:iCs/>
                <w:color w:val="000000" w:themeColor="text1"/>
                <w:szCs w:val="16"/>
                <w:lang w:val="en-US"/>
              </w:rPr>
            </w:pPr>
            <w:r>
              <w:rPr>
                <w:rFonts w:cs="Arial"/>
                <w:iCs/>
                <w:color w:val="000000" w:themeColor="text1"/>
                <w:szCs w:val="16"/>
                <w:lang w:val="en-US"/>
              </w:rPr>
              <w:t xml:space="preserve">coated coverall (at least category III type 6), </w:t>
            </w:r>
          </w:p>
          <w:p w14:paraId="4968B857" w14:textId="1ED9630B" w:rsidR="00D20EDF" w:rsidRDefault="00D20EDF" w:rsidP="00D20EDF">
            <w:pPr>
              <w:pStyle w:val="Paragraphedeliste"/>
              <w:numPr>
                <w:ilvl w:val="0"/>
                <w:numId w:val="41"/>
              </w:numPr>
              <w:suppressAutoHyphens w:val="0"/>
              <w:spacing w:line="252" w:lineRule="auto"/>
              <w:jc w:val="both"/>
              <w:rPr>
                <w:rFonts w:cs="Arial"/>
                <w:iCs/>
                <w:color w:val="000000" w:themeColor="text1"/>
                <w:szCs w:val="16"/>
                <w:lang w:val="en-US"/>
              </w:rPr>
            </w:pPr>
            <w:r>
              <w:rPr>
                <w:rFonts w:cs="Arial"/>
                <w:iCs/>
                <w:color w:val="000000" w:themeColor="text1"/>
                <w:szCs w:val="16"/>
                <w:lang w:val="en-US"/>
              </w:rPr>
              <w:t>face shield</w:t>
            </w:r>
            <w:r w:rsidR="001E514A">
              <w:rPr>
                <w:rFonts w:cs="Arial"/>
                <w:iCs/>
                <w:color w:val="000000" w:themeColor="text1"/>
                <w:szCs w:val="16"/>
                <w:lang w:val="en-US"/>
              </w:rPr>
              <w:t>.</w:t>
            </w:r>
          </w:p>
          <w:p w14:paraId="043F8D7F" w14:textId="77777777" w:rsidR="00D20EDF" w:rsidRDefault="00D20EDF" w:rsidP="00D20EDF">
            <w:pPr>
              <w:pStyle w:val="Paragraphedeliste"/>
              <w:numPr>
                <w:ilvl w:val="0"/>
                <w:numId w:val="38"/>
              </w:numPr>
              <w:suppressAutoHyphens w:val="0"/>
              <w:spacing w:line="252"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 during loading of the trigger spray</w:t>
            </w:r>
          </w:p>
          <w:p w14:paraId="1524052D" w14:textId="77777777" w:rsidR="00D20EDF" w:rsidRDefault="00D20EDF" w:rsidP="00D20EDF">
            <w:pPr>
              <w:pStyle w:val="Paragraphedeliste"/>
              <w:numPr>
                <w:ilvl w:val="0"/>
                <w:numId w:val="38"/>
              </w:numPr>
              <w:suppressAutoHyphens w:val="0"/>
              <w:spacing w:line="252" w:lineRule="auto"/>
              <w:jc w:val="both"/>
              <w:rPr>
                <w:rFonts w:cs="Arial"/>
                <w:iCs/>
                <w:color w:val="000000" w:themeColor="text1"/>
                <w:szCs w:val="16"/>
                <w:lang w:val="en-US"/>
              </w:rPr>
            </w:pPr>
            <w:r>
              <w:rPr>
                <w:rFonts w:cs="Arial"/>
                <w:iCs/>
                <w:color w:val="000000" w:themeColor="text1"/>
                <w:szCs w:val="16"/>
                <w:lang w:val="en-US"/>
              </w:rPr>
              <w:lastRenderedPageBreak/>
              <w:t>The spray application must be downward in order to avoid any facial exposure.</w:t>
            </w:r>
          </w:p>
          <w:p w14:paraId="3D1301BF" w14:textId="61D91FC9" w:rsidR="00A932DC" w:rsidRPr="00E91F85" w:rsidRDefault="003419A9" w:rsidP="00E91F85">
            <w:pPr>
              <w:pStyle w:val="Paragraphedeliste"/>
              <w:numPr>
                <w:ilvl w:val="0"/>
                <w:numId w:val="38"/>
              </w:numPr>
              <w:suppressAutoHyphens w:val="0"/>
              <w:spacing w:line="252" w:lineRule="auto"/>
              <w:jc w:val="both"/>
              <w:rPr>
                <w:lang w:val="en-US"/>
              </w:rPr>
            </w:pPr>
            <w:r w:rsidRPr="00E91F85">
              <w:rPr>
                <w:rFonts w:cs="Arial"/>
                <w:iCs/>
                <w:color w:val="000000" w:themeColor="text1"/>
                <w:szCs w:val="16"/>
              </w:rPr>
              <w:t>Avoidance of contact with freshly treated surfaces.</w:t>
            </w:r>
          </w:p>
        </w:tc>
      </w:tr>
    </w:tbl>
    <w:p w14:paraId="5CA296C8"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75EDA5A"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41247A4" w14:textId="698CD180" w:rsidR="0084136A" w:rsidRPr="00E91F85" w:rsidRDefault="0084136A"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IF IN EYES: Rinse cautiously with water for several minutes. Remove contact lenses, if present and easy to do. Continue rinsing.</w:t>
            </w:r>
          </w:p>
          <w:p w14:paraId="5A4E0E70" w14:textId="117540E0" w:rsidR="0084136A" w:rsidRPr="00E91F85" w:rsidRDefault="0084136A"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IF ON SKIN: Wash with plenty of water</w:t>
            </w:r>
          </w:p>
          <w:p w14:paraId="60D843E3" w14:textId="668AC0C6" w:rsidR="009658D0" w:rsidRPr="00E91F85" w:rsidRDefault="009658D0"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Ingestion: Wash out mouth with water. Contact poison treatment specialist. Seek medical advice immediately if symptoms occur and/or large quantities have been ingested. Do not give fluids or induce vomiting.</w:t>
            </w:r>
          </w:p>
          <w:p w14:paraId="63B15645" w14:textId="77777777" w:rsidR="009658D0" w:rsidRPr="00E91F85" w:rsidRDefault="009658D0"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Inhalation (of spray mist): Remove victim to fresh air and keep at rest in a position comfortable for breathing. Seek medical advice immediately if symptoms occur and/or large quantities have been inhaled.</w:t>
            </w:r>
          </w:p>
          <w:p w14:paraId="25478A1B" w14:textId="77777777" w:rsidR="009658D0" w:rsidRPr="00E91F85" w:rsidRDefault="009658D0"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In case of impaired consciousness place in recovery position and seek medical advice immediately.</w:t>
            </w:r>
          </w:p>
          <w:p w14:paraId="647F6BFE" w14:textId="6BB793B7" w:rsidR="00A932DC" w:rsidRPr="00E91F85" w:rsidRDefault="009658D0" w:rsidP="00E91F85">
            <w:pPr>
              <w:pStyle w:val="Paragraphedeliste"/>
              <w:numPr>
                <w:ilvl w:val="0"/>
                <w:numId w:val="38"/>
              </w:numPr>
              <w:suppressAutoHyphens w:val="0"/>
              <w:spacing w:line="252" w:lineRule="auto"/>
              <w:jc w:val="both"/>
              <w:rPr>
                <w:rFonts w:ascii="Calibri" w:eastAsia="Calibri" w:hAnsi="Calibri" w:cs="Times New Roman"/>
                <w:sz w:val="22"/>
                <w:szCs w:val="22"/>
                <w:lang w:val="en-US" w:eastAsia="en-US"/>
              </w:rPr>
            </w:pPr>
            <w:r w:rsidRPr="00E91F85">
              <w:rPr>
                <w:rFonts w:cs="Arial"/>
                <w:iCs/>
                <w:color w:val="000000" w:themeColor="text1"/>
                <w:szCs w:val="16"/>
              </w:rPr>
              <w:t>Keep the container or label available.</w:t>
            </w:r>
          </w:p>
        </w:tc>
      </w:tr>
    </w:tbl>
    <w:p w14:paraId="5CEB5176"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D9CDFCE"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DA25A59" w14:textId="0E8AC2B3" w:rsidR="00CF6513" w:rsidRPr="00E91F85" w:rsidRDefault="00CF6513" w:rsidP="00E91F85">
            <w:pPr>
              <w:pStyle w:val="Paragraphedeliste"/>
              <w:numPr>
                <w:ilvl w:val="0"/>
                <w:numId w:val="38"/>
              </w:numPr>
              <w:suppressAutoHyphens w:val="0"/>
              <w:spacing w:line="252" w:lineRule="auto"/>
              <w:jc w:val="both"/>
              <w:rPr>
                <w:rFonts w:cs="Arial"/>
                <w:iCs/>
                <w:color w:val="000000" w:themeColor="text1"/>
                <w:szCs w:val="16"/>
              </w:rPr>
            </w:pPr>
            <w:r w:rsidRPr="00E91F85">
              <w:rPr>
                <w:rFonts w:cs="Arial"/>
                <w:iCs/>
                <w:color w:val="000000" w:themeColor="text1"/>
                <w:szCs w:val="16"/>
              </w:rPr>
              <w:t>Do not discharge unused product on the ground, into water courses, into pipes (sink, toilets…) nor down the drains</w:t>
            </w:r>
            <w:r w:rsidR="001E514A">
              <w:rPr>
                <w:rFonts w:cs="Arial"/>
                <w:iCs/>
                <w:color w:val="000000" w:themeColor="text1"/>
                <w:szCs w:val="16"/>
              </w:rPr>
              <w:t>.</w:t>
            </w:r>
          </w:p>
          <w:p w14:paraId="4AA1007F" w14:textId="14338636" w:rsidR="00A932DC" w:rsidRPr="00B27CB1" w:rsidRDefault="00CF6513" w:rsidP="00E91F85">
            <w:pPr>
              <w:pStyle w:val="Paragraphedeliste"/>
              <w:numPr>
                <w:ilvl w:val="0"/>
                <w:numId w:val="38"/>
              </w:numPr>
              <w:suppressAutoHyphens w:val="0"/>
              <w:spacing w:line="252" w:lineRule="auto"/>
              <w:jc w:val="both"/>
            </w:pPr>
            <w:r w:rsidRPr="00E91F85">
              <w:rPr>
                <w:rFonts w:cs="Arial"/>
                <w:iCs/>
                <w:color w:val="000000" w:themeColor="text1"/>
                <w:szCs w:val="16"/>
              </w:rPr>
              <w:t>Dispose of unused product, its packaging and all other waste, in accordance with local regulations</w:t>
            </w:r>
            <w:r w:rsidR="001E514A">
              <w:rPr>
                <w:rFonts w:cs="Arial"/>
                <w:iCs/>
                <w:color w:val="000000" w:themeColor="text1"/>
                <w:szCs w:val="16"/>
              </w:rPr>
              <w:t>.</w:t>
            </w:r>
          </w:p>
        </w:tc>
      </w:tr>
    </w:tbl>
    <w:p w14:paraId="2642A93F"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431DF9B"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6638D55" w14:textId="569796AE" w:rsidR="00A932DC" w:rsidRPr="00B27CB1" w:rsidRDefault="001A3296" w:rsidP="00E91F85">
            <w:pPr>
              <w:pStyle w:val="Paragraphedeliste"/>
              <w:numPr>
                <w:ilvl w:val="0"/>
                <w:numId w:val="38"/>
              </w:numPr>
              <w:suppressAutoHyphens w:val="0"/>
              <w:spacing w:line="252" w:lineRule="auto"/>
              <w:jc w:val="both"/>
            </w:pPr>
            <w:r w:rsidRPr="00E91F85">
              <w:rPr>
                <w:rFonts w:cs="Arial"/>
                <w:iCs/>
                <w:color w:val="000000" w:themeColor="text1"/>
                <w:szCs w:val="16"/>
              </w:rPr>
              <w:t>Shelf life: 2 years</w:t>
            </w:r>
            <w:r w:rsidR="001E514A">
              <w:rPr>
                <w:rFonts w:cs="Arial"/>
                <w:iCs/>
                <w:color w:val="000000" w:themeColor="text1"/>
                <w:szCs w:val="16"/>
              </w:rPr>
              <w:t>.</w:t>
            </w:r>
          </w:p>
        </w:tc>
      </w:tr>
    </w:tbl>
    <w:p w14:paraId="585BFC19" w14:textId="77777777" w:rsidR="00A932DC" w:rsidRPr="00B27CB1" w:rsidRDefault="00A932DC" w:rsidP="00A932DC">
      <w:pPr>
        <w:widowControl w:val="0"/>
        <w:autoSpaceDE w:val="0"/>
        <w:rPr>
          <w:bCs/>
          <w:iCs/>
          <w:szCs w:val="22"/>
        </w:rPr>
      </w:pPr>
    </w:p>
    <w:p w14:paraId="5BE32D29" w14:textId="77777777" w:rsidR="00A932DC" w:rsidRPr="00B27CB1" w:rsidRDefault="00A932DC" w:rsidP="00E91F85">
      <w:pPr>
        <w:pStyle w:val="Titre3"/>
      </w:pPr>
      <w:bookmarkStart w:id="87" w:name="_Toc87361117"/>
      <w:r w:rsidRPr="00B27CB1">
        <w:t>Other information</w:t>
      </w:r>
      <w:bookmarkEnd w:id="8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7C44625"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548752E" w14:textId="23E7709E" w:rsidR="00A932DC" w:rsidRPr="00B27CB1" w:rsidRDefault="003F1647" w:rsidP="00A932DC">
            <w:pPr>
              <w:widowControl w:val="0"/>
              <w:autoSpaceDE w:val="0"/>
              <w:snapToGrid w:val="0"/>
              <w:spacing w:line="256" w:lineRule="auto"/>
              <w:jc w:val="both"/>
            </w:pPr>
            <w:r>
              <w:t>-</w:t>
            </w:r>
          </w:p>
        </w:tc>
      </w:tr>
    </w:tbl>
    <w:p w14:paraId="7FC3CA83" w14:textId="77777777" w:rsidR="00A932DC" w:rsidRPr="00B27CB1" w:rsidRDefault="00A932DC" w:rsidP="00A932DC"/>
    <w:p w14:paraId="153CF1F6" w14:textId="77777777" w:rsidR="00A932DC" w:rsidRPr="00B27CB1" w:rsidRDefault="00A932DC" w:rsidP="00A932DC"/>
    <w:p w14:paraId="5E1B3345" w14:textId="77777777" w:rsidR="00A932DC" w:rsidRPr="00B27CB1" w:rsidRDefault="00A932DC" w:rsidP="00A932DC"/>
    <w:p w14:paraId="548AD427" w14:textId="17B08B14"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3</w:t>
      </w:r>
    </w:p>
    <w:p w14:paraId="6CF9C032" w14:textId="77777777" w:rsidR="00A932DC" w:rsidRPr="00B27CB1" w:rsidRDefault="00A932DC" w:rsidP="00A932DC">
      <w:pPr>
        <w:widowControl w:val="0"/>
        <w:autoSpaceDE w:val="0"/>
        <w:rPr>
          <w:rFonts w:cs="Times"/>
          <w:bCs/>
          <w:szCs w:val="29"/>
        </w:rPr>
      </w:pPr>
    </w:p>
    <w:p w14:paraId="444F2ACF" w14:textId="77777777" w:rsidR="00A932DC" w:rsidRPr="00846366" w:rsidRDefault="00A932DC" w:rsidP="00E91F85">
      <w:pPr>
        <w:pStyle w:val="Titre3"/>
        <w:rPr>
          <w:lang w:val="en-US"/>
        </w:rPr>
      </w:pPr>
      <w:bookmarkStart w:id="88" w:name="_Toc87361118"/>
      <w:r w:rsidRPr="00846366">
        <w:rPr>
          <w:lang w:val="en-US"/>
        </w:rPr>
        <w:t>Trade name(s), authorisation number and specific composition of each individual product</w:t>
      </w:r>
      <w:bookmarkEnd w:id="88"/>
    </w:p>
    <w:p w14:paraId="2C2A2FBA" w14:textId="77777777"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A04731" w14:paraId="567B1889"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75B4F4" w14:textId="77777777" w:rsidR="00A932DC" w:rsidRPr="00B27CB1" w:rsidRDefault="00A932DC" w:rsidP="00A932DC">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D02F29" w14:textId="77777777" w:rsidR="00636650"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SANITAIRES DESINFECTANT EXTRA</w:t>
            </w:r>
          </w:p>
          <w:p w14:paraId="63ABF24B" w14:textId="75AE1122" w:rsidR="00A932DC" w:rsidRPr="005A150D" w:rsidRDefault="00636650" w:rsidP="00636650">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BACTOPIN VR</w:t>
            </w:r>
          </w:p>
        </w:tc>
      </w:tr>
      <w:tr w:rsidR="00A932DC" w:rsidRPr="00B27CB1" w14:paraId="14DD8080"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69322F" w14:textId="77777777" w:rsidR="00A932DC" w:rsidRPr="00B27CB1" w:rsidRDefault="00A932DC" w:rsidP="00A932DC">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71CED" w14:textId="77777777" w:rsidR="00A932DC" w:rsidRPr="00B27CB1" w:rsidRDefault="00A932DC" w:rsidP="00A932DC">
            <w:pPr>
              <w:spacing w:line="256" w:lineRule="auto"/>
              <w:rPr>
                <w:b/>
                <w:bCs/>
                <w:szCs w:val="24"/>
                <w:lang w:eastAsia="en-GB"/>
              </w:rPr>
            </w:pPr>
          </w:p>
        </w:tc>
      </w:tr>
      <w:tr w:rsidR="00A932DC" w:rsidRPr="00B27CB1" w14:paraId="63F671DB"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975E28" w14:textId="77777777" w:rsidR="00A932DC" w:rsidRPr="00B27CB1" w:rsidRDefault="00A932DC" w:rsidP="00A932DC">
            <w:pPr>
              <w:spacing w:line="256" w:lineRule="auto"/>
            </w:pPr>
            <w:r w:rsidRPr="00B27CB1">
              <w:rPr>
                <w:b/>
                <w:bCs/>
                <w:szCs w:val="24"/>
                <w:lang w:eastAsia="en-GB"/>
              </w:rPr>
              <w:lastRenderedPageBreak/>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03EC17" w14:textId="77777777" w:rsidR="00A932DC" w:rsidRPr="00B27CB1" w:rsidRDefault="00A932DC" w:rsidP="00A932DC">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384F3BE" w14:textId="77777777" w:rsidR="00A932DC" w:rsidRPr="00B27CB1" w:rsidRDefault="00A932DC" w:rsidP="00A932DC">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877B24" w14:textId="77777777" w:rsidR="00A932DC" w:rsidRPr="00B27CB1" w:rsidRDefault="00A932DC" w:rsidP="00A932D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E8BF9FA" w14:textId="77777777" w:rsidR="00A932DC" w:rsidRPr="00B27CB1" w:rsidRDefault="00A932DC" w:rsidP="00A932DC">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01ED3A" w14:textId="77777777" w:rsidR="00A932DC" w:rsidRPr="00B27CB1" w:rsidRDefault="00A932DC" w:rsidP="00A932DC">
            <w:pPr>
              <w:spacing w:line="256" w:lineRule="auto"/>
            </w:pPr>
            <w:r w:rsidRPr="00B27CB1">
              <w:rPr>
                <w:b/>
                <w:bCs/>
                <w:szCs w:val="24"/>
                <w:lang w:eastAsia="en-GB"/>
              </w:rPr>
              <w:t>Content (%)</w:t>
            </w:r>
          </w:p>
        </w:tc>
      </w:tr>
      <w:tr w:rsidR="00EE5406" w:rsidRPr="00B27CB1" w14:paraId="45507D65"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FF3F3" w14:textId="2E9452B3" w:rsidR="00EE5406" w:rsidRPr="00846366" w:rsidRDefault="00480A68" w:rsidP="00EE5406">
            <w:pPr>
              <w:snapToGrid w:val="0"/>
              <w:spacing w:line="256" w:lineRule="auto"/>
              <w:rPr>
                <w:rFonts w:cs="Arial"/>
              </w:rPr>
            </w:pPr>
            <w:r w:rsidRPr="005D3980">
              <w:rPr>
                <w:rFonts w:cs="Arial"/>
              </w:rPr>
              <w:t xml:space="preserve">L(+) </w:t>
            </w:r>
            <w:r w:rsidR="00EE5406" w:rsidRPr="00846366">
              <w:rPr>
                <w:rFonts w:cs="Arial"/>
              </w:rPr>
              <w:t>Lactic acid</w:t>
            </w:r>
          </w:p>
          <w:p w14:paraId="007AC9B6" w14:textId="77777777" w:rsidR="00EE5406" w:rsidRPr="00846366" w:rsidRDefault="00EE5406" w:rsidP="00EE5406">
            <w:pPr>
              <w:widowControl w:val="0"/>
              <w:autoSpaceDE w:val="0"/>
              <w:spacing w:line="256" w:lineRule="auto"/>
              <w:rPr>
                <w:rFonts w:cs="Arial"/>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98F4DB" w14:textId="6CF71257" w:rsidR="00EE5406" w:rsidRPr="00846366" w:rsidRDefault="00480A68" w:rsidP="00EE5406">
            <w:pPr>
              <w:widowControl w:val="0"/>
              <w:autoSpaceDE w:val="0"/>
              <w:spacing w:line="256" w:lineRule="auto"/>
              <w:rPr>
                <w:rFonts w:cs="Arial"/>
              </w:rPr>
            </w:pPr>
            <w:r w:rsidRPr="00932929">
              <w:t>(S)-2-Hydroxypropanoic acid</w:t>
            </w:r>
            <w:r w:rsidRPr="00480A68" w:rsidDel="00480A68">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3F62FB4" w14:textId="6AD4405A" w:rsidR="00EE5406" w:rsidRPr="00846366" w:rsidRDefault="00EE5406" w:rsidP="00EE5406">
            <w:pPr>
              <w:spacing w:line="256" w:lineRule="auto"/>
              <w:rPr>
                <w:rFonts w:cs="Arial"/>
              </w:rPr>
            </w:pPr>
            <w:r w:rsidRPr="00846366">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90EFED" w14:textId="7328D895" w:rsidR="00EE5406" w:rsidRPr="00846366" w:rsidRDefault="00EE5406" w:rsidP="00EE5406">
            <w:pPr>
              <w:spacing w:line="256" w:lineRule="auto"/>
              <w:rPr>
                <w:rFonts w:cs="Arial"/>
              </w:rPr>
            </w:pPr>
            <w:r w:rsidRPr="00846366">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515F65" w14:textId="0109D28E" w:rsidR="00EE5406" w:rsidRPr="00846366" w:rsidRDefault="00EE5406" w:rsidP="00EE5406">
            <w:pPr>
              <w:widowControl w:val="0"/>
              <w:autoSpaceDE w:val="0"/>
              <w:spacing w:line="256" w:lineRule="auto"/>
              <w:rPr>
                <w:rFonts w:cs="Arial"/>
              </w:rPr>
            </w:pPr>
            <w:r w:rsidRPr="00846366">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9C568C1" w14:textId="70DF3FF7" w:rsidR="00EE5406" w:rsidRPr="00846366" w:rsidRDefault="00EE5406" w:rsidP="00EE5406">
            <w:pPr>
              <w:autoSpaceDE w:val="0"/>
              <w:spacing w:line="256" w:lineRule="auto"/>
              <w:rPr>
                <w:rFonts w:cs="Arial"/>
              </w:rPr>
            </w:pPr>
            <w:r w:rsidRPr="00846366">
              <w:rPr>
                <w:rFonts w:cs="Arial"/>
              </w:rPr>
              <w:t>3.82</w:t>
            </w:r>
          </w:p>
        </w:tc>
      </w:tr>
      <w:tr w:rsidR="00EE5406" w:rsidRPr="00B27CB1" w14:paraId="26D4B64A"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3BE757E5" w14:textId="77777777" w:rsidR="00EE5406" w:rsidRPr="00846366" w:rsidRDefault="00EE5406" w:rsidP="00EE5406">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3523BB9E" w14:textId="77777777" w:rsidR="00EE5406" w:rsidRPr="00846366" w:rsidRDefault="00EE5406" w:rsidP="00EE5406">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6E1648E" w14:textId="6BB59E79" w:rsidR="00EE5406" w:rsidRPr="00846366" w:rsidRDefault="00EE5406" w:rsidP="00EE5406">
            <w:pPr>
              <w:spacing w:line="256" w:lineRule="auto"/>
              <w:rPr>
                <w:rFonts w:cs="Arial"/>
              </w:rPr>
            </w:pPr>
            <w:r w:rsidRPr="00846366">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7FDB7259" w14:textId="77777777" w:rsidR="00EE5406" w:rsidRPr="00846366"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20BECD93" w14:textId="77777777" w:rsidR="00EE5406" w:rsidRPr="00846366" w:rsidRDefault="00EE5406" w:rsidP="00EE5406">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2E14303" w14:textId="46237335" w:rsidR="00EE5406" w:rsidRPr="00846366" w:rsidRDefault="00EE5406" w:rsidP="00EE5406">
            <w:pPr>
              <w:spacing w:line="256" w:lineRule="auto"/>
              <w:rPr>
                <w:rFonts w:cs="Arial"/>
              </w:rPr>
            </w:pPr>
            <w:r w:rsidRPr="00846366">
              <w:rPr>
                <w:rFonts w:cs="Arial"/>
              </w:rPr>
              <w:t>4</w:t>
            </w:r>
          </w:p>
        </w:tc>
      </w:tr>
    </w:tbl>
    <w:p w14:paraId="35A8B091" w14:textId="1AFEEC16" w:rsidR="00636650" w:rsidRPr="00B27CB1" w:rsidRDefault="00636650">
      <w:pPr>
        <w:suppressAutoHyphens w:val="0"/>
      </w:pPr>
    </w:p>
    <w:p w14:paraId="228F600D" w14:textId="77777777" w:rsidR="00A932DC" w:rsidRPr="00B27CB1" w:rsidRDefault="00A932DC" w:rsidP="00636650"/>
    <w:p w14:paraId="237F3FC3" w14:textId="7777777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4</w:t>
      </w:r>
    </w:p>
    <w:p w14:paraId="63BDCE7D" w14:textId="77777777" w:rsidR="00A932DC" w:rsidRPr="00B27CB1" w:rsidRDefault="00A932DC" w:rsidP="00A932DC"/>
    <w:p w14:paraId="03A78986" w14:textId="77777777" w:rsidR="00A932DC" w:rsidRPr="00B27CB1" w:rsidRDefault="00A932DC" w:rsidP="00E91F85">
      <w:pPr>
        <w:pStyle w:val="Titre3"/>
      </w:pPr>
      <w:bookmarkStart w:id="89" w:name="_Toc87361119"/>
      <w:r w:rsidRPr="00B27CB1">
        <w:t>Meta SPC 4 administrative information</w:t>
      </w:r>
      <w:bookmarkEnd w:id="89"/>
    </w:p>
    <w:p w14:paraId="4D5393A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5FD7F05"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551DF4"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E6AE5C4" w14:textId="77777777" w:rsidR="00A932DC" w:rsidRPr="00B27CB1" w:rsidRDefault="00A932DC" w:rsidP="00A932DC">
            <w:pPr>
              <w:spacing w:line="256" w:lineRule="auto"/>
            </w:pPr>
            <w:r w:rsidRPr="00B27CB1">
              <w:t>META SPC 4</w:t>
            </w:r>
          </w:p>
        </w:tc>
      </w:tr>
    </w:tbl>
    <w:p w14:paraId="18FED576" w14:textId="77777777" w:rsidR="00A932DC" w:rsidRPr="00B27CB1" w:rsidRDefault="00A932DC" w:rsidP="00A932DC"/>
    <w:p w14:paraId="034FC00D"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47C31A66"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75E55" w14:textId="66B441E9" w:rsidR="00A932DC" w:rsidRPr="00B27CB1" w:rsidRDefault="003F1647" w:rsidP="00A932DC">
            <w:pPr>
              <w:spacing w:line="256" w:lineRule="auto"/>
            </w:pPr>
            <w:r>
              <w:t>Number 4</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53AB1C8" w14:textId="77777777" w:rsidR="00A932DC" w:rsidRPr="00B27CB1" w:rsidRDefault="00A932DC" w:rsidP="00A932DC">
            <w:pPr>
              <w:spacing w:line="256" w:lineRule="auto"/>
            </w:pPr>
          </w:p>
        </w:tc>
      </w:tr>
    </w:tbl>
    <w:p w14:paraId="22D8A59B" w14:textId="77777777" w:rsidR="00A932DC" w:rsidRPr="00B27CB1" w:rsidRDefault="00A932DC" w:rsidP="00A932DC"/>
    <w:p w14:paraId="6C55EA05"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04499BF2"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6FFC34B"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F3E94B" w14:textId="4CF3BB8B" w:rsidR="00A932DC" w:rsidRPr="00B27CB1" w:rsidRDefault="00636650" w:rsidP="003F1647">
            <w:pPr>
              <w:spacing w:line="256" w:lineRule="auto"/>
            </w:pPr>
            <w:r w:rsidRPr="00B27CB1">
              <w:t>2, 4</w:t>
            </w:r>
          </w:p>
        </w:tc>
      </w:tr>
    </w:tbl>
    <w:p w14:paraId="16F04126" w14:textId="77777777" w:rsidR="00A932DC" w:rsidRPr="00B27CB1" w:rsidRDefault="00A932DC" w:rsidP="00A932DC"/>
    <w:p w14:paraId="1A00050E" w14:textId="77777777" w:rsidR="00A932DC" w:rsidRPr="00B27CB1" w:rsidRDefault="00A932DC" w:rsidP="00E91F85">
      <w:pPr>
        <w:pStyle w:val="Titre3"/>
      </w:pPr>
      <w:bookmarkStart w:id="90" w:name="_Toc87361120"/>
      <w:r w:rsidRPr="00B27CB1">
        <w:t>Meta SPC 4 composition</w:t>
      </w:r>
      <w:bookmarkEnd w:id="90"/>
    </w:p>
    <w:p w14:paraId="0DCEB10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4</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40B4941E"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4D6ACD5C"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15551E83"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D804421"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3CC29D33"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11158712"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01EB7357" w14:textId="77777777" w:rsidR="00A932DC" w:rsidRPr="00B27CB1" w:rsidRDefault="00A932DC" w:rsidP="00A932DC">
            <w:pPr>
              <w:spacing w:line="256" w:lineRule="auto"/>
            </w:pPr>
            <w:r w:rsidRPr="00B27CB1">
              <w:rPr>
                <w:b/>
                <w:bCs/>
                <w:szCs w:val="24"/>
                <w:lang w:eastAsia="en-GB"/>
              </w:rPr>
              <w:t>Content (%)</w:t>
            </w:r>
          </w:p>
        </w:tc>
      </w:tr>
      <w:tr w:rsidR="00A932DC" w:rsidRPr="00B27CB1" w14:paraId="5CDB15C9"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6AA30FA0"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C9B5DF8"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F70BBB3"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2DD9C3D"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ABFC4AC"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9E8E5A1"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E47F3" w14:textId="77777777" w:rsidR="00A932DC" w:rsidRPr="00B27CB1" w:rsidRDefault="00A932DC" w:rsidP="00A932DC">
            <w:pPr>
              <w:spacing w:line="256" w:lineRule="auto"/>
            </w:pPr>
            <w:r w:rsidRPr="00B27CB1">
              <w:rPr>
                <w:b/>
                <w:bCs/>
                <w:szCs w:val="24"/>
                <w:lang w:eastAsia="en-GB"/>
              </w:rPr>
              <w:t>Max</w:t>
            </w:r>
          </w:p>
        </w:tc>
      </w:tr>
      <w:tr w:rsidR="00EE5406" w:rsidRPr="00B27CB1" w14:paraId="044A7A4D" w14:textId="77777777" w:rsidTr="00E91F85">
        <w:tc>
          <w:tcPr>
            <w:tcW w:w="2256" w:type="dxa"/>
            <w:vMerge w:val="restart"/>
            <w:tcBorders>
              <w:top w:val="single" w:sz="4" w:space="0" w:color="000000"/>
              <w:left w:val="single" w:sz="4" w:space="0" w:color="000000"/>
              <w:bottom w:val="single" w:sz="4" w:space="0" w:color="000000"/>
              <w:right w:val="nil"/>
            </w:tcBorders>
          </w:tcPr>
          <w:p w14:paraId="596583BD" w14:textId="1F7A54A2" w:rsidR="00EE5406" w:rsidRPr="00B27CB1" w:rsidRDefault="00480A68" w:rsidP="00EE5406">
            <w:pPr>
              <w:snapToGrid w:val="0"/>
              <w:spacing w:line="256" w:lineRule="auto"/>
              <w:rPr>
                <w:b/>
                <w:bCs/>
                <w:szCs w:val="24"/>
                <w:lang w:eastAsia="en-GB"/>
              </w:rPr>
            </w:pPr>
            <w:r w:rsidRPr="00F67FDB">
              <w:t xml:space="preserve">L(+) </w:t>
            </w:r>
            <w:r w:rsidR="00EE5406">
              <w:rPr>
                <w:lang w:val="pl-PL"/>
              </w:rPr>
              <w:t>Lactic acid</w:t>
            </w:r>
          </w:p>
          <w:p w14:paraId="5BDF980F" w14:textId="77777777" w:rsidR="00EE5406" w:rsidRPr="00B27CB1" w:rsidRDefault="00EE5406" w:rsidP="00EE5406">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2BD961B3" w14:textId="3310037D" w:rsidR="00EE5406" w:rsidRPr="00B27CB1" w:rsidRDefault="00480A68" w:rsidP="00EE5406">
            <w:pPr>
              <w:snapToGrid w:val="0"/>
              <w:spacing w:line="256" w:lineRule="auto"/>
            </w:pPr>
            <w:r w:rsidRPr="00932929">
              <w:t>(S)-2-Hydroxypropanoic acid</w:t>
            </w:r>
            <w:r w:rsidRPr="00F67FDB" w:rsidDel="00480A68">
              <w:t xml:space="preserve"> </w:t>
            </w:r>
          </w:p>
        </w:tc>
        <w:tc>
          <w:tcPr>
            <w:tcW w:w="1353" w:type="dxa"/>
            <w:tcBorders>
              <w:top w:val="single" w:sz="4" w:space="0" w:color="000000"/>
              <w:left w:val="single" w:sz="4" w:space="0" w:color="000000"/>
              <w:bottom w:val="single" w:sz="4" w:space="0" w:color="000000"/>
              <w:right w:val="nil"/>
            </w:tcBorders>
            <w:vAlign w:val="center"/>
            <w:hideMark/>
          </w:tcPr>
          <w:p w14:paraId="4D85D93B" w14:textId="05671F79" w:rsidR="00EE5406" w:rsidRPr="00B27CB1" w:rsidRDefault="00EE5406" w:rsidP="00EE5406">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22EB9808" w14:textId="58B64441" w:rsidR="00EE5406" w:rsidRPr="00B27CB1" w:rsidRDefault="00EE5406" w:rsidP="00EE5406">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43343E74" w14:textId="636545D5" w:rsidR="00EE5406" w:rsidRPr="00B27CB1" w:rsidRDefault="00EE5406" w:rsidP="00EE5406">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464CAFEC" w14:textId="5D5135E8" w:rsidR="00EE5406" w:rsidRPr="00B27CB1" w:rsidRDefault="00EE5406" w:rsidP="00EE5406">
            <w:pPr>
              <w:snapToGrid w:val="0"/>
              <w:spacing w:line="256" w:lineRule="auto"/>
            </w:pPr>
            <w:r>
              <w:t>3.06</w:t>
            </w:r>
          </w:p>
        </w:tc>
        <w:tc>
          <w:tcPr>
            <w:tcW w:w="738" w:type="dxa"/>
            <w:tcBorders>
              <w:top w:val="single" w:sz="4" w:space="0" w:color="000000"/>
              <w:left w:val="single" w:sz="4" w:space="0" w:color="000000"/>
              <w:bottom w:val="single" w:sz="4" w:space="0" w:color="000000"/>
              <w:right w:val="single" w:sz="4" w:space="0" w:color="000000"/>
            </w:tcBorders>
            <w:vAlign w:val="center"/>
          </w:tcPr>
          <w:p w14:paraId="0705CB07" w14:textId="5BB0F5C4" w:rsidR="00EE5406" w:rsidRPr="00B27CB1" w:rsidRDefault="00EE5406" w:rsidP="00EE5406">
            <w:pPr>
              <w:snapToGrid w:val="0"/>
              <w:spacing w:line="256" w:lineRule="auto"/>
            </w:pPr>
            <w:r>
              <w:t>3.06</w:t>
            </w:r>
          </w:p>
        </w:tc>
      </w:tr>
      <w:tr w:rsidR="00EE5406" w:rsidRPr="00B27CB1" w14:paraId="479228AD" w14:textId="77777777" w:rsidTr="00E91F85">
        <w:tc>
          <w:tcPr>
            <w:tcW w:w="2256" w:type="dxa"/>
            <w:vMerge/>
            <w:tcBorders>
              <w:top w:val="single" w:sz="4" w:space="0" w:color="000000"/>
              <w:left w:val="single" w:sz="4" w:space="0" w:color="000000"/>
              <w:bottom w:val="single" w:sz="4" w:space="0" w:color="000000"/>
              <w:right w:val="nil"/>
            </w:tcBorders>
            <w:hideMark/>
          </w:tcPr>
          <w:p w14:paraId="38429CA3" w14:textId="77777777" w:rsidR="00EE5406" w:rsidRPr="00B27CB1" w:rsidRDefault="00EE5406" w:rsidP="00EE5406">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6E7FE9AF" w14:textId="77777777" w:rsidR="00EE5406" w:rsidRPr="00B27CB1" w:rsidRDefault="00EE5406" w:rsidP="00EE5406">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3C34E1ED" w14:textId="602F2B50" w:rsidR="00EE5406" w:rsidRPr="00B27CB1" w:rsidRDefault="00EE5406" w:rsidP="00EE5406">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53CC049B" w14:textId="77777777" w:rsidR="00EE5406" w:rsidRPr="00B27CB1" w:rsidRDefault="00EE5406" w:rsidP="00EE5406">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54D9A166" w14:textId="77777777" w:rsidR="00EE5406" w:rsidRPr="00B27CB1" w:rsidRDefault="00EE5406" w:rsidP="00EE5406">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3C119FE5" w14:textId="285384ED" w:rsidR="00EE5406" w:rsidRPr="00B27CB1" w:rsidRDefault="00EE5406" w:rsidP="00EE5406">
            <w:pPr>
              <w:snapToGrid w:val="0"/>
              <w:spacing w:line="256" w:lineRule="auto"/>
            </w:pPr>
            <w:r>
              <w:t>3.2</w:t>
            </w:r>
          </w:p>
        </w:tc>
        <w:tc>
          <w:tcPr>
            <w:tcW w:w="738" w:type="dxa"/>
            <w:tcBorders>
              <w:top w:val="single" w:sz="4" w:space="0" w:color="000000"/>
              <w:left w:val="single" w:sz="4" w:space="0" w:color="000000"/>
              <w:bottom w:val="single" w:sz="4" w:space="0" w:color="000000"/>
              <w:right w:val="single" w:sz="4" w:space="0" w:color="000000"/>
            </w:tcBorders>
            <w:vAlign w:val="center"/>
          </w:tcPr>
          <w:p w14:paraId="0B2FE5DE" w14:textId="05E68497" w:rsidR="00EE5406" w:rsidRPr="00B27CB1" w:rsidRDefault="00EE5406" w:rsidP="00EE5406">
            <w:pPr>
              <w:snapToGrid w:val="0"/>
              <w:spacing w:line="256" w:lineRule="auto"/>
            </w:pPr>
            <w:r>
              <w:t>3.2</w:t>
            </w:r>
          </w:p>
        </w:tc>
      </w:tr>
    </w:tbl>
    <w:p w14:paraId="4E209E73" w14:textId="77777777" w:rsidR="00A932DC" w:rsidRPr="00B27CB1" w:rsidRDefault="00A932DC" w:rsidP="00A932DC"/>
    <w:p w14:paraId="546B72E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4</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5176469C"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924BD13" w14:textId="0CF0BB3F" w:rsidR="00A932DC" w:rsidRPr="00B27CB1" w:rsidRDefault="00636650" w:rsidP="00846366">
            <w:pPr>
              <w:keepNext/>
              <w:outlineLvl w:val="2"/>
            </w:pPr>
            <w:r w:rsidRPr="00B27CB1">
              <w:t>AL - Any other liquid</w:t>
            </w:r>
          </w:p>
        </w:tc>
      </w:tr>
    </w:tbl>
    <w:p w14:paraId="417FBE2A" w14:textId="77777777" w:rsidR="00A932DC" w:rsidRPr="00B27CB1" w:rsidRDefault="00A932DC" w:rsidP="00A932DC"/>
    <w:p w14:paraId="5CAF35E3" w14:textId="77777777" w:rsidR="00A932DC" w:rsidRPr="00846366" w:rsidRDefault="00A932DC" w:rsidP="00E91F85">
      <w:pPr>
        <w:pStyle w:val="Titre3"/>
        <w:rPr>
          <w:lang w:val="en-US"/>
        </w:rPr>
      </w:pPr>
      <w:bookmarkStart w:id="91" w:name="_Toc87361121"/>
      <w:r w:rsidRPr="00846366">
        <w:rPr>
          <w:lang w:val="en-US"/>
        </w:rPr>
        <w:lastRenderedPageBreak/>
        <w:t>Hazard and precautionary statements according to Regulation (EC) 1272/2008 of the meta SPC 4</w:t>
      </w:r>
      <w:bookmarkEnd w:id="91"/>
    </w:p>
    <w:p w14:paraId="48B31D21" w14:textId="77777777" w:rsidR="00A932DC" w:rsidRPr="00B27CB1" w:rsidRDefault="00A932DC" w:rsidP="00A932DC"/>
    <w:p w14:paraId="1A7168C3" w14:textId="77777777" w:rsidR="00A932DC" w:rsidRPr="00B27CB1" w:rsidRDefault="00A932DC" w:rsidP="00A932DC">
      <w:pPr>
        <w:rPr>
          <w:b/>
        </w:rPr>
      </w:pPr>
      <w:r w:rsidRPr="00B27CB1">
        <w:rPr>
          <w:b/>
        </w:rPr>
        <w:t>Classification and labelling of the products of the family according to the Regulation (EC) 1272/2008</w:t>
      </w:r>
    </w:p>
    <w:p w14:paraId="47C6B23E"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179BA3EE"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CB0D9AE" w14:textId="77777777" w:rsidR="00A932DC" w:rsidRPr="00B27CB1" w:rsidRDefault="00A932DC" w:rsidP="00A932DC">
            <w:pPr>
              <w:spacing w:line="256" w:lineRule="auto"/>
            </w:pPr>
            <w:r w:rsidRPr="00B27CB1">
              <w:rPr>
                <w:b/>
                <w:lang w:eastAsia="en-US"/>
              </w:rPr>
              <w:t>Classification</w:t>
            </w:r>
          </w:p>
        </w:tc>
      </w:tr>
      <w:tr w:rsidR="001518D7" w:rsidRPr="00B27CB1" w14:paraId="5AB33C57"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48ECB262" w14:textId="77777777" w:rsidR="001518D7" w:rsidRPr="00B27CB1" w:rsidRDefault="001518D7" w:rsidP="001518D7">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1265DB4" w14:textId="77777777" w:rsidR="003F1647" w:rsidRPr="00E240FD" w:rsidRDefault="003F1647" w:rsidP="003F1647">
            <w:pPr>
              <w:pStyle w:val="Corpsdetexte"/>
              <w:ind w:right="806"/>
              <w:rPr>
                <w:lang w:val="es-ES" w:eastAsia="fi-FI"/>
              </w:rPr>
            </w:pPr>
            <w:r w:rsidRPr="00E240FD">
              <w:rPr>
                <w:lang w:val="es-ES" w:eastAsia="fi-FI"/>
              </w:rPr>
              <w:t>Met. Corr. 1</w:t>
            </w:r>
          </w:p>
          <w:p w14:paraId="3B843A09" w14:textId="37F42E3D" w:rsidR="001518D7" w:rsidRPr="00B27CB1" w:rsidRDefault="00FD28AF" w:rsidP="00846366">
            <w:pPr>
              <w:suppressAutoHyphens w:val="0"/>
              <w:autoSpaceDE w:val="0"/>
              <w:autoSpaceDN w:val="0"/>
              <w:adjustRightInd w:val="0"/>
              <w:jc w:val="both"/>
              <w:rPr>
                <w:rFonts w:ascii="Times New Roman" w:hAnsi="Times New Roman" w:cs="Times New Roman"/>
                <w:sz w:val="24"/>
                <w:szCs w:val="24"/>
                <w:lang w:eastAsia="fi-FI"/>
              </w:rPr>
            </w:pPr>
            <w:r>
              <w:t>Eye Dam. 1</w:t>
            </w:r>
          </w:p>
        </w:tc>
      </w:tr>
      <w:tr w:rsidR="001518D7" w:rsidRPr="00B27CB1" w14:paraId="6DDECD6C"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91EC3FA" w14:textId="77777777" w:rsidR="001518D7" w:rsidRPr="00B27CB1" w:rsidRDefault="001518D7" w:rsidP="001518D7">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6953B22D" w14:textId="77777777" w:rsidR="00FD28AF" w:rsidRDefault="001518D7" w:rsidP="00846366">
            <w:pPr>
              <w:suppressAutoHyphens w:val="0"/>
              <w:autoSpaceDE w:val="0"/>
              <w:autoSpaceDN w:val="0"/>
              <w:adjustRightInd w:val="0"/>
              <w:jc w:val="both"/>
            </w:pPr>
            <w:r w:rsidRPr="00930421">
              <w:t xml:space="preserve">H290: May be corrosive to metals. </w:t>
            </w:r>
          </w:p>
          <w:p w14:paraId="1C5116A7" w14:textId="4451BBBA" w:rsidR="001518D7" w:rsidRPr="00B27CB1" w:rsidRDefault="00FD28AF" w:rsidP="00846366">
            <w:pPr>
              <w:suppressAutoHyphens w:val="0"/>
              <w:autoSpaceDE w:val="0"/>
              <w:autoSpaceDN w:val="0"/>
              <w:adjustRightInd w:val="0"/>
              <w:jc w:val="both"/>
              <w:rPr>
                <w:rFonts w:ascii="Times New Roman" w:hAnsi="Times New Roman" w:cs="Times New Roman"/>
                <w:sz w:val="24"/>
                <w:szCs w:val="24"/>
                <w:lang w:eastAsia="fi-FI"/>
              </w:rPr>
            </w:pPr>
            <w:r>
              <w:t xml:space="preserve">H318: </w:t>
            </w:r>
            <w:r w:rsidRPr="00FD28AF">
              <w:t>Causes serious eye damage</w:t>
            </w:r>
          </w:p>
        </w:tc>
      </w:tr>
      <w:tr w:rsidR="001518D7" w:rsidRPr="00B27CB1" w14:paraId="7A5EEC05"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77B9063" w14:textId="77777777" w:rsidR="001518D7" w:rsidRPr="00B27CB1" w:rsidRDefault="001518D7" w:rsidP="00846366">
            <w:pPr>
              <w:snapToGrid w:val="0"/>
              <w:rPr>
                <w:lang w:eastAsia="fi-FI"/>
              </w:rPr>
            </w:pPr>
          </w:p>
        </w:tc>
      </w:tr>
      <w:tr w:rsidR="001518D7" w:rsidRPr="00B27CB1" w14:paraId="355B48A2"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269175A7" w14:textId="77777777" w:rsidR="001518D7" w:rsidRPr="00B27CB1" w:rsidRDefault="001518D7" w:rsidP="00846366">
            <w:r w:rsidRPr="00B27CB1">
              <w:rPr>
                <w:b/>
                <w:lang w:eastAsia="en-US"/>
              </w:rPr>
              <w:t>Labelling</w:t>
            </w:r>
          </w:p>
        </w:tc>
      </w:tr>
      <w:tr w:rsidR="001518D7" w:rsidRPr="00B27CB1" w14:paraId="7451AFD1"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9FE34D7" w14:textId="77777777" w:rsidR="001518D7" w:rsidRPr="00B27CB1" w:rsidRDefault="001518D7" w:rsidP="001518D7">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783DC23E" w14:textId="7BAAEBD3" w:rsidR="001518D7" w:rsidRPr="00B27CB1" w:rsidRDefault="00B13145" w:rsidP="00846366">
            <w:pPr>
              <w:suppressAutoHyphens w:val="0"/>
              <w:autoSpaceDE w:val="0"/>
              <w:autoSpaceDN w:val="0"/>
              <w:adjustRightInd w:val="0"/>
              <w:jc w:val="both"/>
              <w:rPr>
                <w:rFonts w:cs="Times New Roman"/>
                <w:szCs w:val="24"/>
                <w:lang w:eastAsia="fi-FI"/>
              </w:rPr>
            </w:pPr>
            <w:r>
              <w:rPr>
                <w:rFonts w:cs="Times New Roman"/>
                <w:szCs w:val="24"/>
                <w:lang w:eastAsia="fi-FI"/>
              </w:rPr>
              <w:t>Danger</w:t>
            </w:r>
          </w:p>
        </w:tc>
      </w:tr>
      <w:tr w:rsidR="001518D7" w:rsidRPr="00B27CB1" w14:paraId="429CDA9B"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CD2E952" w14:textId="75D8DFCA" w:rsidR="001518D7" w:rsidRPr="00B27CB1" w:rsidRDefault="001518D7" w:rsidP="001518D7">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2D3D88F4" w14:textId="77777777" w:rsidR="001518D7" w:rsidRDefault="001518D7" w:rsidP="00846366">
            <w:pPr>
              <w:suppressAutoHyphens w:val="0"/>
              <w:autoSpaceDE w:val="0"/>
              <w:autoSpaceDN w:val="0"/>
              <w:adjustRightInd w:val="0"/>
              <w:jc w:val="both"/>
              <w:rPr>
                <w:lang w:eastAsia="fi-FI"/>
              </w:rPr>
            </w:pPr>
            <w:r w:rsidRPr="008F425A">
              <w:rPr>
                <w:lang w:eastAsia="fi-FI"/>
              </w:rPr>
              <w:t>H290: May be corrosive to metals.</w:t>
            </w:r>
          </w:p>
          <w:p w14:paraId="424DED7E" w14:textId="2360A82D" w:rsidR="00FD28AF" w:rsidRPr="00B27CB1" w:rsidRDefault="00FD28AF" w:rsidP="00846366">
            <w:pPr>
              <w:suppressAutoHyphens w:val="0"/>
              <w:autoSpaceDE w:val="0"/>
              <w:autoSpaceDN w:val="0"/>
              <w:adjustRightInd w:val="0"/>
              <w:jc w:val="both"/>
              <w:rPr>
                <w:rFonts w:cs="Times New Roman"/>
                <w:szCs w:val="24"/>
                <w:lang w:eastAsia="fi-FI"/>
              </w:rPr>
            </w:pPr>
            <w:r>
              <w:t xml:space="preserve">H318: </w:t>
            </w:r>
            <w:r w:rsidRPr="00FD28AF">
              <w:t>Causes serious eye damage</w:t>
            </w:r>
          </w:p>
        </w:tc>
      </w:tr>
      <w:tr w:rsidR="001518D7" w:rsidRPr="00B27CB1" w14:paraId="4A981AE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67B525D" w14:textId="77BD5A60" w:rsidR="001518D7" w:rsidRPr="00B27CB1" w:rsidRDefault="001518D7" w:rsidP="001518D7">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1E538974" w14:textId="2B26BE55" w:rsidR="001518D7" w:rsidRDefault="001518D7" w:rsidP="003F1647">
            <w:pPr>
              <w:rPr>
                <w:lang w:eastAsia="fi-FI"/>
              </w:rPr>
            </w:pPr>
            <w:r>
              <w:rPr>
                <w:lang w:eastAsia="fi-FI"/>
              </w:rPr>
              <w:t>P234: Keep only in original container.</w:t>
            </w:r>
          </w:p>
          <w:p w14:paraId="5B41E67F" w14:textId="1EEF4904" w:rsidR="00FD28AF" w:rsidRDefault="00FD28AF" w:rsidP="003F1647">
            <w:pPr>
              <w:rPr>
                <w:lang w:eastAsia="fi-FI"/>
              </w:rPr>
            </w:pPr>
            <w:r>
              <w:rPr>
                <w:lang w:eastAsia="fi-FI"/>
              </w:rPr>
              <w:t>P280: Wear protective gloves/protective clothing/eye protection/face protection.</w:t>
            </w:r>
          </w:p>
          <w:p w14:paraId="0A347CDE" w14:textId="77777777" w:rsidR="00FD28AF" w:rsidRDefault="00FD28AF" w:rsidP="0004436A">
            <w:pPr>
              <w:rPr>
                <w:lang w:eastAsia="fi-FI"/>
              </w:rPr>
            </w:pPr>
            <w:r>
              <w:rPr>
                <w:lang w:eastAsia="fi-FI"/>
              </w:rPr>
              <w:t>P305 + P351 + P338: IF IN EYES: Rinse cautiously with water for several minutes. Remove contact lenses, if present and easy to do. Continue rinsing.</w:t>
            </w:r>
          </w:p>
          <w:p w14:paraId="08609D2C" w14:textId="1AA70540" w:rsidR="00FD28AF" w:rsidRDefault="00FD28AF" w:rsidP="00245178">
            <w:pPr>
              <w:rPr>
                <w:lang w:eastAsia="fi-FI"/>
              </w:rPr>
            </w:pPr>
            <w:r>
              <w:rPr>
                <w:lang w:eastAsia="fi-FI"/>
              </w:rPr>
              <w:t>P310: Immediately call a POISON CENTER/doctor/...</w:t>
            </w:r>
          </w:p>
          <w:p w14:paraId="05CCE9FB" w14:textId="77777777" w:rsidR="001518D7" w:rsidRDefault="001518D7" w:rsidP="00245178">
            <w:pPr>
              <w:rPr>
                <w:lang w:eastAsia="fi-FI"/>
              </w:rPr>
            </w:pPr>
            <w:r>
              <w:rPr>
                <w:lang w:eastAsia="fi-FI"/>
              </w:rPr>
              <w:t>P390: Absorb spillage to prevent material damage.</w:t>
            </w:r>
          </w:p>
          <w:p w14:paraId="14137C66" w14:textId="2408915D" w:rsidR="001518D7" w:rsidRPr="00B27CB1" w:rsidRDefault="001518D7" w:rsidP="00846366">
            <w:pPr>
              <w:autoSpaceDE w:val="0"/>
              <w:rPr>
                <w:rFonts w:cs="Times New Roman"/>
                <w:color w:val="000000"/>
                <w:lang w:eastAsia="en-US"/>
              </w:rPr>
            </w:pPr>
            <w:r>
              <w:rPr>
                <w:lang w:eastAsia="fi-FI"/>
              </w:rPr>
              <w:t>P406: Store in a corrosive resistant/… container with a resistant inner liner.</w:t>
            </w:r>
          </w:p>
        </w:tc>
      </w:tr>
      <w:tr w:rsidR="001518D7" w:rsidRPr="00B27CB1" w14:paraId="345AFEDE"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84C5B65" w14:textId="55331710" w:rsidR="001518D7" w:rsidRPr="00B27CB1" w:rsidRDefault="001518D7" w:rsidP="001518D7">
            <w:pPr>
              <w:snapToGrid w:val="0"/>
              <w:spacing w:line="256" w:lineRule="auto"/>
              <w:rPr>
                <w:lang w:eastAsia="fi-FI"/>
              </w:rPr>
            </w:pPr>
          </w:p>
        </w:tc>
      </w:tr>
      <w:tr w:rsidR="001518D7" w:rsidRPr="00B27CB1" w14:paraId="30ADC2FD"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1F067F0" w14:textId="2801B202" w:rsidR="001518D7" w:rsidRPr="00B27CB1" w:rsidRDefault="001518D7" w:rsidP="001518D7">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ED01B23" w14:textId="50354E17" w:rsidR="001518D7" w:rsidRPr="00B27CB1" w:rsidRDefault="001518D7" w:rsidP="001518D7">
            <w:pPr>
              <w:snapToGrid w:val="0"/>
              <w:spacing w:line="256" w:lineRule="auto"/>
              <w:rPr>
                <w:b/>
                <w:lang w:eastAsia="fi-FI"/>
              </w:rPr>
            </w:pPr>
          </w:p>
        </w:tc>
      </w:tr>
    </w:tbl>
    <w:p w14:paraId="151E435F" w14:textId="77777777" w:rsidR="00A932DC" w:rsidRPr="00B27CB1" w:rsidRDefault="00A932DC" w:rsidP="00A932DC">
      <w:pPr>
        <w:tabs>
          <w:tab w:val="left" w:pos="500"/>
        </w:tabs>
        <w:ind w:left="500" w:hanging="500"/>
      </w:pPr>
    </w:p>
    <w:p w14:paraId="450B56B9" w14:textId="77777777" w:rsidR="00A932DC" w:rsidRPr="00B27CB1" w:rsidRDefault="00A932DC" w:rsidP="00A932DC"/>
    <w:p w14:paraId="5F0ACE6C" w14:textId="4D91C0CF" w:rsidR="00A932DC" w:rsidRPr="00846366" w:rsidRDefault="00A932DC" w:rsidP="00E91F85">
      <w:pPr>
        <w:pStyle w:val="Titre3"/>
        <w:rPr>
          <w:lang w:val="en-US"/>
        </w:rPr>
      </w:pPr>
      <w:bookmarkStart w:id="92" w:name="_Toc87361122"/>
      <w:r w:rsidRPr="00846366">
        <w:rPr>
          <w:lang w:val="en-US"/>
        </w:rPr>
        <w:t>Authorised use(s) of the META SPC 4</w:t>
      </w:r>
      <w:bookmarkEnd w:id="92"/>
    </w:p>
    <w:p w14:paraId="00A21958" w14:textId="77777777" w:rsidR="00636650" w:rsidRPr="00B27CB1" w:rsidRDefault="00636650" w:rsidP="00636650">
      <w:pPr>
        <w:pStyle w:val="Titre4"/>
        <w:numPr>
          <w:ilvl w:val="3"/>
          <w:numId w:val="9"/>
        </w:numPr>
        <w:rPr>
          <w:lang w:val="en-GB"/>
        </w:rPr>
      </w:pPr>
      <w:bookmarkStart w:id="93" w:name="_Toc87361123"/>
      <w:r w:rsidRPr="00B27CB1">
        <w:rPr>
          <w:lang w:val="en-GB"/>
        </w:rPr>
        <w:t>Use description</w:t>
      </w:r>
      <w:bookmarkEnd w:id="93"/>
    </w:p>
    <w:p w14:paraId="65B2F931" w14:textId="0C5197C6" w:rsidR="00636650" w:rsidRPr="00B27CB1" w:rsidRDefault="00636650" w:rsidP="00636650">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8</w:t>
      </w:r>
      <w:r w:rsidRPr="00B27CB1">
        <w:rPr>
          <w:rFonts w:ascii="Verdana" w:hAnsi="Verdana" w:cs="Verdana"/>
        </w:rPr>
        <w:fldChar w:fldCharType="end"/>
      </w:r>
      <w:r w:rsidRPr="00B27CB1">
        <w:rPr>
          <w:rFonts w:ascii="Verdana" w:hAnsi="Verdana"/>
        </w:rPr>
        <w:t xml:space="preserve">. Use # 1 – </w:t>
      </w:r>
      <w:r w:rsidRPr="008D35E9">
        <w:rPr>
          <w:rFonts w:ascii="Verdana" w:hAnsi="Verdana"/>
        </w:rPr>
        <w:t>Disinfectants for hard surfaces of industry, institution, healthcare facilities and</w:t>
      </w:r>
      <w:r w:rsidR="00774730" w:rsidRPr="008D35E9">
        <w:rPr>
          <w:rFonts w:ascii="Verdana" w:hAnsi="Verdana"/>
        </w:rPr>
        <w:t>,</w:t>
      </w:r>
      <w:r w:rsidRPr="008D35E9">
        <w:rPr>
          <w:rFonts w:ascii="Verdana" w:hAnsi="Verdana"/>
        </w:rPr>
        <w:t xml:space="preserve"> food</w:t>
      </w:r>
      <w:r w:rsidR="00D96784" w:rsidRPr="008D35E9">
        <w:rPr>
          <w:rFonts w:ascii="Verdana" w:hAnsi="Verdana"/>
        </w:rPr>
        <w:t xml:space="preserve"> </w:t>
      </w:r>
      <w:r w:rsidR="00B95C48" w:rsidRPr="008D35E9">
        <w:rPr>
          <w:rFonts w:ascii="Verdana" w:hAnsi="Verdana"/>
        </w:rPr>
        <w:t>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36650" w:rsidRPr="00B27CB1" w14:paraId="656E1411" w14:textId="77777777" w:rsidTr="00685495">
        <w:tc>
          <w:tcPr>
            <w:tcW w:w="2707" w:type="dxa"/>
            <w:tcBorders>
              <w:top w:val="single" w:sz="4" w:space="0" w:color="000000"/>
              <w:left w:val="single" w:sz="4" w:space="0" w:color="000000"/>
              <w:bottom w:val="single" w:sz="4" w:space="0" w:color="000000"/>
              <w:right w:val="nil"/>
            </w:tcBorders>
            <w:hideMark/>
          </w:tcPr>
          <w:p w14:paraId="1E0EBDCC" w14:textId="77777777" w:rsidR="00636650" w:rsidRPr="00B27CB1" w:rsidRDefault="00636650"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3693F6C1" w14:textId="1BF8527A" w:rsidR="00636650" w:rsidRPr="00B27CB1" w:rsidRDefault="00B95C48"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636650" w:rsidRPr="00B27CB1" w14:paraId="34542461" w14:textId="77777777" w:rsidTr="00685495">
        <w:tc>
          <w:tcPr>
            <w:tcW w:w="2707" w:type="dxa"/>
            <w:tcBorders>
              <w:top w:val="nil"/>
              <w:left w:val="single" w:sz="4" w:space="0" w:color="000000"/>
              <w:bottom w:val="single" w:sz="4" w:space="0" w:color="000000"/>
              <w:right w:val="nil"/>
            </w:tcBorders>
            <w:hideMark/>
          </w:tcPr>
          <w:p w14:paraId="4B04B4BB" w14:textId="77777777" w:rsidR="00636650" w:rsidRPr="00B27CB1" w:rsidRDefault="00636650"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F242D63" w14:textId="3888359E" w:rsidR="00B95C48" w:rsidRPr="000D7D14" w:rsidRDefault="00B95C48" w:rsidP="00B95C48">
            <w:r w:rsidRPr="000D7D14">
              <w:rPr>
                <w:color w:val="000000"/>
              </w:rPr>
              <w:t>Product used for the disinfection of industry, institution, healthcare facilities and</w:t>
            </w:r>
            <w:r w:rsidR="002B7590">
              <w:rPr>
                <w:color w:val="000000"/>
              </w:rPr>
              <w:t>,</w:t>
            </w:r>
            <w:r w:rsidRPr="000D7D14">
              <w:rPr>
                <w:color w:val="000000"/>
              </w:rPr>
              <w:t xml:space="preserve"> food preparation and handling area. </w:t>
            </w:r>
          </w:p>
          <w:p w14:paraId="0E963AA2" w14:textId="06927F0F" w:rsidR="00636650" w:rsidRPr="00B27CB1" w:rsidRDefault="00B95C48" w:rsidP="00E16D2D">
            <w:pPr>
              <w:snapToGrid w:val="0"/>
              <w:spacing w:line="254" w:lineRule="auto"/>
              <w:rPr>
                <w:b/>
              </w:rPr>
            </w:pPr>
            <w:r w:rsidRPr="000D7D14">
              <w:br/>
            </w:r>
            <w:r w:rsidR="00E16D2D">
              <w:rPr>
                <w:color w:val="000000"/>
              </w:rPr>
              <w:t>D</w:t>
            </w:r>
            <w:r w:rsidRPr="000D7D14">
              <w:rPr>
                <w:color w:val="000000"/>
              </w:rPr>
              <w:t>isinfection of all kind of non porous surfaces.</w:t>
            </w:r>
          </w:p>
        </w:tc>
      </w:tr>
      <w:tr w:rsidR="00636650" w:rsidRPr="00B27CB1" w14:paraId="415FAA54" w14:textId="77777777" w:rsidTr="00685495">
        <w:tc>
          <w:tcPr>
            <w:tcW w:w="2707" w:type="dxa"/>
            <w:tcBorders>
              <w:top w:val="nil"/>
              <w:left w:val="single" w:sz="4" w:space="0" w:color="000000"/>
              <w:bottom w:val="single" w:sz="4" w:space="0" w:color="000000"/>
              <w:right w:val="nil"/>
            </w:tcBorders>
            <w:hideMark/>
          </w:tcPr>
          <w:p w14:paraId="1B047AAD" w14:textId="77777777" w:rsidR="00636650" w:rsidRPr="00B27CB1" w:rsidRDefault="00636650"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5E305BC" w14:textId="3BDE5C50" w:rsidR="00636650" w:rsidRPr="00846366" w:rsidRDefault="00B95C48" w:rsidP="00685495">
            <w:pPr>
              <w:snapToGrid w:val="0"/>
              <w:spacing w:line="254" w:lineRule="auto"/>
            </w:pPr>
            <w:r w:rsidRPr="000D7D14">
              <w:t xml:space="preserve">Bacteria </w:t>
            </w:r>
            <w:r w:rsidRPr="000D7D14">
              <w:br/>
              <w:t>Yeasts</w:t>
            </w:r>
          </w:p>
        </w:tc>
      </w:tr>
      <w:tr w:rsidR="00636650" w:rsidRPr="00B27CB1" w14:paraId="3EB56E08" w14:textId="77777777" w:rsidTr="00685495">
        <w:tc>
          <w:tcPr>
            <w:tcW w:w="2707" w:type="dxa"/>
            <w:tcBorders>
              <w:top w:val="nil"/>
              <w:left w:val="single" w:sz="4" w:space="0" w:color="000000"/>
              <w:bottom w:val="single" w:sz="4" w:space="0" w:color="000000"/>
              <w:right w:val="nil"/>
            </w:tcBorders>
            <w:hideMark/>
          </w:tcPr>
          <w:p w14:paraId="0E1638BA" w14:textId="77777777" w:rsidR="00636650" w:rsidRPr="00B27CB1" w:rsidRDefault="00636650"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058AF3BE" w14:textId="56F55B9C" w:rsidR="00636650" w:rsidRPr="00B27CB1" w:rsidRDefault="00B95C48" w:rsidP="002B7590">
            <w:pPr>
              <w:snapToGrid w:val="0"/>
              <w:spacing w:line="254" w:lineRule="auto"/>
              <w:rPr>
                <w:b/>
              </w:rPr>
            </w:pPr>
            <w:r w:rsidRPr="000D7D14">
              <w:t>Indoor</w:t>
            </w:r>
          </w:p>
        </w:tc>
      </w:tr>
      <w:tr w:rsidR="00636650" w:rsidRPr="00B27CB1" w14:paraId="13B19E4D" w14:textId="77777777" w:rsidTr="00685495">
        <w:tc>
          <w:tcPr>
            <w:tcW w:w="2707" w:type="dxa"/>
            <w:tcBorders>
              <w:top w:val="nil"/>
              <w:left w:val="single" w:sz="4" w:space="0" w:color="000000"/>
              <w:bottom w:val="single" w:sz="4" w:space="0" w:color="000000"/>
              <w:right w:val="nil"/>
            </w:tcBorders>
            <w:hideMark/>
          </w:tcPr>
          <w:p w14:paraId="514AF09D" w14:textId="77777777" w:rsidR="00636650" w:rsidRPr="00B27CB1" w:rsidRDefault="00636650"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C34FB93" w14:textId="77777777" w:rsidR="00001565" w:rsidRDefault="00B95C48" w:rsidP="00001565">
            <w:pPr>
              <w:suppressAutoHyphens w:val="0"/>
              <w:snapToGrid w:val="0"/>
              <w:spacing w:line="260" w:lineRule="atLeast"/>
            </w:pPr>
            <w:r w:rsidRPr="000D7D14">
              <w:t>Spraying</w:t>
            </w:r>
          </w:p>
          <w:p w14:paraId="6F89DCED" w14:textId="1B69AF4F" w:rsidR="00001565" w:rsidRDefault="00001565" w:rsidP="00001565">
            <w:pPr>
              <w:suppressAutoHyphens w:val="0"/>
              <w:snapToGrid w:val="0"/>
              <w:spacing w:line="260" w:lineRule="atLeast"/>
            </w:pPr>
            <w:r>
              <w:t>W</w:t>
            </w:r>
            <w:r w:rsidR="00B95C48" w:rsidRPr="000D7D14">
              <w:t xml:space="preserve">iping (applying product onto wipe followed by wiping), </w:t>
            </w:r>
          </w:p>
          <w:p w14:paraId="42FD8A5B" w14:textId="129EC21F" w:rsidR="00636650" w:rsidRPr="00B27CB1" w:rsidRDefault="00001565" w:rsidP="00001565">
            <w:pPr>
              <w:suppressAutoHyphens w:val="0"/>
              <w:snapToGrid w:val="0"/>
              <w:spacing w:line="260" w:lineRule="atLeast"/>
              <w:rPr>
                <w:rFonts w:cs="Times New Roman"/>
                <w:lang w:eastAsia="de-DE"/>
              </w:rPr>
            </w:pPr>
            <w:r>
              <w:t>M</w:t>
            </w:r>
            <w:r w:rsidR="00B95C48" w:rsidRPr="000D7D14">
              <w:t>opping (applying product onto mop followed by mopping)</w:t>
            </w:r>
          </w:p>
        </w:tc>
      </w:tr>
      <w:tr w:rsidR="00636650" w:rsidRPr="00B27CB1" w14:paraId="21F88479" w14:textId="77777777" w:rsidTr="00685495">
        <w:tc>
          <w:tcPr>
            <w:tcW w:w="2707" w:type="dxa"/>
            <w:tcBorders>
              <w:top w:val="nil"/>
              <w:left w:val="single" w:sz="4" w:space="0" w:color="000000"/>
              <w:bottom w:val="single" w:sz="4" w:space="0" w:color="000000"/>
              <w:right w:val="nil"/>
            </w:tcBorders>
            <w:hideMark/>
          </w:tcPr>
          <w:p w14:paraId="2012B043" w14:textId="77777777" w:rsidR="00636650" w:rsidRPr="00B27CB1" w:rsidRDefault="00636650" w:rsidP="00685495">
            <w:pPr>
              <w:spacing w:line="254" w:lineRule="auto"/>
              <w:rPr>
                <w:b/>
              </w:rPr>
            </w:pPr>
            <w:r w:rsidRPr="00B27CB1">
              <w:rPr>
                <w:b/>
                <w:bCs/>
                <w:szCs w:val="24"/>
                <w:lang w:eastAsia="en-GB"/>
              </w:rPr>
              <w:lastRenderedPageBreak/>
              <w:t>Application rate(s) and frequency</w:t>
            </w:r>
          </w:p>
        </w:tc>
        <w:tc>
          <w:tcPr>
            <w:tcW w:w="6328" w:type="dxa"/>
            <w:tcBorders>
              <w:top w:val="nil"/>
              <w:left w:val="single" w:sz="4" w:space="0" w:color="000000"/>
              <w:bottom w:val="single" w:sz="4" w:space="0" w:color="000000"/>
              <w:right w:val="single" w:sz="4" w:space="0" w:color="000000"/>
            </w:tcBorders>
          </w:tcPr>
          <w:p w14:paraId="5BB1C7AA" w14:textId="77777777" w:rsidR="002C7AED" w:rsidRDefault="00B95C48" w:rsidP="002C7AED">
            <w:r w:rsidRPr="00F0256C">
              <w:t>Ready to use</w:t>
            </w:r>
            <w:r w:rsidR="002C7AED" w:rsidRPr="004D1209">
              <w:t xml:space="preserve"> </w:t>
            </w:r>
          </w:p>
          <w:p w14:paraId="1E14588A" w14:textId="5022A21B" w:rsidR="002C7AED" w:rsidRDefault="002C7AED" w:rsidP="002C7AED">
            <w:r w:rsidRPr="004D1209">
              <w:t>Dirty conditions</w:t>
            </w:r>
          </w:p>
          <w:p w14:paraId="22211124" w14:textId="231C2A8E" w:rsidR="00BA7DA7" w:rsidRPr="00820E0E" w:rsidRDefault="007F73C9" w:rsidP="00BA7DA7">
            <w:r>
              <w:t>T</w:t>
            </w:r>
            <w:r w:rsidR="00BA7DA7" w:rsidRPr="00820E0E">
              <w:t>emperature</w:t>
            </w:r>
            <w:r>
              <w:t>: 20°C</w:t>
            </w:r>
          </w:p>
          <w:p w14:paraId="6D4CD460" w14:textId="77777777" w:rsidR="002C7AED" w:rsidRDefault="002C7AED" w:rsidP="002C7AED"/>
          <w:p w14:paraId="09F97DB4" w14:textId="189F355E" w:rsidR="002C7AED" w:rsidRPr="00F0256C" w:rsidRDefault="002C7AED" w:rsidP="002C7AED">
            <w:r>
              <w:t xml:space="preserve">Non mechanical action (spraying): </w:t>
            </w:r>
            <w:r w:rsidRPr="00F0256C">
              <w:t xml:space="preserve">Contact time </w:t>
            </w:r>
            <w:r>
              <w:t>(b</w:t>
            </w:r>
            <w:r w:rsidR="004F131D">
              <w:t>acteria and yeasts)</w:t>
            </w:r>
            <w:r>
              <w:t xml:space="preserve">: </w:t>
            </w:r>
            <w:r w:rsidR="00774730">
              <w:t>1</w:t>
            </w:r>
            <w:r>
              <w:t>5 minutes</w:t>
            </w:r>
          </w:p>
          <w:p w14:paraId="1DF89EC7" w14:textId="5E48008B" w:rsidR="00BA7DA7" w:rsidRDefault="00BA7DA7" w:rsidP="00BA7DA7"/>
          <w:p w14:paraId="5A949FF8" w14:textId="3D211913" w:rsidR="007D66C6" w:rsidRDefault="00817221" w:rsidP="002C7AED">
            <w:pPr>
              <w:jc w:val="both"/>
            </w:pPr>
            <w:r>
              <w:t>Mechanical action (wiping and mopping):</w:t>
            </w:r>
            <w:r w:rsidR="002C7AED">
              <w:t xml:space="preserve"> </w:t>
            </w:r>
            <w:r w:rsidR="00B95C48" w:rsidRPr="00F0256C">
              <w:t xml:space="preserve">Contact time </w:t>
            </w:r>
            <w:r w:rsidR="002B7590">
              <w:t>(bacteria and yeasts)</w:t>
            </w:r>
            <w:r w:rsidR="00B95C48" w:rsidRPr="00F0256C">
              <w:t>: 5 minutes</w:t>
            </w:r>
            <w:r w:rsidR="00B95C48">
              <w:t xml:space="preserve"> </w:t>
            </w:r>
          </w:p>
          <w:p w14:paraId="16BD45DE" w14:textId="5F6F70A8" w:rsidR="007D66C6" w:rsidRPr="004D1209" w:rsidRDefault="007D66C6" w:rsidP="00B95C48"/>
          <w:p w14:paraId="32DB0953" w14:textId="19CFF9BF" w:rsidR="00B95C48" w:rsidRPr="00344BDC" w:rsidRDefault="004F131D" w:rsidP="00B95C48">
            <w:r>
              <w:t>A</w:t>
            </w:r>
            <w:r w:rsidR="00B95C48" w:rsidRPr="00344BDC">
              <w:t>pplication rate</w:t>
            </w:r>
            <w:r>
              <w:t>s</w:t>
            </w:r>
            <w:r w:rsidR="00B95C48" w:rsidRPr="00344BDC">
              <w:t xml:space="preserve">: </w:t>
            </w:r>
          </w:p>
          <w:p w14:paraId="271BFB15" w14:textId="77777777" w:rsidR="00E16D2D" w:rsidRDefault="00B95C48" w:rsidP="00B95C48">
            <w:r w:rsidRPr="000D7D14">
              <w:t>30 ml/m</w:t>
            </w:r>
            <w:r w:rsidRPr="000D7D14">
              <w:rPr>
                <w:vertAlign w:val="superscript"/>
              </w:rPr>
              <w:t>2</w:t>
            </w:r>
            <w:r w:rsidRPr="000D7D14">
              <w:t xml:space="preserve"> (20 sprays on the surface per m</w:t>
            </w:r>
            <w:r w:rsidRPr="000D7D14">
              <w:rPr>
                <w:vertAlign w:val="superscript"/>
              </w:rPr>
              <w:t>2</w:t>
            </w:r>
            <w:r w:rsidR="00E16D2D">
              <w:t>)</w:t>
            </w:r>
          </w:p>
          <w:p w14:paraId="0800CE57" w14:textId="4D9BB53A" w:rsidR="00636650" w:rsidRPr="00B27CB1" w:rsidRDefault="00B95C48" w:rsidP="004A347E">
            <w:pPr>
              <w:rPr>
                <w:rFonts w:cs="Times New Roman"/>
                <w:lang w:eastAsia="de-DE"/>
              </w:rPr>
            </w:pPr>
            <w:r w:rsidRPr="000D7D14">
              <w:t>8 to 12 sprays or 16 ml on wipe per 0.1</w:t>
            </w:r>
            <w:r w:rsidR="00383E12">
              <w:t xml:space="preserve"> </w:t>
            </w:r>
            <w:r w:rsidRPr="000D7D14">
              <w:t>m</w:t>
            </w:r>
            <w:r w:rsidRPr="000D7D14">
              <w:rPr>
                <w:vertAlign w:val="superscript"/>
              </w:rPr>
              <w:t>2</w:t>
            </w:r>
          </w:p>
        </w:tc>
      </w:tr>
      <w:tr w:rsidR="00636650" w:rsidRPr="00B27CB1" w14:paraId="661E6B78" w14:textId="77777777" w:rsidTr="00685495">
        <w:tc>
          <w:tcPr>
            <w:tcW w:w="2707" w:type="dxa"/>
            <w:tcBorders>
              <w:top w:val="nil"/>
              <w:left w:val="single" w:sz="4" w:space="0" w:color="000000"/>
              <w:bottom w:val="single" w:sz="4" w:space="0" w:color="000000"/>
              <w:right w:val="nil"/>
            </w:tcBorders>
            <w:hideMark/>
          </w:tcPr>
          <w:p w14:paraId="55FED785" w14:textId="77777777" w:rsidR="00636650" w:rsidRPr="00B27CB1" w:rsidRDefault="00636650"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2C9EE0AF" w14:textId="01066A98" w:rsidR="00636650" w:rsidRPr="00B27CB1" w:rsidRDefault="00B95C48" w:rsidP="00685495">
            <w:pPr>
              <w:snapToGrid w:val="0"/>
              <w:spacing w:line="254" w:lineRule="auto"/>
              <w:rPr>
                <w:b/>
              </w:rPr>
            </w:pPr>
            <w:r w:rsidRPr="000D7D14">
              <w:t>Industrial, Professional</w:t>
            </w:r>
          </w:p>
        </w:tc>
      </w:tr>
      <w:tr w:rsidR="00636650" w:rsidRPr="00A04731" w14:paraId="59B5172D" w14:textId="77777777" w:rsidTr="00685495">
        <w:tc>
          <w:tcPr>
            <w:tcW w:w="2707" w:type="dxa"/>
            <w:tcBorders>
              <w:top w:val="nil"/>
              <w:left w:val="single" w:sz="4" w:space="0" w:color="000000"/>
              <w:bottom w:val="single" w:sz="4" w:space="0" w:color="000000"/>
              <w:right w:val="nil"/>
            </w:tcBorders>
            <w:hideMark/>
          </w:tcPr>
          <w:p w14:paraId="380DC8E4" w14:textId="77777777" w:rsidR="00636650" w:rsidRPr="00B27CB1" w:rsidRDefault="00636650"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F5628FA" w14:textId="465DCF0D" w:rsidR="00B82B5B" w:rsidRDefault="00B82B5B" w:rsidP="00B82B5B">
            <w:pPr>
              <w:spacing w:line="254" w:lineRule="auto"/>
            </w:pPr>
            <w:r>
              <w:t>HDPE:</w:t>
            </w:r>
            <w:r w:rsidR="003F1647">
              <w:t xml:space="preserve"> </w:t>
            </w:r>
            <w:r>
              <w:t>500 mL trigger spray, 750 mL trigger spray, 1 L, 5 L</w:t>
            </w:r>
          </w:p>
          <w:p w14:paraId="00CE3B61" w14:textId="4B563E02" w:rsidR="00B82B5B" w:rsidRDefault="00B82B5B" w:rsidP="00B82B5B">
            <w:pPr>
              <w:spacing w:line="254" w:lineRule="auto"/>
            </w:pPr>
            <w:r>
              <w:t>PET:</w:t>
            </w:r>
            <w:r w:rsidR="003F1647">
              <w:t xml:space="preserve"> </w:t>
            </w:r>
            <w:r>
              <w:t>500 mL trigger spray, 750 mL trigger spray, 1 L</w:t>
            </w:r>
          </w:p>
          <w:p w14:paraId="03E094B2" w14:textId="5A595953" w:rsidR="00636650" w:rsidRPr="00846366" w:rsidRDefault="00B82B5B" w:rsidP="003F1647">
            <w:pPr>
              <w:spacing w:line="254" w:lineRule="auto"/>
              <w:rPr>
                <w:lang w:val="fr-FR"/>
              </w:rPr>
            </w:pPr>
            <w:r w:rsidRPr="00E91F85">
              <w:rPr>
                <w:lang w:val="fr-FR"/>
              </w:rPr>
              <w:t>Coextrude (HDPE/Adhesive/Nylon polyamide):</w:t>
            </w:r>
            <w:r w:rsidR="003F1647">
              <w:rPr>
                <w:lang w:val="fr-FR"/>
              </w:rPr>
              <w:t xml:space="preserve"> </w:t>
            </w:r>
            <w:r w:rsidRPr="00846366">
              <w:rPr>
                <w:lang w:val="fr-FR"/>
              </w:rPr>
              <w:t>5 L</w:t>
            </w:r>
          </w:p>
        </w:tc>
      </w:tr>
    </w:tbl>
    <w:p w14:paraId="13470120"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5A0CDD39"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F98BDB9" w14:textId="21080294" w:rsidR="002C7AED" w:rsidRPr="00E91F85" w:rsidRDefault="00B2105A" w:rsidP="00846366">
            <w:pPr>
              <w:keepNext/>
              <w:widowControl w:val="0"/>
              <w:numPr>
                <w:ilvl w:val="0"/>
                <w:numId w:val="7"/>
              </w:numPr>
              <w:suppressAutoHyphens w:val="0"/>
              <w:autoSpaceDE w:val="0"/>
              <w:spacing w:after="120" w:line="260" w:lineRule="atLeast"/>
              <w:contextualSpacing/>
              <w:jc w:val="both"/>
              <w:rPr>
                <w:bCs/>
                <w:iCs/>
              </w:rPr>
            </w:pPr>
            <w:r w:rsidRPr="00E91F85">
              <w:rPr>
                <w:bCs/>
                <w:iCs/>
              </w:rPr>
              <w:t>Ready-to-use liquid for hard surfaces by spraying</w:t>
            </w:r>
            <w:r w:rsidR="00F20D2F" w:rsidRPr="00E91F85">
              <w:rPr>
                <w:bCs/>
                <w:iCs/>
              </w:rPr>
              <w:t xml:space="preserve">: </w:t>
            </w:r>
            <w:r w:rsidR="00B95C48" w:rsidRPr="00E91F85">
              <w:rPr>
                <w:bCs/>
                <w:iCs/>
              </w:rPr>
              <w:t>Spray directly on the surface</w:t>
            </w:r>
            <w:r w:rsidR="00E16D2D" w:rsidRPr="00E91F85">
              <w:rPr>
                <w:bCs/>
                <w:iCs/>
              </w:rPr>
              <w:t>s</w:t>
            </w:r>
            <w:r w:rsidR="00B95C48" w:rsidRPr="00E91F85">
              <w:rPr>
                <w:bCs/>
                <w:iCs/>
              </w:rPr>
              <w:t xml:space="preserve"> intended to be treated and cover the entire surface</w:t>
            </w:r>
            <w:r w:rsidR="00E16D2D" w:rsidRPr="00E91F85">
              <w:rPr>
                <w:bCs/>
                <w:iCs/>
              </w:rPr>
              <w:t>s</w:t>
            </w:r>
            <w:r w:rsidR="00B95C48" w:rsidRPr="00E91F85">
              <w:rPr>
                <w:bCs/>
                <w:iCs/>
              </w:rPr>
              <w:t>. Allow to take effect for at least 15 minutes</w:t>
            </w:r>
            <w:r w:rsidR="007F73C9">
              <w:rPr>
                <w:bCs/>
                <w:iCs/>
              </w:rPr>
              <w:t>,</w:t>
            </w:r>
            <w:r w:rsidR="00B95C48" w:rsidRPr="00E91F85">
              <w:rPr>
                <w:bCs/>
                <w:iCs/>
              </w:rPr>
              <w:t xml:space="preserve"> then brush or scrub if required rinse with water and wipe with a dry cloth.</w:t>
            </w:r>
          </w:p>
          <w:p w14:paraId="2602F20E" w14:textId="67D9FE4D" w:rsidR="003E6B21" w:rsidRPr="008D35E9" w:rsidRDefault="00B2105A" w:rsidP="00846366">
            <w:pPr>
              <w:keepNext/>
              <w:widowControl w:val="0"/>
              <w:numPr>
                <w:ilvl w:val="0"/>
                <w:numId w:val="7"/>
              </w:numPr>
              <w:suppressAutoHyphens w:val="0"/>
              <w:autoSpaceDE w:val="0"/>
              <w:spacing w:after="120" w:line="260" w:lineRule="atLeast"/>
              <w:contextualSpacing/>
              <w:jc w:val="both"/>
              <w:rPr>
                <w:bCs/>
                <w:iCs/>
              </w:rPr>
            </w:pPr>
            <w:r w:rsidRPr="00E91F85">
              <w:rPr>
                <w:bCs/>
                <w:iCs/>
              </w:rPr>
              <w:t>Ready-to-use liquid for hard surfaces by wipping/mopping:</w:t>
            </w:r>
            <w:r w:rsidR="002C7AED" w:rsidRPr="00E91F85">
              <w:rPr>
                <w:bCs/>
                <w:iCs/>
              </w:rPr>
              <w:t xml:space="preserve"> </w:t>
            </w:r>
            <w:r w:rsidR="00E16D2D" w:rsidRPr="00E91F85">
              <w:rPr>
                <w:bCs/>
                <w:iCs/>
              </w:rPr>
              <w:t>Spray on wipe or soak the mop/wipe and apply by fully wetting all surfaces intended to be treated</w:t>
            </w:r>
            <w:r w:rsidR="00B95C48" w:rsidRPr="00E91F85">
              <w:rPr>
                <w:bCs/>
                <w:iCs/>
              </w:rPr>
              <w:t>. Allow to take effect for at least 5 minutes and then rinse with water wipe the surface with a dry cloth if required or let to dry.</w:t>
            </w:r>
          </w:p>
        </w:tc>
      </w:tr>
    </w:tbl>
    <w:p w14:paraId="3A8FC141"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658EF50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7F5A385" w14:textId="39921C0A" w:rsidR="00636650" w:rsidRPr="00B27CB1" w:rsidRDefault="00D00D27" w:rsidP="00846366">
            <w:pPr>
              <w:keepNext/>
              <w:widowControl w:val="0"/>
              <w:numPr>
                <w:ilvl w:val="0"/>
                <w:numId w:val="7"/>
              </w:numPr>
              <w:suppressAutoHyphens w:val="0"/>
              <w:autoSpaceDE w:val="0"/>
              <w:spacing w:after="120" w:line="260" w:lineRule="atLeast"/>
              <w:contextualSpacing/>
              <w:jc w:val="both"/>
              <w:rPr>
                <w:rFonts w:cs="Times"/>
                <w:bCs/>
                <w:szCs w:val="29"/>
              </w:rPr>
            </w:pPr>
            <w:r w:rsidRPr="00846366">
              <w:rPr>
                <w:bCs/>
                <w:iCs/>
              </w:rPr>
              <w:t>For heathcare facilities, apply the product only in areas where disinfection is not medically indicated</w:t>
            </w:r>
          </w:p>
        </w:tc>
      </w:tr>
    </w:tbl>
    <w:p w14:paraId="385B64AA"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7A092C01"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531940B" w14:textId="64FE861C" w:rsidR="00636650"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4CEA238A"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4DF11E4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D6244AA" w14:textId="074306BB" w:rsidR="00636650"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36244312" w14:textId="77777777" w:rsidR="00636650" w:rsidRPr="00846366" w:rsidRDefault="00636650" w:rsidP="00846366">
      <w:pPr>
        <w:keepNext/>
        <w:numPr>
          <w:ilvl w:val="4"/>
          <w:numId w:val="9"/>
        </w:numPr>
        <w:spacing w:before="255" w:after="80" w:line="255" w:lineRule="exact"/>
        <w:outlineLvl w:val="4"/>
        <w:rPr>
          <w:sz w:val="22"/>
        </w:rPr>
      </w:pPr>
      <w:r w:rsidRPr="00846366">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36650" w:rsidRPr="00B27CB1" w14:paraId="003FD70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82DCDE0" w14:textId="1552B93D" w:rsidR="00636650"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2C28FA6A" w14:textId="44512F7D" w:rsidR="00636650" w:rsidRPr="00B27CB1" w:rsidRDefault="00636650" w:rsidP="00636650">
      <w:pPr>
        <w:widowControl w:val="0"/>
        <w:autoSpaceDE w:val="0"/>
        <w:rPr>
          <w:rFonts w:cs="Times"/>
          <w:bCs/>
          <w:szCs w:val="29"/>
        </w:rPr>
      </w:pPr>
    </w:p>
    <w:p w14:paraId="799799A3" w14:textId="77777777" w:rsidR="00636650" w:rsidRPr="00B27CB1" w:rsidRDefault="00636650" w:rsidP="00636650">
      <w:pPr>
        <w:widowControl w:val="0"/>
        <w:autoSpaceDE w:val="0"/>
        <w:rPr>
          <w:rFonts w:cs="Times"/>
          <w:bCs/>
          <w:szCs w:val="29"/>
        </w:rPr>
      </w:pPr>
    </w:p>
    <w:p w14:paraId="08112764" w14:textId="77777777" w:rsidR="00A932DC" w:rsidRPr="00846366" w:rsidRDefault="00A932DC" w:rsidP="00E91F85">
      <w:pPr>
        <w:pStyle w:val="Titre3"/>
        <w:rPr>
          <w:lang w:val="en-US"/>
        </w:rPr>
      </w:pPr>
      <w:bookmarkStart w:id="94" w:name="_Toc87361124"/>
      <w:r w:rsidRPr="00846366">
        <w:rPr>
          <w:lang w:val="en-US"/>
        </w:rPr>
        <w:lastRenderedPageBreak/>
        <w:t>General directions for use of the meta SPC 4</w:t>
      </w:r>
      <w:bookmarkEnd w:id="94"/>
    </w:p>
    <w:p w14:paraId="1520ED17"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0EF95BF1"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E605A7" w14:textId="7A77A7AE" w:rsidR="00B95C48" w:rsidRPr="00B95C48" w:rsidRDefault="003E6B21" w:rsidP="00B95C48">
            <w:pPr>
              <w:keepNext/>
              <w:widowControl w:val="0"/>
              <w:numPr>
                <w:ilvl w:val="0"/>
                <w:numId w:val="7"/>
              </w:numPr>
              <w:suppressAutoHyphens w:val="0"/>
              <w:autoSpaceDE w:val="0"/>
              <w:spacing w:after="120" w:line="260" w:lineRule="atLeast"/>
              <w:contextualSpacing/>
              <w:rPr>
                <w:bCs/>
                <w:iCs/>
              </w:rPr>
            </w:pPr>
            <w:r>
              <w:rPr>
                <w:bCs/>
                <w:iCs/>
              </w:rPr>
              <w:t>Comply with the instructions of uses</w:t>
            </w:r>
            <w:r w:rsidR="009E07D6">
              <w:rPr>
                <w:bCs/>
                <w:iCs/>
              </w:rPr>
              <w:t>.</w:t>
            </w:r>
          </w:p>
          <w:p w14:paraId="4473BD6C" w14:textId="4F1EA213" w:rsidR="00B95C48" w:rsidRPr="00B95C48" w:rsidRDefault="00B95C48" w:rsidP="00B95C48">
            <w:pPr>
              <w:keepNext/>
              <w:widowControl w:val="0"/>
              <w:numPr>
                <w:ilvl w:val="0"/>
                <w:numId w:val="7"/>
              </w:numPr>
              <w:suppressAutoHyphens w:val="0"/>
              <w:autoSpaceDE w:val="0"/>
              <w:spacing w:after="120" w:line="260" w:lineRule="atLeast"/>
              <w:contextualSpacing/>
              <w:rPr>
                <w:bCs/>
                <w:iCs/>
              </w:rPr>
            </w:pPr>
            <w:r w:rsidRPr="00B95C48">
              <w:rPr>
                <w:bCs/>
                <w:iCs/>
              </w:rPr>
              <w:t>Respect the conditions of use of the product (concentration, contact time, temperature, pH, etc.)</w:t>
            </w:r>
            <w:r w:rsidR="009E07D6">
              <w:rPr>
                <w:bCs/>
                <w:iCs/>
              </w:rPr>
              <w:t>.</w:t>
            </w:r>
          </w:p>
          <w:p w14:paraId="2736A556" w14:textId="77777777" w:rsidR="00B95C48" w:rsidRPr="00B95C48" w:rsidRDefault="00B95C48" w:rsidP="00B95C48">
            <w:pPr>
              <w:keepNext/>
              <w:widowControl w:val="0"/>
              <w:numPr>
                <w:ilvl w:val="0"/>
                <w:numId w:val="7"/>
              </w:numPr>
              <w:suppressAutoHyphens w:val="0"/>
              <w:autoSpaceDE w:val="0"/>
              <w:spacing w:after="120" w:line="260" w:lineRule="atLeast"/>
              <w:contextualSpacing/>
              <w:rPr>
                <w:bCs/>
                <w:iCs/>
              </w:rPr>
            </w:pPr>
            <w:r w:rsidRPr="00B95C48">
              <w:rPr>
                <w:bCs/>
                <w:iCs/>
              </w:rPr>
              <w:t>Inform the authorization holder if the treatment is ineffective.</w:t>
            </w:r>
          </w:p>
          <w:p w14:paraId="7E229F2E" w14:textId="77777777" w:rsidR="00A932DC" w:rsidRDefault="00B95C48" w:rsidP="00B95C48">
            <w:pPr>
              <w:keepNext/>
              <w:widowControl w:val="0"/>
              <w:numPr>
                <w:ilvl w:val="0"/>
                <w:numId w:val="7"/>
              </w:numPr>
              <w:suppressAutoHyphens w:val="0"/>
              <w:autoSpaceDE w:val="0"/>
              <w:spacing w:after="120" w:line="260" w:lineRule="atLeast"/>
              <w:contextualSpacing/>
              <w:rPr>
                <w:bCs/>
                <w:iCs/>
              </w:rPr>
            </w:pPr>
            <w:r w:rsidRPr="00B95C48">
              <w:rPr>
                <w:bCs/>
                <w:iCs/>
              </w:rPr>
              <w:t>For PT4</w:t>
            </w:r>
            <w:r w:rsidR="00BD183C">
              <w:rPr>
                <w:bCs/>
                <w:iCs/>
              </w:rPr>
              <w:t xml:space="preserve"> surfaces</w:t>
            </w:r>
            <w:r w:rsidRPr="00B95C48">
              <w:rPr>
                <w:bCs/>
                <w:iCs/>
              </w:rPr>
              <w:t>, application is only for general disinfection.</w:t>
            </w:r>
          </w:p>
          <w:p w14:paraId="2B3442F4" w14:textId="60C67E74" w:rsidR="00E042E9" w:rsidRPr="00846366" w:rsidRDefault="00E042E9" w:rsidP="00846366">
            <w:pPr>
              <w:keepNext/>
              <w:widowControl w:val="0"/>
              <w:numPr>
                <w:ilvl w:val="0"/>
                <w:numId w:val="7"/>
              </w:numPr>
              <w:suppressAutoHyphens w:val="0"/>
              <w:autoSpaceDE w:val="0"/>
              <w:spacing w:after="120" w:line="260" w:lineRule="atLeast"/>
              <w:contextualSpacing/>
              <w:jc w:val="both"/>
              <w:rPr>
                <w:bCs/>
                <w:color w:val="000000"/>
                <w:lang w:val="en-US"/>
              </w:rPr>
            </w:pPr>
            <w:r>
              <w:rPr>
                <w:rFonts w:cs="Times"/>
                <w:bCs/>
                <w:szCs w:val="29"/>
              </w:rPr>
              <w:t>Product has</w:t>
            </w:r>
            <w:r w:rsidRPr="00533866">
              <w:rPr>
                <w:rFonts w:cs="Times"/>
                <w:bCs/>
                <w:szCs w:val="29"/>
              </w:rPr>
              <w:t xml:space="preserve"> been tested against </w:t>
            </w:r>
            <w:r>
              <w:rPr>
                <w:rFonts w:cs="Times"/>
                <w:bCs/>
                <w:szCs w:val="29"/>
              </w:rPr>
              <w:t>bacteria</w:t>
            </w:r>
            <w:r w:rsidRPr="00533866">
              <w:rPr>
                <w:rFonts w:cs="Times"/>
                <w:bCs/>
                <w:szCs w:val="29"/>
              </w:rPr>
              <w:t xml:space="preserve">, </w:t>
            </w:r>
            <w:r w:rsidRPr="000D7D14">
              <w:t xml:space="preserve">including </w:t>
            </w:r>
            <w:r w:rsidRPr="00E91F85">
              <w:rPr>
                <w:bCs/>
                <w:i/>
                <w:color w:val="000000"/>
                <w:lang w:val="en-US"/>
              </w:rPr>
              <w:t xml:space="preserve">Salmonella </w:t>
            </w:r>
            <w:r w:rsidRPr="000434AD">
              <w:rPr>
                <w:bCs/>
                <w:color w:val="000000"/>
                <w:lang w:val="en-US"/>
              </w:rPr>
              <w:t>Typhimurium</w:t>
            </w:r>
            <w:r w:rsidRPr="00E91F85">
              <w:rPr>
                <w:bCs/>
                <w:color w:val="000000"/>
                <w:lang w:val="en-US"/>
              </w:rPr>
              <w:t xml:space="preserve"> </w:t>
            </w:r>
            <w:r>
              <w:rPr>
                <w:bCs/>
                <w:color w:val="000000"/>
                <w:lang w:val="en-US"/>
              </w:rPr>
              <w:t xml:space="preserve">(agent of Salmonellosis disease) </w:t>
            </w:r>
            <w:r w:rsidRPr="00E91F85">
              <w:rPr>
                <w:bCs/>
                <w:color w:val="000000"/>
                <w:lang w:val="en-US"/>
              </w:rPr>
              <w:t xml:space="preserve">and </w:t>
            </w:r>
            <w:r w:rsidRPr="00E91F85">
              <w:rPr>
                <w:bCs/>
                <w:i/>
                <w:color w:val="000000"/>
                <w:lang w:val="en-US"/>
              </w:rPr>
              <w:t>Listeria monocytogenes</w:t>
            </w:r>
            <w:r w:rsidRPr="000434AD">
              <w:rPr>
                <w:bCs/>
                <w:color w:val="000000"/>
                <w:lang w:val="en-US"/>
              </w:rPr>
              <w:t xml:space="preserve"> (agent of Listeriosis disease)</w:t>
            </w:r>
          </w:p>
        </w:tc>
      </w:tr>
    </w:tbl>
    <w:p w14:paraId="0F48E31A"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4F192E4"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7585006" w14:textId="417B088E" w:rsidR="00A46E1B" w:rsidRPr="00A46E1B" w:rsidRDefault="00A46E1B" w:rsidP="00E91F85">
            <w:pPr>
              <w:pStyle w:val="Paragraphedeliste"/>
              <w:numPr>
                <w:ilvl w:val="0"/>
                <w:numId w:val="38"/>
              </w:numPr>
              <w:rPr>
                <w:lang w:val="en-US"/>
              </w:rPr>
            </w:pPr>
            <w:r>
              <w:t>Wear</w:t>
            </w:r>
            <w:r>
              <w:rPr>
                <w:rFonts w:cs="Arial"/>
                <w:iCs/>
                <w:szCs w:val="16"/>
                <w:lang w:val="en-US"/>
              </w:rPr>
              <w:t xml:space="preserve"> </w:t>
            </w:r>
            <w:r>
              <w:rPr>
                <w:lang w:val="en-US"/>
              </w:rPr>
              <w:t>goggles during loading of th</w:t>
            </w:r>
            <w:r w:rsidR="00C64FF3">
              <w:rPr>
                <w:lang w:val="en-US"/>
              </w:rPr>
              <w:t>e trigger spray and application</w:t>
            </w:r>
            <w:r w:rsidR="001E514A">
              <w:rPr>
                <w:lang w:val="en-US"/>
              </w:rPr>
              <w:t>.</w:t>
            </w:r>
          </w:p>
          <w:p w14:paraId="5202C3E1" w14:textId="2BD851C3"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 during loading of the trigger spray</w:t>
            </w:r>
            <w:r w:rsidR="001E514A">
              <w:rPr>
                <w:rFonts w:cs="Arial"/>
                <w:iCs/>
                <w:color w:val="000000" w:themeColor="text1"/>
                <w:szCs w:val="16"/>
                <w:lang w:val="en-US"/>
              </w:rPr>
              <w:t>.</w:t>
            </w:r>
          </w:p>
          <w:p w14:paraId="53EA3EF8" w14:textId="27CB6B8E" w:rsidR="00A932DC" w:rsidRDefault="00A46E1B" w:rsidP="00E91F85">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The spray application must be downward in ord</w:t>
            </w:r>
            <w:r w:rsidR="00C64FF3">
              <w:rPr>
                <w:rFonts w:cs="Arial"/>
                <w:iCs/>
                <w:color w:val="000000" w:themeColor="text1"/>
                <w:szCs w:val="16"/>
                <w:lang w:val="en-US"/>
              </w:rPr>
              <w:t>er to avoid any facial exposure</w:t>
            </w:r>
            <w:r w:rsidR="001E514A">
              <w:rPr>
                <w:rFonts w:cs="Arial"/>
                <w:iCs/>
                <w:color w:val="000000" w:themeColor="text1"/>
                <w:szCs w:val="16"/>
                <w:lang w:val="en-US"/>
              </w:rPr>
              <w:t>.</w:t>
            </w:r>
          </w:p>
          <w:p w14:paraId="7A3D18E9" w14:textId="10107D88" w:rsidR="003419A9" w:rsidRPr="00E91F85" w:rsidRDefault="003419A9">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Avoidance of contact with freshly treated surfaces.</w:t>
            </w:r>
          </w:p>
        </w:tc>
      </w:tr>
    </w:tbl>
    <w:p w14:paraId="129CEC34"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9080A6F"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60B5D2E" w14:textId="6801F7FB" w:rsidR="00FD28AF" w:rsidRDefault="00FD28AF" w:rsidP="00E91F85">
            <w:pPr>
              <w:pStyle w:val="Paragraphedeliste"/>
              <w:numPr>
                <w:ilvl w:val="0"/>
                <w:numId w:val="38"/>
              </w:numPr>
            </w:pPr>
            <w:r w:rsidRPr="00FD28AF">
              <w:t>IF IN EYES: Rinse cautiously with water for several minutes. Remove contact lenses, if present and easy to do. Continue rinsing.</w:t>
            </w:r>
          </w:p>
          <w:p w14:paraId="6641E765" w14:textId="315BE749" w:rsidR="00FD28AF" w:rsidRDefault="00FD28AF" w:rsidP="00E91F85">
            <w:pPr>
              <w:pStyle w:val="Paragraphedeliste"/>
              <w:numPr>
                <w:ilvl w:val="0"/>
                <w:numId w:val="38"/>
              </w:numPr>
            </w:pPr>
            <w:r w:rsidRPr="00FD28AF">
              <w:t>Skin contact: Remove contaminated clothing and shoes. Wash contaminated skin with water. Contact poison treatment specialist if symptoms occur.</w:t>
            </w:r>
          </w:p>
          <w:p w14:paraId="2780B605" w14:textId="21F59AD7" w:rsidR="00FD28AF" w:rsidRDefault="00FD28AF" w:rsidP="00E91F85">
            <w:pPr>
              <w:pStyle w:val="Paragraphedeliste"/>
              <w:numPr>
                <w:ilvl w:val="0"/>
                <w:numId w:val="38"/>
              </w:numPr>
            </w:pPr>
            <w:r>
              <w:t>Ingestion: Wash out mouth with water. Contact poison treatment specialist. Seek medical advice immediately if symptoms occur and/or large quantities have been ingested. Do not give fluids or induce vomiting.</w:t>
            </w:r>
          </w:p>
          <w:p w14:paraId="0FD3A9B9" w14:textId="77777777" w:rsidR="00FD28AF" w:rsidRDefault="00FD28AF" w:rsidP="00E91F85">
            <w:pPr>
              <w:pStyle w:val="Paragraphedeliste"/>
              <w:numPr>
                <w:ilvl w:val="0"/>
                <w:numId w:val="38"/>
              </w:numPr>
            </w:pPr>
            <w:r>
              <w:t>Inhalation (of spray mist): Remove victim to fresh air and keep at rest in a position comfortable for breathing. Seek medical advice immediately if symptoms occur and/or large quantities have been inhaled.</w:t>
            </w:r>
          </w:p>
          <w:p w14:paraId="4622D1C2" w14:textId="77777777" w:rsidR="00FD28AF" w:rsidRDefault="00FD28AF" w:rsidP="00E91F85">
            <w:pPr>
              <w:pStyle w:val="Paragraphedeliste"/>
              <w:numPr>
                <w:ilvl w:val="0"/>
                <w:numId w:val="38"/>
              </w:numPr>
            </w:pPr>
            <w:r>
              <w:t>In case of impaired consciousness place in recovery position and seek medical advice immediately.</w:t>
            </w:r>
          </w:p>
          <w:p w14:paraId="291E4349" w14:textId="5711AD31" w:rsidR="00A932DC" w:rsidRPr="00B27CB1" w:rsidRDefault="00FD28AF" w:rsidP="00E91F85">
            <w:pPr>
              <w:pStyle w:val="Paragraphedeliste"/>
              <w:numPr>
                <w:ilvl w:val="0"/>
                <w:numId w:val="38"/>
              </w:numPr>
            </w:pPr>
            <w:r>
              <w:t>Keep the container or label available</w:t>
            </w:r>
            <w:r w:rsidR="001E514A">
              <w:t>.</w:t>
            </w:r>
          </w:p>
        </w:tc>
      </w:tr>
    </w:tbl>
    <w:p w14:paraId="1484FFA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B01E45A"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235AFF2" w14:textId="69449008" w:rsidR="00CF6513" w:rsidRPr="00E91F85" w:rsidRDefault="00CF6513" w:rsidP="00E91F85">
            <w:pPr>
              <w:pStyle w:val="Paragraphedeliste"/>
              <w:numPr>
                <w:ilvl w:val="0"/>
                <w:numId w:val="38"/>
              </w:numPr>
            </w:pPr>
            <w:r w:rsidRPr="00E91F85">
              <w:t>Do not discharge unused product on the ground, into water courses, into pipes (sink, toilets…) nor down the drains</w:t>
            </w:r>
            <w:r w:rsidR="001E514A">
              <w:t>.</w:t>
            </w:r>
          </w:p>
          <w:p w14:paraId="4D511791" w14:textId="0E53FAB2" w:rsidR="00A932DC" w:rsidRPr="00B27CB1" w:rsidRDefault="00CF6513" w:rsidP="00E91F85">
            <w:pPr>
              <w:keepNext/>
              <w:widowControl w:val="0"/>
              <w:numPr>
                <w:ilvl w:val="0"/>
                <w:numId w:val="7"/>
              </w:numPr>
              <w:autoSpaceDE w:val="0"/>
              <w:spacing w:after="60"/>
            </w:pPr>
            <w:r w:rsidRPr="00E91F85">
              <w:t>Dispose of unused product, its packaging and all other waste, in accordance with local regulations</w:t>
            </w:r>
            <w:r w:rsidR="001E514A">
              <w:t>.</w:t>
            </w:r>
          </w:p>
        </w:tc>
      </w:tr>
    </w:tbl>
    <w:p w14:paraId="52A21FE5"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2EB75AF8"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0AE6DCF" w14:textId="46C54A1E" w:rsidR="00A932DC" w:rsidRPr="00B27CB1" w:rsidRDefault="001518D7" w:rsidP="00E91F85">
            <w:pPr>
              <w:pStyle w:val="Paragraphedeliste"/>
              <w:numPr>
                <w:ilvl w:val="0"/>
                <w:numId w:val="38"/>
              </w:numPr>
            </w:pPr>
            <w:r>
              <w:t xml:space="preserve">Shelf </w:t>
            </w:r>
            <w:r w:rsidR="001E514A">
              <w:t>life:</w:t>
            </w:r>
            <w:r>
              <w:t xml:space="preserve"> 2 years</w:t>
            </w:r>
            <w:r w:rsidR="001E514A">
              <w:t>.</w:t>
            </w:r>
          </w:p>
        </w:tc>
      </w:tr>
    </w:tbl>
    <w:p w14:paraId="4B299B7C" w14:textId="77777777" w:rsidR="00A932DC" w:rsidRPr="00B27CB1" w:rsidRDefault="00A932DC" w:rsidP="00A932DC">
      <w:pPr>
        <w:widowControl w:val="0"/>
        <w:autoSpaceDE w:val="0"/>
        <w:rPr>
          <w:bCs/>
          <w:iCs/>
          <w:szCs w:val="22"/>
        </w:rPr>
      </w:pPr>
    </w:p>
    <w:p w14:paraId="163EB127" w14:textId="77777777" w:rsidR="00A932DC" w:rsidRPr="00B27CB1" w:rsidRDefault="00A932DC" w:rsidP="00E91F85">
      <w:pPr>
        <w:pStyle w:val="Titre3"/>
      </w:pPr>
      <w:bookmarkStart w:id="95" w:name="_Toc87361125"/>
      <w:r w:rsidRPr="00B27CB1">
        <w:t>Other information</w:t>
      </w:r>
      <w:bookmarkEnd w:id="9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FE2E9B0"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E1ED51E" w14:textId="0DB56BD1" w:rsidR="00A932DC" w:rsidRPr="00B27CB1" w:rsidRDefault="003F1647" w:rsidP="00A932DC">
            <w:pPr>
              <w:widowControl w:val="0"/>
              <w:autoSpaceDE w:val="0"/>
              <w:snapToGrid w:val="0"/>
              <w:spacing w:line="256" w:lineRule="auto"/>
              <w:jc w:val="both"/>
            </w:pPr>
            <w:r>
              <w:t>-</w:t>
            </w:r>
          </w:p>
        </w:tc>
      </w:tr>
    </w:tbl>
    <w:p w14:paraId="3F2C06A4" w14:textId="77777777" w:rsidR="00A932DC" w:rsidRPr="00B27CB1" w:rsidRDefault="00A932DC" w:rsidP="00A932DC"/>
    <w:p w14:paraId="1707853E" w14:textId="77777777" w:rsidR="00A932DC" w:rsidRPr="00B27CB1" w:rsidRDefault="00A932DC" w:rsidP="00A932DC"/>
    <w:p w14:paraId="168F4FD4" w14:textId="77777777" w:rsidR="00A932DC" w:rsidRPr="00B27CB1" w:rsidRDefault="00A932DC" w:rsidP="00A932DC"/>
    <w:p w14:paraId="12F62341" w14:textId="7777777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4</w:t>
      </w:r>
    </w:p>
    <w:p w14:paraId="07B320AD" w14:textId="77777777" w:rsidR="00A932DC" w:rsidRPr="00B27CB1" w:rsidRDefault="00A932DC" w:rsidP="00A932DC">
      <w:pPr>
        <w:widowControl w:val="0"/>
        <w:autoSpaceDE w:val="0"/>
        <w:rPr>
          <w:rFonts w:cs="Times"/>
          <w:bCs/>
          <w:szCs w:val="29"/>
        </w:rPr>
      </w:pPr>
    </w:p>
    <w:p w14:paraId="7DF938D4" w14:textId="77777777" w:rsidR="00A932DC" w:rsidRPr="00B10ACB" w:rsidRDefault="00A932DC" w:rsidP="00E91F85">
      <w:pPr>
        <w:pStyle w:val="Titre3"/>
        <w:rPr>
          <w:lang w:val="en-US"/>
        </w:rPr>
      </w:pPr>
      <w:bookmarkStart w:id="96" w:name="_Toc87361126"/>
      <w:r w:rsidRPr="00B10ACB">
        <w:rPr>
          <w:lang w:val="en-US"/>
        </w:rPr>
        <w:t>Trade name(s), authorisation number and specific composition of each individual product</w:t>
      </w:r>
      <w:bookmarkEnd w:id="96"/>
    </w:p>
    <w:p w14:paraId="5D060EC1" w14:textId="77777777" w:rsidR="00A932DC" w:rsidRPr="00B27CB1" w:rsidRDefault="00A932DC" w:rsidP="00A932DC">
      <w:pPr>
        <w:widowControl w:val="0"/>
        <w:autoSpaceDE w:val="0"/>
        <w:rPr>
          <w:rFonts w:cs="Times"/>
          <w:bCs/>
          <w:szCs w:val="2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06"/>
        <w:gridCol w:w="1850"/>
        <w:gridCol w:w="1134"/>
        <w:gridCol w:w="1276"/>
        <w:gridCol w:w="1152"/>
        <w:gridCol w:w="1354"/>
      </w:tblGrid>
      <w:tr w:rsidR="00A932DC" w:rsidRPr="00A04731" w14:paraId="034BEA58" w14:textId="77777777" w:rsidTr="00B10ACB">
        <w:trPr>
          <w:trHeight w:val="370"/>
        </w:trPr>
        <w:tc>
          <w:tcPr>
            <w:tcW w:w="23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C70F820" w14:textId="77777777" w:rsidR="00A932DC" w:rsidRPr="00B27CB1" w:rsidRDefault="00A932DC" w:rsidP="00A932DC">
            <w:pPr>
              <w:spacing w:line="256" w:lineRule="auto"/>
            </w:pPr>
            <w:r w:rsidRPr="00B27CB1">
              <w:rPr>
                <w:b/>
                <w:bCs/>
                <w:szCs w:val="24"/>
                <w:lang w:eastAsia="en-GB"/>
              </w:rPr>
              <w:t>Trade name(s)</w:t>
            </w:r>
          </w:p>
        </w:tc>
        <w:tc>
          <w:tcPr>
            <w:tcW w:w="6766"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42A923" w14:textId="77777777" w:rsidR="00D96784" w:rsidRPr="005A150D" w:rsidRDefault="00D96784" w:rsidP="00D96784">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VSD</w:t>
            </w:r>
          </w:p>
          <w:p w14:paraId="325F9E00" w14:textId="77777777" w:rsidR="00D96784" w:rsidRPr="005A150D" w:rsidRDefault="00D96784" w:rsidP="00D96784">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VITRES ET SURFACES DESINFECTANT</w:t>
            </w:r>
          </w:p>
          <w:p w14:paraId="24EBC0B0" w14:textId="193D2A43" w:rsidR="00A932DC" w:rsidRPr="005A150D" w:rsidRDefault="00D96784" w:rsidP="00D96784">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VITRES &amp; SURFACES DESINFECTANT</w:t>
            </w:r>
          </w:p>
        </w:tc>
      </w:tr>
      <w:tr w:rsidR="00A932DC" w:rsidRPr="00B27CB1" w14:paraId="4D6921B8" w14:textId="77777777" w:rsidTr="00B10ACB">
        <w:trPr>
          <w:trHeight w:val="514"/>
        </w:trPr>
        <w:tc>
          <w:tcPr>
            <w:tcW w:w="23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269F39C" w14:textId="77777777" w:rsidR="00A932DC" w:rsidRPr="00B27CB1" w:rsidRDefault="00A932DC" w:rsidP="00A932DC">
            <w:pPr>
              <w:spacing w:line="256" w:lineRule="auto"/>
              <w:rPr>
                <w:b/>
              </w:rPr>
            </w:pPr>
            <w:r w:rsidRPr="00B27CB1">
              <w:rPr>
                <w:b/>
              </w:rPr>
              <w:t>Authorisation number</w:t>
            </w:r>
          </w:p>
        </w:tc>
        <w:tc>
          <w:tcPr>
            <w:tcW w:w="6766"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35FA6" w14:textId="77777777" w:rsidR="00A932DC" w:rsidRPr="00B27CB1" w:rsidRDefault="00A932DC" w:rsidP="00A932DC">
            <w:pPr>
              <w:spacing w:line="256" w:lineRule="auto"/>
              <w:rPr>
                <w:b/>
                <w:bCs/>
                <w:szCs w:val="24"/>
                <w:lang w:eastAsia="en-GB"/>
              </w:rPr>
            </w:pPr>
          </w:p>
        </w:tc>
      </w:tr>
      <w:tr w:rsidR="00A932DC" w:rsidRPr="00B27CB1" w14:paraId="51666CE1" w14:textId="77777777" w:rsidTr="00B10ACB">
        <w:trPr>
          <w:trHeight w:val="514"/>
        </w:trPr>
        <w:tc>
          <w:tcPr>
            <w:tcW w:w="23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53F7572" w14:textId="77777777" w:rsidR="00A932DC" w:rsidRPr="00B27CB1" w:rsidRDefault="00A932DC" w:rsidP="00A932DC">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E897BF0" w14:textId="77777777" w:rsidR="00A932DC" w:rsidRPr="00B27CB1" w:rsidRDefault="00A932DC" w:rsidP="00A932DC">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B64AB1B" w14:textId="77777777" w:rsidR="00A932DC" w:rsidRPr="00B27CB1" w:rsidRDefault="00A932DC" w:rsidP="00A932DC">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0053400" w14:textId="77777777" w:rsidR="00A932DC" w:rsidRPr="00B27CB1" w:rsidRDefault="00A932DC" w:rsidP="00A932D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A8D451" w14:textId="77777777" w:rsidR="00A932DC" w:rsidRPr="00B27CB1" w:rsidRDefault="00A932DC" w:rsidP="00A932DC">
            <w:pPr>
              <w:spacing w:line="256" w:lineRule="auto"/>
            </w:pPr>
            <w:r w:rsidRPr="00B27CB1">
              <w:rPr>
                <w:b/>
                <w:bCs/>
                <w:szCs w:val="24"/>
                <w:lang w:eastAsia="en-GB"/>
              </w:rPr>
              <w:t>EC number</w:t>
            </w:r>
          </w:p>
        </w:tc>
        <w:tc>
          <w:tcPr>
            <w:tcW w:w="13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1E60BFA" w14:textId="77777777" w:rsidR="00A932DC" w:rsidRPr="00B27CB1" w:rsidRDefault="00A932DC" w:rsidP="00A932DC">
            <w:pPr>
              <w:spacing w:line="256" w:lineRule="auto"/>
            </w:pPr>
            <w:r w:rsidRPr="00B27CB1">
              <w:rPr>
                <w:b/>
                <w:bCs/>
                <w:szCs w:val="24"/>
                <w:lang w:eastAsia="en-GB"/>
              </w:rPr>
              <w:t>Content (%)</w:t>
            </w:r>
          </w:p>
        </w:tc>
      </w:tr>
      <w:tr w:rsidR="00EE5406" w:rsidRPr="00B27CB1" w14:paraId="17BF2996" w14:textId="77777777" w:rsidTr="00B10ACB">
        <w:tc>
          <w:tcPr>
            <w:tcW w:w="230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024227" w14:textId="560CEB33" w:rsidR="00EE5406" w:rsidRPr="00B10ACB" w:rsidRDefault="00480A68" w:rsidP="00EE5406">
            <w:pPr>
              <w:snapToGrid w:val="0"/>
              <w:spacing w:line="256" w:lineRule="auto"/>
              <w:rPr>
                <w:rFonts w:cs="Arial"/>
              </w:rPr>
            </w:pPr>
            <w:r w:rsidRPr="005D3980">
              <w:rPr>
                <w:rFonts w:cs="Arial"/>
              </w:rPr>
              <w:t xml:space="preserve">L(+) </w:t>
            </w:r>
            <w:r w:rsidR="00EE5406" w:rsidRPr="00B10ACB">
              <w:rPr>
                <w:rFonts w:cs="Arial"/>
              </w:rPr>
              <w:t>Lactic acid</w:t>
            </w:r>
          </w:p>
          <w:p w14:paraId="616BE5A1" w14:textId="77777777" w:rsidR="00EE5406" w:rsidRPr="00B10ACB" w:rsidRDefault="00EE5406" w:rsidP="00EE5406">
            <w:pPr>
              <w:widowControl w:val="0"/>
              <w:autoSpaceDE w:val="0"/>
              <w:spacing w:line="256" w:lineRule="auto"/>
              <w:rPr>
                <w:rFonts w:cs="Arial"/>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552EEE" w14:textId="61E8FD20" w:rsidR="00EE5406" w:rsidRPr="00B10ACB" w:rsidRDefault="00480A68" w:rsidP="00EE5406">
            <w:pPr>
              <w:widowControl w:val="0"/>
              <w:autoSpaceDE w:val="0"/>
              <w:spacing w:line="256" w:lineRule="auto"/>
              <w:rPr>
                <w:rFonts w:cs="Arial"/>
              </w:rPr>
            </w:pPr>
            <w:r w:rsidRPr="00932929">
              <w:t>(S)-2-Hydroxypropanoic acid</w:t>
            </w:r>
            <w:r w:rsidRPr="00480A68" w:rsidDel="00480A68">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5F600FA" w14:textId="19B9375E"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907094" w14:textId="2D477C49"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3BD4FA" w14:textId="2A77C2E1" w:rsidR="00EE5406" w:rsidRPr="00B10ACB" w:rsidRDefault="00EE5406" w:rsidP="00EE5406">
            <w:pPr>
              <w:widowControl w:val="0"/>
              <w:autoSpaceDE w:val="0"/>
              <w:spacing w:line="256" w:lineRule="auto"/>
              <w:rPr>
                <w:rFonts w:cs="Arial"/>
              </w:rPr>
            </w:pPr>
            <w:r w:rsidRPr="00B10ACB">
              <w:rPr>
                <w:rFonts w:cs="Arial"/>
              </w:rPr>
              <w:t>201-196-2</w:t>
            </w:r>
          </w:p>
        </w:tc>
        <w:tc>
          <w:tcPr>
            <w:tcW w:w="13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366545C" w14:textId="4F7BFAB8" w:rsidR="00EE5406" w:rsidRPr="00B10ACB" w:rsidRDefault="00EE5406" w:rsidP="00EE5406">
            <w:pPr>
              <w:autoSpaceDE w:val="0"/>
              <w:spacing w:line="256" w:lineRule="auto"/>
              <w:rPr>
                <w:rFonts w:cs="Arial"/>
              </w:rPr>
            </w:pPr>
            <w:r w:rsidRPr="00B10ACB">
              <w:rPr>
                <w:rFonts w:cs="Arial"/>
              </w:rPr>
              <w:t>3.06</w:t>
            </w:r>
          </w:p>
        </w:tc>
      </w:tr>
      <w:tr w:rsidR="00EE5406" w:rsidRPr="00B27CB1" w14:paraId="3D220385" w14:textId="77777777" w:rsidTr="00B10ACB">
        <w:tc>
          <w:tcPr>
            <w:tcW w:w="2306" w:type="dxa"/>
            <w:vMerge/>
            <w:tcBorders>
              <w:top w:val="single" w:sz="4" w:space="0" w:color="000000"/>
              <w:left w:val="single" w:sz="4" w:space="0" w:color="000000"/>
              <w:bottom w:val="single" w:sz="4" w:space="0" w:color="000000"/>
              <w:right w:val="single" w:sz="4" w:space="0" w:color="000000"/>
            </w:tcBorders>
            <w:hideMark/>
          </w:tcPr>
          <w:p w14:paraId="1BAB2301" w14:textId="77777777" w:rsidR="00EE5406" w:rsidRPr="00B10ACB" w:rsidRDefault="00EE5406" w:rsidP="00EE5406">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0F6AAA18" w14:textId="77777777" w:rsidR="00EE5406" w:rsidRPr="00B10ACB" w:rsidRDefault="00EE5406" w:rsidP="00EE5406">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A0C0E33" w14:textId="718DDC26" w:rsidR="00EE5406" w:rsidRPr="00B10ACB" w:rsidRDefault="00EE5406" w:rsidP="00EE5406">
            <w:pPr>
              <w:spacing w:line="256" w:lineRule="auto"/>
              <w:rPr>
                <w:rFonts w:cs="Arial"/>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0B8965D7"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31149C22" w14:textId="77777777" w:rsidR="00EE5406" w:rsidRPr="00B10ACB" w:rsidRDefault="00EE5406" w:rsidP="00EE5406">
            <w:pPr>
              <w:suppressAutoHyphens w:val="0"/>
              <w:spacing w:line="256" w:lineRule="auto"/>
              <w:rPr>
                <w:rFonts w:cs="Arial"/>
              </w:rPr>
            </w:pPr>
          </w:p>
        </w:tc>
        <w:tc>
          <w:tcPr>
            <w:tcW w:w="13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B69293" w14:textId="618E97DE" w:rsidR="00EE5406" w:rsidRPr="00B10ACB" w:rsidRDefault="00EE5406" w:rsidP="00EE5406">
            <w:pPr>
              <w:spacing w:line="256" w:lineRule="auto"/>
              <w:rPr>
                <w:rFonts w:cs="Arial"/>
              </w:rPr>
            </w:pPr>
            <w:r w:rsidRPr="00B10ACB">
              <w:rPr>
                <w:rFonts w:cs="Arial"/>
              </w:rPr>
              <w:t>3.2</w:t>
            </w:r>
          </w:p>
        </w:tc>
      </w:tr>
    </w:tbl>
    <w:p w14:paraId="5852F3BA" w14:textId="77777777" w:rsidR="00A932DC" w:rsidRPr="00B27CB1" w:rsidRDefault="00A932DC" w:rsidP="00A932DC"/>
    <w:p w14:paraId="0F293FEE" w14:textId="4046DC5F" w:rsidR="00A932DC" w:rsidRPr="00B27CB1" w:rsidRDefault="00A932DC" w:rsidP="00A932DC"/>
    <w:p w14:paraId="3C864CB3" w14:textId="7777777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6</w:t>
      </w:r>
    </w:p>
    <w:p w14:paraId="0739548F" w14:textId="77777777" w:rsidR="00A932DC" w:rsidRPr="00B27CB1" w:rsidRDefault="00A932DC" w:rsidP="00A932DC"/>
    <w:p w14:paraId="3D6DAA25" w14:textId="77777777" w:rsidR="00A932DC" w:rsidRPr="00B27CB1" w:rsidRDefault="00A932DC" w:rsidP="00E91F85">
      <w:pPr>
        <w:pStyle w:val="Titre3"/>
      </w:pPr>
      <w:bookmarkStart w:id="97" w:name="_Toc87361127"/>
      <w:r w:rsidRPr="00B27CB1">
        <w:t>Meta SPC 6 administrative information</w:t>
      </w:r>
      <w:bookmarkEnd w:id="97"/>
    </w:p>
    <w:p w14:paraId="33253020"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221C37EF"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B3F792"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72D5B80" w14:textId="77777777" w:rsidR="00A932DC" w:rsidRPr="00B27CB1" w:rsidRDefault="00A932DC" w:rsidP="00A932DC">
            <w:pPr>
              <w:spacing w:line="256" w:lineRule="auto"/>
            </w:pPr>
            <w:r w:rsidRPr="00B27CB1">
              <w:t>META SPC 6</w:t>
            </w:r>
          </w:p>
        </w:tc>
      </w:tr>
    </w:tbl>
    <w:p w14:paraId="2F9A9E2C" w14:textId="77777777" w:rsidR="00A932DC" w:rsidRPr="00B27CB1" w:rsidRDefault="00A932DC" w:rsidP="00A932DC"/>
    <w:p w14:paraId="59B2C95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19A8D397"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E3C449" w14:textId="495D85E1" w:rsidR="00A932DC" w:rsidRPr="00B27CB1" w:rsidRDefault="003F1647" w:rsidP="00A932DC">
            <w:pPr>
              <w:spacing w:line="256" w:lineRule="auto"/>
            </w:pPr>
            <w:r>
              <w:t xml:space="preserve">Number </w:t>
            </w:r>
            <w:r w:rsidR="002F6E1B">
              <w:t>5</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EDF3A5" w14:textId="77777777" w:rsidR="00A932DC" w:rsidRPr="00B27CB1" w:rsidRDefault="00A932DC" w:rsidP="00A932DC">
            <w:pPr>
              <w:spacing w:line="256" w:lineRule="auto"/>
            </w:pPr>
          </w:p>
        </w:tc>
      </w:tr>
    </w:tbl>
    <w:p w14:paraId="7CCA08BD" w14:textId="77777777" w:rsidR="00A932DC" w:rsidRPr="00B27CB1" w:rsidRDefault="00A932DC" w:rsidP="00A932DC"/>
    <w:p w14:paraId="6DBE4666"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633992E7"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9FAE1E"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E78081" w14:textId="77675559" w:rsidR="00A932DC" w:rsidRPr="00B27CB1" w:rsidRDefault="007018A5" w:rsidP="003F1647">
            <w:pPr>
              <w:spacing w:line="256" w:lineRule="auto"/>
            </w:pPr>
            <w:r w:rsidRPr="00B27CB1">
              <w:t>2, 4</w:t>
            </w:r>
          </w:p>
        </w:tc>
      </w:tr>
    </w:tbl>
    <w:p w14:paraId="32C5910B" w14:textId="77777777" w:rsidR="00A932DC" w:rsidRPr="00B27CB1" w:rsidRDefault="00A932DC" w:rsidP="00A932DC"/>
    <w:p w14:paraId="605A26C4" w14:textId="77777777" w:rsidR="00A932DC" w:rsidRPr="00B27CB1" w:rsidRDefault="00A932DC" w:rsidP="00E91F85">
      <w:pPr>
        <w:pStyle w:val="Titre3"/>
      </w:pPr>
      <w:bookmarkStart w:id="98" w:name="_Toc87361128"/>
      <w:r w:rsidRPr="00B27CB1">
        <w:lastRenderedPageBreak/>
        <w:t>Meta SPC 6 composition</w:t>
      </w:r>
      <w:bookmarkEnd w:id="98"/>
    </w:p>
    <w:p w14:paraId="7D8E09E3"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6</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6796D162"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4D1E3DC1"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1C33EB5C"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0ED8DE86"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30DD73B4"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3AAC7CA2"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06362E31" w14:textId="77777777" w:rsidR="00A932DC" w:rsidRPr="00B27CB1" w:rsidRDefault="00A932DC" w:rsidP="00A932DC">
            <w:pPr>
              <w:spacing w:line="256" w:lineRule="auto"/>
            </w:pPr>
            <w:r w:rsidRPr="00B27CB1">
              <w:rPr>
                <w:b/>
                <w:bCs/>
                <w:szCs w:val="24"/>
                <w:lang w:eastAsia="en-GB"/>
              </w:rPr>
              <w:t>Content (%)</w:t>
            </w:r>
          </w:p>
        </w:tc>
      </w:tr>
      <w:tr w:rsidR="00A932DC" w:rsidRPr="00B27CB1" w14:paraId="07A2389D"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1FEB96A9"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BFFA71D"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9BAD596"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5FA08AFF"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D01389F"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E5F964"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D2BB2" w14:textId="77777777" w:rsidR="00A932DC" w:rsidRPr="00B27CB1" w:rsidRDefault="00A932DC" w:rsidP="00A932DC">
            <w:pPr>
              <w:spacing w:line="256" w:lineRule="auto"/>
            </w:pPr>
            <w:r w:rsidRPr="00B27CB1">
              <w:rPr>
                <w:b/>
                <w:bCs/>
                <w:szCs w:val="24"/>
                <w:lang w:eastAsia="en-GB"/>
              </w:rPr>
              <w:t>Max</w:t>
            </w:r>
          </w:p>
        </w:tc>
      </w:tr>
      <w:tr w:rsidR="00EE5406" w:rsidRPr="00B27CB1" w14:paraId="1EF6F8A9" w14:textId="77777777" w:rsidTr="00E91F85">
        <w:tc>
          <w:tcPr>
            <w:tcW w:w="2256" w:type="dxa"/>
            <w:vMerge w:val="restart"/>
            <w:tcBorders>
              <w:top w:val="single" w:sz="4" w:space="0" w:color="000000"/>
              <w:left w:val="single" w:sz="4" w:space="0" w:color="000000"/>
              <w:bottom w:val="single" w:sz="4" w:space="0" w:color="000000"/>
              <w:right w:val="nil"/>
            </w:tcBorders>
          </w:tcPr>
          <w:p w14:paraId="7168CEB5" w14:textId="290778B0" w:rsidR="00EE5406" w:rsidRPr="00B27CB1" w:rsidRDefault="00480A68" w:rsidP="00EE5406">
            <w:pPr>
              <w:snapToGrid w:val="0"/>
              <w:spacing w:line="256" w:lineRule="auto"/>
              <w:rPr>
                <w:b/>
                <w:bCs/>
                <w:szCs w:val="24"/>
                <w:lang w:eastAsia="en-GB"/>
              </w:rPr>
            </w:pPr>
            <w:r w:rsidRPr="00F67FDB">
              <w:t xml:space="preserve">L(+) </w:t>
            </w:r>
            <w:r w:rsidR="00EE5406">
              <w:rPr>
                <w:lang w:val="pl-PL"/>
              </w:rPr>
              <w:t>Lactic acid</w:t>
            </w:r>
          </w:p>
          <w:p w14:paraId="756296B4" w14:textId="77777777" w:rsidR="00EE5406" w:rsidRPr="00B27CB1" w:rsidRDefault="00EE5406" w:rsidP="00EE5406">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623C7605" w14:textId="6F71F4C7" w:rsidR="00EE5406" w:rsidRPr="00B27CB1" w:rsidRDefault="00480A68" w:rsidP="00EE5406">
            <w:pPr>
              <w:snapToGrid w:val="0"/>
              <w:spacing w:line="256" w:lineRule="auto"/>
            </w:pPr>
            <w:r w:rsidRPr="00932929">
              <w:t>(S)-2-Hydroxypropanoic acid</w:t>
            </w:r>
            <w:r w:rsidRPr="00F67FDB" w:rsidDel="00480A68">
              <w:t xml:space="preserve"> </w:t>
            </w:r>
          </w:p>
        </w:tc>
        <w:tc>
          <w:tcPr>
            <w:tcW w:w="1353" w:type="dxa"/>
            <w:tcBorders>
              <w:top w:val="single" w:sz="4" w:space="0" w:color="000000"/>
              <w:left w:val="single" w:sz="4" w:space="0" w:color="000000"/>
              <w:bottom w:val="single" w:sz="4" w:space="0" w:color="000000"/>
              <w:right w:val="nil"/>
            </w:tcBorders>
            <w:vAlign w:val="center"/>
            <w:hideMark/>
          </w:tcPr>
          <w:p w14:paraId="448876C2" w14:textId="7980EDBE" w:rsidR="00EE5406" w:rsidRPr="00B27CB1" w:rsidRDefault="00EE5406" w:rsidP="00EE5406">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4240BB41" w14:textId="37A301F1" w:rsidR="00EE5406" w:rsidRPr="00B27CB1" w:rsidRDefault="00EE5406" w:rsidP="00EE5406">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485C9118" w14:textId="038E4F73" w:rsidR="00EE5406" w:rsidRPr="00B27CB1" w:rsidRDefault="00EE5406" w:rsidP="00EE5406">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22370F73" w14:textId="1FCDAE15" w:rsidR="00EE5406" w:rsidRPr="00B27CB1" w:rsidRDefault="00EE5406" w:rsidP="00EE5406">
            <w:pPr>
              <w:snapToGrid w:val="0"/>
              <w:spacing w:line="256" w:lineRule="auto"/>
            </w:pPr>
            <w:r>
              <w:t>22.92</w:t>
            </w:r>
          </w:p>
        </w:tc>
        <w:tc>
          <w:tcPr>
            <w:tcW w:w="738" w:type="dxa"/>
            <w:tcBorders>
              <w:top w:val="single" w:sz="4" w:space="0" w:color="000000"/>
              <w:left w:val="single" w:sz="4" w:space="0" w:color="000000"/>
              <w:bottom w:val="single" w:sz="4" w:space="0" w:color="000000"/>
              <w:right w:val="single" w:sz="4" w:space="0" w:color="000000"/>
            </w:tcBorders>
            <w:vAlign w:val="center"/>
          </w:tcPr>
          <w:p w14:paraId="35587E6D" w14:textId="6720316B" w:rsidR="00EE5406" w:rsidRPr="00B27CB1" w:rsidRDefault="00EE5406" w:rsidP="00EE5406">
            <w:pPr>
              <w:snapToGrid w:val="0"/>
              <w:spacing w:line="256" w:lineRule="auto"/>
            </w:pPr>
            <w:r>
              <w:t>22.92</w:t>
            </w:r>
          </w:p>
        </w:tc>
      </w:tr>
      <w:tr w:rsidR="00EE5406" w:rsidRPr="00B27CB1" w14:paraId="4894D993" w14:textId="77777777" w:rsidTr="00E91F85">
        <w:tc>
          <w:tcPr>
            <w:tcW w:w="2256" w:type="dxa"/>
            <w:vMerge/>
            <w:tcBorders>
              <w:top w:val="single" w:sz="4" w:space="0" w:color="000000"/>
              <w:left w:val="single" w:sz="4" w:space="0" w:color="000000"/>
              <w:bottom w:val="single" w:sz="4" w:space="0" w:color="000000"/>
              <w:right w:val="nil"/>
            </w:tcBorders>
            <w:hideMark/>
          </w:tcPr>
          <w:p w14:paraId="03AE35CD" w14:textId="77777777" w:rsidR="00EE5406" w:rsidRPr="00B27CB1" w:rsidRDefault="00EE5406" w:rsidP="00EE5406">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4D52BB1C" w14:textId="77777777" w:rsidR="00EE5406" w:rsidRPr="00B27CB1" w:rsidRDefault="00EE5406" w:rsidP="00EE5406">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79E0FF81" w14:textId="622D8BEE" w:rsidR="00EE5406" w:rsidRPr="00B27CB1" w:rsidRDefault="00EE5406" w:rsidP="00EE5406">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47B6EC01" w14:textId="77777777" w:rsidR="00EE5406" w:rsidRPr="00B27CB1" w:rsidRDefault="00EE5406" w:rsidP="00EE5406">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4F88AAD1" w14:textId="77777777" w:rsidR="00EE5406" w:rsidRPr="00B27CB1" w:rsidRDefault="00EE5406" w:rsidP="00EE5406">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490E0691" w14:textId="7E71D9F5" w:rsidR="00EE5406" w:rsidRPr="00B27CB1" w:rsidRDefault="00EE5406" w:rsidP="00EE5406">
            <w:pPr>
              <w:snapToGrid w:val="0"/>
              <w:spacing w:line="256" w:lineRule="auto"/>
            </w:pPr>
            <w:r>
              <w:t>24</w:t>
            </w:r>
          </w:p>
        </w:tc>
        <w:tc>
          <w:tcPr>
            <w:tcW w:w="738" w:type="dxa"/>
            <w:tcBorders>
              <w:top w:val="single" w:sz="4" w:space="0" w:color="000000"/>
              <w:left w:val="single" w:sz="4" w:space="0" w:color="000000"/>
              <w:bottom w:val="single" w:sz="4" w:space="0" w:color="000000"/>
              <w:right w:val="single" w:sz="4" w:space="0" w:color="000000"/>
            </w:tcBorders>
            <w:vAlign w:val="center"/>
          </w:tcPr>
          <w:p w14:paraId="3A1EBF12" w14:textId="1B77BC6F" w:rsidR="00EE5406" w:rsidRPr="00B27CB1" w:rsidRDefault="00EE5406" w:rsidP="00EE5406">
            <w:pPr>
              <w:snapToGrid w:val="0"/>
              <w:spacing w:line="256" w:lineRule="auto"/>
            </w:pPr>
            <w:r>
              <w:t>24</w:t>
            </w:r>
          </w:p>
        </w:tc>
      </w:tr>
    </w:tbl>
    <w:p w14:paraId="6BB9ED5C" w14:textId="77777777" w:rsidR="00A932DC" w:rsidRPr="00B27CB1" w:rsidRDefault="00A932DC" w:rsidP="00A932DC"/>
    <w:p w14:paraId="56D3DA15"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6</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A8954D6"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1862349E" w14:textId="29A50D0F" w:rsidR="00A932DC" w:rsidRPr="00B27CB1" w:rsidRDefault="007018A5" w:rsidP="00B10ACB">
            <w:pPr>
              <w:keepNext/>
              <w:outlineLvl w:val="2"/>
            </w:pPr>
            <w:r w:rsidRPr="00B27CB1">
              <w:t>SL - Soluble concentrate</w:t>
            </w:r>
          </w:p>
        </w:tc>
      </w:tr>
    </w:tbl>
    <w:p w14:paraId="51885B80" w14:textId="77777777" w:rsidR="00A932DC" w:rsidRPr="00B27CB1" w:rsidRDefault="00A932DC" w:rsidP="00A932DC"/>
    <w:p w14:paraId="772B1B75" w14:textId="77777777" w:rsidR="00A932DC" w:rsidRPr="00B10ACB" w:rsidRDefault="00A932DC" w:rsidP="00E91F85">
      <w:pPr>
        <w:pStyle w:val="Titre3"/>
        <w:rPr>
          <w:lang w:val="en-US"/>
        </w:rPr>
      </w:pPr>
      <w:bookmarkStart w:id="99" w:name="_Toc87361129"/>
      <w:r w:rsidRPr="00B10ACB">
        <w:rPr>
          <w:lang w:val="en-US"/>
        </w:rPr>
        <w:t>Hazard and precautionary statements according to Regulation (EC) 1272/2008 of the meta SPC 6</w:t>
      </w:r>
      <w:bookmarkEnd w:id="99"/>
    </w:p>
    <w:p w14:paraId="4BC94F2A" w14:textId="77777777" w:rsidR="00A932DC" w:rsidRPr="00B27CB1" w:rsidRDefault="00A932DC" w:rsidP="00A932DC"/>
    <w:p w14:paraId="5A5DC352" w14:textId="1EE9216B" w:rsidR="00A932DC" w:rsidRPr="00E91F85" w:rsidRDefault="00A932DC" w:rsidP="00E91F85">
      <w:pPr>
        <w:rPr>
          <w:b/>
        </w:rPr>
      </w:pPr>
      <w:r w:rsidRPr="00B27CB1">
        <w:rPr>
          <w:b/>
        </w:rPr>
        <w:t>Classification and labelling of the products of the family according to the Regulation (EC) 1272/2008</w:t>
      </w:r>
    </w:p>
    <w:p w14:paraId="5A1B0CE9"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3E481F9B"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5ACB249A" w14:textId="77777777" w:rsidR="00A932DC" w:rsidRPr="00B27CB1" w:rsidRDefault="00A932DC" w:rsidP="00A932DC">
            <w:pPr>
              <w:spacing w:line="256" w:lineRule="auto"/>
            </w:pPr>
            <w:r w:rsidRPr="00B27CB1">
              <w:rPr>
                <w:b/>
                <w:lang w:eastAsia="en-US"/>
              </w:rPr>
              <w:t>Classification</w:t>
            </w:r>
          </w:p>
        </w:tc>
      </w:tr>
      <w:tr w:rsidR="001518D7" w:rsidRPr="00A04731" w14:paraId="5449FD4D"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6FF15A38" w14:textId="77777777" w:rsidR="001518D7" w:rsidRPr="00B27CB1" w:rsidRDefault="001518D7" w:rsidP="001518D7">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21E68148" w14:textId="2F7B4698" w:rsidR="003F1647" w:rsidRDefault="003F1647" w:rsidP="00B10ACB">
            <w:pPr>
              <w:pStyle w:val="Corpsdetexte"/>
              <w:ind w:right="806"/>
              <w:jc w:val="both"/>
              <w:rPr>
                <w:lang w:val="fr-FR"/>
              </w:rPr>
            </w:pPr>
            <w:r w:rsidRPr="00E240FD">
              <w:rPr>
                <w:lang w:val="es-ES" w:eastAsia="fi-FI"/>
              </w:rPr>
              <w:t>Met. Corr. 1</w:t>
            </w:r>
          </w:p>
          <w:p w14:paraId="43482A75" w14:textId="6B908260" w:rsidR="00BC0472" w:rsidRPr="00E91F85" w:rsidRDefault="00BC0472" w:rsidP="00B10ACB">
            <w:pPr>
              <w:suppressAutoHyphens w:val="0"/>
              <w:autoSpaceDE w:val="0"/>
              <w:autoSpaceDN w:val="0"/>
              <w:adjustRightInd w:val="0"/>
              <w:jc w:val="both"/>
              <w:rPr>
                <w:lang w:val="fr-FR"/>
              </w:rPr>
            </w:pPr>
            <w:r w:rsidRPr="00E91F85">
              <w:rPr>
                <w:lang w:val="fr-FR"/>
              </w:rPr>
              <w:t xml:space="preserve">Skin Corr. 1C </w:t>
            </w:r>
          </w:p>
          <w:p w14:paraId="191EF92D" w14:textId="60946C51" w:rsidR="001518D7" w:rsidRPr="00B10ACB" w:rsidRDefault="00BC0472" w:rsidP="00B10ACB">
            <w:pPr>
              <w:suppressAutoHyphens w:val="0"/>
              <w:autoSpaceDE w:val="0"/>
              <w:autoSpaceDN w:val="0"/>
              <w:adjustRightInd w:val="0"/>
              <w:jc w:val="both"/>
              <w:rPr>
                <w:rFonts w:ascii="Times New Roman" w:hAnsi="Times New Roman" w:cs="Times New Roman"/>
                <w:sz w:val="24"/>
                <w:szCs w:val="24"/>
                <w:lang w:val="fr-FR" w:eastAsia="fi-FI"/>
              </w:rPr>
            </w:pPr>
            <w:r w:rsidRPr="00E91F85">
              <w:rPr>
                <w:lang w:val="fr-FR"/>
              </w:rPr>
              <w:t>Eye Dam. 1</w:t>
            </w:r>
          </w:p>
        </w:tc>
      </w:tr>
      <w:tr w:rsidR="001518D7" w:rsidRPr="00B27CB1" w14:paraId="394A928D"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35875787" w14:textId="77777777" w:rsidR="001518D7" w:rsidRPr="00B27CB1" w:rsidRDefault="001518D7" w:rsidP="001518D7">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283010FA" w14:textId="77777777" w:rsidR="001518D7" w:rsidRDefault="001518D7" w:rsidP="00B10ACB">
            <w:pPr>
              <w:suppressAutoHyphens w:val="0"/>
              <w:autoSpaceDE w:val="0"/>
              <w:autoSpaceDN w:val="0"/>
              <w:adjustRightInd w:val="0"/>
              <w:jc w:val="both"/>
            </w:pPr>
            <w:r w:rsidRPr="00930421">
              <w:t xml:space="preserve">H290: May be corrosive to metals.  </w:t>
            </w:r>
          </w:p>
          <w:p w14:paraId="25E2E3F0" w14:textId="77777777" w:rsidR="00AF670A" w:rsidRDefault="00AF670A" w:rsidP="00B10ACB">
            <w:pPr>
              <w:suppressAutoHyphens w:val="0"/>
              <w:autoSpaceDE w:val="0"/>
              <w:autoSpaceDN w:val="0"/>
              <w:adjustRightInd w:val="0"/>
              <w:jc w:val="both"/>
              <w:rPr>
                <w:rFonts w:cs="Times New Roman"/>
                <w:szCs w:val="24"/>
                <w:lang w:eastAsia="fi-FI"/>
              </w:rPr>
            </w:pPr>
            <w:r w:rsidRPr="00E91F85">
              <w:rPr>
                <w:rFonts w:cs="Times New Roman"/>
                <w:szCs w:val="24"/>
                <w:lang w:eastAsia="fi-FI"/>
              </w:rPr>
              <w:t xml:space="preserve">H314: </w:t>
            </w:r>
            <w:r w:rsidRPr="00AF670A">
              <w:rPr>
                <w:rFonts w:cs="Times New Roman"/>
                <w:szCs w:val="24"/>
                <w:lang w:eastAsia="fi-FI"/>
              </w:rPr>
              <w:t>Causes severe skin burns and eye damage</w:t>
            </w:r>
          </w:p>
          <w:p w14:paraId="2435A6BE" w14:textId="3AB5E9B6" w:rsidR="00AF670A" w:rsidRPr="00E91F85" w:rsidRDefault="00AF670A" w:rsidP="00B10ACB">
            <w:pPr>
              <w:suppressAutoHyphens w:val="0"/>
              <w:autoSpaceDE w:val="0"/>
              <w:autoSpaceDN w:val="0"/>
              <w:adjustRightInd w:val="0"/>
              <w:jc w:val="both"/>
              <w:rPr>
                <w:rFonts w:cs="Times New Roman"/>
                <w:sz w:val="24"/>
                <w:szCs w:val="24"/>
                <w:lang w:eastAsia="fi-FI"/>
              </w:rPr>
            </w:pPr>
            <w:r w:rsidRPr="00E91F85">
              <w:rPr>
                <w:rFonts w:cs="Times New Roman"/>
                <w:szCs w:val="24"/>
                <w:lang w:eastAsia="fi-FI"/>
              </w:rPr>
              <w:t>H318:</w:t>
            </w:r>
            <w:r>
              <w:rPr>
                <w:rFonts w:cs="Times New Roman"/>
                <w:szCs w:val="24"/>
                <w:lang w:eastAsia="fi-FI"/>
              </w:rPr>
              <w:t xml:space="preserve"> </w:t>
            </w:r>
            <w:r w:rsidRPr="00AF670A">
              <w:rPr>
                <w:rFonts w:cs="Times New Roman"/>
                <w:szCs w:val="24"/>
                <w:lang w:eastAsia="fi-FI"/>
              </w:rPr>
              <w:t>Causes serious eye damage</w:t>
            </w:r>
          </w:p>
        </w:tc>
      </w:tr>
      <w:tr w:rsidR="001518D7" w:rsidRPr="00B27CB1" w14:paraId="798A0246"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CE508A8" w14:textId="77777777" w:rsidR="001518D7" w:rsidRPr="00B27CB1" w:rsidRDefault="001518D7" w:rsidP="00B10ACB">
            <w:pPr>
              <w:snapToGrid w:val="0"/>
              <w:jc w:val="both"/>
              <w:rPr>
                <w:lang w:eastAsia="fi-FI"/>
              </w:rPr>
            </w:pPr>
          </w:p>
        </w:tc>
      </w:tr>
      <w:tr w:rsidR="001518D7" w:rsidRPr="00B27CB1" w14:paraId="3D1F9E76"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E863157" w14:textId="77777777" w:rsidR="001518D7" w:rsidRPr="00B27CB1" w:rsidRDefault="001518D7" w:rsidP="00B10ACB">
            <w:pPr>
              <w:jc w:val="both"/>
            </w:pPr>
            <w:r w:rsidRPr="00B27CB1">
              <w:rPr>
                <w:b/>
                <w:lang w:eastAsia="en-US"/>
              </w:rPr>
              <w:t>Labelling</w:t>
            </w:r>
          </w:p>
        </w:tc>
      </w:tr>
      <w:tr w:rsidR="001518D7" w:rsidRPr="00B27CB1" w14:paraId="780F8D29"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10EF621" w14:textId="77777777" w:rsidR="001518D7" w:rsidRPr="00B27CB1" w:rsidRDefault="001518D7" w:rsidP="001518D7">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3604FAA0" w14:textId="6A2D26F6" w:rsidR="001518D7" w:rsidRPr="00B27CB1" w:rsidRDefault="00B13145" w:rsidP="00B10ACB">
            <w:pPr>
              <w:suppressAutoHyphens w:val="0"/>
              <w:autoSpaceDE w:val="0"/>
              <w:autoSpaceDN w:val="0"/>
              <w:adjustRightInd w:val="0"/>
              <w:jc w:val="both"/>
              <w:rPr>
                <w:rFonts w:cs="Times New Roman"/>
                <w:szCs w:val="24"/>
                <w:lang w:eastAsia="fi-FI"/>
              </w:rPr>
            </w:pPr>
            <w:r>
              <w:rPr>
                <w:rFonts w:cs="Times New Roman"/>
                <w:szCs w:val="24"/>
                <w:lang w:eastAsia="fi-FI"/>
              </w:rPr>
              <w:t>Danger</w:t>
            </w:r>
          </w:p>
        </w:tc>
      </w:tr>
      <w:tr w:rsidR="001518D7" w:rsidRPr="00B27CB1" w14:paraId="6B230794"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7A75CAD" w14:textId="03109353" w:rsidR="001518D7" w:rsidRPr="00B27CB1" w:rsidRDefault="001518D7" w:rsidP="001518D7">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47D46702" w14:textId="77777777" w:rsidR="001518D7" w:rsidRDefault="001518D7" w:rsidP="00B10ACB">
            <w:pPr>
              <w:suppressAutoHyphens w:val="0"/>
              <w:autoSpaceDE w:val="0"/>
              <w:autoSpaceDN w:val="0"/>
              <w:adjustRightInd w:val="0"/>
              <w:jc w:val="both"/>
              <w:rPr>
                <w:lang w:eastAsia="fi-FI"/>
              </w:rPr>
            </w:pPr>
            <w:r w:rsidRPr="008F425A">
              <w:rPr>
                <w:lang w:eastAsia="fi-FI"/>
              </w:rPr>
              <w:t>H290: May be corrosive to metals.</w:t>
            </w:r>
          </w:p>
          <w:p w14:paraId="3A9B1936" w14:textId="5A926272" w:rsidR="00AF670A" w:rsidRPr="004817E2" w:rsidRDefault="00AF670A" w:rsidP="00B10ACB">
            <w:pPr>
              <w:suppressAutoHyphens w:val="0"/>
              <w:autoSpaceDE w:val="0"/>
              <w:autoSpaceDN w:val="0"/>
              <w:adjustRightInd w:val="0"/>
              <w:jc w:val="both"/>
              <w:rPr>
                <w:rFonts w:cs="Times New Roman"/>
                <w:szCs w:val="24"/>
                <w:lang w:eastAsia="fi-FI"/>
              </w:rPr>
            </w:pPr>
            <w:r w:rsidRPr="00AB2BF8">
              <w:rPr>
                <w:rFonts w:cs="Times New Roman"/>
                <w:szCs w:val="24"/>
                <w:lang w:eastAsia="fi-FI"/>
              </w:rPr>
              <w:t xml:space="preserve">H314: </w:t>
            </w:r>
            <w:r w:rsidRPr="00AF670A">
              <w:rPr>
                <w:rFonts w:cs="Times New Roman"/>
                <w:szCs w:val="24"/>
                <w:lang w:eastAsia="fi-FI"/>
              </w:rPr>
              <w:t>Causes severe skin burns and eye damage</w:t>
            </w:r>
          </w:p>
        </w:tc>
      </w:tr>
      <w:tr w:rsidR="001518D7" w:rsidRPr="00B27CB1" w14:paraId="4AD256CC"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39E6A63D" w14:textId="4E9C1972" w:rsidR="001518D7" w:rsidRPr="00B27CB1" w:rsidRDefault="001518D7" w:rsidP="001518D7">
            <w:pPr>
              <w:spacing w:line="256" w:lineRule="auto"/>
              <w:rPr>
                <w:lang w:eastAsia="fi-FI"/>
              </w:rPr>
            </w:pPr>
            <w:r w:rsidRPr="00B27CB1">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0474EB1E" w14:textId="40F421E0" w:rsidR="001518D7" w:rsidRDefault="001518D7" w:rsidP="00B10ACB">
            <w:pPr>
              <w:jc w:val="both"/>
              <w:rPr>
                <w:lang w:eastAsia="fi-FI"/>
              </w:rPr>
            </w:pPr>
            <w:r>
              <w:rPr>
                <w:lang w:eastAsia="fi-FI"/>
              </w:rPr>
              <w:t>P234: Keep only in original container.</w:t>
            </w:r>
          </w:p>
          <w:p w14:paraId="5867B4EA" w14:textId="77777777" w:rsidR="00AF670A" w:rsidRDefault="00AF670A" w:rsidP="00B10ACB">
            <w:pPr>
              <w:jc w:val="both"/>
              <w:rPr>
                <w:lang w:eastAsia="fi-FI"/>
              </w:rPr>
            </w:pPr>
            <w:r>
              <w:rPr>
                <w:lang w:eastAsia="fi-FI"/>
              </w:rPr>
              <w:t>P260: Do not breathe dust/fume/gas/mist/vapours/spray.</w:t>
            </w:r>
          </w:p>
          <w:p w14:paraId="1D946421" w14:textId="77777777" w:rsidR="00AF670A" w:rsidRDefault="00AF670A" w:rsidP="00B10ACB">
            <w:pPr>
              <w:jc w:val="both"/>
              <w:rPr>
                <w:lang w:eastAsia="fi-FI"/>
              </w:rPr>
            </w:pPr>
            <w:r>
              <w:rPr>
                <w:lang w:eastAsia="fi-FI"/>
              </w:rPr>
              <w:t>P264: Wash ... thoroughly after handling.</w:t>
            </w:r>
          </w:p>
          <w:p w14:paraId="60D207C6" w14:textId="77777777" w:rsidR="00AF670A" w:rsidRDefault="00AF670A" w:rsidP="00B10ACB">
            <w:pPr>
              <w:jc w:val="both"/>
              <w:rPr>
                <w:lang w:eastAsia="fi-FI"/>
              </w:rPr>
            </w:pPr>
            <w:r>
              <w:rPr>
                <w:lang w:eastAsia="fi-FI"/>
              </w:rPr>
              <w:t>P280: Wear protective gloves/protective clothing/eye protection/face protection.</w:t>
            </w:r>
          </w:p>
          <w:p w14:paraId="74812333" w14:textId="77777777" w:rsidR="00AF670A" w:rsidRDefault="00AF670A" w:rsidP="00B10ACB">
            <w:pPr>
              <w:jc w:val="both"/>
              <w:rPr>
                <w:lang w:eastAsia="fi-FI"/>
              </w:rPr>
            </w:pPr>
            <w:r>
              <w:rPr>
                <w:lang w:eastAsia="fi-FI"/>
              </w:rPr>
              <w:t>P301+P330+P331: IF SWALLOWED: Rinse mouth. Do NOT induce vomiting.</w:t>
            </w:r>
          </w:p>
          <w:p w14:paraId="1930476D" w14:textId="77777777" w:rsidR="00AF670A" w:rsidRDefault="00AF670A" w:rsidP="00B10ACB">
            <w:pPr>
              <w:jc w:val="both"/>
              <w:rPr>
                <w:lang w:eastAsia="fi-FI"/>
              </w:rPr>
            </w:pPr>
            <w:r>
              <w:rPr>
                <w:lang w:eastAsia="fi-FI"/>
              </w:rPr>
              <w:t>P303+P361+P353: IF ON SKIN (or hair): Take off immediately all contaminated clothing. Rinse skin with water [or shower].</w:t>
            </w:r>
          </w:p>
          <w:p w14:paraId="6C30E9A6" w14:textId="77777777" w:rsidR="00AF670A" w:rsidRDefault="00AF670A" w:rsidP="00B10ACB">
            <w:pPr>
              <w:jc w:val="both"/>
              <w:rPr>
                <w:lang w:eastAsia="fi-FI"/>
              </w:rPr>
            </w:pPr>
            <w:r>
              <w:rPr>
                <w:lang w:eastAsia="fi-FI"/>
              </w:rPr>
              <w:t>P304+P340: If INHALED: Remove personto fresh air and keep comfortable for breathing.</w:t>
            </w:r>
          </w:p>
          <w:p w14:paraId="2B808954" w14:textId="77777777" w:rsidR="00AF670A" w:rsidRDefault="00AF670A" w:rsidP="00B10ACB">
            <w:pPr>
              <w:jc w:val="both"/>
              <w:rPr>
                <w:lang w:eastAsia="fi-FI"/>
              </w:rPr>
            </w:pPr>
            <w:r>
              <w:rPr>
                <w:lang w:eastAsia="fi-FI"/>
              </w:rPr>
              <w:t xml:space="preserve">P305+P351+P338: IF IN EYES: Rinse cautiously with water for several minutes. Remove contact lenses, if present and easy to do. Continue rinsing. </w:t>
            </w:r>
          </w:p>
          <w:p w14:paraId="7D213773" w14:textId="77777777" w:rsidR="00AF670A" w:rsidRDefault="00AF670A" w:rsidP="00B10ACB">
            <w:pPr>
              <w:jc w:val="both"/>
              <w:rPr>
                <w:lang w:eastAsia="fi-FI"/>
              </w:rPr>
            </w:pPr>
            <w:r>
              <w:rPr>
                <w:lang w:eastAsia="fi-FI"/>
              </w:rPr>
              <w:t>P310: Immediately call a POISON CENTER/doctor/...</w:t>
            </w:r>
          </w:p>
          <w:p w14:paraId="7E59321B" w14:textId="77777777" w:rsidR="00AF670A" w:rsidRDefault="00AF670A" w:rsidP="00B10ACB">
            <w:pPr>
              <w:jc w:val="both"/>
              <w:rPr>
                <w:lang w:eastAsia="fi-FI"/>
              </w:rPr>
            </w:pPr>
            <w:r>
              <w:rPr>
                <w:lang w:eastAsia="fi-FI"/>
              </w:rPr>
              <w:t>P321: Specific treatment (see ... on this label).</w:t>
            </w:r>
          </w:p>
          <w:p w14:paraId="70C45421" w14:textId="3EE43569" w:rsidR="00AF670A" w:rsidRDefault="00AF670A" w:rsidP="00B10ACB">
            <w:pPr>
              <w:jc w:val="both"/>
              <w:rPr>
                <w:lang w:eastAsia="fi-FI"/>
              </w:rPr>
            </w:pPr>
            <w:r>
              <w:rPr>
                <w:lang w:eastAsia="fi-FI"/>
              </w:rPr>
              <w:t>P363: Wash contaminated clothing before reuse.</w:t>
            </w:r>
          </w:p>
          <w:p w14:paraId="146C871D" w14:textId="1B0D55FE" w:rsidR="001518D7" w:rsidRDefault="001518D7" w:rsidP="00B10ACB">
            <w:pPr>
              <w:jc w:val="both"/>
              <w:rPr>
                <w:lang w:eastAsia="fi-FI"/>
              </w:rPr>
            </w:pPr>
            <w:r>
              <w:rPr>
                <w:lang w:eastAsia="fi-FI"/>
              </w:rPr>
              <w:t>P390: Absorb spillage to prevent material damage.</w:t>
            </w:r>
          </w:p>
          <w:p w14:paraId="69A8A306" w14:textId="5B50B57A" w:rsidR="00AF670A" w:rsidRDefault="00AF670A" w:rsidP="00B10ACB">
            <w:pPr>
              <w:jc w:val="both"/>
              <w:rPr>
                <w:lang w:eastAsia="fi-FI"/>
              </w:rPr>
            </w:pPr>
            <w:r w:rsidRPr="00AF670A">
              <w:rPr>
                <w:lang w:eastAsia="fi-FI"/>
              </w:rPr>
              <w:t>P405: Store locked up.</w:t>
            </w:r>
          </w:p>
          <w:p w14:paraId="3CFD2D9E" w14:textId="77777777" w:rsidR="001518D7" w:rsidRDefault="001518D7" w:rsidP="00B10ACB">
            <w:pPr>
              <w:jc w:val="both"/>
              <w:rPr>
                <w:lang w:eastAsia="fi-FI"/>
              </w:rPr>
            </w:pPr>
            <w:r>
              <w:rPr>
                <w:lang w:eastAsia="fi-FI"/>
              </w:rPr>
              <w:t>P406: Store in a corrosive resistant/… container with a resistant inner liner.</w:t>
            </w:r>
          </w:p>
          <w:p w14:paraId="6084342C" w14:textId="1150DCFD" w:rsidR="00AF670A" w:rsidRPr="00B27CB1" w:rsidRDefault="000A6C8A" w:rsidP="00B10ACB">
            <w:pPr>
              <w:jc w:val="both"/>
              <w:rPr>
                <w:rFonts w:cs="Times New Roman"/>
                <w:color w:val="000000"/>
                <w:lang w:eastAsia="en-US"/>
              </w:rPr>
            </w:pPr>
            <w:r w:rsidRPr="000A6C8A">
              <w:rPr>
                <w:lang w:eastAsia="fi-FI"/>
              </w:rPr>
              <w:t>P501:</w:t>
            </w:r>
            <w:r w:rsidR="00AF670A" w:rsidRPr="00E91F85">
              <w:rPr>
                <w:lang w:eastAsia="fi-FI"/>
              </w:rPr>
              <w:t xml:space="preserve"> Dispose of contents/container to…</w:t>
            </w:r>
          </w:p>
        </w:tc>
      </w:tr>
      <w:tr w:rsidR="001518D7" w:rsidRPr="00B27CB1" w14:paraId="1F57171F"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0258AFA6" w14:textId="197E3BBD" w:rsidR="001518D7" w:rsidRPr="00B27CB1" w:rsidRDefault="001518D7" w:rsidP="001518D7">
            <w:pPr>
              <w:snapToGrid w:val="0"/>
              <w:spacing w:line="256" w:lineRule="auto"/>
              <w:rPr>
                <w:lang w:eastAsia="fi-FI"/>
              </w:rPr>
            </w:pPr>
          </w:p>
        </w:tc>
      </w:tr>
      <w:tr w:rsidR="001518D7" w:rsidRPr="00B27CB1" w14:paraId="322A3B80"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6B1ED35B" w14:textId="082EB33B" w:rsidR="001518D7" w:rsidRPr="00B27CB1" w:rsidRDefault="001518D7" w:rsidP="001518D7">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89F4BC3" w14:textId="3821EA85" w:rsidR="001518D7" w:rsidRPr="00B27CB1" w:rsidRDefault="001518D7" w:rsidP="001518D7">
            <w:pPr>
              <w:snapToGrid w:val="0"/>
              <w:spacing w:line="256" w:lineRule="auto"/>
              <w:rPr>
                <w:b/>
                <w:lang w:eastAsia="fi-FI"/>
              </w:rPr>
            </w:pPr>
          </w:p>
        </w:tc>
      </w:tr>
    </w:tbl>
    <w:p w14:paraId="1939782A" w14:textId="77777777" w:rsidR="00A932DC" w:rsidRPr="00B27CB1" w:rsidRDefault="00A932DC" w:rsidP="00A932DC">
      <w:pPr>
        <w:tabs>
          <w:tab w:val="left" w:pos="500"/>
        </w:tabs>
        <w:ind w:left="500" w:hanging="500"/>
      </w:pPr>
    </w:p>
    <w:p w14:paraId="4CC3B4DB" w14:textId="77777777" w:rsidR="00A932DC" w:rsidRPr="00B27CB1" w:rsidRDefault="00A932DC" w:rsidP="00A932DC"/>
    <w:p w14:paraId="0AFE07FC" w14:textId="77777777" w:rsidR="00A932DC" w:rsidRPr="00B10ACB" w:rsidRDefault="00A932DC" w:rsidP="00E91F85">
      <w:pPr>
        <w:pStyle w:val="Titre3"/>
        <w:rPr>
          <w:lang w:val="en-US"/>
        </w:rPr>
      </w:pPr>
      <w:bookmarkStart w:id="100" w:name="_Toc87361130"/>
      <w:r w:rsidRPr="00B10ACB">
        <w:rPr>
          <w:lang w:val="en-US"/>
        </w:rPr>
        <w:t>Authorised use(s) of the META SPC 6</w:t>
      </w:r>
      <w:bookmarkEnd w:id="100"/>
    </w:p>
    <w:p w14:paraId="04482E59" w14:textId="77777777" w:rsidR="007018A5" w:rsidRPr="00B27CB1" w:rsidRDefault="007018A5" w:rsidP="007018A5">
      <w:pPr>
        <w:pStyle w:val="Titre4"/>
        <w:numPr>
          <w:ilvl w:val="3"/>
          <w:numId w:val="9"/>
        </w:numPr>
        <w:rPr>
          <w:lang w:val="en-GB"/>
        </w:rPr>
      </w:pPr>
      <w:bookmarkStart w:id="101" w:name="_Toc87361131"/>
      <w:r w:rsidRPr="00B27CB1">
        <w:rPr>
          <w:lang w:val="en-GB"/>
        </w:rPr>
        <w:t>Use description</w:t>
      </w:r>
      <w:bookmarkEnd w:id="101"/>
    </w:p>
    <w:p w14:paraId="6026C760" w14:textId="17B4A9D6" w:rsidR="007018A5" w:rsidRPr="00B27CB1" w:rsidRDefault="007018A5" w:rsidP="007018A5">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9</w:t>
      </w:r>
      <w:r w:rsidRPr="00B27CB1">
        <w:rPr>
          <w:rFonts w:ascii="Verdana" w:hAnsi="Verdana" w:cs="Verdana"/>
        </w:rPr>
        <w:fldChar w:fldCharType="end"/>
      </w:r>
      <w:r w:rsidRPr="00B27CB1">
        <w:rPr>
          <w:rFonts w:ascii="Verdana" w:hAnsi="Verdana"/>
        </w:rPr>
        <w:t xml:space="preserve">. Use # 1 – </w:t>
      </w:r>
      <w:r w:rsidRPr="00E91F85">
        <w:rPr>
          <w:rFonts w:ascii="Verdana" w:hAnsi="Verdana"/>
        </w:rPr>
        <w:t>Disinfectants for hard surfaces of industry, institution, healthcare facilities, healthcare and</w:t>
      </w:r>
      <w:r w:rsidR="00FC5B7E" w:rsidRPr="00E91F85">
        <w:rPr>
          <w:rFonts w:ascii="Verdana" w:hAnsi="Verdana"/>
        </w:rPr>
        <w:t>,</w:t>
      </w:r>
      <w:r w:rsidRPr="00E91F85">
        <w:rPr>
          <w:rFonts w:ascii="Verdana" w:hAnsi="Verdana"/>
        </w:rPr>
        <w:t xml:space="preserve"> </w:t>
      </w:r>
      <w:r w:rsidR="00902CC6" w:rsidRPr="00E91F85">
        <w:rPr>
          <w:rFonts w:ascii="Verdana" w:hAnsi="Verdana"/>
        </w:rPr>
        <w:t>food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018A5" w:rsidRPr="00B27CB1" w14:paraId="15815720" w14:textId="77777777" w:rsidTr="00685495">
        <w:tc>
          <w:tcPr>
            <w:tcW w:w="2707" w:type="dxa"/>
            <w:tcBorders>
              <w:top w:val="single" w:sz="4" w:space="0" w:color="000000"/>
              <w:left w:val="single" w:sz="4" w:space="0" w:color="000000"/>
              <w:bottom w:val="single" w:sz="4" w:space="0" w:color="000000"/>
              <w:right w:val="nil"/>
            </w:tcBorders>
            <w:hideMark/>
          </w:tcPr>
          <w:p w14:paraId="4ABB8CCF" w14:textId="77777777" w:rsidR="007018A5" w:rsidRPr="00B27CB1" w:rsidRDefault="007018A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1815C05C" w14:textId="7030416B" w:rsidR="007018A5" w:rsidRPr="00B27CB1" w:rsidRDefault="006B2D5E"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7018A5" w:rsidRPr="00B27CB1" w14:paraId="352EC310" w14:textId="77777777" w:rsidTr="00685495">
        <w:tc>
          <w:tcPr>
            <w:tcW w:w="2707" w:type="dxa"/>
            <w:tcBorders>
              <w:top w:val="nil"/>
              <w:left w:val="single" w:sz="4" w:space="0" w:color="000000"/>
              <w:bottom w:val="single" w:sz="4" w:space="0" w:color="000000"/>
              <w:right w:val="nil"/>
            </w:tcBorders>
            <w:hideMark/>
          </w:tcPr>
          <w:p w14:paraId="1DF827F7" w14:textId="77777777" w:rsidR="007018A5" w:rsidRPr="00B27CB1" w:rsidRDefault="007018A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10787B23" w14:textId="77777777" w:rsidR="0098184F" w:rsidRDefault="0098184F" w:rsidP="006B2D5E">
            <w:pPr>
              <w:rPr>
                <w:color w:val="000000"/>
              </w:rPr>
            </w:pPr>
            <w:r w:rsidRPr="0098184F">
              <w:rPr>
                <w:color w:val="000000"/>
              </w:rPr>
              <w:t>Concentrate to be diluted.</w:t>
            </w:r>
          </w:p>
          <w:p w14:paraId="2B2FD844" w14:textId="064A93A5" w:rsidR="006B2D5E" w:rsidRPr="000D7D14" w:rsidRDefault="006B2D5E" w:rsidP="006B2D5E">
            <w:r w:rsidRPr="000D7D14">
              <w:rPr>
                <w:color w:val="000000"/>
              </w:rPr>
              <w:t>Product used for the disinfection for industry, institution, healthcare facilities and healthcare</w:t>
            </w:r>
            <w:r w:rsidR="0016248F">
              <w:rPr>
                <w:color w:val="000000"/>
              </w:rPr>
              <w:t>,</w:t>
            </w:r>
            <w:r w:rsidRPr="000D7D14">
              <w:rPr>
                <w:color w:val="000000"/>
              </w:rPr>
              <w:t xml:space="preserve"> including toilets bowls and disinfection for area</w:t>
            </w:r>
            <w:r w:rsidR="0016248F">
              <w:rPr>
                <w:color w:val="000000"/>
              </w:rPr>
              <w:t>s</w:t>
            </w:r>
            <w:r w:rsidRPr="000D7D14">
              <w:rPr>
                <w:color w:val="000000"/>
              </w:rPr>
              <w:t xml:space="preserve"> of food preparation and handling. </w:t>
            </w:r>
          </w:p>
          <w:p w14:paraId="5421F131" w14:textId="3293178F" w:rsidR="007018A5" w:rsidRPr="00B27CB1" w:rsidRDefault="006B2D5E" w:rsidP="006D1C61">
            <w:pPr>
              <w:snapToGrid w:val="0"/>
              <w:spacing w:line="254" w:lineRule="auto"/>
              <w:rPr>
                <w:b/>
              </w:rPr>
            </w:pPr>
            <w:r w:rsidRPr="000D7D14">
              <w:br/>
            </w:r>
            <w:r w:rsidR="006D1C61">
              <w:rPr>
                <w:color w:val="000000"/>
              </w:rPr>
              <w:t>D</w:t>
            </w:r>
            <w:r w:rsidRPr="000D7D14">
              <w:rPr>
                <w:color w:val="000000"/>
              </w:rPr>
              <w:t>isinfection of all kind of non porous surfaces.</w:t>
            </w:r>
          </w:p>
        </w:tc>
      </w:tr>
      <w:tr w:rsidR="007018A5" w:rsidRPr="00B27CB1" w14:paraId="78C990C3" w14:textId="77777777" w:rsidTr="00685495">
        <w:tc>
          <w:tcPr>
            <w:tcW w:w="2707" w:type="dxa"/>
            <w:tcBorders>
              <w:top w:val="nil"/>
              <w:left w:val="single" w:sz="4" w:space="0" w:color="000000"/>
              <w:bottom w:val="single" w:sz="4" w:space="0" w:color="000000"/>
              <w:right w:val="nil"/>
            </w:tcBorders>
            <w:hideMark/>
          </w:tcPr>
          <w:p w14:paraId="5DFE039E" w14:textId="77777777" w:rsidR="007018A5" w:rsidRPr="00B27CB1" w:rsidRDefault="007018A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4DDB730" w14:textId="45486216" w:rsidR="007018A5" w:rsidRPr="00B27CB1" w:rsidRDefault="006B2D5E" w:rsidP="003E6B21">
            <w:pPr>
              <w:snapToGrid w:val="0"/>
              <w:spacing w:line="254" w:lineRule="auto"/>
              <w:rPr>
                <w:b/>
              </w:rPr>
            </w:pPr>
            <w:r w:rsidRPr="000D7D14">
              <w:t xml:space="preserve">Bacteria </w:t>
            </w:r>
            <w:r w:rsidRPr="000D7D14">
              <w:br/>
              <w:t>Yeasts</w:t>
            </w:r>
          </w:p>
        </w:tc>
      </w:tr>
      <w:tr w:rsidR="007018A5" w:rsidRPr="00B27CB1" w14:paraId="5F8E7922" w14:textId="77777777" w:rsidTr="00685495">
        <w:tc>
          <w:tcPr>
            <w:tcW w:w="2707" w:type="dxa"/>
            <w:tcBorders>
              <w:top w:val="nil"/>
              <w:left w:val="single" w:sz="4" w:space="0" w:color="000000"/>
              <w:bottom w:val="single" w:sz="4" w:space="0" w:color="000000"/>
              <w:right w:val="nil"/>
            </w:tcBorders>
            <w:hideMark/>
          </w:tcPr>
          <w:p w14:paraId="67C3916F" w14:textId="77777777" w:rsidR="007018A5" w:rsidRPr="00B27CB1" w:rsidRDefault="007018A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4AF2E42" w14:textId="5EA28995" w:rsidR="007018A5" w:rsidRPr="00B27CB1" w:rsidRDefault="006B2D5E" w:rsidP="00F45C99">
            <w:pPr>
              <w:snapToGrid w:val="0"/>
              <w:spacing w:line="254" w:lineRule="auto"/>
              <w:rPr>
                <w:b/>
              </w:rPr>
            </w:pPr>
            <w:r w:rsidRPr="000D7D14">
              <w:t>Indoor</w:t>
            </w:r>
          </w:p>
        </w:tc>
      </w:tr>
      <w:tr w:rsidR="007018A5" w:rsidRPr="00B27CB1" w14:paraId="29DE0515" w14:textId="77777777" w:rsidTr="00685495">
        <w:tc>
          <w:tcPr>
            <w:tcW w:w="2707" w:type="dxa"/>
            <w:tcBorders>
              <w:top w:val="nil"/>
              <w:left w:val="single" w:sz="4" w:space="0" w:color="000000"/>
              <w:bottom w:val="single" w:sz="4" w:space="0" w:color="000000"/>
              <w:right w:val="nil"/>
            </w:tcBorders>
            <w:hideMark/>
          </w:tcPr>
          <w:p w14:paraId="77CA016A" w14:textId="77777777" w:rsidR="007018A5" w:rsidRPr="00B27CB1" w:rsidRDefault="007018A5"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D6D2868" w14:textId="77777777" w:rsidR="00BA7DA7" w:rsidRPr="003E6B21" w:rsidRDefault="00BA7DA7" w:rsidP="00BA7DA7">
            <w:pPr>
              <w:suppressAutoHyphens w:val="0"/>
              <w:snapToGrid w:val="0"/>
              <w:spacing w:line="260" w:lineRule="atLeast"/>
            </w:pPr>
            <w:r w:rsidRPr="003E6B21">
              <w:t>Spraying</w:t>
            </w:r>
          </w:p>
          <w:p w14:paraId="7E13D0EF" w14:textId="638671EF" w:rsidR="00DE5BF9" w:rsidRPr="003E6B21" w:rsidRDefault="006B2D5E" w:rsidP="00BA7DA7">
            <w:pPr>
              <w:suppressAutoHyphens w:val="0"/>
              <w:snapToGrid w:val="0"/>
              <w:spacing w:line="260" w:lineRule="atLeast"/>
            </w:pPr>
            <w:r w:rsidRPr="003E6B21">
              <w:t>Wiping (applying product onto wipe followed by wiping</w:t>
            </w:r>
            <w:r w:rsidR="00BA7DA7" w:rsidRPr="003E6B21">
              <w:t>)</w:t>
            </w:r>
          </w:p>
          <w:p w14:paraId="7E95FE7F" w14:textId="77777777" w:rsidR="007018A5" w:rsidRPr="003E6B21" w:rsidRDefault="006B2D5E" w:rsidP="00BA7DA7">
            <w:pPr>
              <w:suppressAutoHyphens w:val="0"/>
              <w:snapToGrid w:val="0"/>
              <w:spacing w:line="260" w:lineRule="atLeast"/>
            </w:pPr>
            <w:r w:rsidRPr="003E6B21">
              <w:t>Mopping (applying product onto mop followed by mopping)</w:t>
            </w:r>
          </w:p>
          <w:p w14:paraId="0F41A597" w14:textId="48999F53" w:rsidR="00A458E2" w:rsidRPr="003E6B21" w:rsidRDefault="00A458E2" w:rsidP="00BA7DA7">
            <w:pPr>
              <w:suppressAutoHyphens w:val="0"/>
              <w:snapToGrid w:val="0"/>
              <w:spacing w:line="260" w:lineRule="atLeast"/>
            </w:pPr>
            <w:r w:rsidRPr="003E6B21">
              <w:t>Brushing</w:t>
            </w:r>
            <w:r w:rsidR="00107671" w:rsidRPr="003E6B21">
              <w:t xml:space="preserve"> (applying product onto brush followed by brushing)</w:t>
            </w:r>
          </w:p>
          <w:p w14:paraId="1BA52736" w14:textId="3529D038" w:rsidR="00E82BD3" w:rsidRPr="00B27CB1" w:rsidRDefault="00E82BD3" w:rsidP="00BA7DA7">
            <w:pPr>
              <w:suppressAutoHyphens w:val="0"/>
              <w:snapToGrid w:val="0"/>
              <w:spacing w:line="260" w:lineRule="atLeast"/>
              <w:rPr>
                <w:rFonts w:cs="Times New Roman"/>
                <w:lang w:eastAsia="de-DE"/>
              </w:rPr>
            </w:pPr>
            <w:r w:rsidRPr="003E6B21">
              <w:t>Scrubbing</w:t>
            </w:r>
            <w:r w:rsidR="00107671" w:rsidRPr="003E6B21">
              <w:t xml:space="preserve"> (machine)</w:t>
            </w:r>
          </w:p>
        </w:tc>
      </w:tr>
      <w:tr w:rsidR="007018A5" w:rsidRPr="00B27CB1" w14:paraId="192C72A0" w14:textId="77777777" w:rsidTr="00685495">
        <w:tc>
          <w:tcPr>
            <w:tcW w:w="2707" w:type="dxa"/>
            <w:tcBorders>
              <w:top w:val="nil"/>
              <w:left w:val="single" w:sz="4" w:space="0" w:color="000000"/>
              <w:bottom w:val="single" w:sz="4" w:space="0" w:color="000000"/>
              <w:right w:val="nil"/>
            </w:tcBorders>
            <w:hideMark/>
          </w:tcPr>
          <w:p w14:paraId="4575AE87" w14:textId="77777777" w:rsidR="007018A5" w:rsidRPr="00B27CB1" w:rsidRDefault="007018A5" w:rsidP="00685495">
            <w:pPr>
              <w:spacing w:line="254" w:lineRule="auto"/>
              <w:rPr>
                <w:b/>
              </w:rPr>
            </w:pPr>
            <w:r w:rsidRPr="00B27CB1">
              <w:rPr>
                <w:b/>
                <w:bCs/>
                <w:szCs w:val="24"/>
                <w:lang w:eastAsia="en-GB"/>
              </w:rPr>
              <w:lastRenderedPageBreak/>
              <w:t>Application rate(s) and frequency</w:t>
            </w:r>
          </w:p>
        </w:tc>
        <w:tc>
          <w:tcPr>
            <w:tcW w:w="6328" w:type="dxa"/>
            <w:tcBorders>
              <w:top w:val="nil"/>
              <w:left w:val="single" w:sz="4" w:space="0" w:color="000000"/>
              <w:bottom w:val="single" w:sz="4" w:space="0" w:color="000000"/>
              <w:right w:val="single" w:sz="4" w:space="0" w:color="000000"/>
            </w:tcBorders>
          </w:tcPr>
          <w:p w14:paraId="5F4AC12B" w14:textId="5C5796D0" w:rsidR="00A7086B" w:rsidRPr="00E91F85" w:rsidRDefault="00A7086B" w:rsidP="006B2D5E">
            <w:pPr>
              <w:rPr>
                <w:bCs/>
                <w:lang w:val="en-US"/>
              </w:rPr>
            </w:pPr>
            <w:r w:rsidRPr="00E91F85">
              <w:rPr>
                <w:bCs/>
                <w:lang w:val="en-US"/>
              </w:rPr>
              <w:t>Dirty conditions</w:t>
            </w:r>
          </w:p>
          <w:p w14:paraId="72C45EBC" w14:textId="77777777" w:rsidR="00A7086B" w:rsidRPr="00E91F85" w:rsidRDefault="00A7086B" w:rsidP="006B2D5E">
            <w:pPr>
              <w:rPr>
                <w:bCs/>
                <w:lang w:val="en-US"/>
              </w:rPr>
            </w:pPr>
          </w:p>
          <w:p w14:paraId="7FF31CB5" w14:textId="4FFBA9FB" w:rsidR="006B2D5E" w:rsidRPr="00E91F85" w:rsidRDefault="00A7086B" w:rsidP="006B2D5E">
            <w:pPr>
              <w:rPr>
                <w:bCs/>
                <w:lang w:val="en-US"/>
              </w:rPr>
            </w:pPr>
            <w:r w:rsidRPr="00E91F85">
              <w:rPr>
                <w:bCs/>
                <w:lang w:val="en-US"/>
              </w:rPr>
              <w:t>I</w:t>
            </w:r>
            <w:r w:rsidR="006B2D5E" w:rsidRPr="00E91F85">
              <w:rPr>
                <w:bCs/>
                <w:lang w:val="en-US"/>
              </w:rPr>
              <w:t xml:space="preserve">n </w:t>
            </w:r>
            <w:r w:rsidR="0016248F" w:rsidRPr="00E91F85">
              <w:rPr>
                <w:bCs/>
                <w:lang w:val="en-US"/>
              </w:rPr>
              <w:t>healthcare</w:t>
            </w:r>
            <w:r w:rsidR="006B2D5E" w:rsidRPr="00E91F85">
              <w:rPr>
                <w:bCs/>
                <w:lang w:val="en-US"/>
              </w:rPr>
              <w:t xml:space="preserve"> area</w:t>
            </w:r>
            <w:r w:rsidR="00F45C99" w:rsidRPr="00E91F85">
              <w:rPr>
                <w:bCs/>
                <w:lang w:val="en-US"/>
              </w:rPr>
              <w:t>, without mechanical action</w:t>
            </w:r>
            <w:r w:rsidRPr="00E91F85">
              <w:rPr>
                <w:bCs/>
                <w:lang w:val="en-US"/>
              </w:rPr>
              <w:t xml:space="preserve"> (spraying)</w:t>
            </w:r>
            <w:r w:rsidR="006B2D5E" w:rsidRPr="00E91F85">
              <w:rPr>
                <w:bCs/>
                <w:lang w:val="en-US"/>
              </w:rPr>
              <w:t xml:space="preserve">: </w:t>
            </w:r>
          </w:p>
          <w:p w14:paraId="2CA14284" w14:textId="31396943" w:rsidR="006B2D5E" w:rsidRPr="00A7086B" w:rsidRDefault="006B2D5E" w:rsidP="006B2D5E">
            <w:r w:rsidRPr="00E91F85">
              <w:rPr>
                <w:bCs/>
                <w:lang w:val="en-US"/>
              </w:rPr>
              <w:t xml:space="preserve">bacteria, yeasts: 8% (v/v), </w:t>
            </w:r>
            <w:r w:rsidRPr="00F0256C">
              <w:t>contact time</w:t>
            </w:r>
            <w:r w:rsidR="00F45C99">
              <w:t xml:space="preserve"> </w:t>
            </w:r>
            <w:r w:rsidRPr="00F0256C">
              <w:t>5 minutes</w:t>
            </w:r>
            <w:r w:rsidR="00FC5B7E">
              <w:t xml:space="preserve">, </w:t>
            </w:r>
            <w:r w:rsidR="007F73C9">
              <w:t>20°C</w:t>
            </w:r>
          </w:p>
          <w:p w14:paraId="4181980C" w14:textId="70EB177B" w:rsidR="006B2D5E" w:rsidRPr="00E91F85" w:rsidRDefault="006B2D5E" w:rsidP="006B2D5E">
            <w:pPr>
              <w:rPr>
                <w:bCs/>
                <w:lang w:val="en-US"/>
              </w:rPr>
            </w:pPr>
          </w:p>
          <w:p w14:paraId="23B2D2E3" w14:textId="61DA0020" w:rsidR="006B2D5E" w:rsidRPr="00E91F85" w:rsidRDefault="006B2D5E" w:rsidP="006B2D5E">
            <w:pPr>
              <w:rPr>
                <w:bCs/>
                <w:lang w:val="en-US"/>
              </w:rPr>
            </w:pPr>
            <w:r w:rsidRPr="00E91F85">
              <w:rPr>
                <w:bCs/>
                <w:lang w:val="en-US"/>
              </w:rPr>
              <w:t>Other areas</w:t>
            </w:r>
            <w:r w:rsidR="00F45C99" w:rsidRPr="00E91F85">
              <w:rPr>
                <w:bCs/>
                <w:lang w:val="en-US"/>
              </w:rPr>
              <w:t>, without mechanical action</w:t>
            </w:r>
            <w:r w:rsidR="00A7086B" w:rsidRPr="00E91F85">
              <w:rPr>
                <w:bCs/>
                <w:lang w:val="en-US"/>
              </w:rPr>
              <w:t xml:space="preserve"> (spraying)</w:t>
            </w:r>
            <w:r w:rsidRPr="00E91F85">
              <w:rPr>
                <w:bCs/>
                <w:lang w:val="en-US"/>
              </w:rPr>
              <w:t>:</w:t>
            </w:r>
          </w:p>
          <w:p w14:paraId="1E510FBB" w14:textId="77777777" w:rsidR="006B2D5E" w:rsidRPr="00E91F85" w:rsidRDefault="006B2D5E" w:rsidP="006B2D5E">
            <w:pPr>
              <w:rPr>
                <w:bCs/>
                <w:lang w:val="en-US"/>
              </w:rPr>
            </w:pPr>
            <w:r w:rsidRPr="00E91F85">
              <w:rPr>
                <w:bCs/>
                <w:lang w:val="en-US"/>
              </w:rPr>
              <w:t xml:space="preserve">Bacteria, yeasts: </w:t>
            </w:r>
          </w:p>
          <w:p w14:paraId="26D5346E" w14:textId="59334430" w:rsidR="006B2D5E" w:rsidRPr="00E91F85" w:rsidRDefault="00A7086B" w:rsidP="006B2D5E">
            <w:pPr>
              <w:rPr>
                <w:bCs/>
                <w:lang w:val="en-US"/>
              </w:rPr>
            </w:pPr>
            <w:r w:rsidRPr="00E91F85">
              <w:rPr>
                <w:bCs/>
                <w:lang w:val="en-US"/>
              </w:rPr>
              <w:t>5</w:t>
            </w:r>
            <w:r w:rsidR="006B2D5E" w:rsidRPr="00E91F85">
              <w:rPr>
                <w:bCs/>
                <w:lang w:val="en-US"/>
              </w:rPr>
              <w:t xml:space="preserve">% (v/v), contact time </w:t>
            </w:r>
            <w:r w:rsidR="00F45C99" w:rsidRPr="00E91F85">
              <w:rPr>
                <w:bCs/>
                <w:lang w:val="en-US"/>
              </w:rPr>
              <w:t>1</w:t>
            </w:r>
            <w:r w:rsidR="006B2D5E" w:rsidRPr="00E91F85">
              <w:rPr>
                <w:bCs/>
                <w:lang w:val="en-US"/>
              </w:rPr>
              <w:t xml:space="preserve">5 min, </w:t>
            </w:r>
            <w:r w:rsidR="007F73C9">
              <w:rPr>
                <w:bCs/>
                <w:lang w:val="en-US"/>
              </w:rPr>
              <w:t>20°C</w:t>
            </w:r>
          </w:p>
          <w:p w14:paraId="5C491BFA" w14:textId="77777777" w:rsidR="006B2D5E" w:rsidRPr="00E91F85" w:rsidRDefault="006B2D5E" w:rsidP="006B2D5E">
            <w:pPr>
              <w:rPr>
                <w:bCs/>
                <w:lang w:val="en-US"/>
              </w:rPr>
            </w:pPr>
            <w:r w:rsidRPr="00E91F85">
              <w:rPr>
                <w:bCs/>
                <w:lang w:val="en-US"/>
              </w:rPr>
              <w:t>3% (v/v), contact time 30 min, 40°C</w:t>
            </w:r>
          </w:p>
          <w:p w14:paraId="7BC3329D" w14:textId="77777777" w:rsidR="006B2D5E" w:rsidRPr="00E91F85" w:rsidRDefault="006B2D5E" w:rsidP="006B2D5E">
            <w:pPr>
              <w:rPr>
                <w:bCs/>
                <w:lang w:val="en-US"/>
              </w:rPr>
            </w:pPr>
          </w:p>
          <w:p w14:paraId="0A79A75A" w14:textId="47A92A31" w:rsidR="006B2D5E" w:rsidRPr="00E91F85" w:rsidRDefault="00F45C99" w:rsidP="00287947">
            <w:pPr>
              <w:jc w:val="both"/>
              <w:rPr>
                <w:bCs/>
                <w:lang w:val="en-US"/>
              </w:rPr>
            </w:pPr>
            <w:r w:rsidRPr="00E91F85">
              <w:rPr>
                <w:bCs/>
                <w:lang w:val="en-US"/>
              </w:rPr>
              <w:t>All areas, with mechanical action</w:t>
            </w:r>
            <w:r w:rsidR="003E6B21" w:rsidRPr="00E91F85">
              <w:rPr>
                <w:bCs/>
                <w:lang w:val="en-US"/>
              </w:rPr>
              <w:t xml:space="preserve"> </w:t>
            </w:r>
            <w:r w:rsidR="00A7086B" w:rsidRPr="00E91F85">
              <w:rPr>
                <w:bCs/>
                <w:lang w:val="en-US"/>
              </w:rPr>
              <w:t>(wiping</w:t>
            </w:r>
            <w:r w:rsidR="003E6B21" w:rsidRPr="00E91F85">
              <w:rPr>
                <w:bCs/>
                <w:lang w:val="en-US"/>
              </w:rPr>
              <w:t xml:space="preserve"> </w:t>
            </w:r>
            <w:r w:rsidR="00A7086B" w:rsidRPr="00E91F85">
              <w:rPr>
                <w:bCs/>
                <w:lang w:val="en-US"/>
              </w:rPr>
              <w:t>/mopping</w:t>
            </w:r>
            <w:r w:rsidR="003E6B21" w:rsidRPr="00E91F85">
              <w:rPr>
                <w:bCs/>
                <w:lang w:val="en-US"/>
              </w:rPr>
              <w:t xml:space="preserve"> </w:t>
            </w:r>
            <w:r w:rsidR="00107671" w:rsidRPr="00E91F85">
              <w:rPr>
                <w:bCs/>
                <w:lang w:val="en-US"/>
              </w:rPr>
              <w:t>/brushing</w:t>
            </w:r>
            <w:r w:rsidR="003E6B21" w:rsidRPr="00E91F85">
              <w:rPr>
                <w:bCs/>
                <w:lang w:val="en-US"/>
              </w:rPr>
              <w:t xml:space="preserve"> </w:t>
            </w:r>
            <w:r w:rsidR="00107671" w:rsidRPr="00E91F85">
              <w:rPr>
                <w:bCs/>
                <w:lang w:val="en-US"/>
              </w:rPr>
              <w:t>/scrubbing</w:t>
            </w:r>
            <w:r w:rsidR="00A7086B" w:rsidRPr="00E91F85">
              <w:rPr>
                <w:bCs/>
                <w:lang w:val="en-US"/>
              </w:rPr>
              <w:t>)</w:t>
            </w:r>
            <w:r w:rsidR="006B2D5E" w:rsidRPr="00E91F85">
              <w:rPr>
                <w:bCs/>
                <w:lang w:val="en-US"/>
              </w:rPr>
              <w:t>:</w:t>
            </w:r>
          </w:p>
          <w:p w14:paraId="7815D3FA" w14:textId="1639D46B" w:rsidR="006B2D5E" w:rsidRPr="00E91F85" w:rsidRDefault="006B2D5E" w:rsidP="00287947">
            <w:pPr>
              <w:jc w:val="both"/>
              <w:rPr>
                <w:bCs/>
                <w:lang w:val="en-US"/>
              </w:rPr>
            </w:pPr>
            <w:r w:rsidRPr="00E91F85">
              <w:rPr>
                <w:bCs/>
                <w:lang w:val="en-US"/>
              </w:rPr>
              <w:t xml:space="preserve">Bacteria, yeasts: 10% v/v, contact time 5 min, </w:t>
            </w:r>
            <w:r w:rsidR="007F73C9">
              <w:rPr>
                <w:bCs/>
                <w:lang w:val="en-US"/>
              </w:rPr>
              <w:t>20°C</w:t>
            </w:r>
          </w:p>
          <w:p w14:paraId="3A808FD0" w14:textId="77777777" w:rsidR="006B2D5E" w:rsidRPr="00E91F85" w:rsidRDefault="006B2D5E" w:rsidP="006B2D5E">
            <w:pPr>
              <w:rPr>
                <w:bCs/>
                <w:lang w:val="en-US"/>
              </w:rPr>
            </w:pPr>
          </w:p>
          <w:p w14:paraId="018D653F" w14:textId="2CC9D38D" w:rsidR="006D1C61" w:rsidRPr="00E91F85" w:rsidRDefault="006D1C61" w:rsidP="006B2D5E">
            <w:pPr>
              <w:rPr>
                <w:bCs/>
                <w:lang w:val="en-US"/>
              </w:rPr>
            </w:pPr>
            <w:r w:rsidRPr="00E91F85">
              <w:rPr>
                <w:bCs/>
                <w:lang w:val="en-US"/>
              </w:rPr>
              <w:t>Application rates:</w:t>
            </w:r>
          </w:p>
          <w:p w14:paraId="58DEDDB6" w14:textId="273F6F06" w:rsidR="00E04639" w:rsidRPr="00E91F85" w:rsidRDefault="006B2D5E" w:rsidP="006B2D5E">
            <w:pPr>
              <w:rPr>
                <w:bCs/>
                <w:lang w:val="en-US"/>
              </w:rPr>
            </w:pPr>
            <w:r w:rsidRPr="00E91F85">
              <w:rPr>
                <w:bCs/>
                <w:lang w:val="en-US"/>
              </w:rPr>
              <w:t>30 ml/m2 - 20 sprays on the surface per m2</w:t>
            </w:r>
          </w:p>
          <w:p w14:paraId="08FA2005" w14:textId="47930E26" w:rsidR="006B2D5E" w:rsidRPr="00E91F85" w:rsidRDefault="006B2D5E" w:rsidP="006B2D5E">
            <w:pPr>
              <w:rPr>
                <w:bCs/>
                <w:lang w:val="en-US"/>
              </w:rPr>
            </w:pPr>
            <w:r w:rsidRPr="00E91F85">
              <w:rPr>
                <w:bCs/>
                <w:lang w:val="en-US"/>
              </w:rPr>
              <w:t xml:space="preserve">8 to 12 sprays or 16 ml onto wipe per 0.1 m2 </w:t>
            </w:r>
          </w:p>
          <w:p w14:paraId="35CAF738" w14:textId="77777777" w:rsidR="006D1C61" w:rsidRPr="000D7D14" w:rsidRDefault="006D1C61" w:rsidP="006D1C61">
            <w:pPr>
              <w:snapToGrid w:val="0"/>
              <w:spacing w:line="260" w:lineRule="atLeast"/>
            </w:pPr>
            <w:r w:rsidRPr="000D7D14">
              <w:t>For toilet bowls</w:t>
            </w:r>
            <w:r>
              <w:t>:</w:t>
            </w:r>
            <w:r w:rsidRPr="000D7D14">
              <w:t xml:space="preserve"> </w:t>
            </w:r>
            <w:r w:rsidRPr="00E91F85">
              <w:rPr>
                <w:bCs/>
                <w:color w:val="000000"/>
                <w:lang w:val="en-US"/>
              </w:rPr>
              <w:t>50 ml or 33 sprays per toilet</w:t>
            </w:r>
          </w:p>
          <w:p w14:paraId="5F68F88E" w14:textId="77777777" w:rsidR="000A6C8A" w:rsidRPr="00F70597" w:rsidRDefault="000A6C8A" w:rsidP="000A6C8A">
            <w:pPr>
              <w:rPr>
                <w:bCs/>
                <w:lang w:val="en-US"/>
              </w:rPr>
            </w:pPr>
          </w:p>
          <w:p w14:paraId="4EB537DA" w14:textId="35A72585" w:rsidR="007018A5" w:rsidRPr="00E91F85" w:rsidRDefault="000A6C8A" w:rsidP="00685495">
            <w:pPr>
              <w:suppressAutoHyphens w:val="0"/>
              <w:snapToGrid w:val="0"/>
              <w:spacing w:line="260" w:lineRule="atLeast"/>
              <w:rPr>
                <w:rFonts w:cs="Times New Roman"/>
                <w:lang w:val="en-US" w:eastAsia="de-DE"/>
              </w:rPr>
            </w:pPr>
            <w:r w:rsidRPr="00F70597">
              <w:rPr>
                <w:bCs/>
                <w:lang w:val="en-US"/>
              </w:rPr>
              <w:t>Daily frequency</w:t>
            </w:r>
          </w:p>
        </w:tc>
      </w:tr>
      <w:tr w:rsidR="007018A5" w:rsidRPr="00B27CB1" w14:paraId="3D21AF7B" w14:textId="77777777" w:rsidTr="00685495">
        <w:tc>
          <w:tcPr>
            <w:tcW w:w="2707" w:type="dxa"/>
            <w:tcBorders>
              <w:top w:val="nil"/>
              <w:left w:val="single" w:sz="4" w:space="0" w:color="000000"/>
              <w:bottom w:val="single" w:sz="4" w:space="0" w:color="000000"/>
              <w:right w:val="nil"/>
            </w:tcBorders>
            <w:hideMark/>
          </w:tcPr>
          <w:p w14:paraId="59362217" w14:textId="77777777" w:rsidR="007018A5" w:rsidRPr="00B27CB1" w:rsidRDefault="007018A5"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0CC6AE84" w14:textId="07837919" w:rsidR="007018A5" w:rsidRPr="00B27CB1" w:rsidRDefault="006B2D5E" w:rsidP="00685495">
            <w:pPr>
              <w:snapToGrid w:val="0"/>
              <w:spacing w:line="254" w:lineRule="auto"/>
              <w:rPr>
                <w:b/>
              </w:rPr>
            </w:pPr>
            <w:r w:rsidRPr="000D7D14">
              <w:t>Industrial, Professional</w:t>
            </w:r>
          </w:p>
        </w:tc>
      </w:tr>
      <w:tr w:rsidR="007018A5" w:rsidRPr="00C97335" w14:paraId="6A5D7D79" w14:textId="77777777" w:rsidTr="00685495">
        <w:tc>
          <w:tcPr>
            <w:tcW w:w="2707" w:type="dxa"/>
            <w:tcBorders>
              <w:top w:val="nil"/>
              <w:left w:val="single" w:sz="4" w:space="0" w:color="000000"/>
              <w:bottom w:val="single" w:sz="4" w:space="0" w:color="000000"/>
              <w:right w:val="nil"/>
            </w:tcBorders>
            <w:hideMark/>
          </w:tcPr>
          <w:p w14:paraId="5055DDFF" w14:textId="77777777" w:rsidR="007018A5" w:rsidRPr="00B27CB1" w:rsidRDefault="007018A5"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C5B347D" w14:textId="4B4C1E2B" w:rsidR="00380F9F" w:rsidRDefault="00380F9F" w:rsidP="00380F9F">
            <w:pPr>
              <w:spacing w:line="254" w:lineRule="auto"/>
            </w:pPr>
            <w:r>
              <w:t>HDPE:</w:t>
            </w:r>
            <w:r w:rsidR="003F1647">
              <w:t xml:space="preserve"> </w:t>
            </w:r>
            <w:r>
              <w:t>1 L / 1 kg, 5 L / 5 kg, 10 L / 10 kg, 20 L / 20 kg, 120 L / 120 kg, 200 L / 200 kg, 220 L / 220 kg</w:t>
            </w:r>
          </w:p>
          <w:p w14:paraId="35687E24" w14:textId="71BEA869" w:rsidR="00380F9F" w:rsidRDefault="00380F9F" w:rsidP="00380F9F">
            <w:pPr>
              <w:spacing w:line="254" w:lineRule="auto"/>
            </w:pPr>
            <w:r>
              <w:t>PET:</w:t>
            </w:r>
            <w:r w:rsidR="003F1647">
              <w:t xml:space="preserve"> </w:t>
            </w:r>
            <w:r>
              <w:t>1 L / 1 kg</w:t>
            </w:r>
          </w:p>
          <w:p w14:paraId="4B153665" w14:textId="08256B03" w:rsidR="00380F9F" w:rsidRDefault="00380F9F" w:rsidP="00380F9F">
            <w:pPr>
              <w:spacing w:line="254" w:lineRule="auto"/>
            </w:pPr>
            <w:r w:rsidRPr="008D35E9">
              <w:t>Coextrude (HDPE/Adhesive/Nylon polyamide):</w:t>
            </w:r>
            <w:r w:rsidR="003F1647">
              <w:t xml:space="preserve"> </w:t>
            </w:r>
            <w:r>
              <w:t>5 L / 5 kg</w:t>
            </w:r>
          </w:p>
          <w:p w14:paraId="14A942B0" w14:textId="6D0C4AA0" w:rsidR="00380F9F" w:rsidRPr="00E91F85" w:rsidRDefault="00380F9F" w:rsidP="00380F9F">
            <w:pPr>
              <w:spacing w:line="254" w:lineRule="auto"/>
              <w:rPr>
                <w:lang w:val="de-DE"/>
              </w:rPr>
            </w:pPr>
            <w:r>
              <w:t>Coextrude (HDPE/Adhesive resin/EVAL):</w:t>
            </w:r>
            <w:r w:rsidR="003F1647">
              <w:t xml:space="preserve"> </w:t>
            </w:r>
            <w:r w:rsidRPr="00E91F85">
              <w:rPr>
                <w:lang w:val="de-DE"/>
              </w:rPr>
              <w:t>250 mL / 250 g</w:t>
            </w:r>
          </w:p>
          <w:p w14:paraId="09325116" w14:textId="673BEF98" w:rsidR="007018A5" w:rsidRPr="00E91F85" w:rsidRDefault="00380F9F" w:rsidP="003F1647">
            <w:pPr>
              <w:spacing w:line="254" w:lineRule="auto"/>
              <w:rPr>
                <w:lang w:val="de-DE"/>
              </w:rPr>
            </w:pPr>
            <w:r w:rsidRPr="00E91F85">
              <w:rPr>
                <w:lang w:val="de-DE"/>
              </w:rPr>
              <w:t>LDPE/HDPE:</w:t>
            </w:r>
            <w:r w:rsidR="003F1647">
              <w:rPr>
                <w:lang w:val="de-DE"/>
              </w:rPr>
              <w:t xml:space="preserve"> </w:t>
            </w:r>
            <w:r w:rsidRPr="00E91F85">
              <w:rPr>
                <w:lang w:val="de-DE"/>
              </w:rPr>
              <w:t>20 mL</w:t>
            </w:r>
          </w:p>
        </w:tc>
      </w:tr>
    </w:tbl>
    <w:p w14:paraId="1FA38BE9"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5A5137F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6F6C582" w14:textId="59A37206" w:rsidR="00A458E2" w:rsidRPr="003F1647" w:rsidRDefault="00A458E2" w:rsidP="003F1647">
            <w:pPr>
              <w:pStyle w:val="Paragraphedeliste"/>
              <w:numPr>
                <w:ilvl w:val="0"/>
                <w:numId w:val="27"/>
              </w:numPr>
              <w:rPr>
                <w:color w:val="000000"/>
                <w:lang w:val="de-DE"/>
              </w:rPr>
            </w:pPr>
            <w:r w:rsidRPr="003F1647">
              <w:rPr>
                <w:color w:val="000000"/>
                <w:lang w:val="de-DE"/>
              </w:rPr>
              <w:t>Manu</w:t>
            </w:r>
            <w:r w:rsidR="00774730" w:rsidRPr="003F1647">
              <w:rPr>
                <w:color w:val="000000"/>
                <w:lang w:val="de-DE"/>
              </w:rPr>
              <w:t>a</w:t>
            </w:r>
            <w:r w:rsidRPr="003F1647">
              <w:rPr>
                <w:color w:val="000000"/>
                <w:lang w:val="de-DE"/>
              </w:rPr>
              <w:t>l disinfection:</w:t>
            </w:r>
          </w:p>
          <w:p w14:paraId="096125A3" w14:textId="2694A687" w:rsidR="00A458E2" w:rsidRPr="00245178" w:rsidRDefault="00A458E2"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For hard surfaces by spraying: Dilute in water and spray directly on the surface</w:t>
            </w:r>
            <w:r w:rsidR="00E04639" w:rsidRPr="003F1647">
              <w:rPr>
                <w:bCs/>
                <w:color w:val="000000"/>
                <w:lang w:val="en-US"/>
              </w:rPr>
              <w:t>s</w:t>
            </w:r>
            <w:r w:rsidRPr="003F1647">
              <w:rPr>
                <w:bCs/>
                <w:color w:val="000000"/>
                <w:lang w:val="en-US"/>
              </w:rPr>
              <w:t xml:space="preserve"> intended to be treated and cover the entire surface</w:t>
            </w:r>
            <w:r w:rsidR="00E04639" w:rsidRPr="0004436A">
              <w:rPr>
                <w:bCs/>
                <w:color w:val="000000"/>
                <w:lang w:val="en-US"/>
              </w:rPr>
              <w:t>s</w:t>
            </w:r>
            <w:r w:rsidRPr="0004436A">
              <w:rPr>
                <w:bCs/>
                <w:color w:val="000000"/>
                <w:lang w:val="en-US"/>
              </w:rPr>
              <w:t>. All</w:t>
            </w:r>
            <w:r w:rsidR="00107671" w:rsidRPr="0004436A">
              <w:rPr>
                <w:bCs/>
                <w:color w:val="000000"/>
                <w:lang w:val="en-US"/>
              </w:rPr>
              <w:t xml:space="preserve">ow to take effect for at least </w:t>
            </w:r>
            <w:r w:rsidRPr="00245178">
              <w:rPr>
                <w:bCs/>
                <w:color w:val="000000"/>
                <w:lang w:val="en-US"/>
              </w:rPr>
              <w:t>5 until 30 minutes depending on the temperature</w:t>
            </w:r>
            <w:r w:rsidR="00D34D33">
              <w:rPr>
                <w:bCs/>
                <w:color w:val="000000"/>
                <w:lang w:val="en-US"/>
              </w:rPr>
              <w:t xml:space="preserve"> and the use area</w:t>
            </w:r>
            <w:r w:rsidR="00CE64E6" w:rsidRPr="00245178">
              <w:rPr>
                <w:bCs/>
                <w:color w:val="000000"/>
                <w:lang w:val="en-US"/>
              </w:rPr>
              <w:t>,</w:t>
            </w:r>
            <w:r w:rsidRPr="00245178">
              <w:rPr>
                <w:bCs/>
                <w:color w:val="000000"/>
                <w:lang w:val="en-US"/>
              </w:rPr>
              <w:t xml:space="preserve"> then brush or scrub if required and wipe with a dry cloth.</w:t>
            </w:r>
          </w:p>
          <w:p w14:paraId="528DD4D5" w14:textId="5B47298E" w:rsidR="00A458E2" w:rsidRPr="00BB3563" w:rsidRDefault="00A458E2"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For hard surfaces by wipping/mopping</w:t>
            </w:r>
            <w:r w:rsidR="00CE64E6" w:rsidRPr="00245178">
              <w:rPr>
                <w:bCs/>
                <w:color w:val="000000"/>
                <w:lang w:val="en-US"/>
              </w:rPr>
              <w:t>/brushing</w:t>
            </w:r>
            <w:r w:rsidRPr="00245178">
              <w:rPr>
                <w:bCs/>
                <w:color w:val="000000"/>
                <w:lang w:val="en-US"/>
              </w:rPr>
              <w:t>:</w:t>
            </w:r>
            <w:r w:rsidR="00CE64E6" w:rsidRPr="00245178">
              <w:rPr>
                <w:bCs/>
                <w:color w:val="000000"/>
                <w:lang w:val="en-US"/>
              </w:rPr>
              <w:t xml:space="preserve"> </w:t>
            </w:r>
            <w:r w:rsidR="001C747E" w:rsidRPr="00245178">
              <w:rPr>
                <w:bCs/>
                <w:color w:val="000000"/>
                <w:lang w:val="en-US"/>
              </w:rPr>
              <w:t>Dilute in water, s</w:t>
            </w:r>
            <w:r w:rsidR="00E04639" w:rsidRPr="00245178">
              <w:rPr>
                <w:bCs/>
                <w:color w:val="000000"/>
                <w:lang w:val="en-US"/>
              </w:rPr>
              <w:t>pray on wipe or soak the mop/wipe/brush and apply by fully wetting all surfaces intended to be treated</w:t>
            </w:r>
            <w:r w:rsidRPr="00BB3563">
              <w:rPr>
                <w:bCs/>
                <w:color w:val="000000"/>
                <w:lang w:val="en-US"/>
              </w:rPr>
              <w:t>. Allow to take effect for at least 5 minutes</w:t>
            </w:r>
            <w:r w:rsidR="007F73C9">
              <w:rPr>
                <w:bCs/>
                <w:color w:val="000000"/>
                <w:lang w:val="en-US"/>
              </w:rPr>
              <w:t>, then</w:t>
            </w:r>
            <w:r w:rsidRPr="00BB3563">
              <w:rPr>
                <w:bCs/>
                <w:color w:val="000000"/>
                <w:lang w:val="en-US"/>
              </w:rPr>
              <w:t xml:space="preserve"> wipe the surface with a dry cloth if required or let to dry.</w:t>
            </w:r>
          </w:p>
          <w:p w14:paraId="1ED45C27" w14:textId="6A243017" w:rsidR="006B2D5E" w:rsidRPr="002F6E1B" w:rsidRDefault="006B2D5E" w:rsidP="003F1647">
            <w:pPr>
              <w:rPr>
                <w:bCs/>
                <w:color w:val="000000"/>
                <w:lang w:val="en-US"/>
              </w:rPr>
            </w:pPr>
          </w:p>
          <w:p w14:paraId="75C62FF4" w14:textId="27CF0FC3" w:rsidR="00A458E2" w:rsidRPr="00B10ACB" w:rsidRDefault="006B2D5E" w:rsidP="003F1647">
            <w:pPr>
              <w:pStyle w:val="Paragraphedeliste"/>
              <w:numPr>
                <w:ilvl w:val="0"/>
                <w:numId w:val="27"/>
              </w:numPr>
              <w:rPr>
                <w:color w:val="000000"/>
                <w:sz w:val="24"/>
                <w:szCs w:val="24"/>
                <w:lang w:eastAsia="en-GB"/>
              </w:rPr>
            </w:pPr>
            <w:r w:rsidRPr="001E568F">
              <w:rPr>
                <w:color w:val="000000"/>
                <w:lang w:val="de-DE"/>
              </w:rPr>
              <w:t>Machine:</w:t>
            </w:r>
          </w:p>
          <w:p w14:paraId="5C10E20D" w14:textId="3C2C98CA" w:rsidR="00E04639" w:rsidRPr="0004436A" w:rsidRDefault="006B2D5E"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 xml:space="preserve">Dilute in water in scrubber-dryers, single-disk scrubbers, high or low pressure sprayers... and apply on surface and/or floor intended to be treated. </w:t>
            </w:r>
            <w:r w:rsidR="00F45C99" w:rsidRPr="003F1647">
              <w:rPr>
                <w:bCs/>
                <w:color w:val="000000"/>
                <w:lang w:val="en-US"/>
              </w:rPr>
              <w:t xml:space="preserve">Allow to take effect for at least 5 </w:t>
            </w:r>
            <w:r w:rsidRPr="0004436A">
              <w:rPr>
                <w:bCs/>
                <w:color w:val="000000"/>
                <w:lang w:val="en-US"/>
              </w:rPr>
              <w:t>and then let to dry. Rinse the tank after applying the product.</w:t>
            </w:r>
          </w:p>
          <w:p w14:paraId="7B5539A2" w14:textId="77777777" w:rsidR="003863E2" w:rsidRPr="00245178" w:rsidRDefault="003863E2" w:rsidP="00B10ACB">
            <w:pPr>
              <w:widowControl w:val="0"/>
              <w:suppressAutoHyphens w:val="0"/>
              <w:autoSpaceDE w:val="0"/>
              <w:snapToGrid w:val="0"/>
              <w:ind w:left="26"/>
              <w:contextualSpacing/>
              <w:jc w:val="both"/>
              <w:rPr>
                <w:bCs/>
                <w:color w:val="000000"/>
                <w:lang w:val="en-US"/>
              </w:rPr>
            </w:pPr>
          </w:p>
          <w:p w14:paraId="7FA74695" w14:textId="7012337C" w:rsidR="006B2D5E" w:rsidRPr="00245178" w:rsidRDefault="00E04639"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Toilet bowls: Dilute in water and spray inside the toilet bowls by fully covering all surface to be treated.  Allow to take effect for at least 5 minutes, then brush if required and flush the toilet.</w:t>
            </w:r>
          </w:p>
          <w:p w14:paraId="34E3CD37" w14:textId="75114419" w:rsidR="007018A5" w:rsidRDefault="006B2D5E"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The product must be used directly after dilution.</w:t>
            </w:r>
          </w:p>
          <w:p w14:paraId="326E6340" w14:textId="77777777" w:rsidR="00D34D33" w:rsidRDefault="00D34D33" w:rsidP="00B10ACB">
            <w:pPr>
              <w:widowControl w:val="0"/>
              <w:suppressAutoHyphens w:val="0"/>
              <w:autoSpaceDE w:val="0"/>
              <w:snapToGrid w:val="0"/>
              <w:ind w:left="386"/>
              <w:contextualSpacing/>
              <w:jc w:val="both"/>
              <w:rPr>
                <w:bCs/>
                <w:color w:val="000000"/>
                <w:lang w:val="en-US"/>
              </w:rPr>
            </w:pPr>
          </w:p>
          <w:p w14:paraId="603B3445" w14:textId="479A8B1B" w:rsidR="007018A5" w:rsidRPr="008D35E9" w:rsidRDefault="00D34D33" w:rsidP="00B10ACB">
            <w:pPr>
              <w:widowControl w:val="0"/>
              <w:numPr>
                <w:ilvl w:val="0"/>
                <w:numId w:val="7"/>
              </w:numPr>
              <w:suppressAutoHyphens w:val="0"/>
              <w:autoSpaceDE w:val="0"/>
              <w:snapToGrid w:val="0"/>
              <w:ind w:left="386"/>
              <w:contextualSpacing/>
              <w:jc w:val="both"/>
              <w:rPr>
                <w:bCs/>
                <w:color w:val="000000"/>
                <w:lang w:val="en-US"/>
              </w:rPr>
            </w:pPr>
            <w:r w:rsidRPr="00533866">
              <w:rPr>
                <w:rFonts w:cs="Times"/>
                <w:bCs/>
                <w:szCs w:val="29"/>
              </w:rPr>
              <w:t xml:space="preserve">Products have been tested against </w:t>
            </w:r>
            <w:r>
              <w:rPr>
                <w:rFonts w:cs="Times"/>
                <w:bCs/>
                <w:szCs w:val="29"/>
              </w:rPr>
              <w:t>bacteria</w:t>
            </w:r>
            <w:r w:rsidRPr="00533866">
              <w:rPr>
                <w:rFonts w:cs="Times"/>
                <w:bCs/>
                <w:szCs w:val="29"/>
              </w:rPr>
              <w:t xml:space="preserve">, </w:t>
            </w:r>
            <w:r w:rsidRPr="000D7D14">
              <w:t xml:space="preserve">including </w:t>
            </w:r>
            <w:r w:rsidRPr="00E91F85">
              <w:rPr>
                <w:bCs/>
                <w:i/>
                <w:color w:val="000000"/>
                <w:lang w:val="en-US"/>
              </w:rPr>
              <w:t xml:space="preserve">Salmonella </w:t>
            </w:r>
            <w:r w:rsidRPr="000434AD">
              <w:rPr>
                <w:bCs/>
                <w:color w:val="000000"/>
                <w:lang w:val="en-US"/>
              </w:rPr>
              <w:t>Typhimurium</w:t>
            </w:r>
            <w:r w:rsidRPr="00E91F85">
              <w:rPr>
                <w:bCs/>
                <w:color w:val="000000"/>
                <w:lang w:val="en-US"/>
              </w:rPr>
              <w:t xml:space="preserve"> </w:t>
            </w:r>
            <w:r>
              <w:rPr>
                <w:bCs/>
                <w:color w:val="000000"/>
                <w:lang w:val="en-US"/>
              </w:rPr>
              <w:t xml:space="preserve">(agent of Salmonellosis disease) </w:t>
            </w:r>
            <w:r w:rsidRPr="00E91F85">
              <w:rPr>
                <w:bCs/>
                <w:color w:val="000000"/>
                <w:lang w:val="en-US"/>
              </w:rPr>
              <w:t xml:space="preserve">and </w:t>
            </w:r>
            <w:r w:rsidRPr="00E91F85">
              <w:rPr>
                <w:bCs/>
                <w:i/>
                <w:color w:val="000000"/>
                <w:lang w:val="en-US"/>
              </w:rPr>
              <w:t>Listeria monocytogenes</w:t>
            </w:r>
            <w:r w:rsidRPr="000434AD">
              <w:rPr>
                <w:bCs/>
                <w:color w:val="000000"/>
                <w:lang w:val="en-US"/>
              </w:rPr>
              <w:t xml:space="preserve"> (agent of Listeriosis disease)</w:t>
            </w:r>
          </w:p>
        </w:tc>
      </w:tr>
    </w:tbl>
    <w:p w14:paraId="78DD1D6D"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14D2831B"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55BED3DC" w14:textId="13FAD05A"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6AFC50AA"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207E2B7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CAF69E3" w14:textId="775DD8F2"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235653C4"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229092B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41D85062" w14:textId="7D34E669"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1F58A15D"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162F509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6333970" w14:textId="0836EC47"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303253BE" w14:textId="77777777" w:rsidR="007018A5" w:rsidRPr="00B27CB1" w:rsidRDefault="007018A5" w:rsidP="007018A5">
      <w:pPr>
        <w:widowControl w:val="0"/>
        <w:autoSpaceDE w:val="0"/>
        <w:rPr>
          <w:rFonts w:cs="Times"/>
          <w:bCs/>
          <w:szCs w:val="29"/>
        </w:rPr>
      </w:pPr>
    </w:p>
    <w:p w14:paraId="15C3790B" w14:textId="77777777" w:rsidR="007018A5" w:rsidRPr="00B27CB1" w:rsidRDefault="007018A5" w:rsidP="007018A5">
      <w:pPr>
        <w:pStyle w:val="Titre4"/>
        <w:numPr>
          <w:ilvl w:val="3"/>
          <w:numId w:val="9"/>
        </w:numPr>
        <w:rPr>
          <w:lang w:val="en-GB"/>
        </w:rPr>
      </w:pPr>
      <w:bookmarkStart w:id="102" w:name="_Toc87361132"/>
      <w:r w:rsidRPr="00B27CB1">
        <w:rPr>
          <w:lang w:val="en-GB"/>
        </w:rPr>
        <w:t>Use description</w:t>
      </w:r>
      <w:bookmarkEnd w:id="102"/>
    </w:p>
    <w:p w14:paraId="07074662" w14:textId="77777777" w:rsidR="007018A5" w:rsidRPr="00B27CB1" w:rsidRDefault="007018A5" w:rsidP="007018A5">
      <w:pPr>
        <w:widowControl w:val="0"/>
        <w:autoSpaceDE w:val="0"/>
        <w:rPr>
          <w:rFonts w:cs="Times"/>
          <w:bCs/>
          <w:szCs w:val="29"/>
        </w:rPr>
      </w:pPr>
    </w:p>
    <w:p w14:paraId="3D23D799" w14:textId="2C9915BE" w:rsidR="007018A5" w:rsidRPr="00B27CB1" w:rsidRDefault="007018A5" w:rsidP="007018A5">
      <w:pPr>
        <w:pStyle w:val="Lgende"/>
        <w:spacing w:after="120"/>
        <w:rPr>
          <w:rFonts w:ascii="Verdana" w:hAnsi="Verdana"/>
          <w:b/>
          <w:bCs/>
          <w:szCs w:val="24"/>
          <w:lang w:eastAsia="en-GB"/>
        </w:rPr>
      </w:pPr>
      <w:r w:rsidRPr="00E91F85">
        <w:rPr>
          <w:rFonts w:ascii="Verdana" w:hAnsi="Verdana" w:cs="Verdana"/>
        </w:rPr>
        <w:t xml:space="preserve">Table </w:t>
      </w:r>
      <w:r w:rsidRPr="00E91F85">
        <w:rPr>
          <w:rFonts w:ascii="Verdana" w:hAnsi="Verdana" w:cs="Verdana"/>
        </w:rPr>
        <w:fldChar w:fldCharType="begin"/>
      </w:r>
      <w:r w:rsidRPr="00E91F85">
        <w:rPr>
          <w:rFonts w:ascii="Verdana" w:hAnsi="Verdana" w:cs="Verdana"/>
        </w:rPr>
        <w:instrText xml:space="preserve"> SEQ "Tableau" \* ARABIC </w:instrText>
      </w:r>
      <w:r w:rsidRPr="00E91F85">
        <w:rPr>
          <w:rFonts w:ascii="Verdana" w:hAnsi="Verdana" w:cs="Verdana"/>
        </w:rPr>
        <w:fldChar w:fldCharType="separate"/>
      </w:r>
      <w:r w:rsidR="00245178">
        <w:rPr>
          <w:rFonts w:ascii="Verdana" w:hAnsi="Verdana" w:cs="Verdana"/>
          <w:noProof/>
        </w:rPr>
        <w:t>10</w:t>
      </w:r>
      <w:r w:rsidRPr="00E91F85">
        <w:rPr>
          <w:rFonts w:ascii="Verdana" w:hAnsi="Verdana" w:cs="Verdana"/>
        </w:rPr>
        <w:fldChar w:fldCharType="end"/>
      </w:r>
      <w:r w:rsidRPr="00E91F85">
        <w:rPr>
          <w:rFonts w:ascii="Verdana" w:hAnsi="Verdana"/>
        </w:rPr>
        <w:t xml:space="preserve">. Use # 2 – Disinfectants for hard surfaces of industry, institution, healthcare facilities and food </w:t>
      </w:r>
      <w:r w:rsidR="006B2D5E" w:rsidRPr="00E91F85">
        <w:rPr>
          <w:rFonts w:ascii="Verdana" w:hAnsi="Verdana"/>
        </w:rPr>
        <w:t>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018A5" w:rsidRPr="00B27CB1" w14:paraId="65A332A1" w14:textId="77777777" w:rsidTr="00685495">
        <w:tc>
          <w:tcPr>
            <w:tcW w:w="2707" w:type="dxa"/>
            <w:tcBorders>
              <w:top w:val="single" w:sz="4" w:space="0" w:color="000000"/>
              <w:left w:val="single" w:sz="4" w:space="0" w:color="000000"/>
              <w:bottom w:val="single" w:sz="4" w:space="0" w:color="000000"/>
              <w:right w:val="nil"/>
            </w:tcBorders>
            <w:hideMark/>
          </w:tcPr>
          <w:p w14:paraId="2312D2B0" w14:textId="77777777" w:rsidR="007018A5" w:rsidRPr="00B27CB1" w:rsidRDefault="007018A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4297611" w14:textId="2DD80809" w:rsidR="007018A5" w:rsidRPr="00B27CB1" w:rsidRDefault="006B2D5E"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7018A5" w:rsidRPr="00B27CB1" w14:paraId="21A400A3" w14:textId="77777777" w:rsidTr="00685495">
        <w:tc>
          <w:tcPr>
            <w:tcW w:w="2707" w:type="dxa"/>
            <w:tcBorders>
              <w:top w:val="nil"/>
              <w:left w:val="single" w:sz="4" w:space="0" w:color="000000"/>
              <w:bottom w:val="single" w:sz="4" w:space="0" w:color="000000"/>
              <w:right w:val="nil"/>
            </w:tcBorders>
            <w:hideMark/>
          </w:tcPr>
          <w:p w14:paraId="40DA3D21" w14:textId="77777777" w:rsidR="007018A5" w:rsidRPr="00B27CB1" w:rsidRDefault="007018A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5D5677D" w14:textId="00EEE353" w:rsidR="001E4D37" w:rsidRDefault="001E4D37" w:rsidP="006B2D5E">
            <w:pPr>
              <w:rPr>
                <w:color w:val="000000"/>
              </w:rPr>
            </w:pPr>
            <w:r w:rsidRPr="008C098E">
              <w:rPr>
                <w:color w:val="000000"/>
              </w:rPr>
              <w:t>Concentrate</w:t>
            </w:r>
            <w:r w:rsidR="008C098E">
              <w:rPr>
                <w:color w:val="000000"/>
              </w:rPr>
              <w:t xml:space="preserve"> to be diluted</w:t>
            </w:r>
            <w:r w:rsidRPr="008C098E">
              <w:rPr>
                <w:color w:val="000000"/>
              </w:rPr>
              <w:t>.</w:t>
            </w:r>
          </w:p>
          <w:p w14:paraId="1621E0C2" w14:textId="099730E3" w:rsidR="006B2D5E" w:rsidRPr="000D7D14" w:rsidRDefault="006B2D5E" w:rsidP="006B2D5E">
            <w:r w:rsidRPr="000D7D14">
              <w:rPr>
                <w:color w:val="000000"/>
              </w:rPr>
              <w:t>Product used for the disinfection of industry, institution and healthcare facilities</w:t>
            </w:r>
            <w:r w:rsidR="001C747E">
              <w:rPr>
                <w:color w:val="000000"/>
              </w:rPr>
              <w:t>,</w:t>
            </w:r>
            <w:r w:rsidRPr="000D7D14">
              <w:rPr>
                <w:color w:val="000000"/>
              </w:rPr>
              <w:t xml:space="preserve"> including external surfaces of toilets bowls and disinfection for area of food preparation and handling.</w:t>
            </w:r>
          </w:p>
          <w:p w14:paraId="0F67F162" w14:textId="637A7790" w:rsidR="007018A5" w:rsidRPr="00B27CB1" w:rsidRDefault="006B2D5E" w:rsidP="00E04639">
            <w:pPr>
              <w:snapToGrid w:val="0"/>
              <w:spacing w:line="254" w:lineRule="auto"/>
              <w:rPr>
                <w:b/>
              </w:rPr>
            </w:pPr>
            <w:r w:rsidRPr="000D7D14">
              <w:br/>
            </w:r>
            <w:r w:rsidR="00E04639">
              <w:rPr>
                <w:color w:val="000000"/>
              </w:rPr>
              <w:t>D</w:t>
            </w:r>
            <w:r w:rsidRPr="000D7D14">
              <w:rPr>
                <w:color w:val="000000"/>
              </w:rPr>
              <w:t xml:space="preserve">isinfection of all kind of non porous surfaces </w:t>
            </w:r>
          </w:p>
        </w:tc>
      </w:tr>
      <w:tr w:rsidR="007018A5" w:rsidRPr="00B27CB1" w14:paraId="3B4DC8CE" w14:textId="77777777" w:rsidTr="00685495">
        <w:tc>
          <w:tcPr>
            <w:tcW w:w="2707" w:type="dxa"/>
            <w:tcBorders>
              <w:top w:val="nil"/>
              <w:left w:val="single" w:sz="4" w:space="0" w:color="000000"/>
              <w:bottom w:val="single" w:sz="4" w:space="0" w:color="000000"/>
              <w:right w:val="nil"/>
            </w:tcBorders>
            <w:hideMark/>
          </w:tcPr>
          <w:p w14:paraId="2BB9445C" w14:textId="77777777" w:rsidR="007018A5" w:rsidRPr="00B27CB1" w:rsidRDefault="007018A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D803A69" w14:textId="56B1005A" w:rsidR="007018A5" w:rsidRPr="00B27CB1" w:rsidRDefault="006B2D5E" w:rsidP="00FC3C8D">
            <w:pPr>
              <w:snapToGrid w:val="0"/>
              <w:spacing w:line="254" w:lineRule="auto"/>
              <w:rPr>
                <w:lang w:eastAsia="de-DE"/>
              </w:rPr>
            </w:pPr>
            <w:r w:rsidRPr="000D7D14">
              <w:t xml:space="preserve">Bacteria </w:t>
            </w:r>
            <w:r w:rsidRPr="000D7D14">
              <w:br/>
              <w:t>Yeasts</w:t>
            </w:r>
          </w:p>
        </w:tc>
      </w:tr>
      <w:tr w:rsidR="007018A5" w:rsidRPr="00B27CB1" w14:paraId="017A063A" w14:textId="77777777" w:rsidTr="00685495">
        <w:tc>
          <w:tcPr>
            <w:tcW w:w="2707" w:type="dxa"/>
            <w:tcBorders>
              <w:top w:val="nil"/>
              <w:left w:val="single" w:sz="4" w:space="0" w:color="000000"/>
              <w:bottom w:val="single" w:sz="4" w:space="0" w:color="000000"/>
              <w:right w:val="nil"/>
            </w:tcBorders>
            <w:hideMark/>
          </w:tcPr>
          <w:p w14:paraId="321D47A6" w14:textId="77777777" w:rsidR="007018A5" w:rsidRPr="00B27CB1" w:rsidRDefault="007018A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85289B7" w14:textId="6C49B0CB" w:rsidR="007018A5" w:rsidRPr="00B27CB1" w:rsidRDefault="006B2D5E" w:rsidP="00FC3C8D">
            <w:pPr>
              <w:suppressAutoHyphens w:val="0"/>
              <w:snapToGrid w:val="0"/>
              <w:spacing w:line="260" w:lineRule="atLeast"/>
              <w:jc w:val="both"/>
              <w:rPr>
                <w:rFonts w:cs="Times New Roman"/>
                <w:lang w:eastAsia="de-DE"/>
              </w:rPr>
            </w:pPr>
            <w:r w:rsidRPr="000D7D14">
              <w:t>Indoor</w:t>
            </w:r>
          </w:p>
        </w:tc>
      </w:tr>
      <w:tr w:rsidR="007018A5" w:rsidRPr="00B27CB1" w14:paraId="02B841E2" w14:textId="77777777" w:rsidTr="00685495">
        <w:tc>
          <w:tcPr>
            <w:tcW w:w="2707" w:type="dxa"/>
            <w:tcBorders>
              <w:top w:val="nil"/>
              <w:left w:val="single" w:sz="4" w:space="0" w:color="000000"/>
              <w:bottom w:val="single" w:sz="4" w:space="0" w:color="000000"/>
              <w:right w:val="nil"/>
            </w:tcBorders>
            <w:hideMark/>
          </w:tcPr>
          <w:p w14:paraId="414DA341" w14:textId="77777777" w:rsidR="007018A5" w:rsidRPr="006D1C61" w:rsidRDefault="007018A5" w:rsidP="00685495">
            <w:pPr>
              <w:spacing w:line="254" w:lineRule="auto"/>
              <w:rPr>
                <w:b/>
              </w:rPr>
            </w:pPr>
            <w:r w:rsidRPr="006D1C6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6037B107" w14:textId="77777777" w:rsidR="00DE5BF9" w:rsidRPr="00E16D2D" w:rsidRDefault="006B2D5E" w:rsidP="00FC3C8D">
            <w:pPr>
              <w:suppressAutoHyphens w:val="0"/>
              <w:snapToGrid w:val="0"/>
              <w:spacing w:line="260" w:lineRule="atLeast"/>
            </w:pPr>
            <w:r w:rsidRPr="005812E0">
              <w:t xml:space="preserve">Spraying, </w:t>
            </w:r>
          </w:p>
          <w:p w14:paraId="523A3B8F" w14:textId="621041A6" w:rsidR="00DE5BF9" w:rsidRPr="00E04639" w:rsidRDefault="00DE5BF9" w:rsidP="00DE5BF9">
            <w:pPr>
              <w:suppressAutoHyphens w:val="0"/>
              <w:snapToGrid w:val="0"/>
              <w:spacing w:line="260" w:lineRule="atLeast"/>
            </w:pPr>
            <w:r w:rsidRPr="00E16D2D">
              <w:t>W</w:t>
            </w:r>
            <w:r w:rsidR="006B2D5E" w:rsidRPr="0016248F">
              <w:t>i</w:t>
            </w:r>
            <w:r w:rsidR="006B2D5E" w:rsidRPr="00E04639">
              <w:t xml:space="preserve">ping (applying product onto wipe followed by wiping) </w:t>
            </w:r>
          </w:p>
          <w:p w14:paraId="3F8F60DE" w14:textId="77777777" w:rsidR="007018A5" w:rsidRPr="00E04639" w:rsidRDefault="00DE5BF9" w:rsidP="00DE5BF9">
            <w:pPr>
              <w:suppressAutoHyphens w:val="0"/>
              <w:snapToGrid w:val="0"/>
              <w:spacing w:line="260" w:lineRule="atLeast"/>
            </w:pPr>
            <w:r w:rsidRPr="00E04639">
              <w:t>M</w:t>
            </w:r>
            <w:r w:rsidR="006B2D5E" w:rsidRPr="00E04639">
              <w:t>opping (applying product onto mop followed by mopping)</w:t>
            </w:r>
          </w:p>
          <w:p w14:paraId="34521B75" w14:textId="77777777" w:rsidR="00107671" w:rsidRPr="006D1C61" w:rsidRDefault="00107671" w:rsidP="00107671">
            <w:pPr>
              <w:suppressAutoHyphens w:val="0"/>
              <w:snapToGrid w:val="0"/>
              <w:spacing w:line="260" w:lineRule="atLeast"/>
            </w:pPr>
            <w:r w:rsidRPr="00E91F85">
              <w:t xml:space="preserve">Brushing </w:t>
            </w:r>
            <w:r w:rsidRPr="006D1C61">
              <w:t>(applying product onto brush followed by brushing)</w:t>
            </w:r>
          </w:p>
          <w:p w14:paraId="5A7CD9B1" w14:textId="3EF4EB2B" w:rsidR="00107671" w:rsidRPr="00E16D2D" w:rsidRDefault="00107671" w:rsidP="00107671">
            <w:pPr>
              <w:suppressAutoHyphens w:val="0"/>
              <w:snapToGrid w:val="0"/>
              <w:spacing w:line="260" w:lineRule="atLeast"/>
              <w:rPr>
                <w:rFonts w:cs="Times New Roman"/>
                <w:lang w:eastAsia="de-DE"/>
              </w:rPr>
            </w:pPr>
            <w:r w:rsidRPr="005812E0">
              <w:t>Scrubbing</w:t>
            </w:r>
            <w:r w:rsidRPr="00E16D2D">
              <w:t xml:space="preserve"> (machine)</w:t>
            </w:r>
          </w:p>
        </w:tc>
      </w:tr>
      <w:tr w:rsidR="007018A5" w:rsidRPr="00B27CB1" w14:paraId="7AA3BEC6" w14:textId="77777777" w:rsidTr="00685495">
        <w:tc>
          <w:tcPr>
            <w:tcW w:w="2707" w:type="dxa"/>
            <w:tcBorders>
              <w:top w:val="nil"/>
              <w:left w:val="single" w:sz="4" w:space="0" w:color="000000"/>
              <w:bottom w:val="single" w:sz="4" w:space="0" w:color="000000"/>
              <w:right w:val="nil"/>
            </w:tcBorders>
            <w:hideMark/>
          </w:tcPr>
          <w:p w14:paraId="71C421C3" w14:textId="77777777" w:rsidR="007018A5" w:rsidRPr="00B27CB1" w:rsidRDefault="007018A5"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E58E4D0" w14:textId="77777777" w:rsidR="00E82BD3" w:rsidRPr="00E91F85" w:rsidRDefault="00E82BD3" w:rsidP="00E82BD3">
            <w:pPr>
              <w:rPr>
                <w:bCs/>
                <w:lang w:val="en-US"/>
              </w:rPr>
            </w:pPr>
            <w:r w:rsidRPr="00E91F85">
              <w:rPr>
                <w:bCs/>
                <w:lang w:val="en-US"/>
              </w:rPr>
              <w:t>Dirty conditions</w:t>
            </w:r>
          </w:p>
          <w:p w14:paraId="46842549" w14:textId="77777777" w:rsidR="006B2D5E" w:rsidRPr="006B2D5E" w:rsidRDefault="006B2D5E" w:rsidP="006B2D5E">
            <w:pPr>
              <w:suppressAutoHyphens w:val="0"/>
              <w:snapToGrid w:val="0"/>
              <w:spacing w:line="260" w:lineRule="atLeast"/>
              <w:rPr>
                <w:rFonts w:cs="Times New Roman"/>
                <w:lang w:eastAsia="de-DE"/>
              </w:rPr>
            </w:pPr>
          </w:p>
          <w:p w14:paraId="41492051" w14:textId="28F93533" w:rsidR="00764766" w:rsidRDefault="00FC5B7E" w:rsidP="006B2D5E">
            <w:pPr>
              <w:suppressAutoHyphens w:val="0"/>
              <w:snapToGrid w:val="0"/>
              <w:spacing w:line="260" w:lineRule="atLeast"/>
              <w:rPr>
                <w:rFonts w:cs="Times New Roman"/>
                <w:lang w:eastAsia="de-DE"/>
              </w:rPr>
            </w:pPr>
            <w:r>
              <w:rPr>
                <w:rFonts w:cs="Times New Roman"/>
                <w:lang w:eastAsia="de-DE"/>
              </w:rPr>
              <w:t>W</w:t>
            </w:r>
            <w:r w:rsidR="00764766">
              <w:rPr>
                <w:rFonts w:cs="Times New Roman"/>
                <w:lang w:eastAsia="de-DE"/>
              </w:rPr>
              <w:t>ithout mechanical action</w:t>
            </w:r>
            <w:r w:rsidR="009D48A4">
              <w:rPr>
                <w:rFonts w:cs="Times New Roman"/>
                <w:lang w:eastAsia="de-DE"/>
              </w:rPr>
              <w:t xml:space="preserve"> (spraying)</w:t>
            </w:r>
            <w:r w:rsidR="00764766">
              <w:rPr>
                <w:rFonts w:cs="Times New Roman"/>
                <w:lang w:eastAsia="de-DE"/>
              </w:rPr>
              <w:t>:</w:t>
            </w:r>
          </w:p>
          <w:p w14:paraId="56974938" w14:textId="0EC1F10C"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 xml:space="preserve">Bacteria, yeasts: </w:t>
            </w:r>
          </w:p>
          <w:p w14:paraId="04E0D22C" w14:textId="5CC03282" w:rsidR="006B2D5E" w:rsidRPr="006B2D5E" w:rsidRDefault="00764766" w:rsidP="006B2D5E">
            <w:pPr>
              <w:suppressAutoHyphens w:val="0"/>
              <w:snapToGrid w:val="0"/>
              <w:spacing w:line="260" w:lineRule="atLeast"/>
              <w:rPr>
                <w:rFonts w:cs="Times New Roman"/>
                <w:lang w:eastAsia="de-DE"/>
              </w:rPr>
            </w:pPr>
            <w:r>
              <w:rPr>
                <w:rFonts w:cs="Times New Roman"/>
                <w:lang w:eastAsia="de-DE"/>
              </w:rPr>
              <w:t>5</w:t>
            </w:r>
            <w:r w:rsidR="006B2D5E" w:rsidRPr="006B2D5E">
              <w:rPr>
                <w:rFonts w:cs="Times New Roman"/>
                <w:lang w:eastAsia="de-DE"/>
              </w:rPr>
              <w:t xml:space="preserve">% (v/v), contact time 15 min, </w:t>
            </w:r>
            <w:r w:rsidR="007F73C9">
              <w:rPr>
                <w:rFonts w:cs="Times New Roman"/>
                <w:lang w:eastAsia="de-DE"/>
              </w:rPr>
              <w:t>20°C</w:t>
            </w:r>
          </w:p>
          <w:p w14:paraId="3FEB99E2" w14:textId="77777777"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3% (v/v), contact time 30 min, 40°C</w:t>
            </w:r>
          </w:p>
          <w:p w14:paraId="4C7B39E9" w14:textId="77777777" w:rsidR="006B2D5E" w:rsidRPr="006B2D5E" w:rsidRDefault="006B2D5E" w:rsidP="006B2D5E">
            <w:pPr>
              <w:suppressAutoHyphens w:val="0"/>
              <w:snapToGrid w:val="0"/>
              <w:spacing w:line="260" w:lineRule="atLeast"/>
              <w:rPr>
                <w:rFonts w:cs="Times New Roman"/>
                <w:lang w:eastAsia="de-DE"/>
              </w:rPr>
            </w:pPr>
          </w:p>
          <w:p w14:paraId="2E696C13" w14:textId="2A0D245F" w:rsidR="006B2D5E" w:rsidRPr="006B2D5E" w:rsidRDefault="00FC5B7E" w:rsidP="006B2D5E">
            <w:pPr>
              <w:suppressAutoHyphens w:val="0"/>
              <w:snapToGrid w:val="0"/>
              <w:spacing w:line="260" w:lineRule="atLeast"/>
              <w:rPr>
                <w:rFonts w:cs="Times New Roman"/>
                <w:lang w:eastAsia="de-DE"/>
              </w:rPr>
            </w:pPr>
            <w:r>
              <w:rPr>
                <w:rFonts w:cs="Times New Roman"/>
                <w:lang w:eastAsia="de-DE"/>
              </w:rPr>
              <w:lastRenderedPageBreak/>
              <w:t>W</w:t>
            </w:r>
            <w:r w:rsidR="00764766">
              <w:rPr>
                <w:rFonts w:cs="Times New Roman"/>
                <w:lang w:eastAsia="de-DE"/>
              </w:rPr>
              <w:t>ith mechanical action</w:t>
            </w:r>
            <w:r w:rsidR="00E82BD3">
              <w:rPr>
                <w:rFonts w:cs="Times New Roman"/>
                <w:lang w:eastAsia="de-DE"/>
              </w:rPr>
              <w:t xml:space="preserve"> (wiping</w:t>
            </w:r>
            <w:r w:rsidR="00472164">
              <w:rPr>
                <w:rFonts w:cs="Times New Roman"/>
                <w:lang w:eastAsia="de-DE"/>
              </w:rPr>
              <w:t xml:space="preserve"> </w:t>
            </w:r>
            <w:r w:rsidR="00E82BD3">
              <w:rPr>
                <w:rFonts w:cs="Times New Roman"/>
                <w:lang w:eastAsia="de-DE"/>
              </w:rPr>
              <w:t>/mopping</w:t>
            </w:r>
            <w:r w:rsidR="00472164">
              <w:rPr>
                <w:rFonts w:cs="Times New Roman"/>
                <w:lang w:eastAsia="de-DE"/>
              </w:rPr>
              <w:t xml:space="preserve"> </w:t>
            </w:r>
            <w:r w:rsidR="00107671" w:rsidRPr="00E91F85">
              <w:rPr>
                <w:bCs/>
                <w:lang w:val="en-US"/>
              </w:rPr>
              <w:t>/brushing</w:t>
            </w:r>
            <w:r w:rsidR="00472164" w:rsidRPr="00E91F85">
              <w:rPr>
                <w:bCs/>
                <w:lang w:val="en-US"/>
              </w:rPr>
              <w:t xml:space="preserve"> </w:t>
            </w:r>
            <w:r w:rsidR="00107671" w:rsidRPr="00E91F85">
              <w:rPr>
                <w:bCs/>
                <w:lang w:val="en-US"/>
              </w:rPr>
              <w:t>/scrubbing</w:t>
            </w:r>
            <w:r w:rsidR="00E82BD3">
              <w:rPr>
                <w:rFonts w:cs="Times New Roman"/>
                <w:lang w:eastAsia="de-DE"/>
              </w:rPr>
              <w:t>)</w:t>
            </w:r>
            <w:r w:rsidR="006B2D5E" w:rsidRPr="006B2D5E">
              <w:rPr>
                <w:rFonts w:cs="Times New Roman"/>
                <w:lang w:eastAsia="de-DE"/>
              </w:rPr>
              <w:t>:</w:t>
            </w:r>
          </w:p>
          <w:p w14:paraId="1D63D2DF" w14:textId="4635AA0F"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Bacteria, yeasts: 10% v/v, contact t</w:t>
            </w:r>
            <w:r w:rsidR="00626F16">
              <w:rPr>
                <w:rFonts w:cs="Times New Roman"/>
                <w:lang w:eastAsia="de-DE"/>
              </w:rPr>
              <w:t xml:space="preserve">ime </w:t>
            </w:r>
            <w:r w:rsidRPr="006B2D5E">
              <w:rPr>
                <w:rFonts w:cs="Times New Roman"/>
                <w:lang w:eastAsia="de-DE"/>
              </w:rPr>
              <w:t xml:space="preserve">5 min, </w:t>
            </w:r>
            <w:r w:rsidR="007F73C9">
              <w:rPr>
                <w:rFonts w:cs="Times New Roman"/>
                <w:lang w:eastAsia="de-DE"/>
              </w:rPr>
              <w:t>20°C</w:t>
            </w:r>
          </w:p>
          <w:p w14:paraId="199D70CF" w14:textId="77777777" w:rsidR="006B2D5E" w:rsidRPr="006B2D5E" w:rsidRDefault="006B2D5E" w:rsidP="006B2D5E">
            <w:pPr>
              <w:suppressAutoHyphens w:val="0"/>
              <w:snapToGrid w:val="0"/>
              <w:spacing w:line="260" w:lineRule="atLeast"/>
              <w:rPr>
                <w:rFonts w:cs="Times New Roman"/>
                <w:lang w:eastAsia="de-DE"/>
              </w:rPr>
            </w:pPr>
          </w:p>
          <w:p w14:paraId="47FD66BA" w14:textId="77777777"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Daily frequency</w:t>
            </w:r>
          </w:p>
          <w:p w14:paraId="5F5AC9E1" w14:textId="784EEE64" w:rsidR="006B2D5E" w:rsidRDefault="006B2D5E" w:rsidP="006B2D5E">
            <w:pPr>
              <w:suppressAutoHyphens w:val="0"/>
              <w:snapToGrid w:val="0"/>
              <w:spacing w:line="260" w:lineRule="atLeast"/>
              <w:rPr>
                <w:rFonts w:cs="Times New Roman"/>
                <w:lang w:eastAsia="de-DE"/>
              </w:rPr>
            </w:pPr>
          </w:p>
          <w:p w14:paraId="071C6CEA" w14:textId="0AE99FEC" w:rsidR="006D1C61" w:rsidRPr="006B2D5E" w:rsidRDefault="006D1C61" w:rsidP="006B2D5E">
            <w:pPr>
              <w:suppressAutoHyphens w:val="0"/>
              <w:snapToGrid w:val="0"/>
              <w:spacing w:line="260" w:lineRule="atLeast"/>
              <w:rPr>
                <w:rFonts w:cs="Times New Roman"/>
                <w:lang w:eastAsia="de-DE"/>
              </w:rPr>
            </w:pPr>
            <w:r>
              <w:rPr>
                <w:rFonts w:cs="Times New Roman"/>
                <w:lang w:eastAsia="de-DE"/>
              </w:rPr>
              <w:t>Application rates:</w:t>
            </w:r>
          </w:p>
          <w:p w14:paraId="38FFB48D" w14:textId="55392268"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 xml:space="preserve">30ml/m2 - 20 sprays directly on the surface per m2 </w:t>
            </w:r>
          </w:p>
          <w:p w14:paraId="44BE49B5" w14:textId="0BE9DE14" w:rsidR="006B2D5E" w:rsidRPr="006B2D5E" w:rsidRDefault="006B2D5E" w:rsidP="006B2D5E">
            <w:pPr>
              <w:suppressAutoHyphens w:val="0"/>
              <w:snapToGrid w:val="0"/>
              <w:spacing w:line="260" w:lineRule="atLeast"/>
              <w:rPr>
                <w:rFonts w:cs="Times New Roman"/>
                <w:lang w:eastAsia="de-DE"/>
              </w:rPr>
            </w:pPr>
            <w:r w:rsidRPr="006B2D5E">
              <w:rPr>
                <w:rFonts w:cs="Times New Roman"/>
                <w:lang w:eastAsia="de-DE"/>
              </w:rPr>
              <w:t xml:space="preserve">8 to 12 sprays or 16 ml onto wipe per 0.1 m2 </w:t>
            </w:r>
          </w:p>
          <w:p w14:paraId="0C502B8F" w14:textId="77777777" w:rsidR="007018A5" w:rsidRPr="00B27CB1" w:rsidRDefault="007018A5" w:rsidP="00685495">
            <w:pPr>
              <w:suppressAutoHyphens w:val="0"/>
              <w:snapToGrid w:val="0"/>
              <w:spacing w:line="260" w:lineRule="atLeast"/>
              <w:rPr>
                <w:rFonts w:cs="Times New Roman"/>
                <w:lang w:eastAsia="de-DE"/>
              </w:rPr>
            </w:pPr>
          </w:p>
        </w:tc>
      </w:tr>
      <w:tr w:rsidR="006B2D5E" w:rsidRPr="00B27CB1" w14:paraId="16FD4159" w14:textId="77777777" w:rsidTr="00685495">
        <w:tc>
          <w:tcPr>
            <w:tcW w:w="2707" w:type="dxa"/>
            <w:tcBorders>
              <w:top w:val="nil"/>
              <w:left w:val="single" w:sz="4" w:space="0" w:color="000000"/>
              <w:bottom w:val="single" w:sz="4" w:space="0" w:color="000000"/>
              <w:right w:val="nil"/>
            </w:tcBorders>
            <w:hideMark/>
          </w:tcPr>
          <w:p w14:paraId="76DAAA1D" w14:textId="77777777" w:rsidR="006B2D5E" w:rsidRPr="00B27CB1" w:rsidRDefault="006B2D5E" w:rsidP="006B2D5E">
            <w:pPr>
              <w:spacing w:line="254" w:lineRule="auto"/>
              <w:rPr>
                <w:b/>
              </w:rPr>
            </w:pPr>
            <w:r w:rsidRPr="00B27CB1">
              <w:rPr>
                <w:b/>
                <w:bCs/>
                <w:szCs w:val="24"/>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3DBD01DD" w14:textId="39D60798" w:rsidR="006B2D5E" w:rsidRPr="00B27CB1" w:rsidRDefault="006B2D5E" w:rsidP="006B2D5E">
            <w:pPr>
              <w:snapToGrid w:val="0"/>
              <w:spacing w:line="254" w:lineRule="auto"/>
              <w:rPr>
                <w:b/>
              </w:rPr>
            </w:pPr>
            <w:r w:rsidRPr="000D7D14">
              <w:t>Industrial, Professional</w:t>
            </w:r>
          </w:p>
        </w:tc>
      </w:tr>
      <w:tr w:rsidR="006B2D5E" w:rsidRPr="00C97335" w14:paraId="764E2FB1" w14:textId="77777777" w:rsidTr="00685495">
        <w:tc>
          <w:tcPr>
            <w:tcW w:w="2707" w:type="dxa"/>
            <w:tcBorders>
              <w:top w:val="nil"/>
              <w:left w:val="single" w:sz="4" w:space="0" w:color="000000"/>
              <w:bottom w:val="single" w:sz="4" w:space="0" w:color="000000"/>
              <w:right w:val="nil"/>
            </w:tcBorders>
            <w:hideMark/>
          </w:tcPr>
          <w:p w14:paraId="0CC0A071" w14:textId="77777777" w:rsidR="006B2D5E" w:rsidRPr="00B27CB1" w:rsidRDefault="006B2D5E" w:rsidP="006B2D5E">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1B9B094" w14:textId="038F5EDE" w:rsidR="006B2D5E" w:rsidRDefault="006B2D5E" w:rsidP="006B2D5E">
            <w:pPr>
              <w:spacing w:line="254" w:lineRule="auto"/>
            </w:pPr>
            <w:r>
              <w:t>HDPE:</w:t>
            </w:r>
            <w:r w:rsidR="003F1647">
              <w:t xml:space="preserve"> </w:t>
            </w:r>
            <w:r>
              <w:t>1 L / 1 kg, 5 L / 5 kg, 10 L / 10 kg, 20 L / 20 kg, 120 L / 120 kg, 200 L / 200 kg, 220 L / 220 kg</w:t>
            </w:r>
          </w:p>
          <w:p w14:paraId="2A164786" w14:textId="2F2C1F8A" w:rsidR="006B2D5E" w:rsidRDefault="006B2D5E" w:rsidP="006B2D5E">
            <w:pPr>
              <w:spacing w:line="254" w:lineRule="auto"/>
            </w:pPr>
            <w:r>
              <w:t>PET:</w:t>
            </w:r>
            <w:r w:rsidR="003F1647">
              <w:t xml:space="preserve"> </w:t>
            </w:r>
            <w:r>
              <w:t>1 L / 1 kg</w:t>
            </w:r>
          </w:p>
          <w:p w14:paraId="30F18101" w14:textId="1BDB57C2" w:rsidR="006B2D5E" w:rsidRDefault="006B2D5E" w:rsidP="006B2D5E">
            <w:pPr>
              <w:spacing w:line="254" w:lineRule="auto"/>
            </w:pPr>
            <w:r>
              <w:t>Coextrude (HDPE/Adhesive/Nylon polyamide):</w:t>
            </w:r>
            <w:r w:rsidR="003F1647">
              <w:t xml:space="preserve"> </w:t>
            </w:r>
            <w:r>
              <w:t>5 L / 5 kg</w:t>
            </w:r>
          </w:p>
          <w:p w14:paraId="6F4C223D" w14:textId="7B3F3541" w:rsidR="006B2D5E" w:rsidRPr="00E91F85" w:rsidRDefault="006B2D5E" w:rsidP="006B2D5E">
            <w:pPr>
              <w:spacing w:line="254" w:lineRule="auto"/>
              <w:rPr>
                <w:lang w:val="de-DE"/>
              </w:rPr>
            </w:pPr>
            <w:r>
              <w:t>Coextrude (HDPE/Adhesive resin/EVAL):</w:t>
            </w:r>
            <w:r w:rsidR="003F1647">
              <w:t xml:space="preserve"> </w:t>
            </w:r>
            <w:r w:rsidRPr="00E91F85">
              <w:rPr>
                <w:lang w:val="de-DE"/>
              </w:rPr>
              <w:t>250 mL / 250 g</w:t>
            </w:r>
          </w:p>
          <w:p w14:paraId="54D7CFDD" w14:textId="302882DF" w:rsidR="006B2D5E" w:rsidRPr="00E91F85" w:rsidRDefault="006B2D5E" w:rsidP="003F1647">
            <w:pPr>
              <w:spacing w:line="254" w:lineRule="auto"/>
              <w:rPr>
                <w:lang w:val="de-DE"/>
              </w:rPr>
            </w:pPr>
            <w:r w:rsidRPr="00E91F85">
              <w:rPr>
                <w:lang w:val="de-DE"/>
              </w:rPr>
              <w:t>LDPE/HDPE:</w:t>
            </w:r>
            <w:r w:rsidR="003F1647">
              <w:rPr>
                <w:lang w:val="de-DE"/>
              </w:rPr>
              <w:t xml:space="preserve"> </w:t>
            </w:r>
            <w:r w:rsidRPr="00E91F85">
              <w:rPr>
                <w:lang w:val="de-DE"/>
              </w:rPr>
              <w:t>20 mL</w:t>
            </w:r>
          </w:p>
        </w:tc>
      </w:tr>
    </w:tbl>
    <w:p w14:paraId="30889469" w14:textId="77777777" w:rsidR="007018A5" w:rsidRPr="00E91F85" w:rsidRDefault="007018A5" w:rsidP="007018A5">
      <w:pPr>
        <w:tabs>
          <w:tab w:val="left" w:pos="500"/>
        </w:tabs>
        <w:ind w:left="500" w:hanging="500"/>
        <w:rPr>
          <w:lang w:val="de-DE"/>
        </w:rPr>
      </w:pPr>
    </w:p>
    <w:p w14:paraId="02B24469"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20191F3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58C3FD1" w14:textId="25F96721" w:rsidR="009D48A4" w:rsidRPr="003F1647" w:rsidRDefault="009D48A4" w:rsidP="003F1647">
            <w:pPr>
              <w:pStyle w:val="Paragraphedeliste"/>
              <w:numPr>
                <w:ilvl w:val="0"/>
                <w:numId w:val="28"/>
              </w:numPr>
              <w:rPr>
                <w:color w:val="000000"/>
                <w:lang w:eastAsia="en-GB"/>
              </w:rPr>
            </w:pPr>
            <w:r w:rsidRPr="003F1647">
              <w:rPr>
                <w:color w:val="000000"/>
                <w:lang w:eastAsia="en-GB"/>
              </w:rPr>
              <w:t>Manu</w:t>
            </w:r>
            <w:r w:rsidR="00FC5B7E" w:rsidRPr="003F1647">
              <w:rPr>
                <w:color w:val="000000"/>
                <w:lang w:eastAsia="en-GB"/>
              </w:rPr>
              <w:t>a</w:t>
            </w:r>
            <w:r w:rsidRPr="003F1647">
              <w:rPr>
                <w:color w:val="000000"/>
                <w:lang w:eastAsia="en-GB"/>
              </w:rPr>
              <w:t>l disinfection:</w:t>
            </w:r>
          </w:p>
          <w:p w14:paraId="10A24E05" w14:textId="39D19128" w:rsidR="002A7B8F" w:rsidRPr="0004436A" w:rsidRDefault="009D48A4"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For hard surfaces by spraying: Dilute in water and spray directly on the surface intended to be treated and cover the entire surface. All</w:t>
            </w:r>
            <w:r w:rsidR="00107671" w:rsidRPr="003F1647">
              <w:rPr>
                <w:bCs/>
                <w:color w:val="000000"/>
                <w:lang w:val="en-US"/>
              </w:rPr>
              <w:t xml:space="preserve">ow to take effect for at least </w:t>
            </w:r>
            <w:r w:rsidR="008E2937">
              <w:rPr>
                <w:bCs/>
                <w:color w:val="000000"/>
                <w:lang w:val="en-US"/>
              </w:rPr>
              <w:t>1</w:t>
            </w:r>
            <w:r w:rsidRPr="003F1647">
              <w:rPr>
                <w:bCs/>
                <w:color w:val="000000"/>
                <w:lang w:val="en-US"/>
              </w:rPr>
              <w:t>5 until 30 minutes depending on the tem</w:t>
            </w:r>
            <w:r w:rsidRPr="0004436A">
              <w:rPr>
                <w:bCs/>
                <w:color w:val="000000"/>
                <w:lang w:val="en-US"/>
              </w:rPr>
              <w:t>perature</w:t>
            </w:r>
            <w:r w:rsidR="00D34D33">
              <w:rPr>
                <w:bCs/>
                <w:color w:val="000000"/>
                <w:lang w:val="en-US"/>
              </w:rPr>
              <w:t>,</w:t>
            </w:r>
            <w:r w:rsidRPr="0004436A">
              <w:rPr>
                <w:bCs/>
                <w:color w:val="000000"/>
                <w:lang w:val="en-US"/>
              </w:rPr>
              <w:t xml:space="preserve"> then brush or scrub if required and wipe with a dry cloth.</w:t>
            </w:r>
          </w:p>
          <w:p w14:paraId="4A432BF4" w14:textId="103E3A52" w:rsidR="009D48A4" w:rsidRPr="002F6E1B" w:rsidRDefault="009D48A4"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For hard surfaces by wipping/mopping</w:t>
            </w:r>
            <w:r w:rsidR="002311D2" w:rsidRPr="00245178">
              <w:rPr>
                <w:bCs/>
                <w:color w:val="000000"/>
                <w:lang w:val="en-US"/>
              </w:rPr>
              <w:t>/brushing</w:t>
            </w:r>
            <w:r w:rsidRPr="00245178">
              <w:rPr>
                <w:bCs/>
                <w:color w:val="000000"/>
                <w:lang w:val="en-US"/>
              </w:rPr>
              <w:t>:</w:t>
            </w:r>
            <w:r w:rsidR="002311D2" w:rsidRPr="00245178">
              <w:rPr>
                <w:bCs/>
                <w:color w:val="000000"/>
                <w:lang w:val="en-US"/>
              </w:rPr>
              <w:t xml:space="preserve"> </w:t>
            </w:r>
            <w:r w:rsidR="00F329F9" w:rsidRPr="00245178">
              <w:rPr>
                <w:bCs/>
                <w:color w:val="000000"/>
                <w:lang w:val="en-US"/>
              </w:rPr>
              <w:t>Dilute in water</w:t>
            </w:r>
            <w:r w:rsidR="001C747E" w:rsidRPr="00245178">
              <w:rPr>
                <w:bCs/>
                <w:color w:val="000000"/>
                <w:lang w:val="en-US"/>
              </w:rPr>
              <w:t xml:space="preserve">, spray on wipe or soak the mop/wipe/brush and apply </w:t>
            </w:r>
            <w:r w:rsidR="00F329F9" w:rsidRPr="00BB3563">
              <w:rPr>
                <w:bCs/>
                <w:color w:val="000000"/>
                <w:lang w:val="en-US"/>
              </w:rPr>
              <w:t>by fully wetting all the surfaces</w:t>
            </w:r>
            <w:r w:rsidR="001C747E" w:rsidRPr="00BB3563">
              <w:rPr>
                <w:bCs/>
                <w:color w:val="000000"/>
                <w:lang w:val="en-US"/>
              </w:rPr>
              <w:t xml:space="preserve"> intended to be treated</w:t>
            </w:r>
            <w:r w:rsidRPr="002F6E1B">
              <w:rPr>
                <w:bCs/>
                <w:color w:val="000000"/>
                <w:lang w:val="en-US"/>
              </w:rPr>
              <w:t>. Allow to take effect for at least 5 minutes</w:t>
            </w:r>
            <w:r w:rsidR="007F73C9">
              <w:rPr>
                <w:bCs/>
                <w:color w:val="000000"/>
                <w:lang w:val="en-US"/>
              </w:rPr>
              <w:t>, then</w:t>
            </w:r>
            <w:r w:rsidRPr="002F6E1B">
              <w:rPr>
                <w:bCs/>
                <w:color w:val="000000"/>
                <w:lang w:val="en-US"/>
              </w:rPr>
              <w:t xml:space="preserve"> wipe the surface with a dry cloth if required or let to dry.</w:t>
            </w:r>
          </w:p>
          <w:p w14:paraId="4B0F36E0" w14:textId="4ED980A9" w:rsidR="009D48A4" w:rsidRPr="001E568F" w:rsidRDefault="009D48A4" w:rsidP="003F1647">
            <w:pPr>
              <w:rPr>
                <w:bCs/>
                <w:color w:val="000000"/>
                <w:lang w:val="en-US"/>
              </w:rPr>
            </w:pPr>
          </w:p>
          <w:p w14:paraId="21B8FB48" w14:textId="77777777" w:rsidR="009D48A4" w:rsidRPr="00B10ACB" w:rsidRDefault="009D48A4" w:rsidP="003F1647">
            <w:pPr>
              <w:pStyle w:val="Paragraphedeliste"/>
              <w:numPr>
                <w:ilvl w:val="0"/>
                <w:numId w:val="28"/>
              </w:numPr>
              <w:rPr>
                <w:color w:val="000000"/>
                <w:lang w:eastAsia="en-GB"/>
              </w:rPr>
            </w:pPr>
            <w:r w:rsidRPr="00E648D1">
              <w:rPr>
                <w:bCs/>
                <w:color w:val="000000"/>
                <w:lang w:val="de-DE"/>
              </w:rPr>
              <w:t>Machine:</w:t>
            </w:r>
          </w:p>
          <w:p w14:paraId="40918F4F" w14:textId="60413CA2" w:rsidR="006B2D5E" w:rsidRPr="003F1647" w:rsidRDefault="009D48A4"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Dilute in water in scrubber-dryers, single-disk scrubbers, high or low pressure sprayers... and apply on surface and/or floor intended to be treated. Allow to take effect for at least 5 minutes depending on the temperature and then let to dry. Rinse the tank after applying the product.</w:t>
            </w:r>
          </w:p>
          <w:p w14:paraId="6EBD76E6" w14:textId="4D1C7C12" w:rsidR="006B2D5E" w:rsidRPr="0004436A" w:rsidRDefault="006B2D5E" w:rsidP="00B10ACB">
            <w:pPr>
              <w:widowControl w:val="0"/>
              <w:suppressAutoHyphens w:val="0"/>
              <w:autoSpaceDE w:val="0"/>
              <w:snapToGrid w:val="0"/>
              <w:contextualSpacing/>
              <w:jc w:val="both"/>
              <w:rPr>
                <w:bCs/>
                <w:color w:val="000000"/>
                <w:lang w:val="en-US"/>
              </w:rPr>
            </w:pPr>
          </w:p>
          <w:p w14:paraId="7E0853F5" w14:textId="77777777" w:rsidR="007018A5" w:rsidRDefault="006B2D5E"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The product must be used directly after dilution.</w:t>
            </w:r>
          </w:p>
          <w:p w14:paraId="0AAD0F62" w14:textId="77777777" w:rsidR="00D34D33" w:rsidRDefault="00D34D33" w:rsidP="00B10ACB">
            <w:pPr>
              <w:pStyle w:val="Paragraphedeliste"/>
              <w:rPr>
                <w:bCs/>
                <w:color w:val="000000"/>
                <w:lang w:val="en-US"/>
              </w:rPr>
            </w:pPr>
          </w:p>
          <w:p w14:paraId="0BF70F78" w14:textId="5A8E53D3" w:rsidR="007018A5" w:rsidRPr="008D35E9" w:rsidRDefault="00D34D33" w:rsidP="00B10ACB">
            <w:pPr>
              <w:widowControl w:val="0"/>
              <w:numPr>
                <w:ilvl w:val="0"/>
                <w:numId w:val="7"/>
              </w:numPr>
              <w:suppressAutoHyphens w:val="0"/>
              <w:autoSpaceDE w:val="0"/>
              <w:snapToGrid w:val="0"/>
              <w:ind w:left="386"/>
              <w:contextualSpacing/>
              <w:jc w:val="both"/>
              <w:rPr>
                <w:bCs/>
                <w:color w:val="000000"/>
                <w:lang w:val="en-US"/>
              </w:rPr>
            </w:pPr>
            <w:r w:rsidRPr="00533866">
              <w:rPr>
                <w:rFonts w:cs="Times"/>
                <w:bCs/>
                <w:szCs w:val="29"/>
              </w:rPr>
              <w:t xml:space="preserve">Products have been tested against </w:t>
            </w:r>
            <w:r>
              <w:rPr>
                <w:rFonts w:cs="Times"/>
                <w:bCs/>
                <w:szCs w:val="29"/>
              </w:rPr>
              <w:t>bacteria</w:t>
            </w:r>
            <w:r w:rsidRPr="00533866">
              <w:rPr>
                <w:rFonts w:cs="Times"/>
                <w:bCs/>
                <w:szCs w:val="29"/>
              </w:rPr>
              <w:t xml:space="preserve">, </w:t>
            </w:r>
            <w:r w:rsidRPr="000D7D14">
              <w:t xml:space="preserve">including </w:t>
            </w:r>
            <w:r w:rsidRPr="00E91F85">
              <w:rPr>
                <w:bCs/>
                <w:i/>
                <w:color w:val="000000"/>
                <w:lang w:val="en-US"/>
              </w:rPr>
              <w:t xml:space="preserve">Salmonella </w:t>
            </w:r>
            <w:r w:rsidRPr="000434AD">
              <w:rPr>
                <w:bCs/>
                <w:color w:val="000000"/>
                <w:lang w:val="en-US"/>
              </w:rPr>
              <w:t>Typhimurium</w:t>
            </w:r>
            <w:r w:rsidRPr="00E91F85">
              <w:rPr>
                <w:bCs/>
                <w:color w:val="000000"/>
                <w:lang w:val="en-US"/>
              </w:rPr>
              <w:t xml:space="preserve"> </w:t>
            </w:r>
            <w:r>
              <w:rPr>
                <w:bCs/>
                <w:color w:val="000000"/>
                <w:lang w:val="en-US"/>
              </w:rPr>
              <w:t xml:space="preserve">(agent of Salmonellosis disease) </w:t>
            </w:r>
            <w:r w:rsidRPr="00E91F85">
              <w:rPr>
                <w:bCs/>
                <w:color w:val="000000"/>
                <w:lang w:val="en-US"/>
              </w:rPr>
              <w:t xml:space="preserve">and </w:t>
            </w:r>
            <w:r w:rsidRPr="00E91F85">
              <w:rPr>
                <w:bCs/>
                <w:i/>
                <w:color w:val="000000"/>
                <w:lang w:val="en-US"/>
              </w:rPr>
              <w:t>Listeria monocytogenes</w:t>
            </w:r>
            <w:r w:rsidRPr="000434AD">
              <w:rPr>
                <w:bCs/>
                <w:color w:val="000000"/>
                <w:lang w:val="en-US"/>
              </w:rPr>
              <w:t xml:space="preserve"> (agent of Listeriosis disease)</w:t>
            </w:r>
          </w:p>
        </w:tc>
      </w:tr>
    </w:tbl>
    <w:p w14:paraId="7ECFBA1E"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3973998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223FB7D" w14:textId="313487C4" w:rsidR="007018A5" w:rsidRPr="00B27CB1" w:rsidRDefault="006B2D5E" w:rsidP="00E91F85">
            <w:pPr>
              <w:widowControl w:val="0"/>
              <w:numPr>
                <w:ilvl w:val="0"/>
                <w:numId w:val="7"/>
              </w:numPr>
              <w:suppressAutoHyphens w:val="0"/>
              <w:autoSpaceDE w:val="0"/>
              <w:snapToGrid w:val="0"/>
              <w:spacing w:before="80" w:line="260" w:lineRule="atLeast"/>
              <w:ind w:left="386"/>
              <w:contextualSpacing/>
              <w:jc w:val="both"/>
              <w:rPr>
                <w:rFonts w:cs="Times"/>
                <w:bCs/>
                <w:szCs w:val="29"/>
              </w:rPr>
            </w:pPr>
            <w:r w:rsidRPr="00E91F85">
              <w:rPr>
                <w:bCs/>
                <w:color w:val="000000"/>
                <w:lang w:val="en-US"/>
              </w:rPr>
              <w:t>For heathcare facilities, apply the product only in areas where disinfection is not medically indicated.</w:t>
            </w:r>
          </w:p>
        </w:tc>
      </w:tr>
    </w:tbl>
    <w:p w14:paraId="22D626A4"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5309F59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C953474" w14:textId="75487342"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401EBB0E"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3383A0B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5FAD9D4" w14:textId="701FCDF7"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5BBA3CEA"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5FDF141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2BFB713" w14:textId="2F2C7117"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0C138FEE" w14:textId="77777777" w:rsidR="007018A5" w:rsidRPr="00B27CB1" w:rsidRDefault="007018A5" w:rsidP="007018A5">
      <w:pPr>
        <w:widowControl w:val="0"/>
        <w:autoSpaceDE w:val="0"/>
        <w:rPr>
          <w:rFonts w:cs="Times"/>
          <w:bCs/>
          <w:szCs w:val="29"/>
        </w:rPr>
      </w:pPr>
    </w:p>
    <w:p w14:paraId="65854672" w14:textId="77777777" w:rsidR="007018A5" w:rsidRPr="00B27CB1" w:rsidRDefault="007018A5" w:rsidP="007018A5">
      <w:pPr>
        <w:pStyle w:val="Titre4"/>
        <w:numPr>
          <w:ilvl w:val="3"/>
          <w:numId w:val="9"/>
        </w:numPr>
        <w:rPr>
          <w:lang w:val="en-GB"/>
        </w:rPr>
      </w:pPr>
      <w:bookmarkStart w:id="103" w:name="_Toc87361133"/>
      <w:r w:rsidRPr="00B27CB1">
        <w:rPr>
          <w:lang w:val="en-GB"/>
        </w:rPr>
        <w:t>Use description</w:t>
      </w:r>
      <w:bookmarkEnd w:id="103"/>
    </w:p>
    <w:p w14:paraId="44EC6AF7" w14:textId="77777777" w:rsidR="007018A5" w:rsidRPr="00B27CB1" w:rsidRDefault="007018A5" w:rsidP="007018A5">
      <w:pPr>
        <w:widowControl w:val="0"/>
        <w:autoSpaceDE w:val="0"/>
        <w:rPr>
          <w:rFonts w:cs="Times"/>
          <w:bCs/>
          <w:szCs w:val="29"/>
        </w:rPr>
      </w:pPr>
    </w:p>
    <w:p w14:paraId="3CD0609E" w14:textId="19D91930" w:rsidR="007018A5" w:rsidRPr="00B27CB1" w:rsidRDefault="007018A5" w:rsidP="007018A5">
      <w:pPr>
        <w:pStyle w:val="Lgende"/>
        <w:spacing w:after="120"/>
        <w:rPr>
          <w:rFonts w:ascii="Verdana" w:hAnsi="Verdana"/>
          <w:b/>
          <w:bCs/>
          <w:szCs w:val="24"/>
          <w:lang w:eastAsia="en-GB"/>
        </w:rPr>
      </w:pPr>
      <w:r w:rsidRPr="00E91F85">
        <w:rPr>
          <w:rFonts w:ascii="Verdana" w:hAnsi="Verdana" w:cs="Verdana"/>
        </w:rPr>
        <w:t xml:space="preserve">Table </w:t>
      </w:r>
      <w:r w:rsidRPr="00E91F85">
        <w:rPr>
          <w:rFonts w:ascii="Verdana" w:hAnsi="Verdana" w:cs="Verdana"/>
        </w:rPr>
        <w:fldChar w:fldCharType="begin"/>
      </w:r>
      <w:r w:rsidRPr="00E91F85">
        <w:rPr>
          <w:rFonts w:ascii="Verdana" w:hAnsi="Verdana" w:cs="Verdana"/>
        </w:rPr>
        <w:instrText xml:space="preserve"> SEQ "Tableau" \* ARABIC </w:instrText>
      </w:r>
      <w:r w:rsidRPr="00E91F85">
        <w:rPr>
          <w:rFonts w:ascii="Verdana" w:hAnsi="Verdana" w:cs="Verdana"/>
        </w:rPr>
        <w:fldChar w:fldCharType="separate"/>
      </w:r>
      <w:r w:rsidR="00245178">
        <w:rPr>
          <w:rFonts w:ascii="Verdana" w:hAnsi="Verdana" w:cs="Verdana"/>
          <w:noProof/>
        </w:rPr>
        <w:t>11</w:t>
      </w:r>
      <w:r w:rsidRPr="00E91F85">
        <w:rPr>
          <w:rFonts w:ascii="Verdana" w:hAnsi="Verdana" w:cs="Verdana"/>
        </w:rPr>
        <w:fldChar w:fldCharType="end"/>
      </w:r>
      <w:r w:rsidRPr="00E91F85">
        <w:rPr>
          <w:rFonts w:ascii="Verdana" w:hAnsi="Verdana"/>
        </w:rPr>
        <w:t>. Use # 3 – Disinfectants for hard surfaces of industry, institution, healthcare facilities and healthcare</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018A5" w:rsidRPr="00B27CB1" w14:paraId="1C6B8C4B" w14:textId="77777777" w:rsidTr="00685495">
        <w:tc>
          <w:tcPr>
            <w:tcW w:w="2707" w:type="dxa"/>
            <w:tcBorders>
              <w:top w:val="single" w:sz="4" w:space="0" w:color="000000"/>
              <w:left w:val="single" w:sz="4" w:space="0" w:color="000000"/>
              <w:bottom w:val="single" w:sz="4" w:space="0" w:color="000000"/>
              <w:right w:val="nil"/>
            </w:tcBorders>
            <w:hideMark/>
          </w:tcPr>
          <w:p w14:paraId="211773E7" w14:textId="77777777" w:rsidR="007018A5" w:rsidRPr="00B27CB1" w:rsidRDefault="007018A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1BC62AFA" w14:textId="36978609" w:rsidR="007018A5" w:rsidRPr="00B27CB1" w:rsidRDefault="007018A5" w:rsidP="00685495">
            <w:pPr>
              <w:snapToGrid w:val="0"/>
              <w:spacing w:line="254" w:lineRule="auto"/>
              <w:rPr>
                <w:b/>
              </w:rPr>
            </w:pPr>
            <w:r w:rsidRPr="00B10ACB">
              <w:t>PT02</w:t>
            </w:r>
            <w:r w:rsidR="00486D72" w:rsidRPr="00B10ACB">
              <w:t xml:space="preserve">- </w:t>
            </w:r>
            <w:r w:rsidR="00486D72" w:rsidRPr="003F1647">
              <w:t>Disinfectants</w:t>
            </w:r>
            <w:r w:rsidR="00486D72" w:rsidRPr="000D7D14">
              <w:t xml:space="preserve"> and algaecides not intended for direct application to humans or animals (Disinfectants)</w:t>
            </w:r>
          </w:p>
        </w:tc>
      </w:tr>
      <w:tr w:rsidR="007018A5" w:rsidRPr="00B27CB1" w14:paraId="23CF7FAB" w14:textId="77777777" w:rsidTr="00685495">
        <w:tc>
          <w:tcPr>
            <w:tcW w:w="2707" w:type="dxa"/>
            <w:tcBorders>
              <w:top w:val="nil"/>
              <w:left w:val="single" w:sz="4" w:space="0" w:color="000000"/>
              <w:bottom w:val="single" w:sz="4" w:space="0" w:color="000000"/>
              <w:right w:val="nil"/>
            </w:tcBorders>
            <w:hideMark/>
          </w:tcPr>
          <w:p w14:paraId="64F1DA0F" w14:textId="77777777" w:rsidR="007018A5" w:rsidRPr="00B27CB1" w:rsidRDefault="007018A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9C2C4E5" w14:textId="6A5BC566" w:rsidR="00486D72" w:rsidRPr="000D7D14" w:rsidRDefault="00486D72" w:rsidP="00486D72">
            <w:r w:rsidRPr="000D7D14">
              <w:rPr>
                <w:color w:val="000000"/>
              </w:rPr>
              <w:t xml:space="preserve">Product used for the disinfection for industry, institution, healthcare facilities and healthcare including toilets bowls. </w:t>
            </w:r>
          </w:p>
          <w:p w14:paraId="2D474FDC" w14:textId="5F7663EA" w:rsidR="007018A5" w:rsidRPr="00B27CB1" w:rsidRDefault="00486D72" w:rsidP="006D1C61">
            <w:pPr>
              <w:snapToGrid w:val="0"/>
              <w:spacing w:line="254" w:lineRule="auto"/>
              <w:rPr>
                <w:b/>
              </w:rPr>
            </w:pPr>
            <w:r w:rsidRPr="000D7D14">
              <w:br/>
            </w:r>
            <w:r w:rsidR="006D1C61">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7018A5" w:rsidRPr="00B27CB1" w14:paraId="5966DD9F" w14:textId="77777777" w:rsidTr="00685495">
        <w:tc>
          <w:tcPr>
            <w:tcW w:w="2707" w:type="dxa"/>
            <w:tcBorders>
              <w:top w:val="nil"/>
              <w:left w:val="single" w:sz="4" w:space="0" w:color="000000"/>
              <w:bottom w:val="single" w:sz="4" w:space="0" w:color="000000"/>
              <w:right w:val="nil"/>
            </w:tcBorders>
            <w:hideMark/>
          </w:tcPr>
          <w:p w14:paraId="6A61874E" w14:textId="77777777" w:rsidR="007018A5" w:rsidRPr="00B27CB1" w:rsidRDefault="007018A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A90A06A" w14:textId="378475CC" w:rsidR="007018A5" w:rsidRPr="00B27CB1" w:rsidRDefault="00486D72" w:rsidP="00685495">
            <w:pPr>
              <w:snapToGrid w:val="0"/>
              <w:spacing w:line="254" w:lineRule="auto"/>
              <w:rPr>
                <w:lang w:eastAsia="de-DE"/>
              </w:rPr>
            </w:pPr>
            <w:r w:rsidRPr="000D7D14">
              <w:t>Bacteria</w:t>
            </w:r>
            <w:r w:rsidRPr="000D7D14">
              <w:br/>
              <w:t>Yeasts</w:t>
            </w:r>
          </w:p>
        </w:tc>
      </w:tr>
      <w:tr w:rsidR="007018A5" w:rsidRPr="00B27CB1" w14:paraId="72C164C8" w14:textId="77777777" w:rsidTr="00685495">
        <w:tc>
          <w:tcPr>
            <w:tcW w:w="2707" w:type="dxa"/>
            <w:tcBorders>
              <w:top w:val="nil"/>
              <w:left w:val="single" w:sz="4" w:space="0" w:color="000000"/>
              <w:bottom w:val="single" w:sz="4" w:space="0" w:color="000000"/>
              <w:right w:val="nil"/>
            </w:tcBorders>
            <w:hideMark/>
          </w:tcPr>
          <w:p w14:paraId="5A50F1CE" w14:textId="77777777" w:rsidR="007018A5" w:rsidRPr="00B27CB1" w:rsidRDefault="007018A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E594BE4" w14:textId="737B928D" w:rsidR="007018A5" w:rsidRPr="00B27CB1" w:rsidRDefault="00486D72" w:rsidP="00D97E7C">
            <w:pPr>
              <w:suppressAutoHyphens w:val="0"/>
              <w:snapToGrid w:val="0"/>
              <w:spacing w:line="260" w:lineRule="atLeast"/>
              <w:jc w:val="both"/>
              <w:rPr>
                <w:rFonts w:cs="Times New Roman"/>
                <w:lang w:eastAsia="de-DE"/>
              </w:rPr>
            </w:pPr>
            <w:r w:rsidRPr="000D7D14">
              <w:t>Indoor</w:t>
            </w:r>
          </w:p>
        </w:tc>
      </w:tr>
      <w:tr w:rsidR="007018A5" w:rsidRPr="00B27CB1" w14:paraId="7ACDE953" w14:textId="77777777" w:rsidTr="00685495">
        <w:tc>
          <w:tcPr>
            <w:tcW w:w="2707" w:type="dxa"/>
            <w:tcBorders>
              <w:top w:val="nil"/>
              <w:left w:val="single" w:sz="4" w:space="0" w:color="000000"/>
              <w:bottom w:val="single" w:sz="4" w:space="0" w:color="000000"/>
              <w:right w:val="nil"/>
            </w:tcBorders>
            <w:hideMark/>
          </w:tcPr>
          <w:p w14:paraId="00444FB6" w14:textId="77777777" w:rsidR="007018A5" w:rsidRPr="00B27CB1" w:rsidRDefault="007018A5"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E2EA13C" w14:textId="77777777" w:rsidR="0058122E" w:rsidRDefault="00486D72" w:rsidP="001E4D37">
            <w:pPr>
              <w:suppressAutoHyphens w:val="0"/>
              <w:snapToGrid w:val="0"/>
              <w:spacing w:line="260" w:lineRule="atLeast"/>
            </w:pPr>
            <w:r w:rsidRPr="000D7D14">
              <w:t xml:space="preserve">Spraying, </w:t>
            </w:r>
          </w:p>
          <w:p w14:paraId="1B3508DC" w14:textId="5BE3E3A5" w:rsidR="0058122E" w:rsidRDefault="0058122E" w:rsidP="0058122E">
            <w:pPr>
              <w:suppressAutoHyphens w:val="0"/>
              <w:snapToGrid w:val="0"/>
              <w:spacing w:line="260" w:lineRule="atLeast"/>
            </w:pPr>
            <w:r>
              <w:t>W</w:t>
            </w:r>
            <w:r w:rsidR="00486D72" w:rsidRPr="000D7D14">
              <w:t>iping (applying product onto wipe followed by wiping),</w:t>
            </w:r>
          </w:p>
          <w:p w14:paraId="0A36BC4B" w14:textId="2BDC468A" w:rsidR="007018A5" w:rsidRDefault="00486D72" w:rsidP="0058122E">
            <w:pPr>
              <w:suppressAutoHyphens w:val="0"/>
              <w:snapToGrid w:val="0"/>
              <w:spacing w:line="260" w:lineRule="atLeast"/>
            </w:pPr>
            <w:r w:rsidRPr="000D7D14">
              <w:t>Mopping (applying product onto mop followed by mopping)</w:t>
            </w:r>
          </w:p>
          <w:p w14:paraId="3C8ADF0B" w14:textId="4AA1F02F" w:rsidR="00107671" w:rsidRDefault="00107671" w:rsidP="0058122E">
            <w:pPr>
              <w:suppressAutoHyphens w:val="0"/>
              <w:snapToGrid w:val="0"/>
              <w:spacing w:line="260" w:lineRule="atLeast"/>
            </w:pPr>
            <w:r>
              <w:t>Brushing (applying product onto brush followed by brushing)</w:t>
            </w:r>
          </w:p>
          <w:p w14:paraId="57B2A0C1" w14:textId="6DB75E89" w:rsidR="00E82BD3" w:rsidRPr="00B27CB1" w:rsidRDefault="00E82BD3" w:rsidP="0058122E">
            <w:pPr>
              <w:suppressAutoHyphens w:val="0"/>
              <w:snapToGrid w:val="0"/>
              <w:spacing w:line="260" w:lineRule="atLeast"/>
              <w:rPr>
                <w:rFonts w:cs="Times New Roman"/>
                <w:lang w:eastAsia="de-DE"/>
              </w:rPr>
            </w:pPr>
            <w:r>
              <w:t>Scrubbing</w:t>
            </w:r>
            <w:r w:rsidR="00107671">
              <w:t xml:space="preserve"> (machine)</w:t>
            </w:r>
          </w:p>
        </w:tc>
      </w:tr>
      <w:tr w:rsidR="007018A5" w:rsidRPr="00B27CB1" w14:paraId="5931BD5E" w14:textId="77777777" w:rsidTr="00685495">
        <w:tc>
          <w:tcPr>
            <w:tcW w:w="2707" w:type="dxa"/>
            <w:tcBorders>
              <w:top w:val="nil"/>
              <w:left w:val="single" w:sz="4" w:space="0" w:color="000000"/>
              <w:bottom w:val="single" w:sz="4" w:space="0" w:color="000000"/>
              <w:right w:val="nil"/>
            </w:tcBorders>
            <w:hideMark/>
          </w:tcPr>
          <w:p w14:paraId="487CFBE1" w14:textId="77777777" w:rsidR="007018A5" w:rsidRPr="00B27CB1" w:rsidRDefault="007018A5"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01887DE8" w14:textId="4025A503" w:rsidR="00D97E7C" w:rsidRDefault="00FC5B7E" w:rsidP="00486D72">
            <w:r>
              <w:t>In healthcare, w</w:t>
            </w:r>
            <w:r w:rsidR="00D97E7C">
              <w:t>ithout mechanical action</w:t>
            </w:r>
            <w:r w:rsidR="00E82BD3">
              <w:t xml:space="preserve"> (spraying): </w:t>
            </w:r>
          </w:p>
          <w:p w14:paraId="008FBDAA" w14:textId="77777777" w:rsidR="00F345A2" w:rsidRDefault="00E82BD3" w:rsidP="00486D72">
            <w:r>
              <w:t xml:space="preserve">Bacteria, yeasts: </w:t>
            </w:r>
          </w:p>
          <w:p w14:paraId="205CA21B" w14:textId="7CCF1D9A" w:rsidR="00486D72" w:rsidRDefault="00E82BD3" w:rsidP="00486D72">
            <w:r w:rsidRPr="000D7D14">
              <w:t>8% (v/v)</w:t>
            </w:r>
            <w:r>
              <w:t>, c</w:t>
            </w:r>
            <w:r w:rsidR="00486D72" w:rsidRPr="00F0256C">
              <w:t>ontact time : 5 minutes</w:t>
            </w:r>
            <w:r>
              <w:t>,</w:t>
            </w:r>
            <w:r w:rsidR="0045758C">
              <w:t xml:space="preserve"> </w:t>
            </w:r>
            <w:r w:rsidR="007F73C9">
              <w:t>20°C</w:t>
            </w:r>
          </w:p>
          <w:p w14:paraId="1BB98DB2" w14:textId="77777777" w:rsidR="00FC5B7E" w:rsidRDefault="00FC5B7E" w:rsidP="00FC5B7E"/>
          <w:p w14:paraId="599F6726" w14:textId="4A6864E6" w:rsidR="00FC5B7E" w:rsidRDefault="00FC5B7E" w:rsidP="00FC5B7E">
            <w:r>
              <w:t xml:space="preserve">Other areas, without mechanical action (spraying): </w:t>
            </w:r>
          </w:p>
          <w:p w14:paraId="13AB6EA7" w14:textId="77777777" w:rsidR="00FC5B7E" w:rsidRDefault="00FC5B7E" w:rsidP="00FC5B7E">
            <w:r>
              <w:t xml:space="preserve">Bacteria, yeasts: </w:t>
            </w:r>
          </w:p>
          <w:p w14:paraId="32C0C20D" w14:textId="3602065E" w:rsidR="00FC5B7E" w:rsidRDefault="00FC5B7E" w:rsidP="00FC5B7E">
            <w:r>
              <w:t>5</w:t>
            </w:r>
            <w:r w:rsidRPr="000D7D14">
              <w:t>% (v/v)</w:t>
            </w:r>
            <w:r>
              <w:t>, c</w:t>
            </w:r>
            <w:r w:rsidRPr="00F0256C">
              <w:t xml:space="preserve">ontact time : </w:t>
            </w:r>
            <w:r>
              <w:t>1</w:t>
            </w:r>
            <w:r w:rsidRPr="00F0256C">
              <w:t>5 minutes</w:t>
            </w:r>
            <w:r>
              <w:t xml:space="preserve">, </w:t>
            </w:r>
            <w:r w:rsidR="007F73C9">
              <w:t>20°C</w:t>
            </w:r>
          </w:p>
          <w:p w14:paraId="0FE5B4E2" w14:textId="77777777" w:rsidR="00FC5B7E" w:rsidRPr="000D7D14" w:rsidRDefault="00FC5B7E" w:rsidP="00486D72"/>
          <w:p w14:paraId="1B8261A7" w14:textId="65CBD970" w:rsidR="00486D72" w:rsidRPr="000D7D14" w:rsidRDefault="00D97E7C" w:rsidP="00486D72">
            <w:r>
              <w:t>With mechanical action</w:t>
            </w:r>
            <w:r w:rsidR="0045758C">
              <w:t xml:space="preserve"> </w:t>
            </w:r>
            <w:r w:rsidR="00E82BD3">
              <w:t>(wiping</w:t>
            </w:r>
            <w:r w:rsidR="00F345A2">
              <w:t>/mopping/brushing/scrubbing</w:t>
            </w:r>
            <w:r w:rsidR="00E82BD3">
              <w:t>):</w:t>
            </w:r>
          </w:p>
          <w:p w14:paraId="60C8A91B" w14:textId="77777777" w:rsidR="00F345A2" w:rsidRDefault="00E82BD3" w:rsidP="00486D72">
            <w:r>
              <w:t>B</w:t>
            </w:r>
            <w:r w:rsidR="00F345A2">
              <w:t>acteria, yeasts:</w:t>
            </w:r>
          </w:p>
          <w:p w14:paraId="6D782C69" w14:textId="74328FCC" w:rsidR="00E82BD3" w:rsidRDefault="00E82BD3" w:rsidP="00486D72">
            <w:r w:rsidRPr="000D7D14">
              <w:t xml:space="preserve">10% </w:t>
            </w:r>
            <w:r>
              <w:t>(v/v)</w:t>
            </w:r>
            <w:r w:rsidRPr="000D7D14">
              <w:t xml:space="preserve"> </w:t>
            </w:r>
            <w:r>
              <w:t xml:space="preserve">contact time 5 minutes, </w:t>
            </w:r>
            <w:r w:rsidR="00D1442F">
              <w:t>20°C</w:t>
            </w:r>
            <w:r>
              <w:t xml:space="preserve"> </w:t>
            </w:r>
          </w:p>
          <w:p w14:paraId="0887D4EF" w14:textId="77777777" w:rsidR="001C747E" w:rsidRDefault="001C747E" w:rsidP="00486D72"/>
          <w:p w14:paraId="51C3F16B" w14:textId="6C8A1656" w:rsidR="00F345A2" w:rsidRDefault="006D1C61" w:rsidP="00486D72">
            <w:r>
              <w:t>Application rates:</w:t>
            </w:r>
          </w:p>
          <w:p w14:paraId="4F52626F" w14:textId="77777777" w:rsidR="001C747E" w:rsidRDefault="00F345A2" w:rsidP="00F345A2">
            <w:r w:rsidRPr="000D7D14">
              <w:t>30ml/m</w:t>
            </w:r>
            <w:r w:rsidRPr="00383E12">
              <w:rPr>
                <w:vertAlign w:val="superscript"/>
              </w:rPr>
              <w:t>2</w:t>
            </w:r>
            <w:r w:rsidRPr="000D7D14">
              <w:t xml:space="preserve"> - 20 sprays </w:t>
            </w:r>
            <w:r w:rsidR="001C747E">
              <w:t xml:space="preserve">on the surface </w:t>
            </w:r>
            <w:r w:rsidRPr="000D7D14">
              <w:t>per m</w:t>
            </w:r>
            <w:r w:rsidRPr="00383E12">
              <w:rPr>
                <w:vertAlign w:val="superscript"/>
              </w:rPr>
              <w:t>2</w:t>
            </w:r>
            <w:r w:rsidRPr="000D7D14">
              <w:t xml:space="preserve"> </w:t>
            </w:r>
          </w:p>
          <w:p w14:paraId="11CADDC1" w14:textId="6D51A11A" w:rsidR="00F345A2" w:rsidRDefault="00F345A2" w:rsidP="00F345A2">
            <w:r w:rsidRPr="000D7D14">
              <w:t>8 to 12 sprays - 16 ml onto wipe per 0.1 m</w:t>
            </w:r>
            <w:r w:rsidRPr="00383E12">
              <w:rPr>
                <w:vertAlign w:val="superscript"/>
              </w:rPr>
              <w:t>2</w:t>
            </w:r>
          </w:p>
          <w:p w14:paraId="7DD7C1C6" w14:textId="5D2C3400" w:rsidR="007018A5" w:rsidRPr="00B27CB1" w:rsidRDefault="004E3347" w:rsidP="00383E12">
            <w:pPr>
              <w:snapToGrid w:val="0"/>
              <w:spacing w:line="260" w:lineRule="atLeast"/>
              <w:rPr>
                <w:rFonts w:cs="Times New Roman"/>
                <w:lang w:eastAsia="de-DE"/>
              </w:rPr>
            </w:pPr>
            <w:r w:rsidRPr="000D7D14">
              <w:t xml:space="preserve">For toilet bowls, </w:t>
            </w:r>
            <w:r w:rsidRPr="00E91F85">
              <w:rPr>
                <w:bCs/>
                <w:color w:val="000000"/>
                <w:lang w:val="en-US"/>
              </w:rPr>
              <w:t>50 ml or 33 sprays per toilet</w:t>
            </w:r>
          </w:p>
        </w:tc>
      </w:tr>
      <w:tr w:rsidR="00486D72" w:rsidRPr="00B27CB1" w14:paraId="2F0E5D36" w14:textId="77777777" w:rsidTr="00685495">
        <w:tc>
          <w:tcPr>
            <w:tcW w:w="2707" w:type="dxa"/>
            <w:tcBorders>
              <w:top w:val="nil"/>
              <w:left w:val="single" w:sz="4" w:space="0" w:color="000000"/>
              <w:bottom w:val="single" w:sz="4" w:space="0" w:color="000000"/>
              <w:right w:val="nil"/>
            </w:tcBorders>
            <w:hideMark/>
          </w:tcPr>
          <w:p w14:paraId="643AA37A" w14:textId="77777777" w:rsidR="00486D72" w:rsidRPr="00B27CB1" w:rsidRDefault="00486D72" w:rsidP="00486D72">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389E617A" w14:textId="26115369" w:rsidR="00486D72" w:rsidRPr="00B27CB1" w:rsidRDefault="00486D72" w:rsidP="00486D72">
            <w:pPr>
              <w:snapToGrid w:val="0"/>
              <w:spacing w:line="254" w:lineRule="auto"/>
              <w:rPr>
                <w:b/>
              </w:rPr>
            </w:pPr>
            <w:r w:rsidRPr="000D7D14">
              <w:t>Industrial, Professional</w:t>
            </w:r>
          </w:p>
        </w:tc>
      </w:tr>
      <w:tr w:rsidR="00486D72" w:rsidRPr="00C97335" w14:paraId="00D7FA22" w14:textId="77777777" w:rsidTr="00685495">
        <w:tc>
          <w:tcPr>
            <w:tcW w:w="2707" w:type="dxa"/>
            <w:tcBorders>
              <w:top w:val="nil"/>
              <w:left w:val="single" w:sz="4" w:space="0" w:color="000000"/>
              <w:bottom w:val="single" w:sz="4" w:space="0" w:color="000000"/>
              <w:right w:val="nil"/>
            </w:tcBorders>
            <w:hideMark/>
          </w:tcPr>
          <w:p w14:paraId="551ABCEE" w14:textId="77777777" w:rsidR="00486D72" w:rsidRPr="00B27CB1" w:rsidRDefault="00486D72" w:rsidP="00486D72">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3EAB69B" w14:textId="18CAB4FD" w:rsidR="00486D72" w:rsidRDefault="00486D72" w:rsidP="00486D72">
            <w:pPr>
              <w:spacing w:line="254" w:lineRule="auto"/>
            </w:pPr>
            <w:r>
              <w:t>HDPE:</w:t>
            </w:r>
            <w:r w:rsidR="003F1647">
              <w:t xml:space="preserve"> </w:t>
            </w:r>
            <w:r>
              <w:t>1 L / 1 kg, 5 L / 5 kg, 10 L / 10 kg, 20 L / 20 kg, 120 L / 120 kg, 200 L / 200 kg, 220 L / 220 kg</w:t>
            </w:r>
          </w:p>
          <w:p w14:paraId="513488AD" w14:textId="76789672" w:rsidR="00486D72" w:rsidRDefault="00486D72" w:rsidP="00486D72">
            <w:pPr>
              <w:spacing w:line="254" w:lineRule="auto"/>
            </w:pPr>
            <w:r>
              <w:t>PET:</w:t>
            </w:r>
            <w:r w:rsidR="003F1647">
              <w:t xml:space="preserve"> </w:t>
            </w:r>
            <w:r>
              <w:t>1 L / 1 kg</w:t>
            </w:r>
          </w:p>
          <w:p w14:paraId="30FD95DF" w14:textId="0BD570B4" w:rsidR="00486D72" w:rsidRDefault="00486D72" w:rsidP="00486D72">
            <w:pPr>
              <w:spacing w:line="254" w:lineRule="auto"/>
            </w:pPr>
            <w:r w:rsidRPr="008D35E9">
              <w:t>Coextrude (HDPE/Adhesive/Nylon polyamide):</w:t>
            </w:r>
            <w:r w:rsidR="003F1647">
              <w:t xml:space="preserve"> </w:t>
            </w:r>
            <w:r>
              <w:t>5 L / 5 kg</w:t>
            </w:r>
          </w:p>
          <w:p w14:paraId="7D1435F5" w14:textId="516072A6" w:rsidR="00486D72" w:rsidRPr="00E91F85" w:rsidRDefault="00486D72" w:rsidP="00486D72">
            <w:pPr>
              <w:spacing w:line="254" w:lineRule="auto"/>
              <w:rPr>
                <w:lang w:val="de-DE"/>
              </w:rPr>
            </w:pPr>
            <w:r>
              <w:lastRenderedPageBreak/>
              <w:t>Coextrude (HDPE/Adhesive resin/EVAL):</w:t>
            </w:r>
            <w:r w:rsidR="003F1647">
              <w:t xml:space="preserve"> </w:t>
            </w:r>
            <w:r w:rsidRPr="00E91F85">
              <w:rPr>
                <w:lang w:val="de-DE"/>
              </w:rPr>
              <w:t>250 mL / 250 g</w:t>
            </w:r>
          </w:p>
          <w:p w14:paraId="7DCEC7E8" w14:textId="01F9E236" w:rsidR="00486D72" w:rsidRPr="00E91F85" w:rsidRDefault="00486D72" w:rsidP="003F1647">
            <w:pPr>
              <w:spacing w:line="254" w:lineRule="auto"/>
              <w:rPr>
                <w:lang w:val="de-DE"/>
              </w:rPr>
            </w:pPr>
            <w:r w:rsidRPr="00E91F85">
              <w:rPr>
                <w:lang w:val="de-DE"/>
              </w:rPr>
              <w:t>LDPE/HDPE:</w:t>
            </w:r>
            <w:r w:rsidR="003F1647">
              <w:rPr>
                <w:lang w:val="de-DE"/>
              </w:rPr>
              <w:t xml:space="preserve"> </w:t>
            </w:r>
            <w:r w:rsidRPr="00E91F85">
              <w:rPr>
                <w:lang w:val="de-DE"/>
              </w:rPr>
              <w:t>20 mL</w:t>
            </w:r>
          </w:p>
        </w:tc>
      </w:tr>
    </w:tbl>
    <w:p w14:paraId="380D1E23" w14:textId="77777777" w:rsidR="007018A5" w:rsidRPr="003F1647" w:rsidRDefault="007018A5" w:rsidP="003F1647">
      <w:pPr>
        <w:keepNext/>
        <w:numPr>
          <w:ilvl w:val="4"/>
          <w:numId w:val="9"/>
        </w:numPr>
        <w:spacing w:before="255" w:after="80" w:line="255" w:lineRule="exact"/>
        <w:outlineLvl w:val="4"/>
        <w:rPr>
          <w:sz w:val="22"/>
        </w:rPr>
      </w:pPr>
      <w:r w:rsidRPr="003F1647">
        <w:rPr>
          <w:sz w:val="22"/>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33B75F4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F487CA4" w14:textId="0331A4C1" w:rsidR="00B36E30" w:rsidRPr="003F1647" w:rsidRDefault="00B36E30" w:rsidP="003F1647">
            <w:pPr>
              <w:pStyle w:val="Paragraphedeliste"/>
              <w:numPr>
                <w:ilvl w:val="0"/>
                <w:numId w:val="29"/>
              </w:numPr>
              <w:rPr>
                <w:color w:val="000000"/>
                <w:lang w:eastAsia="en-GB"/>
              </w:rPr>
            </w:pPr>
            <w:r w:rsidRPr="003F1647">
              <w:rPr>
                <w:color w:val="000000"/>
                <w:lang w:eastAsia="en-GB"/>
              </w:rPr>
              <w:t>Manu</w:t>
            </w:r>
            <w:r w:rsidR="00061590" w:rsidRPr="003F1647">
              <w:rPr>
                <w:color w:val="000000"/>
                <w:lang w:eastAsia="en-GB"/>
              </w:rPr>
              <w:t>a</w:t>
            </w:r>
            <w:r w:rsidRPr="003F1647">
              <w:rPr>
                <w:color w:val="000000"/>
                <w:lang w:eastAsia="en-GB"/>
              </w:rPr>
              <w:t>l disinfection:</w:t>
            </w:r>
          </w:p>
          <w:p w14:paraId="15663345" w14:textId="45A0DEA5" w:rsidR="002A7B8F" w:rsidRPr="00245178" w:rsidRDefault="00B36E30"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For hard surfaces by spraying: Dilute in water and spray directly on the surface</w:t>
            </w:r>
            <w:r w:rsidR="001C747E" w:rsidRPr="003F1647">
              <w:rPr>
                <w:bCs/>
                <w:color w:val="000000"/>
                <w:lang w:val="en-US"/>
              </w:rPr>
              <w:t>s</w:t>
            </w:r>
            <w:r w:rsidRPr="003F1647">
              <w:rPr>
                <w:bCs/>
                <w:color w:val="000000"/>
                <w:lang w:val="en-US"/>
              </w:rPr>
              <w:t xml:space="preserve"> intended to be treated and cover the entire surface</w:t>
            </w:r>
            <w:r w:rsidR="001C747E" w:rsidRPr="0004436A">
              <w:rPr>
                <w:bCs/>
                <w:color w:val="000000"/>
                <w:lang w:val="en-US"/>
              </w:rPr>
              <w:t>s</w:t>
            </w:r>
            <w:r w:rsidRPr="0004436A">
              <w:rPr>
                <w:bCs/>
                <w:color w:val="000000"/>
                <w:lang w:val="en-US"/>
              </w:rPr>
              <w:t xml:space="preserve"> Allow to take effect for at least </w:t>
            </w:r>
            <w:r w:rsidR="00F345A2" w:rsidRPr="00245178">
              <w:rPr>
                <w:bCs/>
                <w:color w:val="000000"/>
                <w:lang w:val="en-US"/>
              </w:rPr>
              <w:t>5</w:t>
            </w:r>
            <w:r w:rsidRPr="00245178">
              <w:rPr>
                <w:bCs/>
                <w:color w:val="000000"/>
                <w:lang w:val="en-US"/>
              </w:rPr>
              <w:t xml:space="preserve"> </w:t>
            </w:r>
            <w:r w:rsidR="000664C6">
              <w:rPr>
                <w:bCs/>
                <w:color w:val="000000"/>
                <w:lang w:val="en-US"/>
              </w:rPr>
              <w:t>until</w:t>
            </w:r>
            <w:r w:rsidR="00D34D33">
              <w:rPr>
                <w:bCs/>
                <w:color w:val="000000"/>
                <w:lang w:val="en-US"/>
              </w:rPr>
              <w:t xml:space="preserve"> 15 minutes</w:t>
            </w:r>
            <w:r w:rsidR="000664C6">
              <w:rPr>
                <w:bCs/>
                <w:color w:val="000000"/>
                <w:lang w:val="en-US"/>
              </w:rPr>
              <w:t>, depending on the use area,</w:t>
            </w:r>
            <w:r w:rsidRPr="00245178">
              <w:rPr>
                <w:bCs/>
                <w:color w:val="000000"/>
                <w:lang w:val="en-US"/>
              </w:rPr>
              <w:t xml:space="preserve"> then brush or scrub if required and wipe with a dry cloth.</w:t>
            </w:r>
          </w:p>
          <w:p w14:paraId="3F9225B7" w14:textId="3F4D7754" w:rsidR="00B36E30" w:rsidRPr="00BB3563" w:rsidRDefault="00B36E30"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For hard surfaces by wipping/mopping</w:t>
            </w:r>
            <w:r w:rsidR="00F329F9" w:rsidRPr="00245178">
              <w:rPr>
                <w:bCs/>
                <w:color w:val="000000"/>
                <w:lang w:val="en-US"/>
              </w:rPr>
              <w:t>/brushing</w:t>
            </w:r>
            <w:r w:rsidRPr="00245178">
              <w:rPr>
                <w:bCs/>
                <w:color w:val="000000"/>
                <w:lang w:val="en-US"/>
              </w:rPr>
              <w:t>:</w:t>
            </w:r>
            <w:r w:rsidR="00F329F9" w:rsidRPr="00245178">
              <w:rPr>
                <w:bCs/>
                <w:color w:val="000000"/>
                <w:lang w:val="en-US"/>
              </w:rPr>
              <w:t xml:space="preserve"> Dilute in water</w:t>
            </w:r>
            <w:r w:rsidR="001C747E" w:rsidRPr="00245178">
              <w:rPr>
                <w:bCs/>
                <w:color w:val="000000"/>
                <w:lang w:val="en-US"/>
              </w:rPr>
              <w:t>, spray on wipe or soak the mop/wipe/brush and apply by fully wetting all surfaces intended to be treated</w:t>
            </w:r>
            <w:r w:rsidRPr="00BB3563">
              <w:rPr>
                <w:bCs/>
                <w:color w:val="000000"/>
                <w:lang w:val="en-US"/>
              </w:rPr>
              <w:t>. Allow to take effect for at least 5 minutes</w:t>
            </w:r>
            <w:r w:rsidR="007F73C9">
              <w:rPr>
                <w:bCs/>
                <w:color w:val="000000"/>
                <w:lang w:val="en-US"/>
              </w:rPr>
              <w:t>, then</w:t>
            </w:r>
            <w:r w:rsidRPr="00BB3563">
              <w:rPr>
                <w:bCs/>
                <w:color w:val="000000"/>
                <w:lang w:val="en-US"/>
              </w:rPr>
              <w:t xml:space="preserve"> wipe the surface with a dry cloth if required or let to dry.</w:t>
            </w:r>
          </w:p>
          <w:p w14:paraId="3690ED1B" w14:textId="41E91F95" w:rsidR="00B36E30" w:rsidRPr="002F6E1B" w:rsidRDefault="00B36E30" w:rsidP="003F1647">
            <w:pPr>
              <w:rPr>
                <w:bCs/>
                <w:color w:val="000000"/>
                <w:lang w:val="en-US"/>
              </w:rPr>
            </w:pPr>
          </w:p>
          <w:p w14:paraId="70E4F5A7" w14:textId="77777777" w:rsidR="00B36E30" w:rsidRPr="00B10ACB" w:rsidRDefault="00B36E30" w:rsidP="003F1647">
            <w:pPr>
              <w:pStyle w:val="Paragraphedeliste"/>
              <w:numPr>
                <w:ilvl w:val="0"/>
                <w:numId w:val="29"/>
              </w:numPr>
              <w:rPr>
                <w:color w:val="000000"/>
                <w:lang w:eastAsia="en-GB"/>
              </w:rPr>
            </w:pPr>
            <w:r w:rsidRPr="001E568F">
              <w:rPr>
                <w:bCs/>
                <w:color w:val="000000"/>
                <w:lang w:val="de-DE"/>
              </w:rPr>
              <w:t>Machine:</w:t>
            </w:r>
          </w:p>
          <w:p w14:paraId="7970170F" w14:textId="2D6209DD" w:rsidR="00B36E30" w:rsidRPr="003F1647" w:rsidRDefault="00B36E30" w:rsidP="00B10ACB">
            <w:pPr>
              <w:widowControl w:val="0"/>
              <w:numPr>
                <w:ilvl w:val="0"/>
                <w:numId w:val="7"/>
              </w:numPr>
              <w:suppressAutoHyphens w:val="0"/>
              <w:autoSpaceDE w:val="0"/>
              <w:snapToGrid w:val="0"/>
              <w:ind w:left="386"/>
              <w:contextualSpacing/>
              <w:jc w:val="both"/>
              <w:rPr>
                <w:bCs/>
                <w:color w:val="000000"/>
                <w:lang w:val="en-US"/>
              </w:rPr>
            </w:pPr>
            <w:r w:rsidRPr="003F1647">
              <w:rPr>
                <w:bCs/>
                <w:color w:val="000000"/>
                <w:lang w:val="en-US"/>
              </w:rPr>
              <w:t xml:space="preserve">Dilute in water in scrubber-dryers, single-disk scrubbers, high or low pressure sprayers... and apply on surface and/or floor intended to be treated. Allow to take effect for at least 5 </w:t>
            </w:r>
            <w:r w:rsidR="00F345A2" w:rsidRPr="003F1647">
              <w:rPr>
                <w:bCs/>
                <w:color w:val="000000"/>
                <w:lang w:val="en-US"/>
              </w:rPr>
              <w:t>minutes</w:t>
            </w:r>
            <w:r w:rsidRPr="003F1647">
              <w:rPr>
                <w:bCs/>
                <w:color w:val="000000"/>
                <w:lang w:val="en-US"/>
              </w:rPr>
              <w:t xml:space="preserve"> and then let to dry. Rinse the tank after applying the product.</w:t>
            </w:r>
          </w:p>
          <w:p w14:paraId="252124ED" w14:textId="6348364A" w:rsidR="001C747E" w:rsidRPr="0004436A" w:rsidRDefault="001C747E" w:rsidP="00B10ACB">
            <w:pPr>
              <w:widowControl w:val="0"/>
              <w:suppressAutoHyphens w:val="0"/>
              <w:autoSpaceDE w:val="0"/>
              <w:snapToGrid w:val="0"/>
              <w:ind w:left="26"/>
              <w:contextualSpacing/>
              <w:jc w:val="both"/>
              <w:rPr>
                <w:bCs/>
                <w:color w:val="000000"/>
                <w:lang w:val="en-US"/>
              </w:rPr>
            </w:pPr>
          </w:p>
          <w:p w14:paraId="5351BEFC" w14:textId="177F8FBB" w:rsidR="00B36E30" w:rsidRPr="00245178" w:rsidRDefault="001C747E"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Toilet bowls: Dilute in water and spray inside the toilet bowls by fully covering all surface to be treated.  Allow to take effect for at least 5</w:t>
            </w:r>
            <w:r w:rsidR="00D1442F">
              <w:rPr>
                <w:bCs/>
                <w:color w:val="000000"/>
                <w:lang w:val="en-US"/>
              </w:rPr>
              <w:t xml:space="preserve"> until 15 minutes, depending on the use area</w:t>
            </w:r>
            <w:r w:rsidRPr="00245178">
              <w:rPr>
                <w:bCs/>
                <w:color w:val="000000"/>
                <w:lang w:val="en-US"/>
              </w:rPr>
              <w:t>, then brush if required and flush the toilet.</w:t>
            </w:r>
          </w:p>
          <w:p w14:paraId="6A49FE8D" w14:textId="7209B224" w:rsidR="007018A5" w:rsidRPr="008D35E9" w:rsidRDefault="00F345A2" w:rsidP="00B10ACB">
            <w:pPr>
              <w:widowControl w:val="0"/>
              <w:numPr>
                <w:ilvl w:val="0"/>
                <w:numId w:val="7"/>
              </w:numPr>
              <w:suppressAutoHyphens w:val="0"/>
              <w:autoSpaceDE w:val="0"/>
              <w:snapToGrid w:val="0"/>
              <w:ind w:left="386"/>
              <w:contextualSpacing/>
              <w:jc w:val="both"/>
              <w:rPr>
                <w:bCs/>
                <w:color w:val="000000"/>
                <w:lang w:val="en-US"/>
              </w:rPr>
            </w:pPr>
            <w:r w:rsidRPr="00245178">
              <w:rPr>
                <w:bCs/>
                <w:color w:val="000000"/>
                <w:lang w:val="en-US"/>
              </w:rPr>
              <w:t>The product must be used directly after dilution.</w:t>
            </w:r>
          </w:p>
        </w:tc>
      </w:tr>
    </w:tbl>
    <w:p w14:paraId="7813E38A" w14:textId="77777777" w:rsidR="008D35E9" w:rsidRDefault="008D35E9" w:rsidP="008D35E9"/>
    <w:p w14:paraId="1CCE405E" w14:textId="5DF41699" w:rsidR="007018A5" w:rsidRPr="00B10ACB" w:rsidRDefault="007018A5" w:rsidP="00B10ACB">
      <w:pPr>
        <w:keepNext/>
        <w:numPr>
          <w:ilvl w:val="4"/>
          <w:numId w:val="9"/>
        </w:numPr>
        <w:spacing w:before="255" w:after="80" w:line="255" w:lineRule="exact"/>
        <w:outlineLvl w:val="4"/>
        <w:rPr>
          <w:sz w:val="22"/>
        </w:rPr>
      </w:pPr>
      <w:r w:rsidRPr="00B10ACB">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14E842A1"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F882460" w14:textId="0808FD91"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2D50E678"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6C8FE10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3A6441E" w14:textId="21466E15"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66B9ABBA"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57F05CF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BFDF015" w14:textId="51A9489E"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3B2AB1EA"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215AE7C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FF83D77" w14:textId="0BB35BCA"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377BA121" w14:textId="77777777" w:rsidR="007018A5" w:rsidRPr="00B27CB1" w:rsidRDefault="007018A5" w:rsidP="007018A5">
      <w:pPr>
        <w:widowControl w:val="0"/>
        <w:autoSpaceDE w:val="0"/>
        <w:rPr>
          <w:rFonts w:cs="Times"/>
          <w:bCs/>
          <w:szCs w:val="29"/>
        </w:rPr>
      </w:pPr>
    </w:p>
    <w:p w14:paraId="1CE139EB" w14:textId="77777777" w:rsidR="007018A5" w:rsidRPr="00B27CB1" w:rsidRDefault="007018A5" w:rsidP="007018A5">
      <w:pPr>
        <w:pStyle w:val="Titre4"/>
        <w:numPr>
          <w:ilvl w:val="3"/>
          <w:numId w:val="9"/>
        </w:numPr>
        <w:rPr>
          <w:lang w:val="en-GB"/>
        </w:rPr>
      </w:pPr>
      <w:bookmarkStart w:id="104" w:name="_Toc87361134"/>
      <w:r w:rsidRPr="00B27CB1">
        <w:rPr>
          <w:lang w:val="en-GB"/>
        </w:rPr>
        <w:t>Use description</w:t>
      </w:r>
      <w:bookmarkEnd w:id="104"/>
    </w:p>
    <w:p w14:paraId="0777B86D" w14:textId="77777777" w:rsidR="007018A5" w:rsidRPr="00B27CB1" w:rsidRDefault="007018A5" w:rsidP="007018A5">
      <w:pPr>
        <w:widowControl w:val="0"/>
        <w:autoSpaceDE w:val="0"/>
        <w:rPr>
          <w:rFonts w:cs="Times"/>
          <w:bCs/>
          <w:szCs w:val="29"/>
        </w:rPr>
      </w:pPr>
    </w:p>
    <w:p w14:paraId="16EAEF16" w14:textId="5AE67A46" w:rsidR="007018A5" w:rsidRPr="00B27CB1" w:rsidRDefault="007018A5" w:rsidP="007018A5">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12</w:t>
      </w:r>
      <w:r w:rsidRPr="00B27CB1">
        <w:rPr>
          <w:rFonts w:ascii="Verdana" w:hAnsi="Verdana" w:cs="Verdana"/>
        </w:rPr>
        <w:fldChar w:fldCharType="end"/>
      </w:r>
      <w:r w:rsidRPr="00B27CB1">
        <w:rPr>
          <w:rFonts w:ascii="Verdana" w:hAnsi="Verdana"/>
        </w:rPr>
        <w:t>. Use # 4 – Disinfectants for hard surfaces of industry, institution and healthcare facilities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7018A5" w:rsidRPr="00B27CB1" w14:paraId="18020EE4" w14:textId="77777777" w:rsidTr="00685495">
        <w:tc>
          <w:tcPr>
            <w:tcW w:w="2707" w:type="dxa"/>
            <w:tcBorders>
              <w:top w:val="single" w:sz="4" w:space="0" w:color="000000"/>
              <w:left w:val="single" w:sz="4" w:space="0" w:color="000000"/>
              <w:bottom w:val="single" w:sz="4" w:space="0" w:color="000000"/>
              <w:right w:val="nil"/>
            </w:tcBorders>
            <w:hideMark/>
          </w:tcPr>
          <w:p w14:paraId="4DE2EF64" w14:textId="77777777" w:rsidR="007018A5" w:rsidRPr="00B27CB1" w:rsidRDefault="007018A5" w:rsidP="00685495">
            <w:pPr>
              <w:spacing w:line="254" w:lineRule="auto"/>
              <w:rPr>
                <w:b/>
              </w:rPr>
            </w:pPr>
            <w:r w:rsidRPr="00B27CB1">
              <w:rPr>
                <w:b/>
                <w:bCs/>
                <w:szCs w:val="24"/>
                <w:lang w:eastAsia="en-GB"/>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tcPr>
          <w:p w14:paraId="1606A559" w14:textId="53ABBDAE" w:rsidR="007018A5" w:rsidRPr="00B27CB1" w:rsidRDefault="007018A5" w:rsidP="00685495">
            <w:pPr>
              <w:snapToGrid w:val="0"/>
              <w:spacing w:line="254" w:lineRule="auto"/>
              <w:rPr>
                <w:b/>
              </w:rPr>
            </w:pPr>
            <w:r w:rsidRPr="00B10ACB">
              <w:t>PT02</w:t>
            </w:r>
            <w:r w:rsidR="00486D72" w:rsidRPr="003F1647">
              <w:t xml:space="preserve"> -</w:t>
            </w:r>
            <w:r w:rsidR="00486D72">
              <w:t xml:space="preserve"> </w:t>
            </w:r>
            <w:r w:rsidR="00486D72" w:rsidRPr="000D7D14">
              <w:t>Disinfectants and algaecides not intended for direct application to humans or animals (Disinfectants)</w:t>
            </w:r>
          </w:p>
        </w:tc>
      </w:tr>
      <w:tr w:rsidR="007018A5" w:rsidRPr="00B27CB1" w14:paraId="3AA9CFFC" w14:textId="77777777" w:rsidTr="00685495">
        <w:tc>
          <w:tcPr>
            <w:tcW w:w="2707" w:type="dxa"/>
            <w:tcBorders>
              <w:top w:val="nil"/>
              <w:left w:val="single" w:sz="4" w:space="0" w:color="000000"/>
              <w:bottom w:val="single" w:sz="4" w:space="0" w:color="000000"/>
              <w:right w:val="nil"/>
            </w:tcBorders>
            <w:hideMark/>
          </w:tcPr>
          <w:p w14:paraId="22020637" w14:textId="77777777" w:rsidR="007018A5" w:rsidRPr="00B27CB1" w:rsidRDefault="007018A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795E785D" w14:textId="1AB4EBB8" w:rsidR="00486D72" w:rsidRPr="000D7D14" w:rsidRDefault="00486D72" w:rsidP="00486D72">
            <w:r w:rsidRPr="000D7D14">
              <w:rPr>
                <w:color w:val="000000"/>
              </w:rPr>
              <w:t>Product used for the disinfection of industry, institution and healthcare facilities</w:t>
            </w:r>
            <w:r w:rsidR="0020710F">
              <w:rPr>
                <w:color w:val="000000"/>
              </w:rPr>
              <w:t>,</w:t>
            </w:r>
            <w:r w:rsidRPr="000D7D14">
              <w:rPr>
                <w:color w:val="000000"/>
              </w:rPr>
              <w:t xml:space="preserve"> including external surfaces of toilets bowls</w:t>
            </w:r>
            <w:r w:rsidR="00E72EBE">
              <w:rPr>
                <w:color w:val="000000"/>
              </w:rPr>
              <w:t>.</w:t>
            </w:r>
          </w:p>
          <w:p w14:paraId="42B52719" w14:textId="52E63E3C" w:rsidR="007018A5" w:rsidRPr="00B27CB1" w:rsidRDefault="00486D72" w:rsidP="00E72EBE">
            <w:pPr>
              <w:snapToGrid w:val="0"/>
              <w:spacing w:line="254" w:lineRule="auto"/>
              <w:jc w:val="both"/>
              <w:rPr>
                <w:b/>
              </w:rPr>
            </w:pPr>
            <w:r w:rsidRPr="000D7D14">
              <w:br/>
            </w:r>
            <w:r w:rsidR="00E72EBE">
              <w:rPr>
                <w:color w:val="000000"/>
              </w:rPr>
              <w:t>D</w:t>
            </w:r>
            <w:r w:rsidRPr="000D7D14">
              <w:rPr>
                <w:color w:val="000000"/>
              </w:rPr>
              <w:t xml:space="preserve">isinfection of all kind of </w:t>
            </w:r>
            <w:r w:rsidR="0089334C">
              <w:rPr>
                <w:color w:val="000000"/>
              </w:rPr>
              <w:t xml:space="preserve">non </w:t>
            </w:r>
            <w:r w:rsidRPr="000D7D14">
              <w:rPr>
                <w:color w:val="000000"/>
              </w:rPr>
              <w:t>porous surfaces.</w:t>
            </w:r>
          </w:p>
        </w:tc>
      </w:tr>
      <w:tr w:rsidR="007018A5" w:rsidRPr="00B27CB1" w14:paraId="3B10DFDB" w14:textId="77777777" w:rsidTr="00685495">
        <w:tc>
          <w:tcPr>
            <w:tcW w:w="2707" w:type="dxa"/>
            <w:tcBorders>
              <w:top w:val="nil"/>
              <w:left w:val="single" w:sz="4" w:space="0" w:color="000000"/>
              <w:bottom w:val="single" w:sz="4" w:space="0" w:color="000000"/>
              <w:right w:val="nil"/>
            </w:tcBorders>
            <w:hideMark/>
          </w:tcPr>
          <w:p w14:paraId="1F9CD196" w14:textId="77777777" w:rsidR="007018A5" w:rsidRPr="00B27CB1" w:rsidRDefault="007018A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5E213591" w14:textId="3EBF4215" w:rsidR="007018A5" w:rsidRPr="00B27CB1" w:rsidRDefault="00486D72" w:rsidP="00685495">
            <w:pPr>
              <w:snapToGrid w:val="0"/>
              <w:spacing w:line="254" w:lineRule="auto"/>
              <w:rPr>
                <w:lang w:eastAsia="de-DE"/>
              </w:rPr>
            </w:pPr>
            <w:r w:rsidRPr="000D7D14">
              <w:t>Bacteria</w:t>
            </w:r>
            <w:r w:rsidRPr="000D7D14">
              <w:br/>
              <w:t>Yeasts</w:t>
            </w:r>
          </w:p>
        </w:tc>
      </w:tr>
      <w:tr w:rsidR="007018A5" w:rsidRPr="00B27CB1" w14:paraId="173FC32A" w14:textId="77777777" w:rsidTr="00685495">
        <w:tc>
          <w:tcPr>
            <w:tcW w:w="2707" w:type="dxa"/>
            <w:tcBorders>
              <w:top w:val="nil"/>
              <w:left w:val="single" w:sz="4" w:space="0" w:color="000000"/>
              <w:bottom w:val="single" w:sz="4" w:space="0" w:color="000000"/>
              <w:right w:val="nil"/>
            </w:tcBorders>
            <w:hideMark/>
          </w:tcPr>
          <w:p w14:paraId="1168A8C8" w14:textId="77777777" w:rsidR="007018A5" w:rsidRPr="00B27CB1" w:rsidRDefault="007018A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71FBA6C" w14:textId="20327AD6" w:rsidR="007018A5" w:rsidRPr="00B27CB1" w:rsidRDefault="00486D72" w:rsidP="006576EB">
            <w:pPr>
              <w:suppressAutoHyphens w:val="0"/>
              <w:snapToGrid w:val="0"/>
              <w:spacing w:line="260" w:lineRule="atLeast"/>
              <w:jc w:val="both"/>
              <w:rPr>
                <w:rFonts w:cs="Times New Roman"/>
                <w:lang w:eastAsia="de-DE"/>
              </w:rPr>
            </w:pPr>
            <w:r w:rsidRPr="000D7D14">
              <w:t>Indoor</w:t>
            </w:r>
          </w:p>
        </w:tc>
      </w:tr>
      <w:tr w:rsidR="007018A5" w:rsidRPr="00B27CB1" w14:paraId="71438B3B" w14:textId="77777777" w:rsidTr="00685495">
        <w:tc>
          <w:tcPr>
            <w:tcW w:w="2707" w:type="dxa"/>
            <w:tcBorders>
              <w:top w:val="nil"/>
              <w:left w:val="single" w:sz="4" w:space="0" w:color="000000"/>
              <w:bottom w:val="single" w:sz="4" w:space="0" w:color="000000"/>
              <w:right w:val="nil"/>
            </w:tcBorders>
            <w:hideMark/>
          </w:tcPr>
          <w:p w14:paraId="042ED48A" w14:textId="77777777" w:rsidR="007018A5" w:rsidRPr="00B27CB1" w:rsidRDefault="007018A5"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FCC54DE" w14:textId="77777777" w:rsidR="001F4E1D" w:rsidRDefault="00486D72" w:rsidP="001F4E1D">
            <w:pPr>
              <w:suppressAutoHyphens w:val="0"/>
              <w:snapToGrid w:val="0"/>
              <w:spacing w:line="260" w:lineRule="atLeast"/>
            </w:pPr>
            <w:r w:rsidRPr="000D7D14">
              <w:t xml:space="preserve">Spraying, </w:t>
            </w:r>
          </w:p>
          <w:p w14:paraId="19F6AC8E" w14:textId="5509ABAA" w:rsidR="001F4E1D" w:rsidRDefault="001F4E1D" w:rsidP="001F4E1D">
            <w:pPr>
              <w:suppressAutoHyphens w:val="0"/>
              <w:snapToGrid w:val="0"/>
              <w:spacing w:line="260" w:lineRule="atLeast"/>
            </w:pPr>
            <w:r>
              <w:t>W</w:t>
            </w:r>
            <w:r w:rsidR="00486D72" w:rsidRPr="000D7D14">
              <w:t xml:space="preserve">iping (applying product onto wipe followed by wiping), </w:t>
            </w:r>
          </w:p>
          <w:p w14:paraId="6A02B93B" w14:textId="77777777" w:rsidR="007018A5" w:rsidRDefault="001F4E1D" w:rsidP="001F4E1D">
            <w:pPr>
              <w:suppressAutoHyphens w:val="0"/>
              <w:snapToGrid w:val="0"/>
              <w:spacing w:line="260" w:lineRule="atLeast"/>
            </w:pPr>
            <w:r>
              <w:t>M</w:t>
            </w:r>
            <w:r w:rsidR="00486D72" w:rsidRPr="000D7D14">
              <w:t>opping (applying product onto mop followed by mopping)</w:t>
            </w:r>
          </w:p>
          <w:p w14:paraId="03A2D905" w14:textId="77777777" w:rsidR="00F345A2" w:rsidRDefault="00F345A2" w:rsidP="00F345A2">
            <w:pPr>
              <w:suppressAutoHyphens w:val="0"/>
              <w:snapToGrid w:val="0"/>
              <w:spacing w:line="260" w:lineRule="atLeast"/>
            </w:pPr>
            <w:r>
              <w:t>Brushing (applying product onto brush followed by brushing)</w:t>
            </w:r>
          </w:p>
          <w:p w14:paraId="139C610A" w14:textId="196C54E2" w:rsidR="00F345A2" w:rsidRPr="00B27CB1" w:rsidRDefault="00F345A2" w:rsidP="00F345A2">
            <w:pPr>
              <w:suppressAutoHyphens w:val="0"/>
              <w:snapToGrid w:val="0"/>
              <w:spacing w:line="260" w:lineRule="atLeast"/>
              <w:rPr>
                <w:rFonts w:cs="Times New Roman"/>
                <w:lang w:eastAsia="de-DE"/>
              </w:rPr>
            </w:pPr>
            <w:r>
              <w:t>Scrubbing (machine)</w:t>
            </w:r>
          </w:p>
        </w:tc>
      </w:tr>
      <w:tr w:rsidR="007018A5" w:rsidRPr="00B27CB1" w14:paraId="1D11B58D" w14:textId="77777777" w:rsidTr="00685495">
        <w:tc>
          <w:tcPr>
            <w:tcW w:w="2707" w:type="dxa"/>
            <w:tcBorders>
              <w:top w:val="nil"/>
              <w:left w:val="single" w:sz="4" w:space="0" w:color="000000"/>
              <w:bottom w:val="single" w:sz="4" w:space="0" w:color="000000"/>
              <w:right w:val="nil"/>
            </w:tcBorders>
            <w:hideMark/>
          </w:tcPr>
          <w:p w14:paraId="47414507" w14:textId="77777777" w:rsidR="007018A5" w:rsidRPr="00B27CB1" w:rsidRDefault="007018A5"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9395C8B" w14:textId="33DD67DB" w:rsidR="00486D72" w:rsidRPr="00E91F85" w:rsidRDefault="006576EB" w:rsidP="00486D72">
            <w:pPr>
              <w:rPr>
                <w:lang w:val="en-US"/>
              </w:rPr>
            </w:pPr>
            <w:r w:rsidRPr="00E91F85">
              <w:rPr>
                <w:bCs/>
                <w:lang w:val="en-US"/>
              </w:rPr>
              <w:t>Without mechanical action</w:t>
            </w:r>
            <w:r w:rsidR="00F345A2" w:rsidRPr="00E91F85">
              <w:rPr>
                <w:bCs/>
                <w:lang w:val="en-US"/>
              </w:rPr>
              <w:t xml:space="preserve"> (spraying)</w:t>
            </w:r>
            <w:r w:rsidR="00486D72" w:rsidRPr="00E91F85">
              <w:rPr>
                <w:bCs/>
                <w:lang w:val="en-US"/>
              </w:rPr>
              <w:t>:</w:t>
            </w:r>
          </w:p>
          <w:p w14:paraId="0147651C" w14:textId="22626468" w:rsidR="00486D72" w:rsidRPr="00E91F85" w:rsidRDefault="00486D72" w:rsidP="00D07629">
            <w:pPr>
              <w:jc w:val="both"/>
              <w:rPr>
                <w:bCs/>
                <w:lang w:val="en-US"/>
              </w:rPr>
            </w:pPr>
            <w:r w:rsidRPr="00E91F85">
              <w:rPr>
                <w:bCs/>
                <w:lang w:val="en-US"/>
              </w:rPr>
              <w:t xml:space="preserve">Bacteria, yeasts: </w:t>
            </w:r>
            <w:r w:rsidR="00B36E30" w:rsidRPr="00E91F85">
              <w:rPr>
                <w:bCs/>
                <w:lang w:val="en-US"/>
              </w:rPr>
              <w:t>5</w:t>
            </w:r>
            <w:r w:rsidR="001F4E1D" w:rsidRPr="00E91F85">
              <w:rPr>
                <w:bCs/>
                <w:lang w:val="en-US"/>
              </w:rPr>
              <w:t>%</w:t>
            </w:r>
            <w:r w:rsidRPr="00E91F85">
              <w:rPr>
                <w:bCs/>
                <w:lang w:val="en-US"/>
              </w:rPr>
              <w:t xml:space="preserve"> (v/v), contact time 15 min, </w:t>
            </w:r>
            <w:r w:rsidR="00D432DF">
              <w:rPr>
                <w:bCs/>
                <w:lang w:val="en-US"/>
              </w:rPr>
              <w:t>20°C</w:t>
            </w:r>
          </w:p>
          <w:p w14:paraId="2AFE82DE" w14:textId="77777777" w:rsidR="00486D72" w:rsidRPr="00E91F85" w:rsidRDefault="00486D72" w:rsidP="00486D72">
            <w:pPr>
              <w:rPr>
                <w:bCs/>
                <w:lang w:val="en-US"/>
              </w:rPr>
            </w:pPr>
          </w:p>
          <w:p w14:paraId="00EF5220" w14:textId="0706C45D" w:rsidR="00486D72" w:rsidRPr="00E91F85" w:rsidRDefault="006576EB" w:rsidP="00486D72">
            <w:pPr>
              <w:rPr>
                <w:bCs/>
                <w:lang w:val="en-US"/>
              </w:rPr>
            </w:pPr>
            <w:r w:rsidRPr="00E91F85">
              <w:rPr>
                <w:bCs/>
                <w:lang w:val="en-US"/>
              </w:rPr>
              <w:t>With mechanical action</w:t>
            </w:r>
            <w:r w:rsidR="00F345A2" w:rsidRPr="00E91F85">
              <w:rPr>
                <w:bCs/>
                <w:lang w:val="en-US"/>
              </w:rPr>
              <w:t xml:space="preserve"> (wiping/mopping/brushing/scrubbing)</w:t>
            </w:r>
            <w:r w:rsidR="00486D72" w:rsidRPr="00E91F85">
              <w:rPr>
                <w:bCs/>
                <w:lang w:val="en-US"/>
              </w:rPr>
              <w:t>:</w:t>
            </w:r>
          </w:p>
          <w:p w14:paraId="1E516721" w14:textId="77777777" w:rsidR="00F345A2" w:rsidRPr="00E91F85" w:rsidRDefault="00486D72" w:rsidP="00486D72">
            <w:pPr>
              <w:rPr>
                <w:bCs/>
                <w:lang w:val="en-US"/>
              </w:rPr>
            </w:pPr>
            <w:r w:rsidRPr="00E91F85">
              <w:rPr>
                <w:bCs/>
                <w:lang w:val="en-US"/>
              </w:rPr>
              <w:t xml:space="preserve">Bacteria, yeasts: </w:t>
            </w:r>
          </w:p>
          <w:p w14:paraId="782E3B93" w14:textId="30342620" w:rsidR="00486D72" w:rsidRPr="00E91F85" w:rsidRDefault="00486D72" w:rsidP="00486D72">
            <w:pPr>
              <w:rPr>
                <w:bCs/>
                <w:lang w:val="en-US"/>
              </w:rPr>
            </w:pPr>
            <w:r w:rsidRPr="00E91F85">
              <w:rPr>
                <w:bCs/>
                <w:lang w:val="en-US"/>
              </w:rPr>
              <w:t xml:space="preserve">10% v/v, contact time 5 min, </w:t>
            </w:r>
            <w:r w:rsidR="00D432DF">
              <w:rPr>
                <w:bCs/>
                <w:lang w:val="en-US"/>
              </w:rPr>
              <w:t>20°C</w:t>
            </w:r>
          </w:p>
          <w:p w14:paraId="081021CB" w14:textId="77777777" w:rsidR="00E72EBE" w:rsidRPr="00E91F85" w:rsidRDefault="00E72EBE" w:rsidP="00486D72">
            <w:pPr>
              <w:rPr>
                <w:bCs/>
                <w:lang w:val="en-US"/>
              </w:rPr>
            </w:pPr>
          </w:p>
          <w:p w14:paraId="504A7074" w14:textId="0D6277BC" w:rsidR="00E72EBE" w:rsidRDefault="00E72EBE" w:rsidP="00486D72">
            <w:r>
              <w:t>Application rates:</w:t>
            </w:r>
          </w:p>
          <w:p w14:paraId="0F17434C" w14:textId="54C55E3E" w:rsidR="0020710F" w:rsidRPr="000D7D14" w:rsidRDefault="00486D72" w:rsidP="00486D72">
            <w:r w:rsidRPr="000D7D14">
              <w:t>30</w:t>
            </w:r>
            <w:r w:rsidR="00D07629">
              <w:t xml:space="preserve"> </w:t>
            </w:r>
            <w:r w:rsidRPr="000D7D14">
              <w:t>ml/m</w:t>
            </w:r>
            <w:r w:rsidRPr="00B10ACB">
              <w:rPr>
                <w:vertAlign w:val="superscript"/>
              </w:rPr>
              <w:t>2</w:t>
            </w:r>
            <w:r w:rsidRPr="000D7D14">
              <w:t xml:space="preserve"> - 20 sprays </w:t>
            </w:r>
            <w:r w:rsidR="0020710F">
              <w:t xml:space="preserve">on the surface </w:t>
            </w:r>
            <w:r w:rsidRPr="000D7D14">
              <w:t>per m</w:t>
            </w:r>
            <w:r w:rsidRPr="00B10ACB">
              <w:rPr>
                <w:vertAlign w:val="superscript"/>
              </w:rPr>
              <w:t>2</w:t>
            </w:r>
            <w:r w:rsidRPr="000D7D14">
              <w:t xml:space="preserve"> </w:t>
            </w:r>
          </w:p>
          <w:p w14:paraId="2E01FB48" w14:textId="49C384F8" w:rsidR="007018A5" w:rsidRPr="00B27CB1" w:rsidRDefault="00486D72" w:rsidP="00383E12">
            <w:pPr>
              <w:rPr>
                <w:rFonts w:cs="Times New Roman"/>
                <w:lang w:eastAsia="de-DE"/>
              </w:rPr>
            </w:pPr>
            <w:r w:rsidRPr="000D7D14">
              <w:t>8 to 12 sprays - 16 ml onto wipe per 0.1 m</w:t>
            </w:r>
            <w:r w:rsidRPr="00B10ACB">
              <w:rPr>
                <w:vertAlign w:val="superscript"/>
              </w:rPr>
              <w:t>2</w:t>
            </w:r>
          </w:p>
        </w:tc>
      </w:tr>
      <w:tr w:rsidR="007018A5" w:rsidRPr="00B27CB1" w14:paraId="206372E5" w14:textId="77777777" w:rsidTr="00685495">
        <w:tc>
          <w:tcPr>
            <w:tcW w:w="2707" w:type="dxa"/>
            <w:tcBorders>
              <w:top w:val="nil"/>
              <w:left w:val="single" w:sz="4" w:space="0" w:color="000000"/>
              <w:bottom w:val="single" w:sz="4" w:space="0" w:color="000000"/>
              <w:right w:val="nil"/>
            </w:tcBorders>
            <w:hideMark/>
          </w:tcPr>
          <w:p w14:paraId="4B6EA522" w14:textId="77777777" w:rsidR="007018A5" w:rsidRPr="00B27CB1" w:rsidRDefault="007018A5" w:rsidP="00685495">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6EC1EB0E" w14:textId="74FEF125" w:rsidR="007018A5" w:rsidRPr="00B27CB1" w:rsidRDefault="00486D72" w:rsidP="00685495">
            <w:pPr>
              <w:snapToGrid w:val="0"/>
              <w:spacing w:line="254" w:lineRule="auto"/>
              <w:rPr>
                <w:b/>
              </w:rPr>
            </w:pPr>
            <w:r w:rsidRPr="000D7D14">
              <w:t>Industrial, Professional</w:t>
            </w:r>
          </w:p>
        </w:tc>
      </w:tr>
      <w:tr w:rsidR="007018A5" w:rsidRPr="00C97335" w14:paraId="4BE64056" w14:textId="77777777" w:rsidTr="00685495">
        <w:tc>
          <w:tcPr>
            <w:tcW w:w="2707" w:type="dxa"/>
            <w:tcBorders>
              <w:top w:val="nil"/>
              <w:left w:val="single" w:sz="4" w:space="0" w:color="000000"/>
              <w:bottom w:val="single" w:sz="4" w:space="0" w:color="000000"/>
              <w:right w:val="nil"/>
            </w:tcBorders>
            <w:hideMark/>
          </w:tcPr>
          <w:p w14:paraId="223B89F1" w14:textId="77777777" w:rsidR="007018A5" w:rsidRPr="00B27CB1" w:rsidRDefault="007018A5"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05F089F" w14:textId="1EC2DF87" w:rsidR="00380F9F" w:rsidRDefault="00380F9F" w:rsidP="00380F9F">
            <w:pPr>
              <w:spacing w:line="254" w:lineRule="auto"/>
            </w:pPr>
            <w:r>
              <w:t>HDPE:</w:t>
            </w:r>
            <w:r w:rsidR="003F1647">
              <w:t xml:space="preserve"> </w:t>
            </w:r>
            <w:r>
              <w:t>1 L / 1 kg, 5 L / 5 kg, 10 L / 10 kg, 20 L / 20 kg, 120 L / 120 kg, 200 L / 200 kg, 220 L / 220 kg</w:t>
            </w:r>
          </w:p>
          <w:p w14:paraId="782FA4D4" w14:textId="32185D89" w:rsidR="00380F9F" w:rsidRDefault="00380F9F" w:rsidP="00380F9F">
            <w:pPr>
              <w:spacing w:line="254" w:lineRule="auto"/>
            </w:pPr>
            <w:r>
              <w:t>PET:</w:t>
            </w:r>
            <w:r w:rsidR="003F1647">
              <w:t xml:space="preserve"> </w:t>
            </w:r>
            <w:r>
              <w:t>1 L / 1 kg</w:t>
            </w:r>
          </w:p>
          <w:p w14:paraId="10B5FC34" w14:textId="0CF177B6" w:rsidR="00902E04" w:rsidRDefault="00380F9F" w:rsidP="00380F9F">
            <w:pPr>
              <w:spacing w:line="254" w:lineRule="auto"/>
            </w:pPr>
            <w:r w:rsidRPr="008D35E9">
              <w:t>Coextrude (HDPE/Adhesive/Nylon polyamide):</w:t>
            </w:r>
            <w:r w:rsidR="003F1647">
              <w:t xml:space="preserve"> </w:t>
            </w:r>
            <w:r>
              <w:t>5 L / 5 kg</w:t>
            </w:r>
          </w:p>
          <w:p w14:paraId="03FBAA9D" w14:textId="18FF820A" w:rsidR="00380F9F" w:rsidRPr="00E91F85" w:rsidRDefault="00380F9F" w:rsidP="00380F9F">
            <w:pPr>
              <w:spacing w:line="254" w:lineRule="auto"/>
              <w:rPr>
                <w:lang w:val="de-DE"/>
              </w:rPr>
            </w:pPr>
            <w:r>
              <w:t>Coextrude (HDPE/Adhesive resin/EVAL):</w:t>
            </w:r>
            <w:r w:rsidR="003F1647">
              <w:t xml:space="preserve"> </w:t>
            </w:r>
            <w:r w:rsidRPr="00E91F85">
              <w:rPr>
                <w:lang w:val="de-DE"/>
              </w:rPr>
              <w:t>250 mL / 250 g</w:t>
            </w:r>
          </w:p>
          <w:p w14:paraId="6127B8B7" w14:textId="3330A662" w:rsidR="007018A5" w:rsidRPr="00E91F85" w:rsidRDefault="00380F9F" w:rsidP="003F1647">
            <w:pPr>
              <w:spacing w:line="254" w:lineRule="auto"/>
              <w:rPr>
                <w:lang w:val="de-DE"/>
              </w:rPr>
            </w:pPr>
            <w:r w:rsidRPr="00E91F85">
              <w:rPr>
                <w:lang w:val="de-DE"/>
              </w:rPr>
              <w:t>LDPE/HDPE:</w:t>
            </w:r>
            <w:r w:rsidR="003F1647">
              <w:rPr>
                <w:lang w:val="de-DE"/>
              </w:rPr>
              <w:t xml:space="preserve"> </w:t>
            </w:r>
            <w:r w:rsidRPr="00E91F85">
              <w:rPr>
                <w:lang w:val="de-DE"/>
              </w:rPr>
              <w:t>20 mL</w:t>
            </w:r>
          </w:p>
        </w:tc>
      </w:tr>
    </w:tbl>
    <w:p w14:paraId="5B3F06BF" w14:textId="77777777" w:rsidR="007018A5" w:rsidRPr="00E91F85" w:rsidRDefault="007018A5" w:rsidP="007018A5">
      <w:pPr>
        <w:tabs>
          <w:tab w:val="left" w:pos="500"/>
        </w:tabs>
        <w:ind w:left="500" w:hanging="500"/>
        <w:rPr>
          <w:lang w:val="de-DE"/>
        </w:rPr>
      </w:pPr>
    </w:p>
    <w:p w14:paraId="1BF2AF9F"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11E3FF2C"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17DC809" w14:textId="20EE29B8" w:rsidR="00B36E30" w:rsidRPr="00E91F85" w:rsidRDefault="00B36E30" w:rsidP="00B36E30">
            <w:pPr>
              <w:pStyle w:val="Paragraphedeliste"/>
              <w:numPr>
                <w:ilvl w:val="0"/>
                <w:numId w:val="30"/>
              </w:numPr>
              <w:rPr>
                <w:color w:val="000000"/>
                <w:lang w:eastAsia="en-GB"/>
              </w:rPr>
            </w:pPr>
            <w:r w:rsidRPr="00E91F85">
              <w:rPr>
                <w:color w:val="000000"/>
                <w:lang w:eastAsia="en-GB"/>
              </w:rPr>
              <w:t>Manu</w:t>
            </w:r>
            <w:r w:rsidR="00E72EBE" w:rsidRPr="00E91F85">
              <w:rPr>
                <w:color w:val="000000"/>
                <w:lang w:eastAsia="en-GB"/>
              </w:rPr>
              <w:t>a</w:t>
            </w:r>
            <w:r w:rsidRPr="00E91F85">
              <w:rPr>
                <w:color w:val="000000"/>
                <w:lang w:eastAsia="en-GB"/>
              </w:rPr>
              <w:t>l disinfection:</w:t>
            </w:r>
          </w:p>
          <w:p w14:paraId="731C7FA3" w14:textId="173AB332" w:rsidR="00B36E30" w:rsidRPr="00E91F85" w:rsidRDefault="00B36E30" w:rsidP="00E91F85">
            <w:pPr>
              <w:widowControl w:val="0"/>
              <w:numPr>
                <w:ilvl w:val="0"/>
                <w:numId w:val="7"/>
              </w:numPr>
              <w:suppressAutoHyphens w:val="0"/>
              <w:autoSpaceDE w:val="0"/>
              <w:snapToGrid w:val="0"/>
              <w:spacing w:before="80" w:line="260" w:lineRule="atLeast"/>
              <w:ind w:left="386"/>
              <w:contextualSpacing/>
              <w:jc w:val="both"/>
              <w:rPr>
                <w:bCs/>
                <w:color w:val="000000"/>
                <w:lang w:val="en-US"/>
              </w:rPr>
            </w:pPr>
            <w:r w:rsidRPr="00E91F85">
              <w:rPr>
                <w:bCs/>
                <w:color w:val="000000"/>
                <w:lang w:val="en-US"/>
              </w:rPr>
              <w:t>For hard surfaces by spraying: Dilute in water and spray directly on the surface</w:t>
            </w:r>
            <w:r w:rsidR="0020710F" w:rsidRPr="00E91F85">
              <w:rPr>
                <w:bCs/>
                <w:color w:val="000000"/>
                <w:lang w:val="en-US"/>
              </w:rPr>
              <w:t>s</w:t>
            </w:r>
            <w:r w:rsidRPr="00E91F85">
              <w:rPr>
                <w:bCs/>
                <w:color w:val="000000"/>
                <w:lang w:val="en-US"/>
              </w:rPr>
              <w:t xml:space="preserve"> intended to be treated and cover the entire surface</w:t>
            </w:r>
            <w:r w:rsidR="0020710F" w:rsidRPr="00E91F85">
              <w:rPr>
                <w:bCs/>
                <w:color w:val="000000"/>
                <w:lang w:val="en-US"/>
              </w:rPr>
              <w:t>s</w:t>
            </w:r>
            <w:r w:rsidRPr="00E91F85">
              <w:rPr>
                <w:bCs/>
                <w:color w:val="000000"/>
                <w:lang w:val="en-US"/>
              </w:rPr>
              <w:t>. Allow to take effect for at least 15</w:t>
            </w:r>
            <w:r w:rsidR="00F345A2" w:rsidRPr="00E91F85">
              <w:rPr>
                <w:bCs/>
                <w:color w:val="000000"/>
                <w:lang w:val="en-US"/>
              </w:rPr>
              <w:t xml:space="preserve"> minutes</w:t>
            </w:r>
            <w:r w:rsidR="00D432DF">
              <w:rPr>
                <w:bCs/>
                <w:color w:val="000000"/>
                <w:lang w:val="en-US"/>
              </w:rPr>
              <w:t>,</w:t>
            </w:r>
            <w:r w:rsidRPr="00E91F85">
              <w:rPr>
                <w:bCs/>
                <w:color w:val="000000"/>
                <w:lang w:val="en-US"/>
              </w:rPr>
              <w:t xml:space="preserve"> then brush or scrub if required and wipe with a dry cloth.</w:t>
            </w:r>
          </w:p>
          <w:p w14:paraId="2EBED062" w14:textId="676D5E2E" w:rsidR="00B36E30" w:rsidRPr="00E91F85" w:rsidRDefault="00B36E30" w:rsidP="00E91F85">
            <w:pPr>
              <w:widowControl w:val="0"/>
              <w:numPr>
                <w:ilvl w:val="0"/>
                <w:numId w:val="7"/>
              </w:numPr>
              <w:suppressAutoHyphens w:val="0"/>
              <w:autoSpaceDE w:val="0"/>
              <w:snapToGrid w:val="0"/>
              <w:spacing w:before="80" w:line="260" w:lineRule="atLeast"/>
              <w:ind w:left="386"/>
              <w:contextualSpacing/>
              <w:jc w:val="both"/>
              <w:rPr>
                <w:bCs/>
                <w:color w:val="000000"/>
                <w:lang w:val="en-US"/>
              </w:rPr>
            </w:pPr>
            <w:r w:rsidRPr="00E91F85">
              <w:rPr>
                <w:bCs/>
                <w:color w:val="000000"/>
                <w:lang w:val="en-US"/>
              </w:rPr>
              <w:t>For hard surfaces by wipping/mopping</w:t>
            </w:r>
            <w:r w:rsidR="0045758C" w:rsidRPr="00E91F85">
              <w:rPr>
                <w:bCs/>
                <w:color w:val="000000"/>
                <w:lang w:val="en-US"/>
              </w:rPr>
              <w:t>/brushing</w:t>
            </w:r>
            <w:r w:rsidRPr="00E91F85">
              <w:rPr>
                <w:bCs/>
                <w:color w:val="000000"/>
                <w:lang w:val="en-US"/>
              </w:rPr>
              <w:t>:</w:t>
            </w:r>
            <w:r w:rsidR="0045758C" w:rsidRPr="00E91F85">
              <w:rPr>
                <w:bCs/>
                <w:color w:val="000000"/>
                <w:lang w:val="en-US"/>
              </w:rPr>
              <w:t xml:space="preserve"> </w:t>
            </w:r>
            <w:r w:rsidR="0020710F" w:rsidRPr="00E91F85">
              <w:rPr>
                <w:bCs/>
                <w:color w:val="000000"/>
                <w:lang w:val="en-US"/>
              </w:rPr>
              <w:t>Dilute in water, spray on wipe or soak the mop/wipe/brush and apply by fully wetting all surfaces intended to be treated</w:t>
            </w:r>
            <w:r w:rsidRPr="00E91F85">
              <w:rPr>
                <w:bCs/>
                <w:color w:val="000000"/>
                <w:lang w:val="en-US"/>
              </w:rPr>
              <w:t>. Allow to take effect for at least 5 minutes</w:t>
            </w:r>
            <w:r w:rsidR="00D432DF">
              <w:rPr>
                <w:bCs/>
                <w:color w:val="000000"/>
                <w:lang w:val="en-US"/>
              </w:rPr>
              <w:t>, then</w:t>
            </w:r>
            <w:r w:rsidRPr="00E91F85">
              <w:rPr>
                <w:bCs/>
                <w:color w:val="000000"/>
                <w:lang w:val="en-US"/>
              </w:rPr>
              <w:t xml:space="preserve"> wipe the surface with a dry cloth if required or let to dry.</w:t>
            </w:r>
          </w:p>
          <w:p w14:paraId="0844EB83" w14:textId="7C60E99C" w:rsidR="00B36E30" w:rsidRPr="00E91F85" w:rsidRDefault="00B36E30" w:rsidP="00B36E30">
            <w:pPr>
              <w:rPr>
                <w:bCs/>
                <w:color w:val="000000"/>
                <w:lang w:val="en-US"/>
              </w:rPr>
            </w:pPr>
          </w:p>
          <w:p w14:paraId="570BC2C0" w14:textId="77777777" w:rsidR="00B36E30" w:rsidRPr="00AC665B" w:rsidRDefault="00B36E30" w:rsidP="00B36E30">
            <w:pPr>
              <w:pStyle w:val="Paragraphedeliste"/>
              <w:numPr>
                <w:ilvl w:val="0"/>
                <w:numId w:val="30"/>
              </w:numPr>
              <w:rPr>
                <w:rFonts w:ascii="Times New Roman" w:hAnsi="Times New Roman"/>
                <w:color w:val="000000"/>
                <w:sz w:val="24"/>
                <w:szCs w:val="24"/>
                <w:lang w:eastAsia="en-GB"/>
              </w:rPr>
            </w:pPr>
            <w:r w:rsidRPr="00AC665B">
              <w:rPr>
                <w:bCs/>
                <w:color w:val="000000"/>
                <w:lang w:val="de-DE"/>
              </w:rPr>
              <w:t>Machine:</w:t>
            </w:r>
          </w:p>
          <w:p w14:paraId="175EAA2B" w14:textId="640B3971" w:rsidR="00486D72" w:rsidRPr="00E91F85" w:rsidRDefault="00B36E30" w:rsidP="00E91F85">
            <w:pPr>
              <w:widowControl w:val="0"/>
              <w:numPr>
                <w:ilvl w:val="0"/>
                <w:numId w:val="7"/>
              </w:numPr>
              <w:suppressAutoHyphens w:val="0"/>
              <w:autoSpaceDE w:val="0"/>
              <w:snapToGrid w:val="0"/>
              <w:spacing w:before="80" w:line="260" w:lineRule="atLeast"/>
              <w:ind w:left="386"/>
              <w:contextualSpacing/>
              <w:jc w:val="both"/>
              <w:rPr>
                <w:bCs/>
                <w:color w:val="000000"/>
                <w:lang w:val="en-US"/>
              </w:rPr>
            </w:pPr>
            <w:r w:rsidRPr="00E91F85">
              <w:rPr>
                <w:bCs/>
                <w:color w:val="000000"/>
                <w:lang w:val="en-US"/>
              </w:rPr>
              <w:t xml:space="preserve">Dilute in water in scrubber-dryers, single-disk scrubbers, high or low pressure sprayers... and apply on surface and/or floor intended to be treated. Allow to take effect for at least 5 </w:t>
            </w:r>
            <w:r w:rsidR="00F345A2" w:rsidRPr="00E91F85">
              <w:rPr>
                <w:bCs/>
                <w:color w:val="000000"/>
                <w:lang w:val="en-US"/>
              </w:rPr>
              <w:t xml:space="preserve">minutes </w:t>
            </w:r>
            <w:r w:rsidRPr="00E91F85">
              <w:rPr>
                <w:bCs/>
                <w:color w:val="000000"/>
                <w:lang w:val="en-US"/>
              </w:rPr>
              <w:t>and then let to dry. Rinse the tank after applying the product.</w:t>
            </w:r>
          </w:p>
          <w:p w14:paraId="1DA78DA1" w14:textId="3CD92647" w:rsidR="00D07629" w:rsidRPr="00E91F85" w:rsidRDefault="00D07629" w:rsidP="00E91F85">
            <w:pPr>
              <w:widowControl w:val="0"/>
              <w:suppressAutoHyphens w:val="0"/>
              <w:autoSpaceDE w:val="0"/>
              <w:snapToGrid w:val="0"/>
              <w:spacing w:before="80" w:line="260" w:lineRule="atLeast"/>
              <w:ind w:left="26"/>
              <w:contextualSpacing/>
              <w:jc w:val="both"/>
              <w:rPr>
                <w:bCs/>
                <w:color w:val="000000"/>
                <w:lang w:val="en-US"/>
              </w:rPr>
            </w:pPr>
          </w:p>
          <w:p w14:paraId="48481F42" w14:textId="12452A35" w:rsidR="007018A5" w:rsidRPr="00E91F85" w:rsidRDefault="00486D72" w:rsidP="00E91F85">
            <w:pPr>
              <w:widowControl w:val="0"/>
              <w:numPr>
                <w:ilvl w:val="0"/>
                <w:numId w:val="7"/>
              </w:numPr>
              <w:suppressAutoHyphens w:val="0"/>
              <w:autoSpaceDE w:val="0"/>
              <w:snapToGrid w:val="0"/>
              <w:spacing w:before="80" w:line="260" w:lineRule="atLeast"/>
              <w:ind w:left="386"/>
              <w:contextualSpacing/>
              <w:jc w:val="both"/>
              <w:rPr>
                <w:bCs/>
                <w:color w:val="000000"/>
                <w:lang w:val="en-US"/>
              </w:rPr>
            </w:pPr>
            <w:r w:rsidRPr="00E91F85">
              <w:rPr>
                <w:bCs/>
                <w:color w:val="000000"/>
                <w:lang w:val="en-US"/>
              </w:rPr>
              <w:t>The product must be used directly after dilution.</w:t>
            </w:r>
          </w:p>
        </w:tc>
      </w:tr>
    </w:tbl>
    <w:p w14:paraId="72C0E671"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7FF8A34B"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D556460" w14:textId="2373F6FB" w:rsidR="007018A5" w:rsidRPr="00B27CB1" w:rsidRDefault="00486D72" w:rsidP="00E91F85">
            <w:pPr>
              <w:widowControl w:val="0"/>
              <w:numPr>
                <w:ilvl w:val="0"/>
                <w:numId w:val="7"/>
              </w:numPr>
              <w:suppressAutoHyphens w:val="0"/>
              <w:autoSpaceDE w:val="0"/>
              <w:snapToGrid w:val="0"/>
              <w:spacing w:before="80" w:line="260" w:lineRule="atLeast"/>
              <w:ind w:left="386"/>
              <w:contextualSpacing/>
              <w:jc w:val="both"/>
              <w:rPr>
                <w:rFonts w:cs="Times"/>
                <w:bCs/>
                <w:szCs w:val="29"/>
              </w:rPr>
            </w:pPr>
            <w:r w:rsidRPr="00E91F85">
              <w:rPr>
                <w:bCs/>
                <w:color w:val="000000"/>
                <w:lang w:val="en-US"/>
              </w:rPr>
              <w:t>For heathcare facilities, apply the product only in areas where disinfection is not medically indicated.</w:t>
            </w:r>
          </w:p>
        </w:tc>
      </w:tr>
    </w:tbl>
    <w:p w14:paraId="009D6E29"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0223033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297BC63" w14:textId="59DE9EDC"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143F7E36"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4E1AAFEB"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2D986F1" w14:textId="3144B0E7"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70DB9CCA" w14:textId="77777777" w:rsidR="007018A5" w:rsidRPr="00B10ACB" w:rsidRDefault="007018A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7018A5" w:rsidRPr="00B27CB1" w14:paraId="0793662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41AEA18" w14:textId="70AE87D3" w:rsidR="007018A5" w:rsidRPr="00B27CB1" w:rsidRDefault="003F1647" w:rsidP="00685495">
            <w:pPr>
              <w:widowControl w:val="0"/>
              <w:autoSpaceDE w:val="0"/>
              <w:snapToGrid w:val="0"/>
              <w:spacing w:before="80" w:line="254" w:lineRule="auto"/>
              <w:rPr>
                <w:rFonts w:cs="Times"/>
                <w:bCs/>
                <w:szCs w:val="29"/>
              </w:rPr>
            </w:pPr>
            <w:r>
              <w:rPr>
                <w:rFonts w:cs="Times"/>
                <w:bCs/>
                <w:szCs w:val="29"/>
              </w:rPr>
              <w:t>-</w:t>
            </w:r>
          </w:p>
        </w:tc>
      </w:tr>
    </w:tbl>
    <w:p w14:paraId="3CC37C74" w14:textId="77777777" w:rsidR="007018A5" w:rsidRPr="00B27CB1" w:rsidRDefault="007018A5" w:rsidP="007018A5">
      <w:pPr>
        <w:widowControl w:val="0"/>
        <w:autoSpaceDE w:val="0"/>
        <w:rPr>
          <w:rFonts w:cs="Times"/>
          <w:bCs/>
          <w:szCs w:val="29"/>
        </w:rPr>
      </w:pPr>
    </w:p>
    <w:p w14:paraId="717DA170" w14:textId="77777777" w:rsidR="00A932DC" w:rsidRPr="00B10ACB" w:rsidRDefault="00A932DC" w:rsidP="00E91F85">
      <w:pPr>
        <w:pStyle w:val="Titre3"/>
        <w:rPr>
          <w:lang w:val="en-US"/>
        </w:rPr>
      </w:pPr>
      <w:bookmarkStart w:id="105" w:name="_Toc87361135"/>
      <w:r w:rsidRPr="00B10ACB">
        <w:rPr>
          <w:lang w:val="en-US"/>
        </w:rPr>
        <w:t>General directions for use of the meta SPC 6</w:t>
      </w:r>
      <w:bookmarkEnd w:id="105"/>
    </w:p>
    <w:p w14:paraId="7BA73EB2"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297AEB55"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4E91F" w14:textId="3A781308" w:rsidR="00486D72" w:rsidRPr="004E3347" w:rsidRDefault="004E3347" w:rsidP="00486D72">
            <w:pPr>
              <w:pStyle w:val="Paragraphedeliste"/>
              <w:numPr>
                <w:ilvl w:val="0"/>
                <w:numId w:val="7"/>
              </w:numPr>
              <w:rPr>
                <w:rFonts w:cs="Arial"/>
                <w:color w:val="000000"/>
                <w:lang w:eastAsia="fr-FR"/>
              </w:rPr>
            </w:pPr>
            <w:r>
              <w:rPr>
                <w:rFonts w:cs="Calibri"/>
                <w:iCs/>
                <w:color w:val="000000"/>
              </w:rPr>
              <w:t>Comply with the instructions of uses</w:t>
            </w:r>
            <w:r w:rsidR="00A75339">
              <w:rPr>
                <w:rFonts w:cs="Calibri"/>
                <w:iCs/>
                <w:color w:val="000000"/>
              </w:rPr>
              <w:t>.</w:t>
            </w:r>
          </w:p>
          <w:p w14:paraId="25203569" w14:textId="0499E813" w:rsidR="00486D72" w:rsidRPr="004E3347" w:rsidRDefault="00486D72" w:rsidP="00486D72">
            <w:pPr>
              <w:pStyle w:val="Paragraphedeliste"/>
              <w:numPr>
                <w:ilvl w:val="0"/>
                <w:numId w:val="7"/>
              </w:numPr>
              <w:rPr>
                <w:rFonts w:cs="Arial"/>
                <w:color w:val="000000"/>
              </w:rPr>
            </w:pPr>
            <w:r w:rsidRPr="004E3347">
              <w:rPr>
                <w:rFonts w:cs="Arial"/>
                <w:color w:val="000000"/>
              </w:rPr>
              <w:t>Respect the conditions of use of the product (concentration, contact time, temperature, pH, etc.)</w:t>
            </w:r>
            <w:r w:rsidR="00A75339">
              <w:rPr>
                <w:rFonts w:cs="Arial"/>
                <w:color w:val="000000"/>
              </w:rPr>
              <w:t>.</w:t>
            </w:r>
          </w:p>
          <w:p w14:paraId="5FADCD3E" w14:textId="77777777" w:rsidR="00486D72" w:rsidRPr="00486D72" w:rsidRDefault="00486D72" w:rsidP="00486D72">
            <w:pPr>
              <w:pStyle w:val="Paragraphedeliste"/>
              <w:numPr>
                <w:ilvl w:val="0"/>
                <w:numId w:val="7"/>
              </w:numPr>
              <w:rPr>
                <w:rFonts w:cs="Arial"/>
                <w:color w:val="000000"/>
                <w:lang w:eastAsia="fr-FR"/>
              </w:rPr>
            </w:pPr>
            <w:r w:rsidRPr="00486D72">
              <w:rPr>
                <w:bCs/>
                <w:iCs/>
              </w:rPr>
              <w:t>Inform the authorization holder if the treatment is ineffective.</w:t>
            </w:r>
          </w:p>
          <w:p w14:paraId="5A1D19FD" w14:textId="3DDB1AB0" w:rsidR="00486D72" w:rsidRPr="00B27CB1" w:rsidRDefault="00486D72" w:rsidP="00E91F85">
            <w:pPr>
              <w:pStyle w:val="Paragraphedeliste"/>
              <w:numPr>
                <w:ilvl w:val="0"/>
                <w:numId w:val="7"/>
              </w:numPr>
              <w:rPr>
                <w:bCs/>
                <w:iCs/>
              </w:rPr>
            </w:pPr>
            <w:r w:rsidRPr="00486D72">
              <w:rPr>
                <w:bCs/>
                <w:iCs/>
              </w:rPr>
              <w:t>For PT4</w:t>
            </w:r>
            <w:r w:rsidR="006576EB">
              <w:rPr>
                <w:bCs/>
                <w:iCs/>
              </w:rPr>
              <w:t xml:space="preserve"> areas</w:t>
            </w:r>
            <w:r w:rsidRPr="00486D72">
              <w:rPr>
                <w:bCs/>
                <w:iCs/>
              </w:rPr>
              <w:t xml:space="preserve">, application is only for general disinfection. </w:t>
            </w:r>
          </w:p>
        </w:tc>
      </w:tr>
    </w:tbl>
    <w:p w14:paraId="6BA2EF59"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71729B5"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8CCB9E4" w14:textId="6B487D16" w:rsidR="003419A9" w:rsidRPr="00E91F85" w:rsidRDefault="003419A9" w:rsidP="00E91F85">
            <w:pPr>
              <w:pStyle w:val="Paragraphedeliste"/>
              <w:numPr>
                <w:ilvl w:val="0"/>
                <w:numId w:val="7"/>
              </w:numPr>
              <w:rPr>
                <w:rFonts w:cs="Calibri"/>
                <w:iCs/>
                <w:color w:val="000000"/>
              </w:rPr>
            </w:pPr>
            <w:r w:rsidRPr="00E91F85">
              <w:rPr>
                <w:rFonts w:cs="Calibri"/>
                <w:iCs/>
                <w:color w:val="000000"/>
              </w:rPr>
              <w:t>Avoidance of contact with freshly treated surfaces.</w:t>
            </w:r>
          </w:p>
          <w:p w14:paraId="5E2AD492" w14:textId="68756A46" w:rsidR="00A46E1B" w:rsidRPr="00A75339" w:rsidRDefault="00A46E1B" w:rsidP="00E91F85">
            <w:pPr>
              <w:pStyle w:val="Paragraphedeliste"/>
              <w:numPr>
                <w:ilvl w:val="0"/>
                <w:numId w:val="7"/>
              </w:numPr>
              <w:jc w:val="both"/>
              <w:rPr>
                <w:color w:val="000000" w:themeColor="text1"/>
                <w:sz w:val="22"/>
              </w:rPr>
            </w:pPr>
            <w:r w:rsidRPr="00E91F85">
              <w:rPr>
                <w:rFonts w:cs="Calibri"/>
                <w:iCs/>
                <w:color w:val="000000"/>
              </w:rPr>
              <w:t>During mixing and loading, wear:</w:t>
            </w:r>
          </w:p>
          <w:p w14:paraId="2C29D2CF" w14:textId="5D362F3D"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5B892D02"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38908F73" w14:textId="7B7AEF39"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A75339">
              <w:rPr>
                <w:rFonts w:cs="Arial"/>
                <w:iCs/>
                <w:color w:val="000000" w:themeColor="text1"/>
                <w:szCs w:val="16"/>
                <w:lang w:val="en-US"/>
              </w:rPr>
              <w:t>.</w:t>
            </w:r>
            <w:r>
              <w:rPr>
                <w:rFonts w:cs="Arial"/>
                <w:iCs/>
                <w:color w:val="000000" w:themeColor="text1"/>
                <w:szCs w:val="16"/>
                <w:lang w:val="en-US"/>
              </w:rPr>
              <w:t xml:space="preserve"> </w:t>
            </w:r>
          </w:p>
          <w:p w14:paraId="41F5738B" w14:textId="30F0E21B"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w:t>
            </w:r>
            <w:r w:rsidR="00A75339">
              <w:rPr>
                <w:rFonts w:cs="Arial"/>
                <w:iCs/>
                <w:color w:val="000000" w:themeColor="text1"/>
                <w:szCs w:val="16"/>
                <w:lang w:val="en-US"/>
              </w:rPr>
              <w:t>.</w:t>
            </w:r>
            <w:r>
              <w:rPr>
                <w:rFonts w:cs="Arial"/>
                <w:iCs/>
                <w:color w:val="000000" w:themeColor="text1"/>
                <w:szCs w:val="16"/>
                <w:lang w:val="en-US"/>
              </w:rPr>
              <w:t xml:space="preserve"> </w:t>
            </w:r>
          </w:p>
          <w:p w14:paraId="005E6C6C" w14:textId="28CA8411"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Minimisation of manual phases</w:t>
            </w:r>
            <w:r w:rsidR="00A75339">
              <w:rPr>
                <w:rFonts w:cs="Arial"/>
                <w:iCs/>
                <w:color w:val="000000" w:themeColor="text1"/>
                <w:szCs w:val="16"/>
                <w:lang w:val="en-US"/>
              </w:rPr>
              <w:t>.</w:t>
            </w:r>
          </w:p>
          <w:p w14:paraId="59197C89" w14:textId="1477962D" w:rsidR="00A46E1B" w:rsidRPr="00A75339" w:rsidRDefault="00A46E1B" w:rsidP="00E91F85">
            <w:pPr>
              <w:pStyle w:val="Paragraphedeliste"/>
              <w:numPr>
                <w:ilvl w:val="0"/>
                <w:numId w:val="7"/>
              </w:numPr>
              <w:jc w:val="both"/>
              <w:rPr>
                <w:color w:val="000000" w:themeColor="text1"/>
                <w:sz w:val="22"/>
              </w:rPr>
            </w:pPr>
            <w:r w:rsidRPr="00E91F85">
              <w:rPr>
                <w:rFonts w:cs="Calibri"/>
                <w:iCs/>
                <w:color w:val="000000"/>
              </w:rPr>
              <w:t>During application and cleaning of spray equipment, wear:</w:t>
            </w:r>
          </w:p>
          <w:p w14:paraId="41CB7E2B" w14:textId="628EBD30"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36B40EC3"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34A73232" w14:textId="4AC8F4D8"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A75339">
              <w:rPr>
                <w:rFonts w:cs="Arial"/>
                <w:iCs/>
                <w:color w:val="000000" w:themeColor="text1"/>
                <w:szCs w:val="16"/>
                <w:lang w:val="en-US"/>
              </w:rPr>
              <w:t>.</w:t>
            </w:r>
            <w:r>
              <w:rPr>
                <w:rFonts w:cs="Arial"/>
                <w:iCs/>
                <w:color w:val="000000" w:themeColor="text1"/>
                <w:szCs w:val="16"/>
                <w:lang w:val="en-US"/>
              </w:rPr>
              <w:t xml:space="preserve"> </w:t>
            </w:r>
          </w:p>
          <w:p w14:paraId="64C51082" w14:textId="1E05A675" w:rsidR="00A932DC" w:rsidRPr="00B27CB1" w:rsidRDefault="00A46E1B" w:rsidP="0004436A">
            <w:pPr>
              <w:pStyle w:val="Paragraphedeliste"/>
              <w:numPr>
                <w:ilvl w:val="0"/>
                <w:numId w:val="38"/>
              </w:numPr>
              <w:suppressAutoHyphens w:val="0"/>
              <w:spacing w:line="256" w:lineRule="auto"/>
              <w:jc w:val="both"/>
            </w:pPr>
            <w:r>
              <w:rPr>
                <w:rFonts w:cs="Arial"/>
                <w:iCs/>
                <w:color w:val="000000" w:themeColor="text1"/>
                <w:szCs w:val="16"/>
                <w:lang w:val="en-US"/>
              </w:rPr>
              <w:t>The spray application must be downward in order to avoid any facial exposure.</w:t>
            </w:r>
          </w:p>
        </w:tc>
      </w:tr>
    </w:tbl>
    <w:p w14:paraId="4EA806D4"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414A980"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5E07713" w14:textId="44F6E3FE" w:rsidR="002B7A93" w:rsidRPr="00E91F85" w:rsidRDefault="002B7A9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ON SKIN (or hair): Take off immediately all contaminated clothing. Rinse skin with water [or shower].</w:t>
            </w:r>
          </w:p>
          <w:p w14:paraId="2F44D923" w14:textId="27E7C34D" w:rsidR="002B7A93" w:rsidRPr="00E91F85" w:rsidRDefault="002B7A9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 EYES: Rinse cautiously with water for several minutes. Remove contact lenses, if present and easy to do. Continue rinsing.</w:t>
            </w:r>
          </w:p>
          <w:p w14:paraId="013C24A3" w14:textId="20F56085" w:rsidR="002B7A93" w:rsidRPr="00E91F85" w:rsidRDefault="002B7A9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SWALLOWED: Rinse mouth. Do NOT induce vomiting.</w:t>
            </w:r>
          </w:p>
          <w:p w14:paraId="5BEC13D4" w14:textId="77777777" w:rsidR="00647BB1" w:rsidRPr="00E91F85" w:rsidRDefault="002B7A9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INHALED: Remove personto fresh air and keep comfortable for breathing.</w:t>
            </w:r>
          </w:p>
          <w:p w14:paraId="6CE228B3" w14:textId="30AE7214" w:rsidR="002B7A93" w:rsidRPr="00E91F85" w:rsidRDefault="002B7A9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 case of impaired consciousness place in</w:t>
            </w:r>
            <w:r w:rsidR="00A75339">
              <w:rPr>
                <w:rFonts w:cs="Arial"/>
                <w:iCs/>
                <w:color w:val="000000" w:themeColor="text1"/>
                <w:szCs w:val="16"/>
              </w:rPr>
              <w:t xml:space="preserve"> </w:t>
            </w:r>
            <w:r w:rsidRPr="00E91F85">
              <w:rPr>
                <w:rFonts w:cs="Arial"/>
                <w:iCs/>
                <w:color w:val="000000" w:themeColor="text1"/>
                <w:szCs w:val="16"/>
              </w:rPr>
              <w:t>recovery position and</w:t>
            </w:r>
            <w:r w:rsidR="00A75339">
              <w:rPr>
                <w:rFonts w:cs="Arial"/>
                <w:iCs/>
                <w:color w:val="000000" w:themeColor="text1"/>
                <w:szCs w:val="16"/>
              </w:rPr>
              <w:t xml:space="preserve"> </w:t>
            </w:r>
            <w:r w:rsidRPr="00E91F85">
              <w:rPr>
                <w:rFonts w:cs="Arial"/>
                <w:iCs/>
                <w:color w:val="000000" w:themeColor="text1"/>
                <w:szCs w:val="16"/>
              </w:rPr>
              <w:t>seek</w:t>
            </w:r>
            <w:r w:rsidR="00A75339">
              <w:rPr>
                <w:rFonts w:cs="Arial"/>
                <w:iCs/>
                <w:color w:val="000000" w:themeColor="text1"/>
                <w:szCs w:val="16"/>
              </w:rPr>
              <w:t xml:space="preserve"> </w:t>
            </w:r>
            <w:r w:rsidRPr="00E91F85">
              <w:rPr>
                <w:rFonts w:cs="Arial"/>
                <w:iCs/>
                <w:color w:val="000000" w:themeColor="text1"/>
                <w:szCs w:val="16"/>
              </w:rPr>
              <w:t>medical advice immediately.</w:t>
            </w:r>
          </w:p>
          <w:p w14:paraId="1F1AD972" w14:textId="187D63D3" w:rsidR="00A75339" w:rsidRPr="00E91F85" w:rsidRDefault="002B7A93" w:rsidP="00E91F85">
            <w:pPr>
              <w:pStyle w:val="Paragraphedeliste"/>
              <w:numPr>
                <w:ilvl w:val="0"/>
                <w:numId w:val="38"/>
              </w:numPr>
              <w:suppressAutoHyphens w:val="0"/>
              <w:spacing w:line="256" w:lineRule="auto"/>
              <w:jc w:val="both"/>
              <w:rPr>
                <w:rFonts w:ascii="Calibri" w:eastAsia="Calibri" w:hAnsi="Calibri" w:cs="Times New Roman"/>
                <w:sz w:val="22"/>
                <w:szCs w:val="22"/>
                <w:lang w:val="en-US" w:eastAsia="en-US"/>
              </w:rPr>
            </w:pPr>
            <w:r w:rsidRPr="00E91F85">
              <w:rPr>
                <w:rFonts w:cs="Arial"/>
                <w:iCs/>
                <w:color w:val="000000" w:themeColor="text1"/>
                <w:szCs w:val="16"/>
              </w:rPr>
              <w:t>Keep the container or label available</w:t>
            </w:r>
            <w:r w:rsidR="00A75339">
              <w:rPr>
                <w:rFonts w:cs="Arial"/>
                <w:iCs/>
                <w:color w:val="000000" w:themeColor="text1"/>
                <w:szCs w:val="16"/>
              </w:rPr>
              <w:t>.</w:t>
            </w:r>
          </w:p>
        </w:tc>
      </w:tr>
    </w:tbl>
    <w:p w14:paraId="07B79175"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80F007C"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124C0D7" w14:textId="4307A0D0" w:rsidR="00CF6513" w:rsidRPr="00E91F85" w:rsidRDefault="00CF651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Do not discharge unused product on the ground, into water courses, into pipes (sink, toilets…) nor down the drains</w:t>
            </w:r>
            <w:r w:rsidR="00A75339">
              <w:rPr>
                <w:rFonts w:cs="Arial"/>
                <w:iCs/>
                <w:color w:val="000000" w:themeColor="text1"/>
                <w:szCs w:val="16"/>
              </w:rPr>
              <w:t>.</w:t>
            </w:r>
          </w:p>
          <w:p w14:paraId="2853F5F2" w14:textId="3CB52E78" w:rsidR="00A932DC" w:rsidRPr="00B27CB1" w:rsidRDefault="00CF6513" w:rsidP="00E91F85">
            <w:pPr>
              <w:pStyle w:val="Paragraphedeliste"/>
              <w:numPr>
                <w:ilvl w:val="0"/>
                <w:numId w:val="38"/>
              </w:numPr>
              <w:suppressAutoHyphens w:val="0"/>
              <w:spacing w:line="256" w:lineRule="auto"/>
              <w:jc w:val="both"/>
            </w:pPr>
            <w:r w:rsidRPr="00E91F85">
              <w:rPr>
                <w:rFonts w:cs="Arial"/>
                <w:iCs/>
                <w:color w:val="000000" w:themeColor="text1"/>
                <w:szCs w:val="16"/>
              </w:rPr>
              <w:t>Dispose of unused product, its packaging and all other waste, in accordance with local regulations</w:t>
            </w:r>
            <w:r w:rsidR="00A75339">
              <w:t>.</w:t>
            </w:r>
          </w:p>
        </w:tc>
      </w:tr>
    </w:tbl>
    <w:p w14:paraId="32925809"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F240B73"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3481395" w14:textId="09DD7ADD" w:rsidR="00A932DC" w:rsidRPr="00B27CB1" w:rsidRDefault="001518D7" w:rsidP="0004436A">
            <w:pPr>
              <w:pStyle w:val="Paragraphedeliste"/>
              <w:numPr>
                <w:ilvl w:val="0"/>
                <w:numId w:val="38"/>
              </w:numPr>
              <w:suppressAutoHyphens w:val="0"/>
              <w:spacing w:line="256" w:lineRule="auto"/>
              <w:jc w:val="both"/>
            </w:pPr>
            <w:r w:rsidRPr="00E91F85">
              <w:rPr>
                <w:rFonts w:cs="Arial"/>
                <w:iCs/>
                <w:color w:val="000000" w:themeColor="text1"/>
                <w:szCs w:val="16"/>
              </w:rPr>
              <w:t>Shelf life: 2 years</w:t>
            </w:r>
            <w:r w:rsidR="00A75339">
              <w:rPr>
                <w:rFonts w:cs="Arial"/>
                <w:iCs/>
                <w:color w:val="000000" w:themeColor="text1"/>
                <w:szCs w:val="16"/>
              </w:rPr>
              <w:t>.</w:t>
            </w:r>
          </w:p>
        </w:tc>
      </w:tr>
    </w:tbl>
    <w:p w14:paraId="54D83030" w14:textId="77777777" w:rsidR="00A932DC" w:rsidRPr="00B27CB1" w:rsidRDefault="00A932DC" w:rsidP="00A932DC">
      <w:pPr>
        <w:widowControl w:val="0"/>
        <w:autoSpaceDE w:val="0"/>
        <w:rPr>
          <w:bCs/>
          <w:iCs/>
          <w:szCs w:val="22"/>
        </w:rPr>
      </w:pPr>
    </w:p>
    <w:p w14:paraId="04BD938F" w14:textId="77777777" w:rsidR="00A932DC" w:rsidRPr="00B27CB1" w:rsidRDefault="00A932DC" w:rsidP="00E91F85">
      <w:pPr>
        <w:pStyle w:val="Titre3"/>
      </w:pPr>
      <w:bookmarkStart w:id="106" w:name="_Toc87361136"/>
      <w:r w:rsidRPr="00B27CB1">
        <w:t>Other information</w:t>
      </w:r>
      <w:bookmarkEnd w:id="10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0B4C731"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7D27A8F" w14:textId="5C67389D" w:rsidR="00A932DC" w:rsidRPr="00B27CB1" w:rsidRDefault="0004436A" w:rsidP="00A932DC">
            <w:pPr>
              <w:widowControl w:val="0"/>
              <w:autoSpaceDE w:val="0"/>
              <w:snapToGrid w:val="0"/>
              <w:spacing w:line="256" w:lineRule="auto"/>
              <w:jc w:val="both"/>
            </w:pPr>
            <w:r>
              <w:t>-</w:t>
            </w:r>
          </w:p>
        </w:tc>
      </w:tr>
    </w:tbl>
    <w:p w14:paraId="124A9DC3" w14:textId="77777777" w:rsidR="00A932DC" w:rsidRPr="00B27CB1" w:rsidRDefault="00A932DC" w:rsidP="00A932DC"/>
    <w:p w14:paraId="48445150" w14:textId="514C3EF5" w:rsidR="007018A5" w:rsidRPr="00B27CB1" w:rsidRDefault="007018A5">
      <w:pPr>
        <w:suppressAutoHyphens w:val="0"/>
      </w:pPr>
      <w:r w:rsidRPr="00B27CB1">
        <w:br w:type="page"/>
      </w:r>
    </w:p>
    <w:p w14:paraId="75182D8B" w14:textId="77777777" w:rsidR="00A932DC" w:rsidRPr="00B27CB1" w:rsidRDefault="00A932DC" w:rsidP="00A932DC"/>
    <w:p w14:paraId="7FF0446C" w14:textId="7777777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6</w:t>
      </w:r>
    </w:p>
    <w:p w14:paraId="3F7DE5AF" w14:textId="77777777" w:rsidR="00A932DC" w:rsidRPr="00B27CB1" w:rsidRDefault="00A932DC" w:rsidP="00A932DC">
      <w:pPr>
        <w:widowControl w:val="0"/>
        <w:autoSpaceDE w:val="0"/>
        <w:rPr>
          <w:rFonts w:cs="Times"/>
          <w:bCs/>
          <w:szCs w:val="29"/>
        </w:rPr>
      </w:pPr>
    </w:p>
    <w:p w14:paraId="5BE14D8E" w14:textId="77777777" w:rsidR="00A932DC" w:rsidRPr="00B10ACB" w:rsidRDefault="00A932DC" w:rsidP="00E91F85">
      <w:pPr>
        <w:pStyle w:val="Titre3"/>
        <w:rPr>
          <w:lang w:val="en-US"/>
        </w:rPr>
      </w:pPr>
      <w:bookmarkStart w:id="107" w:name="_Toc87361137"/>
      <w:r w:rsidRPr="00B10ACB">
        <w:rPr>
          <w:lang w:val="en-US"/>
        </w:rPr>
        <w:t>Trade name(s), authorisation number and specific composition of each individual product</w:t>
      </w:r>
      <w:bookmarkEnd w:id="107"/>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522"/>
        <w:gridCol w:w="1462"/>
        <w:gridCol w:w="1276"/>
        <w:gridCol w:w="1152"/>
        <w:gridCol w:w="967"/>
      </w:tblGrid>
      <w:tr w:rsidR="007018A5" w:rsidRPr="00A04731" w14:paraId="5B63CE93"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63010C" w14:textId="77777777" w:rsidR="007018A5" w:rsidRPr="00B27CB1" w:rsidRDefault="007018A5"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54F9D0" w14:textId="77777777" w:rsidR="00685495" w:rsidRPr="005A150D" w:rsidRDefault="00685495"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DÉGRAISSANT DÉSINFECTANT CONCENTRÉ</w:t>
            </w:r>
          </w:p>
          <w:p w14:paraId="532C090B" w14:textId="55004F2B" w:rsidR="007018A5" w:rsidRPr="005A150D" w:rsidRDefault="00685495"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RESOLUTIONS Dégraissant Désinfectant Alimentaire Concentré</w:t>
            </w:r>
          </w:p>
        </w:tc>
      </w:tr>
      <w:tr w:rsidR="007018A5" w:rsidRPr="00B27CB1" w14:paraId="0209FE25"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F8C69B" w14:textId="77777777" w:rsidR="007018A5" w:rsidRPr="00B27CB1" w:rsidRDefault="007018A5"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7DCAF" w14:textId="77777777" w:rsidR="007018A5" w:rsidRPr="00B27CB1" w:rsidRDefault="007018A5" w:rsidP="00685495">
            <w:pPr>
              <w:spacing w:line="256" w:lineRule="auto"/>
              <w:rPr>
                <w:b/>
                <w:bCs/>
                <w:szCs w:val="24"/>
                <w:lang w:eastAsia="en-GB"/>
              </w:rPr>
            </w:pPr>
          </w:p>
        </w:tc>
      </w:tr>
      <w:tr w:rsidR="007018A5" w:rsidRPr="00B27CB1" w14:paraId="2EB4EB74" w14:textId="77777777" w:rsidTr="00B10ACB">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677961" w14:textId="77777777" w:rsidR="007018A5" w:rsidRPr="00B27CB1" w:rsidRDefault="007018A5" w:rsidP="00685495">
            <w:pPr>
              <w:spacing w:line="256" w:lineRule="auto"/>
            </w:pPr>
            <w:r w:rsidRPr="00B27CB1">
              <w:rPr>
                <w:b/>
                <w:bCs/>
                <w:szCs w:val="24"/>
                <w:lang w:eastAsia="en-GB"/>
              </w:rPr>
              <w:t>Common name</w:t>
            </w:r>
          </w:p>
        </w:tc>
        <w:tc>
          <w:tcPr>
            <w:tcW w:w="15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A850F7" w14:textId="77777777" w:rsidR="007018A5" w:rsidRPr="00B27CB1" w:rsidRDefault="007018A5" w:rsidP="00685495">
            <w:pPr>
              <w:spacing w:line="256" w:lineRule="auto"/>
            </w:pPr>
            <w:r w:rsidRPr="00B27CB1">
              <w:rPr>
                <w:b/>
                <w:bCs/>
                <w:szCs w:val="24"/>
                <w:lang w:eastAsia="en-GB"/>
              </w:rPr>
              <w:t>IUPAC name</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36CC39" w14:textId="77777777" w:rsidR="007018A5" w:rsidRPr="00B27CB1" w:rsidRDefault="007018A5"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45A542" w14:textId="77777777" w:rsidR="007018A5" w:rsidRPr="00B27CB1" w:rsidRDefault="007018A5"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E1CD3D" w14:textId="77777777" w:rsidR="007018A5" w:rsidRPr="00B27CB1" w:rsidRDefault="007018A5"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8B652A" w14:textId="77777777" w:rsidR="007018A5" w:rsidRPr="00B27CB1" w:rsidRDefault="007018A5" w:rsidP="00685495">
            <w:pPr>
              <w:spacing w:line="256" w:lineRule="auto"/>
            </w:pPr>
            <w:r w:rsidRPr="00B27CB1">
              <w:rPr>
                <w:b/>
                <w:bCs/>
                <w:szCs w:val="24"/>
                <w:lang w:eastAsia="en-GB"/>
              </w:rPr>
              <w:t>Content (%)</w:t>
            </w:r>
          </w:p>
        </w:tc>
      </w:tr>
      <w:tr w:rsidR="00EE5406" w:rsidRPr="00B27CB1" w14:paraId="667DA2B6" w14:textId="77777777" w:rsidTr="00B10ACB">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0EBD55" w14:textId="4C144498" w:rsidR="00EE5406" w:rsidRPr="00B10ACB" w:rsidRDefault="00480A68" w:rsidP="00EE5406">
            <w:pPr>
              <w:snapToGrid w:val="0"/>
              <w:spacing w:line="256" w:lineRule="auto"/>
              <w:rPr>
                <w:rFonts w:cs="Arial"/>
              </w:rPr>
            </w:pPr>
            <w:r w:rsidRPr="005D3980">
              <w:rPr>
                <w:rFonts w:cs="Arial"/>
              </w:rPr>
              <w:t xml:space="preserve">L(+) </w:t>
            </w:r>
            <w:r w:rsidR="00EE5406" w:rsidRPr="00B10ACB">
              <w:rPr>
                <w:rFonts w:cs="Arial"/>
              </w:rPr>
              <w:t>Lactic acid</w:t>
            </w:r>
          </w:p>
          <w:p w14:paraId="6DB989E5" w14:textId="77777777" w:rsidR="00EE5406" w:rsidRPr="00B10ACB" w:rsidRDefault="00EE5406" w:rsidP="00EE5406">
            <w:pPr>
              <w:widowControl w:val="0"/>
              <w:autoSpaceDE w:val="0"/>
              <w:spacing w:line="256" w:lineRule="auto"/>
              <w:rPr>
                <w:rFonts w:cs="Arial"/>
              </w:rPr>
            </w:pPr>
          </w:p>
        </w:tc>
        <w:tc>
          <w:tcPr>
            <w:tcW w:w="152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EBFE59" w14:textId="2B99E0DF" w:rsidR="00EE5406" w:rsidRPr="00B10ACB" w:rsidRDefault="00480A68" w:rsidP="00EE5406">
            <w:pPr>
              <w:widowControl w:val="0"/>
              <w:autoSpaceDE w:val="0"/>
              <w:spacing w:line="256" w:lineRule="auto"/>
              <w:rPr>
                <w:rFonts w:cs="Arial"/>
              </w:rPr>
            </w:pPr>
            <w:r w:rsidRPr="00932929">
              <w:t>(S)-2-Hydroxypropanoic acid</w:t>
            </w:r>
            <w:r w:rsidRPr="00480A68" w:rsidDel="00480A68">
              <w:rPr>
                <w:rFonts w:cs="Arial"/>
              </w:rPr>
              <w:t xml:space="preserve"> </w:t>
            </w: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5893C07" w14:textId="0DC48AC3"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0AC05" w14:textId="5A32126A"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3ED45" w14:textId="4DF959D4" w:rsidR="00EE5406" w:rsidRPr="00B10ACB" w:rsidRDefault="00EE5406" w:rsidP="00EE5406">
            <w:pPr>
              <w:widowControl w:val="0"/>
              <w:autoSpaceDE w:val="0"/>
              <w:spacing w:line="256" w:lineRule="auto"/>
              <w:rPr>
                <w:rFonts w:cs="Arial"/>
              </w:rPr>
            </w:pPr>
            <w:r w:rsidRPr="00B10ACB">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0924568" w14:textId="71F7F460" w:rsidR="00EE5406" w:rsidRPr="00B10ACB" w:rsidRDefault="00EE5406" w:rsidP="00EE5406">
            <w:pPr>
              <w:autoSpaceDE w:val="0"/>
              <w:spacing w:line="256" w:lineRule="auto"/>
              <w:rPr>
                <w:rFonts w:cs="Arial"/>
              </w:rPr>
            </w:pPr>
            <w:r w:rsidRPr="00B10ACB">
              <w:rPr>
                <w:rFonts w:cs="Arial"/>
              </w:rPr>
              <w:t>22.92</w:t>
            </w:r>
          </w:p>
        </w:tc>
      </w:tr>
      <w:tr w:rsidR="00EE5406" w:rsidRPr="00B27CB1" w14:paraId="2C492376" w14:textId="77777777" w:rsidTr="00B10ACB">
        <w:tc>
          <w:tcPr>
            <w:tcW w:w="2021" w:type="dxa"/>
            <w:vMerge/>
            <w:tcBorders>
              <w:top w:val="single" w:sz="4" w:space="0" w:color="000000"/>
              <w:left w:val="single" w:sz="4" w:space="0" w:color="000000"/>
              <w:bottom w:val="single" w:sz="4" w:space="0" w:color="000000"/>
              <w:right w:val="single" w:sz="4" w:space="0" w:color="000000"/>
            </w:tcBorders>
            <w:hideMark/>
          </w:tcPr>
          <w:p w14:paraId="7CD80A96" w14:textId="77777777" w:rsidR="00EE5406" w:rsidRPr="00B10ACB" w:rsidRDefault="00EE5406" w:rsidP="00EE5406">
            <w:pPr>
              <w:suppressAutoHyphens w:val="0"/>
              <w:spacing w:line="256" w:lineRule="auto"/>
              <w:rPr>
                <w:rFonts w:cs="Arial"/>
              </w:rPr>
            </w:pPr>
          </w:p>
        </w:tc>
        <w:tc>
          <w:tcPr>
            <w:tcW w:w="1522" w:type="dxa"/>
            <w:vMerge/>
            <w:tcBorders>
              <w:top w:val="single" w:sz="4" w:space="0" w:color="000000"/>
              <w:left w:val="single" w:sz="4" w:space="0" w:color="000000"/>
              <w:bottom w:val="single" w:sz="4" w:space="0" w:color="000000"/>
              <w:right w:val="single" w:sz="4" w:space="0" w:color="000000"/>
            </w:tcBorders>
            <w:hideMark/>
          </w:tcPr>
          <w:p w14:paraId="071B20F8" w14:textId="77777777" w:rsidR="00EE5406" w:rsidRPr="00B10ACB" w:rsidRDefault="00EE5406" w:rsidP="00EE5406">
            <w:pPr>
              <w:suppressAutoHyphens w:val="0"/>
              <w:spacing w:line="256" w:lineRule="auto"/>
              <w:rPr>
                <w:rFonts w:cs="Arial"/>
              </w:rPr>
            </w:pPr>
          </w:p>
        </w:tc>
        <w:tc>
          <w:tcPr>
            <w:tcW w:w="146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6CC82F7" w14:textId="480C1429" w:rsidR="00EE5406" w:rsidRPr="00B10ACB" w:rsidRDefault="00EE5406" w:rsidP="00EE5406">
            <w:pPr>
              <w:spacing w:line="256" w:lineRule="auto"/>
              <w:rPr>
                <w:rFonts w:cs="Arial"/>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5EC91266"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62D3B6A2" w14:textId="77777777" w:rsidR="00EE5406" w:rsidRPr="00B10ACB" w:rsidRDefault="00EE5406" w:rsidP="00EE5406">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F124E0C" w14:textId="1F22282B" w:rsidR="00EE5406" w:rsidRPr="00B10ACB" w:rsidRDefault="00EE5406" w:rsidP="00EE5406">
            <w:pPr>
              <w:spacing w:line="256" w:lineRule="auto"/>
              <w:rPr>
                <w:rFonts w:cs="Arial"/>
              </w:rPr>
            </w:pPr>
            <w:r w:rsidRPr="00B10ACB">
              <w:rPr>
                <w:rFonts w:cs="Arial"/>
              </w:rPr>
              <w:t>24</w:t>
            </w:r>
          </w:p>
        </w:tc>
      </w:tr>
    </w:tbl>
    <w:p w14:paraId="63743C78" w14:textId="77777777" w:rsidR="007018A5" w:rsidRPr="00B27CB1" w:rsidRDefault="007018A5"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018A5" w:rsidRPr="00A04731" w14:paraId="74386560"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C37D62D" w14:textId="77777777" w:rsidR="007018A5" w:rsidRPr="00B27CB1" w:rsidRDefault="007018A5"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C67F95" w14:textId="77777777" w:rsidR="00685495" w:rsidRPr="005A150D" w:rsidRDefault="00685495"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DÉTARTRANT DÉSINFECTANT SANITAIRES CONCENTRÉ</w:t>
            </w:r>
          </w:p>
          <w:p w14:paraId="752053B6" w14:textId="021963B4" w:rsidR="007018A5" w:rsidRPr="005A150D" w:rsidRDefault="00685495"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RESOLUTIONS Détartrant Désinfectant Sanitaires Concentré</w:t>
            </w:r>
          </w:p>
        </w:tc>
      </w:tr>
      <w:tr w:rsidR="007018A5" w:rsidRPr="00B27CB1" w14:paraId="33F58279"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96023F" w14:textId="77777777" w:rsidR="007018A5" w:rsidRPr="00B27CB1" w:rsidRDefault="007018A5"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E0F3CB" w14:textId="77777777" w:rsidR="007018A5" w:rsidRPr="00B27CB1" w:rsidRDefault="007018A5" w:rsidP="00685495">
            <w:pPr>
              <w:spacing w:line="256" w:lineRule="auto"/>
              <w:rPr>
                <w:b/>
                <w:bCs/>
                <w:szCs w:val="24"/>
                <w:lang w:eastAsia="en-GB"/>
              </w:rPr>
            </w:pPr>
          </w:p>
        </w:tc>
      </w:tr>
      <w:tr w:rsidR="007018A5" w:rsidRPr="00B27CB1" w14:paraId="2C747DD5"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C9B199F" w14:textId="77777777" w:rsidR="007018A5" w:rsidRPr="00B27CB1" w:rsidRDefault="007018A5" w:rsidP="00685495">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532D569" w14:textId="77777777" w:rsidR="007018A5" w:rsidRPr="00B27CB1" w:rsidRDefault="007018A5" w:rsidP="00685495">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31DF4E" w14:textId="77777777" w:rsidR="007018A5" w:rsidRPr="00B27CB1" w:rsidRDefault="007018A5"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6509C16" w14:textId="77777777" w:rsidR="007018A5" w:rsidRPr="00B27CB1" w:rsidRDefault="007018A5"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D80CF49" w14:textId="77777777" w:rsidR="007018A5" w:rsidRPr="00B27CB1" w:rsidRDefault="007018A5"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9CEE72" w14:textId="77777777" w:rsidR="007018A5" w:rsidRPr="00B27CB1" w:rsidRDefault="007018A5" w:rsidP="00685495">
            <w:pPr>
              <w:spacing w:line="256" w:lineRule="auto"/>
            </w:pPr>
            <w:r w:rsidRPr="00B27CB1">
              <w:rPr>
                <w:b/>
                <w:bCs/>
                <w:szCs w:val="24"/>
                <w:lang w:eastAsia="en-GB"/>
              </w:rPr>
              <w:t>Content (%)</w:t>
            </w:r>
          </w:p>
        </w:tc>
      </w:tr>
      <w:tr w:rsidR="00EE5406" w:rsidRPr="00B27CB1" w14:paraId="1B65D9AC"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EDDA34" w14:textId="0B0AD863" w:rsidR="00EE5406" w:rsidRPr="00B10ACB" w:rsidRDefault="00480A68" w:rsidP="00EE5406">
            <w:pPr>
              <w:snapToGrid w:val="0"/>
              <w:spacing w:line="256" w:lineRule="auto"/>
              <w:rPr>
                <w:rFonts w:cs="Arial"/>
              </w:rPr>
            </w:pPr>
            <w:r w:rsidRPr="005D3980">
              <w:rPr>
                <w:rFonts w:cs="Arial"/>
              </w:rPr>
              <w:t xml:space="preserve">L(+) </w:t>
            </w:r>
            <w:r w:rsidR="00EE5406" w:rsidRPr="00B10ACB">
              <w:rPr>
                <w:rFonts w:cs="Arial"/>
              </w:rPr>
              <w:t>Lactic acid</w:t>
            </w:r>
          </w:p>
          <w:p w14:paraId="0C0C15F2" w14:textId="77777777" w:rsidR="00EE5406" w:rsidRPr="00B10ACB" w:rsidRDefault="00EE5406" w:rsidP="00EE5406">
            <w:pPr>
              <w:widowControl w:val="0"/>
              <w:autoSpaceDE w:val="0"/>
              <w:spacing w:line="256" w:lineRule="auto"/>
              <w:rPr>
                <w:rFonts w:cs="Arial"/>
                <w:bCs/>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B295EB" w14:textId="147FC577" w:rsidR="00EE5406" w:rsidRPr="00B10ACB" w:rsidRDefault="00480A68" w:rsidP="00EE5406">
            <w:pPr>
              <w:widowControl w:val="0"/>
              <w:autoSpaceDE w:val="0"/>
              <w:spacing w:line="256" w:lineRule="auto"/>
              <w:rPr>
                <w:rFonts w:cs="Arial"/>
                <w:bCs/>
              </w:rPr>
            </w:pPr>
            <w:r w:rsidRPr="00932929">
              <w:t>(S)-2-Hydroxypropanoic acid</w:t>
            </w:r>
            <w:r w:rsidRPr="00480A68" w:rsidDel="00480A68">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C2E2A44" w14:textId="31BD2B01"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186100" w14:textId="10650B07"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4DFEDD" w14:textId="0F64B775" w:rsidR="00EE5406" w:rsidRPr="00B10ACB" w:rsidRDefault="00EE5406" w:rsidP="00EE5406">
            <w:pPr>
              <w:widowControl w:val="0"/>
              <w:autoSpaceDE w:val="0"/>
              <w:spacing w:line="256" w:lineRule="auto"/>
              <w:rPr>
                <w:rFonts w:cs="Arial"/>
                <w:bCs/>
              </w:rPr>
            </w:pPr>
            <w:r w:rsidRPr="00B10ACB">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373129" w14:textId="25DEAD0E" w:rsidR="00EE5406" w:rsidRPr="00B10ACB" w:rsidRDefault="00EE5406" w:rsidP="00EE5406">
            <w:pPr>
              <w:autoSpaceDE w:val="0"/>
              <w:spacing w:line="256" w:lineRule="auto"/>
              <w:rPr>
                <w:rFonts w:cs="Arial"/>
                <w:color w:val="000000"/>
              </w:rPr>
            </w:pPr>
            <w:r w:rsidRPr="00B10ACB">
              <w:rPr>
                <w:rFonts w:cs="Arial"/>
              </w:rPr>
              <w:t>22.92</w:t>
            </w:r>
          </w:p>
        </w:tc>
      </w:tr>
      <w:tr w:rsidR="00EE5406" w:rsidRPr="00B27CB1" w14:paraId="5E2E1F76"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2D5C64FE" w14:textId="77777777" w:rsidR="00EE5406" w:rsidRPr="00B10ACB" w:rsidRDefault="00EE5406" w:rsidP="00EE5406">
            <w:pPr>
              <w:suppressAutoHyphens w:val="0"/>
              <w:spacing w:line="256" w:lineRule="auto"/>
              <w:rPr>
                <w:rFonts w:cs="Arial"/>
                <w:bCs/>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4C9B1F04" w14:textId="77777777" w:rsidR="00EE5406" w:rsidRPr="00B10ACB" w:rsidRDefault="00EE5406" w:rsidP="00EE5406">
            <w:pPr>
              <w:suppressAutoHyphens w:val="0"/>
              <w:spacing w:line="256" w:lineRule="auto"/>
              <w:rPr>
                <w:rFonts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601C5E0" w14:textId="41278E92" w:rsidR="00EE5406" w:rsidRPr="00B10ACB" w:rsidRDefault="00EE5406" w:rsidP="00EE5406">
            <w:pPr>
              <w:spacing w:line="256" w:lineRule="auto"/>
              <w:rPr>
                <w:rFonts w:cs="Arial"/>
                <w:color w:val="000000"/>
                <w:lang w:eastAsia="fr-FR"/>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3D111205"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52ED162B" w14:textId="77777777" w:rsidR="00EE5406" w:rsidRPr="00B10ACB" w:rsidRDefault="00EE5406" w:rsidP="00EE5406">
            <w:pPr>
              <w:suppressAutoHyphens w:val="0"/>
              <w:spacing w:line="256" w:lineRule="auto"/>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C784CFB" w14:textId="325C63AD" w:rsidR="00EE5406" w:rsidRPr="00B10ACB" w:rsidRDefault="00EE5406" w:rsidP="00EE5406">
            <w:pPr>
              <w:spacing w:line="256" w:lineRule="auto"/>
              <w:rPr>
                <w:rFonts w:cs="Arial"/>
              </w:rPr>
            </w:pPr>
            <w:r w:rsidRPr="00B10ACB">
              <w:rPr>
                <w:rFonts w:cs="Arial"/>
              </w:rPr>
              <w:t>24</w:t>
            </w:r>
          </w:p>
        </w:tc>
      </w:tr>
    </w:tbl>
    <w:p w14:paraId="36718F1E" w14:textId="38FD1CCE" w:rsidR="007018A5" w:rsidRPr="00B27CB1" w:rsidRDefault="007018A5"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7018A5" w:rsidRPr="00A04731" w14:paraId="1BBB2BA7"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C12872" w14:textId="77777777" w:rsidR="007018A5" w:rsidRPr="00B27CB1" w:rsidRDefault="007018A5"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3963ED" w14:textId="2B13B6A7" w:rsidR="007018A5" w:rsidRPr="005A150D" w:rsidRDefault="00685495" w:rsidP="00685495">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DETERGENT DESINFECTANT SOLS &amp; SURFACES CONCENTRE</w:t>
            </w:r>
          </w:p>
        </w:tc>
      </w:tr>
      <w:tr w:rsidR="007018A5" w:rsidRPr="00B27CB1" w14:paraId="63C0C4B6"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686741D" w14:textId="77777777" w:rsidR="007018A5" w:rsidRPr="00B27CB1" w:rsidRDefault="007018A5"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21838F" w14:textId="77777777" w:rsidR="007018A5" w:rsidRPr="00B27CB1" w:rsidRDefault="007018A5" w:rsidP="00685495">
            <w:pPr>
              <w:spacing w:line="256" w:lineRule="auto"/>
              <w:rPr>
                <w:b/>
                <w:bCs/>
                <w:szCs w:val="24"/>
                <w:lang w:eastAsia="en-GB"/>
              </w:rPr>
            </w:pPr>
          </w:p>
        </w:tc>
      </w:tr>
      <w:tr w:rsidR="007018A5" w:rsidRPr="00B27CB1" w14:paraId="49D4901B"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476A0F" w14:textId="77777777" w:rsidR="007018A5" w:rsidRPr="00B27CB1" w:rsidRDefault="007018A5" w:rsidP="00685495">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FBCA986" w14:textId="77777777" w:rsidR="007018A5" w:rsidRPr="00B27CB1" w:rsidRDefault="007018A5" w:rsidP="00685495">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C05F10" w14:textId="77777777" w:rsidR="007018A5" w:rsidRPr="00B27CB1" w:rsidRDefault="007018A5"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60B9312" w14:textId="77777777" w:rsidR="007018A5" w:rsidRPr="00B27CB1" w:rsidRDefault="007018A5"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5160477" w14:textId="77777777" w:rsidR="007018A5" w:rsidRPr="00B27CB1" w:rsidRDefault="007018A5"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B6046D" w14:textId="77777777" w:rsidR="007018A5" w:rsidRPr="00B27CB1" w:rsidRDefault="007018A5" w:rsidP="00685495">
            <w:pPr>
              <w:spacing w:line="256" w:lineRule="auto"/>
            </w:pPr>
            <w:r w:rsidRPr="00B27CB1">
              <w:rPr>
                <w:b/>
                <w:bCs/>
                <w:szCs w:val="24"/>
                <w:lang w:eastAsia="en-GB"/>
              </w:rPr>
              <w:t>Content (%)</w:t>
            </w:r>
          </w:p>
        </w:tc>
      </w:tr>
      <w:tr w:rsidR="00EE5406" w:rsidRPr="00B27CB1" w14:paraId="0FA896AD"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9CD094" w14:textId="55F5231A" w:rsidR="00EE5406" w:rsidRPr="00B10ACB" w:rsidRDefault="00480A68" w:rsidP="00EE5406">
            <w:pPr>
              <w:snapToGrid w:val="0"/>
              <w:spacing w:line="256" w:lineRule="auto"/>
              <w:rPr>
                <w:rFonts w:cs="Arial"/>
              </w:rPr>
            </w:pPr>
            <w:r w:rsidRPr="005D3980">
              <w:rPr>
                <w:rFonts w:cs="Arial"/>
              </w:rPr>
              <w:t xml:space="preserve">L(+) </w:t>
            </w:r>
            <w:r w:rsidR="00EE5406" w:rsidRPr="00B10ACB">
              <w:rPr>
                <w:rFonts w:cs="Arial"/>
              </w:rPr>
              <w:t>Lactic acid</w:t>
            </w:r>
          </w:p>
          <w:p w14:paraId="7AA932B9" w14:textId="77777777" w:rsidR="00EE5406" w:rsidRPr="00B10ACB" w:rsidRDefault="00EE5406" w:rsidP="00EE5406">
            <w:pPr>
              <w:widowControl w:val="0"/>
              <w:autoSpaceDE w:val="0"/>
              <w:spacing w:line="256" w:lineRule="auto"/>
              <w:rPr>
                <w:rFonts w:cs="Arial"/>
                <w:bCs/>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0BD805" w14:textId="32FF68B5" w:rsidR="00EE5406" w:rsidRPr="00B10ACB" w:rsidRDefault="00480A68" w:rsidP="00EE5406">
            <w:pPr>
              <w:widowControl w:val="0"/>
              <w:autoSpaceDE w:val="0"/>
              <w:spacing w:line="256" w:lineRule="auto"/>
              <w:rPr>
                <w:rFonts w:cs="Arial"/>
                <w:bCs/>
              </w:rPr>
            </w:pPr>
            <w:r w:rsidRPr="00932929">
              <w:t>(S)-2-Hydroxypropanoic acid</w:t>
            </w:r>
            <w:r w:rsidRPr="00480A68" w:rsidDel="00480A68">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96B188D" w14:textId="288DBE4F"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999FCD" w14:textId="697BA925"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947FB8" w14:textId="4814D632" w:rsidR="00EE5406" w:rsidRPr="00B10ACB" w:rsidRDefault="00EE5406" w:rsidP="00EE5406">
            <w:pPr>
              <w:widowControl w:val="0"/>
              <w:autoSpaceDE w:val="0"/>
              <w:spacing w:line="256" w:lineRule="auto"/>
              <w:rPr>
                <w:rFonts w:cs="Arial"/>
                <w:bCs/>
              </w:rPr>
            </w:pPr>
            <w:r w:rsidRPr="00B10ACB">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7F4A69C" w14:textId="626A0943" w:rsidR="00EE5406" w:rsidRPr="00B10ACB" w:rsidRDefault="00EE5406" w:rsidP="00EE5406">
            <w:pPr>
              <w:autoSpaceDE w:val="0"/>
              <w:spacing w:line="256" w:lineRule="auto"/>
              <w:rPr>
                <w:rFonts w:cs="Arial"/>
                <w:color w:val="000000"/>
              </w:rPr>
            </w:pPr>
            <w:r w:rsidRPr="00B10ACB">
              <w:rPr>
                <w:rFonts w:cs="Arial"/>
              </w:rPr>
              <w:t>22.92</w:t>
            </w:r>
          </w:p>
        </w:tc>
      </w:tr>
      <w:tr w:rsidR="00EE5406" w:rsidRPr="00B27CB1" w14:paraId="4BF6779E"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51A922D1" w14:textId="77777777" w:rsidR="00EE5406" w:rsidRPr="00B10ACB" w:rsidRDefault="00EE5406" w:rsidP="00EE5406">
            <w:pPr>
              <w:suppressAutoHyphens w:val="0"/>
              <w:spacing w:line="256" w:lineRule="auto"/>
              <w:rPr>
                <w:rFonts w:cs="Arial"/>
                <w:bCs/>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60A9A010" w14:textId="77777777" w:rsidR="00EE5406" w:rsidRPr="00B10ACB" w:rsidRDefault="00EE5406" w:rsidP="00EE5406">
            <w:pPr>
              <w:suppressAutoHyphens w:val="0"/>
              <w:spacing w:line="256" w:lineRule="auto"/>
              <w:rPr>
                <w:rFonts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66E747B" w14:textId="60CA93EB" w:rsidR="00EE5406" w:rsidRPr="00B10ACB" w:rsidRDefault="00EE5406" w:rsidP="00EE5406">
            <w:pPr>
              <w:spacing w:line="256" w:lineRule="auto"/>
              <w:rPr>
                <w:rFonts w:cs="Arial"/>
                <w:color w:val="000000"/>
                <w:lang w:eastAsia="fr-FR"/>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36777763"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202BEF9A" w14:textId="77777777" w:rsidR="00EE5406" w:rsidRPr="00B10ACB" w:rsidRDefault="00EE5406" w:rsidP="00EE5406">
            <w:pPr>
              <w:suppressAutoHyphens w:val="0"/>
              <w:spacing w:line="256" w:lineRule="auto"/>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093AA3B" w14:textId="21962F27" w:rsidR="00EE5406" w:rsidRPr="00B10ACB" w:rsidRDefault="00EE5406" w:rsidP="00EE5406">
            <w:pPr>
              <w:spacing w:line="256" w:lineRule="auto"/>
              <w:rPr>
                <w:rFonts w:cs="Arial"/>
              </w:rPr>
            </w:pPr>
            <w:r w:rsidRPr="00B10ACB">
              <w:rPr>
                <w:rFonts w:cs="Arial"/>
              </w:rPr>
              <w:t>24</w:t>
            </w:r>
          </w:p>
        </w:tc>
      </w:tr>
    </w:tbl>
    <w:p w14:paraId="627736B0" w14:textId="776BF865" w:rsidR="007018A5" w:rsidRPr="00B27CB1" w:rsidRDefault="007018A5"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B27CB1" w14:paraId="20AD5234"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3D9FCC2" w14:textId="77777777" w:rsidR="00A932DC" w:rsidRPr="00B27CB1" w:rsidRDefault="00A932DC" w:rsidP="00A932DC">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C29A7D" w14:textId="24EFC778" w:rsidR="00A932DC" w:rsidRPr="00B27CB1" w:rsidRDefault="00685495" w:rsidP="00A932DC">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DNAL</w:t>
            </w:r>
          </w:p>
        </w:tc>
      </w:tr>
      <w:tr w:rsidR="00A932DC" w:rsidRPr="00B27CB1" w14:paraId="65ED104A"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374F7C" w14:textId="77777777" w:rsidR="00A932DC" w:rsidRPr="00B27CB1" w:rsidRDefault="00A932DC" w:rsidP="00A932DC">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F12389" w14:textId="77777777" w:rsidR="00A932DC" w:rsidRPr="00B27CB1" w:rsidRDefault="00A932DC" w:rsidP="00A932DC">
            <w:pPr>
              <w:spacing w:line="256" w:lineRule="auto"/>
              <w:rPr>
                <w:b/>
                <w:bCs/>
                <w:szCs w:val="24"/>
                <w:lang w:eastAsia="en-GB"/>
              </w:rPr>
            </w:pPr>
          </w:p>
        </w:tc>
      </w:tr>
      <w:tr w:rsidR="00A932DC" w:rsidRPr="00B27CB1" w14:paraId="5011E183"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296D8B3" w14:textId="77777777" w:rsidR="00A932DC" w:rsidRPr="00B27CB1" w:rsidRDefault="00A932DC" w:rsidP="00A932DC">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0042180" w14:textId="77777777" w:rsidR="00A932DC" w:rsidRPr="00B27CB1" w:rsidRDefault="00A932DC" w:rsidP="00A932DC">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85D024" w14:textId="77777777" w:rsidR="00A932DC" w:rsidRPr="00B27CB1" w:rsidRDefault="00A932DC" w:rsidP="00A932DC">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8EC819" w14:textId="77777777" w:rsidR="00A932DC" w:rsidRPr="00B27CB1" w:rsidRDefault="00A932DC" w:rsidP="00A932D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9F58AC" w14:textId="77777777" w:rsidR="00A932DC" w:rsidRPr="00B27CB1" w:rsidRDefault="00A932DC" w:rsidP="00A932DC">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19A66A" w14:textId="77777777" w:rsidR="00A932DC" w:rsidRPr="00B27CB1" w:rsidRDefault="00A932DC" w:rsidP="00A932DC">
            <w:pPr>
              <w:spacing w:line="256" w:lineRule="auto"/>
            </w:pPr>
            <w:r w:rsidRPr="00B27CB1">
              <w:rPr>
                <w:b/>
                <w:bCs/>
                <w:szCs w:val="24"/>
                <w:lang w:eastAsia="en-GB"/>
              </w:rPr>
              <w:t>Content (%)</w:t>
            </w:r>
          </w:p>
        </w:tc>
      </w:tr>
      <w:tr w:rsidR="00EE5406" w:rsidRPr="00B27CB1" w14:paraId="62DB574D"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987D1" w14:textId="35C542EF" w:rsidR="00EE5406" w:rsidRPr="00B10ACB" w:rsidRDefault="00480A68" w:rsidP="00EE5406">
            <w:pPr>
              <w:snapToGrid w:val="0"/>
              <w:spacing w:line="256" w:lineRule="auto"/>
              <w:rPr>
                <w:rFonts w:cs="Arial"/>
              </w:rPr>
            </w:pPr>
            <w:r w:rsidRPr="005D3980">
              <w:rPr>
                <w:rFonts w:cs="Arial"/>
              </w:rPr>
              <w:t xml:space="preserve">L(+) </w:t>
            </w:r>
            <w:r w:rsidR="00EE5406" w:rsidRPr="00B10ACB">
              <w:rPr>
                <w:rFonts w:cs="Arial"/>
              </w:rPr>
              <w:t>Lactic acid</w:t>
            </w:r>
          </w:p>
          <w:p w14:paraId="5905307D" w14:textId="77777777" w:rsidR="00EE5406" w:rsidRPr="00B10ACB" w:rsidRDefault="00EE5406" w:rsidP="00EE5406">
            <w:pPr>
              <w:widowControl w:val="0"/>
              <w:autoSpaceDE w:val="0"/>
              <w:spacing w:line="256" w:lineRule="auto"/>
              <w:rPr>
                <w:rFonts w:cs="Arial"/>
                <w:bCs/>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21FECE" w14:textId="20819D41" w:rsidR="00EE5406" w:rsidRPr="00B10ACB" w:rsidRDefault="00480A68" w:rsidP="00EE5406">
            <w:pPr>
              <w:widowControl w:val="0"/>
              <w:autoSpaceDE w:val="0"/>
              <w:spacing w:line="256" w:lineRule="auto"/>
              <w:rPr>
                <w:rFonts w:cs="Arial"/>
                <w:bCs/>
              </w:rPr>
            </w:pPr>
            <w:r w:rsidRPr="00932929">
              <w:t>(S)-2-Hydroxypropanoic acid</w:t>
            </w:r>
            <w:r w:rsidRPr="00480A68" w:rsidDel="00480A68">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E39050C" w14:textId="19A00091"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835986" w14:textId="330F716E"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E646A" w14:textId="727F51B7" w:rsidR="00EE5406" w:rsidRPr="00B10ACB" w:rsidRDefault="00EE5406" w:rsidP="00EE5406">
            <w:pPr>
              <w:widowControl w:val="0"/>
              <w:autoSpaceDE w:val="0"/>
              <w:spacing w:line="256" w:lineRule="auto"/>
              <w:rPr>
                <w:rFonts w:cs="Arial"/>
                <w:bCs/>
              </w:rPr>
            </w:pPr>
            <w:r w:rsidRPr="00B10ACB">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12EFE36" w14:textId="196EC1A2" w:rsidR="00EE5406" w:rsidRPr="00B10ACB" w:rsidRDefault="00EE5406" w:rsidP="00EE5406">
            <w:pPr>
              <w:autoSpaceDE w:val="0"/>
              <w:spacing w:line="256" w:lineRule="auto"/>
              <w:rPr>
                <w:rFonts w:cs="Arial"/>
                <w:color w:val="000000"/>
              </w:rPr>
            </w:pPr>
            <w:r w:rsidRPr="00B10ACB">
              <w:rPr>
                <w:rFonts w:cs="Arial"/>
              </w:rPr>
              <w:t>22.92</w:t>
            </w:r>
          </w:p>
        </w:tc>
      </w:tr>
      <w:tr w:rsidR="00EE5406" w:rsidRPr="00B27CB1" w14:paraId="308EE979"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13B0FE37" w14:textId="77777777" w:rsidR="00EE5406" w:rsidRPr="00B10ACB" w:rsidRDefault="00EE5406" w:rsidP="00EE5406">
            <w:pPr>
              <w:suppressAutoHyphens w:val="0"/>
              <w:spacing w:line="256" w:lineRule="auto"/>
              <w:rPr>
                <w:rFonts w:cs="Arial"/>
                <w:bCs/>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08154446" w14:textId="77777777" w:rsidR="00EE5406" w:rsidRPr="00B10ACB" w:rsidRDefault="00EE5406" w:rsidP="00EE5406">
            <w:pPr>
              <w:suppressAutoHyphens w:val="0"/>
              <w:spacing w:line="256" w:lineRule="auto"/>
              <w:rPr>
                <w:rFonts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32E8DF10" w14:textId="2A4289CD" w:rsidR="00EE5406" w:rsidRPr="00B10ACB" w:rsidRDefault="00EE5406" w:rsidP="00EE5406">
            <w:pPr>
              <w:spacing w:line="256" w:lineRule="auto"/>
              <w:rPr>
                <w:rFonts w:cs="Arial"/>
                <w:color w:val="000000"/>
                <w:lang w:eastAsia="fr-FR"/>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2AC2340B"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77534B8E" w14:textId="77777777" w:rsidR="00EE5406" w:rsidRPr="00B10ACB" w:rsidRDefault="00EE5406" w:rsidP="00EE5406">
            <w:pPr>
              <w:suppressAutoHyphens w:val="0"/>
              <w:spacing w:line="256" w:lineRule="auto"/>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1868451" w14:textId="488176B6" w:rsidR="00EE5406" w:rsidRPr="00B10ACB" w:rsidRDefault="00EE5406" w:rsidP="00EE5406">
            <w:pPr>
              <w:spacing w:line="256" w:lineRule="auto"/>
              <w:rPr>
                <w:rFonts w:cs="Arial"/>
              </w:rPr>
            </w:pPr>
            <w:r w:rsidRPr="00B10ACB">
              <w:rPr>
                <w:rFonts w:cs="Arial"/>
              </w:rPr>
              <w:t>24</w:t>
            </w:r>
          </w:p>
        </w:tc>
      </w:tr>
    </w:tbl>
    <w:p w14:paraId="12CEC820" w14:textId="00AC6ED5" w:rsidR="00A932DC" w:rsidRDefault="00A932DC" w:rsidP="00A932DC"/>
    <w:p w14:paraId="72248677" w14:textId="77777777" w:rsidR="00E91F85" w:rsidRPr="00B27CB1" w:rsidRDefault="00E91F85" w:rsidP="00A932DC"/>
    <w:p w14:paraId="21E03198" w14:textId="7777777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7</w:t>
      </w:r>
    </w:p>
    <w:p w14:paraId="30DB5E61" w14:textId="77777777" w:rsidR="00A932DC" w:rsidRPr="00B27CB1" w:rsidRDefault="00A932DC" w:rsidP="00A932DC"/>
    <w:p w14:paraId="6AC08A33" w14:textId="77777777" w:rsidR="00A932DC" w:rsidRPr="00B27CB1" w:rsidRDefault="00A932DC" w:rsidP="00E91F85">
      <w:pPr>
        <w:pStyle w:val="Titre3"/>
      </w:pPr>
      <w:bookmarkStart w:id="108" w:name="_Toc87361138"/>
      <w:r w:rsidRPr="00B27CB1">
        <w:t>Meta SPC 7 administrative information</w:t>
      </w:r>
      <w:bookmarkEnd w:id="108"/>
    </w:p>
    <w:p w14:paraId="7782B3FF"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2E97E2A3"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C4025EF" w14:textId="77777777" w:rsidR="00A932DC" w:rsidRPr="00B27CB1" w:rsidRDefault="00A932DC" w:rsidP="00A932DC">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3FC3C08" w14:textId="77777777" w:rsidR="00A932DC" w:rsidRPr="00B27CB1" w:rsidRDefault="00A932DC" w:rsidP="00A932DC">
            <w:pPr>
              <w:spacing w:line="256" w:lineRule="auto"/>
            </w:pPr>
            <w:r w:rsidRPr="00B27CB1">
              <w:t>META SPC 7</w:t>
            </w:r>
          </w:p>
        </w:tc>
      </w:tr>
    </w:tbl>
    <w:p w14:paraId="13DE5811" w14:textId="77777777" w:rsidR="00A932DC" w:rsidRPr="00B27CB1" w:rsidRDefault="00A932DC" w:rsidP="00A932DC"/>
    <w:p w14:paraId="53E53747"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2F4938D9"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8673FD" w14:textId="6EF9776A" w:rsidR="00A932DC" w:rsidRPr="00B27CB1" w:rsidRDefault="00231690" w:rsidP="00A932DC">
            <w:pPr>
              <w:spacing w:line="256" w:lineRule="auto"/>
            </w:pPr>
            <w:r>
              <w:t xml:space="preserve">Number </w:t>
            </w:r>
            <w:r w:rsidR="002F6E1B">
              <w:t>6</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1C788B" w14:textId="77777777" w:rsidR="00A932DC" w:rsidRPr="00B27CB1" w:rsidRDefault="00A932DC" w:rsidP="00A932DC">
            <w:pPr>
              <w:spacing w:line="256" w:lineRule="auto"/>
            </w:pPr>
          </w:p>
        </w:tc>
      </w:tr>
    </w:tbl>
    <w:p w14:paraId="2716BA32" w14:textId="77777777" w:rsidR="00A932DC" w:rsidRPr="00B27CB1" w:rsidRDefault="00A932DC" w:rsidP="00A932DC"/>
    <w:p w14:paraId="2DF1D014"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30662F77"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C866C8" w14:textId="77777777" w:rsidR="00A932DC" w:rsidRPr="00B27CB1" w:rsidRDefault="00A932DC" w:rsidP="00A932DC">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1BE67E" w14:textId="4C9681F8" w:rsidR="00A932DC" w:rsidRPr="00B27CB1" w:rsidRDefault="00685495" w:rsidP="00A932DC">
            <w:pPr>
              <w:spacing w:line="256" w:lineRule="auto"/>
            </w:pPr>
            <w:r w:rsidRPr="00B27CB1">
              <w:t>PT02, 04</w:t>
            </w:r>
          </w:p>
        </w:tc>
      </w:tr>
    </w:tbl>
    <w:p w14:paraId="5B37AAD7" w14:textId="77777777" w:rsidR="00A932DC" w:rsidRPr="00B27CB1" w:rsidRDefault="00A932DC" w:rsidP="00A932DC"/>
    <w:p w14:paraId="01A1E64E" w14:textId="77777777" w:rsidR="00A932DC" w:rsidRPr="00B27CB1" w:rsidRDefault="00A932DC" w:rsidP="00E91F85">
      <w:pPr>
        <w:pStyle w:val="Titre3"/>
      </w:pPr>
      <w:bookmarkStart w:id="109" w:name="_Toc87361139"/>
      <w:r w:rsidRPr="00B27CB1">
        <w:t>Meta SPC 7 composition</w:t>
      </w:r>
      <w:bookmarkEnd w:id="109"/>
    </w:p>
    <w:p w14:paraId="3B0CFCE7"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7</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235B27B7"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C4EF718" w14:textId="77777777" w:rsidR="00A932DC" w:rsidRPr="00B27CB1" w:rsidRDefault="00A932DC" w:rsidP="00A932DC">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7C6A3C77" w14:textId="77777777" w:rsidR="00A932DC" w:rsidRPr="00B27CB1" w:rsidRDefault="00A932DC" w:rsidP="00A932DC">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129E9F0A" w14:textId="77777777" w:rsidR="00A932DC" w:rsidRPr="00B27CB1" w:rsidRDefault="00A932DC" w:rsidP="00A932DC">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6A47F535" w14:textId="77777777" w:rsidR="00A932DC" w:rsidRPr="00B27CB1" w:rsidRDefault="00A932DC" w:rsidP="00A932DC">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6596E365" w14:textId="77777777" w:rsidR="00A932DC" w:rsidRPr="00B27CB1" w:rsidRDefault="00A932DC" w:rsidP="00A932DC">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689E7E2B" w14:textId="77777777" w:rsidR="00A932DC" w:rsidRPr="00B27CB1" w:rsidRDefault="00A932DC" w:rsidP="00A932DC">
            <w:pPr>
              <w:spacing w:line="256" w:lineRule="auto"/>
            </w:pPr>
            <w:r w:rsidRPr="00B27CB1">
              <w:rPr>
                <w:b/>
                <w:bCs/>
                <w:szCs w:val="24"/>
                <w:lang w:eastAsia="en-GB"/>
              </w:rPr>
              <w:t>Content (%)</w:t>
            </w:r>
          </w:p>
        </w:tc>
      </w:tr>
      <w:tr w:rsidR="00A932DC" w:rsidRPr="00B27CB1" w14:paraId="383E0FCF"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7B0F6720"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8F43A0D"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C63CF46"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C13A65E" w14:textId="77777777" w:rsidR="00A932DC" w:rsidRPr="00B27CB1" w:rsidRDefault="00A932DC" w:rsidP="00A932DC">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8E23A65" w14:textId="77777777" w:rsidR="00A932DC" w:rsidRPr="00B27CB1" w:rsidRDefault="00A932DC" w:rsidP="00A932DC">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E6EACB" w14:textId="77777777" w:rsidR="00A932DC" w:rsidRPr="00B27CB1" w:rsidRDefault="00A932DC" w:rsidP="00A932DC">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A26C3" w14:textId="77777777" w:rsidR="00A932DC" w:rsidRPr="00B27CB1" w:rsidRDefault="00A932DC" w:rsidP="00A932DC">
            <w:pPr>
              <w:spacing w:line="256" w:lineRule="auto"/>
            </w:pPr>
            <w:r w:rsidRPr="00B27CB1">
              <w:rPr>
                <w:b/>
                <w:bCs/>
                <w:szCs w:val="24"/>
                <w:lang w:eastAsia="en-GB"/>
              </w:rPr>
              <w:t>Max</w:t>
            </w:r>
          </w:p>
        </w:tc>
      </w:tr>
      <w:tr w:rsidR="00EE5406" w:rsidRPr="00B27CB1" w14:paraId="7B8CEA93" w14:textId="77777777" w:rsidTr="00E91F85">
        <w:tc>
          <w:tcPr>
            <w:tcW w:w="2256" w:type="dxa"/>
            <w:vMerge w:val="restart"/>
            <w:tcBorders>
              <w:top w:val="single" w:sz="4" w:space="0" w:color="000000"/>
              <w:left w:val="single" w:sz="4" w:space="0" w:color="000000"/>
              <w:bottom w:val="single" w:sz="4" w:space="0" w:color="000000"/>
              <w:right w:val="nil"/>
            </w:tcBorders>
          </w:tcPr>
          <w:p w14:paraId="240F17CB" w14:textId="369084A1" w:rsidR="00EE5406" w:rsidRPr="00B27CB1" w:rsidRDefault="00F84E20" w:rsidP="00EE5406">
            <w:pPr>
              <w:snapToGrid w:val="0"/>
              <w:spacing w:line="256" w:lineRule="auto"/>
              <w:rPr>
                <w:b/>
                <w:bCs/>
                <w:szCs w:val="24"/>
                <w:lang w:eastAsia="en-GB"/>
              </w:rPr>
            </w:pPr>
            <w:r w:rsidRPr="005D3980">
              <w:rPr>
                <w:rFonts w:cs="Arial"/>
              </w:rPr>
              <w:t xml:space="preserve">L(+) </w:t>
            </w:r>
            <w:r w:rsidR="00EE5406">
              <w:rPr>
                <w:lang w:val="pl-PL"/>
              </w:rPr>
              <w:t>Lactic acid</w:t>
            </w:r>
          </w:p>
          <w:p w14:paraId="3FF1538A" w14:textId="77777777" w:rsidR="00EE5406" w:rsidRPr="00B27CB1" w:rsidRDefault="00EE5406" w:rsidP="00EE5406">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281E98B8" w14:textId="6EE5DF11" w:rsidR="00EE5406" w:rsidRPr="00B27CB1" w:rsidRDefault="00F84E20" w:rsidP="00EE5406">
            <w:pPr>
              <w:snapToGrid w:val="0"/>
              <w:spacing w:line="256" w:lineRule="auto"/>
            </w:pPr>
            <w:r w:rsidRPr="00932929">
              <w:t>(S)-2-Hydroxypropanoic acid</w:t>
            </w:r>
            <w:r w:rsidRPr="00F67FDB" w:rsidDel="00F84E20">
              <w:t xml:space="preserve"> </w:t>
            </w:r>
          </w:p>
        </w:tc>
        <w:tc>
          <w:tcPr>
            <w:tcW w:w="1353" w:type="dxa"/>
            <w:tcBorders>
              <w:top w:val="single" w:sz="4" w:space="0" w:color="000000"/>
              <w:left w:val="single" w:sz="4" w:space="0" w:color="000000"/>
              <w:bottom w:val="single" w:sz="4" w:space="0" w:color="000000"/>
              <w:right w:val="nil"/>
            </w:tcBorders>
            <w:vAlign w:val="center"/>
            <w:hideMark/>
          </w:tcPr>
          <w:p w14:paraId="38D59E8A" w14:textId="42931165" w:rsidR="00EE5406" w:rsidRPr="00B27CB1" w:rsidRDefault="00EE5406" w:rsidP="00EE5406">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762FE9D9" w14:textId="4A5FFD3D" w:rsidR="00EE5406" w:rsidRPr="00B27CB1" w:rsidRDefault="00EE5406" w:rsidP="00EE5406">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272B223E" w14:textId="5F82F336" w:rsidR="00EE5406" w:rsidRPr="00B27CB1" w:rsidRDefault="00EE5406" w:rsidP="00EE5406">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3CCD7A77" w14:textId="427D5305" w:rsidR="00EE5406" w:rsidRPr="00B27CB1" w:rsidRDefault="00EE5406" w:rsidP="00EE5406">
            <w:pPr>
              <w:snapToGrid w:val="0"/>
              <w:spacing w:line="256" w:lineRule="auto"/>
            </w:pPr>
            <w:r>
              <w:t>11.46</w:t>
            </w:r>
          </w:p>
        </w:tc>
        <w:tc>
          <w:tcPr>
            <w:tcW w:w="738" w:type="dxa"/>
            <w:tcBorders>
              <w:top w:val="single" w:sz="4" w:space="0" w:color="000000"/>
              <w:left w:val="single" w:sz="4" w:space="0" w:color="000000"/>
              <w:bottom w:val="single" w:sz="4" w:space="0" w:color="000000"/>
              <w:right w:val="single" w:sz="4" w:space="0" w:color="000000"/>
            </w:tcBorders>
            <w:vAlign w:val="center"/>
          </w:tcPr>
          <w:p w14:paraId="31E00E2F" w14:textId="3435BC17" w:rsidR="00EE5406" w:rsidRPr="00B27CB1" w:rsidRDefault="00EE5406" w:rsidP="00EE5406">
            <w:pPr>
              <w:snapToGrid w:val="0"/>
              <w:spacing w:line="256" w:lineRule="auto"/>
            </w:pPr>
            <w:r>
              <w:t>11.46</w:t>
            </w:r>
          </w:p>
        </w:tc>
      </w:tr>
      <w:tr w:rsidR="00EE5406" w:rsidRPr="00B27CB1" w14:paraId="67A851A9" w14:textId="77777777" w:rsidTr="00E91F85">
        <w:tc>
          <w:tcPr>
            <w:tcW w:w="2256" w:type="dxa"/>
            <w:vMerge/>
            <w:tcBorders>
              <w:top w:val="single" w:sz="4" w:space="0" w:color="000000"/>
              <w:left w:val="single" w:sz="4" w:space="0" w:color="000000"/>
              <w:bottom w:val="single" w:sz="4" w:space="0" w:color="000000"/>
              <w:right w:val="nil"/>
            </w:tcBorders>
            <w:hideMark/>
          </w:tcPr>
          <w:p w14:paraId="681010DF" w14:textId="77777777" w:rsidR="00EE5406" w:rsidRPr="00B27CB1" w:rsidRDefault="00EE5406" w:rsidP="00EE5406">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4B64246F" w14:textId="77777777" w:rsidR="00EE5406" w:rsidRPr="00B27CB1" w:rsidRDefault="00EE5406" w:rsidP="00EE5406">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5BD6A5F7" w14:textId="1F0F1F58" w:rsidR="00EE5406" w:rsidRPr="00B27CB1" w:rsidRDefault="00EE5406" w:rsidP="00EE5406">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54A9E74B" w14:textId="77777777" w:rsidR="00EE5406" w:rsidRPr="00B27CB1" w:rsidRDefault="00EE5406" w:rsidP="00EE5406">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151B1E09" w14:textId="77777777" w:rsidR="00EE5406" w:rsidRPr="00B27CB1" w:rsidRDefault="00EE5406" w:rsidP="00EE5406">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4C5C076D" w14:textId="5EA55DBB" w:rsidR="00EE5406" w:rsidRPr="00B27CB1" w:rsidRDefault="00EE5406" w:rsidP="00EE5406">
            <w:pPr>
              <w:snapToGrid w:val="0"/>
              <w:spacing w:line="256" w:lineRule="auto"/>
            </w:pPr>
            <w:r>
              <w:t>12</w:t>
            </w:r>
          </w:p>
        </w:tc>
        <w:tc>
          <w:tcPr>
            <w:tcW w:w="738" w:type="dxa"/>
            <w:tcBorders>
              <w:top w:val="single" w:sz="4" w:space="0" w:color="000000"/>
              <w:left w:val="single" w:sz="4" w:space="0" w:color="000000"/>
              <w:bottom w:val="single" w:sz="4" w:space="0" w:color="000000"/>
              <w:right w:val="single" w:sz="4" w:space="0" w:color="000000"/>
            </w:tcBorders>
            <w:vAlign w:val="center"/>
          </w:tcPr>
          <w:p w14:paraId="0195B75E" w14:textId="074DAEC1" w:rsidR="00EE5406" w:rsidRPr="00B27CB1" w:rsidRDefault="00EE5406" w:rsidP="00EE5406">
            <w:pPr>
              <w:snapToGrid w:val="0"/>
              <w:spacing w:line="256" w:lineRule="auto"/>
            </w:pPr>
            <w:r>
              <w:t>12</w:t>
            </w:r>
          </w:p>
        </w:tc>
      </w:tr>
    </w:tbl>
    <w:p w14:paraId="7AAA2AC2" w14:textId="77777777" w:rsidR="00A932DC" w:rsidRPr="00B27CB1" w:rsidRDefault="00A932DC" w:rsidP="00A932DC"/>
    <w:p w14:paraId="6D373D99"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7</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56E7F91C"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7B4310C9" w14:textId="4D5F5CFF" w:rsidR="00A932DC" w:rsidRPr="00B27CB1" w:rsidRDefault="00685495" w:rsidP="00B10ACB">
            <w:pPr>
              <w:keepNext/>
              <w:outlineLvl w:val="2"/>
            </w:pPr>
            <w:r w:rsidRPr="00B27CB1">
              <w:t>SL - Soluble concentrate</w:t>
            </w:r>
          </w:p>
        </w:tc>
      </w:tr>
    </w:tbl>
    <w:p w14:paraId="1C4C9E63" w14:textId="77777777" w:rsidR="00A932DC" w:rsidRPr="00B27CB1" w:rsidRDefault="00A932DC" w:rsidP="00A932DC"/>
    <w:p w14:paraId="4264EF11" w14:textId="77777777" w:rsidR="00A932DC" w:rsidRPr="00B10ACB" w:rsidRDefault="00A932DC" w:rsidP="00E91F85">
      <w:pPr>
        <w:pStyle w:val="Titre3"/>
        <w:rPr>
          <w:lang w:val="en-US"/>
        </w:rPr>
      </w:pPr>
      <w:bookmarkStart w:id="110" w:name="_Toc87361140"/>
      <w:r w:rsidRPr="00B10ACB">
        <w:rPr>
          <w:lang w:val="en-US"/>
        </w:rPr>
        <w:t>Hazard and precautionary statements according to Regulation (EC) 1272/2008 of the meta SPC 7</w:t>
      </w:r>
      <w:bookmarkEnd w:id="110"/>
    </w:p>
    <w:p w14:paraId="3534345F" w14:textId="77777777" w:rsidR="00A932DC" w:rsidRPr="00B27CB1" w:rsidRDefault="00A932DC" w:rsidP="00A932DC"/>
    <w:p w14:paraId="2EC9E825" w14:textId="77777777" w:rsidR="00A932DC" w:rsidRPr="00B27CB1" w:rsidRDefault="00A932DC" w:rsidP="00A932DC">
      <w:pPr>
        <w:rPr>
          <w:b/>
        </w:rPr>
      </w:pPr>
      <w:r w:rsidRPr="00B27CB1">
        <w:rPr>
          <w:b/>
        </w:rPr>
        <w:t>Classification and labelling of the products of the family according to the Regulation (EC) 1272/2008</w:t>
      </w:r>
    </w:p>
    <w:p w14:paraId="0E8E0C1C"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34877982"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7A734E15" w14:textId="77777777" w:rsidR="00A932DC" w:rsidRPr="00B27CB1" w:rsidRDefault="00A932DC" w:rsidP="00A932DC">
            <w:pPr>
              <w:spacing w:line="256" w:lineRule="auto"/>
            </w:pPr>
            <w:r w:rsidRPr="00B27CB1">
              <w:rPr>
                <w:b/>
                <w:lang w:eastAsia="en-US"/>
              </w:rPr>
              <w:t>Classification</w:t>
            </w:r>
          </w:p>
        </w:tc>
      </w:tr>
      <w:tr w:rsidR="001518D7" w:rsidRPr="00A04731" w14:paraId="5BE25879"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4C4D500F" w14:textId="77777777" w:rsidR="001518D7" w:rsidRPr="00B27CB1" w:rsidRDefault="001518D7" w:rsidP="001518D7">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76F79F0A" w14:textId="192D7D47" w:rsidR="00245178" w:rsidRDefault="00245178" w:rsidP="00B10ACB">
            <w:pPr>
              <w:pStyle w:val="Corpsdetexte"/>
              <w:ind w:right="806"/>
              <w:jc w:val="both"/>
              <w:rPr>
                <w:lang w:val="fr-FR"/>
              </w:rPr>
            </w:pPr>
            <w:r w:rsidRPr="00E240FD">
              <w:rPr>
                <w:lang w:val="es-ES" w:eastAsia="fi-FI"/>
              </w:rPr>
              <w:t>Met. Corr. 1</w:t>
            </w:r>
          </w:p>
          <w:p w14:paraId="7F5ACF94" w14:textId="7E03E866" w:rsidR="00D0590D" w:rsidRPr="00E91F85" w:rsidRDefault="00D0590D" w:rsidP="00B10ACB">
            <w:pPr>
              <w:autoSpaceDE w:val="0"/>
              <w:autoSpaceDN w:val="0"/>
              <w:adjustRightInd w:val="0"/>
              <w:jc w:val="both"/>
              <w:rPr>
                <w:lang w:val="fr-FR"/>
              </w:rPr>
            </w:pPr>
            <w:r w:rsidRPr="00E91F85">
              <w:rPr>
                <w:lang w:val="fr-FR"/>
              </w:rPr>
              <w:t xml:space="preserve">Skin Corr. 1C </w:t>
            </w:r>
          </w:p>
          <w:p w14:paraId="4D053580" w14:textId="260F653E" w:rsidR="001518D7" w:rsidRPr="00B10ACB" w:rsidRDefault="00D0590D" w:rsidP="00B10ACB">
            <w:pPr>
              <w:suppressAutoHyphens w:val="0"/>
              <w:autoSpaceDE w:val="0"/>
              <w:autoSpaceDN w:val="0"/>
              <w:adjustRightInd w:val="0"/>
              <w:jc w:val="both"/>
              <w:rPr>
                <w:rFonts w:ascii="Times New Roman" w:hAnsi="Times New Roman" w:cs="Times New Roman"/>
                <w:sz w:val="24"/>
                <w:szCs w:val="24"/>
                <w:lang w:val="fr-FR" w:eastAsia="fi-FI"/>
              </w:rPr>
            </w:pPr>
            <w:r w:rsidRPr="00E91F85">
              <w:rPr>
                <w:lang w:val="fr-FR"/>
              </w:rPr>
              <w:t>Eye Dam. 1</w:t>
            </w:r>
          </w:p>
        </w:tc>
      </w:tr>
      <w:tr w:rsidR="001518D7" w:rsidRPr="00B27CB1" w14:paraId="0BD0EB4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5690628" w14:textId="77777777" w:rsidR="001518D7" w:rsidRPr="00B27CB1" w:rsidRDefault="001518D7" w:rsidP="001518D7">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511A72D7" w14:textId="77777777" w:rsidR="00D0590D" w:rsidRDefault="001518D7" w:rsidP="00B10ACB">
            <w:pPr>
              <w:suppressAutoHyphens w:val="0"/>
              <w:autoSpaceDE w:val="0"/>
              <w:autoSpaceDN w:val="0"/>
              <w:adjustRightInd w:val="0"/>
              <w:jc w:val="both"/>
            </w:pPr>
            <w:r w:rsidRPr="00930421">
              <w:t xml:space="preserve">H290: May be corrosive to metals. </w:t>
            </w:r>
          </w:p>
          <w:p w14:paraId="3E5DEF8A" w14:textId="4BE18687" w:rsidR="00D0590D" w:rsidRPr="00AA5C99" w:rsidRDefault="00D0590D" w:rsidP="00B10ACB">
            <w:pPr>
              <w:autoSpaceDE w:val="0"/>
              <w:autoSpaceDN w:val="0"/>
              <w:adjustRightInd w:val="0"/>
              <w:jc w:val="both"/>
              <w:rPr>
                <w:rFonts w:cs="Times New Roman"/>
                <w:szCs w:val="24"/>
                <w:lang w:eastAsia="fi-FI"/>
              </w:rPr>
            </w:pPr>
            <w:r w:rsidRPr="00AA5C99">
              <w:rPr>
                <w:rFonts w:cs="Times New Roman"/>
                <w:szCs w:val="24"/>
                <w:lang w:eastAsia="fi-FI"/>
              </w:rPr>
              <w:t>H314: Causes severe skin burns and eye damage</w:t>
            </w:r>
          </w:p>
          <w:p w14:paraId="791DEB18" w14:textId="34BB52CE" w:rsidR="001518D7" w:rsidRPr="00E91F85" w:rsidRDefault="00D0590D" w:rsidP="00B10ACB">
            <w:pPr>
              <w:suppressAutoHyphens w:val="0"/>
              <w:autoSpaceDE w:val="0"/>
              <w:autoSpaceDN w:val="0"/>
              <w:adjustRightInd w:val="0"/>
              <w:jc w:val="both"/>
            </w:pPr>
            <w:r w:rsidRPr="00AA5C99">
              <w:rPr>
                <w:rFonts w:cs="Times New Roman"/>
                <w:szCs w:val="24"/>
                <w:lang w:eastAsia="fi-FI"/>
              </w:rPr>
              <w:t>H318: Causes serious eye damage</w:t>
            </w:r>
          </w:p>
        </w:tc>
      </w:tr>
      <w:tr w:rsidR="001518D7" w:rsidRPr="00B27CB1" w14:paraId="2C8E4964"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68DE2069" w14:textId="77777777" w:rsidR="001518D7" w:rsidRPr="00B27CB1" w:rsidRDefault="001518D7" w:rsidP="00B10ACB">
            <w:pPr>
              <w:snapToGrid w:val="0"/>
              <w:rPr>
                <w:lang w:eastAsia="fi-FI"/>
              </w:rPr>
            </w:pPr>
          </w:p>
        </w:tc>
      </w:tr>
      <w:tr w:rsidR="001518D7" w:rsidRPr="00B27CB1" w14:paraId="13991D6B"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9A254B9" w14:textId="77777777" w:rsidR="001518D7" w:rsidRPr="00B27CB1" w:rsidRDefault="001518D7" w:rsidP="00B10ACB">
            <w:r w:rsidRPr="00B27CB1">
              <w:rPr>
                <w:b/>
                <w:lang w:eastAsia="en-US"/>
              </w:rPr>
              <w:t>Labelling</w:t>
            </w:r>
          </w:p>
        </w:tc>
      </w:tr>
      <w:tr w:rsidR="001518D7" w:rsidRPr="00B27CB1" w14:paraId="7966B037"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40A4E09" w14:textId="77777777" w:rsidR="001518D7" w:rsidRPr="00B27CB1" w:rsidRDefault="001518D7" w:rsidP="001518D7">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4A60AA00" w14:textId="24F82204" w:rsidR="001518D7" w:rsidRPr="00B27CB1" w:rsidRDefault="00D0590D" w:rsidP="00B10ACB">
            <w:pPr>
              <w:suppressAutoHyphens w:val="0"/>
              <w:autoSpaceDE w:val="0"/>
              <w:autoSpaceDN w:val="0"/>
              <w:adjustRightInd w:val="0"/>
              <w:jc w:val="both"/>
              <w:rPr>
                <w:rFonts w:cs="Times New Roman"/>
                <w:szCs w:val="24"/>
                <w:lang w:eastAsia="fi-FI"/>
              </w:rPr>
            </w:pPr>
            <w:r w:rsidRPr="00AA5C99">
              <w:rPr>
                <w:rFonts w:cs="Times New Roman"/>
                <w:szCs w:val="24"/>
                <w:lang w:eastAsia="fi-FI"/>
              </w:rPr>
              <w:t>Danger</w:t>
            </w:r>
          </w:p>
        </w:tc>
      </w:tr>
      <w:tr w:rsidR="001518D7" w:rsidRPr="00B27CB1" w14:paraId="663E35C4"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3833599" w14:textId="153AF0D0" w:rsidR="001518D7" w:rsidRPr="00B27CB1" w:rsidRDefault="001518D7" w:rsidP="001518D7">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BB882DE" w14:textId="77777777" w:rsidR="001518D7" w:rsidRDefault="001518D7" w:rsidP="00B10ACB">
            <w:pPr>
              <w:suppressAutoHyphens w:val="0"/>
              <w:autoSpaceDE w:val="0"/>
              <w:autoSpaceDN w:val="0"/>
              <w:adjustRightInd w:val="0"/>
              <w:jc w:val="both"/>
              <w:rPr>
                <w:lang w:eastAsia="fi-FI"/>
              </w:rPr>
            </w:pPr>
            <w:r w:rsidRPr="008F425A">
              <w:rPr>
                <w:lang w:eastAsia="fi-FI"/>
              </w:rPr>
              <w:t>H290: May be corrosive to metals.</w:t>
            </w:r>
          </w:p>
          <w:p w14:paraId="0BAC2619" w14:textId="4F35B5FD" w:rsidR="00D0590D" w:rsidRPr="00B27CB1" w:rsidRDefault="00D0590D" w:rsidP="00B10ACB">
            <w:pPr>
              <w:autoSpaceDE w:val="0"/>
              <w:autoSpaceDN w:val="0"/>
              <w:adjustRightInd w:val="0"/>
              <w:jc w:val="both"/>
              <w:rPr>
                <w:rFonts w:cs="Times New Roman"/>
                <w:szCs w:val="24"/>
                <w:lang w:eastAsia="fi-FI"/>
              </w:rPr>
            </w:pPr>
            <w:r w:rsidRPr="00AA5C99">
              <w:rPr>
                <w:rFonts w:cs="Times New Roman"/>
                <w:szCs w:val="24"/>
                <w:lang w:eastAsia="fi-FI"/>
              </w:rPr>
              <w:t>H314: Causes severe skin burns and eye damage</w:t>
            </w:r>
          </w:p>
        </w:tc>
      </w:tr>
      <w:tr w:rsidR="001518D7" w:rsidRPr="00B27CB1" w14:paraId="06C41946"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BA1923E" w14:textId="3A204A2F" w:rsidR="001518D7" w:rsidRPr="00B27CB1" w:rsidRDefault="001518D7" w:rsidP="001518D7">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2556E01F" w14:textId="75309682" w:rsidR="001518D7" w:rsidRDefault="001518D7" w:rsidP="00245178">
            <w:pPr>
              <w:rPr>
                <w:lang w:eastAsia="fi-FI"/>
              </w:rPr>
            </w:pPr>
            <w:r>
              <w:rPr>
                <w:lang w:eastAsia="fi-FI"/>
              </w:rPr>
              <w:t>P234: Keep only in original container.</w:t>
            </w:r>
          </w:p>
          <w:p w14:paraId="4960D11C" w14:textId="77777777" w:rsidR="0071009D" w:rsidRPr="00AA5C99" w:rsidRDefault="0071009D" w:rsidP="00BB3563">
            <w:pPr>
              <w:rPr>
                <w:lang w:eastAsia="fi-FI"/>
              </w:rPr>
            </w:pPr>
            <w:r w:rsidRPr="00AA5C99">
              <w:rPr>
                <w:lang w:eastAsia="fi-FI"/>
              </w:rPr>
              <w:t>P260: Do not breathe dust/fume/gas/mist/vapours/spray.</w:t>
            </w:r>
          </w:p>
          <w:p w14:paraId="224303CD" w14:textId="77777777" w:rsidR="0071009D" w:rsidRPr="0071009D" w:rsidRDefault="0071009D" w:rsidP="002F6E1B">
            <w:pPr>
              <w:rPr>
                <w:lang w:eastAsia="fi-FI"/>
              </w:rPr>
            </w:pPr>
            <w:r w:rsidRPr="0071009D">
              <w:rPr>
                <w:lang w:eastAsia="fi-FI"/>
              </w:rPr>
              <w:t>P264: Wash ... thoroughly after handling.</w:t>
            </w:r>
          </w:p>
          <w:p w14:paraId="7FF5A723" w14:textId="77777777" w:rsidR="0071009D" w:rsidRPr="0071009D" w:rsidRDefault="0071009D" w:rsidP="001E568F">
            <w:pPr>
              <w:rPr>
                <w:lang w:eastAsia="fi-FI"/>
              </w:rPr>
            </w:pPr>
            <w:r w:rsidRPr="0071009D">
              <w:rPr>
                <w:lang w:eastAsia="fi-FI"/>
              </w:rPr>
              <w:t>P280: Wear protective gloves/protective clothing/eye protection/face protection.</w:t>
            </w:r>
          </w:p>
          <w:p w14:paraId="0E19D77D" w14:textId="77777777" w:rsidR="0071009D" w:rsidRPr="0071009D" w:rsidRDefault="0071009D" w:rsidP="00854EF9">
            <w:pPr>
              <w:rPr>
                <w:lang w:eastAsia="fi-FI"/>
              </w:rPr>
            </w:pPr>
            <w:r w:rsidRPr="0071009D">
              <w:rPr>
                <w:lang w:eastAsia="fi-FI"/>
              </w:rPr>
              <w:t>P301+P330+P331: IF SWALLOWED: Rinse mouth. Do NOT induce vomiting.</w:t>
            </w:r>
          </w:p>
          <w:p w14:paraId="106C8DEF" w14:textId="77777777" w:rsidR="0071009D" w:rsidRPr="0071009D" w:rsidRDefault="0071009D" w:rsidP="00854EF9">
            <w:pPr>
              <w:rPr>
                <w:lang w:eastAsia="fi-FI"/>
              </w:rPr>
            </w:pPr>
            <w:r w:rsidRPr="0071009D">
              <w:rPr>
                <w:lang w:eastAsia="fi-FI"/>
              </w:rPr>
              <w:t>P303+P361+P353: IF ON SKIN (or hair): Take off immediately all contaminated clothing. Rinse skin with water [or shower].</w:t>
            </w:r>
          </w:p>
          <w:p w14:paraId="2F8DD428" w14:textId="77777777" w:rsidR="0071009D" w:rsidRPr="0071009D" w:rsidRDefault="0071009D">
            <w:pPr>
              <w:rPr>
                <w:lang w:eastAsia="fi-FI"/>
              </w:rPr>
            </w:pPr>
            <w:r w:rsidRPr="0071009D">
              <w:rPr>
                <w:lang w:eastAsia="fi-FI"/>
              </w:rPr>
              <w:t>P304+P340: If INHALED: Remove personto fresh air and keep comfortable for breathing.</w:t>
            </w:r>
          </w:p>
          <w:p w14:paraId="6F10BD33" w14:textId="77777777" w:rsidR="0071009D" w:rsidRPr="0071009D" w:rsidRDefault="0071009D">
            <w:pPr>
              <w:rPr>
                <w:lang w:eastAsia="fi-FI"/>
              </w:rPr>
            </w:pPr>
            <w:r w:rsidRPr="0071009D">
              <w:rPr>
                <w:lang w:eastAsia="fi-FI"/>
              </w:rPr>
              <w:t xml:space="preserve">P305+P351+P338: IF IN EYES: Rinse cautiously with water for several minutes. Remove contact lenses, if present and easy to do. Continue rinsing. </w:t>
            </w:r>
          </w:p>
          <w:p w14:paraId="70372FFB" w14:textId="77777777" w:rsidR="0071009D" w:rsidRPr="0071009D" w:rsidRDefault="0071009D">
            <w:pPr>
              <w:rPr>
                <w:lang w:eastAsia="fi-FI"/>
              </w:rPr>
            </w:pPr>
            <w:r w:rsidRPr="0071009D">
              <w:rPr>
                <w:lang w:eastAsia="fi-FI"/>
              </w:rPr>
              <w:t>P310: Immediately call a POISON CENTER/doctor/...</w:t>
            </w:r>
          </w:p>
          <w:p w14:paraId="1038A41A" w14:textId="77777777" w:rsidR="0071009D" w:rsidRPr="0071009D" w:rsidRDefault="0071009D">
            <w:pPr>
              <w:rPr>
                <w:lang w:eastAsia="fi-FI"/>
              </w:rPr>
            </w:pPr>
            <w:r w:rsidRPr="0071009D">
              <w:rPr>
                <w:lang w:eastAsia="fi-FI"/>
              </w:rPr>
              <w:t>P321: Specific treatment (see ... on this label).</w:t>
            </w:r>
          </w:p>
          <w:p w14:paraId="640AFE26" w14:textId="24B4EE86" w:rsidR="0071009D" w:rsidRDefault="0071009D">
            <w:pPr>
              <w:rPr>
                <w:lang w:eastAsia="fi-FI"/>
              </w:rPr>
            </w:pPr>
            <w:r w:rsidRPr="0071009D">
              <w:rPr>
                <w:lang w:eastAsia="fi-FI"/>
              </w:rPr>
              <w:t>P363: Wash contaminated clothing before reuse.</w:t>
            </w:r>
          </w:p>
          <w:p w14:paraId="09331E3C" w14:textId="0E6E2482" w:rsidR="0071009D" w:rsidRDefault="001518D7">
            <w:pPr>
              <w:rPr>
                <w:lang w:eastAsia="fi-FI"/>
              </w:rPr>
            </w:pPr>
            <w:r>
              <w:rPr>
                <w:lang w:eastAsia="fi-FI"/>
              </w:rPr>
              <w:t>P390: Absorb spillage to prevent material damage.</w:t>
            </w:r>
          </w:p>
          <w:p w14:paraId="6412E2A5" w14:textId="20B1EE5C" w:rsidR="0071009D" w:rsidRDefault="0071009D">
            <w:pPr>
              <w:rPr>
                <w:lang w:eastAsia="fi-FI"/>
              </w:rPr>
            </w:pPr>
            <w:r w:rsidRPr="00AA5C99">
              <w:rPr>
                <w:lang w:eastAsia="fi-FI"/>
              </w:rPr>
              <w:t>P405: Store locked up.</w:t>
            </w:r>
          </w:p>
          <w:p w14:paraId="38C88333" w14:textId="77777777" w:rsidR="001518D7" w:rsidRDefault="001518D7">
            <w:pPr>
              <w:rPr>
                <w:lang w:eastAsia="fi-FI"/>
              </w:rPr>
            </w:pPr>
            <w:r>
              <w:rPr>
                <w:lang w:eastAsia="fi-FI"/>
              </w:rPr>
              <w:t>P406: Store in a corrosive resistant/… container with a resistant inner liner.</w:t>
            </w:r>
          </w:p>
          <w:p w14:paraId="00743FE6" w14:textId="51F9861A" w:rsidR="0071009D" w:rsidRPr="00B27CB1" w:rsidRDefault="001D3539">
            <w:pPr>
              <w:rPr>
                <w:rFonts w:cs="Times New Roman"/>
                <w:color w:val="000000"/>
                <w:lang w:eastAsia="en-US"/>
              </w:rPr>
            </w:pPr>
            <w:r>
              <w:rPr>
                <w:rFonts w:cs="Times New Roman"/>
                <w:color w:val="000000"/>
                <w:lang w:eastAsia="en-US"/>
              </w:rPr>
              <w:t>P501</w:t>
            </w:r>
            <w:r w:rsidRPr="001D3539">
              <w:rPr>
                <w:rFonts w:cs="Times New Roman"/>
                <w:color w:val="000000"/>
                <w:lang w:eastAsia="en-US"/>
              </w:rPr>
              <w:t>: Dispose of contents/container to…</w:t>
            </w:r>
          </w:p>
        </w:tc>
      </w:tr>
      <w:tr w:rsidR="001518D7" w:rsidRPr="00B27CB1" w14:paraId="21599042"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C0A472F" w14:textId="093A6778" w:rsidR="001518D7" w:rsidRPr="00B27CB1" w:rsidRDefault="001518D7" w:rsidP="001518D7">
            <w:pPr>
              <w:snapToGrid w:val="0"/>
              <w:spacing w:line="256" w:lineRule="auto"/>
              <w:rPr>
                <w:lang w:eastAsia="fi-FI"/>
              </w:rPr>
            </w:pPr>
          </w:p>
        </w:tc>
      </w:tr>
      <w:tr w:rsidR="001518D7" w:rsidRPr="00B27CB1" w14:paraId="52C81D80"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03FFFC53" w14:textId="656E8FE9" w:rsidR="001518D7" w:rsidRPr="00B27CB1" w:rsidRDefault="001518D7" w:rsidP="001518D7">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0E7FAACC" w14:textId="40A06C7B" w:rsidR="001518D7" w:rsidRPr="00B27CB1" w:rsidRDefault="001518D7" w:rsidP="001518D7">
            <w:pPr>
              <w:snapToGrid w:val="0"/>
              <w:spacing w:line="256" w:lineRule="auto"/>
              <w:rPr>
                <w:b/>
                <w:lang w:eastAsia="fi-FI"/>
              </w:rPr>
            </w:pPr>
          </w:p>
        </w:tc>
      </w:tr>
    </w:tbl>
    <w:p w14:paraId="6220A156" w14:textId="77777777" w:rsidR="00A932DC" w:rsidRPr="00B27CB1" w:rsidRDefault="00A932DC" w:rsidP="00A932DC">
      <w:pPr>
        <w:tabs>
          <w:tab w:val="left" w:pos="500"/>
        </w:tabs>
        <w:ind w:left="500" w:hanging="500"/>
      </w:pPr>
    </w:p>
    <w:p w14:paraId="18DA3CB5" w14:textId="77777777" w:rsidR="00A932DC" w:rsidRPr="00B27CB1" w:rsidRDefault="00A932DC" w:rsidP="00A932DC"/>
    <w:p w14:paraId="0757A4C7" w14:textId="77777777" w:rsidR="00A932DC" w:rsidRPr="00B10ACB" w:rsidRDefault="00A932DC" w:rsidP="00E91F85">
      <w:pPr>
        <w:pStyle w:val="Titre3"/>
        <w:rPr>
          <w:lang w:val="en-US"/>
        </w:rPr>
      </w:pPr>
      <w:bookmarkStart w:id="111" w:name="_Toc87361141"/>
      <w:r w:rsidRPr="00B10ACB">
        <w:rPr>
          <w:lang w:val="en-US"/>
        </w:rPr>
        <w:lastRenderedPageBreak/>
        <w:t>Authorised use(s) of the META SPC 7</w:t>
      </w:r>
      <w:bookmarkEnd w:id="111"/>
    </w:p>
    <w:p w14:paraId="79374E26" w14:textId="77777777" w:rsidR="00685495" w:rsidRPr="00B27CB1" w:rsidRDefault="00685495" w:rsidP="00685495">
      <w:pPr>
        <w:pStyle w:val="Titre4"/>
        <w:numPr>
          <w:ilvl w:val="3"/>
          <w:numId w:val="9"/>
        </w:numPr>
        <w:rPr>
          <w:lang w:val="en-GB"/>
        </w:rPr>
      </w:pPr>
      <w:bookmarkStart w:id="112" w:name="_Toc87361142"/>
      <w:r w:rsidRPr="00B27CB1">
        <w:rPr>
          <w:lang w:val="en-GB"/>
        </w:rPr>
        <w:t>Use description</w:t>
      </w:r>
      <w:bookmarkEnd w:id="112"/>
    </w:p>
    <w:p w14:paraId="59BE12A5" w14:textId="79A31148" w:rsidR="00685495" w:rsidRPr="00B27CB1" w:rsidRDefault="00685495" w:rsidP="00685495">
      <w:pPr>
        <w:pStyle w:val="Lgende"/>
        <w:spacing w:after="120"/>
        <w:rPr>
          <w:rFonts w:ascii="Verdana" w:hAnsi="Verdana"/>
          <w:b/>
          <w:bCs/>
          <w:szCs w:val="24"/>
          <w:lang w:eastAsia="en-GB"/>
        </w:rPr>
      </w:pPr>
      <w:r w:rsidRPr="00E91F85">
        <w:rPr>
          <w:rFonts w:ascii="Verdana" w:hAnsi="Verdana" w:cs="Verdana"/>
        </w:rPr>
        <w:t xml:space="preserve">Table </w:t>
      </w:r>
      <w:r w:rsidRPr="00E91F85">
        <w:rPr>
          <w:rFonts w:ascii="Verdana" w:hAnsi="Verdana" w:cs="Verdana"/>
        </w:rPr>
        <w:fldChar w:fldCharType="begin"/>
      </w:r>
      <w:r w:rsidRPr="00E91F85">
        <w:rPr>
          <w:rFonts w:ascii="Verdana" w:hAnsi="Verdana" w:cs="Verdana"/>
        </w:rPr>
        <w:instrText xml:space="preserve"> SEQ "Tableau" \* ARABIC </w:instrText>
      </w:r>
      <w:r w:rsidRPr="00E91F85">
        <w:rPr>
          <w:rFonts w:ascii="Verdana" w:hAnsi="Verdana" w:cs="Verdana"/>
        </w:rPr>
        <w:fldChar w:fldCharType="separate"/>
      </w:r>
      <w:r w:rsidR="00245178">
        <w:rPr>
          <w:rFonts w:ascii="Verdana" w:hAnsi="Verdana" w:cs="Verdana"/>
          <w:noProof/>
        </w:rPr>
        <w:t>13</w:t>
      </w:r>
      <w:r w:rsidRPr="00E91F85">
        <w:rPr>
          <w:rFonts w:ascii="Verdana" w:hAnsi="Verdana" w:cs="Verdana"/>
        </w:rPr>
        <w:fldChar w:fldCharType="end"/>
      </w:r>
      <w:r w:rsidRPr="00E91F85">
        <w:rPr>
          <w:rFonts w:ascii="Verdana" w:hAnsi="Verdana"/>
        </w:rPr>
        <w:t>. Use # 1 – Disinfectants for hard surfaces of industry, institution, healthcare facilities, healthcare and</w:t>
      </w:r>
      <w:r w:rsidR="006576EB" w:rsidRPr="00E91F85">
        <w:rPr>
          <w:rFonts w:ascii="Verdana" w:hAnsi="Verdana"/>
        </w:rPr>
        <w:t>,</w:t>
      </w:r>
      <w:r w:rsidRPr="00E91F85">
        <w:rPr>
          <w:rFonts w:ascii="Verdana" w:hAnsi="Verdana"/>
        </w:rPr>
        <w:t xml:space="preserve"> </w:t>
      </w:r>
      <w:r w:rsidR="00486D72" w:rsidRPr="00E91F85">
        <w:rPr>
          <w:rFonts w:ascii="Verdana" w:hAnsi="Verdana"/>
        </w:rPr>
        <w:t>food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85495" w:rsidRPr="00B27CB1" w14:paraId="0165DA54" w14:textId="77777777" w:rsidTr="00685495">
        <w:tc>
          <w:tcPr>
            <w:tcW w:w="2707" w:type="dxa"/>
            <w:tcBorders>
              <w:top w:val="single" w:sz="4" w:space="0" w:color="000000"/>
              <w:left w:val="single" w:sz="4" w:space="0" w:color="000000"/>
              <w:bottom w:val="single" w:sz="4" w:space="0" w:color="000000"/>
              <w:right w:val="nil"/>
            </w:tcBorders>
            <w:hideMark/>
          </w:tcPr>
          <w:p w14:paraId="6BDE341B" w14:textId="77777777" w:rsidR="00685495" w:rsidRPr="00B27CB1" w:rsidRDefault="0068549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4681ECCA" w14:textId="75CDD2CE" w:rsidR="00685495" w:rsidRPr="00B27CB1" w:rsidRDefault="00486D72" w:rsidP="00685495">
            <w:pPr>
              <w:snapToGrid w:val="0"/>
              <w:spacing w:line="254" w:lineRule="auto"/>
              <w:rPr>
                <w:b/>
              </w:rPr>
            </w:pPr>
            <w:r w:rsidRPr="00486D72">
              <w:rPr>
                <w:rFonts w:cs="Times New Roman"/>
                <w:lang w:eastAsia="de-DE"/>
              </w:rPr>
              <w:t>PT02 - Disinfectants and algaecides not intended for direct application to humans or animals (Disinfectants)</w:t>
            </w:r>
            <w:r w:rsidRPr="00486D72">
              <w:rPr>
                <w:rFonts w:cs="Times New Roman"/>
                <w:lang w:eastAsia="de-DE"/>
              </w:rPr>
              <w:br/>
              <w:t>PT04 - Food and feed area (Disinfectants)</w:t>
            </w:r>
          </w:p>
        </w:tc>
      </w:tr>
      <w:tr w:rsidR="00685495" w:rsidRPr="00B27CB1" w14:paraId="24D654BF" w14:textId="77777777" w:rsidTr="00685495">
        <w:tc>
          <w:tcPr>
            <w:tcW w:w="2707" w:type="dxa"/>
            <w:tcBorders>
              <w:top w:val="nil"/>
              <w:left w:val="single" w:sz="4" w:space="0" w:color="000000"/>
              <w:bottom w:val="single" w:sz="4" w:space="0" w:color="000000"/>
              <w:right w:val="nil"/>
            </w:tcBorders>
            <w:hideMark/>
          </w:tcPr>
          <w:p w14:paraId="3B756CEE" w14:textId="77777777" w:rsidR="00685495" w:rsidRPr="00B27CB1" w:rsidRDefault="0068549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2E0CAF1" w14:textId="4B3B8EDB" w:rsidR="00685495" w:rsidRPr="00B27CB1" w:rsidRDefault="00486D72" w:rsidP="00B10ACB">
            <w:pPr>
              <w:rPr>
                <w:b/>
              </w:rPr>
            </w:pPr>
            <w:r w:rsidRPr="000D7D14">
              <w:rPr>
                <w:color w:val="000000"/>
              </w:rPr>
              <w:t>Product used for the disinfection of industry, institution, healthcare facilities and healthcare</w:t>
            </w:r>
            <w:r w:rsidR="0020710F">
              <w:rPr>
                <w:color w:val="000000"/>
              </w:rPr>
              <w:t>,</w:t>
            </w:r>
            <w:r w:rsidRPr="000D7D14">
              <w:rPr>
                <w:color w:val="000000"/>
              </w:rPr>
              <w:t xml:space="preserve"> including toilets bowls and disinfection for area</w:t>
            </w:r>
            <w:r w:rsidR="0020710F">
              <w:rPr>
                <w:color w:val="000000"/>
              </w:rPr>
              <w:t>s</w:t>
            </w:r>
            <w:r w:rsidRPr="000D7D14">
              <w:rPr>
                <w:color w:val="000000"/>
              </w:rPr>
              <w:t xml:space="preserve"> of food preparation and handling. </w:t>
            </w:r>
            <w:r w:rsidRPr="000D7D14">
              <w:br/>
            </w:r>
            <w:r w:rsidRPr="000D7D14">
              <w:br/>
            </w:r>
            <w:r w:rsidR="00E72EBE">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685495" w:rsidRPr="00B27CB1" w14:paraId="1523ADFC" w14:textId="77777777" w:rsidTr="00685495">
        <w:tc>
          <w:tcPr>
            <w:tcW w:w="2707" w:type="dxa"/>
            <w:tcBorders>
              <w:top w:val="nil"/>
              <w:left w:val="single" w:sz="4" w:space="0" w:color="000000"/>
              <w:bottom w:val="single" w:sz="4" w:space="0" w:color="000000"/>
              <w:right w:val="nil"/>
            </w:tcBorders>
            <w:hideMark/>
          </w:tcPr>
          <w:p w14:paraId="4D7DEB05" w14:textId="77777777" w:rsidR="00685495" w:rsidRPr="00B27CB1" w:rsidRDefault="0068549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2ADEB2A" w14:textId="51577ED1" w:rsidR="00685495" w:rsidRPr="00B27CB1" w:rsidRDefault="00486D72" w:rsidP="00685495">
            <w:pPr>
              <w:snapToGrid w:val="0"/>
              <w:spacing w:line="254" w:lineRule="auto"/>
              <w:rPr>
                <w:b/>
              </w:rPr>
            </w:pPr>
            <w:r w:rsidRPr="000D7D14">
              <w:t>Bacteria</w:t>
            </w:r>
            <w:r w:rsidRPr="000D7D14">
              <w:br/>
              <w:t>Yeasts</w:t>
            </w:r>
          </w:p>
        </w:tc>
      </w:tr>
      <w:tr w:rsidR="00685495" w:rsidRPr="00B27CB1" w14:paraId="1BDD4D38" w14:textId="77777777" w:rsidTr="00685495">
        <w:tc>
          <w:tcPr>
            <w:tcW w:w="2707" w:type="dxa"/>
            <w:tcBorders>
              <w:top w:val="nil"/>
              <w:left w:val="single" w:sz="4" w:space="0" w:color="000000"/>
              <w:bottom w:val="single" w:sz="4" w:space="0" w:color="000000"/>
              <w:right w:val="nil"/>
            </w:tcBorders>
            <w:hideMark/>
          </w:tcPr>
          <w:p w14:paraId="14D65C9D" w14:textId="77777777" w:rsidR="00685495" w:rsidRPr="00B27CB1" w:rsidRDefault="0068549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EABB21F" w14:textId="6DFBAEF7" w:rsidR="00685495" w:rsidRPr="00B27CB1" w:rsidRDefault="00486D72" w:rsidP="00DF446C">
            <w:pPr>
              <w:snapToGrid w:val="0"/>
              <w:spacing w:line="254" w:lineRule="auto"/>
              <w:rPr>
                <w:b/>
              </w:rPr>
            </w:pPr>
            <w:r w:rsidRPr="000D7D14">
              <w:t>Indoor</w:t>
            </w:r>
          </w:p>
        </w:tc>
      </w:tr>
      <w:tr w:rsidR="00685495" w:rsidRPr="00B27CB1" w14:paraId="65FEC4BB" w14:textId="77777777" w:rsidTr="00685495">
        <w:tc>
          <w:tcPr>
            <w:tcW w:w="2707" w:type="dxa"/>
            <w:tcBorders>
              <w:top w:val="nil"/>
              <w:left w:val="single" w:sz="4" w:space="0" w:color="000000"/>
              <w:bottom w:val="single" w:sz="4" w:space="0" w:color="000000"/>
              <w:right w:val="nil"/>
            </w:tcBorders>
            <w:hideMark/>
          </w:tcPr>
          <w:p w14:paraId="13E81DDC" w14:textId="77777777" w:rsidR="00685495" w:rsidRPr="00B27CB1" w:rsidRDefault="00685495"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F146E37" w14:textId="77777777" w:rsidR="000F556B" w:rsidRDefault="00486D72" w:rsidP="000F556B">
            <w:pPr>
              <w:suppressAutoHyphens w:val="0"/>
              <w:snapToGrid w:val="0"/>
              <w:spacing w:line="260" w:lineRule="atLeast"/>
            </w:pPr>
            <w:r w:rsidRPr="000D7D14">
              <w:t xml:space="preserve">Spraying, </w:t>
            </w:r>
          </w:p>
          <w:p w14:paraId="468347EC" w14:textId="6BC28481" w:rsidR="000F556B" w:rsidRDefault="000F556B" w:rsidP="000F556B">
            <w:pPr>
              <w:suppressAutoHyphens w:val="0"/>
              <w:snapToGrid w:val="0"/>
              <w:spacing w:line="260" w:lineRule="atLeast"/>
            </w:pPr>
            <w:r>
              <w:t>W</w:t>
            </w:r>
            <w:r w:rsidR="00486D72" w:rsidRPr="000D7D14">
              <w:t xml:space="preserve">iping (applying product onto wipe followed by wiping), </w:t>
            </w:r>
          </w:p>
          <w:p w14:paraId="58E2A4B4" w14:textId="77777777" w:rsidR="00685495" w:rsidRDefault="000F556B" w:rsidP="000F556B">
            <w:pPr>
              <w:suppressAutoHyphens w:val="0"/>
              <w:snapToGrid w:val="0"/>
              <w:spacing w:line="260" w:lineRule="atLeast"/>
            </w:pPr>
            <w:r>
              <w:t>M</w:t>
            </w:r>
            <w:r w:rsidR="00486D72" w:rsidRPr="000D7D14">
              <w:t>opping (applying product onto mop followed by mopping)</w:t>
            </w:r>
          </w:p>
          <w:p w14:paraId="6CA86F77" w14:textId="77777777" w:rsidR="00F345A2" w:rsidRDefault="00F345A2" w:rsidP="00F345A2">
            <w:pPr>
              <w:suppressAutoHyphens w:val="0"/>
              <w:snapToGrid w:val="0"/>
              <w:spacing w:line="260" w:lineRule="atLeast"/>
            </w:pPr>
            <w:r>
              <w:t>Brushing (applying product onto brush followed by brushing)</w:t>
            </w:r>
          </w:p>
          <w:p w14:paraId="4ACE4375" w14:textId="14C924FD" w:rsidR="00F345A2" w:rsidRPr="00B27CB1" w:rsidRDefault="00F345A2" w:rsidP="00F345A2">
            <w:pPr>
              <w:suppressAutoHyphens w:val="0"/>
              <w:snapToGrid w:val="0"/>
              <w:spacing w:line="260" w:lineRule="atLeast"/>
              <w:rPr>
                <w:rFonts w:cs="Times New Roman"/>
                <w:lang w:eastAsia="de-DE"/>
              </w:rPr>
            </w:pPr>
            <w:r>
              <w:t>Scrubbing (machine)</w:t>
            </w:r>
          </w:p>
        </w:tc>
      </w:tr>
      <w:tr w:rsidR="00685495" w:rsidRPr="00B27CB1" w14:paraId="2DCB3937" w14:textId="77777777" w:rsidTr="00685495">
        <w:tc>
          <w:tcPr>
            <w:tcW w:w="2707" w:type="dxa"/>
            <w:tcBorders>
              <w:top w:val="nil"/>
              <w:left w:val="single" w:sz="4" w:space="0" w:color="000000"/>
              <w:bottom w:val="single" w:sz="4" w:space="0" w:color="000000"/>
              <w:right w:val="nil"/>
            </w:tcBorders>
            <w:hideMark/>
          </w:tcPr>
          <w:p w14:paraId="79CE22FB" w14:textId="77777777" w:rsidR="00685495" w:rsidRPr="00B27CB1" w:rsidRDefault="00685495"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83E50C7" w14:textId="77777777" w:rsidR="00F345A2" w:rsidRPr="00E91F85" w:rsidRDefault="00F345A2" w:rsidP="00F345A2">
            <w:pPr>
              <w:rPr>
                <w:bCs/>
                <w:lang w:val="en-US"/>
              </w:rPr>
            </w:pPr>
            <w:r w:rsidRPr="00E91F85">
              <w:rPr>
                <w:bCs/>
                <w:lang w:val="en-US"/>
              </w:rPr>
              <w:t>Dirty conditions</w:t>
            </w:r>
          </w:p>
          <w:p w14:paraId="37E1B8BE" w14:textId="0BD602A0" w:rsidR="000F556B" w:rsidRPr="00E91F85" w:rsidRDefault="000F556B" w:rsidP="00486D72">
            <w:pPr>
              <w:rPr>
                <w:bCs/>
                <w:lang w:val="en-US"/>
              </w:rPr>
            </w:pPr>
          </w:p>
          <w:p w14:paraId="0EFB4CC3" w14:textId="627C73AC" w:rsidR="00486D72" w:rsidRPr="00E91F85" w:rsidRDefault="00F345A2" w:rsidP="00486D72">
            <w:pPr>
              <w:rPr>
                <w:bCs/>
                <w:lang w:val="en-US"/>
              </w:rPr>
            </w:pPr>
            <w:r w:rsidRPr="00E91F85">
              <w:rPr>
                <w:bCs/>
                <w:lang w:val="en-US"/>
              </w:rPr>
              <w:t>I</w:t>
            </w:r>
            <w:r w:rsidR="000F556B" w:rsidRPr="00E91F85">
              <w:rPr>
                <w:bCs/>
                <w:lang w:val="en-US"/>
              </w:rPr>
              <w:t xml:space="preserve">n </w:t>
            </w:r>
            <w:r w:rsidR="00E72EBE" w:rsidRPr="00E91F85">
              <w:rPr>
                <w:bCs/>
                <w:lang w:val="en-US"/>
              </w:rPr>
              <w:t>healthcare areas</w:t>
            </w:r>
            <w:r w:rsidR="000F556B" w:rsidRPr="00E91F85">
              <w:rPr>
                <w:bCs/>
                <w:lang w:val="en-US"/>
              </w:rPr>
              <w:t>, w</w:t>
            </w:r>
            <w:r w:rsidR="00DF446C" w:rsidRPr="00E91F85">
              <w:rPr>
                <w:bCs/>
                <w:lang w:val="en-US"/>
              </w:rPr>
              <w:t>ithout mechanical application</w:t>
            </w:r>
            <w:r w:rsidR="0020710F" w:rsidRPr="00E91F85">
              <w:rPr>
                <w:bCs/>
                <w:lang w:val="en-US"/>
              </w:rPr>
              <w:t xml:space="preserve"> </w:t>
            </w:r>
            <w:r w:rsidRPr="00E91F85">
              <w:rPr>
                <w:bCs/>
                <w:lang w:val="en-US"/>
              </w:rPr>
              <w:t>(spraying)</w:t>
            </w:r>
            <w:r w:rsidR="00DF446C" w:rsidRPr="00E91F85">
              <w:rPr>
                <w:bCs/>
                <w:lang w:val="en-US"/>
              </w:rPr>
              <w:t>:</w:t>
            </w:r>
          </w:p>
          <w:p w14:paraId="33613F18" w14:textId="205A1A5A" w:rsidR="00486D72" w:rsidRPr="00F0256C" w:rsidRDefault="00486D72" w:rsidP="00486D72">
            <w:r w:rsidRPr="00E91F85">
              <w:rPr>
                <w:bCs/>
                <w:lang w:val="en-US"/>
              </w:rPr>
              <w:t xml:space="preserve">bacteria, yeasts: 10% (v/v), </w:t>
            </w:r>
            <w:r w:rsidRPr="00F0256C">
              <w:t>contact time</w:t>
            </w:r>
            <w:r w:rsidR="00DF446C">
              <w:t xml:space="preserve"> </w:t>
            </w:r>
            <w:r w:rsidRPr="00F0256C">
              <w:t>5 minutes</w:t>
            </w:r>
            <w:r w:rsidRPr="00E91F85">
              <w:rPr>
                <w:bCs/>
                <w:lang w:val="en-US"/>
              </w:rPr>
              <w:t xml:space="preserve">, </w:t>
            </w:r>
            <w:r w:rsidR="00685AE8">
              <w:rPr>
                <w:bCs/>
                <w:lang w:val="en-US"/>
              </w:rPr>
              <w:t>20°C</w:t>
            </w:r>
          </w:p>
          <w:p w14:paraId="34BE581B" w14:textId="5B6E7855" w:rsidR="00486D72" w:rsidRPr="00E91F85" w:rsidRDefault="00486D72" w:rsidP="00486D72">
            <w:pPr>
              <w:rPr>
                <w:bCs/>
                <w:lang w:val="en-US"/>
              </w:rPr>
            </w:pPr>
          </w:p>
          <w:p w14:paraId="0546DC3A" w14:textId="2E57A0AE" w:rsidR="00486D72" w:rsidRPr="00E91F85" w:rsidRDefault="00486D72" w:rsidP="00486D72">
            <w:pPr>
              <w:rPr>
                <w:bCs/>
                <w:lang w:val="en-US"/>
              </w:rPr>
            </w:pPr>
            <w:r w:rsidRPr="00E91F85">
              <w:rPr>
                <w:bCs/>
                <w:lang w:val="en-US"/>
              </w:rPr>
              <w:t>Other areas</w:t>
            </w:r>
            <w:r w:rsidR="000F556B" w:rsidRPr="00E91F85">
              <w:rPr>
                <w:bCs/>
                <w:lang w:val="en-US"/>
              </w:rPr>
              <w:t xml:space="preserve">, without mechanical </w:t>
            </w:r>
            <w:r w:rsidR="00E158A1" w:rsidRPr="00E91F85">
              <w:rPr>
                <w:bCs/>
                <w:lang w:val="en-US"/>
              </w:rPr>
              <w:t>application</w:t>
            </w:r>
            <w:r w:rsidR="00F345A2" w:rsidRPr="00E91F85">
              <w:rPr>
                <w:bCs/>
                <w:lang w:val="en-US"/>
              </w:rPr>
              <w:t xml:space="preserve"> (spraying)</w:t>
            </w:r>
            <w:r w:rsidR="00E158A1" w:rsidRPr="00E91F85">
              <w:rPr>
                <w:bCs/>
                <w:lang w:val="en-US"/>
              </w:rPr>
              <w:t>:</w:t>
            </w:r>
          </w:p>
          <w:p w14:paraId="0A7B5D70" w14:textId="77777777" w:rsidR="00486D72" w:rsidRPr="00E91F85" w:rsidRDefault="00486D72" w:rsidP="00486D72">
            <w:pPr>
              <w:rPr>
                <w:bCs/>
                <w:lang w:val="en-US"/>
              </w:rPr>
            </w:pPr>
            <w:r w:rsidRPr="00E91F85">
              <w:rPr>
                <w:bCs/>
                <w:lang w:val="en-US"/>
              </w:rPr>
              <w:t xml:space="preserve">Bacteria, yeasts: </w:t>
            </w:r>
          </w:p>
          <w:p w14:paraId="39BC464A" w14:textId="3580B390" w:rsidR="00486D72" w:rsidRPr="00E91F85" w:rsidRDefault="00486D72" w:rsidP="00486D72">
            <w:pPr>
              <w:rPr>
                <w:bCs/>
                <w:lang w:val="en-US"/>
              </w:rPr>
            </w:pPr>
            <w:r w:rsidRPr="00E91F85">
              <w:rPr>
                <w:bCs/>
                <w:lang w:val="en-US"/>
              </w:rPr>
              <w:t xml:space="preserve">8% (v/v), contact time 15 min, </w:t>
            </w:r>
            <w:r w:rsidR="00685AE8">
              <w:rPr>
                <w:bCs/>
                <w:lang w:val="en-US"/>
              </w:rPr>
              <w:t>20°C</w:t>
            </w:r>
          </w:p>
          <w:p w14:paraId="06E14BFE" w14:textId="77777777" w:rsidR="00486D72" w:rsidRPr="00E91F85" w:rsidRDefault="00486D72" w:rsidP="00486D72">
            <w:pPr>
              <w:rPr>
                <w:bCs/>
                <w:lang w:val="en-US"/>
              </w:rPr>
            </w:pPr>
            <w:r w:rsidRPr="00E91F85">
              <w:rPr>
                <w:bCs/>
                <w:lang w:val="en-US"/>
              </w:rPr>
              <w:t>6% (v/v), contact time 30 min, 40°C</w:t>
            </w:r>
          </w:p>
          <w:p w14:paraId="0C2D1137" w14:textId="77777777" w:rsidR="00486D72" w:rsidRPr="00E91F85" w:rsidRDefault="00486D72" w:rsidP="00486D72">
            <w:pPr>
              <w:rPr>
                <w:bCs/>
                <w:lang w:val="en-US"/>
              </w:rPr>
            </w:pPr>
          </w:p>
          <w:p w14:paraId="37FA1876" w14:textId="262AFEC5" w:rsidR="00486D72" w:rsidRPr="00E91F85" w:rsidRDefault="00DF446C" w:rsidP="00486D72">
            <w:pPr>
              <w:rPr>
                <w:bCs/>
                <w:lang w:val="en-US"/>
              </w:rPr>
            </w:pPr>
            <w:r w:rsidRPr="00E91F85">
              <w:rPr>
                <w:bCs/>
                <w:lang w:val="en-US"/>
              </w:rPr>
              <w:t>All areas, with mechanical application</w:t>
            </w:r>
            <w:r w:rsidR="004E3347" w:rsidRPr="00E91F85">
              <w:rPr>
                <w:bCs/>
                <w:lang w:val="en-US"/>
              </w:rPr>
              <w:t xml:space="preserve"> </w:t>
            </w:r>
            <w:r w:rsidR="00F345A2">
              <w:rPr>
                <w:rFonts w:cs="Times New Roman"/>
                <w:lang w:eastAsia="de-DE"/>
              </w:rPr>
              <w:t>(wiping</w:t>
            </w:r>
            <w:r w:rsidR="004E3347">
              <w:rPr>
                <w:rFonts w:cs="Times New Roman"/>
                <w:lang w:eastAsia="de-DE"/>
              </w:rPr>
              <w:t xml:space="preserve"> </w:t>
            </w:r>
            <w:r w:rsidR="00F345A2">
              <w:rPr>
                <w:rFonts w:cs="Times New Roman"/>
                <w:lang w:eastAsia="de-DE"/>
              </w:rPr>
              <w:t>/mopping</w:t>
            </w:r>
            <w:r w:rsidR="004E3347">
              <w:rPr>
                <w:rFonts w:cs="Times New Roman"/>
                <w:lang w:eastAsia="de-DE"/>
              </w:rPr>
              <w:t xml:space="preserve"> </w:t>
            </w:r>
            <w:r w:rsidR="00F345A2" w:rsidRPr="00E91F85">
              <w:rPr>
                <w:bCs/>
                <w:lang w:val="en-US"/>
              </w:rPr>
              <w:t>/brushing</w:t>
            </w:r>
            <w:r w:rsidR="004E3347" w:rsidRPr="00E91F85">
              <w:rPr>
                <w:bCs/>
                <w:lang w:val="en-US"/>
              </w:rPr>
              <w:t xml:space="preserve"> </w:t>
            </w:r>
            <w:r w:rsidR="00F345A2" w:rsidRPr="00E91F85">
              <w:rPr>
                <w:bCs/>
                <w:lang w:val="en-US"/>
              </w:rPr>
              <w:t>/scrubbing</w:t>
            </w:r>
            <w:r w:rsidR="00F345A2">
              <w:rPr>
                <w:rFonts w:cs="Times New Roman"/>
                <w:lang w:eastAsia="de-DE"/>
              </w:rPr>
              <w:t>)</w:t>
            </w:r>
            <w:r w:rsidR="00486D72" w:rsidRPr="00E91F85">
              <w:rPr>
                <w:bCs/>
                <w:lang w:val="en-US"/>
              </w:rPr>
              <w:t>:</w:t>
            </w:r>
          </w:p>
          <w:p w14:paraId="10894A86" w14:textId="62596470" w:rsidR="00486D72" w:rsidRPr="00E91F85" w:rsidRDefault="00486D72" w:rsidP="00486D72">
            <w:pPr>
              <w:rPr>
                <w:bCs/>
                <w:lang w:val="en-US"/>
              </w:rPr>
            </w:pPr>
            <w:r w:rsidRPr="00E91F85">
              <w:rPr>
                <w:bCs/>
                <w:lang w:val="en-US"/>
              </w:rPr>
              <w:t xml:space="preserve">Bacteria, yeasts: 10% v/v, contact time 5 min, </w:t>
            </w:r>
            <w:r w:rsidR="00685AE8">
              <w:rPr>
                <w:bCs/>
                <w:lang w:val="en-US"/>
              </w:rPr>
              <w:t>20°C</w:t>
            </w:r>
          </w:p>
          <w:p w14:paraId="7DFCC07B" w14:textId="77777777" w:rsidR="00486D72" w:rsidRPr="00E91F85" w:rsidRDefault="00486D72" w:rsidP="00486D72">
            <w:pPr>
              <w:rPr>
                <w:bCs/>
                <w:lang w:val="en-US"/>
              </w:rPr>
            </w:pPr>
          </w:p>
          <w:p w14:paraId="64712BA9" w14:textId="303F1BFB" w:rsidR="00486D72" w:rsidRPr="00E91F85" w:rsidRDefault="00E72EBE" w:rsidP="00486D72">
            <w:pPr>
              <w:rPr>
                <w:bCs/>
                <w:lang w:val="en-US"/>
              </w:rPr>
            </w:pPr>
            <w:r w:rsidRPr="00E91F85">
              <w:rPr>
                <w:bCs/>
                <w:lang w:val="en-US"/>
              </w:rPr>
              <w:t>Application rates:</w:t>
            </w:r>
          </w:p>
          <w:p w14:paraId="537837DA" w14:textId="1E269DE0" w:rsidR="00E72EBE" w:rsidRPr="00E91F85" w:rsidRDefault="00486D72" w:rsidP="00486D72">
            <w:pPr>
              <w:rPr>
                <w:bCs/>
                <w:lang w:val="en-US"/>
              </w:rPr>
            </w:pPr>
            <w:r w:rsidRPr="00E91F85">
              <w:rPr>
                <w:bCs/>
                <w:lang w:val="en-US"/>
              </w:rPr>
              <w:t>30</w:t>
            </w:r>
            <w:r w:rsidR="00383E12">
              <w:rPr>
                <w:bCs/>
                <w:lang w:val="en-US"/>
              </w:rPr>
              <w:t xml:space="preserve"> </w:t>
            </w:r>
            <w:r w:rsidRPr="00E91F85">
              <w:rPr>
                <w:bCs/>
                <w:lang w:val="en-US"/>
              </w:rPr>
              <w:t>ml/m</w:t>
            </w:r>
            <w:r w:rsidRPr="00B10ACB">
              <w:rPr>
                <w:bCs/>
                <w:vertAlign w:val="superscript"/>
                <w:lang w:val="en-US"/>
              </w:rPr>
              <w:t>2</w:t>
            </w:r>
            <w:r w:rsidRPr="00E91F85">
              <w:rPr>
                <w:bCs/>
                <w:lang w:val="en-US"/>
              </w:rPr>
              <w:t xml:space="preserve"> - 20 sprays directly on the surface per m</w:t>
            </w:r>
            <w:r w:rsidRPr="00B10ACB">
              <w:rPr>
                <w:bCs/>
                <w:vertAlign w:val="superscript"/>
                <w:lang w:val="en-US"/>
              </w:rPr>
              <w:t>2</w:t>
            </w:r>
          </w:p>
          <w:p w14:paraId="64A4F1B2" w14:textId="5A22363F" w:rsidR="00486D72" w:rsidRPr="00E91F85" w:rsidRDefault="00486D72" w:rsidP="00486D72">
            <w:pPr>
              <w:rPr>
                <w:bCs/>
                <w:lang w:val="en-US"/>
              </w:rPr>
            </w:pPr>
            <w:r w:rsidRPr="00E91F85">
              <w:rPr>
                <w:bCs/>
                <w:lang w:val="en-US"/>
              </w:rPr>
              <w:t>8 to 12 sprays or 16 ml onto wipe per 0.1 m</w:t>
            </w:r>
            <w:r w:rsidRPr="00B10ACB">
              <w:rPr>
                <w:bCs/>
                <w:vertAlign w:val="superscript"/>
                <w:lang w:val="en-US"/>
              </w:rPr>
              <w:t xml:space="preserve">2 </w:t>
            </w:r>
          </w:p>
          <w:p w14:paraId="7420EA58" w14:textId="34C188D3" w:rsidR="00685495" w:rsidRPr="00B27CB1" w:rsidRDefault="009217C2" w:rsidP="00383E12">
            <w:pPr>
              <w:snapToGrid w:val="0"/>
              <w:spacing w:line="260" w:lineRule="atLeast"/>
              <w:rPr>
                <w:rFonts w:cs="Times New Roman"/>
                <w:lang w:eastAsia="de-DE"/>
              </w:rPr>
            </w:pPr>
            <w:r w:rsidRPr="000D7D14">
              <w:t>For toilet bowls</w:t>
            </w:r>
            <w:r>
              <w:t>:</w:t>
            </w:r>
            <w:r w:rsidRPr="000D7D14">
              <w:t xml:space="preserve"> </w:t>
            </w:r>
            <w:r w:rsidRPr="00E91F85">
              <w:rPr>
                <w:bCs/>
                <w:color w:val="000000"/>
                <w:lang w:val="en-US"/>
              </w:rPr>
              <w:t>50 ml or 33 sprays per toilet</w:t>
            </w:r>
          </w:p>
        </w:tc>
      </w:tr>
      <w:tr w:rsidR="00486D72" w:rsidRPr="00B27CB1" w14:paraId="08E7736A" w14:textId="77777777" w:rsidTr="00685495">
        <w:tc>
          <w:tcPr>
            <w:tcW w:w="2707" w:type="dxa"/>
            <w:tcBorders>
              <w:top w:val="nil"/>
              <w:left w:val="single" w:sz="4" w:space="0" w:color="000000"/>
              <w:bottom w:val="single" w:sz="4" w:space="0" w:color="000000"/>
              <w:right w:val="nil"/>
            </w:tcBorders>
            <w:hideMark/>
          </w:tcPr>
          <w:p w14:paraId="685EC793" w14:textId="77777777" w:rsidR="00486D72" w:rsidRPr="00B27CB1" w:rsidRDefault="00486D72" w:rsidP="00486D72">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171B2F04" w14:textId="0C5D95DC" w:rsidR="00486D72" w:rsidRPr="00B27CB1" w:rsidRDefault="00486D72" w:rsidP="00486D72">
            <w:pPr>
              <w:snapToGrid w:val="0"/>
              <w:spacing w:line="254" w:lineRule="auto"/>
              <w:rPr>
                <w:b/>
              </w:rPr>
            </w:pPr>
            <w:r w:rsidRPr="000D7D14">
              <w:t>Industrial, Professional</w:t>
            </w:r>
          </w:p>
        </w:tc>
      </w:tr>
      <w:tr w:rsidR="00486D72" w:rsidRPr="00B27CB1" w14:paraId="584F7FF7" w14:textId="77777777" w:rsidTr="00685495">
        <w:tc>
          <w:tcPr>
            <w:tcW w:w="2707" w:type="dxa"/>
            <w:tcBorders>
              <w:top w:val="nil"/>
              <w:left w:val="single" w:sz="4" w:space="0" w:color="000000"/>
              <w:bottom w:val="single" w:sz="4" w:space="0" w:color="000000"/>
              <w:right w:val="nil"/>
            </w:tcBorders>
            <w:hideMark/>
          </w:tcPr>
          <w:p w14:paraId="32435D82" w14:textId="77777777" w:rsidR="00486D72" w:rsidRPr="00B27CB1" w:rsidRDefault="00486D72" w:rsidP="00486D72">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C164E1F" w14:textId="1B10FD03" w:rsidR="00486D72" w:rsidRDefault="00486D72" w:rsidP="00486D72">
            <w:pPr>
              <w:spacing w:line="254" w:lineRule="auto"/>
            </w:pPr>
            <w:r>
              <w:t>HDPE:</w:t>
            </w:r>
            <w:r w:rsidR="00BB3563">
              <w:t xml:space="preserve"> </w:t>
            </w:r>
            <w:r>
              <w:t>1 L / 1 kg, 5 L / 5 kg, 10 L / 10 kg, 20 L / 20 kg, 120 L / 120 kg, 200 L / 200 kg, 220 L / 220 kg</w:t>
            </w:r>
          </w:p>
          <w:p w14:paraId="32F8A9E9" w14:textId="57D92FF3" w:rsidR="00486D72" w:rsidRDefault="00486D72" w:rsidP="00486D72">
            <w:pPr>
              <w:spacing w:line="254" w:lineRule="auto"/>
            </w:pPr>
            <w:r>
              <w:t>PET:</w:t>
            </w:r>
            <w:r w:rsidR="00BB3563">
              <w:t xml:space="preserve"> </w:t>
            </w:r>
            <w:r>
              <w:t>1 L / 1 kg</w:t>
            </w:r>
          </w:p>
          <w:p w14:paraId="43F8564F" w14:textId="46910AF8" w:rsidR="00486D72" w:rsidRDefault="00486D72" w:rsidP="00486D72">
            <w:pPr>
              <w:spacing w:line="254" w:lineRule="auto"/>
            </w:pPr>
            <w:r w:rsidRPr="00B624F0">
              <w:t>Coextrude (HDPE/Adhesive/Nylon polyamide):</w:t>
            </w:r>
            <w:r w:rsidR="00BB3563">
              <w:t xml:space="preserve"> </w:t>
            </w:r>
            <w:r>
              <w:t>5 L / 5 kg</w:t>
            </w:r>
          </w:p>
          <w:p w14:paraId="5D672050" w14:textId="44FCF216" w:rsidR="00486D72" w:rsidRPr="00B27CB1" w:rsidRDefault="00486D72" w:rsidP="00BB3563">
            <w:pPr>
              <w:spacing w:line="254" w:lineRule="auto"/>
            </w:pPr>
            <w:r>
              <w:t>Coextrude (HDPE/Adhesive resin/EVAL):</w:t>
            </w:r>
            <w:r w:rsidR="00BB3563">
              <w:t xml:space="preserve"> </w:t>
            </w:r>
            <w:r>
              <w:t>250 mL / 250 g</w:t>
            </w:r>
          </w:p>
        </w:tc>
      </w:tr>
    </w:tbl>
    <w:p w14:paraId="7CED1DF0"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815EECD"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2FC9DEA" w14:textId="6D880738" w:rsidR="00B36E30" w:rsidRPr="00B10ACB" w:rsidRDefault="00B36E30" w:rsidP="00BB3563">
            <w:pPr>
              <w:pStyle w:val="Paragraphedeliste"/>
              <w:numPr>
                <w:ilvl w:val="0"/>
                <w:numId w:val="31"/>
              </w:numPr>
              <w:jc w:val="both"/>
              <w:rPr>
                <w:color w:val="000000"/>
                <w:lang w:eastAsia="en-GB"/>
              </w:rPr>
            </w:pPr>
            <w:r w:rsidRPr="00B10ACB">
              <w:rPr>
                <w:color w:val="000000"/>
                <w:lang w:eastAsia="en-GB"/>
              </w:rPr>
              <w:t>Manu</w:t>
            </w:r>
            <w:r w:rsidR="0020710F" w:rsidRPr="00B10ACB">
              <w:rPr>
                <w:color w:val="000000"/>
                <w:lang w:eastAsia="en-GB"/>
              </w:rPr>
              <w:t>a</w:t>
            </w:r>
            <w:r w:rsidRPr="00B10ACB">
              <w:rPr>
                <w:color w:val="000000"/>
                <w:lang w:eastAsia="en-GB"/>
              </w:rPr>
              <w:t>l disinfection:</w:t>
            </w:r>
          </w:p>
          <w:p w14:paraId="2F274A87" w14:textId="43A99CCD" w:rsidR="0099202E" w:rsidRPr="00BB3563" w:rsidRDefault="00B36E30" w:rsidP="00B10ACB">
            <w:pPr>
              <w:widowControl w:val="0"/>
              <w:numPr>
                <w:ilvl w:val="0"/>
                <w:numId w:val="7"/>
              </w:numPr>
              <w:suppressAutoHyphens w:val="0"/>
              <w:autoSpaceDE w:val="0"/>
              <w:snapToGrid w:val="0"/>
              <w:ind w:left="386"/>
              <w:contextualSpacing/>
              <w:jc w:val="both"/>
              <w:rPr>
                <w:bCs/>
                <w:color w:val="000000"/>
                <w:lang w:val="en-US"/>
              </w:rPr>
            </w:pPr>
            <w:r w:rsidRPr="00BB3563">
              <w:rPr>
                <w:bCs/>
                <w:color w:val="000000"/>
                <w:lang w:val="en-US"/>
              </w:rPr>
              <w:t>For hard surfaces by spraying: Dilute in water and spray directly on the surface</w:t>
            </w:r>
            <w:r w:rsidR="0020710F" w:rsidRPr="00BB3563">
              <w:rPr>
                <w:bCs/>
                <w:color w:val="000000"/>
                <w:lang w:val="en-US"/>
              </w:rPr>
              <w:t>s</w:t>
            </w:r>
            <w:r w:rsidRPr="00BB3563">
              <w:rPr>
                <w:bCs/>
                <w:color w:val="000000"/>
                <w:lang w:val="en-US"/>
              </w:rPr>
              <w:t xml:space="preserve"> </w:t>
            </w:r>
            <w:r w:rsidRPr="00BB3563">
              <w:rPr>
                <w:bCs/>
                <w:color w:val="000000"/>
                <w:lang w:val="en-US"/>
              </w:rPr>
              <w:lastRenderedPageBreak/>
              <w:t>intended to be treated and cover the entire surface</w:t>
            </w:r>
            <w:r w:rsidR="0020710F" w:rsidRPr="002F6E1B">
              <w:rPr>
                <w:bCs/>
                <w:color w:val="000000"/>
                <w:lang w:val="en-US"/>
              </w:rPr>
              <w:t>s</w:t>
            </w:r>
            <w:r w:rsidRPr="002F6E1B">
              <w:rPr>
                <w:bCs/>
                <w:color w:val="000000"/>
                <w:lang w:val="en-US"/>
              </w:rPr>
              <w:t>. All</w:t>
            </w:r>
            <w:r w:rsidR="00F345A2" w:rsidRPr="002F6E1B">
              <w:rPr>
                <w:bCs/>
                <w:color w:val="000000"/>
                <w:lang w:val="en-US"/>
              </w:rPr>
              <w:t xml:space="preserve">ow to take effect for at least </w:t>
            </w:r>
            <w:r w:rsidRPr="001E568F">
              <w:rPr>
                <w:bCs/>
                <w:color w:val="000000"/>
                <w:lang w:val="en-US"/>
              </w:rPr>
              <w:t>5</w:t>
            </w:r>
            <w:r w:rsidR="00F345A2" w:rsidRPr="001E568F">
              <w:rPr>
                <w:bCs/>
                <w:color w:val="000000"/>
                <w:lang w:val="en-US"/>
              </w:rPr>
              <w:t xml:space="preserve"> until 30</w:t>
            </w:r>
            <w:r w:rsidRPr="00E648D1">
              <w:rPr>
                <w:bCs/>
                <w:color w:val="000000"/>
                <w:lang w:val="en-US"/>
              </w:rPr>
              <w:t xml:space="preserve"> minutes</w:t>
            </w:r>
            <w:r w:rsidR="00E72EBE" w:rsidRPr="00E648D1">
              <w:rPr>
                <w:bCs/>
                <w:color w:val="000000"/>
                <w:lang w:val="en-US"/>
              </w:rPr>
              <w:t>, depending on the area and temperature,</w:t>
            </w:r>
            <w:r w:rsidRPr="00854EF9">
              <w:rPr>
                <w:bCs/>
                <w:color w:val="000000"/>
                <w:lang w:val="en-US"/>
              </w:rPr>
              <w:t xml:space="preserve"> and then brush or scrub if required and wipe with a dry cloth.</w:t>
            </w:r>
          </w:p>
          <w:p w14:paraId="48B899A0" w14:textId="59959652" w:rsidR="00B36E30" w:rsidRPr="00BB3563" w:rsidRDefault="00B36E30" w:rsidP="00B10ACB">
            <w:pPr>
              <w:widowControl w:val="0"/>
              <w:numPr>
                <w:ilvl w:val="0"/>
                <w:numId w:val="7"/>
              </w:numPr>
              <w:suppressAutoHyphens w:val="0"/>
              <w:autoSpaceDE w:val="0"/>
              <w:snapToGrid w:val="0"/>
              <w:ind w:left="386"/>
              <w:contextualSpacing/>
              <w:jc w:val="both"/>
              <w:rPr>
                <w:bCs/>
                <w:color w:val="000000"/>
                <w:lang w:val="en-US"/>
              </w:rPr>
            </w:pPr>
            <w:r w:rsidRPr="00BB3563">
              <w:rPr>
                <w:bCs/>
                <w:color w:val="000000"/>
                <w:lang w:val="en-US"/>
              </w:rPr>
              <w:t>For hard surfaces by wipping/mopping</w:t>
            </w:r>
            <w:r w:rsidR="004E3347" w:rsidRPr="00BB3563">
              <w:rPr>
                <w:bCs/>
                <w:color w:val="000000"/>
                <w:lang w:val="en-US"/>
              </w:rPr>
              <w:t>/brushing</w:t>
            </w:r>
            <w:r w:rsidRPr="00BB3563">
              <w:rPr>
                <w:bCs/>
                <w:color w:val="000000"/>
                <w:lang w:val="en-US"/>
              </w:rPr>
              <w:t>:</w:t>
            </w:r>
            <w:r w:rsidR="004E3347" w:rsidRPr="00BB3563">
              <w:rPr>
                <w:bCs/>
                <w:color w:val="000000"/>
                <w:lang w:val="en-US"/>
              </w:rPr>
              <w:t xml:space="preserve"> Dilute in water</w:t>
            </w:r>
            <w:r w:rsidR="0020710F" w:rsidRPr="00BB3563">
              <w:rPr>
                <w:bCs/>
                <w:color w:val="000000"/>
                <w:lang w:val="en-US"/>
              </w:rPr>
              <w:t>, spray on wipe or soak the mop/wipe/brush and apply by fully wetting all surfaces intended to be treated</w:t>
            </w:r>
            <w:r w:rsidRPr="00BB3563">
              <w:rPr>
                <w:bCs/>
                <w:color w:val="000000"/>
                <w:lang w:val="en-US"/>
              </w:rPr>
              <w:t>. Allow to take effect for at least 5 minutes and wipe the surface with a dry cloth if required or let to dry.</w:t>
            </w:r>
          </w:p>
          <w:p w14:paraId="633E7BE4" w14:textId="1219E649" w:rsidR="00B36E30" w:rsidRPr="00BB3563" w:rsidRDefault="00B36E30" w:rsidP="00BB3563">
            <w:pPr>
              <w:jc w:val="both"/>
              <w:rPr>
                <w:bCs/>
                <w:color w:val="000000"/>
                <w:lang w:val="en-US"/>
              </w:rPr>
            </w:pPr>
          </w:p>
          <w:p w14:paraId="6F23B2D7" w14:textId="77777777" w:rsidR="00B36E30" w:rsidRPr="00B10ACB" w:rsidRDefault="00B36E30" w:rsidP="00BB3563">
            <w:pPr>
              <w:pStyle w:val="Paragraphedeliste"/>
              <w:numPr>
                <w:ilvl w:val="0"/>
                <w:numId w:val="31"/>
              </w:numPr>
              <w:jc w:val="both"/>
              <w:rPr>
                <w:color w:val="000000"/>
                <w:lang w:eastAsia="en-GB"/>
              </w:rPr>
            </w:pPr>
            <w:r w:rsidRPr="00BB3563">
              <w:rPr>
                <w:bCs/>
                <w:color w:val="000000"/>
                <w:lang w:val="de-DE"/>
              </w:rPr>
              <w:t>Machine:</w:t>
            </w:r>
          </w:p>
          <w:p w14:paraId="2CEE6FE4" w14:textId="20731884" w:rsidR="00B36E30" w:rsidRPr="002F6E1B" w:rsidRDefault="00B36E30" w:rsidP="00B10ACB">
            <w:pPr>
              <w:widowControl w:val="0"/>
              <w:numPr>
                <w:ilvl w:val="0"/>
                <w:numId w:val="7"/>
              </w:numPr>
              <w:suppressAutoHyphens w:val="0"/>
              <w:autoSpaceDE w:val="0"/>
              <w:snapToGrid w:val="0"/>
              <w:ind w:left="386"/>
              <w:contextualSpacing/>
              <w:jc w:val="both"/>
              <w:rPr>
                <w:bCs/>
                <w:color w:val="000000"/>
                <w:lang w:val="en-US"/>
              </w:rPr>
            </w:pPr>
            <w:r w:rsidRPr="00BB3563">
              <w:rPr>
                <w:bCs/>
                <w:color w:val="000000"/>
                <w:lang w:val="en-US"/>
              </w:rPr>
              <w:t xml:space="preserve">Dilute in water in scrubber-dryers, single-disk scrubbers, high or low pressure sprayers... and apply on surface and/or floor intended to be treated. Allow to take effect for at least 5 </w:t>
            </w:r>
            <w:r w:rsidR="00E72EBE" w:rsidRPr="00BB3563">
              <w:rPr>
                <w:bCs/>
                <w:color w:val="000000"/>
                <w:lang w:val="en-US"/>
              </w:rPr>
              <w:t xml:space="preserve">minutes </w:t>
            </w:r>
            <w:r w:rsidRPr="00BB3563">
              <w:rPr>
                <w:bCs/>
                <w:color w:val="000000"/>
                <w:lang w:val="en-US"/>
              </w:rPr>
              <w:t xml:space="preserve">and then let to dry. Rinse the tank after applying the product. </w:t>
            </w:r>
          </w:p>
          <w:p w14:paraId="417E15F6" w14:textId="1B46EAF5" w:rsidR="009217C2" w:rsidRPr="00BB3563" w:rsidRDefault="009217C2" w:rsidP="00B10ACB">
            <w:pPr>
              <w:widowControl w:val="0"/>
              <w:numPr>
                <w:ilvl w:val="0"/>
                <w:numId w:val="7"/>
              </w:numPr>
              <w:suppressAutoHyphens w:val="0"/>
              <w:autoSpaceDE w:val="0"/>
              <w:snapToGrid w:val="0"/>
              <w:ind w:left="386"/>
              <w:contextualSpacing/>
              <w:jc w:val="both"/>
              <w:rPr>
                <w:bCs/>
                <w:color w:val="000000"/>
                <w:lang w:val="en-US"/>
              </w:rPr>
            </w:pPr>
            <w:r w:rsidRPr="00854EF9">
              <w:rPr>
                <w:bCs/>
                <w:color w:val="000000"/>
                <w:lang w:val="en-US"/>
              </w:rPr>
              <w:t>Toilet bowls: Dilute in water and spray inside the toilet bowls by fully cover</w:t>
            </w:r>
            <w:r w:rsidR="008D35E9" w:rsidRPr="00854EF9">
              <w:rPr>
                <w:bCs/>
                <w:color w:val="000000"/>
                <w:lang w:val="en-US"/>
              </w:rPr>
              <w:t xml:space="preserve">ing all surface to be treated. </w:t>
            </w:r>
            <w:r w:rsidRPr="00BB3563">
              <w:rPr>
                <w:bCs/>
                <w:color w:val="000000"/>
                <w:lang w:val="en-US"/>
              </w:rPr>
              <w:t xml:space="preserve">Allow to take effect for at least 5 </w:t>
            </w:r>
            <w:r w:rsidR="00685AE8">
              <w:rPr>
                <w:bCs/>
                <w:color w:val="000000"/>
                <w:lang w:val="en-US"/>
              </w:rPr>
              <w:t xml:space="preserve">until 15 </w:t>
            </w:r>
            <w:r w:rsidRPr="00BB3563">
              <w:rPr>
                <w:bCs/>
                <w:color w:val="000000"/>
                <w:lang w:val="en-US"/>
              </w:rPr>
              <w:t>minutes</w:t>
            </w:r>
            <w:r w:rsidR="00685AE8">
              <w:rPr>
                <w:bCs/>
                <w:color w:val="000000"/>
                <w:lang w:val="en-US"/>
              </w:rPr>
              <w:t xml:space="preserve"> depending on the area</w:t>
            </w:r>
            <w:r w:rsidRPr="00BB3563">
              <w:rPr>
                <w:bCs/>
                <w:color w:val="000000"/>
                <w:lang w:val="en-US"/>
              </w:rPr>
              <w:t>, then brush if required and flush the toilet.</w:t>
            </w:r>
          </w:p>
          <w:p w14:paraId="2FA28004" w14:textId="4A9573DB" w:rsidR="00685495" w:rsidRPr="00B27CB1" w:rsidRDefault="00486D72" w:rsidP="00B10ACB">
            <w:pPr>
              <w:widowControl w:val="0"/>
              <w:numPr>
                <w:ilvl w:val="0"/>
                <w:numId w:val="7"/>
              </w:numPr>
              <w:suppressAutoHyphens w:val="0"/>
              <w:autoSpaceDE w:val="0"/>
              <w:snapToGrid w:val="0"/>
              <w:ind w:left="386"/>
              <w:contextualSpacing/>
              <w:jc w:val="both"/>
              <w:rPr>
                <w:rFonts w:eastAsia="Calibri" w:cs="Times"/>
                <w:bCs/>
                <w:sz w:val="22"/>
                <w:szCs w:val="24"/>
                <w:lang w:eastAsia="sv-SE"/>
              </w:rPr>
            </w:pPr>
            <w:r w:rsidRPr="00BB3563">
              <w:rPr>
                <w:bCs/>
                <w:color w:val="000000"/>
                <w:lang w:val="en-US"/>
              </w:rPr>
              <w:t>The product must be used directly after dilution.</w:t>
            </w:r>
          </w:p>
        </w:tc>
      </w:tr>
    </w:tbl>
    <w:p w14:paraId="4C76DDAD"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699BC7E6"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7232053" w14:textId="2CE03FFB"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1850A1CB"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1CBEB14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85B970D" w14:textId="3DB8BC07"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5AA4C02C"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613FBBC5"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D6D32B8" w14:textId="4DEAE8E0"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65136961"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D7CCD2C"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4BE8EE6" w14:textId="04BF1B41"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07D7CCA2" w14:textId="77777777" w:rsidR="00685495" w:rsidRPr="00B27CB1" w:rsidRDefault="00685495" w:rsidP="00685495">
      <w:pPr>
        <w:widowControl w:val="0"/>
        <w:autoSpaceDE w:val="0"/>
        <w:rPr>
          <w:rFonts w:cs="Times"/>
          <w:bCs/>
          <w:szCs w:val="29"/>
        </w:rPr>
      </w:pPr>
    </w:p>
    <w:p w14:paraId="7CD20670" w14:textId="77777777" w:rsidR="00685495" w:rsidRPr="00B27CB1" w:rsidRDefault="00685495" w:rsidP="00685495">
      <w:pPr>
        <w:pStyle w:val="Titre4"/>
        <w:numPr>
          <w:ilvl w:val="3"/>
          <w:numId w:val="9"/>
        </w:numPr>
        <w:rPr>
          <w:lang w:val="en-GB"/>
        </w:rPr>
      </w:pPr>
      <w:bookmarkStart w:id="113" w:name="_Toc87361143"/>
      <w:r w:rsidRPr="00B27CB1">
        <w:rPr>
          <w:lang w:val="en-GB"/>
        </w:rPr>
        <w:t>Use description</w:t>
      </w:r>
      <w:bookmarkEnd w:id="113"/>
    </w:p>
    <w:p w14:paraId="204E019B" w14:textId="77777777" w:rsidR="00685495" w:rsidRPr="00B27CB1" w:rsidRDefault="00685495" w:rsidP="00685495">
      <w:pPr>
        <w:widowControl w:val="0"/>
        <w:autoSpaceDE w:val="0"/>
        <w:rPr>
          <w:rFonts w:cs="Times"/>
          <w:bCs/>
          <w:szCs w:val="29"/>
        </w:rPr>
      </w:pPr>
    </w:p>
    <w:p w14:paraId="6BA06827" w14:textId="69146958" w:rsidR="00685495" w:rsidRPr="00B27CB1" w:rsidRDefault="00685495" w:rsidP="00685495">
      <w:pPr>
        <w:pStyle w:val="Lgende"/>
        <w:spacing w:after="120"/>
        <w:rPr>
          <w:rFonts w:ascii="Verdana" w:hAnsi="Verdana"/>
          <w:b/>
          <w:bCs/>
          <w:szCs w:val="24"/>
          <w:lang w:eastAsia="en-GB"/>
        </w:rPr>
      </w:pPr>
      <w:r w:rsidRPr="00E91F85">
        <w:rPr>
          <w:rFonts w:ascii="Verdana" w:hAnsi="Verdana" w:cs="Verdana"/>
        </w:rPr>
        <w:t xml:space="preserve">Table </w:t>
      </w:r>
      <w:r w:rsidRPr="00E91F85">
        <w:rPr>
          <w:rFonts w:ascii="Verdana" w:hAnsi="Verdana" w:cs="Verdana"/>
        </w:rPr>
        <w:fldChar w:fldCharType="begin"/>
      </w:r>
      <w:r w:rsidRPr="00E91F85">
        <w:rPr>
          <w:rFonts w:ascii="Verdana" w:hAnsi="Verdana" w:cs="Verdana"/>
        </w:rPr>
        <w:instrText xml:space="preserve"> SEQ "Tableau" \* ARABIC </w:instrText>
      </w:r>
      <w:r w:rsidRPr="00E91F85">
        <w:rPr>
          <w:rFonts w:ascii="Verdana" w:hAnsi="Verdana" w:cs="Verdana"/>
        </w:rPr>
        <w:fldChar w:fldCharType="separate"/>
      </w:r>
      <w:r w:rsidR="00245178">
        <w:rPr>
          <w:rFonts w:ascii="Verdana" w:hAnsi="Verdana" w:cs="Verdana"/>
          <w:noProof/>
        </w:rPr>
        <w:t>14</w:t>
      </w:r>
      <w:r w:rsidRPr="00E91F85">
        <w:rPr>
          <w:rFonts w:ascii="Verdana" w:hAnsi="Verdana" w:cs="Verdana"/>
        </w:rPr>
        <w:fldChar w:fldCharType="end"/>
      </w:r>
      <w:r w:rsidRPr="00E91F85">
        <w:rPr>
          <w:rFonts w:ascii="Verdana" w:hAnsi="Verdana"/>
        </w:rPr>
        <w:t>. Use # 2 – Disinfectants for hard surfaces of industry, institution, healthcare facilities and</w:t>
      </w:r>
      <w:r w:rsidR="00DF446C" w:rsidRPr="00E91F85">
        <w:rPr>
          <w:rFonts w:ascii="Verdana" w:hAnsi="Verdana"/>
        </w:rPr>
        <w:t>,</w:t>
      </w:r>
      <w:r w:rsidRPr="00E91F85">
        <w:rPr>
          <w:rFonts w:ascii="Verdana" w:hAnsi="Verdana"/>
        </w:rPr>
        <w:t xml:space="preserve"> food</w:t>
      </w:r>
      <w:r w:rsidR="0044401A" w:rsidRPr="00E91F85">
        <w:rPr>
          <w:rFonts w:ascii="Verdana" w:hAnsi="Verdana"/>
        </w:rPr>
        <w:t xml:space="preserve">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694"/>
        <w:gridCol w:w="6341"/>
      </w:tblGrid>
      <w:tr w:rsidR="00685495" w:rsidRPr="00B27CB1" w14:paraId="474748C0" w14:textId="77777777" w:rsidTr="00D16FF5">
        <w:tc>
          <w:tcPr>
            <w:tcW w:w="2694" w:type="dxa"/>
            <w:tcBorders>
              <w:top w:val="single" w:sz="4" w:space="0" w:color="000000"/>
              <w:left w:val="single" w:sz="4" w:space="0" w:color="000000"/>
              <w:bottom w:val="single" w:sz="4" w:space="0" w:color="000000"/>
              <w:right w:val="nil"/>
            </w:tcBorders>
            <w:hideMark/>
          </w:tcPr>
          <w:p w14:paraId="03C8A000" w14:textId="77777777" w:rsidR="00685495" w:rsidRPr="00B27CB1" w:rsidRDefault="00685495" w:rsidP="00685495">
            <w:pPr>
              <w:spacing w:line="254" w:lineRule="auto"/>
              <w:rPr>
                <w:b/>
              </w:rPr>
            </w:pPr>
            <w:r w:rsidRPr="00B27CB1">
              <w:rPr>
                <w:b/>
                <w:bCs/>
                <w:szCs w:val="24"/>
                <w:lang w:eastAsia="en-GB"/>
              </w:rPr>
              <w:t>Product Type</w:t>
            </w:r>
          </w:p>
        </w:tc>
        <w:tc>
          <w:tcPr>
            <w:tcW w:w="6341" w:type="dxa"/>
            <w:tcBorders>
              <w:top w:val="single" w:sz="4" w:space="0" w:color="000000"/>
              <w:left w:val="single" w:sz="4" w:space="0" w:color="000000"/>
              <w:bottom w:val="single" w:sz="4" w:space="0" w:color="000000"/>
              <w:right w:val="single" w:sz="4" w:space="0" w:color="000000"/>
            </w:tcBorders>
          </w:tcPr>
          <w:p w14:paraId="42AECEFB" w14:textId="4007699D" w:rsidR="00685495" w:rsidRPr="00B27CB1" w:rsidRDefault="0044401A" w:rsidP="00685495">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685495" w:rsidRPr="00B27CB1" w14:paraId="76B29128" w14:textId="77777777" w:rsidTr="00D16FF5">
        <w:tc>
          <w:tcPr>
            <w:tcW w:w="2694" w:type="dxa"/>
            <w:tcBorders>
              <w:top w:val="nil"/>
              <w:left w:val="single" w:sz="4" w:space="0" w:color="000000"/>
              <w:bottom w:val="single" w:sz="4" w:space="0" w:color="000000"/>
              <w:right w:val="nil"/>
            </w:tcBorders>
            <w:hideMark/>
          </w:tcPr>
          <w:p w14:paraId="14BED83A" w14:textId="77777777" w:rsidR="00685495" w:rsidRPr="00B27CB1" w:rsidRDefault="00685495" w:rsidP="00685495">
            <w:pPr>
              <w:spacing w:line="254" w:lineRule="auto"/>
              <w:rPr>
                <w:b/>
              </w:rPr>
            </w:pPr>
            <w:r w:rsidRPr="00B27CB1">
              <w:rPr>
                <w:b/>
                <w:bCs/>
                <w:szCs w:val="24"/>
                <w:lang w:eastAsia="en-GB"/>
              </w:rPr>
              <w:t>Where relevant, an exact description of the authorised use</w:t>
            </w:r>
          </w:p>
        </w:tc>
        <w:tc>
          <w:tcPr>
            <w:tcW w:w="6341" w:type="dxa"/>
            <w:tcBorders>
              <w:top w:val="nil"/>
              <w:left w:val="single" w:sz="4" w:space="0" w:color="000000"/>
              <w:bottom w:val="single" w:sz="4" w:space="0" w:color="000000"/>
              <w:right w:val="single" w:sz="4" w:space="0" w:color="000000"/>
            </w:tcBorders>
          </w:tcPr>
          <w:p w14:paraId="30532888" w14:textId="628A7CA9" w:rsidR="0044401A" w:rsidRPr="000D7D14" w:rsidRDefault="0044401A" w:rsidP="0044401A">
            <w:r w:rsidRPr="000D7D14">
              <w:rPr>
                <w:color w:val="000000"/>
              </w:rPr>
              <w:t>Product used for the disinfection of industry, institution and healthcare facilities</w:t>
            </w:r>
            <w:r w:rsidR="009217C2">
              <w:rPr>
                <w:color w:val="000000"/>
              </w:rPr>
              <w:t>,</w:t>
            </w:r>
            <w:r w:rsidRPr="000D7D14">
              <w:rPr>
                <w:color w:val="000000"/>
              </w:rPr>
              <w:t xml:space="preserve"> including </w:t>
            </w:r>
            <w:r w:rsidR="00E72EBE">
              <w:rPr>
                <w:color w:val="000000"/>
              </w:rPr>
              <w:t xml:space="preserve">external surfaces of </w:t>
            </w:r>
            <w:r w:rsidRPr="000D7D14">
              <w:rPr>
                <w:color w:val="000000"/>
              </w:rPr>
              <w:t>toilets bowls and disinfection for area</w:t>
            </w:r>
            <w:r w:rsidR="009217C2">
              <w:rPr>
                <w:color w:val="000000"/>
              </w:rPr>
              <w:t>s</w:t>
            </w:r>
            <w:r w:rsidRPr="000D7D14">
              <w:rPr>
                <w:color w:val="000000"/>
              </w:rPr>
              <w:t xml:space="preserve"> of food preparation and handling. </w:t>
            </w:r>
            <w:r w:rsidRPr="000D7D14">
              <w:br/>
            </w:r>
          </w:p>
          <w:p w14:paraId="7879E0D0" w14:textId="46C657FB" w:rsidR="00685495" w:rsidRPr="00B27CB1" w:rsidRDefault="0044401A" w:rsidP="00E72EBE">
            <w:pPr>
              <w:snapToGrid w:val="0"/>
              <w:spacing w:line="254" w:lineRule="auto"/>
              <w:rPr>
                <w:b/>
              </w:rPr>
            </w:pPr>
            <w:r w:rsidRPr="000D7D14">
              <w:lastRenderedPageBreak/>
              <w:br/>
            </w:r>
            <w:r w:rsidR="00E72EBE">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685495" w:rsidRPr="00B27CB1" w14:paraId="6326EEC9" w14:textId="77777777" w:rsidTr="00D16FF5">
        <w:tc>
          <w:tcPr>
            <w:tcW w:w="2694" w:type="dxa"/>
            <w:tcBorders>
              <w:top w:val="nil"/>
              <w:left w:val="single" w:sz="4" w:space="0" w:color="000000"/>
              <w:bottom w:val="single" w:sz="4" w:space="0" w:color="000000"/>
              <w:right w:val="nil"/>
            </w:tcBorders>
            <w:hideMark/>
          </w:tcPr>
          <w:p w14:paraId="3B77A6A4" w14:textId="77777777" w:rsidR="00685495" w:rsidRPr="00B27CB1" w:rsidRDefault="00685495" w:rsidP="00685495">
            <w:pPr>
              <w:spacing w:line="254" w:lineRule="auto"/>
              <w:rPr>
                <w:b/>
              </w:rPr>
            </w:pPr>
            <w:r w:rsidRPr="00B27CB1">
              <w:rPr>
                <w:b/>
                <w:bCs/>
                <w:szCs w:val="24"/>
                <w:lang w:eastAsia="en-GB"/>
              </w:rPr>
              <w:lastRenderedPageBreak/>
              <w:t>Target organism (including development stage)</w:t>
            </w:r>
          </w:p>
        </w:tc>
        <w:tc>
          <w:tcPr>
            <w:tcW w:w="6341" w:type="dxa"/>
            <w:tcBorders>
              <w:top w:val="nil"/>
              <w:left w:val="single" w:sz="4" w:space="0" w:color="000000"/>
              <w:bottom w:val="single" w:sz="4" w:space="0" w:color="000000"/>
              <w:right w:val="single" w:sz="4" w:space="0" w:color="000000"/>
            </w:tcBorders>
          </w:tcPr>
          <w:p w14:paraId="7840A5D6" w14:textId="704E8C18" w:rsidR="00685495" w:rsidRPr="00B27CB1" w:rsidRDefault="0044401A" w:rsidP="00685495">
            <w:pPr>
              <w:snapToGrid w:val="0"/>
              <w:spacing w:line="254" w:lineRule="auto"/>
              <w:rPr>
                <w:lang w:eastAsia="de-DE"/>
              </w:rPr>
            </w:pPr>
            <w:r w:rsidRPr="000D7D14">
              <w:t>Bacteria</w:t>
            </w:r>
            <w:r w:rsidRPr="000D7D14">
              <w:br/>
              <w:t>Yeasts</w:t>
            </w:r>
          </w:p>
        </w:tc>
      </w:tr>
      <w:tr w:rsidR="00685495" w:rsidRPr="00B27CB1" w14:paraId="6B0FE790" w14:textId="77777777" w:rsidTr="00D16FF5">
        <w:tc>
          <w:tcPr>
            <w:tcW w:w="2694" w:type="dxa"/>
            <w:tcBorders>
              <w:top w:val="nil"/>
              <w:left w:val="single" w:sz="4" w:space="0" w:color="000000"/>
              <w:bottom w:val="single" w:sz="4" w:space="0" w:color="000000"/>
              <w:right w:val="nil"/>
            </w:tcBorders>
            <w:hideMark/>
          </w:tcPr>
          <w:p w14:paraId="67A39286" w14:textId="77777777" w:rsidR="00685495" w:rsidRPr="00B27CB1" w:rsidRDefault="00685495" w:rsidP="00685495">
            <w:pPr>
              <w:spacing w:line="254" w:lineRule="auto"/>
              <w:rPr>
                <w:b/>
              </w:rPr>
            </w:pPr>
            <w:r w:rsidRPr="00B27CB1">
              <w:rPr>
                <w:b/>
                <w:bCs/>
                <w:szCs w:val="24"/>
                <w:lang w:eastAsia="en-GB"/>
              </w:rPr>
              <w:t>Field of use</w:t>
            </w:r>
          </w:p>
        </w:tc>
        <w:tc>
          <w:tcPr>
            <w:tcW w:w="6341" w:type="dxa"/>
            <w:tcBorders>
              <w:top w:val="nil"/>
              <w:left w:val="single" w:sz="4" w:space="0" w:color="000000"/>
              <w:bottom w:val="single" w:sz="4" w:space="0" w:color="000000"/>
              <w:right w:val="single" w:sz="4" w:space="0" w:color="000000"/>
            </w:tcBorders>
          </w:tcPr>
          <w:p w14:paraId="0939020A" w14:textId="4418F1FC" w:rsidR="00685495" w:rsidRPr="00B27CB1" w:rsidRDefault="0044401A" w:rsidP="00DF446C">
            <w:pPr>
              <w:suppressAutoHyphens w:val="0"/>
              <w:snapToGrid w:val="0"/>
              <w:spacing w:line="260" w:lineRule="atLeast"/>
              <w:jc w:val="both"/>
              <w:rPr>
                <w:rFonts w:cs="Times New Roman"/>
                <w:lang w:eastAsia="de-DE"/>
              </w:rPr>
            </w:pPr>
            <w:r w:rsidRPr="000D7D14">
              <w:t>Indoor</w:t>
            </w:r>
          </w:p>
        </w:tc>
      </w:tr>
      <w:tr w:rsidR="00685495" w:rsidRPr="00B27CB1" w14:paraId="28BF8E25" w14:textId="77777777" w:rsidTr="00D16FF5">
        <w:tc>
          <w:tcPr>
            <w:tcW w:w="2694" w:type="dxa"/>
            <w:tcBorders>
              <w:top w:val="nil"/>
              <w:left w:val="single" w:sz="4" w:space="0" w:color="000000"/>
              <w:bottom w:val="single" w:sz="4" w:space="0" w:color="000000"/>
              <w:right w:val="nil"/>
            </w:tcBorders>
            <w:hideMark/>
          </w:tcPr>
          <w:p w14:paraId="5C33666A" w14:textId="77777777" w:rsidR="00685495" w:rsidRPr="00B27CB1" w:rsidRDefault="00685495" w:rsidP="00685495">
            <w:pPr>
              <w:spacing w:line="254" w:lineRule="auto"/>
              <w:rPr>
                <w:b/>
              </w:rPr>
            </w:pPr>
            <w:r w:rsidRPr="00B27CB1">
              <w:rPr>
                <w:b/>
                <w:bCs/>
                <w:szCs w:val="24"/>
                <w:lang w:eastAsia="en-GB"/>
              </w:rPr>
              <w:t>Application method(s)</w:t>
            </w:r>
          </w:p>
        </w:tc>
        <w:tc>
          <w:tcPr>
            <w:tcW w:w="6341" w:type="dxa"/>
            <w:tcBorders>
              <w:top w:val="nil"/>
              <w:left w:val="single" w:sz="4" w:space="0" w:color="000000"/>
              <w:bottom w:val="single" w:sz="4" w:space="0" w:color="000000"/>
              <w:right w:val="single" w:sz="4" w:space="0" w:color="000000"/>
            </w:tcBorders>
          </w:tcPr>
          <w:p w14:paraId="2AD00B7B" w14:textId="77777777" w:rsidR="002656C7" w:rsidRDefault="0044401A" w:rsidP="00DF446C">
            <w:pPr>
              <w:suppressAutoHyphens w:val="0"/>
              <w:snapToGrid w:val="0"/>
              <w:spacing w:line="260" w:lineRule="atLeast"/>
            </w:pPr>
            <w:r w:rsidRPr="000D7D14">
              <w:t>Spraying</w:t>
            </w:r>
          </w:p>
          <w:p w14:paraId="79102001" w14:textId="4F6787E0" w:rsidR="002656C7" w:rsidRDefault="002656C7" w:rsidP="002656C7">
            <w:pPr>
              <w:suppressAutoHyphens w:val="0"/>
              <w:snapToGrid w:val="0"/>
              <w:spacing w:line="260" w:lineRule="atLeast"/>
            </w:pPr>
            <w:r>
              <w:t>W</w:t>
            </w:r>
            <w:r w:rsidR="0044401A" w:rsidRPr="000D7D14">
              <w:t>iping (applying product onto wipe followed by wiping),</w:t>
            </w:r>
            <w:r w:rsidDel="002656C7">
              <w:t xml:space="preserve"> </w:t>
            </w:r>
          </w:p>
          <w:p w14:paraId="2B0A5FE3" w14:textId="77777777" w:rsidR="00685495" w:rsidRDefault="002656C7" w:rsidP="002656C7">
            <w:pPr>
              <w:suppressAutoHyphens w:val="0"/>
              <w:snapToGrid w:val="0"/>
              <w:spacing w:line="260" w:lineRule="atLeast"/>
            </w:pPr>
            <w:r>
              <w:t>M</w:t>
            </w:r>
            <w:r w:rsidRPr="000D7D14">
              <w:t xml:space="preserve">opping </w:t>
            </w:r>
            <w:r w:rsidR="0044401A" w:rsidRPr="000D7D14">
              <w:t>(applying product onto mop followed by mopping)</w:t>
            </w:r>
          </w:p>
          <w:p w14:paraId="158A35A0" w14:textId="77777777" w:rsidR="00F345A2" w:rsidRPr="00D16FF5" w:rsidRDefault="00F345A2" w:rsidP="00F345A2">
            <w:pPr>
              <w:suppressAutoHyphens w:val="0"/>
              <w:snapToGrid w:val="0"/>
              <w:spacing w:line="260" w:lineRule="atLeast"/>
            </w:pPr>
            <w:r w:rsidRPr="00D16FF5">
              <w:t>Brushing (applying product onto brush followed by brushing)</w:t>
            </w:r>
          </w:p>
          <w:p w14:paraId="3AECC7F3" w14:textId="7237ED06" w:rsidR="00DB527A" w:rsidRPr="00B27CB1" w:rsidRDefault="00F345A2" w:rsidP="00F345A2">
            <w:pPr>
              <w:suppressAutoHyphens w:val="0"/>
              <w:snapToGrid w:val="0"/>
              <w:spacing w:line="260" w:lineRule="atLeast"/>
              <w:rPr>
                <w:rFonts w:cs="Times New Roman"/>
                <w:lang w:eastAsia="de-DE"/>
              </w:rPr>
            </w:pPr>
            <w:r w:rsidRPr="00E42CB8">
              <w:t>Scrubbing (machine)</w:t>
            </w:r>
          </w:p>
        </w:tc>
      </w:tr>
      <w:tr w:rsidR="0044401A" w:rsidRPr="00B27CB1" w14:paraId="7C94648C" w14:textId="77777777" w:rsidTr="00D16FF5">
        <w:tc>
          <w:tcPr>
            <w:tcW w:w="2694" w:type="dxa"/>
            <w:tcBorders>
              <w:top w:val="nil"/>
              <w:left w:val="single" w:sz="4" w:space="0" w:color="000000"/>
              <w:bottom w:val="single" w:sz="4" w:space="0" w:color="000000"/>
              <w:right w:val="nil"/>
            </w:tcBorders>
            <w:hideMark/>
          </w:tcPr>
          <w:p w14:paraId="57BCE540" w14:textId="77777777" w:rsidR="0044401A" w:rsidRPr="00B27CB1" w:rsidRDefault="0044401A" w:rsidP="0044401A">
            <w:pPr>
              <w:spacing w:line="254" w:lineRule="auto"/>
              <w:rPr>
                <w:b/>
              </w:rPr>
            </w:pPr>
            <w:r w:rsidRPr="00B27CB1">
              <w:rPr>
                <w:b/>
                <w:bCs/>
                <w:szCs w:val="24"/>
                <w:lang w:eastAsia="en-GB"/>
              </w:rPr>
              <w:t>Application rate(s) and frequency</w:t>
            </w:r>
          </w:p>
        </w:tc>
        <w:tc>
          <w:tcPr>
            <w:tcW w:w="6341" w:type="dxa"/>
            <w:tcBorders>
              <w:top w:val="nil"/>
              <w:left w:val="single" w:sz="4" w:space="0" w:color="000000"/>
              <w:bottom w:val="single" w:sz="4" w:space="0" w:color="000000"/>
              <w:right w:val="single" w:sz="4" w:space="0" w:color="000000"/>
            </w:tcBorders>
          </w:tcPr>
          <w:p w14:paraId="70B30A7E" w14:textId="77777777" w:rsidR="00F345A2" w:rsidRPr="00E91F85" w:rsidRDefault="00F345A2" w:rsidP="0044401A">
            <w:pPr>
              <w:rPr>
                <w:bCs/>
                <w:lang w:val="en-US"/>
              </w:rPr>
            </w:pPr>
            <w:r w:rsidRPr="00E91F85">
              <w:rPr>
                <w:bCs/>
                <w:lang w:val="en-US"/>
              </w:rPr>
              <w:t>Dirty conditions</w:t>
            </w:r>
          </w:p>
          <w:p w14:paraId="4F616F7A" w14:textId="77192046" w:rsidR="0044401A" w:rsidRPr="00E91F85" w:rsidRDefault="0044401A" w:rsidP="0044401A">
            <w:pPr>
              <w:rPr>
                <w:bCs/>
                <w:lang w:val="en-US"/>
              </w:rPr>
            </w:pPr>
          </w:p>
          <w:p w14:paraId="67FE6A38" w14:textId="4F2FCD4F" w:rsidR="0044401A" w:rsidRPr="00E91F85" w:rsidRDefault="002656C7" w:rsidP="0044401A">
            <w:pPr>
              <w:rPr>
                <w:bCs/>
                <w:lang w:val="en-US"/>
              </w:rPr>
            </w:pPr>
            <w:r w:rsidRPr="00E91F85">
              <w:rPr>
                <w:bCs/>
                <w:lang w:val="en-US"/>
              </w:rPr>
              <w:t>without mechanical application</w:t>
            </w:r>
            <w:r w:rsidR="00785AB8" w:rsidRPr="00E91F85">
              <w:rPr>
                <w:bCs/>
                <w:lang w:val="en-US"/>
              </w:rPr>
              <w:t xml:space="preserve"> (spraying)</w:t>
            </w:r>
            <w:r w:rsidR="0044401A" w:rsidRPr="00E91F85">
              <w:rPr>
                <w:bCs/>
                <w:lang w:val="en-US"/>
              </w:rPr>
              <w:t>:</w:t>
            </w:r>
          </w:p>
          <w:p w14:paraId="263DCA73" w14:textId="77777777" w:rsidR="0044401A" w:rsidRPr="00E91F85" w:rsidRDefault="0044401A" w:rsidP="0044401A">
            <w:pPr>
              <w:rPr>
                <w:bCs/>
                <w:lang w:val="en-US"/>
              </w:rPr>
            </w:pPr>
            <w:r w:rsidRPr="00E91F85">
              <w:rPr>
                <w:bCs/>
                <w:lang w:val="en-US"/>
              </w:rPr>
              <w:t xml:space="preserve">Bacteria, yeasts: </w:t>
            </w:r>
          </w:p>
          <w:p w14:paraId="2B8C6B08" w14:textId="044A45B5" w:rsidR="0044401A" w:rsidRPr="00E91F85" w:rsidRDefault="0044401A" w:rsidP="0044401A">
            <w:pPr>
              <w:rPr>
                <w:bCs/>
                <w:lang w:val="en-US"/>
              </w:rPr>
            </w:pPr>
            <w:r w:rsidRPr="00E91F85">
              <w:rPr>
                <w:bCs/>
                <w:lang w:val="en-US"/>
              </w:rPr>
              <w:t xml:space="preserve">8% (v/v), contact time 15 min, </w:t>
            </w:r>
            <w:r w:rsidR="00685AE8">
              <w:rPr>
                <w:bCs/>
                <w:lang w:val="en-US"/>
              </w:rPr>
              <w:t>20°C</w:t>
            </w:r>
          </w:p>
          <w:p w14:paraId="44F2CFCC" w14:textId="77777777" w:rsidR="0044401A" w:rsidRPr="00E91F85" w:rsidRDefault="0044401A" w:rsidP="0044401A">
            <w:pPr>
              <w:rPr>
                <w:bCs/>
                <w:lang w:val="en-US"/>
              </w:rPr>
            </w:pPr>
            <w:r w:rsidRPr="00E91F85">
              <w:rPr>
                <w:bCs/>
                <w:lang w:val="en-US"/>
              </w:rPr>
              <w:t>6% (v/v), contact time 30 min, 40°C</w:t>
            </w:r>
          </w:p>
          <w:p w14:paraId="321AA04C" w14:textId="77777777" w:rsidR="0044401A" w:rsidRPr="00E91F85" w:rsidRDefault="0044401A" w:rsidP="0044401A">
            <w:pPr>
              <w:rPr>
                <w:bCs/>
                <w:lang w:val="en-US"/>
              </w:rPr>
            </w:pPr>
          </w:p>
          <w:p w14:paraId="42845F9F" w14:textId="06CFA82C" w:rsidR="0044401A" w:rsidRPr="00E91F85" w:rsidRDefault="002656C7" w:rsidP="0044401A">
            <w:pPr>
              <w:rPr>
                <w:bCs/>
                <w:lang w:val="en-US"/>
              </w:rPr>
            </w:pPr>
            <w:r w:rsidRPr="00E91F85">
              <w:rPr>
                <w:bCs/>
                <w:lang w:val="en-US"/>
              </w:rPr>
              <w:t>w</w:t>
            </w:r>
            <w:r w:rsidR="00DF446C" w:rsidRPr="00E91F85">
              <w:rPr>
                <w:bCs/>
                <w:lang w:val="en-US"/>
              </w:rPr>
              <w:t>ith mechanical application</w:t>
            </w:r>
            <w:r w:rsidR="00785AB8" w:rsidRPr="00E91F85">
              <w:rPr>
                <w:bCs/>
                <w:lang w:val="en-US"/>
              </w:rPr>
              <w:t xml:space="preserve"> </w:t>
            </w:r>
            <w:r w:rsidR="00785AB8">
              <w:rPr>
                <w:rFonts w:cs="Times New Roman"/>
                <w:lang w:eastAsia="de-DE"/>
              </w:rPr>
              <w:t>(wiping</w:t>
            </w:r>
            <w:r w:rsidR="00D16FF5">
              <w:rPr>
                <w:rFonts w:cs="Times New Roman"/>
                <w:lang w:eastAsia="de-DE"/>
              </w:rPr>
              <w:t xml:space="preserve"> </w:t>
            </w:r>
            <w:r w:rsidR="00785AB8">
              <w:rPr>
                <w:rFonts w:cs="Times New Roman"/>
                <w:lang w:eastAsia="de-DE"/>
              </w:rPr>
              <w:t>/mopping</w:t>
            </w:r>
            <w:r w:rsidR="00D16FF5">
              <w:rPr>
                <w:rFonts w:cs="Times New Roman"/>
                <w:lang w:eastAsia="de-DE"/>
              </w:rPr>
              <w:t xml:space="preserve"> </w:t>
            </w:r>
            <w:r w:rsidR="00785AB8" w:rsidRPr="00E91F85">
              <w:rPr>
                <w:bCs/>
                <w:lang w:val="en-US"/>
              </w:rPr>
              <w:t>/brushing</w:t>
            </w:r>
            <w:r w:rsidR="00D16FF5" w:rsidRPr="00E91F85">
              <w:rPr>
                <w:bCs/>
                <w:lang w:val="en-US"/>
              </w:rPr>
              <w:t xml:space="preserve"> </w:t>
            </w:r>
            <w:r w:rsidR="00785AB8" w:rsidRPr="00E91F85">
              <w:rPr>
                <w:bCs/>
                <w:lang w:val="en-US"/>
              </w:rPr>
              <w:t>/scrubbing)</w:t>
            </w:r>
            <w:r w:rsidR="0044401A" w:rsidRPr="00E91F85">
              <w:rPr>
                <w:bCs/>
                <w:lang w:val="en-US"/>
              </w:rPr>
              <w:t>:</w:t>
            </w:r>
          </w:p>
          <w:p w14:paraId="6B5532B2" w14:textId="7179EF0F" w:rsidR="0044401A" w:rsidRPr="00E91F85" w:rsidRDefault="0044401A" w:rsidP="0044401A">
            <w:pPr>
              <w:rPr>
                <w:bCs/>
                <w:lang w:val="en-US"/>
              </w:rPr>
            </w:pPr>
            <w:r w:rsidRPr="00E91F85">
              <w:rPr>
                <w:bCs/>
                <w:lang w:val="en-US"/>
              </w:rPr>
              <w:t xml:space="preserve">Bacteria, yeasts: 10% v/v, contact time 5 min, </w:t>
            </w:r>
            <w:r w:rsidR="00685AE8">
              <w:rPr>
                <w:bCs/>
                <w:lang w:val="en-US"/>
              </w:rPr>
              <w:t>20°C</w:t>
            </w:r>
          </w:p>
          <w:p w14:paraId="3E86D1FF" w14:textId="453269DD" w:rsidR="0044401A" w:rsidRPr="00E91F85" w:rsidRDefault="0044401A" w:rsidP="0044401A">
            <w:pPr>
              <w:rPr>
                <w:bCs/>
                <w:lang w:val="en-US"/>
              </w:rPr>
            </w:pPr>
          </w:p>
          <w:p w14:paraId="3A1421B2" w14:textId="260F5894" w:rsidR="00E72EBE" w:rsidRPr="00E91F85" w:rsidRDefault="00E72EBE" w:rsidP="0044401A">
            <w:pPr>
              <w:rPr>
                <w:bCs/>
                <w:lang w:val="en-US"/>
              </w:rPr>
            </w:pPr>
            <w:r w:rsidRPr="00E91F85">
              <w:rPr>
                <w:bCs/>
                <w:lang w:val="en-US"/>
              </w:rPr>
              <w:t>Application rates:</w:t>
            </w:r>
          </w:p>
          <w:p w14:paraId="150D7113" w14:textId="02471B53" w:rsidR="00E72EBE" w:rsidRPr="00E91F85" w:rsidRDefault="0044401A" w:rsidP="0044401A">
            <w:pPr>
              <w:rPr>
                <w:bCs/>
                <w:lang w:val="en-US"/>
              </w:rPr>
            </w:pPr>
            <w:r w:rsidRPr="00E91F85">
              <w:rPr>
                <w:bCs/>
                <w:lang w:val="en-US"/>
              </w:rPr>
              <w:t>30</w:t>
            </w:r>
            <w:r w:rsidR="00BB3563">
              <w:rPr>
                <w:bCs/>
                <w:lang w:val="en-US"/>
              </w:rPr>
              <w:t xml:space="preserve"> </w:t>
            </w:r>
            <w:r w:rsidRPr="00E91F85">
              <w:rPr>
                <w:bCs/>
                <w:lang w:val="en-US"/>
              </w:rPr>
              <w:t>ml/m</w:t>
            </w:r>
            <w:r w:rsidRPr="00383E12">
              <w:rPr>
                <w:bCs/>
                <w:vertAlign w:val="superscript"/>
                <w:lang w:val="en-US"/>
              </w:rPr>
              <w:t>2</w:t>
            </w:r>
            <w:r w:rsidRPr="00E91F85">
              <w:rPr>
                <w:bCs/>
                <w:lang w:val="en-US"/>
              </w:rPr>
              <w:t xml:space="preserve"> - 20 sprays directly on the surface per m</w:t>
            </w:r>
            <w:r w:rsidRPr="00383E12">
              <w:rPr>
                <w:bCs/>
                <w:vertAlign w:val="superscript"/>
                <w:lang w:val="en-US"/>
              </w:rPr>
              <w:t xml:space="preserve">2 </w:t>
            </w:r>
          </w:p>
          <w:p w14:paraId="04B3B0DB" w14:textId="06366BA3" w:rsidR="0044401A" w:rsidRPr="00B27CB1" w:rsidRDefault="0044401A" w:rsidP="00383E12">
            <w:pPr>
              <w:rPr>
                <w:rFonts w:cs="Times New Roman"/>
                <w:lang w:eastAsia="de-DE"/>
              </w:rPr>
            </w:pPr>
            <w:r w:rsidRPr="00E91F85">
              <w:rPr>
                <w:bCs/>
                <w:lang w:val="en-US"/>
              </w:rPr>
              <w:t>8 to 12 sprays or 16 ml onto wipe per 0.1 m</w:t>
            </w:r>
            <w:r w:rsidRPr="00383E12">
              <w:rPr>
                <w:bCs/>
                <w:vertAlign w:val="superscript"/>
                <w:lang w:val="en-US"/>
              </w:rPr>
              <w:t>2</w:t>
            </w:r>
            <w:r w:rsidRPr="00E91F85">
              <w:rPr>
                <w:bCs/>
                <w:lang w:val="en-US"/>
              </w:rPr>
              <w:t xml:space="preserve"> </w:t>
            </w:r>
          </w:p>
        </w:tc>
      </w:tr>
      <w:tr w:rsidR="0044401A" w:rsidRPr="00B27CB1" w14:paraId="4D5E5FE8" w14:textId="77777777" w:rsidTr="00D16FF5">
        <w:tc>
          <w:tcPr>
            <w:tcW w:w="2694" w:type="dxa"/>
            <w:tcBorders>
              <w:top w:val="nil"/>
              <w:left w:val="single" w:sz="4" w:space="0" w:color="000000"/>
              <w:bottom w:val="single" w:sz="4" w:space="0" w:color="000000"/>
              <w:right w:val="nil"/>
            </w:tcBorders>
            <w:hideMark/>
          </w:tcPr>
          <w:p w14:paraId="63E24864" w14:textId="77777777" w:rsidR="0044401A" w:rsidRPr="00B27CB1" w:rsidRDefault="0044401A" w:rsidP="0044401A">
            <w:pPr>
              <w:spacing w:line="254" w:lineRule="auto"/>
              <w:rPr>
                <w:b/>
              </w:rPr>
            </w:pPr>
            <w:r w:rsidRPr="00B27CB1">
              <w:rPr>
                <w:b/>
                <w:bCs/>
                <w:szCs w:val="24"/>
                <w:lang w:eastAsia="en-GB"/>
              </w:rPr>
              <w:t>Category(ies) of users</w:t>
            </w:r>
          </w:p>
        </w:tc>
        <w:tc>
          <w:tcPr>
            <w:tcW w:w="6341" w:type="dxa"/>
            <w:tcBorders>
              <w:top w:val="nil"/>
              <w:left w:val="single" w:sz="4" w:space="0" w:color="000000"/>
              <w:bottom w:val="single" w:sz="4" w:space="0" w:color="000000"/>
              <w:right w:val="single" w:sz="4" w:space="0" w:color="000000"/>
            </w:tcBorders>
          </w:tcPr>
          <w:p w14:paraId="7B001624" w14:textId="25EB5A47" w:rsidR="0044401A" w:rsidRPr="00B27CB1" w:rsidRDefault="0044401A" w:rsidP="0044401A">
            <w:pPr>
              <w:snapToGrid w:val="0"/>
              <w:spacing w:line="254" w:lineRule="auto"/>
              <w:rPr>
                <w:b/>
              </w:rPr>
            </w:pPr>
            <w:r w:rsidRPr="000D7D14">
              <w:t>Industrial, Professional</w:t>
            </w:r>
          </w:p>
        </w:tc>
      </w:tr>
      <w:tr w:rsidR="0044401A" w:rsidRPr="00B27CB1" w14:paraId="131026AB" w14:textId="77777777" w:rsidTr="00D16FF5">
        <w:tc>
          <w:tcPr>
            <w:tcW w:w="2694" w:type="dxa"/>
            <w:tcBorders>
              <w:top w:val="nil"/>
              <w:left w:val="single" w:sz="4" w:space="0" w:color="000000"/>
              <w:bottom w:val="single" w:sz="4" w:space="0" w:color="000000"/>
              <w:right w:val="nil"/>
            </w:tcBorders>
            <w:hideMark/>
          </w:tcPr>
          <w:p w14:paraId="389238CC" w14:textId="77777777" w:rsidR="0044401A" w:rsidRPr="00B27CB1" w:rsidRDefault="0044401A" w:rsidP="0044401A">
            <w:pPr>
              <w:spacing w:line="254" w:lineRule="auto"/>
            </w:pPr>
            <w:r w:rsidRPr="00B27CB1">
              <w:rPr>
                <w:b/>
                <w:bCs/>
                <w:szCs w:val="24"/>
                <w:lang w:eastAsia="en-GB"/>
              </w:rPr>
              <w:t>Pack sizes and packaging material</w:t>
            </w:r>
          </w:p>
        </w:tc>
        <w:tc>
          <w:tcPr>
            <w:tcW w:w="6341" w:type="dxa"/>
            <w:tcBorders>
              <w:top w:val="nil"/>
              <w:left w:val="single" w:sz="4" w:space="0" w:color="000000"/>
              <w:bottom w:val="single" w:sz="4" w:space="0" w:color="000000"/>
              <w:right w:val="single" w:sz="4" w:space="0" w:color="000000"/>
            </w:tcBorders>
          </w:tcPr>
          <w:p w14:paraId="67B240AF" w14:textId="3E1EF0A4" w:rsidR="0044401A" w:rsidRDefault="0044401A" w:rsidP="0044401A">
            <w:pPr>
              <w:spacing w:line="254" w:lineRule="auto"/>
            </w:pPr>
            <w:r>
              <w:t>HDPE:</w:t>
            </w:r>
            <w:r w:rsidR="00BB3563">
              <w:t xml:space="preserve"> </w:t>
            </w:r>
            <w:r>
              <w:t>1 L / 1 kg, 5 L / 5 kg, 10 L / 10 kg, 20 L / 20 kg, 120 L / 120 kg, 200 L / 200 kg, 220 L / 220 kg</w:t>
            </w:r>
          </w:p>
          <w:p w14:paraId="4BBC43AE" w14:textId="38FA4C5C" w:rsidR="0044401A" w:rsidRDefault="0044401A" w:rsidP="0044401A">
            <w:pPr>
              <w:spacing w:line="254" w:lineRule="auto"/>
            </w:pPr>
            <w:r>
              <w:t>PET:</w:t>
            </w:r>
            <w:r w:rsidR="00BB3563">
              <w:t xml:space="preserve"> </w:t>
            </w:r>
            <w:r>
              <w:t>1 L / 1 kg</w:t>
            </w:r>
          </w:p>
          <w:p w14:paraId="57CD27D9" w14:textId="19792DD8" w:rsidR="0044401A" w:rsidRDefault="0044401A" w:rsidP="0044401A">
            <w:pPr>
              <w:spacing w:line="254" w:lineRule="auto"/>
            </w:pPr>
            <w:r w:rsidRPr="00B624F0">
              <w:t>Coextrude (HDPE/Adhesive/Nylon polyamide):</w:t>
            </w:r>
            <w:r w:rsidR="00BB3563">
              <w:t xml:space="preserve"> </w:t>
            </w:r>
            <w:r>
              <w:t>5 L / 5 kg</w:t>
            </w:r>
          </w:p>
          <w:p w14:paraId="5C99CB11" w14:textId="3982F112" w:rsidR="0044401A" w:rsidRPr="00B27CB1" w:rsidRDefault="0044401A" w:rsidP="00BB3563">
            <w:pPr>
              <w:spacing w:line="254" w:lineRule="auto"/>
            </w:pPr>
            <w:r>
              <w:t>Coextrude (HDPE/Adhesive resin/EVAL):</w:t>
            </w:r>
            <w:r w:rsidR="00BB3563">
              <w:t xml:space="preserve"> </w:t>
            </w:r>
            <w:r>
              <w:t>250 mL / 250 g</w:t>
            </w:r>
          </w:p>
        </w:tc>
      </w:tr>
    </w:tbl>
    <w:p w14:paraId="6DA81947" w14:textId="77777777" w:rsidR="00685495" w:rsidRPr="00B27CB1" w:rsidRDefault="00685495" w:rsidP="00685495">
      <w:pPr>
        <w:tabs>
          <w:tab w:val="left" w:pos="500"/>
        </w:tabs>
        <w:ind w:left="500" w:hanging="500"/>
      </w:pPr>
    </w:p>
    <w:p w14:paraId="64DEAA9B"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43BC84F4"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58EFC53" w14:textId="6F64B00B" w:rsidR="00DB527A" w:rsidRPr="00BB3563" w:rsidRDefault="00DB527A" w:rsidP="00BB3563">
            <w:pPr>
              <w:pStyle w:val="Paragraphedeliste"/>
              <w:numPr>
                <w:ilvl w:val="0"/>
                <w:numId w:val="32"/>
              </w:numPr>
              <w:rPr>
                <w:color w:val="000000"/>
                <w:lang w:eastAsia="en-GB"/>
              </w:rPr>
            </w:pPr>
            <w:r w:rsidRPr="00BB3563">
              <w:rPr>
                <w:color w:val="000000"/>
                <w:lang w:eastAsia="en-GB"/>
              </w:rPr>
              <w:t>Manu</w:t>
            </w:r>
            <w:r w:rsidR="009217C2" w:rsidRPr="00BB3563">
              <w:rPr>
                <w:color w:val="000000"/>
                <w:lang w:eastAsia="en-GB"/>
              </w:rPr>
              <w:t>a</w:t>
            </w:r>
            <w:r w:rsidRPr="00BB3563">
              <w:rPr>
                <w:color w:val="000000"/>
                <w:lang w:eastAsia="en-GB"/>
              </w:rPr>
              <w:t>l disinfection:</w:t>
            </w:r>
          </w:p>
          <w:p w14:paraId="37035E5D" w14:textId="56D81B6D" w:rsidR="00DB527A" w:rsidRPr="00E648D1" w:rsidRDefault="00DB527A" w:rsidP="00383E12">
            <w:pPr>
              <w:pStyle w:val="Paragraphedeliste"/>
              <w:widowControl w:val="0"/>
              <w:numPr>
                <w:ilvl w:val="0"/>
                <w:numId w:val="46"/>
              </w:numPr>
              <w:autoSpaceDE w:val="0"/>
              <w:snapToGrid w:val="0"/>
              <w:ind w:left="342"/>
              <w:jc w:val="both"/>
              <w:rPr>
                <w:bCs/>
                <w:lang w:val="en-US"/>
              </w:rPr>
            </w:pPr>
            <w:r w:rsidRPr="00BB3563">
              <w:rPr>
                <w:bCs/>
                <w:lang w:val="en-US"/>
              </w:rPr>
              <w:t>For hard surfaces by spraying: Dilute in water and spray directly on the surface intended to be treated and cover the entire surface. All</w:t>
            </w:r>
            <w:r w:rsidR="00785AB8" w:rsidRPr="002F6E1B">
              <w:rPr>
                <w:bCs/>
                <w:lang w:val="en-US"/>
              </w:rPr>
              <w:t xml:space="preserve">ow to take effect for at least </w:t>
            </w:r>
            <w:r w:rsidR="00D16FF5" w:rsidRPr="001E568F">
              <w:rPr>
                <w:bCs/>
                <w:lang w:val="en-US"/>
              </w:rPr>
              <w:t>1</w:t>
            </w:r>
            <w:r w:rsidRPr="001E568F">
              <w:rPr>
                <w:bCs/>
                <w:lang w:val="en-US"/>
              </w:rPr>
              <w:t>5 until 30 minutes depending on the temperature</w:t>
            </w:r>
            <w:r w:rsidR="00D16FF5" w:rsidRPr="00E648D1">
              <w:rPr>
                <w:bCs/>
                <w:lang w:val="en-US"/>
              </w:rPr>
              <w:t>,</w:t>
            </w:r>
            <w:r w:rsidRPr="00E648D1">
              <w:rPr>
                <w:bCs/>
                <w:lang w:val="en-US"/>
              </w:rPr>
              <w:t xml:space="preserve"> then brush or scrub if required and wipe with a dry cloth.</w:t>
            </w:r>
          </w:p>
          <w:p w14:paraId="1747E79C" w14:textId="3CF43A08" w:rsidR="00DB527A" w:rsidRPr="00BB3563" w:rsidRDefault="00DB527A" w:rsidP="00383E12">
            <w:pPr>
              <w:pStyle w:val="Paragraphedeliste"/>
              <w:widowControl w:val="0"/>
              <w:numPr>
                <w:ilvl w:val="0"/>
                <w:numId w:val="46"/>
              </w:numPr>
              <w:autoSpaceDE w:val="0"/>
              <w:snapToGrid w:val="0"/>
              <w:ind w:left="342"/>
              <w:jc w:val="both"/>
              <w:rPr>
                <w:bCs/>
                <w:lang w:val="en-US"/>
              </w:rPr>
            </w:pPr>
            <w:r w:rsidRPr="00854EF9">
              <w:rPr>
                <w:bCs/>
                <w:lang w:val="en-US"/>
              </w:rPr>
              <w:t>For hard surfaces by wipping/mopping</w:t>
            </w:r>
            <w:r w:rsidR="00D16FF5" w:rsidRPr="00BB3563">
              <w:rPr>
                <w:bCs/>
                <w:lang w:val="en-US"/>
              </w:rPr>
              <w:t>/brushing</w:t>
            </w:r>
            <w:r w:rsidRPr="00BB3563">
              <w:rPr>
                <w:bCs/>
                <w:lang w:val="en-US"/>
              </w:rPr>
              <w:t>:</w:t>
            </w:r>
            <w:r w:rsidR="00D16FF5" w:rsidRPr="00BB3563">
              <w:rPr>
                <w:bCs/>
                <w:lang w:val="en-US"/>
              </w:rPr>
              <w:t xml:space="preserve"> </w:t>
            </w:r>
            <w:r w:rsidR="009217C2" w:rsidRPr="00BB3563">
              <w:rPr>
                <w:bCs/>
                <w:lang w:val="en-US"/>
              </w:rPr>
              <w:t>Dilute in water, spray on wipe or soak the mop/wipe/brush and apply by fully wetting all surfaces intended to be treated</w:t>
            </w:r>
            <w:r w:rsidRPr="00BB3563">
              <w:rPr>
                <w:bCs/>
                <w:lang w:val="en-US"/>
              </w:rPr>
              <w:t>.</w:t>
            </w:r>
            <w:r w:rsidR="009217C2" w:rsidRPr="00BB3563">
              <w:rPr>
                <w:bCs/>
                <w:lang w:val="en-US"/>
              </w:rPr>
              <w:t xml:space="preserve"> </w:t>
            </w:r>
            <w:r w:rsidRPr="00BB3563">
              <w:rPr>
                <w:bCs/>
                <w:lang w:val="en-US"/>
              </w:rPr>
              <w:t>Allow to take effect for at least 5 minutes</w:t>
            </w:r>
            <w:r w:rsidR="00685AE8">
              <w:rPr>
                <w:bCs/>
                <w:lang w:val="en-US"/>
              </w:rPr>
              <w:t>, then</w:t>
            </w:r>
            <w:r w:rsidRPr="00BB3563">
              <w:rPr>
                <w:bCs/>
                <w:lang w:val="en-US"/>
              </w:rPr>
              <w:t xml:space="preserve"> wipe the surface with a dry cloth if required or let to dry.</w:t>
            </w:r>
          </w:p>
          <w:p w14:paraId="123E4BD8" w14:textId="616E6077" w:rsidR="00DB527A" w:rsidRPr="00BB3563" w:rsidRDefault="00DB527A" w:rsidP="00BB3563">
            <w:pPr>
              <w:rPr>
                <w:bCs/>
                <w:color w:val="000000"/>
                <w:lang w:val="en-US"/>
              </w:rPr>
            </w:pPr>
          </w:p>
          <w:p w14:paraId="41B47CF2" w14:textId="77777777" w:rsidR="00DB527A" w:rsidRPr="00B10ACB" w:rsidRDefault="00DB527A" w:rsidP="00BB3563">
            <w:pPr>
              <w:pStyle w:val="Paragraphedeliste"/>
              <w:numPr>
                <w:ilvl w:val="0"/>
                <w:numId w:val="32"/>
              </w:numPr>
              <w:rPr>
                <w:color w:val="000000"/>
                <w:lang w:eastAsia="en-GB"/>
              </w:rPr>
            </w:pPr>
            <w:r w:rsidRPr="00BB3563">
              <w:rPr>
                <w:bCs/>
                <w:color w:val="000000"/>
                <w:lang w:val="de-DE"/>
              </w:rPr>
              <w:t>Machine:</w:t>
            </w:r>
          </w:p>
          <w:p w14:paraId="38832CD7" w14:textId="7ACD7618" w:rsidR="00D16FF5" w:rsidRPr="00BB3563" w:rsidRDefault="00DB527A" w:rsidP="00383E12">
            <w:pPr>
              <w:pStyle w:val="Paragraphedeliste"/>
              <w:widowControl w:val="0"/>
              <w:numPr>
                <w:ilvl w:val="0"/>
                <w:numId w:val="46"/>
              </w:numPr>
              <w:autoSpaceDE w:val="0"/>
              <w:snapToGrid w:val="0"/>
              <w:ind w:left="342"/>
              <w:jc w:val="both"/>
              <w:rPr>
                <w:bCs/>
                <w:lang w:val="en-US"/>
              </w:rPr>
            </w:pPr>
            <w:r w:rsidRPr="00BB3563">
              <w:rPr>
                <w:bCs/>
                <w:lang w:val="en-US"/>
              </w:rPr>
              <w:t>Dilute in water in scrubber-dryers, single-disk scrubbers, high or low pressure sprayers... and apply on surface and/or floor intended to be treated. Allow to take effect for at least 5 minutes depending on the temperature and then let to dry. Rinse the tank after applying the product.</w:t>
            </w:r>
          </w:p>
          <w:p w14:paraId="4D43F937" w14:textId="1334ECD1" w:rsidR="00685495" w:rsidRPr="008D2273" w:rsidRDefault="0044401A" w:rsidP="00383E12">
            <w:pPr>
              <w:pStyle w:val="Paragraphedeliste"/>
              <w:widowControl w:val="0"/>
              <w:numPr>
                <w:ilvl w:val="0"/>
                <w:numId w:val="46"/>
              </w:numPr>
              <w:autoSpaceDE w:val="0"/>
              <w:snapToGrid w:val="0"/>
              <w:ind w:left="342"/>
              <w:jc w:val="both"/>
              <w:rPr>
                <w:rFonts w:ascii="Times New Roman" w:hAnsi="Times New Roman"/>
                <w:color w:val="000000"/>
                <w:sz w:val="24"/>
                <w:szCs w:val="24"/>
                <w:lang w:eastAsia="en-GB"/>
              </w:rPr>
            </w:pPr>
            <w:r w:rsidRPr="001E568F">
              <w:rPr>
                <w:bCs/>
                <w:lang w:val="en-US"/>
              </w:rPr>
              <w:t>The product must be used directly after dilution</w:t>
            </w:r>
            <w:r w:rsidR="00F4344A" w:rsidRPr="001E568F">
              <w:rPr>
                <w:bCs/>
                <w:lang w:val="en-US"/>
              </w:rPr>
              <w:t>.</w:t>
            </w:r>
          </w:p>
        </w:tc>
      </w:tr>
    </w:tbl>
    <w:p w14:paraId="3245538B"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5A9266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8A2B93D" w14:textId="0728E44B" w:rsidR="00685495" w:rsidRPr="00305DEF" w:rsidRDefault="0044401A" w:rsidP="00BB3563">
            <w:pPr>
              <w:pStyle w:val="Paragraphedeliste"/>
              <w:widowControl w:val="0"/>
              <w:numPr>
                <w:ilvl w:val="0"/>
                <w:numId w:val="46"/>
              </w:numPr>
              <w:autoSpaceDE w:val="0"/>
              <w:snapToGrid w:val="0"/>
              <w:spacing w:before="80" w:line="254" w:lineRule="auto"/>
              <w:ind w:left="345"/>
              <w:jc w:val="both"/>
              <w:rPr>
                <w:rFonts w:cs="Times"/>
                <w:bCs/>
                <w:szCs w:val="29"/>
              </w:rPr>
            </w:pPr>
            <w:r w:rsidRPr="00E91F85">
              <w:rPr>
                <w:bCs/>
                <w:lang w:val="en-US"/>
              </w:rPr>
              <w:t>For heathcare facilities, apply the product only in areas where disinfection is not medically indicated.</w:t>
            </w:r>
          </w:p>
        </w:tc>
      </w:tr>
    </w:tbl>
    <w:p w14:paraId="45336E66"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13E988A"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11F1A3E" w14:textId="3C437D8C"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596E9BB5"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6C2AF4C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35843BA" w14:textId="439FB39E"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46FCAD8A"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4964DAB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69A52BC" w14:textId="452E16C7"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3D26EE27" w14:textId="77777777" w:rsidR="00685495" w:rsidRPr="00B27CB1" w:rsidRDefault="00685495" w:rsidP="00685495">
      <w:pPr>
        <w:widowControl w:val="0"/>
        <w:autoSpaceDE w:val="0"/>
        <w:rPr>
          <w:rFonts w:cs="Times"/>
          <w:bCs/>
          <w:szCs w:val="29"/>
        </w:rPr>
      </w:pPr>
    </w:p>
    <w:p w14:paraId="198B21F1" w14:textId="77777777" w:rsidR="00685495" w:rsidRPr="00B27CB1" w:rsidRDefault="00685495" w:rsidP="00685495">
      <w:pPr>
        <w:pStyle w:val="Titre4"/>
        <w:numPr>
          <w:ilvl w:val="3"/>
          <w:numId w:val="9"/>
        </w:numPr>
        <w:rPr>
          <w:lang w:val="en-GB"/>
        </w:rPr>
      </w:pPr>
      <w:bookmarkStart w:id="114" w:name="_Toc87361144"/>
      <w:r w:rsidRPr="00B27CB1">
        <w:rPr>
          <w:lang w:val="en-GB"/>
        </w:rPr>
        <w:t>Use description</w:t>
      </w:r>
      <w:bookmarkEnd w:id="114"/>
    </w:p>
    <w:p w14:paraId="09A1D0E1" w14:textId="77777777" w:rsidR="00685495" w:rsidRPr="00B27CB1" w:rsidRDefault="00685495" w:rsidP="00685495">
      <w:pPr>
        <w:widowControl w:val="0"/>
        <w:autoSpaceDE w:val="0"/>
        <w:rPr>
          <w:rFonts w:cs="Times"/>
          <w:bCs/>
          <w:szCs w:val="29"/>
        </w:rPr>
      </w:pPr>
    </w:p>
    <w:p w14:paraId="1FD6EF4D" w14:textId="7C3FDCF0" w:rsidR="00685495" w:rsidRPr="00B27CB1" w:rsidRDefault="00685495" w:rsidP="00685495">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15</w:t>
      </w:r>
      <w:r w:rsidRPr="00B27CB1">
        <w:rPr>
          <w:rFonts w:ascii="Verdana" w:hAnsi="Verdana" w:cs="Verdana"/>
        </w:rPr>
        <w:fldChar w:fldCharType="end"/>
      </w:r>
      <w:r w:rsidRPr="00B27CB1">
        <w:rPr>
          <w:rFonts w:ascii="Verdana" w:hAnsi="Verdana"/>
        </w:rPr>
        <w:t xml:space="preserve">. </w:t>
      </w:r>
      <w:r w:rsidRPr="00E91F85">
        <w:rPr>
          <w:rFonts w:ascii="Verdana" w:hAnsi="Verdana"/>
        </w:rPr>
        <w:t xml:space="preserve">Use # 3 – Disinfectants for hard surfaces of industry, institution, healthcare facilities and healthcare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85495" w:rsidRPr="00B27CB1" w14:paraId="7F924B6E" w14:textId="77777777" w:rsidTr="00685495">
        <w:tc>
          <w:tcPr>
            <w:tcW w:w="2707" w:type="dxa"/>
            <w:tcBorders>
              <w:top w:val="single" w:sz="4" w:space="0" w:color="000000"/>
              <w:left w:val="single" w:sz="4" w:space="0" w:color="000000"/>
              <w:bottom w:val="single" w:sz="4" w:space="0" w:color="000000"/>
              <w:right w:val="nil"/>
            </w:tcBorders>
            <w:hideMark/>
          </w:tcPr>
          <w:p w14:paraId="13A73338" w14:textId="77777777" w:rsidR="00685495" w:rsidRPr="00B27CB1" w:rsidRDefault="0068549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1064A172" w14:textId="4B06E251" w:rsidR="00685495" w:rsidRPr="00B27CB1" w:rsidRDefault="00685495" w:rsidP="00685495">
            <w:pPr>
              <w:snapToGrid w:val="0"/>
              <w:spacing w:line="254" w:lineRule="auto"/>
              <w:rPr>
                <w:b/>
              </w:rPr>
            </w:pPr>
            <w:r w:rsidRPr="00B10ACB">
              <w:t>PT02</w:t>
            </w:r>
            <w:r w:rsidR="0044401A" w:rsidRPr="00B10ACB">
              <w:t xml:space="preserve"> </w:t>
            </w:r>
            <w:r w:rsidR="0044401A" w:rsidRPr="00BB3563">
              <w:t>- Disinfectants</w:t>
            </w:r>
            <w:r w:rsidR="0044401A" w:rsidRPr="000D7D14">
              <w:t xml:space="preserve"> and algaecides not intended for direct application to humans or animals (Disinfectants)</w:t>
            </w:r>
          </w:p>
        </w:tc>
      </w:tr>
      <w:tr w:rsidR="00685495" w:rsidRPr="00B27CB1" w14:paraId="599DE80F" w14:textId="77777777" w:rsidTr="00685495">
        <w:tc>
          <w:tcPr>
            <w:tcW w:w="2707" w:type="dxa"/>
            <w:tcBorders>
              <w:top w:val="nil"/>
              <w:left w:val="single" w:sz="4" w:space="0" w:color="000000"/>
              <w:bottom w:val="single" w:sz="4" w:space="0" w:color="000000"/>
              <w:right w:val="nil"/>
            </w:tcBorders>
            <w:hideMark/>
          </w:tcPr>
          <w:p w14:paraId="2A64C3EE" w14:textId="77777777" w:rsidR="00685495" w:rsidRPr="00B27CB1" w:rsidRDefault="0068549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EB48E8C" w14:textId="4F61694C" w:rsidR="0044401A" w:rsidRPr="000D7D14" w:rsidRDefault="0044401A" w:rsidP="0044401A">
            <w:r w:rsidRPr="000D7D14">
              <w:rPr>
                <w:color w:val="000000"/>
              </w:rPr>
              <w:t>Product used for the disinfection for industry, institution, healthcare facilities and healthcare</w:t>
            </w:r>
            <w:r w:rsidR="00E95AE6">
              <w:rPr>
                <w:color w:val="000000"/>
              </w:rPr>
              <w:t>,</w:t>
            </w:r>
            <w:r w:rsidRPr="000D7D14">
              <w:rPr>
                <w:color w:val="000000"/>
              </w:rPr>
              <w:t xml:space="preserve"> including toilets bowls. </w:t>
            </w:r>
          </w:p>
          <w:p w14:paraId="76BD5CCC" w14:textId="20794D45" w:rsidR="00685495" w:rsidRPr="00B27CB1" w:rsidRDefault="0044401A" w:rsidP="009E4041">
            <w:pPr>
              <w:snapToGrid w:val="0"/>
              <w:spacing w:line="254" w:lineRule="auto"/>
              <w:rPr>
                <w:b/>
              </w:rPr>
            </w:pPr>
            <w:r w:rsidRPr="000D7D14">
              <w:br/>
            </w:r>
            <w:r w:rsidR="009E4041">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685495" w:rsidRPr="00B27CB1" w14:paraId="69E57AB8" w14:textId="77777777" w:rsidTr="00685495">
        <w:tc>
          <w:tcPr>
            <w:tcW w:w="2707" w:type="dxa"/>
            <w:tcBorders>
              <w:top w:val="nil"/>
              <w:left w:val="single" w:sz="4" w:space="0" w:color="000000"/>
              <w:bottom w:val="single" w:sz="4" w:space="0" w:color="000000"/>
              <w:right w:val="nil"/>
            </w:tcBorders>
            <w:hideMark/>
          </w:tcPr>
          <w:p w14:paraId="19DC5B4C" w14:textId="77777777" w:rsidR="00685495" w:rsidRPr="00B27CB1" w:rsidRDefault="0068549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5A72FE7" w14:textId="7DCA7F50" w:rsidR="00685495" w:rsidRPr="00B27CB1" w:rsidRDefault="0044401A" w:rsidP="00685495">
            <w:pPr>
              <w:snapToGrid w:val="0"/>
              <w:spacing w:line="254" w:lineRule="auto"/>
              <w:rPr>
                <w:lang w:eastAsia="de-DE"/>
              </w:rPr>
            </w:pPr>
            <w:r w:rsidRPr="000D7D14">
              <w:t>Bacteria</w:t>
            </w:r>
            <w:r w:rsidRPr="000D7D14">
              <w:br/>
              <w:t>Yeasts</w:t>
            </w:r>
          </w:p>
        </w:tc>
      </w:tr>
      <w:tr w:rsidR="00685495" w:rsidRPr="00B27CB1" w14:paraId="702B75FF" w14:textId="77777777" w:rsidTr="00685495">
        <w:tc>
          <w:tcPr>
            <w:tcW w:w="2707" w:type="dxa"/>
            <w:tcBorders>
              <w:top w:val="nil"/>
              <w:left w:val="single" w:sz="4" w:space="0" w:color="000000"/>
              <w:bottom w:val="single" w:sz="4" w:space="0" w:color="000000"/>
              <w:right w:val="nil"/>
            </w:tcBorders>
            <w:hideMark/>
          </w:tcPr>
          <w:p w14:paraId="23A1E1D4" w14:textId="77777777" w:rsidR="00685495" w:rsidRPr="00B27CB1" w:rsidRDefault="00685495" w:rsidP="00685495">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14613498" w14:textId="089F81EB" w:rsidR="00685495" w:rsidRPr="00B27CB1" w:rsidRDefault="0044401A" w:rsidP="0055567E">
            <w:pPr>
              <w:suppressAutoHyphens w:val="0"/>
              <w:snapToGrid w:val="0"/>
              <w:spacing w:line="260" w:lineRule="atLeast"/>
              <w:jc w:val="both"/>
              <w:rPr>
                <w:rFonts w:cs="Times New Roman"/>
                <w:lang w:eastAsia="de-DE"/>
              </w:rPr>
            </w:pPr>
            <w:r w:rsidRPr="000D7D14">
              <w:t>Indoor</w:t>
            </w:r>
          </w:p>
        </w:tc>
      </w:tr>
      <w:tr w:rsidR="00685495" w:rsidRPr="00B27CB1" w14:paraId="4F6F7402" w14:textId="77777777" w:rsidTr="00685495">
        <w:tc>
          <w:tcPr>
            <w:tcW w:w="2707" w:type="dxa"/>
            <w:tcBorders>
              <w:top w:val="nil"/>
              <w:left w:val="single" w:sz="4" w:space="0" w:color="000000"/>
              <w:bottom w:val="single" w:sz="4" w:space="0" w:color="000000"/>
              <w:right w:val="nil"/>
            </w:tcBorders>
            <w:hideMark/>
          </w:tcPr>
          <w:p w14:paraId="4E5A9C1D" w14:textId="77777777" w:rsidR="00685495" w:rsidRPr="00B27CB1" w:rsidRDefault="00685495" w:rsidP="00685495">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5D0610F" w14:textId="77777777" w:rsidR="002656C7" w:rsidRDefault="0044401A" w:rsidP="002656C7">
            <w:pPr>
              <w:suppressAutoHyphens w:val="0"/>
              <w:snapToGrid w:val="0"/>
              <w:spacing w:line="260" w:lineRule="atLeast"/>
            </w:pPr>
            <w:r w:rsidRPr="000D7D14">
              <w:t xml:space="preserve">Spraying, </w:t>
            </w:r>
          </w:p>
          <w:p w14:paraId="55374DA6" w14:textId="7772B505" w:rsidR="002656C7" w:rsidRDefault="002656C7" w:rsidP="002656C7">
            <w:pPr>
              <w:suppressAutoHyphens w:val="0"/>
              <w:snapToGrid w:val="0"/>
              <w:spacing w:line="260" w:lineRule="atLeast"/>
            </w:pPr>
            <w:r>
              <w:t>W</w:t>
            </w:r>
            <w:r w:rsidR="0044401A" w:rsidRPr="000D7D14">
              <w:t>iping (applying product onto wipe followed by wiping)</w:t>
            </w:r>
          </w:p>
          <w:p w14:paraId="00043E03" w14:textId="77777777" w:rsidR="00685495" w:rsidRDefault="002656C7" w:rsidP="002656C7">
            <w:pPr>
              <w:suppressAutoHyphens w:val="0"/>
              <w:snapToGrid w:val="0"/>
              <w:spacing w:line="260" w:lineRule="atLeast"/>
            </w:pPr>
            <w:r>
              <w:t>M</w:t>
            </w:r>
            <w:r w:rsidR="0044401A" w:rsidRPr="000D7D14">
              <w:t>opping (applying product onto mop followed by mopping)</w:t>
            </w:r>
          </w:p>
          <w:p w14:paraId="162D2C85" w14:textId="77777777" w:rsidR="00785AB8" w:rsidRDefault="00785AB8" w:rsidP="00785AB8">
            <w:pPr>
              <w:suppressAutoHyphens w:val="0"/>
              <w:snapToGrid w:val="0"/>
              <w:spacing w:line="260" w:lineRule="atLeast"/>
            </w:pPr>
            <w:r w:rsidRPr="00C77DE3">
              <w:t>Brushing (applying</w:t>
            </w:r>
            <w:r>
              <w:t xml:space="preserve"> product onto brush followed by brushing)</w:t>
            </w:r>
          </w:p>
          <w:p w14:paraId="0523F4B5" w14:textId="5E119EB1" w:rsidR="00DB527A" w:rsidRPr="00B27CB1" w:rsidRDefault="00785AB8" w:rsidP="00785AB8">
            <w:pPr>
              <w:suppressAutoHyphens w:val="0"/>
              <w:snapToGrid w:val="0"/>
              <w:spacing w:line="260" w:lineRule="atLeast"/>
              <w:rPr>
                <w:rFonts w:cs="Times New Roman"/>
                <w:lang w:eastAsia="de-DE"/>
              </w:rPr>
            </w:pPr>
            <w:r>
              <w:t>Scrubbing (machine)</w:t>
            </w:r>
          </w:p>
        </w:tc>
      </w:tr>
      <w:tr w:rsidR="00685495" w:rsidRPr="00B27CB1" w14:paraId="74502F08" w14:textId="77777777" w:rsidTr="00685495">
        <w:tc>
          <w:tcPr>
            <w:tcW w:w="2707" w:type="dxa"/>
            <w:tcBorders>
              <w:top w:val="nil"/>
              <w:left w:val="single" w:sz="4" w:space="0" w:color="000000"/>
              <w:bottom w:val="single" w:sz="4" w:space="0" w:color="000000"/>
              <w:right w:val="nil"/>
            </w:tcBorders>
            <w:hideMark/>
          </w:tcPr>
          <w:p w14:paraId="01C249AC" w14:textId="77777777" w:rsidR="00685495" w:rsidRPr="00B27CB1" w:rsidRDefault="00685495" w:rsidP="00685495">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8D72E3A" w14:textId="77BCF272" w:rsidR="00685AE8" w:rsidRDefault="00785AB8" w:rsidP="0044401A">
            <w:r>
              <w:t>Dirty conditions</w:t>
            </w:r>
          </w:p>
          <w:p w14:paraId="1997DDD1" w14:textId="18F7D6A5" w:rsidR="00561978" w:rsidRDefault="00685AE8" w:rsidP="0044401A">
            <w:r>
              <w:t>T</w:t>
            </w:r>
            <w:r w:rsidR="00561978">
              <w:t>emperature</w:t>
            </w:r>
            <w:r>
              <w:t>: 20°C</w:t>
            </w:r>
          </w:p>
          <w:p w14:paraId="65F10209" w14:textId="77777777" w:rsidR="00561978" w:rsidRDefault="00561978" w:rsidP="00785AB8">
            <w:pPr>
              <w:snapToGrid w:val="0"/>
              <w:spacing w:line="260" w:lineRule="atLeast"/>
            </w:pPr>
          </w:p>
          <w:p w14:paraId="7D3AA0A4" w14:textId="77777777" w:rsidR="00561978" w:rsidRPr="00E91F85" w:rsidRDefault="00561978" w:rsidP="00561978">
            <w:pPr>
              <w:rPr>
                <w:bCs/>
                <w:lang w:val="en-US"/>
              </w:rPr>
            </w:pPr>
            <w:r w:rsidRPr="00E91F85">
              <w:rPr>
                <w:bCs/>
                <w:lang w:val="en-US"/>
              </w:rPr>
              <w:t>In healthcare areas, without mechanical application (spraying):</w:t>
            </w:r>
          </w:p>
          <w:p w14:paraId="4D31BDBF" w14:textId="2EA2C0CF" w:rsidR="00561978" w:rsidRPr="00F0256C" w:rsidRDefault="00561978" w:rsidP="00561978">
            <w:r w:rsidRPr="00E91F85">
              <w:rPr>
                <w:bCs/>
                <w:lang w:val="en-US"/>
              </w:rPr>
              <w:t xml:space="preserve">bacteria, yeasts: 10% (v/v), </w:t>
            </w:r>
            <w:r w:rsidRPr="00F0256C">
              <w:t>contact time</w:t>
            </w:r>
            <w:r>
              <w:t xml:space="preserve"> </w:t>
            </w:r>
            <w:r w:rsidRPr="00F0256C">
              <w:t>5 minutes</w:t>
            </w:r>
          </w:p>
          <w:p w14:paraId="08492022" w14:textId="77777777" w:rsidR="00561978" w:rsidRPr="00E91F85" w:rsidRDefault="00561978" w:rsidP="00561978">
            <w:pPr>
              <w:rPr>
                <w:bCs/>
                <w:lang w:val="en-US"/>
              </w:rPr>
            </w:pPr>
          </w:p>
          <w:p w14:paraId="7862605C" w14:textId="77777777" w:rsidR="00561978" w:rsidRPr="00E91F85" w:rsidRDefault="00561978" w:rsidP="00561978">
            <w:pPr>
              <w:rPr>
                <w:bCs/>
                <w:lang w:val="en-US"/>
              </w:rPr>
            </w:pPr>
            <w:r w:rsidRPr="00E91F85">
              <w:rPr>
                <w:bCs/>
                <w:lang w:val="en-US"/>
              </w:rPr>
              <w:t>Other areas, without mechanical application (spraying):</w:t>
            </w:r>
          </w:p>
          <w:p w14:paraId="7117A979" w14:textId="77777777" w:rsidR="00561978" w:rsidRPr="00E91F85" w:rsidRDefault="00561978" w:rsidP="00561978">
            <w:pPr>
              <w:rPr>
                <w:bCs/>
                <w:lang w:val="en-US"/>
              </w:rPr>
            </w:pPr>
            <w:r w:rsidRPr="00E91F85">
              <w:rPr>
                <w:bCs/>
                <w:lang w:val="en-US"/>
              </w:rPr>
              <w:t xml:space="preserve">Bacteria, yeasts: </w:t>
            </w:r>
          </w:p>
          <w:p w14:paraId="3EB93515" w14:textId="54BC0721" w:rsidR="00561978" w:rsidRPr="00E91F85" w:rsidRDefault="00561978" w:rsidP="00561978">
            <w:pPr>
              <w:rPr>
                <w:bCs/>
                <w:lang w:val="en-US"/>
              </w:rPr>
            </w:pPr>
            <w:r w:rsidRPr="00E91F85">
              <w:rPr>
                <w:bCs/>
                <w:lang w:val="en-US"/>
              </w:rPr>
              <w:t>8% (v/v), contact time 15 min</w:t>
            </w:r>
          </w:p>
          <w:p w14:paraId="4C6A70FA" w14:textId="77777777" w:rsidR="00561978" w:rsidRPr="00E91F85" w:rsidRDefault="00561978" w:rsidP="00561978">
            <w:pPr>
              <w:rPr>
                <w:bCs/>
                <w:lang w:val="en-US"/>
              </w:rPr>
            </w:pPr>
          </w:p>
          <w:p w14:paraId="623635AD" w14:textId="77777777" w:rsidR="00561978" w:rsidRPr="00E91F85" w:rsidRDefault="00561978" w:rsidP="00561978">
            <w:pPr>
              <w:rPr>
                <w:bCs/>
                <w:lang w:val="en-US"/>
              </w:rPr>
            </w:pPr>
            <w:r w:rsidRPr="00E91F85">
              <w:rPr>
                <w:bCs/>
                <w:lang w:val="en-US"/>
              </w:rPr>
              <w:t xml:space="preserve">All areas, with mechanical application </w:t>
            </w:r>
            <w:r>
              <w:rPr>
                <w:rFonts w:cs="Times New Roman"/>
                <w:lang w:eastAsia="de-DE"/>
              </w:rPr>
              <w:t xml:space="preserve">(wiping /mopping </w:t>
            </w:r>
            <w:r w:rsidRPr="00E91F85">
              <w:rPr>
                <w:bCs/>
                <w:lang w:val="en-US"/>
              </w:rPr>
              <w:t>/brushing /scrubbing</w:t>
            </w:r>
            <w:r>
              <w:rPr>
                <w:rFonts w:cs="Times New Roman"/>
                <w:lang w:eastAsia="de-DE"/>
              </w:rPr>
              <w:t>)</w:t>
            </w:r>
            <w:r w:rsidRPr="00E91F85">
              <w:rPr>
                <w:bCs/>
                <w:lang w:val="en-US"/>
              </w:rPr>
              <w:t>:</w:t>
            </w:r>
          </w:p>
          <w:p w14:paraId="54B61FE3" w14:textId="7B9DB3D6" w:rsidR="00561978" w:rsidRPr="00E91F85" w:rsidRDefault="00561978" w:rsidP="00561978">
            <w:pPr>
              <w:rPr>
                <w:bCs/>
                <w:lang w:val="en-US"/>
              </w:rPr>
            </w:pPr>
            <w:r w:rsidRPr="00E91F85">
              <w:rPr>
                <w:bCs/>
                <w:lang w:val="en-US"/>
              </w:rPr>
              <w:t>Bacteria, yeasts: 10% v/v, contact time 5 min</w:t>
            </w:r>
          </w:p>
          <w:p w14:paraId="6C0922AF" w14:textId="77777777" w:rsidR="00DB723B" w:rsidRPr="00E91F85" w:rsidRDefault="00DB723B" w:rsidP="00561978">
            <w:pPr>
              <w:rPr>
                <w:bCs/>
                <w:lang w:val="en-US"/>
              </w:rPr>
            </w:pPr>
          </w:p>
          <w:p w14:paraId="14552456" w14:textId="33C32669" w:rsidR="0044401A" w:rsidRDefault="0044401A" w:rsidP="0044401A"/>
          <w:p w14:paraId="60A55F56" w14:textId="452FD3AC" w:rsidR="009E4041" w:rsidRDefault="009E4041" w:rsidP="0044401A">
            <w:r>
              <w:t>Application rates:</w:t>
            </w:r>
          </w:p>
          <w:p w14:paraId="62408F74" w14:textId="745666F3" w:rsidR="00785AB8" w:rsidRPr="000D7D14" w:rsidRDefault="00785AB8" w:rsidP="00785AB8">
            <w:r w:rsidRPr="000D7D14">
              <w:t>30 ml/m</w:t>
            </w:r>
            <w:r w:rsidRPr="000D7D14">
              <w:rPr>
                <w:vertAlign w:val="superscript"/>
              </w:rPr>
              <w:t>2</w:t>
            </w:r>
            <w:r w:rsidRPr="000D7D14">
              <w:t xml:space="preserve"> (20 sprays on the surface per m</w:t>
            </w:r>
            <w:r w:rsidRPr="000D7D14">
              <w:rPr>
                <w:vertAlign w:val="superscript"/>
              </w:rPr>
              <w:t>2</w:t>
            </w:r>
            <w:r w:rsidR="0025173F">
              <w:t>)</w:t>
            </w:r>
          </w:p>
          <w:p w14:paraId="61CC44B5" w14:textId="16885CED" w:rsidR="00785AB8" w:rsidRPr="000D7D14" w:rsidRDefault="00785AB8" w:rsidP="00785AB8">
            <w:r w:rsidRPr="000D7D14">
              <w:t>16 ml on wipe per 0.1m</w:t>
            </w:r>
            <w:r w:rsidRPr="000D7D14">
              <w:rPr>
                <w:vertAlign w:val="superscript"/>
              </w:rPr>
              <w:t>2</w:t>
            </w:r>
            <w:r w:rsidR="0025173F">
              <w:rPr>
                <w:vertAlign w:val="superscript"/>
              </w:rPr>
              <w:t xml:space="preserve"> </w:t>
            </w:r>
            <w:r w:rsidR="0025173F">
              <w:t>(</w:t>
            </w:r>
            <w:r w:rsidR="0025173F" w:rsidRPr="000D7D14">
              <w:t>8 to 12 sprays</w:t>
            </w:r>
            <w:r w:rsidR="0025173F">
              <w:t>)</w:t>
            </w:r>
          </w:p>
          <w:p w14:paraId="1590EFE7" w14:textId="74A850AA" w:rsidR="00685495" w:rsidRPr="00B27CB1" w:rsidRDefault="00F4344A" w:rsidP="00383E12">
            <w:pPr>
              <w:snapToGrid w:val="0"/>
              <w:spacing w:line="260" w:lineRule="atLeast"/>
              <w:rPr>
                <w:rFonts w:cs="Times New Roman"/>
                <w:lang w:eastAsia="de-DE"/>
              </w:rPr>
            </w:pPr>
            <w:r w:rsidRPr="000D7D14">
              <w:t>For toilet bowls</w:t>
            </w:r>
            <w:r>
              <w:t>:</w:t>
            </w:r>
            <w:r w:rsidRPr="000D7D14">
              <w:t xml:space="preserve"> </w:t>
            </w:r>
            <w:r w:rsidRPr="001C3B1B">
              <w:rPr>
                <w:bCs/>
                <w:color w:val="000000"/>
                <w:lang w:val="en-US"/>
              </w:rPr>
              <w:t>50 ml or 33 sprays per toilet</w:t>
            </w:r>
          </w:p>
        </w:tc>
      </w:tr>
      <w:tr w:rsidR="00685495" w:rsidRPr="00B27CB1" w14:paraId="063432AC" w14:textId="77777777" w:rsidTr="00685495">
        <w:tc>
          <w:tcPr>
            <w:tcW w:w="2707" w:type="dxa"/>
            <w:tcBorders>
              <w:top w:val="nil"/>
              <w:left w:val="single" w:sz="4" w:space="0" w:color="000000"/>
              <w:bottom w:val="single" w:sz="4" w:space="0" w:color="000000"/>
              <w:right w:val="nil"/>
            </w:tcBorders>
            <w:hideMark/>
          </w:tcPr>
          <w:p w14:paraId="43294D01" w14:textId="77777777" w:rsidR="00685495" w:rsidRPr="00B27CB1" w:rsidRDefault="00685495" w:rsidP="00685495">
            <w:pPr>
              <w:spacing w:line="254" w:lineRule="auto"/>
              <w:rPr>
                <w:b/>
              </w:rPr>
            </w:pPr>
            <w:r w:rsidRPr="00B27CB1">
              <w:rPr>
                <w:b/>
                <w:bCs/>
                <w:szCs w:val="24"/>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227BE606" w14:textId="77E054EE" w:rsidR="00685495" w:rsidRPr="00B27CB1" w:rsidRDefault="0044401A" w:rsidP="00685495">
            <w:pPr>
              <w:snapToGrid w:val="0"/>
              <w:spacing w:line="254" w:lineRule="auto"/>
              <w:rPr>
                <w:b/>
              </w:rPr>
            </w:pPr>
            <w:r w:rsidRPr="000D7D14">
              <w:t>Industrial, Professional</w:t>
            </w:r>
          </w:p>
        </w:tc>
      </w:tr>
      <w:tr w:rsidR="00685495" w:rsidRPr="00B27CB1" w14:paraId="28774FB1" w14:textId="77777777" w:rsidTr="00685495">
        <w:tc>
          <w:tcPr>
            <w:tcW w:w="2707" w:type="dxa"/>
            <w:tcBorders>
              <w:top w:val="nil"/>
              <w:left w:val="single" w:sz="4" w:space="0" w:color="000000"/>
              <w:bottom w:val="single" w:sz="4" w:space="0" w:color="000000"/>
              <w:right w:val="nil"/>
            </w:tcBorders>
            <w:hideMark/>
          </w:tcPr>
          <w:p w14:paraId="1B88B6B2" w14:textId="77777777" w:rsidR="00685495" w:rsidRPr="00B27CB1" w:rsidRDefault="00685495" w:rsidP="00685495">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98C7952" w14:textId="6F6A6588" w:rsidR="002A4FA5" w:rsidRDefault="002A4FA5" w:rsidP="002A4FA5">
            <w:pPr>
              <w:spacing w:line="254" w:lineRule="auto"/>
            </w:pPr>
            <w:r>
              <w:t>HDPE:</w:t>
            </w:r>
            <w:r w:rsidR="00BB3563">
              <w:t xml:space="preserve"> </w:t>
            </w:r>
            <w:r>
              <w:t>1 L / 1 kg, 5 L / 5 kg, 10 L / 10 kg, 20 L / 20 kg, 120 L / 120 kg, 200 L / 200 kg, 220 L / 220 kg</w:t>
            </w:r>
          </w:p>
          <w:p w14:paraId="4427D2F6" w14:textId="2554D809" w:rsidR="002A4FA5" w:rsidRDefault="002A4FA5" w:rsidP="002A4FA5">
            <w:pPr>
              <w:spacing w:line="254" w:lineRule="auto"/>
            </w:pPr>
            <w:r>
              <w:t>PET:</w:t>
            </w:r>
            <w:r w:rsidR="00BB3563">
              <w:t xml:space="preserve"> </w:t>
            </w:r>
            <w:r>
              <w:t>1 L / 1 kg</w:t>
            </w:r>
          </w:p>
          <w:p w14:paraId="7ECA38E1" w14:textId="14C076F0" w:rsidR="002A4FA5" w:rsidRDefault="002A4FA5" w:rsidP="002A4FA5">
            <w:pPr>
              <w:spacing w:line="254" w:lineRule="auto"/>
            </w:pPr>
            <w:r w:rsidRPr="00B624F0">
              <w:t>Coextrude (HDPE/Adhesive/Nylon polyamide):</w:t>
            </w:r>
            <w:r w:rsidR="00BB3563">
              <w:t xml:space="preserve"> </w:t>
            </w:r>
            <w:r>
              <w:t>5 L / 5 kg</w:t>
            </w:r>
          </w:p>
          <w:p w14:paraId="66D585B5" w14:textId="0A318E4E" w:rsidR="00685495" w:rsidRPr="00B27CB1" w:rsidRDefault="002A4FA5" w:rsidP="00BB3563">
            <w:pPr>
              <w:spacing w:line="254" w:lineRule="auto"/>
            </w:pPr>
            <w:r>
              <w:t>Coextrude (HDPE/Adhesive resin/EVAL):</w:t>
            </w:r>
            <w:r w:rsidR="00BB3563">
              <w:t xml:space="preserve"> </w:t>
            </w:r>
            <w:r>
              <w:t>250 mL / 250 g</w:t>
            </w:r>
          </w:p>
        </w:tc>
      </w:tr>
    </w:tbl>
    <w:p w14:paraId="0438F21A" w14:textId="77777777" w:rsidR="00685495" w:rsidRPr="00B27CB1" w:rsidRDefault="00685495" w:rsidP="00685495">
      <w:pPr>
        <w:tabs>
          <w:tab w:val="left" w:pos="500"/>
        </w:tabs>
        <w:ind w:left="500" w:hanging="500"/>
      </w:pPr>
    </w:p>
    <w:p w14:paraId="17AC76C9"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4A7491E2"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4AD9F3E" w14:textId="46A5B1E1" w:rsidR="00785AB8" w:rsidRPr="00BB3563" w:rsidRDefault="00785AB8" w:rsidP="00BB3563">
            <w:pPr>
              <w:pStyle w:val="Paragraphedeliste"/>
              <w:numPr>
                <w:ilvl w:val="0"/>
                <w:numId w:val="33"/>
              </w:numPr>
              <w:rPr>
                <w:bCs/>
                <w:color w:val="000000"/>
                <w:lang w:val="de-DE"/>
              </w:rPr>
            </w:pPr>
            <w:r w:rsidRPr="00BB3563">
              <w:rPr>
                <w:color w:val="000000"/>
                <w:lang w:eastAsia="en-GB"/>
              </w:rPr>
              <w:t>Manuel disinfection:</w:t>
            </w:r>
          </w:p>
          <w:p w14:paraId="3E3A1D94" w14:textId="55F45FC2" w:rsidR="00F4344A" w:rsidRPr="001E568F" w:rsidRDefault="00785AB8" w:rsidP="00B10ACB">
            <w:pPr>
              <w:widowControl w:val="0"/>
              <w:numPr>
                <w:ilvl w:val="0"/>
                <w:numId w:val="7"/>
              </w:numPr>
              <w:suppressAutoHyphens w:val="0"/>
              <w:autoSpaceDE w:val="0"/>
              <w:snapToGrid w:val="0"/>
              <w:ind w:left="386"/>
              <w:contextualSpacing/>
              <w:jc w:val="both"/>
              <w:rPr>
                <w:bCs/>
                <w:color w:val="000000"/>
                <w:lang w:val="en-US"/>
              </w:rPr>
            </w:pPr>
            <w:r w:rsidRPr="00BB3563">
              <w:rPr>
                <w:bCs/>
                <w:color w:val="000000"/>
                <w:lang w:val="en-US"/>
              </w:rPr>
              <w:t>For hard surfaces by spraying: Dilute in water and spray directly on the surface</w:t>
            </w:r>
            <w:r w:rsidR="009E4041" w:rsidRPr="00BB3563">
              <w:rPr>
                <w:bCs/>
                <w:color w:val="000000"/>
                <w:lang w:val="en-US"/>
              </w:rPr>
              <w:t>s</w:t>
            </w:r>
            <w:r w:rsidRPr="00BB3563">
              <w:rPr>
                <w:bCs/>
                <w:color w:val="000000"/>
                <w:lang w:val="en-US"/>
              </w:rPr>
              <w:t xml:space="preserve"> intended to be treated and cover the entire surface</w:t>
            </w:r>
            <w:r w:rsidR="009E4041" w:rsidRPr="002F6E1B">
              <w:rPr>
                <w:bCs/>
                <w:color w:val="000000"/>
                <w:lang w:val="en-US"/>
              </w:rPr>
              <w:t>s</w:t>
            </w:r>
            <w:r w:rsidRPr="002F6E1B">
              <w:rPr>
                <w:bCs/>
                <w:color w:val="000000"/>
                <w:lang w:val="en-US"/>
              </w:rPr>
              <w:t xml:space="preserve">. Allow to take effect for at least 5 </w:t>
            </w:r>
            <w:r w:rsidR="008B7430">
              <w:rPr>
                <w:bCs/>
                <w:color w:val="000000"/>
                <w:lang w:val="en-US"/>
              </w:rPr>
              <w:t xml:space="preserve">until 15 </w:t>
            </w:r>
            <w:r w:rsidRPr="002F6E1B">
              <w:rPr>
                <w:bCs/>
                <w:color w:val="000000"/>
                <w:lang w:val="en-US"/>
              </w:rPr>
              <w:t xml:space="preserve">minutes </w:t>
            </w:r>
            <w:r w:rsidR="008B7430">
              <w:rPr>
                <w:bCs/>
                <w:color w:val="000000"/>
                <w:lang w:val="en-US"/>
              </w:rPr>
              <w:t>depending on the area,</w:t>
            </w:r>
            <w:r w:rsidRPr="002F6E1B">
              <w:rPr>
                <w:bCs/>
                <w:color w:val="000000"/>
                <w:lang w:val="en-US"/>
              </w:rPr>
              <w:t xml:space="preserve"> then brush or scrub if required and wipe with a dry cloth.</w:t>
            </w:r>
          </w:p>
          <w:p w14:paraId="41E5E980" w14:textId="150EC205" w:rsidR="00785AB8" w:rsidRPr="00BB3563" w:rsidRDefault="00785AB8" w:rsidP="00B10ACB">
            <w:pPr>
              <w:widowControl w:val="0"/>
              <w:numPr>
                <w:ilvl w:val="0"/>
                <w:numId w:val="7"/>
              </w:numPr>
              <w:suppressAutoHyphens w:val="0"/>
              <w:autoSpaceDE w:val="0"/>
              <w:snapToGrid w:val="0"/>
              <w:ind w:left="386"/>
              <w:contextualSpacing/>
              <w:jc w:val="both"/>
              <w:rPr>
                <w:bCs/>
                <w:color w:val="000000"/>
                <w:lang w:val="en-US"/>
              </w:rPr>
            </w:pPr>
            <w:r w:rsidRPr="00854EF9">
              <w:rPr>
                <w:bCs/>
                <w:color w:val="000000"/>
                <w:lang w:val="en-US"/>
              </w:rPr>
              <w:t>For hard surfaces by wipping/mopping</w:t>
            </w:r>
            <w:r w:rsidR="00C77DE3" w:rsidRPr="00854EF9">
              <w:rPr>
                <w:bCs/>
                <w:color w:val="000000"/>
                <w:lang w:val="en-US"/>
              </w:rPr>
              <w:t>/brushing</w:t>
            </w:r>
            <w:r w:rsidRPr="00BB3563">
              <w:rPr>
                <w:bCs/>
                <w:color w:val="000000"/>
                <w:lang w:val="en-US"/>
              </w:rPr>
              <w:t xml:space="preserve">: </w:t>
            </w:r>
            <w:r w:rsidR="00E95AE6" w:rsidRPr="00BB3563">
              <w:rPr>
                <w:bCs/>
                <w:color w:val="000000"/>
                <w:lang w:val="en-US"/>
              </w:rPr>
              <w:t>Dilute in water, spray on wipe or soak the mop/wipe/brush and apply by fully wetting all surfaces intended to be treated</w:t>
            </w:r>
            <w:r w:rsidRPr="00BB3563">
              <w:rPr>
                <w:bCs/>
                <w:color w:val="000000"/>
                <w:lang w:val="en-US"/>
              </w:rPr>
              <w:t>. Allow to take effect for at least 5 minutes and wipe the surface with a dry cloth if required or let to dry.</w:t>
            </w:r>
          </w:p>
          <w:p w14:paraId="3C5F1643" w14:textId="0D552002" w:rsidR="00785AB8" w:rsidRPr="00BB3563" w:rsidRDefault="00785AB8" w:rsidP="00BB3563">
            <w:pPr>
              <w:rPr>
                <w:bCs/>
                <w:color w:val="000000"/>
                <w:lang w:val="en-US"/>
              </w:rPr>
            </w:pPr>
          </w:p>
          <w:p w14:paraId="26E5E76D" w14:textId="77777777" w:rsidR="00785AB8" w:rsidRPr="00B10ACB" w:rsidRDefault="00785AB8" w:rsidP="00BB3563">
            <w:pPr>
              <w:pStyle w:val="Paragraphedeliste"/>
              <w:numPr>
                <w:ilvl w:val="0"/>
                <w:numId w:val="33"/>
              </w:numPr>
              <w:rPr>
                <w:color w:val="000000"/>
                <w:lang w:eastAsia="en-GB"/>
              </w:rPr>
            </w:pPr>
            <w:r w:rsidRPr="00BB3563">
              <w:rPr>
                <w:color w:val="000000"/>
                <w:lang w:val="de-DE"/>
              </w:rPr>
              <w:t>Machine:</w:t>
            </w:r>
          </w:p>
          <w:p w14:paraId="466C3232" w14:textId="78A648A4" w:rsidR="00785AB8" w:rsidRPr="00BB3563" w:rsidRDefault="00785AB8" w:rsidP="00B10ACB">
            <w:pPr>
              <w:widowControl w:val="0"/>
              <w:numPr>
                <w:ilvl w:val="0"/>
                <w:numId w:val="7"/>
              </w:numPr>
              <w:suppressAutoHyphens w:val="0"/>
              <w:autoSpaceDE w:val="0"/>
              <w:snapToGrid w:val="0"/>
              <w:ind w:left="386"/>
              <w:contextualSpacing/>
              <w:jc w:val="both"/>
              <w:rPr>
                <w:bCs/>
                <w:color w:val="000000"/>
                <w:lang w:val="en-US"/>
              </w:rPr>
            </w:pPr>
            <w:r w:rsidRPr="00BB3563">
              <w:rPr>
                <w:bCs/>
                <w:color w:val="000000"/>
                <w:lang w:val="en-US"/>
              </w:rPr>
              <w:t>Dilute in water in scrubber-dryers, single-disk scrubbers, high or low pressure sprayers... and apply on surface and/or floor intended to be treated. Allow to take effect for at least 5 minutes and then let to dry. Rinse the tank after applying the product.</w:t>
            </w:r>
          </w:p>
          <w:p w14:paraId="73BD5679" w14:textId="61B814FD" w:rsidR="00F4344A" w:rsidRPr="002F6E1B" w:rsidRDefault="00F4344A" w:rsidP="00B10ACB">
            <w:pPr>
              <w:widowControl w:val="0"/>
              <w:numPr>
                <w:ilvl w:val="0"/>
                <w:numId w:val="7"/>
              </w:numPr>
              <w:suppressAutoHyphens w:val="0"/>
              <w:autoSpaceDE w:val="0"/>
              <w:snapToGrid w:val="0"/>
              <w:ind w:left="386"/>
              <w:contextualSpacing/>
              <w:jc w:val="both"/>
              <w:rPr>
                <w:bCs/>
                <w:color w:val="000000"/>
                <w:lang w:val="en-US"/>
              </w:rPr>
            </w:pPr>
            <w:r w:rsidRPr="002F6E1B">
              <w:rPr>
                <w:bCs/>
                <w:color w:val="000000"/>
                <w:lang w:val="en-US"/>
              </w:rPr>
              <w:t xml:space="preserve">Toilet bowls: Dilute in water and spray inside the toilet bowls by fully covering all surface to be treated.  Allow to take effect for at least 5 </w:t>
            </w:r>
            <w:r w:rsidR="00BA5762">
              <w:rPr>
                <w:bCs/>
                <w:color w:val="000000"/>
                <w:lang w:val="en-US"/>
              </w:rPr>
              <w:t xml:space="preserve">until 15 </w:t>
            </w:r>
            <w:r w:rsidRPr="002F6E1B">
              <w:rPr>
                <w:bCs/>
                <w:color w:val="000000"/>
                <w:lang w:val="en-US"/>
              </w:rPr>
              <w:t>minutes</w:t>
            </w:r>
            <w:r w:rsidR="00BA5762">
              <w:rPr>
                <w:bCs/>
                <w:color w:val="000000"/>
                <w:lang w:val="en-US"/>
              </w:rPr>
              <w:t xml:space="preserve"> depending on the area</w:t>
            </w:r>
            <w:r w:rsidRPr="002F6E1B">
              <w:rPr>
                <w:bCs/>
                <w:color w:val="000000"/>
                <w:lang w:val="en-US"/>
              </w:rPr>
              <w:t>, then brush if required and flush the toilet.</w:t>
            </w:r>
          </w:p>
          <w:p w14:paraId="4E55BE5B" w14:textId="6E20FBAC" w:rsidR="00685495" w:rsidRPr="00B27CB1" w:rsidRDefault="0044401A" w:rsidP="00B10ACB">
            <w:pPr>
              <w:widowControl w:val="0"/>
              <w:numPr>
                <w:ilvl w:val="0"/>
                <w:numId w:val="7"/>
              </w:numPr>
              <w:suppressAutoHyphens w:val="0"/>
              <w:autoSpaceDE w:val="0"/>
              <w:snapToGrid w:val="0"/>
              <w:ind w:left="386"/>
              <w:contextualSpacing/>
              <w:rPr>
                <w:rFonts w:eastAsia="Calibri" w:cs="Times"/>
                <w:bCs/>
                <w:sz w:val="22"/>
                <w:szCs w:val="24"/>
                <w:lang w:eastAsia="sv-SE"/>
              </w:rPr>
            </w:pPr>
            <w:r w:rsidRPr="001E568F">
              <w:rPr>
                <w:bCs/>
                <w:color w:val="000000"/>
                <w:lang w:val="en-US"/>
              </w:rPr>
              <w:t>The product must be used directly after dilution.</w:t>
            </w:r>
          </w:p>
        </w:tc>
      </w:tr>
    </w:tbl>
    <w:p w14:paraId="750D695C"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FE822B9"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E8FDB98" w14:textId="1C7A4482"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5788D824"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108F1FCE"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7D8BB1D" w14:textId="16292296"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5DC3D443"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37E94E38"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CB2F18C" w14:textId="2615C4DC"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0C6A8354"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5317876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6D3CDDD8" w14:textId="09CA1268" w:rsidR="00685495" w:rsidRPr="00B27CB1" w:rsidRDefault="00BB3563" w:rsidP="00685495">
            <w:pPr>
              <w:widowControl w:val="0"/>
              <w:autoSpaceDE w:val="0"/>
              <w:snapToGrid w:val="0"/>
              <w:spacing w:before="80" w:line="254" w:lineRule="auto"/>
              <w:rPr>
                <w:rFonts w:cs="Times"/>
                <w:bCs/>
                <w:szCs w:val="29"/>
              </w:rPr>
            </w:pPr>
            <w:r>
              <w:rPr>
                <w:rFonts w:cs="Times"/>
                <w:bCs/>
                <w:szCs w:val="29"/>
              </w:rPr>
              <w:t>-</w:t>
            </w:r>
          </w:p>
        </w:tc>
      </w:tr>
    </w:tbl>
    <w:p w14:paraId="48B15AE5" w14:textId="77777777" w:rsidR="00685495" w:rsidRPr="00B27CB1" w:rsidRDefault="00685495" w:rsidP="00685495">
      <w:pPr>
        <w:widowControl w:val="0"/>
        <w:autoSpaceDE w:val="0"/>
        <w:rPr>
          <w:rFonts w:cs="Times"/>
          <w:bCs/>
          <w:szCs w:val="29"/>
        </w:rPr>
      </w:pPr>
    </w:p>
    <w:p w14:paraId="56F8E80B" w14:textId="77777777" w:rsidR="00685495" w:rsidRPr="00B27CB1" w:rsidRDefault="00685495" w:rsidP="00685495">
      <w:pPr>
        <w:pStyle w:val="Titre4"/>
        <w:numPr>
          <w:ilvl w:val="3"/>
          <w:numId w:val="9"/>
        </w:numPr>
        <w:rPr>
          <w:lang w:val="en-GB"/>
        </w:rPr>
      </w:pPr>
      <w:bookmarkStart w:id="115" w:name="_Toc87361145"/>
      <w:r w:rsidRPr="00B27CB1">
        <w:rPr>
          <w:lang w:val="en-GB"/>
        </w:rPr>
        <w:t>Use description</w:t>
      </w:r>
      <w:bookmarkEnd w:id="115"/>
    </w:p>
    <w:p w14:paraId="25EADA92" w14:textId="77777777" w:rsidR="00685495" w:rsidRPr="00B27CB1" w:rsidRDefault="00685495" w:rsidP="00685495">
      <w:pPr>
        <w:widowControl w:val="0"/>
        <w:autoSpaceDE w:val="0"/>
        <w:rPr>
          <w:rFonts w:cs="Times"/>
          <w:bCs/>
          <w:szCs w:val="29"/>
        </w:rPr>
      </w:pPr>
    </w:p>
    <w:p w14:paraId="3DCFCE15" w14:textId="628B99BF" w:rsidR="00685495" w:rsidRPr="00B27CB1" w:rsidRDefault="00685495" w:rsidP="00685495">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16</w:t>
      </w:r>
      <w:r w:rsidRPr="00B27CB1">
        <w:rPr>
          <w:rFonts w:ascii="Verdana" w:hAnsi="Verdana" w:cs="Verdana"/>
        </w:rPr>
        <w:fldChar w:fldCharType="end"/>
      </w:r>
      <w:r w:rsidRPr="00B27CB1">
        <w:rPr>
          <w:rFonts w:ascii="Verdana" w:hAnsi="Verdana"/>
        </w:rPr>
        <w:t xml:space="preserve">. Use # </w:t>
      </w:r>
      <w:r w:rsidRPr="00E91F85">
        <w:rPr>
          <w:rFonts w:ascii="Verdana" w:hAnsi="Verdana"/>
        </w:rPr>
        <w:t>4 – Disinfectants for hard surfaces of industry, institution and healthcare facilities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685495" w:rsidRPr="00B27CB1" w14:paraId="7A3AE0A8" w14:textId="77777777" w:rsidTr="00685495">
        <w:tc>
          <w:tcPr>
            <w:tcW w:w="2707" w:type="dxa"/>
            <w:tcBorders>
              <w:top w:val="single" w:sz="4" w:space="0" w:color="000000"/>
              <w:left w:val="single" w:sz="4" w:space="0" w:color="000000"/>
              <w:bottom w:val="single" w:sz="4" w:space="0" w:color="000000"/>
              <w:right w:val="nil"/>
            </w:tcBorders>
            <w:hideMark/>
          </w:tcPr>
          <w:p w14:paraId="6821DA90" w14:textId="77777777" w:rsidR="00685495" w:rsidRPr="00B27CB1" w:rsidRDefault="00685495" w:rsidP="00685495">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75CAA578" w14:textId="1D342E61" w:rsidR="00685495" w:rsidRPr="00B27CB1" w:rsidRDefault="00923ECF" w:rsidP="00685495">
            <w:pPr>
              <w:snapToGrid w:val="0"/>
              <w:spacing w:line="254" w:lineRule="auto"/>
              <w:rPr>
                <w:b/>
              </w:rPr>
            </w:pPr>
            <w:r w:rsidRPr="000D7D14">
              <w:t>PT02 - Disinfectants and algaecides not intended for direct application to humans or animals (Disinfectants)</w:t>
            </w:r>
          </w:p>
        </w:tc>
      </w:tr>
      <w:tr w:rsidR="00685495" w:rsidRPr="00B27CB1" w14:paraId="5675C47F" w14:textId="77777777" w:rsidTr="00685495">
        <w:tc>
          <w:tcPr>
            <w:tcW w:w="2707" w:type="dxa"/>
            <w:tcBorders>
              <w:top w:val="nil"/>
              <w:left w:val="single" w:sz="4" w:space="0" w:color="000000"/>
              <w:bottom w:val="single" w:sz="4" w:space="0" w:color="000000"/>
              <w:right w:val="nil"/>
            </w:tcBorders>
            <w:hideMark/>
          </w:tcPr>
          <w:p w14:paraId="3FC974CF" w14:textId="77777777" w:rsidR="00685495" w:rsidRPr="00B27CB1" w:rsidRDefault="00685495" w:rsidP="00685495">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D7FD384" w14:textId="61901AFE" w:rsidR="00923ECF" w:rsidRPr="000D7D14" w:rsidRDefault="00923ECF" w:rsidP="00923ECF">
            <w:r w:rsidRPr="000D7D14">
              <w:rPr>
                <w:color w:val="000000"/>
              </w:rPr>
              <w:t>Product used for the disinfection of industry, institution and healthcare facilities</w:t>
            </w:r>
            <w:r w:rsidR="003E4245">
              <w:rPr>
                <w:color w:val="000000"/>
              </w:rPr>
              <w:t>,</w:t>
            </w:r>
            <w:r w:rsidRPr="000D7D14">
              <w:rPr>
                <w:color w:val="000000"/>
              </w:rPr>
              <w:t xml:space="preserve"> including </w:t>
            </w:r>
            <w:r w:rsidR="009E4041">
              <w:rPr>
                <w:color w:val="000000"/>
              </w:rPr>
              <w:t xml:space="preserve">external surfaces of </w:t>
            </w:r>
            <w:r w:rsidRPr="000D7D14">
              <w:rPr>
                <w:color w:val="000000"/>
              </w:rPr>
              <w:t xml:space="preserve">toilets bowls. </w:t>
            </w:r>
          </w:p>
          <w:p w14:paraId="2E92F2B5" w14:textId="70A23F2F" w:rsidR="00685495" w:rsidRPr="00B27CB1" w:rsidRDefault="00923ECF" w:rsidP="009E4041">
            <w:pPr>
              <w:snapToGrid w:val="0"/>
              <w:spacing w:line="254" w:lineRule="auto"/>
              <w:rPr>
                <w:b/>
              </w:rPr>
            </w:pPr>
            <w:r w:rsidRPr="000D7D14">
              <w:br/>
            </w:r>
            <w:r w:rsidR="009E4041">
              <w:rPr>
                <w:color w:val="000000"/>
              </w:rPr>
              <w:t>D</w:t>
            </w:r>
            <w:r w:rsidRPr="000D7D14">
              <w:rPr>
                <w:color w:val="000000"/>
              </w:rPr>
              <w:t xml:space="preserve">isinfection of all kind of </w:t>
            </w:r>
            <w:r w:rsidR="0089334C">
              <w:rPr>
                <w:color w:val="000000"/>
              </w:rPr>
              <w:t xml:space="preserve">non porous </w:t>
            </w:r>
            <w:r w:rsidRPr="000D7D14">
              <w:rPr>
                <w:color w:val="000000"/>
              </w:rPr>
              <w:t>surfaces.</w:t>
            </w:r>
          </w:p>
        </w:tc>
      </w:tr>
      <w:tr w:rsidR="00685495" w:rsidRPr="00B27CB1" w14:paraId="7DDB6991" w14:textId="77777777" w:rsidTr="00685495">
        <w:tc>
          <w:tcPr>
            <w:tcW w:w="2707" w:type="dxa"/>
            <w:tcBorders>
              <w:top w:val="nil"/>
              <w:left w:val="single" w:sz="4" w:space="0" w:color="000000"/>
              <w:bottom w:val="single" w:sz="4" w:space="0" w:color="000000"/>
              <w:right w:val="nil"/>
            </w:tcBorders>
            <w:hideMark/>
          </w:tcPr>
          <w:p w14:paraId="7F00258F" w14:textId="77777777" w:rsidR="00685495" w:rsidRPr="00B27CB1" w:rsidRDefault="00685495" w:rsidP="00685495">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3ADCE98" w14:textId="78CB236D" w:rsidR="00685495" w:rsidRPr="00B27CB1" w:rsidRDefault="00923ECF" w:rsidP="00685495">
            <w:pPr>
              <w:snapToGrid w:val="0"/>
              <w:spacing w:line="254" w:lineRule="auto"/>
              <w:rPr>
                <w:lang w:eastAsia="de-DE"/>
              </w:rPr>
            </w:pPr>
            <w:r w:rsidRPr="000D7D14">
              <w:t>Bacteria</w:t>
            </w:r>
            <w:r w:rsidRPr="000D7D14">
              <w:br/>
              <w:t>Yeasts</w:t>
            </w:r>
          </w:p>
        </w:tc>
      </w:tr>
      <w:tr w:rsidR="00923ECF" w:rsidRPr="00B27CB1" w14:paraId="4434A223" w14:textId="77777777" w:rsidTr="00685495">
        <w:tc>
          <w:tcPr>
            <w:tcW w:w="2707" w:type="dxa"/>
            <w:tcBorders>
              <w:top w:val="nil"/>
              <w:left w:val="single" w:sz="4" w:space="0" w:color="000000"/>
              <w:bottom w:val="single" w:sz="4" w:space="0" w:color="000000"/>
              <w:right w:val="nil"/>
            </w:tcBorders>
            <w:hideMark/>
          </w:tcPr>
          <w:p w14:paraId="656DE366" w14:textId="77777777" w:rsidR="00923ECF" w:rsidRPr="00B27CB1" w:rsidRDefault="00923ECF" w:rsidP="00923ECF">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43B9A67B" w14:textId="24F745DB" w:rsidR="00923ECF" w:rsidRPr="00B27CB1" w:rsidRDefault="00923ECF" w:rsidP="00804514">
            <w:pPr>
              <w:suppressAutoHyphens w:val="0"/>
              <w:snapToGrid w:val="0"/>
              <w:spacing w:line="260" w:lineRule="atLeast"/>
              <w:jc w:val="both"/>
              <w:rPr>
                <w:rFonts w:cs="Times New Roman"/>
                <w:lang w:eastAsia="de-DE"/>
              </w:rPr>
            </w:pPr>
            <w:r w:rsidRPr="000D7D14">
              <w:t>Indoor</w:t>
            </w:r>
          </w:p>
        </w:tc>
      </w:tr>
      <w:tr w:rsidR="00923ECF" w:rsidRPr="00B27CB1" w14:paraId="18736BA6" w14:textId="77777777" w:rsidTr="00685495">
        <w:tc>
          <w:tcPr>
            <w:tcW w:w="2707" w:type="dxa"/>
            <w:tcBorders>
              <w:top w:val="nil"/>
              <w:left w:val="single" w:sz="4" w:space="0" w:color="000000"/>
              <w:bottom w:val="single" w:sz="4" w:space="0" w:color="000000"/>
              <w:right w:val="nil"/>
            </w:tcBorders>
            <w:hideMark/>
          </w:tcPr>
          <w:p w14:paraId="323CF04F" w14:textId="77777777" w:rsidR="00923ECF" w:rsidRPr="00B27CB1" w:rsidRDefault="00923ECF" w:rsidP="00923ECF">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E59FC68" w14:textId="77777777" w:rsidR="002846E7" w:rsidRDefault="00923ECF" w:rsidP="002846E7">
            <w:pPr>
              <w:suppressAutoHyphens w:val="0"/>
              <w:snapToGrid w:val="0"/>
              <w:spacing w:line="260" w:lineRule="atLeast"/>
            </w:pPr>
            <w:r w:rsidRPr="000D7D14">
              <w:t>Spraying,</w:t>
            </w:r>
          </w:p>
          <w:p w14:paraId="41F73B42" w14:textId="7292FD6C" w:rsidR="00C77DE3" w:rsidRDefault="002846E7" w:rsidP="002846E7">
            <w:pPr>
              <w:suppressAutoHyphens w:val="0"/>
              <w:snapToGrid w:val="0"/>
              <w:spacing w:line="260" w:lineRule="atLeast"/>
            </w:pPr>
            <w:r>
              <w:t>W</w:t>
            </w:r>
            <w:r w:rsidR="00923ECF" w:rsidRPr="000D7D14">
              <w:t xml:space="preserve">iping (applying product onto wipe followed by wiping), </w:t>
            </w:r>
          </w:p>
          <w:p w14:paraId="2D8EF3F2" w14:textId="0786304A" w:rsidR="00923ECF" w:rsidRDefault="002846E7" w:rsidP="002846E7">
            <w:pPr>
              <w:suppressAutoHyphens w:val="0"/>
              <w:snapToGrid w:val="0"/>
              <w:spacing w:line="260" w:lineRule="atLeast"/>
            </w:pPr>
            <w:r>
              <w:t>M</w:t>
            </w:r>
            <w:r w:rsidR="00923ECF" w:rsidRPr="000D7D14">
              <w:t>opping (applying product onto mop followed by mopping)</w:t>
            </w:r>
          </w:p>
          <w:p w14:paraId="6F185BB4" w14:textId="77777777" w:rsidR="00785AB8" w:rsidRDefault="00785AB8" w:rsidP="00785AB8">
            <w:pPr>
              <w:suppressAutoHyphens w:val="0"/>
              <w:snapToGrid w:val="0"/>
              <w:spacing w:line="260" w:lineRule="atLeast"/>
            </w:pPr>
            <w:r w:rsidRPr="00C77DE3">
              <w:t xml:space="preserve">Brushing </w:t>
            </w:r>
            <w:r>
              <w:t>(applying product onto brush followed by brushing)</w:t>
            </w:r>
          </w:p>
          <w:p w14:paraId="66DBC723" w14:textId="1482F74A" w:rsidR="00DB527A" w:rsidRPr="00B27CB1" w:rsidRDefault="00785AB8" w:rsidP="00785AB8">
            <w:pPr>
              <w:suppressAutoHyphens w:val="0"/>
              <w:snapToGrid w:val="0"/>
              <w:spacing w:line="260" w:lineRule="atLeast"/>
              <w:rPr>
                <w:rFonts w:cs="Times New Roman"/>
                <w:lang w:eastAsia="de-DE"/>
              </w:rPr>
            </w:pPr>
            <w:r>
              <w:t>Scrubbing (machine)</w:t>
            </w:r>
          </w:p>
        </w:tc>
      </w:tr>
      <w:tr w:rsidR="00923ECF" w:rsidRPr="00B27CB1" w14:paraId="1070F347" w14:textId="77777777" w:rsidTr="00685495">
        <w:tc>
          <w:tcPr>
            <w:tcW w:w="2707" w:type="dxa"/>
            <w:tcBorders>
              <w:top w:val="nil"/>
              <w:left w:val="single" w:sz="4" w:space="0" w:color="000000"/>
              <w:bottom w:val="single" w:sz="4" w:space="0" w:color="000000"/>
              <w:right w:val="nil"/>
            </w:tcBorders>
            <w:hideMark/>
          </w:tcPr>
          <w:p w14:paraId="1EF5824B" w14:textId="77777777" w:rsidR="00923ECF" w:rsidRPr="00B27CB1" w:rsidRDefault="00923ECF" w:rsidP="00923ECF">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D86865A" w14:textId="51C67907" w:rsidR="00923ECF" w:rsidRPr="00F0256C" w:rsidRDefault="00785AB8" w:rsidP="00923ECF">
            <w:r>
              <w:t>Dirty conditions</w:t>
            </w:r>
          </w:p>
          <w:p w14:paraId="3D5ADF8A" w14:textId="490D0E75" w:rsidR="000C1481" w:rsidRDefault="00BA5762" w:rsidP="000C1481">
            <w:r>
              <w:t>20°C</w:t>
            </w:r>
          </w:p>
          <w:p w14:paraId="759E5C61" w14:textId="77777777" w:rsidR="000C1481" w:rsidRPr="00F0256C" w:rsidRDefault="000C1481" w:rsidP="00923ECF"/>
          <w:p w14:paraId="16DE439E" w14:textId="1ABD0C09" w:rsidR="00923ECF" w:rsidRPr="00E91F85" w:rsidRDefault="00804514" w:rsidP="00923ECF">
            <w:pPr>
              <w:rPr>
                <w:bCs/>
                <w:lang w:val="en-US"/>
              </w:rPr>
            </w:pPr>
            <w:r>
              <w:t>Without mechanical application</w:t>
            </w:r>
            <w:r w:rsidR="00785AB8">
              <w:t xml:space="preserve"> (spraying)</w:t>
            </w:r>
            <w:r w:rsidR="002846E7">
              <w:t>:</w:t>
            </w:r>
          </w:p>
          <w:p w14:paraId="659C29AF" w14:textId="77777777" w:rsidR="00923ECF" w:rsidRPr="000D7D14" w:rsidRDefault="00923ECF" w:rsidP="00923ECF">
            <w:r w:rsidRPr="00344BDC">
              <w:t xml:space="preserve">Bacteria and yeasts: </w:t>
            </w:r>
          </w:p>
          <w:p w14:paraId="32F81197" w14:textId="114927C1" w:rsidR="00923ECF" w:rsidRPr="000D7D14" w:rsidRDefault="00923ECF" w:rsidP="00923ECF">
            <w:r w:rsidRPr="000D7D14">
              <w:t xml:space="preserve">8% (v/v), </w:t>
            </w:r>
            <w:r w:rsidR="00804514">
              <w:t xml:space="preserve">contact time </w:t>
            </w:r>
            <w:r w:rsidRPr="000D7D14">
              <w:t>15</w:t>
            </w:r>
            <w:r w:rsidR="00804514">
              <w:t xml:space="preserve"> </w:t>
            </w:r>
            <w:r w:rsidRPr="000D7D14">
              <w:t>min</w:t>
            </w:r>
          </w:p>
          <w:p w14:paraId="71C7A0B9" w14:textId="77777777" w:rsidR="00923ECF" w:rsidRPr="000D7D14" w:rsidRDefault="00923ECF" w:rsidP="00923ECF"/>
          <w:p w14:paraId="2F96F992" w14:textId="14C1E2EE" w:rsidR="00785AB8" w:rsidRPr="00E91F85" w:rsidRDefault="00804514" w:rsidP="00785AB8">
            <w:pPr>
              <w:rPr>
                <w:bCs/>
                <w:lang w:val="en-US"/>
              </w:rPr>
            </w:pPr>
            <w:r>
              <w:t>With mechanical application</w:t>
            </w:r>
            <w:r w:rsidR="00785AB8">
              <w:t xml:space="preserve"> (</w:t>
            </w:r>
            <w:r w:rsidR="00785AB8" w:rsidRPr="00E91F85">
              <w:rPr>
                <w:bCs/>
                <w:lang w:val="en-US"/>
              </w:rPr>
              <w:t>wiping</w:t>
            </w:r>
            <w:r w:rsidR="00C77DE3" w:rsidRPr="00E91F85">
              <w:rPr>
                <w:bCs/>
                <w:lang w:val="en-US"/>
              </w:rPr>
              <w:t xml:space="preserve"> </w:t>
            </w:r>
            <w:r w:rsidR="00785AB8" w:rsidRPr="00E91F85">
              <w:rPr>
                <w:bCs/>
                <w:lang w:val="en-US"/>
              </w:rPr>
              <w:t>/mopping</w:t>
            </w:r>
            <w:r w:rsidR="00C77DE3" w:rsidRPr="00E91F85">
              <w:rPr>
                <w:bCs/>
                <w:lang w:val="en-US"/>
              </w:rPr>
              <w:t xml:space="preserve"> </w:t>
            </w:r>
            <w:r w:rsidR="00785AB8" w:rsidRPr="00E91F85">
              <w:rPr>
                <w:bCs/>
                <w:lang w:val="en-US"/>
              </w:rPr>
              <w:t>/brushing</w:t>
            </w:r>
            <w:r w:rsidR="00C77DE3" w:rsidRPr="00E91F85">
              <w:rPr>
                <w:bCs/>
                <w:lang w:val="en-US"/>
              </w:rPr>
              <w:t xml:space="preserve"> </w:t>
            </w:r>
            <w:r w:rsidR="00785AB8" w:rsidRPr="00E91F85">
              <w:rPr>
                <w:bCs/>
                <w:lang w:val="en-US"/>
              </w:rPr>
              <w:t>/scrubbing):</w:t>
            </w:r>
          </w:p>
          <w:p w14:paraId="0AD57D3F" w14:textId="77777777" w:rsidR="00785AB8" w:rsidRDefault="00923ECF" w:rsidP="00923ECF">
            <w:r w:rsidRPr="000D7D14">
              <w:t xml:space="preserve">Bacteria, yeasts: </w:t>
            </w:r>
          </w:p>
          <w:p w14:paraId="1A9F29E1" w14:textId="024F7697" w:rsidR="00923ECF" w:rsidRPr="000D7D14" w:rsidRDefault="00923ECF" w:rsidP="00923ECF">
            <w:r w:rsidRPr="000D7D14">
              <w:t xml:space="preserve">10% (v/v), </w:t>
            </w:r>
            <w:r w:rsidR="00804514">
              <w:t xml:space="preserve">contact time </w:t>
            </w:r>
            <w:r w:rsidRPr="000D7D14">
              <w:t>5</w:t>
            </w:r>
            <w:r w:rsidR="00804514">
              <w:t xml:space="preserve"> </w:t>
            </w:r>
            <w:r w:rsidRPr="000D7D14">
              <w:t>min</w:t>
            </w:r>
          </w:p>
          <w:p w14:paraId="67164F17" w14:textId="6A078CE7" w:rsidR="00923ECF" w:rsidRDefault="00923ECF" w:rsidP="00923ECF"/>
          <w:p w14:paraId="357AEEB3" w14:textId="6F7835A8" w:rsidR="00923ECF" w:rsidRPr="000D7D14" w:rsidRDefault="009E4041" w:rsidP="00923ECF">
            <w:r>
              <w:t>Application rates:</w:t>
            </w:r>
          </w:p>
          <w:p w14:paraId="482411A2" w14:textId="22B1A107" w:rsidR="00923ECF" w:rsidRPr="000D7D14" w:rsidRDefault="00923ECF" w:rsidP="00923ECF">
            <w:r w:rsidRPr="000D7D14">
              <w:t>30</w:t>
            </w:r>
            <w:r w:rsidR="00383E12">
              <w:t xml:space="preserve"> </w:t>
            </w:r>
            <w:r w:rsidRPr="000D7D14">
              <w:t>ml/m</w:t>
            </w:r>
            <w:r w:rsidRPr="00383E12">
              <w:rPr>
                <w:vertAlign w:val="superscript"/>
              </w:rPr>
              <w:t>2</w:t>
            </w:r>
            <w:r w:rsidRPr="000D7D14">
              <w:t xml:space="preserve"> - 20 sprays directly on the surface per m</w:t>
            </w:r>
            <w:r w:rsidRPr="00E91F85">
              <w:rPr>
                <w:vertAlign w:val="superscript"/>
              </w:rPr>
              <w:t>2</w:t>
            </w:r>
            <w:r w:rsidRPr="000D7D14">
              <w:t xml:space="preserve"> </w:t>
            </w:r>
          </w:p>
          <w:p w14:paraId="4B94398F" w14:textId="5AED8B84" w:rsidR="00923ECF" w:rsidRPr="00B27CB1" w:rsidRDefault="00923ECF" w:rsidP="00383E12">
            <w:pPr>
              <w:rPr>
                <w:rFonts w:cs="Times New Roman"/>
                <w:lang w:eastAsia="de-DE"/>
              </w:rPr>
            </w:pPr>
            <w:r w:rsidRPr="000D7D14">
              <w:t>8 to 12 sprays or 16 ml on wipe per 0.1 m</w:t>
            </w:r>
            <w:r w:rsidRPr="00E91F85">
              <w:rPr>
                <w:vertAlign w:val="superscript"/>
              </w:rPr>
              <w:t>2</w:t>
            </w:r>
            <w:r w:rsidRPr="000D7D14">
              <w:t xml:space="preserve"> </w:t>
            </w:r>
          </w:p>
        </w:tc>
      </w:tr>
      <w:tr w:rsidR="00923ECF" w:rsidRPr="00B27CB1" w14:paraId="1D8231CC" w14:textId="77777777" w:rsidTr="00685495">
        <w:tc>
          <w:tcPr>
            <w:tcW w:w="2707" w:type="dxa"/>
            <w:tcBorders>
              <w:top w:val="nil"/>
              <w:left w:val="single" w:sz="4" w:space="0" w:color="000000"/>
              <w:bottom w:val="single" w:sz="4" w:space="0" w:color="000000"/>
              <w:right w:val="nil"/>
            </w:tcBorders>
            <w:hideMark/>
          </w:tcPr>
          <w:p w14:paraId="5831937A" w14:textId="77777777" w:rsidR="00923ECF" w:rsidRPr="00B27CB1" w:rsidRDefault="00923ECF" w:rsidP="00923ECF">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00F3A15E" w14:textId="02E57F20" w:rsidR="00923ECF" w:rsidRPr="00B27CB1" w:rsidRDefault="00923ECF" w:rsidP="00923ECF">
            <w:pPr>
              <w:snapToGrid w:val="0"/>
              <w:spacing w:line="254" w:lineRule="auto"/>
              <w:rPr>
                <w:b/>
              </w:rPr>
            </w:pPr>
            <w:r w:rsidRPr="000D7D14">
              <w:t>Industrial, Professional</w:t>
            </w:r>
          </w:p>
        </w:tc>
      </w:tr>
      <w:tr w:rsidR="00923ECF" w:rsidRPr="00B27CB1" w14:paraId="539FC081" w14:textId="77777777" w:rsidTr="00685495">
        <w:tc>
          <w:tcPr>
            <w:tcW w:w="2707" w:type="dxa"/>
            <w:tcBorders>
              <w:top w:val="nil"/>
              <w:left w:val="single" w:sz="4" w:space="0" w:color="000000"/>
              <w:bottom w:val="single" w:sz="4" w:space="0" w:color="000000"/>
              <w:right w:val="nil"/>
            </w:tcBorders>
            <w:hideMark/>
          </w:tcPr>
          <w:p w14:paraId="26BD1DC1" w14:textId="77777777" w:rsidR="00923ECF" w:rsidRPr="00B27CB1" w:rsidRDefault="00923ECF" w:rsidP="00923ECF">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335996D6" w14:textId="01718928" w:rsidR="00923ECF" w:rsidRDefault="00923ECF" w:rsidP="00923ECF">
            <w:pPr>
              <w:spacing w:line="254" w:lineRule="auto"/>
            </w:pPr>
            <w:r>
              <w:t>HDPE:</w:t>
            </w:r>
            <w:r w:rsidR="002F6E1B">
              <w:t xml:space="preserve"> </w:t>
            </w:r>
            <w:r>
              <w:t>1 L / 1 kg, 5 L / 5 kg, 10 L / 10 kg, 20 L / 20 kg, 120 L / 120 kg, 200 L / 200 kg, 220 L / 220 kg</w:t>
            </w:r>
          </w:p>
          <w:p w14:paraId="0FA016CD" w14:textId="2429AB49" w:rsidR="00923ECF" w:rsidRDefault="00923ECF" w:rsidP="00923ECF">
            <w:pPr>
              <w:spacing w:line="254" w:lineRule="auto"/>
            </w:pPr>
            <w:r>
              <w:t>PET:</w:t>
            </w:r>
            <w:r w:rsidR="002F6E1B">
              <w:t xml:space="preserve"> </w:t>
            </w:r>
            <w:r>
              <w:t>1 L / 1 kg</w:t>
            </w:r>
          </w:p>
          <w:p w14:paraId="6E597599" w14:textId="22FFDFC0" w:rsidR="00923ECF" w:rsidRDefault="00923ECF" w:rsidP="00923ECF">
            <w:pPr>
              <w:spacing w:line="254" w:lineRule="auto"/>
            </w:pPr>
            <w:r w:rsidRPr="00B624F0">
              <w:t>Coextrude (HDPE/Adhesive/Nylon polyamide):</w:t>
            </w:r>
            <w:r w:rsidR="002F6E1B">
              <w:t xml:space="preserve"> </w:t>
            </w:r>
            <w:r>
              <w:t>5 L / 5 kg</w:t>
            </w:r>
          </w:p>
          <w:p w14:paraId="402B2E65" w14:textId="1CD5604E" w:rsidR="00923ECF" w:rsidRPr="00B27CB1" w:rsidRDefault="00923ECF" w:rsidP="002F6E1B">
            <w:pPr>
              <w:spacing w:line="254" w:lineRule="auto"/>
            </w:pPr>
            <w:r>
              <w:lastRenderedPageBreak/>
              <w:t>Coextrude (HDPE/Adhesive resin/EVAL):</w:t>
            </w:r>
            <w:r w:rsidR="002F6E1B">
              <w:t xml:space="preserve"> </w:t>
            </w:r>
            <w:r>
              <w:t>250 mL / 250 g</w:t>
            </w:r>
          </w:p>
        </w:tc>
      </w:tr>
    </w:tbl>
    <w:p w14:paraId="16C8D655"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E1085F3"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24A7BE69" w14:textId="37B4ADE9" w:rsidR="00785AB8" w:rsidRPr="002F6E1B" w:rsidRDefault="00785AB8" w:rsidP="002F6E1B">
            <w:pPr>
              <w:pStyle w:val="Paragraphedeliste"/>
              <w:numPr>
                <w:ilvl w:val="0"/>
                <w:numId w:val="34"/>
              </w:numPr>
              <w:rPr>
                <w:bCs/>
                <w:lang w:val="de-DE"/>
              </w:rPr>
            </w:pPr>
            <w:r w:rsidRPr="002F6E1B">
              <w:rPr>
                <w:color w:val="000000"/>
                <w:lang w:eastAsia="en-GB"/>
              </w:rPr>
              <w:t>Manu</w:t>
            </w:r>
            <w:r w:rsidR="003E4245" w:rsidRPr="002F6E1B">
              <w:rPr>
                <w:color w:val="000000"/>
                <w:lang w:eastAsia="en-GB"/>
              </w:rPr>
              <w:t>a</w:t>
            </w:r>
            <w:r w:rsidRPr="002F6E1B">
              <w:rPr>
                <w:color w:val="000000"/>
                <w:lang w:eastAsia="en-GB"/>
              </w:rPr>
              <w:t>l disinfection:</w:t>
            </w:r>
          </w:p>
          <w:p w14:paraId="75B92B21" w14:textId="04750229" w:rsidR="009E4041" w:rsidRPr="00E648D1" w:rsidRDefault="00785AB8" w:rsidP="00383E12">
            <w:pPr>
              <w:pStyle w:val="Paragraphedeliste"/>
              <w:widowControl w:val="0"/>
              <w:numPr>
                <w:ilvl w:val="0"/>
                <w:numId w:val="46"/>
              </w:numPr>
              <w:autoSpaceDE w:val="0"/>
              <w:snapToGrid w:val="0"/>
              <w:ind w:left="342"/>
              <w:jc w:val="both"/>
              <w:rPr>
                <w:bCs/>
                <w:lang w:val="en-US"/>
              </w:rPr>
            </w:pPr>
            <w:r w:rsidRPr="002F6E1B">
              <w:rPr>
                <w:bCs/>
                <w:lang w:val="en-US"/>
              </w:rPr>
              <w:t>For hard surfaces by spraying: Dilute in water and spray directly on the surface</w:t>
            </w:r>
            <w:r w:rsidR="009E4041" w:rsidRPr="002F6E1B">
              <w:rPr>
                <w:bCs/>
                <w:lang w:val="en-US"/>
              </w:rPr>
              <w:t>s</w:t>
            </w:r>
            <w:r w:rsidRPr="002F6E1B">
              <w:rPr>
                <w:bCs/>
                <w:lang w:val="en-US"/>
              </w:rPr>
              <w:t xml:space="preserve"> intended to be treated and cover the entire surface</w:t>
            </w:r>
            <w:r w:rsidR="009E4041" w:rsidRPr="002F6E1B">
              <w:rPr>
                <w:bCs/>
                <w:lang w:val="en-US"/>
              </w:rPr>
              <w:t>s</w:t>
            </w:r>
            <w:r w:rsidRPr="002F6E1B">
              <w:rPr>
                <w:bCs/>
                <w:lang w:val="en-US"/>
              </w:rPr>
              <w:t xml:space="preserve">. Allow to take effect for at least </w:t>
            </w:r>
            <w:r w:rsidR="00114E8D" w:rsidRPr="001E568F">
              <w:rPr>
                <w:bCs/>
                <w:lang w:val="en-US"/>
              </w:rPr>
              <w:t>15</w:t>
            </w:r>
            <w:r w:rsidRPr="001E568F">
              <w:rPr>
                <w:bCs/>
                <w:lang w:val="en-US"/>
              </w:rPr>
              <w:t xml:space="preserve"> minutes</w:t>
            </w:r>
            <w:r w:rsidR="00BA5762">
              <w:rPr>
                <w:bCs/>
                <w:lang w:val="en-US"/>
              </w:rPr>
              <w:t>,</w:t>
            </w:r>
            <w:r w:rsidRPr="001E568F">
              <w:rPr>
                <w:bCs/>
                <w:lang w:val="en-US"/>
              </w:rPr>
              <w:t xml:space="preserve"> then brush or scrub if required and wipe with a dry cloth.</w:t>
            </w:r>
          </w:p>
          <w:p w14:paraId="39D98BF6" w14:textId="5A399546" w:rsidR="00785AB8" w:rsidRPr="002F6E1B" w:rsidRDefault="00785AB8" w:rsidP="00383E12">
            <w:pPr>
              <w:pStyle w:val="Paragraphedeliste"/>
              <w:widowControl w:val="0"/>
              <w:numPr>
                <w:ilvl w:val="0"/>
                <w:numId w:val="46"/>
              </w:numPr>
              <w:autoSpaceDE w:val="0"/>
              <w:snapToGrid w:val="0"/>
              <w:ind w:left="342"/>
              <w:jc w:val="both"/>
              <w:rPr>
                <w:bCs/>
                <w:lang w:val="en-US"/>
              </w:rPr>
            </w:pPr>
            <w:r w:rsidRPr="00854EF9">
              <w:rPr>
                <w:bCs/>
                <w:lang w:val="en-US"/>
              </w:rPr>
              <w:t>For hard surfaces by wipping/mopping</w:t>
            </w:r>
            <w:r w:rsidR="00C77DE3" w:rsidRPr="00854EF9">
              <w:rPr>
                <w:bCs/>
                <w:lang w:val="en-US"/>
              </w:rPr>
              <w:t>/brushing</w:t>
            </w:r>
            <w:r w:rsidRPr="002F6E1B">
              <w:rPr>
                <w:bCs/>
                <w:lang w:val="en-US"/>
              </w:rPr>
              <w:t>:</w:t>
            </w:r>
            <w:r w:rsidR="00C77DE3" w:rsidRPr="002F6E1B">
              <w:rPr>
                <w:bCs/>
                <w:lang w:val="en-US"/>
              </w:rPr>
              <w:t xml:space="preserve"> </w:t>
            </w:r>
            <w:r w:rsidR="003E4245" w:rsidRPr="002F6E1B">
              <w:rPr>
                <w:bCs/>
                <w:lang w:val="en-US"/>
              </w:rPr>
              <w:t>Dilute in water, spray on wipe or soak the mop/wipe/brush and apply by fully wetting all surfaces intended to be treated</w:t>
            </w:r>
            <w:r w:rsidRPr="002F6E1B">
              <w:rPr>
                <w:bCs/>
                <w:lang w:val="en-US"/>
              </w:rPr>
              <w:t>. Allow to take effect for at least 5 minutes and wipe the surface with a dry cloth if required or let to dry.</w:t>
            </w:r>
          </w:p>
          <w:p w14:paraId="251B139D" w14:textId="3873E812" w:rsidR="00785AB8" w:rsidRPr="002F6E1B" w:rsidRDefault="00785AB8" w:rsidP="002F6E1B">
            <w:pPr>
              <w:jc w:val="both"/>
              <w:rPr>
                <w:bCs/>
                <w:color w:val="000000"/>
                <w:lang w:val="en-US"/>
              </w:rPr>
            </w:pPr>
          </w:p>
          <w:p w14:paraId="1ACC2748" w14:textId="77777777" w:rsidR="00785AB8" w:rsidRPr="00B10ACB" w:rsidRDefault="00785AB8" w:rsidP="002F6E1B">
            <w:pPr>
              <w:pStyle w:val="Paragraphedeliste"/>
              <w:numPr>
                <w:ilvl w:val="0"/>
                <w:numId w:val="34"/>
              </w:numPr>
              <w:jc w:val="both"/>
              <w:rPr>
                <w:color w:val="000000"/>
                <w:lang w:eastAsia="en-GB"/>
              </w:rPr>
            </w:pPr>
            <w:r w:rsidRPr="002F6E1B">
              <w:rPr>
                <w:color w:val="000000"/>
                <w:lang w:val="de-DE"/>
              </w:rPr>
              <w:t>Machine:</w:t>
            </w:r>
          </w:p>
          <w:p w14:paraId="31D33121" w14:textId="41432C11" w:rsidR="00685495" w:rsidRPr="00BA5762" w:rsidRDefault="00785AB8" w:rsidP="00383E12">
            <w:pPr>
              <w:pStyle w:val="Paragraphedeliste"/>
              <w:widowControl w:val="0"/>
              <w:numPr>
                <w:ilvl w:val="0"/>
                <w:numId w:val="46"/>
              </w:numPr>
              <w:autoSpaceDE w:val="0"/>
              <w:snapToGrid w:val="0"/>
              <w:ind w:left="342"/>
              <w:jc w:val="both"/>
              <w:rPr>
                <w:rFonts w:eastAsia="Calibri" w:cs="Times"/>
                <w:bCs/>
                <w:sz w:val="22"/>
                <w:szCs w:val="24"/>
                <w:lang w:eastAsia="sv-SE"/>
              </w:rPr>
            </w:pPr>
            <w:r w:rsidRPr="002F6E1B">
              <w:rPr>
                <w:bCs/>
                <w:lang w:val="en-US"/>
              </w:rPr>
              <w:t>Dilute in water in scrubber-dryers, single-disk scrubbers, high or low pressure sprayers... and apply on surface and/or floor intended to be treated. Allow to take effect for at least</w:t>
            </w:r>
            <w:r w:rsidR="00114E8D" w:rsidRPr="002F6E1B">
              <w:rPr>
                <w:bCs/>
                <w:lang w:val="en-US"/>
              </w:rPr>
              <w:t xml:space="preserve"> 5 minutes</w:t>
            </w:r>
            <w:r w:rsidRPr="002F6E1B">
              <w:rPr>
                <w:bCs/>
                <w:lang w:val="en-US"/>
              </w:rPr>
              <w:t xml:space="preserve"> and then let to dry. Rinse the tank after applying the product. </w:t>
            </w:r>
          </w:p>
        </w:tc>
      </w:tr>
    </w:tbl>
    <w:p w14:paraId="2AEF6F47"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3B82E4A5"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3E8CD2E1" w14:textId="5433711D" w:rsidR="00685495" w:rsidRPr="00305DEF" w:rsidRDefault="00923ECF" w:rsidP="002F6E1B">
            <w:pPr>
              <w:pStyle w:val="Paragraphedeliste"/>
              <w:widowControl w:val="0"/>
              <w:numPr>
                <w:ilvl w:val="0"/>
                <w:numId w:val="46"/>
              </w:numPr>
              <w:autoSpaceDE w:val="0"/>
              <w:snapToGrid w:val="0"/>
              <w:spacing w:before="80" w:line="254" w:lineRule="auto"/>
              <w:ind w:left="345"/>
              <w:jc w:val="both"/>
              <w:rPr>
                <w:rFonts w:cs="Times"/>
                <w:bCs/>
                <w:szCs w:val="29"/>
              </w:rPr>
            </w:pPr>
            <w:r w:rsidRPr="00E91F85">
              <w:rPr>
                <w:bCs/>
                <w:lang w:val="en-US"/>
              </w:rPr>
              <w:t>For heathcare facilities, apply the product only in areas where disinfection is not medically indicated.</w:t>
            </w:r>
          </w:p>
        </w:tc>
      </w:tr>
    </w:tbl>
    <w:p w14:paraId="278A5ECA"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35550E07"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026344DA" w14:textId="7C323AF2" w:rsidR="00685495" w:rsidRPr="00B27CB1" w:rsidRDefault="000C1481" w:rsidP="00685495">
            <w:pPr>
              <w:widowControl w:val="0"/>
              <w:autoSpaceDE w:val="0"/>
              <w:snapToGrid w:val="0"/>
              <w:spacing w:before="80" w:line="254" w:lineRule="auto"/>
              <w:rPr>
                <w:rFonts w:cs="Times"/>
                <w:bCs/>
                <w:szCs w:val="29"/>
              </w:rPr>
            </w:pPr>
            <w:r>
              <w:rPr>
                <w:rFonts w:cs="Times"/>
                <w:bCs/>
                <w:szCs w:val="29"/>
              </w:rPr>
              <w:t>-</w:t>
            </w:r>
          </w:p>
        </w:tc>
      </w:tr>
    </w:tbl>
    <w:p w14:paraId="1B07EA2E"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022804B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19AFA3B5" w14:textId="62326C4F" w:rsidR="00685495" w:rsidRPr="00B27CB1" w:rsidRDefault="000C1481" w:rsidP="00685495">
            <w:pPr>
              <w:widowControl w:val="0"/>
              <w:autoSpaceDE w:val="0"/>
              <w:snapToGrid w:val="0"/>
              <w:spacing w:before="80" w:line="254" w:lineRule="auto"/>
              <w:rPr>
                <w:rFonts w:cs="Times"/>
                <w:bCs/>
                <w:szCs w:val="29"/>
              </w:rPr>
            </w:pPr>
            <w:r>
              <w:rPr>
                <w:rFonts w:cs="Times"/>
                <w:bCs/>
                <w:szCs w:val="29"/>
              </w:rPr>
              <w:t>-</w:t>
            </w:r>
          </w:p>
        </w:tc>
      </w:tr>
    </w:tbl>
    <w:p w14:paraId="544894AD" w14:textId="77777777" w:rsidR="00685495" w:rsidRPr="00B10ACB" w:rsidRDefault="00685495" w:rsidP="00B10ACB">
      <w:pPr>
        <w:keepNext/>
        <w:numPr>
          <w:ilvl w:val="4"/>
          <w:numId w:val="9"/>
        </w:numPr>
        <w:spacing w:before="255" w:after="80" w:line="255" w:lineRule="exact"/>
        <w:outlineLvl w:val="4"/>
        <w:rPr>
          <w:sz w:val="22"/>
        </w:rPr>
      </w:pPr>
      <w:r w:rsidRPr="00B10ACB">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685495" w:rsidRPr="00B27CB1" w14:paraId="67856EC0" w14:textId="77777777" w:rsidTr="00685495">
        <w:tc>
          <w:tcPr>
            <w:tcW w:w="9036" w:type="dxa"/>
            <w:tcBorders>
              <w:top w:val="single" w:sz="4" w:space="0" w:color="000000"/>
              <w:left w:val="single" w:sz="4" w:space="0" w:color="000000"/>
              <w:bottom w:val="single" w:sz="4" w:space="0" w:color="000000"/>
              <w:right w:val="single" w:sz="4" w:space="0" w:color="000000"/>
            </w:tcBorders>
          </w:tcPr>
          <w:p w14:paraId="7F7C884A" w14:textId="3C691D27" w:rsidR="00685495" w:rsidRPr="00B27CB1" w:rsidRDefault="000C1481" w:rsidP="00685495">
            <w:pPr>
              <w:widowControl w:val="0"/>
              <w:autoSpaceDE w:val="0"/>
              <w:snapToGrid w:val="0"/>
              <w:spacing w:before="80" w:line="254" w:lineRule="auto"/>
              <w:rPr>
                <w:rFonts w:cs="Times"/>
                <w:bCs/>
                <w:szCs w:val="29"/>
              </w:rPr>
            </w:pPr>
            <w:r>
              <w:rPr>
                <w:rFonts w:cs="Times"/>
                <w:bCs/>
                <w:szCs w:val="29"/>
              </w:rPr>
              <w:t>-</w:t>
            </w:r>
          </w:p>
        </w:tc>
      </w:tr>
    </w:tbl>
    <w:p w14:paraId="04F69CF0" w14:textId="77777777" w:rsidR="00685495" w:rsidRPr="00B27CB1" w:rsidRDefault="00685495" w:rsidP="00685495">
      <w:pPr>
        <w:widowControl w:val="0"/>
        <w:autoSpaceDE w:val="0"/>
        <w:rPr>
          <w:rFonts w:cs="Times"/>
          <w:bCs/>
          <w:szCs w:val="29"/>
        </w:rPr>
      </w:pPr>
    </w:p>
    <w:p w14:paraId="574C4C2C" w14:textId="77777777" w:rsidR="00A932DC" w:rsidRPr="00B10ACB" w:rsidRDefault="00A932DC" w:rsidP="00E91F85">
      <w:pPr>
        <w:pStyle w:val="Titre3"/>
        <w:rPr>
          <w:lang w:val="en-US"/>
        </w:rPr>
      </w:pPr>
      <w:bookmarkStart w:id="116" w:name="_Toc87361146"/>
      <w:r w:rsidRPr="00B10ACB">
        <w:rPr>
          <w:lang w:val="en-US"/>
        </w:rPr>
        <w:lastRenderedPageBreak/>
        <w:t>General directions for use of the meta SPC 7</w:t>
      </w:r>
      <w:bookmarkEnd w:id="116"/>
    </w:p>
    <w:p w14:paraId="251309B4"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414B6E8E"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8FAB3" w14:textId="6CC2C9E2" w:rsidR="00923ECF" w:rsidRPr="00F0256C" w:rsidRDefault="00C77DE3" w:rsidP="00E91F85">
            <w:pPr>
              <w:keepNext/>
              <w:widowControl w:val="0"/>
              <w:numPr>
                <w:ilvl w:val="0"/>
                <w:numId w:val="7"/>
              </w:numPr>
              <w:suppressAutoHyphens w:val="0"/>
              <w:autoSpaceDE w:val="0"/>
              <w:spacing w:after="120" w:line="260" w:lineRule="atLeast"/>
              <w:contextualSpacing/>
              <w:jc w:val="both"/>
              <w:rPr>
                <w:bCs/>
                <w:iCs/>
              </w:rPr>
            </w:pPr>
            <w:r>
              <w:rPr>
                <w:bCs/>
                <w:iCs/>
              </w:rPr>
              <w:t>Comply with the instructions of uses</w:t>
            </w:r>
            <w:r w:rsidR="007D55D1">
              <w:rPr>
                <w:bCs/>
                <w:iCs/>
              </w:rPr>
              <w:t>.</w:t>
            </w:r>
          </w:p>
          <w:p w14:paraId="5D3C250B" w14:textId="7E9657DB" w:rsidR="00923ECF" w:rsidRPr="00E91F85" w:rsidRDefault="00923ECF" w:rsidP="00E91F85">
            <w:pPr>
              <w:keepNext/>
              <w:widowControl w:val="0"/>
              <w:numPr>
                <w:ilvl w:val="0"/>
                <w:numId w:val="7"/>
              </w:numPr>
              <w:suppressAutoHyphens w:val="0"/>
              <w:autoSpaceDE w:val="0"/>
              <w:spacing w:after="120" w:line="260" w:lineRule="atLeast"/>
              <w:contextualSpacing/>
              <w:jc w:val="both"/>
              <w:rPr>
                <w:bCs/>
                <w:iCs/>
              </w:rPr>
            </w:pPr>
            <w:r w:rsidRPr="00E91F85">
              <w:rPr>
                <w:bCs/>
                <w:iCs/>
              </w:rPr>
              <w:t>Respect the conditions of use of the product (concentration, contact time, temperature, pH, etc.)</w:t>
            </w:r>
            <w:r w:rsidR="007D55D1" w:rsidRPr="00E91F85">
              <w:rPr>
                <w:bCs/>
                <w:iCs/>
              </w:rPr>
              <w:t>.</w:t>
            </w:r>
          </w:p>
          <w:p w14:paraId="5DB29A7E" w14:textId="1BCF87BF" w:rsidR="007D55D1" w:rsidRPr="00E91F85" w:rsidRDefault="00923ECF" w:rsidP="00E91F85">
            <w:pPr>
              <w:keepNext/>
              <w:widowControl w:val="0"/>
              <w:numPr>
                <w:ilvl w:val="0"/>
                <w:numId w:val="7"/>
              </w:numPr>
              <w:suppressAutoHyphens w:val="0"/>
              <w:autoSpaceDE w:val="0"/>
              <w:spacing w:after="120" w:line="260" w:lineRule="atLeast"/>
              <w:contextualSpacing/>
              <w:jc w:val="both"/>
              <w:rPr>
                <w:bCs/>
                <w:iCs/>
              </w:rPr>
            </w:pPr>
            <w:r w:rsidRPr="00344BDC">
              <w:rPr>
                <w:bCs/>
                <w:iCs/>
              </w:rPr>
              <w:t>Inform the authorization holder if the treatment is ineffective.</w:t>
            </w:r>
          </w:p>
          <w:p w14:paraId="722C1D56" w14:textId="77777777" w:rsidR="000C1481" w:rsidRDefault="00923ECF" w:rsidP="000C1481">
            <w:pPr>
              <w:keepNext/>
              <w:widowControl w:val="0"/>
              <w:numPr>
                <w:ilvl w:val="0"/>
                <w:numId w:val="7"/>
              </w:numPr>
              <w:suppressAutoHyphens w:val="0"/>
              <w:autoSpaceDE w:val="0"/>
              <w:spacing w:after="120" w:line="260" w:lineRule="atLeast"/>
              <w:contextualSpacing/>
              <w:jc w:val="both"/>
              <w:rPr>
                <w:bCs/>
                <w:iCs/>
              </w:rPr>
            </w:pPr>
            <w:r w:rsidRPr="00305DEF">
              <w:rPr>
                <w:bCs/>
                <w:iCs/>
              </w:rPr>
              <w:t>For PT4</w:t>
            </w:r>
            <w:r w:rsidR="00804514" w:rsidRPr="009E07D6">
              <w:rPr>
                <w:bCs/>
                <w:iCs/>
              </w:rPr>
              <w:t xml:space="preserve"> areas</w:t>
            </w:r>
            <w:r w:rsidRPr="009E07D6">
              <w:rPr>
                <w:bCs/>
                <w:iCs/>
              </w:rPr>
              <w:t>, application is only for general disinfection.</w:t>
            </w:r>
          </w:p>
          <w:p w14:paraId="6668106F" w14:textId="7AB58C60" w:rsidR="00923ECF" w:rsidRPr="00B27CB1" w:rsidRDefault="000C1481">
            <w:pPr>
              <w:keepNext/>
              <w:widowControl w:val="0"/>
              <w:numPr>
                <w:ilvl w:val="0"/>
                <w:numId w:val="7"/>
              </w:numPr>
              <w:suppressAutoHyphens w:val="0"/>
              <w:autoSpaceDE w:val="0"/>
              <w:spacing w:after="120" w:line="260" w:lineRule="atLeast"/>
              <w:contextualSpacing/>
              <w:jc w:val="both"/>
              <w:rPr>
                <w:bCs/>
                <w:iCs/>
              </w:rPr>
            </w:pPr>
            <w:r>
              <w:rPr>
                <w:bCs/>
                <w:iCs/>
              </w:rPr>
              <w:t>Use immediately the product after dilution.</w:t>
            </w:r>
          </w:p>
        </w:tc>
      </w:tr>
    </w:tbl>
    <w:p w14:paraId="05DD1D93"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898557E"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11BE2C78" w14:textId="2A49AC72" w:rsidR="003419A9" w:rsidRDefault="003419A9" w:rsidP="00E91F85">
            <w:pPr>
              <w:pStyle w:val="Paragraphedeliste"/>
              <w:numPr>
                <w:ilvl w:val="0"/>
                <w:numId w:val="38"/>
              </w:numPr>
              <w:suppressAutoHyphens w:val="0"/>
              <w:spacing w:line="256" w:lineRule="auto"/>
              <w:jc w:val="both"/>
              <w:rPr>
                <w:color w:val="000000" w:themeColor="text1"/>
                <w:u w:val="single"/>
              </w:rPr>
            </w:pPr>
            <w:r w:rsidRPr="00E91F85">
              <w:rPr>
                <w:rFonts w:cs="Arial"/>
                <w:iCs/>
                <w:color w:val="000000" w:themeColor="text1"/>
                <w:szCs w:val="16"/>
              </w:rPr>
              <w:t>Avoidance of contact with freshly treated surfaces.</w:t>
            </w:r>
          </w:p>
          <w:p w14:paraId="7489AE6E" w14:textId="77777777" w:rsidR="00A46E1B" w:rsidRPr="00E91F85" w:rsidRDefault="00A46E1B"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During mixing and loading, wear:</w:t>
            </w:r>
          </w:p>
          <w:p w14:paraId="48BBB54E" w14:textId="7F68BA5E"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64273CDD"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5056C7B8" w14:textId="77777777"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 xml:space="preserve">coated coverall (at least category III type 6), </w:t>
            </w:r>
          </w:p>
          <w:p w14:paraId="19D404C1" w14:textId="3DE29E66"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w:t>
            </w:r>
            <w:r w:rsidR="007D55D1">
              <w:rPr>
                <w:rFonts w:cs="Arial"/>
                <w:iCs/>
                <w:color w:val="000000" w:themeColor="text1"/>
                <w:szCs w:val="16"/>
                <w:lang w:val="en-US"/>
              </w:rPr>
              <w:t>.</w:t>
            </w:r>
            <w:r>
              <w:rPr>
                <w:rFonts w:cs="Arial"/>
                <w:iCs/>
                <w:color w:val="000000" w:themeColor="text1"/>
                <w:szCs w:val="16"/>
                <w:lang w:val="en-US"/>
              </w:rPr>
              <w:t xml:space="preserve"> </w:t>
            </w:r>
          </w:p>
          <w:p w14:paraId="75C719F4" w14:textId="4C13D935"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Minimisation of manual phases</w:t>
            </w:r>
            <w:r w:rsidR="007D55D1">
              <w:rPr>
                <w:rFonts w:cs="Arial"/>
                <w:iCs/>
                <w:color w:val="000000" w:themeColor="text1"/>
                <w:szCs w:val="16"/>
                <w:lang w:val="en-US"/>
              </w:rPr>
              <w:t>.</w:t>
            </w:r>
          </w:p>
          <w:p w14:paraId="76A39236" w14:textId="77777777" w:rsidR="00A46E1B" w:rsidRPr="00E91F85" w:rsidRDefault="00A46E1B"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During application and cleaning of spray equipment, wear:</w:t>
            </w:r>
          </w:p>
          <w:p w14:paraId="68CDDA2D" w14:textId="13E04C6C"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3C37CCE2"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43BBE074" w14:textId="4387D9C8"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7D55D1">
              <w:rPr>
                <w:rFonts w:cs="Arial"/>
                <w:iCs/>
                <w:color w:val="000000" w:themeColor="text1"/>
                <w:szCs w:val="16"/>
                <w:lang w:val="en-US"/>
              </w:rPr>
              <w:t>.</w:t>
            </w:r>
            <w:r>
              <w:rPr>
                <w:rFonts w:cs="Arial"/>
                <w:iCs/>
                <w:color w:val="000000" w:themeColor="text1"/>
                <w:szCs w:val="16"/>
                <w:lang w:val="en-US"/>
              </w:rPr>
              <w:t xml:space="preserve"> </w:t>
            </w:r>
          </w:p>
          <w:p w14:paraId="0EC437AB" w14:textId="3566FC84" w:rsidR="00A932DC" w:rsidRPr="003419A9" w:rsidRDefault="00A46E1B" w:rsidP="003419A9">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The spray application must be downward in order to avoid any facial exposure.</w:t>
            </w:r>
          </w:p>
        </w:tc>
      </w:tr>
    </w:tbl>
    <w:p w14:paraId="2714895C"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2161F3D"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1E4C957C" w14:textId="77777777" w:rsidR="00647BB1" w:rsidRPr="00E91F85" w:rsidRDefault="00647BB1"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ON SKIN (or hair): Take off immediately all contaminated clothing. Rinse skin with water [or shower].</w:t>
            </w:r>
          </w:p>
          <w:p w14:paraId="7B0F7C2D" w14:textId="77777777" w:rsidR="00647BB1" w:rsidRPr="00E91F85" w:rsidRDefault="00647BB1"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 EYES: Rinse cautiously with water for several minutes. Remove contact lenses, if present and easy to do. Continue rinsing.</w:t>
            </w:r>
          </w:p>
          <w:p w14:paraId="1C1BCB27" w14:textId="77777777" w:rsidR="00647BB1" w:rsidRPr="00E91F85" w:rsidRDefault="00647BB1"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SWALLOWED: Rinse mouth. Do NOT induce vomiting.</w:t>
            </w:r>
          </w:p>
          <w:p w14:paraId="714D53EF" w14:textId="77777777" w:rsidR="00647BB1" w:rsidRPr="00E91F85" w:rsidRDefault="00647BB1"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INHALED: Remove personto fresh air and keep comfortable for breathing.</w:t>
            </w:r>
          </w:p>
          <w:p w14:paraId="3E99DD94" w14:textId="77777777" w:rsidR="00647BB1" w:rsidRPr="00E91F85" w:rsidRDefault="00647BB1"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 case of impaired consciousness place in recovery position and seek medical advice immediately.</w:t>
            </w:r>
          </w:p>
          <w:p w14:paraId="59E645F1" w14:textId="19F721DF" w:rsidR="00A932DC" w:rsidRPr="00B27CB1" w:rsidRDefault="00647BB1" w:rsidP="00E91F85">
            <w:pPr>
              <w:pStyle w:val="Paragraphedeliste"/>
              <w:numPr>
                <w:ilvl w:val="0"/>
                <w:numId w:val="38"/>
              </w:numPr>
              <w:suppressAutoHyphens w:val="0"/>
              <w:spacing w:line="256" w:lineRule="auto"/>
              <w:jc w:val="both"/>
            </w:pPr>
            <w:r w:rsidRPr="00E91F85">
              <w:rPr>
                <w:rFonts w:cs="Arial"/>
                <w:iCs/>
                <w:color w:val="000000" w:themeColor="text1"/>
                <w:szCs w:val="16"/>
              </w:rPr>
              <w:t>Keep the container or label available</w:t>
            </w:r>
            <w:r w:rsidR="007D55D1">
              <w:rPr>
                <w:rFonts w:cs="Arial"/>
                <w:iCs/>
                <w:color w:val="000000" w:themeColor="text1"/>
                <w:szCs w:val="16"/>
              </w:rPr>
              <w:t>.</w:t>
            </w:r>
          </w:p>
        </w:tc>
      </w:tr>
    </w:tbl>
    <w:p w14:paraId="55B96E8E"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4F83F344"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3C4D307" w14:textId="77C37357" w:rsidR="00CF6513" w:rsidRPr="00E91F85" w:rsidRDefault="00CF6513"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Do not discharge unused product on the ground, into water courses, into pipes (sink, toilets…) nor down the drains</w:t>
            </w:r>
            <w:r w:rsidR="007D55D1">
              <w:rPr>
                <w:rFonts w:cs="Arial"/>
                <w:iCs/>
                <w:color w:val="000000" w:themeColor="text1"/>
                <w:szCs w:val="16"/>
              </w:rPr>
              <w:t>.</w:t>
            </w:r>
          </w:p>
          <w:p w14:paraId="45D3201E" w14:textId="3C2B1270" w:rsidR="00A932DC" w:rsidRPr="00B27CB1" w:rsidRDefault="00CF6513" w:rsidP="00E91F85">
            <w:pPr>
              <w:pStyle w:val="Paragraphedeliste"/>
              <w:numPr>
                <w:ilvl w:val="0"/>
                <w:numId w:val="38"/>
              </w:numPr>
              <w:suppressAutoHyphens w:val="0"/>
              <w:spacing w:line="256" w:lineRule="auto"/>
              <w:jc w:val="both"/>
            </w:pPr>
            <w:r w:rsidRPr="00E91F85">
              <w:rPr>
                <w:rFonts w:cs="Arial"/>
                <w:iCs/>
                <w:color w:val="000000" w:themeColor="text1"/>
                <w:szCs w:val="16"/>
              </w:rPr>
              <w:t>Dispose of unused product, its packaging and all other waste, in accordance with local regulations</w:t>
            </w:r>
            <w:r w:rsidR="007D55D1">
              <w:rPr>
                <w:rFonts w:cs="Arial"/>
                <w:iCs/>
                <w:color w:val="000000" w:themeColor="text1"/>
                <w:szCs w:val="16"/>
              </w:rPr>
              <w:t>.</w:t>
            </w:r>
          </w:p>
        </w:tc>
      </w:tr>
    </w:tbl>
    <w:p w14:paraId="141865C7"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D18E07D"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7053041" w14:textId="23B2D596" w:rsidR="00A932DC" w:rsidRPr="00B27CB1" w:rsidRDefault="001518D7" w:rsidP="002F6E1B">
            <w:pPr>
              <w:pStyle w:val="Paragraphedeliste"/>
              <w:numPr>
                <w:ilvl w:val="0"/>
                <w:numId w:val="38"/>
              </w:numPr>
              <w:suppressAutoHyphens w:val="0"/>
              <w:spacing w:line="256" w:lineRule="auto"/>
              <w:jc w:val="both"/>
            </w:pPr>
            <w:r w:rsidRPr="00E91F85">
              <w:rPr>
                <w:rFonts w:cs="Arial"/>
                <w:iCs/>
                <w:color w:val="000000" w:themeColor="text1"/>
                <w:szCs w:val="16"/>
              </w:rPr>
              <w:t>Shelf life: 2 years</w:t>
            </w:r>
            <w:r w:rsidR="007D55D1">
              <w:rPr>
                <w:rFonts w:cs="Arial"/>
                <w:iCs/>
                <w:color w:val="000000" w:themeColor="text1"/>
                <w:szCs w:val="16"/>
              </w:rPr>
              <w:t>.</w:t>
            </w:r>
          </w:p>
        </w:tc>
      </w:tr>
    </w:tbl>
    <w:p w14:paraId="6E69020F" w14:textId="77777777" w:rsidR="00A932DC" w:rsidRPr="00B27CB1" w:rsidRDefault="00A932DC" w:rsidP="00A932DC">
      <w:pPr>
        <w:widowControl w:val="0"/>
        <w:autoSpaceDE w:val="0"/>
        <w:rPr>
          <w:bCs/>
          <w:iCs/>
          <w:szCs w:val="22"/>
        </w:rPr>
      </w:pPr>
    </w:p>
    <w:p w14:paraId="4D80F3F5" w14:textId="77777777" w:rsidR="00A932DC" w:rsidRPr="00B27CB1" w:rsidRDefault="00A932DC" w:rsidP="00E91F85">
      <w:pPr>
        <w:pStyle w:val="Titre3"/>
      </w:pPr>
      <w:bookmarkStart w:id="117" w:name="_Toc87361147"/>
      <w:r w:rsidRPr="00B27CB1">
        <w:t>Other information</w:t>
      </w:r>
      <w:bookmarkEnd w:id="11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321D4C2D"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71BD73E" w14:textId="573D0363" w:rsidR="00A932DC" w:rsidRPr="00B27CB1" w:rsidRDefault="002F6E1B" w:rsidP="00A932DC">
            <w:pPr>
              <w:widowControl w:val="0"/>
              <w:autoSpaceDE w:val="0"/>
              <w:snapToGrid w:val="0"/>
              <w:spacing w:line="256" w:lineRule="auto"/>
              <w:jc w:val="both"/>
            </w:pPr>
            <w:r>
              <w:t>-</w:t>
            </w:r>
          </w:p>
        </w:tc>
      </w:tr>
    </w:tbl>
    <w:p w14:paraId="29002E58" w14:textId="77777777" w:rsidR="00A932DC" w:rsidRPr="00B27CB1" w:rsidRDefault="00A932DC" w:rsidP="00A932DC"/>
    <w:p w14:paraId="06FEB133" w14:textId="77777777" w:rsidR="00A932DC" w:rsidRPr="00B27CB1" w:rsidRDefault="00A932DC" w:rsidP="00A932DC"/>
    <w:p w14:paraId="0E4350BA" w14:textId="7777777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7</w:t>
      </w:r>
    </w:p>
    <w:p w14:paraId="477C9B41" w14:textId="77777777" w:rsidR="00A932DC" w:rsidRPr="00B27CB1" w:rsidRDefault="00A932DC" w:rsidP="00A932DC">
      <w:pPr>
        <w:widowControl w:val="0"/>
        <w:autoSpaceDE w:val="0"/>
        <w:rPr>
          <w:rFonts w:cs="Times"/>
          <w:bCs/>
          <w:szCs w:val="29"/>
        </w:rPr>
      </w:pPr>
    </w:p>
    <w:p w14:paraId="125CE27C" w14:textId="77777777" w:rsidR="00A932DC" w:rsidRPr="00B10ACB" w:rsidRDefault="00A932DC" w:rsidP="00E91F85">
      <w:pPr>
        <w:pStyle w:val="Titre3"/>
        <w:rPr>
          <w:lang w:val="en-US"/>
        </w:rPr>
      </w:pPr>
      <w:bookmarkStart w:id="118" w:name="_Toc87361148"/>
      <w:r w:rsidRPr="00B10ACB">
        <w:rPr>
          <w:lang w:val="en-US"/>
        </w:rPr>
        <w:t>Trade name(s), authorisation number and specific composition of each individual product</w:t>
      </w:r>
      <w:bookmarkEnd w:id="118"/>
    </w:p>
    <w:p w14:paraId="106968AC" w14:textId="4B85A0B2"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685495" w:rsidRPr="00B27CB1" w14:paraId="01A88AA7" w14:textId="77777777" w:rsidTr="0068549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33F558" w14:textId="77777777" w:rsidR="00685495" w:rsidRPr="00B27CB1" w:rsidRDefault="00685495" w:rsidP="00685495">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5825A1" w14:textId="73C0FF1E" w:rsidR="00685495" w:rsidRPr="00B27CB1" w:rsidRDefault="00685495" w:rsidP="00685495">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DEGRAISSANT DESINFECTANT +</w:t>
            </w:r>
          </w:p>
        </w:tc>
      </w:tr>
      <w:tr w:rsidR="00685495" w:rsidRPr="00B27CB1" w14:paraId="3B27F476"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DBD121" w14:textId="77777777" w:rsidR="00685495" w:rsidRPr="00B27CB1" w:rsidRDefault="00685495" w:rsidP="00685495">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F2BC20" w14:textId="77777777" w:rsidR="00685495" w:rsidRPr="00B27CB1" w:rsidRDefault="00685495" w:rsidP="00685495">
            <w:pPr>
              <w:spacing w:line="256" w:lineRule="auto"/>
              <w:rPr>
                <w:b/>
                <w:bCs/>
                <w:szCs w:val="24"/>
                <w:lang w:eastAsia="en-GB"/>
              </w:rPr>
            </w:pPr>
          </w:p>
        </w:tc>
      </w:tr>
      <w:tr w:rsidR="00685495" w:rsidRPr="00B27CB1" w14:paraId="0CADBA18" w14:textId="77777777" w:rsidTr="0068549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DA2EBC" w14:textId="77777777" w:rsidR="00685495" w:rsidRPr="00B27CB1" w:rsidRDefault="00685495" w:rsidP="00685495">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B3F89EE" w14:textId="77777777" w:rsidR="00685495" w:rsidRPr="00B27CB1" w:rsidRDefault="00685495" w:rsidP="00685495">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F9B7309" w14:textId="77777777" w:rsidR="00685495" w:rsidRPr="00B27CB1" w:rsidRDefault="00685495" w:rsidP="00685495">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98F89D" w14:textId="77777777" w:rsidR="00685495" w:rsidRPr="00B27CB1" w:rsidRDefault="00685495" w:rsidP="00685495">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C86586F" w14:textId="77777777" w:rsidR="00685495" w:rsidRPr="00B27CB1" w:rsidRDefault="00685495" w:rsidP="00685495">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FB530B" w14:textId="77777777" w:rsidR="00685495" w:rsidRPr="00B27CB1" w:rsidRDefault="00685495" w:rsidP="00685495">
            <w:pPr>
              <w:spacing w:line="256" w:lineRule="auto"/>
            </w:pPr>
            <w:r w:rsidRPr="00B27CB1">
              <w:rPr>
                <w:b/>
                <w:bCs/>
                <w:szCs w:val="24"/>
                <w:lang w:eastAsia="en-GB"/>
              </w:rPr>
              <w:t>Content (%)</w:t>
            </w:r>
          </w:p>
        </w:tc>
      </w:tr>
      <w:tr w:rsidR="00EE5406" w:rsidRPr="00DC78BC" w14:paraId="13A92EF0"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D57E97" w14:textId="25A5BC6A" w:rsidR="00EE5406" w:rsidRPr="00B10ACB" w:rsidRDefault="00F84E20" w:rsidP="00EE5406">
            <w:pPr>
              <w:snapToGrid w:val="0"/>
              <w:spacing w:line="256" w:lineRule="auto"/>
              <w:rPr>
                <w:rFonts w:cs="Arial"/>
              </w:rPr>
            </w:pPr>
            <w:r w:rsidRPr="005D3980">
              <w:rPr>
                <w:rFonts w:cs="Arial"/>
              </w:rPr>
              <w:t xml:space="preserve">L(+) </w:t>
            </w:r>
            <w:r w:rsidR="00EE5406" w:rsidRPr="00B10ACB">
              <w:rPr>
                <w:rFonts w:cs="Arial"/>
              </w:rPr>
              <w:t>Lactic acid</w:t>
            </w:r>
          </w:p>
          <w:p w14:paraId="7FC8F02C" w14:textId="77777777" w:rsidR="00EE5406" w:rsidRPr="00B10ACB" w:rsidRDefault="00EE5406" w:rsidP="00EE5406">
            <w:pPr>
              <w:widowControl w:val="0"/>
              <w:autoSpaceDE w:val="0"/>
              <w:spacing w:line="256" w:lineRule="auto"/>
              <w:rPr>
                <w:rFonts w:cs="Arial"/>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B2D6CC" w14:textId="12EF83AE" w:rsidR="00EE5406" w:rsidRPr="00B10ACB" w:rsidRDefault="00F84E20" w:rsidP="00EE5406">
            <w:pPr>
              <w:widowControl w:val="0"/>
              <w:autoSpaceDE w:val="0"/>
              <w:spacing w:line="256" w:lineRule="auto"/>
              <w:rPr>
                <w:rFonts w:cs="Arial"/>
              </w:rPr>
            </w:pPr>
            <w:r w:rsidRPr="00932929">
              <w:t>(S)-2-Hydroxypropanoic acid</w:t>
            </w:r>
            <w:r w:rsidRPr="00F84E20" w:rsidDel="00F84E20">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E7320B" w14:textId="5CFB66DA" w:rsidR="00EE5406" w:rsidRPr="00B10ACB" w:rsidRDefault="00EE5406" w:rsidP="00EE5406">
            <w:pPr>
              <w:spacing w:line="256" w:lineRule="auto"/>
              <w:rPr>
                <w:rFonts w:cs="Arial"/>
              </w:rPr>
            </w:pPr>
            <w:r w:rsidRPr="00B10ACB">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7792FB" w14:textId="5A0FEB6D" w:rsidR="00EE5406" w:rsidRPr="00B10ACB" w:rsidRDefault="00EE5406" w:rsidP="00EE5406">
            <w:pPr>
              <w:spacing w:line="256" w:lineRule="auto"/>
              <w:rPr>
                <w:rFonts w:cs="Arial"/>
              </w:rPr>
            </w:pPr>
            <w:r w:rsidRPr="00B10ACB">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4E8FDB" w14:textId="2FC79961" w:rsidR="00EE5406" w:rsidRPr="00B10ACB" w:rsidRDefault="00EE5406" w:rsidP="00EE5406">
            <w:pPr>
              <w:widowControl w:val="0"/>
              <w:autoSpaceDE w:val="0"/>
              <w:spacing w:line="256" w:lineRule="auto"/>
              <w:rPr>
                <w:rFonts w:cs="Arial"/>
              </w:rPr>
            </w:pPr>
            <w:r w:rsidRPr="00B10ACB">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F1BB3F" w14:textId="70233814" w:rsidR="00EE5406" w:rsidRPr="00B10ACB" w:rsidRDefault="00EE5406" w:rsidP="00EE5406">
            <w:pPr>
              <w:autoSpaceDE w:val="0"/>
              <w:spacing w:line="256" w:lineRule="auto"/>
              <w:rPr>
                <w:rFonts w:cs="Arial"/>
              </w:rPr>
            </w:pPr>
            <w:r w:rsidRPr="00DC78BC">
              <w:t>11.46</w:t>
            </w:r>
          </w:p>
        </w:tc>
      </w:tr>
      <w:tr w:rsidR="00EE5406" w:rsidRPr="00DC78BC" w14:paraId="1DD10ABD"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5C7A78DD" w14:textId="77777777" w:rsidR="00EE5406" w:rsidRPr="00B10ACB" w:rsidRDefault="00EE5406" w:rsidP="00EE5406">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617BA1A8" w14:textId="77777777" w:rsidR="00EE5406" w:rsidRPr="00B10ACB" w:rsidRDefault="00EE5406" w:rsidP="00EE5406">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EF58F08" w14:textId="33A59296" w:rsidR="00EE5406" w:rsidRPr="00B10ACB" w:rsidRDefault="00EE5406" w:rsidP="00EE5406">
            <w:pPr>
              <w:spacing w:line="256" w:lineRule="auto"/>
              <w:rPr>
                <w:rFonts w:cs="Arial"/>
              </w:rPr>
            </w:pPr>
            <w:r w:rsidRPr="00B10ACB">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0D7D206B" w14:textId="77777777" w:rsidR="00EE5406" w:rsidRPr="00B10ACB" w:rsidRDefault="00EE5406" w:rsidP="00EE5406">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14515BAD" w14:textId="77777777" w:rsidR="00EE5406" w:rsidRPr="00B10ACB" w:rsidRDefault="00EE5406" w:rsidP="00EE5406">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036B52C" w14:textId="556575EE" w:rsidR="00EE5406" w:rsidRPr="00B10ACB" w:rsidRDefault="00EE5406" w:rsidP="00EE5406">
            <w:pPr>
              <w:spacing w:line="256" w:lineRule="auto"/>
              <w:rPr>
                <w:rFonts w:cs="Arial"/>
              </w:rPr>
            </w:pPr>
            <w:r w:rsidRPr="00DC78BC">
              <w:t>12</w:t>
            </w:r>
          </w:p>
        </w:tc>
      </w:tr>
    </w:tbl>
    <w:p w14:paraId="768F33A7" w14:textId="77777777" w:rsidR="00685495" w:rsidRPr="00DC78BC" w:rsidRDefault="00685495" w:rsidP="00A932DC">
      <w:pPr>
        <w:widowControl w:val="0"/>
        <w:autoSpaceDE w:val="0"/>
        <w:rPr>
          <w:rFonts w:cs="Times"/>
          <w:bCs/>
          <w:szCs w:val="29"/>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A04731" w14:paraId="081888D9" w14:textId="77777777" w:rsidTr="00E91F85">
        <w:trPr>
          <w:trHeight w:val="370"/>
        </w:trPr>
        <w:tc>
          <w:tcPr>
            <w:tcW w:w="2021" w:type="dxa"/>
            <w:tcMar>
              <w:top w:w="40" w:type="dxa"/>
              <w:left w:w="40" w:type="dxa"/>
              <w:bottom w:w="40" w:type="dxa"/>
              <w:right w:w="40" w:type="dxa"/>
            </w:tcMar>
            <w:hideMark/>
          </w:tcPr>
          <w:p w14:paraId="36E135BF" w14:textId="77777777" w:rsidR="00A932DC" w:rsidRPr="00DC78BC" w:rsidRDefault="00A932DC" w:rsidP="00A932DC">
            <w:pPr>
              <w:spacing w:line="256" w:lineRule="auto"/>
            </w:pPr>
            <w:r w:rsidRPr="00DC78BC">
              <w:rPr>
                <w:b/>
                <w:bCs/>
                <w:szCs w:val="24"/>
                <w:lang w:eastAsia="en-GB"/>
              </w:rPr>
              <w:t>Trade name(s)</w:t>
            </w:r>
          </w:p>
        </w:tc>
        <w:tc>
          <w:tcPr>
            <w:tcW w:w="6379" w:type="dxa"/>
            <w:gridSpan w:val="5"/>
            <w:tcMar>
              <w:top w:w="40" w:type="dxa"/>
              <w:left w:w="40" w:type="dxa"/>
              <w:bottom w:w="40" w:type="dxa"/>
              <w:right w:w="40" w:type="dxa"/>
            </w:tcMar>
          </w:tcPr>
          <w:p w14:paraId="32647EBD" w14:textId="77777777" w:rsidR="00685495" w:rsidRPr="00DC78BC" w:rsidRDefault="00685495" w:rsidP="00685495">
            <w:pPr>
              <w:widowControl w:val="0"/>
              <w:suppressAutoHyphens w:val="0"/>
              <w:autoSpaceDE w:val="0"/>
              <w:autoSpaceDN w:val="0"/>
              <w:adjustRightInd w:val="0"/>
              <w:spacing w:after="80" w:line="256" w:lineRule="auto"/>
              <w:rPr>
                <w:b/>
                <w:bCs/>
                <w:szCs w:val="24"/>
                <w:lang w:val="fr-FR" w:eastAsia="en-GB"/>
              </w:rPr>
            </w:pPr>
            <w:r w:rsidRPr="00DC78BC">
              <w:rPr>
                <w:b/>
                <w:bCs/>
                <w:szCs w:val="24"/>
                <w:lang w:val="fr-FR" w:eastAsia="en-GB"/>
              </w:rPr>
              <w:t>DETARTRANT DESINFECTANT SANITAIRES +</w:t>
            </w:r>
          </w:p>
          <w:p w14:paraId="78D7C11E" w14:textId="545ED5CD" w:rsidR="00A932DC" w:rsidRPr="00DC78BC" w:rsidRDefault="00685495" w:rsidP="00685495">
            <w:pPr>
              <w:widowControl w:val="0"/>
              <w:suppressAutoHyphens w:val="0"/>
              <w:autoSpaceDE w:val="0"/>
              <w:autoSpaceDN w:val="0"/>
              <w:adjustRightInd w:val="0"/>
              <w:spacing w:after="80" w:line="256" w:lineRule="auto"/>
              <w:rPr>
                <w:b/>
                <w:bCs/>
                <w:szCs w:val="24"/>
                <w:lang w:val="fr-FR" w:eastAsia="en-GB"/>
              </w:rPr>
            </w:pPr>
            <w:r w:rsidRPr="00DC78BC">
              <w:rPr>
                <w:b/>
                <w:bCs/>
                <w:szCs w:val="24"/>
                <w:lang w:val="fr-FR" w:eastAsia="en-GB"/>
              </w:rPr>
              <w:t>DETERGENT DESINFECTANT SOLS &amp; SURFACES +</w:t>
            </w:r>
          </w:p>
        </w:tc>
      </w:tr>
      <w:tr w:rsidR="00A932DC" w:rsidRPr="00DC78BC" w14:paraId="26FAE7C8" w14:textId="77777777" w:rsidTr="00E91F85">
        <w:trPr>
          <w:trHeight w:val="514"/>
        </w:trPr>
        <w:tc>
          <w:tcPr>
            <w:tcW w:w="2021" w:type="dxa"/>
            <w:tcMar>
              <w:top w:w="40" w:type="dxa"/>
              <w:left w:w="40" w:type="dxa"/>
              <w:bottom w:w="40" w:type="dxa"/>
              <w:right w:w="40" w:type="dxa"/>
            </w:tcMar>
            <w:hideMark/>
          </w:tcPr>
          <w:p w14:paraId="3046A481" w14:textId="77777777" w:rsidR="00A932DC" w:rsidRPr="00DC78BC" w:rsidRDefault="00A932DC" w:rsidP="00A932DC">
            <w:pPr>
              <w:spacing w:line="256" w:lineRule="auto"/>
              <w:rPr>
                <w:b/>
              </w:rPr>
            </w:pPr>
            <w:r w:rsidRPr="00DC78BC">
              <w:rPr>
                <w:b/>
              </w:rPr>
              <w:t>Authorisation number</w:t>
            </w:r>
          </w:p>
        </w:tc>
        <w:tc>
          <w:tcPr>
            <w:tcW w:w="6379" w:type="dxa"/>
            <w:gridSpan w:val="5"/>
            <w:tcMar>
              <w:top w:w="40" w:type="dxa"/>
              <w:left w:w="40" w:type="dxa"/>
              <w:bottom w:w="40" w:type="dxa"/>
              <w:right w:w="40" w:type="dxa"/>
            </w:tcMar>
          </w:tcPr>
          <w:p w14:paraId="2121C122" w14:textId="77777777" w:rsidR="00A932DC" w:rsidRPr="00DC78BC" w:rsidRDefault="00A932DC" w:rsidP="00A932DC">
            <w:pPr>
              <w:spacing w:line="256" w:lineRule="auto"/>
              <w:rPr>
                <w:b/>
                <w:bCs/>
                <w:szCs w:val="24"/>
                <w:lang w:eastAsia="en-GB"/>
              </w:rPr>
            </w:pPr>
          </w:p>
        </w:tc>
      </w:tr>
      <w:tr w:rsidR="00A932DC" w:rsidRPr="00DC78BC" w14:paraId="4D1029FC" w14:textId="77777777" w:rsidTr="00E91F85">
        <w:trPr>
          <w:trHeight w:val="514"/>
        </w:trPr>
        <w:tc>
          <w:tcPr>
            <w:tcW w:w="2021" w:type="dxa"/>
            <w:tcMar>
              <w:top w:w="40" w:type="dxa"/>
              <w:left w:w="40" w:type="dxa"/>
              <w:bottom w:w="40" w:type="dxa"/>
              <w:right w:w="40" w:type="dxa"/>
            </w:tcMar>
            <w:hideMark/>
          </w:tcPr>
          <w:p w14:paraId="029AA081" w14:textId="77777777" w:rsidR="00A932DC" w:rsidRPr="00DC78BC" w:rsidRDefault="00A932DC" w:rsidP="00A932DC">
            <w:pPr>
              <w:spacing w:line="256" w:lineRule="auto"/>
            </w:pPr>
            <w:r w:rsidRPr="00DC78BC">
              <w:rPr>
                <w:b/>
                <w:bCs/>
                <w:szCs w:val="24"/>
                <w:lang w:eastAsia="en-GB"/>
              </w:rPr>
              <w:t>Common name</w:t>
            </w:r>
          </w:p>
        </w:tc>
        <w:tc>
          <w:tcPr>
            <w:tcW w:w="1850" w:type="dxa"/>
            <w:tcMar>
              <w:top w:w="40" w:type="dxa"/>
              <w:left w:w="40" w:type="dxa"/>
              <w:bottom w:w="40" w:type="dxa"/>
              <w:right w:w="40" w:type="dxa"/>
            </w:tcMar>
            <w:hideMark/>
          </w:tcPr>
          <w:p w14:paraId="010C14DD" w14:textId="77777777" w:rsidR="00A932DC" w:rsidRPr="00DC78BC" w:rsidRDefault="00A932DC" w:rsidP="00A932DC">
            <w:pPr>
              <w:spacing w:line="256" w:lineRule="auto"/>
            </w:pPr>
            <w:r w:rsidRPr="00DC78BC">
              <w:rPr>
                <w:b/>
                <w:bCs/>
                <w:szCs w:val="24"/>
                <w:lang w:eastAsia="en-GB"/>
              </w:rPr>
              <w:t>IUPAC name</w:t>
            </w:r>
          </w:p>
        </w:tc>
        <w:tc>
          <w:tcPr>
            <w:tcW w:w="1134" w:type="dxa"/>
            <w:tcMar>
              <w:top w:w="40" w:type="dxa"/>
              <w:left w:w="40" w:type="dxa"/>
              <w:bottom w:w="40" w:type="dxa"/>
              <w:right w:w="40" w:type="dxa"/>
            </w:tcMar>
            <w:hideMark/>
          </w:tcPr>
          <w:p w14:paraId="478904E7" w14:textId="77777777" w:rsidR="00A932DC" w:rsidRPr="00DC78BC" w:rsidRDefault="00A932DC" w:rsidP="00A932DC">
            <w:pPr>
              <w:spacing w:line="256" w:lineRule="auto"/>
            </w:pPr>
            <w:r w:rsidRPr="00DC78BC">
              <w:rPr>
                <w:b/>
                <w:bCs/>
                <w:szCs w:val="24"/>
                <w:lang w:eastAsia="en-GB"/>
              </w:rPr>
              <w:t>Function</w:t>
            </w:r>
          </w:p>
        </w:tc>
        <w:tc>
          <w:tcPr>
            <w:tcW w:w="1276" w:type="dxa"/>
            <w:tcMar>
              <w:top w:w="40" w:type="dxa"/>
              <w:left w:w="40" w:type="dxa"/>
              <w:bottom w:w="40" w:type="dxa"/>
              <w:right w:w="40" w:type="dxa"/>
            </w:tcMar>
            <w:hideMark/>
          </w:tcPr>
          <w:p w14:paraId="6E8DFF9B" w14:textId="77777777" w:rsidR="00A932DC" w:rsidRPr="00DC78BC" w:rsidRDefault="00A932DC" w:rsidP="00A932DC">
            <w:pPr>
              <w:spacing w:line="256" w:lineRule="auto"/>
            </w:pPr>
            <w:r w:rsidRPr="00DC78BC">
              <w:rPr>
                <w:b/>
                <w:bCs/>
                <w:szCs w:val="24"/>
                <w:lang w:eastAsia="en-GB"/>
              </w:rPr>
              <w:t>CAS number</w:t>
            </w:r>
          </w:p>
        </w:tc>
        <w:tc>
          <w:tcPr>
            <w:tcW w:w="1152" w:type="dxa"/>
            <w:tcMar>
              <w:top w:w="40" w:type="dxa"/>
              <w:left w:w="40" w:type="dxa"/>
              <w:bottom w:w="40" w:type="dxa"/>
              <w:right w:w="40" w:type="dxa"/>
            </w:tcMar>
            <w:hideMark/>
          </w:tcPr>
          <w:p w14:paraId="5893C768" w14:textId="77777777" w:rsidR="00A932DC" w:rsidRPr="00DC78BC" w:rsidRDefault="00A932DC" w:rsidP="00A932DC">
            <w:pPr>
              <w:spacing w:line="256" w:lineRule="auto"/>
            </w:pPr>
            <w:r w:rsidRPr="00DC78BC">
              <w:rPr>
                <w:b/>
                <w:bCs/>
                <w:szCs w:val="24"/>
                <w:lang w:eastAsia="en-GB"/>
              </w:rPr>
              <w:t>EC number</w:t>
            </w:r>
          </w:p>
        </w:tc>
        <w:tc>
          <w:tcPr>
            <w:tcW w:w="967" w:type="dxa"/>
            <w:tcMar>
              <w:top w:w="40" w:type="dxa"/>
              <w:left w:w="40" w:type="dxa"/>
              <w:bottom w:w="40" w:type="dxa"/>
              <w:right w:w="40" w:type="dxa"/>
            </w:tcMar>
            <w:hideMark/>
          </w:tcPr>
          <w:p w14:paraId="3855C26A" w14:textId="77777777" w:rsidR="00A932DC" w:rsidRPr="00DC78BC" w:rsidRDefault="00A932DC" w:rsidP="00A932DC">
            <w:pPr>
              <w:spacing w:line="256" w:lineRule="auto"/>
            </w:pPr>
            <w:r w:rsidRPr="00DC78BC">
              <w:rPr>
                <w:b/>
                <w:bCs/>
                <w:szCs w:val="24"/>
                <w:lang w:eastAsia="en-GB"/>
              </w:rPr>
              <w:t>Content (%)</w:t>
            </w:r>
          </w:p>
        </w:tc>
      </w:tr>
      <w:tr w:rsidR="00E974B3" w:rsidRPr="00DC78BC" w14:paraId="2A4C4BB1" w14:textId="77777777" w:rsidTr="00E91F85">
        <w:tc>
          <w:tcPr>
            <w:tcW w:w="2021" w:type="dxa"/>
            <w:vMerge w:val="restart"/>
            <w:tcMar>
              <w:top w:w="40" w:type="dxa"/>
              <w:left w:w="40" w:type="dxa"/>
              <w:bottom w:w="40" w:type="dxa"/>
              <w:right w:w="40" w:type="dxa"/>
            </w:tcMar>
          </w:tcPr>
          <w:p w14:paraId="5B7A61A4" w14:textId="3CD86484" w:rsidR="00E974B3" w:rsidRPr="00B10ACB" w:rsidRDefault="00F84E20" w:rsidP="00E974B3">
            <w:pPr>
              <w:snapToGrid w:val="0"/>
              <w:spacing w:line="256" w:lineRule="auto"/>
              <w:rPr>
                <w:rFonts w:cs="Arial"/>
              </w:rPr>
            </w:pPr>
            <w:r w:rsidRPr="005D3980">
              <w:rPr>
                <w:rFonts w:cs="Arial"/>
              </w:rPr>
              <w:t xml:space="preserve">L(+) </w:t>
            </w:r>
            <w:r w:rsidR="00E974B3" w:rsidRPr="00B10ACB">
              <w:rPr>
                <w:rFonts w:cs="Arial"/>
              </w:rPr>
              <w:t>Lactic acid</w:t>
            </w:r>
          </w:p>
          <w:p w14:paraId="00277B59" w14:textId="77777777" w:rsidR="00E974B3" w:rsidRPr="00B10ACB" w:rsidRDefault="00E974B3" w:rsidP="00E974B3">
            <w:pPr>
              <w:widowControl w:val="0"/>
              <w:autoSpaceDE w:val="0"/>
              <w:spacing w:line="256" w:lineRule="auto"/>
              <w:rPr>
                <w:rFonts w:cs="Arial"/>
                <w:bCs/>
              </w:rPr>
            </w:pPr>
          </w:p>
        </w:tc>
        <w:tc>
          <w:tcPr>
            <w:tcW w:w="1850" w:type="dxa"/>
            <w:vMerge w:val="restart"/>
            <w:tcMar>
              <w:top w:w="40" w:type="dxa"/>
              <w:left w:w="40" w:type="dxa"/>
              <w:bottom w:w="40" w:type="dxa"/>
              <w:right w:w="40" w:type="dxa"/>
            </w:tcMar>
          </w:tcPr>
          <w:p w14:paraId="05B3ADCC" w14:textId="66C6714C" w:rsidR="00E974B3" w:rsidRPr="00B10ACB" w:rsidRDefault="00F84E20" w:rsidP="00E974B3">
            <w:pPr>
              <w:widowControl w:val="0"/>
              <w:autoSpaceDE w:val="0"/>
              <w:spacing w:line="256" w:lineRule="auto"/>
              <w:rPr>
                <w:rFonts w:cs="Arial"/>
                <w:bCs/>
              </w:rPr>
            </w:pPr>
            <w:r w:rsidRPr="00932929">
              <w:t>(S)-2-Hydroxypropanoic acid</w:t>
            </w:r>
            <w:r w:rsidRPr="00F84E20" w:rsidDel="00F84E20">
              <w:rPr>
                <w:rFonts w:cs="Arial"/>
              </w:rPr>
              <w:t xml:space="preserve"> </w:t>
            </w:r>
          </w:p>
        </w:tc>
        <w:tc>
          <w:tcPr>
            <w:tcW w:w="1134" w:type="dxa"/>
            <w:tcMar>
              <w:top w:w="40" w:type="dxa"/>
              <w:left w:w="40" w:type="dxa"/>
              <w:bottom w:w="40" w:type="dxa"/>
              <w:right w:w="40" w:type="dxa"/>
            </w:tcMar>
            <w:vAlign w:val="center"/>
            <w:hideMark/>
          </w:tcPr>
          <w:p w14:paraId="591F21E2" w14:textId="77940E7A" w:rsidR="00E974B3" w:rsidRPr="00B10ACB" w:rsidRDefault="00E974B3" w:rsidP="00E974B3">
            <w:pPr>
              <w:spacing w:line="256" w:lineRule="auto"/>
              <w:rPr>
                <w:rFonts w:cs="Arial"/>
              </w:rPr>
            </w:pPr>
            <w:r w:rsidRPr="00B10ACB">
              <w:rPr>
                <w:rFonts w:cs="Arial"/>
              </w:rPr>
              <w:t>Pure active substance</w:t>
            </w:r>
          </w:p>
        </w:tc>
        <w:tc>
          <w:tcPr>
            <w:tcW w:w="1276" w:type="dxa"/>
            <w:vMerge w:val="restart"/>
            <w:tcMar>
              <w:top w:w="40" w:type="dxa"/>
              <w:left w:w="40" w:type="dxa"/>
              <w:bottom w:w="40" w:type="dxa"/>
              <w:right w:w="40" w:type="dxa"/>
            </w:tcMar>
          </w:tcPr>
          <w:p w14:paraId="1A63BAD9" w14:textId="06057DBD" w:rsidR="00E974B3" w:rsidRPr="00B10ACB" w:rsidRDefault="00E974B3" w:rsidP="00E974B3">
            <w:pPr>
              <w:spacing w:line="256" w:lineRule="auto"/>
              <w:rPr>
                <w:rFonts w:cs="Arial"/>
              </w:rPr>
            </w:pPr>
            <w:r w:rsidRPr="00B10ACB">
              <w:rPr>
                <w:rFonts w:cs="Arial"/>
              </w:rPr>
              <w:t>79-33-4</w:t>
            </w:r>
          </w:p>
        </w:tc>
        <w:tc>
          <w:tcPr>
            <w:tcW w:w="1152" w:type="dxa"/>
            <w:vMerge w:val="restart"/>
            <w:tcMar>
              <w:top w:w="40" w:type="dxa"/>
              <w:left w:w="40" w:type="dxa"/>
              <w:bottom w:w="40" w:type="dxa"/>
              <w:right w:w="40" w:type="dxa"/>
            </w:tcMar>
          </w:tcPr>
          <w:p w14:paraId="7F03DF0F" w14:textId="1BB5785B" w:rsidR="00E974B3" w:rsidRPr="00B10ACB" w:rsidRDefault="00E974B3" w:rsidP="00E974B3">
            <w:pPr>
              <w:widowControl w:val="0"/>
              <w:autoSpaceDE w:val="0"/>
              <w:spacing w:line="256" w:lineRule="auto"/>
              <w:rPr>
                <w:rFonts w:cs="Arial"/>
                <w:bCs/>
              </w:rPr>
            </w:pPr>
            <w:r w:rsidRPr="00B10ACB">
              <w:rPr>
                <w:rFonts w:cs="Arial"/>
              </w:rPr>
              <w:t>201-196-2</w:t>
            </w:r>
          </w:p>
        </w:tc>
        <w:tc>
          <w:tcPr>
            <w:tcW w:w="967" w:type="dxa"/>
            <w:tcMar>
              <w:top w:w="40" w:type="dxa"/>
              <w:left w:w="40" w:type="dxa"/>
              <w:bottom w:w="40" w:type="dxa"/>
              <w:right w:w="40" w:type="dxa"/>
            </w:tcMar>
            <w:vAlign w:val="center"/>
          </w:tcPr>
          <w:p w14:paraId="5291468C" w14:textId="1BD6F37B" w:rsidR="00E974B3" w:rsidRPr="00B10ACB" w:rsidRDefault="00E974B3" w:rsidP="00E974B3">
            <w:pPr>
              <w:autoSpaceDE w:val="0"/>
              <w:spacing w:line="256" w:lineRule="auto"/>
              <w:rPr>
                <w:rFonts w:cs="Arial"/>
                <w:color w:val="000000"/>
              </w:rPr>
            </w:pPr>
            <w:r w:rsidRPr="00DC78BC">
              <w:t>11.46</w:t>
            </w:r>
          </w:p>
        </w:tc>
      </w:tr>
      <w:tr w:rsidR="00E974B3" w:rsidRPr="00DC78BC" w14:paraId="0E9FF1DD" w14:textId="77777777" w:rsidTr="00E91F85">
        <w:tc>
          <w:tcPr>
            <w:tcW w:w="2021" w:type="dxa"/>
            <w:vMerge/>
            <w:hideMark/>
          </w:tcPr>
          <w:p w14:paraId="4C008F2E" w14:textId="77777777" w:rsidR="00E974B3" w:rsidRPr="00B10ACB" w:rsidRDefault="00E974B3" w:rsidP="00E974B3">
            <w:pPr>
              <w:suppressAutoHyphens w:val="0"/>
              <w:spacing w:line="256" w:lineRule="auto"/>
              <w:rPr>
                <w:rFonts w:cs="Arial"/>
                <w:bCs/>
              </w:rPr>
            </w:pPr>
          </w:p>
        </w:tc>
        <w:tc>
          <w:tcPr>
            <w:tcW w:w="1850" w:type="dxa"/>
            <w:vMerge/>
            <w:hideMark/>
          </w:tcPr>
          <w:p w14:paraId="4C81B54C" w14:textId="77777777" w:rsidR="00E974B3" w:rsidRPr="00B10ACB" w:rsidRDefault="00E974B3" w:rsidP="00E974B3">
            <w:pPr>
              <w:suppressAutoHyphens w:val="0"/>
              <w:spacing w:line="256" w:lineRule="auto"/>
              <w:rPr>
                <w:rFonts w:cs="Arial"/>
                <w:bCs/>
              </w:rPr>
            </w:pPr>
          </w:p>
        </w:tc>
        <w:tc>
          <w:tcPr>
            <w:tcW w:w="1134" w:type="dxa"/>
            <w:tcMar>
              <w:top w:w="40" w:type="dxa"/>
              <w:left w:w="40" w:type="dxa"/>
              <w:bottom w:w="40" w:type="dxa"/>
              <w:right w:w="40" w:type="dxa"/>
            </w:tcMar>
            <w:vAlign w:val="center"/>
            <w:hideMark/>
          </w:tcPr>
          <w:p w14:paraId="2714F96E" w14:textId="05FC6917" w:rsidR="00E974B3" w:rsidRPr="00B10ACB" w:rsidRDefault="00E974B3" w:rsidP="00E974B3">
            <w:pPr>
              <w:spacing w:line="256" w:lineRule="auto"/>
              <w:rPr>
                <w:rFonts w:cs="Arial"/>
                <w:color w:val="000000"/>
                <w:lang w:eastAsia="fr-FR"/>
              </w:rPr>
            </w:pPr>
            <w:r w:rsidRPr="00B10ACB">
              <w:rPr>
                <w:rFonts w:cs="Arial"/>
              </w:rPr>
              <w:t>Technical active substance</w:t>
            </w:r>
          </w:p>
        </w:tc>
        <w:tc>
          <w:tcPr>
            <w:tcW w:w="1276" w:type="dxa"/>
            <w:vMerge/>
            <w:hideMark/>
          </w:tcPr>
          <w:p w14:paraId="6AB1BC1D" w14:textId="77777777" w:rsidR="00E974B3" w:rsidRPr="00B10ACB" w:rsidRDefault="00E974B3" w:rsidP="00E974B3">
            <w:pPr>
              <w:suppressAutoHyphens w:val="0"/>
              <w:spacing w:line="256" w:lineRule="auto"/>
              <w:rPr>
                <w:rFonts w:cs="Arial"/>
              </w:rPr>
            </w:pPr>
          </w:p>
        </w:tc>
        <w:tc>
          <w:tcPr>
            <w:tcW w:w="1152" w:type="dxa"/>
            <w:vMerge/>
            <w:hideMark/>
          </w:tcPr>
          <w:p w14:paraId="3F8A857E" w14:textId="77777777" w:rsidR="00E974B3" w:rsidRPr="00B10ACB" w:rsidRDefault="00E974B3" w:rsidP="00E974B3">
            <w:pPr>
              <w:suppressAutoHyphens w:val="0"/>
              <w:spacing w:line="256" w:lineRule="auto"/>
              <w:rPr>
                <w:rFonts w:cs="Arial"/>
                <w:bCs/>
              </w:rPr>
            </w:pPr>
          </w:p>
        </w:tc>
        <w:tc>
          <w:tcPr>
            <w:tcW w:w="967" w:type="dxa"/>
            <w:tcMar>
              <w:top w:w="40" w:type="dxa"/>
              <w:left w:w="40" w:type="dxa"/>
              <w:bottom w:w="40" w:type="dxa"/>
              <w:right w:w="40" w:type="dxa"/>
            </w:tcMar>
            <w:vAlign w:val="center"/>
          </w:tcPr>
          <w:p w14:paraId="40300E43" w14:textId="2C5299A9" w:rsidR="00E974B3" w:rsidRPr="00B10ACB" w:rsidRDefault="00E974B3" w:rsidP="00E974B3">
            <w:pPr>
              <w:spacing w:line="256" w:lineRule="auto"/>
              <w:rPr>
                <w:rFonts w:cs="Arial"/>
              </w:rPr>
            </w:pPr>
            <w:r w:rsidRPr="00DC78BC">
              <w:t>12</w:t>
            </w:r>
          </w:p>
        </w:tc>
      </w:tr>
    </w:tbl>
    <w:p w14:paraId="177447CC" w14:textId="77777777" w:rsidR="00A932DC" w:rsidRPr="00B27CB1" w:rsidRDefault="00A932DC" w:rsidP="00A932DC"/>
    <w:p w14:paraId="7B095870" w14:textId="5E762B2A" w:rsidR="00A932DC" w:rsidRPr="00B27CB1" w:rsidRDefault="00A932DC" w:rsidP="00A932DC"/>
    <w:p w14:paraId="53C0D63E" w14:textId="4493D7C3" w:rsidR="00A932DC" w:rsidRPr="00B27CB1" w:rsidRDefault="00A932DC" w:rsidP="00A932DC">
      <w:pPr>
        <w:keepNext/>
        <w:spacing w:after="120"/>
        <w:ind w:left="432" w:hanging="432"/>
        <w:outlineLvl w:val="0"/>
        <w:rPr>
          <w:b/>
          <w:caps/>
          <w:sz w:val="28"/>
        </w:rPr>
      </w:pPr>
      <w:r w:rsidRPr="00B27CB1">
        <w:rPr>
          <w:b/>
          <w:caps/>
          <w:sz w:val="28"/>
        </w:rPr>
        <w:t>Part II - Second information level - meta SPC 11</w:t>
      </w:r>
    </w:p>
    <w:p w14:paraId="27E7E669" w14:textId="77777777" w:rsidR="00A932DC" w:rsidRPr="00B27CB1" w:rsidRDefault="00A932DC" w:rsidP="00A932DC"/>
    <w:p w14:paraId="067F147A" w14:textId="4970F24C" w:rsidR="00A932DC" w:rsidRPr="00B27CB1" w:rsidRDefault="00A932DC" w:rsidP="00E91F85">
      <w:pPr>
        <w:pStyle w:val="Titre3"/>
      </w:pPr>
      <w:bookmarkStart w:id="119" w:name="_Toc87361149"/>
      <w:r w:rsidRPr="00B27CB1">
        <w:lastRenderedPageBreak/>
        <w:t>Meta SPC 11 administrative information</w:t>
      </w:r>
      <w:bookmarkEnd w:id="119"/>
    </w:p>
    <w:p w14:paraId="544146FD"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570CEE0D"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4D3A5D" w14:textId="77777777" w:rsidR="00A932DC" w:rsidRPr="00B27CB1" w:rsidRDefault="00A932DC" w:rsidP="00310531">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8C4F58D" w14:textId="4F834E75" w:rsidR="00A932DC" w:rsidRPr="00B27CB1" w:rsidRDefault="00A932DC" w:rsidP="00310531">
            <w:pPr>
              <w:spacing w:line="256" w:lineRule="auto"/>
            </w:pPr>
            <w:r w:rsidRPr="00B27CB1">
              <w:t>META SPC 11</w:t>
            </w:r>
          </w:p>
        </w:tc>
      </w:tr>
    </w:tbl>
    <w:p w14:paraId="26153BAC" w14:textId="77777777" w:rsidR="00A932DC" w:rsidRPr="00B27CB1" w:rsidRDefault="00A932DC" w:rsidP="00A932DC"/>
    <w:p w14:paraId="179EEBE3"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DAA304F"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CC11FF" w14:textId="1227405F" w:rsidR="00A932DC" w:rsidRPr="00B27CB1" w:rsidRDefault="002F6E1B" w:rsidP="00310531">
            <w:pPr>
              <w:spacing w:line="256" w:lineRule="auto"/>
            </w:pPr>
            <w:r>
              <w:t>Number 7</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B35C3" w14:textId="77777777" w:rsidR="00A932DC" w:rsidRPr="00B27CB1" w:rsidRDefault="00A932DC" w:rsidP="00310531">
            <w:pPr>
              <w:spacing w:line="256" w:lineRule="auto"/>
            </w:pPr>
          </w:p>
        </w:tc>
      </w:tr>
    </w:tbl>
    <w:p w14:paraId="050C48EE" w14:textId="77777777" w:rsidR="00A932DC" w:rsidRPr="00B27CB1" w:rsidRDefault="00A932DC" w:rsidP="00A932DC"/>
    <w:p w14:paraId="43567A3F"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61D079A8"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9CAE08" w14:textId="77777777" w:rsidR="00A932DC" w:rsidRPr="00B27CB1" w:rsidRDefault="00A932DC" w:rsidP="00310531">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CD5F5F" w14:textId="470740EB" w:rsidR="00A932DC" w:rsidRPr="00B27CB1" w:rsidRDefault="00CB4A8C" w:rsidP="002F6E1B">
            <w:pPr>
              <w:spacing w:line="256" w:lineRule="auto"/>
            </w:pPr>
            <w:r w:rsidRPr="00B27CB1">
              <w:t>2, 4</w:t>
            </w:r>
          </w:p>
        </w:tc>
      </w:tr>
    </w:tbl>
    <w:p w14:paraId="15D7FA13" w14:textId="77777777" w:rsidR="00A932DC" w:rsidRPr="00B27CB1" w:rsidRDefault="00A932DC" w:rsidP="00A932DC"/>
    <w:p w14:paraId="19A17A41" w14:textId="6C43B570" w:rsidR="00A932DC" w:rsidRPr="00B27CB1" w:rsidRDefault="00A932DC" w:rsidP="00E91F85">
      <w:pPr>
        <w:pStyle w:val="Titre3"/>
      </w:pPr>
      <w:bookmarkStart w:id="120" w:name="_Toc87361150"/>
      <w:r w:rsidRPr="00B27CB1">
        <w:t>Meta SPC 11 composition</w:t>
      </w:r>
      <w:bookmarkEnd w:id="120"/>
    </w:p>
    <w:p w14:paraId="62DBD0CD" w14:textId="23056C6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11</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29DFE439"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25E6235D" w14:textId="77777777" w:rsidR="00A932DC" w:rsidRPr="00B27CB1" w:rsidRDefault="00A932DC" w:rsidP="00310531">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08E766ED" w14:textId="77777777" w:rsidR="00A932DC" w:rsidRPr="00B27CB1" w:rsidRDefault="00A932DC" w:rsidP="00310531">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30645828" w14:textId="77777777" w:rsidR="00A932DC" w:rsidRPr="00B27CB1" w:rsidRDefault="00A932DC" w:rsidP="00310531">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1496CA01" w14:textId="77777777" w:rsidR="00A932DC" w:rsidRPr="00B27CB1" w:rsidRDefault="00A932DC" w:rsidP="00310531">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77D0492C" w14:textId="77777777" w:rsidR="00A932DC" w:rsidRPr="00B27CB1" w:rsidRDefault="00A932DC" w:rsidP="00310531">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0C9421C3" w14:textId="77777777" w:rsidR="00A932DC" w:rsidRPr="00B27CB1" w:rsidRDefault="00A932DC" w:rsidP="00310531">
            <w:pPr>
              <w:spacing w:line="256" w:lineRule="auto"/>
            </w:pPr>
            <w:r w:rsidRPr="00B27CB1">
              <w:rPr>
                <w:b/>
                <w:bCs/>
                <w:szCs w:val="24"/>
                <w:lang w:eastAsia="en-GB"/>
              </w:rPr>
              <w:t>Content (%)</w:t>
            </w:r>
          </w:p>
        </w:tc>
      </w:tr>
      <w:tr w:rsidR="00A932DC" w:rsidRPr="00B27CB1" w14:paraId="2437ADFC"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0D4322E5"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39E69E8"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F51C465"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EE82BBD"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BE2AB5A" w14:textId="77777777" w:rsidR="00A932DC" w:rsidRPr="00B27CB1" w:rsidRDefault="00A932DC" w:rsidP="00310531">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D496A7" w14:textId="77777777" w:rsidR="00A932DC" w:rsidRPr="00B27CB1" w:rsidRDefault="00A932DC" w:rsidP="00310531">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4615B" w14:textId="77777777" w:rsidR="00A932DC" w:rsidRPr="00B27CB1" w:rsidRDefault="00A932DC" w:rsidP="00310531">
            <w:pPr>
              <w:spacing w:line="256" w:lineRule="auto"/>
            </w:pPr>
            <w:r w:rsidRPr="00B27CB1">
              <w:rPr>
                <w:b/>
                <w:bCs/>
                <w:szCs w:val="24"/>
                <w:lang w:eastAsia="en-GB"/>
              </w:rPr>
              <w:t>Max</w:t>
            </w:r>
          </w:p>
        </w:tc>
      </w:tr>
      <w:tr w:rsidR="00E974B3" w:rsidRPr="00B27CB1" w14:paraId="13340439" w14:textId="77777777" w:rsidTr="00E91F85">
        <w:tc>
          <w:tcPr>
            <w:tcW w:w="2256" w:type="dxa"/>
            <w:vMerge w:val="restart"/>
            <w:tcBorders>
              <w:top w:val="single" w:sz="4" w:space="0" w:color="000000"/>
              <w:left w:val="single" w:sz="4" w:space="0" w:color="000000"/>
              <w:bottom w:val="single" w:sz="4" w:space="0" w:color="000000"/>
              <w:right w:val="nil"/>
            </w:tcBorders>
          </w:tcPr>
          <w:p w14:paraId="54EB9DC8" w14:textId="412E3308" w:rsidR="00E974B3" w:rsidRPr="00B27CB1" w:rsidRDefault="00F84E20" w:rsidP="00E974B3">
            <w:pPr>
              <w:snapToGrid w:val="0"/>
              <w:spacing w:line="256" w:lineRule="auto"/>
              <w:rPr>
                <w:b/>
                <w:bCs/>
                <w:szCs w:val="24"/>
                <w:lang w:eastAsia="en-GB"/>
              </w:rPr>
            </w:pPr>
            <w:r w:rsidRPr="00932929">
              <w:rPr>
                <w:lang w:val="pl-PL"/>
              </w:rPr>
              <w:t xml:space="preserve">L(+) </w:t>
            </w:r>
            <w:r w:rsidR="00E974B3">
              <w:rPr>
                <w:lang w:val="pl-PL"/>
              </w:rPr>
              <w:t>Lactic acid</w:t>
            </w:r>
          </w:p>
          <w:p w14:paraId="071A72CB" w14:textId="77777777" w:rsidR="00E974B3" w:rsidRPr="00B27CB1" w:rsidRDefault="00E974B3" w:rsidP="00E974B3">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1CB28BD9" w14:textId="5C20E332" w:rsidR="00E974B3" w:rsidRPr="00B27CB1" w:rsidRDefault="00F84E20" w:rsidP="00E974B3">
            <w:pPr>
              <w:snapToGrid w:val="0"/>
              <w:spacing w:line="256" w:lineRule="auto"/>
            </w:pPr>
            <w:r w:rsidRPr="00932929">
              <w:t>(S)-2-Hydroxypropanoic acid</w:t>
            </w:r>
            <w:r w:rsidRPr="00F67FDB" w:rsidDel="00F84E20">
              <w:t xml:space="preserve"> </w:t>
            </w:r>
          </w:p>
        </w:tc>
        <w:tc>
          <w:tcPr>
            <w:tcW w:w="1353" w:type="dxa"/>
            <w:tcBorders>
              <w:top w:val="single" w:sz="4" w:space="0" w:color="000000"/>
              <w:left w:val="single" w:sz="4" w:space="0" w:color="000000"/>
              <w:bottom w:val="single" w:sz="4" w:space="0" w:color="000000"/>
              <w:right w:val="nil"/>
            </w:tcBorders>
            <w:vAlign w:val="center"/>
            <w:hideMark/>
          </w:tcPr>
          <w:p w14:paraId="08ABBCDB" w14:textId="42008623" w:rsidR="00E974B3" w:rsidRPr="00B27CB1" w:rsidRDefault="00E974B3" w:rsidP="00E974B3">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3F78D9CD" w14:textId="152B3E58" w:rsidR="00E974B3" w:rsidRPr="00B27CB1" w:rsidRDefault="00E974B3" w:rsidP="00E974B3">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1A4868D0" w14:textId="3703689F" w:rsidR="00E974B3" w:rsidRPr="00B27CB1" w:rsidRDefault="00E974B3" w:rsidP="00E974B3">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66E9B725" w14:textId="16005E1C" w:rsidR="00E974B3" w:rsidRPr="00B27CB1" w:rsidRDefault="00E974B3" w:rsidP="00E974B3">
            <w:pPr>
              <w:snapToGrid w:val="0"/>
              <w:spacing w:line="256" w:lineRule="auto"/>
            </w:pPr>
            <w:r>
              <w:t>22.92</w:t>
            </w:r>
          </w:p>
        </w:tc>
        <w:tc>
          <w:tcPr>
            <w:tcW w:w="738" w:type="dxa"/>
            <w:tcBorders>
              <w:top w:val="single" w:sz="4" w:space="0" w:color="000000"/>
              <w:left w:val="single" w:sz="4" w:space="0" w:color="000000"/>
              <w:bottom w:val="single" w:sz="4" w:space="0" w:color="000000"/>
              <w:right w:val="single" w:sz="4" w:space="0" w:color="000000"/>
            </w:tcBorders>
            <w:vAlign w:val="center"/>
          </w:tcPr>
          <w:p w14:paraId="2F240080" w14:textId="04B0F2CF" w:rsidR="00E974B3" w:rsidRPr="00B27CB1" w:rsidRDefault="00E974B3" w:rsidP="00E974B3">
            <w:pPr>
              <w:snapToGrid w:val="0"/>
              <w:spacing w:line="256" w:lineRule="auto"/>
            </w:pPr>
            <w:r>
              <w:t>22.92</w:t>
            </w:r>
          </w:p>
        </w:tc>
      </w:tr>
      <w:tr w:rsidR="00E974B3" w:rsidRPr="00B27CB1" w14:paraId="1C170C43" w14:textId="77777777" w:rsidTr="00E91F85">
        <w:tc>
          <w:tcPr>
            <w:tcW w:w="2256" w:type="dxa"/>
            <w:vMerge/>
            <w:tcBorders>
              <w:top w:val="single" w:sz="4" w:space="0" w:color="000000"/>
              <w:left w:val="single" w:sz="4" w:space="0" w:color="000000"/>
              <w:bottom w:val="single" w:sz="4" w:space="0" w:color="000000"/>
              <w:right w:val="nil"/>
            </w:tcBorders>
            <w:hideMark/>
          </w:tcPr>
          <w:p w14:paraId="4D92AA64" w14:textId="77777777" w:rsidR="00E974B3" w:rsidRPr="00B27CB1" w:rsidRDefault="00E974B3" w:rsidP="00E974B3">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0E9F9433" w14:textId="77777777" w:rsidR="00E974B3" w:rsidRPr="00B27CB1" w:rsidRDefault="00E974B3" w:rsidP="00E974B3">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1B052226" w14:textId="2926C150" w:rsidR="00E974B3" w:rsidRPr="00B27CB1" w:rsidRDefault="00E974B3" w:rsidP="00E974B3">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2EFBD96F" w14:textId="77777777" w:rsidR="00E974B3" w:rsidRPr="00B27CB1" w:rsidRDefault="00E974B3" w:rsidP="00E974B3">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0ED131B2" w14:textId="77777777" w:rsidR="00E974B3" w:rsidRPr="00B27CB1" w:rsidRDefault="00E974B3" w:rsidP="00E974B3">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0A6C4040" w14:textId="692A9B53" w:rsidR="00E974B3" w:rsidRPr="00B27CB1" w:rsidRDefault="00E974B3" w:rsidP="00E974B3">
            <w:pPr>
              <w:snapToGrid w:val="0"/>
              <w:spacing w:line="256" w:lineRule="auto"/>
            </w:pPr>
            <w:r>
              <w:t>24</w:t>
            </w:r>
          </w:p>
        </w:tc>
        <w:tc>
          <w:tcPr>
            <w:tcW w:w="738" w:type="dxa"/>
            <w:tcBorders>
              <w:top w:val="single" w:sz="4" w:space="0" w:color="000000"/>
              <w:left w:val="single" w:sz="4" w:space="0" w:color="000000"/>
              <w:bottom w:val="single" w:sz="4" w:space="0" w:color="000000"/>
              <w:right w:val="single" w:sz="4" w:space="0" w:color="000000"/>
            </w:tcBorders>
            <w:vAlign w:val="center"/>
          </w:tcPr>
          <w:p w14:paraId="75E98EC5" w14:textId="4774A0C9" w:rsidR="00E974B3" w:rsidRPr="00B27CB1" w:rsidRDefault="00E974B3" w:rsidP="00E974B3">
            <w:pPr>
              <w:snapToGrid w:val="0"/>
              <w:spacing w:line="256" w:lineRule="auto"/>
            </w:pPr>
            <w:r>
              <w:t>24</w:t>
            </w:r>
          </w:p>
        </w:tc>
      </w:tr>
      <w:tr w:rsidR="00E420BD" w:rsidRPr="00B27CB1" w14:paraId="69A95E05" w14:textId="77777777" w:rsidTr="00E91F85">
        <w:tc>
          <w:tcPr>
            <w:tcW w:w="2256" w:type="dxa"/>
            <w:tcBorders>
              <w:top w:val="single" w:sz="4" w:space="0" w:color="000000"/>
              <w:left w:val="single" w:sz="4" w:space="0" w:color="000000"/>
              <w:bottom w:val="single" w:sz="4" w:space="0" w:color="000000"/>
              <w:right w:val="nil"/>
            </w:tcBorders>
          </w:tcPr>
          <w:p w14:paraId="3A10E50D" w14:textId="4BE29F5A" w:rsidR="00E420BD" w:rsidRDefault="00E420BD" w:rsidP="00E420BD">
            <w:pPr>
              <w:tabs>
                <w:tab w:val="right" w:pos="2246"/>
              </w:tabs>
              <w:suppressAutoHyphens w:val="0"/>
              <w:spacing w:line="256" w:lineRule="auto"/>
              <w:rPr>
                <w:bCs/>
                <w:szCs w:val="24"/>
                <w:lang w:eastAsia="en-GB"/>
              </w:rPr>
            </w:pPr>
            <w:r w:rsidRPr="00E420BD">
              <w:rPr>
                <w:bCs/>
                <w:szCs w:val="24"/>
                <w:lang w:eastAsia="en-GB"/>
              </w:rPr>
              <w:t>(Fractionated coco)dimethylamine oxide</w:t>
            </w:r>
          </w:p>
          <w:p w14:paraId="11755AA3" w14:textId="1DE3751F" w:rsidR="00E420BD" w:rsidRDefault="00E420BD" w:rsidP="00E91F85">
            <w:pPr>
              <w:tabs>
                <w:tab w:val="right" w:pos="2246"/>
              </w:tabs>
              <w:suppressAutoHyphens w:val="0"/>
              <w:spacing w:line="256" w:lineRule="auto"/>
              <w:rPr>
                <w:bCs/>
                <w:szCs w:val="24"/>
                <w:lang w:eastAsia="en-GB"/>
              </w:rPr>
            </w:pPr>
          </w:p>
        </w:tc>
        <w:tc>
          <w:tcPr>
            <w:tcW w:w="1353" w:type="dxa"/>
            <w:tcBorders>
              <w:top w:val="single" w:sz="4" w:space="0" w:color="000000"/>
              <w:left w:val="single" w:sz="4" w:space="0" w:color="000000"/>
              <w:bottom w:val="single" w:sz="4" w:space="0" w:color="000000"/>
              <w:right w:val="nil"/>
            </w:tcBorders>
          </w:tcPr>
          <w:p w14:paraId="5E22E353" w14:textId="6650D6C8" w:rsidR="00E420BD" w:rsidRPr="005C0DBC" w:rsidRDefault="00E420BD" w:rsidP="00E974B3">
            <w:pPr>
              <w:suppressAutoHyphens w:val="0"/>
              <w:spacing w:line="256" w:lineRule="auto"/>
            </w:pPr>
            <w:r w:rsidRPr="00E420BD">
              <w:t>(Fractionated coco)dimethylamine oxide</w:t>
            </w:r>
          </w:p>
        </w:tc>
        <w:tc>
          <w:tcPr>
            <w:tcW w:w="1353" w:type="dxa"/>
            <w:tcBorders>
              <w:top w:val="single" w:sz="4" w:space="0" w:color="000000"/>
              <w:left w:val="single" w:sz="4" w:space="0" w:color="000000"/>
              <w:bottom w:val="single" w:sz="4" w:space="0" w:color="000000"/>
              <w:right w:val="nil"/>
            </w:tcBorders>
          </w:tcPr>
          <w:p w14:paraId="7B77C542" w14:textId="4AD1ED03" w:rsidR="00E420BD" w:rsidRDefault="00E420BD" w:rsidP="00E974B3">
            <w:pPr>
              <w:spacing w:line="256" w:lineRule="auto"/>
            </w:pPr>
            <w:r>
              <w:rPr>
                <w:bCs/>
              </w:rPr>
              <w:t>Surfactant</w:t>
            </w:r>
          </w:p>
        </w:tc>
        <w:tc>
          <w:tcPr>
            <w:tcW w:w="1353" w:type="dxa"/>
            <w:tcBorders>
              <w:top w:val="single" w:sz="4" w:space="0" w:color="000000"/>
              <w:left w:val="single" w:sz="4" w:space="0" w:color="000000"/>
              <w:bottom w:val="single" w:sz="4" w:space="0" w:color="000000"/>
              <w:right w:val="nil"/>
            </w:tcBorders>
          </w:tcPr>
          <w:p w14:paraId="3CD77A93" w14:textId="7A4C4E6D" w:rsidR="00E420BD" w:rsidRPr="00F41EFA" w:rsidRDefault="00E420BD" w:rsidP="00E974B3">
            <w:pPr>
              <w:suppressAutoHyphens w:val="0"/>
              <w:spacing w:line="256" w:lineRule="auto"/>
            </w:pPr>
            <w:r w:rsidRPr="00E420BD">
              <w:t>61788-90-7</w:t>
            </w:r>
          </w:p>
        </w:tc>
        <w:tc>
          <w:tcPr>
            <w:tcW w:w="1353" w:type="dxa"/>
            <w:tcBorders>
              <w:top w:val="single" w:sz="4" w:space="0" w:color="000000"/>
              <w:left w:val="single" w:sz="4" w:space="0" w:color="000000"/>
              <w:bottom w:val="single" w:sz="4" w:space="0" w:color="000000"/>
              <w:right w:val="nil"/>
            </w:tcBorders>
          </w:tcPr>
          <w:p w14:paraId="31862E26" w14:textId="616AF4D3" w:rsidR="00E420BD" w:rsidRDefault="00E420BD" w:rsidP="00E974B3">
            <w:pPr>
              <w:suppressAutoHyphens w:val="0"/>
              <w:spacing w:line="256" w:lineRule="auto"/>
            </w:pPr>
            <w:r w:rsidRPr="00E420BD">
              <w:t>263-016-9</w:t>
            </w:r>
          </w:p>
        </w:tc>
        <w:tc>
          <w:tcPr>
            <w:tcW w:w="625" w:type="dxa"/>
            <w:tcBorders>
              <w:top w:val="single" w:sz="4" w:space="0" w:color="000000"/>
              <w:left w:val="single" w:sz="4" w:space="0" w:color="000000"/>
              <w:bottom w:val="single" w:sz="4" w:space="0" w:color="000000"/>
              <w:right w:val="nil"/>
            </w:tcBorders>
          </w:tcPr>
          <w:p w14:paraId="03A52BFE" w14:textId="4ED2D04F" w:rsidR="00E420BD" w:rsidRDefault="00032ACB">
            <w:pPr>
              <w:snapToGrid w:val="0"/>
              <w:spacing w:line="256" w:lineRule="auto"/>
            </w:pPr>
            <w:r>
              <w:t>6.68</w:t>
            </w:r>
          </w:p>
        </w:tc>
        <w:tc>
          <w:tcPr>
            <w:tcW w:w="738" w:type="dxa"/>
            <w:tcBorders>
              <w:top w:val="single" w:sz="4" w:space="0" w:color="000000"/>
              <w:left w:val="single" w:sz="4" w:space="0" w:color="000000"/>
              <w:bottom w:val="single" w:sz="4" w:space="0" w:color="000000"/>
              <w:right w:val="single" w:sz="4" w:space="0" w:color="000000"/>
            </w:tcBorders>
          </w:tcPr>
          <w:p w14:paraId="72956DFC" w14:textId="0F37C203" w:rsidR="00E420BD" w:rsidRDefault="00E420BD">
            <w:pPr>
              <w:snapToGrid w:val="0"/>
              <w:spacing w:line="256" w:lineRule="auto"/>
            </w:pPr>
            <w:r>
              <w:t>6.68</w:t>
            </w:r>
          </w:p>
        </w:tc>
      </w:tr>
    </w:tbl>
    <w:p w14:paraId="01608576" w14:textId="77777777" w:rsidR="00A932DC" w:rsidRPr="00B27CB1" w:rsidRDefault="00A932DC" w:rsidP="00A932DC"/>
    <w:p w14:paraId="6EECB55D" w14:textId="1FF8CFB2"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11</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562A8BA1"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9F6A527" w14:textId="6A8C1C8B" w:rsidR="00A932DC" w:rsidRPr="00B27CB1" w:rsidRDefault="00CB4A8C" w:rsidP="00B10ACB">
            <w:pPr>
              <w:keepNext/>
              <w:outlineLvl w:val="2"/>
            </w:pPr>
            <w:r w:rsidRPr="00B27CB1">
              <w:t>SL - Soluble concentrate</w:t>
            </w:r>
          </w:p>
        </w:tc>
      </w:tr>
    </w:tbl>
    <w:p w14:paraId="393B7DC0" w14:textId="77777777" w:rsidR="00A932DC" w:rsidRPr="00B27CB1" w:rsidRDefault="00A932DC" w:rsidP="00A932DC"/>
    <w:p w14:paraId="3A53F58F" w14:textId="0EDCE477" w:rsidR="00A932DC" w:rsidRPr="00B10ACB" w:rsidRDefault="00A932DC" w:rsidP="00E91F85">
      <w:pPr>
        <w:pStyle w:val="Titre3"/>
        <w:rPr>
          <w:lang w:val="en-US"/>
        </w:rPr>
      </w:pPr>
      <w:bookmarkStart w:id="121" w:name="_Toc87361151"/>
      <w:r w:rsidRPr="00B10ACB">
        <w:rPr>
          <w:lang w:val="en-US"/>
        </w:rPr>
        <w:t>Hazard and precautionary statements according to Regulation (EC) 1272/2008 of the meta SPC 11</w:t>
      </w:r>
      <w:bookmarkEnd w:id="121"/>
    </w:p>
    <w:p w14:paraId="42003B60" w14:textId="77777777" w:rsidR="00A932DC" w:rsidRPr="00B27CB1" w:rsidRDefault="00A932DC" w:rsidP="00A932DC"/>
    <w:p w14:paraId="1DF2B635" w14:textId="77777777" w:rsidR="00A932DC" w:rsidRPr="00B27CB1" w:rsidRDefault="00A932DC" w:rsidP="00A932DC">
      <w:pPr>
        <w:rPr>
          <w:b/>
        </w:rPr>
      </w:pPr>
      <w:r w:rsidRPr="00B27CB1">
        <w:rPr>
          <w:b/>
        </w:rPr>
        <w:t>Classification and labelling of the products of the family according to the Regulation (EC) 1272/2008</w:t>
      </w:r>
    </w:p>
    <w:p w14:paraId="01C5E6D4" w14:textId="77777777" w:rsidR="008E6C85" w:rsidRDefault="008E6C85" w:rsidP="00A932DC">
      <w:pPr>
        <w:rPr>
          <w:i/>
          <w:lang w:eastAsia="en-GB"/>
        </w:rPr>
      </w:pPr>
    </w:p>
    <w:p w14:paraId="012E6341"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50DEFEC2"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BA26A90" w14:textId="77777777" w:rsidR="00A932DC" w:rsidRPr="00B27CB1" w:rsidRDefault="00A932DC" w:rsidP="00310531">
            <w:pPr>
              <w:spacing w:line="256" w:lineRule="auto"/>
            </w:pPr>
            <w:r w:rsidRPr="00B27CB1">
              <w:rPr>
                <w:b/>
                <w:lang w:eastAsia="en-US"/>
              </w:rPr>
              <w:t>Classification</w:t>
            </w:r>
          </w:p>
        </w:tc>
      </w:tr>
      <w:tr w:rsidR="00614B7A" w:rsidRPr="00B27CB1" w14:paraId="66BBA3A7"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5E0273B" w14:textId="77777777" w:rsidR="00614B7A" w:rsidRPr="00B27CB1" w:rsidRDefault="00614B7A" w:rsidP="00614B7A">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760BB91F" w14:textId="733CED75" w:rsidR="002F6E1B" w:rsidRDefault="002F6E1B" w:rsidP="00B10ACB">
            <w:pPr>
              <w:pStyle w:val="Corpsdetexte"/>
              <w:ind w:right="806"/>
              <w:jc w:val="both"/>
              <w:rPr>
                <w:lang w:val="fr-FR"/>
              </w:rPr>
            </w:pPr>
            <w:r w:rsidRPr="00E240FD">
              <w:rPr>
                <w:lang w:val="es-ES" w:eastAsia="fi-FI"/>
              </w:rPr>
              <w:t>Met. Corr. 1</w:t>
            </w:r>
          </w:p>
          <w:p w14:paraId="11BFAC32" w14:textId="7A464D2D" w:rsidR="00975EFB" w:rsidRPr="00E91F85" w:rsidRDefault="00975EFB" w:rsidP="00B10ACB">
            <w:pPr>
              <w:autoSpaceDE w:val="0"/>
              <w:autoSpaceDN w:val="0"/>
              <w:adjustRightInd w:val="0"/>
              <w:jc w:val="both"/>
              <w:rPr>
                <w:lang w:val="fr-FR"/>
              </w:rPr>
            </w:pPr>
            <w:r w:rsidRPr="00E91F85">
              <w:rPr>
                <w:lang w:val="fr-FR"/>
              </w:rPr>
              <w:t xml:space="preserve">Skin Corr. 1C </w:t>
            </w:r>
          </w:p>
          <w:p w14:paraId="57503472" w14:textId="0052B64E" w:rsidR="00975EFB" w:rsidRPr="00E91F85" w:rsidRDefault="00975EFB" w:rsidP="00B10ACB">
            <w:pPr>
              <w:suppressAutoHyphens w:val="0"/>
              <w:autoSpaceDE w:val="0"/>
              <w:autoSpaceDN w:val="0"/>
              <w:adjustRightInd w:val="0"/>
              <w:jc w:val="both"/>
              <w:rPr>
                <w:lang w:val="fr-FR"/>
              </w:rPr>
            </w:pPr>
            <w:r w:rsidRPr="00E91F85">
              <w:rPr>
                <w:lang w:val="fr-FR"/>
              </w:rPr>
              <w:t>Eye Dam. 1</w:t>
            </w:r>
          </w:p>
          <w:p w14:paraId="534DB23D" w14:textId="2FD93058" w:rsidR="00D1372D" w:rsidRPr="00B27CB1" w:rsidRDefault="00D1372D" w:rsidP="00B10ACB">
            <w:pPr>
              <w:suppressAutoHyphens w:val="0"/>
              <w:autoSpaceDE w:val="0"/>
              <w:autoSpaceDN w:val="0"/>
              <w:adjustRightInd w:val="0"/>
              <w:jc w:val="both"/>
              <w:rPr>
                <w:rFonts w:ascii="Times New Roman" w:hAnsi="Times New Roman" w:cs="Times New Roman"/>
                <w:sz w:val="24"/>
                <w:szCs w:val="24"/>
                <w:lang w:eastAsia="fi-FI"/>
              </w:rPr>
            </w:pPr>
            <w:r w:rsidRPr="007901CD">
              <w:rPr>
                <w:lang w:eastAsia="fi-FI"/>
              </w:rPr>
              <w:t>Aquatic chronic 3</w:t>
            </w:r>
          </w:p>
        </w:tc>
      </w:tr>
      <w:tr w:rsidR="00614B7A" w:rsidRPr="00B27CB1" w14:paraId="2BCD57D7"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4782212C" w14:textId="77777777" w:rsidR="00614B7A" w:rsidRPr="00B27CB1" w:rsidRDefault="00614B7A" w:rsidP="00614B7A">
            <w:pPr>
              <w:spacing w:line="256" w:lineRule="auto"/>
              <w:rPr>
                <w:lang w:eastAsia="fi-FI"/>
              </w:rPr>
            </w:pPr>
            <w:r w:rsidRPr="00B27CB1">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tcPr>
          <w:p w14:paraId="2C65DA2D" w14:textId="4C65C113" w:rsidR="00614B7A" w:rsidRDefault="00614B7A" w:rsidP="00B10ACB">
            <w:pPr>
              <w:suppressAutoHyphens w:val="0"/>
              <w:autoSpaceDE w:val="0"/>
              <w:autoSpaceDN w:val="0"/>
              <w:adjustRightInd w:val="0"/>
              <w:jc w:val="both"/>
            </w:pPr>
            <w:r w:rsidRPr="00930421">
              <w:t xml:space="preserve">H290: May be corrosive to metals.  </w:t>
            </w:r>
          </w:p>
          <w:p w14:paraId="01EF7035" w14:textId="77777777" w:rsidR="00975EFB" w:rsidRPr="00AA5C99" w:rsidRDefault="00975EFB" w:rsidP="00B10ACB">
            <w:pPr>
              <w:autoSpaceDE w:val="0"/>
              <w:autoSpaceDN w:val="0"/>
              <w:adjustRightInd w:val="0"/>
              <w:jc w:val="both"/>
              <w:rPr>
                <w:rFonts w:cs="Times New Roman"/>
                <w:szCs w:val="24"/>
                <w:lang w:eastAsia="fi-FI"/>
              </w:rPr>
            </w:pPr>
            <w:r w:rsidRPr="00AA5C99">
              <w:rPr>
                <w:rFonts w:cs="Times New Roman"/>
                <w:szCs w:val="24"/>
                <w:lang w:eastAsia="fi-FI"/>
              </w:rPr>
              <w:t>H314: Causes severe skin burns and eye damage</w:t>
            </w:r>
          </w:p>
          <w:p w14:paraId="76ACC519" w14:textId="59B04DC3" w:rsidR="00975EFB" w:rsidRDefault="00975EFB" w:rsidP="00B10ACB">
            <w:pPr>
              <w:suppressAutoHyphens w:val="0"/>
              <w:autoSpaceDE w:val="0"/>
              <w:autoSpaceDN w:val="0"/>
              <w:adjustRightInd w:val="0"/>
              <w:jc w:val="both"/>
            </w:pPr>
            <w:r w:rsidRPr="00AA5C99">
              <w:rPr>
                <w:rFonts w:cs="Times New Roman"/>
                <w:szCs w:val="24"/>
                <w:lang w:eastAsia="fi-FI"/>
              </w:rPr>
              <w:t>H318: Causes serious eye damage</w:t>
            </w:r>
          </w:p>
          <w:p w14:paraId="663F7737" w14:textId="01A608A3" w:rsidR="00D1372D" w:rsidRPr="00B27CB1" w:rsidRDefault="00D1372D" w:rsidP="00B10ACB">
            <w:pPr>
              <w:suppressAutoHyphens w:val="0"/>
              <w:autoSpaceDE w:val="0"/>
              <w:autoSpaceDN w:val="0"/>
              <w:adjustRightInd w:val="0"/>
              <w:jc w:val="both"/>
              <w:rPr>
                <w:rFonts w:ascii="Times New Roman" w:hAnsi="Times New Roman" w:cs="Times New Roman"/>
                <w:sz w:val="24"/>
                <w:szCs w:val="24"/>
                <w:lang w:eastAsia="fi-FI"/>
              </w:rPr>
            </w:pPr>
            <w:r w:rsidRPr="007901CD">
              <w:rPr>
                <w:lang w:eastAsia="fi-FI"/>
              </w:rPr>
              <w:t>H412: Harmful to aquatic life with long lasting effects</w:t>
            </w:r>
          </w:p>
        </w:tc>
      </w:tr>
      <w:tr w:rsidR="00614B7A" w:rsidRPr="00B27CB1" w14:paraId="114B546F"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FAFAB4B" w14:textId="77777777" w:rsidR="00614B7A" w:rsidRPr="00B27CB1" w:rsidRDefault="00614B7A" w:rsidP="00B10ACB">
            <w:pPr>
              <w:snapToGrid w:val="0"/>
              <w:spacing w:line="256" w:lineRule="auto"/>
              <w:jc w:val="both"/>
              <w:rPr>
                <w:lang w:eastAsia="fi-FI"/>
              </w:rPr>
            </w:pPr>
          </w:p>
        </w:tc>
      </w:tr>
      <w:tr w:rsidR="00614B7A" w:rsidRPr="00B27CB1" w14:paraId="2E9FC7DE"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11F2E74A" w14:textId="77777777" w:rsidR="00614B7A" w:rsidRPr="00B27CB1" w:rsidRDefault="00614B7A" w:rsidP="00B10ACB">
            <w:pPr>
              <w:spacing w:line="256" w:lineRule="auto"/>
              <w:jc w:val="both"/>
            </w:pPr>
            <w:r w:rsidRPr="00B27CB1">
              <w:rPr>
                <w:b/>
                <w:lang w:eastAsia="en-US"/>
              </w:rPr>
              <w:t>Labelling</w:t>
            </w:r>
          </w:p>
        </w:tc>
      </w:tr>
      <w:tr w:rsidR="00614B7A" w:rsidRPr="00B27CB1" w14:paraId="7E71087A"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42C35C26" w14:textId="77777777" w:rsidR="00614B7A" w:rsidRPr="00B27CB1" w:rsidRDefault="00614B7A" w:rsidP="00614B7A">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5BB3091A" w14:textId="77777777" w:rsidR="00614B7A" w:rsidRPr="00B27CB1" w:rsidRDefault="00614B7A" w:rsidP="002F6E1B">
            <w:pPr>
              <w:suppressAutoHyphens w:val="0"/>
              <w:autoSpaceDE w:val="0"/>
              <w:autoSpaceDN w:val="0"/>
              <w:adjustRightInd w:val="0"/>
              <w:spacing w:after="60" w:line="256" w:lineRule="auto"/>
              <w:jc w:val="both"/>
              <w:rPr>
                <w:rFonts w:cs="Times New Roman"/>
                <w:szCs w:val="24"/>
                <w:lang w:eastAsia="fi-FI"/>
              </w:rPr>
            </w:pPr>
          </w:p>
        </w:tc>
      </w:tr>
      <w:tr w:rsidR="00614B7A" w:rsidRPr="00B27CB1" w14:paraId="469DA41F"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515F2EF3" w14:textId="7765C877" w:rsidR="00614B7A" w:rsidRPr="00B27CB1" w:rsidRDefault="00614B7A" w:rsidP="00614B7A">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1B36C1D9" w14:textId="4E793F1B" w:rsidR="00614B7A" w:rsidRPr="00B10ACB" w:rsidRDefault="00614B7A" w:rsidP="00B10ACB">
            <w:pPr>
              <w:autoSpaceDE w:val="0"/>
              <w:autoSpaceDN w:val="0"/>
              <w:adjustRightInd w:val="0"/>
              <w:jc w:val="both"/>
              <w:rPr>
                <w:lang w:val="en-US"/>
              </w:rPr>
            </w:pPr>
            <w:r w:rsidRPr="00B10ACB">
              <w:rPr>
                <w:lang w:val="en-US"/>
              </w:rPr>
              <w:t>H290: May be corrosive to metals.</w:t>
            </w:r>
          </w:p>
          <w:p w14:paraId="7B90AB25" w14:textId="2E05B364" w:rsidR="00975EFB" w:rsidRPr="00B10ACB" w:rsidRDefault="00975EFB" w:rsidP="00B10ACB">
            <w:pPr>
              <w:autoSpaceDE w:val="0"/>
              <w:autoSpaceDN w:val="0"/>
              <w:adjustRightInd w:val="0"/>
              <w:jc w:val="both"/>
              <w:rPr>
                <w:lang w:val="en-US"/>
              </w:rPr>
            </w:pPr>
            <w:r w:rsidRPr="00B10ACB">
              <w:rPr>
                <w:lang w:val="en-US"/>
              </w:rPr>
              <w:t>H314: Causes severe skin burns and eye damage</w:t>
            </w:r>
          </w:p>
          <w:p w14:paraId="4B98F938" w14:textId="6968059D" w:rsidR="00D1372D" w:rsidRPr="00B10ACB" w:rsidRDefault="00D1372D" w:rsidP="00B10ACB">
            <w:pPr>
              <w:autoSpaceDE w:val="0"/>
              <w:autoSpaceDN w:val="0"/>
              <w:adjustRightInd w:val="0"/>
              <w:jc w:val="both"/>
              <w:rPr>
                <w:lang w:val="en-US"/>
              </w:rPr>
            </w:pPr>
            <w:r w:rsidRPr="00B10ACB">
              <w:rPr>
                <w:lang w:val="en-US"/>
              </w:rPr>
              <w:t>H412: Harmful to aquatic life with long lasting effects</w:t>
            </w:r>
          </w:p>
        </w:tc>
      </w:tr>
      <w:tr w:rsidR="00614B7A" w:rsidRPr="00B27CB1" w14:paraId="38107AC3"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28AE1DBE" w14:textId="3F2FF33B" w:rsidR="00614B7A" w:rsidRPr="00B27CB1" w:rsidRDefault="00614B7A" w:rsidP="00614B7A">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00CAF56E" w14:textId="31BB448F" w:rsidR="00614B7A" w:rsidRPr="00B10ACB" w:rsidRDefault="00614B7A" w:rsidP="00B10ACB">
            <w:pPr>
              <w:autoSpaceDE w:val="0"/>
              <w:autoSpaceDN w:val="0"/>
              <w:adjustRightInd w:val="0"/>
              <w:jc w:val="both"/>
              <w:rPr>
                <w:lang w:val="en-US"/>
              </w:rPr>
            </w:pPr>
            <w:r w:rsidRPr="00B10ACB">
              <w:rPr>
                <w:lang w:val="en-US"/>
              </w:rPr>
              <w:t>P234: Keep only in original container.</w:t>
            </w:r>
          </w:p>
          <w:p w14:paraId="48CC3B62" w14:textId="77777777" w:rsidR="006853A4" w:rsidRPr="00B10ACB" w:rsidRDefault="006853A4" w:rsidP="00B10ACB">
            <w:pPr>
              <w:autoSpaceDE w:val="0"/>
              <w:autoSpaceDN w:val="0"/>
              <w:adjustRightInd w:val="0"/>
              <w:jc w:val="both"/>
              <w:rPr>
                <w:lang w:val="en-US"/>
              </w:rPr>
            </w:pPr>
            <w:r w:rsidRPr="00B10ACB">
              <w:rPr>
                <w:lang w:val="en-US"/>
              </w:rPr>
              <w:t>P260: Do not breathe dust/fume/gas/mist/vapours/spray.</w:t>
            </w:r>
          </w:p>
          <w:p w14:paraId="5E0EFE35" w14:textId="77777777" w:rsidR="006853A4" w:rsidRPr="00B10ACB" w:rsidRDefault="006853A4" w:rsidP="00B10ACB">
            <w:pPr>
              <w:autoSpaceDE w:val="0"/>
              <w:autoSpaceDN w:val="0"/>
              <w:adjustRightInd w:val="0"/>
              <w:jc w:val="both"/>
              <w:rPr>
                <w:lang w:val="en-US"/>
              </w:rPr>
            </w:pPr>
            <w:r w:rsidRPr="00B10ACB">
              <w:rPr>
                <w:lang w:val="en-US"/>
              </w:rPr>
              <w:t>P264: Wash ... thoroughly after handling.</w:t>
            </w:r>
          </w:p>
          <w:p w14:paraId="003B2EC5" w14:textId="77777777" w:rsidR="006853A4" w:rsidRPr="00B10ACB" w:rsidRDefault="006853A4" w:rsidP="00B10ACB">
            <w:pPr>
              <w:autoSpaceDE w:val="0"/>
              <w:autoSpaceDN w:val="0"/>
              <w:adjustRightInd w:val="0"/>
              <w:jc w:val="both"/>
              <w:rPr>
                <w:lang w:val="en-US"/>
              </w:rPr>
            </w:pPr>
            <w:r w:rsidRPr="00B10ACB">
              <w:rPr>
                <w:lang w:val="en-US"/>
              </w:rPr>
              <w:t>P280: Wear protective gloves/protective clothing/eye protection/face protection.</w:t>
            </w:r>
          </w:p>
          <w:p w14:paraId="797DE42D" w14:textId="77777777" w:rsidR="006853A4" w:rsidRPr="00B10ACB" w:rsidRDefault="006853A4" w:rsidP="00B10ACB">
            <w:pPr>
              <w:autoSpaceDE w:val="0"/>
              <w:autoSpaceDN w:val="0"/>
              <w:adjustRightInd w:val="0"/>
              <w:jc w:val="both"/>
              <w:rPr>
                <w:lang w:val="en-US"/>
              </w:rPr>
            </w:pPr>
            <w:r w:rsidRPr="00B10ACB">
              <w:rPr>
                <w:lang w:val="en-US"/>
              </w:rPr>
              <w:t>P301+P330+P331: IF SWALLOWED: Rinse mouth. Do NOT induce vomiting.</w:t>
            </w:r>
          </w:p>
          <w:p w14:paraId="6DA77D6B" w14:textId="77777777" w:rsidR="006853A4" w:rsidRPr="00B10ACB" w:rsidRDefault="006853A4" w:rsidP="00B10ACB">
            <w:pPr>
              <w:autoSpaceDE w:val="0"/>
              <w:autoSpaceDN w:val="0"/>
              <w:adjustRightInd w:val="0"/>
              <w:jc w:val="both"/>
              <w:rPr>
                <w:lang w:val="en-US"/>
              </w:rPr>
            </w:pPr>
            <w:r w:rsidRPr="00B10ACB">
              <w:rPr>
                <w:lang w:val="en-US"/>
              </w:rPr>
              <w:t>P303+P361+P353: IF ON SKIN (or hair): Take off immediately all contaminated clothing. Rinse skin with water [or shower].</w:t>
            </w:r>
          </w:p>
          <w:p w14:paraId="4D836FD3" w14:textId="77777777" w:rsidR="006853A4" w:rsidRPr="00B10ACB" w:rsidRDefault="006853A4" w:rsidP="00B10ACB">
            <w:pPr>
              <w:autoSpaceDE w:val="0"/>
              <w:autoSpaceDN w:val="0"/>
              <w:adjustRightInd w:val="0"/>
              <w:jc w:val="both"/>
              <w:rPr>
                <w:lang w:val="en-US"/>
              </w:rPr>
            </w:pPr>
            <w:r w:rsidRPr="00B10ACB">
              <w:rPr>
                <w:lang w:val="en-US"/>
              </w:rPr>
              <w:t>P304+P340: If INHALED: Remove personto fresh air and keep comfortable for breathing.</w:t>
            </w:r>
          </w:p>
          <w:p w14:paraId="4665D887" w14:textId="77777777" w:rsidR="006853A4" w:rsidRPr="00B10ACB" w:rsidRDefault="006853A4" w:rsidP="00B10ACB">
            <w:pPr>
              <w:autoSpaceDE w:val="0"/>
              <w:autoSpaceDN w:val="0"/>
              <w:adjustRightInd w:val="0"/>
              <w:jc w:val="both"/>
              <w:rPr>
                <w:lang w:val="en-US"/>
              </w:rPr>
            </w:pPr>
            <w:r w:rsidRPr="00B10ACB">
              <w:rPr>
                <w:lang w:val="en-US"/>
              </w:rPr>
              <w:t xml:space="preserve">P305+P351+P338: IF IN EYES: Rinse cautiously with water for several minutes. Remove contact lenses, if present and easy to do. Continue rinsing. </w:t>
            </w:r>
          </w:p>
          <w:p w14:paraId="4C309BF1" w14:textId="77777777" w:rsidR="006853A4" w:rsidRPr="00B10ACB" w:rsidRDefault="006853A4" w:rsidP="00B10ACB">
            <w:pPr>
              <w:autoSpaceDE w:val="0"/>
              <w:autoSpaceDN w:val="0"/>
              <w:adjustRightInd w:val="0"/>
              <w:jc w:val="both"/>
              <w:rPr>
                <w:lang w:val="en-US"/>
              </w:rPr>
            </w:pPr>
            <w:r w:rsidRPr="00B10ACB">
              <w:rPr>
                <w:lang w:val="en-US"/>
              </w:rPr>
              <w:t>P310: Immediately call a POISON CENTER/doctor/...</w:t>
            </w:r>
          </w:p>
          <w:p w14:paraId="7FDB51C6" w14:textId="77777777" w:rsidR="006853A4" w:rsidRPr="00B10ACB" w:rsidRDefault="006853A4" w:rsidP="00B10ACB">
            <w:pPr>
              <w:autoSpaceDE w:val="0"/>
              <w:autoSpaceDN w:val="0"/>
              <w:adjustRightInd w:val="0"/>
              <w:jc w:val="both"/>
              <w:rPr>
                <w:lang w:val="en-US"/>
              </w:rPr>
            </w:pPr>
            <w:r w:rsidRPr="00B10ACB">
              <w:rPr>
                <w:lang w:val="en-US"/>
              </w:rPr>
              <w:t>P321: Specific treatment (see ... on this label).</w:t>
            </w:r>
          </w:p>
          <w:p w14:paraId="7841F9FD" w14:textId="66551457" w:rsidR="006853A4" w:rsidRPr="00B10ACB" w:rsidRDefault="006853A4" w:rsidP="00B10ACB">
            <w:pPr>
              <w:autoSpaceDE w:val="0"/>
              <w:autoSpaceDN w:val="0"/>
              <w:adjustRightInd w:val="0"/>
              <w:jc w:val="both"/>
              <w:rPr>
                <w:lang w:val="en-US"/>
              </w:rPr>
            </w:pPr>
            <w:r w:rsidRPr="00B10ACB">
              <w:rPr>
                <w:lang w:val="en-US"/>
              </w:rPr>
              <w:t>P363: Wash contaminated clothing before reuse.</w:t>
            </w:r>
          </w:p>
          <w:p w14:paraId="05363C0E" w14:textId="77777777" w:rsidR="00614B7A" w:rsidRPr="00B10ACB" w:rsidRDefault="00614B7A" w:rsidP="00B10ACB">
            <w:pPr>
              <w:autoSpaceDE w:val="0"/>
              <w:autoSpaceDN w:val="0"/>
              <w:adjustRightInd w:val="0"/>
              <w:jc w:val="both"/>
              <w:rPr>
                <w:lang w:val="en-US"/>
              </w:rPr>
            </w:pPr>
            <w:r w:rsidRPr="00B10ACB">
              <w:rPr>
                <w:lang w:val="en-US"/>
              </w:rPr>
              <w:t>P390: Absorb spillage to prevent material damage.</w:t>
            </w:r>
          </w:p>
          <w:p w14:paraId="79FC41E6" w14:textId="77777777" w:rsidR="00614B7A" w:rsidRPr="00B10ACB" w:rsidRDefault="00614B7A" w:rsidP="00B10ACB">
            <w:pPr>
              <w:autoSpaceDE w:val="0"/>
              <w:autoSpaceDN w:val="0"/>
              <w:adjustRightInd w:val="0"/>
              <w:spacing w:after="60" w:line="256" w:lineRule="auto"/>
              <w:jc w:val="both"/>
              <w:rPr>
                <w:lang w:val="en-US"/>
              </w:rPr>
            </w:pPr>
            <w:r w:rsidRPr="00B10ACB">
              <w:rPr>
                <w:lang w:val="en-US"/>
              </w:rPr>
              <w:t>P406: Store in a corrosive resistant/… container with a resistant inner liner.</w:t>
            </w:r>
          </w:p>
          <w:p w14:paraId="5F0A0702" w14:textId="77777777" w:rsidR="00D1372D" w:rsidRPr="00B10ACB" w:rsidRDefault="00D1372D" w:rsidP="00B10ACB">
            <w:pPr>
              <w:pStyle w:val="Default"/>
              <w:autoSpaceDN w:val="0"/>
              <w:adjustRightInd w:val="0"/>
              <w:jc w:val="both"/>
              <w:rPr>
                <w:rFonts w:ascii="Verdana" w:hAnsi="Verdana" w:cs="Verdana"/>
                <w:color w:val="auto"/>
                <w:sz w:val="20"/>
                <w:szCs w:val="20"/>
                <w:lang w:val="en-US"/>
              </w:rPr>
            </w:pPr>
            <w:r w:rsidRPr="00B10ACB">
              <w:rPr>
                <w:rFonts w:ascii="Verdana" w:hAnsi="Verdana" w:cs="Verdana"/>
                <w:color w:val="auto"/>
                <w:sz w:val="20"/>
                <w:szCs w:val="20"/>
                <w:lang w:val="en-US"/>
              </w:rPr>
              <w:t>P273: Avoid release to the environment</w:t>
            </w:r>
          </w:p>
          <w:p w14:paraId="3AB7CBC1" w14:textId="1EBBBBAF" w:rsidR="00D1372D" w:rsidRPr="00B10ACB" w:rsidRDefault="00D1372D" w:rsidP="00B10ACB">
            <w:pPr>
              <w:autoSpaceDE w:val="0"/>
              <w:autoSpaceDN w:val="0"/>
              <w:adjustRightInd w:val="0"/>
              <w:spacing w:after="60" w:line="256" w:lineRule="auto"/>
              <w:jc w:val="both"/>
              <w:rPr>
                <w:lang w:val="en-US"/>
              </w:rPr>
            </w:pPr>
            <w:r w:rsidRPr="00B10ACB">
              <w:rPr>
                <w:lang w:val="en-US"/>
              </w:rPr>
              <w:t>P501: Dispose of contents/container in accordance with local regulation</w:t>
            </w:r>
          </w:p>
        </w:tc>
      </w:tr>
      <w:tr w:rsidR="00614B7A" w:rsidRPr="00B27CB1" w14:paraId="6D98D352"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6B4267E6" w14:textId="60BF5A70" w:rsidR="00614B7A" w:rsidRPr="00B27CB1" w:rsidRDefault="00614B7A" w:rsidP="00614B7A">
            <w:pPr>
              <w:snapToGrid w:val="0"/>
              <w:spacing w:line="256" w:lineRule="auto"/>
              <w:rPr>
                <w:lang w:eastAsia="fi-FI"/>
              </w:rPr>
            </w:pPr>
          </w:p>
        </w:tc>
      </w:tr>
      <w:tr w:rsidR="00614B7A" w:rsidRPr="00B27CB1" w14:paraId="3017F962"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AEFD8DE" w14:textId="3B457208" w:rsidR="00614B7A" w:rsidRPr="00B27CB1" w:rsidRDefault="00614B7A" w:rsidP="00614B7A">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E5F7BA9" w14:textId="2692143F" w:rsidR="00614B7A" w:rsidRPr="00E91F85" w:rsidRDefault="00A7279D" w:rsidP="00B10ACB">
            <w:pPr>
              <w:snapToGrid w:val="0"/>
              <w:spacing w:line="256" w:lineRule="auto"/>
              <w:jc w:val="both"/>
              <w:rPr>
                <w:lang w:eastAsia="fi-FI"/>
              </w:rPr>
            </w:pPr>
            <w:r w:rsidRPr="00E91F85">
              <w:rPr>
                <w:lang w:eastAsia="fi-FI"/>
              </w:rPr>
              <w:t>EUH208: Contains d-limonene. May produce an allergic reaction.</w:t>
            </w:r>
          </w:p>
        </w:tc>
      </w:tr>
    </w:tbl>
    <w:p w14:paraId="22C6E92A" w14:textId="77777777" w:rsidR="00A932DC" w:rsidRPr="00B27CB1" w:rsidRDefault="00A932DC" w:rsidP="00A932DC">
      <w:pPr>
        <w:tabs>
          <w:tab w:val="left" w:pos="500"/>
        </w:tabs>
        <w:ind w:left="500" w:hanging="500"/>
      </w:pPr>
    </w:p>
    <w:p w14:paraId="43EBAB74" w14:textId="77777777" w:rsidR="00A932DC" w:rsidRPr="00B27CB1" w:rsidRDefault="00A932DC" w:rsidP="00A932DC"/>
    <w:p w14:paraId="431D47A6" w14:textId="129E7C8D" w:rsidR="00A932DC" w:rsidRPr="00B10ACB" w:rsidRDefault="00A932DC" w:rsidP="00657948">
      <w:pPr>
        <w:pStyle w:val="Titre3"/>
        <w:rPr>
          <w:lang w:val="en-US"/>
        </w:rPr>
      </w:pPr>
      <w:bookmarkStart w:id="122" w:name="_Toc87361152"/>
      <w:r w:rsidRPr="00B10ACB">
        <w:rPr>
          <w:lang w:val="en-US"/>
        </w:rPr>
        <w:t>Authorised use(s) of the META SPC 11</w:t>
      </w:r>
      <w:bookmarkEnd w:id="122"/>
    </w:p>
    <w:p w14:paraId="0908306A" w14:textId="77777777" w:rsidR="00CB4A8C" w:rsidRPr="00B27CB1" w:rsidRDefault="00CB4A8C" w:rsidP="00CB4A8C">
      <w:pPr>
        <w:pStyle w:val="Titre4"/>
        <w:numPr>
          <w:ilvl w:val="3"/>
          <w:numId w:val="9"/>
        </w:numPr>
        <w:rPr>
          <w:lang w:val="en-GB"/>
        </w:rPr>
      </w:pPr>
      <w:bookmarkStart w:id="123" w:name="_Toc87361153"/>
      <w:r w:rsidRPr="00B27CB1">
        <w:rPr>
          <w:lang w:val="en-GB"/>
        </w:rPr>
        <w:t>Use description</w:t>
      </w:r>
      <w:bookmarkEnd w:id="123"/>
    </w:p>
    <w:p w14:paraId="1A35FAAC" w14:textId="7123B2E9" w:rsidR="00CB4A8C" w:rsidRPr="00B27CB1" w:rsidRDefault="00CB4A8C" w:rsidP="00CB4A8C">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17</w:t>
      </w:r>
      <w:r w:rsidRPr="00B27CB1">
        <w:rPr>
          <w:rFonts w:ascii="Verdana" w:hAnsi="Verdana" w:cs="Verdana"/>
        </w:rPr>
        <w:fldChar w:fldCharType="end"/>
      </w:r>
      <w:r w:rsidRPr="00B27CB1">
        <w:rPr>
          <w:rFonts w:ascii="Verdana" w:hAnsi="Verdana"/>
        </w:rPr>
        <w:t xml:space="preserve">. </w:t>
      </w:r>
      <w:r w:rsidRPr="00657948">
        <w:rPr>
          <w:rFonts w:ascii="Verdana" w:hAnsi="Verdana"/>
        </w:rPr>
        <w:t>Use # 1 – Disinfectants for hard surfaces of industry, institution and healthcare facilities and</w:t>
      </w:r>
      <w:r w:rsidR="00A77676" w:rsidRPr="00657948">
        <w:rPr>
          <w:rFonts w:ascii="Verdana" w:hAnsi="Verdana"/>
        </w:rPr>
        <w:t>,</w:t>
      </w:r>
      <w:r w:rsidRPr="00657948">
        <w:rPr>
          <w:rFonts w:ascii="Verdana" w:hAnsi="Verdana"/>
        </w:rPr>
        <w:t xml:space="preserve"> food</w:t>
      </w:r>
      <w:r w:rsidR="00B61E55" w:rsidRPr="00657948">
        <w:rPr>
          <w:rFonts w:ascii="Verdana" w:hAnsi="Verdana"/>
        </w:rPr>
        <w:t xml:space="preserve"> preparation and handling areas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CB4A8C" w:rsidRPr="00B27CB1" w14:paraId="5A98EAE7" w14:textId="77777777" w:rsidTr="00434119">
        <w:tc>
          <w:tcPr>
            <w:tcW w:w="2707" w:type="dxa"/>
            <w:tcBorders>
              <w:top w:val="single" w:sz="4" w:space="0" w:color="000000"/>
              <w:left w:val="single" w:sz="4" w:space="0" w:color="000000"/>
              <w:bottom w:val="single" w:sz="4" w:space="0" w:color="000000"/>
              <w:right w:val="nil"/>
            </w:tcBorders>
            <w:hideMark/>
          </w:tcPr>
          <w:p w14:paraId="23DE59C0" w14:textId="77777777" w:rsidR="00CB4A8C" w:rsidRPr="00B27CB1" w:rsidRDefault="00CB4A8C" w:rsidP="00434119">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425D63F" w14:textId="7FD2863F" w:rsidR="00CB4A8C" w:rsidRPr="00B27CB1" w:rsidRDefault="00B61E55" w:rsidP="00434119">
            <w:pPr>
              <w:snapToGrid w:val="0"/>
              <w:spacing w:line="254" w:lineRule="auto"/>
              <w:rPr>
                <w:b/>
              </w:rPr>
            </w:pPr>
            <w:r w:rsidRPr="000D7D14">
              <w:t>PT02 - Disinfectants and algaecides not intended for direct application to humans or animals (Disinfectants)</w:t>
            </w:r>
            <w:r w:rsidRPr="000D7D14">
              <w:br/>
              <w:t>PT04 - Food and feed area (Disinfectants)</w:t>
            </w:r>
          </w:p>
        </w:tc>
      </w:tr>
      <w:tr w:rsidR="00CB4A8C" w:rsidRPr="00B27CB1" w14:paraId="72A50687" w14:textId="77777777" w:rsidTr="00434119">
        <w:tc>
          <w:tcPr>
            <w:tcW w:w="2707" w:type="dxa"/>
            <w:tcBorders>
              <w:top w:val="nil"/>
              <w:left w:val="single" w:sz="4" w:space="0" w:color="000000"/>
              <w:bottom w:val="single" w:sz="4" w:space="0" w:color="000000"/>
              <w:right w:val="nil"/>
            </w:tcBorders>
            <w:hideMark/>
          </w:tcPr>
          <w:p w14:paraId="37788CB7" w14:textId="77777777" w:rsidR="00CB4A8C" w:rsidRPr="00B27CB1" w:rsidRDefault="00CB4A8C" w:rsidP="00434119">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DB467D0" w14:textId="4A751EA4" w:rsidR="00B61E55" w:rsidRPr="000D7D14" w:rsidRDefault="00B61E55" w:rsidP="00B61E55">
            <w:r w:rsidRPr="000D7D14">
              <w:rPr>
                <w:color w:val="000000"/>
              </w:rPr>
              <w:t>Product used for the disinfection of industry, institution and healthcare facilities</w:t>
            </w:r>
            <w:r w:rsidR="00DE54E2">
              <w:rPr>
                <w:color w:val="000000"/>
              </w:rPr>
              <w:t>,</w:t>
            </w:r>
            <w:r w:rsidRPr="000D7D14">
              <w:rPr>
                <w:color w:val="000000"/>
              </w:rPr>
              <w:t xml:space="preserve"> including </w:t>
            </w:r>
            <w:r w:rsidR="005A6D00">
              <w:rPr>
                <w:color w:val="000000"/>
              </w:rPr>
              <w:t xml:space="preserve">external surfaces of </w:t>
            </w:r>
            <w:r w:rsidRPr="000D7D14">
              <w:rPr>
                <w:color w:val="000000"/>
              </w:rPr>
              <w:t xml:space="preserve">toilets </w:t>
            </w:r>
            <w:r w:rsidRPr="000D7D14">
              <w:rPr>
                <w:color w:val="000000"/>
              </w:rPr>
              <w:lastRenderedPageBreak/>
              <w:t xml:space="preserve">bowls and disinfection for area of food preparation and handling. </w:t>
            </w:r>
          </w:p>
          <w:p w14:paraId="53A26276" w14:textId="77777777" w:rsidR="005A6D00" w:rsidRDefault="005A6D00" w:rsidP="00B61E55">
            <w:pPr>
              <w:snapToGrid w:val="0"/>
              <w:spacing w:line="254" w:lineRule="auto"/>
              <w:rPr>
                <w:color w:val="000000"/>
              </w:rPr>
            </w:pPr>
          </w:p>
          <w:p w14:paraId="26BB186E" w14:textId="53435575" w:rsidR="00CB4A8C" w:rsidRPr="00B27CB1" w:rsidRDefault="005A6D00" w:rsidP="005A6D00">
            <w:pPr>
              <w:snapToGrid w:val="0"/>
              <w:spacing w:line="254" w:lineRule="auto"/>
              <w:rPr>
                <w:b/>
              </w:rPr>
            </w:pPr>
            <w:r>
              <w:rPr>
                <w:color w:val="000000"/>
              </w:rPr>
              <w:t>D</w:t>
            </w:r>
            <w:r w:rsidR="00B006A0" w:rsidRPr="000D7D14">
              <w:rPr>
                <w:color w:val="000000"/>
              </w:rPr>
              <w:t xml:space="preserve">isinfection of all kind of </w:t>
            </w:r>
            <w:r w:rsidR="0089334C">
              <w:rPr>
                <w:color w:val="000000"/>
              </w:rPr>
              <w:t xml:space="preserve">non </w:t>
            </w:r>
            <w:r w:rsidR="00B006A0" w:rsidRPr="000D7D14">
              <w:rPr>
                <w:color w:val="000000"/>
              </w:rPr>
              <w:t>porous surfaces.</w:t>
            </w:r>
          </w:p>
        </w:tc>
      </w:tr>
      <w:tr w:rsidR="00CB4A8C" w:rsidRPr="00B27CB1" w14:paraId="423E24CE" w14:textId="77777777" w:rsidTr="00434119">
        <w:tc>
          <w:tcPr>
            <w:tcW w:w="2707" w:type="dxa"/>
            <w:tcBorders>
              <w:top w:val="nil"/>
              <w:left w:val="single" w:sz="4" w:space="0" w:color="000000"/>
              <w:bottom w:val="single" w:sz="4" w:space="0" w:color="000000"/>
              <w:right w:val="nil"/>
            </w:tcBorders>
            <w:hideMark/>
          </w:tcPr>
          <w:p w14:paraId="3FF86FB0" w14:textId="77777777" w:rsidR="00CB4A8C" w:rsidRPr="00B27CB1" w:rsidRDefault="00CB4A8C" w:rsidP="00434119">
            <w:pPr>
              <w:spacing w:line="254" w:lineRule="auto"/>
              <w:rPr>
                <w:b/>
              </w:rPr>
            </w:pPr>
            <w:r w:rsidRPr="00B27CB1">
              <w:rPr>
                <w:b/>
                <w:bCs/>
                <w:szCs w:val="24"/>
                <w:lang w:eastAsia="en-GB"/>
              </w:rPr>
              <w:lastRenderedPageBreak/>
              <w:t>Target organism (including development stage)</w:t>
            </w:r>
          </w:p>
        </w:tc>
        <w:tc>
          <w:tcPr>
            <w:tcW w:w="6328" w:type="dxa"/>
            <w:tcBorders>
              <w:top w:val="nil"/>
              <w:left w:val="single" w:sz="4" w:space="0" w:color="000000"/>
              <w:bottom w:val="single" w:sz="4" w:space="0" w:color="000000"/>
              <w:right w:val="single" w:sz="4" w:space="0" w:color="000000"/>
            </w:tcBorders>
          </w:tcPr>
          <w:p w14:paraId="38E19C83" w14:textId="41907058" w:rsidR="00CB4A8C" w:rsidRPr="00B27CB1" w:rsidRDefault="00B61E55" w:rsidP="00434119">
            <w:pPr>
              <w:snapToGrid w:val="0"/>
              <w:spacing w:line="254" w:lineRule="auto"/>
              <w:rPr>
                <w:b/>
              </w:rPr>
            </w:pPr>
            <w:r w:rsidRPr="000D7D14">
              <w:t xml:space="preserve">Bacteria </w:t>
            </w:r>
            <w:r w:rsidRPr="000D7D14">
              <w:br/>
              <w:t>Yeasts</w:t>
            </w:r>
          </w:p>
        </w:tc>
      </w:tr>
      <w:tr w:rsidR="00CB4A8C" w:rsidRPr="00B27CB1" w14:paraId="646CF9A6" w14:textId="77777777" w:rsidTr="00434119">
        <w:tc>
          <w:tcPr>
            <w:tcW w:w="2707" w:type="dxa"/>
            <w:tcBorders>
              <w:top w:val="nil"/>
              <w:left w:val="single" w:sz="4" w:space="0" w:color="000000"/>
              <w:bottom w:val="single" w:sz="4" w:space="0" w:color="000000"/>
              <w:right w:val="nil"/>
            </w:tcBorders>
            <w:hideMark/>
          </w:tcPr>
          <w:p w14:paraId="6516DD28" w14:textId="77777777" w:rsidR="00CB4A8C" w:rsidRPr="00B27CB1" w:rsidRDefault="00CB4A8C" w:rsidP="00434119">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392F3E12" w14:textId="0289C651" w:rsidR="00CB4A8C" w:rsidRPr="00B27CB1" w:rsidRDefault="00B61E55" w:rsidP="00216C69">
            <w:pPr>
              <w:snapToGrid w:val="0"/>
              <w:spacing w:line="254" w:lineRule="auto"/>
              <w:rPr>
                <w:b/>
              </w:rPr>
            </w:pPr>
            <w:r w:rsidRPr="000D7D14">
              <w:t>Indoor</w:t>
            </w:r>
          </w:p>
        </w:tc>
      </w:tr>
      <w:tr w:rsidR="00CB4A8C" w:rsidRPr="00B27CB1" w14:paraId="743DFC94" w14:textId="77777777" w:rsidTr="00434119">
        <w:tc>
          <w:tcPr>
            <w:tcW w:w="2707" w:type="dxa"/>
            <w:tcBorders>
              <w:top w:val="nil"/>
              <w:left w:val="single" w:sz="4" w:space="0" w:color="000000"/>
              <w:bottom w:val="single" w:sz="4" w:space="0" w:color="000000"/>
              <w:right w:val="nil"/>
            </w:tcBorders>
            <w:hideMark/>
          </w:tcPr>
          <w:p w14:paraId="43B24F96" w14:textId="77777777" w:rsidR="00CB4A8C" w:rsidRPr="00B27CB1" w:rsidRDefault="00CB4A8C" w:rsidP="00434119">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0CA68706" w14:textId="1CD73F90" w:rsidR="00B2431F" w:rsidRDefault="00B2431F" w:rsidP="006D333E">
            <w:pPr>
              <w:suppressAutoHyphens w:val="0"/>
              <w:snapToGrid w:val="0"/>
              <w:spacing w:line="260" w:lineRule="atLeast"/>
            </w:pPr>
            <w:r>
              <w:t>Spraying</w:t>
            </w:r>
          </w:p>
          <w:p w14:paraId="67019144" w14:textId="3F8FD9E2" w:rsidR="00CB4A8C" w:rsidRDefault="000574FF" w:rsidP="006D333E">
            <w:pPr>
              <w:suppressAutoHyphens w:val="0"/>
              <w:snapToGrid w:val="0"/>
              <w:spacing w:line="260" w:lineRule="atLeast"/>
            </w:pPr>
            <w:r>
              <w:t>Pouring</w:t>
            </w:r>
          </w:p>
          <w:p w14:paraId="2AA4181E" w14:textId="55DAE869" w:rsidR="00A36219" w:rsidRPr="00B27CB1" w:rsidRDefault="00A36219" w:rsidP="006D333E">
            <w:pPr>
              <w:suppressAutoHyphens w:val="0"/>
              <w:snapToGrid w:val="0"/>
              <w:spacing w:line="260" w:lineRule="atLeast"/>
              <w:rPr>
                <w:rFonts w:cs="Times New Roman"/>
                <w:lang w:eastAsia="de-DE"/>
              </w:rPr>
            </w:pPr>
            <w:r w:rsidRPr="00B2431F">
              <w:t>Scrubbing</w:t>
            </w:r>
            <w:r>
              <w:t xml:space="preserve"> </w:t>
            </w:r>
            <w:r w:rsidR="00B2431F">
              <w:t>(machine)</w:t>
            </w:r>
          </w:p>
        </w:tc>
      </w:tr>
      <w:tr w:rsidR="00CB4A8C" w:rsidRPr="00B27CB1" w14:paraId="4910D09E" w14:textId="77777777" w:rsidTr="00434119">
        <w:tc>
          <w:tcPr>
            <w:tcW w:w="2707" w:type="dxa"/>
            <w:tcBorders>
              <w:top w:val="nil"/>
              <w:left w:val="single" w:sz="4" w:space="0" w:color="000000"/>
              <w:bottom w:val="single" w:sz="4" w:space="0" w:color="000000"/>
              <w:right w:val="nil"/>
            </w:tcBorders>
            <w:hideMark/>
          </w:tcPr>
          <w:p w14:paraId="090FB720" w14:textId="77777777" w:rsidR="00CB4A8C" w:rsidRPr="00B27CB1" w:rsidRDefault="00CB4A8C" w:rsidP="00434119">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61AE225" w14:textId="77777777" w:rsidR="000574FF" w:rsidRPr="000D7D14" w:rsidRDefault="000574FF" w:rsidP="000574FF">
            <w:r>
              <w:t>Dirty conditions</w:t>
            </w:r>
          </w:p>
          <w:p w14:paraId="4587CD14" w14:textId="77777777" w:rsidR="00B2431F" w:rsidRDefault="00B2431F" w:rsidP="00B61E55"/>
          <w:p w14:paraId="32C88039" w14:textId="25D7092D" w:rsidR="00B61E55" w:rsidRDefault="00B61E55" w:rsidP="00B61E55">
            <w:r w:rsidRPr="000D7D14">
              <w:t>Bacteria, yeasts:</w:t>
            </w:r>
          </w:p>
          <w:p w14:paraId="50EBEAD7" w14:textId="3D470F29" w:rsidR="00B61E55" w:rsidRPr="000D7D14" w:rsidRDefault="00B61E55" w:rsidP="00B61E55">
            <w:pPr>
              <w:rPr>
                <w:i/>
              </w:rPr>
            </w:pPr>
            <w:r w:rsidRPr="000D7D14">
              <w:t xml:space="preserve">1.5% (v/v), contact time 15 min at </w:t>
            </w:r>
            <w:r w:rsidR="005C2D84">
              <w:t>20°C</w:t>
            </w:r>
            <w:r w:rsidRPr="000D7D14">
              <w:t xml:space="preserve"> </w:t>
            </w:r>
          </w:p>
          <w:p w14:paraId="059D15AC" w14:textId="77777777" w:rsidR="00B61E55" w:rsidRPr="000D7D14" w:rsidRDefault="00B61E55" w:rsidP="00B61E55">
            <w:r w:rsidRPr="000D7D14">
              <w:t xml:space="preserve">1% (v/v), contact time of 30 min at 40°C </w:t>
            </w:r>
          </w:p>
          <w:p w14:paraId="0DF843A2" w14:textId="77777777" w:rsidR="006D333E" w:rsidRDefault="006D333E" w:rsidP="00B61E55"/>
          <w:p w14:paraId="3AF0F5C1" w14:textId="771C6005" w:rsidR="00CB4A8C" w:rsidRPr="00B27CB1" w:rsidRDefault="00016FE6" w:rsidP="00383E12">
            <w:pPr>
              <w:rPr>
                <w:rFonts w:cs="Times New Roman"/>
                <w:lang w:eastAsia="de-DE"/>
              </w:rPr>
            </w:pPr>
            <w:r>
              <w:t xml:space="preserve">Application rate: </w:t>
            </w:r>
            <w:r w:rsidR="00B61E55" w:rsidRPr="000D7D14">
              <w:t>30 ml/m</w:t>
            </w:r>
            <w:r w:rsidR="00B61E55" w:rsidRPr="00E91F85">
              <w:rPr>
                <w:vertAlign w:val="superscript"/>
              </w:rPr>
              <w:t>2</w:t>
            </w:r>
            <w:r w:rsidR="0025173F">
              <w:rPr>
                <w:vertAlign w:val="superscript"/>
              </w:rPr>
              <w:t xml:space="preserve"> </w:t>
            </w:r>
            <w:r w:rsidR="0025173F">
              <w:t>(</w:t>
            </w:r>
            <w:r w:rsidR="0025173F" w:rsidRPr="00A30DAC">
              <w:t>20 sprays on the surface per m</w:t>
            </w:r>
            <w:r w:rsidR="0025173F" w:rsidRPr="00A30DAC">
              <w:rPr>
                <w:vertAlign w:val="superscript"/>
              </w:rPr>
              <w:t>2</w:t>
            </w:r>
            <w:r w:rsidR="0025173F" w:rsidRPr="00A30DAC">
              <w:t>)</w:t>
            </w:r>
          </w:p>
        </w:tc>
      </w:tr>
      <w:tr w:rsidR="00CB4A8C" w:rsidRPr="00B27CB1" w14:paraId="73802885" w14:textId="77777777" w:rsidTr="00434119">
        <w:tc>
          <w:tcPr>
            <w:tcW w:w="2707" w:type="dxa"/>
            <w:tcBorders>
              <w:top w:val="nil"/>
              <w:left w:val="single" w:sz="4" w:space="0" w:color="000000"/>
              <w:bottom w:val="single" w:sz="4" w:space="0" w:color="000000"/>
              <w:right w:val="nil"/>
            </w:tcBorders>
            <w:hideMark/>
          </w:tcPr>
          <w:p w14:paraId="25201FA2" w14:textId="77777777" w:rsidR="00CB4A8C" w:rsidRPr="00B27CB1" w:rsidRDefault="00CB4A8C" w:rsidP="00434119">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5C6A4259" w14:textId="465C53FF" w:rsidR="00CB4A8C" w:rsidRPr="00B27CB1" w:rsidRDefault="00B61E55" w:rsidP="00434119">
            <w:pPr>
              <w:snapToGrid w:val="0"/>
              <w:spacing w:line="254" w:lineRule="auto"/>
              <w:rPr>
                <w:b/>
              </w:rPr>
            </w:pPr>
            <w:r w:rsidRPr="000D7D14">
              <w:t>Industrial, Professional</w:t>
            </w:r>
          </w:p>
        </w:tc>
      </w:tr>
      <w:tr w:rsidR="00CB4A8C" w:rsidRPr="00B27CB1" w14:paraId="42558A00" w14:textId="77777777" w:rsidTr="00434119">
        <w:tc>
          <w:tcPr>
            <w:tcW w:w="2707" w:type="dxa"/>
            <w:tcBorders>
              <w:top w:val="nil"/>
              <w:left w:val="single" w:sz="4" w:space="0" w:color="000000"/>
              <w:bottom w:val="single" w:sz="4" w:space="0" w:color="000000"/>
              <w:right w:val="nil"/>
            </w:tcBorders>
            <w:hideMark/>
          </w:tcPr>
          <w:p w14:paraId="169F6E81" w14:textId="77777777" w:rsidR="00CB4A8C" w:rsidRPr="00B27CB1" w:rsidRDefault="00CB4A8C" w:rsidP="00434119">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22F31FDD" w14:textId="213D735A" w:rsidR="00C10222" w:rsidRDefault="00C10222" w:rsidP="00C10222">
            <w:pPr>
              <w:spacing w:line="254" w:lineRule="auto"/>
            </w:pPr>
            <w:r>
              <w:t>HDPE:</w:t>
            </w:r>
            <w:r w:rsidR="002F6E1B">
              <w:t xml:space="preserve"> </w:t>
            </w:r>
            <w:r>
              <w:t>1 L / 1 kg, 5 L / 5 kg, 10 L / 10 kg, 20 L / 20 kg, 120 L / 120 kg, 200 L / 200 kg, 220 L / 220 kg</w:t>
            </w:r>
          </w:p>
          <w:p w14:paraId="5941DB80" w14:textId="06B91DD0" w:rsidR="00C10222" w:rsidRDefault="00C10222" w:rsidP="00C10222">
            <w:pPr>
              <w:spacing w:line="254" w:lineRule="auto"/>
            </w:pPr>
            <w:r>
              <w:t>PET:</w:t>
            </w:r>
            <w:r w:rsidR="002F6E1B">
              <w:t xml:space="preserve"> </w:t>
            </w:r>
            <w:r>
              <w:t>1 L / 1 kg</w:t>
            </w:r>
          </w:p>
          <w:p w14:paraId="50730937" w14:textId="225CAC6C" w:rsidR="00C10222" w:rsidRDefault="00C10222" w:rsidP="00C10222">
            <w:pPr>
              <w:spacing w:line="254" w:lineRule="auto"/>
            </w:pPr>
            <w:r>
              <w:t>Coextrude (HDPE/Adhesive/Nylon polyamide):</w:t>
            </w:r>
            <w:r w:rsidR="002F6E1B">
              <w:t xml:space="preserve"> </w:t>
            </w:r>
            <w:r>
              <w:t>5 L / 5 kg</w:t>
            </w:r>
          </w:p>
          <w:p w14:paraId="7D5F0BD3" w14:textId="13C7E66C" w:rsidR="00CB4A8C" w:rsidRPr="00B27CB1" w:rsidRDefault="00C10222" w:rsidP="002F6E1B">
            <w:pPr>
              <w:spacing w:line="254" w:lineRule="auto"/>
            </w:pPr>
            <w:r>
              <w:t>Coextrude (HDPE/Adhesive resin/EVAL):</w:t>
            </w:r>
            <w:r w:rsidR="002F6E1B">
              <w:t xml:space="preserve"> </w:t>
            </w:r>
            <w:r>
              <w:t>250 mL / 250 g</w:t>
            </w:r>
          </w:p>
        </w:tc>
      </w:tr>
    </w:tbl>
    <w:p w14:paraId="669BEEA6" w14:textId="77777777" w:rsidR="00CB4A8C" w:rsidRPr="00B10ACB" w:rsidRDefault="00CB4A8C" w:rsidP="007A4DA8">
      <w:pPr>
        <w:keepNext/>
        <w:numPr>
          <w:ilvl w:val="4"/>
          <w:numId w:val="9"/>
        </w:numPr>
        <w:spacing w:before="255" w:after="80" w:line="255" w:lineRule="exact"/>
        <w:outlineLvl w:val="4"/>
        <w:rPr>
          <w:sz w:val="22"/>
        </w:rPr>
      </w:pPr>
      <w:r w:rsidRPr="00B10ACB">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573B36ED"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640B3119" w14:textId="77777777" w:rsidR="000211A3" w:rsidRPr="002F6E1B" w:rsidRDefault="00B61E55" w:rsidP="002F6E1B">
            <w:pPr>
              <w:pStyle w:val="Paragraphedeliste"/>
              <w:numPr>
                <w:ilvl w:val="0"/>
                <w:numId w:val="47"/>
              </w:numPr>
              <w:rPr>
                <w:lang w:val="de-DE"/>
              </w:rPr>
            </w:pPr>
            <w:r w:rsidRPr="002F6E1B">
              <w:rPr>
                <w:lang w:val="de-DE"/>
              </w:rPr>
              <w:t xml:space="preserve">Manual </w:t>
            </w:r>
            <w:r w:rsidR="00016FE6" w:rsidRPr="002F6E1B">
              <w:rPr>
                <w:lang w:val="de-DE"/>
              </w:rPr>
              <w:t>dis</w:t>
            </w:r>
            <w:r w:rsidR="00DC6AB3" w:rsidRPr="002F6E1B">
              <w:rPr>
                <w:lang w:val="de-DE"/>
              </w:rPr>
              <w:t>i</w:t>
            </w:r>
            <w:r w:rsidR="00016FE6" w:rsidRPr="002F6E1B">
              <w:rPr>
                <w:lang w:val="de-DE"/>
              </w:rPr>
              <w:t>nfection</w:t>
            </w:r>
            <w:r w:rsidRPr="002F6E1B">
              <w:rPr>
                <w:lang w:val="de-DE"/>
              </w:rPr>
              <w:t xml:space="preserve">: </w:t>
            </w:r>
          </w:p>
          <w:p w14:paraId="39F996AA" w14:textId="7E0BB085" w:rsidR="00B61E55" w:rsidRPr="007A4DA8" w:rsidRDefault="00016FE6" w:rsidP="007A4DA8">
            <w:pPr>
              <w:pStyle w:val="Paragraphedeliste"/>
              <w:numPr>
                <w:ilvl w:val="0"/>
                <w:numId w:val="48"/>
              </w:numPr>
              <w:ind w:left="360"/>
              <w:jc w:val="both"/>
            </w:pPr>
            <w:r w:rsidRPr="002F6E1B">
              <w:t>Dilute in water, apply on the surface</w:t>
            </w:r>
            <w:r w:rsidR="00DC6AB3" w:rsidRPr="002F6E1B">
              <w:t>s</w:t>
            </w:r>
            <w:r w:rsidRPr="002F6E1B">
              <w:t xml:space="preserve"> intended to be treated and cover the entire surface</w:t>
            </w:r>
            <w:r w:rsidR="00DC6AB3" w:rsidRPr="002F6E1B">
              <w:t>s</w:t>
            </w:r>
            <w:r w:rsidRPr="002F6E1B">
              <w:t>.</w:t>
            </w:r>
            <w:r w:rsidR="00B61E55" w:rsidRPr="007A4DA8">
              <w:t xml:space="preserve"> </w:t>
            </w:r>
            <w:r w:rsidRPr="00B10ACB">
              <w:t>Allow to take effect for at least 15 to 30 minutes</w:t>
            </w:r>
            <w:r w:rsidRPr="002F6E1B" w:rsidDel="007F67AB">
              <w:t>,</w:t>
            </w:r>
            <w:r w:rsidR="00DC6AB3" w:rsidRPr="002F6E1B">
              <w:t xml:space="preserve"> depending on the tem</w:t>
            </w:r>
            <w:r w:rsidRPr="002F6E1B">
              <w:t>p</w:t>
            </w:r>
            <w:r w:rsidR="00DC6AB3" w:rsidRPr="002F6E1B">
              <w:t>e</w:t>
            </w:r>
            <w:r w:rsidRPr="002F6E1B">
              <w:t xml:space="preserve">rature </w:t>
            </w:r>
            <w:r w:rsidR="00B61E55" w:rsidRPr="007A4DA8">
              <w:t xml:space="preserve">then wipe the surface with a dry cloth if required or let to dry. </w:t>
            </w:r>
          </w:p>
          <w:p w14:paraId="6EC31B3E" w14:textId="77777777" w:rsidR="000211A3" w:rsidRPr="00B10ACB" w:rsidRDefault="000211A3" w:rsidP="001E568F">
            <w:pPr>
              <w:rPr>
                <w:lang w:val="en-US"/>
              </w:rPr>
            </w:pPr>
          </w:p>
          <w:p w14:paraId="0EB39EC8" w14:textId="77777777" w:rsidR="000211A3" w:rsidRPr="002F6E1B" w:rsidRDefault="00B61E55" w:rsidP="00854EF9">
            <w:pPr>
              <w:pStyle w:val="Paragraphedeliste"/>
              <w:numPr>
                <w:ilvl w:val="0"/>
                <w:numId w:val="47"/>
              </w:numPr>
              <w:rPr>
                <w:bCs/>
                <w:color w:val="000000"/>
                <w:lang w:val="de-DE"/>
              </w:rPr>
            </w:pPr>
            <w:r w:rsidRPr="002F6E1B">
              <w:rPr>
                <w:bCs/>
                <w:color w:val="000000"/>
                <w:lang w:val="de-DE"/>
              </w:rPr>
              <w:t xml:space="preserve">Machine: </w:t>
            </w:r>
          </w:p>
          <w:p w14:paraId="071F4F8B" w14:textId="0EEF1AFF" w:rsidR="00CB4A8C" w:rsidRPr="00B27CB1" w:rsidRDefault="00B61E55" w:rsidP="00B10ACB">
            <w:pPr>
              <w:pStyle w:val="Paragraphedeliste"/>
              <w:numPr>
                <w:ilvl w:val="0"/>
                <w:numId w:val="48"/>
              </w:numPr>
              <w:ind w:left="360"/>
              <w:jc w:val="both"/>
              <w:rPr>
                <w:rFonts w:eastAsia="Calibri" w:cs="Times"/>
                <w:bCs/>
                <w:sz w:val="22"/>
                <w:szCs w:val="24"/>
                <w:lang w:eastAsia="sv-SE"/>
              </w:rPr>
            </w:pPr>
            <w:r w:rsidRPr="002F6E1B">
              <w:t>Dilute in water in scrubber-dryers, single-disk scrubbers, high or low pressure sprayers... and apply on surface</w:t>
            </w:r>
            <w:r w:rsidR="006D333E" w:rsidRPr="002F6E1B">
              <w:t>s</w:t>
            </w:r>
            <w:r w:rsidRPr="002F6E1B">
              <w:t xml:space="preserve"> and/or floor</w:t>
            </w:r>
            <w:r w:rsidR="00216C69" w:rsidRPr="002F6E1B">
              <w:t>s</w:t>
            </w:r>
            <w:r w:rsidRPr="002F6E1B">
              <w:t xml:space="preserve"> intended to be treated. </w:t>
            </w:r>
            <w:r w:rsidR="00216C69" w:rsidRPr="002F6E1B">
              <w:t xml:space="preserve">Allow to take effect for at least </w:t>
            </w:r>
            <w:r w:rsidR="0096350C" w:rsidRPr="002F6E1B">
              <w:t>15</w:t>
            </w:r>
            <w:r w:rsidR="00216C69" w:rsidRPr="002F6E1B">
              <w:t xml:space="preserve"> </w:t>
            </w:r>
            <w:r w:rsidR="00016FE6" w:rsidRPr="002F6E1B">
              <w:t xml:space="preserve">to 30 </w:t>
            </w:r>
            <w:r w:rsidR="00216C69" w:rsidRPr="002F6E1B">
              <w:t>minutes</w:t>
            </w:r>
            <w:r w:rsidR="00016FE6" w:rsidRPr="002F6E1B">
              <w:t xml:space="preserve">, depending on the temperature </w:t>
            </w:r>
            <w:r w:rsidRPr="002F6E1B">
              <w:t>and then let to dry.</w:t>
            </w:r>
          </w:p>
        </w:tc>
      </w:tr>
    </w:tbl>
    <w:p w14:paraId="15B6FB1E" w14:textId="77777777" w:rsidR="00CB4A8C" w:rsidRPr="00B10ACB" w:rsidRDefault="00CB4A8C" w:rsidP="007A4DA8">
      <w:pPr>
        <w:keepNext/>
        <w:numPr>
          <w:ilvl w:val="4"/>
          <w:numId w:val="9"/>
        </w:numPr>
        <w:spacing w:before="255" w:after="80" w:line="255" w:lineRule="exact"/>
        <w:outlineLvl w:val="4"/>
        <w:rPr>
          <w:sz w:val="22"/>
        </w:rPr>
      </w:pPr>
      <w:r w:rsidRPr="00B10ACB">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6589FF83"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27CC5949" w14:textId="54F9A8D5" w:rsidR="00CB4A8C" w:rsidRPr="002F6E1B" w:rsidRDefault="00B61E55" w:rsidP="00383E12">
            <w:pPr>
              <w:pStyle w:val="Paragraphedeliste"/>
              <w:widowControl w:val="0"/>
              <w:numPr>
                <w:ilvl w:val="0"/>
                <w:numId w:val="48"/>
              </w:numPr>
              <w:autoSpaceDE w:val="0"/>
              <w:snapToGrid w:val="0"/>
              <w:spacing w:before="80" w:line="254" w:lineRule="auto"/>
              <w:ind w:left="345"/>
              <w:jc w:val="both"/>
              <w:rPr>
                <w:rFonts w:cs="Times"/>
                <w:bCs/>
                <w:szCs w:val="29"/>
              </w:rPr>
            </w:pPr>
            <w:r w:rsidRPr="007A4DA8">
              <w:rPr>
                <w:bCs/>
                <w:lang w:val="en-US"/>
              </w:rPr>
              <w:t>For heathcare facilities, apply the product only in areas where disinfection is not medically indicated.</w:t>
            </w:r>
          </w:p>
        </w:tc>
      </w:tr>
    </w:tbl>
    <w:p w14:paraId="7A1C350E"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69829238"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272C4C94" w14:textId="4958D6E2"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513060FC"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1523D697"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480579F0" w14:textId="534D67DB"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1AEC0FA3"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173BCE8D"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6D209D34" w14:textId="5C3C2BC4"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55E943F9" w14:textId="77777777" w:rsidR="002F6E1B" w:rsidRDefault="002F6E1B" w:rsidP="007A4DA8">
      <w:pPr>
        <w:rPr>
          <w:lang w:val="en-US"/>
        </w:rPr>
      </w:pPr>
    </w:p>
    <w:p w14:paraId="511A49FC" w14:textId="051D739F" w:rsidR="00A932DC" w:rsidRPr="007A4DA8" w:rsidRDefault="00A932DC" w:rsidP="002F6E1B">
      <w:pPr>
        <w:pStyle w:val="Titre3"/>
        <w:keepNext w:val="0"/>
        <w:rPr>
          <w:lang w:val="en-US"/>
        </w:rPr>
      </w:pPr>
      <w:bookmarkStart w:id="124" w:name="_Toc87361154"/>
      <w:r w:rsidRPr="007A4DA8">
        <w:rPr>
          <w:lang w:val="en-US"/>
        </w:rPr>
        <w:t>General directions for use of the meta SPC 11</w:t>
      </w:r>
      <w:bookmarkEnd w:id="124"/>
    </w:p>
    <w:p w14:paraId="78952B00" w14:textId="77777777" w:rsidR="00A932DC" w:rsidRPr="00B27CB1" w:rsidRDefault="00A932DC" w:rsidP="002F6E1B">
      <w:pPr>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3DCE351B"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D84B70" w14:textId="33434363" w:rsidR="00424ACA" w:rsidRDefault="00424ACA" w:rsidP="005C2D84">
            <w:pPr>
              <w:widowControl w:val="0"/>
              <w:numPr>
                <w:ilvl w:val="0"/>
                <w:numId w:val="7"/>
              </w:numPr>
              <w:suppressAutoHyphens w:val="0"/>
              <w:autoSpaceDE w:val="0"/>
              <w:spacing w:line="260" w:lineRule="atLeast"/>
              <w:contextualSpacing/>
              <w:rPr>
                <w:bCs/>
                <w:iCs/>
              </w:rPr>
            </w:pPr>
            <w:r>
              <w:rPr>
                <w:bCs/>
                <w:iCs/>
              </w:rPr>
              <w:t>Comply with the instructions of uses</w:t>
            </w:r>
            <w:r w:rsidR="00305DEF">
              <w:rPr>
                <w:bCs/>
                <w:iCs/>
              </w:rPr>
              <w:t>.</w:t>
            </w:r>
          </w:p>
          <w:p w14:paraId="32074B40" w14:textId="66DDDD75" w:rsidR="00B61E55" w:rsidRPr="00B61E55" w:rsidRDefault="00B61E55" w:rsidP="005C2D84">
            <w:pPr>
              <w:widowControl w:val="0"/>
              <w:numPr>
                <w:ilvl w:val="0"/>
                <w:numId w:val="7"/>
              </w:numPr>
              <w:suppressAutoHyphens w:val="0"/>
              <w:autoSpaceDE w:val="0"/>
              <w:spacing w:line="260" w:lineRule="atLeast"/>
              <w:contextualSpacing/>
              <w:rPr>
                <w:bCs/>
                <w:iCs/>
              </w:rPr>
            </w:pPr>
            <w:r w:rsidRPr="00B61E55">
              <w:rPr>
                <w:bCs/>
                <w:iCs/>
              </w:rPr>
              <w:t>Respect the conditions of use of the product (concentration, contact time, temperature, pH, etc.)</w:t>
            </w:r>
            <w:r w:rsidR="00305DEF">
              <w:rPr>
                <w:bCs/>
                <w:iCs/>
              </w:rPr>
              <w:t>.</w:t>
            </w:r>
          </w:p>
          <w:p w14:paraId="5DB64DFD" w14:textId="77777777" w:rsidR="00A932DC" w:rsidRDefault="00B61E55" w:rsidP="005C2D84">
            <w:pPr>
              <w:widowControl w:val="0"/>
              <w:numPr>
                <w:ilvl w:val="0"/>
                <w:numId w:val="7"/>
              </w:numPr>
              <w:suppressAutoHyphens w:val="0"/>
              <w:autoSpaceDE w:val="0"/>
              <w:spacing w:line="260" w:lineRule="atLeast"/>
              <w:contextualSpacing/>
              <w:rPr>
                <w:bCs/>
                <w:iCs/>
              </w:rPr>
            </w:pPr>
            <w:r w:rsidRPr="00B61E55">
              <w:rPr>
                <w:bCs/>
                <w:iCs/>
              </w:rPr>
              <w:t>Inform the authorization holder if the treatment is ineffective.</w:t>
            </w:r>
          </w:p>
          <w:p w14:paraId="2C09FD84" w14:textId="77777777" w:rsidR="005C2D84" w:rsidRDefault="00A31266" w:rsidP="005C2D84">
            <w:pPr>
              <w:pStyle w:val="Paragraphedeliste"/>
              <w:numPr>
                <w:ilvl w:val="0"/>
                <w:numId w:val="7"/>
              </w:numPr>
              <w:rPr>
                <w:bCs/>
                <w:iCs/>
              </w:rPr>
            </w:pPr>
            <w:r w:rsidRPr="00486D72">
              <w:rPr>
                <w:bCs/>
                <w:iCs/>
              </w:rPr>
              <w:t>For PT4</w:t>
            </w:r>
            <w:r>
              <w:rPr>
                <w:bCs/>
                <w:iCs/>
              </w:rPr>
              <w:t xml:space="preserve"> areas</w:t>
            </w:r>
            <w:r w:rsidRPr="00486D72">
              <w:rPr>
                <w:bCs/>
                <w:iCs/>
              </w:rPr>
              <w:t>, application is only for general disinfection.</w:t>
            </w:r>
          </w:p>
          <w:p w14:paraId="49222B9D" w14:textId="2E97E0FF" w:rsidR="00A31266" w:rsidRPr="007A4DA8" w:rsidRDefault="005C2D84" w:rsidP="007A4DA8">
            <w:pPr>
              <w:pStyle w:val="Paragraphedeliste"/>
              <w:numPr>
                <w:ilvl w:val="0"/>
                <w:numId w:val="7"/>
              </w:numPr>
              <w:jc w:val="both"/>
              <w:rPr>
                <w:rFonts w:eastAsia="Calibri" w:cs="Times"/>
                <w:bCs/>
                <w:sz w:val="22"/>
                <w:szCs w:val="24"/>
                <w:lang w:eastAsia="sv-SE"/>
              </w:rPr>
            </w:pPr>
            <w:r w:rsidRPr="00854EF9">
              <w:t>The product must be used directly after dilution.</w:t>
            </w:r>
            <w:r w:rsidR="00A31266" w:rsidRPr="005C2D84">
              <w:rPr>
                <w:bCs/>
                <w:iCs/>
              </w:rPr>
              <w:t xml:space="preserve"> </w:t>
            </w:r>
          </w:p>
          <w:p w14:paraId="0D9F92C5" w14:textId="20CF5932" w:rsidR="00A31266" w:rsidRPr="00B27CB1" w:rsidRDefault="001A0799" w:rsidP="005C2D84">
            <w:pPr>
              <w:pStyle w:val="Paragraphedeliste"/>
              <w:numPr>
                <w:ilvl w:val="0"/>
                <w:numId w:val="7"/>
              </w:numPr>
              <w:rPr>
                <w:bCs/>
                <w:iCs/>
              </w:rPr>
            </w:pPr>
            <w:r>
              <w:rPr>
                <w:rFonts w:cs="Times"/>
                <w:bCs/>
                <w:szCs w:val="29"/>
              </w:rPr>
              <w:t>Product has</w:t>
            </w:r>
            <w:r w:rsidR="008B7430" w:rsidRPr="00533866">
              <w:rPr>
                <w:rFonts w:cs="Times"/>
                <w:bCs/>
                <w:szCs w:val="29"/>
              </w:rPr>
              <w:t xml:space="preserve"> been tested against </w:t>
            </w:r>
            <w:r w:rsidR="008B7430">
              <w:rPr>
                <w:rFonts w:cs="Times"/>
                <w:bCs/>
                <w:szCs w:val="29"/>
              </w:rPr>
              <w:t>bacteria</w:t>
            </w:r>
            <w:r w:rsidR="008B7430" w:rsidRPr="00533866">
              <w:rPr>
                <w:rFonts w:cs="Times"/>
                <w:bCs/>
                <w:szCs w:val="29"/>
              </w:rPr>
              <w:t xml:space="preserve">, </w:t>
            </w:r>
            <w:r w:rsidR="008B7430" w:rsidRPr="000D7D14">
              <w:t xml:space="preserve">including </w:t>
            </w:r>
            <w:r w:rsidR="008B7430" w:rsidRPr="00E91F85">
              <w:rPr>
                <w:bCs/>
                <w:i/>
                <w:color w:val="000000"/>
                <w:lang w:val="en-US"/>
              </w:rPr>
              <w:t xml:space="preserve">Salmonella </w:t>
            </w:r>
            <w:r w:rsidR="008B7430" w:rsidRPr="000434AD">
              <w:rPr>
                <w:bCs/>
                <w:color w:val="000000"/>
                <w:lang w:val="en-US"/>
              </w:rPr>
              <w:t>Typhimurium</w:t>
            </w:r>
            <w:r w:rsidR="008B7430" w:rsidRPr="00E91F85">
              <w:rPr>
                <w:bCs/>
                <w:color w:val="000000"/>
                <w:lang w:val="en-US"/>
              </w:rPr>
              <w:t xml:space="preserve"> </w:t>
            </w:r>
            <w:r w:rsidR="008B7430">
              <w:rPr>
                <w:bCs/>
                <w:color w:val="000000"/>
                <w:lang w:val="en-US"/>
              </w:rPr>
              <w:t xml:space="preserve">(agent of Salmonellosis disease) </w:t>
            </w:r>
            <w:r w:rsidR="008B7430" w:rsidRPr="00E91F85">
              <w:rPr>
                <w:bCs/>
                <w:color w:val="000000"/>
                <w:lang w:val="en-US"/>
              </w:rPr>
              <w:t xml:space="preserve">and </w:t>
            </w:r>
            <w:r w:rsidR="008B7430" w:rsidRPr="00E91F85">
              <w:rPr>
                <w:bCs/>
                <w:i/>
                <w:color w:val="000000"/>
                <w:lang w:val="en-US"/>
              </w:rPr>
              <w:t>Listeria monocytogenes</w:t>
            </w:r>
            <w:r w:rsidR="008B7430" w:rsidRPr="000434AD">
              <w:rPr>
                <w:bCs/>
                <w:color w:val="000000"/>
                <w:lang w:val="en-US"/>
              </w:rPr>
              <w:t xml:space="preserve"> (agent of Listeriosis disease)</w:t>
            </w:r>
          </w:p>
        </w:tc>
      </w:tr>
    </w:tbl>
    <w:p w14:paraId="2AD826B9" w14:textId="77777777" w:rsidR="00A932DC" w:rsidRPr="00B27CB1" w:rsidRDefault="00A932DC" w:rsidP="002F6E1B">
      <w:pPr>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1033DD1B"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14FDC8CB" w14:textId="11283832" w:rsidR="003419A9" w:rsidRPr="00E91F85" w:rsidRDefault="003419A9" w:rsidP="00383E12">
            <w:pPr>
              <w:widowControl w:val="0"/>
              <w:numPr>
                <w:ilvl w:val="0"/>
                <w:numId w:val="7"/>
              </w:numPr>
              <w:suppressAutoHyphens w:val="0"/>
              <w:autoSpaceDE w:val="0"/>
              <w:spacing w:line="260" w:lineRule="atLeast"/>
              <w:ind w:left="357" w:hanging="357"/>
              <w:contextualSpacing/>
              <w:jc w:val="both"/>
              <w:rPr>
                <w:bCs/>
                <w:iCs/>
              </w:rPr>
            </w:pPr>
            <w:r w:rsidRPr="00E91F85">
              <w:rPr>
                <w:bCs/>
                <w:iCs/>
              </w:rPr>
              <w:t>Avoidance of contact with freshly treated surfaces.</w:t>
            </w:r>
          </w:p>
          <w:p w14:paraId="7489D9AD" w14:textId="7B9E8523" w:rsidR="00A46E1B" w:rsidRPr="009E07D6" w:rsidRDefault="00A46E1B" w:rsidP="00383E12">
            <w:pPr>
              <w:widowControl w:val="0"/>
              <w:numPr>
                <w:ilvl w:val="0"/>
                <w:numId w:val="7"/>
              </w:numPr>
              <w:suppressAutoHyphens w:val="0"/>
              <w:autoSpaceDE w:val="0"/>
              <w:spacing w:line="260" w:lineRule="atLeast"/>
              <w:ind w:left="357" w:hanging="357"/>
              <w:contextualSpacing/>
              <w:jc w:val="both"/>
              <w:rPr>
                <w:color w:val="000000" w:themeColor="text1"/>
                <w:sz w:val="22"/>
              </w:rPr>
            </w:pPr>
            <w:r w:rsidRPr="00E91F85">
              <w:rPr>
                <w:bCs/>
                <w:iCs/>
              </w:rPr>
              <w:t>During mixing and loading, wear:</w:t>
            </w:r>
          </w:p>
          <w:p w14:paraId="6770A773" w14:textId="66195CDD" w:rsidR="00A46E1B" w:rsidRDefault="00A46E1B" w:rsidP="00383E12">
            <w:pPr>
              <w:pStyle w:val="Paragraphedeliste"/>
              <w:numPr>
                <w:ilvl w:val="0"/>
                <w:numId w:val="37"/>
              </w:numPr>
              <w:jc w:val="both"/>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67D4CC4E" w14:textId="77777777" w:rsidR="00A46E1B" w:rsidRDefault="00A46E1B" w:rsidP="00383E12">
            <w:pPr>
              <w:pStyle w:val="Paragraphedeliste"/>
              <w:numPr>
                <w:ilvl w:val="0"/>
                <w:numId w:val="37"/>
              </w:numPr>
              <w:jc w:val="both"/>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69AEAAE5" w14:textId="0B6680DC" w:rsidR="00A46E1B" w:rsidRDefault="00A46E1B" w:rsidP="00383E12">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305DEF">
              <w:rPr>
                <w:rFonts w:cs="Arial"/>
                <w:iCs/>
                <w:color w:val="000000" w:themeColor="text1"/>
                <w:szCs w:val="16"/>
                <w:lang w:val="en-US"/>
              </w:rPr>
              <w:t>.</w:t>
            </w:r>
            <w:r>
              <w:rPr>
                <w:rFonts w:cs="Arial"/>
                <w:iCs/>
                <w:color w:val="000000" w:themeColor="text1"/>
                <w:szCs w:val="16"/>
                <w:lang w:val="en-US"/>
              </w:rPr>
              <w:t xml:space="preserve"> </w:t>
            </w:r>
          </w:p>
          <w:p w14:paraId="408B4E51" w14:textId="26925C65" w:rsidR="00A46E1B" w:rsidRPr="00E91F85" w:rsidRDefault="00A46E1B" w:rsidP="00383E12">
            <w:pPr>
              <w:widowControl w:val="0"/>
              <w:numPr>
                <w:ilvl w:val="0"/>
                <w:numId w:val="7"/>
              </w:numPr>
              <w:suppressAutoHyphens w:val="0"/>
              <w:autoSpaceDE w:val="0"/>
              <w:spacing w:line="260" w:lineRule="atLeast"/>
              <w:ind w:left="357" w:hanging="357"/>
              <w:contextualSpacing/>
              <w:jc w:val="both"/>
              <w:rPr>
                <w:bCs/>
                <w:iCs/>
              </w:rPr>
            </w:pPr>
            <w:r w:rsidRPr="00E91F85">
              <w:rPr>
                <w:bCs/>
                <w:iCs/>
              </w:rPr>
              <w:t>Minimisation of splashes and spills</w:t>
            </w:r>
            <w:r w:rsidR="00305DEF">
              <w:rPr>
                <w:bCs/>
                <w:iCs/>
              </w:rPr>
              <w:t>.</w:t>
            </w:r>
            <w:r w:rsidRPr="00E91F85">
              <w:rPr>
                <w:bCs/>
                <w:iCs/>
              </w:rPr>
              <w:t xml:space="preserve"> </w:t>
            </w:r>
          </w:p>
          <w:p w14:paraId="627B14AE" w14:textId="4B3DBFE3" w:rsidR="00A46E1B" w:rsidRPr="00E91F85" w:rsidRDefault="00A46E1B" w:rsidP="00383E12">
            <w:pPr>
              <w:widowControl w:val="0"/>
              <w:numPr>
                <w:ilvl w:val="0"/>
                <w:numId w:val="7"/>
              </w:numPr>
              <w:suppressAutoHyphens w:val="0"/>
              <w:autoSpaceDE w:val="0"/>
              <w:spacing w:line="260" w:lineRule="atLeast"/>
              <w:ind w:left="357" w:hanging="357"/>
              <w:contextualSpacing/>
              <w:jc w:val="both"/>
              <w:rPr>
                <w:bCs/>
                <w:iCs/>
              </w:rPr>
            </w:pPr>
            <w:r w:rsidRPr="00E91F85">
              <w:rPr>
                <w:bCs/>
                <w:iCs/>
              </w:rPr>
              <w:t>Minimisation of manual phases</w:t>
            </w:r>
            <w:r w:rsidR="00305DEF">
              <w:rPr>
                <w:bCs/>
                <w:iCs/>
              </w:rPr>
              <w:t>.</w:t>
            </w:r>
          </w:p>
          <w:p w14:paraId="60621C5F" w14:textId="28CFE8AF" w:rsidR="00A46E1B" w:rsidRPr="009E07D6" w:rsidRDefault="00A46E1B" w:rsidP="00383E12">
            <w:pPr>
              <w:widowControl w:val="0"/>
              <w:numPr>
                <w:ilvl w:val="0"/>
                <w:numId w:val="7"/>
              </w:numPr>
              <w:suppressAutoHyphens w:val="0"/>
              <w:autoSpaceDE w:val="0"/>
              <w:spacing w:line="260" w:lineRule="atLeast"/>
              <w:ind w:left="357" w:hanging="357"/>
              <w:contextualSpacing/>
              <w:jc w:val="both"/>
              <w:rPr>
                <w:color w:val="000000" w:themeColor="text1"/>
                <w:sz w:val="22"/>
              </w:rPr>
            </w:pPr>
            <w:r w:rsidRPr="00E91F85">
              <w:rPr>
                <w:bCs/>
                <w:iCs/>
              </w:rPr>
              <w:t>During application and cleaning of spray equipment, wear:</w:t>
            </w:r>
          </w:p>
          <w:p w14:paraId="2EE74041" w14:textId="11AC26F4" w:rsidR="00A46E1B" w:rsidRDefault="00A46E1B" w:rsidP="00383E12">
            <w:pPr>
              <w:pStyle w:val="Paragraphedeliste"/>
              <w:numPr>
                <w:ilvl w:val="0"/>
                <w:numId w:val="37"/>
              </w:numPr>
              <w:jc w:val="both"/>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7898CBFC" w14:textId="77777777" w:rsidR="00A46E1B" w:rsidRDefault="00A46E1B" w:rsidP="00383E12">
            <w:pPr>
              <w:pStyle w:val="Paragraphedeliste"/>
              <w:numPr>
                <w:ilvl w:val="0"/>
                <w:numId w:val="37"/>
              </w:numPr>
              <w:jc w:val="both"/>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18D6829A" w14:textId="4B1E4DC7" w:rsidR="00A46E1B" w:rsidRDefault="00A46E1B" w:rsidP="00383E12">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305DEF">
              <w:rPr>
                <w:rFonts w:cs="Arial"/>
                <w:iCs/>
                <w:color w:val="000000" w:themeColor="text1"/>
                <w:szCs w:val="16"/>
                <w:lang w:val="en-US"/>
              </w:rPr>
              <w:t>.</w:t>
            </w:r>
            <w:r>
              <w:rPr>
                <w:rFonts w:cs="Arial"/>
                <w:iCs/>
                <w:color w:val="000000" w:themeColor="text1"/>
                <w:szCs w:val="16"/>
                <w:lang w:val="en-US"/>
              </w:rPr>
              <w:t xml:space="preserve"> </w:t>
            </w:r>
          </w:p>
          <w:p w14:paraId="41525FD9" w14:textId="51D1E3EE" w:rsidR="00A932DC" w:rsidRPr="00B27CB1" w:rsidRDefault="00A46E1B" w:rsidP="00383E12">
            <w:pPr>
              <w:pStyle w:val="Paragraphedeliste"/>
              <w:numPr>
                <w:ilvl w:val="0"/>
                <w:numId w:val="38"/>
              </w:numPr>
              <w:suppressAutoHyphens w:val="0"/>
              <w:spacing w:line="256" w:lineRule="auto"/>
              <w:jc w:val="both"/>
            </w:pPr>
            <w:r w:rsidRPr="009E07D6">
              <w:rPr>
                <w:rFonts w:cs="Arial"/>
                <w:iCs/>
                <w:color w:val="000000" w:themeColor="text1"/>
                <w:szCs w:val="16"/>
                <w:lang w:val="en-US"/>
              </w:rPr>
              <w:t>The spray application must be downward in order to avoid any facial exposure.</w:t>
            </w:r>
          </w:p>
        </w:tc>
      </w:tr>
    </w:tbl>
    <w:p w14:paraId="30B5FD0C" w14:textId="77777777" w:rsidR="00A932DC" w:rsidRPr="00B27CB1" w:rsidRDefault="00A932DC" w:rsidP="002F6E1B">
      <w:pPr>
        <w:numPr>
          <w:ilvl w:val="3"/>
          <w:numId w:val="6"/>
        </w:numPr>
        <w:spacing w:before="240" w:after="120"/>
        <w:jc w:val="both"/>
        <w:outlineLvl w:val="3"/>
        <w:rPr>
          <w:rFonts w:eastAsia="Calibri"/>
          <w:sz w:val="22"/>
          <w:szCs w:val="24"/>
        </w:rPr>
      </w:pPr>
      <w:r w:rsidRPr="00B27CB1">
        <w:rPr>
          <w:rFonts w:eastAsia="Calibri"/>
          <w:sz w:val="22"/>
          <w:szCs w:val="24"/>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713E796"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884F3D9" w14:textId="52AA8422" w:rsidR="008E6C85" w:rsidRPr="009E07D6" w:rsidRDefault="008E6C85" w:rsidP="002F6E1B">
            <w:pPr>
              <w:widowControl w:val="0"/>
              <w:numPr>
                <w:ilvl w:val="0"/>
                <w:numId w:val="7"/>
              </w:numPr>
              <w:suppressAutoHyphens w:val="0"/>
              <w:autoSpaceDE w:val="0"/>
              <w:spacing w:line="260" w:lineRule="atLeast"/>
              <w:ind w:left="357" w:hanging="357"/>
              <w:contextualSpacing/>
              <w:jc w:val="both"/>
              <w:rPr>
                <w:bCs/>
                <w:iCs/>
              </w:rPr>
            </w:pPr>
            <w:r w:rsidRPr="009E07D6">
              <w:rPr>
                <w:bCs/>
                <w:iCs/>
              </w:rPr>
              <w:t>IF ON SKIN (or hair): Take off immediately all contaminated clothing. Rinse skin with water [or shower].</w:t>
            </w:r>
          </w:p>
          <w:p w14:paraId="0F8B842E" w14:textId="76B52EFE" w:rsidR="008E6C85" w:rsidRPr="008B467E" w:rsidRDefault="008E6C85" w:rsidP="002F6E1B">
            <w:pPr>
              <w:widowControl w:val="0"/>
              <w:numPr>
                <w:ilvl w:val="0"/>
                <w:numId w:val="7"/>
              </w:numPr>
              <w:suppressAutoHyphens w:val="0"/>
              <w:autoSpaceDE w:val="0"/>
              <w:spacing w:line="260" w:lineRule="atLeast"/>
              <w:ind w:left="357" w:hanging="357"/>
              <w:contextualSpacing/>
              <w:jc w:val="both"/>
              <w:rPr>
                <w:bCs/>
                <w:iCs/>
              </w:rPr>
            </w:pPr>
            <w:r w:rsidRPr="008B467E">
              <w:rPr>
                <w:bCs/>
                <w:iCs/>
              </w:rPr>
              <w:t>IF IN EYES: Rinse cautiously with water for several minutes. Remove contact lenses, if present and easy to do. Continue rinsing.</w:t>
            </w:r>
          </w:p>
          <w:p w14:paraId="765AA2F6" w14:textId="2EE7F4BA" w:rsidR="008E6C85" w:rsidRPr="008B4A16" w:rsidRDefault="008E6C85" w:rsidP="002F6E1B">
            <w:pPr>
              <w:widowControl w:val="0"/>
              <w:numPr>
                <w:ilvl w:val="0"/>
                <w:numId w:val="7"/>
              </w:numPr>
              <w:suppressAutoHyphens w:val="0"/>
              <w:autoSpaceDE w:val="0"/>
              <w:spacing w:line="260" w:lineRule="atLeast"/>
              <w:ind w:left="357" w:hanging="357"/>
              <w:contextualSpacing/>
              <w:jc w:val="both"/>
              <w:rPr>
                <w:bCs/>
                <w:iCs/>
              </w:rPr>
            </w:pPr>
            <w:r w:rsidRPr="000F3412">
              <w:rPr>
                <w:bCs/>
                <w:iCs/>
              </w:rPr>
              <w:t>IF SWALLOWED: Rinse mouth. Do NOT induce vomiting.</w:t>
            </w:r>
          </w:p>
          <w:p w14:paraId="0E2AB7CC" w14:textId="0E08AC23" w:rsidR="008E6C85" w:rsidRPr="00E91F85" w:rsidRDefault="008E6C85" w:rsidP="002F6E1B">
            <w:pPr>
              <w:widowControl w:val="0"/>
              <w:numPr>
                <w:ilvl w:val="0"/>
                <w:numId w:val="7"/>
              </w:numPr>
              <w:suppressAutoHyphens w:val="0"/>
              <w:autoSpaceDE w:val="0"/>
              <w:spacing w:line="260" w:lineRule="atLeast"/>
              <w:ind w:left="357" w:hanging="357"/>
              <w:contextualSpacing/>
              <w:jc w:val="both"/>
              <w:rPr>
                <w:bCs/>
                <w:iCs/>
              </w:rPr>
            </w:pPr>
            <w:r w:rsidRPr="00E91F85">
              <w:rPr>
                <w:bCs/>
                <w:iCs/>
              </w:rPr>
              <w:t>If INHALED: Remove personto fresh air and keep comfortable for breathing.</w:t>
            </w:r>
          </w:p>
          <w:p w14:paraId="17D9CD7A" w14:textId="6ED6A38F" w:rsidR="008E6C85" w:rsidRPr="00E91F85" w:rsidRDefault="008E6C85" w:rsidP="002F6E1B">
            <w:pPr>
              <w:widowControl w:val="0"/>
              <w:numPr>
                <w:ilvl w:val="0"/>
                <w:numId w:val="7"/>
              </w:numPr>
              <w:suppressAutoHyphens w:val="0"/>
              <w:autoSpaceDE w:val="0"/>
              <w:spacing w:line="260" w:lineRule="atLeast"/>
              <w:ind w:left="357" w:hanging="357"/>
              <w:contextualSpacing/>
              <w:jc w:val="both"/>
              <w:rPr>
                <w:bCs/>
                <w:iCs/>
              </w:rPr>
            </w:pPr>
            <w:r w:rsidRPr="00E91F85">
              <w:rPr>
                <w:bCs/>
                <w:iCs/>
              </w:rPr>
              <w:t>In case of impaired consciousness place in recovery position and seek medical advice immediately.</w:t>
            </w:r>
          </w:p>
          <w:p w14:paraId="50B97D97" w14:textId="12C153B8" w:rsidR="00A932DC" w:rsidRPr="00B27CB1" w:rsidRDefault="008E6C85" w:rsidP="002F6E1B">
            <w:pPr>
              <w:widowControl w:val="0"/>
              <w:numPr>
                <w:ilvl w:val="0"/>
                <w:numId w:val="7"/>
              </w:numPr>
              <w:suppressAutoHyphens w:val="0"/>
              <w:autoSpaceDE w:val="0"/>
              <w:spacing w:line="260" w:lineRule="atLeast"/>
              <w:ind w:left="357" w:hanging="357"/>
              <w:contextualSpacing/>
              <w:jc w:val="both"/>
            </w:pPr>
            <w:r w:rsidRPr="00E91F85">
              <w:rPr>
                <w:bCs/>
                <w:iCs/>
              </w:rPr>
              <w:t>Keep the container or label available</w:t>
            </w:r>
            <w:r w:rsidR="00305DEF">
              <w:rPr>
                <w:bCs/>
                <w:iCs/>
              </w:rPr>
              <w:t>.</w:t>
            </w:r>
          </w:p>
        </w:tc>
      </w:tr>
    </w:tbl>
    <w:p w14:paraId="51A86E9C" w14:textId="77777777" w:rsidR="00A932DC" w:rsidRPr="00B27CB1" w:rsidRDefault="00A932DC" w:rsidP="002F6E1B">
      <w:pPr>
        <w:numPr>
          <w:ilvl w:val="3"/>
          <w:numId w:val="6"/>
        </w:numPr>
        <w:spacing w:before="240" w:after="120"/>
        <w:jc w:val="both"/>
        <w:outlineLvl w:val="3"/>
        <w:rPr>
          <w:rFonts w:eastAsia="Calibri"/>
          <w:sz w:val="22"/>
          <w:szCs w:val="24"/>
        </w:rPr>
      </w:pPr>
      <w:r w:rsidRPr="00B27CB1">
        <w:rPr>
          <w:rFonts w:eastAsia="Calibri"/>
          <w:sz w:val="22"/>
          <w:szCs w:val="24"/>
        </w:rPr>
        <w:lastRenderedPageBreak/>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62AFC85C"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23A790E4" w14:textId="14576762" w:rsidR="0060329F" w:rsidRPr="00E91F85" w:rsidRDefault="0060329F" w:rsidP="002F6E1B">
            <w:pPr>
              <w:widowControl w:val="0"/>
              <w:numPr>
                <w:ilvl w:val="0"/>
                <w:numId w:val="7"/>
              </w:numPr>
              <w:suppressAutoHyphens w:val="0"/>
              <w:autoSpaceDE w:val="0"/>
              <w:spacing w:line="260" w:lineRule="atLeast"/>
              <w:ind w:left="357" w:hanging="357"/>
              <w:contextualSpacing/>
              <w:jc w:val="both"/>
              <w:rPr>
                <w:bCs/>
                <w:iCs/>
              </w:rPr>
            </w:pPr>
            <w:r w:rsidRPr="00E91F85">
              <w:rPr>
                <w:bCs/>
                <w:iCs/>
              </w:rPr>
              <w:t>Do not discharge unused product on the ground, into water courses, into pipes (sink, toilets…) nor down the drains</w:t>
            </w:r>
            <w:r w:rsidR="00305DEF">
              <w:rPr>
                <w:bCs/>
                <w:iCs/>
              </w:rPr>
              <w:t>.</w:t>
            </w:r>
          </w:p>
          <w:p w14:paraId="45A84019" w14:textId="2CA1F01D" w:rsidR="00A932DC" w:rsidRPr="00B27CB1" w:rsidRDefault="0060329F" w:rsidP="002F6E1B">
            <w:pPr>
              <w:widowControl w:val="0"/>
              <w:numPr>
                <w:ilvl w:val="0"/>
                <w:numId w:val="7"/>
              </w:numPr>
              <w:suppressAutoHyphens w:val="0"/>
              <w:autoSpaceDE w:val="0"/>
              <w:spacing w:line="260" w:lineRule="atLeast"/>
              <w:ind w:left="357" w:hanging="357"/>
              <w:contextualSpacing/>
              <w:jc w:val="both"/>
            </w:pPr>
            <w:r w:rsidRPr="00E91F85">
              <w:rPr>
                <w:bCs/>
                <w:iCs/>
              </w:rPr>
              <w:t>Dispose of unused product, its packaging and all other waste, in accordance with local regulations</w:t>
            </w:r>
            <w:r w:rsidR="00305DEF">
              <w:rPr>
                <w:bCs/>
                <w:iCs/>
              </w:rPr>
              <w:t>.</w:t>
            </w:r>
          </w:p>
        </w:tc>
      </w:tr>
    </w:tbl>
    <w:p w14:paraId="0CA663FE" w14:textId="77777777" w:rsidR="00A932DC" w:rsidRPr="00B27CB1" w:rsidRDefault="00A932DC" w:rsidP="002F6E1B">
      <w:pPr>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26B79B66"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656B055" w14:textId="3FBB2613" w:rsidR="00A932DC" w:rsidRPr="00B27CB1" w:rsidRDefault="00614B7A" w:rsidP="002F6E1B">
            <w:pPr>
              <w:widowControl w:val="0"/>
              <w:numPr>
                <w:ilvl w:val="0"/>
                <w:numId w:val="7"/>
              </w:numPr>
              <w:suppressAutoHyphens w:val="0"/>
              <w:autoSpaceDE w:val="0"/>
              <w:spacing w:line="260" w:lineRule="atLeast"/>
              <w:ind w:left="357" w:hanging="357"/>
              <w:contextualSpacing/>
              <w:jc w:val="both"/>
            </w:pPr>
            <w:r w:rsidRPr="009E07D6">
              <w:rPr>
                <w:bCs/>
                <w:iCs/>
              </w:rPr>
              <w:t>Shelf life: 2 years</w:t>
            </w:r>
            <w:r w:rsidR="00305DEF">
              <w:rPr>
                <w:bCs/>
                <w:iCs/>
              </w:rPr>
              <w:t>.</w:t>
            </w:r>
          </w:p>
        </w:tc>
      </w:tr>
    </w:tbl>
    <w:p w14:paraId="6CD16ED2" w14:textId="77777777" w:rsidR="00A932DC" w:rsidRPr="00B27CB1" w:rsidRDefault="00A932DC" w:rsidP="002F6E1B">
      <w:pPr>
        <w:keepNext/>
        <w:widowControl w:val="0"/>
        <w:autoSpaceDE w:val="0"/>
        <w:rPr>
          <w:bCs/>
          <w:iCs/>
          <w:szCs w:val="22"/>
        </w:rPr>
      </w:pPr>
    </w:p>
    <w:p w14:paraId="3995552B" w14:textId="77777777" w:rsidR="00A932DC" w:rsidRPr="00B27CB1" w:rsidRDefault="00A932DC" w:rsidP="002F6E1B">
      <w:pPr>
        <w:pStyle w:val="Titre3"/>
      </w:pPr>
      <w:bookmarkStart w:id="125" w:name="_Toc87361155"/>
      <w:r w:rsidRPr="00B27CB1">
        <w:t>Other information</w:t>
      </w:r>
      <w:bookmarkEnd w:id="12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2BC864A2"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0F1153C" w14:textId="4EC50B33" w:rsidR="00A932DC" w:rsidRPr="00B27CB1" w:rsidRDefault="002F6E1B" w:rsidP="002F6E1B">
            <w:pPr>
              <w:keepNext/>
              <w:widowControl w:val="0"/>
              <w:autoSpaceDE w:val="0"/>
              <w:snapToGrid w:val="0"/>
              <w:spacing w:line="256" w:lineRule="auto"/>
              <w:jc w:val="both"/>
            </w:pPr>
            <w:r>
              <w:t>-</w:t>
            </w:r>
          </w:p>
        </w:tc>
      </w:tr>
    </w:tbl>
    <w:p w14:paraId="41C9596B" w14:textId="77777777" w:rsidR="00A932DC" w:rsidRPr="00B27CB1" w:rsidRDefault="00A932DC" w:rsidP="002F6E1B">
      <w:pPr>
        <w:keepNext/>
      </w:pPr>
    </w:p>
    <w:p w14:paraId="64782B0C" w14:textId="77777777" w:rsidR="00A932DC" w:rsidRPr="00B27CB1" w:rsidRDefault="00A932DC" w:rsidP="00A932DC"/>
    <w:p w14:paraId="711848A4" w14:textId="2164595C"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11</w:t>
      </w:r>
    </w:p>
    <w:p w14:paraId="4BA7C140" w14:textId="77777777" w:rsidR="00A932DC" w:rsidRPr="00B27CB1" w:rsidRDefault="00A932DC" w:rsidP="00A932DC">
      <w:pPr>
        <w:widowControl w:val="0"/>
        <w:autoSpaceDE w:val="0"/>
        <w:rPr>
          <w:rFonts w:cs="Times"/>
          <w:bCs/>
          <w:szCs w:val="29"/>
        </w:rPr>
      </w:pPr>
    </w:p>
    <w:p w14:paraId="7DAD8FE2" w14:textId="77777777" w:rsidR="00A932DC" w:rsidRPr="00B27CB1" w:rsidRDefault="00A932DC" w:rsidP="00A932DC">
      <w:pPr>
        <w:keepNext/>
        <w:numPr>
          <w:ilvl w:val="2"/>
          <w:numId w:val="6"/>
        </w:numPr>
        <w:spacing w:after="240"/>
        <w:outlineLvl w:val="2"/>
        <w:rPr>
          <w:b/>
          <w:sz w:val="22"/>
        </w:rPr>
      </w:pPr>
      <w:r w:rsidRPr="00B27CB1">
        <w:rPr>
          <w:sz w:val="22"/>
        </w:rPr>
        <w:t>Trade name(s), authorisation number and specific composition of each individual product</w:t>
      </w:r>
    </w:p>
    <w:p w14:paraId="0675D6ED" w14:textId="77777777"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B27CB1" w14:paraId="01319544"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C30575" w14:textId="77777777" w:rsidR="00A932DC" w:rsidRPr="00B27CB1" w:rsidRDefault="00A932DC" w:rsidP="00310531">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EE00C" w14:textId="77777777" w:rsidR="00CB4A8C" w:rsidRPr="00B27CB1" w:rsidRDefault="00CB4A8C" w:rsidP="00CB4A8C">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DDM</w:t>
            </w:r>
          </w:p>
          <w:p w14:paraId="61B53EA8" w14:textId="4185F544" w:rsidR="00A932DC" w:rsidRPr="00B27CB1" w:rsidRDefault="00CB4A8C" w:rsidP="00CB4A8C">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DEGRAISSANT DESINFECTANT ALIMENTAIRE</w:t>
            </w:r>
          </w:p>
        </w:tc>
      </w:tr>
      <w:tr w:rsidR="00A932DC" w:rsidRPr="00B27CB1" w14:paraId="13635622"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6380A32" w14:textId="77777777" w:rsidR="00A932DC" w:rsidRPr="00B27CB1" w:rsidRDefault="00A932DC" w:rsidP="00310531">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EC1EB9" w14:textId="77777777" w:rsidR="00A932DC" w:rsidRPr="00B27CB1" w:rsidRDefault="00A932DC" w:rsidP="00310531">
            <w:pPr>
              <w:spacing w:line="256" w:lineRule="auto"/>
              <w:rPr>
                <w:b/>
                <w:bCs/>
                <w:szCs w:val="24"/>
                <w:lang w:eastAsia="en-GB"/>
              </w:rPr>
            </w:pPr>
          </w:p>
        </w:tc>
      </w:tr>
      <w:tr w:rsidR="00A932DC" w:rsidRPr="00B27CB1" w14:paraId="72EB0939"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4EC0F4C" w14:textId="77777777" w:rsidR="00A932DC" w:rsidRPr="00B27CB1" w:rsidRDefault="00A932DC" w:rsidP="00310531">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F13B23F" w14:textId="77777777" w:rsidR="00A932DC" w:rsidRPr="00B27CB1" w:rsidRDefault="00A932DC" w:rsidP="00310531">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A9FA58" w14:textId="77777777" w:rsidR="00A932DC" w:rsidRPr="00B27CB1" w:rsidRDefault="00A932DC" w:rsidP="00310531">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F5EB8B" w14:textId="77777777" w:rsidR="00A932DC" w:rsidRPr="00B27CB1" w:rsidRDefault="00A932DC" w:rsidP="00310531">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5A0AB6" w14:textId="77777777" w:rsidR="00A932DC" w:rsidRPr="00B27CB1" w:rsidRDefault="00A932DC" w:rsidP="00310531">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59D271" w14:textId="77777777" w:rsidR="00A932DC" w:rsidRPr="00B27CB1" w:rsidRDefault="00A932DC" w:rsidP="00310531">
            <w:pPr>
              <w:spacing w:line="256" w:lineRule="auto"/>
            </w:pPr>
            <w:r w:rsidRPr="00B27CB1">
              <w:rPr>
                <w:b/>
                <w:bCs/>
                <w:szCs w:val="24"/>
                <w:lang w:eastAsia="en-GB"/>
              </w:rPr>
              <w:t>Content (%)</w:t>
            </w:r>
          </w:p>
        </w:tc>
      </w:tr>
      <w:tr w:rsidR="00E974B3" w:rsidRPr="00B27CB1" w14:paraId="3D8D35EF"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F5FC3" w14:textId="5E39CFA5" w:rsidR="00E974B3" w:rsidRPr="007A4DA8" w:rsidRDefault="00D37CB1" w:rsidP="00E974B3">
            <w:pPr>
              <w:snapToGrid w:val="0"/>
              <w:spacing w:line="256" w:lineRule="auto"/>
              <w:rPr>
                <w:rFonts w:cs="Arial"/>
              </w:rPr>
            </w:pPr>
            <w:r w:rsidRPr="007A4DA8">
              <w:rPr>
                <w:rFonts w:cs="Arial"/>
              </w:rPr>
              <w:t xml:space="preserve">L(+) </w:t>
            </w:r>
            <w:r w:rsidR="00E974B3" w:rsidRPr="007A4DA8">
              <w:rPr>
                <w:rFonts w:cs="Arial"/>
              </w:rPr>
              <w:t>Lactic acid</w:t>
            </w:r>
          </w:p>
          <w:p w14:paraId="3DCDB72F" w14:textId="77777777" w:rsidR="00E974B3" w:rsidRPr="007A4DA8" w:rsidRDefault="00E974B3" w:rsidP="00E974B3">
            <w:pPr>
              <w:widowControl w:val="0"/>
              <w:autoSpaceDE w:val="0"/>
              <w:spacing w:line="256" w:lineRule="auto"/>
              <w:rPr>
                <w:rFonts w:cs="Arial"/>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F95A12" w14:textId="71FC9228" w:rsidR="00E974B3" w:rsidRPr="007A4DA8" w:rsidRDefault="00D37CB1" w:rsidP="00E974B3">
            <w:pPr>
              <w:widowControl w:val="0"/>
              <w:autoSpaceDE w:val="0"/>
              <w:spacing w:line="256" w:lineRule="auto"/>
              <w:rPr>
                <w:rFonts w:cs="Arial"/>
              </w:rPr>
            </w:pPr>
            <w:r w:rsidRPr="007A4DA8">
              <w:rPr>
                <w:rFonts w:cs="Arial"/>
              </w:rPr>
              <w:t>(S)-2-Hydroxypropanoic acidL</w:t>
            </w:r>
            <w:r w:rsidRPr="007A4DA8" w:rsidDel="00D37CB1">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4012FC4" w14:textId="21C4DCFD" w:rsidR="00E974B3" w:rsidRPr="007A4DA8" w:rsidRDefault="00E974B3" w:rsidP="00E974B3">
            <w:pPr>
              <w:spacing w:line="256" w:lineRule="auto"/>
              <w:rPr>
                <w:rFonts w:cs="Arial"/>
              </w:rPr>
            </w:pPr>
            <w:r w:rsidRPr="007A4DA8">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925A21" w14:textId="4B37C3B9" w:rsidR="00E974B3" w:rsidRPr="007A4DA8" w:rsidRDefault="00E974B3" w:rsidP="00E974B3">
            <w:pPr>
              <w:spacing w:line="256" w:lineRule="auto"/>
              <w:rPr>
                <w:rFonts w:cs="Arial"/>
              </w:rPr>
            </w:pPr>
            <w:r w:rsidRPr="007A4DA8">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87B5B" w14:textId="355C62DB" w:rsidR="00E974B3" w:rsidRPr="007A4DA8" w:rsidRDefault="00E974B3" w:rsidP="00E974B3">
            <w:pPr>
              <w:widowControl w:val="0"/>
              <w:autoSpaceDE w:val="0"/>
              <w:spacing w:line="256" w:lineRule="auto"/>
              <w:rPr>
                <w:rFonts w:cs="Arial"/>
              </w:rPr>
            </w:pPr>
            <w:r w:rsidRPr="007A4DA8">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5C123F4" w14:textId="34492C73" w:rsidR="00E974B3" w:rsidRPr="007A4DA8" w:rsidRDefault="00E974B3" w:rsidP="00E974B3">
            <w:pPr>
              <w:autoSpaceDE w:val="0"/>
              <w:spacing w:line="256" w:lineRule="auto"/>
              <w:rPr>
                <w:rFonts w:cs="Arial"/>
              </w:rPr>
            </w:pPr>
            <w:r w:rsidRPr="007A4DA8">
              <w:rPr>
                <w:rFonts w:cs="Arial"/>
              </w:rPr>
              <w:t>22.92</w:t>
            </w:r>
          </w:p>
        </w:tc>
      </w:tr>
      <w:tr w:rsidR="00E974B3" w:rsidRPr="00B27CB1" w14:paraId="7D51F83D"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6D5AFA0C" w14:textId="77777777" w:rsidR="00E974B3" w:rsidRPr="007A4DA8" w:rsidRDefault="00E974B3" w:rsidP="00E974B3">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56379199" w14:textId="77777777" w:rsidR="00E974B3" w:rsidRPr="007A4DA8" w:rsidRDefault="00E974B3" w:rsidP="00E974B3">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CD98282" w14:textId="185EA317" w:rsidR="00E974B3" w:rsidRPr="007A4DA8" w:rsidRDefault="00E974B3" w:rsidP="00E974B3">
            <w:pPr>
              <w:spacing w:line="256" w:lineRule="auto"/>
              <w:rPr>
                <w:rFonts w:cs="Arial"/>
              </w:rPr>
            </w:pPr>
            <w:r w:rsidRPr="007A4DA8">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2F708C98" w14:textId="77777777" w:rsidR="00E974B3" w:rsidRPr="007A4DA8" w:rsidRDefault="00E974B3" w:rsidP="00E974B3">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0BCE751E" w14:textId="77777777" w:rsidR="00E974B3" w:rsidRPr="007A4DA8" w:rsidRDefault="00E974B3" w:rsidP="00E974B3">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A6FC7D5" w14:textId="1B99DB19" w:rsidR="00E974B3" w:rsidRPr="007A4DA8" w:rsidRDefault="00E974B3" w:rsidP="00E974B3">
            <w:pPr>
              <w:spacing w:line="256" w:lineRule="auto"/>
              <w:rPr>
                <w:rFonts w:cs="Arial"/>
              </w:rPr>
            </w:pPr>
            <w:r w:rsidRPr="007A4DA8">
              <w:rPr>
                <w:rFonts w:cs="Arial"/>
              </w:rPr>
              <w:t>24</w:t>
            </w:r>
          </w:p>
        </w:tc>
      </w:tr>
      <w:tr w:rsidR="00A04731" w:rsidRPr="00B27CB1" w14:paraId="5CC3918C" w14:textId="77777777" w:rsidTr="00E70520">
        <w:tc>
          <w:tcPr>
            <w:tcW w:w="2021" w:type="dxa"/>
            <w:tcBorders>
              <w:top w:val="single" w:sz="4" w:space="0" w:color="000000"/>
              <w:left w:val="single" w:sz="4" w:space="0" w:color="000000"/>
              <w:bottom w:val="single" w:sz="4" w:space="0" w:color="000000"/>
              <w:right w:val="single" w:sz="4" w:space="0" w:color="000000"/>
            </w:tcBorders>
          </w:tcPr>
          <w:p w14:paraId="7E8B86CC" w14:textId="77777777" w:rsidR="00A04731" w:rsidRDefault="00A04731" w:rsidP="00A04731">
            <w:pPr>
              <w:tabs>
                <w:tab w:val="right" w:pos="2246"/>
              </w:tabs>
              <w:suppressAutoHyphens w:val="0"/>
              <w:spacing w:line="256" w:lineRule="auto"/>
              <w:rPr>
                <w:bCs/>
                <w:szCs w:val="24"/>
                <w:lang w:eastAsia="en-GB"/>
              </w:rPr>
            </w:pPr>
            <w:r w:rsidRPr="00E420BD">
              <w:rPr>
                <w:bCs/>
                <w:szCs w:val="24"/>
                <w:lang w:eastAsia="en-GB"/>
              </w:rPr>
              <w:t>(Fractionated coco)dimethylamine oxide</w:t>
            </w:r>
          </w:p>
          <w:p w14:paraId="6AAA81C7" w14:textId="77777777" w:rsidR="00A04731" w:rsidRPr="007A4DA8" w:rsidRDefault="00A04731" w:rsidP="00A04731">
            <w:pPr>
              <w:suppressAutoHyphens w:val="0"/>
              <w:spacing w:line="256" w:lineRule="auto"/>
              <w:rPr>
                <w:rFonts w:cs="Arial"/>
              </w:rPr>
            </w:pPr>
          </w:p>
        </w:tc>
        <w:tc>
          <w:tcPr>
            <w:tcW w:w="1850" w:type="dxa"/>
            <w:tcBorders>
              <w:top w:val="single" w:sz="4" w:space="0" w:color="000000"/>
              <w:left w:val="single" w:sz="4" w:space="0" w:color="000000"/>
              <w:bottom w:val="single" w:sz="4" w:space="0" w:color="000000"/>
              <w:right w:val="single" w:sz="4" w:space="0" w:color="000000"/>
            </w:tcBorders>
          </w:tcPr>
          <w:p w14:paraId="2A41B052" w14:textId="49BF355F" w:rsidR="00A04731" w:rsidRPr="007A4DA8" w:rsidRDefault="00A04731" w:rsidP="00A04731">
            <w:pPr>
              <w:suppressAutoHyphens w:val="0"/>
              <w:spacing w:line="256" w:lineRule="auto"/>
              <w:rPr>
                <w:rFonts w:cs="Arial"/>
              </w:rPr>
            </w:pPr>
            <w:r w:rsidRPr="00E420BD">
              <w:t>(Fractionated coco)dimethylamine oxide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160B63" w14:textId="476F61B1" w:rsidR="00A04731" w:rsidRPr="007A4DA8" w:rsidRDefault="00A04731" w:rsidP="00A04731">
            <w:pPr>
              <w:spacing w:line="256" w:lineRule="auto"/>
              <w:rPr>
                <w:rFonts w:cs="Arial"/>
              </w:rPr>
            </w:pPr>
            <w:r>
              <w:rPr>
                <w:bCs/>
              </w:rPr>
              <w:t>Surfactant</w:t>
            </w:r>
          </w:p>
        </w:tc>
        <w:tc>
          <w:tcPr>
            <w:tcW w:w="1276" w:type="dxa"/>
            <w:tcBorders>
              <w:top w:val="single" w:sz="4" w:space="0" w:color="000000"/>
              <w:left w:val="single" w:sz="4" w:space="0" w:color="000000"/>
              <w:bottom w:val="single" w:sz="4" w:space="0" w:color="000000"/>
              <w:right w:val="single" w:sz="4" w:space="0" w:color="000000"/>
            </w:tcBorders>
          </w:tcPr>
          <w:p w14:paraId="29BFA763" w14:textId="17039786" w:rsidR="00A04731" w:rsidRPr="007A4DA8" w:rsidRDefault="00A04731" w:rsidP="00A04731">
            <w:pPr>
              <w:suppressAutoHyphens w:val="0"/>
              <w:spacing w:line="256" w:lineRule="auto"/>
              <w:rPr>
                <w:rFonts w:cs="Arial"/>
              </w:rPr>
            </w:pPr>
            <w:r w:rsidRPr="00E420BD">
              <w:t>61788-90-7</w:t>
            </w:r>
          </w:p>
        </w:tc>
        <w:tc>
          <w:tcPr>
            <w:tcW w:w="1152" w:type="dxa"/>
            <w:tcBorders>
              <w:top w:val="single" w:sz="4" w:space="0" w:color="000000"/>
              <w:left w:val="single" w:sz="4" w:space="0" w:color="000000"/>
              <w:bottom w:val="single" w:sz="4" w:space="0" w:color="000000"/>
              <w:right w:val="single" w:sz="4" w:space="0" w:color="000000"/>
            </w:tcBorders>
          </w:tcPr>
          <w:p w14:paraId="38855350" w14:textId="7FD8A972" w:rsidR="00A04731" w:rsidRPr="007A4DA8" w:rsidRDefault="00A04731" w:rsidP="00A04731">
            <w:pPr>
              <w:suppressAutoHyphens w:val="0"/>
              <w:spacing w:line="256" w:lineRule="auto"/>
              <w:rPr>
                <w:rFonts w:cs="Arial"/>
              </w:rPr>
            </w:pPr>
            <w:r w:rsidRPr="00E420BD">
              <w:t>263-016-9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D9EF70" w14:textId="35E97C57" w:rsidR="00A04731" w:rsidRPr="007A4DA8" w:rsidRDefault="00A04731" w:rsidP="00A04731">
            <w:pPr>
              <w:spacing w:line="256" w:lineRule="auto"/>
              <w:rPr>
                <w:rFonts w:cs="Arial"/>
              </w:rPr>
            </w:pPr>
            <w:r>
              <w:t>6.68</w:t>
            </w:r>
          </w:p>
        </w:tc>
      </w:tr>
    </w:tbl>
    <w:p w14:paraId="7662E4D6" w14:textId="6DFC8869" w:rsidR="00A932DC" w:rsidRDefault="00A932DC" w:rsidP="00A932DC"/>
    <w:p w14:paraId="0C0A1357" w14:textId="754A2E6E" w:rsidR="002F6E1B" w:rsidRDefault="002F6E1B" w:rsidP="00A932DC"/>
    <w:p w14:paraId="39E41671" w14:textId="1168989E" w:rsidR="002F6E1B" w:rsidRDefault="002F6E1B" w:rsidP="00A932DC"/>
    <w:p w14:paraId="74B3975F" w14:textId="77777777" w:rsidR="002F6E1B" w:rsidRPr="00B27CB1" w:rsidRDefault="002F6E1B" w:rsidP="00A932DC"/>
    <w:p w14:paraId="6A2B0ACD" w14:textId="15FFDF97" w:rsidR="00A932DC" w:rsidRPr="00B27CB1" w:rsidRDefault="00A932DC" w:rsidP="00A932DC">
      <w:pPr>
        <w:keepNext/>
        <w:spacing w:after="120"/>
        <w:ind w:left="432" w:hanging="432"/>
        <w:outlineLvl w:val="0"/>
        <w:rPr>
          <w:b/>
          <w:caps/>
          <w:sz w:val="28"/>
        </w:rPr>
      </w:pPr>
      <w:r w:rsidRPr="00B27CB1">
        <w:rPr>
          <w:b/>
          <w:caps/>
          <w:sz w:val="28"/>
        </w:rPr>
        <w:t>Part II - Second information level - meta SPC 12</w:t>
      </w:r>
    </w:p>
    <w:p w14:paraId="104A379D" w14:textId="77777777" w:rsidR="00A932DC" w:rsidRPr="00B27CB1" w:rsidRDefault="00A932DC" w:rsidP="00A932DC"/>
    <w:p w14:paraId="0A442D0C" w14:textId="2E3F6E97" w:rsidR="00A932DC" w:rsidRPr="00B27CB1" w:rsidRDefault="00A932DC" w:rsidP="00657948">
      <w:pPr>
        <w:pStyle w:val="Titre3"/>
      </w:pPr>
      <w:bookmarkStart w:id="126" w:name="_Toc87361156"/>
      <w:r w:rsidRPr="00B27CB1">
        <w:lastRenderedPageBreak/>
        <w:t>Meta SPC 12 administrative information</w:t>
      </w:r>
      <w:bookmarkEnd w:id="126"/>
    </w:p>
    <w:p w14:paraId="7480E2DF"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406CA2F3"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8C8A16" w14:textId="77777777" w:rsidR="00A932DC" w:rsidRPr="00B27CB1" w:rsidRDefault="00A932DC" w:rsidP="00310531">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D9A3840" w14:textId="538E7031" w:rsidR="00A932DC" w:rsidRPr="00B27CB1" w:rsidRDefault="00A932DC" w:rsidP="00310531">
            <w:pPr>
              <w:spacing w:line="256" w:lineRule="auto"/>
            </w:pPr>
            <w:r w:rsidRPr="00B27CB1">
              <w:t>META SPC 12</w:t>
            </w:r>
          </w:p>
        </w:tc>
      </w:tr>
    </w:tbl>
    <w:p w14:paraId="22B42ADB" w14:textId="77777777" w:rsidR="00A932DC" w:rsidRPr="00B27CB1" w:rsidRDefault="00A932DC" w:rsidP="00A932DC"/>
    <w:p w14:paraId="74DCE095"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710DBC9"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A0A9D7" w14:textId="0872CEE0" w:rsidR="00A932DC" w:rsidRPr="00B27CB1" w:rsidRDefault="002F6E1B" w:rsidP="00310531">
            <w:pPr>
              <w:spacing w:line="256" w:lineRule="auto"/>
            </w:pPr>
            <w:r>
              <w:t>Number 8</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A084BC" w14:textId="77777777" w:rsidR="00A932DC" w:rsidRPr="00B27CB1" w:rsidRDefault="00A932DC" w:rsidP="00310531">
            <w:pPr>
              <w:spacing w:line="256" w:lineRule="auto"/>
            </w:pPr>
          </w:p>
        </w:tc>
      </w:tr>
    </w:tbl>
    <w:p w14:paraId="5CCCB6C3" w14:textId="77777777" w:rsidR="00A932DC" w:rsidRPr="00B27CB1" w:rsidRDefault="00A932DC" w:rsidP="00A932DC"/>
    <w:p w14:paraId="348C43B6" w14:textId="77777777"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32DC" w:rsidRPr="00B27CB1" w14:paraId="7013B280" w14:textId="77777777" w:rsidTr="0031053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0E740A" w14:textId="77777777" w:rsidR="00A932DC" w:rsidRPr="00B27CB1" w:rsidRDefault="00A932DC" w:rsidP="00310531">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864BB8" w14:textId="5E09C3CD" w:rsidR="00A932DC" w:rsidRPr="00B27CB1" w:rsidRDefault="00CB4A8C" w:rsidP="002F6E1B">
            <w:pPr>
              <w:spacing w:line="256" w:lineRule="auto"/>
            </w:pPr>
            <w:r w:rsidRPr="00B27CB1">
              <w:t>2</w:t>
            </w:r>
          </w:p>
        </w:tc>
      </w:tr>
    </w:tbl>
    <w:p w14:paraId="3EB3BE7A" w14:textId="77777777" w:rsidR="00A932DC" w:rsidRPr="00B27CB1" w:rsidRDefault="00A932DC" w:rsidP="00A932DC"/>
    <w:p w14:paraId="109F3068" w14:textId="2D33404C" w:rsidR="00A932DC" w:rsidRPr="00B27CB1" w:rsidRDefault="00A932DC" w:rsidP="00657948">
      <w:pPr>
        <w:pStyle w:val="Titre3"/>
      </w:pPr>
      <w:bookmarkStart w:id="127" w:name="_Toc87361157"/>
      <w:r w:rsidRPr="00B27CB1">
        <w:t>Meta SPC 12 composition</w:t>
      </w:r>
      <w:bookmarkEnd w:id="127"/>
    </w:p>
    <w:p w14:paraId="4610B057" w14:textId="4191136D"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Qualitative and quantitative information on the composition of the meta SPC 12</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932DC" w:rsidRPr="00B27CB1" w14:paraId="147DAC2D" w14:textId="77777777" w:rsidTr="00310531">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0949DA0B" w14:textId="77777777" w:rsidR="00A932DC" w:rsidRPr="00B27CB1" w:rsidRDefault="00A932DC" w:rsidP="00310531">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713E82B4" w14:textId="77777777" w:rsidR="00A932DC" w:rsidRPr="00B27CB1" w:rsidRDefault="00A932DC" w:rsidP="00310531">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062921C4" w14:textId="77777777" w:rsidR="00A932DC" w:rsidRPr="00B27CB1" w:rsidRDefault="00A932DC" w:rsidP="00310531">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7300FEBE" w14:textId="77777777" w:rsidR="00A932DC" w:rsidRPr="00B27CB1" w:rsidRDefault="00A932DC" w:rsidP="00310531">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0839B51D" w14:textId="77777777" w:rsidR="00A932DC" w:rsidRPr="00B27CB1" w:rsidRDefault="00A932DC" w:rsidP="00310531">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28E5D734" w14:textId="77777777" w:rsidR="00A932DC" w:rsidRPr="00B27CB1" w:rsidRDefault="00A932DC" w:rsidP="00310531">
            <w:pPr>
              <w:spacing w:line="256" w:lineRule="auto"/>
            </w:pPr>
            <w:r w:rsidRPr="00B27CB1">
              <w:rPr>
                <w:b/>
                <w:bCs/>
                <w:szCs w:val="24"/>
                <w:lang w:eastAsia="en-GB"/>
              </w:rPr>
              <w:t>Content (%)</w:t>
            </w:r>
          </w:p>
        </w:tc>
      </w:tr>
      <w:tr w:rsidR="00A932DC" w:rsidRPr="00B27CB1" w14:paraId="6132D7DF" w14:textId="77777777" w:rsidTr="00310531">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3442FC5C"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8D8303D"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8BF4D54"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E068010" w14:textId="77777777" w:rsidR="00A932DC" w:rsidRPr="00B27CB1" w:rsidRDefault="00A932DC" w:rsidP="00310531">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A6B928C" w14:textId="77777777" w:rsidR="00A932DC" w:rsidRPr="00B27CB1" w:rsidRDefault="00A932DC" w:rsidP="00310531">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E1C931" w14:textId="77777777" w:rsidR="00A932DC" w:rsidRPr="00B27CB1" w:rsidRDefault="00A932DC" w:rsidP="00310531">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4FD1" w14:textId="77777777" w:rsidR="00A932DC" w:rsidRPr="00B27CB1" w:rsidRDefault="00A932DC" w:rsidP="00310531">
            <w:pPr>
              <w:spacing w:line="256" w:lineRule="auto"/>
            </w:pPr>
            <w:r w:rsidRPr="00B27CB1">
              <w:rPr>
                <w:b/>
                <w:bCs/>
                <w:szCs w:val="24"/>
                <w:lang w:eastAsia="en-GB"/>
              </w:rPr>
              <w:t>Max</w:t>
            </w:r>
          </w:p>
        </w:tc>
      </w:tr>
      <w:tr w:rsidR="00E974B3" w:rsidRPr="00B27CB1" w14:paraId="3025EB33" w14:textId="77777777" w:rsidTr="00E91F85">
        <w:tc>
          <w:tcPr>
            <w:tcW w:w="2256" w:type="dxa"/>
            <w:vMerge w:val="restart"/>
            <w:tcBorders>
              <w:top w:val="single" w:sz="4" w:space="0" w:color="000000"/>
              <w:left w:val="single" w:sz="4" w:space="0" w:color="000000"/>
              <w:bottom w:val="single" w:sz="4" w:space="0" w:color="000000"/>
              <w:right w:val="nil"/>
            </w:tcBorders>
          </w:tcPr>
          <w:p w14:paraId="09C2F668" w14:textId="4880DE27" w:rsidR="00E974B3" w:rsidRPr="00B27CB1" w:rsidRDefault="00D37CB1" w:rsidP="00E974B3">
            <w:pPr>
              <w:snapToGrid w:val="0"/>
              <w:spacing w:line="256" w:lineRule="auto"/>
              <w:rPr>
                <w:b/>
                <w:bCs/>
                <w:szCs w:val="24"/>
                <w:lang w:eastAsia="en-GB"/>
              </w:rPr>
            </w:pPr>
            <w:r w:rsidRPr="00932929">
              <w:rPr>
                <w:lang w:val="pl-PL"/>
              </w:rPr>
              <w:t xml:space="preserve">L(+) </w:t>
            </w:r>
            <w:r w:rsidR="00E974B3">
              <w:rPr>
                <w:lang w:val="pl-PL"/>
              </w:rPr>
              <w:t>Lactic acid</w:t>
            </w:r>
          </w:p>
          <w:p w14:paraId="769062C5" w14:textId="77777777" w:rsidR="00E974B3" w:rsidRPr="00B27CB1" w:rsidRDefault="00E974B3" w:rsidP="00E974B3">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1C2A1AD3" w14:textId="0B1ADFCD" w:rsidR="00E974B3" w:rsidRPr="00B27CB1" w:rsidRDefault="00D37CB1" w:rsidP="00E974B3">
            <w:pPr>
              <w:snapToGrid w:val="0"/>
              <w:spacing w:line="256" w:lineRule="auto"/>
            </w:pPr>
            <w:r w:rsidRPr="00932929">
              <w:t>(S)-2-Hydroxypropanoic acid</w:t>
            </w:r>
            <w:r w:rsidRPr="00F67FDB" w:rsidDel="00D37CB1">
              <w:t xml:space="preserve"> </w:t>
            </w:r>
          </w:p>
        </w:tc>
        <w:tc>
          <w:tcPr>
            <w:tcW w:w="1353" w:type="dxa"/>
            <w:tcBorders>
              <w:top w:val="single" w:sz="4" w:space="0" w:color="000000"/>
              <w:left w:val="single" w:sz="4" w:space="0" w:color="000000"/>
              <w:bottom w:val="single" w:sz="4" w:space="0" w:color="000000"/>
              <w:right w:val="nil"/>
            </w:tcBorders>
            <w:vAlign w:val="center"/>
            <w:hideMark/>
          </w:tcPr>
          <w:p w14:paraId="1653E2DA" w14:textId="1F6DF479" w:rsidR="00E974B3" w:rsidRPr="00B27CB1" w:rsidRDefault="00E974B3" w:rsidP="00E974B3">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2B3282A3" w14:textId="1B8CF047" w:rsidR="00E974B3" w:rsidRPr="00B27CB1" w:rsidRDefault="00E974B3" w:rsidP="00E974B3">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4BCA7EF5" w14:textId="08EAA22C" w:rsidR="00E974B3" w:rsidRPr="00B27CB1" w:rsidRDefault="00E974B3" w:rsidP="00E974B3">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32754B61" w14:textId="5DF237BD" w:rsidR="00E974B3" w:rsidRPr="00B27CB1" w:rsidRDefault="00E974B3" w:rsidP="00E974B3">
            <w:pPr>
              <w:snapToGrid w:val="0"/>
              <w:spacing w:line="256" w:lineRule="auto"/>
            </w:pPr>
            <w:r>
              <w:t>15.28</w:t>
            </w:r>
          </w:p>
        </w:tc>
        <w:tc>
          <w:tcPr>
            <w:tcW w:w="738" w:type="dxa"/>
            <w:tcBorders>
              <w:top w:val="single" w:sz="4" w:space="0" w:color="000000"/>
              <w:left w:val="single" w:sz="4" w:space="0" w:color="000000"/>
              <w:bottom w:val="single" w:sz="4" w:space="0" w:color="000000"/>
              <w:right w:val="single" w:sz="4" w:space="0" w:color="000000"/>
            </w:tcBorders>
            <w:vAlign w:val="center"/>
          </w:tcPr>
          <w:p w14:paraId="58D9A1ED" w14:textId="7FB8D2A6" w:rsidR="00E974B3" w:rsidRPr="00B27CB1" w:rsidRDefault="00E974B3" w:rsidP="00E974B3">
            <w:pPr>
              <w:snapToGrid w:val="0"/>
              <w:spacing w:line="256" w:lineRule="auto"/>
            </w:pPr>
            <w:r>
              <w:t>15.28</w:t>
            </w:r>
          </w:p>
        </w:tc>
      </w:tr>
      <w:tr w:rsidR="00E974B3" w:rsidRPr="00B27CB1" w14:paraId="7AC2BF90" w14:textId="77777777" w:rsidTr="00E91F85">
        <w:tc>
          <w:tcPr>
            <w:tcW w:w="2256" w:type="dxa"/>
            <w:vMerge/>
            <w:tcBorders>
              <w:top w:val="single" w:sz="4" w:space="0" w:color="000000"/>
              <w:left w:val="single" w:sz="4" w:space="0" w:color="000000"/>
              <w:bottom w:val="single" w:sz="4" w:space="0" w:color="000000"/>
              <w:right w:val="nil"/>
            </w:tcBorders>
            <w:hideMark/>
          </w:tcPr>
          <w:p w14:paraId="39BCBECC" w14:textId="77777777" w:rsidR="00E974B3" w:rsidRPr="00B27CB1" w:rsidRDefault="00E974B3" w:rsidP="00E974B3">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18F06597" w14:textId="77777777" w:rsidR="00E974B3" w:rsidRPr="00B27CB1" w:rsidRDefault="00E974B3" w:rsidP="00E974B3">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5975FE49" w14:textId="705BBE00" w:rsidR="00E974B3" w:rsidRPr="00B27CB1" w:rsidRDefault="00E974B3" w:rsidP="00E974B3">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1EA92BB6" w14:textId="77777777" w:rsidR="00E974B3" w:rsidRPr="00B27CB1" w:rsidRDefault="00E974B3" w:rsidP="00E974B3">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5AFE9BE3" w14:textId="77777777" w:rsidR="00E974B3" w:rsidRPr="00B27CB1" w:rsidRDefault="00E974B3" w:rsidP="00E974B3">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74AF4B33" w14:textId="742D89D4" w:rsidR="00E974B3" w:rsidRPr="00B27CB1" w:rsidRDefault="00E974B3" w:rsidP="00E974B3">
            <w:pPr>
              <w:snapToGrid w:val="0"/>
              <w:spacing w:line="256" w:lineRule="auto"/>
            </w:pPr>
            <w:r>
              <w:t>16</w:t>
            </w:r>
          </w:p>
        </w:tc>
        <w:tc>
          <w:tcPr>
            <w:tcW w:w="738" w:type="dxa"/>
            <w:tcBorders>
              <w:top w:val="single" w:sz="4" w:space="0" w:color="000000"/>
              <w:left w:val="single" w:sz="4" w:space="0" w:color="000000"/>
              <w:bottom w:val="single" w:sz="4" w:space="0" w:color="000000"/>
              <w:right w:val="single" w:sz="4" w:space="0" w:color="000000"/>
            </w:tcBorders>
            <w:vAlign w:val="center"/>
          </w:tcPr>
          <w:p w14:paraId="03E4C769" w14:textId="6ED88D35" w:rsidR="00E974B3" w:rsidRPr="00B27CB1" w:rsidRDefault="00E974B3" w:rsidP="00E974B3">
            <w:pPr>
              <w:snapToGrid w:val="0"/>
              <w:spacing w:line="256" w:lineRule="auto"/>
            </w:pPr>
            <w:r>
              <w:t>16</w:t>
            </w:r>
          </w:p>
        </w:tc>
      </w:tr>
    </w:tbl>
    <w:p w14:paraId="69AEBB42" w14:textId="77777777" w:rsidR="00A932DC" w:rsidRPr="00B27CB1" w:rsidRDefault="00A932DC" w:rsidP="00A932DC"/>
    <w:p w14:paraId="6F52CFBB" w14:textId="23C94783" w:rsidR="00A932DC" w:rsidRPr="00B27CB1" w:rsidRDefault="00A932DC" w:rsidP="00A932DC">
      <w:pPr>
        <w:keepNext/>
        <w:numPr>
          <w:ilvl w:val="3"/>
          <w:numId w:val="6"/>
        </w:numPr>
        <w:spacing w:before="240" w:after="120"/>
        <w:jc w:val="both"/>
        <w:outlineLvl w:val="3"/>
        <w:rPr>
          <w:rFonts w:eastAsia="Calibri"/>
          <w:sz w:val="22"/>
          <w:szCs w:val="24"/>
        </w:rPr>
      </w:pPr>
      <w:r w:rsidRPr="00B27CB1">
        <w:rPr>
          <w:rFonts w:eastAsia="Calibri"/>
          <w:sz w:val="22"/>
          <w:szCs w:val="24"/>
        </w:rPr>
        <w:t>Type(s) of formulation of the meta SPC 12</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8704B06"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56F82355" w14:textId="48E6A27A" w:rsidR="00A932DC" w:rsidRPr="00B27CB1" w:rsidRDefault="00CB4A8C" w:rsidP="007A4DA8">
            <w:pPr>
              <w:keepNext/>
              <w:outlineLvl w:val="2"/>
            </w:pPr>
            <w:r w:rsidRPr="00B27CB1">
              <w:t>AL - Any other liquid</w:t>
            </w:r>
          </w:p>
        </w:tc>
      </w:tr>
    </w:tbl>
    <w:p w14:paraId="56FAE22C" w14:textId="77777777" w:rsidR="00A932DC" w:rsidRPr="00B27CB1" w:rsidRDefault="00A932DC" w:rsidP="00A932DC"/>
    <w:p w14:paraId="71C38647" w14:textId="58DC31D0" w:rsidR="00A932DC" w:rsidRPr="007A4DA8" w:rsidRDefault="00A932DC" w:rsidP="00657948">
      <w:pPr>
        <w:pStyle w:val="Titre3"/>
        <w:rPr>
          <w:lang w:val="en-US"/>
        </w:rPr>
      </w:pPr>
      <w:bookmarkStart w:id="128" w:name="_Toc87361158"/>
      <w:r w:rsidRPr="007A4DA8">
        <w:rPr>
          <w:lang w:val="en-US"/>
        </w:rPr>
        <w:t>Hazard and precautionary statements according to Regulation (EC) 1272/2008 of the meta SPC 12</w:t>
      </w:r>
      <w:bookmarkEnd w:id="128"/>
    </w:p>
    <w:p w14:paraId="750338E4" w14:textId="77777777" w:rsidR="00A932DC" w:rsidRPr="00B27CB1" w:rsidRDefault="00A932DC" w:rsidP="00A932DC"/>
    <w:p w14:paraId="17AA80A3" w14:textId="77777777" w:rsidR="00A932DC" w:rsidRPr="00B27CB1" w:rsidRDefault="00A932DC" w:rsidP="00A932DC">
      <w:pPr>
        <w:rPr>
          <w:b/>
        </w:rPr>
      </w:pPr>
      <w:r w:rsidRPr="00B27CB1">
        <w:rPr>
          <w:b/>
        </w:rPr>
        <w:t>Classification and labelling of the products of the family according to the Regulation (EC) 1272/2008</w:t>
      </w:r>
    </w:p>
    <w:p w14:paraId="6F9FF986" w14:textId="77777777" w:rsidR="00A932DC" w:rsidRPr="00B27CB1" w:rsidRDefault="00A932DC" w:rsidP="00A932DC"/>
    <w:tbl>
      <w:tblPr>
        <w:tblW w:w="0" w:type="auto"/>
        <w:tblInd w:w="108" w:type="dxa"/>
        <w:tblLayout w:type="fixed"/>
        <w:tblLook w:val="04A0" w:firstRow="1" w:lastRow="0" w:firstColumn="1" w:lastColumn="0" w:noHBand="0" w:noVBand="1"/>
      </w:tblPr>
      <w:tblGrid>
        <w:gridCol w:w="2606"/>
        <w:gridCol w:w="6414"/>
      </w:tblGrid>
      <w:tr w:rsidR="00A932DC" w:rsidRPr="00B27CB1" w14:paraId="6172FBA0" w14:textId="77777777" w:rsidTr="003105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7346E29" w14:textId="77777777" w:rsidR="00A932DC" w:rsidRPr="00B27CB1" w:rsidRDefault="00A932DC" w:rsidP="00310531">
            <w:pPr>
              <w:spacing w:line="256" w:lineRule="auto"/>
            </w:pPr>
            <w:r w:rsidRPr="00B27CB1">
              <w:rPr>
                <w:b/>
                <w:lang w:eastAsia="en-US"/>
              </w:rPr>
              <w:t>Classification</w:t>
            </w:r>
          </w:p>
        </w:tc>
      </w:tr>
      <w:tr w:rsidR="00A932DC" w:rsidRPr="00E70520" w14:paraId="42FFB5ED"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32C1613" w14:textId="77777777" w:rsidR="00A932DC" w:rsidRPr="00B27CB1" w:rsidRDefault="00A932DC" w:rsidP="00310531">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3ADC3A3F" w14:textId="77777777" w:rsidR="00900EB4" w:rsidRPr="00E91F85" w:rsidRDefault="00900EB4" w:rsidP="007A4DA8">
            <w:pPr>
              <w:suppressAutoHyphens w:val="0"/>
              <w:autoSpaceDE w:val="0"/>
              <w:autoSpaceDN w:val="0"/>
              <w:adjustRightInd w:val="0"/>
              <w:jc w:val="both"/>
              <w:rPr>
                <w:lang w:val="fr-FR"/>
              </w:rPr>
            </w:pPr>
            <w:r w:rsidRPr="00E91F85">
              <w:rPr>
                <w:lang w:val="fr-FR"/>
              </w:rPr>
              <w:t xml:space="preserve">Skin Corr. 1C </w:t>
            </w:r>
          </w:p>
          <w:p w14:paraId="1D578E6D" w14:textId="5003405C" w:rsidR="00A932DC" w:rsidRPr="00E91F85" w:rsidRDefault="00900EB4" w:rsidP="007A4DA8">
            <w:pPr>
              <w:suppressAutoHyphens w:val="0"/>
              <w:autoSpaceDE w:val="0"/>
              <w:autoSpaceDN w:val="0"/>
              <w:adjustRightInd w:val="0"/>
              <w:jc w:val="both"/>
              <w:rPr>
                <w:lang w:val="fr-FR"/>
              </w:rPr>
            </w:pPr>
            <w:r w:rsidRPr="00E91F85">
              <w:rPr>
                <w:lang w:val="fr-FR"/>
              </w:rPr>
              <w:t>Eye Dam. 1</w:t>
            </w:r>
          </w:p>
        </w:tc>
      </w:tr>
      <w:tr w:rsidR="00A932DC" w:rsidRPr="00B27CB1" w14:paraId="4806BCD1"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66F32621" w14:textId="77777777" w:rsidR="00A932DC" w:rsidRPr="00B27CB1" w:rsidRDefault="00A932DC" w:rsidP="00310531">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A87AB2F" w14:textId="77777777" w:rsidR="00900EB4" w:rsidRPr="00AA5C99" w:rsidRDefault="00900EB4" w:rsidP="007A4DA8">
            <w:pPr>
              <w:autoSpaceDE w:val="0"/>
              <w:autoSpaceDN w:val="0"/>
              <w:adjustRightInd w:val="0"/>
              <w:jc w:val="both"/>
              <w:rPr>
                <w:rFonts w:cs="Times New Roman"/>
                <w:szCs w:val="24"/>
                <w:lang w:eastAsia="fi-FI"/>
              </w:rPr>
            </w:pPr>
            <w:r w:rsidRPr="00AA5C99">
              <w:rPr>
                <w:rFonts w:cs="Times New Roman"/>
                <w:szCs w:val="24"/>
                <w:lang w:eastAsia="fi-FI"/>
              </w:rPr>
              <w:t>H314: Causes severe skin burns and eye damage</w:t>
            </w:r>
          </w:p>
          <w:p w14:paraId="190AA272" w14:textId="41BF1A64" w:rsidR="00A932DC" w:rsidRPr="00B27CB1" w:rsidRDefault="00900EB4" w:rsidP="007A4DA8">
            <w:pPr>
              <w:suppressAutoHyphens w:val="0"/>
              <w:autoSpaceDE w:val="0"/>
              <w:autoSpaceDN w:val="0"/>
              <w:adjustRightInd w:val="0"/>
              <w:jc w:val="both"/>
              <w:rPr>
                <w:rFonts w:ascii="Times New Roman" w:hAnsi="Times New Roman" w:cs="Times New Roman"/>
                <w:sz w:val="24"/>
                <w:szCs w:val="24"/>
                <w:lang w:eastAsia="fi-FI"/>
              </w:rPr>
            </w:pPr>
            <w:r w:rsidRPr="00AA5C99">
              <w:rPr>
                <w:rFonts w:cs="Times New Roman"/>
                <w:szCs w:val="24"/>
                <w:lang w:eastAsia="fi-FI"/>
              </w:rPr>
              <w:t>H318: Causes serious eye damage</w:t>
            </w:r>
          </w:p>
        </w:tc>
      </w:tr>
      <w:tr w:rsidR="00A932DC" w:rsidRPr="00B27CB1" w14:paraId="5093E40F"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58669C1" w14:textId="77777777" w:rsidR="00A932DC" w:rsidRPr="00B27CB1" w:rsidRDefault="00A932DC" w:rsidP="007A4DA8">
            <w:pPr>
              <w:snapToGrid w:val="0"/>
              <w:rPr>
                <w:lang w:eastAsia="fi-FI"/>
              </w:rPr>
            </w:pPr>
          </w:p>
        </w:tc>
      </w:tr>
      <w:tr w:rsidR="00A932DC" w:rsidRPr="00B27CB1" w14:paraId="3D2C1C83"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54A0F036" w14:textId="77777777" w:rsidR="00A932DC" w:rsidRPr="00B27CB1" w:rsidRDefault="00A932DC" w:rsidP="007A4DA8">
            <w:r w:rsidRPr="00B27CB1">
              <w:rPr>
                <w:b/>
                <w:lang w:eastAsia="en-US"/>
              </w:rPr>
              <w:t>Labelling</w:t>
            </w:r>
          </w:p>
        </w:tc>
      </w:tr>
      <w:tr w:rsidR="00A932DC" w:rsidRPr="00B27CB1" w14:paraId="37EF9D81"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604E9FB6" w14:textId="77777777" w:rsidR="00A932DC" w:rsidRPr="00B27CB1" w:rsidRDefault="00A932DC" w:rsidP="00310531">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4351E5F4" w14:textId="4E75C38E" w:rsidR="00A932DC" w:rsidRPr="00B27CB1" w:rsidRDefault="00900EB4" w:rsidP="007A4DA8">
            <w:pPr>
              <w:suppressAutoHyphens w:val="0"/>
              <w:autoSpaceDE w:val="0"/>
              <w:autoSpaceDN w:val="0"/>
              <w:adjustRightInd w:val="0"/>
              <w:jc w:val="both"/>
              <w:rPr>
                <w:rFonts w:cs="Times New Roman"/>
                <w:szCs w:val="24"/>
                <w:lang w:eastAsia="fi-FI"/>
              </w:rPr>
            </w:pPr>
            <w:r>
              <w:rPr>
                <w:rFonts w:cs="Times New Roman"/>
                <w:szCs w:val="24"/>
                <w:lang w:eastAsia="fi-FI"/>
              </w:rPr>
              <w:t>Danger</w:t>
            </w:r>
          </w:p>
        </w:tc>
      </w:tr>
      <w:tr w:rsidR="00A932DC" w:rsidRPr="00B27CB1" w14:paraId="62C0D27A"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7E7A2BDC" w14:textId="77777777" w:rsidR="00A932DC" w:rsidRPr="00B27CB1" w:rsidRDefault="00A932DC" w:rsidP="00310531">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2FF19A7F" w14:textId="4375273F" w:rsidR="00A932DC" w:rsidRPr="00B27CB1" w:rsidRDefault="004339C7" w:rsidP="007A4DA8">
            <w:pPr>
              <w:autoSpaceDE w:val="0"/>
              <w:autoSpaceDN w:val="0"/>
              <w:adjustRightInd w:val="0"/>
              <w:jc w:val="both"/>
              <w:rPr>
                <w:rFonts w:cs="Times New Roman"/>
                <w:szCs w:val="24"/>
                <w:lang w:eastAsia="fi-FI"/>
              </w:rPr>
            </w:pPr>
            <w:r w:rsidRPr="00AA5C99">
              <w:rPr>
                <w:rFonts w:cs="Times New Roman"/>
                <w:szCs w:val="24"/>
                <w:lang w:eastAsia="fi-FI"/>
              </w:rPr>
              <w:t>H314: Causes severe skin burns and eye damage</w:t>
            </w:r>
          </w:p>
        </w:tc>
      </w:tr>
      <w:tr w:rsidR="00A932DC" w:rsidRPr="00B27CB1" w14:paraId="16A46B6E"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1A577215" w14:textId="77777777" w:rsidR="00A932DC" w:rsidRPr="00B27CB1" w:rsidRDefault="00A932DC" w:rsidP="00310531">
            <w:pPr>
              <w:spacing w:line="256" w:lineRule="auto"/>
              <w:rPr>
                <w:lang w:eastAsia="fi-FI"/>
              </w:rPr>
            </w:pPr>
            <w:r w:rsidRPr="00B27CB1">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41469A60" w14:textId="77777777" w:rsidR="00900EB4" w:rsidRPr="00900EB4" w:rsidRDefault="00900EB4" w:rsidP="002F6E1B">
            <w:pPr>
              <w:rPr>
                <w:lang w:eastAsia="fi-FI"/>
              </w:rPr>
            </w:pPr>
            <w:r w:rsidRPr="00900EB4">
              <w:rPr>
                <w:lang w:eastAsia="fi-FI"/>
              </w:rPr>
              <w:t>P260: Do not breathe dust/fume/gas/mist/vapours/spray.</w:t>
            </w:r>
          </w:p>
          <w:p w14:paraId="4C9D1B75" w14:textId="77777777" w:rsidR="00900EB4" w:rsidRPr="00900EB4" w:rsidRDefault="00900EB4" w:rsidP="001E568F">
            <w:pPr>
              <w:rPr>
                <w:lang w:eastAsia="fi-FI"/>
              </w:rPr>
            </w:pPr>
            <w:r w:rsidRPr="00900EB4">
              <w:rPr>
                <w:lang w:eastAsia="fi-FI"/>
              </w:rPr>
              <w:t>P264: Wash ... thoroughly after handling.</w:t>
            </w:r>
          </w:p>
          <w:p w14:paraId="42333564" w14:textId="77777777" w:rsidR="00900EB4" w:rsidRPr="00900EB4" w:rsidRDefault="00900EB4" w:rsidP="00854EF9">
            <w:pPr>
              <w:rPr>
                <w:lang w:eastAsia="fi-FI"/>
              </w:rPr>
            </w:pPr>
            <w:r w:rsidRPr="00900EB4">
              <w:rPr>
                <w:lang w:eastAsia="fi-FI"/>
              </w:rPr>
              <w:t>P280: Wear protective gloves/protective clothing/eye protection/face protection.</w:t>
            </w:r>
          </w:p>
          <w:p w14:paraId="419407A8" w14:textId="77777777" w:rsidR="00900EB4" w:rsidRPr="00900EB4" w:rsidRDefault="00900EB4" w:rsidP="00854EF9">
            <w:pPr>
              <w:rPr>
                <w:lang w:eastAsia="fi-FI"/>
              </w:rPr>
            </w:pPr>
            <w:r w:rsidRPr="00900EB4">
              <w:rPr>
                <w:lang w:eastAsia="fi-FI"/>
              </w:rPr>
              <w:t>P301+P330+P331: IF SWALLOWED: Rinse mouth. Do NOT induce vomiting.</w:t>
            </w:r>
          </w:p>
          <w:p w14:paraId="66F69910" w14:textId="77777777" w:rsidR="00900EB4" w:rsidRPr="00900EB4" w:rsidRDefault="00900EB4">
            <w:pPr>
              <w:rPr>
                <w:lang w:eastAsia="fi-FI"/>
              </w:rPr>
            </w:pPr>
            <w:r w:rsidRPr="00900EB4">
              <w:rPr>
                <w:lang w:eastAsia="fi-FI"/>
              </w:rPr>
              <w:t>P303+P361+P353: IF ON SKIN (or hair): Take off immediately all contaminated clothing. Rinse skin with water [or shower].</w:t>
            </w:r>
          </w:p>
          <w:p w14:paraId="1D5ADD45" w14:textId="77777777" w:rsidR="00900EB4" w:rsidRPr="00900EB4" w:rsidRDefault="00900EB4">
            <w:pPr>
              <w:rPr>
                <w:lang w:eastAsia="fi-FI"/>
              </w:rPr>
            </w:pPr>
            <w:r w:rsidRPr="00900EB4">
              <w:rPr>
                <w:lang w:eastAsia="fi-FI"/>
              </w:rPr>
              <w:t>P304+P340: If INHALED: Remove personto fresh air and keep comfortable for breathing.</w:t>
            </w:r>
          </w:p>
          <w:p w14:paraId="41E76D78" w14:textId="77777777" w:rsidR="00900EB4" w:rsidRPr="00900EB4" w:rsidRDefault="00900EB4">
            <w:pPr>
              <w:rPr>
                <w:lang w:eastAsia="fi-FI"/>
              </w:rPr>
            </w:pPr>
            <w:r w:rsidRPr="00900EB4">
              <w:rPr>
                <w:lang w:eastAsia="fi-FI"/>
              </w:rPr>
              <w:t xml:space="preserve">P305+P351+P338: IF IN EYES: Rinse cautiously with water for several minutes. Remove contact lenses, if present and easy to do. Continue rinsing. </w:t>
            </w:r>
          </w:p>
          <w:p w14:paraId="665F606B" w14:textId="77777777" w:rsidR="00900EB4" w:rsidRPr="00900EB4" w:rsidRDefault="00900EB4">
            <w:pPr>
              <w:rPr>
                <w:lang w:eastAsia="fi-FI"/>
              </w:rPr>
            </w:pPr>
            <w:r w:rsidRPr="00900EB4">
              <w:rPr>
                <w:lang w:eastAsia="fi-FI"/>
              </w:rPr>
              <w:t>P310: Immediately call a POISON CENTER/doctor/...</w:t>
            </w:r>
          </w:p>
          <w:p w14:paraId="7402E22D" w14:textId="77777777" w:rsidR="00900EB4" w:rsidRPr="00900EB4" w:rsidRDefault="00900EB4">
            <w:pPr>
              <w:rPr>
                <w:lang w:eastAsia="fi-FI"/>
              </w:rPr>
            </w:pPr>
            <w:r w:rsidRPr="00900EB4">
              <w:rPr>
                <w:lang w:eastAsia="fi-FI"/>
              </w:rPr>
              <w:t>P321: Specific treatment (see ... on this label).</w:t>
            </w:r>
          </w:p>
          <w:p w14:paraId="2DABDB79" w14:textId="77777777" w:rsidR="00900EB4" w:rsidRPr="00900EB4" w:rsidRDefault="00900EB4">
            <w:pPr>
              <w:rPr>
                <w:lang w:eastAsia="fi-FI"/>
              </w:rPr>
            </w:pPr>
            <w:r w:rsidRPr="00900EB4">
              <w:rPr>
                <w:lang w:eastAsia="fi-FI"/>
              </w:rPr>
              <w:t>P363: Wash contaminated clothing before reuse.</w:t>
            </w:r>
          </w:p>
          <w:p w14:paraId="27C0485A" w14:textId="350F8600" w:rsidR="00A932DC" w:rsidRPr="00B27CB1" w:rsidRDefault="00900EB4" w:rsidP="007A4DA8">
            <w:pPr>
              <w:autoSpaceDE w:val="0"/>
              <w:rPr>
                <w:rFonts w:cs="Times New Roman"/>
                <w:color w:val="000000"/>
                <w:lang w:eastAsia="en-US"/>
              </w:rPr>
            </w:pPr>
            <w:r w:rsidRPr="00900EB4">
              <w:rPr>
                <w:rFonts w:cs="Times New Roman"/>
                <w:color w:val="000000"/>
                <w:lang w:eastAsia="en-US"/>
              </w:rPr>
              <w:t>P501</w:t>
            </w:r>
            <w:r w:rsidRPr="00AA5C99">
              <w:rPr>
                <w:rFonts w:cs="Times New Roman"/>
                <w:color w:val="000000"/>
                <w:lang w:eastAsia="en-US"/>
              </w:rPr>
              <w:t>: Dispose of contents/container to…</w:t>
            </w:r>
          </w:p>
        </w:tc>
      </w:tr>
      <w:tr w:rsidR="00A932DC" w:rsidRPr="00B27CB1" w14:paraId="4B7A9152" w14:textId="77777777" w:rsidTr="0031053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CBA206C" w14:textId="77777777" w:rsidR="00A932DC" w:rsidRPr="00B27CB1" w:rsidRDefault="00A932DC" w:rsidP="00310531">
            <w:pPr>
              <w:snapToGrid w:val="0"/>
              <w:spacing w:line="256" w:lineRule="auto"/>
              <w:rPr>
                <w:lang w:eastAsia="fi-FI"/>
              </w:rPr>
            </w:pPr>
          </w:p>
        </w:tc>
      </w:tr>
      <w:tr w:rsidR="00A932DC" w:rsidRPr="00B27CB1" w14:paraId="4CD310B2" w14:textId="77777777" w:rsidTr="00310531">
        <w:trPr>
          <w:cantSplit/>
        </w:trPr>
        <w:tc>
          <w:tcPr>
            <w:tcW w:w="2606" w:type="dxa"/>
            <w:tcBorders>
              <w:top w:val="single" w:sz="2" w:space="0" w:color="000000"/>
              <w:left w:val="single" w:sz="2" w:space="0" w:color="000000"/>
              <w:bottom w:val="single" w:sz="2" w:space="0" w:color="000000"/>
              <w:right w:val="nil"/>
            </w:tcBorders>
            <w:hideMark/>
          </w:tcPr>
          <w:p w14:paraId="3825D892" w14:textId="77777777" w:rsidR="00A932DC" w:rsidRPr="00B27CB1" w:rsidRDefault="00A932DC" w:rsidP="00310531">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EF23474" w14:textId="77777777" w:rsidR="00A932DC" w:rsidRPr="00B27CB1" w:rsidRDefault="00A932DC" w:rsidP="00310531">
            <w:pPr>
              <w:snapToGrid w:val="0"/>
              <w:spacing w:line="256" w:lineRule="auto"/>
              <w:rPr>
                <w:b/>
                <w:lang w:eastAsia="fi-FI"/>
              </w:rPr>
            </w:pPr>
          </w:p>
        </w:tc>
      </w:tr>
    </w:tbl>
    <w:p w14:paraId="58344C3D" w14:textId="77777777" w:rsidR="00A932DC" w:rsidRPr="00B27CB1" w:rsidRDefault="00A932DC" w:rsidP="00A932DC">
      <w:pPr>
        <w:tabs>
          <w:tab w:val="left" w:pos="500"/>
        </w:tabs>
        <w:ind w:left="500" w:hanging="500"/>
      </w:pPr>
    </w:p>
    <w:p w14:paraId="695D9640" w14:textId="77777777" w:rsidR="00A932DC" w:rsidRPr="00B27CB1" w:rsidRDefault="00A932DC" w:rsidP="00A932DC"/>
    <w:p w14:paraId="465A0A23" w14:textId="315BE14E" w:rsidR="00A932DC" w:rsidRPr="007A4DA8" w:rsidRDefault="00A932DC" w:rsidP="00657948">
      <w:pPr>
        <w:pStyle w:val="Titre3"/>
        <w:rPr>
          <w:lang w:val="en-US"/>
        </w:rPr>
      </w:pPr>
      <w:bookmarkStart w:id="129" w:name="_Toc87361159"/>
      <w:r w:rsidRPr="007A4DA8">
        <w:rPr>
          <w:lang w:val="en-US"/>
        </w:rPr>
        <w:t>Authorised use(s) of the META SPC 12</w:t>
      </w:r>
      <w:bookmarkEnd w:id="129"/>
    </w:p>
    <w:p w14:paraId="2B4EBBDA" w14:textId="77777777" w:rsidR="00CB4A8C" w:rsidRPr="00B27CB1" w:rsidRDefault="00CB4A8C" w:rsidP="00CB4A8C">
      <w:pPr>
        <w:pStyle w:val="Titre4"/>
        <w:numPr>
          <w:ilvl w:val="3"/>
          <w:numId w:val="9"/>
        </w:numPr>
        <w:rPr>
          <w:lang w:val="en-GB"/>
        </w:rPr>
      </w:pPr>
      <w:bookmarkStart w:id="130" w:name="_Toc87361160"/>
      <w:r w:rsidRPr="00B27CB1">
        <w:rPr>
          <w:lang w:val="en-GB"/>
        </w:rPr>
        <w:t>Use description</w:t>
      </w:r>
      <w:bookmarkEnd w:id="130"/>
    </w:p>
    <w:p w14:paraId="06895D56" w14:textId="0A8570D3" w:rsidR="00CB4A8C" w:rsidRPr="00B27CB1" w:rsidRDefault="00CB4A8C" w:rsidP="00CB4A8C">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18</w:t>
      </w:r>
      <w:r w:rsidRPr="00B27CB1">
        <w:rPr>
          <w:rFonts w:ascii="Verdana" w:hAnsi="Verdana" w:cs="Verdana"/>
        </w:rPr>
        <w:fldChar w:fldCharType="end"/>
      </w:r>
      <w:r w:rsidRPr="00B27CB1">
        <w:rPr>
          <w:rFonts w:ascii="Verdana" w:hAnsi="Verdana"/>
        </w:rPr>
        <w:t xml:space="preserve">. Use # </w:t>
      </w:r>
      <w:r w:rsidRPr="00657948">
        <w:rPr>
          <w:rFonts w:ascii="Verdana" w:hAnsi="Verdana"/>
        </w:rPr>
        <w:t>1 – Disinfectants for hard surfaces for industry, institution, healthcare facilities and healthcare</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CB4A8C" w:rsidRPr="00B27CB1" w14:paraId="019B9A58" w14:textId="77777777" w:rsidTr="00434119">
        <w:tc>
          <w:tcPr>
            <w:tcW w:w="2707" w:type="dxa"/>
            <w:tcBorders>
              <w:top w:val="single" w:sz="4" w:space="0" w:color="000000"/>
              <w:left w:val="single" w:sz="4" w:space="0" w:color="000000"/>
              <w:bottom w:val="single" w:sz="4" w:space="0" w:color="000000"/>
              <w:right w:val="nil"/>
            </w:tcBorders>
            <w:hideMark/>
          </w:tcPr>
          <w:p w14:paraId="5ECE5620" w14:textId="77777777" w:rsidR="00CB4A8C" w:rsidRPr="00B27CB1" w:rsidRDefault="00CB4A8C" w:rsidP="00434119">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CCAF812" w14:textId="476E3CF5" w:rsidR="00CB4A8C" w:rsidRPr="00B27CB1" w:rsidRDefault="000C78AD" w:rsidP="00424ACA">
            <w:pPr>
              <w:snapToGrid w:val="0"/>
              <w:spacing w:line="254" w:lineRule="auto"/>
              <w:rPr>
                <w:b/>
              </w:rPr>
            </w:pPr>
            <w:r w:rsidRPr="000D7D14">
              <w:t>PT02 - Disinfectants and algaecides not intended for direct</w:t>
            </w:r>
            <w:r w:rsidR="00424ACA">
              <w:t xml:space="preserve"> </w:t>
            </w:r>
            <w:r w:rsidRPr="000D7D14">
              <w:t>application to humans or animals (Disinfectants)</w:t>
            </w:r>
          </w:p>
        </w:tc>
      </w:tr>
      <w:tr w:rsidR="00CB4A8C" w:rsidRPr="00B27CB1" w14:paraId="44A449CA" w14:textId="77777777" w:rsidTr="00434119">
        <w:tc>
          <w:tcPr>
            <w:tcW w:w="2707" w:type="dxa"/>
            <w:tcBorders>
              <w:top w:val="nil"/>
              <w:left w:val="single" w:sz="4" w:space="0" w:color="000000"/>
              <w:bottom w:val="single" w:sz="4" w:space="0" w:color="000000"/>
              <w:right w:val="nil"/>
            </w:tcBorders>
            <w:hideMark/>
          </w:tcPr>
          <w:p w14:paraId="497CC03D" w14:textId="77777777" w:rsidR="00CB4A8C" w:rsidRPr="00B27CB1" w:rsidRDefault="00CB4A8C" w:rsidP="00434119">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76DBDAD" w14:textId="57FC7983" w:rsidR="00CB4A8C" w:rsidRDefault="000C78AD" w:rsidP="00E91F85">
            <w:pPr>
              <w:rPr>
                <w:b/>
              </w:rPr>
            </w:pPr>
            <w:r w:rsidRPr="000D7D14">
              <w:rPr>
                <w:color w:val="000000"/>
              </w:rPr>
              <w:t xml:space="preserve">Product used for the disinfection of </w:t>
            </w:r>
            <w:r w:rsidR="00F03D06">
              <w:rPr>
                <w:color w:val="000000"/>
              </w:rPr>
              <w:t xml:space="preserve">toilet bowls of </w:t>
            </w:r>
            <w:r w:rsidRPr="000D7D14">
              <w:rPr>
                <w:color w:val="000000"/>
              </w:rPr>
              <w:t xml:space="preserve">industry, institution, healthcare facilities and healthcare. </w:t>
            </w:r>
            <w:r w:rsidRPr="000D7D14">
              <w:br/>
            </w:r>
          </w:p>
          <w:p w14:paraId="51E7CCAF" w14:textId="01C0E649" w:rsidR="00B006A0" w:rsidRPr="00B27CB1" w:rsidRDefault="00DE54E2" w:rsidP="00E91F85">
            <w:pPr>
              <w:rPr>
                <w:b/>
              </w:rPr>
            </w:pPr>
            <w:r>
              <w:rPr>
                <w:color w:val="000000"/>
              </w:rPr>
              <w:t>D</w:t>
            </w:r>
            <w:r w:rsidR="00B006A0" w:rsidRPr="000D7D14">
              <w:rPr>
                <w:color w:val="000000"/>
              </w:rPr>
              <w:t xml:space="preserve">isinfection of all kind of </w:t>
            </w:r>
            <w:r w:rsidR="00B006A0">
              <w:rPr>
                <w:color w:val="000000"/>
              </w:rPr>
              <w:t xml:space="preserve">non </w:t>
            </w:r>
            <w:r w:rsidR="00B006A0" w:rsidRPr="000D7D14">
              <w:rPr>
                <w:color w:val="000000"/>
              </w:rPr>
              <w:t>porous surfaces.</w:t>
            </w:r>
          </w:p>
        </w:tc>
      </w:tr>
      <w:tr w:rsidR="00CB4A8C" w:rsidRPr="00B27CB1" w14:paraId="07B9401F" w14:textId="77777777" w:rsidTr="00434119">
        <w:tc>
          <w:tcPr>
            <w:tcW w:w="2707" w:type="dxa"/>
            <w:tcBorders>
              <w:top w:val="nil"/>
              <w:left w:val="single" w:sz="4" w:space="0" w:color="000000"/>
              <w:bottom w:val="single" w:sz="4" w:space="0" w:color="000000"/>
              <w:right w:val="nil"/>
            </w:tcBorders>
            <w:hideMark/>
          </w:tcPr>
          <w:p w14:paraId="6DAF99A8" w14:textId="77777777" w:rsidR="00CB4A8C" w:rsidRPr="00B27CB1" w:rsidRDefault="00CB4A8C" w:rsidP="00434119">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04A6A29E" w14:textId="20BEE6F9" w:rsidR="00CB4A8C" w:rsidRPr="00B27CB1" w:rsidRDefault="000C78AD" w:rsidP="00434119">
            <w:pPr>
              <w:snapToGrid w:val="0"/>
              <w:spacing w:line="254" w:lineRule="auto"/>
              <w:rPr>
                <w:b/>
              </w:rPr>
            </w:pPr>
            <w:r w:rsidRPr="000D7D14">
              <w:t>Bacteria</w:t>
            </w:r>
            <w:r w:rsidRPr="000D7D14">
              <w:br/>
              <w:t>Yeasts</w:t>
            </w:r>
          </w:p>
        </w:tc>
      </w:tr>
      <w:tr w:rsidR="00CB4A8C" w:rsidRPr="00B27CB1" w14:paraId="2048502C" w14:textId="77777777" w:rsidTr="00434119">
        <w:tc>
          <w:tcPr>
            <w:tcW w:w="2707" w:type="dxa"/>
            <w:tcBorders>
              <w:top w:val="nil"/>
              <w:left w:val="single" w:sz="4" w:space="0" w:color="000000"/>
              <w:bottom w:val="single" w:sz="4" w:space="0" w:color="000000"/>
              <w:right w:val="nil"/>
            </w:tcBorders>
            <w:hideMark/>
          </w:tcPr>
          <w:p w14:paraId="68DDABFE" w14:textId="77777777" w:rsidR="00CB4A8C" w:rsidRPr="00B27CB1" w:rsidRDefault="00CB4A8C" w:rsidP="00434119">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1B1C1B19" w14:textId="581CEBDB" w:rsidR="00CB4A8C" w:rsidRPr="00B27CB1" w:rsidRDefault="000C78AD" w:rsidP="00A01F6A">
            <w:pPr>
              <w:snapToGrid w:val="0"/>
              <w:spacing w:line="254" w:lineRule="auto"/>
              <w:rPr>
                <w:b/>
              </w:rPr>
            </w:pPr>
            <w:r w:rsidRPr="000D7D14">
              <w:t>Indoor</w:t>
            </w:r>
          </w:p>
        </w:tc>
      </w:tr>
      <w:tr w:rsidR="00CB4A8C" w:rsidRPr="00B27CB1" w14:paraId="2ACC52EF" w14:textId="77777777" w:rsidTr="00434119">
        <w:tc>
          <w:tcPr>
            <w:tcW w:w="2707" w:type="dxa"/>
            <w:tcBorders>
              <w:top w:val="nil"/>
              <w:left w:val="single" w:sz="4" w:space="0" w:color="000000"/>
              <w:bottom w:val="single" w:sz="4" w:space="0" w:color="000000"/>
              <w:right w:val="nil"/>
            </w:tcBorders>
            <w:hideMark/>
          </w:tcPr>
          <w:p w14:paraId="11386368" w14:textId="77777777" w:rsidR="00CB4A8C" w:rsidRPr="00B27CB1" w:rsidRDefault="00CB4A8C" w:rsidP="00434119">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3B4A41D5" w14:textId="6FC22B26" w:rsidR="0096350C" w:rsidRPr="00B27CB1" w:rsidRDefault="0096350C" w:rsidP="00434119">
            <w:pPr>
              <w:suppressAutoHyphens w:val="0"/>
              <w:snapToGrid w:val="0"/>
              <w:spacing w:line="260" w:lineRule="atLeast"/>
              <w:rPr>
                <w:rFonts w:cs="Times New Roman"/>
                <w:lang w:eastAsia="de-DE"/>
              </w:rPr>
            </w:pPr>
            <w:r>
              <w:t>Pouring</w:t>
            </w:r>
          </w:p>
        </w:tc>
      </w:tr>
      <w:tr w:rsidR="00CB4A8C" w:rsidRPr="00B27CB1" w14:paraId="4C3EFD67" w14:textId="77777777" w:rsidTr="00434119">
        <w:tc>
          <w:tcPr>
            <w:tcW w:w="2707" w:type="dxa"/>
            <w:tcBorders>
              <w:top w:val="nil"/>
              <w:left w:val="single" w:sz="4" w:space="0" w:color="000000"/>
              <w:bottom w:val="single" w:sz="4" w:space="0" w:color="000000"/>
              <w:right w:val="nil"/>
            </w:tcBorders>
            <w:hideMark/>
          </w:tcPr>
          <w:p w14:paraId="7B966A65" w14:textId="77777777" w:rsidR="00CB4A8C" w:rsidRPr="00B27CB1" w:rsidRDefault="00CB4A8C" w:rsidP="00434119">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E4E561D" w14:textId="77777777" w:rsidR="000574FF" w:rsidRPr="00F0256C" w:rsidRDefault="000574FF" w:rsidP="000574FF">
            <w:pPr>
              <w:snapToGrid w:val="0"/>
              <w:spacing w:line="260" w:lineRule="atLeast"/>
            </w:pPr>
            <w:r w:rsidRPr="00F0256C">
              <w:t>Ready to use</w:t>
            </w:r>
          </w:p>
          <w:p w14:paraId="3636C10D" w14:textId="77777777" w:rsidR="000574FF" w:rsidRPr="00820E0E" w:rsidRDefault="000574FF" w:rsidP="000574FF">
            <w:pPr>
              <w:snapToGrid w:val="0"/>
              <w:spacing w:line="260" w:lineRule="atLeast"/>
            </w:pPr>
            <w:r w:rsidRPr="00820E0E">
              <w:t>Dirty conditions</w:t>
            </w:r>
          </w:p>
          <w:p w14:paraId="5443772E" w14:textId="77777777" w:rsidR="000574FF" w:rsidRDefault="000574FF" w:rsidP="000C78AD">
            <w:pPr>
              <w:snapToGrid w:val="0"/>
              <w:spacing w:line="260" w:lineRule="atLeast"/>
            </w:pPr>
          </w:p>
          <w:p w14:paraId="5EA8AC83" w14:textId="6297A913" w:rsidR="006D333E" w:rsidRDefault="006D333E" w:rsidP="000C78AD">
            <w:pPr>
              <w:snapToGrid w:val="0"/>
              <w:spacing w:line="260" w:lineRule="atLeast"/>
            </w:pPr>
            <w:r>
              <w:t xml:space="preserve">Bacteria, yeasts: </w:t>
            </w:r>
          </w:p>
          <w:p w14:paraId="06E14030" w14:textId="35E96392" w:rsidR="006D333E" w:rsidRPr="00F0256C" w:rsidRDefault="000C78AD" w:rsidP="006D333E">
            <w:pPr>
              <w:snapToGrid w:val="0"/>
              <w:spacing w:line="260" w:lineRule="atLeast"/>
            </w:pPr>
            <w:r w:rsidRPr="004D1209">
              <w:t>Contact time: 5 mi</w:t>
            </w:r>
            <w:r w:rsidRPr="00344BDC">
              <w:t>nutes</w:t>
            </w:r>
            <w:r w:rsidR="006D333E">
              <w:t>,</w:t>
            </w:r>
            <w:r w:rsidR="006D333E" w:rsidRPr="00F0256C">
              <w:t xml:space="preserve"> </w:t>
            </w:r>
            <w:r w:rsidR="005C2D84">
              <w:t>20°C</w:t>
            </w:r>
          </w:p>
          <w:p w14:paraId="68723C5F" w14:textId="77777777" w:rsidR="00A01F6A" w:rsidRPr="00344BDC" w:rsidRDefault="00A01F6A" w:rsidP="000C78AD">
            <w:pPr>
              <w:snapToGrid w:val="0"/>
              <w:spacing w:line="260" w:lineRule="atLeast"/>
            </w:pPr>
          </w:p>
          <w:p w14:paraId="547CA125" w14:textId="4FB8740A" w:rsidR="00CB4A8C" w:rsidRPr="00B27CB1" w:rsidRDefault="00424ACA" w:rsidP="00383E12">
            <w:pPr>
              <w:rPr>
                <w:rFonts w:cs="Times New Roman"/>
                <w:lang w:eastAsia="de-DE"/>
              </w:rPr>
            </w:pPr>
            <w:r w:rsidRPr="00453B14">
              <w:t xml:space="preserve">Application rate: </w:t>
            </w:r>
            <w:r w:rsidR="00E950FD" w:rsidRPr="00392114">
              <w:t>50</w:t>
            </w:r>
            <w:r w:rsidR="00E950FD" w:rsidRPr="00453B14">
              <w:t xml:space="preserve"> </w:t>
            </w:r>
            <w:r w:rsidR="000C78AD" w:rsidRPr="001F534D">
              <w:t>m</w:t>
            </w:r>
            <w:r w:rsidR="00383E12">
              <w:t>L</w:t>
            </w:r>
            <w:r w:rsidR="000C78AD" w:rsidRPr="001F534D">
              <w:t>/m</w:t>
            </w:r>
            <w:r w:rsidR="000C78AD" w:rsidRPr="00E91F85">
              <w:rPr>
                <w:vertAlign w:val="superscript"/>
              </w:rPr>
              <w:t>2</w:t>
            </w:r>
            <w:r w:rsidR="000C78AD" w:rsidRPr="001F534D">
              <w:t xml:space="preserve">  </w:t>
            </w:r>
          </w:p>
        </w:tc>
      </w:tr>
      <w:tr w:rsidR="000C78AD" w:rsidRPr="00B27CB1" w14:paraId="7F715067" w14:textId="77777777" w:rsidTr="00434119">
        <w:tc>
          <w:tcPr>
            <w:tcW w:w="2707" w:type="dxa"/>
            <w:tcBorders>
              <w:top w:val="nil"/>
              <w:left w:val="single" w:sz="4" w:space="0" w:color="000000"/>
              <w:bottom w:val="single" w:sz="4" w:space="0" w:color="000000"/>
              <w:right w:val="nil"/>
            </w:tcBorders>
            <w:hideMark/>
          </w:tcPr>
          <w:p w14:paraId="278C4704" w14:textId="77777777" w:rsidR="000C78AD" w:rsidRPr="00B27CB1" w:rsidRDefault="000C78AD" w:rsidP="000C78AD">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4B8D1BD3" w14:textId="7FE9CFCC" w:rsidR="000C78AD" w:rsidRPr="00B27CB1" w:rsidRDefault="000C78AD" w:rsidP="000C78AD">
            <w:pPr>
              <w:snapToGrid w:val="0"/>
              <w:spacing w:line="254" w:lineRule="auto"/>
              <w:rPr>
                <w:b/>
              </w:rPr>
            </w:pPr>
            <w:r w:rsidRPr="000D7D14">
              <w:t>Industrial, Professional</w:t>
            </w:r>
          </w:p>
        </w:tc>
      </w:tr>
      <w:tr w:rsidR="000C78AD" w:rsidRPr="00B27CB1" w14:paraId="30943910" w14:textId="77777777" w:rsidTr="00434119">
        <w:tc>
          <w:tcPr>
            <w:tcW w:w="2707" w:type="dxa"/>
            <w:tcBorders>
              <w:top w:val="nil"/>
              <w:left w:val="single" w:sz="4" w:space="0" w:color="000000"/>
              <w:bottom w:val="single" w:sz="4" w:space="0" w:color="000000"/>
              <w:right w:val="nil"/>
            </w:tcBorders>
            <w:hideMark/>
          </w:tcPr>
          <w:p w14:paraId="39268F0E" w14:textId="77777777" w:rsidR="000C78AD" w:rsidRPr="00B27CB1" w:rsidRDefault="000C78AD" w:rsidP="000C78AD">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74AEDDF" w14:textId="10C3B9C6" w:rsidR="000C78AD" w:rsidRPr="00B27CB1" w:rsidRDefault="000C78AD" w:rsidP="002F6E1B">
            <w:pPr>
              <w:spacing w:line="254" w:lineRule="auto"/>
            </w:pPr>
            <w:r>
              <w:t>HDPE: 1L bottle</w:t>
            </w:r>
          </w:p>
        </w:tc>
      </w:tr>
    </w:tbl>
    <w:p w14:paraId="415DE55E"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71B58D4C"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4A3516B9" w14:textId="001A1980" w:rsidR="00CB4A8C" w:rsidRPr="00B27CB1" w:rsidRDefault="003C1F63" w:rsidP="007A4DA8">
            <w:pPr>
              <w:keepNext/>
              <w:widowControl w:val="0"/>
              <w:numPr>
                <w:ilvl w:val="0"/>
                <w:numId w:val="7"/>
              </w:numPr>
              <w:suppressAutoHyphens w:val="0"/>
              <w:autoSpaceDE w:val="0"/>
              <w:spacing w:after="120" w:line="260" w:lineRule="atLeast"/>
              <w:contextualSpacing/>
              <w:jc w:val="both"/>
              <w:rPr>
                <w:rFonts w:eastAsia="Calibri" w:cs="Times"/>
                <w:bCs/>
                <w:sz w:val="22"/>
                <w:szCs w:val="24"/>
                <w:lang w:eastAsia="sv-SE"/>
              </w:rPr>
            </w:pPr>
            <w:r w:rsidRPr="00E91F85">
              <w:rPr>
                <w:bCs/>
                <w:iCs/>
              </w:rPr>
              <w:t>Ready-to-use liquid for toilet bowls:</w:t>
            </w:r>
            <w:r w:rsidR="00424ACA" w:rsidRPr="00E91F85">
              <w:rPr>
                <w:bCs/>
                <w:iCs/>
              </w:rPr>
              <w:t xml:space="preserve"> </w:t>
            </w:r>
            <w:r w:rsidR="000C78AD" w:rsidRPr="00E91F85">
              <w:rPr>
                <w:bCs/>
                <w:iCs/>
              </w:rPr>
              <w:t xml:space="preserve">Cover the entire toilet bowl with the product. </w:t>
            </w:r>
            <w:r w:rsidR="00424ACA" w:rsidRPr="00E91F85">
              <w:rPr>
                <w:bCs/>
                <w:iCs/>
              </w:rPr>
              <w:t xml:space="preserve"> </w:t>
            </w:r>
            <w:r w:rsidR="00E83890" w:rsidRPr="00E91F85">
              <w:rPr>
                <w:bCs/>
                <w:iCs/>
              </w:rPr>
              <w:t>Allow to take effect for at least 5 minutes</w:t>
            </w:r>
            <w:r w:rsidR="00424ACA" w:rsidRPr="00E91F85">
              <w:rPr>
                <w:bCs/>
                <w:iCs/>
              </w:rPr>
              <w:t>,</w:t>
            </w:r>
            <w:r w:rsidR="00E83890" w:rsidRPr="00E91F85">
              <w:rPr>
                <w:bCs/>
                <w:iCs/>
              </w:rPr>
              <w:t xml:space="preserve"> </w:t>
            </w:r>
            <w:r w:rsidR="000C78AD" w:rsidRPr="00E91F85">
              <w:rPr>
                <w:bCs/>
                <w:iCs/>
              </w:rPr>
              <w:t xml:space="preserve">then brush or scrub if required and flush the toilet. </w:t>
            </w:r>
          </w:p>
        </w:tc>
      </w:tr>
    </w:tbl>
    <w:p w14:paraId="5CFA917F"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6006C6B2"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13AC9CC4" w14:textId="0E4DCC36"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7F017D0B"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2D966AB2"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7726FBCA" w14:textId="4F38943A"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7E88014E"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1FC1C1CF"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42A71AF3" w14:textId="1C405019"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6734DA65" w14:textId="77777777" w:rsidR="00CB4A8C" w:rsidRPr="007A4DA8" w:rsidRDefault="00CB4A8C" w:rsidP="007A4DA8">
      <w:pPr>
        <w:keepNext/>
        <w:numPr>
          <w:ilvl w:val="4"/>
          <w:numId w:val="9"/>
        </w:numPr>
        <w:spacing w:before="255" w:after="80" w:line="255" w:lineRule="exact"/>
        <w:outlineLvl w:val="4"/>
        <w:rPr>
          <w:sz w:val="22"/>
        </w:rPr>
      </w:pPr>
      <w:r w:rsidRPr="007A4DA8">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507819D1"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71AB375F" w14:textId="37C10B0C" w:rsidR="00CB4A8C" w:rsidRPr="00B27CB1" w:rsidRDefault="002F6E1B" w:rsidP="00434119">
            <w:pPr>
              <w:widowControl w:val="0"/>
              <w:autoSpaceDE w:val="0"/>
              <w:snapToGrid w:val="0"/>
              <w:spacing w:before="80" w:line="254" w:lineRule="auto"/>
              <w:rPr>
                <w:rFonts w:cs="Times"/>
                <w:bCs/>
                <w:szCs w:val="29"/>
              </w:rPr>
            </w:pPr>
            <w:r>
              <w:rPr>
                <w:rFonts w:cs="Times"/>
                <w:bCs/>
                <w:szCs w:val="29"/>
              </w:rPr>
              <w:t>-</w:t>
            </w:r>
          </w:p>
        </w:tc>
      </w:tr>
    </w:tbl>
    <w:p w14:paraId="2A834CC1" w14:textId="77777777" w:rsidR="00CB4A8C" w:rsidRPr="00B27CB1" w:rsidRDefault="00CB4A8C" w:rsidP="00CB4A8C">
      <w:pPr>
        <w:widowControl w:val="0"/>
        <w:autoSpaceDE w:val="0"/>
        <w:rPr>
          <w:rFonts w:cs="Times"/>
          <w:bCs/>
          <w:szCs w:val="29"/>
        </w:rPr>
      </w:pPr>
    </w:p>
    <w:p w14:paraId="2E2275AF" w14:textId="77777777" w:rsidR="00A932DC" w:rsidRPr="00B27CB1" w:rsidRDefault="00A932DC" w:rsidP="00A932DC">
      <w:pPr>
        <w:jc w:val="center"/>
        <w:rPr>
          <w:rFonts w:ascii="Arial" w:hAnsi="Arial" w:cs="Arial"/>
          <w:bCs/>
          <w:i/>
          <w:lang w:eastAsia="de-DE"/>
        </w:rPr>
      </w:pPr>
    </w:p>
    <w:p w14:paraId="38140940" w14:textId="6956E672" w:rsidR="00A932DC" w:rsidRPr="007A4DA8" w:rsidRDefault="00A932DC" w:rsidP="007A4DA8">
      <w:pPr>
        <w:pStyle w:val="Titre3"/>
        <w:keepNext w:val="0"/>
        <w:rPr>
          <w:lang w:val="en-US"/>
        </w:rPr>
      </w:pPr>
      <w:bookmarkStart w:id="131" w:name="_Toc87361161"/>
      <w:r w:rsidRPr="007A4DA8">
        <w:rPr>
          <w:lang w:val="en-US"/>
        </w:rPr>
        <w:t>General directions for use of the meta SPC 12</w:t>
      </w:r>
      <w:bookmarkEnd w:id="131"/>
    </w:p>
    <w:p w14:paraId="73B3BCAE" w14:textId="77777777" w:rsidR="00A932DC" w:rsidRPr="00B27CB1" w:rsidRDefault="00A932DC" w:rsidP="007A4DA8">
      <w:pPr>
        <w:numPr>
          <w:ilvl w:val="3"/>
          <w:numId w:val="6"/>
        </w:numPr>
        <w:spacing w:before="240" w:after="120"/>
        <w:jc w:val="both"/>
        <w:outlineLvl w:val="3"/>
        <w:rPr>
          <w:rFonts w:eastAsia="Calibri"/>
          <w:sz w:val="22"/>
          <w:szCs w:val="24"/>
        </w:rPr>
      </w:pPr>
      <w:r w:rsidRPr="00B27CB1">
        <w:rPr>
          <w:rFonts w:eastAsia="Calibri"/>
          <w:sz w:val="22"/>
          <w:szCs w:val="24"/>
        </w:rP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32DC" w:rsidRPr="00B27CB1" w14:paraId="11BAE677" w14:textId="77777777" w:rsidTr="003105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B882E4" w14:textId="650ED198" w:rsidR="000C78AD" w:rsidRPr="000C78AD" w:rsidRDefault="001B500D" w:rsidP="007A4DA8">
            <w:pPr>
              <w:widowControl w:val="0"/>
              <w:numPr>
                <w:ilvl w:val="0"/>
                <w:numId w:val="7"/>
              </w:numPr>
              <w:suppressAutoHyphens w:val="0"/>
              <w:autoSpaceDE w:val="0"/>
              <w:spacing w:after="120" w:line="260" w:lineRule="atLeast"/>
              <w:contextualSpacing/>
              <w:rPr>
                <w:bCs/>
                <w:iCs/>
              </w:rPr>
            </w:pPr>
            <w:r>
              <w:rPr>
                <w:bCs/>
                <w:iCs/>
              </w:rPr>
              <w:t>Comply with the instructions of uses</w:t>
            </w:r>
            <w:r w:rsidR="000C78AD" w:rsidRPr="000C78AD">
              <w:rPr>
                <w:bCs/>
                <w:iCs/>
              </w:rPr>
              <w:t>.</w:t>
            </w:r>
          </w:p>
          <w:p w14:paraId="0FAEDCBA" w14:textId="4EB706CF" w:rsidR="000C78AD" w:rsidRPr="00CC62FC" w:rsidRDefault="000C78AD" w:rsidP="007A4DA8">
            <w:pPr>
              <w:widowControl w:val="0"/>
              <w:numPr>
                <w:ilvl w:val="0"/>
                <w:numId w:val="7"/>
              </w:numPr>
              <w:suppressAutoHyphens w:val="0"/>
              <w:autoSpaceDE w:val="0"/>
              <w:spacing w:after="120" w:line="260" w:lineRule="atLeast"/>
              <w:contextualSpacing/>
              <w:rPr>
                <w:bCs/>
                <w:iCs/>
              </w:rPr>
            </w:pPr>
            <w:r w:rsidRPr="000C78AD">
              <w:rPr>
                <w:bCs/>
                <w:iCs/>
              </w:rPr>
              <w:t>Respect the conditions of use of the product (concentration, contact time, temperature, pH, etc.)</w:t>
            </w:r>
            <w:r w:rsidR="009E07D6">
              <w:rPr>
                <w:bCs/>
                <w:iCs/>
              </w:rPr>
              <w:t>.</w:t>
            </w:r>
          </w:p>
          <w:p w14:paraId="515A56A5" w14:textId="4256887D" w:rsidR="00A932DC" w:rsidRPr="00B27CB1" w:rsidRDefault="000C78AD" w:rsidP="007A4DA8">
            <w:pPr>
              <w:widowControl w:val="0"/>
              <w:numPr>
                <w:ilvl w:val="0"/>
                <w:numId w:val="7"/>
              </w:numPr>
              <w:suppressAutoHyphens w:val="0"/>
              <w:autoSpaceDE w:val="0"/>
              <w:spacing w:after="120" w:line="260" w:lineRule="atLeast"/>
              <w:contextualSpacing/>
              <w:rPr>
                <w:bCs/>
                <w:iCs/>
              </w:rPr>
            </w:pPr>
            <w:r w:rsidRPr="00344BDC">
              <w:rPr>
                <w:bCs/>
                <w:iCs/>
              </w:rPr>
              <w:t>Inform the authorization holder if the treatment is ineffective.</w:t>
            </w:r>
          </w:p>
        </w:tc>
      </w:tr>
    </w:tbl>
    <w:p w14:paraId="4A2813A2" w14:textId="77777777" w:rsidR="00A932DC" w:rsidRPr="00B27CB1" w:rsidRDefault="00A932DC" w:rsidP="007A4DA8">
      <w:pPr>
        <w:numPr>
          <w:ilvl w:val="3"/>
          <w:numId w:val="6"/>
        </w:numPr>
        <w:spacing w:before="240" w:after="120"/>
        <w:jc w:val="both"/>
        <w:outlineLvl w:val="3"/>
        <w:rPr>
          <w:rFonts w:eastAsia="Calibri"/>
          <w:sz w:val="22"/>
          <w:szCs w:val="24"/>
        </w:rPr>
      </w:pPr>
      <w:r w:rsidRPr="00B27CB1">
        <w:rPr>
          <w:rFonts w:eastAsia="Calibri"/>
          <w:sz w:val="22"/>
          <w:szCs w:val="24"/>
        </w:rP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8D60C77"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4DA3EEA8" w14:textId="00D09DD8" w:rsidR="003419A9" w:rsidRPr="00E91F85" w:rsidRDefault="003419A9" w:rsidP="007A4DA8">
            <w:pPr>
              <w:widowControl w:val="0"/>
              <w:numPr>
                <w:ilvl w:val="0"/>
                <w:numId w:val="7"/>
              </w:numPr>
              <w:suppressAutoHyphens w:val="0"/>
              <w:autoSpaceDE w:val="0"/>
              <w:spacing w:line="260" w:lineRule="atLeast"/>
              <w:ind w:left="357" w:hanging="357"/>
              <w:contextualSpacing/>
              <w:rPr>
                <w:bCs/>
                <w:iCs/>
              </w:rPr>
            </w:pPr>
            <w:r w:rsidRPr="00E91F85">
              <w:rPr>
                <w:bCs/>
                <w:iCs/>
              </w:rPr>
              <w:t>Avoidance of contact with freshly treated surfaces.</w:t>
            </w:r>
          </w:p>
          <w:p w14:paraId="249CDCC3" w14:textId="5665C8D4" w:rsidR="00E7364E" w:rsidRPr="00E91F85" w:rsidRDefault="00E7364E" w:rsidP="007A4DA8">
            <w:pPr>
              <w:widowControl w:val="0"/>
              <w:numPr>
                <w:ilvl w:val="0"/>
                <w:numId w:val="7"/>
              </w:numPr>
              <w:suppressAutoHyphens w:val="0"/>
              <w:autoSpaceDE w:val="0"/>
              <w:spacing w:line="260" w:lineRule="atLeast"/>
              <w:ind w:left="357" w:hanging="357"/>
              <w:contextualSpacing/>
              <w:rPr>
                <w:bCs/>
                <w:iCs/>
              </w:rPr>
            </w:pPr>
            <w:r w:rsidRPr="00E91F85">
              <w:rPr>
                <w:bCs/>
                <w:iCs/>
              </w:rPr>
              <w:t>During application, wear:</w:t>
            </w:r>
          </w:p>
          <w:p w14:paraId="6899576D" w14:textId="7567C6C0" w:rsidR="00E7364E" w:rsidRDefault="00E7364E" w:rsidP="001E568F">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7E8614BA" w14:textId="057A931A" w:rsidR="00A932DC" w:rsidRPr="00E91F85" w:rsidRDefault="00E7364E" w:rsidP="00854EF9">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737EA1">
              <w:rPr>
                <w:rFonts w:cs="Arial"/>
                <w:iCs/>
                <w:color w:val="000000" w:themeColor="text1"/>
                <w:szCs w:val="16"/>
                <w:lang w:val="en-US"/>
              </w:rPr>
              <w:t>.</w:t>
            </w:r>
          </w:p>
        </w:tc>
      </w:tr>
    </w:tbl>
    <w:p w14:paraId="46A93CD2" w14:textId="77777777" w:rsidR="00A932DC" w:rsidRPr="00B27CB1" w:rsidRDefault="00A932DC" w:rsidP="007A4DA8">
      <w:pPr>
        <w:numPr>
          <w:ilvl w:val="3"/>
          <w:numId w:val="6"/>
        </w:numPr>
        <w:spacing w:before="240" w:after="120"/>
        <w:jc w:val="both"/>
        <w:outlineLvl w:val="3"/>
        <w:rPr>
          <w:rFonts w:eastAsia="Calibri"/>
          <w:sz w:val="22"/>
          <w:szCs w:val="24"/>
        </w:rPr>
      </w:pPr>
      <w:r w:rsidRPr="00B27CB1">
        <w:rPr>
          <w:rFonts w:eastAsia="Calibri"/>
          <w:sz w:val="22"/>
          <w:szCs w:val="24"/>
        </w:rP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40CE0F47"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39859ADB" w14:textId="77777777" w:rsidR="008E6C85" w:rsidRPr="00E91F85" w:rsidRDefault="008E6C85" w:rsidP="007A4DA8">
            <w:pPr>
              <w:widowControl w:val="0"/>
              <w:numPr>
                <w:ilvl w:val="0"/>
                <w:numId w:val="7"/>
              </w:numPr>
              <w:suppressAutoHyphens w:val="0"/>
              <w:autoSpaceDE w:val="0"/>
              <w:spacing w:line="260" w:lineRule="atLeast"/>
              <w:ind w:left="357" w:hanging="357"/>
              <w:contextualSpacing/>
              <w:jc w:val="both"/>
              <w:rPr>
                <w:bCs/>
                <w:iCs/>
              </w:rPr>
            </w:pPr>
            <w:r w:rsidRPr="009E07D6">
              <w:rPr>
                <w:bCs/>
                <w:iCs/>
              </w:rPr>
              <w:t>IF ON SKIN (or hair): Take off immediately all contaminated clothing. Rinse skin with water [or shower].</w:t>
            </w:r>
          </w:p>
          <w:p w14:paraId="55928FFC" w14:textId="77777777" w:rsidR="008E6C85" w:rsidRPr="00E91F85" w:rsidRDefault="008E6C85" w:rsidP="007A4DA8">
            <w:pPr>
              <w:widowControl w:val="0"/>
              <w:numPr>
                <w:ilvl w:val="0"/>
                <w:numId w:val="7"/>
              </w:numPr>
              <w:suppressAutoHyphens w:val="0"/>
              <w:autoSpaceDE w:val="0"/>
              <w:spacing w:line="260" w:lineRule="atLeast"/>
              <w:ind w:left="357" w:hanging="357"/>
              <w:contextualSpacing/>
              <w:jc w:val="both"/>
              <w:rPr>
                <w:bCs/>
                <w:iCs/>
              </w:rPr>
            </w:pPr>
            <w:r w:rsidRPr="00E91F85">
              <w:rPr>
                <w:bCs/>
                <w:iCs/>
              </w:rPr>
              <w:t>IF IN EYES: Rinse cautiously with water for several minutes. Remove contact lenses, if present and easy to do. Continue rinsing.</w:t>
            </w:r>
          </w:p>
          <w:p w14:paraId="72AA9AE0" w14:textId="77777777" w:rsidR="008E6C85" w:rsidRPr="00E91F85" w:rsidRDefault="008E6C85" w:rsidP="007A4DA8">
            <w:pPr>
              <w:widowControl w:val="0"/>
              <w:numPr>
                <w:ilvl w:val="0"/>
                <w:numId w:val="7"/>
              </w:numPr>
              <w:suppressAutoHyphens w:val="0"/>
              <w:autoSpaceDE w:val="0"/>
              <w:spacing w:line="260" w:lineRule="atLeast"/>
              <w:ind w:left="357" w:hanging="357"/>
              <w:contextualSpacing/>
              <w:jc w:val="both"/>
              <w:rPr>
                <w:bCs/>
                <w:iCs/>
              </w:rPr>
            </w:pPr>
            <w:r w:rsidRPr="00E91F85">
              <w:rPr>
                <w:bCs/>
                <w:iCs/>
              </w:rPr>
              <w:t>IF SWALLOWED: Rinse mouth. Do NOT induce vomiting.</w:t>
            </w:r>
          </w:p>
          <w:p w14:paraId="16046589" w14:textId="77777777" w:rsidR="008E6C85" w:rsidRPr="00E91F85" w:rsidRDefault="008E6C85" w:rsidP="007A4DA8">
            <w:pPr>
              <w:widowControl w:val="0"/>
              <w:numPr>
                <w:ilvl w:val="0"/>
                <w:numId w:val="7"/>
              </w:numPr>
              <w:suppressAutoHyphens w:val="0"/>
              <w:autoSpaceDE w:val="0"/>
              <w:spacing w:line="260" w:lineRule="atLeast"/>
              <w:ind w:left="357" w:hanging="357"/>
              <w:contextualSpacing/>
              <w:jc w:val="both"/>
              <w:rPr>
                <w:bCs/>
                <w:iCs/>
              </w:rPr>
            </w:pPr>
            <w:r w:rsidRPr="00E91F85">
              <w:rPr>
                <w:bCs/>
                <w:iCs/>
              </w:rPr>
              <w:lastRenderedPageBreak/>
              <w:t>If INHALED: Remove personto fresh air and keep comfortable for breathing.</w:t>
            </w:r>
          </w:p>
          <w:p w14:paraId="41B7EA72" w14:textId="77777777" w:rsidR="008E6C85" w:rsidRPr="00E91F85" w:rsidRDefault="008E6C85" w:rsidP="007A4DA8">
            <w:pPr>
              <w:widowControl w:val="0"/>
              <w:numPr>
                <w:ilvl w:val="0"/>
                <w:numId w:val="7"/>
              </w:numPr>
              <w:suppressAutoHyphens w:val="0"/>
              <w:autoSpaceDE w:val="0"/>
              <w:spacing w:line="260" w:lineRule="atLeast"/>
              <w:ind w:left="357" w:hanging="357"/>
              <w:contextualSpacing/>
              <w:jc w:val="both"/>
              <w:rPr>
                <w:bCs/>
                <w:iCs/>
              </w:rPr>
            </w:pPr>
            <w:r w:rsidRPr="00E91F85">
              <w:rPr>
                <w:bCs/>
                <w:iCs/>
              </w:rPr>
              <w:t>In case of impaired consciousness place in recovery position and seek medical advice immediately.</w:t>
            </w:r>
          </w:p>
          <w:p w14:paraId="658F2D69" w14:textId="715C757A" w:rsidR="00A932DC" w:rsidRPr="00B27CB1" w:rsidRDefault="008E6C85" w:rsidP="007A4DA8">
            <w:pPr>
              <w:widowControl w:val="0"/>
              <w:numPr>
                <w:ilvl w:val="0"/>
                <w:numId w:val="7"/>
              </w:numPr>
              <w:suppressAutoHyphens w:val="0"/>
              <w:autoSpaceDE w:val="0"/>
              <w:spacing w:line="260" w:lineRule="atLeast"/>
              <w:ind w:left="357" w:hanging="357"/>
              <w:contextualSpacing/>
              <w:jc w:val="both"/>
            </w:pPr>
            <w:r w:rsidRPr="00E91F85">
              <w:rPr>
                <w:bCs/>
                <w:iCs/>
              </w:rPr>
              <w:t>Keep the container or label available</w:t>
            </w:r>
            <w:r w:rsidR="00737EA1">
              <w:rPr>
                <w:bCs/>
                <w:iCs/>
              </w:rPr>
              <w:t>.</w:t>
            </w:r>
          </w:p>
        </w:tc>
      </w:tr>
    </w:tbl>
    <w:p w14:paraId="3C2CF37B" w14:textId="77777777" w:rsidR="00A932DC" w:rsidRPr="00B27CB1" w:rsidRDefault="00A932DC" w:rsidP="007A4DA8">
      <w:pPr>
        <w:numPr>
          <w:ilvl w:val="3"/>
          <w:numId w:val="6"/>
        </w:numPr>
        <w:spacing w:before="240" w:after="120"/>
        <w:jc w:val="both"/>
        <w:outlineLvl w:val="3"/>
        <w:rPr>
          <w:rFonts w:eastAsia="Calibri"/>
          <w:sz w:val="22"/>
          <w:szCs w:val="24"/>
        </w:rPr>
      </w:pPr>
      <w:r w:rsidRPr="00B27CB1">
        <w:rPr>
          <w:rFonts w:eastAsia="Calibri"/>
          <w:sz w:val="22"/>
          <w:szCs w:val="24"/>
        </w:rPr>
        <w:lastRenderedPageBreak/>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5416CDEA"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049B1ABD" w14:textId="4D371D76" w:rsidR="0060329F" w:rsidRPr="00E91F85" w:rsidRDefault="0060329F" w:rsidP="007A4DA8">
            <w:pPr>
              <w:widowControl w:val="0"/>
              <w:numPr>
                <w:ilvl w:val="0"/>
                <w:numId w:val="7"/>
              </w:numPr>
              <w:suppressAutoHyphens w:val="0"/>
              <w:autoSpaceDE w:val="0"/>
              <w:spacing w:line="260" w:lineRule="atLeast"/>
              <w:ind w:left="357" w:hanging="357"/>
              <w:contextualSpacing/>
              <w:jc w:val="both"/>
              <w:rPr>
                <w:bCs/>
                <w:iCs/>
              </w:rPr>
            </w:pPr>
            <w:r w:rsidRPr="00E91F85">
              <w:rPr>
                <w:bCs/>
                <w:iCs/>
              </w:rPr>
              <w:t>Do not discharge unused product on the ground, into water courses, into pipes (sink, toilets…) nor down the drains</w:t>
            </w:r>
            <w:r w:rsidR="00737EA1">
              <w:rPr>
                <w:bCs/>
                <w:iCs/>
              </w:rPr>
              <w:t>.</w:t>
            </w:r>
          </w:p>
          <w:p w14:paraId="2385839C" w14:textId="00451DEE" w:rsidR="00A932DC" w:rsidRPr="00B27CB1" w:rsidRDefault="0060329F" w:rsidP="007A4DA8">
            <w:pPr>
              <w:widowControl w:val="0"/>
              <w:numPr>
                <w:ilvl w:val="0"/>
                <w:numId w:val="7"/>
              </w:numPr>
              <w:suppressAutoHyphens w:val="0"/>
              <w:autoSpaceDE w:val="0"/>
              <w:spacing w:line="260" w:lineRule="atLeast"/>
              <w:ind w:left="357" w:hanging="357"/>
              <w:contextualSpacing/>
              <w:jc w:val="both"/>
            </w:pPr>
            <w:r w:rsidRPr="00E91F85">
              <w:rPr>
                <w:bCs/>
                <w:iCs/>
              </w:rPr>
              <w:t>Dispose of unused product, its packaging and all other waste, in accordance with local regulations</w:t>
            </w:r>
            <w:r w:rsidR="00737EA1">
              <w:t>.</w:t>
            </w:r>
          </w:p>
        </w:tc>
      </w:tr>
    </w:tbl>
    <w:p w14:paraId="09E66679" w14:textId="77777777" w:rsidR="00A932DC" w:rsidRPr="00B27CB1" w:rsidRDefault="00A932DC" w:rsidP="007A4DA8">
      <w:pPr>
        <w:numPr>
          <w:ilvl w:val="3"/>
          <w:numId w:val="6"/>
        </w:numPr>
        <w:spacing w:before="240" w:after="120"/>
        <w:jc w:val="both"/>
        <w:outlineLvl w:val="3"/>
        <w:rPr>
          <w:rFonts w:eastAsia="Calibri"/>
          <w:sz w:val="22"/>
          <w:szCs w:val="24"/>
        </w:rPr>
      </w:pPr>
      <w:r w:rsidRPr="00B27CB1">
        <w:rPr>
          <w:rFonts w:eastAsia="Calibri"/>
          <w:sz w:val="22"/>
          <w:szCs w:val="24"/>
        </w:rP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02F7A16E"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66F5E8FA" w14:textId="79516D43" w:rsidR="00A932DC" w:rsidRPr="00B27CB1" w:rsidRDefault="000106FF" w:rsidP="007A4DA8">
            <w:pPr>
              <w:widowControl w:val="0"/>
              <w:numPr>
                <w:ilvl w:val="0"/>
                <w:numId w:val="7"/>
              </w:numPr>
              <w:suppressAutoHyphens w:val="0"/>
              <w:autoSpaceDE w:val="0"/>
              <w:spacing w:line="260" w:lineRule="atLeast"/>
              <w:ind w:left="357" w:hanging="357"/>
              <w:contextualSpacing/>
              <w:jc w:val="both"/>
            </w:pPr>
            <w:r w:rsidRPr="009E07D6">
              <w:rPr>
                <w:bCs/>
                <w:iCs/>
              </w:rPr>
              <w:t>Shelf life: 2 years</w:t>
            </w:r>
            <w:r w:rsidR="00737EA1">
              <w:rPr>
                <w:bCs/>
                <w:iCs/>
              </w:rPr>
              <w:t>.</w:t>
            </w:r>
          </w:p>
        </w:tc>
      </w:tr>
    </w:tbl>
    <w:p w14:paraId="70F8ADEF" w14:textId="77777777" w:rsidR="00A932DC" w:rsidRPr="00B27CB1" w:rsidRDefault="00A932DC" w:rsidP="001E568F">
      <w:pPr>
        <w:widowControl w:val="0"/>
        <w:autoSpaceDE w:val="0"/>
        <w:rPr>
          <w:bCs/>
          <w:iCs/>
          <w:szCs w:val="22"/>
        </w:rPr>
      </w:pPr>
    </w:p>
    <w:p w14:paraId="0F3593C7" w14:textId="77777777" w:rsidR="00A932DC" w:rsidRPr="00B27CB1" w:rsidRDefault="00A932DC" w:rsidP="007A4DA8">
      <w:pPr>
        <w:pStyle w:val="Titre3"/>
        <w:keepNext w:val="0"/>
      </w:pPr>
      <w:bookmarkStart w:id="132" w:name="_Toc87361162"/>
      <w:r w:rsidRPr="00B27CB1">
        <w:t>Other information</w:t>
      </w:r>
      <w:bookmarkEnd w:id="13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32DC" w:rsidRPr="00B27CB1" w14:paraId="777BB602" w14:textId="77777777" w:rsidTr="00310531">
        <w:tc>
          <w:tcPr>
            <w:tcW w:w="9036" w:type="dxa"/>
            <w:tcBorders>
              <w:top w:val="single" w:sz="4" w:space="0" w:color="000000"/>
              <w:left w:val="single" w:sz="4" w:space="0" w:color="000000"/>
              <w:bottom w:val="single" w:sz="4" w:space="0" w:color="000000"/>
              <w:right w:val="single" w:sz="4" w:space="0" w:color="000000"/>
            </w:tcBorders>
          </w:tcPr>
          <w:p w14:paraId="1572FDB5" w14:textId="0AB2101A" w:rsidR="00A932DC" w:rsidRPr="00B27CB1" w:rsidRDefault="002F6E1B" w:rsidP="001E568F">
            <w:pPr>
              <w:widowControl w:val="0"/>
              <w:autoSpaceDE w:val="0"/>
              <w:snapToGrid w:val="0"/>
              <w:spacing w:line="256" w:lineRule="auto"/>
              <w:jc w:val="both"/>
            </w:pPr>
            <w:r>
              <w:t>-</w:t>
            </w:r>
          </w:p>
        </w:tc>
      </w:tr>
    </w:tbl>
    <w:p w14:paraId="60025FD6" w14:textId="77777777" w:rsidR="00A932DC" w:rsidRPr="00B27CB1" w:rsidRDefault="00A932DC" w:rsidP="00A932DC"/>
    <w:p w14:paraId="56239159" w14:textId="77777777" w:rsidR="00A932DC" w:rsidRPr="00B27CB1" w:rsidRDefault="00A932DC" w:rsidP="00A932DC"/>
    <w:p w14:paraId="2D8BDFCC" w14:textId="3B9EB547" w:rsidR="00A932DC" w:rsidRPr="00B27CB1" w:rsidRDefault="00A932DC" w:rsidP="00A932DC">
      <w:pPr>
        <w:keepNext/>
        <w:spacing w:after="120"/>
        <w:ind w:left="432" w:hanging="432"/>
        <w:outlineLvl w:val="0"/>
        <w:rPr>
          <w:b/>
          <w:caps/>
          <w:sz w:val="28"/>
        </w:rPr>
      </w:pPr>
      <w:r w:rsidRPr="00B27CB1">
        <w:rPr>
          <w:b/>
          <w:caps/>
          <w:sz w:val="28"/>
        </w:rPr>
        <w:t>PART III - THIRD INFORMATION LEVEL:  INDIVIDUAL PRODUCTS IN THE META SPC 12</w:t>
      </w:r>
    </w:p>
    <w:p w14:paraId="6A154E21" w14:textId="77777777" w:rsidR="00A932DC" w:rsidRPr="00B27CB1" w:rsidRDefault="00A932DC" w:rsidP="00A932DC">
      <w:pPr>
        <w:widowControl w:val="0"/>
        <w:autoSpaceDE w:val="0"/>
        <w:rPr>
          <w:rFonts w:cs="Times"/>
          <w:bCs/>
          <w:szCs w:val="29"/>
        </w:rPr>
      </w:pPr>
    </w:p>
    <w:p w14:paraId="4E632A98" w14:textId="77777777" w:rsidR="00A932DC" w:rsidRPr="007A4DA8" w:rsidRDefault="00A932DC" w:rsidP="00657948">
      <w:pPr>
        <w:pStyle w:val="Titre3"/>
        <w:rPr>
          <w:lang w:val="en-US"/>
        </w:rPr>
      </w:pPr>
      <w:bookmarkStart w:id="133" w:name="_Toc87361163"/>
      <w:r w:rsidRPr="007A4DA8">
        <w:rPr>
          <w:lang w:val="en-US"/>
        </w:rPr>
        <w:t>Trade name(s), authorisation number and specific composition of each individual product</w:t>
      </w:r>
      <w:bookmarkEnd w:id="133"/>
    </w:p>
    <w:p w14:paraId="4D65E48E" w14:textId="77777777" w:rsidR="00A932DC" w:rsidRPr="00B27CB1" w:rsidRDefault="00A932DC" w:rsidP="00A932DC">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32DC" w:rsidRPr="00B27CB1" w14:paraId="0DE1A6F4" w14:textId="77777777" w:rsidTr="0031053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FE0589" w14:textId="77777777" w:rsidR="00A932DC" w:rsidRPr="00B27CB1" w:rsidRDefault="00A932DC" w:rsidP="00310531">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272C77" w14:textId="0C43E586" w:rsidR="00A932DC" w:rsidRPr="00B27CB1" w:rsidRDefault="00CB4A8C" w:rsidP="00310531">
            <w:pPr>
              <w:widowControl w:val="0"/>
              <w:suppressAutoHyphens w:val="0"/>
              <w:autoSpaceDE w:val="0"/>
              <w:autoSpaceDN w:val="0"/>
              <w:adjustRightInd w:val="0"/>
              <w:spacing w:after="80" w:line="256" w:lineRule="auto"/>
              <w:rPr>
                <w:b/>
                <w:bCs/>
                <w:szCs w:val="24"/>
                <w:lang w:eastAsia="en-GB"/>
              </w:rPr>
            </w:pPr>
            <w:r w:rsidRPr="00B27CB1">
              <w:rPr>
                <w:b/>
                <w:bCs/>
                <w:szCs w:val="24"/>
                <w:lang w:eastAsia="en-GB"/>
              </w:rPr>
              <w:t>GEL WC DESINFECTANT</w:t>
            </w:r>
          </w:p>
        </w:tc>
      </w:tr>
      <w:tr w:rsidR="00A932DC" w:rsidRPr="00B27CB1" w14:paraId="0BAC67CE"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4CE8A53" w14:textId="77777777" w:rsidR="00A932DC" w:rsidRPr="00B27CB1" w:rsidRDefault="00A932DC" w:rsidP="00310531">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9D6806" w14:textId="77777777" w:rsidR="00A932DC" w:rsidRPr="00B27CB1" w:rsidRDefault="00A932DC" w:rsidP="00310531">
            <w:pPr>
              <w:spacing w:line="256" w:lineRule="auto"/>
              <w:rPr>
                <w:b/>
                <w:bCs/>
                <w:szCs w:val="24"/>
                <w:lang w:eastAsia="en-GB"/>
              </w:rPr>
            </w:pPr>
          </w:p>
        </w:tc>
      </w:tr>
      <w:tr w:rsidR="00A932DC" w:rsidRPr="00B27CB1" w14:paraId="4EE02332" w14:textId="77777777" w:rsidTr="0031053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16F119" w14:textId="77777777" w:rsidR="00A932DC" w:rsidRPr="00B27CB1" w:rsidRDefault="00A932DC" w:rsidP="00310531">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B2C2CD1" w14:textId="77777777" w:rsidR="00A932DC" w:rsidRPr="00B27CB1" w:rsidRDefault="00A932DC" w:rsidP="00310531">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8C01496" w14:textId="77777777" w:rsidR="00A932DC" w:rsidRPr="00B27CB1" w:rsidRDefault="00A932DC" w:rsidP="00310531">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BE27CFB" w14:textId="77777777" w:rsidR="00A932DC" w:rsidRPr="00B27CB1" w:rsidRDefault="00A932DC" w:rsidP="00310531">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E195C1" w14:textId="77777777" w:rsidR="00A932DC" w:rsidRPr="00B27CB1" w:rsidRDefault="00A932DC" w:rsidP="00310531">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B3AEE98" w14:textId="77777777" w:rsidR="00A932DC" w:rsidRPr="00B27CB1" w:rsidRDefault="00A932DC" w:rsidP="00310531">
            <w:pPr>
              <w:spacing w:line="256" w:lineRule="auto"/>
            </w:pPr>
            <w:r w:rsidRPr="00B27CB1">
              <w:rPr>
                <w:b/>
                <w:bCs/>
                <w:szCs w:val="24"/>
                <w:lang w:eastAsia="en-GB"/>
              </w:rPr>
              <w:t>Content (%)</w:t>
            </w:r>
          </w:p>
        </w:tc>
      </w:tr>
      <w:tr w:rsidR="00E974B3" w:rsidRPr="00B27CB1" w14:paraId="663C3089"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4E4AE4" w14:textId="7F0D0F75" w:rsidR="00E974B3" w:rsidRPr="007A4DA8" w:rsidRDefault="00D37CB1" w:rsidP="00E974B3">
            <w:pPr>
              <w:snapToGrid w:val="0"/>
              <w:spacing w:line="256" w:lineRule="auto"/>
              <w:rPr>
                <w:rFonts w:cs="Arial"/>
              </w:rPr>
            </w:pPr>
            <w:r w:rsidRPr="00932929">
              <w:rPr>
                <w:lang w:val="pl-PL"/>
              </w:rPr>
              <w:t xml:space="preserve">L(+) </w:t>
            </w:r>
            <w:r w:rsidR="00E974B3" w:rsidRPr="007A4DA8">
              <w:rPr>
                <w:rFonts w:cs="Arial"/>
              </w:rPr>
              <w:t>Lactic acid</w:t>
            </w:r>
          </w:p>
          <w:p w14:paraId="07B31740" w14:textId="77777777" w:rsidR="00E974B3" w:rsidRPr="007A4DA8" w:rsidRDefault="00E974B3" w:rsidP="00E974B3">
            <w:pPr>
              <w:widowControl w:val="0"/>
              <w:autoSpaceDE w:val="0"/>
              <w:spacing w:line="256" w:lineRule="auto"/>
              <w:rPr>
                <w:rFonts w:cs="Arial"/>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F9CCE" w14:textId="4D7B20A7" w:rsidR="00E974B3" w:rsidRPr="007A4DA8" w:rsidRDefault="00D37CB1" w:rsidP="00E974B3">
            <w:pPr>
              <w:widowControl w:val="0"/>
              <w:autoSpaceDE w:val="0"/>
              <w:spacing w:line="256" w:lineRule="auto"/>
              <w:rPr>
                <w:rFonts w:cs="Arial"/>
              </w:rPr>
            </w:pPr>
            <w:r w:rsidRPr="00932929">
              <w:t>(S)-2-Hydroxypropanoic acid</w:t>
            </w:r>
            <w:r w:rsidRPr="00D37CB1" w:rsidDel="00D37CB1">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C7F91A2" w14:textId="7699F3BF" w:rsidR="00E974B3" w:rsidRPr="007A4DA8" w:rsidRDefault="00E974B3" w:rsidP="00E974B3">
            <w:pPr>
              <w:spacing w:line="256" w:lineRule="auto"/>
              <w:rPr>
                <w:rFonts w:cs="Arial"/>
              </w:rPr>
            </w:pPr>
            <w:r w:rsidRPr="007A4DA8">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02C500" w14:textId="1F357BBA" w:rsidR="00E974B3" w:rsidRPr="007A4DA8" w:rsidRDefault="00E974B3" w:rsidP="00E974B3">
            <w:pPr>
              <w:spacing w:line="256" w:lineRule="auto"/>
              <w:rPr>
                <w:rFonts w:cs="Arial"/>
              </w:rPr>
            </w:pPr>
            <w:r w:rsidRPr="007A4DA8">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4C5FF9" w14:textId="61D842F2" w:rsidR="00E974B3" w:rsidRPr="007A4DA8" w:rsidRDefault="00E974B3" w:rsidP="00E974B3">
            <w:pPr>
              <w:widowControl w:val="0"/>
              <w:autoSpaceDE w:val="0"/>
              <w:spacing w:line="256" w:lineRule="auto"/>
              <w:rPr>
                <w:rFonts w:cs="Arial"/>
              </w:rPr>
            </w:pPr>
            <w:r w:rsidRPr="007A4DA8">
              <w:rPr>
                <w:rFonts w:cs="Arial"/>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0ABE87" w14:textId="408D167B" w:rsidR="00E974B3" w:rsidRPr="007A4DA8" w:rsidRDefault="00E974B3" w:rsidP="00E974B3">
            <w:pPr>
              <w:autoSpaceDE w:val="0"/>
              <w:spacing w:line="256" w:lineRule="auto"/>
              <w:rPr>
                <w:rFonts w:cs="Arial"/>
              </w:rPr>
            </w:pPr>
            <w:r w:rsidRPr="007A4DA8">
              <w:rPr>
                <w:rFonts w:cs="Arial"/>
              </w:rPr>
              <w:t>15.28</w:t>
            </w:r>
          </w:p>
        </w:tc>
      </w:tr>
      <w:tr w:rsidR="00E974B3" w:rsidRPr="00B27CB1" w14:paraId="2C28A6ED"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2E1EDC66" w14:textId="77777777" w:rsidR="00E974B3" w:rsidRPr="007A4DA8" w:rsidRDefault="00E974B3" w:rsidP="00E974B3">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70FA0CB8" w14:textId="77777777" w:rsidR="00E974B3" w:rsidRPr="007A4DA8" w:rsidRDefault="00E974B3" w:rsidP="00E974B3">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3C6DC9D" w14:textId="0B28E0C0" w:rsidR="00E974B3" w:rsidRPr="007A4DA8" w:rsidRDefault="00E974B3" w:rsidP="00E974B3">
            <w:pPr>
              <w:spacing w:line="256" w:lineRule="auto"/>
              <w:rPr>
                <w:rFonts w:cs="Arial"/>
              </w:rPr>
            </w:pPr>
            <w:r w:rsidRPr="007A4DA8">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3F0A50EC" w14:textId="77777777" w:rsidR="00E974B3" w:rsidRPr="007A4DA8" w:rsidRDefault="00E974B3" w:rsidP="00E974B3">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09CF3811" w14:textId="77777777" w:rsidR="00E974B3" w:rsidRPr="007A4DA8" w:rsidRDefault="00E974B3" w:rsidP="00E974B3">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DA69ED8" w14:textId="3B7F26EC" w:rsidR="00E974B3" w:rsidRPr="007A4DA8" w:rsidRDefault="00E974B3" w:rsidP="00E974B3">
            <w:pPr>
              <w:spacing w:line="256" w:lineRule="auto"/>
              <w:rPr>
                <w:rFonts w:cs="Arial"/>
              </w:rPr>
            </w:pPr>
            <w:r w:rsidRPr="007A4DA8">
              <w:rPr>
                <w:rFonts w:cs="Arial"/>
              </w:rPr>
              <w:t>16</w:t>
            </w:r>
          </w:p>
        </w:tc>
      </w:tr>
    </w:tbl>
    <w:p w14:paraId="1029486F" w14:textId="7F565867" w:rsidR="00A932DC" w:rsidRPr="00B27CB1" w:rsidRDefault="00A932DC" w:rsidP="00A932DC"/>
    <w:p w14:paraId="05F9823D" w14:textId="77777777" w:rsidR="002F6E1B" w:rsidRDefault="002F6E1B" w:rsidP="007A4DA8"/>
    <w:p w14:paraId="50DA8F41" w14:textId="77777777" w:rsidR="002F6E1B" w:rsidRDefault="002F6E1B" w:rsidP="007A4DA8"/>
    <w:p w14:paraId="205155BE" w14:textId="31A8F3A7" w:rsidR="002F6E1B" w:rsidRDefault="002F6E1B" w:rsidP="007A4DA8"/>
    <w:p w14:paraId="3998124E" w14:textId="142E9A09" w:rsidR="002F6E1B" w:rsidRDefault="002F6E1B" w:rsidP="007A4DA8"/>
    <w:p w14:paraId="5AD7F77A" w14:textId="77777777" w:rsidR="002F6E1B" w:rsidRDefault="002F6E1B" w:rsidP="007A4DA8"/>
    <w:p w14:paraId="1D689D5C" w14:textId="169D018E" w:rsidR="00CB4A8C" w:rsidRPr="00B27CB1" w:rsidRDefault="00CB4A8C" w:rsidP="00CB4A8C">
      <w:pPr>
        <w:keepNext/>
        <w:spacing w:after="120"/>
        <w:ind w:left="432" w:hanging="432"/>
        <w:outlineLvl w:val="0"/>
        <w:rPr>
          <w:b/>
          <w:caps/>
          <w:sz w:val="28"/>
        </w:rPr>
      </w:pPr>
      <w:r w:rsidRPr="00B27CB1">
        <w:rPr>
          <w:b/>
          <w:caps/>
          <w:sz w:val="28"/>
        </w:rPr>
        <w:lastRenderedPageBreak/>
        <w:t>Part II - Second information level - meta SPC 13</w:t>
      </w:r>
    </w:p>
    <w:p w14:paraId="5169811A" w14:textId="77777777" w:rsidR="00CB4A8C" w:rsidRPr="00B27CB1" w:rsidRDefault="00CB4A8C" w:rsidP="00CB4A8C"/>
    <w:p w14:paraId="578AA281" w14:textId="1C98D97B" w:rsidR="00CB4A8C" w:rsidRPr="00657948" w:rsidRDefault="00CB4A8C" w:rsidP="00657948">
      <w:pPr>
        <w:pStyle w:val="Titre3"/>
        <w:numPr>
          <w:ilvl w:val="2"/>
          <w:numId w:val="6"/>
        </w:numPr>
      </w:pPr>
      <w:bookmarkStart w:id="134" w:name="_Toc87361164"/>
      <w:r w:rsidRPr="00657948">
        <w:t>Meta SPC 13 administrative information</w:t>
      </w:r>
      <w:bookmarkEnd w:id="134"/>
    </w:p>
    <w:p w14:paraId="7C890374" w14:textId="77777777" w:rsidR="00CB4A8C" w:rsidRPr="00B27CB1" w:rsidRDefault="00CB4A8C" w:rsidP="00CB4A8C">
      <w:pPr>
        <w:pStyle w:val="Titre4"/>
        <w:numPr>
          <w:ilvl w:val="3"/>
          <w:numId w:val="6"/>
        </w:numPr>
        <w:rPr>
          <w:lang w:val="en-GB"/>
        </w:rPr>
      </w:pPr>
      <w:bookmarkStart w:id="135" w:name="_Toc87361165"/>
      <w:r w:rsidRPr="00B27CB1">
        <w:rPr>
          <w:lang w:val="en-GB"/>
        </w:rPr>
        <w:t>Meta SPC identifier</w:t>
      </w:r>
      <w:bookmarkEnd w:id="135"/>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CB4A8C" w:rsidRPr="00B27CB1" w14:paraId="092518ED" w14:textId="77777777" w:rsidTr="00434119">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567C1E" w14:textId="77777777" w:rsidR="00CB4A8C" w:rsidRPr="00B27CB1" w:rsidRDefault="00CB4A8C" w:rsidP="00434119">
            <w:pPr>
              <w:spacing w:line="256" w:lineRule="auto"/>
            </w:pPr>
            <w:r w:rsidRPr="00B27CB1">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3E451DC" w14:textId="378556FD" w:rsidR="00CB4A8C" w:rsidRPr="00B27CB1" w:rsidRDefault="00CB4A8C" w:rsidP="00434119">
            <w:pPr>
              <w:spacing w:line="256" w:lineRule="auto"/>
            </w:pPr>
            <w:r w:rsidRPr="00B27CB1">
              <w:t>META SPC 13</w:t>
            </w:r>
          </w:p>
        </w:tc>
      </w:tr>
    </w:tbl>
    <w:p w14:paraId="6F39F1D2" w14:textId="77777777" w:rsidR="00CB4A8C" w:rsidRPr="00B27CB1" w:rsidRDefault="00CB4A8C" w:rsidP="00CB4A8C"/>
    <w:p w14:paraId="1CFEE832" w14:textId="77777777" w:rsidR="00CB4A8C" w:rsidRPr="00B27CB1" w:rsidRDefault="00CB4A8C" w:rsidP="00CB4A8C">
      <w:pPr>
        <w:pStyle w:val="Titre4"/>
        <w:numPr>
          <w:ilvl w:val="3"/>
          <w:numId w:val="6"/>
        </w:numPr>
        <w:rPr>
          <w:lang w:val="en-GB"/>
        </w:rPr>
      </w:pPr>
      <w:bookmarkStart w:id="136" w:name="_Toc87361166"/>
      <w:r w:rsidRPr="00B27CB1">
        <w:rPr>
          <w:lang w:val="en-GB"/>
        </w:rPr>
        <w:t>Suffix to the authorisation number</w:t>
      </w:r>
      <w:bookmarkEnd w:id="136"/>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CB4A8C" w:rsidRPr="00B27CB1" w14:paraId="08BE47EF" w14:textId="77777777" w:rsidTr="00434119">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1E9702" w14:textId="3270B6F9" w:rsidR="00CB4A8C" w:rsidRPr="00B27CB1" w:rsidRDefault="002F6E1B" w:rsidP="00434119">
            <w:pPr>
              <w:spacing w:line="256" w:lineRule="auto"/>
            </w:pPr>
            <w:r>
              <w:t>Number 9</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94278F" w14:textId="77777777" w:rsidR="00CB4A8C" w:rsidRPr="00B27CB1" w:rsidRDefault="00CB4A8C" w:rsidP="00434119">
            <w:pPr>
              <w:spacing w:line="256" w:lineRule="auto"/>
            </w:pPr>
          </w:p>
        </w:tc>
      </w:tr>
    </w:tbl>
    <w:p w14:paraId="06DA4B09" w14:textId="77777777" w:rsidR="00CB4A8C" w:rsidRPr="00B27CB1" w:rsidRDefault="00CB4A8C" w:rsidP="00CB4A8C"/>
    <w:p w14:paraId="7F7D4D02" w14:textId="77777777" w:rsidR="00CB4A8C" w:rsidRPr="00B27CB1" w:rsidRDefault="00CB4A8C" w:rsidP="00CB4A8C">
      <w:pPr>
        <w:pStyle w:val="Titre4"/>
        <w:numPr>
          <w:ilvl w:val="3"/>
          <w:numId w:val="6"/>
        </w:numPr>
        <w:rPr>
          <w:lang w:val="en-GB"/>
        </w:rPr>
      </w:pPr>
      <w:bookmarkStart w:id="137" w:name="_Toc87361167"/>
      <w:r w:rsidRPr="00B27CB1">
        <w:rPr>
          <w:lang w:val="en-GB"/>
        </w:rPr>
        <w:t>Product type(s)</w:t>
      </w:r>
      <w:bookmarkEnd w:id="137"/>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CB4A8C" w:rsidRPr="00B27CB1" w14:paraId="00E213BE" w14:textId="77777777" w:rsidTr="00434119">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50031E1" w14:textId="77777777" w:rsidR="00CB4A8C" w:rsidRPr="00B27CB1" w:rsidRDefault="00CB4A8C" w:rsidP="00434119">
            <w:pPr>
              <w:spacing w:line="256" w:lineRule="auto"/>
            </w:pPr>
            <w:r w:rsidRPr="00B27CB1">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8643C0" w14:textId="7CF488F9" w:rsidR="00CB4A8C" w:rsidRPr="00B27CB1" w:rsidRDefault="00EC1BDB" w:rsidP="001E568F">
            <w:pPr>
              <w:spacing w:line="256" w:lineRule="auto"/>
            </w:pPr>
            <w:r w:rsidRPr="00B27CB1">
              <w:t>2</w:t>
            </w:r>
          </w:p>
        </w:tc>
      </w:tr>
    </w:tbl>
    <w:p w14:paraId="7C1BFE37" w14:textId="77777777" w:rsidR="00CB4A8C" w:rsidRPr="00B27CB1" w:rsidRDefault="00CB4A8C" w:rsidP="00CB4A8C"/>
    <w:p w14:paraId="58F48BE6" w14:textId="378CDC62" w:rsidR="00CB4A8C" w:rsidRPr="00657948" w:rsidRDefault="00EC1BDB" w:rsidP="00657948">
      <w:pPr>
        <w:pStyle w:val="Titre3"/>
        <w:numPr>
          <w:ilvl w:val="2"/>
          <w:numId w:val="6"/>
        </w:numPr>
      </w:pPr>
      <w:bookmarkStart w:id="138" w:name="_Toc87361168"/>
      <w:r w:rsidRPr="00657948">
        <w:t>Meta SPC 13</w:t>
      </w:r>
      <w:r w:rsidR="00CB4A8C" w:rsidRPr="00657948">
        <w:t xml:space="preserve"> composition</w:t>
      </w:r>
      <w:bookmarkEnd w:id="138"/>
    </w:p>
    <w:p w14:paraId="38A7EEF7" w14:textId="178EFB1F" w:rsidR="00CB4A8C" w:rsidRPr="00B27CB1" w:rsidRDefault="00CB4A8C" w:rsidP="00CB4A8C">
      <w:pPr>
        <w:pStyle w:val="Titre4"/>
        <w:numPr>
          <w:ilvl w:val="3"/>
          <w:numId w:val="6"/>
        </w:numPr>
        <w:rPr>
          <w:lang w:val="en-GB"/>
        </w:rPr>
      </w:pPr>
      <w:bookmarkStart w:id="139" w:name="_Toc87361169"/>
      <w:r w:rsidRPr="00B27CB1">
        <w:rPr>
          <w:lang w:val="en-GB"/>
        </w:rPr>
        <w:t>Qualitative and quantitative information on t</w:t>
      </w:r>
      <w:r w:rsidR="00EC1BDB" w:rsidRPr="00B27CB1">
        <w:rPr>
          <w:lang w:val="en-GB"/>
        </w:rPr>
        <w:t>he composition of the meta SPC 13</w:t>
      </w:r>
      <w:bookmarkEnd w:id="139"/>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CB4A8C" w:rsidRPr="00B27CB1" w14:paraId="497F0951" w14:textId="77777777" w:rsidTr="00434119">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1D874F9A" w14:textId="77777777" w:rsidR="00CB4A8C" w:rsidRPr="00B27CB1" w:rsidRDefault="00CB4A8C" w:rsidP="00434119">
            <w:pPr>
              <w:spacing w:line="256" w:lineRule="auto"/>
              <w:rPr>
                <w:b/>
                <w:bCs/>
                <w:szCs w:val="24"/>
                <w:lang w:eastAsia="en-GB"/>
              </w:rPr>
            </w:pPr>
            <w:r w:rsidRPr="00B27CB1">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6B058090" w14:textId="77777777" w:rsidR="00CB4A8C" w:rsidRPr="00B27CB1" w:rsidRDefault="00CB4A8C" w:rsidP="00434119">
            <w:pPr>
              <w:spacing w:line="256" w:lineRule="auto"/>
              <w:rPr>
                <w:b/>
                <w:bCs/>
                <w:szCs w:val="24"/>
                <w:lang w:eastAsia="en-GB"/>
              </w:rPr>
            </w:pPr>
            <w:r w:rsidRPr="00B27CB1">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4D22084D" w14:textId="77777777" w:rsidR="00CB4A8C" w:rsidRPr="00B27CB1" w:rsidRDefault="00CB4A8C" w:rsidP="00434119">
            <w:pPr>
              <w:spacing w:line="256" w:lineRule="auto"/>
              <w:rPr>
                <w:b/>
                <w:bCs/>
                <w:szCs w:val="24"/>
                <w:lang w:eastAsia="en-GB"/>
              </w:rPr>
            </w:pPr>
            <w:r w:rsidRPr="00B27CB1">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2DA552B5" w14:textId="77777777" w:rsidR="00CB4A8C" w:rsidRPr="00B27CB1" w:rsidRDefault="00CB4A8C" w:rsidP="00434119">
            <w:pPr>
              <w:spacing w:line="256" w:lineRule="auto"/>
              <w:rPr>
                <w:b/>
                <w:bCs/>
                <w:szCs w:val="24"/>
                <w:lang w:eastAsia="en-GB"/>
              </w:rPr>
            </w:pPr>
            <w:r w:rsidRPr="00B27CB1">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3A62B056" w14:textId="77777777" w:rsidR="00CB4A8C" w:rsidRPr="00B27CB1" w:rsidRDefault="00CB4A8C" w:rsidP="00434119">
            <w:pPr>
              <w:spacing w:line="256" w:lineRule="auto"/>
              <w:rPr>
                <w:b/>
                <w:bCs/>
                <w:szCs w:val="24"/>
                <w:lang w:eastAsia="en-GB"/>
              </w:rPr>
            </w:pPr>
            <w:r w:rsidRPr="00B27CB1">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7713B120" w14:textId="77777777" w:rsidR="00CB4A8C" w:rsidRPr="00B27CB1" w:rsidRDefault="00CB4A8C" w:rsidP="00434119">
            <w:pPr>
              <w:spacing w:line="256" w:lineRule="auto"/>
            </w:pPr>
            <w:r w:rsidRPr="00B27CB1">
              <w:rPr>
                <w:b/>
                <w:bCs/>
                <w:szCs w:val="24"/>
                <w:lang w:eastAsia="en-GB"/>
              </w:rPr>
              <w:t>Content (%)</w:t>
            </w:r>
          </w:p>
        </w:tc>
      </w:tr>
      <w:tr w:rsidR="00CB4A8C" w:rsidRPr="00B27CB1" w14:paraId="7E8271AC" w14:textId="77777777" w:rsidTr="00434119">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29954976" w14:textId="77777777" w:rsidR="00CB4A8C" w:rsidRPr="00B27CB1" w:rsidRDefault="00CB4A8C" w:rsidP="00434119">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5F2FEFF5" w14:textId="77777777" w:rsidR="00CB4A8C" w:rsidRPr="00B27CB1" w:rsidRDefault="00CB4A8C" w:rsidP="00434119">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D157DC5" w14:textId="77777777" w:rsidR="00CB4A8C" w:rsidRPr="00B27CB1" w:rsidRDefault="00CB4A8C" w:rsidP="00434119">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C86BA65" w14:textId="77777777" w:rsidR="00CB4A8C" w:rsidRPr="00B27CB1" w:rsidRDefault="00CB4A8C" w:rsidP="00434119">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7A987A3" w14:textId="77777777" w:rsidR="00CB4A8C" w:rsidRPr="00B27CB1" w:rsidRDefault="00CB4A8C" w:rsidP="00434119">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C554F9" w14:textId="77777777" w:rsidR="00CB4A8C" w:rsidRPr="00B27CB1" w:rsidRDefault="00CB4A8C" w:rsidP="00434119">
            <w:pPr>
              <w:spacing w:line="256" w:lineRule="auto"/>
              <w:rPr>
                <w:b/>
                <w:bCs/>
                <w:szCs w:val="24"/>
                <w:lang w:eastAsia="en-GB"/>
              </w:rPr>
            </w:pPr>
            <w:r w:rsidRPr="00B27CB1">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9CFB7" w14:textId="77777777" w:rsidR="00CB4A8C" w:rsidRPr="00B27CB1" w:rsidRDefault="00CB4A8C" w:rsidP="00434119">
            <w:pPr>
              <w:spacing w:line="256" w:lineRule="auto"/>
            </w:pPr>
            <w:r w:rsidRPr="00B27CB1">
              <w:rPr>
                <w:b/>
                <w:bCs/>
                <w:szCs w:val="24"/>
                <w:lang w:eastAsia="en-GB"/>
              </w:rPr>
              <w:t>Max</w:t>
            </w:r>
          </w:p>
        </w:tc>
      </w:tr>
      <w:tr w:rsidR="00E974B3" w:rsidRPr="00B27CB1" w14:paraId="435AF486" w14:textId="77777777" w:rsidTr="00E91F85">
        <w:tc>
          <w:tcPr>
            <w:tcW w:w="2256" w:type="dxa"/>
            <w:vMerge w:val="restart"/>
            <w:tcBorders>
              <w:top w:val="single" w:sz="4" w:space="0" w:color="000000"/>
              <w:left w:val="single" w:sz="4" w:space="0" w:color="000000"/>
              <w:bottom w:val="single" w:sz="4" w:space="0" w:color="000000"/>
              <w:right w:val="nil"/>
            </w:tcBorders>
          </w:tcPr>
          <w:p w14:paraId="4D72B2B5" w14:textId="621998D5" w:rsidR="00E974B3" w:rsidRPr="00B27CB1" w:rsidRDefault="00D37CB1" w:rsidP="00E974B3">
            <w:pPr>
              <w:snapToGrid w:val="0"/>
              <w:spacing w:line="256" w:lineRule="auto"/>
              <w:rPr>
                <w:b/>
                <w:bCs/>
                <w:szCs w:val="24"/>
                <w:lang w:eastAsia="en-GB"/>
              </w:rPr>
            </w:pPr>
            <w:r w:rsidRPr="00932929">
              <w:rPr>
                <w:lang w:val="pl-PL"/>
              </w:rPr>
              <w:t xml:space="preserve">L(+) </w:t>
            </w:r>
            <w:r w:rsidR="00E974B3">
              <w:rPr>
                <w:lang w:val="pl-PL"/>
              </w:rPr>
              <w:t>Lactic acid</w:t>
            </w:r>
          </w:p>
          <w:p w14:paraId="6D4FDDA6" w14:textId="77777777" w:rsidR="00E974B3" w:rsidRPr="00B27CB1" w:rsidRDefault="00E974B3" w:rsidP="00E974B3">
            <w:pPr>
              <w:snapToGrid w:val="0"/>
              <w:spacing w:line="256" w:lineRule="auto"/>
              <w:rPr>
                <w:bCs/>
                <w:szCs w:val="24"/>
                <w:lang w:eastAsia="en-GB"/>
              </w:rPr>
            </w:pPr>
          </w:p>
        </w:tc>
        <w:tc>
          <w:tcPr>
            <w:tcW w:w="1353" w:type="dxa"/>
            <w:vMerge w:val="restart"/>
            <w:tcBorders>
              <w:top w:val="single" w:sz="4" w:space="0" w:color="000000"/>
              <w:left w:val="single" w:sz="4" w:space="0" w:color="000000"/>
              <w:bottom w:val="single" w:sz="4" w:space="0" w:color="000000"/>
              <w:right w:val="nil"/>
            </w:tcBorders>
          </w:tcPr>
          <w:p w14:paraId="2BF72769" w14:textId="6947D209" w:rsidR="00E974B3" w:rsidRPr="00B27CB1" w:rsidRDefault="00D37CB1" w:rsidP="00E974B3">
            <w:pPr>
              <w:snapToGrid w:val="0"/>
              <w:spacing w:line="256" w:lineRule="auto"/>
            </w:pPr>
            <w:r w:rsidRPr="00932929">
              <w:t>(S)-2-Hydroxypropanoic acid</w:t>
            </w:r>
            <w:r w:rsidRPr="00F67FDB" w:rsidDel="00D37CB1">
              <w:t xml:space="preserve"> </w:t>
            </w:r>
          </w:p>
        </w:tc>
        <w:tc>
          <w:tcPr>
            <w:tcW w:w="1353" w:type="dxa"/>
            <w:tcBorders>
              <w:top w:val="single" w:sz="4" w:space="0" w:color="000000"/>
              <w:left w:val="single" w:sz="4" w:space="0" w:color="000000"/>
              <w:bottom w:val="single" w:sz="4" w:space="0" w:color="000000"/>
              <w:right w:val="nil"/>
            </w:tcBorders>
            <w:vAlign w:val="center"/>
            <w:hideMark/>
          </w:tcPr>
          <w:p w14:paraId="43AFB598" w14:textId="66218383" w:rsidR="00E974B3" w:rsidRPr="00B27CB1" w:rsidRDefault="00E974B3" w:rsidP="00E974B3">
            <w:pPr>
              <w:spacing w:line="256" w:lineRule="auto"/>
            </w:pPr>
            <w:r w:rsidRPr="00B27CB1">
              <w:t>Pure active substance</w:t>
            </w:r>
          </w:p>
        </w:tc>
        <w:tc>
          <w:tcPr>
            <w:tcW w:w="1353" w:type="dxa"/>
            <w:vMerge w:val="restart"/>
            <w:tcBorders>
              <w:top w:val="single" w:sz="4" w:space="0" w:color="000000"/>
              <w:left w:val="single" w:sz="4" w:space="0" w:color="000000"/>
              <w:bottom w:val="single" w:sz="4" w:space="0" w:color="000000"/>
              <w:right w:val="nil"/>
            </w:tcBorders>
          </w:tcPr>
          <w:p w14:paraId="46D668E0" w14:textId="578B3266" w:rsidR="00E974B3" w:rsidRPr="00B27CB1" w:rsidRDefault="00E974B3" w:rsidP="00E974B3">
            <w:pPr>
              <w:snapToGrid w:val="0"/>
              <w:spacing w:line="256" w:lineRule="auto"/>
            </w:pPr>
            <w:r w:rsidRPr="000B213C">
              <w:t>79-33-4</w:t>
            </w:r>
          </w:p>
        </w:tc>
        <w:tc>
          <w:tcPr>
            <w:tcW w:w="1353" w:type="dxa"/>
            <w:vMerge w:val="restart"/>
            <w:tcBorders>
              <w:top w:val="single" w:sz="4" w:space="0" w:color="000000"/>
              <w:left w:val="single" w:sz="4" w:space="0" w:color="000000"/>
              <w:bottom w:val="single" w:sz="4" w:space="0" w:color="000000"/>
              <w:right w:val="nil"/>
            </w:tcBorders>
          </w:tcPr>
          <w:p w14:paraId="2A823F5B" w14:textId="12194A80" w:rsidR="00E974B3" w:rsidRPr="00B27CB1" w:rsidRDefault="00E974B3" w:rsidP="00E974B3">
            <w:pPr>
              <w:snapToGrid w:val="0"/>
              <w:spacing w:line="256" w:lineRule="auto"/>
            </w:pPr>
            <w:r w:rsidRPr="000B213C">
              <w:t>201-196-2</w:t>
            </w:r>
          </w:p>
        </w:tc>
        <w:tc>
          <w:tcPr>
            <w:tcW w:w="625" w:type="dxa"/>
            <w:tcBorders>
              <w:top w:val="single" w:sz="4" w:space="0" w:color="000000"/>
              <w:left w:val="single" w:sz="4" w:space="0" w:color="000000"/>
              <w:bottom w:val="single" w:sz="4" w:space="0" w:color="000000"/>
              <w:right w:val="nil"/>
            </w:tcBorders>
            <w:vAlign w:val="center"/>
          </w:tcPr>
          <w:p w14:paraId="61C541B3" w14:textId="36198F1B" w:rsidR="00E974B3" w:rsidRPr="00B27CB1" w:rsidRDefault="00E974B3">
            <w:pPr>
              <w:snapToGrid w:val="0"/>
              <w:spacing w:line="256" w:lineRule="auto"/>
            </w:pPr>
            <w:r>
              <w:t>7.64</w:t>
            </w:r>
          </w:p>
        </w:tc>
        <w:tc>
          <w:tcPr>
            <w:tcW w:w="738" w:type="dxa"/>
            <w:tcBorders>
              <w:top w:val="single" w:sz="4" w:space="0" w:color="000000"/>
              <w:left w:val="single" w:sz="4" w:space="0" w:color="000000"/>
              <w:bottom w:val="single" w:sz="4" w:space="0" w:color="000000"/>
              <w:right w:val="single" w:sz="4" w:space="0" w:color="000000"/>
            </w:tcBorders>
            <w:vAlign w:val="center"/>
          </w:tcPr>
          <w:p w14:paraId="67766058" w14:textId="0CA26AA0" w:rsidR="00E974B3" w:rsidRPr="00B27CB1" w:rsidRDefault="00E974B3" w:rsidP="00E974B3">
            <w:pPr>
              <w:snapToGrid w:val="0"/>
              <w:spacing w:line="256" w:lineRule="auto"/>
            </w:pPr>
            <w:r>
              <w:t>7.64</w:t>
            </w:r>
          </w:p>
        </w:tc>
      </w:tr>
      <w:tr w:rsidR="00E974B3" w:rsidRPr="00B27CB1" w14:paraId="6D8D6628" w14:textId="77777777" w:rsidTr="00E91F85">
        <w:tc>
          <w:tcPr>
            <w:tcW w:w="2256" w:type="dxa"/>
            <w:vMerge/>
            <w:tcBorders>
              <w:top w:val="single" w:sz="4" w:space="0" w:color="000000"/>
              <w:left w:val="single" w:sz="4" w:space="0" w:color="000000"/>
              <w:bottom w:val="single" w:sz="4" w:space="0" w:color="000000"/>
              <w:right w:val="nil"/>
            </w:tcBorders>
            <w:hideMark/>
          </w:tcPr>
          <w:p w14:paraId="13638961" w14:textId="77777777" w:rsidR="00E974B3" w:rsidRPr="00B27CB1" w:rsidRDefault="00E974B3" w:rsidP="00E974B3">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hideMark/>
          </w:tcPr>
          <w:p w14:paraId="6C9A19C3" w14:textId="77777777" w:rsidR="00E974B3" w:rsidRPr="00B27CB1" w:rsidRDefault="00E974B3" w:rsidP="00E974B3">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14:paraId="6EDB51A3" w14:textId="2EBF345F" w:rsidR="00E974B3" w:rsidRPr="00B27CB1" w:rsidRDefault="00E974B3" w:rsidP="00E974B3">
            <w:pPr>
              <w:spacing w:line="256" w:lineRule="auto"/>
            </w:pPr>
            <w:r w:rsidRPr="00B27CB1">
              <w:t>Technical active substance</w:t>
            </w:r>
          </w:p>
        </w:tc>
        <w:tc>
          <w:tcPr>
            <w:tcW w:w="1353" w:type="dxa"/>
            <w:vMerge/>
            <w:tcBorders>
              <w:top w:val="single" w:sz="4" w:space="0" w:color="000000"/>
              <w:left w:val="single" w:sz="4" w:space="0" w:color="000000"/>
              <w:bottom w:val="single" w:sz="4" w:space="0" w:color="000000"/>
              <w:right w:val="nil"/>
            </w:tcBorders>
            <w:hideMark/>
          </w:tcPr>
          <w:p w14:paraId="6ED7C788" w14:textId="77777777" w:rsidR="00E974B3" w:rsidRPr="00B27CB1" w:rsidRDefault="00E974B3" w:rsidP="00E974B3">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hideMark/>
          </w:tcPr>
          <w:p w14:paraId="670EAD35" w14:textId="77777777" w:rsidR="00E974B3" w:rsidRPr="00B27CB1" w:rsidRDefault="00E974B3" w:rsidP="00E974B3">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14:paraId="3917AD63" w14:textId="5696EC6C" w:rsidR="00E974B3" w:rsidRPr="00B27CB1" w:rsidRDefault="00E974B3" w:rsidP="00E974B3">
            <w:pPr>
              <w:snapToGrid w:val="0"/>
              <w:spacing w:line="256" w:lineRule="auto"/>
            </w:pPr>
            <w:r>
              <w:t>8</w:t>
            </w:r>
          </w:p>
        </w:tc>
        <w:tc>
          <w:tcPr>
            <w:tcW w:w="738" w:type="dxa"/>
            <w:tcBorders>
              <w:top w:val="single" w:sz="4" w:space="0" w:color="000000"/>
              <w:left w:val="single" w:sz="4" w:space="0" w:color="000000"/>
              <w:bottom w:val="single" w:sz="4" w:space="0" w:color="000000"/>
              <w:right w:val="single" w:sz="4" w:space="0" w:color="000000"/>
            </w:tcBorders>
            <w:vAlign w:val="center"/>
          </w:tcPr>
          <w:p w14:paraId="5C636E5A" w14:textId="1D1A9134" w:rsidR="00E974B3" w:rsidRPr="00B27CB1" w:rsidRDefault="00E974B3" w:rsidP="00E974B3">
            <w:pPr>
              <w:snapToGrid w:val="0"/>
              <w:spacing w:line="256" w:lineRule="auto"/>
            </w:pPr>
            <w:r>
              <w:t>8</w:t>
            </w:r>
          </w:p>
        </w:tc>
      </w:tr>
      <w:tr w:rsidR="00430684" w:rsidRPr="00B27CB1" w14:paraId="29097021" w14:textId="77777777" w:rsidTr="00E91F85">
        <w:tc>
          <w:tcPr>
            <w:tcW w:w="2256" w:type="dxa"/>
            <w:tcBorders>
              <w:top w:val="single" w:sz="4" w:space="0" w:color="000000"/>
              <w:left w:val="single" w:sz="4" w:space="0" w:color="000000"/>
              <w:bottom w:val="single" w:sz="4" w:space="0" w:color="000000"/>
              <w:right w:val="nil"/>
            </w:tcBorders>
          </w:tcPr>
          <w:p w14:paraId="195ACC0C" w14:textId="7FD4719E" w:rsidR="00430684" w:rsidRPr="00B27CB1" w:rsidRDefault="00430684" w:rsidP="00430684">
            <w:pPr>
              <w:suppressAutoHyphens w:val="0"/>
              <w:spacing w:line="256" w:lineRule="auto"/>
              <w:rPr>
                <w:bCs/>
                <w:szCs w:val="24"/>
                <w:lang w:eastAsia="en-GB"/>
              </w:rPr>
            </w:pPr>
            <w:r>
              <w:rPr>
                <w:bCs/>
                <w:szCs w:val="24"/>
                <w:lang w:eastAsia="en-GB"/>
              </w:rPr>
              <w:t>Diethylene glycol monobutyl ether</w:t>
            </w:r>
          </w:p>
        </w:tc>
        <w:tc>
          <w:tcPr>
            <w:tcW w:w="1353" w:type="dxa"/>
            <w:tcBorders>
              <w:top w:val="single" w:sz="4" w:space="0" w:color="000000"/>
              <w:left w:val="single" w:sz="4" w:space="0" w:color="000000"/>
              <w:bottom w:val="single" w:sz="4" w:space="0" w:color="000000"/>
              <w:right w:val="nil"/>
            </w:tcBorders>
          </w:tcPr>
          <w:p w14:paraId="4B52A38D" w14:textId="22072B99" w:rsidR="00430684" w:rsidRPr="00B27CB1" w:rsidRDefault="00430684" w:rsidP="00430684">
            <w:pPr>
              <w:suppressAutoHyphens w:val="0"/>
              <w:spacing w:line="256" w:lineRule="auto"/>
            </w:pPr>
            <w:r w:rsidRPr="00430684">
              <w:t>2-(2-Butoxyethoxy)ethan-1-ol</w:t>
            </w:r>
          </w:p>
        </w:tc>
        <w:tc>
          <w:tcPr>
            <w:tcW w:w="1353" w:type="dxa"/>
            <w:tcBorders>
              <w:top w:val="single" w:sz="4" w:space="0" w:color="000000"/>
              <w:left w:val="single" w:sz="4" w:space="0" w:color="000000"/>
              <w:bottom w:val="single" w:sz="4" w:space="0" w:color="000000"/>
              <w:right w:val="nil"/>
            </w:tcBorders>
          </w:tcPr>
          <w:p w14:paraId="3C594518" w14:textId="5D2F47F3" w:rsidR="00430684" w:rsidRPr="00B27CB1" w:rsidRDefault="008C0C41" w:rsidP="00430684">
            <w:pPr>
              <w:spacing w:line="256" w:lineRule="auto"/>
            </w:pPr>
            <w:r>
              <w:t>Co-formulant</w:t>
            </w:r>
          </w:p>
        </w:tc>
        <w:tc>
          <w:tcPr>
            <w:tcW w:w="1353" w:type="dxa"/>
            <w:tcBorders>
              <w:top w:val="single" w:sz="4" w:space="0" w:color="000000"/>
              <w:left w:val="single" w:sz="4" w:space="0" w:color="000000"/>
              <w:bottom w:val="single" w:sz="4" w:space="0" w:color="000000"/>
              <w:right w:val="nil"/>
            </w:tcBorders>
          </w:tcPr>
          <w:p w14:paraId="47BC80A3" w14:textId="082046E1" w:rsidR="00430684" w:rsidRPr="00B27CB1" w:rsidRDefault="00430684" w:rsidP="00430684">
            <w:pPr>
              <w:suppressAutoHyphens w:val="0"/>
              <w:spacing w:line="256" w:lineRule="auto"/>
            </w:pPr>
            <w:r>
              <w:t>112-34-5</w:t>
            </w:r>
          </w:p>
        </w:tc>
        <w:tc>
          <w:tcPr>
            <w:tcW w:w="1353" w:type="dxa"/>
            <w:tcBorders>
              <w:top w:val="single" w:sz="4" w:space="0" w:color="000000"/>
              <w:left w:val="single" w:sz="4" w:space="0" w:color="000000"/>
              <w:bottom w:val="single" w:sz="4" w:space="0" w:color="000000"/>
              <w:right w:val="nil"/>
            </w:tcBorders>
          </w:tcPr>
          <w:p w14:paraId="259FBBAB" w14:textId="594BE55A" w:rsidR="00430684" w:rsidRPr="00B27CB1" w:rsidRDefault="00430684" w:rsidP="00430684">
            <w:pPr>
              <w:suppressAutoHyphens w:val="0"/>
              <w:spacing w:line="256" w:lineRule="auto"/>
            </w:pPr>
            <w:r>
              <w:t>203-961-6</w:t>
            </w:r>
          </w:p>
        </w:tc>
        <w:tc>
          <w:tcPr>
            <w:tcW w:w="625" w:type="dxa"/>
            <w:tcBorders>
              <w:top w:val="single" w:sz="4" w:space="0" w:color="000000"/>
              <w:left w:val="single" w:sz="4" w:space="0" w:color="000000"/>
              <w:bottom w:val="single" w:sz="4" w:space="0" w:color="000000"/>
              <w:right w:val="nil"/>
            </w:tcBorders>
          </w:tcPr>
          <w:p w14:paraId="7BEF4969" w14:textId="4FAA8FB3" w:rsidR="00430684" w:rsidRDefault="00430684" w:rsidP="00430684">
            <w:pPr>
              <w:snapToGrid w:val="0"/>
              <w:spacing w:line="256" w:lineRule="auto"/>
            </w:pPr>
            <w:r>
              <w:t>5.5</w:t>
            </w:r>
          </w:p>
        </w:tc>
        <w:tc>
          <w:tcPr>
            <w:tcW w:w="738" w:type="dxa"/>
            <w:tcBorders>
              <w:top w:val="single" w:sz="4" w:space="0" w:color="000000"/>
              <w:left w:val="single" w:sz="4" w:space="0" w:color="000000"/>
              <w:bottom w:val="single" w:sz="4" w:space="0" w:color="000000"/>
              <w:right w:val="single" w:sz="4" w:space="0" w:color="000000"/>
            </w:tcBorders>
          </w:tcPr>
          <w:p w14:paraId="25E04D7D" w14:textId="2DED3344" w:rsidR="00430684" w:rsidRDefault="00430684" w:rsidP="00430684">
            <w:pPr>
              <w:snapToGrid w:val="0"/>
              <w:spacing w:line="256" w:lineRule="auto"/>
            </w:pPr>
            <w:r>
              <w:t>5.5</w:t>
            </w:r>
          </w:p>
        </w:tc>
      </w:tr>
      <w:tr w:rsidR="00E420BD" w:rsidRPr="00B27CB1" w:rsidDel="00E974B3" w14:paraId="782DB563" w14:textId="77777777" w:rsidTr="00E420BD">
        <w:tc>
          <w:tcPr>
            <w:tcW w:w="2256" w:type="dxa"/>
            <w:tcBorders>
              <w:top w:val="single" w:sz="4" w:space="0" w:color="000000"/>
              <w:left w:val="single" w:sz="4" w:space="0" w:color="000000"/>
              <w:bottom w:val="single" w:sz="4" w:space="0" w:color="000000"/>
              <w:right w:val="nil"/>
            </w:tcBorders>
            <w:vAlign w:val="center"/>
          </w:tcPr>
          <w:p w14:paraId="58935AF1" w14:textId="645617AF" w:rsidR="00E420BD" w:rsidRPr="00E91F85" w:rsidDel="00E974B3" w:rsidRDefault="00F03F11" w:rsidP="00E91F85">
            <w:pPr>
              <w:spacing w:line="256" w:lineRule="auto"/>
            </w:pPr>
            <w:r w:rsidRPr="00E91F85">
              <w:t>Reaction mass of</w:t>
            </w:r>
            <w:r w:rsidRPr="009E07D6">
              <w:t xml:space="preserve"> 1-(1,2,3,4,5,6,7,8-octahydro-2,3,8,8-tetramethyl-2-naphthyl)ethan-1-one</w:t>
            </w:r>
            <w:r w:rsidRPr="008B467E">
              <w:t xml:space="preserve"> and 1-(1,2,3,4,6,7,8,8a-octahydro-2,3,8,8-tetramethyl-2-naphthyl)ethan-1-one and 1-(1,2,3,5,6,7,8,8a-octahydro- 2,3,8,8-tetramethyl-2-naphthyl)ethan-1-one</w:t>
            </w:r>
          </w:p>
        </w:tc>
        <w:tc>
          <w:tcPr>
            <w:tcW w:w="1353" w:type="dxa"/>
            <w:tcBorders>
              <w:top w:val="single" w:sz="4" w:space="0" w:color="000000"/>
              <w:left w:val="single" w:sz="4" w:space="0" w:color="000000"/>
              <w:bottom w:val="single" w:sz="4" w:space="0" w:color="000000"/>
              <w:right w:val="nil"/>
            </w:tcBorders>
            <w:vAlign w:val="center"/>
          </w:tcPr>
          <w:p w14:paraId="2814B501" w14:textId="55D77202" w:rsidR="00E420BD" w:rsidRPr="00E91F85" w:rsidDel="00E974B3" w:rsidRDefault="008B0A02" w:rsidP="00E91F85">
            <w:pPr>
              <w:spacing w:line="256" w:lineRule="auto"/>
            </w:pPr>
            <w:r w:rsidRPr="00E91F85">
              <w:t>OTNE</w:t>
            </w:r>
          </w:p>
        </w:tc>
        <w:tc>
          <w:tcPr>
            <w:tcW w:w="1353" w:type="dxa"/>
            <w:tcBorders>
              <w:top w:val="single" w:sz="4" w:space="0" w:color="000000"/>
              <w:left w:val="single" w:sz="4" w:space="0" w:color="000000"/>
              <w:bottom w:val="single" w:sz="4" w:space="0" w:color="000000"/>
              <w:right w:val="nil"/>
            </w:tcBorders>
            <w:vAlign w:val="center"/>
          </w:tcPr>
          <w:p w14:paraId="3D70BEF4" w14:textId="453DA3F9" w:rsidR="00E420BD" w:rsidRPr="00B27CB1" w:rsidDel="00E974B3" w:rsidRDefault="008B0A02" w:rsidP="00E420BD">
            <w:pPr>
              <w:spacing w:line="256" w:lineRule="auto"/>
            </w:pPr>
            <w:r w:rsidRPr="008B0A02">
              <w:t>Co-formulant</w:t>
            </w:r>
          </w:p>
        </w:tc>
        <w:tc>
          <w:tcPr>
            <w:tcW w:w="1353" w:type="dxa"/>
            <w:tcBorders>
              <w:top w:val="single" w:sz="4" w:space="0" w:color="000000"/>
              <w:left w:val="single" w:sz="4" w:space="0" w:color="000000"/>
              <w:bottom w:val="single" w:sz="4" w:space="0" w:color="000000"/>
              <w:right w:val="nil"/>
            </w:tcBorders>
            <w:vAlign w:val="center"/>
          </w:tcPr>
          <w:p w14:paraId="5B36EA5A" w14:textId="475B4255" w:rsidR="00E420BD" w:rsidRPr="00291E39" w:rsidDel="00E974B3" w:rsidRDefault="00E420BD" w:rsidP="00E420BD">
            <w:pPr>
              <w:snapToGrid w:val="0"/>
              <w:spacing w:line="256" w:lineRule="auto"/>
            </w:pPr>
          </w:p>
        </w:tc>
        <w:tc>
          <w:tcPr>
            <w:tcW w:w="1353" w:type="dxa"/>
            <w:tcBorders>
              <w:top w:val="single" w:sz="4" w:space="0" w:color="000000"/>
              <w:left w:val="single" w:sz="4" w:space="0" w:color="000000"/>
              <w:bottom w:val="single" w:sz="4" w:space="0" w:color="000000"/>
              <w:right w:val="nil"/>
            </w:tcBorders>
            <w:vAlign w:val="center"/>
          </w:tcPr>
          <w:p w14:paraId="64C96113" w14:textId="77777777" w:rsidR="00E420BD" w:rsidRPr="00B27CB1" w:rsidDel="00E974B3" w:rsidRDefault="00E420BD" w:rsidP="00E420BD">
            <w:pPr>
              <w:snapToGrid w:val="0"/>
              <w:spacing w:line="256" w:lineRule="auto"/>
            </w:pPr>
            <w:r w:rsidRPr="00980AC3">
              <w:t>915-730-3</w:t>
            </w:r>
          </w:p>
        </w:tc>
        <w:tc>
          <w:tcPr>
            <w:tcW w:w="625" w:type="dxa"/>
            <w:tcBorders>
              <w:top w:val="single" w:sz="4" w:space="0" w:color="000000"/>
              <w:left w:val="single" w:sz="4" w:space="0" w:color="000000"/>
              <w:bottom w:val="single" w:sz="4" w:space="0" w:color="000000"/>
              <w:right w:val="nil"/>
            </w:tcBorders>
            <w:vAlign w:val="center"/>
          </w:tcPr>
          <w:p w14:paraId="1C9E02B3" w14:textId="130C9BCF" w:rsidR="00E420BD" w:rsidRPr="00B27CB1" w:rsidDel="00E974B3" w:rsidRDefault="008B0A02" w:rsidP="00E420BD">
            <w:pPr>
              <w:snapToGrid w:val="0"/>
              <w:spacing w:line="256" w:lineRule="auto"/>
            </w:pPr>
            <w:r>
              <w:t>0.9</w:t>
            </w:r>
          </w:p>
        </w:tc>
        <w:tc>
          <w:tcPr>
            <w:tcW w:w="738" w:type="dxa"/>
            <w:tcBorders>
              <w:top w:val="single" w:sz="4" w:space="0" w:color="000000"/>
              <w:left w:val="single" w:sz="4" w:space="0" w:color="000000"/>
              <w:bottom w:val="single" w:sz="4" w:space="0" w:color="000000"/>
              <w:right w:val="single" w:sz="4" w:space="0" w:color="000000"/>
            </w:tcBorders>
            <w:vAlign w:val="center"/>
          </w:tcPr>
          <w:p w14:paraId="74DA5CF9" w14:textId="4E00EA42" w:rsidR="00E420BD" w:rsidRPr="00B27CB1" w:rsidDel="00E974B3" w:rsidRDefault="00E420BD" w:rsidP="00E420BD">
            <w:pPr>
              <w:snapToGrid w:val="0"/>
              <w:spacing w:line="256" w:lineRule="auto"/>
            </w:pPr>
            <w:r>
              <w:t>0.9</w:t>
            </w:r>
          </w:p>
        </w:tc>
      </w:tr>
    </w:tbl>
    <w:p w14:paraId="2AD4363D" w14:textId="77777777" w:rsidR="00CB4A8C" w:rsidRPr="00B27CB1" w:rsidRDefault="00CB4A8C" w:rsidP="00CB4A8C"/>
    <w:p w14:paraId="2A318200" w14:textId="2320748F" w:rsidR="00CB4A8C" w:rsidRPr="00B27CB1" w:rsidRDefault="00CB4A8C" w:rsidP="00CB4A8C">
      <w:pPr>
        <w:pStyle w:val="Titre4"/>
        <w:numPr>
          <w:ilvl w:val="3"/>
          <w:numId w:val="6"/>
        </w:numPr>
        <w:rPr>
          <w:lang w:val="en-GB"/>
        </w:rPr>
      </w:pPr>
      <w:bookmarkStart w:id="140" w:name="_Toc87361170"/>
      <w:r w:rsidRPr="00B27CB1">
        <w:rPr>
          <w:lang w:val="en-GB"/>
        </w:rPr>
        <w:lastRenderedPageBreak/>
        <w:t xml:space="preserve">Type(s) </w:t>
      </w:r>
      <w:r w:rsidR="00EC1BDB" w:rsidRPr="00B27CB1">
        <w:rPr>
          <w:lang w:val="en-GB"/>
        </w:rPr>
        <w:t>of formulation of the meta SPC 13</w:t>
      </w:r>
      <w:bookmarkEnd w:id="14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018280D1"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48550A8C" w14:textId="17C43AF4" w:rsidR="00CB4A8C" w:rsidRPr="00B27CB1" w:rsidRDefault="00EC1BDB" w:rsidP="007A4DA8">
            <w:pPr>
              <w:keepNext/>
              <w:outlineLvl w:val="2"/>
            </w:pPr>
            <w:r w:rsidRPr="00B27CB1">
              <w:t>ME - Micro-emulsion</w:t>
            </w:r>
          </w:p>
        </w:tc>
      </w:tr>
    </w:tbl>
    <w:p w14:paraId="0694913E" w14:textId="77777777" w:rsidR="00CB4A8C" w:rsidRPr="00B27CB1" w:rsidRDefault="00CB4A8C" w:rsidP="00CB4A8C"/>
    <w:p w14:paraId="0C94BDA9" w14:textId="4855E5F3" w:rsidR="00CB4A8C" w:rsidRPr="007A4DA8" w:rsidRDefault="00CB4A8C" w:rsidP="00657948">
      <w:pPr>
        <w:pStyle w:val="Titre3"/>
        <w:numPr>
          <w:ilvl w:val="2"/>
          <w:numId w:val="6"/>
        </w:numPr>
        <w:rPr>
          <w:lang w:val="en-US"/>
        </w:rPr>
      </w:pPr>
      <w:bookmarkStart w:id="141" w:name="_Toc87361171"/>
      <w:r w:rsidRPr="007A4DA8">
        <w:rPr>
          <w:lang w:val="en-US"/>
        </w:rPr>
        <w:t xml:space="preserve">Hazard and precautionary statements according to Regulation </w:t>
      </w:r>
      <w:r w:rsidR="00EC1BDB" w:rsidRPr="007A4DA8">
        <w:rPr>
          <w:lang w:val="en-US"/>
        </w:rPr>
        <w:t>(EC) 1272/2008 of the meta SPC 13</w:t>
      </w:r>
      <w:bookmarkEnd w:id="141"/>
    </w:p>
    <w:p w14:paraId="5203DCCF" w14:textId="0D75DCA0" w:rsidR="00CB4A8C" w:rsidRPr="00B27CB1" w:rsidRDefault="00CB4A8C" w:rsidP="00CB4A8C">
      <w:pPr>
        <w:rPr>
          <w:b/>
        </w:rPr>
      </w:pPr>
      <w:r w:rsidRPr="00B27CB1">
        <w:rPr>
          <w:b/>
        </w:rPr>
        <w:t>Classification and labelling of the products of the family according to the Regulation (EC) 1272/2008</w:t>
      </w:r>
    </w:p>
    <w:p w14:paraId="61E4D546" w14:textId="77777777" w:rsidR="00CB4A8C" w:rsidRPr="00B27CB1" w:rsidRDefault="00CB4A8C" w:rsidP="00CB4A8C"/>
    <w:tbl>
      <w:tblPr>
        <w:tblW w:w="0" w:type="auto"/>
        <w:tblInd w:w="108" w:type="dxa"/>
        <w:tblLayout w:type="fixed"/>
        <w:tblLook w:val="04A0" w:firstRow="1" w:lastRow="0" w:firstColumn="1" w:lastColumn="0" w:noHBand="0" w:noVBand="1"/>
      </w:tblPr>
      <w:tblGrid>
        <w:gridCol w:w="2606"/>
        <w:gridCol w:w="6414"/>
      </w:tblGrid>
      <w:tr w:rsidR="00CB4A8C" w:rsidRPr="00B27CB1" w14:paraId="25815D0C" w14:textId="77777777" w:rsidTr="00434119">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2D6CCF3" w14:textId="77777777" w:rsidR="00CB4A8C" w:rsidRPr="00B27CB1" w:rsidRDefault="00CB4A8C" w:rsidP="00434119">
            <w:pPr>
              <w:spacing w:line="256" w:lineRule="auto"/>
            </w:pPr>
            <w:r w:rsidRPr="00B27CB1">
              <w:rPr>
                <w:b/>
                <w:lang w:eastAsia="en-US"/>
              </w:rPr>
              <w:t>Classification</w:t>
            </w:r>
          </w:p>
        </w:tc>
      </w:tr>
      <w:tr w:rsidR="00CB4A8C" w:rsidRPr="00B27CB1" w14:paraId="3E4CB3E0"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6EDB55DF" w14:textId="77777777" w:rsidR="00CB4A8C" w:rsidRPr="00B27CB1" w:rsidRDefault="00CB4A8C" w:rsidP="00434119">
            <w:pPr>
              <w:spacing w:line="256" w:lineRule="auto"/>
              <w:rPr>
                <w:lang w:eastAsia="fi-FI"/>
              </w:rPr>
            </w:pPr>
            <w:r w:rsidRPr="00B27CB1">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3CDDC8EA" w14:textId="77777777" w:rsidR="001D3B94" w:rsidRPr="00E91F85" w:rsidRDefault="001D3B94" w:rsidP="00E91F85">
            <w:pPr>
              <w:rPr>
                <w:lang w:val="fr-FR" w:eastAsia="fi-FI"/>
              </w:rPr>
            </w:pPr>
            <w:r w:rsidRPr="00E91F85">
              <w:rPr>
                <w:lang w:val="fr-FR" w:eastAsia="fi-FI"/>
              </w:rPr>
              <w:t xml:space="preserve">Skin Corr. 1C </w:t>
            </w:r>
          </w:p>
          <w:p w14:paraId="21D744B1" w14:textId="1CE8B99F" w:rsidR="001D3B94" w:rsidRPr="00E91F85" w:rsidRDefault="001D3B94" w:rsidP="00E91F85">
            <w:pPr>
              <w:suppressAutoHyphens w:val="0"/>
              <w:rPr>
                <w:lang w:val="fr-FR" w:eastAsia="fi-FI"/>
              </w:rPr>
            </w:pPr>
            <w:r w:rsidRPr="00E91F85">
              <w:rPr>
                <w:lang w:val="fr-FR" w:eastAsia="fi-FI"/>
              </w:rPr>
              <w:t>Eye Dam. 1</w:t>
            </w:r>
          </w:p>
          <w:p w14:paraId="6F7A34E9" w14:textId="6C12A1D4" w:rsidR="00CB4A8C" w:rsidRPr="00E91F85" w:rsidRDefault="00D1372D" w:rsidP="00E91F85">
            <w:pPr>
              <w:pStyle w:val="CM41"/>
              <w:autoSpaceDE/>
              <w:autoSpaceDN/>
              <w:adjustRightInd/>
              <w:rPr>
                <w:rFonts w:ascii="Verdana" w:hAnsi="Verdana" w:cs="Verdana"/>
                <w:sz w:val="20"/>
                <w:szCs w:val="20"/>
                <w:lang w:val="en-GB" w:eastAsia="fi-FI"/>
              </w:rPr>
            </w:pPr>
            <w:r w:rsidRPr="008B467E">
              <w:rPr>
                <w:rFonts w:ascii="Verdana" w:hAnsi="Verdana" w:cs="Verdana"/>
                <w:sz w:val="20"/>
                <w:szCs w:val="20"/>
                <w:lang w:val="en-GB" w:eastAsia="fi-FI"/>
              </w:rPr>
              <w:t>Aquatic chronic 3</w:t>
            </w:r>
          </w:p>
        </w:tc>
      </w:tr>
      <w:tr w:rsidR="00CB4A8C" w:rsidRPr="00B27CB1" w14:paraId="03176EBD"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1F9D5B23" w14:textId="77777777" w:rsidR="00CB4A8C" w:rsidRPr="00B27CB1" w:rsidRDefault="00CB4A8C" w:rsidP="00434119">
            <w:pPr>
              <w:spacing w:line="256" w:lineRule="auto"/>
              <w:rPr>
                <w:lang w:eastAsia="fi-FI"/>
              </w:rPr>
            </w:pPr>
            <w:r w:rsidRPr="00B27CB1">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02E8E4BA" w14:textId="77777777" w:rsidR="001D3B94" w:rsidRPr="009E07D6" w:rsidRDefault="001D3B94" w:rsidP="00E91F85">
            <w:pPr>
              <w:rPr>
                <w:lang w:eastAsia="fi-FI"/>
              </w:rPr>
            </w:pPr>
            <w:r w:rsidRPr="009E07D6">
              <w:rPr>
                <w:lang w:eastAsia="fi-FI"/>
              </w:rPr>
              <w:t>H314: Causes severe skin burns and eye damage</w:t>
            </w:r>
          </w:p>
          <w:p w14:paraId="700F6F58" w14:textId="77777777" w:rsidR="008B0A02" w:rsidRDefault="001D3B94" w:rsidP="00E91F85">
            <w:pPr>
              <w:rPr>
                <w:lang w:eastAsia="fi-FI"/>
              </w:rPr>
            </w:pPr>
            <w:r w:rsidRPr="009E07D6">
              <w:rPr>
                <w:lang w:eastAsia="fi-FI"/>
              </w:rPr>
              <w:t>H318: Causes serious eye damage</w:t>
            </w:r>
            <w:r w:rsidR="008B0A02" w:rsidRPr="007901CD">
              <w:rPr>
                <w:lang w:eastAsia="fi-FI"/>
              </w:rPr>
              <w:t xml:space="preserve"> </w:t>
            </w:r>
          </w:p>
          <w:p w14:paraId="72BE217B" w14:textId="481631BD" w:rsidR="001D3B94" w:rsidRPr="00AE3876" w:rsidRDefault="008B0A02" w:rsidP="00E91F85">
            <w:pPr>
              <w:rPr>
                <w:lang w:eastAsia="fi-FI"/>
              </w:rPr>
            </w:pPr>
            <w:r w:rsidRPr="007901CD">
              <w:rPr>
                <w:lang w:eastAsia="fi-FI"/>
              </w:rPr>
              <w:t>H412: Harmful to aquatic life with long lasting effects</w:t>
            </w:r>
          </w:p>
        </w:tc>
      </w:tr>
      <w:tr w:rsidR="00CB4A8C" w:rsidRPr="00B27CB1" w14:paraId="59B270D2" w14:textId="77777777" w:rsidTr="00434119">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4FFF04C" w14:textId="77777777" w:rsidR="00CB4A8C" w:rsidRPr="00B27CB1" w:rsidRDefault="00CB4A8C" w:rsidP="00434119">
            <w:pPr>
              <w:snapToGrid w:val="0"/>
              <w:spacing w:line="256" w:lineRule="auto"/>
              <w:rPr>
                <w:lang w:eastAsia="fi-FI"/>
              </w:rPr>
            </w:pPr>
          </w:p>
        </w:tc>
      </w:tr>
      <w:tr w:rsidR="00CB4A8C" w:rsidRPr="00B27CB1" w14:paraId="4B5A788B" w14:textId="77777777" w:rsidTr="00434119">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2D9F17A2" w14:textId="77777777" w:rsidR="00CB4A8C" w:rsidRPr="00B27CB1" w:rsidRDefault="00CB4A8C" w:rsidP="00434119">
            <w:pPr>
              <w:spacing w:line="256" w:lineRule="auto"/>
            </w:pPr>
            <w:r w:rsidRPr="00B27CB1">
              <w:rPr>
                <w:b/>
                <w:lang w:eastAsia="en-US"/>
              </w:rPr>
              <w:t>Labelling</w:t>
            </w:r>
          </w:p>
        </w:tc>
      </w:tr>
      <w:tr w:rsidR="00CB4A8C" w:rsidRPr="00B27CB1" w14:paraId="33F1C58B"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68CF4C67" w14:textId="77777777" w:rsidR="00CB4A8C" w:rsidRPr="00B27CB1" w:rsidRDefault="00CB4A8C" w:rsidP="00434119">
            <w:pPr>
              <w:spacing w:line="256" w:lineRule="auto"/>
              <w:rPr>
                <w:lang w:eastAsia="fi-FI"/>
              </w:rPr>
            </w:pPr>
            <w:r w:rsidRPr="00B27CB1">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73B2F870" w14:textId="2DBE579A" w:rsidR="00CB4A8C" w:rsidRPr="00B27CB1" w:rsidRDefault="001D3B94" w:rsidP="00E91F85">
            <w:pPr>
              <w:rPr>
                <w:lang w:eastAsia="fi-FI"/>
              </w:rPr>
            </w:pPr>
            <w:r>
              <w:rPr>
                <w:lang w:eastAsia="fi-FI"/>
              </w:rPr>
              <w:t>Danger</w:t>
            </w:r>
          </w:p>
        </w:tc>
      </w:tr>
      <w:tr w:rsidR="00CB4A8C" w:rsidRPr="00B27CB1" w14:paraId="064339D4"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5D342BDA" w14:textId="77777777" w:rsidR="00CB4A8C" w:rsidRPr="00B27CB1" w:rsidRDefault="00CB4A8C" w:rsidP="00434119">
            <w:pPr>
              <w:spacing w:line="256" w:lineRule="auto"/>
              <w:rPr>
                <w:lang w:eastAsia="fi-FI"/>
              </w:rPr>
            </w:pPr>
            <w:r w:rsidRPr="00B27CB1">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2A1B66FE" w14:textId="77777777" w:rsidR="00CB4A8C" w:rsidRDefault="00D1372D" w:rsidP="00E91F85">
            <w:pPr>
              <w:rPr>
                <w:lang w:eastAsia="fi-FI"/>
              </w:rPr>
            </w:pPr>
            <w:r w:rsidRPr="007901CD">
              <w:rPr>
                <w:lang w:eastAsia="fi-FI"/>
              </w:rPr>
              <w:t>H412: Harmful to aquatic life with long lasting effects</w:t>
            </w:r>
          </w:p>
          <w:p w14:paraId="3583398A" w14:textId="7D816463" w:rsidR="001D3B94" w:rsidRPr="001D3B94" w:rsidRDefault="001D3B94" w:rsidP="00E91F85">
            <w:pPr>
              <w:rPr>
                <w:lang w:eastAsia="fi-FI"/>
              </w:rPr>
            </w:pPr>
            <w:r w:rsidRPr="009E07D6">
              <w:rPr>
                <w:lang w:eastAsia="fi-FI"/>
              </w:rPr>
              <w:t>H314: Causes severe skin burns and eye damage</w:t>
            </w:r>
          </w:p>
        </w:tc>
      </w:tr>
      <w:tr w:rsidR="00CB4A8C" w:rsidRPr="00B27CB1" w14:paraId="5FD5CBF2"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5C0E338F" w14:textId="77777777" w:rsidR="00CB4A8C" w:rsidRPr="00B27CB1" w:rsidRDefault="00CB4A8C" w:rsidP="00434119">
            <w:pPr>
              <w:spacing w:line="256" w:lineRule="auto"/>
              <w:rPr>
                <w:lang w:eastAsia="fi-FI"/>
              </w:rPr>
            </w:pPr>
            <w:r w:rsidRPr="00B27CB1">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3B64D02F" w14:textId="77777777" w:rsidR="001D3B94" w:rsidRPr="00AA5C99" w:rsidRDefault="001D3B94" w:rsidP="001D3B94">
            <w:pPr>
              <w:rPr>
                <w:lang w:eastAsia="fi-FI"/>
              </w:rPr>
            </w:pPr>
            <w:r w:rsidRPr="00AA5C99">
              <w:rPr>
                <w:lang w:eastAsia="fi-FI"/>
              </w:rPr>
              <w:t>P260: Do not breathe dust/fume/gas/mist/vapours/spray.</w:t>
            </w:r>
          </w:p>
          <w:p w14:paraId="723186C8" w14:textId="4EF1BD8C" w:rsidR="001D3B94" w:rsidRDefault="001D3B94" w:rsidP="00E91F85">
            <w:pPr>
              <w:rPr>
                <w:lang w:eastAsia="fi-FI"/>
              </w:rPr>
            </w:pPr>
            <w:r w:rsidRPr="00AA5C99">
              <w:rPr>
                <w:lang w:eastAsia="fi-FI"/>
              </w:rPr>
              <w:t>P264: Wash ... thoroughly after handling.</w:t>
            </w:r>
          </w:p>
          <w:p w14:paraId="4A3F1077" w14:textId="0E2B8FB6" w:rsidR="00D1372D" w:rsidRDefault="00D1372D" w:rsidP="00D1372D">
            <w:pPr>
              <w:pStyle w:val="Default"/>
              <w:rPr>
                <w:rFonts w:ascii="Verdana" w:hAnsi="Verdana"/>
                <w:sz w:val="20"/>
                <w:szCs w:val="20"/>
                <w:lang w:eastAsia="en-US"/>
              </w:rPr>
            </w:pPr>
            <w:r w:rsidRPr="00046CE1">
              <w:rPr>
                <w:rFonts w:ascii="Verdana" w:hAnsi="Verdana"/>
                <w:sz w:val="20"/>
                <w:szCs w:val="20"/>
                <w:lang w:eastAsia="en-US"/>
              </w:rPr>
              <w:t>P273: Avoid release to the environment</w:t>
            </w:r>
          </w:p>
          <w:p w14:paraId="7E0E74FD" w14:textId="77777777" w:rsidR="001D3B94" w:rsidRPr="00AA5C99" w:rsidRDefault="001D3B94" w:rsidP="001D3B94">
            <w:pPr>
              <w:rPr>
                <w:lang w:eastAsia="fi-FI"/>
              </w:rPr>
            </w:pPr>
            <w:r w:rsidRPr="00AA5C99">
              <w:rPr>
                <w:lang w:eastAsia="fi-FI"/>
              </w:rPr>
              <w:t>P280: Wear protective gloves/protective clothing/eye protection/face protection.</w:t>
            </w:r>
          </w:p>
          <w:p w14:paraId="0BAB074C" w14:textId="77777777" w:rsidR="001D3B94" w:rsidRPr="00AA5C99" w:rsidRDefault="001D3B94" w:rsidP="001D3B94">
            <w:pPr>
              <w:rPr>
                <w:lang w:eastAsia="fi-FI"/>
              </w:rPr>
            </w:pPr>
            <w:r w:rsidRPr="00AA5C99">
              <w:rPr>
                <w:lang w:eastAsia="fi-FI"/>
              </w:rPr>
              <w:t>P301+P330+P331: IF SWALLOWED: Rinse mouth. Do NOT induce vomiting.</w:t>
            </w:r>
          </w:p>
          <w:p w14:paraId="3B43ABFA" w14:textId="77777777" w:rsidR="001D3B94" w:rsidRPr="00AA5C99" w:rsidRDefault="001D3B94" w:rsidP="001D3B94">
            <w:pPr>
              <w:rPr>
                <w:lang w:eastAsia="fi-FI"/>
              </w:rPr>
            </w:pPr>
            <w:r w:rsidRPr="00AA5C99">
              <w:rPr>
                <w:lang w:eastAsia="fi-FI"/>
              </w:rPr>
              <w:t>P303+P361+P353: IF ON SKIN (or hair): Take off immediately all contaminated clothing. Rinse skin with water [or shower].</w:t>
            </w:r>
          </w:p>
          <w:p w14:paraId="2E296698" w14:textId="77777777" w:rsidR="001D3B94" w:rsidRPr="00AA5C99" w:rsidRDefault="001D3B94" w:rsidP="001D3B94">
            <w:pPr>
              <w:rPr>
                <w:lang w:eastAsia="fi-FI"/>
              </w:rPr>
            </w:pPr>
            <w:r w:rsidRPr="00AA5C99">
              <w:rPr>
                <w:lang w:eastAsia="fi-FI"/>
              </w:rPr>
              <w:t>P304+P340: If INHALED: Remove personto fresh air and keep comfortable for breathing.</w:t>
            </w:r>
          </w:p>
          <w:p w14:paraId="0551A7B8" w14:textId="77777777" w:rsidR="001D3B94" w:rsidRPr="00AA5C99" w:rsidRDefault="001D3B94" w:rsidP="001D3B94">
            <w:pPr>
              <w:rPr>
                <w:lang w:eastAsia="fi-FI"/>
              </w:rPr>
            </w:pPr>
            <w:r w:rsidRPr="00AA5C99">
              <w:rPr>
                <w:lang w:eastAsia="fi-FI"/>
              </w:rPr>
              <w:t xml:space="preserve">P305+P351+P338: IF IN EYES: Rinse cautiously with water for several minutes. Remove contact lenses, if present and easy to do. Continue rinsing. </w:t>
            </w:r>
          </w:p>
          <w:p w14:paraId="289BF0CC" w14:textId="77777777" w:rsidR="001D3B94" w:rsidRPr="00AA5C99" w:rsidRDefault="001D3B94" w:rsidP="001D3B94">
            <w:pPr>
              <w:rPr>
                <w:lang w:eastAsia="fi-FI"/>
              </w:rPr>
            </w:pPr>
            <w:r w:rsidRPr="00AA5C99">
              <w:rPr>
                <w:lang w:eastAsia="fi-FI"/>
              </w:rPr>
              <w:t>P310: Immediately call a POISON CENTER/doctor/...</w:t>
            </w:r>
          </w:p>
          <w:p w14:paraId="0171895F" w14:textId="77777777" w:rsidR="001D3B94" w:rsidRPr="00AA5C99" w:rsidRDefault="001D3B94" w:rsidP="001D3B94">
            <w:pPr>
              <w:rPr>
                <w:lang w:eastAsia="fi-FI"/>
              </w:rPr>
            </w:pPr>
            <w:r w:rsidRPr="00AA5C99">
              <w:rPr>
                <w:lang w:eastAsia="fi-FI"/>
              </w:rPr>
              <w:t>P321: Specific treatment (see ... on this label).</w:t>
            </w:r>
          </w:p>
          <w:p w14:paraId="3834FF53" w14:textId="177605D3" w:rsidR="001D3B94" w:rsidRPr="00046CE1" w:rsidRDefault="001D3B94" w:rsidP="00E91F85">
            <w:pPr>
              <w:rPr>
                <w:lang w:eastAsia="fi-FI"/>
              </w:rPr>
            </w:pPr>
            <w:r w:rsidRPr="00AA5C99">
              <w:rPr>
                <w:lang w:eastAsia="fi-FI"/>
              </w:rPr>
              <w:t>P363: Wash contaminated clothing before reuse.</w:t>
            </w:r>
          </w:p>
          <w:p w14:paraId="27DCE1F9" w14:textId="70678AE8" w:rsidR="00CB4A8C" w:rsidRPr="00B27CB1" w:rsidRDefault="00D1372D" w:rsidP="00E91F85">
            <w:pPr>
              <w:pStyle w:val="Default"/>
              <w:spacing w:line="256" w:lineRule="auto"/>
              <w:rPr>
                <w:rFonts w:ascii="Verdana" w:hAnsi="Verdana"/>
                <w:sz w:val="20"/>
                <w:szCs w:val="20"/>
                <w:lang w:eastAsia="en-US"/>
              </w:rPr>
            </w:pPr>
            <w:r w:rsidRPr="00046CE1">
              <w:rPr>
                <w:rFonts w:ascii="Verdana" w:hAnsi="Verdana"/>
                <w:sz w:val="20"/>
                <w:szCs w:val="20"/>
                <w:lang w:eastAsia="en-US"/>
              </w:rPr>
              <w:t xml:space="preserve">P501: </w:t>
            </w:r>
            <w:r w:rsidRPr="00046CE1">
              <w:rPr>
                <w:rFonts w:ascii="Verdana" w:hAnsi="Verdana" w:cs="Segoe UI"/>
                <w:sz w:val="20"/>
                <w:szCs w:val="20"/>
              </w:rPr>
              <w:t>Dispose of contents/container in accordance with local regulation</w:t>
            </w:r>
          </w:p>
        </w:tc>
      </w:tr>
      <w:tr w:rsidR="00CB4A8C" w:rsidRPr="00B27CB1" w14:paraId="53D94974" w14:textId="77777777" w:rsidTr="00434119">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7FDEF7D" w14:textId="77777777" w:rsidR="00CB4A8C" w:rsidRPr="00B27CB1" w:rsidRDefault="00CB4A8C" w:rsidP="00434119">
            <w:pPr>
              <w:snapToGrid w:val="0"/>
              <w:spacing w:line="256" w:lineRule="auto"/>
              <w:rPr>
                <w:lang w:eastAsia="fi-FI"/>
              </w:rPr>
            </w:pPr>
          </w:p>
        </w:tc>
      </w:tr>
      <w:tr w:rsidR="00CB4A8C" w:rsidRPr="00B27CB1" w14:paraId="74198183" w14:textId="77777777" w:rsidTr="00434119">
        <w:trPr>
          <w:cantSplit/>
        </w:trPr>
        <w:tc>
          <w:tcPr>
            <w:tcW w:w="2606" w:type="dxa"/>
            <w:tcBorders>
              <w:top w:val="single" w:sz="2" w:space="0" w:color="000000"/>
              <w:left w:val="single" w:sz="2" w:space="0" w:color="000000"/>
              <w:bottom w:val="single" w:sz="2" w:space="0" w:color="000000"/>
              <w:right w:val="nil"/>
            </w:tcBorders>
            <w:hideMark/>
          </w:tcPr>
          <w:p w14:paraId="51E3C613" w14:textId="77777777" w:rsidR="00CB4A8C" w:rsidRPr="00B27CB1" w:rsidRDefault="00CB4A8C" w:rsidP="00434119">
            <w:pPr>
              <w:spacing w:line="256" w:lineRule="auto"/>
              <w:rPr>
                <w:b/>
                <w:lang w:eastAsia="fi-FI"/>
              </w:rPr>
            </w:pPr>
            <w:r w:rsidRPr="00B27CB1">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2A32A610" w14:textId="7D987FD4" w:rsidR="00CB4A8C" w:rsidRPr="00E91F85" w:rsidRDefault="008374FF">
            <w:pPr>
              <w:snapToGrid w:val="0"/>
              <w:spacing w:line="256" w:lineRule="auto"/>
              <w:rPr>
                <w:lang w:eastAsia="fi-FI"/>
              </w:rPr>
            </w:pPr>
            <w:r w:rsidRPr="00E91F85">
              <w:rPr>
                <w:lang w:eastAsia="fi-FI"/>
              </w:rPr>
              <w:t>EUH208: Contains d-limonene, eucalyptol,</w:t>
            </w:r>
            <w:r w:rsidRPr="000D5B32">
              <w:rPr>
                <w:lang w:eastAsia="fi-FI"/>
              </w:rPr>
              <w:t xml:space="preserve"> menthone, </w:t>
            </w:r>
            <w:r w:rsidR="004C574F" w:rsidRPr="000D5B32">
              <w:rPr>
                <w:lang w:eastAsia="fi-FI"/>
              </w:rPr>
              <w:t>l</w:t>
            </w:r>
            <w:r w:rsidRPr="000D5B32">
              <w:rPr>
                <w:lang w:eastAsia="fi-FI"/>
              </w:rPr>
              <w:t xml:space="preserve">-carvone, </w:t>
            </w:r>
            <w:r w:rsidRPr="00E91F85">
              <w:rPr>
                <w:lang w:eastAsia="fi-FI"/>
              </w:rPr>
              <w:t>alpha-pinene</w:t>
            </w:r>
            <w:r w:rsidRPr="000D5B32">
              <w:rPr>
                <w:lang w:eastAsia="fi-FI"/>
              </w:rPr>
              <w:t>, isomenthone</w:t>
            </w:r>
            <w:r w:rsidR="001D17DD" w:rsidRPr="000D5B32">
              <w:rPr>
                <w:lang w:eastAsia="fi-FI"/>
              </w:rPr>
              <w:t>, cinnamaldehyde</w:t>
            </w:r>
            <w:r w:rsidR="006F5102" w:rsidRPr="000D5B32">
              <w:rPr>
                <w:lang w:eastAsia="fi-FI"/>
              </w:rPr>
              <w:t>,</w:t>
            </w:r>
            <w:r w:rsidR="000D5B32" w:rsidRPr="000D5B32">
              <w:rPr>
                <w:lang w:eastAsia="fi-FI"/>
              </w:rPr>
              <w:t xml:space="preserve"> </w:t>
            </w:r>
            <w:r w:rsidR="004C574F" w:rsidRPr="00E91F85">
              <w:rPr>
                <w:lang w:eastAsia="fi-FI"/>
              </w:rPr>
              <w:t>dipentene</w:t>
            </w:r>
            <w:r w:rsidR="000D5B32" w:rsidRPr="000D5B32">
              <w:rPr>
                <w:lang w:eastAsia="fi-FI"/>
              </w:rPr>
              <w:t>,</w:t>
            </w:r>
            <w:r w:rsidR="000D5B32">
              <w:rPr>
                <w:lang w:eastAsia="fi-FI"/>
              </w:rPr>
              <w:t xml:space="preserve"> </w:t>
            </w:r>
            <w:r w:rsidR="000D5B32" w:rsidRPr="000D5B32">
              <w:rPr>
                <w:lang w:eastAsia="fi-FI"/>
              </w:rPr>
              <w:t>(αS,1R)-α-3,3-trimethyl-cyclohexanemethanol</w:t>
            </w:r>
            <w:r w:rsidR="000D5B32">
              <w:rPr>
                <w:lang w:eastAsia="fi-FI"/>
              </w:rPr>
              <w:t xml:space="preserve">, </w:t>
            </w:r>
            <w:r w:rsidR="000D5B32" w:rsidRPr="000D5B32">
              <w:rPr>
                <w:lang w:eastAsia="fi-FI"/>
              </w:rPr>
              <w:t>(αR,1S)-α-3,3-trimethyl-cyclohexanemethanol</w:t>
            </w:r>
            <w:r w:rsidR="000D5B32">
              <w:rPr>
                <w:lang w:eastAsia="fi-FI"/>
              </w:rPr>
              <w:t xml:space="preserve">, </w:t>
            </w:r>
            <w:r w:rsidR="000D5B32" w:rsidRPr="000D5B32">
              <w:rPr>
                <w:lang w:eastAsia="fi-FI"/>
              </w:rPr>
              <w:t>1-(1,2,3,4,5,6,7,8-octahydro-2,3,8,8-tetramethyl-2-naphthyl)ethan-1-one</w:t>
            </w:r>
            <w:r w:rsidR="000D5B32">
              <w:rPr>
                <w:lang w:eastAsia="fi-FI"/>
              </w:rPr>
              <w:t xml:space="preserve">, </w:t>
            </w:r>
            <w:r w:rsidR="000D5B32" w:rsidRPr="000D5B32">
              <w:rPr>
                <w:lang w:eastAsia="fi-FI"/>
              </w:rPr>
              <w:t>1-(1,2,3,5,6,7,8,8a-octahydro-2,3,8,8-tetramethyl-2-naphthyl)ethan-1-one</w:t>
            </w:r>
            <w:r w:rsidR="000D5B32">
              <w:rPr>
                <w:lang w:eastAsia="fi-FI"/>
              </w:rPr>
              <w:t xml:space="preserve"> and </w:t>
            </w:r>
            <w:r w:rsidR="000D5B32" w:rsidRPr="000D5B32">
              <w:rPr>
                <w:lang w:eastAsia="fi-FI"/>
              </w:rPr>
              <w:t>1-(1,2,3,4,6,7,8,8a-octahydro-2,3,8,8-tetramethyl-2-naphthyl)ethan-1-one</w:t>
            </w:r>
            <w:r w:rsidRPr="00E91F85">
              <w:rPr>
                <w:lang w:eastAsia="fi-FI"/>
              </w:rPr>
              <w:t>. May produce an allergic reaction.</w:t>
            </w:r>
          </w:p>
        </w:tc>
      </w:tr>
    </w:tbl>
    <w:p w14:paraId="118A664B" w14:textId="77777777" w:rsidR="00CB4A8C" w:rsidRPr="00B27CB1" w:rsidRDefault="00CB4A8C" w:rsidP="00CB4A8C">
      <w:pPr>
        <w:tabs>
          <w:tab w:val="left" w:pos="500"/>
        </w:tabs>
        <w:ind w:left="500" w:hanging="500"/>
      </w:pPr>
    </w:p>
    <w:p w14:paraId="05830DB6" w14:textId="4A21F9BB" w:rsidR="00CB4A8C" w:rsidRPr="00B27CB1" w:rsidRDefault="00CB4A8C" w:rsidP="00CB4A8C"/>
    <w:p w14:paraId="0FB1B704" w14:textId="0AB0461E" w:rsidR="00CB4A8C" w:rsidRPr="007A4DA8" w:rsidRDefault="00CB4A8C" w:rsidP="00657948">
      <w:pPr>
        <w:pStyle w:val="Titre3"/>
        <w:numPr>
          <w:ilvl w:val="2"/>
          <w:numId w:val="6"/>
        </w:numPr>
        <w:rPr>
          <w:lang w:val="en-US"/>
        </w:rPr>
      </w:pPr>
      <w:bookmarkStart w:id="142" w:name="_Toc87361172"/>
      <w:r w:rsidRPr="007A4DA8">
        <w:rPr>
          <w:lang w:val="en-US"/>
        </w:rPr>
        <w:t>Aut</w:t>
      </w:r>
      <w:r w:rsidR="00EC1BDB" w:rsidRPr="007A4DA8">
        <w:rPr>
          <w:lang w:val="en-US"/>
        </w:rPr>
        <w:t>horised use(s) of the META SPC 13</w:t>
      </w:r>
      <w:bookmarkEnd w:id="142"/>
    </w:p>
    <w:p w14:paraId="5C00E738" w14:textId="77777777" w:rsidR="00EC1BDB" w:rsidRPr="00B27CB1" w:rsidRDefault="00EC1BDB" w:rsidP="00EC1BDB">
      <w:pPr>
        <w:pStyle w:val="Titre4"/>
        <w:numPr>
          <w:ilvl w:val="3"/>
          <w:numId w:val="9"/>
        </w:numPr>
        <w:rPr>
          <w:lang w:val="en-GB"/>
        </w:rPr>
      </w:pPr>
      <w:bookmarkStart w:id="143" w:name="_Toc87361173"/>
      <w:r w:rsidRPr="00B27CB1">
        <w:rPr>
          <w:lang w:val="en-GB"/>
        </w:rPr>
        <w:t>Use description</w:t>
      </w:r>
      <w:bookmarkEnd w:id="143"/>
    </w:p>
    <w:p w14:paraId="29B33A91" w14:textId="35F5CCF3" w:rsidR="00EC1BDB" w:rsidRPr="00B27CB1" w:rsidRDefault="00EC1BDB" w:rsidP="00EC1BDB">
      <w:pPr>
        <w:pStyle w:val="Lgende"/>
        <w:spacing w:after="120"/>
        <w:rPr>
          <w:rFonts w:ascii="Verdana" w:hAnsi="Verdana"/>
          <w:b/>
          <w:bCs/>
          <w:szCs w:val="24"/>
          <w:lang w:eastAsia="en-GB"/>
        </w:rPr>
      </w:pPr>
      <w:r w:rsidRPr="00B27CB1">
        <w:rPr>
          <w:rFonts w:ascii="Verdana" w:hAnsi="Verdana" w:cs="Verdana"/>
        </w:rPr>
        <w:t xml:space="preserve">Table </w:t>
      </w:r>
      <w:r w:rsidRPr="00B27CB1">
        <w:rPr>
          <w:rFonts w:ascii="Verdana" w:hAnsi="Verdana" w:cs="Verdana"/>
        </w:rPr>
        <w:fldChar w:fldCharType="begin"/>
      </w:r>
      <w:r w:rsidRPr="00B27CB1">
        <w:rPr>
          <w:rFonts w:ascii="Verdana" w:hAnsi="Verdana" w:cs="Verdana"/>
        </w:rPr>
        <w:instrText xml:space="preserve"> SEQ "Tableau" \* ARABIC </w:instrText>
      </w:r>
      <w:r w:rsidRPr="00B27CB1">
        <w:rPr>
          <w:rFonts w:ascii="Verdana" w:hAnsi="Verdana" w:cs="Verdana"/>
        </w:rPr>
        <w:fldChar w:fldCharType="separate"/>
      </w:r>
      <w:r w:rsidR="00245178">
        <w:rPr>
          <w:rFonts w:ascii="Verdana" w:hAnsi="Verdana" w:cs="Verdana"/>
          <w:noProof/>
        </w:rPr>
        <w:t>19</w:t>
      </w:r>
      <w:r w:rsidRPr="00B27CB1">
        <w:rPr>
          <w:rFonts w:ascii="Verdana" w:hAnsi="Verdana" w:cs="Verdana"/>
        </w:rPr>
        <w:fldChar w:fldCharType="end"/>
      </w:r>
      <w:r w:rsidRPr="00B27CB1">
        <w:rPr>
          <w:rFonts w:ascii="Verdana" w:hAnsi="Verdana"/>
        </w:rPr>
        <w:t xml:space="preserve">. Use # 1 – </w:t>
      </w:r>
      <w:r w:rsidRPr="00E91F85">
        <w:rPr>
          <w:rFonts w:ascii="Verdana" w:hAnsi="Verdana"/>
        </w:rPr>
        <w:t>Disinfectants for hard surfaces of industry, institution and healthcare facilities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0C78AD" w:rsidRPr="00B27CB1" w14:paraId="41BF708F" w14:textId="77777777" w:rsidTr="00434119">
        <w:tc>
          <w:tcPr>
            <w:tcW w:w="2707" w:type="dxa"/>
            <w:tcBorders>
              <w:top w:val="single" w:sz="4" w:space="0" w:color="000000"/>
              <w:left w:val="single" w:sz="4" w:space="0" w:color="000000"/>
              <w:bottom w:val="single" w:sz="4" w:space="0" w:color="000000"/>
              <w:right w:val="nil"/>
            </w:tcBorders>
            <w:hideMark/>
          </w:tcPr>
          <w:p w14:paraId="5BDAA3BE" w14:textId="143CF0F8" w:rsidR="000C78AD" w:rsidRPr="00B27CB1" w:rsidRDefault="000C78AD" w:rsidP="000C78AD">
            <w:pPr>
              <w:spacing w:line="254" w:lineRule="auto"/>
              <w:rPr>
                <w:b/>
              </w:rPr>
            </w:pPr>
            <w:r w:rsidRPr="00B27CB1">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DC88C68" w14:textId="3D972828" w:rsidR="000C78AD" w:rsidRPr="00B27CB1" w:rsidRDefault="000C78AD" w:rsidP="00E91F85">
            <w:pPr>
              <w:tabs>
                <w:tab w:val="left" w:pos="2253"/>
              </w:tabs>
              <w:snapToGrid w:val="0"/>
              <w:spacing w:line="254" w:lineRule="auto"/>
              <w:rPr>
                <w:b/>
              </w:rPr>
            </w:pPr>
            <w:r w:rsidRPr="000D7D14">
              <w:t>PT02 - Disinfectants and algaecides not intended for direct application to humans or animals (Disinfectants)</w:t>
            </w:r>
          </w:p>
        </w:tc>
      </w:tr>
      <w:tr w:rsidR="000C78AD" w:rsidRPr="00B27CB1" w14:paraId="340161AC" w14:textId="77777777" w:rsidTr="00434119">
        <w:tc>
          <w:tcPr>
            <w:tcW w:w="2707" w:type="dxa"/>
            <w:tcBorders>
              <w:top w:val="nil"/>
              <w:left w:val="single" w:sz="4" w:space="0" w:color="000000"/>
              <w:bottom w:val="single" w:sz="4" w:space="0" w:color="000000"/>
              <w:right w:val="nil"/>
            </w:tcBorders>
            <w:hideMark/>
          </w:tcPr>
          <w:p w14:paraId="684E04AC" w14:textId="77777777" w:rsidR="000C78AD" w:rsidRPr="00B27CB1" w:rsidRDefault="000C78AD" w:rsidP="000C78AD">
            <w:pPr>
              <w:spacing w:line="254" w:lineRule="auto"/>
              <w:rPr>
                <w:b/>
              </w:rPr>
            </w:pPr>
            <w:r w:rsidRPr="00B27CB1">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68919BB" w14:textId="25522018" w:rsidR="000C78AD" w:rsidRPr="000D7D14" w:rsidRDefault="000C78AD" w:rsidP="000C78AD">
            <w:r w:rsidRPr="000D7D14">
              <w:rPr>
                <w:color w:val="000000"/>
              </w:rPr>
              <w:t xml:space="preserve">Product used for the disinfection of </w:t>
            </w:r>
            <w:r w:rsidR="00F03D06">
              <w:rPr>
                <w:color w:val="000000"/>
              </w:rPr>
              <w:t xml:space="preserve">hard </w:t>
            </w:r>
            <w:r w:rsidRPr="000D7D14">
              <w:rPr>
                <w:color w:val="000000"/>
              </w:rPr>
              <w:t>surfaces</w:t>
            </w:r>
            <w:r w:rsidR="00F03D06">
              <w:rPr>
                <w:color w:val="000000"/>
              </w:rPr>
              <w:t xml:space="preserve"> </w:t>
            </w:r>
            <w:r w:rsidR="00F03D06" w:rsidRPr="00E91F85">
              <w:t>of industry, institution and healthcare facilities</w:t>
            </w:r>
            <w:r w:rsidRPr="00F03D06">
              <w:rPr>
                <w:color w:val="000000"/>
              </w:rPr>
              <w:t>.</w:t>
            </w:r>
          </w:p>
          <w:p w14:paraId="199599CA" w14:textId="77777777" w:rsidR="000C78AD" w:rsidRDefault="000C78AD" w:rsidP="000C78AD">
            <w:pPr>
              <w:snapToGrid w:val="0"/>
              <w:spacing w:line="254" w:lineRule="auto"/>
              <w:rPr>
                <w:b/>
              </w:rPr>
            </w:pPr>
          </w:p>
          <w:p w14:paraId="14163BD0" w14:textId="28258F66" w:rsidR="00B006A0" w:rsidRPr="00B27CB1" w:rsidRDefault="00DC6AB3" w:rsidP="000C78AD">
            <w:pPr>
              <w:snapToGrid w:val="0"/>
              <w:spacing w:line="254" w:lineRule="auto"/>
              <w:rPr>
                <w:b/>
              </w:rPr>
            </w:pPr>
            <w:r>
              <w:rPr>
                <w:color w:val="000000"/>
              </w:rPr>
              <w:t>D</w:t>
            </w:r>
            <w:r w:rsidR="00B006A0" w:rsidRPr="000D7D14">
              <w:rPr>
                <w:color w:val="000000"/>
              </w:rPr>
              <w:t xml:space="preserve">isinfection of all kind of </w:t>
            </w:r>
            <w:r w:rsidR="00B006A0">
              <w:rPr>
                <w:color w:val="000000"/>
              </w:rPr>
              <w:t xml:space="preserve">non </w:t>
            </w:r>
            <w:r w:rsidR="00B006A0" w:rsidRPr="000D7D14">
              <w:rPr>
                <w:color w:val="000000"/>
              </w:rPr>
              <w:t>porous surfaces.</w:t>
            </w:r>
          </w:p>
        </w:tc>
      </w:tr>
      <w:tr w:rsidR="000C78AD" w:rsidRPr="00B27CB1" w14:paraId="0983A6ED" w14:textId="77777777" w:rsidTr="00434119">
        <w:tc>
          <w:tcPr>
            <w:tcW w:w="2707" w:type="dxa"/>
            <w:tcBorders>
              <w:top w:val="nil"/>
              <w:left w:val="single" w:sz="4" w:space="0" w:color="000000"/>
              <w:bottom w:val="single" w:sz="4" w:space="0" w:color="000000"/>
              <w:right w:val="nil"/>
            </w:tcBorders>
            <w:hideMark/>
          </w:tcPr>
          <w:p w14:paraId="340CC56C" w14:textId="77777777" w:rsidR="000C78AD" w:rsidRPr="00B27CB1" w:rsidRDefault="000C78AD" w:rsidP="000C78AD">
            <w:pPr>
              <w:spacing w:line="254" w:lineRule="auto"/>
              <w:rPr>
                <w:b/>
              </w:rPr>
            </w:pPr>
            <w:r w:rsidRPr="00B27CB1">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68FE9414" w14:textId="64BE14CB" w:rsidR="000C78AD" w:rsidRPr="00B27CB1" w:rsidRDefault="000C78AD" w:rsidP="000C78AD">
            <w:pPr>
              <w:snapToGrid w:val="0"/>
              <w:spacing w:line="254" w:lineRule="auto"/>
              <w:rPr>
                <w:b/>
              </w:rPr>
            </w:pPr>
            <w:r w:rsidRPr="000D7D14">
              <w:t xml:space="preserve">Bacteria </w:t>
            </w:r>
            <w:r w:rsidRPr="000D7D14">
              <w:br/>
              <w:t>Yeasts</w:t>
            </w:r>
          </w:p>
        </w:tc>
      </w:tr>
      <w:tr w:rsidR="000C78AD" w:rsidRPr="00B27CB1" w14:paraId="49CA6FB1" w14:textId="77777777" w:rsidTr="00434119">
        <w:tc>
          <w:tcPr>
            <w:tcW w:w="2707" w:type="dxa"/>
            <w:tcBorders>
              <w:top w:val="nil"/>
              <w:left w:val="single" w:sz="4" w:space="0" w:color="000000"/>
              <w:bottom w:val="single" w:sz="4" w:space="0" w:color="000000"/>
              <w:right w:val="nil"/>
            </w:tcBorders>
            <w:hideMark/>
          </w:tcPr>
          <w:p w14:paraId="1AA7758B" w14:textId="77777777" w:rsidR="000C78AD" w:rsidRPr="00B27CB1" w:rsidRDefault="000C78AD" w:rsidP="000C78AD">
            <w:pPr>
              <w:spacing w:line="254" w:lineRule="auto"/>
              <w:rPr>
                <w:b/>
              </w:rPr>
            </w:pPr>
            <w:r w:rsidRPr="00B27CB1">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255505C0" w14:textId="2B9ED5C1" w:rsidR="000C78AD" w:rsidRPr="00B27CB1" w:rsidRDefault="000C78AD" w:rsidP="00DC6AB3">
            <w:pPr>
              <w:snapToGrid w:val="0"/>
              <w:spacing w:line="254" w:lineRule="auto"/>
              <w:rPr>
                <w:b/>
              </w:rPr>
            </w:pPr>
            <w:r w:rsidRPr="000D7D14">
              <w:t>Indoor</w:t>
            </w:r>
          </w:p>
        </w:tc>
      </w:tr>
      <w:tr w:rsidR="000C78AD" w:rsidRPr="00B27CB1" w14:paraId="27F8A431" w14:textId="77777777" w:rsidTr="00434119">
        <w:tc>
          <w:tcPr>
            <w:tcW w:w="2707" w:type="dxa"/>
            <w:tcBorders>
              <w:top w:val="nil"/>
              <w:left w:val="single" w:sz="4" w:space="0" w:color="000000"/>
              <w:bottom w:val="single" w:sz="4" w:space="0" w:color="000000"/>
              <w:right w:val="nil"/>
            </w:tcBorders>
            <w:hideMark/>
          </w:tcPr>
          <w:p w14:paraId="762BA414" w14:textId="77777777" w:rsidR="000C78AD" w:rsidRPr="00B27CB1" w:rsidRDefault="000C78AD" w:rsidP="000C78AD">
            <w:pPr>
              <w:spacing w:line="254" w:lineRule="auto"/>
              <w:rPr>
                <w:b/>
              </w:rPr>
            </w:pPr>
            <w:r w:rsidRPr="00B27CB1">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1021D2D9" w14:textId="64F8F59F" w:rsidR="006E0118" w:rsidRDefault="006E0118" w:rsidP="000574FF">
            <w:pPr>
              <w:suppressAutoHyphens w:val="0"/>
              <w:snapToGrid w:val="0"/>
              <w:spacing w:line="260" w:lineRule="atLeast"/>
            </w:pPr>
            <w:r>
              <w:t>Spraying</w:t>
            </w:r>
          </w:p>
          <w:p w14:paraId="0B6669D2" w14:textId="493EFAA1" w:rsidR="000C78AD" w:rsidRDefault="000574FF" w:rsidP="000574FF">
            <w:pPr>
              <w:suppressAutoHyphens w:val="0"/>
              <w:snapToGrid w:val="0"/>
              <w:spacing w:line="260" w:lineRule="atLeast"/>
            </w:pPr>
            <w:r>
              <w:t>Pouring</w:t>
            </w:r>
          </w:p>
          <w:p w14:paraId="034277C0" w14:textId="6772853D" w:rsidR="000574FF" w:rsidRPr="00B27CB1" w:rsidRDefault="000574FF" w:rsidP="000574FF">
            <w:pPr>
              <w:suppressAutoHyphens w:val="0"/>
              <w:snapToGrid w:val="0"/>
              <w:spacing w:line="260" w:lineRule="atLeast"/>
              <w:rPr>
                <w:rFonts w:cs="Times New Roman"/>
                <w:lang w:eastAsia="de-DE"/>
              </w:rPr>
            </w:pPr>
            <w:r>
              <w:t>Scrubbing</w:t>
            </w:r>
            <w:r w:rsidR="006E0118">
              <w:t xml:space="preserve"> (machine)</w:t>
            </w:r>
          </w:p>
        </w:tc>
      </w:tr>
      <w:tr w:rsidR="000C78AD" w:rsidRPr="00B27CB1" w14:paraId="704B7DA3" w14:textId="77777777" w:rsidTr="00434119">
        <w:tc>
          <w:tcPr>
            <w:tcW w:w="2707" w:type="dxa"/>
            <w:tcBorders>
              <w:top w:val="nil"/>
              <w:left w:val="single" w:sz="4" w:space="0" w:color="000000"/>
              <w:bottom w:val="single" w:sz="4" w:space="0" w:color="000000"/>
              <w:right w:val="nil"/>
            </w:tcBorders>
            <w:hideMark/>
          </w:tcPr>
          <w:p w14:paraId="08BFC26D" w14:textId="77777777" w:rsidR="000C78AD" w:rsidRPr="00B27CB1" w:rsidRDefault="000C78AD" w:rsidP="000C78AD">
            <w:pPr>
              <w:spacing w:line="254" w:lineRule="auto"/>
              <w:rPr>
                <w:b/>
              </w:rPr>
            </w:pPr>
            <w:r w:rsidRPr="00B27CB1">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18DB132" w14:textId="66758459" w:rsidR="000574FF" w:rsidRDefault="000574FF" w:rsidP="000574FF">
            <w:pPr>
              <w:snapToGrid w:val="0"/>
              <w:spacing w:line="260" w:lineRule="atLeast"/>
            </w:pPr>
            <w:r w:rsidRPr="00820E0E">
              <w:t>Dirty conditions</w:t>
            </w:r>
          </w:p>
          <w:p w14:paraId="45633135" w14:textId="1FE69797" w:rsidR="000574FF" w:rsidRDefault="000574FF" w:rsidP="000574FF">
            <w:pPr>
              <w:snapToGrid w:val="0"/>
              <w:spacing w:line="260" w:lineRule="atLeast"/>
            </w:pPr>
          </w:p>
          <w:p w14:paraId="715C7738" w14:textId="1E2440BF" w:rsidR="007E2600" w:rsidRDefault="007E2600" w:rsidP="000C78AD">
            <w:pPr>
              <w:snapToGrid w:val="0"/>
              <w:spacing w:line="260" w:lineRule="atLeast"/>
            </w:pPr>
            <w:r>
              <w:t xml:space="preserve">Bacteria and yeasts : </w:t>
            </w:r>
          </w:p>
          <w:p w14:paraId="1E314ACD" w14:textId="47141A1B" w:rsidR="007E2600" w:rsidRDefault="007E2600" w:rsidP="00E91F85">
            <w:pPr>
              <w:snapToGrid w:val="0"/>
              <w:spacing w:line="260" w:lineRule="atLeast"/>
            </w:pPr>
            <w:r>
              <w:t>8% (v/v), c</w:t>
            </w:r>
            <w:r w:rsidRPr="00F0256C">
              <w:t>ontact time: 15 minutes</w:t>
            </w:r>
            <w:r>
              <w:t xml:space="preserve">, </w:t>
            </w:r>
            <w:r w:rsidR="005C2D84">
              <w:t>20°C</w:t>
            </w:r>
            <w:r>
              <w:t xml:space="preserve"> </w:t>
            </w:r>
          </w:p>
          <w:p w14:paraId="3246BC6D" w14:textId="77777777" w:rsidR="008B7F1C" w:rsidRDefault="008B7F1C" w:rsidP="008B7F1C"/>
          <w:p w14:paraId="3F9272D0" w14:textId="1744B145" w:rsidR="000C78AD" w:rsidRPr="00B27CB1" w:rsidRDefault="006E0118" w:rsidP="00383E12">
            <w:pPr>
              <w:rPr>
                <w:rFonts w:cs="Times New Roman"/>
                <w:lang w:eastAsia="de-DE"/>
              </w:rPr>
            </w:pPr>
            <w:r>
              <w:t xml:space="preserve">Application rate: </w:t>
            </w:r>
            <w:r w:rsidR="000C78AD" w:rsidRPr="000D7D14">
              <w:t>30</w:t>
            </w:r>
            <w:r w:rsidR="00545751">
              <w:t xml:space="preserve"> </w:t>
            </w:r>
            <w:r w:rsidR="000C78AD" w:rsidRPr="000D7D14">
              <w:t>ml/m</w:t>
            </w:r>
            <w:r w:rsidR="000C78AD" w:rsidRPr="00383E12">
              <w:rPr>
                <w:vertAlign w:val="superscript"/>
              </w:rPr>
              <w:t>2</w:t>
            </w:r>
            <w:r w:rsidR="000C78AD" w:rsidRPr="000D7D14">
              <w:t xml:space="preserve"> for the </w:t>
            </w:r>
            <w:r w:rsidR="00FD4D2F">
              <w:t xml:space="preserve">indoor </w:t>
            </w:r>
            <w:r w:rsidR="000C78AD" w:rsidRPr="000D7D14">
              <w:t xml:space="preserve">disinfection of waste containers and around </w:t>
            </w:r>
          </w:p>
        </w:tc>
      </w:tr>
      <w:tr w:rsidR="000C78AD" w:rsidRPr="00B27CB1" w14:paraId="0F376724" w14:textId="77777777" w:rsidTr="00434119">
        <w:tc>
          <w:tcPr>
            <w:tcW w:w="2707" w:type="dxa"/>
            <w:tcBorders>
              <w:top w:val="nil"/>
              <w:left w:val="single" w:sz="4" w:space="0" w:color="000000"/>
              <w:bottom w:val="single" w:sz="4" w:space="0" w:color="000000"/>
              <w:right w:val="nil"/>
            </w:tcBorders>
            <w:hideMark/>
          </w:tcPr>
          <w:p w14:paraId="1B1FBB85" w14:textId="77777777" w:rsidR="000C78AD" w:rsidRPr="00B27CB1" w:rsidRDefault="000C78AD" w:rsidP="000C78AD">
            <w:pPr>
              <w:spacing w:line="254" w:lineRule="auto"/>
              <w:rPr>
                <w:b/>
              </w:rPr>
            </w:pPr>
            <w:r w:rsidRPr="00B27CB1">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2B69A6F9" w14:textId="2CF315F8" w:rsidR="000C78AD" w:rsidRPr="00B27CB1" w:rsidRDefault="000C78AD" w:rsidP="001E568F">
            <w:pPr>
              <w:snapToGrid w:val="0"/>
              <w:spacing w:line="254" w:lineRule="auto"/>
              <w:rPr>
                <w:b/>
              </w:rPr>
            </w:pPr>
            <w:r w:rsidRPr="000D7D14">
              <w:t>Industrial, Professional</w:t>
            </w:r>
          </w:p>
        </w:tc>
      </w:tr>
      <w:tr w:rsidR="000C78AD" w:rsidRPr="00B27CB1" w14:paraId="3B9E36A7" w14:textId="77777777" w:rsidTr="00434119">
        <w:tc>
          <w:tcPr>
            <w:tcW w:w="2707" w:type="dxa"/>
            <w:tcBorders>
              <w:top w:val="nil"/>
              <w:left w:val="single" w:sz="4" w:space="0" w:color="000000"/>
              <w:bottom w:val="single" w:sz="4" w:space="0" w:color="000000"/>
              <w:right w:val="nil"/>
            </w:tcBorders>
            <w:hideMark/>
          </w:tcPr>
          <w:p w14:paraId="5B7C8AE5" w14:textId="77777777" w:rsidR="000C78AD" w:rsidRPr="00B27CB1" w:rsidRDefault="000C78AD" w:rsidP="000C78AD">
            <w:pPr>
              <w:spacing w:line="254" w:lineRule="auto"/>
            </w:pPr>
            <w:r w:rsidRPr="00B27CB1">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92411D3" w14:textId="28C7678A" w:rsidR="000C78AD" w:rsidRPr="007A4DA8" w:rsidRDefault="000C78AD" w:rsidP="000C78AD">
            <w:pPr>
              <w:spacing w:line="254" w:lineRule="auto"/>
              <w:rPr>
                <w:lang w:val="de-DE"/>
              </w:rPr>
            </w:pPr>
            <w:r w:rsidRPr="007A4DA8">
              <w:rPr>
                <w:lang w:val="de-DE"/>
              </w:rPr>
              <w:t>HDPE:</w:t>
            </w:r>
            <w:r w:rsidR="001E568F">
              <w:rPr>
                <w:lang w:val="de-DE"/>
              </w:rPr>
              <w:t xml:space="preserve"> </w:t>
            </w:r>
            <w:r w:rsidRPr="007A4DA8">
              <w:rPr>
                <w:lang w:val="de-DE"/>
              </w:rPr>
              <w:t>1 L, 5 L, 10 L, 20 L, 120 L, 200 L, 220 L, 1000 L</w:t>
            </w:r>
          </w:p>
          <w:p w14:paraId="0417E183" w14:textId="27C66D09" w:rsidR="000C78AD" w:rsidRPr="00E91F85" w:rsidRDefault="000C78AD" w:rsidP="000C78AD">
            <w:pPr>
              <w:spacing w:line="254" w:lineRule="auto"/>
              <w:rPr>
                <w:lang w:val="fr-FR"/>
              </w:rPr>
            </w:pPr>
            <w:r w:rsidRPr="00E91F85">
              <w:rPr>
                <w:lang w:val="fr-FR"/>
              </w:rPr>
              <w:t>PET:</w:t>
            </w:r>
            <w:r w:rsidR="001E568F">
              <w:rPr>
                <w:lang w:val="fr-FR"/>
              </w:rPr>
              <w:t xml:space="preserve"> </w:t>
            </w:r>
            <w:r w:rsidRPr="00E91F85">
              <w:rPr>
                <w:lang w:val="fr-FR"/>
              </w:rPr>
              <w:t xml:space="preserve">1 L </w:t>
            </w:r>
          </w:p>
          <w:p w14:paraId="131638FF" w14:textId="206F8D93" w:rsidR="000C78AD" w:rsidRPr="001E568F" w:rsidRDefault="000C78AD" w:rsidP="000C78AD">
            <w:pPr>
              <w:spacing w:line="254" w:lineRule="auto"/>
              <w:rPr>
                <w:lang w:val="fr-FR"/>
              </w:rPr>
            </w:pPr>
            <w:r w:rsidRPr="00E91F85">
              <w:rPr>
                <w:lang w:val="fr-FR"/>
              </w:rPr>
              <w:t>Coextrude (HDPE/Adhesive/Nylon polyamide):</w:t>
            </w:r>
            <w:r w:rsidR="001E568F">
              <w:rPr>
                <w:lang w:val="fr-FR"/>
              </w:rPr>
              <w:t xml:space="preserve"> </w:t>
            </w:r>
            <w:r w:rsidRPr="001E568F">
              <w:rPr>
                <w:lang w:val="fr-FR"/>
              </w:rPr>
              <w:t>5 L</w:t>
            </w:r>
          </w:p>
          <w:p w14:paraId="53E96395" w14:textId="635CE03B" w:rsidR="000C78AD" w:rsidRPr="00B27CB1" w:rsidRDefault="000C78AD" w:rsidP="001E568F">
            <w:pPr>
              <w:spacing w:line="254" w:lineRule="auto"/>
            </w:pPr>
            <w:r>
              <w:t>Coextrude (HDPE/Adhesive resin/EVAL):</w:t>
            </w:r>
            <w:r w:rsidR="001E568F">
              <w:t xml:space="preserve"> </w:t>
            </w:r>
            <w:r>
              <w:t>250 mL</w:t>
            </w:r>
          </w:p>
        </w:tc>
      </w:tr>
    </w:tbl>
    <w:p w14:paraId="3FA3713F" w14:textId="77777777" w:rsidR="00EC1BDB" w:rsidRPr="001E568F" w:rsidRDefault="00EC1BDB" w:rsidP="001E568F">
      <w:pPr>
        <w:keepNext/>
        <w:numPr>
          <w:ilvl w:val="4"/>
          <w:numId w:val="9"/>
        </w:numPr>
        <w:spacing w:before="255" w:after="80" w:line="255" w:lineRule="exact"/>
        <w:outlineLvl w:val="4"/>
        <w:rPr>
          <w:sz w:val="22"/>
        </w:rPr>
      </w:pPr>
      <w:r w:rsidRPr="001E568F">
        <w:rPr>
          <w:sz w:val="22"/>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C1BDB" w:rsidRPr="00B27CB1" w14:paraId="2FE7A44C"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1C53B980" w14:textId="26ADF654" w:rsidR="00337B6A" w:rsidRDefault="000C78AD" w:rsidP="001E568F">
            <w:pPr>
              <w:pStyle w:val="Paragraphedeliste"/>
              <w:numPr>
                <w:ilvl w:val="0"/>
                <w:numId w:val="49"/>
              </w:numPr>
              <w:rPr>
                <w:color w:val="000000"/>
              </w:rPr>
            </w:pPr>
            <w:r w:rsidRPr="00E91F85">
              <w:rPr>
                <w:color w:val="000000"/>
              </w:rPr>
              <w:t xml:space="preserve">Manual </w:t>
            </w:r>
            <w:r w:rsidR="0096350C" w:rsidRPr="00E91F85">
              <w:rPr>
                <w:color w:val="000000"/>
              </w:rPr>
              <w:t>disinfection</w:t>
            </w:r>
            <w:r w:rsidR="006E0118" w:rsidRPr="00E91F85">
              <w:rPr>
                <w:color w:val="000000"/>
              </w:rPr>
              <w:t xml:space="preserve">: </w:t>
            </w:r>
          </w:p>
          <w:p w14:paraId="0D935607" w14:textId="7ACFAA9C" w:rsidR="000C78AD" w:rsidRPr="007A4DA8" w:rsidRDefault="006E0118" w:rsidP="007A4DA8">
            <w:pPr>
              <w:pStyle w:val="Paragraphedeliste"/>
              <w:widowControl w:val="0"/>
              <w:numPr>
                <w:ilvl w:val="0"/>
                <w:numId w:val="50"/>
              </w:numPr>
              <w:autoSpaceDE w:val="0"/>
              <w:snapToGrid w:val="0"/>
              <w:ind w:left="340"/>
              <w:jc w:val="both"/>
              <w:rPr>
                <w:bCs/>
                <w:lang w:val="en-US"/>
              </w:rPr>
            </w:pPr>
            <w:r w:rsidRPr="007A4DA8">
              <w:rPr>
                <w:bCs/>
                <w:lang w:val="en-US"/>
              </w:rPr>
              <w:t>Dilute in water, apply on the surface</w:t>
            </w:r>
            <w:r w:rsidR="00DC6AB3" w:rsidRPr="007A4DA8">
              <w:rPr>
                <w:bCs/>
                <w:lang w:val="en-US"/>
              </w:rPr>
              <w:t>s</w:t>
            </w:r>
            <w:r w:rsidRPr="007A4DA8">
              <w:rPr>
                <w:bCs/>
                <w:lang w:val="en-US"/>
              </w:rPr>
              <w:t xml:space="preserve"> intended to be treated and cover the entire surface</w:t>
            </w:r>
            <w:r w:rsidR="00DC6AB3" w:rsidRPr="007A4DA8">
              <w:rPr>
                <w:bCs/>
                <w:lang w:val="en-US"/>
              </w:rPr>
              <w:t>s</w:t>
            </w:r>
            <w:r w:rsidRPr="007A4DA8">
              <w:rPr>
                <w:bCs/>
                <w:lang w:val="en-US"/>
              </w:rPr>
              <w:t xml:space="preserve">. </w:t>
            </w:r>
            <w:r w:rsidR="008B7F1C" w:rsidRPr="007A4DA8">
              <w:rPr>
                <w:bCs/>
                <w:lang w:val="en-US"/>
              </w:rPr>
              <w:t xml:space="preserve">Allow to take effect for at least 15 minutes </w:t>
            </w:r>
            <w:r w:rsidR="000C78AD" w:rsidRPr="007A4DA8">
              <w:rPr>
                <w:bCs/>
                <w:lang w:val="en-US"/>
              </w:rPr>
              <w:t xml:space="preserve">and then wipe the surface with a dry cloth if required or let to dry. </w:t>
            </w:r>
          </w:p>
          <w:p w14:paraId="16204EC6" w14:textId="260FFF57" w:rsidR="008B7F1C" w:rsidRDefault="008B7F1C" w:rsidP="001E568F">
            <w:pPr>
              <w:rPr>
                <w:color w:val="000000"/>
              </w:rPr>
            </w:pPr>
          </w:p>
          <w:p w14:paraId="043D51B0" w14:textId="77777777" w:rsidR="00337B6A" w:rsidRDefault="000C78AD" w:rsidP="001E568F">
            <w:pPr>
              <w:pStyle w:val="Paragraphedeliste"/>
              <w:numPr>
                <w:ilvl w:val="0"/>
                <w:numId w:val="49"/>
              </w:numPr>
              <w:rPr>
                <w:color w:val="000000"/>
              </w:rPr>
            </w:pPr>
            <w:r w:rsidRPr="00E91F85">
              <w:rPr>
                <w:color w:val="000000"/>
              </w:rPr>
              <w:t xml:space="preserve">Machine: </w:t>
            </w:r>
          </w:p>
          <w:p w14:paraId="7C3C49C9" w14:textId="3FE193F6" w:rsidR="00EC1BDB" w:rsidRPr="00CE6249" w:rsidRDefault="000C78AD" w:rsidP="007A4DA8">
            <w:pPr>
              <w:pStyle w:val="Paragraphedeliste"/>
              <w:widowControl w:val="0"/>
              <w:numPr>
                <w:ilvl w:val="0"/>
                <w:numId w:val="50"/>
              </w:numPr>
              <w:autoSpaceDE w:val="0"/>
              <w:snapToGrid w:val="0"/>
              <w:ind w:left="340"/>
              <w:jc w:val="both"/>
              <w:rPr>
                <w:rFonts w:eastAsia="Calibri" w:cs="Times"/>
                <w:bCs/>
                <w:sz w:val="22"/>
                <w:szCs w:val="24"/>
                <w:lang w:eastAsia="sv-SE"/>
              </w:rPr>
            </w:pPr>
            <w:r w:rsidRPr="007A4DA8">
              <w:rPr>
                <w:bCs/>
                <w:lang w:val="en-US"/>
              </w:rPr>
              <w:t xml:space="preserve">Dilute in water in scrubber-dryers, single-disk scrubbers, high or low pressure sprayers... and apply on surface and/or floor intended to be treated. Allow to take effect for at least 15 minutes and then let to dry. </w:t>
            </w:r>
          </w:p>
        </w:tc>
      </w:tr>
    </w:tbl>
    <w:p w14:paraId="6496D03F" w14:textId="77777777" w:rsidR="00EC1BDB" w:rsidRPr="007A4DA8" w:rsidRDefault="00EC1BDB" w:rsidP="007A4DA8">
      <w:pPr>
        <w:keepNext/>
        <w:numPr>
          <w:ilvl w:val="4"/>
          <w:numId w:val="9"/>
        </w:numPr>
        <w:spacing w:before="255" w:after="80" w:line="255" w:lineRule="exact"/>
        <w:outlineLvl w:val="4"/>
        <w:rPr>
          <w:sz w:val="22"/>
        </w:rPr>
      </w:pPr>
      <w:r w:rsidRPr="007A4DA8">
        <w:rPr>
          <w:sz w:val="22"/>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C1BDB" w:rsidRPr="00B27CB1" w14:paraId="484748EA"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08BFFC86" w14:textId="02167A39" w:rsidR="00EC1BDB" w:rsidRPr="009E07D6" w:rsidRDefault="000C78AD" w:rsidP="001E568F">
            <w:pPr>
              <w:pStyle w:val="Paragraphedeliste"/>
              <w:widowControl w:val="0"/>
              <w:numPr>
                <w:ilvl w:val="0"/>
                <w:numId w:val="50"/>
              </w:numPr>
              <w:autoSpaceDE w:val="0"/>
              <w:snapToGrid w:val="0"/>
              <w:spacing w:before="80" w:line="254" w:lineRule="auto"/>
              <w:ind w:left="345"/>
              <w:jc w:val="both"/>
              <w:rPr>
                <w:rFonts w:cs="Times"/>
                <w:bCs/>
                <w:szCs w:val="29"/>
              </w:rPr>
            </w:pPr>
            <w:r w:rsidRPr="007A4DA8">
              <w:rPr>
                <w:bCs/>
                <w:lang w:val="en-US"/>
              </w:rPr>
              <w:t>For heathcare facilities, apply the product only in areas where disinfection is not medically indicated.</w:t>
            </w:r>
          </w:p>
        </w:tc>
      </w:tr>
    </w:tbl>
    <w:p w14:paraId="71C52799" w14:textId="77777777" w:rsidR="00EC1BDB" w:rsidRPr="007A4DA8" w:rsidRDefault="00EC1BDB" w:rsidP="007A4DA8">
      <w:pPr>
        <w:keepNext/>
        <w:numPr>
          <w:ilvl w:val="4"/>
          <w:numId w:val="9"/>
        </w:numPr>
        <w:spacing w:before="255" w:after="80" w:line="255" w:lineRule="exact"/>
        <w:outlineLvl w:val="4"/>
        <w:rPr>
          <w:sz w:val="22"/>
        </w:rPr>
      </w:pPr>
      <w:r w:rsidRPr="007A4DA8">
        <w:rPr>
          <w:sz w:val="22"/>
        </w:rPr>
        <w:lastRenderedPageBreak/>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C1BDB" w:rsidRPr="00B27CB1" w14:paraId="4792220B"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338D1CAF" w14:textId="357AC780" w:rsidR="00EC1BDB" w:rsidRPr="00B27CB1" w:rsidRDefault="001E568F" w:rsidP="00434119">
            <w:pPr>
              <w:widowControl w:val="0"/>
              <w:autoSpaceDE w:val="0"/>
              <w:snapToGrid w:val="0"/>
              <w:spacing w:before="80" w:line="254" w:lineRule="auto"/>
              <w:rPr>
                <w:rFonts w:cs="Times"/>
                <w:bCs/>
                <w:szCs w:val="29"/>
              </w:rPr>
            </w:pPr>
            <w:r>
              <w:rPr>
                <w:rFonts w:cs="Times"/>
                <w:bCs/>
                <w:szCs w:val="29"/>
              </w:rPr>
              <w:t>-</w:t>
            </w:r>
          </w:p>
        </w:tc>
      </w:tr>
    </w:tbl>
    <w:p w14:paraId="4C30C9E0" w14:textId="77777777" w:rsidR="00EC1BDB" w:rsidRPr="007A4DA8" w:rsidRDefault="00EC1BDB" w:rsidP="007A4DA8">
      <w:pPr>
        <w:keepNext/>
        <w:numPr>
          <w:ilvl w:val="4"/>
          <w:numId w:val="9"/>
        </w:numPr>
        <w:spacing w:before="255" w:after="80" w:line="255" w:lineRule="exact"/>
        <w:outlineLvl w:val="4"/>
        <w:rPr>
          <w:sz w:val="22"/>
        </w:rPr>
      </w:pPr>
      <w:r w:rsidRPr="007A4DA8">
        <w:rPr>
          <w:sz w:val="22"/>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C1BDB" w:rsidRPr="00B27CB1" w14:paraId="2D167930"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06BD73F7" w14:textId="32C63B62" w:rsidR="00EC1BDB" w:rsidRPr="00B27CB1" w:rsidRDefault="001E568F" w:rsidP="00434119">
            <w:pPr>
              <w:widowControl w:val="0"/>
              <w:autoSpaceDE w:val="0"/>
              <w:snapToGrid w:val="0"/>
              <w:spacing w:before="80" w:line="254" w:lineRule="auto"/>
              <w:rPr>
                <w:rFonts w:cs="Times"/>
                <w:bCs/>
                <w:szCs w:val="29"/>
              </w:rPr>
            </w:pPr>
            <w:r>
              <w:rPr>
                <w:rFonts w:cs="Times"/>
                <w:bCs/>
                <w:szCs w:val="29"/>
              </w:rPr>
              <w:t>-</w:t>
            </w:r>
          </w:p>
        </w:tc>
      </w:tr>
    </w:tbl>
    <w:p w14:paraId="5233F197" w14:textId="77777777" w:rsidR="00EC1BDB" w:rsidRPr="007A4DA8" w:rsidRDefault="00EC1BDB" w:rsidP="007A4DA8">
      <w:pPr>
        <w:keepNext/>
        <w:numPr>
          <w:ilvl w:val="4"/>
          <w:numId w:val="9"/>
        </w:numPr>
        <w:spacing w:before="255" w:after="80" w:line="255" w:lineRule="exact"/>
        <w:outlineLvl w:val="4"/>
        <w:rPr>
          <w:sz w:val="22"/>
        </w:rPr>
      </w:pPr>
      <w:r w:rsidRPr="007A4DA8">
        <w:rPr>
          <w:sz w:val="22"/>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EC1BDB" w:rsidRPr="00B27CB1" w14:paraId="6EED1D0C"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2DC80ED0" w14:textId="26505FBE" w:rsidR="00EC1BDB" w:rsidRPr="00B27CB1" w:rsidRDefault="001E568F" w:rsidP="00434119">
            <w:pPr>
              <w:widowControl w:val="0"/>
              <w:autoSpaceDE w:val="0"/>
              <w:snapToGrid w:val="0"/>
              <w:spacing w:before="80" w:line="254" w:lineRule="auto"/>
              <w:rPr>
                <w:rFonts w:cs="Times"/>
                <w:bCs/>
                <w:szCs w:val="29"/>
              </w:rPr>
            </w:pPr>
            <w:r>
              <w:rPr>
                <w:rFonts w:cs="Times"/>
                <w:bCs/>
                <w:szCs w:val="29"/>
              </w:rPr>
              <w:t>-</w:t>
            </w:r>
          </w:p>
        </w:tc>
      </w:tr>
    </w:tbl>
    <w:p w14:paraId="19804D3F" w14:textId="77777777" w:rsidR="00EC1BDB" w:rsidRPr="00B27CB1" w:rsidRDefault="00EC1BDB" w:rsidP="00EC1BDB">
      <w:pPr>
        <w:widowControl w:val="0"/>
        <w:autoSpaceDE w:val="0"/>
        <w:rPr>
          <w:rFonts w:cs="Times"/>
          <w:bCs/>
          <w:szCs w:val="29"/>
        </w:rPr>
      </w:pPr>
    </w:p>
    <w:p w14:paraId="0E0AF489" w14:textId="77777777" w:rsidR="00CB4A8C" w:rsidRPr="00B27CB1" w:rsidRDefault="00CB4A8C" w:rsidP="00CB4A8C">
      <w:pPr>
        <w:jc w:val="center"/>
        <w:rPr>
          <w:rFonts w:ascii="Arial" w:hAnsi="Arial" w:cs="Arial"/>
          <w:bCs/>
          <w:i/>
          <w:lang w:eastAsia="de-DE"/>
        </w:rPr>
      </w:pPr>
    </w:p>
    <w:p w14:paraId="0EEA3714" w14:textId="77777777" w:rsidR="00CB4A8C" w:rsidRPr="00B27CB1" w:rsidRDefault="00CB4A8C" w:rsidP="00CB4A8C"/>
    <w:p w14:paraId="4A4FAC18" w14:textId="48D76E09" w:rsidR="00CB4A8C" w:rsidRPr="007A4DA8" w:rsidRDefault="00CB4A8C" w:rsidP="00657948">
      <w:pPr>
        <w:pStyle w:val="Titre3"/>
        <w:numPr>
          <w:ilvl w:val="2"/>
          <w:numId w:val="6"/>
        </w:numPr>
        <w:rPr>
          <w:lang w:val="en-US"/>
        </w:rPr>
      </w:pPr>
      <w:bookmarkStart w:id="144" w:name="_Toc87361174"/>
      <w:r w:rsidRPr="007A4DA8">
        <w:rPr>
          <w:lang w:val="en-US"/>
        </w:rPr>
        <w:t>General dire</w:t>
      </w:r>
      <w:r w:rsidR="00EC1BDB" w:rsidRPr="007A4DA8">
        <w:rPr>
          <w:lang w:val="en-US"/>
        </w:rPr>
        <w:t>ctions for use of the meta SPC 13</w:t>
      </w:r>
      <w:bookmarkEnd w:id="144"/>
    </w:p>
    <w:p w14:paraId="6D89E68A" w14:textId="77777777" w:rsidR="00CB4A8C" w:rsidRPr="00B27CB1" w:rsidRDefault="00CB4A8C" w:rsidP="00CB4A8C">
      <w:pPr>
        <w:pStyle w:val="Titre4"/>
        <w:numPr>
          <w:ilvl w:val="3"/>
          <w:numId w:val="6"/>
        </w:numPr>
        <w:rPr>
          <w:lang w:val="en-GB"/>
        </w:rPr>
      </w:pPr>
      <w:bookmarkStart w:id="145" w:name="_Toc87361175"/>
      <w:r w:rsidRPr="00B27CB1">
        <w:rPr>
          <w:lang w:val="en-GB"/>
        </w:rPr>
        <w:t>Instructions for use</w:t>
      </w:r>
      <w:bookmarkEnd w:id="145"/>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CB4A8C" w:rsidRPr="00B27CB1" w14:paraId="5C832BEC" w14:textId="77777777" w:rsidTr="004341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02CDB" w14:textId="6C05ECD3" w:rsidR="000C78AD" w:rsidRPr="00E91F85" w:rsidRDefault="00A50B77"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C</w:t>
            </w:r>
            <w:r w:rsidR="00DC6AB3" w:rsidRPr="00E91F85">
              <w:rPr>
                <w:rFonts w:cs="Arial"/>
                <w:iCs/>
                <w:color w:val="000000" w:themeColor="text1"/>
                <w:szCs w:val="16"/>
              </w:rPr>
              <w:t>omply with the inst</w:t>
            </w:r>
            <w:r w:rsidRPr="00E91F85">
              <w:rPr>
                <w:rFonts w:cs="Arial"/>
                <w:iCs/>
                <w:color w:val="000000" w:themeColor="text1"/>
                <w:szCs w:val="16"/>
              </w:rPr>
              <w:t>ructions of uses</w:t>
            </w:r>
          </w:p>
          <w:p w14:paraId="55B5AFCA" w14:textId="77777777" w:rsidR="000C78AD" w:rsidRPr="00E91F85" w:rsidRDefault="000C78A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Refer to hygiene plan in place in order to ensure that necessary efficacy level is achieved.</w:t>
            </w:r>
          </w:p>
          <w:p w14:paraId="3625B73E" w14:textId="77777777" w:rsidR="000C78AD" w:rsidRPr="00E91F85" w:rsidRDefault="000C78AD"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Respect the conditions of use of the product (concentration, contact time, temperature, pH, etc.)</w:t>
            </w:r>
          </w:p>
          <w:p w14:paraId="1E7DD401" w14:textId="225DA690" w:rsidR="00CB4A8C" w:rsidRPr="007A4DA8" w:rsidRDefault="000C78AD" w:rsidP="00E91F85">
            <w:pPr>
              <w:pStyle w:val="Paragraphedeliste"/>
              <w:numPr>
                <w:ilvl w:val="0"/>
                <w:numId w:val="7"/>
              </w:numPr>
              <w:suppressAutoHyphens w:val="0"/>
              <w:spacing w:line="256" w:lineRule="auto"/>
              <w:jc w:val="both"/>
              <w:rPr>
                <w:bCs/>
                <w:iCs/>
              </w:rPr>
            </w:pPr>
            <w:r w:rsidRPr="00E91F85">
              <w:rPr>
                <w:rFonts w:cs="Arial"/>
                <w:iCs/>
                <w:color w:val="000000" w:themeColor="text1"/>
                <w:szCs w:val="16"/>
              </w:rPr>
              <w:t>Inform the authorization holder if the treatment is ineffective.</w:t>
            </w:r>
          </w:p>
          <w:p w14:paraId="7DCBA778" w14:textId="05B0E9FC" w:rsidR="00CE6249" w:rsidRPr="007A4DA8" w:rsidRDefault="00CE6249" w:rsidP="00E91F85">
            <w:pPr>
              <w:pStyle w:val="Paragraphedeliste"/>
              <w:numPr>
                <w:ilvl w:val="0"/>
                <w:numId w:val="7"/>
              </w:numPr>
              <w:suppressAutoHyphens w:val="0"/>
              <w:spacing w:line="256" w:lineRule="auto"/>
              <w:jc w:val="both"/>
              <w:rPr>
                <w:bCs/>
                <w:iCs/>
              </w:rPr>
            </w:pPr>
            <w:r w:rsidRPr="00CA4E2D">
              <w:rPr>
                <w:bCs/>
                <w:lang w:val="en-US"/>
              </w:rPr>
              <w:t>The product must be used directly after dilution.</w:t>
            </w:r>
          </w:p>
          <w:p w14:paraId="5E5E2375" w14:textId="02618516" w:rsidR="00CB4A8C" w:rsidRPr="00B27CB1" w:rsidRDefault="00AF543C" w:rsidP="00AF543C">
            <w:pPr>
              <w:pStyle w:val="Paragraphedeliste"/>
              <w:numPr>
                <w:ilvl w:val="0"/>
                <w:numId w:val="38"/>
              </w:numPr>
              <w:suppressAutoHyphens w:val="0"/>
              <w:spacing w:line="256" w:lineRule="auto"/>
              <w:jc w:val="both"/>
              <w:rPr>
                <w:bCs/>
                <w:iCs/>
              </w:rPr>
            </w:pPr>
            <w:r>
              <w:rPr>
                <w:rFonts w:cs="Times"/>
                <w:bCs/>
                <w:szCs w:val="29"/>
              </w:rPr>
              <w:t>The product</w:t>
            </w:r>
            <w:r w:rsidR="008B7430" w:rsidRPr="00533866">
              <w:rPr>
                <w:rFonts w:cs="Times"/>
                <w:bCs/>
                <w:szCs w:val="29"/>
              </w:rPr>
              <w:t xml:space="preserve"> ha</w:t>
            </w:r>
            <w:r>
              <w:rPr>
                <w:rFonts w:cs="Times"/>
                <w:bCs/>
                <w:szCs w:val="29"/>
              </w:rPr>
              <w:t xml:space="preserve">s </w:t>
            </w:r>
            <w:r w:rsidR="008B7430" w:rsidRPr="00533866">
              <w:rPr>
                <w:rFonts w:cs="Times"/>
                <w:bCs/>
                <w:szCs w:val="29"/>
              </w:rPr>
              <w:t xml:space="preserve">been tested against </w:t>
            </w:r>
            <w:r w:rsidR="008B7430">
              <w:rPr>
                <w:rFonts w:cs="Times"/>
                <w:bCs/>
                <w:szCs w:val="29"/>
              </w:rPr>
              <w:t>bacteria</w:t>
            </w:r>
            <w:r w:rsidR="008B7430" w:rsidRPr="00533866">
              <w:rPr>
                <w:rFonts w:cs="Times"/>
                <w:bCs/>
                <w:szCs w:val="29"/>
              </w:rPr>
              <w:t xml:space="preserve">, </w:t>
            </w:r>
            <w:r w:rsidR="008B7430" w:rsidRPr="000D7D14">
              <w:t xml:space="preserve">including </w:t>
            </w:r>
            <w:r w:rsidR="008B7430" w:rsidRPr="00383E12">
              <w:rPr>
                <w:rFonts w:cs="Arial"/>
                <w:bCs/>
                <w:i/>
                <w:lang w:eastAsia="de-DE"/>
              </w:rPr>
              <w:t xml:space="preserve">Yersinia enterocolitica </w:t>
            </w:r>
            <w:r w:rsidR="008B7430" w:rsidRPr="00383E12">
              <w:rPr>
                <w:rFonts w:cs="Arial"/>
                <w:bCs/>
                <w:lang w:eastAsia="de-DE"/>
              </w:rPr>
              <w:t>(</w:t>
            </w:r>
            <w:r w:rsidRPr="00383E12">
              <w:rPr>
                <w:rFonts w:cs="Arial"/>
                <w:bCs/>
                <w:lang w:eastAsia="de-DE"/>
              </w:rPr>
              <w:t xml:space="preserve">agent of </w:t>
            </w:r>
            <w:r w:rsidR="008B7430" w:rsidRPr="00383E12">
              <w:rPr>
                <w:rFonts w:cs="Arial"/>
                <w:bCs/>
                <w:lang w:eastAsia="de-DE"/>
              </w:rPr>
              <w:t>yersiniosis)</w:t>
            </w:r>
          </w:p>
        </w:tc>
      </w:tr>
    </w:tbl>
    <w:p w14:paraId="2F38F692" w14:textId="77777777" w:rsidR="00CB4A8C" w:rsidRPr="00B27CB1" w:rsidRDefault="00CB4A8C" w:rsidP="00CB4A8C">
      <w:pPr>
        <w:pStyle w:val="Titre4"/>
        <w:numPr>
          <w:ilvl w:val="3"/>
          <w:numId w:val="6"/>
        </w:numPr>
        <w:rPr>
          <w:lang w:val="en-GB"/>
        </w:rPr>
      </w:pPr>
      <w:bookmarkStart w:id="146" w:name="_Toc87361176"/>
      <w:r w:rsidRPr="00B27CB1">
        <w:rPr>
          <w:lang w:val="en-GB"/>
        </w:rPr>
        <w:t>Risk mitigation measures</w:t>
      </w:r>
      <w:bookmarkEnd w:id="14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45FF2C9B"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4918BECD" w14:textId="77777777" w:rsidR="00CB4A8C" w:rsidRPr="00E91F85" w:rsidRDefault="00EB197B"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The product is for an indoor use only</w:t>
            </w:r>
            <w:r w:rsidR="00A46E1B" w:rsidRPr="00E91F85">
              <w:rPr>
                <w:rFonts w:cs="Arial"/>
                <w:iCs/>
                <w:color w:val="000000" w:themeColor="text1"/>
                <w:szCs w:val="16"/>
              </w:rPr>
              <w:t>.</w:t>
            </w:r>
          </w:p>
          <w:p w14:paraId="68304DEE" w14:textId="5FF17269" w:rsidR="003419A9" w:rsidRPr="00E91F85" w:rsidRDefault="003419A9"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Avoidance of contact with freshly treated surfaces.</w:t>
            </w:r>
          </w:p>
          <w:p w14:paraId="33BCEBA7" w14:textId="77777777" w:rsidR="00A46E1B" w:rsidRPr="00E91F85" w:rsidRDefault="00A46E1B"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During mixing and loading, wear:</w:t>
            </w:r>
          </w:p>
          <w:p w14:paraId="00E2BED9" w14:textId="20432695"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15C03DB6"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0B0C2F69" w14:textId="795CAA54"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337B6A">
              <w:rPr>
                <w:rFonts w:cs="Arial"/>
                <w:iCs/>
                <w:color w:val="000000" w:themeColor="text1"/>
                <w:szCs w:val="16"/>
                <w:lang w:val="en-US"/>
              </w:rPr>
              <w:t>.</w:t>
            </w:r>
            <w:r>
              <w:rPr>
                <w:rFonts w:cs="Arial"/>
                <w:iCs/>
                <w:color w:val="000000" w:themeColor="text1"/>
                <w:szCs w:val="16"/>
                <w:lang w:val="en-US"/>
              </w:rPr>
              <w:t xml:space="preserve"> </w:t>
            </w:r>
          </w:p>
          <w:p w14:paraId="6A0FE5AB" w14:textId="26F75AA4"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rPr>
              <w:t>M</w:t>
            </w:r>
            <w:r>
              <w:rPr>
                <w:rFonts w:cs="Arial"/>
                <w:iCs/>
                <w:color w:val="000000" w:themeColor="text1"/>
                <w:szCs w:val="16"/>
                <w:lang w:val="en-US"/>
              </w:rPr>
              <w:t>inimisation of splashes and spills</w:t>
            </w:r>
            <w:r w:rsidR="00337B6A">
              <w:rPr>
                <w:rFonts w:cs="Arial"/>
                <w:iCs/>
                <w:color w:val="000000" w:themeColor="text1"/>
                <w:szCs w:val="16"/>
                <w:lang w:val="en-US"/>
              </w:rPr>
              <w:t>.</w:t>
            </w:r>
          </w:p>
          <w:p w14:paraId="7EEAB97E" w14:textId="5E03C469" w:rsidR="00A46E1B" w:rsidRDefault="00A46E1B" w:rsidP="00A46E1B">
            <w:pPr>
              <w:pStyle w:val="Paragraphedeliste"/>
              <w:numPr>
                <w:ilvl w:val="0"/>
                <w:numId w:val="38"/>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Minimisation of manual phases</w:t>
            </w:r>
            <w:r w:rsidR="00337B6A">
              <w:rPr>
                <w:rFonts w:cs="Arial"/>
                <w:iCs/>
                <w:color w:val="000000" w:themeColor="text1"/>
                <w:szCs w:val="16"/>
                <w:lang w:val="en-US"/>
              </w:rPr>
              <w:t>.</w:t>
            </w:r>
          </w:p>
          <w:p w14:paraId="2932A4D0" w14:textId="77777777" w:rsidR="00A46E1B" w:rsidRPr="00E91F85" w:rsidRDefault="00A46E1B"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During application and cleaning of spray equipment, wear:</w:t>
            </w:r>
          </w:p>
          <w:p w14:paraId="1856111F" w14:textId="67AF2AF9"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face shield</w:t>
            </w:r>
            <w:r w:rsidR="00C64FF3">
              <w:rPr>
                <w:rFonts w:cs="Arial"/>
                <w:iCs/>
                <w:color w:val="000000" w:themeColor="text1"/>
                <w:szCs w:val="16"/>
                <w:lang w:val="en-US"/>
              </w:rPr>
              <w:t>,</w:t>
            </w:r>
          </w:p>
          <w:p w14:paraId="38DB9699" w14:textId="77777777" w:rsidR="00A46E1B" w:rsidRDefault="00A46E1B" w:rsidP="00A46E1B">
            <w:pPr>
              <w:pStyle w:val="Paragraphedeliste"/>
              <w:numPr>
                <w:ilvl w:val="0"/>
                <w:numId w:val="37"/>
              </w:numPr>
              <w:rPr>
                <w:rFonts w:cs="Arial"/>
                <w:iCs/>
                <w:color w:val="000000" w:themeColor="text1"/>
                <w:szCs w:val="16"/>
                <w:lang w:val="en-US"/>
              </w:rPr>
            </w:pPr>
            <w:r>
              <w:rPr>
                <w:rFonts w:cs="Arial"/>
                <w:iCs/>
                <w:color w:val="000000" w:themeColor="text1"/>
                <w:szCs w:val="16"/>
                <w:lang w:val="en-US"/>
              </w:rPr>
              <w:t>protective chemical resistant gloves (glove material to be specified by the authorisation holder within the product information),</w:t>
            </w:r>
          </w:p>
          <w:p w14:paraId="5B2D383B" w14:textId="65392D25" w:rsidR="00A46E1B" w:rsidRDefault="00A46E1B" w:rsidP="00A46E1B">
            <w:pPr>
              <w:pStyle w:val="Paragraphedeliste"/>
              <w:numPr>
                <w:ilvl w:val="0"/>
                <w:numId w:val="37"/>
              </w:numPr>
              <w:suppressAutoHyphens w:val="0"/>
              <w:spacing w:line="256" w:lineRule="auto"/>
              <w:jc w:val="both"/>
              <w:rPr>
                <w:rFonts w:cs="Arial"/>
                <w:iCs/>
                <w:color w:val="000000" w:themeColor="text1"/>
                <w:szCs w:val="16"/>
                <w:lang w:val="en-US"/>
              </w:rPr>
            </w:pPr>
            <w:r>
              <w:rPr>
                <w:rFonts w:cs="Arial"/>
                <w:iCs/>
                <w:color w:val="000000" w:themeColor="text1"/>
                <w:szCs w:val="16"/>
                <w:lang w:val="en-US"/>
              </w:rPr>
              <w:t>coated coverall (at least category III type 6)</w:t>
            </w:r>
            <w:r w:rsidR="00337B6A">
              <w:rPr>
                <w:rFonts w:cs="Arial"/>
                <w:iCs/>
                <w:color w:val="000000" w:themeColor="text1"/>
                <w:szCs w:val="16"/>
                <w:lang w:val="en-US"/>
              </w:rPr>
              <w:t>.</w:t>
            </w:r>
            <w:r>
              <w:rPr>
                <w:rFonts w:cs="Arial"/>
                <w:iCs/>
                <w:color w:val="000000" w:themeColor="text1"/>
                <w:szCs w:val="16"/>
                <w:lang w:val="en-US"/>
              </w:rPr>
              <w:t xml:space="preserve"> </w:t>
            </w:r>
          </w:p>
          <w:p w14:paraId="3757FFDA" w14:textId="46C76CAB" w:rsidR="00A46E1B" w:rsidRPr="00B27CB1" w:rsidRDefault="00A46E1B" w:rsidP="00E91F85">
            <w:pPr>
              <w:pStyle w:val="Paragraphedeliste"/>
              <w:numPr>
                <w:ilvl w:val="0"/>
                <w:numId w:val="38"/>
              </w:numPr>
              <w:suppressAutoHyphens w:val="0"/>
              <w:spacing w:line="256" w:lineRule="auto"/>
              <w:jc w:val="both"/>
            </w:pPr>
            <w:r>
              <w:rPr>
                <w:rFonts w:cs="Arial"/>
                <w:iCs/>
                <w:color w:val="000000" w:themeColor="text1"/>
                <w:szCs w:val="16"/>
                <w:lang w:val="en-US"/>
              </w:rPr>
              <w:t>The spray application must be downward in order to avoid any facial exposure.</w:t>
            </w:r>
          </w:p>
        </w:tc>
      </w:tr>
    </w:tbl>
    <w:p w14:paraId="695F0B0D" w14:textId="77777777" w:rsidR="00CB4A8C" w:rsidRPr="00B27CB1" w:rsidRDefault="00CB4A8C" w:rsidP="00CB4A8C">
      <w:pPr>
        <w:pStyle w:val="Titre4"/>
        <w:numPr>
          <w:ilvl w:val="3"/>
          <w:numId w:val="6"/>
        </w:numPr>
        <w:rPr>
          <w:lang w:val="en-GB"/>
        </w:rPr>
      </w:pPr>
      <w:bookmarkStart w:id="147" w:name="_Toc87361177"/>
      <w:r w:rsidRPr="00B27CB1">
        <w:rPr>
          <w:lang w:val="en-GB"/>
        </w:rPr>
        <w:lastRenderedPageBreak/>
        <w:t>Particulars of likely direct or indirect effects, first aid instructions and emergency measures to protect the environment</w:t>
      </w:r>
      <w:bookmarkEnd w:id="14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400A2825"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20B8F8DE" w14:textId="77777777" w:rsidR="008E6C85" w:rsidRPr="00E91F85" w:rsidRDefault="008E6C85"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ON SKIN (or hair): Take off immediately all contaminated clothing. Rinse skin with water [or shower].</w:t>
            </w:r>
          </w:p>
          <w:p w14:paraId="7330106C" w14:textId="77777777" w:rsidR="008E6C85" w:rsidRPr="00E91F85" w:rsidRDefault="008E6C85"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 EYES: Rinse cautiously with water for several minutes. Remove contact lenses, if present and easy to do. Continue rinsing.</w:t>
            </w:r>
          </w:p>
          <w:p w14:paraId="15F2ECC8" w14:textId="77777777" w:rsidR="008E6C85" w:rsidRPr="00E91F85" w:rsidRDefault="008E6C85"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SWALLOWED: Rinse mouth. Do NOT induce vomiting.</w:t>
            </w:r>
          </w:p>
          <w:p w14:paraId="23727DB7" w14:textId="77777777" w:rsidR="008E6C85" w:rsidRPr="00E91F85" w:rsidRDefault="008E6C85"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If INHALED: Remove personto fresh air and keep comfortable for breathing.</w:t>
            </w:r>
          </w:p>
          <w:p w14:paraId="7A4D8CC6" w14:textId="77777777" w:rsidR="008E6C85" w:rsidRPr="00E91F85" w:rsidRDefault="008E6C85"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In case of impaired consciousness place in recovery position and seek medical advice immediately.</w:t>
            </w:r>
          </w:p>
          <w:p w14:paraId="7E37DC44" w14:textId="6502B91E" w:rsidR="00CB4A8C" w:rsidRPr="00B27CB1" w:rsidRDefault="008E6C85" w:rsidP="00E91F85">
            <w:pPr>
              <w:pStyle w:val="Paragraphedeliste"/>
              <w:numPr>
                <w:ilvl w:val="0"/>
                <w:numId w:val="38"/>
              </w:numPr>
              <w:suppressAutoHyphens w:val="0"/>
              <w:spacing w:line="256" w:lineRule="auto"/>
              <w:jc w:val="both"/>
            </w:pPr>
            <w:r w:rsidRPr="00E91F85">
              <w:rPr>
                <w:rFonts w:cs="Arial"/>
                <w:iCs/>
                <w:color w:val="000000" w:themeColor="text1"/>
                <w:szCs w:val="16"/>
              </w:rPr>
              <w:t>Keep the container or label available</w:t>
            </w:r>
            <w:r w:rsidR="00337B6A">
              <w:rPr>
                <w:rFonts w:cs="Arial"/>
                <w:iCs/>
                <w:color w:val="000000" w:themeColor="text1"/>
                <w:szCs w:val="16"/>
              </w:rPr>
              <w:t>.</w:t>
            </w:r>
          </w:p>
        </w:tc>
      </w:tr>
    </w:tbl>
    <w:p w14:paraId="60B2EEA1" w14:textId="77777777" w:rsidR="00CB4A8C" w:rsidRPr="00B27CB1" w:rsidRDefault="00CB4A8C" w:rsidP="00CB4A8C">
      <w:pPr>
        <w:pStyle w:val="Titre4"/>
        <w:numPr>
          <w:ilvl w:val="3"/>
          <w:numId w:val="6"/>
        </w:numPr>
        <w:rPr>
          <w:lang w:val="en-GB"/>
        </w:rPr>
      </w:pPr>
      <w:bookmarkStart w:id="148" w:name="_Toc87361178"/>
      <w:r w:rsidRPr="00B27CB1">
        <w:rPr>
          <w:lang w:val="en-GB"/>
        </w:rPr>
        <w:t>Instructions for safe disposal of the product and its packaging</w:t>
      </w:r>
      <w:bookmarkEnd w:id="14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0D2A7471"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15E1BB4D" w14:textId="70C8EFF0" w:rsidR="00FD4D2F" w:rsidRPr="00E91F85" w:rsidRDefault="00FD4D2F" w:rsidP="00E91F85">
            <w:pPr>
              <w:pStyle w:val="Paragraphedeliste"/>
              <w:numPr>
                <w:ilvl w:val="0"/>
                <w:numId w:val="38"/>
              </w:numPr>
              <w:suppressAutoHyphens w:val="0"/>
              <w:spacing w:line="256" w:lineRule="auto"/>
              <w:jc w:val="both"/>
              <w:rPr>
                <w:rFonts w:cs="Arial"/>
                <w:iCs/>
                <w:color w:val="000000" w:themeColor="text1"/>
                <w:szCs w:val="16"/>
              </w:rPr>
            </w:pPr>
            <w:r w:rsidRPr="00E91F85">
              <w:rPr>
                <w:rFonts w:cs="Arial"/>
                <w:iCs/>
                <w:color w:val="000000" w:themeColor="text1"/>
                <w:szCs w:val="16"/>
              </w:rPr>
              <w:t>Do not discharge unused product on the ground, into water courses, into pipes (sink, toilets…) nor down the drains</w:t>
            </w:r>
            <w:r w:rsidR="00337B6A">
              <w:rPr>
                <w:rFonts w:cs="Arial"/>
                <w:iCs/>
                <w:color w:val="000000" w:themeColor="text1"/>
                <w:szCs w:val="16"/>
              </w:rPr>
              <w:t>.</w:t>
            </w:r>
          </w:p>
          <w:p w14:paraId="4B797280" w14:textId="0017584D" w:rsidR="00CB4A8C" w:rsidRPr="00B27CB1" w:rsidRDefault="00FD4D2F" w:rsidP="00E91F85">
            <w:pPr>
              <w:pStyle w:val="Paragraphedeliste"/>
              <w:numPr>
                <w:ilvl w:val="0"/>
                <w:numId w:val="38"/>
              </w:numPr>
              <w:suppressAutoHyphens w:val="0"/>
              <w:spacing w:line="256" w:lineRule="auto"/>
              <w:jc w:val="both"/>
            </w:pPr>
            <w:r w:rsidRPr="00E91F85">
              <w:rPr>
                <w:rFonts w:cs="Arial"/>
                <w:iCs/>
                <w:color w:val="000000" w:themeColor="text1"/>
                <w:szCs w:val="16"/>
              </w:rPr>
              <w:t>Dispose of unused product, its packaging and all other waste, in accordance with local regulations</w:t>
            </w:r>
            <w:r w:rsidR="00337B6A">
              <w:t>.</w:t>
            </w:r>
          </w:p>
        </w:tc>
      </w:tr>
    </w:tbl>
    <w:p w14:paraId="30C1C1A8" w14:textId="77777777" w:rsidR="00CB4A8C" w:rsidRPr="00B27CB1" w:rsidRDefault="00CB4A8C" w:rsidP="00CB4A8C">
      <w:pPr>
        <w:pStyle w:val="Titre4"/>
        <w:numPr>
          <w:ilvl w:val="3"/>
          <w:numId w:val="6"/>
        </w:numPr>
        <w:rPr>
          <w:lang w:val="en-GB"/>
        </w:rPr>
      </w:pPr>
      <w:bookmarkStart w:id="149" w:name="_Toc87361179"/>
      <w:r w:rsidRPr="00B27CB1">
        <w:rPr>
          <w:lang w:val="en-GB"/>
        </w:rPr>
        <w:t>Conditions of storage and shelf-life of the product under normal conditions of storage</w:t>
      </w:r>
      <w:bookmarkEnd w:id="14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6F6334F9"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142F2320" w14:textId="47D7D3F3" w:rsidR="00CB4A8C" w:rsidRPr="00B27CB1" w:rsidRDefault="000106FF" w:rsidP="00E91F85">
            <w:pPr>
              <w:pStyle w:val="Paragraphedeliste"/>
              <w:numPr>
                <w:ilvl w:val="0"/>
                <w:numId w:val="38"/>
              </w:numPr>
              <w:suppressAutoHyphens w:val="0"/>
              <w:spacing w:line="256" w:lineRule="auto"/>
              <w:jc w:val="both"/>
            </w:pPr>
            <w:r w:rsidRPr="00E91F85">
              <w:rPr>
                <w:rFonts w:cs="Arial"/>
                <w:iCs/>
                <w:color w:val="000000" w:themeColor="text1"/>
                <w:szCs w:val="16"/>
              </w:rPr>
              <w:t>Shelf life: 2 years</w:t>
            </w:r>
            <w:r w:rsidR="00337B6A" w:rsidRPr="00E91F85">
              <w:rPr>
                <w:rFonts w:cs="Arial"/>
                <w:iCs/>
                <w:color w:val="000000" w:themeColor="text1"/>
                <w:szCs w:val="16"/>
              </w:rPr>
              <w:t>.</w:t>
            </w:r>
          </w:p>
        </w:tc>
      </w:tr>
    </w:tbl>
    <w:p w14:paraId="4BF4370F" w14:textId="77777777" w:rsidR="00CB4A8C" w:rsidRPr="00B27CB1" w:rsidRDefault="00CB4A8C" w:rsidP="00CB4A8C">
      <w:pPr>
        <w:widowControl w:val="0"/>
        <w:autoSpaceDE w:val="0"/>
        <w:rPr>
          <w:bCs/>
          <w:iCs/>
          <w:szCs w:val="22"/>
        </w:rPr>
      </w:pPr>
    </w:p>
    <w:p w14:paraId="72F10500" w14:textId="77777777" w:rsidR="00CB4A8C" w:rsidRPr="00657948" w:rsidRDefault="00CB4A8C" w:rsidP="00657948">
      <w:pPr>
        <w:pStyle w:val="Titre3"/>
        <w:numPr>
          <w:ilvl w:val="2"/>
          <w:numId w:val="6"/>
        </w:numPr>
      </w:pPr>
      <w:bookmarkStart w:id="150" w:name="_Toc87361180"/>
      <w:r w:rsidRPr="00657948">
        <w:t>Other information</w:t>
      </w:r>
      <w:bookmarkEnd w:id="15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CB4A8C" w:rsidRPr="00B27CB1" w14:paraId="4631BB6E" w14:textId="77777777" w:rsidTr="00434119">
        <w:tc>
          <w:tcPr>
            <w:tcW w:w="9036" w:type="dxa"/>
            <w:tcBorders>
              <w:top w:val="single" w:sz="4" w:space="0" w:color="000000"/>
              <w:left w:val="single" w:sz="4" w:space="0" w:color="000000"/>
              <w:bottom w:val="single" w:sz="4" w:space="0" w:color="000000"/>
              <w:right w:val="single" w:sz="4" w:space="0" w:color="000000"/>
            </w:tcBorders>
          </w:tcPr>
          <w:p w14:paraId="2359C6F0" w14:textId="0264CAA3" w:rsidR="00CB4A8C" w:rsidRPr="00B27CB1" w:rsidRDefault="001E568F" w:rsidP="00434119">
            <w:pPr>
              <w:widowControl w:val="0"/>
              <w:autoSpaceDE w:val="0"/>
              <w:snapToGrid w:val="0"/>
              <w:spacing w:line="256" w:lineRule="auto"/>
              <w:jc w:val="both"/>
            </w:pPr>
            <w:r>
              <w:t>-</w:t>
            </w:r>
          </w:p>
        </w:tc>
      </w:tr>
    </w:tbl>
    <w:p w14:paraId="7CF0476B" w14:textId="77777777" w:rsidR="00CB4A8C" w:rsidRPr="00B27CB1" w:rsidRDefault="00CB4A8C" w:rsidP="00CB4A8C"/>
    <w:p w14:paraId="08A65AF2" w14:textId="77777777" w:rsidR="00CB4A8C" w:rsidRPr="00B27CB1" w:rsidRDefault="00CB4A8C" w:rsidP="00CB4A8C"/>
    <w:p w14:paraId="3AD96514" w14:textId="1AA33AC5" w:rsidR="00CB4A8C" w:rsidRPr="00B27CB1" w:rsidRDefault="00CB4A8C" w:rsidP="007A4DA8">
      <w:pPr>
        <w:spacing w:after="120"/>
        <w:ind w:left="432" w:hanging="432"/>
        <w:outlineLvl w:val="0"/>
        <w:rPr>
          <w:b/>
          <w:caps/>
          <w:sz w:val="28"/>
        </w:rPr>
      </w:pPr>
      <w:r w:rsidRPr="00B27CB1">
        <w:rPr>
          <w:b/>
          <w:caps/>
          <w:sz w:val="28"/>
        </w:rPr>
        <w:t>PART III - THIRD INFORMATION LEVEL: INDIV</w:t>
      </w:r>
      <w:r w:rsidR="00EC1BDB" w:rsidRPr="00B27CB1">
        <w:rPr>
          <w:b/>
          <w:caps/>
          <w:sz w:val="28"/>
        </w:rPr>
        <w:t>IDUAL PRODUCTS IN THE META SPC 13</w:t>
      </w:r>
    </w:p>
    <w:p w14:paraId="41079292" w14:textId="77777777" w:rsidR="00CB4A8C" w:rsidRPr="00B27CB1" w:rsidRDefault="00CB4A8C" w:rsidP="00E648D1">
      <w:pPr>
        <w:widowControl w:val="0"/>
        <w:autoSpaceDE w:val="0"/>
        <w:rPr>
          <w:rFonts w:cs="Times"/>
          <w:bCs/>
          <w:szCs w:val="29"/>
        </w:rPr>
      </w:pPr>
    </w:p>
    <w:p w14:paraId="5A8ED0DE" w14:textId="77777777" w:rsidR="00CB4A8C" w:rsidRPr="007A4DA8" w:rsidRDefault="00CB4A8C" w:rsidP="007A4DA8">
      <w:pPr>
        <w:pStyle w:val="Titre3"/>
        <w:keepNext w:val="0"/>
        <w:numPr>
          <w:ilvl w:val="2"/>
          <w:numId w:val="6"/>
        </w:numPr>
        <w:rPr>
          <w:lang w:val="en-US"/>
        </w:rPr>
      </w:pPr>
      <w:bookmarkStart w:id="151" w:name="_Toc87361181"/>
      <w:r w:rsidRPr="007A4DA8">
        <w:rPr>
          <w:lang w:val="en-US"/>
        </w:rPr>
        <w:t>Trade name(s), authorisation number and specific composition of each individual product</w:t>
      </w:r>
      <w:bookmarkEnd w:id="151"/>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CB4A8C" w:rsidRPr="00CC6631" w14:paraId="49402C6E" w14:textId="77777777" w:rsidTr="00434119">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C286D0B" w14:textId="77777777" w:rsidR="00CB4A8C" w:rsidRPr="00B27CB1" w:rsidRDefault="00CB4A8C" w:rsidP="00E648D1">
            <w:pPr>
              <w:spacing w:line="256" w:lineRule="auto"/>
            </w:pPr>
            <w:r w:rsidRPr="00B27CB1">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ADD62E" w14:textId="77777777" w:rsidR="00EC1BDB" w:rsidRPr="005A150D" w:rsidRDefault="00EC1BDB" w:rsidP="00854EF9">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DESINFECTANT ODORISANT CONCENTRE</w:t>
            </w:r>
          </w:p>
          <w:p w14:paraId="74FE7D72" w14:textId="77777777" w:rsidR="00EC1BDB" w:rsidRPr="005A150D" w:rsidRDefault="00EC1BDB" w:rsidP="00854EF9">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DESINFECTANT ODORISANT PUISSANT</w:t>
            </w:r>
          </w:p>
          <w:p w14:paraId="05EBFC71" w14:textId="4AD29E2B" w:rsidR="00CB4A8C" w:rsidRPr="005A150D" w:rsidRDefault="00EC1BDB">
            <w:pPr>
              <w:widowControl w:val="0"/>
              <w:suppressAutoHyphens w:val="0"/>
              <w:autoSpaceDE w:val="0"/>
              <w:autoSpaceDN w:val="0"/>
              <w:adjustRightInd w:val="0"/>
              <w:spacing w:after="80" w:line="256" w:lineRule="auto"/>
              <w:rPr>
                <w:b/>
                <w:bCs/>
                <w:szCs w:val="24"/>
                <w:lang w:val="fr-FR" w:eastAsia="en-GB"/>
              </w:rPr>
            </w:pPr>
            <w:r w:rsidRPr="005A150D">
              <w:rPr>
                <w:b/>
                <w:bCs/>
                <w:szCs w:val="24"/>
                <w:lang w:val="fr-FR" w:eastAsia="en-GB"/>
              </w:rPr>
              <w:t>OD OM +</w:t>
            </w:r>
          </w:p>
        </w:tc>
      </w:tr>
      <w:tr w:rsidR="00CB4A8C" w:rsidRPr="00B27CB1" w14:paraId="39B3D68F" w14:textId="77777777" w:rsidTr="00434119">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F54656" w14:textId="77777777" w:rsidR="00CB4A8C" w:rsidRPr="00B27CB1" w:rsidRDefault="00CB4A8C" w:rsidP="00E648D1">
            <w:pPr>
              <w:spacing w:line="256" w:lineRule="auto"/>
              <w:rPr>
                <w:b/>
              </w:rPr>
            </w:pPr>
            <w:r w:rsidRPr="00B27CB1">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982AEF" w14:textId="77777777" w:rsidR="00CB4A8C" w:rsidRPr="00B27CB1" w:rsidRDefault="00CB4A8C" w:rsidP="00854EF9">
            <w:pPr>
              <w:spacing w:line="256" w:lineRule="auto"/>
              <w:rPr>
                <w:b/>
                <w:bCs/>
                <w:szCs w:val="24"/>
                <w:lang w:eastAsia="en-GB"/>
              </w:rPr>
            </w:pPr>
          </w:p>
        </w:tc>
      </w:tr>
      <w:tr w:rsidR="00CB4A8C" w:rsidRPr="00B27CB1" w14:paraId="2BAAC90A" w14:textId="77777777" w:rsidTr="00434119">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33B0D95" w14:textId="77777777" w:rsidR="00CB4A8C" w:rsidRPr="00B27CB1" w:rsidRDefault="00CB4A8C" w:rsidP="00E648D1">
            <w:pPr>
              <w:spacing w:line="256" w:lineRule="auto"/>
            </w:pPr>
            <w:r w:rsidRPr="00B27CB1">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84DA9B" w14:textId="77777777" w:rsidR="00CB4A8C" w:rsidRPr="00B27CB1" w:rsidRDefault="00CB4A8C" w:rsidP="00854EF9">
            <w:pPr>
              <w:spacing w:line="256" w:lineRule="auto"/>
            </w:pPr>
            <w:r w:rsidRPr="00B27CB1">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C33F1B" w14:textId="77777777" w:rsidR="00CB4A8C" w:rsidRPr="00B27CB1" w:rsidRDefault="00CB4A8C" w:rsidP="00854EF9">
            <w:pPr>
              <w:spacing w:line="256" w:lineRule="auto"/>
            </w:pPr>
            <w:r w:rsidRPr="00B27CB1">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58BDA2" w14:textId="77777777" w:rsidR="00CB4A8C" w:rsidRPr="00B27CB1" w:rsidRDefault="00CB4A8C">
            <w:pPr>
              <w:spacing w:line="256" w:lineRule="auto"/>
            </w:pPr>
            <w:r w:rsidRPr="00B27CB1">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6FCCFE" w14:textId="77777777" w:rsidR="00CB4A8C" w:rsidRPr="00B27CB1" w:rsidRDefault="00CB4A8C">
            <w:pPr>
              <w:spacing w:line="256" w:lineRule="auto"/>
            </w:pPr>
            <w:r w:rsidRPr="00B27CB1">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17D749" w14:textId="77777777" w:rsidR="00CB4A8C" w:rsidRPr="00B27CB1" w:rsidRDefault="00CB4A8C">
            <w:pPr>
              <w:spacing w:line="256" w:lineRule="auto"/>
            </w:pPr>
            <w:r w:rsidRPr="00B27CB1">
              <w:rPr>
                <w:b/>
                <w:bCs/>
                <w:szCs w:val="24"/>
                <w:lang w:eastAsia="en-GB"/>
              </w:rPr>
              <w:t>Content (%)</w:t>
            </w:r>
          </w:p>
        </w:tc>
      </w:tr>
      <w:tr w:rsidR="00E974B3" w:rsidRPr="00B27CB1" w14:paraId="5A797C70" w14:textId="77777777" w:rsidTr="00E91F85">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F3553" w14:textId="754F551E" w:rsidR="00E974B3" w:rsidRPr="007A4DA8" w:rsidRDefault="00D37CB1" w:rsidP="00E648D1">
            <w:pPr>
              <w:snapToGrid w:val="0"/>
              <w:spacing w:line="256" w:lineRule="auto"/>
              <w:rPr>
                <w:rFonts w:cs="Arial"/>
              </w:rPr>
            </w:pPr>
            <w:r w:rsidRPr="00932929">
              <w:rPr>
                <w:lang w:val="pl-PL"/>
              </w:rPr>
              <w:t xml:space="preserve">L(+) </w:t>
            </w:r>
            <w:r w:rsidR="00E974B3" w:rsidRPr="007A4DA8">
              <w:rPr>
                <w:rFonts w:cs="Arial"/>
              </w:rPr>
              <w:t>Lactic acid</w:t>
            </w:r>
          </w:p>
          <w:p w14:paraId="51EF53FB" w14:textId="77777777" w:rsidR="00E974B3" w:rsidRPr="007A4DA8" w:rsidRDefault="00E974B3" w:rsidP="00854EF9">
            <w:pPr>
              <w:pStyle w:val="Special"/>
              <w:spacing w:line="256" w:lineRule="auto"/>
              <w:rPr>
                <w:rFonts w:cs="Arial"/>
                <w:bCs w:val="0"/>
                <w:sz w:val="20"/>
                <w:szCs w:val="20"/>
                <w:lang w:val="en-GB"/>
              </w:rPr>
            </w:pP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75ABBC" w14:textId="73DC9B76" w:rsidR="00E974B3" w:rsidRPr="007A4DA8" w:rsidRDefault="00D37CB1">
            <w:pPr>
              <w:pStyle w:val="Special"/>
              <w:spacing w:line="256" w:lineRule="auto"/>
              <w:rPr>
                <w:rFonts w:cs="Arial"/>
                <w:bCs w:val="0"/>
                <w:sz w:val="20"/>
                <w:szCs w:val="20"/>
                <w:lang w:val="en-GB"/>
              </w:rPr>
            </w:pPr>
            <w:r w:rsidRPr="007A4DA8">
              <w:rPr>
                <w:sz w:val="20"/>
              </w:rPr>
              <w:t>(S)-2-Hydroxypropanoic acid</w:t>
            </w:r>
            <w:r w:rsidRPr="007A4DA8" w:rsidDel="00D37CB1">
              <w:rPr>
                <w:rFonts w:cs="Arial"/>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E4A262F" w14:textId="03126546" w:rsidR="00E974B3" w:rsidRPr="007A4DA8" w:rsidRDefault="00E974B3">
            <w:pPr>
              <w:spacing w:line="256" w:lineRule="auto"/>
              <w:rPr>
                <w:rFonts w:cs="Arial"/>
              </w:rPr>
            </w:pPr>
            <w:r w:rsidRPr="007A4DA8">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A7BF94" w14:textId="7BC71586" w:rsidR="00E974B3" w:rsidRPr="007A4DA8" w:rsidRDefault="00E974B3">
            <w:pPr>
              <w:spacing w:line="256" w:lineRule="auto"/>
              <w:rPr>
                <w:rFonts w:cs="Arial"/>
              </w:rPr>
            </w:pPr>
            <w:r w:rsidRPr="007A4DA8">
              <w:rPr>
                <w:rFonts w:cs="Arial"/>
              </w:rPr>
              <w:t>79-33-4</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6D56D4" w14:textId="1F91C000" w:rsidR="00E974B3" w:rsidRPr="007A4DA8" w:rsidRDefault="00E974B3">
            <w:pPr>
              <w:pStyle w:val="Special"/>
              <w:spacing w:line="256" w:lineRule="auto"/>
              <w:rPr>
                <w:rFonts w:cs="Arial"/>
                <w:bCs w:val="0"/>
                <w:sz w:val="20"/>
                <w:szCs w:val="20"/>
                <w:lang w:val="en-GB"/>
              </w:rPr>
            </w:pPr>
            <w:r w:rsidRPr="007A4DA8">
              <w:rPr>
                <w:rFonts w:cs="Arial"/>
                <w:bCs w:val="0"/>
                <w:sz w:val="20"/>
                <w:szCs w:val="20"/>
                <w:lang w:val="en-GB"/>
              </w:rPr>
              <w:t>201-196-2</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8A8B01F" w14:textId="357F7F77" w:rsidR="00E974B3" w:rsidRPr="007A4DA8" w:rsidRDefault="00E974B3">
            <w:pPr>
              <w:pStyle w:val="Default"/>
              <w:spacing w:line="256" w:lineRule="auto"/>
              <w:rPr>
                <w:rFonts w:ascii="Verdana" w:hAnsi="Verdana" w:cs="Arial"/>
                <w:color w:val="auto"/>
                <w:sz w:val="20"/>
                <w:szCs w:val="20"/>
              </w:rPr>
            </w:pPr>
            <w:r w:rsidRPr="007A4DA8">
              <w:rPr>
                <w:rFonts w:ascii="Verdana" w:hAnsi="Verdana" w:cs="Arial"/>
                <w:color w:val="auto"/>
                <w:sz w:val="20"/>
                <w:szCs w:val="20"/>
              </w:rPr>
              <w:t>7.64</w:t>
            </w:r>
          </w:p>
        </w:tc>
      </w:tr>
      <w:tr w:rsidR="00E974B3" w:rsidRPr="00B27CB1" w14:paraId="6156340A" w14:textId="77777777" w:rsidTr="00E91F85">
        <w:tc>
          <w:tcPr>
            <w:tcW w:w="2021" w:type="dxa"/>
            <w:vMerge/>
            <w:tcBorders>
              <w:top w:val="single" w:sz="4" w:space="0" w:color="000000"/>
              <w:left w:val="single" w:sz="4" w:space="0" w:color="000000"/>
              <w:bottom w:val="single" w:sz="4" w:space="0" w:color="000000"/>
              <w:right w:val="single" w:sz="4" w:space="0" w:color="000000"/>
            </w:tcBorders>
            <w:hideMark/>
          </w:tcPr>
          <w:p w14:paraId="01A7B31A" w14:textId="77777777" w:rsidR="00E974B3" w:rsidRPr="007A4DA8" w:rsidRDefault="00E974B3" w:rsidP="00E974B3">
            <w:pPr>
              <w:suppressAutoHyphens w:val="0"/>
              <w:spacing w:line="256" w:lineRule="auto"/>
              <w:rPr>
                <w:rFonts w:cs="Arial"/>
              </w:rPr>
            </w:pPr>
          </w:p>
        </w:tc>
        <w:tc>
          <w:tcPr>
            <w:tcW w:w="1850" w:type="dxa"/>
            <w:vMerge/>
            <w:tcBorders>
              <w:top w:val="single" w:sz="4" w:space="0" w:color="000000"/>
              <w:left w:val="single" w:sz="4" w:space="0" w:color="000000"/>
              <w:bottom w:val="single" w:sz="4" w:space="0" w:color="000000"/>
              <w:right w:val="single" w:sz="4" w:space="0" w:color="000000"/>
            </w:tcBorders>
            <w:hideMark/>
          </w:tcPr>
          <w:p w14:paraId="198E9AD4" w14:textId="77777777" w:rsidR="00E974B3" w:rsidRPr="007A4DA8" w:rsidRDefault="00E974B3" w:rsidP="00E974B3">
            <w:pPr>
              <w:suppressAutoHyphens w:val="0"/>
              <w:spacing w:line="256"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ED67B34" w14:textId="73C3D70F" w:rsidR="00E974B3" w:rsidRPr="007A4DA8" w:rsidRDefault="00E974B3" w:rsidP="00E974B3">
            <w:pPr>
              <w:spacing w:line="256" w:lineRule="auto"/>
              <w:rPr>
                <w:rFonts w:cs="Arial"/>
              </w:rPr>
            </w:pPr>
            <w:r w:rsidRPr="007A4DA8">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hideMark/>
          </w:tcPr>
          <w:p w14:paraId="5541441B" w14:textId="77777777" w:rsidR="00E974B3" w:rsidRPr="007A4DA8" w:rsidRDefault="00E974B3" w:rsidP="00E974B3">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hideMark/>
          </w:tcPr>
          <w:p w14:paraId="43DEA992" w14:textId="77777777" w:rsidR="00E974B3" w:rsidRPr="007A4DA8" w:rsidRDefault="00E974B3" w:rsidP="00E974B3">
            <w:pPr>
              <w:suppressAutoHyphens w:val="0"/>
              <w:spacing w:line="256" w:lineRule="auto"/>
              <w:rPr>
                <w:rFonts w:cs="Arial"/>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01C1B75" w14:textId="6921ED80" w:rsidR="00E974B3" w:rsidRPr="007A4DA8" w:rsidRDefault="00E974B3" w:rsidP="00E974B3">
            <w:pPr>
              <w:spacing w:line="256" w:lineRule="auto"/>
              <w:rPr>
                <w:rFonts w:cs="Arial"/>
              </w:rPr>
            </w:pPr>
            <w:r w:rsidRPr="007A4DA8">
              <w:rPr>
                <w:rFonts w:cs="Arial"/>
              </w:rPr>
              <w:t>8</w:t>
            </w:r>
          </w:p>
        </w:tc>
      </w:tr>
      <w:tr w:rsidR="00A04731" w:rsidRPr="00B27CB1" w14:paraId="72C273AD" w14:textId="77777777" w:rsidTr="00E70520">
        <w:tc>
          <w:tcPr>
            <w:tcW w:w="2021" w:type="dxa"/>
            <w:tcBorders>
              <w:top w:val="single" w:sz="4" w:space="0" w:color="000000"/>
              <w:left w:val="single" w:sz="4" w:space="0" w:color="000000"/>
              <w:bottom w:val="single" w:sz="4" w:space="0" w:color="000000"/>
              <w:right w:val="single" w:sz="4" w:space="0" w:color="000000"/>
            </w:tcBorders>
          </w:tcPr>
          <w:p w14:paraId="7DF2DCB9" w14:textId="0DDDA2A0" w:rsidR="00A04731" w:rsidRPr="007A4DA8" w:rsidRDefault="00A04731" w:rsidP="00A04731">
            <w:pPr>
              <w:suppressAutoHyphens w:val="0"/>
              <w:spacing w:line="256" w:lineRule="auto"/>
              <w:rPr>
                <w:rFonts w:cs="Arial"/>
              </w:rPr>
            </w:pPr>
            <w:bookmarkStart w:id="152" w:name="_GoBack" w:colFirst="0" w:colLast="6"/>
            <w:r>
              <w:rPr>
                <w:bCs/>
                <w:szCs w:val="24"/>
                <w:lang w:eastAsia="en-GB"/>
              </w:rPr>
              <w:t>Diethylene glycol monobutyl ether</w:t>
            </w:r>
          </w:p>
        </w:tc>
        <w:tc>
          <w:tcPr>
            <w:tcW w:w="1850" w:type="dxa"/>
            <w:tcBorders>
              <w:top w:val="single" w:sz="4" w:space="0" w:color="000000"/>
              <w:left w:val="single" w:sz="4" w:space="0" w:color="000000"/>
              <w:bottom w:val="single" w:sz="4" w:space="0" w:color="000000"/>
              <w:right w:val="single" w:sz="4" w:space="0" w:color="000000"/>
            </w:tcBorders>
          </w:tcPr>
          <w:p w14:paraId="690A9AEB" w14:textId="0AB48AC0" w:rsidR="00A04731" w:rsidRPr="007A4DA8" w:rsidRDefault="00A04731" w:rsidP="00A04731">
            <w:pPr>
              <w:suppressAutoHyphens w:val="0"/>
              <w:spacing w:line="256" w:lineRule="auto"/>
              <w:rPr>
                <w:rFonts w:cs="Arial"/>
              </w:rPr>
            </w:pPr>
            <w:r w:rsidRPr="00430684">
              <w:t>2-(2-Butoxyethoxy)ethan-1-ol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E610FF" w14:textId="4B3BAB2F" w:rsidR="00A04731" w:rsidRPr="007A4DA8" w:rsidRDefault="00A04731" w:rsidP="00A04731">
            <w:pPr>
              <w:spacing w:line="256" w:lineRule="auto"/>
              <w:rPr>
                <w:rFonts w:cs="Arial"/>
              </w:rPr>
            </w:pPr>
            <w:r>
              <w:t>Co-formulant</w:t>
            </w:r>
          </w:p>
        </w:tc>
        <w:tc>
          <w:tcPr>
            <w:tcW w:w="1276" w:type="dxa"/>
            <w:tcBorders>
              <w:top w:val="single" w:sz="4" w:space="0" w:color="000000"/>
              <w:left w:val="single" w:sz="4" w:space="0" w:color="000000"/>
              <w:bottom w:val="single" w:sz="4" w:space="0" w:color="000000"/>
              <w:right w:val="single" w:sz="4" w:space="0" w:color="000000"/>
            </w:tcBorders>
          </w:tcPr>
          <w:p w14:paraId="5326E87E" w14:textId="4B231632" w:rsidR="00A04731" w:rsidRPr="007A4DA8" w:rsidRDefault="00A04731" w:rsidP="00A04731">
            <w:pPr>
              <w:suppressAutoHyphens w:val="0"/>
              <w:spacing w:line="256" w:lineRule="auto"/>
              <w:rPr>
                <w:rFonts w:cs="Arial"/>
              </w:rPr>
            </w:pPr>
            <w:r>
              <w:t>112-34-5</w:t>
            </w:r>
          </w:p>
        </w:tc>
        <w:tc>
          <w:tcPr>
            <w:tcW w:w="1152" w:type="dxa"/>
            <w:tcBorders>
              <w:top w:val="single" w:sz="4" w:space="0" w:color="000000"/>
              <w:left w:val="single" w:sz="4" w:space="0" w:color="000000"/>
              <w:bottom w:val="single" w:sz="4" w:space="0" w:color="000000"/>
              <w:right w:val="single" w:sz="4" w:space="0" w:color="000000"/>
            </w:tcBorders>
          </w:tcPr>
          <w:p w14:paraId="16B20C28" w14:textId="1C175A20" w:rsidR="00A04731" w:rsidRPr="007A4DA8" w:rsidRDefault="00A04731" w:rsidP="00A04731">
            <w:pPr>
              <w:suppressAutoHyphens w:val="0"/>
              <w:spacing w:line="256" w:lineRule="auto"/>
              <w:rPr>
                <w:rFonts w:cs="Arial"/>
              </w:rPr>
            </w:pPr>
            <w:r>
              <w:t>203-961-6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920F7" w14:textId="46E94EEC" w:rsidR="00A04731" w:rsidRPr="007A4DA8" w:rsidRDefault="00A04731" w:rsidP="00A04731">
            <w:pPr>
              <w:spacing w:line="256" w:lineRule="auto"/>
              <w:rPr>
                <w:rFonts w:cs="Arial"/>
              </w:rPr>
            </w:pPr>
            <w:r>
              <w:t>5.5</w:t>
            </w:r>
          </w:p>
        </w:tc>
      </w:tr>
      <w:tr w:rsidR="00A04731" w:rsidRPr="00B27CB1" w14:paraId="51AE1CA8" w14:textId="77777777" w:rsidTr="00E70520">
        <w:tc>
          <w:tcPr>
            <w:tcW w:w="2021" w:type="dxa"/>
            <w:tcBorders>
              <w:top w:val="single" w:sz="4" w:space="0" w:color="000000"/>
              <w:left w:val="single" w:sz="4" w:space="0" w:color="000000"/>
              <w:bottom w:val="single" w:sz="4" w:space="0" w:color="000000"/>
              <w:right w:val="single" w:sz="4" w:space="0" w:color="000000"/>
            </w:tcBorders>
            <w:vAlign w:val="center"/>
          </w:tcPr>
          <w:p w14:paraId="4870DC3B" w14:textId="7F8590A4" w:rsidR="00A04731" w:rsidRPr="007A4DA8" w:rsidRDefault="00A04731" w:rsidP="00A04731">
            <w:pPr>
              <w:suppressAutoHyphens w:val="0"/>
              <w:spacing w:line="256" w:lineRule="auto"/>
              <w:rPr>
                <w:rFonts w:cs="Arial"/>
              </w:rPr>
            </w:pPr>
            <w:r w:rsidRPr="00E91F85">
              <w:t>Reaction mass of</w:t>
            </w:r>
            <w:r w:rsidRPr="009E07D6">
              <w:t xml:space="preserve"> 1-(1,2,3,4,5,6,7,8-octahydro-2,3,8,8-tetramethyl-2-naphthyl)ethan-1-one</w:t>
            </w:r>
            <w:r w:rsidRPr="008B467E">
              <w:t xml:space="preserve"> and 1-(1,2,3,4,6,7,8,8a-octahydro-2,3,8,8-tetramethyl-2-naphthyl)ethan-1-one and 1-(1,2,3,5,6,7,8,8a-octahydro- 2,3,8,8-tetramethyl-2-naphthyl)ethan-1-one</w:t>
            </w:r>
          </w:p>
        </w:tc>
        <w:tc>
          <w:tcPr>
            <w:tcW w:w="1850" w:type="dxa"/>
            <w:tcBorders>
              <w:top w:val="single" w:sz="4" w:space="0" w:color="000000"/>
              <w:left w:val="single" w:sz="4" w:space="0" w:color="000000"/>
              <w:bottom w:val="single" w:sz="4" w:space="0" w:color="000000"/>
              <w:right w:val="single" w:sz="4" w:space="0" w:color="000000"/>
            </w:tcBorders>
            <w:vAlign w:val="center"/>
          </w:tcPr>
          <w:p w14:paraId="2CBD94F5" w14:textId="420AECC6" w:rsidR="00A04731" w:rsidRPr="007A4DA8" w:rsidRDefault="00A04731" w:rsidP="00A04731">
            <w:pPr>
              <w:suppressAutoHyphens w:val="0"/>
              <w:spacing w:line="256" w:lineRule="auto"/>
              <w:rPr>
                <w:rFonts w:cs="Arial"/>
              </w:rPr>
            </w:pPr>
            <w:r w:rsidRPr="00E91F85">
              <w:t>OTNE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0084676" w14:textId="382A31E2" w:rsidR="00A04731" w:rsidRPr="007A4DA8" w:rsidRDefault="00A04731" w:rsidP="00A04731">
            <w:pPr>
              <w:spacing w:line="256" w:lineRule="auto"/>
              <w:rPr>
                <w:rFonts w:cs="Arial"/>
              </w:rPr>
            </w:pPr>
            <w:r w:rsidRPr="008B0A02">
              <w:t>Co-formulant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83CCF8" w14:textId="77777777" w:rsidR="00A04731" w:rsidRPr="007A4DA8" w:rsidRDefault="00A04731" w:rsidP="00A04731">
            <w:pPr>
              <w:suppressAutoHyphens w:val="0"/>
              <w:spacing w:line="256" w:lineRule="auto"/>
              <w:rPr>
                <w:rFonts w:cs="Arial"/>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35B3776" w14:textId="45C88FA8" w:rsidR="00A04731" w:rsidRPr="007A4DA8" w:rsidRDefault="00A04731" w:rsidP="00A04731">
            <w:pPr>
              <w:suppressAutoHyphens w:val="0"/>
              <w:spacing w:line="256" w:lineRule="auto"/>
              <w:rPr>
                <w:rFonts w:cs="Arial"/>
              </w:rPr>
            </w:pPr>
            <w:r w:rsidRPr="00980AC3">
              <w:t>915-730-3</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D6B8A86" w14:textId="3A3BF0BB" w:rsidR="00A04731" w:rsidRPr="007A4DA8" w:rsidRDefault="00A04731" w:rsidP="00A04731">
            <w:pPr>
              <w:spacing w:line="256" w:lineRule="auto"/>
              <w:rPr>
                <w:rFonts w:cs="Arial"/>
              </w:rPr>
            </w:pPr>
            <w:r>
              <w:t>0.9</w:t>
            </w:r>
          </w:p>
        </w:tc>
      </w:tr>
      <w:bookmarkEnd w:id="152"/>
    </w:tbl>
    <w:p w14:paraId="72B8D4EB" w14:textId="77777777" w:rsidR="00056D82" w:rsidRPr="00B27CB1" w:rsidRDefault="00056D82">
      <w:pPr>
        <w:pStyle w:val="Absatz"/>
        <w:rPr>
          <w:lang w:eastAsia="en-US"/>
        </w:rPr>
      </w:pPr>
    </w:p>
    <w:bookmarkEnd w:id="2"/>
    <w:p w14:paraId="47F0CA23" w14:textId="77777777" w:rsidR="009D0C0B" w:rsidRPr="00B27CB1" w:rsidRDefault="009D0C0B">
      <w:pPr>
        <w:tabs>
          <w:tab w:val="left" w:pos="500"/>
        </w:tabs>
        <w:ind w:left="500" w:hanging="500"/>
        <w:rPr>
          <w:lang w:eastAsia="en-US"/>
        </w:rPr>
      </w:pPr>
    </w:p>
    <w:p w14:paraId="7B876BDD" w14:textId="77777777" w:rsidR="009D0C0B" w:rsidRPr="00657948" w:rsidRDefault="00FA480B" w:rsidP="00657948">
      <w:pPr>
        <w:pStyle w:val="Titre3"/>
        <w:rPr>
          <w:rFonts w:eastAsia="Calibri"/>
        </w:rPr>
      </w:pPr>
      <w:bookmarkStart w:id="153" w:name="_Toc87361182"/>
      <w:r w:rsidRPr="00657948">
        <w:t>Packaging of the biocidal product</w:t>
      </w:r>
      <w:bookmarkEnd w:id="153"/>
    </w:p>
    <w:tbl>
      <w:tblPr>
        <w:tblW w:w="9776" w:type="dxa"/>
        <w:tblLayout w:type="fixed"/>
        <w:tblLook w:val="0000" w:firstRow="0" w:lastRow="0" w:firstColumn="0" w:lastColumn="0" w:noHBand="0" w:noVBand="0"/>
      </w:tblPr>
      <w:tblGrid>
        <w:gridCol w:w="864"/>
        <w:gridCol w:w="1403"/>
        <w:gridCol w:w="1272"/>
        <w:gridCol w:w="1276"/>
        <w:gridCol w:w="1417"/>
        <w:gridCol w:w="1843"/>
        <w:gridCol w:w="1701"/>
      </w:tblGrid>
      <w:tr w:rsidR="00012AAF" w:rsidRPr="00B27CB1" w14:paraId="68AB2DF0" w14:textId="77777777" w:rsidTr="00E648D1">
        <w:tc>
          <w:tcPr>
            <w:tcW w:w="864" w:type="dxa"/>
            <w:tcBorders>
              <w:top w:val="single" w:sz="4" w:space="0" w:color="000000"/>
              <w:left w:val="single" w:sz="4" w:space="0" w:color="000000"/>
              <w:bottom w:val="single" w:sz="4" w:space="0" w:color="000000"/>
            </w:tcBorders>
            <w:shd w:val="clear" w:color="auto" w:fill="FFFFCC"/>
          </w:tcPr>
          <w:p w14:paraId="04E4DFBD" w14:textId="2400C88F" w:rsidR="00012AAF" w:rsidRPr="00B27CB1" w:rsidRDefault="00012AAF">
            <w:pPr>
              <w:spacing w:line="260" w:lineRule="atLeast"/>
              <w:rPr>
                <w:rFonts w:eastAsia="Calibri"/>
                <w:b/>
                <w:sz w:val="18"/>
                <w:lang w:eastAsia="en-US"/>
              </w:rPr>
            </w:pPr>
            <w:r>
              <w:rPr>
                <w:rFonts w:eastAsia="Calibri"/>
                <w:b/>
                <w:sz w:val="18"/>
                <w:lang w:eastAsia="en-US"/>
              </w:rPr>
              <w:t>Meta-SPC</w:t>
            </w:r>
          </w:p>
        </w:tc>
        <w:tc>
          <w:tcPr>
            <w:tcW w:w="1403" w:type="dxa"/>
            <w:tcBorders>
              <w:top w:val="single" w:sz="4" w:space="0" w:color="000000"/>
              <w:left w:val="single" w:sz="4" w:space="0" w:color="000000"/>
              <w:bottom w:val="single" w:sz="4" w:space="0" w:color="000000"/>
            </w:tcBorders>
            <w:shd w:val="clear" w:color="auto" w:fill="FFFFCC"/>
          </w:tcPr>
          <w:p w14:paraId="1542049C" w14:textId="7D82257B" w:rsidR="00012AAF" w:rsidRPr="00B27CB1" w:rsidRDefault="00012AAF">
            <w:pPr>
              <w:spacing w:line="260" w:lineRule="atLeast"/>
              <w:rPr>
                <w:rFonts w:eastAsia="Calibri"/>
                <w:b/>
                <w:sz w:val="18"/>
                <w:lang w:eastAsia="en-US"/>
              </w:rPr>
            </w:pPr>
            <w:r w:rsidRPr="00B27CB1">
              <w:rPr>
                <w:rFonts w:eastAsia="Calibri"/>
                <w:b/>
                <w:sz w:val="18"/>
                <w:lang w:eastAsia="en-US"/>
              </w:rPr>
              <w:t xml:space="preserve">Type of packaging </w:t>
            </w:r>
          </w:p>
        </w:tc>
        <w:tc>
          <w:tcPr>
            <w:tcW w:w="1272" w:type="dxa"/>
            <w:tcBorders>
              <w:top w:val="single" w:sz="4" w:space="0" w:color="000000"/>
              <w:left w:val="single" w:sz="4" w:space="0" w:color="000000"/>
              <w:bottom w:val="single" w:sz="4" w:space="0" w:color="000000"/>
            </w:tcBorders>
            <w:shd w:val="clear" w:color="auto" w:fill="FFFFCC"/>
          </w:tcPr>
          <w:p w14:paraId="20B789F3" w14:textId="77777777" w:rsidR="00012AAF" w:rsidRPr="00B27CB1" w:rsidRDefault="00012AAF">
            <w:pPr>
              <w:spacing w:line="260" w:lineRule="atLeast"/>
              <w:rPr>
                <w:rFonts w:eastAsia="Calibri"/>
                <w:b/>
                <w:sz w:val="18"/>
                <w:lang w:eastAsia="en-US"/>
              </w:rPr>
            </w:pPr>
            <w:r w:rsidRPr="00B27CB1">
              <w:rPr>
                <w:rFonts w:eastAsia="Calibri"/>
                <w:b/>
                <w:sz w:val="18"/>
                <w:lang w:eastAsia="en-US"/>
              </w:rPr>
              <w:t>Size/volume of the packaging</w:t>
            </w:r>
          </w:p>
        </w:tc>
        <w:tc>
          <w:tcPr>
            <w:tcW w:w="1276" w:type="dxa"/>
            <w:tcBorders>
              <w:top w:val="single" w:sz="4" w:space="0" w:color="000000"/>
              <w:left w:val="single" w:sz="4" w:space="0" w:color="000000"/>
              <w:bottom w:val="single" w:sz="4" w:space="0" w:color="000000"/>
            </w:tcBorders>
            <w:shd w:val="clear" w:color="auto" w:fill="FFFFCC"/>
          </w:tcPr>
          <w:p w14:paraId="3C33E860" w14:textId="77777777" w:rsidR="00012AAF" w:rsidRPr="00B27CB1" w:rsidRDefault="00012AAF">
            <w:pPr>
              <w:spacing w:line="260" w:lineRule="atLeast"/>
              <w:rPr>
                <w:rFonts w:eastAsia="Calibri"/>
                <w:b/>
                <w:sz w:val="18"/>
                <w:lang w:eastAsia="en-US"/>
              </w:rPr>
            </w:pPr>
            <w:r w:rsidRPr="00B27CB1">
              <w:rPr>
                <w:rFonts w:eastAsia="Calibri"/>
                <w:b/>
                <w:sz w:val="18"/>
                <w:lang w:eastAsia="en-US"/>
              </w:rPr>
              <w:t>Material of the packaging</w:t>
            </w:r>
          </w:p>
        </w:tc>
        <w:tc>
          <w:tcPr>
            <w:tcW w:w="1417" w:type="dxa"/>
            <w:tcBorders>
              <w:top w:val="single" w:sz="4" w:space="0" w:color="000000"/>
              <w:left w:val="single" w:sz="4" w:space="0" w:color="000000"/>
              <w:bottom w:val="single" w:sz="4" w:space="0" w:color="000000"/>
            </w:tcBorders>
            <w:shd w:val="clear" w:color="auto" w:fill="FFFFCC"/>
          </w:tcPr>
          <w:p w14:paraId="2E666E16" w14:textId="77777777" w:rsidR="00012AAF" w:rsidRPr="00B27CB1" w:rsidRDefault="00012AAF">
            <w:pPr>
              <w:spacing w:line="260" w:lineRule="atLeast"/>
              <w:rPr>
                <w:rFonts w:eastAsia="Calibri"/>
                <w:b/>
                <w:sz w:val="18"/>
                <w:lang w:eastAsia="en-US"/>
              </w:rPr>
            </w:pPr>
            <w:r w:rsidRPr="00B27CB1">
              <w:rPr>
                <w:rFonts w:eastAsia="Calibri"/>
                <w:b/>
                <w:sz w:val="18"/>
                <w:lang w:eastAsia="en-US"/>
              </w:rPr>
              <w:t>Type and material of closure(s)</w:t>
            </w:r>
          </w:p>
        </w:tc>
        <w:tc>
          <w:tcPr>
            <w:tcW w:w="1843" w:type="dxa"/>
            <w:tcBorders>
              <w:top w:val="single" w:sz="4" w:space="0" w:color="000000"/>
              <w:left w:val="single" w:sz="4" w:space="0" w:color="000000"/>
              <w:bottom w:val="single" w:sz="4" w:space="0" w:color="000000"/>
            </w:tcBorders>
            <w:shd w:val="clear" w:color="auto" w:fill="FFFFCC"/>
          </w:tcPr>
          <w:p w14:paraId="2A9A1936" w14:textId="77777777" w:rsidR="00012AAF" w:rsidRPr="007A4DA8" w:rsidRDefault="00012AAF">
            <w:pPr>
              <w:spacing w:line="260" w:lineRule="atLeast"/>
              <w:rPr>
                <w:rFonts w:eastAsia="Calibri"/>
                <w:b/>
                <w:sz w:val="18"/>
                <w:lang w:val="fr-FR" w:eastAsia="en-US"/>
              </w:rPr>
            </w:pPr>
            <w:r w:rsidRPr="007A4DA8">
              <w:rPr>
                <w:rFonts w:eastAsia="Calibri"/>
                <w:b/>
                <w:sz w:val="18"/>
                <w:lang w:val="fr-FR" w:eastAsia="en-US"/>
              </w:rPr>
              <w:t>Intended user (e.g. professional, non-professional)</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74C5F093" w14:textId="77777777" w:rsidR="00012AAF" w:rsidRPr="00B27CB1" w:rsidRDefault="00012AAF">
            <w:pPr>
              <w:spacing w:line="260" w:lineRule="atLeast"/>
            </w:pPr>
            <w:r w:rsidRPr="00B27CB1">
              <w:rPr>
                <w:rFonts w:eastAsia="Calibri"/>
                <w:b/>
                <w:sz w:val="18"/>
                <w:lang w:eastAsia="en-US"/>
              </w:rPr>
              <w:t>Compatibility of the product with the proposed packaging materials (Yes/No)</w:t>
            </w:r>
          </w:p>
        </w:tc>
      </w:tr>
      <w:tr w:rsidR="00012AAF" w:rsidRPr="00B27CB1" w14:paraId="09EACF39" w14:textId="77777777" w:rsidTr="00E648D1">
        <w:tc>
          <w:tcPr>
            <w:tcW w:w="864" w:type="dxa"/>
            <w:tcBorders>
              <w:top w:val="single" w:sz="4" w:space="0" w:color="000000"/>
              <w:left w:val="single" w:sz="4" w:space="0" w:color="000000"/>
              <w:bottom w:val="single" w:sz="4" w:space="0" w:color="000000"/>
            </w:tcBorders>
          </w:tcPr>
          <w:p w14:paraId="612E0D7C" w14:textId="69A8EBBC" w:rsidR="00012AAF" w:rsidRPr="00B27CB1" w:rsidRDefault="00012AAF" w:rsidP="00012AAF">
            <w:pPr>
              <w:snapToGrid w:val="0"/>
              <w:spacing w:line="260" w:lineRule="atLeast"/>
              <w:rPr>
                <w:rFonts w:eastAsia="Calibri"/>
                <w:b/>
                <w:sz w:val="18"/>
                <w:lang w:eastAsia="en-US"/>
              </w:rPr>
            </w:pPr>
            <w:r>
              <w:rPr>
                <w:rFonts w:eastAsia="Calibri"/>
                <w:lang w:eastAsia="en-US"/>
              </w:rPr>
              <w:t>1, 2, 3, 4</w:t>
            </w:r>
          </w:p>
        </w:tc>
        <w:tc>
          <w:tcPr>
            <w:tcW w:w="1403" w:type="dxa"/>
            <w:tcBorders>
              <w:top w:val="single" w:sz="4" w:space="0" w:color="000000"/>
              <w:left w:val="single" w:sz="4" w:space="0" w:color="000000"/>
              <w:bottom w:val="single" w:sz="4" w:space="0" w:color="000000"/>
            </w:tcBorders>
            <w:shd w:val="clear" w:color="auto" w:fill="auto"/>
          </w:tcPr>
          <w:p w14:paraId="0A0E37D1" w14:textId="33C65FC0" w:rsidR="00012AAF" w:rsidRPr="00B27CB1" w:rsidRDefault="00012AAF" w:rsidP="00012AAF">
            <w:pPr>
              <w:snapToGrid w:val="0"/>
              <w:spacing w:line="260" w:lineRule="atLeast"/>
              <w:rPr>
                <w:rFonts w:eastAsia="Calibri"/>
                <w:b/>
                <w:sz w:val="18"/>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foam trigger</w:t>
            </w:r>
          </w:p>
        </w:tc>
        <w:tc>
          <w:tcPr>
            <w:tcW w:w="1272" w:type="dxa"/>
            <w:tcBorders>
              <w:top w:val="single" w:sz="4" w:space="0" w:color="000000"/>
              <w:left w:val="single" w:sz="4" w:space="0" w:color="000000"/>
              <w:bottom w:val="single" w:sz="4" w:space="0" w:color="000000"/>
            </w:tcBorders>
            <w:shd w:val="clear" w:color="auto" w:fill="auto"/>
          </w:tcPr>
          <w:p w14:paraId="5E80086B" w14:textId="5C542656" w:rsidR="00012AAF" w:rsidRPr="00B27CB1" w:rsidRDefault="00012AAF" w:rsidP="00012AAF">
            <w:pPr>
              <w:snapToGrid w:val="0"/>
              <w:spacing w:line="260" w:lineRule="atLeast"/>
              <w:rPr>
                <w:rFonts w:eastAsia="Calibri"/>
                <w:lang w:eastAsia="en-US"/>
              </w:rPr>
            </w:pPr>
            <w:r>
              <w:rPr>
                <w:rFonts w:eastAsia="Calibri"/>
                <w:lang w:eastAsia="en-US"/>
              </w:rPr>
              <w:t>750 ml</w:t>
            </w:r>
          </w:p>
        </w:tc>
        <w:tc>
          <w:tcPr>
            <w:tcW w:w="1276" w:type="dxa"/>
            <w:tcBorders>
              <w:top w:val="single" w:sz="4" w:space="0" w:color="000000"/>
              <w:left w:val="single" w:sz="4" w:space="0" w:color="000000"/>
              <w:bottom w:val="single" w:sz="4" w:space="0" w:color="000000"/>
            </w:tcBorders>
            <w:shd w:val="clear" w:color="auto" w:fill="auto"/>
          </w:tcPr>
          <w:p w14:paraId="70CFD340" w14:textId="234F8610" w:rsidR="00012AAF" w:rsidRPr="00B27CB1"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6FE82B0B" w14:textId="3CD6DEF7" w:rsidR="00012AAF" w:rsidRPr="00B27CB1" w:rsidRDefault="00012AAF" w:rsidP="00012AAF">
            <w:pPr>
              <w:snapToGrid w:val="0"/>
              <w:spacing w:line="260" w:lineRule="atLeast"/>
              <w:rPr>
                <w:rFonts w:eastAsia="Calibri"/>
                <w:lang w:eastAsia="en-US"/>
              </w:rPr>
            </w:pPr>
            <w:r>
              <w:rPr>
                <w:rFonts w:eastAsia="Calibri"/>
                <w:lang w:eastAsia="en-US"/>
              </w:rPr>
              <w:t>Trigger cap in plastic: PE, PP</w:t>
            </w:r>
          </w:p>
        </w:tc>
        <w:tc>
          <w:tcPr>
            <w:tcW w:w="1843" w:type="dxa"/>
            <w:tcBorders>
              <w:top w:val="single" w:sz="4" w:space="0" w:color="000000"/>
              <w:left w:val="single" w:sz="4" w:space="0" w:color="000000"/>
              <w:bottom w:val="single" w:sz="4" w:space="0" w:color="000000"/>
            </w:tcBorders>
            <w:shd w:val="clear" w:color="auto" w:fill="auto"/>
          </w:tcPr>
          <w:p w14:paraId="38C83B4F" w14:textId="1A348AB1" w:rsidR="00012AAF" w:rsidRPr="00B27CB1"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981858" w14:textId="6CB95D6C" w:rsidR="00012AAF" w:rsidRPr="00B27CB1"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1CA05DEF" w14:textId="77777777" w:rsidTr="00E648D1">
        <w:tc>
          <w:tcPr>
            <w:tcW w:w="864" w:type="dxa"/>
            <w:tcBorders>
              <w:top w:val="single" w:sz="4" w:space="0" w:color="000000"/>
              <w:left w:val="single" w:sz="4" w:space="0" w:color="000000"/>
              <w:bottom w:val="single" w:sz="4" w:space="0" w:color="000000"/>
            </w:tcBorders>
          </w:tcPr>
          <w:p w14:paraId="0C23FB84" w14:textId="2CAA1FEB" w:rsidR="00012AAF" w:rsidRPr="00B27CB1" w:rsidRDefault="00012AAF" w:rsidP="00012AAF">
            <w:pPr>
              <w:snapToGrid w:val="0"/>
              <w:spacing w:line="260" w:lineRule="atLeast"/>
              <w:rPr>
                <w:rFonts w:eastAsia="Calibri"/>
                <w:lang w:eastAsia="en-US"/>
              </w:rPr>
            </w:pPr>
            <w:r>
              <w:rPr>
                <w:rFonts w:eastAsia="Calibri"/>
                <w:lang w:eastAsia="en-US"/>
              </w:rPr>
              <w:t>4</w:t>
            </w:r>
          </w:p>
        </w:tc>
        <w:tc>
          <w:tcPr>
            <w:tcW w:w="1403" w:type="dxa"/>
            <w:tcBorders>
              <w:top w:val="single" w:sz="4" w:space="0" w:color="000000"/>
              <w:left w:val="single" w:sz="4" w:space="0" w:color="000000"/>
              <w:bottom w:val="single" w:sz="4" w:space="0" w:color="000000"/>
            </w:tcBorders>
            <w:shd w:val="clear" w:color="auto" w:fill="auto"/>
          </w:tcPr>
          <w:p w14:paraId="101C7CE0" w14:textId="0DC7CF49" w:rsidR="00012AAF" w:rsidRPr="00B27CB1" w:rsidRDefault="00012AAF" w:rsidP="00012AAF">
            <w:pPr>
              <w:snapToGrid w:val="0"/>
              <w:spacing w:line="260" w:lineRule="atLeast"/>
              <w:rPr>
                <w:rFonts w:eastAsia="Calibri"/>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spray trigger</w:t>
            </w:r>
          </w:p>
        </w:tc>
        <w:tc>
          <w:tcPr>
            <w:tcW w:w="1272" w:type="dxa"/>
            <w:tcBorders>
              <w:top w:val="single" w:sz="4" w:space="0" w:color="000000"/>
              <w:left w:val="single" w:sz="4" w:space="0" w:color="000000"/>
              <w:bottom w:val="single" w:sz="4" w:space="0" w:color="000000"/>
            </w:tcBorders>
            <w:shd w:val="clear" w:color="auto" w:fill="auto"/>
          </w:tcPr>
          <w:p w14:paraId="2FEF5593" w14:textId="4567D02D" w:rsidR="00012AAF" w:rsidRPr="00B27CB1" w:rsidRDefault="00012AAF" w:rsidP="00012AAF">
            <w:pPr>
              <w:snapToGrid w:val="0"/>
              <w:spacing w:line="260" w:lineRule="atLeast"/>
              <w:rPr>
                <w:rFonts w:eastAsia="Calibri"/>
                <w:lang w:eastAsia="en-US"/>
              </w:rPr>
            </w:pPr>
            <w:r>
              <w:rPr>
                <w:rFonts w:eastAsia="Calibri"/>
                <w:lang w:eastAsia="en-US"/>
              </w:rPr>
              <w:t>750 ml</w:t>
            </w:r>
          </w:p>
        </w:tc>
        <w:tc>
          <w:tcPr>
            <w:tcW w:w="1276" w:type="dxa"/>
            <w:tcBorders>
              <w:top w:val="single" w:sz="4" w:space="0" w:color="000000"/>
              <w:left w:val="single" w:sz="4" w:space="0" w:color="000000"/>
              <w:bottom w:val="single" w:sz="4" w:space="0" w:color="000000"/>
            </w:tcBorders>
            <w:shd w:val="clear" w:color="auto" w:fill="auto"/>
          </w:tcPr>
          <w:p w14:paraId="0BB2A4B9" w14:textId="3AAA3214" w:rsidR="00012AAF" w:rsidRPr="00B27CB1" w:rsidRDefault="00012AAF" w:rsidP="00012AAF">
            <w:pPr>
              <w:snapToGrid w:val="0"/>
              <w:spacing w:line="260" w:lineRule="atLeast"/>
              <w:rPr>
                <w:rFonts w:eastAsia="Calibri"/>
                <w:lang w:eastAsia="en-US"/>
              </w:rPr>
            </w:pPr>
            <w:r>
              <w:rPr>
                <w:rFonts w:eastAsia="Calibri"/>
                <w:lang w:eastAsia="en-US"/>
              </w:rPr>
              <w:t>Plastic: PET</w:t>
            </w:r>
          </w:p>
        </w:tc>
        <w:tc>
          <w:tcPr>
            <w:tcW w:w="1417" w:type="dxa"/>
            <w:tcBorders>
              <w:top w:val="single" w:sz="4" w:space="0" w:color="000000"/>
              <w:left w:val="single" w:sz="4" w:space="0" w:color="000000"/>
              <w:bottom w:val="single" w:sz="4" w:space="0" w:color="000000"/>
            </w:tcBorders>
            <w:shd w:val="clear" w:color="auto" w:fill="auto"/>
          </w:tcPr>
          <w:p w14:paraId="5F660926" w14:textId="2E4FFA0A" w:rsidR="00012AAF" w:rsidRPr="00B27CB1" w:rsidRDefault="00012AAF" w:rsidP="00012AAF">
            <w:pPr>
              <w:snapToGrid w:val="0"/>
              <w:spacing w:line="260" w:lineRule="atLeast"/>
              <w:rPr>
                <w:rFonts w:eastAsia="Calibri"/>
                <w:lang w:eastAsia="en-US"/>
              </w:rPr>
            </w:pPr>
            <w:r>
              <w:rPr>
                <w:rFonts w:eastAsia="Calibri"/>
                <w:lang w:eastAsia="en-US"/>
              </w:rPr>
              <w:t>Trigger cap in plastic: PE, PP</w:t>
            </w:r>
          </w:p>
        </w:tc>
        <w:tc>
          <w:tcPr>
            <w:tcW w:w="1843" w:type="dxa"/>
            <w:tcBorders>
              <w:top w:val="single" w:sz="4" w:space="0" w:color="000000"/>
              <w:left w:val="single" w:sz="4" w:space="0" w:color="000000"/>
              <w:bottom w:val="single" w:sz="4" w:space="0" w:color="000000"/>
            </w:tcBorders>
            <w:shd w:val="clear" w:color="auto" w:fill="auto"/>
          </w:tcPr>
          <w:p w14:paraId="6879DCA1" w14:textId="4D382421" w:rsidR="00012AAF" w:rsidRPr="00B27CB1"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1206EC" w14:textId="7DCEDF4D" w:rsidR="00012AAF" w:rsidRPr="00B27CB1"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2703D5DD" w14:textId="77777777" w:rsidTr="00E648D1">
        <w:tc>
          <w:tcPr>
            <w:tcW w:w="864" w:type="dxa"/>
            <w:tcBorders>
              <w:top w:val="single" w:sz="4" w:space="0" w:color="000000"/>
              <w:left w:val="single" w:sz="4" w:space="0" w:color="000000"/>
              <w:bottom w:val="single" w:sz="4" w:space="0" w:color="000000"/>
            </w:tcBorders>
          </w:tcPr>
          <w:p w14:paraId="4EA34D93" w14:textId="538FEC54" w:rsidR="00012AAF" w:rsidRPr="00B27CB1" w:rsidRDefault="00012AAF" w:rsidP="00012AAF">
            <w:pPr>
              <w:snapToGrid w:val="0"/>
              <w:spacing w:line="260" w:lineRule="atLeast"/>
              <w:rPr>
                <w:rFonts w:eastAsia="Calibri"/>
                <w:lang w:eastAsia="en-US"/>
              </w:rPr>
            </w:pPr>
            <w:r>
              <w:rPr>
                <w:rFonts w:eastAsia="Calibri"/>
                <w:lang w:eastAsia="en-US"/>
              </w:rPr>
              <w:t>1, 2, 3, 4</w:t>
            </w:r>
          </w:p>
        </w:tc>
        <w:tc>
          <w:tcPr>
            <w:tcW w:w="1403" w:type="dxa"/>
            <w:tcBorders>
              <w:top w:val="single" w:sz="4" w:space="0" w:color="000000"/>
              <w:left w:val="single" w:sz="4" w:space="0" w:color="000000"/>
              <w:bottom w:val="single" w:sz="4" w:space="0" w:color="000000"/>
            </w:tcBorders>
            <w:shd w:val="clear" w:color="auto" w:fill="auto"/>
          </w:tcPr>
          <w:p w14:paraId="4F405744" w14:textId="16A7DD3D" w:rsidR="00012AAF" w:rsidRPr="00B27CB1" w:rsidRDefault="00012AAF" w:rsidP="00012AAF">
            <w:pPr>
              <w:snapToGrid w:val="0"/>
              <w:spacing w:line="260" w:lineRule="atLeast"/>
              <w:rPr>
                <w:rFonts w:eastAsia="Calibri"/>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foam trigger</w:t>
            </w:r>
          </w:p>
        </w:tc>
        <w:tc>
          <w:tcPr>
            <w:tcW w:w="1272" w:type="dxa"/>
            <w:tcBorders>
              <w:top w:val="single" w:sz="4" w:space="0" w:color="000000"/>
              <w:left w:val="single" w:sz="4" w:space="0" w:color="000000"/>
              <w:bottom w:val="single" w:sz="4" w:space="0" w:color="000000"/>
            </w:tcBorders>
            <w:shd w:val="clear" w:color="auto" w:fill="auto"/>
          </w:tcPr>
          <w:p w14:paraId="7260A371" w14:textId="40DF17DF" w:rsidR="00012AAF" w:rsidRPr="00B27CB1" w:rsidRDefault="00012AAF" w:rsidP="00012AAF">
            <w:pPr>
              <w:snapToGrid w:val="0"/>
              <w:spacing w:line="260" w:lineRule="atLeast"/>
              <w:rPr>
                <w:rFonts w:eastAsia="Calibri"/>
                <w:lang w:eastAsia="en-US"/>
              </w:rPr>
            </w:pPr>
            <w:r>
              <w:rPr>
                <w:rFonts w:eastAsia="Calibri"/>
                <w:lang w:eastAsia="en-US"/>
              </w:rPr>
              <w:t>750 ml</w:t>
            </w:r>
          </w:p>
        </w:tc>
        <w:tc>
          <w:tcPr>
            <w:tcW w:w="1276" w:type="dxa"/>
            <w:tcBorders>
              <w:top w:val="single" w:sz="4" w:space="0" w:color="000000"/>
              <w:left w:val="single" w:sz="4" w:space="0" w:color="000000"/>
              <w:bottom w:val="single" w:sz="4" w:space="0" w:color="000000"/>
            </w:tcBorders>
            <w:shd w:val="clear" w:color="auto" w:fill="auto"/>
          </w:tcPr>
          <w:p w14:paraId="006B1ACB" w14:textId="49A38E04" w:rsidR="00012AAF" w:rsidRPr="00B27CB1" w:rsidRDefault="00012AAF" w:rsidP="00012AAF">
            <w:pPr>
              <w:snapToGrid w:val="0"/>
              <w:spacing w:line="260" w:lineRule="atLeast"/>
              <w:rPr>
                <w:rFonts w:eastAsia="Calibri"/>
                <w:lang w:eastAsia="en-US"/>
              </w:rPr>
            </w:pPr>
            <w:r>
              <w:rPr>
                <w:rFonts w:eastAsia="Calibri"/>
                <w:lang w:eastAsia="en-US"/>
              </w:rPr>
              <w:t>Plastic: PET</w:t>
            </w:r>
          </w:p>
        </w:tc>
        <w:tc>
          <w:tcPr>
            <w:tcW w:w="1417" w:type="dxa"/>
            <w:tcBorders>
              <w:top w:val="single" w:sz="4" w:space="0" w:color="000000"/>
              <w:left w:val="single" w:sz="4" w:space="0" w:color="000000"/>
              <w:bottom w:val="single" w:sz="4" w:space="0" w:color="000000"/>
            </w:tcBorders>
            <w:shd w:val="clear" w:color="auto" w:fill="auto"/>
          </w:tcPr>
          <w:p w14:paraId="27EF9139" w14:textId="228C1EA6" w:rsidR="00012AAF" w:rsidRPr="00B27CB1" w:rsidRDefault="00012AAF" w:rsidP="00012AAF">
            <w:pPr>
              <w:snapToGrid w:val="0"/>
              <w:spacing w:line="260" w:lineRule="atLeast"/>
              <w:rPr>
                <w:rFonts w:eastAsia="Calibri"/>
                <w:lang w:eastAsia="en-US"/>
              </w:rPr>
            </w:pPr>
            <w:r>
              <w:rPr>
                <w:rFonts w:eastAsia="Calibri"/>
                <w:lang w:eastAsia="en-US"/>
              </w:rPr>
              <w:t>Trigger cap in plastic: PE, PP</w:t>
            </w:r>
          </w:p>
        </w:tc>
        <w:tc>
          <w:tcPr>
            <w:tcW w:w="1843" w:type="dxa"/>
            <w:tcBorders>
              <w:top w:val="single" w:sz="4" w:space="0" w:color="000000"/>
              <w:left w:val="single" w:sz="4" w:space="0" w:color="000000"/>
              <w:bottom w:val="single" w:sz="4" w:space="0" w:color="000000"/>
            </w:tcBorders>
            <w:shd w:val="clear" w:color="auto" w:fill="auto"/>
          </w:tcPr>
          <w:p w14:paraId="2CA30962" w14:textId="74808F0F" w:rsidR="00012AAF" w:rsidRPr="00B27CB1"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ABB322" w14:textId="02FD1A9B" w:rsidR="00012AAF" w:rsidRPr="00B27CB1"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08E7D12C" w14:textId="77777777" w:rsidTr="00E648D1">
        <w:tc>
          <w:tcPr>
            <w:tcW w:w="864" w:type="dxa"/>
            <w:tcBorders>
              <w:top w:val="single" w:sz="4" w:space="0" w:color="000000"/>
              <w:left w:val="single" w:sz="4" w:space="0" w:color="000000"/>
              <w:bottom w:val="single" w:sz="4" w:space="0" w:color="000000"/>
            </w:tcBorders>
          </w:tcPr>
          <w:p w14:paraId="50133EAB" w14:textId="40503610" w:rsidR="00012AAF" w:rsidRDefault="00012AAF" w:rsidP="00012AAF">
            <w:pPr>
              <w:snapToGrid w:val="0"/>
              <w:spacing w:line="260" w:lineRule="atLeast"/>
              <w:rPr>
                <w:rFonts w:eastAsia="Calibri"/>
                <w:lang w:eastAsia="en-US"/>
              </w:rPr>
            </w:pPr>
            <w:r>
              <w:rPr>
                <w:rFonts w:eastAsia="Calibri"/>
                <w:lang w:eastAsia="en-US"/>
              </w:rPr>
              <w:lastRenderedPageBreak/>
              <w:t>1, 2, 3, 4</w:t>
            </w:r>
          </w:p>
        </w:tc>
        <w:tc>
          <w:tcPr>
            <w:tcW w:w="1403" w:type="dxa"/>
            <w:tcBorders>
              <w:top w:val="single" w:sz="4" w:space="0" w:color="000000"/>
              <w:left w:val="single" w:sz="4" w:space="0" w:color="000000"/>
              <w:bottom w:val="single" w:sz="4" w:space="0" w:color="000000"/>
            </w:tcBorders>
            <w:shd w:val="clear" w:color="auto" w:fill="auto"/>
          </w:tcPr>
          <w:p w14:paraId="0D57F6F9" w14:textId="6036DCAD" w:rsidR="00012AAF" w:rsidRDefault="00012AAF" w:rsidP="00012AAF">
            <w:pPr>
              <w:snapToGrid w:val="0"/>
              <w:spacing w:line="260" w:lineRule="atLeast"/>
              <w:rPr>
                <w:rFonts w:eastAsia="Calibri"/>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foam trigger</w:t>
            </w:r>
          </w:p>
        </w:tc>
        <w:tc>
          <w:tcPr>
            <w:tcW w:w="1272" w:type="dxa"/>
            <w:tcBorders>
              <w:top w:val="single" w:sz="4" w:space="0" w:color="000000"/>
              <w:left w:val="single" w:sz="4" w:space="0" w:color="000000"/>
              <w:bottom w:val="single" w:sz="4" w:space="0" w:color="000000"/>
            </w:tcBorders>
            <w:shd w:val="clear" w:color="auto" w:fill="auto"/>
          </w:tcPr>
          <w:p w14:paraId="02AA6190" w14:textId="33BCC306" w:rsidR="00012AAF" w:rsidRDefault="00012AAF" w:rsidP="00012AAF">
            <w:pPr>
              <w:snapToGrid w:val="0"/>
              <w:spacing w:line="260" w:lineRule="atLeast"/>
              <w:rPr>
                <w:rFonts w:eastAsia="Calibri"/>
                <w:lang w:eastAsia="en-US"/>
              </w:rPr>
            </w:pPr>
            <w:r>
              <w:rPr>
                <w:rFonts w:eastAsia="Calibri"/>
                <w:lang w:eastAsia="en-US"/>
              </w:rPr>
              <w:t>500 ml</w:t>
            </w:r>
          </w:p>
        </w:tc>
        <w:tc>
          <w:tcPr>
            <w:tcW w:w="1276" w:type="dxa"/>
            <w:tcBorders>
              <w:top w:val="single" w:sz="4" w:space="0" w:color="000000"/>
              <w:left w:val="single" w:sz="4" w:space="0" w:color="000000"/>
              <w:bottom w:val="single" w:sz="4" w:space="0" w:color="000000"/>
            </w:tcBorders>
            <w:shd w:val="clear" w:color="auto" w:fill="auto"/>
          </w:tcPr>
          <w:p w14:paraId="5D6D8024" w14:textId="6B927F6A"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4CD9D313" w14:textId="6E2EF539" w:rsidR="00012AAF" w:rsidRDefault="00012AAF" w:rsidP="00012AAF">
            <w:pPr>
              <w:snapToGrid w:val="0"/>
              <w:spacing w:line="260" w:lineRule="atLeast"/>
              <w:rPr>
                <w:rFonts w:eastAsia="Calibri"/>
                <w:lang w:eastAsia="en-US"/>
              </w:rPr>
            </w:pPr>
            <w:r>
              <w:rPr>
                <w:rFonts w:eastAsia="Calibri"/>
                <w:lang w:eastAsia="en-US"/>
              </w:rPr>
              <w:t>Trigger cap in plastic: PE, PP</w:t>
            </w:r>
          </w:p>
        </w:tc>
        <w:tc>
          <w:tcPr>
            <w:tcW w:w="1843" w:type="dxa"/>
            <w:tcBorders>
              <w:top w:val="single" w:sz="4" w:space="0" w:color="000000"/>
              <w:left w:val="single" w:sz="4" w:space="0" w:color="000000"/>
              <w:bottom w:val="single" w:sz="4" w:space="0" w:color="000000"/>
            </w:tcBorders>
            <w:shd w:val="clear" w:color="auto" w:fill="auto"/>
          </w:tcPr>
          <w:p w14:paraId="5B836342" w14:textId="1A828551"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83AF45" w14:textId="1C4146C6"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25A6B2EC" w14:textId="77777777" w:rsidTr="00E648D1">
        <w:tc>
          <w:tcPr>
            <w:tcW w:w="864" w:type="dxa"/>
            <w:tcBorders>
              <w:top w:val="single" w:sz="4" w:space="0" w:color="000000"/>
              <w:left w:val="single" w:sz="4" w:space="0" w:color="000000"/>
              <w:bottom w:val="single" w:sz="4" w:space="0" w:color="000000"/>
            </w:tcBorders>
          </w:tcPr>
          <w:p w14:paraId="3A809968" w14:textId="072ADF54" w:rsidR="00012AAF" w:rsidRDefault="00012AAF" w:rsidP="00012AAF">
            <w:pPr>
              <w:snapToGrid w:val="0"/>
              <w:spacing w:line="260" w:lineRule="atLeast"/>
              <w:rPr>
                <w:rFonts w:eastAsia="Calibri"/>
                <w:lang w:eastAsia="en-US"/>
              </w:rPr>
            </w:pPr>
            <w:r>
              <w:rPr>
                <w:rFonts w:eastAsia="Calibri"/>
                <w:lang w:eastAsia="en-US"/>
              </w:rPr>
              <w:t>1, 2, 3, 4</w:t>
            </w:r>
          </w:p>
        </w:tc>
        <w:tc>
          <w:tcPr>
            <w:tcW w:w="1403" w:type="dxa"/>
            <w:tcBorders>
              <w:top w:val="single" w:sz="4" w:space="0" w:color="000000"/>
              <w:left w:val="single" w:sz="4" w:space="0" w:color="000000"/>
              <w:bottom w:val="single" w:sz="4" w:space="0" w:color="000000"/>
            </w:tcBorders>
            <w:shd w:val="clear" w:color="auto" w:fill="auto"/>
          </w:tcPr>
          <w:p w14:paraId="728A0C56" w14:textId="12C659F5" w:rsidR="00012AAF" w:rsidRDefault="00012AAF" w:rsidP="00012AAF">
            <w:pPr>
              <w:snapToGrid w:val="0"/>
              <w:spacing w:line="260" w:lineRule="atLeast"/>
              <w:rPr>
                <w:rFonts w:eastAsia="Calibri"/>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foam trigger</w:t>
            </w:r>
          </w:p>
        </w:tc>
        <w:tc>
          <w:tcPr>
            <w:tcW w:w="1272" w:type="dxa"/>
            <w:tcBorders>
              <w:top w:val="single" w:sz="4" w:space="0" w:color="000000"/>
              <w:left w:val="single" w:sz="4" w:space="0" w:color="000000"/>
              <w:bottom w:val="single" w:sz="4" w:space="0" w:color="000000"/>
            </w:tcBorders>
            <w:shd w:val="clear" w:color="auto" w:fill="auto"/>
          </w:tcPr>
          <w:p w14:paraId="35082C1D" w14:textId="5E75C792" w:rsidR="00012AAF" w:rsidRDefault="00012AAF" w:rsidP="00012AAF">
            <w:pPr>
              <w:snapToGrid w:val="0"/>
              <w:spacing w:line="260" w:lineRule="atLeast"/>
              <w:rPr>
                <w:rFonts w:eastAsia="Calibri"/>
                <w:lang w:eastAsia="en-US"/>
              </w:rPr>
            </w:pPr>
            <w:r>
              <w:rPr>
                <w:rFonts w:eastAsia="Calibri"/>
                <w:lang w:eastAsia="en-US"/>
              </w:rPr>
              <w:t>500 ml</w:t>
            </w:r>
          </w:p>
        </w:tc>
        <w:tc>
          <w:tcPr>
            <w:tcW w:w="1276" w:type="dxa"/>
            <w:tcBorders>
              <w:top w:val="single" w:sz="4" w:space="0" w:color="000000"/>
              <w:left w:val="single" w:sz="4" w:space="0" w:color="000000"/>
              <w:bottom w:val="single" w:sz="4" w:space="0" w:color="000000"/>
            </w:tcBorders>
            <w:shd w:val="clear" w:color="auto" w:fill="auto"/>
          </w:tcPr>
          <w:p w14:paraId="15912B88" w14:textId="67761563" w:rsidR="00012AAF" w:rsidRDefault="00012AAF" w:rsidP="00012AAF">
            <w:pPr>
              <w:snapToGrid w:val="0"/>
              <w:spacing w:line="260" w:lineRule="atLeast"/>
              <w:rPr>
                <w:rFonts w:eastAsia="Calibri"/>
                <w:lang w:eastAsia="en-US"/>
              </w:rPr>
            </w:pPr>
            <w:r>
              <w:rPr>
                <w:rFonts w:eastAsia="Calibri"/>
                <w:lang w:eastAsia="en-US"/>
              </w:rPr>
              <w:t>Plastic: PET</w:t>
            </w:r>
          </w:p>
        </w:tc>
        <w:tc>
          <w:tcPr>
            <w:tcW w:w="1417" w:type="dxa"/>
            <w:tcBorders>
              <w:top w:val="single" w:sz="4" w:space="0" w:color="000000"/>
              <w:left w:val="single" w:sz="4" w:space="0" w:color="000000"/>
              <w:bottom w:val="single" w:sz="4" w:space="0" w:color="000000"/>
            </w:tcBorders>
            <w:shd w:val="clear" w:color="auto" w:fill="auto"/>
          </w:tcPr>
          <w:p w14:paraId="7D3FAF75" w14:textId="381F5FA4" w:rsidR="00012AAF" w:rsidRDefault="00012AAF" w:rsidP="00012AAF">
            <w:pPr>
              <w:snapToGrid w:val="0"/>
              <w:spacing w:line="260" w:lineRule="atLeast"/>
              <w:rPr>
                <w:rFonts w:eastAsia="Calibri"/>
                <w:lang w:eastAsia="en-US"/>
              </w:rPr>
            </w:pPr>
            <w:r>
              <w:rPr>
                <w:rFonts w:eastAsia="Calibri"/>
                <w:lang w:eastAsia="en-US"/>
              </w:rPr>
              <w:t>Trigger cap in plastic: PP, POM, PE, HDPE, EVA, TPE, LDPE</w:t>
            </w:r>
          </w:p>
        </w:tc>
        <w:tc>
          <w:tcPr>
            <w:tcW w:w="1843" w:type="dxa"/>
            <w:tcBorders>
              <w:top w:val="single" w:sz="4" w:space="0" w:color="000000"/>
              <w:left w:val="single" w:sz="4" w:space="0" w:color="000000"/>
              <w:bottom w:val="single" w:sz="4" w:space="0" w:color="000000"/>
            </w:tcBorders>
            <w:shd w:val="clear" w:color="auto" w:fill="auto"/>
          </w:tcPr>
          <w:p w14:paraId="0F3B1E68" w14:textId="26A4E6E7"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0A3BD8" w14:textId="1F3AFAF8"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0ACEFBE5" w14:textId="77777777" w:rsidTr="00E648D1">
        <w:tc>
          <w:tcPr>
            <w:tcW w:w="864" w:type="dxa"/>
            <w:tcBorders>
              <w:top w:val="single" w:sz="4" w:space="0" w:color="000000"/>
              <w:left w:val="single" w:sz="4" w:space="0" w:color="000000"/>
              <w:bottom w:val="single" w:sz="4" w:space="0" w:color="000000"/>
            </w:tcBorders>
          </w:tcPr>
          <w:p w14:paraId="05C2A454" w14:textId="41A24368" w:rsidR="00012AAF" w:rsidRDefault="00012AAF" w:rsidP="00012AAF">
            <w:pPr>
              <w:snapToGrid w:val="0"/>
              <w:spacing w:line="260" w:lineRule="atLeast"/>
              <w:rPr>
                <w:rFonts w:eastAsia="Calibri"/>
                <w:lang w:eastAsia="en-US"/>
              </w:rPr>
            </w:pPr>
            <w:r>
              <w:rPr>
                <w:rFonts w:eastAsia="Calibri"/>
                <w:lang w:eastAsia="en-US"/>
              </w:rPr>
              <w:t>2</w:t>
            </w:r>
          </w:p>
        </w:tc>
        <w:tc>
          <w:tcPr>
            <w:tcW w:w="1403" w:type="dxa"/>
            <w:tcBorders>
              <w:top w:val="single" w:sz="4" w:space="0" w:color="000000"/>
              <w:left w:val="single" w:sz="4" w:space="0" w:color="000000"/>
              <w:bottom w:val="single" w:sz="4" w:space="0" w:color="000000"/>
            </w:tcBorders>
            <w:shd w:val="clear" w:color="auto" w:fill="auto"/>
          </w:tcPr>
          <w:p w14:paraId="1726F05A" w14:textId="0900B4A2" w:rsidR="00012AAF" w:rsidRDefault="00012AAF" w:rsidP="00012AAF">
            <w:pPr>
              <w:snapToGrid w:val="0"/>
              <w:spacing w:line="260" w:lineRule="atLeast"/>
              <w:rPr>
                <w:rFonts w:eastAsia="Calibri"/>
                <w:lang w:eastAsia="en-US"/>
              </w:rPr>
            </w:pPr>
            <w:r>
              <w:rPr>
                <w:rFonts w:eastAsia="Calibri"/>
                <w:lang w:eastAsia="en-US"/>
              </w:rPr>
              <w:t>B</w:t>
            </w:r>
            <w:r w:rsidRPr="00607DE0">
              <w:rPr>
                <w:rFonts w:eastAsia="Calibri"/>
                <w:lang w:eastAsia="en-US"/>
              </w:rPr>
              <w:t xml:space="preserve">ottle with a hand-operated </w:t>
            </w:r>
            <w:r>
              <w:rPr>
                <w:rFonts w:eastAsia="Calibri"/>
                <w:lang w:eastAsia="en-US"/>
              </w:rPr>
              <w:t>foam trigger</w:t>
            </w:r>
          </w:p>
        </w:tc>
        <w:tc>
          <w:tcPr>
            <w:tcW w:w="1272" w:type="dxa"/>
            <w:tcBorders>
              <w:top w:val="single" w:sz="4" w:space="0" w:color="000000"/>
              <w:left w:val="single" w:sz="4" w:space="0" w:color="000000"/>
              <w:bottom w:val="single" w:sz="4" w:space="0" w:color="000000"/>
            </w:tcBorders>
            <w:shd w:val="clear" w:color="auto" w:fill="auto"/>
          </w:tcPr>
          <w:p w14:paraId="4BDF6B43" w14:textId="7B1E5675" w:rsidR="00012AAF" w:rsidRDefault="00012AAF" w:rsidP="00012AAF">
            <w:pPr>
              <w:snapToGrid w:val="0"/>
              <w:spacing w:line="260" w:lineRule="atLeast"/>
              <w:rPr>
                <w:rFonts w:eastAsia="Calibri"/>
                <w:lang w:eastAsia="en-US"/>
              </w:rPr>
            </w:pPr>
            <w:r>
              <w:rPr>
                <w:rFonts w:eastAsia="Calibri"/>
                <w:lang w:eastAsia="en-US"/>
              </w:rPr>
              <w:t>1 L</w:t>
            </w:r>
          </w:p>
        </w:tc>
        <w:tc>
          <w:tcPr>
            <w:tcW w:w="1276" w:type="dxa"/>
            <w:tcBorders>
              <w:top w:val="single" w:sz="4" w:space="0" w:color="000000"/>
              <w:left w:val="single" w:sz="4" w:space="0" w:color="000000"/>
              <w:bottom w:val="single" w:sz="4" w:space="0" w:color="000000"/>
            </w:tcBorders>
            <w:shd w:val="clear" w:color="auto" w:fill="auto"/>
          </w:tcPr>
          <w:p w14:paraId="5522B684" w14:textId="55E7BBC4"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2FC0C33D" w14:textId="361B3262" w:rsidR="00012AAF" w:rsidRDefault="00012AAF" w:rsidP="00012AAF">
            <w:pPr>
              <w:snapToGrid w:val="0"/>
              <w:spacing w:line="260" w:lineRule="atLeast"/>
              <w:rPr>
                <w:rFonts w:eastAsia="Calibri"/>
                <w:lang w:eastAsia="en-US"/>
              </w:rPr>
            </w:pPr>
            <w:r>
              <w:rPr>
                <w:rFonts w:eastAsia="Calibri"/>
                <w:lang w:eastAsia="en-US"/>
              </w:rPr>
              <w:t>Trigger cap in plastic: PP, POM, PE, HDPE, EVA, TPE, LDPE</w:t>
            </w:r>
          </w:p>
        </w:tc>
        <w:tc>
          <w:tcPr>
            <w:tcW w:w="1843" w:type="dxa"/>
            <w:tcBorders>
              <w:top w:val="single" w:sz="4" w:space="0" w:color="000000"/>
              <w:left w:val="single" w:sz="4" w:space="0" w:color="000000"/>
              <w:bottom w:val="single" w:sz="4" w:space="0" w:color="000000"/>
            </w:tcBorders>
            <w:shd w:val="clear" w:color="auto" w:fill="auto"/>
          </w:tcPr>
          <w:p w14:paraId="110EDA79" w14:textId="4C68ADD2"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E0093C" w14:textId="66E1316C"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565B95EC" w14:textId="77777777" w:rsidTr="00E648D1">
        <w:tc>
          <w:tcPr>
            <w:tcW w:w="864" w:type="dxa"/>
            <w:tcBorders>
              <w:top w:val="single" w:sz="4" w:space="0" w:color="000000"/>
              <w:left w:val="single" w:sz="4" w:space="0" w:color="000000"/>
              <w:bottom w:val="single" w:sz="4" w:space="0" w:color="000000"/>
            </w:tcBorders>
          </w:tcPr>
          <w:p w14:paraId="0B91DD4B" w14:textId="129372E0" w:rsidR="00012AAF" w:rsidRDefault="00012AAF" w:rsidP="00012AAF">
            <w:pPr>
              <w:snapToGrid w:val="0"/>
              <w:spacing w:line="260" w:lineRule="atLeast"/>
              <w:rPr>
                <w:rFonts w:eastAsia="Calibri"/>
                <w:lang w:eastAsia="en-US"/>
              </w:rPr>
            </w:pPr>
            <w:r>
              <w:rPr>
                <w:rFonts w:eastAsia="Calibri"/>
                <w:lang w:eastAsia="en-US"/>
              </w:rPr>
              <w:t>8, 10</w:t>
            </w:r>
          </w:p>
        </w:tc>
        <w:tc>
          <w:tcPr>
            <w:tcW w:w="1403" w:type="dxa"/>
            <w:tcBorders>
              <w:top w:val="single" w:sz="4" w:space="0" w:color="000000"/>
              <w:left w:val="single" w:sz="4" w:space="0" w:color="000000"/>
              <w:bottom w:val="single" w:sz="4" w:space="0" w:color="000000"/>
            </w:tcBorders>
            <w:shd w:val="clear" w:color="auto" w:fill="auto"/>
          </w:tcPr>
          <w:p w14:paraId="75E33B4B" w14:textId="3DAAC3AE" w:rsidR="00012AAF" w:rsidRDefault="00012AAF" w:rsidP="00012AAF">
            <w:pPr>
              <w:snapToGrid w:val="0"/>
              <w:spacing w:line="260" w:lineRule="atLeast"/>
              <w:rPr>
                <w:rFonts w:eastAsia="Calibri"/>
                <w:lang w:eastAsia="en-US"/>
              </w:rPr>
            </w:pPr>
            <w:r>
              <w:rPr>
                <w:rFonts w:eastAsia="Calibri"/>
                <w:lang w:eastAsia="en-US"/>
              </w:rPr>
              <w:t>Contactless design bottle with child proof closure</w:t>
            </w:r>
          </w:p>
        </w:tc>
        <w:tc>
          <w:tcPr>
            <w:tcW w:w="1272" w:type="dxa"/>
            <w:tcBorders>
              <w:top w:val="single" w:sz="4" w:space="0" w:color="000000"/>
              <w:left w:val="single" w:sz="4" w:space="0" w:color="000000"/>
              <w:bottom w:val="single" w:sz="4" w:space="0" w:color="000000"/>
            </w:tcBorders>
            <w:shd w:val="clear" w:color="auto" w:fill="auto"/>
          </w:tcPr>
          <w:p w14:paraId="29669D2A" w14:textId="5B21CEEA" w:rsidR="00012AAF" w:rsidRDefault="00012AAF" w:rsidP="00012AAF">
            <w:pPr>
              <w:snapToGrid w:val="0"/>
              <w:spacing w:line="260" w:lineRule="atLeast"/>
              <w:rPr>
                <w:rFonts w:eastAsia="Calibri"/>
                <w:lang w:eastAsia="en-US"/>
              </w:rPr>
            </w:pPr>
            <w:r>
              <w:rPr>
                <w:rFonts w:eastAsia="Calibri"/>
                <w:lang w:eastAsia="en-US"/>
              </w:rPr>
              <w:t>1 L</w:t>
            </w:r>
          </w:p>
        </w:tc>
        <w:tc>
          <w:tcPr>
            <w:tcW w:w="1276" w:type="dxa"/>
            <w:tcBorders>
              <w:top w:val="single" w:sz="4" w:space="0" w:color="000000"/>
              <w:left w:val="single" w:sz="4" w:space="0" w:color="000000"/>
              <w:bottom w:val="single" w:sz="4" w:space="0" w:color="000000"/>
            </w:tcBorders>
            <w:shd w:val="clear" w:color="auto" w:fill="auto"/>
          </w:tcPr>
          <w:p w14:paraId="60A823E8" w14:textId="3B0BC5A5"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2D765858" w14:textId="4DAA0E3A" w:rsidR="00012AAF" w:rsidRDefault="00012AAF" w:rsidP="00012AAF">
            <w:pPr>
              <w:snapToGrid w:val="0"/>
              <w:spacing w:line="260" w:lineRule="atLeast"/>
              <w:rPr>
                <w:rFonts w:eastAsia="Calibri"/>
                <w:lang w:eastAsia="en-US"/>
              </w:rPr>
            </w:pPr>
            <w:r>
              <w:rPr>
                <w:rFonts w:eastAsia="Calibri"/>
                <w:lang w:eastAsia="en-US"/>
              </w:rPr>
              <w:t>Cap in plastic with child proof closure: PP, PE, POM</w:t>
            </w:r>
          </w:p>
        </w:tc>
        <w:tc>
          <w:tcPr>
            <w:tcW w:w="1843" w:type="dxa"/>
            <w:tcBorders>
              <w:top w:val="single" w:sz="4" w:space="0" w:color="000000"/>
              <w:left w:val="single" w:sz="4" w:space="0" w:color="000000"/>
              <w:bottom w:val="single" w:sz="4" w:space="0" w:color="000000"/>
            </w:tcBorders>
            <w:shd w:val="clear" w:color="auto" w:fill="auto"/>
          </w:tcPr>
          <w:p w14:paraId="3027F260" w14:textId="0FF0A542" w:rsidR="00012AAF" w:rsidRDefault="00012AAF" w:rsidP="00012AAF">
            <w:pPr>
              <w:snapToGrid w:val="0"/>
              <w:spacing w:line="260" w:lineRule="atLeast"/>
              <w:rPr>
                <w:rFonts w:eastAsia="Calibri"/>
                <w:lang w:eastAsia="en-US"/>
              </w:rPr>
            </w:pPr>
            <w:r>
              <w:rPr>
                <w:rFonts w:eastAsia="Calibri"/>
                <w:lang w:eastAsia="en-US"/>
              </w:rPr>
              <w:t>Non-professional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8A0E84" w14:textId="1E0094D1"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6EF60D02" w14:textId="77777777" w:rsidTr="00E648D1">
        <w:tc>
          <w:tcPr>
            <w:tcW w:w="864" w:type="dxa"/>
            <w:tcBorders>
              <w:top w:val="single" w:sz="4" w:space="0" w:color="000000"/>
              <w:left w:val="single" w:sz="4" w:space="0" w:color="000000"/>
              <w:bottom w:val="single" w:sz="4" w:space="0" w:color="000000"/>
            </w:tcBorders>
          </w:tcPr>
          <w:p w14:paraId="76576963" w14:textId="705E0AF2" w:rsidR="00012AAF" w:rsidRDefault="00012AAF" w:rsidP="00012AAF">
            <w:pPr>
              <w:snapToGrid w:val="0"/>
              <w:spacing w:line="260" w:lineRule="atLeast"/>
              <w:rPr>
                <w:rFonts w:eastAsia="Calibri"/>
                <w:lang w:eastAsia="en-US"/>
              </w:rPr>
            </w:pPr>
            <w:r>
              <w:rPr>
                <w:rFonts w:eastAsia="Calibri"/>
                <w:lang w:eastAsia="en-US"/>
              </w:rPr>
              <w:t>1, 2, 3, 4, 6, 7, 11, 13</w:t>
            </w:r>
          </w:p>
        </w:tc>
        <w:tc>
          <w:tcPr>
            <w:tcW w:w="1403" w:type="dxa"/>
            <w:tcBorders>
              <w:top w:val="single" w:sz="4" w:space="0" w:color="000000"/>
              <w:left w:val="single" w:sz="4" w:space="0" w:color="000000"/>
              <w:bottom w:val="single" w:sz="4" w:space="0" w:color="000000"/>
            </w:tcBorders>
            <w:shd w:val="clear" w:color="auto" w:fill="auto"/>
          </w:tcPr>
          <w:p w14:paraId="1272E2AB" w14:textId="62D6E49E" w:rsidR="00012AAF" w:rsidRDefault="00012AAF" w:rsidP="00012AAF">
            <w:pPr>
              <w:snapToGrid w:val="0"/>
              <w:spacing w:line="260" w:lineRule="atLeast"/>
              <w:rPr>
                <w:rFonts w:eastAsia="Calibri"/>
                <w:lang w:eastAsia="en-US"/>
              </w:rPr>
            </w:pPr>
            <w:r>
              <w:rPr>
                <w:rFonts w:eastAsia="Calibri"/>
                <w:lang w:eastAsia="en-US"/>
              </w:rPr>
              <w:t>Drum</w:t>
            </w:r>
          </w:p>
        </w:tc>
        <w:tc>
          <w:tcPr>
            <w:tcW w:w="1272" w:type="dxa"/>
            <w:tcBorders>
              <w:top w:val="single" w:sz="4" w:space="0" w:color="000000"/>
              <w:left w:val="single" w:sz="4" w:space="0" w:color="000000"/>
              <w:bottom w:val="single" w:sz="4" w:space="0" w:color="000000"/>
            </w:tcBorders>
            <w:shd w:val="clear" w:color="auto" w:fill="auto"/>
          </w:tcPr>
          <w:p w14:paraId="5C6E7C95" w14:textId="690D613B" w:rsidR="00012AAF" w:rsidRDefault="00012AAF" w:rsidP="00012AAF">
            <w:pPr>
              <w:snapToGrid w:val="0"/>
              <w:spacing w:line="260" w:lineRule="atLeast"/>
              <w:rPr>
                <w:rFonts w:eastAsia="Calibri"/>
                <w:lang w:eastAsia="en-US"/>
              </w:rPr>
            </w:pPr>
            <w:r>
              <w:rPr>
                <w:rFonts w:eastAsia="Calibri"/>
                <w:lang w:eastAsia="en-US"/>
              </w:rPr>
              <w:t>5 L</w:t>
            </w:r>
          </w:p>
        </w:tc>
        <w:tc>
          <w:tcPr>
            <w:tcW w:w="1276" w:type="dxa"/>
            <w:tcBorders>
              <w:top w:val="single" w:sz="4" w:space="0" w:color="000000"/>
              <w:left w:val="single" w:sz="4" w:space="0" w:color="000000"/>
              <w:bottom w:val="single" w:sz="4" w:space="0" w:color="000000"/>
            </w:tcBorders>
            <w:shd w:val="clear" w:color="auto" w:fill="auto"/>
          </w:tcPr>
          <w:p w14:paraId="15AE3E64" w14:textId="4157FA7C"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589C4922" w14:textId="67315005" w:rsidR="00012AAF" w:rsidRDefault="00012AAF" w:rsidP="00012AAF">
            <w:pPr>
              <w:snapToGrid w:val="0"/>
              <w:spacing w:line="260" w:lineRule="atLeast"/>
              <w:rPr>
                <w:rFonts w:eastAsia="Calibri"/>
                <w:lang w:eastAsia="en-US"/>
              </w:rPr>
            </w:pPr>
            <w:r>
              <w:rPr>
                <w:rFonts w:eastAsia="Calibri"/>
                <w:lang w:eastAsia="en-US"/>
              </w:rPr>
              <w:t>Cap in plastic: HDPE, PP</w:t>
            </w:r>
          </w:p>
        </w:tc>
        <w:tc>
          <w:tcPr>
            <w:tcW w:w="1843" w:type="dxa"/>
            <w:tcBorders>
              <w:top w:val="single" w:sz="4" w:space="0" w:color="000000"/>
              <w:left w:val="single" w:sz="4" w:space="0" w:color="000000"/>
              <w:bottom w:val="single" w:sz="4" w:space="0" w:color="000000"/>
            </w:tcBorders>
            <w:shd w:val="clear" w:color="auto" w:fill="auto"/>
          </w:tcPr>
          <w:p w14:paraId="7EAE9023" w14:textId="69D7BC03"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DC9969" w14:textId="1454A405"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3D61A0BB" w14:textId="77777777" w:rsidTr="00E648D1">
        <w:tc>
          <w:tcPr>
            <w:tcW w:w="864" w:type="dxa"/>
            <w:tcBorders>
              <w:top w:val="single" w:sz="4" w:space="0" w:color="000000"/>
              <w:left w:val="single" w:sz="4" w:space="0" w:color="000000"/>
              <w:bottom w:val="single" w:sz="4" w:space="0" w:color="000000"/>
            </w:tcBorders>
          </w:tcPr>
          <w:p w14:paraId="1C4D5647" w14:textId="655FEDB7" w:rsidR="00012AAF" w:rsidRDefault="00012AAF" w:rsidP="00012AAF">
            <w:pPr>
              <w:snapToGrid w:val="0"/>
              <w:spacing w:line="260" w:lineRule="atLeast"/>
              <w:rPr>
                <w:rFonts w:eastAsia="Calibri"/>
                <w:lang w:eastAsia="en-US"/>
              </w:rPr>
            </w:pPr>
            <w:r>
              <w:rPr>
                <w:rFonts w:eastAsia="Calibri"/>
                <w:lang w:eastAsia="en-US"/>
              </w:rPr>
              <w:t>1, 2, 3, 4, 6, 7, 9, 11, 13</w:t>
            </w:r>
          </w:p>
        </w:tc>
        <w:tc>
          <w:tcPr>
            <w:tcW w:w="1403" w:type="dxa"/>
            <w:tcBorders>
              <w:top w:val="single" w:sz="4" w:space="0" w:color="000000"/>
              <w:left w:val="single" w:sz="4" w:space="0" w:color="000000"/>
              <w:bottom w:val="single" w:sz="4" w:space="0" w:color="000000"/>
            </w:tcBorders>
            <w:shd w:val="clear" w:color="auto" w:fill="auto"/>
          </w:tcPr>
          <w:p w14:paraId="5DF3AED1" w14:textId="2C2F5FC5" w:rsidR="00012AAF" w:rsidRDefault="00012AAF" w:rsidP="00012AAF">
            <w:pPr>
              <w:snapToGrid w:val="0"/>
              <w:spacing w:line="260" w:lineRule="atLeast"/>
              <w:rPr>
                <w:rFonts w:eastAsia="Calibri"/>
                <w:lang w:eastAsia="en-US"/>
              </w:rPr>
            </w:pPr>
            <w:r>
              <w:rPr>
                <w:rFonts w:eastAsia="Calibri"/>
                <w:lang w:eastAsia="en-US"/>
              </w:rPr>
              <w:t>Bottle</w:t>
            </w:r>
          </w:p>
        </w:tc>
        <w:tc>
          <w:tcPr>
            <w:tcW w:w="1272" w:type="dxa"/>
            <w:tcBorders>
              <w:top w:val="single" w:sz="4" w:space="0" w:color="000000"/>
              <w:left w:val="single" w:sz="4" w:space="0" w:color="000000"/>
              <w:bottom w:val="single" w:sz="4" w:space="0" w:color="000000"/>
            </w:tcBorders>
            <w:shd w:val="clear" w:color="auto" w:fill="auto"/>
          </w:tcPr>
          <w:p w14:paraId="68867DA3" w14:textId="3079DDB0" w:rsidR="00012AAF" w:rsidRDefault="00012AAF" w:rsidP="00012AAF">
            <w:pPr>
              <w:snapToGrid w:val="0"/>
              <w:spacing w:line="260" w:lineRule="atLeast"/>
              <w:rPr>
                <w:rFonts w:eastAsia="Calibri"/>
                <w:lang w:eastAsia="en-US"/>
              </w:rPr>
            </w:pPr>
            <w:r>
              <w:rPr>
                <w:rFonts w:eastAsia="Calibri"/>
                <w:lang w:eastAsia="en-US"/>
              </w:rPr>
              <w:t>1 L</w:t>
            </w:r>
          </w:p>
        </w:tc>
        <w:tc>
          <w:tcPr>
            <w:tcW w:w="1276" w:type="dxa"/>
            <w:tcBorders>
              <w:top w:val="single" w:sz="4" w:space="0" w:color="000000"/>
              <w:left w:val="single" w:sz="4" w:space="0" w:color="000000"/>
              <w:bottom w:val="single" w:sz="4" w:space="0" w:color="000000"/>
            </w:tcBorders>
            <w:shd w:val="clear" w:color="auto" w:fill="auto"/>
          </w:tcPr>
          <w:p w14:paraId="0A8EBDC5" w14:textId="4E3A699A"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2112E318" w14:textId="31F2096B" w:rsidR="00012AAF" w:rsidRDefault="00012AAF" w:rsidP="00012AAF">
            <w:pPr>
              <w:snapToGrid w:val="0"/>
              <w:spacing w:line="260" w:lineRule="atLeast"/>
              <w:rPr>
                <w:rFonts w:eastAsia="Calibri"/>
                <w:lang w:eastAsia="en-US"/>
              </w:rPr>
            </w:pPr>
            <w:r>
              <w:rPr>
                <w:rFonts w:eastAsia="Calibri"/>
                <w:lang w:eastAsia="en-US"/>
              </w:rPr>
              <w:t>Cap in plastic: PP</w:t>
            </w:r>
          </w:p>
        </w:tc>
        <w:tc>
          <w:tcPr>
            <w:tcW w:w="1843" w:type="dxa"/>
            <w:tcBorders>
              <w:top w:val="single" w:sz="4" w:space="0" w:color="000000"/>
              <w:left w:val="single" w:sz="4" w:space="0" w:color="000000"/>
              <w:bottom w:val="single" w:sz="4" w:space="0" w:color="000000"/>
            </w:tcBorders>
            <w:shd w:val="clear" w:color="auto" w:fill="auto"/>
          </w:tcPr>
          <w:p w14:paraId="6C9ECFDB" w14:textId="2D602ADC"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98F0FB" w14:textId="5D58FD5B"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56C907ED" w14:textId="77777777" w:rsidTr="00E648D1">
        <w:tc>
          <w:tcPr>
            <w:tcW w:w="864" w:type="dxa"/>
            <w:tcBorders>
              <w:top w:val="single" w:sz="4" w:space="0" w:color="000000"/>
              <w:left w:val="single" w:sz="4" w:space="0" w:color="000000"/>
              <w:bottom w:val="single" w:sz="4" w:space="0" w:color="000000"/>
            </w:tcBorders>
          </w:tcPr>
          <w:p w14:paraId="53075482" w14:textId="7941F7EB" w:rsidR="00012AAF" w:rsidRDefault="00012AAF" w:rsidP="00012AAF">
            <w:pPr>
              <w:snapToGrid w:val="0"/>
              <w:spacing w:line="260" w:lineRule="atLeast"/>
              <w:rPr>
                <w:rFonts w:eastAsia="Calibri"/>
                <w:lang w:eastAsia="en-US"/>
              </w:rPr>
            </w:pPr>
            <w:r>
              <w:rPr>
                <w:rFonts w:eastAsia="Calibri"/>
                <w:lang w:eastAsia="en-US"/>
              </w:rPr>
              <w:t>1, 2, 3, 4, 6, 7, 9, 12, 11, 13</w:t>
            </w:r>
          </w:p>
        </w:tc>
        <w:tc>
          <w:tcPr>
            <w:tcW w:w="1403" w:type="dxa"/>
            <w:tcBorders>
              <w:top w:val="single" w:sz="4" w:space="0" w:color="000000"/>
              <w:left w:val="single" w:sz="4" w:space="0" w:color="000000"/>
              <w:bottom w:val="single" w:sz="4" w:space="0" w:color="000000"/>
            </w:tcBorders>
            <w:shd w:val="clear" w:color="auto" w:fill="auto"/>
          </w:tcPr>
          <w:p w14:paraId="5B41F0BE" w14:textId="72D0F6FE" w:rsidR="00012AAF" w:rsidRDefault="00012AAF" w:rsidP="00012AAF">
            <w:pPr>
              <w:snapToGrid w:val="0"/>
              <w:spacing w:line="260" w:lineRule="atLeast"/>
              <w:rPr>
                <w:rFonts w:eastAsia="Calibri"/>
                <w:lang w:eastAsia="en-US"/>
              </w:rPr>
            </w:pPr>
            <w:r>
              <w:rPr>
                <w:rFonts w:eastAsia="Calibri"/>
                <w:lang w:eastAsia="en-US"/>
              </w:rPr>
              <w:t>Bottle</w:t>
            </w:r>
          </w:p>
        </w:tc>
        <w:tc>
          <w:tcPr>
            <w:tcW w:w="1272" w:type="dxa"/>
            <w:tcBorders>
              <w:top w:val="single" w:sz="4" w:space="0" w:color="000000"/>
              <w:left w:val="single" w:sz="4" w:space="0" w:color="000000"/>
              <w:bottom w:val="single" w:sz="4" w:space="0" w:color="000000"/>
            </w:tcBorders>
            <w:shd w:val="clear" w:color="auto" w:fill="auto"/>
          </w:tcPr>
          <w:p w14:paraId="0BBD89FC" w14:textId="55A05B98" w:rsidR="00012AAF" w:rsidRDefault="00012AAF" w:rsidP="00012AAF">
            <w:pPr>
              <w:snapToGrid w:val="0"/>
              <w:spacing w:line="260" w:lineRule="atLeast"/>
              <w:rPr>
                <w:rFonts w:eastAsia="Calibri"/>
                <w:lang w:eastAsia="en-US"/>
              </w:rPr>
            </w:pPr>
            <w:r>
              <w:rPr>
                <w:rFonts w:eastAsia="Calibri"/>
                <w:lang w:eastAsia="en-US"/>
              </w:rPr>
              <w:t>1 L</w:t>
            </w:r>
          </w:p>
        </w:tc>
        <w:tc>
          <w:tcPr>
            <w:tcW w:w="1276" w:type="dxa"/>
            <w:tcBorders>
              <w:top w:val="single" w:sz="4" w:space="0" w:color="000000"/>
              <w:left w:val="single" w:sz="4" w:space="0" w:color="000000"/>
              <w:bottom w:val="single" w:sz="4" w:space="0" w:color="000000"/>
            </w:tcBorders>
            <w:shd w:val="clear" w:color="auto" w:fill="auto"/>
          </w:tcPr>
          <w:p w14:paraId="01633DAD" w14:textId="03E6B0A9"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5741C101" w14:textId="44140016" w:rsidR="00012AAF" w:rsidRDefault="00012AAF" w:rsidP="00012AAF">
            <w:pPr>
              <w:snapToGrid w:val="0"/>
              <w:spacing w:line="260" w:lineRule="atLeast"/>
              <w:rPr>
                <w:rFonts w:eastAsia="Calibri"/>
                <w:lang w:eastAsia="en-US"/>
              </w:rPr>
            </w:pPr>
            <w:r>
              <w:rPr>
                <w:rFonts w:eastAsia="Calibri"/>
                <w:lang w:eastAsia="en-US"/>
              </w:rPr>
              <w:t>Cap with directional nozzle in plastic: PP</w:t>
            </w:r>
          </w:p>
        </w:tc>
        <w:tc>
          <w:tcPr>
            <w:tcW w:w="1843" w:type="dxa"/>
            <w:tcBorders>
              <w:top w:val="single" w:sz="4" w:space="0" w:color="000000"/>
              <w:left w:val="single" w:sz="4" w:space="0" w:color="000000"/>
              <w:bottom w:val="single" w:sz="4" w:space="0" w:color="000000"/>
            </w:tcBorders>
            <w:shd w:val="clear" w:color="auto" w:fill="auto"/>
          </w:tcPr>
          <w:p w14:paraId="1096352F" w14:textId="4E542AC7"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8307A4" w14:textId="0DF9E585"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4E898D39" w14:textId="77777777" w:rsidTr="00E648D1">
        <w:tc>
          <w:tcPr>
            <w:tcW w:w="864" w:type="dxa"/>
            <w:tcBorders>
              <w:top w:val="single" w:sz="4" w:space="0" w:color="000000"/>
              <w:left w:val="single" w:sz="4" w:space="0" w:color="000000"/>
              <w:bottom w:val="single" w:sz="4" w:space="0" w:color="000000"/>
            </w:tcBorders>
          </w:tcPr>
          <w:p w14:paraId="0F3CFD0F" w14:textId="0DFBA0FF" w:rsidR="00012AAF" w:rsidRDefault="00012AAF" w:rsidP="00012AAF">
            <w:pPr>
              <w:snapToGrid w:val="0"/>
              <w:spacing w:line="260" w:lineRule="atLeast"/>
              <w:rPr>
                <w:rFonts w:eastAsia="Calibri"/>
                <w:lang w:eastAsia="en-US"/>
              </w:rPr>
            </w:pPr>
            <w:r>
              <w:rPr>
                <w:rFonts w:eastAsia="Calibri"/>
                <w:lang w:eastAsia="en-US"/>
              </w:rPr>
              <w:t>1, 2, 3, 4, 6, 7, 9, 11, 13</w:t>
            </w:r>
          </w:p>
        </w:tc>
        <w:tc>
          <w:tcPr>
            <w:tcW w:w="1403" w:type="dxa"/>
            <w:tcBorders>
              <w:top w:val="single" w:sz="4" w:space="0" w:color="000000"/>
              <w:left w:val="single" w:sz="4" w:space="0" w:color="000000"/>
              <w:bottom w:val="single" w:sz="4" w:space="0" w:color="000000"/>
            </w:tcBorders>
            <w:shd w:val="clear" w:color="auto" w:fill="auto"/>
          </w:tcPr>
          <w:p w14:paraId="31C4F09B" w14:textId="095C0F96" w:rsidR="00012AAF" w:rsidRDefault="00012AAF" w:rsidP="00012AAF">
            <w:pPr>
              <w:snapToGrid w:val="0"/>
              <w:spacing w:line="260" w:lineRule="atLeast"/>
              <w:rPr>
                <w:rFonts w:eastAsia="Calibri"/>
                <w:lang w:eastAsia="en-US"/>
              </w:rPr>
            </w:pPr>
            <w:r>
              <w:rPr>
                <w:rFonts w:eastAsia="Calibri"/>
                <w:lang w:eastAsia="en-US"/>
              </w:rPr>
              <w:t>Bottle</w:t>
            </w:r>
          </w:p>
        </w:tc>
        <w:tc>
          <w:tcPr>
            <w:tcW w:w="1272" w:type="dxa"/>
            <w:tcBorders>
              <w:top w:val="single" w:sz="4" w:space="0" w:color="000000"/>
              <w:left w:val="single" w:sz="4" w:space="0" w:color="000000"/>
              <w:bottom w:val="single" w:sz="4" w:space="0" w:color="000000"/>
            </w:tcBorders>
            <w:shd w:val="clear" w:color="auto" w:fill="auto"/>
          </w:tcPr>
          <w:p w14:paraId="6B4F4113" w14:textId="2BCEA2C5" w:rsidR="00012AAF" w:rsidRDefault="00012AAF" w:rsidP="00012AAF">
            <w:pPr>
              <w:snapToGrid w:val="0"/>
              <w:spacing w:line="260" w:lineRule="atLeast"/>
              <w:rPr>
                <w:rFonts w:eastAsia="Calibri"/>
                <w:lang w:eastAsia="en-US"/>
              </w:rPr>
            </w:pPr>
            <w:r>
              <w:rPr>
                <w:rFonts w:eastAsia="Calibri"/>
                <w:lang w:eastAsia="en-US"/>
              </w:rPr>
              <w:t>1 L</w:t>
            </w:r>
          </w:p>
        </w:tc>
        <w:tc>
          <w:tcPr>
            <w:tcW w:w="1276" w:type="dxa"/>
            <w:tcBorders>
              <w:top w:val="single" w:sz="4" w:space="0" w:color="000000"/>
              <w:left w:val="single" w:sz="4" w:space="0" w:color="000000"/>
              <w:bottom w:val="single" w:sz="4" w:space="0" w:color="000000"/>
            </w:tcBorders>
            <w:shd w:val="clear" w:color="auto" w:fill="auto"/>
          </w:tcPr>
          <w:p w14:paraId="5A805CC7" w14:textId="314718AA" w:rsidR="00012AAF" w:rsidRDefault="00012AAF" w:rsidP="00012AAF">
            <w:pPr>
              <w:snapToGrid w:val="0"/>
              <w:spacing w:line="260" w:lineRule="atLeast"/>
              <w:rPr>
                <w:rFonts w:eastAsia="Calibri"/>
                <w:lang w:eastAsia="en-US"/>
              </w:rPr>
            </w:pPr>
            <w:r>
              <w:rPr>
                <w:rFonts w:eastAsia="Calibri"/>
                <w:lang w:eastAsia="en-US"/>
              </w:rPr>
              <w:t>Plastic: PET</w:t>
            </w:r>
          </w:p>
        </w:tc>
        <w:tc>
          <w:tcPr>
            <w:tcW w:w="1417" w:type="dxa"/>
            <w:tcBorders>
              <w:top w:val="single" w:sz="4" w:space="0" w:color="000000"/>
              <w:left w:val="single" w:sz="4" w:space="0" w:color="000000"/>
              <w:bottom w:val="single" w:sz="4" w:space="0" w:color="000000"/>
            </w:tcBorders>
            <w:shd w:val="clear" w:color="auto" w:fill="auto"/>
          </w:tcPr>
          <w:p w14:paraId="09742745" w14:textId="0F89F4F9" w:rsidR="00012AAF" w:rsidRDefault="00012AAF" w:rsidP="00012AAF">
            <w:pPr>
              <w:snapToGrid w:val="0"/>
              <w:spacing w:line="260" w:lineRule="atLeast"/>
              <w:rPr>
                <w:rFonts w:eastAsia="Calibri"/>
                <w:lang w:eastAsia="en-US"/>
              </w:rPr>
            </w:pPr>
            <w:r>
              <w:rPr>
                <w:rFonts w:eastAsia="Calibri"/>
                <w:lang w:eastAsia="en-US"/>
              </w:rPr>
              <w:t>Cap in plastic: PET, PP, PE</w:t>
            </w:r>
          </w:p>
        </w:tc>
        <w:tc>
          <w:tcPr>
            <w:tcW w:w="1843" w:type="dxa"/>
            <w:tcBorders>
              <w:top w:val="single" w:sz="4" w:space="0" w:color="000000"/>
              <w:left w:val="single" w:sz="4" w:space="0" w:color="000000"/>
              <w:bottom w:val="single" w:sz="4" w:space="0" w:color="000000"/>
            </w:tcBorders>
            <w:shd w:val="clear" w:color="auto" w:fill="auto"/>
          </w:tcPr>
          <w:p w14:paraId="481347E6" w14:textId="3A87A550"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BA277C" w14:textId="00DDB207"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4B3D8BF6" w14:textId="77777777" w:rsidTr="00E648D1">
        <w:tc>
          <w:tcPr>
            <w:tcW w:w="864" w:type="dxa"/>
            <w:tcBorders>
              <w:top w:val="single" w:sz="4" w:space="0" w:color="000000"/>
              <w:left w:val="single" w:sz="4" w:space="0" w:color="000000"/>
              <w:bottom w:val="single" w:sz="4" w:space="0" w:color="000000"/>
            </w:tcBorders>
          </w:tcPr>
          <w:p w14:paraId="0DA74480" w14:textId="132F32C3"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64FB9526" w14:textId="14BB26E1" w:rsidR="00012AAF" w:rsidRDefault="00012AAF" w:rsidP="00012AAF">
            <w:pPr>
              <w:snapToGrid w:val="0"/>
              <w:spacing w:line="260" w:lineRule="atLeast"/>
              <w:rPr>
                <w:rFonts w:eastAsia="Calibri"/>
                <w:lang w:eastAsia="en-US"/>
              </w:rPr>
            </w:pPr>
            <w:r>
              <w:rPr>
                <w:rFonts w:eastAsia="Calibri"/>
                <w:lang w:eastAsia="en-US"/>
              </w:rPr>
              <w:t>Drum</w:t>
            </w:r>
          </w:p>
        </w:tc>
        <w:tc>
          <w:tcPr>
            <w:tcW w:w="1272" w:type="dxa"/>
            <w:tcBorders>
              <w:top w:val="single" w:sz="4" w:space="0" w:color="000000"/>
              <w:left w:val="single" w:sz="4" w:space="0" w:color="000000"/>
              <w:bottom w:val="single" w:sz="4" w:space="0" w:color="000000"/>
            </w:tcBorders>
            <w:shd w:val="clear" w:color="auto" w:fill="auto"/>
          </w:tcPr>
          <w:p w14:paraId="2295CAEB" w14:textId="6ACF3684" w:rsidR="00012AAF" w:rsidRDefault="00012AAF" w:rsidP="00012AAF">
            <w:pPr>
              <w:snapToGrid w:val="0"/>
              <w:spacing w:line="260" w:lineRule="atLeast"/>
              <w:rPr>
                <w:rFonts w:eastAsia="Calibri"/>
                <w:lang w:eastAsia="en-US"/>
              </w:rPr>
            </w:pPr>
            <w:r>
              <w:rPr>
                <w:rFonts w:eastAsia="Calibri"/>
                <w:lang w:eastAsia="en-US"/>
              </w:rPr>
              <w:t>10 L</w:t>
            </w:r>
          </w:p>
        </w:tc>
        <w:tc>
          <w:tcPr>
            <w:tcW w:w="1276" w:type="dxa"/>
            <w:tcBorders>
              <w:top w:val="single" w:sz="4" w:space="0" w:color="000000"/>
              <w:left w:val="single" w:sz="4" w:space="0" w:color="000000"/>
              <w:bottom w:val="single" w:sz="4" w:space="0" w:color="000000"/>
            </w:tcBorders>
            <w:shd w:val="clear" w:color="auto" w:fill="auto"/>
          </w:tcPr>
          <w:p w14:paraId="6796535D" w14:textId="2A6B494F"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0D090742" w14:textId="70E83024" w:rsidR="00012AAF" w:rsidRDefault="00012AAF" w:rsidP="00012AAF">
            <w:pPr>
              <w:snapToGrid w:val="0"/>
              <w:spacing w:line="260" w:lineRule="atLeast"/>
              <w:rPr>
                <w:rFonts w:eastAsia="Calibri"/>
                <w:lang w:eastAsia="en-US"/>
              </w:rPr>
            </w:pPr>
            <w:r>
              <w:rPr>
                <w:rFonts w:eastAsia="Calibri"/>
                <w:lang w:eastAsia="en-US"/>
              </w:rPr>
              <w:t>Cap in plastic: PE</w:t>
            </w:r>
          </w:p>
        </w:tc>
        <w:tc>
          <w:tcPr>
            <w:tcW w:w="1843" w:type="dxa"/>
            <w:tcBorders>
              <w:top w:val="single" w:sz="4" w:space="0" w:color="000000"/>
              <w:left w:val="single" w:sz="4" w:space="0" w:color="000000"/>
              <w:bottom w:val="single" w:sz="4" w:space="0" w:color="000000"/>
            </w:tcBorders>
            <w:shd w:val="clear" w:color="auto" w:fill="auto"/>
          </w:tcPr>
          <w:p w14:paraId="2E6814BE" w14:textId="168BCA1E"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F0857A" w14:textId="0BD5B040"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143553AD" w14:textId="77777777" w:rsidTr="00E648D1">
        <w:tc>
          <w:tcPr>
            <w:tcW w:w="864" w:type="dxa"/>
            <w:tcBorders>
              <w:top w:val="single" w:sz="4" w:space="0" w:color="000000"/>
              <w:left w:val="single" w:sz="4" w:space="0" w:color="000000"/>
              <w:bottom w:val="single" w:sz="4" w:space="0" w:color="000000"/>
            </w:tcBorders>
          </w:tcPr>
          <w:p w14:paraId="6F5CFE06" w14:textId="5CD7BFD4" w:rsidR="00012AAF" w:rsidRDefault="00012AAF" w:rsidP="00012AAF">
            <w:pPr>
              <w:snapToGrid w:val="0"/>
              <w:spacing w:line="260" w:lineRule="atLeast"/>
              <w:rPr>
                <w:rFonts w:eastAsia="Calibri"/>
                <w:lang w:eastAsia="en-US"/>
              </w:rPr>
            </w:pPr>
            <w:r>
              <w:rPr>
                <w:rFonts w:eastAsia="Calibri"/>
                <w:lang w:eastAsia="en-US"/>
              </w:rPr>
              <w:t>6</w:t>
            </w:r>
          </w:p>
        </w:tc>
        <w:tc>
          <w:tcPr>
            <w:tcW w:w="1403" w:type="dxa"/>
            <w:tcBorders>
              <w:top w:val="single" w:sz="4" w:space="0" w:color="000000"/>
              <w:left w:val="single" w:sz="4" w:space="0" w:color="000000"/>
              <w:bottom w:val="single" w:sz="4" w:space="0" w:color="000000"/>
            </w:tcBorders>
            <w:shd w:val="clear" w:color="auto" w:fill="auto"/>
          </w:tcPr>
          <w:p w14:paraId="5D8A16A7" w14:textId="5BE719C1" w:rsidR="00012AAF" w:rsidRDefault="00012AAF" w:rsidP="00012AAF">
            <w:pPr>
              <w:snapToGrid w:val="0"/>
              <w:spacing w:line="260" w:lineRule="atLeast"/>
              <w:rPr>
                <w:rFonts w:eastAsia="Calibri"/>
                <w:lang w:eastAsia="en-US"/>
              </w:rPr>
            </w:pPr>
            <w:r>
              <w:rPr>
                <w:rFonts w:eastAsia="Calibri"/>
                <w:lang w:eastAsia="en-US"/>
              </w:rPr>
              <w:t>Caps</w:t>
            </w:r>
          </w:p>
        </w:tc>
        <w:tc>
          <w:tcPr>
            <w:tcW w:w="1272" w:type="dxa"/>
            <w:tcBorders>
              <w:top w:val="single" w:sz="4" w:space="0" w:color="000000"/>
              <w:left w:val="single" w:sz="4" w:space="0" w:color="000000"/>
              <w:bottom w:val="single" w:sz="4" w:space="0" w:color="000000"/>
            </w:tcBorders>
            <w:shd w:val="clear" w:color="auto" w:fill="auto"/>
          </w:tcPr>
          <w:p w14:paraId="1593E2DB" w14:textId="4BD3F6FA" w:rsidR="00012AAF" w:rsidRDefault="00012AAF" w:rsidP="00012AAF">
            <w:pPr>
              <w:snapToGrid w:val="0"/>
              <w:spacing w:line="260" w:lineRule="atLeast"/>
              <w:rPr>
                <w:rFonts w:eastAsia="Calibri"/>
                <w:lang w:eastAsia="en-US"/>
              </w:rPr>
            </w:pPr>
            <w:r>
              <w:rPr>
                <w:rFonts w:eastAsia="Calibri"/>
                <w:lang w:eastAsia="en-US"/>
              </w:rPr>
              <w:t>20 ml</w:t>
            </w:r>
          </w:p>
        </w:tc>
        <w:tc>
          <w:tcPr>
            <w:tcW w:w="1276" w:type="dxa"/>
            <w:tcBorders>
              <w:top w:val="single" w:sz="4" w:space="0" w:color="000000"/>
              <w:left w:val="single" w:sz="4" w:space="0" w:color="000000"/>
              <w:bottom w:val="single" w:sz="4" w:space="0" w:color="000000"/>
            </w:tcBorders>
            <w:shd w:val="clear" w:color="auto" w:fill="auto"/>
          </w:tcPr>
          <w:p w14:paraId="6572AB65" w14:textId="1DB6A3F2" w:rsidR="00012AAF" w:rsidRDefault="00012AAF" w:rsidP="00012AAF">
            <w:pPr>
              <w:snapToGrid w:val="0"/>
              <w:spacing w:line="260" w:lineRule="atLeast"/>
              <w:rPr>
                <w:rFonts w:eastAsia="Calibri"/>
                <w:lang w:eastAsia="en-US"/>
              </w:rPr>
            </w:pPr>
            <w:r>
              <w:rPr>
                <w:rFonts w:eastAsia="Calibri"/>
                <w:lang w:eastAsia="en-US"/>
              </w:rPr>
              <w:t>Plastic: HDPE, LDPE</w:t>
            </w:r>
          </w:p>
        </w:tc>
        <w:tc>
          <w:tcPr>
            <w:tcW w:w="1417" w:type="dxa"/>
            <w:tcBorders>
              <w:top w:val="single" w:sz="4" w:space="0" w:color="000000"/>
              <w:left w:val="single" w:sz="4" w:space="0" w:color="000000"/>
              <w:bottom w:val="single" w:sz="4" w:space="0" w:color="000000"/>
            </w:tcBorders>
            <w:shd w:val="clear" w:color="auto" w:fill="auto"/>
          </w:tcPr>
          <w:p w14:paraId="7B263899" w14:textId="02BC4D90" w:rsidR="00012AAF" w:rsidRDefault="00012AAF" w:rsidP="00012AAF">
            <w:pPr>
              <w:snapToGrid w:val="0"/>
              <w:spacing w:line="260" w:lineRule="atLeast"/>
              <w:rPr>
                <w:rFonts w:eastAsia="Calibri"/>
                <w:lang w:eastAsia="en-US"/>
              </w:rPr>
            </w:pPr>
            <w:r>
              <w:rPr>
                <w:rFonts w:eastAsia="Calibri"/>
                <w:lang w:eastAsia="en-US"/>
              </w:rPr>
              <w:t>/</w:t>
            </w:r>
          </w:p>
        </w:tc>
        <w:tc>
          <w:tcPr>
            <w:tcW w:w="1843" w:type="dxa"/>
            <w:tcBorders>
              <w:top w:val="single" w:sz="4" w:space="0" w:color="000000"/>
              <w:left w:val="single" w:sz="4" w:space="0" w:color="000000"/>
              <w:bottom w:val="single" w:sz="4" w:space="0" w:color="000000"/>
            </w:tcBorders>
            <w:shd w:val="clear" w:color="auto" w:fill="auto"/>
          </w:tcPr>
          <w:p w14:paraId="04564FE7" w14:textId="0CF84E34"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41061" w14:textId="2CDCDFE9"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46ECBC20" w14:textId="77777777" w:rsidTr="00E648D1">
        <w:tc>
          <w:tcPr>
            <w:tcW w:w="864" w:type="dxa"/>
            <w:tcBorders>
              <w:top w:val="single" w:sz="4" w:space="0" w:color="000000"/>
              <w:left w:val="single" w:sz="4" w:space="0" w:color="000000"/>
              <w:bottom w:val="single" w:sz="4" w:space="0" w:color="000000"/>
            </w:tcBorders>
          </w:tcPr>
          <w:p w14:paraId="2D287685" w14:textId="02F9E182" w:rsidR="00012AAF" w:rsidRDefault="00012AAF" w:rsidP="00012AAF">
            <w:pPr>
              <w:snapToGrid w:val="0"/>
              <w:spacing w:line="260" w:lineRule="atLeast"/>
              <w:rPr>
                <w:rFonts w:eastAsia="Calibri"/>
                <w:lang w:eastAsia="en-US"/>
              </w:rPr>
            </w:pPr>
            <w:r>
              <w:rPr>
                <w:rFonts w:eastAsia="Calibri"/>
                <w:lang w:eastAsia="en-US"/>
              </w:rPr>
              <w:lastRenderedPageBreak/>
              <w:t>1, 2, 3, 4, 6, 7, 9, 11, 13</w:t>
            </w:r>
          </w:p>
        </w:tc>
        <w:tc>
          <w:tcPr>
            <w:tcW w:w="1403" w:type="dxa"/>
            <w:tcBorders>
              <w:top w:val="single" w:sz="4" w:space="0" w:color="000000"/>
              <w:left w:val="single" w:sz="4" w:space="0" w:color="000000"/>
              <w:bottom w:val="single" w:sz="4" w:space="0" w:color="000000"/>
            </w:tcBorders>
            <w:shd w:val="clear" w:color="auto" w:fill="auto"/>
          </w:tcPr>
          <w:p w14:paraId="0457A32A" w14:textId="474CEF73" w:rsidR="00012AAF" w:rsidRDefault="00012AAF" w:rsidP="00012AAF">
            <w:pPr>
              <w:snapToGrid w:val="0"/>
              <w:spacing w:line="260" w:lineRule="atLeast"/>
              <w:rPr>
                <w:rFonts w:eastAsia="Calibri"/>
                <w:lang w:eastAsia="en-US"/>
              </w:rPr>
            </w:pPr>
            <w:r>
              <w:rPr>
                <w:rFonts w:eastAsia="Calibri"/>
                <w:lang w:eastAsia="en-US"/>
              </w:rPr>
              <w:t>Drum</w:t>
            </w:r>
          </w:p>
        </w:tc>
        <w:tc>
          <w:tcPr>
            <w:tcW w:w="1272" w:type="dxa"/>
            <w:tcBorders>
              <w:top w:val="single" w:sz="4" w:space="0" w:color="000000"/>
              <w:left w:val="single" w:sz="4" w:space="0" w:color="000000"/>
              <w:bottom w:val="single" w:sz="4" w:space="0" w:color="000000"/>
            </w:tcBorders>
            <w:shd w:val="clear" w:color="auto" w:fill="auto"/>
          </w:tcPr>
          <w:p w14:paraId="311B2361" w14:textId="6D8AE399" w:rsidR="00012AAF" w:rsidRDefault="00012AAF" w:rsidP="00012AAF">
            <w:pPr>
              <w:snapToGrid w:val="0"/>
              <w:spacing w:line="260" w:lineRule="atLeast"/>
              <w:rPr>
                <w:rFonts w:eastAsia="Calibri"/>
                <w:lang w:eastAsia="en-US"/>
              </w:rPr>
            </w:pPr>
            <w:r>
              <w:rPr>
                <w:rFonts w:eastAsia="Calibri"/>
                <w:lang w:eastAsia="en-US"/>
              </w:rPr>
              <w:t>5 L</w:t>
            </w:r>
          </w:p>
        </w:tc>
        <w:tc>
          <w:tcPr>
            <w:tcW w:w="1276" w:type="dxa"/>
            <w:tcBorders>
              <w:top w:val="single" w:sz="4" w:space="0" w:color="000000"/>
              <w:left w:val="single" w:sz="4" w:space="0" w:color="000000"/>
              <w:bottom w:val="single" w:sz="4" w:space="0" w:color="000000"/>
            </w:tcBorders>
            <w:shd w:val="clear" w:color="auto" w:fill="auto"/>
          </w:tcPr>
          <w:p w14:paraId="7928FEA6" w14:textId="044A46BE" w:rsidR="00012AAF" w:rsidRDefault="00012AAF" w:rsidP="00012AAF">
            <w:pPr>
              <w:snapToGrid w:val="0"/>
              <w:spacing w:line="260" w:lineRule="atLeast"/>
              <w:rPr>
                <w:rFonts w:eastAsia="Calibri"/>
                <w:lang w:eastAsia="en-US"/>
              </w:rPr>
            </w:pPr>
            <w:r>
              <w:rPr>
                <w:rFonts w:eastAsia="Calibri"/>
                <w:lang w:eastAsia="en-US"/>
              </w:rPr>
              <w:t>Plastic: HDPE, Adhesive, Nylon polyamide</w:t>
            </w:r>
          </w:p>
        </w:tc>
        <w:tc>
          <w:tcPr>
            <w:tcW w:w="1417" w:type="dxa"/>
            <w:tcBorders>
              <w:top w:val="single" w:sz="4" w:space="0" w:color="000000"/>
              <w:left w:val="single" w:sz="4" w:space="0" w:color="000000"/>
              <w:bottom w:val="single" w:sz="4" w:space="0" w:color="000000"/>
            </w:tcBorders>
            <w:shd w:val="clear" w:color="auto" w:fill="auto"/>
          </w:tcPr>
          <w:p w14:paraId="34BE3246" w14:textId="308898B4" w:rsidR="00012AAF" w:rsidRDefault="00012AAF" w:rsidP="00012AAF">
            <w:pPr>
              <w:snapToGrid w:val="0"/>
              <w:spacing w:line="260" w:lineRule="atLeast"/>
              <w:rPr>
                <w:rFonts w:eastAsia="Calibri"/>
                <w:lang w:eastAsia="en-US"/>
              </w:rPr>
            </w:pPr>
            <w:r>
              <w:rPr>
                <w:rFonts w:eastAsia="Calibri"/>
                <w:lang w:eastAsia="en-US"/>
              </w:rPr>
              <w:t>Cap in plastic: LDPE, PP, HDPE</w:t>
            </w:r>
          </w:p>
        </w:tc>
        <w:tc>
          <w:tcPr>
            <w:tcW w:w="1843" w:type="dxa"/>
            <w:tcBorders>
              <w:top w:val="single" w:sz="4" w:space="0" w:color="000000"/>
              <w:left w:val="single" w:sz="4" w:space="0" w:color="000000"/>
              <w:bottom w:val="single" w:sz="4" w:space="0" w:color="000000"/>
            </w:tcBorders>
            <w:shd w:val="clear" w:color="auto" w:fill="auto"/>
          </w:tcPr>
          <w:p w14:paraId="7F9B6697" w14:textId="0356F548" w:rsidR="00012AAF" w:rsidRDefault="00012AAF" w:rsidP="00012AAF">
            <w:pPr>
              <w:snapToGrid w:val="0"/>
              <w:spacing w:line="260" w:lineRule="atLeast"/>
              <w:rPr>
                <w:rFonts w:eastAsia="Calibri"/>
                <w:lang w:eastAsia="en-US"/>
              </w:rPr>
            </w:pPr>
            <w:r>
              <w:rPr>
                <w:rFonts w:eastAsia="Calibri"/>
                <w:lang w:eastAsia="en-US"/>
              </w:rPr>
              <w:t>Professional / non-professional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BBB3C8" w14:textId="3A0C6E00"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623DD814" w14:textId="77777777" w:rsidTr="00E648D1">
        <w:tc>
          <w:tcPr>
            <w:tcW w:w="864" w:type="dxa"/>
            <w:tcBorders>
              <w:top w:val="single" w:sz="4" w:space="0" w:color="000000"/>
              <w:left w:val="single" w:sz="4" w:space="0" w:color="000000"/>
              <w:bottom w:val="single" w:sz="4" w:space="0" w:color="000000"/>
            </w:tcBorders>
          </w:tcPr>
          <w:p w14:paraId="7E81D130" w14:textId="799754FF"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5543083C" w14:textId="3DA4C3C2" w:rsidR="00012AAF" w:rsidRDefault="00012AAF" w:rsidP="00012AAF">
            <w:pPr>
              <w:snapToGrid w:val="0"/>
              <w:spacing w:line="260" w:lineRule="atLeast"/>
              <w:rPr>
                <w:rFonts w:eastAsia="Calibri"/>
                <w:lang w:eastAsia="en-US"/>
              </w:rPr>
            </w:pPr>
            <w:r>
              <w:rPr>
                <w:rFonts w:eastAsia="Calibri"/>
                <w:lang w:eastAsia="en-US"/>
              </w:rPr>
              <w:t>Barrel</w:t>
            </w:r>
          </w:p>
        </w:tc>
        <w:tc>
          <w:tcPr>
            <w:tcW w:w="1272" w:type="dxa"/>
            <w:tcBorders>
              <w:top w:val="single" w:sz="4" w:space="0" w:color="000000"/>
              <w:left w:val="single" w:sz="4" w:space="0" w:color="000000"/>
              <w:bottom w:val="single" w:sz="4" w:space="0" w:color="000000"/>
            </w:tcBorders>
            <w:shd w:val="clear" w:color="auto" w:fill="auto"/>
          </w:tcPr>
          <w:p w14:paraId="079FD1EC" w14:textId="74F6AC89" w:rsidR="00012AAF" w:rsidRDefault="00012AAF" w:rsidP="00012AAF">
            <w:pPr>
              <w:snapToGrid w:val="0"/>
              <w:spacing w:line="260" w:lineRule="atLeast"/>
              <w:rPr>
                <w:rFonts w:eastAsia="Calibri"/>
                <w:lang w:eastAsia="en-US"/>
              </w:rPr>
            </w:pPr>
            <w:r>
              <w:rPr>
                <w:rFonts w:eastAsia="Calibri"/>
                <w:lang w:eastAsia="en-US"/>
              </w:rPr>
              <w:t>20 L</w:t>
            </w:r>
          </w:p>
        </w:tc>
        <w:tc>
          <w:tcPr>
            <w:tcW w:w="1276" w:type="dxa"/>
            <w:tcBorders>
              <w:top w:val="single" w:sz="4" w:space="0" w:color="000000"/>
              <w:left w:val="single" w:sz="4" w:space="0" w:color="000000"/>
              <w:bottom w:val="single" w:sz="4" w:space="0" w:color="000000"/>
            </w:tcBorders>
            <w:shd w:val="clear" w:color="auto" w:fill="auto"/>
          </w:tcPr>
          <w:p w14:paraId="19450255" w14:textId="3645F36A"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0777482E" w14:textId="3497F5DC" w:rsidR="00012AAF" w:rsidRDefault="00012AAF" w:rsidP="00012AAF">
            <w:pPr>
              <w:snapToGrid w:val="0"/>
              <w:spacing w:line="260" w:lineRule="atLeast"/>
              <w:rPr>
                <w:rFonts w:eastAsia="Calibri"/>
                <w:lang w:eastAsia="en-US"/>
              </w:rPr>
            </w:pPr>
            <w:r>
              <w:rPr>
                <w:rFonts w:eastAsia="Calibri"/>
                <w:lang w:eastAsia="en-US"/>
              </w:rPr>
              <w:t>Cap in plastic: PE</w:t>
            </w:r>
          </w:p>
        </w:tc>
        <w:tc>
          <w:tcPr>
            <w:tcW w:w="1843" w:type="dxa"/>
            <w:tcBorders>
              <w:top w:val="single" w:sz="4" w:space="0" w:color="000000"/>
              <w:left w:val="single" w:sz="4" w:space="0" w:color="000000"/>
              <w:bottom w:val="single" w:sz="4" w:space="0" w:color="000000"/>
            </w:tcBorders>
            <w:shd w:val="clear" w:color="auto" w:fill="auto"/>
          </w:tcPr>
          <w:p w14:paraId="0618C343" w14:textId="44BFD648"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079DCE" w14:textId="0E8C6E70"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2CB4E39F" w14:textId="77777777" w:rsidTr="00E648D1">
        <w:tc>
          <w:tcPr>
            <w:tcW w:w="864" w:type="dxa"/>
            <w:tcBorders>
              <w:top w:val="single" w:sz="4" w:space="0" w:color="000000"/>
              <w:left w:val="single" w:sz="4" w:space="0" w:color="000000"/>
              <w:bottom w:val="single" w:sz="4" w:space="0" w:color="000000"/>
            </w:tcBorders>
          </w:tcPr>
          <w:p w14:paraId="3F23B72B" w14:textId="328D0715"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5836B3F4" w14:textId="67556C92" w:rsidR="00012AAF" w:rsidRDefault="00012AAF" w:rsidP="00012AAF">
            <w:pPr>
              <w:snapToGrid w:val="0"/>
              <w:spacing w:line="260" w:lineRule="atLeast"/>
              <w:rPr>
                <w:rFonts w:eastAsia="Calibri"/>
                <w:lang w:eastAsia="en-US"/>
              </w:rPr>
            </w:pPr>
            <w:r>
              <w:rPr>
                <w:rFonts w:eastAsia="Calibri"/>
                <w:lang w:eastAsia="en-US"/>
              </w:rPr>
              <w:t>Barrel</w:t>
            </w:r>
          </w:p>
        </w:tc>
        <w:tc>
          <w:tcPr>
            <w:tcW w:w="1272" w:type="dxa"/>
            <w:tcBorders>
              <w:top w:val="single" w:sz="4" w:space="0" w:color="000000"/>
              <w:left w:val="single" w:sz="4" w:space="0" w:color="000000"/>
              <w:bottom w:val="single" w:sz="4" w:space="0" w:color="000000"/>
            </w:tcBorders>
            <w:shd w:val="clear" w:color="auto" w:fill="auto"/>
          </w:tcPr>
          <w:p w14:paraId="45A26E7C" w14:textId="533302DE" w:rsidR="00012AAF" w:rsidRDefault="00012AAF" w:rsidP="00012AAF">
            <w:pPr>
              <w:snapToGrid w:val="0"/>
              <w:spacing w:line="260" w:lineRule="atLeast"/>
              <w:rPr>
                <w:rFonts w:eastAsia="Calibri"/>
                <w:lang w:eastAsia="en-US"/>
              </w:rPr>
            </w:pPr>
            <w:r>
              <w:rPr>
                <w:rFonts w:eastAsia="Calibri"/>
                <w:lang w:eastAsia="en-US"/>
              </w:rPr>
              <w:t>120 L</w:t>
            </w:r>
          </w:p>
        </w:tc>
        <w:tc>
          <w:tcPr>
            <w:tcW w:w="1276" w:type="dxa"/>
            <w:tcBorders>
              <w:top w:val="single" w:sz="4" w:space="0" w:color="000000"/>
              <w:left w:val="single" w:sz="4" w:space="0" w:color="000000"/>
              <w:bottom w:val="single" w:sz="4" w:space="0" w:color="000000"/>
            </w:tcBorders>
            <w:shd w:val="clear" w:color="auto" w:fill="auto"/>
          </w:tcPr>
          <w:p w14:paraId="03755288" w14:textId="6701D2B7"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46EBE9D2" w14:textId="4BFDAF0A" w:rsidR="00012AAF" w:rsidRDefault="00012AAF" w:rsidP="00012AAF">
            <w:pPr>
              <w:snapToGrid w:val="0"/>
              <w:spacing w:line="260" w:lineRule="atLeast"/>
              <w:rPr>
                <w:rFonts w:eastAsia="Calibri"/>
                <w:lang w:eastAsia="en-US"/>
              </w:rPr>
            </w:pPr>
            <w:r>
              <w:rPr>
                <w:rFonts w:eastAsia="Calibri"/>
                <w:lang w:eastAsia="en-US"/>
              </w:rPr>
              <w:t>Cap in plastic: HDPE</w:t>
            </w:r>
          </w:p>
        </w:tc>
        <w:tc>
          <w:tcPr>
            <w:tcW w:w="1843" w:type="dxa"/>
            <w:tcBorders>
              <w:top w:val="single" w:sz="4" w:space="0" w:color="000000"/>
              <w:left w:val="single" w:sz="4" w:space="0" w:color="000000"/>
              <w:bottom w:val="single" w:sz="4" w:space="0" w:color="000000"/>
            </w:tcBorders>
            <w:shd w:val="clear" w:color="auto" w:fill="auto"/>
          </w:tcPr>
          <w:p w14:paraId="637602E4" w14:textId="5E30F670"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59CA5B" w14:textId="176AFE6E"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4AA0636F" w14:textId="77777777" w:rsidTr="00E648D1">
        <w:tc>
          <w:tcPr>
            <w:tcW w:w="864" w:type="dxa"/>
            <w:tcBorders>
              <w:top w:val="single" w:sz="4" w:space="0" w:color="000000"/>
              <w:left w:val="single" w:sz="4" w:space="0" w:color="000000"/>
              <w:bottom w:val="single" w:sz="4" w:space="0" w:color="000000"/>
            </w:tcBorders>
          </w:tcPr>
          <w:p w14:paraId="16F421E6" w14:textId="06137CD5"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2EC52170" w14:textId="34A8B33F" w:rsidR="00012AAF" w:rsidRDefault="00012AAF" w:rsidP="00012AAF">
            <w:pPr>
              <w:snapToGrid w:val="0"/>
              <w:spacing w:line="260" w:lineRule="atLeast"/>
              <w:rPr>
                <w:rFonts w:eastAsia="Calibri"/>
                <w:lang w:eastAsia="en-US"/>
              </w:rPr>
            </w:pPr>
            <w:r>
              <w:rPr>
                <w:rFonts w:eastAsia="Calibri"/>
                <w:lang w:eastAsia="en-US"/>
              </w:rPr>
              <w:t>Barrel</w:t>
            </w:r>
          </w:p>
        </w:tc>
        <w:tc>
          <w:tcPr>
            <w:tcW w:w="1272" w:type="dxa"/>
            <w:tcBorders>
              <w:top w:val="single" w:sz="4" w:space="0" w:color="000000"/>
              <w:left w:val="single" w:sz="4" w:space="0" w:color="000000"/>
              <w:bottom w:val="single" w:sz="4" w:space="0" w:color="000000"/>
            </w:tcBorders>
            <w:shd w:val="clear" w:color="auto" w:fill="auto"/>
          </w:tcPr>
          <w:p w14:paraId="5BA097F5" w14:textId="46F156BF" w:rsidR="00012AAF" w:rsidRDefault="00012AAF" w:rsidP="00012AAF">
            <w:pPr>
              <w:snapToGrid w:val="0"/>
              <w:spacing w:line="260" w:lineRule="atLeast"/>
              <w:rPr>
                <w:rFonts w:eastAsia="Calibri"/>
                <w:lang w:eastAsia="en-US"/>
              </w:rPr>
            </w:pPr>
            <w:r>
              <w:rPr>
                <w:rFonts w:eastAsia="Calibri"/>
                <w:lang w:eastAsia="en-US"/>
              </w:rPr>
              <w:t>220 L</w:t>
            </w:r>
          </w:p>
        </w:tc>
        <w:tc>
          <w:tcPr>
            <w:tcW w:w="1276" w:type="dxa"/>
            <w:tcBorders>
              <w:top w:val="single" w:sz="4" w:space="0" w:color="000000"/>
              <w:left w:val="single" w:sz="4" w:space="0" w:color="000000"/>
              <w:bottom w:val="single" w:sz="4" w:space="0" w:color="000000"/>
            </w:tcBorders>
            <w:shd w:val="clear" w:color="auto" w:fill="auto"/>
          </w:tcPr>
          <w:p w14:paraId="3AF27CC7" w14:textId="3399B594"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03A9B1EB" w14:textId="2AD7C097" w:rsidR="00012AAF" w:rsidRDefault="00012AAF" w:rsidP="00012AAF">
            <w:pPr>
              <w:snapToGrid w:val="0"/>
              <w:spacing w:line="260" w:lineRule="atLeast"/>
              <w:rPr>
                <w:rFonts w:eastAsia="Calibri"/>
                <w:lang w:eastAsia="en-US"/>
              </w:rPr>
            </w:pPr>
            <w:r>
              <w:rPr>
                <w:rFonts w:eastAsia="Calibri"/>
                <w:lang w:eastAsia="en-US"/>
              </w:rPr>
              <w:t>Cap in plastic: HDPE</w:t>
            </w:r>
          </w:p>
        </w:tc>
        <w:tc>
          <w:tcPr>
            <w:tcW w:w="1843" w:type="dxa"/>
            <w:tcBorders>
              <w:top w:val="single" w:sz="4" w:space="0" w:color="000000"/>
              <w:left w:val="single" w:sz="4" w:space="0" w:color="000000"/>
              <w:bottom w:val="single" w:sz="4" w:space="0" w:color="000000"/>
            </w:tcBorders>
            <w:shd w:val="clear" w:color="auto" w:fill="auto"/>
          </w:tcPr>
          <w:p w14:paraId="201B2CC2" w14:textId="320421D2"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90E4A5" w14:textId="63923B45"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224D0014" w14:textId="77777777" w:rsidTr="00E648D1">
        <w:tc>
          <w:tcPr>
            <w:tcW w:w="864" w:type="dxa"/>
            <w:tcBorders>
              <w:top w:val="single" w:sz="4" w:space="0" w:color="000000"/>
              <w:left w:val="single" w:sz="4" w:space="0" w:color="000000"/>
              <w:bottom w:val="single" w:sz="4" w:space="0" w:color="000000"/>
            </w:tcBorders>
          </w:tcPr>
          <w:p w14:paraId="3E008A0D" w14:textId="7F08B24A"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35BCE4BF" w14:textId="0BACB57A" w:rsidR="00012AAF" w:rsidRDefault="00012AAF" w:rsidP="00012AAF">
            <w:pPr>
              <w:snapToGrid w:val="0"/>
              <w:spacing w:line="260" w:lineRule="atLeast"/>
              <w:rPr>
                <w:rFonts w:eastAsia="Calibri"/>
                <w:lang w:eastAsia="en-US"/>
              </w:rPr>
            </w:pPr>
            <w:r>
              <w:rPr>
                <w:rFonts w:eastAsia="Calibri"/>
                <w:lang w:eastAsia="en-US"/>
              </w:rPr>
              <w:t>Barrel</w:t>
            </w:r>
          </w:p>
        </w:tc>
        <w:tc>
          <w:tcPr>
            <w:tcW w:w="1272" w:type="dxa"/>
            <w:tcBorders>
              <w:top w:val="single" w:sz="4" w:space="0" w:color="000000"/>
              <w:left w:val="single" w:sz="4" w:space="0" w:color="000000"/>
              <w:bottom w:val="single" w:sz="4" w:space="0" w:color="000000"/>
            </w:tcBorders>
            <w:shd w:val="clear" w:color="auto" w:fill="auto"/>
          </w:tcPr>
          <w:p w14:paraId="2AA04CED" w14:textId="7BBAAEB5" w:rsidR="00012AAF" w:rsidRDefault="00012AAF" w:rsidP="00012AAF">
            <w:pPr>
              <w:snapToGrid w:val="0"/>
              <w:spacing w:line="260" w:lineRule="atLeast"/>
              <w:rPr>
                <w:rFonts w:eastAsia="Calibri"/>
                <w:lang w:eastAsia="en-US"/>
              </w:rPr>
            </w:pPr>
            <w:r>
              <w:rPr>
                <w:rFonts w:eastAsia="Calibri"/>
                <w:lang w:eastAsia="en-US"/>
              </w:rPr>
              <w:t>200 L</w:t>
            </w:r>
          </w:p>
        </w:tc>
        <w:tc>
          <w:tcPr>
            <w:tcW w:w="1276" w:type="dxa"/>
            <w:tcBorders>
              <w:top w:val="single" w:sz="4" w:space="0" w:color="000000"/>
              <w:left w:val="single" w:sz="4" w:space="0" w:color="000000"/>
              <w:bottom w:val="single" w:sz="4" w:space="0" w:color="000000"/>
            </w:tcBorders>
            <w:shd w:val="clear" w:color="auto" w:fill="auto"/>
          </w:tcPr>
          <w:p w14:paraId="62B3FC42" w14:textId="43CD4818"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2DE159DA" w14:textId="3553A1C0" w:rsidR="00012AAF" w:rsidRDefault="00012AAF" w:rsidP="00012AAF">
            <w:pPr>
              <w:snapToGrid w:val="0"/>
              <w:spacing w:line="260" w:lineRule="atLeast"/>
              <w:rPr>
                <w:rFonts w:eastAsia="Calibri"/>
                <w:lang w:eastAsia="en-US"/>
              </w:rPr>
            </w:pPr>
            <w:r>
              <w:rPr>
                <w:rFonts w:eastAsia="Calibri"/>
                <w:lang w:eastAsia="en-US"/>
              </w:rPr>
              <w:t>Cap in plastic: HDPE</w:t>
            </w:r>
          </w:p>
        </w:tc>
        <w:tc>
          <w:tcPr>
            <w:tcW w:w="1843" w:type="dxa"/>
            <w:tcBorders>
              <w:top w:val="single" w:sz="4" w:space="0" w:color="000000"/>
              <w:left w:val="single" w:sz="4" w:space="0" w:color="000000"/>
              <w:bottom w:val="single" w:sz="4" w:space="0" w:color="000000"/>
            </w:tcBorders>
            <w:shd w:val="clear" w:color="auto" w:fill="auto"/>
          </w:tcPr>
          <w:p w14:paraId="3940CCEC" w14:textId="64712534"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025394" w14:textId="63AD2FA7"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55257B12" w14:textId="77777777" w:rsidTr="00E648D1">
        <w:tc>
          <w:tcPr>
            <w:tcW w:w="864" w:type="dxa"/>
            <w:tcBorders>
              <w:top w:val="single" w:sz="4" w:space="0" w:color="000000"/>
              <w:left w:val="single" w:sz="4" w:space="0" w:color="000000"/>
              <w:bottom w:val="single" w:sz="4" w:space="0" w:color="000000"/>
            </w:tcBorders>
          </w:tcPr>
          <w:p w14:paraId="48CCCD14" w14:textId="19EF50F6" w:rsidR="00012AAF" w:rsidRDefault="00012AAF" w:rsidP="00012AAF">
            <w:pPr>
              <w:snapToGrid w:val="0"/>
              <w:spacing w:line="260" w:lineRule="atLeast"/>
              <w:rPr>
                <w:rFonts w:eastAsia="Calibri"/>
                <w:lang w:eastAsia="en-US"/>
              </w:rPr>
            </w:pPr>
            <w:r>
              <w:rPr>
                <w:rFonts w:eastAsia="Calibri"/>
                <w:lang w:eastAsia="en-US"/>
              </w:rPr>
              <w:t>13</w:t>
            </w:r>
          </w:p>
        </w:tc>
        <w:tc>
          <w:tcPr>
            <w:tcW w:w="1403" w:type="dxa"/>
            <w:tcBorders>
              <w:top w:val="single" w:sz="4" w:space="0" w:color="000000"/>
              <w:left w:val="single" w:sz="4" w:space="0" w:color="000000"/>
              <w:bottom w:val="single" w:sz="4" w:space="0" w:color="000000"/>
            </w:tcBorders>
            <w:shd w:val="clear" w:color="auto" w:fill="auto"/>
          </w:tcPr>
          <w:p w14:paraId="73E45579" w14:textId="0D01A4AB" w:rsidR="00012AAF" w:rsidRDefault="00012AAF" w:rsidP="00012AAF">
            <w:pPr>
              <w:snapToGrid w:val="0"/>
              <w:spacing w:line="260" w:lineRule="atLeast"/>
              <w:rPr>
                <w:rFonts w:eastAsia="Calibri"/>
                <w:lang w:eastAsia="en-US"/>
              </w:rPr>
            </w:pPr>
            <w:r>
              <w:rPr>
                <w:rFonts w:eastAsia="Calibri"/>
                <w:lang w:eastAsia="en-US"/>
              </w:rPr>
              <w:t>IBC</w:t>
            </w:r>
          </w:p>
        </w:tc>
        <w:tc>
          <w:tcPr>
            <w:tcW w:w="1272" w:type="dxa"/>
            <w:tcBorders>
              <w:top w:val="single" w:sz="4" w:space="0" w:color="000000"/>
              <w:left w:val="single" w:sz="4" w:space="0" w:color="000000"/>
              <w:bottom w:val="single" w:sz="4" w:space="0" w:color="000000"/>
            </w:tcBorders>
            <w:shd w:val="clear" w:color="auto" w:fill="auto"/>
          </w:tcPr>
          <w:p w14:paraId="19B001AA" w14:textId="1316E98C" w:rsidR="00012AAF" w:rsidRDefault="00012AAF" w:rsidP="00012AAF">
            <w:pPr>
              <w:snapToGrid w:val="0"/>
              <w:spacing w:line="260" w:lineRule="atLeast"/>
              <w:rPr>
                <w:rFonts w:eastAsia="Calibri"/>
                <w:lang w:eastAsia="en-US"/>
              </w:rPr>
            </w:pPr>
            <w:r>
              <w:rPr>
                <w:rFonts w:eastAsia="Calibri"/>
                <w:lang w:eastAsia="en-US"/>
              </w:rPr>
              <w:t>1 000 L</w:t>
            </w:r>
          </w:p>
        </w:tc>
        <w:tc>
          <w:tcPr>
            <w:tcW w:w="1276" w:type="dxa"/>
            <w:tcBorders>
              <w:top w:val="single" w:sz="4" w:space="0" w:color="000000"/>
              <w:left w:val="single" w:sz="4" w:space="0" w:color="000000"/>
              <w:bottom w:val="single" w:sz="4" w:space="0" w:color="000000"/>
            </w:tcBorders>
            <w:shd w:val="clear" w:color="auto" w:fill="auto"/>
          </w:tcPr>
          <w:p w14:paraId="103C903B" w14:textId="710A66E4"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7E75E71F" w14:textId="371A1A29" w:rsidR="00012AAF" w:rsidRDefault="00012AAF" w:rsidP="00012AAF">
            <w:pPr>
              <w:snapToGrid w:val="0"/>
              <w:spacing w:line="260" w:lineRule="atLeast"/>
              <w:rPr>
                <w:rFonts w:eastAsia="Calibri"/>
                <w:lang w:eastAsia="en-US"/>
              </w:rPr>
            </w:pPr>
            <w:r>
              <w:rPr>
                <w:rFonts w:eastAsia="Calibri"/>
                <w:lang w:eastAsia="en-US"/>
              </w:rPr>
              <w:t>Cap in plastic: PP</w:t>
            </w:r>
          </w:p>
        </w:tc>
        <w:tc>
          <w:tcPr>
            <w:tcW w:w="1843" w:type="dxa"/>
            <w:tcBorders>
              <w:top w:val="single" w:sz="4" w:space="0" w:color="000000"/>
              <w:left w:val="single" w:sz="4" w:space="0" w:color="000000"/>
              <w:bottom w:val="single" w:sz="4" w:space="0" w:color="000000"/>
            </w:tcBorders>
            <w:shd w:val="clear" w:color="auto" w:fill="auto"/>
          </w:tcPr>
          <w:p w14:paraId="0C30793D" w14:textId="7F6A6EEF"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A7DF12" w14:textId="312EB113"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092BAF72" w14:textId="77777777" w:rsidTr="00E648D1">
        <w:tc>
          <w:tcPr>
            <w:tcW w:w="864" w:type="dxa"/>
            <w:tcBorders>
              <w:top w:val="single" w:sz="4" w:space="0" w:color="000000"/>
              <w:left w:val="single" w:sz="4" w:space="0" w:color="000000"/>
              <w:bottom w:val="single" w:sz="4" w:space="0" w:color="000000"/>
            </w:tcBorders>
          </w:tcPr>
          <w:p w14:paraId="12A4EEA7" w14:textId="6BF66D32" w:rsidR="00012AAF" w:rsidRDefault="00012AAF" w:rsidP="00012AAF">
            <w:pPr>
              <w:snapToGrid w:val="0"/>
              <w:spacing w:line="260" w:lineRule="atLeast"/>
              <w:rPr>
                <w:rFonts w:eastAsia="Calibri"/>
                <w:lang w:eastAsia="en-US"/>
              </w:rPr>
            </w:pPr>
            <w:r>
              <w:rPr>
                <w:rFonts w:eastAsia="Calibri"/>
                <w:lang w:eastAsia="en-US"/>
              </w:rPr>
              <w:t>9</w:t>
            </w:r>
          </w:p>
        </w:tc>
        <w:tc>
          <w:tcPr>
            <w:tcW w:w="1403" w:type="dxa"/>
            <w:tcBorders>
              <w:top w:val="single" w:sz="4" w:space="0" w:color="000000"/>
              <w:left w:val="single" w:sz="4" w:space="0" w:color="000000"/>
              <w:bottom w:val="single" w:sz="4" w:space="0" w:color="000000"/>
            </w:tcBorders>
            <w:shd w:val="clear" w:color="auto" w:fill="auto"/>
          </w:tcPr>
          <w:p w14:paraId="5C64432D" w14:textId="67C80DA0" w:rsidR="00012AAF" w:rsidRDefault="00012AAF" w:rsidP="00012AAF">
            <w:pPr>
              <w:snapToGrid w:val="0"/>
              <w:spacing w:line="260" w:lineRule="atLeast"/>
              <w:rPr>
                <w:rFonts w:eastAsia="Calibri"/>
                <w:lang w:eastAsia="en-US"/>
              </w:rPr>
            </w:pPr>
            <w:r>
              <w:rPr>
                <w:rFonts w:eastAsia="Calibri"/>
                <w:lang w:eastAsia="en-US"/>
              </w:rPr>
              <w:t>Drum</w:t>
            </w:r>
          </w:p>
        </w:tc>
        <w:tc>
          <w:tcPr>
            <w:tcW w:w="1272" w:type="dxa"/>
            <w:tcBorders>
              <w:top w:val="single" w:sz="4" w:space="0" w:color="000000"/>
              <w:left w:val="single" w:sz="4" w:space="0" w:color="000000"/>
              <w:bottom w:val="single" w:sz="4" w:space="0" w:color="000000"/>
            </w:tcBorders>
            <w:shd w:val="clear" w:color="auto" w:fill="auto"/>
          </w:tcPr>
          <w:p w14:paraId="0D720345" w14:textId="00BF93B6" w:rsidR="00012AAF" w:rsidRDefault="00012AAF" w:rsidP="00012AAF">
            <w:pPr>
              <w:snapToGrid w:val="0"/>
              <w:spacing w:line="260" w:lineRule="atLeast"/>
              <w:rPr>
                <w:rFonts w:eastAsia="Calibri"/>
                <w:lang w:eastAsia="en-US"/>
              </w:rPr>
            </w:pPr>
            <w:r>
              <w:rPr>
                <w:rFonts w:eastAsia="Calibri"/>
                <w:lang w:eastAsia="en-US"/>
              </w:rPr>
              <w:t>5 L</w:t>
            </w:r>
          </w:p>
        </w:tc>
        <w:tc>
          <w:tcPr>
            <w:tcW w:w="1276" w:type="dxa"/>
            <w:tcBorders>
              <w:top w:val="single" w:sz="4" w:space="0" w:color="000000"/>
              <w:left w:val="single" w:sz="4" w:space="0" w:color="000000"/>
              <w:bottom w:val="single" w:sz="4" w:space="0" w:color="000000"/>
            </w:tcBorders>
            <w:shd w:val="clear" w:color="auto" w:fill="auto"/>
          </w:tcPr>
          <w:p w14:paraId="69F43373" w14:textId="509265C3" w:rsidR="00012AAF" w:rsidRDefault="00012AAF" w:rsidP="00012AAF">
            <w:pPr>
              <w:snapToGrid w:val="0"/>
              <w:spacing w:line="260" w:lineRule="atLeast"/>
              <w:rPr>
                <w:rFonts w:eastAsia="Calibri"/>
                <w:lang w:eastAsia="en-US"/>
              </w:rPr>
            </w:pPr>
            <w:r>
              <w:rPr>
                <w:rFonts w:eastAsia="Calibri"/>
                <w:lang w:eastAsia="en-US"/>
              </w:rPr>
              <w:t>Plastic: HDPE</w:t>
            </w:r>
          </w:p>
        </w:tc>
        <w:tc>
          <w:tcPr>
            <w:tcW w:w="1417" w:type="dxa"/>
            <w:tcBorders>
              <w:top w:val="single" w:sz="4" w:space="0" w:color="000000"/>
              <w:left w:val="single" w:sz="4" w:space="0" w:color="000000"/>
              <w:bottom w:val="single" w:sz="4" w:space="0" w:color="000000"/>
            </w:tcBorders>
            <w:shd w:val="clear" w:color="auto" w:fill="auto"/>
          </w:tcPr>
          <w:p w14:paraId="5866A442" w14:textId="1B56CFF9" w:rsidR="00012AAF" w:rsidRDefault="00012AAF" w:rsidP="00012AAF">
            <w:pPr>
              <w:snapToGrid w:val="0"/>
              <w:spacing w:line="260" w:lineRule="atLeast"/>
              <w:rPr>
                <w:rFonts w:eastAsia="Calibri"/>
                <w:lang w:eastAsia="en-US"/>
              </w:rPr>
            </w:pPr>
            <w:r>
              <w:rPr>
                <w:rFonts w:eastAsia="Calibri"/>
                <w:lang w:eastAsia="en-US"/>
              </w:rPr>
              <w:t>Cap in plastic with inviolable closure: PPC, PP, PPR</w:t>
            </w:r>
          </w:p>
        </w:tc>
        <w:tc>
          <w:tcPr>
            <w:tcW w:w="1843" w:type="dxa"/>
            <w:tcBorders>
              <w:top w:val="single" w:sz="4" w:space="0" w:color="000000"/>
              <w:left w:val="single" w:sz="4" w:space="0" w:color="000000"/>
              <w:bottom w:val="single" w:sz="4" w:space="0" w:color="000000"/>
            </w:tcBorders>
            <w:shd w:val="clear" w:color="auto" w:fill="auto"/>
          </w:tcPr>
          <w:p w14:paraId="74B85DE0" w14:textId="6C753223" w:rsidR="00012AAF" w:rsidRDefault="00012AAF" w:rsidP="00012AAF">
            <w:pPr>
              <w:snapToGrid w:val="0"/>
              <w:spacing w:line="260" w:lineRule="atLeast"/>
              <w:rPr>
                <w:rFonts w:eastAsia="Calibri"/>
                <w:lang w:eastAsia="en-US"/>
              </w:rPr>
            </w:pPr>
            <w:r>
              <w:rPr>
                <w:rFonts w:eastAsia="Calibri"/>
                <w:lang w:eastAsia="en-US"/>
              </w:rPr>
              <w:t>Non-professional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F65BC6" w14:textId="671148C5" w:rsidR="00012AAF" w:rsidRDefault="00012AAF" w:rsidP="00012AAF">
            <w:pPr>
              <w:snapToGrid w:val="0"/>
              <w:spacing w:line="260" w:lineRule="atLeast"/>
              <w:rPr>
                <w:rFonts w:eastAsia="Calibri"/>
                <w:lang w:eastAsia="en-US"/>
              </w:rPr>
            </w:pPr>
            <w:r>
              <w:rPr>
                <w:rFonts w:eastAsia="Calibri"/>
                <w:lang w:eastAsia="en-US"/>
              </w:rPr>
              <w:t>Yes</w:t>
            </w:r>
          </w:p>
        </w:tc>
      </w:tr>
      <w:tr w:rsidR="00012AAF" w:rsidRPr="00B27CB1" w14:paraId="75C1AB55" w14:textId="77777777" w:rsidTr="00E648D1">
        <w:tc>
          <w:tcPr>
            <w:tcW w:w="864" w:type="dxa"/>
            <w:tcBorders>
              <w:top w:val="single" w:sz="4" w:space="0" w:color="000000"/>
              <w:left w:val="single" w:sz="4" w:space="0" w:color="000000"/>
              <w:bottom w:val="single" w:sz="4" w:space="0" w:color="000000"/>
            </w:tcBorders>
          </w:tcPr>
          <w:p w14:paraId="21A94ADF" w14:textId="21D6C0CF" w:rsidR="00012AAF" w:rsidRDefault="00012AAF" w:rsidP="00012AAF">
            <w:pPr>
              <w:snapToGrid w:val="0"/>
              <w:spacing w:line="260" w:lineRule="atLeast"/>
              <w:rPr>
                <w:rFonts w:eastAsia="Calibri"/>
                <w:lang w:eastAsia="en-US"/>
              </w:rPr>
            </w:pPr>
            <w:r>
              <w:rPr>
                <w:rFonts w:eastAsia="Calibri"/>
                <w:lang w:eastAsia="en-US"/>
              </w:rPr>
              <w:t>6, 7, 11, 13</w:t>
            </w:r>
          </w:p>
        </w:tc>
        <w:tc>
          <w:tcPr>
            <w:tcW w:w="1403" w:type="dxa"/>
            <w:tcBorders>
              <w:top w:val="single" w:sz="4" w:space="0" w:color="000000"/>
              <w:left w:val="single" w:sz="4" w:space="0" w:color="000000"/>
              <w:bottom w:val="single" w:sz="4" w:space="0" w:color="000000"/>
            </w:tcBorders>
            <w:shd w:val="clear" w:color="auto" w:fill="auto"/>
          </w:tcPr>
          <w:p w14:paraId="76AA1B02" w14:textId="46AF9273" w:rsidR="00012AAF" w:rsidRDefault="00012AAF" w:rsidP="00012AAF">
            <w:pPr>
              <w:snapToGrid w:val="0"/>
              <w:spacing w:line="260" w:lineRule="atLeast"/>
              <w:rPr>
                <w:rFonts w:eastAsia="Calibri"/>
                <w:lang w:eastAsia="en-US"/>
              </w:rPr>
            </w:pPr>
            <w:r>
              <w:rPr>
                <w:rFonts w:eastAsia="Calibri"/>
                <w:lang w:eastAsia="en-US"/>
              </w:rPr>
              <w:t>Bottle</w:t>
            </w:r>
          </w:p>
        </w:tc>
        <w:tc>
          <w:tcPr>
            <w:tcW w:w="1272" w:type="dxa"/>
            <w:tcBorders>
              <w:top w:val="single" w:sz="4" w:space="0" w:color="000000"/>
              <w:left w:val="single" w:sz="4" w:space="0" w:color="000000"/>
              <w:bottom w:val="single" w:sz="4" w:space="0" w:color="000000"/>
            </w:tcBorders>
            <w:shd w:val="clear" w:color="auto" w:fill="auto"/>
          </w:tcPr>
          <w:p w14:paraId="76DB1F4C" w14:textId="58922A08" w:rsidR="00012AAF" w:rsidRDefault="00012AAF" w:rsidP="00012AAF">
            <w:pPr>
              <w:snapToGrid w:val="0"/>
              <w:spacing w:line="260" w:lineRule="atLeast"/>
              <w:rPr>
                <w:rFonts w:eastAsia="Calibri"/>
                <w:lang w:eastAsia="en-US"/>
              </w:rPr>
            </w:pPr>
            <w:r>
              <w:rPr>
                <w:rFonts w:eastAsia="Calibri"/>
                <w:lang w:eastAsia="en-US"/>
              </w:rPr>
              <w:t>250 ml</w:t>
            </w:r>
          </w:p>
        </w:tc>
        <w:tc>
          <w:tcPr>
            <w:tcW w:w="1276" w:type="dxa"/>
            <w:tcBorders>
              <w:top w:val="single" w:sz="4" w:space="0" w:color="000000"/>
              <w:left w:val="single" w:sz="4" w:space="0" w:color="000000"/>
              <w:bottom w:val="single" w:sz="4" w:space="0" w:color="000000"/>
            </w:tcBorders>
            <w:shd w:val="clear" w:color="auto" w:fill="auto"/>
          </w:tcPr>
          <w:p w14:paraId="4F4CA550" w14:textId="7A635017" w:rsidR="00012AAF" w:rsidRDefault="00012AAF" w:rsidP="00012AAF">
            <w:pPr>
              <w:snapToGrid w:val="0"/>
              <w:spacing w:line="260" w:lineRule="atLeast"/>
              <w:rPr>
                <w:rFonts w:eastAsia="Calibri"/>
                <w:lang w:eastAsia="en-US"/>
              </w:rPr>
            </w:pPr>
            <w:r>
              <w:rPr>
                <w:rFonts w:eastAsia="Calibri"/>
                <w:lang w:eastAsia="en-US"/>
              </w:rPr>
              <w:t xml:space="preserve">Plastic: HDPE / Adhesive resin / EVAL </w:t>
            </w:r>
          </w:p>
        </w:tc>
        <w:tc>
          <w:tcPr>
            <w:tcW w:w="1417" w:type="dxa"/>
            <w:tcBorders>
              <w:top w:val="single" w:sz="4" w:space="0" w:color="000000"/>
              <w:left w:val="single" w:sz="4" w:space="0" w:color="000000"/>
              <w:bottom w:val="single" w:sz="4" w:space="0" w:color="000000"/>
            </w:tcBorders>
            <w:shd w:val="clear" w:color="auto" w:fill="auto"/>
          </w:tcPr>
          <w:p w14:paraId="4A6ECDE5" w14:textId="4F0484BB" w:rsidR="00012AAF" w:rsidRDefault="00012AAF" w:rsidP="00012AAF">
            <w:pPr>
              <w:snapToGrid w:val="0"/>
              <w:spacing w:line="260" w:lineRule="atLeast"/>
              <w:rPr>
                <w:rFonts w:eastAsia="Calibri"/>
                <w:lang w:eastAsia="en-US"/>
              </w:rPr>
            </w:pPr>
            <w:r w:rsidRPr="001C2337">
              <w:rPr>
                <w:rFonts w:eastAsia="Calibri"/>
                <w:lang w:eastAsia="en-US"/>
              </w:rPr>
              <w:t>Cap in plastic:</w:t>
            </w:r>
            <w:r w:rsidRPr="001D704F">
              <w:rPr>
                <w:rFonts w:eastAsia="Calibri"/>
                <w:lang w:eastAsia="en-US"/>
              </w:rPr>
              <w:t xml:space="preserve"> PE, HDPE, PTFE, PP</w:t>
            </w:r>
          </w:p>
        </w:tc>
        <w:tc>
          <w:tcPr>
            <w:tcW w:w="1843" w:type="dxa"/>
            <w:tcBorders>
              <w:top w:val="single" w:sz="4" w:space="0" w:color="000000"/>
              <w:left w:val="single" w:sz="4" w:space="0" w:color="000000"/>
              <w:bottom w:val="single" w:sz="4" w:space="0" w:color="000000"/>
            </w:tcBorders>
            <w:shd w:val="clear" w:color="auto" w:fill="auto"/>
          </w:tcPr>
          <w:p w14:paraId="17DDB03F" w14:textId="7B64D5DE" w:rsidR="00012AAF" w:rsidRDefault="00012AAF" w:rsidP="00012AAF">
            <w:pPr>
              <w:snapToGrid w:val="0"/>
              <w:spacing w:line="260" w:lineRule="atLeast"/>
              <w:rPr>
                <w:rFonts w:eastAsia="Calibri"/>
                <w:lang w:eastAsia="en-US"/>
              </w:rPr>
            </w:pPr>
            <w:r>
              <w:rPr>
                <w:rFonts w:eastAsia="Calibri"/>
                <w:lang w:eastAsia="en-US"/>
              </w:rPr>
              <w:t>Professional / Industrial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BF2380" w14:textId="666DA0FA" w:rsidR="00012AAF" w:rsidRDefault="00012AAF" w:rsidP="00012AAF">
            <w:pPr>
              <w:snapToGrid w:val="0"/>
              <w:spacing w:line="260" w:lineRule="atLeast"/>
              <w:rPr>
                <w:rFonts w:eastAsia="Calibri"/>
                <w:lang w:eastAsia="en-US"/>
              </w:rPr>
            </w:pPr>
            <w:r>
              <w:rPr>
                <w:rFonts w:eastAsia="Calibri"/>
                <w:lang w:eastAsia="en-US"/>
              </w:rPr>
              <w:t>Yes</w:t>
            </w:r>
          </w:p>
        </w:tc>
      </w:tr>
    </w:tbl>
    <w:p w14:paraId="59304B73" w14:textId="77777777" w:rsidR="009D0C0B" w:rsidRPr="00B27CB1" w:rsidRDefault="009D0C0B">
      <w:pPr>
        <w:spacing w:line="260" w:lineRule="atLeast"/>
        <w:rPr>
          <w:rFonts w:eastAsia="Calibri"/>
          <w:lang w:eastAsia="en-US"/>
        </w:rPr>
      </w:pPr>
    </w:p>
    <w:p w14:paraId="2CCB59E6" w14:textId="77777777" w:rsidR="009D0C0B" w:rsidRPr="00B27CB1" w:rsidRDefault="009D0C0B">
      <w:pPr>
        <w:rPr>
          <w:rFonts w:eastAsia="Calibri"/>
          <w:lang w:eastAsia="en-US"/>
        </w:rPr>
      </w:pPr>
    </w:p>
    <w:p w14:paraId="1044A9EB" w14:textId="77777777" w:rsidR="009D0C0B" w:rsidRPr="00B27CB1" w:rsidRDefault="00FA480B">
      <w:pPr>
        <w:pStyle w:val="Titre3"/>
        <w:rPr>
          <w:lang w:val="en-GB"/>
        </w:rPr>
      </w:pPr>
      <w:bookmarkStart w:id="154" w:name="_Toc87361183"/>
      <w:bookmarkStart w:id="155" w:name="d0e2119"/>
      <w:r w:rsidRPr="00B27CB1">
        <w:rPr>
          <w:lang w:val="en-GB" w:eastAsia="en-US"/>
        </w:rPr>
        <w:t>Documentation</w:t>
      </w:r>
      <w:bookmarkEnd w:id="154"/>
    </w:p>
    <w:p w14:paraId="35375C49" w14:textId="77777777" w:rsidR="009D0C0B" w:rsidRPr="00B27CB1" w:rsidRDefault="00FA480B">
      <w:pPr>
        <w:pStyle w:val="Titre4"/>
        <w:rPr>
          <w:rFonts w:ascii="Times New Roman" w:hAnsi="Times New Roman" w:cs="Times New Roman"/>
          <w:i/>
          <w:iCs/>
          <w:lang w:val="en-GB" w:eastAsia="en-US"/>
        </w:rPr>
      </w:pPr>
      <w:bookmarkStart w:id="156" w:name="_Toc87361184"/>
      <w:r w:rsidRPr="00B27CB1">
        <w:rPr>
          <w:lang w:val="en-GB"/>
        </w:rPr>
        <w:t>Data submitted in relation to product application</w:t>
      </w:r>
      <w:bookmarkEnd w:id="156"/>
    </w:p>
    <w:p w14:paraId="5CDC2456" w14:textId="44062D6E" w:rsidR="00012AAF" w:rsidRDefault="00012AAF">
      <w:pPr>
        <w:spacing w:line="260" w:lineRule="atLeast"/>
        <w:jc w:val="both"/>
        <w:rPr>
          <w:rFonts w:eastAsia="Calibri"/>
          <w:lang w:eastAsia="en-US"/>
        </w:rPr>
      </w:pPr>
      <w:r w:rsidRPr="001D704F">
        <w:rPr>
          <w:rFonts w:eastAsia="Calibri"/>
          <w:lang w:eastAsia="en-US"/>
        </w:rPr>
        <w:t>Physico</w:t>
      </w:r>
      <w:r>
        <w:rPr>
          <w:rFonts w:eastAsia="Calibri"/>
          <w:lang w:eastAsia="en-US"/>
        </w:rPr>
        <w:t>-chemical properties studies and</w:t>
      </w:r>
      <w:r w:rsidRPr="001D704F">
        <w:rPr>
          <w:rFonts w:eastAsia="Calibri"/>
          <w:lang w:eastAsia="en-US"/>
        </w:rPr>
        <w:t xml:space="preserve"> analytical methods on the biocidal product family were submitted by Action Pin.</w:t>
      </w:r>
    </w:p>
    <w:p w14:paraId="3C09AF1A" w14:textId="2A4CE241" w:rsidR="000C78AD" w:rsidRDefault="000C78AD">
      <w:pPr>
        <w:spacing w:line="260" w:lineRule="atLeast"/>
        <w:jc w:val="both"/>
      </w:pPr>
    </w:p>
    <w:p w14:paraId="6290A9CF" w14:textId="5D8CC854" w:rsidR="000C78AD" w:rsidRPr="00B27CB1" w:rsidRDefault="000C78AD">
      <w:pPr>
        <w:spacing w:line="260" w:lineRule="atLeast"/>
        <w:jc w:val="both"/>
      </w:pPr>
      <w:r>
        <w:t>All products studies efficacy were provided by the applicant Action PIN. Please refer to the reference list in Annex 3.1 for the complete list of products-related studies submitted in the context of this application</w:t>
      </w:r>
      <w:r w:rsidR="002B4786">
        <w:t>.</w:t>
      </w:r>
    </w:p>
    <w:p w14:paraId="45C51D1A" w14:textId="77777777" w:rsidR="009D0C0B" w:rsidRPr="00B27CB1" w:rsidRDefault="00FA480B">
      <w:pPr>
        <w:pStyle w:val="Titre4"/>
        <w:rPr>
          <w:rFonts w:ascii="Times New Roman" w:hAnsi="Times New Roman" w:cs="Times New Roman"/>
          <w:i/>
          <w:iCs/>
          <w:lang w:val="en-GB" w:eastAsia="en-US"/>
        </w:rPr>
      </w:pPr>
      <w:bookmarkStart w:id="157" w:name="_Toc87361185"/>
      <w:r w:rsidRPr="00B27CB1">
        <w:rPr>
          <w:lang w:val="en-GB"/>
        </w:rPr>
        <w:t>Access to documentation</w:t>
      </w:r>
      <w:bookmarkEnd w:id="157"/>
    </w:p>
    <w:p w14:paraId="71D88CD4" w14:textId="77777777" w:rsidR="000A637D" w:rsidRPr="00F3249E" w:rsidRDefault="000A637D" w:rsidP="00F3249E">
      <w:pPr>
        <w:spacing w:line="260" w:lineRule="atLeast"/>
        <w:jc w:val="both"/>
        <w:rPr>
          <w:rFonts w:eastAsia="Calibri"/>
          <w:lang w:eastAsia="en-US"/>
        </w:rPr>
      </w:pPr>
      <w:r w:rsidRPr="00F3249E">
        <w:rPr>
          <w:rFonts w:eastAsia="Calibri"/>
          <w:lang w:eastAsia="en-US"/>
        </w:rPr>
        <w:t>ACTION PIN could refer to the dossiers of the active substance L(+)-lactic acid with a Letter of Access of PURAC Biochem BV, approved substance supplier and Review Program Participant fot the active substance L(+)-lactic acid.</w:t>
      </w:r>
    </w:p>
    <w:p w14:paraId="1B9F8413" w14:textId="77777777" w:rsidR="000A637D" w:rsidRPr="00F3249E" w:rsidRDefault="000A637D" w:rsidP="00F3249E">
      <w:pPr>
        <w:spacing w:line="260" w:lineRule="atLeast"/>
        <w:jc w:val="both"/>
        <w:rPr>
          <w:rFonts w:eastAsia="Calibri"/>
          <w:lang w:eastAsia="en-US"/>
        </w:rPr>
      </w:pPr>
      <w:r w:rsidRPr="00F3249E">
        <w:rPr>
          <w:rFonts w:eastAsia="Calibri"/>
          <w:lang w:eastAsia="en-US"/>
        </w:rPr>
        <w:t>Source: PURAC Biochem BV.</w:t>
      </w:r>
    </w:p>
    <w:p w14:paraId="519A8579" w14:textId="77777777" w:rsidR="000A637D" w:rsidRPr="00F3249E" w:rsidRDefault="000A637D" w:rsidP="00F3249E">
      <w:pPr>
        <w:spacing w:line="260" w:lineRule="atLeast"/>
        <w:jc w:val="both"/>
        <w:rPr>
          <w:rFonts w:eastAsia="Calibri"/>
          <w:lang w:eastAsia="en-US"/>
        </w:rPr>
      </w:pPr>
      <w:r w:rsidRPr="00F3249E">
        <w:rPr>
          <w:rFonts w:eastAsia="Calibri"/>
          <w:lang w:eastAsia="en-US"/>
        </w:rPr>
        <w:t>Manufacturer Adress: Arkelsedijk 46 – NL 4206 AC Gorinchem Netherlands</w:t>
      </w:r>
    </w:p>
    <w:p w14:paraId="2FFF521E" w14:textId="77777777" w:rsidR="000A637D" w:rsidRPr="00F3249E" w:rsidRDefault="000A637D" w:rsidP="00F3249E">
      <w:pPr>
        <w:spacing w:line="260" w:lineRule="atLeast"/>
        <w:jc w:val="both"/>
        <w:rPr>
          <w:rFonts w:eastAsia="Calibri"/>
          <w:lang w:eastAsia="en-US"/>
        </w:rPr>
      </w:pPr>
      <w:r w:rsidRPr="00F3249E">
        <w:rPr>
          <w:rFonts w:eastAsia="Calibri"/>
          <w:lang w:eastAsia="en-US"/>
        </w:rPr>
        <w:t>Location site: Arkelsedijk 46 – NL 4206 AC Gorinchem Netherlands and Gran Vial 19-25 08160 MONTMELÓ Spain</w:t>
      </w:r>
    </w:p>
    <w:p w14:paraId="70FE1699" w14:textId="77777777" w:rsidR="000A637D" w:rsidRPr="00F3249E" w:rsidRDefault="000A637D" w:rsidP="00F3249E">
      <w:pPr>
        <w:spacing w:line="260" w:lineRule="atLeast"/>
        <w:jc w:val="both"/>
        <w:rPr>
          <w:rFonts w:eastAsia="Calibri"/>
          <w:lang w:eastAsia="en-US"/>
        </w:rPr>
      </w:pPr>
    </w:p>
    <w:p w14:paraId="5EB5D348" w14:textId="77777777" w:rsidR="000A637D" w:rsidRPr="00F3249E" w:rsidRDefault="000A637D" w:rsidP="00F3249E">
      <w:pPr>
        <w:spacing w:line="260" w:lineRule="atLeast"/>
        <w:jc w:val="both"/>
        <w:rPr>
          <w:rFonts w:eastAsia="Calibri"/>
          <w:lang w:eastAsia="en-US"/>
        </w:rPr>
      </w:pPr>
    </w:p>
    <w:p w14:paraId="007759FC" w14:textId="77777777" w:rsidR="000A637D" w:rsidRPr="00F3249E" w:rsidRDefault="000A637D" w:rsidP="00F3249E">
      <w:pPr>
        <w:spacing w:line="260" w:lineRule="atLeast"/>
        <w:jc w:val="both"/>
        <w:rPr>
          <w:rFonts w:eastAsia="Calibri"/>
          <w:lang w:eastAsia="en-US"/>
        </w:rPr>
      </w:pPr>
      <w:r w:rsidRPr="00F3249E">
        <w:rPr>
          <w:rFonts w:eastAsia="Calibri"/>
          <w:lang w:eastAsia="en-US"/>
        </w:rPr>
        <w:t>ACTION PIN is allowed to use and make reference to the biodegradability data generated on behalf of Jungbunzlauer SA (OECD 301 D: closed bottle test by Ibacon, project number 80031161; QSAR study: In silico prediction of ready biodegradability by Kreatis, study no. OTS/JUN/DEG/18001) in their dossier for biocidal product authorisation.</w:t>
      </w:r>
    </w:p>
    <w:p w14:paraId="7DC3D071" w14:textId="77777777" w:rsidR="000A637D" w:rsidRPr="00F3249E" w:rsidRDefault="000A637D" w:rsidP="00F3249E">
      <w:pPr>
        <w:spacing w:line="260" w:lineRule="atLeast"/>
        <w:jc w:val="both"/>
        <w:rPr>
          <w:rFonts w:eastAsia="Calibri"/>
          <w:lang w:val="fr-FR" w:eastAsia="en-US"/>
        </w:rPr>
      </w:pPr>
      <w:r w:rsidRPr="00F3249E">
        <w:rPr>
          <w:rFonts w:eastAsia="Calibri"/>
          <w:lang w:val="fr-FR" w:eastAsia="en-US"/>
        </w:rPr>
        <w:t>Source: Jungbunzlauer S.A.</w:t>
      </w:r>
    </w:p>
    <w:p w14:paraId="5C206C39" w14:textId="77777777" w:rsidR="000A637D" w:rsidRPr="00F3249E" w:rsidRDefault="000A637D" w:rsidP="00F3249E">
      <w:pPr>
        <w:spacing w:line="260" w:lineRule="atLeast"/>
        <w:jc w:val="both"/>
        <w:rPr>
          <w:rFonts w:eastAsia="Calibri"/>
          <w:lang w:val="fr-FR" w:eastAsia="en-US"/>
        </w:rPr>
      </w:pPr>
      <w:r w:rsidRPr="00F3249E">
        <w:rPr>
          <w:rFonts w:eastAsia="Calibri"/>
          <w:lang w:val="fr-FR" w:eastAsia="en-US"/>
        </w:rPr>
        <w:t>Manufacturer Adress: Z.I. et Portuaire B.P. 32 67390 MARCKOLSHEIM France</w:t>
      </w:r>
    </w:p>
    <w:p w14:paraId="11019F5F" w14:textId="7E02CDC0" w:rsidR="009D0C0B" w:rsidRPr="00F3249E" w:rsidRDefault="000A637D">
      <w:pPr>
        <w:rPr>
          <w:lang w:val="fr-FR"/>
        </w:rPr>
      </w:pPr>
      <w:r w:rsidRPr="00F3249E">
        <w:rPr>
          <w:rFonts w:eastAsia="Calibri"/>
          <w:lang w:val="fr-FR" w:eastAsia="en-US"/>
        </w:rPr>
        <w:t>Location site: Z.I. et Portuaire B.P. 32 67390 MARCKOLSHEIM France</w:t>
      </w:r>
    </w:p>
    <w:bookmarkEnd w:id="155"/>
    <w:p w14:paraId="66E11656" w14:textId="1764F736" w:rsidR="009D0C0B" w:rsidRPr="00F3249E" w:rsidRDefault="009D0C0B" w:rsidP="00F21571">
      <w:pPr>
        <w:rPr>
          <w:rFonts w:eastAsia="Calibri"/>
          <w:lang w:val="fr-FR" w:eastAsia="en-US"/>
        </w:rPr>
      </w:pPr>
    </w:p>
    <w:p w14:paraId="6422C08D" w14:textId="5967F733" w:rsidR="009D0C0B" w:rsidRPr="00B27CB1" w:rsidRDefault="00FA480B">
      <w:pPr>
        <w:pStyle w:val="Titre2"/>
      </w:pPr>
      <w:bookmarkStart w:id="158" w:name="_Toc87361186"/>
      <w:r w:rsidRPr="00B27CB1">
        <w:t>Asse</w:t>
      </w:r>
      <w:r w:rsidR="00F7024C" w:rsidRPr="00B27CB1">
        <w:t xml:space="preserve">ssment of the biocidal product </w:t>
      </w:r>
      <w:r w:rsidRPr="00B27CB1">
        <w:t>family</w:t>
      </w:r>
      <w:bookmarkEnd w:id="158"/>
    </w:p>
    <w:p w14:paraId="2441BCDD" w14:textId="77777777" w:rsidR="009D0C0B" w:rsidRPr="00B27CB1" w:rsidRDefault="00FA480B">
      <w:pPr>
        <w:pStyle w:val="Titre3"/>
        <w:rPr>
          <w:lang w:val="en-GB"/>
        </w:rPr>
      </w:pPr>
      <w:bookmarkStart w:id="159" w:name="_Toc87361187"/>
      <w:r w:rsidRPr="00B27CB1">
        <w:rPr>
          <w:lang w:val="en-GB"/>
        </w:rPr>
        <w:t>Intended use(s) as applied for by the applicant</w:t>
      </w:r>
      <w:bookmarkEnd w:id="159"/>
      <w:r w:rsidRPr="00B27CB1">
        <w:rPr>
          <w:lang w:val="en-GB"/>
        </w:rPr>
        <w:t xml:space="preserve"> </w:t>
      </w:r>
    </w:p>
    <w:p w14:paraId="10F74A5D" w14:textId="063E5B11" w:rsidR="001D5E60" w:rsidRPr="007A4DA8" w:rsidRDefault="003C350F" w:rsidP="007A4DA8">
      <w:pPr>
        <w:pStyle w:val="Absatz"/>
        <w:ind w:left="0"/>
        <w:jc w:val="both"/>
        <w:rPr>
          <w:rFonts w:ascii="Verdana" w:hAnsi="Verdana"/>
          <w:b/>
          <w:color w:val="00B0F0"/>
        </w:rPr>
      </w:pPr>
      <w:r w:rsidRPr="007A4DA8">
        <w:rPr>
          <w:rFonts w:ascii="Verdana" w:hAnsi="Verdana"/>
          <w:b/>
          <w:color w:val="00B0F0"/>
        </w:rPr>
        <w:t>T</w:t>
      </w:r>
      <w:r w:rsidR="0015013A" w:rsidRPr="007A4DA8">
        <w:rPr>
          <w:rFonts w:ascii="Verdana" w:hAnsi="Verdana"/>
          <w:b/>
          <w:color w:val="00B0F0"/>
        </w:rPr>
        <w:t xml:space="preserve">he </w:t>
      </w:r>
      <w:r w:rsidRPr="007A4DA8">
        <w:rPr>
          <w:rFonts w:ascii="Verdana" w:hAnsi="Verdana"/>
          <w:b/>
          <w:color w:val="00B0F0"/>
        </w:rPr>
        <w:t xml:space="preserve">application methods </w:t>
      </w:r>
      <w:r w:rsidR="0015013A" w:rsidRPr="007A4DA8">
        <w:rPr>
          <w:rFonts w:ascii="Verdana" w:hAnsi="Verdana"/>
          <w:b/>
          <w:color w:val="00B0F0"/>
        </w:rPr>
        <w:t>claim</w:t>
      </w:r>
      <w:r w:rsidRPr="007A4DA8">
        <w:rPr>
          <w:rFonts w:ascii="Verdana" w:hAnsi="Verdana"/>
          <w:b/>
          <w:color w:val="00B0F0"/>
        </w:rPr>
        <w:t>ed</w:t>
      </w:r>
      <w:r w:rsidR="0015013A" w:rsidRPr="007A4DA8">
        <w:rPr>
          <w:rFonts w:ascii="Verdana" w:hAnsi="Verdana"/>
          <w:b/>
          <w:color w:val="00B0F0"/>
        </w:rPr>
        <w:t xml:space="preserve"> were revised </w:t>
      </w:r>
      <w:r w:rsidRPr="007A4DA8">
        <w:rPr>
          <w:rFonts w:ascii="Verdana" w:hAnsi="Verdana"/>
          <w:b/>
          <w:color w:val="00B0F0"/>
        </w:rPr>
        <w:t xml:space="preserve">by the applicant </w:t>
      </w:r>
      <w:r w:rsidR="0015013A" w:rsidRPr="007A4DA8">
        <w:rPr>
          <w:rFonts w:ascii="Verdana" w:hAnsi="Verdana"/>
          <w:b/>
          <w:color w:val="00B0F0"/>
        </w:rPr>
        <w:t xml:space="preserve">during the </w:t>
      </w:r>
      <w:r w:rsidRPr="007A4DA8">
        <w:rPr>
          <w:rFonts w:ascii="Verdana" w:hAnsi="Verdana"/>
          <w:b/>
          <w:color w:val="00B0F0"/>
        </w:rPr>
        <w:t xml:space="preserve">evaluation </w:t>
      </w:r>
      <w:r w:rsidR="0015013A" w:rsidRPr="007A4DA8">
        <w:rPr>
          <w:rFonts w:ascii="Verdana" w:hAnsi="Verdana"/>
          <w:b/>
          <w:color w:val="00B0F0"/>
        </w:rPr>
        <w:t>of the</w:t>
      </w:r>
      <w:r w:rsidR="00697C64">
        <w:rPr>
          <w:rFonts w:ascii="Verdana" w:hAnsi="Verdana"/>
          <w:b/>
          <w:color w:val="00B0F0"/>
        </w:rPr>
        <w:t xml:space="preserve"> </w:t>
      </w:r>
      <w:r w:rsidRPr="007A4DA8">
        <w:rPr>
          <w:rFonts w:ascii="Verdana" w:hAnsi="Verdana"/>
          <w:b/>
          <w:color w:val="00B0F0"/>
        </w:rPr>
        <w:t>dossier</w:t>
      </w:r>
      <w:r w:rsidR="0015013A" w:rsidRPr="007A4DA8">
        <w:rPr>
          <w:rFonts w:ascii="Verdana" w:hAnsi="Verdana"/>
          <w:b/>
          <w:color w:val="00B0F0"/>
        </w:rPr>
        <w:t xml:space="preserve">. </w:t>
      </w:r>
      <w:r w:rsidRPr="007A4DA8">
        <w:rPr>
          <w:rFonts w:ascii="Verdana" w:hAnsi="Verdana"/>
          <w:b/>
          <w:color w:val="00B0F0"/>
        </w:rPr>
        <w:t xml:space="preserve">These updated </w:t>
      </w:r>
      <w:r w:rsidR="001D5E60" w:rsidRPr="007A4DA8">
        <w:rPr>
          <w:rFonts w:ascii="Verdana" w:hAnsi="Verdana"/>
          <w:b/>
          <w:color w:val="00B0F0"/>
        </w:rPr>
        <w:t xml:space="preserve">claims correspond to deletion of some application methods in various meta SPCs. These modification are </w:t>
      </w:r>
      <w:r w:rsidR="00A859EB">
        <w:rPr>
          <w:rFonts w:ascii="Verdana" w:hAnsi="Verdana"/>
          <w:b/>
          <w:color w:val="00B0F0"/>
        </w:rPr>
        <w:t xml:space="preserve">included and </w:t>
      </w:r>
      <w:r w:rsidR="001D5E60" w:rsidRPr="007A4DA8">
        <w:rPr>
          <w:rFonts w:ascii="Verdana" w:hAnsi="Verdana"/>
          <w:b/>
          <w:color w:val="00B0F0"/>
        </w:rPr>
        <w:t xml:space="preserve">materialized as strikethrough text below. </w:t>
      </w:r>
    </w:p>
    <w:p w14:paraId="5B60E83B" w14:textId="77777777" w:rsidR="001D5E60" w:rsidRPr="007A4DA8" w:rsidRDefault="001D5E60" w:rsidP="007A4DA8">
      <w:pPr>
        <w:pStyle w:val="Absatz"/>
        <w:ind w:left="0"/>
        <w:jc w:val="both"/>
        <w:rPr>
          <w:rFonts w:ascii="Verdana" w:hAnsi="Verdana"/>
          <w:b/>
          <w:color w:val="00B0F0"/>
        </w:rPr>
      </w:pPr>
    </w:p>
    <w:p w14:paraId="6BC3996B" w14:textId="0B495103" w:rsidR="009D0C0B" w:rsidRPr="007A4DA8" w:rsidRDefault="001D5E60" w:rsidP="007A4DA8">
      <w:pPr>
        <w:pStyle w:val="Absatz"/>
        <w:ind w:left="0"/>
        <w:jc w:val="both"/>
        <w:rPr>
          <w:rFonts w:ascii="Verdana" w:hAnsi="Verdana"/>
          <w:b/>
          <w:color w:val="00B0F0"/>
        </w:rPr>
      </w:pPr>
      <w:r w:rsidRPr="007A4DA8">
        <w:rPr>
          <w:rFonts w:ascii="Verdana" w:hAnsi="Verdana"/>
          <w:b/>
          <w:color w:val="00B0F0"/>
        </w:rPr>
        <w:t xml:space="preserve">These changes were considered </w:t>
      </w:r>
      <w:r w:rsidR="003C350F" w:rsidRPr="007A4DA8">
        <w:rPr>
          <w:rFonts w:ascii="Verdana" w:hAnsi="Verdana"/>
          <w:b/>
          <w:color w:val="00B0F0"/>
        </w:rPr>
        <w:t xml:space="preserve">in the efficacy section but not </w:t>
      </w:r>
      <w:r w:rsidR="009D507F">
        <w:rPr>
          <w:rFonts w:ascii="Verdana" w:hAnsi="Verdana"/>
          <w:b/>
          <w:color w:val="00B0F0"/>
        </w:rPr>
        <w:t xml:space="preserve">systematically </w:t>
      </w:r>
      <w:r w:rsidR="003C350F" w:rsidRPr="007A4DA8">
        <w:rPr>
          <w:rFonts w:ascii="Verdana" w:hAnsi="Verdana"/>
          <w:b/>
          <w:color w:val="00B0F0"/>
        </w:rPr>
        <w:t>in human health and environment</w:t>
      </w:r>
      <w:r w:rsidRPr="007A4DA8">
        <w:rPr>
          <w:rFonts w:ascii="Verdana" w:hAnsi="Verdana"/>
          <w:b/>
          <w:color w:val="00B0F0"/>
        </w:rPr>
        <w:t xml:space="preserve"> sections</w:t>
      </w:r>
      <w:r w:rsidR="009D507F">
        <w:rPr>
          <w:rFonts w:ascii="Verdana" w:hAnsi="Verdana"/>
          <w:b/>
          <w:color w:val="00B0F0"/>
        </w:rPr>
        <w:t>, as a risk envelop approach was performed</w:t>
      </w:r>
      <w:r w:rsidR="003C350F" w:rsidRPr="007A4DA8">
        <w:rPr>
          <w:rFonts w:ascii="Verdana" w:hAnsi="Verdana"/>
          <w:b/>
          <w:color w:val="00B0F0"/>
        </w:rPr>
        <w:t xml:space="preserve">.  </w:t>
      </w:r>
      <w:r w:rsidR="0015013A" w:rsidRPr="007A4DA8">
        <w:rPr>
          <w:rFonts w:ascii="Verdana" w:hAnsi="Verdana"/>
          <w:b/>
          <w:color w:val="00B0F0"/>
        </w:rPr>
        <w:t xml:space="preserve">However, </w:t>
      </w:r>
      <w:r w:rsidRPr="007A4DA8">
        <w:rPr>
          <w:rFonts w:ascii="Verdana" w:hAnsi="Verdana"/>
          <w:b/>
          <w:color w:val="00B0F0"/>
        </w:rPr>
        <w:t>this has no impact on the overall conclusions which consider only the updated claims.</w:t>
      </w:r>
    </w:p>
    <w:p w14:paraId="400118A2" w14:textId="77777777" w:rsidR="0015013A" w:rsidRDefault="0015013A" w:rsidP="00CC6631">
      <w:pPr>
        <w:pStyle w:val="Absatz"/>
        <w:ind w:left="0"/>
      </w:pPr>
    </w:p>
    <w:p w14:paraId="63B6C4B4" w14:textId="77777777" w:rsidR="00CC6631" w:rsidRPr="008D1034" w:rsidRDefault="00CC6631" w:rsidP="00CC6631">
      <w:pPr>
        <w:rPr>
          <w:b/>
          <w:u w:val="single"/>
        </w:rPr>
      </w:pPr>
      <w:r>
        <w:rPr>
          <w:b/>
          <w:u w:val="single"/>
        </w:rPr>
        <w:t>Meta SPC 1</w:t>
      </w:r>
      <w:r w:rsidRPr="008D1034">
        <w:rPr>
          <w:b/>
          <w:u w:val="single"/>
        </w:rPr>
        <w:t>:</w:t>
      </w:r>
    </w:p>
    <w:p w14:paraId="75A529B2" w14:textId="7E7C5C34" w:rsidR="00CC6631" w:rsidRPr="008D1034" w:rsidRDefault="00CC6631" w:rsidP="00CC6631">
      <w:r w:rsidRPr="008D1034">
        <w:t xml:space="preserve">Table </w:t>
      </w:r>
      <w:r w:rsidRPr="008D1034">
        <w:fldChar w:fldCharType="begin"/>
      </w:r>
      <w:r w:rsidRPr="008D1034">
        <w:instrText xml:space="preserve"> SEQ Table \* ARABIC </w:instrText>
      </w:r>
      <w:r w:rsidRPr="008D1034">
        <w:fldChar w:fldCharType="separate"/>
      </w:r>
      <w:r w:rsidR="00245178">
        <w:rPr>
          <w:noProof/>
        </w:rPr>
        <w:t>1</w:t>
      </w:r>
      <w:r w:rsidRPr="008D1034">
        <w:fldChar w:fldCharType="end"/>
      </w:r>
      <w:r w:rsidRPr="008D1034">
        <w:t xml:space="preserve">. Use # 1 – META SPC 1: </w:t>
      </w:r>
      <w:r w:rsidRPr="007A4DA8">
        <w:rPr>
          <w:bCs/>
          <w:lang w:val="en-US"/>
        </w:rPr>
        <w:t>Disinfectants for hard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36D354C4"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3D789D"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490F0E" w14:textId="77777777" w:rsidR="00CC6631" w:rsidRPr="008D1034" w:rsidRDefault="00CC6631" w:rsidP="007A4DA8">
            <w:pPr>
              <w:jc w:val="both"/>
            </w:pPr>
            <w:r w:rsidRPr="007A4DA8">
              <w:rPr>
                <w:bCs/>
                <w:lang w:val="en-US"/>
              </w:rPr>
              <w:t>PT02 - Disinfectants and algaecides not intended for direct application to humans or animals (Disinfectants)</w:t>
            </w:r>
          </w:p>
        </w:tc>
      </w:tr>
      <w:tr w:rsidR="00CC6631" w:rsidRPr="008D1034" w14:paraId="0E8A63B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67C462"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E5D3FE" w14:textId="77777777" w:rsidR="00CC6631" w:rsidRPr="007A4DA8" w:rsidRDefault="00CC6631" w:rsidP="007A4DA8">
            <w:pPr>
              <w:jc w:val="both"/>
              <w:rPr>
                <w:bCs/>
                <w:lang w:val="en-US"/>
              </w:rPr>
            </w:pPr>
            <w:r w:rsidRPr="007A4DA8">
              <w:rPr>
                <w:bCs/>
                <w:lang w:val="en-US"/>
              </w:rPr>
              <w:t xml:space="preserve">Ready-To-Use (RTU). </w:t>
            </w:r>
          </w:p>
          <w:p w14:paraId="3B02A2CC" w14:textId="77777777" w:rsidR="00CC6631" w:rsidRPr="007A4DA8" w:rsidRDefault="00CC6631" w:rsidP="007A4DA8">
            <w:pPr>
              <w:jc w:val="both"/>
              <w:rPr>
                <w:bCs/>
                <w:lang w:val="en-US"/>
              </w:rPr>
            </w:pPr>
            <w:r w:rsidRPr="007A4DA8">
              <w:rPr>
                <w:bCs/>
                <w:lang w:val="en-US"/>
              </w:rPr>
              <w:t xml:space="preserve">Products used for the disinfection of households surfaces including toilets bowls. </w:t>
            </w:r>
          </w:p>
          <w:p w14:paraId="6F2C38C2" w14:textId="77777777" w:rsidR="00CC6631" w:rsidRPr="008D1034" w:rsidRDefault="00CC6631" w:rsidP="007A4DA8">
            <w:pPr>
              <w:jc w:val="both"/>
            </w:pPr>
            <w:r w:rsidRPr="007A4DA8">
              <w:rPr>
                <w:bCs/>
                <w:lang w:val="en-US"/>
              </w:rPr>
              <w:t>Detergent, disinfectant (bactericidal activity)</w:t>
            </w:r>
            <w:r w:rsidRPr="007A4DA8">
              <w:rPr>
                <w:bCs/>
                <w:lang w:val="en-US"/>
              </w:rPr>
              <w:br/>
              <w:t>Use for cleaning and disinfection of all kind of surfaces.</w:t>
            </w:r>
          </w:p>
        </w:tc>
      </w:tr>
      <w:tr w:rsidR="00CC6631" w:rsidRPr="008D1034" w14:paraId="0176F21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20130F"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880D66" w14:textId="77777777" w:rsidR="00CC6631" w:rsidRPr="008D1034" w:rsidRDefault="00CC6631" w:rsidP="007A4DA8">
            <w:pPr>
              <w:jc w:val="both"/>
            </w:pPr>
            <w:r w:rsidRPr="008D1034">
              <w:rPr>
                <w:bCs/>
                <w:lang w:val="de-DE"/>
              </w:rPr>
              <w:t>Bacteria</w:t>
            </w:r>
          </w:p>
        </w:tc>
      </w:tr>
      <w:tr w:rsidR="00CC6631" w:rsidRPr="008D1034" w14:paraId="0346368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318B95"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C4B450" w14:textId="77777777" w:rsidR="00CC6631" w:rsidRPr="008D1034" w:rsidRDefault="00CC6631" w:rsidP="007A4DA8">
            <w:pPr>
              <w:jc w:val="both"/>
            </w:pPr>
            <w:r w:rsidRPr="008D1034">
              <w:rPr>
                <w:bCs/>
                <w:lang w:val="de-DE"/>
              </w:rPr>
              <w:t>Indoor, Domestic area</w:t>
            </w:r>
          </w:p>
        </w:tc>
      </w:tr>
      <w:tr w:rsidR="00CC6631" w:rsidRPr="008D1034" w14:paraId="65ABC55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A7C917"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DA5997"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p>
        </w:tc>
      </w:tr>
      <w:tr w:rsidR="00CC6631" w:rsidRPr="008D1034" w14:paraId="4D5E1E1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9BF0330"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E9F4B7"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75322F1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EB5643F"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D3A371" w14:textId="77777777" w:rsidR="00CC6631" w:rsidRPr="008D1034" w:rsidRDefault="00CC6631" w:rsidP="007A4DA8">
            <w:pPr>
              <w:jc w:val="both"/>
            </w:pPr>
            <w:r w:rsidRPr="008D1034">
              <w:t>General public (non-professional)</w:t>
            </w:r>
          </w:p>
        </w:tc>
      </w:tr>
      <w:tr w:rsidR="00CC6631" w:rsidRPr="008D1034" w14:paraId="5514048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458E1A"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46941F5" w14:textId="77777777" w:rsidR="00CC6631" w:rsidRPr="008D1034" w:rsidRDefault="00CC6631" w:rsidP="007A4DA8">
            <w:pPr>
              <w:jc w:val="both"/>
            </w:pPr>
            <w:r w:rsidRPr="008D1034">
              <w:t>Please see the relevant section.</w:t>
            </w:r>
          </w:p>
        </w:tc>
      </w:tr>
    </w:tbl>
    <w:p w14:paraId="7BFFB065" w14:textId="77777777" w:rsidR="00CC6631" w:rsidRDefault="00CC6631" w:rsidP="00CC6631"/>
    <w:p w14:paraId="1B1F19B7" w14:textId="77777777" w:rsidR="00CC6631" w:rsidRPr="008D1034" w:rsidRDefault="00CC6631" w:rsidP="00CC6631">
      <w:pPr>
        <w:rPr>
          <w:b/>
          <w:u w:val="single"/>
        </w:rPr>
      </w:pPr>
      <w:r>
        <w:rPr>
          <w:b/>
          <w:u w:val="single"/>
        </w:rPr>
        <w:t>Meta SPC 2</w:t>
      </w:r>
      <w:r w:rsidRPr="008D1034">
        <w:rPr>
          <w:b/>
          <w:u w:val="single"/>
        </w:rPr>
        <w:t>:</w:t>
      </w:r>
    </w:p>
    <w:p w14:paraId="132A413F" w14:textId="77777777" w:rsidR="00CC6631" w:rsidRPr="008D1034" w:rsidRDefault="00CC6631" w:rsidP="00CC6631">
      <w:r w:rsidRPr="008D1034">
        <w:t xml:space="preserve">Table 2. Use # 1 – META SPC 2: </w:t>
      </w:r>
      <w:r w:rsidRPr="007A4DA8">
        <w:rPr>
          <w:bCs/>
          <w:lang w:val="en-US"/>
        </w:rPr>
        <w:t>Disinfectants for hard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6E320DA3"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15D777"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BF7D84D" w14:textId="77777777" w:rsidR="00CC6631" w:rsidRPr="008D1034" w:rsidRDefault="00CC6631" w:rsidP="007A4DA8">
            <w:pPr>
              <w:jc w:val="both"/>
            </w:pPr>
            <w:r w:rsidRPr="007A4DA8">
              <w:rPr>
                <w:bCs/>
                <w:lang w:val="en-US"/>
              </w:rPr>
              <w:t>PT02 - Disinfectants and algaecides not intended for direct application to humans or animals (Disinfectants)</w:t>
            </w:r>
          </w:p>
        </w:tc>
      </w:tr>
      <w:tr w:rsidR="00CC6631" w:rsidRPr="008D1034" w14:paraId="4B4151A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142163C" w14:textId="77777777" w:rsidR="00CC6631" w:rsidRPr="008D1034" w:rsidRDefault="00CC6631" w:rsidP="00F3249E">
            <w:pPr>
              <w:rPr>
                <w:b/>
              </w:rPr>
            </w:pPr>
            <w:r w:rsidRPr="008D1034">
              <w:rPr>
                <w:b/>
                <w:bCs/>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5BC48E" w14:textId="77777777" w:rsidR="00CC6631" w:rsidRPr="008D1034" w:rsidRDefault="00CC6631" w:rsidP="007A4DA8">
            <w:pPr>
              <w:jc w:val="both"/>
            </w:pPr>
            <w:r w:rsidRPr="008D1034">
              <w:t xml:space="preserve">Ready-To-Use (RTU). </w:t>
            </w:r>
          </w:p>
          <w:p w14:paraId="6E903D5F" w14:textId="77777777" w:rsidR="00CC6631" w:rsidRPr="008D1034" w:rsidRDefault="00CC6631" w:rsidP="007A4DA8">
            <w:pPr>
              <w:jc w:val="both"/>
            </w:pPr>
            <w:r w:rsidRPr="008D1034">
              <w:t xml:space="preserve">Product used for the disinfection of households surfaces including toilets bowls. </w:t>
            </w:r>
          </w:p>
          <w:p w14:paraId="2E8F51C9" w14:textId="77777777" w:rsidR="00CC6631" w:rsidRPr="008D1034" w:rsidRDefault="00CC6631" w:rsidP="007A4DA8">
            <w:pPr>
              <w:jc w:val="both"/>
            </w:pPr>
            <w:r w:rsidRPr="008D1034">
              <w:t>Detergent, disinfectant (bactericidal activity).</w:t>
            </w:r>
            <w:r w:rsidRPr="008D1034">
              <w:br/>
              <w:t>Use for cleaning and disinfection of all kind of surfaces.</w:t>
            </w:r>
          </w:p>
        </w:tc>
      </w:tr>
      <w:tr w:rsidR="00CC6631" w:rsidRPr="008D1034" w14:paraId="2FDF822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E55D84"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414421" w14:textId="77777777" w:rsidR="00CC6631" w:rsidRPr="008D1034" w:rsidRDefault="00CC6631" w:rsidP="007A4DA8">
            <w:pPr>
              <w:jc w:val="both"/>
            </w:pPr>
            <w:r w:rsidRPr="008D1034">
              <w:rPr>
                <w:bCs/>
                <w:lang w:val="de-DE"/>
              </w:rPr>
              <w:t>Bacteria</w:t>
            </w:r>
          </w:p>
        </w:tc>
      </w:tr>
      <w:tr w:rsidR="00CC6631" w:rsidRPr="008D1034" w14:paraId="1362110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90D5AE"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6240F0" w14:textId="77777777" w:rsidR="00CC6631" w:rsidRPr="008D1034" w:rsidRDefault="00CC6631" w:rsidP="007A4DA8">
            <w:pPr>
              <w:jc w:val="both"/>
            </w:pPr>
            <w:r w:rsidRPr="008D1034">
              <w:rPr>
                <w:bCs/>
                <w:lang w:val="de-DE"/>
              </w:rPr>
              <w:t>Indoor, Domestic area</w:t>
            </w:r>
          </w:p>
        </w:tc>
      </w:tr>
      <w:tr w:rsidR="00CC6631" w:rsidRPr="008D1034" w14:paraId="312A08B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4340B37"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9F165F"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p>
        </w:tc>
      </w:tr>
      <w:tr w:rsidR="00CC6631" w:rsidRPr="008D1034" w14:paraId="2ADF61E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49E066A"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68DC7D"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6EA9CD1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6BCBBFB"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8461D4" w14:textId="77777777" w:rsidR="00CC6631" w:rsidRPr="008D1034" w:rsidRDefault="00CC6631" w:rsidP="007A4DA8">
            <w:pPr>
              <w:jc w:val="both"/>
            </w:pPr>
            <w:r w:rsidRPr="008D1034">
              <w:t>General public (non-professional)</w:t>
            </w:r>
          </w:p>
        </w:tc>
      </w:tr>
      <w:tr w:rsidR="00CC6631" w:rsidRPr="008D1034" w14:paraId="230BC6C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32DEBB6"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3B85E71" w14:textId="77777777" w:rsidR="00CC6631" w:rsidRPr="008D1034" w:rsidRDefault="00CC6631" w:rsidP="007A4DA8">
            <w:pPr>
              <w:jc w:val="both"/>
            </w:pPr>
            <w:r w:rsidRPr="008D1034">
              <w:t>Please see the relevant section.</w:t>
            </w:r>
          </w:p>
        </w:tc>
      </w:tr>
    </w:tbl>
    <w:p w14:paraId="15D6AEB2" w14:textId="77777777" w:rsidR="00CC6631" w:rsidRPr="008D1034" w:rsidRDefault="00CC6631" w:rsidP="00CC6631"/>
    <w:p w14:paraId="67F89EAE" w14:textId="77777777" w:rsidR="00CC6631" w:rsidRPr="008D1034" w:rsidRDefault="00CC6631" w:rsidP="00CC6631">
      <w:pPr>
        <w:rPr>
          <w:b/>
        </w:rPr>
      </w:pPr>
      <w:r w:rsidRPr="008D1034">
        <w:t>Table 3. Use # 2 – META SPC 2: Disinfectants for hard surfaces including food contact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7AFC016A"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7EC6602"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122AAD"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7B3E363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CF4628"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2FBF" w14:textId="77777777" w:rsidR="00CC6631" w:rsidRPr="008D1034" w:rsidRDefault="00CC6631" w:rsidP="007A4DA8">
            <w:pPr>
              <w:jc w:val="both"/>
            </w:pPr>
            <w:r w:rsidRPr="008D1034">
              <w:t xml:space="preserve">Ready-To-Use (RTU). </w:t>
            </w:r>
          </w:p>
          <w:p w14:paraId="4D0B633D" w14:textId="77777777" w:rsidR="00CC6631" w:rsidRPr="008D1034" w:rsidRDefault="00CC6631" w:rsidP="007A4DA8">
            <w:pPr>
              <w:jc w:val="both"/>
            </w:pPr>
            <w:r w:rsidRPr="008D1034">
              <w:t xml:space="preserve">Product used for the disinfection of households surfaces including food contact surfaces, toilets bowls and devices for baby care and other risk groups. </w:t>
            </w:r>
          </w:p>
          <w:p w14:paraId="48EB057C"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02F548C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B2E9D2"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C0F149" w14:textId="77777777" w:rsidR="00CC6631" w:rsidRPr="008D1034" w:rsidRDefault="00CC6631" w:rsidP="007A4DA8">
            <w:pPr>
              <w:jc w:val="both"/>
            </w:pPr>
            <w:r w:rsidRPr="008D1034">
              <w:t>Bacteria</w:t>
            </w:r>
            <w:r w:rsidRPr="008D1034">
              <w:br/>
              <w:t>Yeasts</w:t>
            </w:r>
          </w:p>
        </w:tc>
      </w:tr>
      <w:tr w:rsidR="00CC6631" w:rsidRPr="008D1034" w14:paraId="5EEACFD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F4AF51"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F6676E" w14:textId="77777777" w:rsidR="00CC6631" w:rsidRPr="008D1034" w:rsidRDefault="00CC6631" w:rsidP="007A4DA8">
            <w:pPr>
              <w:jc w:val="both"/>
            </w:pPr>
            <w:r w:rsidRPr="008D1034">
              <w:rPr>
                <w:bCs/>
                <w:lang w:val="de-DE"/>
              </w:rPr>
              <w:t>Indoor, Domestic area</w:t>
            </w:r>
          </w:p>
        </w:tc>
      </w:tr>
      <w:tr w:rsidR="00CC6631" w:rsidRPr="008D1034" w14:paraId="3345208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351026"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B96ADB"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p>
        </w:tc>
      </w:tr>
      <w:tr w:rsidR="00CC6631" w:rsidRPr="008D1034" w14:paraId="5DCAEBC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FD09F8"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745AC3"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0016F6B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CC49573"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A63A4A" w14:textId="77777777" w:rsidR="00CC6631" w:rsidRPr="008D1034" w:rsidRDefault="00CC6631" w:rsidP="007A4DA8">
            <w:pPr>
              <w:jc w:val="both"/>
            </w:pPr>
            <w:r w:rsidRPr="008D1034">
              <w:t>General public (non-professional)</w:t>
            </w:r>
          </w:p>
        </w:tc>
      </w:tr>
      <w:tr w:rsidR="00CC6631" w:rsidRPr="008D1034" w14:paraId="2B89BE6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C045993"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DED16A0" w14:textId="77777777" w:rsidR="00CC6631" w:rsidRPr="008D1034" w:rsidRDefault="00CC6631" w:rsidP="007A4DA8">
            <w:pPr>
              <w:jc w:val="both"/>
            </w:pPr>
            <w:r w:rsidRPr="008D1034">
              <w:t>Please see the relevant section.</w:t>
            </w:r>
          </w:p>
        </w:tc>
      </w:tr>
    </w:tbl>
    <w:p w14:paraId="5E5B3C1B" w14:textId="77777777" w:rsidR="00CC6631" w:rsidRPr="008D1034" w:rsidRDefault="00CC6631" w:rsidP="00CC6631"/>
    <w:p w14:paraId="6D1DAFD9" w14:textId="77777777" w:rsidR="00CC6631" w:rsidRPr="008D1034" w:rsidRDefault="00CC6631" w:rsidP="00CC6631">
      <w:r w:rsidRPr="008D1034">
        <w:t>Table 4. Use # 3 – META SPC 2: Disinfectants for hard surfaces of industry, institution, healthcare facilities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F3B9EB8"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F00215"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8CA8FB"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25C582F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44C425" w14:textId="77777777" w:rsidR="00CC6631" w:rsidRPr="008D1034" w:rsidRDefault="00CC6631" w:rsidP="00F3249E">
            <w:pPr>
              <w:rPr>
                <w:b/>
              </w:rPr>
            </w:pPr>
            <w:r w:rsidRPr="008D1034">
              <w:rPr>
                <w:b/>
                <w:bCs/>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25AE56" w14:textId="77777777" w:rsidR="00CC6631" w:rsidRPr="008D1034" w:rsidRDefault="00CC6631" w:rsidP="007A4DA8">
            <w:pPr>
              <w:jc w:val="both"/>
            </w:pPr>
            <w:r w:rsidRPr="008D1034">
              <w:t xml:space="preserve">Ready-To-Use (RTU). </w:t>
            </w:r>
          </w:p>
          <w:p w14:paraId="0A9DEC7E" w14:textId="77777777" w:rsidR="00CC6631" w:rsidRPr="008D1034" w:rsidRDefault="00CC6631" w:rsidP="007A4DA8">
            <w:pPr>
              <w:jc w:val="both"/>
            </w:pPr>
            <w:r w:rsidRPr="008D1034">
              <w:t xml:space="preserve">Product used for the disinfection for industry, institution and healthcare facilities including toilets bowls (outside) and food preparation and handling area. </w:t>
            </w:r>
          </w:p>
          <w:p w14:paraId="678649AE"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5A386BA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3ED12B"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EB2D5E" w14:textId="77777777" w:rsidR="00CC6631" w:rsidRPr="008D1034" w:rsidRDefault="00CC6631" w:rsidP="007A4DA8">
            <w:pPr>
              <w:jc w:val="both"/>
            </w:pPr>
            <w:r w:rsidRPr="008D1034">
              <w:t>Bacteria</w:t>
            </w:r>
            <w:r w:rsidRPr="008D1034">
              <w:br/>
              <w:t>Yeasts</w:t>
            </w:r>
          </w:p>
        </w:tc>
      </w:tr>
      <w:tr w:rsidR="00CC6631" w:rsidRPr="008D1034" w14:paraId="6A65323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187C7DB"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0AE7A4" w14:textId="77777777" w:rsidR="00CC6631" w:rsidRPr="008D1034" w:rsidRDefault="00CC6631" w:rsidP="007A4DA8">
            <w:pPr>
              <w:jc w:val="both"/>
            </w:pPr>
            <w:r w:rsidRPr="008D1034">
              <w:t>Indoor, Industry, institution, healthcare facilities and food preparation and handling areas.</w:t>
            </w:r>
          </w:p>
        </w:tc>
      </w:tr>
      <w:tr w:rsidR="00CC6631" w:rsidRPr="008D1034" w14:paraId="6964C64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743D480"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3C03A7"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r w:rsidRPr="00697C64">
              <w:t xml:space="preserve"> </w:t>
            </w:r>
            <w:r w:rsidRPr="007A4DA8">
              <w:rPr>
                <w:color w:val="000000" w:themeColor="text1"/>
              </w:rPr>
              <w:t>Mopping (applying product onto mop followed by mopping)</w:t>
            </w:r>
          </w:p>
        </w:tc>
      </w:tr>
      <w:tr w:rsidR="00CC6631" w:rsidRPr="008D1034" w14:paraId="67CFCBE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177CDD"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E19C7"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4E11AE7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CEF467"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82DAD4" w14:textId="77777777" w:rsidR="00CC6631" w:rsidRPr="008D1034" w:rsidRDefault="00CC6631" w:rsidP="007A4DA8">
            <w:pPr>
              <w:jc w:val="both"/>
            </w:pPr>
            <w:r w:rsidRPr="008D1034">
              <w:t>Industrial, Professional</w:t>
            </w:r>
          </w:p>
        </w:tc>
      </w:tr>
      <w:tr w:rsidR="00CC6631" w:rsidRPr="008D1034" w14:paraId="465E9AC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5ECE98"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2B285C03" w14:textId="77777777" w:rsidR="00CC6631" w:rsidRPr="008D1034" w:rsidRDefault="00CC6631" w:rsidP="007A4DA8">
            <w:pPr>
              <w:jc w:val="both"/>
            </w:pPr>
            <w:r w:rsidRPr="008D1034">
              <w:t>Please see the relevant section.</w:t>
            </w:r>
          </w:p>
        </w:tc>
      </w:tr>
    </w:tbl>
    <w:p w14:paraId="3665C81F" w14:textId="77777777" w:rsidR="00CC6631" w:rsidRPr="008D1034" w:rsidRDefault="00CC6631" w:rsidP="00CC6631"/>
    <w:p w14:paraId="79BB2DB1" w14:textId="77777777" w:rsidR="00CC6631" w:rsidRPr="008D1034" w:rsidRDefault="00CC6631" w:rsidP="00CC6631">
      <w:r w:rsidRPr="008D1034">
        <w:t>Table 5. Use # 4 – META SPC 2: Disinfectants for hard surfaces for industry, institution and healthcare facilities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210A0B2"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CD4D6BD"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3ED8D1"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384FC6B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F18D2D"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C1E041" w14:textId="77777777" w:rsidR="00CC6631" w:rsidRPr="008D1034" w:rsidRDefault="00CC6631" w:rsidP="007A4DA8">
            <w:pPr>
              <w:jc w:val="both"/>
            </w:pPr>
            <w:r w:rsidRPr="008D1034">
              <w:t xml:space="preserve">Ready-To-Use (RTU). </w:t>
            </w:r>
          </w:p>
          <w:p w14:paraId="03C4CD1F" w14:textId="77777777" w:rsidR="00CC6631" w:rsidRPr="008D1034" w:rsidRDefault="00CC6631" w:rsidP="007A4DA8">
            <w:pPr>
              <w:jc w:val="both"/>
            </w:pPr>
            <w:r w:rsidRPr="008D1034">
              <w:t xml:space="preserve">Product used for the disinfection of industry, institution and healthcare facilities including toilets bowls (outside). </w:t>
            </w:r>
          </w:p>
          <w:p w14:paraId="2FFDD7E2"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5B94914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87AE4D"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36ACEB" w14:textId="77777777" w:rsidR="00CC6631" w:rsidRPr="008D1034" w:rsidRDefault="00CC6631" w:rsidP="007A4DA8">
            <w:pPr>
              <w:jc w:val="both"/>
            </w:pPr>
            <w:r w:rsidRPr="008D1034">
              <w:t>Bacteria</w:t>
            </w:r>
            <w:r w:rsidRPr="008D1034">
              <w:br/>
              <w:t>Yeasts</w:t>
            </w:r>
          </w:p>
        </w:tc>
      </w:tr>
      <w:tr w:rsidR="00CC6631" w:rsidRPr="008D1034" w14:paraId="4C0118A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D955B4E"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DCA05F" w14:textId="77777777" w:rsidR="00CC6631" w:rsidRPr="008D1034" w:rsidRDefault="00CC6631" w:rsidP="007A4DA8">
            <w:pPr>
              <w:jc w:val="both"/>
            </w:pPr>
            <w:r w:rsidRPr="008D1034">
              <w:t>Indoor, Industry, institution and healthcare facilities areas</w:t>
            </w:r>
          </w:p>
        </w:tc>
      </w:tr>
      <w:tr w:rsidR="00CC6631" w:rsidRPr="008D1034" w14:paraId="2ECB8B1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11C9F94"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22DED6"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r w:rsidRPr="00517FA9">
              <w:t xml:space="preserve"> </w:t>
            </w:r>
            <w:r w:rsidRPr="008D1034">
              <w:t>Mopping (applying product onto mop followed by mopping)</w:t>
            </w:r>
          </w:p>
        </w:tc>
      </w:tr>
      <w:tr w:rsidR="00CC6631" w:rsidRPr="008D1034" w14:paraId="24C339D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1A2BE0D"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61DF5F"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1C9F6C4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08FEB50"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434AF4" w14:textId="77777777" w:rsidR="00CC6631" w:rsidRPr="008D1034" w:rsidRDefault="00CC6631" w:rsidP="007A4DA8">
            <w:pPr>
              <w:jc w:val="both"/>
            </w:pPr>
            <w:r w:rsidRPr="008D1034">
              <w:t>Industrial, Professional</w:t>
            </w:r>
          </w:p>
        </w:tc>
      </w:tr>
      <w:tr w:rsidR="00CC6631" w:rsidRPr="008D1034" w14:paraId="1CCFA7F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08A586"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5C2CA18" w14:textId="77777777" w:rsidR="00CC6631" w:rsidRPr="008D1034" w:rsidRDefault="00CC6631" w:rsidP="007A4DA8">
            <w:pPr>
              <w:jc w:val="both"/>
            </w:pPr>
            <w:r w:rsidRPr="008D1034">
              <w:t>Please see the relevant section.</w:t>
            </w:r>
          </w:p>
        </w:tc>
      </w:tr>
    </w:tbl>
    <w:p w14:paraId="656BF091" w14:textId="77777777" w:rsidR="00CC6631" w:rsidRPr="008D1034" w:rsidRDefault="00CC6631" w:rsidP="00CC6631"/>
    <w:p w14:paraId="78F8E734" w14:textId="77777777" w:rsidR="00CC6631" w:rsidRPr="008D1034" w:rsidRDefault="00CC6631" w:rsidP="00CC6631">
      <w:pPr>
        <w:rPr>
          <w:b/>
          <w:u w:val="single"/>
        </w:rPr>
      </w:pPr>
      <w:r>
        <w:rPr>
          <w:b/>
          <w:u w:val="single"/>
        </w:rPr>
        <w:t xml:space="preserve">Meta SPC </w:t>
      </w:r>
      <w:r w:rsidRPr="008D1034">
        <w:rPr>
          <w:b/>
          <w:u w:val="single"/>
        </w:rPr>
        <w:t>3:</w:t>
      </w:r>
    </w:p>
    <w:p w14:paraId="7FCAB1BE" w14:textId="77777777" w:rsidR="00CC6631" w:rsidRPr="008D1034" w:rsidRDefault="00CC6631" w:rsidP="00CC6631">
      <w:r w:rsidRPr="008D1034">
        <w:t>Table 6. Use # 1 – META SPC 3: Disinfectants for hard surfaces for industry, institution, healthcare facilities, health care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182CA813"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11CFF8" w14:textId="77777777" w:rsidR="00CC6631" w:rsidRPr="008D1034" w:rsidRDefault="00CC6631" w:rsidP="00F3249E">
            <w:pPr>
              <w:rPr>
                <w:b/>
              </w:rPr>
            </w:pPr>
            <w:r w:rsidRPr="008D1034">
              <w:rPr>
                <w:b/>
                <w:bCs/>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642002"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4D9BE65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388EFD"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D2283A" w14:textId="77777777" w:rsidR="00CC6631" w:rsidRPr="008D1034" w:rsidRDefault="00CC6631" w:rsidP="007A4DA8">
            <w:pPr>
              <w:jc w:val="both"/>
            </w:pPr>
            <w:r w:rsidRPr="008D1034">
              <w:t xml:space="preserve">Ready-To-Use (RTU). </w:t>
            </w:r>
          </w:p>
          <w:p w14:paraId="015DE1E9" w14:textId="77777777" w:rsidR="00CC6631" w:rsidRPr="008D1034" w:rsidRDefault="00CC6631" w:rsidP="007A4DA8">
            <w:pPr>
              <w:jc w:val="both"/>
            </w:pPr>
            <w:r w:rsidRPr="008D1034">
              <w:t xml:space="preserve">Product used for the disinfection of industry, institution, healthcare facilities and health care including toilets bowls and food preparation and handling area. </w:t>
            </w:r>
          </w:p>
          <w:p w14:paraId="09B05AE6"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64ACB42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0DFC90A"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3086B5" w14:textId="77777777" w:rsidR="00CC6631" w:rsidRPr="008D1034" w:rsidRDefault="00CC6631" w:rsidP="007A4DA8">
            <w:pPr>
              <w:jc w:val="both"/>
            </w:pPr>
            <w:r w:rsidRPr="008D1034">
              <w:t>Bacteria</w:t>
            </w:r>
            <w:r w:rsidRPr="008D1034">
              <w:br/>
              <w:t>Yeasts</w:t>
            </w:r>
          </w:p>
        </w:tc>
      </w:tr>
      <w:tr w:rsidR="00CC6631" w:rsidRPr="008D1034" w14:paraId="1CD7E3A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0892E2A"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CD8DA" w14:textId="77777777" w:rsidR="00CC6631" w:rsidRPr="008D1034" w:rsidRDefault="00CC6631" w:rsidP="007A4DA8">
            <w:pPr>
              <w:jc w:val="both"/>
            </w:pPr>
            <w:r w:rsidRPr="008D1034">
              <w:t>Indoor, healthcare facilities, health care, institution, industry and food preparation and handling areas.</w:t>
            </w:r>
          </w:p>
        </w:tc>
      </w:tr>
      <w:tr w:rsidR="00CC6631" w:rsidRPr="008D1034" w14:paraId="4071000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449FC9"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B2A501" w14:textId="639E445E"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r w:rsidR="0030116B">
              <w:rPr>
                <w:strike/>
              </w:rPr>
              <w:t xml:space="preserve">, </w:t>
            </w:r>
            <w:r w:rsidR="0030116B" w:rsidRPr="008D1034">
              <w:t>Mopping (applying product onto mop followed by mopping)</w:t>
            </w:r>
          </w:p>
        </w:tc>
      </w:tr>
      <w:tr w:rsidR="00CC6631" w:rsidRPr="008D1034" w14:paraId="1FB499C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1B4FF5"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D7390E"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2CE574E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7BB936"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D31A0" w14:textId="77777777" w:rsidR="00CC6631" w:rsidRPr="008D1034" w:rsidRDefault="00CC6631" w:rsidP="007A4DA8">
            <w:pPr>
              <w:jc w:val="both"/>
            </w:pPr>
            <w:r w:rsidRPr="008D1034">
              <w:t>Industrial, Professional</w:t>
            </w:r>
          </w:p>
        </w:tc>
      </w:tr>
      <w:tr w:rsidR="00CC6631" w:rsidRPr="008D1034" w14:paraId="48B7214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C2C171"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F841219" w14:textId="77777777" w:rsidR="00CC6631" w:rsidRPr="008D1034" w:rsidRDefault="00CC6631" w:rsidP="007A4DA8">
            <w:pPr>
              <w:jc w:val="both"/>
            </w:pPr>
            <w:r w:rsidRPr="008D1034">
              <w:t>Please see the relevant section.</w:t>
            </w:r>
          </w:p>
        </w:tc>
      </w:tr>
    </w:tbl>
    <w:p w14:paraId="34844C41" w14:textId="77777777" w:rsidR="00CC6631" w:rsidRPr="008D1034" w:rsidRDefault="00CC6631" w:rsidP="00CC6631">
      <w:pPr>
        <w:rPr>
          <w:b/>
        </w:rPr>
      </w:pPr>
    </w:p>
    <w:p w14:paraId="526E1A93" w14:textId="77777777" w:rsidR="00CC6631" w:rsidRPr="008D1034" w:rsidRDefault="00CC6631" w:rsidP="00CC6631">
      <w:r w:rsidRPr="008D1034">
        <w:t>Table 7. Use # 2 – META SPC 3: Disinfectants for hard surfaces for industry, institution, healthcare facilities and health care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1C2AD98D"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4FE65BF"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924341"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179CFB8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2E8ADE5"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640276" w14:textId="77777777" w:rsidR="00CC6631" w:rsidRPr="008D1034" w:rsidRDefault="00CC6631" w:rsidP="007A4DA8">
            <w:pPr>
              <w:jc w:val="both"/>
            </w:pPr>
            <w:r w:rsidRPr="008D1034">
              <w:t xml:space="preserve">Ready-To-Use (RTU). </w:t>
            </w:r>
          </w:p>
          <w:p w14:paraId="4EBF1B4B" w14:textId="77777777" w:rsidR="00CC6631" w:rsidRPr="008D1034" w:rsidRDefault="00CC6631" w:rsidP="007A4DA8">
            <w:pPr>
              <w:jc w:val="both"/>
            </w:pPr>
            <w:r w:rsidRPr="008D1034">
              <w:t xml:space="preserve">Product used for the disinfection of industry, institution, healthcare facilities and health care including toilets bowls. </w:t>
            </w:r>
          </w:p>
          <w:p w14:paraId="1486EF74"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435229D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C69267A"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F61360" w14:textId="77777777" w:rsidR="00CC6631" w:rsidRPr="008D1034" w:rsidRDefault="00CC6631" w:rsidP="007A4DA8">
            <w:pPr>
              <w:jc w:val="both"/>
            </w:pPr>
            <w:r w:rsidRPr="008D1034">
              <w:t>Bacteria</w:t>
            </w:r>
            <w:r w:rsidRPr="008D1034">
              <w:br/>
              <w:t>Yeasts</w:t>
            </w:r>
          </w:p>
        </w:tc>
      </w:tr>
      <w:tr w:rsidR="00CC6631" w:rsidRPr="008D1034" w14:paraId="64F596C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1CAA8C"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C79D97" w14:textId="77777777" w:rsidR="00CC6631" w:rsidRPr="008D1034" w:rsidRDefault="00CC6631" w:rsidP="007A4DA8">
            <w:pPr>
              <w:jc w:val="both"/>
            </w:pPr>
            <w:r w:rsidRPr="008D1034">
              <w:t>Indoor, healthcare facilities, health care, institution and industry areas.</w:t>
            </w:r>
          </w:p>
        </w:tc>
      </w:tr>
      <w:tr w:rsidR="00CC6631" w:rsidRPr="008D1034" w14:paraId="4A95C1C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CA7145C"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C4D7C0" w14:textId="402B6C84"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r w:rsidR="0030116B">
              <w:rPr>
                <w:strike/>
              </w:rPr>
              <w:t>,</w:t>
            </w:r>
            <w:r w:rsidR="0030116B" w:rsidRPr="008D1034">
              <w:t xml:space="preserve"> Mopping (applying product onto mop followed by mopping)</w:t>
            </w:r>
          </w:p>
        </w:tc>
      </w:tr>
      <w:tr w:rsidR="00CC6631" w:rsidRPr="008D1034" w14:paraId="4E39560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37F82F"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391DCE"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458D4D0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8A7386C"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2C38D7" w14:textId="77777777" w:rsidR="00CC6631" w:rsidRPr="008D1034" w:rsidRDefault="00CC6631" w:rsidP="007A4DA8">
            <w:pPr>
              <w:jc w:val="both"/>
            </w:pPr>
            <w:r w:rsidRPr="008D1034">
              <w:t>Industrial, Professional</w:t>
            </w:r>
          </w:p>
        </w:tc>
      </w:tr>
      <w:tr w:rsidR="00CC6631" w:rsidRPr="008D1034" w14:paraId="5E1A6F0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8D0AC81"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5876BC16" w14:textId="77777777" w:rsidR="00CC6631" w:rsidRPr="008D1034" w:rsidRDefault="00CC6631" w:rsidP="007A4DA8">
            <w:pPr>
              <w:jc w:val="both"/>
            </w:pPr>
            <w:r w:rsidRPr="008D1034">
              <w:t>Please see the relevant section.</w:t>
            </w:r>
          </w:p>
        </w:tc>
      </w:tr>
    </w:tbl>
    <w:p w14:paraId="37236ED6" w14:textId="77777777" w:rsidR="00CC6631" w:rsidRDefault="00CC6631" w:rsidP="00CC6631">
      <w:pPr>
        <w:rPr>
          <w:b/>
        </w:rPr>
      </w:pPr>
    </w:p>
    <w:p w14:paraId="655FE028" w14:textId="77777777" w:rsidR="00CC6631" w:rsidRPr="008D1034" w:rsidRDefault="00CC6631" w:rsidP="00CC6631">
      <w:pPr>
        <w:rPr>
          <w:b/>
          <w:u w:val="single"/>
        </w:rPr>
      </w:pPr>
      <w:r>
        <w:rPr>
          <w:b/>
          <w:u w:val="single"/>
        </w:rPr>
        <w:t>Meta SPC 4</w:t>
      </w:r>
      <w:r w:rsidRPr="008D1034">
        <w:rPr>
          <w:b/>
          <w:u w:val="single"/>
        </w:rPr>
        <w:t>:</w:t>
      </w:r>
    </w:p>
    <w:p w14:paraId="2A274542" w14:textId="77777777" w:rsidR="00CC6631" w:rsidRPr="008D1034" w:rsidRDefault="00CC6631" w:rsidP="00CC6631">
      <w:r w:rsidRPr="008D1034">
        <w:lastRenderedPageBreak/>
        <w:t>Table 8. Use # 1 – META SPC 4: Disinfectants for hard surfaces of industry, institution, healthcare facilities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6E8E7054"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98CFF1"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6E17A8"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0403159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7840B9"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57DCF0" w14:textId="77777777" w:rsidR="00CC6631" w:rsidRPr="008D1034" w:rsidRDefault="00CC6631" w:rsidP="007A4DA8">
            <w:pPr>
              <w:jc w:val="both"/>
            </w:pPr>
            <w:r w:rsidRPr="008D1034">
              <w:t xml:space="preserve">Ready-To-Use (RTU). </w:t>
            </w:r>
          </w:p>
          <w:p w14:paraId="56C3B3F6" w14:textId="77777777" w:rsidR="00CC6631" w:rsidRPr="008D1034" w:rsidRDefault="00CC6631" w:rsidP="007A4DA8">
            <w:pPr>
              <w:jc w:val="both"/>
            </w:pPr>
            <w:r w:rsidRPr="008D1034">
              <w:t xml:space="preserve">Product used for the disinfection of industry, institution, healthcare facilities and food preparation and handling area. </w:t>
            </w:r>
          </w:p>
          <w:p w14:paraId="2CDBB6DD"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78CF78C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5607C35"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89A6C3" w14:textId="77777777" w:rsidR="00CC6631" w:rsidRPr="008D1034" w:rsidRDefault="00CC6631" w:rsidP="007A4DA8">
            <w:pPr>
              <w:jc w:val="both"/>
            </w:pPr>
            <w:r w:rsidRPr="008D1034">
              <w:t>Bacteria</w:t>
            </w:r>
            <w:r w:rsidRPr="008D1034">
              <w:br/>
              <w:t>Yeasts</w:t>
            </w:r>
          </w:p>
        </w:tc>
      </w:tr>
      <w:tr w:rsidR="00CC6631" w:rsidRPr="008D1034" w14:paraId="3328F04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5A5B3D"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6B1C4A" w14:textId="77777777" w:rsidR="00CC6631" w:rsidRPr="008D1034" w:rsidRDefault="00CC6631" w:rsidP="007A4DA8">
            <w:pPr>
              <w:jc w:val="both"/>
            </w:pPr>
            <w:r w:rsidRPr="008D1034">
              <w:t>Indoor, Industry, institution, healthcare facilities and food preparation and handling areas.</w:t>
            </w:r>
          </w:p>
        </w:tc>
      </w:tr>
      <w:tr w:rsidR="00CC6631" w:rsidRPr="008D1034" w14:paraId="29208AF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972392"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3C65F6" w14:textId="7777777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 Brushing, scrubbing,</w:t>
            </w:r>
            <w:r w:rsidRPr="00517FA9">
              <w:t xml:space="preserve"> </w:t>
            </w:r>
            <w:r w:rsidRPr="008D1034">
              <w:t>Mopping (applying product onto mop followed by mopping)</w:t>
            </w:r>
          </w:p>
        </w:tc>
      </w:tr>
      <w:tr w:rsidR="00CC6631" w:rsidRPr="008D1034" w14:paraId="3D7F749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804EFE"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634CA0" w14:textId="77777777" w:rsidR="00CC6631" w:rsidRPr="008D1034" w:rsidRDefault="00CC6631" w:rsidP="007A4DA8">
            <w:pPr>
              <w:jc w:val="both"/>
            </w:pPr>
            <w:r w:rsidRPr="007A4DA8">
              <w:rPr>
                <w:bCs/>
                <w:lang w:val="en-US"/>
              </w:rPr>
              <w:t>100 % - 30 ml/m2 - 20 sprays per m2 - 8 to 12 sprays or 16ml onto wipe per 0.1 m2 – RTU - Daily</w:t>
            </w:r>
          </w:p>
        </w:tc>
      </w:tr>
      <w:tr w:rsidR="00CC6631" w:rsidRPr="008D1034" w14:paraId="4233CFF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DA96062"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37607" w14:textId="77777777" w:rsidR="00CC6631" w:rsidRPr="008D1034" w:rsidRDefault="00CC6631" w:rsidP="007A4DA8">
            <w:pPr>
              <w:jc w:val="both"/>
            </w:pPr>
            <w:r w:rsidRPr="008D1034">
              <w:t>Industrial, Professional</w:t>
            </w:r>
          </w:p>
        </w:tc>
      </w:tr>
      <w:tr w:rsidR="00CC6631" w:rsidRPr="008D1034" w14:paraId="069730F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8BF413A"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C3634DF" w14:textId="77777777" w:rsidR="00CC6631" w:rsidRPr="008D1034" w:rsidRDefault="00CC6631" w:rsidP="007A4DA8">
            <w:pPr>
              <w:jc w:val="both"/>
            </w:pPr>
            <w:r w:rsidRPr="008D1034">
              <w:t>Please see the relevant section.</w:t>
            </w:r>
          </w:p>
        </w:tc>
      </w:tr>
    </w:tbl>
    <w:p w14:paraId="713D76E6" w14:textId="77777777" w:rsidR="00CC6631" w:rsidRPr="008D1034" w:rsidRDefault="00CC6631" w:rsidP="00CC6631"/>
    <w:p w14:paraId="5E073E3A" w14:textId="77777777" w:rsidR="00CC6631" w:rsidRPr="008D1034" w:rsidRDefault="00CC6631" w:rsidP="00CC6631">
      <w:pPr>
        <w:rPr>
          <w:b/>
          <w:u w:val="single"/>
        </w:rPr>
      </w:pPr>
      <w:r>
        <w:rPr>
          <w:b/>
          <w:u w:val="single"/>
        </w:rPr>
        <w:t>Meta SPC 6</w:t>
      </w:r>
      <w:r w:rsidRPr="008D1034">
        <w:rPr>
          <w:b/>
          <w:u w:val="single"/>
        </w:rPr>
        <w:t>:</w:t>
      </w:r>
    </w:p>
    <w:p w14:paraId="56EB2DD5" w14:textId="77777777" w:rsidR="00CC6631" w:rsidRPr="008D1034" w:rsidRDefault="00CC6631" w:rsidP="00CC6631">
      <w:r w:rsidRPr="008D1034">
        <w:t>Table 9. Use # 1 – META SPC 6: Disinfectants for hard surfaces of industry, institution, healthcare facilities, health care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316866C"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4A1A66"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E3829D"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00A9795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2F985B"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F49A9A" w14:textId="77777777" w:rsidR="00CC6631" w:rsidRPr="008D1034" w:rsidRDefault="00CC6631" w:rsidP="007A4DA8">
            <w:pPr>
              <w:jc w:val="both"/>
            </w:pPr>
            <w:r w:rsidRPr="008D1034">
              <w:t xml:space="preserve">Concentrate. </w:t>
            </w:r>
          </w:p>
          <w:p w14:paraId="30DBD1A0" w14:textId="77777777" w:rsidR="00CC6631" w:rsidRPr="008D1034" w:rsidRDefault="00CC6631" w:rsidP="007A4DA8">
            <w:pPr>
              <w:jc w:val="both"/>
            </w:pPr>
            <w:r w:rsidRPr="008D1034">
              <w:t xml:space="preserve">Product used for the disinfection for industry, institution, healthcare facilities and health care including toilets bowls and disinfection for area of food preparation and handling. </w:t>
            </w:r>
          </w:p>
          <w:p w14:paraId="7C05AC21"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4160644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A16C35"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C0E00E" w14:textId="77777777" w:rsidR="00CC6631" w:rsidRPr="008D1034" w:rsidRDefault="00CC6631" w:rsidP="007A4DA8">
            <w:pPr>
              <w:jc w:val="both"/>
            </w:pPr>
            <w:r w:rsidRPr="008D1034">
              <w:t>Bacteria</w:t>
            </w:r>
            <w:r w:rsidRPr="008D1034">
              <w:br/>
              <w:t>Yeasts</w:t>
            </w:r>
          </w:p>
        </w:tc>
      </w:tr>
      <w:tr w:rsidR="00CC6631" w:rsidRPr="008D1034" w14:paraId="0763C1A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F37ADE"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BD5B48" w14:textId="77777777" w:rsidR="00CC6631" w:rsidRPr="008D1034" w:rsidRDefault="00CC6631" w:rsidP="007A4DA8">
            <w:pPr>
              <w:jc w:val="both"/>
            </w:pPr>
            <w:r w:rsidRPr="008D1034">
              <w:t>Indoor, Industry, institution, healthcare facilities and food preparation and handling areas.</w:t>
            </w:r>
          </w:p>
        </w:tc>
      </w:tr>
      <w:tr w:rsidR="00CC6631" w:rsidRPr="008D1034" w14:paraId="4FD7C43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90A190A"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6F4C88" w14:textId="4E4C85A0"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517FA9">
              <w:t xml:space="preserve"> </w:t>
            </w:r>
            <w:r w:rsidRPr="00444453">
              <w:t>Brushing</w:t>
            </w:r>
            <w:r w:rsidR="0030116B">
              <w:t xml:space="preserve"> </w:t>
            </w:r>
            <w:r w:rsidR="0030116B" w:rsidRPr="0030116B">
              <w:t>(applying product on</w:t>
            </w:r>
            <w:r w:rsidR="0030116B">
              <w:t xml:space="preserve">to brush followed by brushing) </w:t>
            </w:r>
            <w:r w:rsidRPr="00444453">
              <w:t>, scrubbing</w:t>
            </w:r>
            <w:r w:rsidR="0030116B">
              <w:t xml:space="preserve"> </w:t>
            </w:r>
            <w:r w:rsidR="0030116B" w:rsidRPr="0030116B">
              <w:t>(machine)</w:t>
            </w:r>
            <w:r w:rsidRPr="00444453">
              <w:t xml:space="preserve">, </w:t>
            </w:r>
            <w:r w:rsidRPr="008D1034">
              <w:t>Mopping (applying product onto mop followed by mopping)</w:t>
            </w:r>
          </w:p>
        </w:tc>
      </w:tr>
      <w:tr w:rsidR="00CC6631" w:rsidRPr="008D1034" w14:paraId="0F93C2B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8F3E69"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5A001C" w14:textId="77777777" w:rsidR="00CC6631" w:rsidRPr="007A4DA8" w:rsidRDefault="00CC6631" w:rsidP="007A4DA8">
            <w:pPr>
              <w:jc w:val="both"/>
              <w:rPr>
                <w:bCs/>
                <w:lang w:val="en-US"/>
              </w:rPr>
            </w:pPr>
            <w:r w:rsidRPr="007A4DA8">
              <w:rPr>
                <w:bCs/>
                <w:lang w:val="en-US"/>
              </w:rPr>
              <w:t xml:space="preserve">30ml/m2 - 20 sprays directly on the surface per m2 / Wiping application for hard surfaces: 8 to 12 sprays or 16 ml onto wipe per 0.1 m2 </w:t>
            </w:r>
          </w:p>
          <w:p w14:paraId="1CC31455" w14:textId="77777777" w:rsidR="00CC6631" w:rsidRPr="007A4DA8" w:rsidRDefault="00CC6631" w:rsidP="007A4DA8">
            <w:pPr>
              <w:jc w:val="both"/>
              <w:rPr>
                <w:bCs/>
                <w:lang w:val="en-US"/>
              </w:rPr>
            </w:pPr>
            <w:r w:rsidRPr="007A4DA8">
              <w:rPr>
                <w:bCs/>
                <w:lang w:val="en-US"/>
              </w:rPr>
              <w:lastRenderedPageBreak/>
              <w:t xml:space="preserve">For spraying, scrubbing, mopping, brushing on hard surfaces: </w:t>
            </w:r>
          </w:p>
          <w:p w14:paraId="02EFB269" w14:textId="77777777" w:rsidR="00CC6631" w:rsidRPr="007A4DA8" w:rsidRDefault="00CC6631" w:rsidP="007A4DA8">
            <w:pPr>
              <w:jc w:val="both"/>
              <w:rPr>
                <w:bCs/>
                <w:lang w:val="en-US"/>
              </w:rPr>
            </w:pPr>
            <w:r w:rsidRPr="007A4DA8">
              <w:rPr>
                <w:bCs/>
                <w:lang w:val="en-US"/>
              </w:rPr>
              <w:t xml:space="preserve">8% (v/v) in medical area </w:t>
            </w:r>
          </w:p>
          <w:p w14:paraId="409C1C18" w14:textId="77777777" w:rsidR="00CC6631" w:rsidRPr="007A4DA8" w:rsidRDefault="00CC6631" w:rsidP="007A4DA8">
            <w:pPr>
              <w:jc w:val="both"/>
              <w:rPr>
                <w:bCs/>
                <w:lang w:val="en-US"/>
              </w:rPr>
            </w:pPr>
            <w:r w:rsidRPr="007A4DA8">
              <w:rPr>
                <w:bCs/>
                <w:lang w:val="en-US"/>
              </w:rPr>
              <w:t xml:space="preserve">5% (v/v), contact time of 15 min at 20°C and 3% (v/v), contact time of 30 min at 40°C in institutional, healthcare facilities and industrial areas </w:t>
            </w:r>
          </w:p>
          <w:p w14:paraId="3FEE962B" w14:textId="1F40793D" w:rsidR="00CC6631" w:rsidRPr="008D1034" w:rsidRDefault="00CC6631" w:rsidP="007A4DA8">
            <w:pPr>
              <w:jc w:val="both"/>
              <w:rPr>
                <w:bCs/>
                <w:lang w:val="de-DE"/>
              </w:rPr>
            </w:pPr>
            <w:r w:rsidRPr="007A4DA8">
              <w:rPr>
                <w:bCs/>
                <w:lang w:val="en-US"/>
              </w:rPr>
              <w:t xml:space="preserve">In food preparation and handling areas: dilution at 3% (v/v), contact time of 5 min at 20°C and 2% (v/v), contact time of 15 min at 40°C for Bactericidal including Salmonella typhimurium and Listeria monocytogenes and 5% (v/v), contact time of 15 min at 20°C and 3% (v/v), contact time of 30 min at 40°C for yeasticidal activity.  </w:t>
            </w:r>
            <w:r w:rsidRPr="008D1034">
              <w:rPr>
                <w:bCs/>
                <w:lang w:val="de-DE"/>
              </w:rPr>
              <w:t>10% (v/v) for wiping application.</w:t>
            </w:r>
          </w:p>
          <w:p w14:paraId="3F03CB1C" w14:textId="77777777" w:rsidR="00CC6631" w:rsidRPr="008D1034" w:rsidRDefault="00CC6631" w:rsidP="007A4DA8">
            <w:pPr>
              <w:jc w:val="both"/>
            </w:pPr>
            <w:r w:rsidRPr="008D1034">
              <w:rPr>
                <w:bCs/>
                <w:lang w:val="de-DE"/>
              </w:rPr>
              <w:t>Daily</w:t>
            </w:r>
          </w:p>
        </w:tc>
      </w:tr>
      <w:tr w:rsidR="00CC6631" w:rsidRPr="008D1034" w14:paraId="240CC42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2A0F21E" w14:textId="77777777" w:rsidR="00CC6631" w:rsidRPr="008D1034" w:rsidRDefault="00CC6631" w:rsidP="00F3249E">
            <w:pPr>
              <w:rPr>
                <w:b/>
              </w:rPr>
            </w:pPr>
            <w:r w:rsidRPr="008D1034">
              <w:rPr>
                <w:b/>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753F5D" w14:textId="77777777" w:rsidR="00CC6631" w:rsidRPr="008D1034" w:rsidRDefault="00CC6631" w:rsidP="007A4DA8">
            <w:pPr>
              <w:jc w:val="both"/>
            </w:pPr>
            <w:r w:rsidRPr="008D1034">
              <w:t>Industrial, Professional</w:t>
            </w:r>
          </w:p>
        </w:tc>
      </w:tr>
      <w:tr w:rsidR="00CC6631" w:rsidRPr="008D1034" w14:paraId="44C3FA6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8CDDF31"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2CF8182B" w14:textId="77777777" w:rsidR="00CC6631" w:rsidRPr="008D1034" w:rsidRDefault="00CC6631" w:rsidP="007A4DA8">
            <w:pPr>
              <w:jc w:val="both"/>
            </w:pPr>
            <w:r w:rsidRPr="008D1034">
              <w:t>Please see the relevant section.</w:t>
            </w:r>
          </w:p>
        </w:tc>
      </w:tr>
    </w:tbl>
    <w:p w14:paraId="2D69C730" w14:textId="77777777" w:rsidR="00CC6631" w:rsidRPr="008D1034" w:rsidRDefault="00CC6631" w:rsidP="00CC6631"/>
    <w:p w14:paraId="4E0B55C0" w14:textId="77777777" w:rsidR="00CC6631" w:rsidRPr="008D1034" w:rsidRDefault="00CC6631" w:rsidP="00CC6631">
      <w:r w:rsidRPr="008D1034">
        <w:t>Table 10. Use # 2 – META SPC 6: Disinfectants for hard surfaces of industry, institution, healthcare facilities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113C3192"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3E5945F"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79D063"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35906FC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466C14"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AD2464" w14:textId="77777777" w:rsidR="00CC6631" w:rsidRPr="008D1034" w:rsidRDefault="00CC6631" w:rsidP="007A4DA8">
            <w:pPr>
              <w:jc w:val="both"/>
            </w:pPr>
            <w:r w:rsidRPr="008D1034">
              <w:t xml:space="preserve">Concentrate. </w:t>
            </w:r>
            <w:r w:rsidRPr="008D1034">
              <w:br/>
              <w:t xml:space="preserve">Product used for the disinfection of industry, institution and healthcare facilities including toilets bowls (outside) and disinfection for area of food preparation and handling. </w:t>
            </w:r>
          </w:p>
          <w:p w14:paraId="0A59E41A"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0AEFA3E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11CA67F"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2C0604" w14:textId="77777777" w:rsidR="00CC6631" w:rsidRPr="008D1034" w:rsidRDefault="00CC6631" w:rsidP="007A4DA8">
            <w:pPr>
              <w:jc w:val="both"/>
            </w:pPr>
            <w:r w:rsidRPr="008D1034">
              <w:t>Bacteria</w:t>
            </w:r>
            <w:r w:rsidRPr="008D1034">
              <w:br/>
              <w:t>Yeasts</w:t>
            </w:r>
          </w:p>
        </w:tc>
      </w:tr>
      <w:tr w:rsidR="00CC6631" w:rsidRPr="008D1034" w14:paraId="13333A7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7032DC"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5BD626" w14:textId="77777777" w:rsidR="00CC6631" w:rsidRPr="008D1034" w:rsidRDefault="00CC6631" w:rsidP="007A4DA8">
            <w:pPr>
              <w:jc w:val="both"/>
            </w:pPr>
            <w:r w:rsidRPr="008D1034">
              <w:t>Indoor, Industry, institution, healthcare facilities and food preparation and handling areas.</w:t>
            </w:r>
          </w:p>
        </w:tc>
      </w:tr>
      <w:tr w:rsidR="00CC6631" w:rsidRPr="008D1034" w14:paraId="1931FAA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F558ADE"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BD389E" w14:textId="172A5AA2"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517FA9">
              <w:t xml:space="preserve"> </w:t>
            </w:r>
            <w:r w:rsidRPr="00444453">
              <w:t>Brushing</w:t>
            </w:r>
            <w:r w:rsidR="00C44B83">
              <w:t xml:space="preserve"> </w:t>
            </w:r>
            <w:r w:rsidR="00C44B83" w:rsidRPr="00C44B83">
              <w:t>(applying product onto brush followed by brushing)</w:t>
            </w:r>
            <w:r w:rsidRPr="00444453">
              <w:t>, scrubbing</w:t>
            </w:r>
            <w:r w:rsidR="00C44B83">
              <w:t xml:space="preserve"> (</w:t>
            </w:r>
            <w:r w:rsidR="00C44B83" w:rsidRPr="00C44B83">
              <w:t>machine</w:t>
            </w:r>
            <w:r w:rsidR="00C44B83">
              <w:t>)</w:t>
            </w:r>
            <w:r w:rsidRPr="00444453">
              <w:t xml:space="preserve">, </w:t>
            </w:r>
            <w:r w:rsidRPr="008D1034">
              <w:t>Mopping (applying product onto mop followed by mopping)</w:t>
            </w:r>
          </w:p>
        </w:tc>
      </w:tr>
      <w:tr w:rsidR="00CC6631" w:rsidRPr="008D1034" w14:paraId="681F429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D6A0993"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FE209F" w14:textId="77777777" w:rsidR="00CC6631" w:rsidRPr="007A4DA8" w:rsidRDefault="00CC6631" w:rsidP="007A4DA8">
            <w:pPr>
              <w:jc w:val="both"/>
              <w:rPr>
                <w:bCs/>
                <w:lang w:val="en-US"/>
              </w:rPr>
            </w:pPr>
            <w:r w:rsidRPr="007A4DA8">
              <w:rPr>
                <w:bCs/>
                <w:lang w:val="en-US"/>
              </w:rPr>
              <w:t xml:space="preserve">30ml/m2 - 20 sprays directly on the surface per m2 / Wiping application for hard surfaces: 8 to 12 sprays or 16 ml onto wipe per 0.1 m2 </w:t>
            </w:r>
          </w:p>
          <w:p w14:paraId="4B3653E5" w14:textId="77777777" w:rsidR="00CC6631" w:rsidRPr="007A4DA8" w:rsidRDefault="00CC6631" w:rsidP="007A4DA8">
            <w:pPr>
              <w:jc w:val="both"/>
              <w:rPr>
                <w:bCs/>
                <w:lang w:val="en-US"/>
              </w:rPr>
            </w:pPr>
            <w:r w:rsidRPr="007A4DA8">
              <w:rPr>
                <w:bCs/>
                <w:lang w:val="en-US"/>
              </w:rPr>
              <w:t xml:space="preserve">For spraying, scrubbing, mopping, brushing on hard surfaces: </w:t>
            </w:r>
          </w:p>
          <w:p w14:paraId="7E3D53C0" w14:textId="77777777" w:rsidR="00CC6631" w:rsidRPr="007A4DA8" w:rsidRDefault="00CC6631" w:rsidP="007A4DA8">
            <w:pPr>
              <w:jc w:val="both"/>
              <w:rPr>
                <w:bCs/>
                <w:lang w:val="en-US"/>
              </w:rPr>
            </w:pPr>
            <w:r w:rsidRPr="007A4DA8">
              <w:rPr>
                <w:bCs/>
                <w:lang w:val="en-US"/>
              </w:rPr>
              <w:t xml:space="preserve">8% (v/v) in medical area </w:t>
            </w:r>
          </w:p>
          <w:p w14:paraId="11C2EB9B" w14:textId="77777777" w:rsidR="00CC6631" w:rsidRPr="007A4DA8" w:rsidRDefault="00CC6631" w:rsidP="007A4DA8">
            <w:pPr>
              <w:jc w:val="both"/>
              <w:rPr>
                <w:bCs/>
                <w:lang w:val="en-US"/>
              </w:rPr>
            </w:pPr>
            <w:r w:rsidRPr="007A4DA8">
              <w:rPr>
                <w:bCs/>
                <w:lang w:val="en-US"/>
              </w:rPr>
              <w:t xml:space="preserve">5% (v/v), contact time of 15 min at 20°C and 3% (v/v), contact time of 30 min at 40°C in institutional, healthcare facilities and industrial areas </w:t>
            </w:r>
          </w:p>
          <w:p w14:paraId="7DD560B6" w14:textId="422013B5" w:rsidR="00CC6631" w:rsidRPr="008D1034" w:rsidRDefault="00CC6631" w:rsidP="007A4DA8">
            <w:pPr>
              <w:jc w:val="both"/>
              <w:rPr>
                <w:bCs/>
                <w:lang w:val="de-DE"/>
              </w:rPr>
            </w:pPr>
            <w:r w:rsidRPr="007A4DA8">
              <w:rPr>
                <w:bCs/>
                <w:lang w:val="en-US"/>
              </w:rPr>
              <w:t xml:space="preserve">In food preparation and handling areas: dilution at 3% (v/v), contact time of 5 min at 20°C and 2% (v/v), contact time of 15 min at 40°C for Bactericidal including Salmonella typhimurium and Listeria monocytogenes and 5% (v/v), contact time of 15 min at 20°C and 3% (v/v), contact time of </w:t>
            </w:r>
            <w:r w:rsidRPr="007A4DA8">
              <w:rPr>
                <w:bCs/>
                <w:lang w:val="en-US"/>
              </w:rPr>
              <w:lastRenderedPageBreak/>
              <w:t xml:space="preserve">30 min at 40°C for yeasticidal activity.  </w:t>
            </w:r>
            <w:r w:rsidRPr="008D1034">
              <w:rPr>
                <w:bCs/>
                <w:lang w:val="de-DE"/>
              </w:rPr>
              <w:t>10% (v/v) for wiping application.</w:t>
            </w:r>
          </w:p>
          <w:p w14:paraId="7DEC2A4A" w14:textId="77777777" w:rsidR="00CC6631" w:rsidRPr="008D1034" w:rsidRDefault="00CC6631" w:rsidP="007A4DA8">
            <w:pPr>
              <w:jc w:val="both"/>
            </w:pPr>
            <w:r w:rsidRPr="008D1034">
              <w:rPr>
                <w:bCs/>
                <w:lang w:val="de-DE"/>
              </w:rPr>
              <w:t>Daily</w:t>
            </w:r>
          </w:p>
        </w:tc>
      </w:tr>
      <w:tr w:rsidR="00CC6631" w:rsidRPr="008D1034" w14:paraId="625D961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4B198A" w14:textId="77777777" w:rsidR="00CC6631" w:rsidRPr="008D1034" w:rsidRDefault="00CC6631" w:rsidP="00F3249E">
            <w:pPr>
              <w:rPr>
                <w:b/>
              </w:rPr>
            </w:pPr>
            <w:r w:rsidRPr="008D1034">
              <w:rPr>
                <w:b/>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1F85D1" w14:textId="77777777" w:rsidR="00CC6631" w:rsidRPr="008D1034" w:rsidRDefault="00CC6631" w:rsidP="007A4DA8">
            <w:pPr>
              <w:jc w:val="both"/>
            </w:pPr>
            <w:r w:rsidRPr="008D1034">
              <w:t>Industrial, Professional</w:t>
            </w:r>
          </w:p>
        </w:tc>
      </w:tr>
      <w:tr w:rsidR="00CC6631" w:rsidRPr="008D1034" w14:paraId="2BC7AFF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B53D12A"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98C05D0" w14:textId="77777777" w:rsidR="00CC6631" w:rsidRPr="008D1034" w:rsidRDefault="00CC6631" w:rsidP="007A4DA8">
            <w:pPr>
              <w:jc w:val="both"/>
            </w:pPr>
            <w:r w:rsidRPr="008D1034">
              <w:t>Please see the relevant section.</w:t>
            </w:r>
          </w:p>
        </w:tc>
      </w:tr>
    </w:tbl>
    <w:p w14:paraId="26B66170" w14:textId="77777777" w:rsidR="00CC6631" w:rsidRPr="008D1034" w:rsidRDefault="00CC6631" w:rsidP="00CC6631"/>
    <w:p w14:paraId="3DC4BCD6" w14:textId="77777777" w:rsidR="00CC6631" w:rsidRPr="008D1034" w:rsidRDefault="00CC6631" w:rsidP="00CC6631">
      <w:r w:rsidRPr="008D1034">
        <w:t>Table 11. Use # 3 – META SPC 6: Disinfectants for hard surfaces of industry, institution, healthcare facilities and health care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72E7035A"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8D2B98"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5CE357F"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6260A3E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789912"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95074D" w14:textId="77777777" w:rsidR="00CC6631" w:rsidRPr="008D1034" w:rsidRDefault="00CC6631" w:rsidP="007A4DA8">
            <w:pPr>
              <w:jc w:val="both"/>
            </w:pPr>
            <w:r w:rsidRPr="008D1034">
              <w:t xml:space="preserve">Concentrate. </w:t>
            </w:r>
          </w:p>
          <w:p w14:paraId="444604EA" w14:textId="77777777" w:rsidR="00CC6631" w:rsidRPr="008D1034" w:rsidRDefault="00CC6631" w:rsidP="007A4DA8">
            <w:pPr>
              <w:jc w:val="both"/>
            </w:pPr>
            <w:r w:rsidRPr="008D1034">
              <w:t xml:space="preserve">Product used for the disinfection for industry, institution, healthcare facilities and health care including toilets bowls. </w:t>
            </w:r>
          </w:p>
          <w:p w14:paraId="4D376D15"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7CB1E4F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7DD17B"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DA245D" w14:textId="77777777" w:rsidR="00CC6631" w:rsidRPr="008D1034" w:rsidRDefault="00CC6631" w:rsidP="007A4DA8">
            <w:pPr>
              <w:jc w:val="both"/>
            </w:pPr>
            <w:r w:rsidRPr="008D1034">
              <w:t>Bacteria</w:t>
            </w:r>
            <w:r w:rsidRPr="008D1034">
              <w:br/>
              <w:t>Yeasts</w:t>
            </w:r>
          </w:p>
        </w:tc>
      </w:tr>
      <w:tr w:rsidR="00CC6631" w:rsidRPr="008D1034" w14:paraId="28E24399"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A9C81F"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F38C9" w14:textId="77777777" w:rsidR="00CC6631" w:rsidRPr="008D1034" w:rsidRDefault="00CC6631" w:rsidP="007A4DA8">
            <w:pPr>
              <w:jc w:val="both"/>
            </w:pPr>
            <w:r w:rsidRPr="008D1034">
              <w:t>Indoor, Industry, institution, healthcare facilities and health care areas.</w:t>
            </w:r>
          </w:p>
        </w:tc>
      </w:tr>
      <w:tr w:rsidR="00CC6631" w:rsidRPr="008D1034" w14:paraId="1F553C0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48107D"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AD3EF5" w14:textId="12BC9474"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517FA9">
              <w:t xml:space="preserve"> </w:t>
            </w:r>
            <w:r w:rsidRPr="00444453">
              <w:t>Brushing</w:t>
            </w:r>
            <w:r w:rsidR="00C44B83">
              <w:t xml:space="preserve"> (</w:t>
            </w:r>
            <w:r w:rsidR="00C44B83" w:rsidRPr="00C44B83">
              <w:t>applying product onto brush followed by brushing)</w:t>
            </w:r>
            <w:r w:rsidRPr="00444453">
              <w:t xml:space="preserve">, </w:t>
            </w:r>
            <w:r w:rsidRPr="00C44B83">
              <w:t>scrubbing</w:t>
            </w:r>
            <w:r w:rsidR="00C44B83" w:rsidRPr="00C44B83">
              <w:t xml:space="preserve"> (</w:t>
            </w:r>
            <w:r w:rsidR="00C44B83" w:rsidRPr="007A4DA8">
              <w:t>machine</w:t>
            </w:r>
            <w:r w:rsidR="00C44B83" w:rsidRPr="00C44B83">
              <w:t>)</w:t>
            </w:r>
            <w:r w:rsidRPr="00C44B83">
              <w:t>,</w:t>
            </w:r>
            <w:r w:rsidRPr="00444453">
              <w:t xml:space="preserve"> </w:t>
            </w:r>
            <w:r w:rsidRPr="008D1034">
              <w:t>Mopping (applying product onto mop followed by mopping)</w:t>
            </w:r>
          </w:p>
        </w:tc>
      </w:tr>
      <w:tr w:rsidR="00CC6631" w:rsidRPr="008D1034" w14:paraId="00DA5C9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3EBEDFF"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161E3D" w14:textId="77777777" w:rsidR="00CC6631" w:rsidRPr="008D1034" w:rsidRDefault="00CC6631" w:rsidP="007A4DA8">
            <w:pPr>
              <w:jc w:val="both"/>
            </w:pPr>
            <w:r w:rsidRPr="008D1034">
              <w:t xml:space="preserve">Dilution at 8% (v/v) for spraying, scrubbing, mopping, brushing on hard surfaces: 30ml/m2 - 20 sprays directly on the surface per m2 </w:t>
            </w:r>
          </w:p>
          <w:p w14:paraId="4492D264" w14:textId="77777777" w:rsidR="00CC6631" w:rsidRPr="008D1034" w:rsidRDefault="00CC6631" w:rsidP="007A4DA8">
            <w:pPr>
              <w:jc w:val="both"/>
            </w:pPr>
            <w:r w:rsidRPr="008D1034">
              <w:t xml:space="preserve">Dilution at 10% (v/v): wiping application for hard surfaces: 8 to 12 sprays or 16 ml onto wipe per 0.1 m2 </w:t>
            </w:r>
          </w:p>
          <w:p w14:paraId="4F9E2410" w14:textId="77777777" w:rsidR="00CC6631" w:rsidRPr="008D1034" w:rsidRDefault="00CC6631" w:rsidP="007A4DA8">
            <w:pPr>
              <w:jc w:val="both"/>
            </w:pPr>
            <w:r w:rsidRPr="008D1034">
              <w:t>Daily</w:t>
            </w:r>
          </w:p>
        </w:tc>
      </w:tr>
      <w:tr w:rsidR="00CC6631" w:rsidRPr="008D1034" w14:paraId="3AE9A97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41E0FF3"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6BEFD" w14:textId="77777777" w:rsidR="00CC6631" w:rsidRPr="008D1034" w:rsidRDefault="00CC6631" w:rsidP="007A4DA8">
            <w:pPr>
              <w:jc w:val="both"/>
            </w:pPr>
            <w:r w:rsidRPr="008D1034">
              <w:t>Industrial, Professional</w:t>
            </w:r>
          </w:p>
        </w:tc>
      </w:tr>
      <w:tr w:rsidR="00CC6631" w:rsidRPr="008D1034" w14:paraId="5E2124F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16B42A"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F0A6DBF" w14:textId="77777777" w:rsidR="00CC6631" w:rsidRPr="008D1034" w:rsidRDefault="00CC6631" w:rsidP="007A4DA8">
            <w:pPr>
              <w:jc w:val="both"/>
            </w:pPr>
            <w:r w:rsidRPr="008D1034">
              <w:t>Please see the relevant section.</w:t>
            </w:r>
          </w:p>
        </w:tc>
      </w:tr>
    </w:tbl>
    <w:p w14:paraId="3893AC69" w14:textId="77777777" w:rsidR="00CC6631" w:rsidRPr="008D1034" w:rsidRDefault="00CC6631" w:rsidP="00CC6631">
      <w:pPr>
        <w:rPr>
          <w:b/>
        </w:rPr>
      </w:pPr>
    </w:p>
    <w:p w14:paraId="144A1715" w14:textId="77777777" w:rsidR="00CC6631" w:rsidRPr="008D1034" w:rsidRDefault="00CC6631" w:rsidP="00CC6631">
      <w:pPr>
        <w:rPr>
          <w:b/>
        </w:rPr>
      </w:pPr>
      <w:r w:rsidRPr="008D1034">
        <w:t>Table 12. Use # 4 – META SPC 6: Disinfectants for hard surfaces of industry, institution and healthcare facilities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1CA5C363"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64396C"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FBD84D"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357C011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E457666"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DBDAD4" w14:textId="77777777" w:rsidR="00CC6631" w:rsidRPr="008D1034" w:rsidRDefault="00CC6631" w:rsidP="007A4DA8">
            <w:pPr>
              <w:jc w:val="both"/>
            </w:pPr>
            <w:r w:rsidRPr="008D1034">
              <w:t xml:space="preserve">Concentrate. </w:t>
            </w:r>
          </w:p>
          <w:p w14:paraId="3266E490" w14:textId="77777777" w:rsidR="00CC6631" w:rsidRPr="008D1034" w:rsidRDefault="00CC6631" w:rsidP="007A4DA8">
            <w:pPr>
              <w:jc w:val="both"/>
            </w:pPr>
            <w:r w:rsidRPr="008D1034">
              <w:t xml:space="preserve">Product used for the disinfection of industry, institution and healthcare facilities including toilets bowls (outside). </w:t>
            </w:r>
            <w:r w:rsidRPr="008D1034">
              <w:br/>
            </w:r>
          </w:p>
          <w:p w14:paraId="305B3138"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78D4E04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41CD34"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6A308A" w14:textId="77777777" w:rsidR="00CC6631" w:rsidRPr="008D1034" w:rsidRDefault="00CC6631" w:rsidP="007A4DA8">
            <w:pPr>
              <w:jc w:val="both"/>
            </w:pPr>
            <w:r w:rsidRPr="008D1034">
              <w:t>Bacteria</w:t>
            </w:r>
            <w:r w:rsidRPr="008D1034">
              <w:br/>
              <w:t>Yeasts</w:t>
            </w:r>
          </w:p>
        </w:tc>
      </w:tr>
      <w:tr w:rsidR="00CC6631" w:rsidRPr="008D1034" w14:paraId="101E5B2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9AD8600" w14:textId="77777777" w:rsidR="00CC6631" w:rsidRPr="008D1034" w:rsidRDefault="00CC6631" w:rsidP="00F3249E">
            <w:pPr>
              <w:rPr>
                <w:b/>
              </w:rPr>
            </w:pPr>
            <w:r w:rsidRPr="008D1034">
              <w:rPr>
                <w:b/>
                <w:bCs/>
              </w:rPr>
              <w:lastRenderedPageBreak/>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FA5F14" w14:textId="77777777" w:rsidR="00CC6631" w:rsidRPr="008D1034" w:rsidRDefault="00CC6631" w:rsidP="007A4DA8">
            <w:pPr>
              <w:jc w:val="both"/>
            </w:pPr>
            <w:r w:rsidRPr="008D1034">
              <w:t>Indoor, Industry, institution and healthcare facilities.</w:t>
            </w:r>
          </w:p>
        </w:tc>
      </w:tr>
      <w:tr w:rsidR="00CC6631" w:rsidRPr="008D1034" w14:paraId="621B0D7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9AEB29"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3C6C7F" w14:textId="30B31F97"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517FA9">
              <w:t xml:space="preserve"> </w:t>
            </w:r>
            <w:r w:rsidRPr="00444453">
              <w:t>Brushing</w:t>
            </w:r>
            <w:r w:rsidR="00C44B83">
              <w:t xml:space="preserve"> </w:t>
            </w:r>
            <w:r w:rsidR="00C44B83" w:rsidRPr="00C44B83">
              <w:t>(applying product onto brush followed by brushing)</w:t>
            </w:r>
            <w:r w:rsidRPr="00444453">
              <w:t>, scrubbing</w:t>
            </w:r>
            <w:r w:rsidR="00C44B83">
              <w:t xml:space="preserve"> </w:t>
            </w:r>
            <w:r w:rsidR="00C44B83" w:rsidRPr="00C44B83">
              <w:t>(machine)</w:t>
            </w:r>
            <w:r w:rsidRPr="00444453">
              <w:t xml:space="preserve">, </w:t>
            </w:r>
            <w:r w:rsidRPr="008D1034">
              <w:t>Mopping (applying product onto mop followed by mopping)</w:t>
            </w:r>
          </w:p>
        </w:tc>
      </w:tr>
      <w:tr w:rsidR="00CC6631" w:rsidRPr="008D1034" w14:paraId="3C84CE09"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E16DF2"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43A837" w14:textId="77777777" w:rsidR="00CC6631" w:rsidRPr="008D1034" w:rsidRDefault="00CC6631" w:rsidP="007A4DA8">
            <w:pPr>
              <w:jc w:val="both"/>
            </w:pPr>
            <w:r w:rsidRPr="008D1034">
              <w:t xml:space="preserve">Dilution at 5% (v/v) for spraying, scrubbing, mopping, brushing on hard surfaces: 30ml/m2 - 20 sprays per m2 </w:t>
            </w:r>
          </w:p>
          <w:p w14:paraId="079934E1" w14:textId="77777777" w:rsidR="00CC6631" w:rsidRPr="008D1034" w:rsidRDefault="00CC6631" w:rsidP="007A4DA8">
            <w:pPr>
              <w:jc w:val="both"/>
            </w:pPr>
            <w:r w:rsidRPr="008D1034">
              <w:t xml:space="preserve">Dilution at 10% (v/v): wiping application for hard surfaces: 8 to 12 sprays - 16 ml onto wipe per 0.1 m2 </w:t>
            </w:r>
          </w:p>
          <w:p w14:paraId="1B8E489F" w14:textId="77777777" w:rsidR="00CC6631" w:rsidRPr="008D1034" w:rsidRDefault="00CC6631" w:rsidP="007A4DA8">
            <w:pPr>
              <w:jc w:val="both"/>
            </w:pPr>
            <w:r w:rsidRPr="008D1034">
              <w:t>Daily</w:t>
            </w:r>
          </w:p>
        </w:tc>
      </w:tr>
      <w:tr w:rsidR="00CC6631" w:rsidRPr="008D1034" w14:paraId="4478132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E0F3AE"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F12DD5" w14:textId="77777777" w:rsidR="00CC6631" w:rsidRPr="008D1034" w:rsidRDefault="00CC6631" w:rsidP="00F3249E">
            <w:r w:rsidRPr="008D1034">
              <w:t>Industrial, Professional</w:t>
            </w:r>
          </w:p>
        </w:tc>
      </w:tr>
      <w:tr w:rsidR="00CC6631" w:rsidRPr="008D1034" w14:paraId="242B34B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82AF28"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29866707" w14:textId="77777777" w:rsidR="00CC6631" w:rsidRPr="008D1034" w:rsidRDefault="00CC6631" w:rsidP="00F3249E">
            <w:r w:rsidRPr="008D1034">
              <w:t>Please see the relevant section.</w:t>
            </w:r>
          </w:p>
        </w:tc>
      </w:tr>
    </w:tbl>
    <w:p w14:paraId="2890FFCF" w14:textId="77777777" w:rsidR="00CC6631" w:rsidRPr="008D1034" w:rsidRDefault="00CC6631" w:rsidP="00CC6631"/>
    <w:p w14:paraId="5DB260B2" w14:textId="77777777" w:rsidR="00CC6631" w:rsidRPr="008D1034" w:rsidRDefault="00CC6631" w:rsidP="00CC6631">
      <w:pPr>
        <w:rPr>
          <w:b/>
          <w:u w:val="single"/>
        </w:rPr>
      </w:pPr>
      <w:r>
        <w:rPr>
          <w:b/>
          <w:u w:val="single"/>
        </w:rPr>
        <w:t>Meta SPC 7</w:t>
      </w:r>
      <w:r w:rsidRPr="008D1034">
        <w:rPr>
          <w:b/>
          <w:u w:val="single"/>
        </w:rPr>
        <w:t>:</w:t>
      </w:r>
    </w:p>
    <w:p w14:paraId="1F3464DB" w14:textId="77777777" w:rsidR="00CC6631" w:rsidRPr="008D1034" w:rsidRDefault="00CC6631" w:rsidP="00CC6631">
      <w:r w:rsidRPr="008D1034">
        <w:t>Table 13. Use # 1 – META SPC 7: Disinfectants for hard surfaces of industry, institution, healthcare facilities, health care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220C1FA9"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0DF762"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D82B91"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6E5C33D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2762E5"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09D67C" w14:textId="77777777" w:rsidR="00CC6631" w:rsidRPr="008D1034" w:rsidRDefault="00CC6631" w:rsidP="007A4DA8">
            <w:pPr>
              <w:jc w:val="both"/>
            </w:pPr>
            <w:r w:rsidRPr="008D1034">
              <w:t xml:space="preserve">Concentrate. </w:t>
            </w:r>
            <w:r w:rsidRPr="008D1034">
              <w:br/>
            </w:r>
          </w:p>
          <w:p w14:paraId="44765772" w14:textId="77777777" w:rsidR="00CC6631" w:rsidRPr="008D1034" w:rsidRDefault="00CC6631" w:rsidP="007A4DA8">
            <w:pPr>
              <w:jc w:val="both"/>
            </w:pPr>
            <w:r w:rsidRPr="008D1034">
              <w:t xml:space="preserve">Product used for the disinfection of industry, institution, healthcare facilities and health care including toilets bowls and disinfection for area of food preparation and handling. </w:t>
            </w:r>
            <w:r w:rsidRPr="008D1034">
              <w:br/>
            </w:r>
          </w:p>
          <w:p w14:paraId="0B0588C2"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568C614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23ED118"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E872E4" w14:textId="77777777" w:rsidR="00CC6631" w:rsidRPr="008D1034" w:rsidRDefault="00CC6631" w:rsidP="007A4DA8">
            <w:pPr>
              <w:jc w:val="both"/>
            </w:pPr>
            <w:r w:rsidRPr="008D1034">
              <w:t>Bacteria</w:t>
            </w:r>
            <w:r w:rsidRPr="008D1034">
              <w:br/>
              <w:t>Yeasts</w:t>
            </w:r>
          </w:p>
        </w:tc>
      </w:tr>
      <w:tr w:rsidR="00CC6631" w:rsidRPr="008D1034" w14:paraId="29F5E8A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27BDEF1"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24A5B5" w14:textId="77777777" w:rsidR="00CC6631" w:rsidRPr="008D1034" w:rsidRDefault="00CC6631" w:rsidP="007A4DA8">
            <w:pPr>
              <w:jc w:val="both"/>
            </w:pPr>
            <w:r w:rsidRPr="008D1034">
              <w:t>Indoor, Industry, institution, healthcare facilities, health care and food preparation and handling areas</w:t>
            </w:r>
          </w:p>
        </w:tc>
      </w:tr>
      <w:tr w:rsidR="00CC6631" w:rsidRPr="008D1034" w14:paraId="6CC96B4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EADE40"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5D3510" w14:textId="0C40ECAF"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8D1034">
              <w:t>), Brushing</w:t>
            </w:r>
            <w:r w:rsidR="00C44B83">
              <w:t xml:space="preserve"> </w:t>
            </w:r>
            <w:r w:rsidR="00C44B83" w:rsidRPr="00C44B83">
              <w:t>(applying product onto brush followed by brushing)</w:t>
            </w:r>
            <w:r w:rsidRPr="008D1034">
              <w:t>, scrubbing</w:t>
            </w:r>
            <w:r w:rsidR="00C44B83">
              <w:t xml:space="preserve"> </w:t>
            </w:r>
            <w:r w:rsidR="00C44B83" w:rsidRPr="00C44B83">
              <w:t>(machine)</w:t>
            </w:r>
            <w:r w:rsidRPr="008D1034">
              <w:t>, Mopping (applying product onto mop followed by mopping)</w:t>
            </w:r>
          </w:p>
        </w:tc>
      </w:tr>
      <w:tr w:rsidR="00CC6631" w:rsidRPr="008D1034" w14:paraId="03AF57A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261D34"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3AF83A" w14:textId="77777777" w:rsidR="00CC6631" w:rsidRPr="007A4DA8" w:rsidRDefault="00CC6631" w:rsidP="007A4DA8">
            <w:pPr>
              <w:jc w:val="both"/>
              <w:rPr>
                <w:bCs/>
                <w:lang w:val="en-US"/>
              </w:rPr>
            </w:pPr>
            <w:r w:rsidRPr="007A4DA8">
              <w:rPr>
                <w:bCs/>
                <w:lang w:val="en-US"/>
              </w:rPr>
              <w:t xml:space="preserve">30ml/m2 - 20 sprays directly on the surface per m2 / Wiping application for hard surfaces: 8 to 12 sprays or 16 ml onto wipe per 0.1 m2 </w:t>
            </w:r>
          </w:p>
          <w:p w14:paraId="1451CCF2" w14:textId="77777777" w:rsidR="00CC6631" w:rsidRPr="007A4DA8" w:rsidRDefault="00CC6631" w:rsidP="007A4DA8">
            <w:pPr>
              <w:jc w:val="both"/>
              <w:rPr>
                <w:bCs/>
                <w:lang w:val="en-US"/>
              </w:rPr>
            </w:pPr>
            <w:r w:rsidRPr="007A4DA8">
              <w:rPr>
                <w:bCs/>
                <w:lang w:val="en-US"/>
              </w:rPr>
              <w:t xml:space="preserve">For spraying, scrubbing, mopping, brushing on hard surfaces: </w:t>
            </w:r>
          </w:p>
          <w:p w14:paraId="21302DC4" w14:textId="77777777" w:rsidR="00CC6631" w:rsidRPr="007A4DA8" w:rsidRDefault="00CC6631" w:rsidP="007A4DA8">
            <w:pPr>
              <w:jc w:val="both"/>
              <w:rPr>
                <w:bCs/>
                <w:lang w:val="en-US"/>
              </w:rPr>
            </w:pPr>
            <w:r w:rsidRPr="007A4DA8">
              <w:rPr>
                <w:bCs/>
                <w:lang w:val="en-US"/>
              </w:rPr>
              <w:t xml:space="preserve">10% (v/v) in medical area </w:t>
            </w:r>
          </w:p>
          <w:p w14:paraId="5058877A" w14:textId="77777777" w:rsidR="00CC6631" w:rsidRPr="007A4DA8" w:rsidRDefault="00CC6631" w:rsidP="007A4DA8">
            <w:pPr>
              <w:jc w:val="both"/>
              <w:rPr>
                <w:bCs/>
                <w:lang w:val="en-US"/>
              </w:rPr>
            </w:pPr>
            <w:r w:rsidRPr="007A4DA8">
              <w:rPr>
                <w:bCs/>
                <w:lang w:val="en-US"/>
              </w:rPr>
              <w:t xml:space="preserve">8% (v/v), contact time of 15 min at 20°C and 6% (v/v), contact time of 30 min at 40°C in institutional, healthcare facilities and industrial areas </w:t>
            </w:r>
          </w:p>
          <w:p w14:paraId="6F5233E6" w14:textId="6748BAC6" w:rsidR="00CC6631" w:rsidRPr="007A4DA8" w:rsidRDefault="00CC6631" w:rsidP="007A4DA8">
            <w:pPr>
              <w:jc w:val="both"/>
              <w:rPr>
                <w:bCs/>
                <w:lang w:val="en-US"/>
              </w:rPr>
            </w:pPr>
            <w:r w:rsidRPr="007A4DA8">
              <w:rPr>
                <w:bCs/>
                <w:lang w:val="en-US"/>
              </w:rPr>
              <w:t xml:space="preserve">In food preparation and handling areas: dilution at 5% (v/v), contact time of 5 min at 20°C and 4% (v/v), contact time of 15 min at 40°C for Bactericidal activity and 8% (v/v), contact </w:t>
            </w:r>
            <w:r w:rsidRPr="007A4DA8">
              <w:rPr>
                <w:bCs/>
                <w:lang w:val="en-US"/>
              </w:rPr>
              <w:lastRenderedPageBreak/>
              <w:t xml:space="preserve">time of 15 min at 20°C and 6% (v/v), contact time of 30 min at 40°C for yeasticidal activity.  </w:t>
            </w:r>
          </w:p>
          <w:p w14:paraId="3F9E03ED" w14:textId="77777777" w:rsidR="00CC6631" w:rsidRPr="007A4DA8" w:rsidRDefault="00CC6631" w:rsidP="007A4DA8">
            <w:pPr>
              <w:jc w:val="both"/>
              <w:rPr>
                <w:bCs/>
                <w:lang w:val="en-US"/>
              </w:rPr>
            </w:pPr>
            <w:r w:rsidRPr="007A4DA8">
              <w:rPr>
                <w:bCs/>
                <w:lang w:val="en-US"/>
              </w:rPr>
              <w:t>Dilution at 10% (v/v) for wiping application.</w:t>
            </w:r>
          </w:p>
          <w:p w14:paraId="2C09813A" w14:textId="77777777" w:rsidR="00CC6631" w:rsidRPr="008D1034" w:rsidRDefault="00CC6631" w:rsidP="007A4DA8">
            <w:pPr>
              <w:jc w:val="both"/>
            </w:pPr>
            <w:r w:rsidRPr="008D1034">
              <w:rPr>
                <w:bCs/>
                <w:lang w:val="de-DE"/>
              </w:rPr>
              <w:t>Daily</w:t>
            </w:r>
          </w:p>
        </w:tc>
      </w:tr>
      <w:tr w:rsidR="00CC6631" w:rsidRPr="008D1034" w14:paraId="37234F2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C26360" w14:textId="77777777" w:rsidR="00CC6631" w:rsidRPr="008D1034" w:rsidRDefault="00CC6631" w:rsidP="00F3249E">
            <w:pPr>
              <w:rPr>
                <w:b/>
              </w:rPr>
            </w:pPr>
            <w:r w:rsidRPr="008D1034">
              <w:rPr>
                <w:b/>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6B658A" w14:textId="77777777" w:rsidR="00CC6631" w:rsidRPr="008D1034" w:rsidRDefault="00CC6631" w:rsidP="007A4DA8">
            <w:pPr>
              <w:jc w:val="both"/>
            </w:pPr>
            <w:r w:rsidRPr="008D1034">
              <w:t>Industrial, Professional</w:t>
            </w:r>
          </w:p>
        </w:tc>
      </w:tr>
      <w:tr w:rsidR="00CC6631" w:rsidRPr="008D1034" w14:paraId="5FD79C7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A053D9"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01BD8D05" w14:textId="77777777" w:rsidR="00CC6631" w:rsidRPr="008D1034" w:rsidRDefault="00CC6631" w:rsidP="007A4DA8">
            <w:pPr>
              <w:jc w:val="both"/>
            </w:pPr>
            <w:r w:rsidRPr="008D1034">
              <w:t>Please see the relevant section.</w:t>
            </w:r>
          </w:p>
        </w:tc>
      </w:tr>
    </w:tbl>
    <w:p w14:paraId="6D9B0635" w14:textId="77777777" w:rsidR="00CC6631" w:rsidRPr="008D1034" w:rsidRDefault="00CC6631" w:rsidP="00CC6631"/>
    <w:p w14:paraId="6F4A02D5" w14:textId="77777777" w:rsidR="00CC6631" w:rsidRPr="008D1034" w:rsidRDefault="00CC6631" w:rsidP="00CC6631">
      <w:r w:rsidRPr="008D1034">
        <w:t>Table 14. Use # 2 – META SPC 7: Disinfectants for hard surfaces of industry, institution, healthcare facilities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570BDD30"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55B8EA8"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47C7E74" w14:textId="77777777" w:rsidR="00CC6631" w:rsidRPr="008D1034" w:rsidRDefault="00CC6631" w:rsidP="007A4DA8">
            <w:pPr>
              <w:jc w:val="both"/>
            </w:pPr>
            <w:r w:rsidRPr="008D1034">
              <w:t>PT02 - Disinfectants and algaecides not intended for direct application to humans or animals (Disinfectants)</w:t>
            </w:r>
            <w:r w:rsidRPr="008D1034">
              <w:br/>
              <w:t>PT04 - Food and feed area (Disinfectants)</w:t>
            </w:r>
          </w:p>
        </w:tc>
      </w:tr>
      <w:tr w:rsidR="00CC6631" w:rsidRPr="008D1034" w14:paraId="58F57F0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316B5A"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F051A1" w14:textId="77777777" w:rsidR="00CC6631" w:rsidRPr="008D1034" w:rsidRDefault="00CC6631" w:rsidP="007A4DA8">
            <w:pPr>
              <w:jc w:val="both"/>
            </w:pPr>
            <w:r w:rsidRPr="008D1034">
              <w:t xml:space="preserve">Concentrate. </w:t>
            </w:r>
            <w:r w:rsidRPr="008D1034">
              <w:br/>
            </w:r>
          </w:p>
          <w:p w14:paraId="7D788A17" w14:textId="77777777" w:rsidR="00CC6631" w:rsidRPr="008D1034" w:rsidRDefault="00CC6631" w:rsidP="007A4DA8">
            <w:pPr>
              <w:jc w:val="both"/>
            </w:pPr>
            <w:r w:rsidRPr="008D1034">
              <w:t xml:space="preserve">Product used for the disinfection of industry, institution and healthcare facilities including toilets bowls (outside) and disinfection for area of food preparation and handling. </w:t>
            </w:r>
            <w:r w:rsidRPr="008D1034">
              <w:br/>
            </w:r>
          </w:p>
          <w:p w14:paraId="14569742"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4413B9E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D178816"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CC8B95" w14:textId="77777777" w:rsidR="00CC6631" w:rsidRPr="008D1034" w:rsidRDefault="00CC6631" w:rsidP="007A4DA8">
            <w:pPr>
              <w:jc w:val="both"/>
            </w:pPr>
            <w:r w:rsidRPr="008D1034">
              <w:t>Bacteria</w:t>
            </w:r>
            <w:r w:rsidRPr="008D1034">
              <w:br/>
              <w:t>Yeasts</w:t>
            </w:r>
          </w:p>
        </w:tc>
      </w:tr>
      <w:tr w:rsidR="00CC6631" w:rsidRPr="008D1034" w14:paraId="74AB8F8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3D0C164"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9802AE" w14:textId="77777777" w:rsidR="00CC6631" w:rsidRPr="008D1034" w:rsidRDefault="00CC6631" w:rsidP="007A4DA8">
            <w:pPr>
              <w:jc w:val="both"/>
            </w:pPr>
            <w:r w:rsidRPr="008D1034">
              <w:t>Indoor, Industry, institution, healthcare facilities and food preparation and handling areas</w:t>
            </w:r>
          </w:p>
        </w:tc>
      </w:tr>
      <w:tr w:rsidR="00CC6631" w:rsidRPr="008D1034" w14:paraId="7826474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4ADD800"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446D6A" w14:textId="7276624B"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8D1034">
              <w:t>), Brushing</w:t>
            </w:r>
            <w:r w:rsidR="00C44B83">
              <w:t xml:space="preserve"> </w:t>
            </w:r>
            <w:r w:rsidR="00C44B83" w:rsidRPr="00C44B83">
              <w:t>(applying product onto brush followed by brushing)</w:t>
            </w:r>
            <w:r w:rsidRPr="008D1034">
              <w:t>, scrubbing</w:t>
            </w:r>
            <w:r w:rsidR="00C44B83">
              <w:t xml:space="preserve"> (</w:t>
            </w:r>
            <w:r w:rsidR="00C44B83" w:rsidRPr="00C44B83">
              <w:t>machine)</w:t>
            </w:r>
            <w:r w:rsidRPr="008D1034">
              <w:t>, Mopping (applying product onto mop followed by mopping)</w:t>
            </w:r>
          </w:p>
        </w:tc>
      </w:tr>
      <w:tr w:rsidR="00CC6631" w:rsidRPr="008D1034" w14:paraId="55E2A9B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F88A151"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A18175" w14:textId="77777777" w:rsidR="00CC6631" w:rsidRPr="007A4DA8" w:rsidRDefault="00CC6631" w:rsidP="007A4DA8">
            <w:pPr>
              <w:jc w:val="both"/>
              <w:rPr>
                <w:bCs/>
                <w:lang w:val="en-US"/>
              </w:rPr>
            </w:pPr>
            <w:r w:rsidRPr="007A4DA8">
              <w:rPr>
                <w:bCs/>
                <w:lang w:val="en-US"/>
              </w:rPr>
              <w:t xml:space="preserve">30ml/m2 - 20 sprays directly on the surface per m2 / Wiping application for hard surfaces: 8 to 12 sprays or 16 ml onto wipe per 0.1 m2 </w:t>
            </w:r>
          </w:p>
          <w:p w14:paraId="39F04809" w14:textId="77777777" w:rsidR="00CC6631" w:rsidRPr="007A4DA8" w:rsidRDefault="00CC6631" w:rsidP="007A4DA8">
            <w:pPr>
              <w:jc w:val="both"/>
              <w:rPr>
                <w:bCs/>
                <w:lang w:val="en-US"/>
              </w:rPr>
            </w:pPr>
            <w:r w:rsidRPr="007A4DA8">
              <w:rPr>
                <w:bCs/>
                <w:lang w:val="en-US"/>
              </w:rPr>
              <w:t xml:space="preserve">For spraying, scrubbing, mopping, brushing on hard surfaces: </w:t>
            </w:r>
          </w:p>
          <w:p w14:paraId="520855A3" w14:textId="77777777" w:rsidR="00CC6631" w:rsidRPr="007A4DA8" w:rsidRDefault="00CC6631" w:rsidP="007A4DA8">
            <w:pPr>
              <w:jc w:val="both"/>
              <w:rPr>
                <w:bCs/>
                <w:lang w:val="en-US"/>
              </w:rPr>
            </w:pPr>
            <w:r w:rsidRPr="007A4DA8">
              <w:rPr>
                <w:bCs/>
                <w:lang w:val="en-US"/>
              </w:rPr>
              <w:t xml:space="preserve">10% (v/v) in medical area </w:t>
            </w:r>
          </w:p>
          <w:p w14:paraId="24CA3C49" w14:textId="77777777" w:rsidR="00CC6631" w:rsidRPr="007A4DA8" w:rsidRDefault="00CC6631" w:rsidP="007A4DA8">
            <w:pPr>
              <w:jc w:val="both"/>
              <w:rPr>
                <w:bCs/>
                <w:lang w:val="en-US"/>
              </w:rPr>
            </w:pPr>
            <w:r w:rsidRPr="007A4DA8">
              <w:rPr>
                <w:bCs/>
                <w:lang w:val="en-US"/>
              </w:rPr>
              <w:t xml:space="preserve">8% (v/v), contact time of 15 min at 20°C and 6% (v/v), contact time of 30 min at 40°C in institutional, healthcare facilities and industrial areas </w:t>
            </w:r>
          </w:p>
          <w:p w14:paraId="7D778FD6" w14:textId="1685F7D4" w:rsidR="00CC6631" w:rsidRPr="007A4DA8" w:rsidRDefault="00CC6631" w:rsidP="007A4DA8">
            <w:pPr>
              <w:jc w:val="both"/>
              <w:rPr>
                <w:bCs/>
                <w:lang w:val="en-US"/>
              </w:rPr>
            </w:pPr>
            <w:r w:rsidRPr="007A4DA8">
              <w:rPr>
                <w:bCs/>
                <w:lang w:val="en-US"/>
              </w:rPr>
              <w:t xml:space="preserve">In food preparation and handling areas: dilution at 5% (v/v), contact time of 5 min at 20°C and 4% (v/v), contact time of 15 min at 40°C for Bactericidal activity and 8% (v/v), contact time of 15 min at 20°C and 6% (v/v), contact time of 30 min at 40°C for yeasticidal activity.  </w:t>
            </w:r>
          </w:p>
          <w:p w14:paraId="6ED60458" w14:textId="77777777" w:rsidR="00CC6631" w:rsidRPr="007A4DA8" w:rsidRDefault="00CC6631" w:rsidP="007A4DA8">
            <w:pPr>
              <w:jc w:val="both"/>
              <w:rPr>
                <w:bCs/>
                <w:lang w:val="en-US"/>
              </w:rPr>
            </w:pPr>
            <w:r w:rsidRPr="007A4DA8">
              <w:rPr>
                <w:bCs/>
                <w:lang w:val="en-US"/>
              </w:rPr>
              <w:t>Dilution at 10% (v/v) for wiping application.</w:t>
            </w:r>
          </w:p>
          <w:p w14:paraId="23718AB3" w14:textId="77777777" w:rsidR="00CC6631" w:rsidRPr="008D1034" w:rsidRDefault="00CC6631" w:rsidP="007A4DA8">
            <w:pPr>
              <w:jc w:val="both"/>
            </w:pPr>
            <w:r w:rsidRPr="008D1034">
              <w:rPr>
                <w:bCs/>
                <w:lang w:val="de-DE"/>
              </w:rPr>
              <w:t>Daily</w:t>
            </w:r>
          </w:p>
        </w:tc>
      </w:tr>
      <w:tr w:rsidR="00CC6631" w:rsidRPr="008D1034" w14:paraId="3A57517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952C77"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D7B569" w14:textId="77777777" w:rsidR="00CC6631" w:rsidRPr="008D1034" w:rsidRDefault="00CC6631" w:rsidP="007A4DA8">
            <w:pPr>
              <w:jc w:val="both"/>
            </w:pPr>
            <w:r w:rsidRPr="008D1034">
              <w:t>Industrial, Professional</w:t>
            </w:r>
          </w:p>
        </w:tc>
      </w:tr>
      <w:tr w:rsidR="00CC6631" w:rsidRPr="008D1034" w14:paraId="437B9F8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DC1CCA"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114948D4" w14:textId="77777777" w:rsidR="00CC6631" w:rsidRPr="008D1034" w:rsidRDefault="00CC6631" w:rsidP="007A4DA8">
            <w:pPr>
              <w:jc w:val="both"/>
            </w:pPr>
            <w:r w:rsidRPr="008D1034">
              <w:t>Please see the relevant section.</w:t>
            </w:r>
          </w:p>
        </w:tc>
      </w:tr>
    </w:tbl>
    <w:p w14:paraId="78A37520" w14:textId="77777777" w:rsidR="00CC6631" w:rsidRPr="008D1034" w:rsidRDefault="00CC6631" w:rsidP="00CC6631"/>
    <w:p w14:paraId="31D1353A" w14:textId="77777777" w:rsidR="00CC6631" w:rsidRPr="008D1034" w:rsidRDefault="00CC6631" w:rsidP="00CC6631">
      <w:pPr>
        <w:rPr>
          <w:b/>
        </w:rPr>
      </w:pPr>
      <w:r w:rsidRPr="008D1034">
        <w:lastRenderedPageBreak/>
        <w:t>Table 15. Use # 3 – META SPC 7: Disinfectants for hard surfaces of industry, institution, healthcare facilities and health care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71EABE0"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F3BB6D"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6A17C5"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42E4338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EB4528B"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CF71BE" w14:textId="77777777" w:rsidR="00CC6631" w:rsidRPr="008D1034" w:rsidRDefault="00CC6631" w:rsidP="007A4DA8">
            <w:pPr>
              <w:jc w:val="both"/>
            </w:pPr>
            <w:r w:rsidRPr="008D1034">
              <w:t xml:space="preserve">Concentrate. </w:t>
            </w:r>
          </w:p>
          <w:p w14:paraId="7F4B584B" w14:textId="77777777" w:rsidR="00CC6631" w:rsidRPr="008D1034" w:rsidRDefault="00CC6631" w:rsidP="007A4DA8">
            <w:pPr>
              <w:jc w:val="both"/>
            </w:pPr>
            <w:r w:rsidRPr="008D1034">
              <w:t xml:space="preserve">Product used for the disinfection for industry, institution, healthcare facilities and health care including toilets bowls. </w:t>
            </w:r>
          </w:p>
          <w:p w14:paraId="08872006"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48B3EB4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798FE4F"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60EEBF" w14:textId="77777777" w:rsidR="00CC6631" w:rsidRPr="008D1034" w:rsidRDefault="00CC6631" w:rsidP="007A4DA8">
            <w:pPr>
              <w:jc w:val="both"/>
            </w:pPr>
            <w:r w:rsidRPr="008D1034">
              <w:t>Bacteria</w:t>
            </w:r>
            <w:r w:rsidRPr="008D1034">
              <w:br/>
              <w:t>Yeasts</w:t>
            </w:r>
          </w:p>
        </w:tc>
      </w:tr>
      <w:tr w:rsidR="00CC6631" w:rsidRPr="008D1034" w14:paraId="0A979CF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954FC99"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6B4736" w14:textId="77777777" w:rsidR="00CC6631" w:rsidRPr="008D1034" w:rsidRDefault="00CC6631" w:rsidP="007A4DA8">
            <w:pPr>
              <w:jc w:val="both"/>
            </w:pPr>
            <w:r w:rsidRPr="008D1034">
              <w:t>Indoor, Industry, institution, healthcare facilities and health care areas.</w:t>
            </w:r>
          </w:p>
        </w:tc>
      </w:tr>
      <w:tr w:rsidR="00CC6631" w:rsidRPr="008D1034" w14:paraId="7D9ABCC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6E5C7D"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DF2BA9" w14:textId="7A916331" w:rsidR="00CC6631" w:rsidRPr="008D1034" w:rsidRDefault="00CC6631" w:rsidP="007A4DA8">
            <w:pPr>
              <w:jc w:val="both"/>
            </w:pPr>
            <w:r w:rsidRPr="008D1034">
              <w:t xml:space="preserve">Spraying, Wiping (applying product onto wipe followed by wiping </w:t>
            </w:r>
            <w:r w:rsidRPr="007A4DA8">
              <w:rPr>
                <w:strike/>
              </w:rPr>
              <w:t>and applying product onto surface followed by wiping</w:t>
            </w:r>
            <w:r w:rsidRPr="008D1034">
              <w:t>), Brushing</w:t>
            </w:r>
            <w:r w:rsidR="00C44B83">
              <w:t xml:space="preserve"> </w:t>
            </w:r>
            <w:r w:rsidR="00C44B83" w:rsidRPr="00C44B83">
              <w:t>(applying product onto brush followed by brushing)</w:t>
            </w:r>
            <w:r w:rsidRPr="008D1034">
              <w:t>, scrubbing</w:t>
            </w:r>
            <w:r w:rsidR="00C44B83">
              <w:t xml:space="preserve"> (</w:t>
            </w:r>
            <w:r w:rsidR="00C44B83" w:rsidRPr="007A4DA8">
              <w:t>machine)</w:t>
            </w:r>
            <w:r w:rsidRPr="00C44B83">
              <w:t>,</w:t>
            </w:r>
            <w:r w:rsidRPr="008D1034">
              <w:t xml:space="preserve"> Mopping (applying product onto mop followed by mopping)</w:t>
            </w:r>
          </w:p>
        </w:tc>
      </w:tr>
      <w:tr w:rsidR="00CC6631" w:rsidRPr="008D1034" w14:paraId="1E2541D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449C61C"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41FE83" w14:textId="77777777" w:rsidR="00CC6631" w:rsidRPr="008D1034" w:rsidRDefault="00CC6631" w:rsidP="007A4DA8">
            <w:pPr>
              <w:jc w:val="both"/>
            </w:pPr>
            <w:r w:rsidRPr="008D1034">
              <w:t>Dilution at 10% (v/v): 30ml/m2 - 20 sprays directly on the surface per m2 for spraying, scrubbing, mopping, brushing on hard surfaces.</w:t>
            </w:r>
          </w:p>
          <w:p w14:paraId="37CD8F01" w14:textId="77777777" w:rsidR="00CC6631" w:rsidRPr="008D1034" w:rsidRDefault="00CC6631" w:rsidP="007A4DA8">
            <w:pPr>
              <w:jc w:val="both"/>
            </w:pPr>
            <w:r w:rsidRPr="008D1034">
              <w:t xml:space="preserve">Dilution at 10% (v/v): wiping application for hard surfaces: 8 to 12 sprays or 16 ml on wipe per 0.1 m2 </w:t>
            </w:r>
          </w:p>
          <w:p w14:paraId="63F3E1AB" w14:textId="77777777" w:rsidR="00CC6631" w:rsidRPr="008D1034" w:rsidRDefault="00CC6631" w:rsidP="007A4DA8">
            <w:pPr>
              <w:jc w:val="both"/>
            </w:pPr>
            <w:r w:rsidRPr="008D1034">
              <w:t>Daily</w:t>
            </w:r>
          </w:p>
        </w:tc>
      </w:tr>
      <w:tr w:rsidR="00CC6631" w:rsidRPr="008D1034" w14:paraId="32D2EBCF"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5B1A4A"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0C4C2B" w14:textId="77777777" w:rsidR="00CC6631" w:rsidRPr="008D1034" w:rsidRDefault="00CC6631" w:rsidP="007A4DA8">
            <w:pPr>
              <w:jc w:val="both"/>
            </w:pPr>
            <w:r w:rsidRPr="008D1034">
              <w:t>Industrial, Professional</w:t>
            </w:r>
          </w:p>
        </w:tc>
      </w:tr>
      <w:tr w:rsidR="00CC6631" w:rsidRPr="008D1034" w14:paraId="26AC1CA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AD2409"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6D4C642E" w14:textId="77777777" w:rsidR="00CC6631" w:rsidRPr="008D1034" w:rsidRDefault="00CC6631" w:rsidP="007A4DA8">
            <w:pPr>
              <w:jc w:val="both"/>
            </w:pPr>
            <w:r w:rsidRPr="008D1034">
              <w:t>Please see the relevant section.</w:t>
            </w:r>
          </w:p>
        </w:tc>
      </w:tr>
    </w:tbl>
    <w:p w14:paraId="33D48B96" w14:textId="77777777" w:rsidR="00CC6631" w:rsidRPr="008D1034" w:rsidRDefault="00CC6631" w:rsidP="00CC6631"/>
    <w:p w14:paraId="7BFBCD8F" w14:textId="77777777" w:rsidR="00CC6631" w:rsidRPr="008D1034" w:rsidRDefault="00CC6631" w:rsidP="00CC6631">
      <w:r w:rsidRPr="008D1034">
        <w:t>Table 16. Use # 4 – META SPC 7: Disinfectants for hard surfaces of industry, institution and healthcare facilities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2C508485"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09DF83"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D0621B"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4C6B069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7F8AC92"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01371B" w14:textId="77777777" w:rsidR="00CC6631" w:rsidRPr="008D1034" w:rsidRDefault="00CC6631" w:rsidP="007A4DA8">
            <w:pPr>
              <w:jc w:val="both"/>
            </w:pPr>
            <w:r w:rsidRPr="008D1034">
              <w:t xml:space="preserve">Concentrate. </w:t>
            </w:r>
          </w:p>
          <w:p w14:paraId="6BABC705" w14:textId="77777777" w:rsidR="00CC6631" w:rsidRPr="008D1034" w:rsidRDefault="00CC6631" w:rsidP="007A4DA8">
            <w:pPr>
              <w:jc w:val="both"/>
            </w:pPr>
            <w:r w:rsidRPr="008D1034">
              <w:t xml:space="preserve">Product used for the disinfection of industry, institution and healthcare facilities including toilets bowls (outside). </w:t>
            </w:r>
          </w:p>
          <w:p w14:paraId="37FEFE35" w14:textId="77777777" w:rsidR="00CC6631" w:rsidRPr="008D1034" w:rsidRDefault="00CC6631" w:rsidP="007A4DA8">
            <w:pPr>
              <w:jc w:val="both"/>
            </w:pPr>
            <w:r w:rsidRPr="008D1034">
              <w:t>Detergent, disinfectant (bactericidal and yeasticidal activities).</w:t>
            </w:r>
            <w:r w:rsidRPr="008D1034">
              <w:br/>
              <w:t>Use for cleaning and disinfection of all kind of surfaces.</w:t>
            </w:r>
          </w:p>
        </w:tc>
      </w:tr>
      <w:tr w:rsidR="00CC6631" w:rsidRPr="008D1034" w14:paraId="62AB74A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0E9297F"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E9C806" w14:textId="77777777" w:rsidR="00CC6631" w:rsidRPr="008D1034" w:rsidRDefault="00CC6631" w:rsidP="007A4DA8">
            <w:pPr>
              <w:jc w:val="both"/>
            </w:pPr>
            <w:r w:rsidRPr="008D1034">
              <w:t>Bacteria</w:t>
            </w:r>
            <w:r w:rsidRPr="008D1034">
              <w:br/>
              <w:t>Yeasts</w:t>
            </w:r>
          </w:p>
        </w:tc>
      </w:tr>
      <w:tr w:rsidR="00CC6631" w:rsidRPr="008D1034" w14:paraId="524A1DF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6A823A1"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6BD152" w14:textId="77777777" w:rsidR="00CC6631" w:rsidRPr="008D1034" w:rsidRDefault="00CC6631" w:rsidP="007A4DA8">
            <w:pPr>
              <w:jc w:val="both"/>
            </w:pPr>
            <w:r w:rsidRPr="008D1034">
              <w:t>Indoor, Industry, institution and healthcare facilities areas.</w:t>
            </w:r>
          </w:p>
        </w:tc>
      </w:tr>
      <w:tr w:rsidR="00CC6631" w:rsidRPr="00C44B83" w14:paraId="5A601AD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6C6B25"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5718D2" w14:textId="4DEB1223" w:rsidR="00CC6631" w:rsidRPr="00C44B83" w:rsidRDefault="00CC6631" w:rsidP="007A4DA8">
            <w:pPr>
              <w:jc w:val="both"/>
            </w:pPr>
            <w:r w:rsidRPr="00C44B83">
              <w:t xml:space="preserve">Spraying, Wiping (applying product onto wipe followed by wiping </w:t>
            </w:r>
            <w:r w:rsidRPr="007A4DA8">
              <w:rPr>
                <w:strike/>
              </w:rPr>
              <w:t>and applying product onto surface followed by wiping</w:t>
            </w:r>
            <w:r w:rsidRPr="00C44B83">
              <w:t>), Brushing</w:t>
            </w:r>
            <w:r w:rsidR="00C44B83" w:rsidRPr="00C44B83">
              <w:t xml:space="preserve"> </w:t>
            </w:r>
            <w:r w:rsidR="00C44B83" w:rsidRPr="007A4DA8">
              <w:t>(applying product onto brush followed by brushing)</w:t>
            </w:r>
            <w:r w:rsidRPr="00C44B83">
              <w:t>, scrubbing</w:t>
            </w:r>
            <w:r w:rsidR="00C44B83">
              <w:t xml:space="preserve"> </w:t>
            </w:r>
            <w:r w:rsidR="00C44B83" w:rsidRPr="00C44B83">
              <w:t>(machine)</w:t>
            </w:r>
            <w:r w:rsidRPr="00C44B83">
              <w:t>, Mopping (applying product onto mop followed by mopping)</w:t>
            </w:r>
          </w:p>
        </w:tc>
      </w:tr>
      <w:tr w:rsidR="00CC6631" w:rsidRPr="008D1034" w14:paraId="5A58912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3F27449"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63E79D" w14:textId="77777777" w:rsidR="00CC6631" w:rsidRPr="008D1034" w:rsidRDefault="00CC6631" w:rsidP="007A4DA8">
            <w:pPr>
              <w:jc w:val="both"/>
            </w:pPr>
            <w:r w:rsidRPr="008D1034">
              <w:t>Dilution at 8% (v/v): 30ml/m2 - 20 sprays directly on the surface per m2 for spraying, scrubbing, mopping, brushing on hard surfaces.</w:t>
            </w:r>
          </w:p>
          <w:p w14:paraId="4EB95CBC" w14:textId="77777777" w:rsidR="00CC6631" w:rsidRPr="008D1034" w:rsidRDefault="00CC6631" w:rsidP="007A4DA8">
            <w:pPr>
              <w:jc w:val="both"/>
            </w:pPr>
            <w:r w:rsidRPr="008D1034">
              <w:lastRenderedPageBreak/>
              <w:t xml:space="preserve">Dilution at 10% (v/v): wiping application for hard surfaces: 8 to 12 sprays or 16 ml on wipe per 0.1 m2 </w:t>
            </w:r>
          </w:p>
          <w:p w14:paraId="382764F3" w14:textId="77777777" w:rsidR="00CC6631" w:rsidRPr="008D1034" w:rsidRDefault="00CC6631" w:rsidP="007A4DA8">
            <w:pPr>
              <w:jc w:val="both"/>
            </w:pPr>
            <w:r w:rsidRPr="008D1034">
              <w:t>Daily</w:t>
            </w:r>
          </w:p>
        </w:tc>
      </w:tr>
      <w:tr w:rsidR="00CC6631" w:rsidRPr="008D1034" w14:paraId="66C0815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C5349A" w14:textId="77777777" w:rsidR="00CC6631" w:rsidRPr="008D1034" w:rsidRDefault="00CC6631" w:rsidP="00F3249E">
            <w:pPr>
              <w:rPr>
                <w:b/>
              </w:rPr>
            </w:pPr>
            <w:r w:rsidRPr="008D1034">
              <w:rPr>
                <w:b/>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7FAA99" w14:textId="77777777" w:rsidR="00CC6631" w:rsidRPr="008D1034" w:rsidRDefault="00CC6631" w:rsidP="007A4DA8">
            <w:pPr>
              <w:jc w:val="both"/>
            </w:pPr>
            <w:r w:rsidRPr="008D1034">
              <w:t>Industrial, Professional</w:t>
            </w:r>
          </w:p>
        </w:tc>
      </w:tr>
      <w:tr w:rsidR="00CC6631" w:rsidRPr="008D1034" w14:paraId="331E74D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22E53E1"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654827B" w14:textId="77777777" w:rsidR="00CC6631" w:rsidRPr="008D1034" w:rsidRDefault="00CC6631" w:rsidP="007A4DA8">
            <w:pPr>
              <w:jc w:val="both"/>
            </w:pPr>
            <w:r w:rsidRPr="008D1034">
              <w:t>Please see the relevant section.</w:t>
            </w:r>
          </w:p>
        </w:tc>
      </w:tr>
    </w:tbl>
    <w:p w14:paraId="32742F06" w14:textId="77777777" w:rsidR="00CC6631" w:rsidRPr="008D1034" w:rsidRDefault="00CC6631" w:rsidP="00CC6631"/>
    <w:p w14:paraId="2E3CBC64" w14:textId="77777777" w:rsidR="00CC6631" w:rsidRPr="008D1034" w:rsidRDefault="00CC6631" w:rsidP="00CC6631">
      <w:pPr>
        <w:rPr>
          <w:b/>
          <w:u w:val="single"/>
        </w:rPr>
      </w:pPr>
      <w:r>
        <w:rPr>
          <w:b/>
          <w:u w:val="single"/>
        </w:rPr>
        <w:t>Meta SPC 8</w:t>
      </w:r>
      <w:r w:rsidRPr="008D1034">
        <w:rPr>
          <w:b/>
          <w:u w:val="single"/>
        </w:rPr>
        <w:t>:</w:t>
      </w:r>
    </w:p>
    <w:p w14:paraId="6B141F8B" w14:textId="77777777" w:rsidR="00CC6631" w:rsidRPr="008D1034" w:rsidRDefault="00CC6631" w:rsidP="00CC6631">
      <w:r w:rsidRPr="008D1034">
        <w:t>Table 17. Use # 1 – META SPC 8: Disinfectants for hard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62486749"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E0B01D1"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751A58B" w14:textId="77777777" w:rsidR="00CC6631" w:rsidRPr="008D1034" w:rsidRDefault="00CC6631" w:rsidP="007A4DA8">
            <w:pPr>
              <w:jc w:val="both"/>
            </w:pPr>
            <w:r w:rsidRPr="008D1034">
              <w:t>PT02 - Disinfectants and algaecides not intended for direct application to humans or animals (Disinfectants)</w:t>
            </w:r>
          </w:p>
        </w:tc>
      </w:tr>
      <w:tr w:rsidR="00CC6631" w:rsidRPr="008D1034" w14:paraId="4743219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EAF58A7"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E8BF2E" w14:textId="77777777" w:rsidR="00CC6631" w:rsidRPr="008D1034" w:rsidRDefault="00CC6631" w:rsidP="007A4DA8">
            <w:pPr>
              <w:jc w:val="both"/>
            </w:pPr>
            <w:r w:rsidRPr="008D1034">
              <w:t xml:space="preserve">Concentrate. </w:t>
            </w:r>
          </w:p>
          <w:p w14:paraId="36FB309D" w14:textId="77777777" w:rsidR="00CC6631" w:rsidRPr="008D1034" w:rsidRDefault="00CC6631" w:rsidP="007A4DA8">
            <w:pPr>
              <w:jc w:val="both"/>
            </w:pPr>
            <w:r w:rsidRPr="008D1034">
              <w:t xml:space="preserve">Product used for the disinfection of households surfaces including toilets bowls. </w:t>
            </w:r>
          </w:p>
          <w:p w14:paraId="5D84B5E6" w14:textId="77777777" w:rsidR="00CC6631" w:rsidRPr="008D1034" w:rsidRDefault="00CC6631" w:rsidP="007A4DA8">
            <w:pPr>
              <w:jc w:val="both"/>
            </w:pPr>
            <w:r w:rsidRPr="008D1034">
              <w:t>Detergent, disinfectant (bactericidal activity).</w:t>
            </w:r>
            <w:r w:rsidRPr="008D1034">
              <w:br/>
              <w:t>Use for cleaning and disinfection of all kind of surfaces.</w:t>
            </w:r>
          </w:p>
        </w:tc>
      </w:tr>
      <w:tr w:rsidR="00CC6631" w:rsidRPr="008D1034" w14:paraId="239E18B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6D041B"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4386FA" w14:textId="77777777" w:rsidR="00CC6631" w:rsidRPr="008D1034" w:rsidRDefault="00CC6631" w:rsidP="007A4DA8">
            <w:pPr>
              <w:jc w:val="both"/>
            </w:pPr>
            <w:r w:rsidRPr="008D1034">
              <w:t>Bacteria</w:t>
            </w:r>
          </w:p>
        </w:tc>
      </w:tr>
      <w:tr w:rsidR="00CC6631" w:rsidRPr="008D1034" w14:paraId="3285AD5C"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327BE24"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B61663" w14:textId="77777777" w:rsidR="00CC6631" w:rsidRPr="008D1034" w:rsidRDefault="00CC6631" w:rsidP="007A4DA8">
            <w:pPr>
              <w:jc w:val="both"/>
            </w:pPr>
            <w:r w:rsidRPr="008D1034">
              <w:t>Indoor, domestic area</w:t>
            </w:r>
          </w:p>
        </w:tc>
      </w:tr>
      <w:tr w:rsidR="00CC6631" w:rsidRPr="008D1034" w14:paraId="5603ABD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586149"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991691" w14:textId="77777777" w:rsidR="00CC6631" w:rsidRPr="008D1034" w:rsidRDefault="00CC6631" w:rsidP="007A4DA8">
            <w:pPr>
              <w:jc w:val="both"/>
            </w:pPr>
            <w:r w:rsidRPr="008D1034">
              <w:t xml:space="preserve">Wiping (applying product onto wipe followed by wiping), Brushing, </w:t>
            </w:r>
            <w:r w:rsidRPr="007A4DA8">
              <w:rPr>
                <w:strike/>
              </w:rPr>
              <w:t>scrubbing,</w:t>
            </w:r>
            <w:r w:rsidRPr="007A4DA8">
              <w:rPr>
                <w:color w:val="4F81BD" w:themeColor="accent1"/>
              </w:rPr>
              <w:t xml:space="preserve"> </w:t>
            </w:r>
            <w:r w:rsidRPr="008D1034">
              <w:t>Mopping (applying product onto mop followed by mopping)</w:t>
            </w:r>
          </w:p>
        </w:tc>
      </w:tr>
      <w:tr w:rsidR="00CC6631" w:rsidRPr="008D1034" w14:paraId="7C0E635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E437E9"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41D98E" w14:textId="77777777" w:rsidR="00CC6631" w:rsidRPr="008D1034" w:rsidRDefault="00CC6631" w:rsidP="007A4DA8">
            <w:pPr>
              <w:jc w:val="both"/>
            </w:pPr>
            <w:r w:rsidRPr="008D1034">
              <w:t>Dilution at 6% (v/v): 30ml/m2 - Dilution at 6% (v/v) for wiping, scrubbing, mopping and brushing on hard surfaces.</w:t>
            </w:r>
          </w:p>
          <w:p w14:paraId="1C441CB7" w14:textId="77777777" w:rsidR="00CC6631" w:rsidRPr="008D1034" w:rsidRDefault="00CC6631" w:rsidP="007A4DA8">
            <w:pPr>
              <w:jc w:val="both"/>
            </w:pPr>
            <w:r w:rsidRPr="008D1034">
              <w:t>Daily</w:t>
            </w:r>
          </w:p>
        </w:tc>
      </w:tr>
      <w:tr w:rsidR="00CC6631" w:rsidRPr="008D1034" w14:paraId="09C29E6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059F53"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BE1F47" w14:textId="77777777" w:rsidR="00CC6631" w:rsidRPr="008D1034" w:rsidRDefault="00CC6631" w:rsidP="007A4DA8">
            <w:pPr>
              <w:jc w:val="both"/>
            </w:pPr>
            <w:r w:rsidRPr="008D1034">
              <w:t>General public (non-professional)</w:t>
            </w:r>
          </w:p>
        </w:tc>
      </w:tr>
      <w:tr w:rsidR="00CC6631" w:rsidRPr="008D1034" w14:paraId="27C4621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4333A1"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F205E09" w14:textId="77777777" w:rsidR="00CC6631" w:rsidRPr="008D1034" w:rsidRDefault="00CC6631" w:rsidP="007A4DA8">
            <w:pPr>
              <w:jc w:val="both"/>
            </w:pPr>
            <w:r w:rsidRPr="008D1034">
              <w:t>Please see the relevant section.</w:t>
            </w:r>
          </w:p>
        </w:tc>
      </w:tr>
    </w:tbl>
    <w:p w14:paraId="33F44953" w14:textId="77777777" w:rsidR="00CC6631" w:rsidRPr="008D1034" w:rsidRDefault="00CC6631" w:rsidP="00CC6631"/>
    <w:p w14:paraId="3DADD2BD" w14:textId="77777777" w:rsidR="00CC6631" w:rsidRPr="008D1034" w:rsidRDefault="00CC6631" w:rsidP="00CC6631">
      <w:pPr>
        <w:rPr>
          <w:b/>
          <w:u w:val="single"/>
        </w:rPr>
      </w:pPr>
      <w:r>
        <w:rPr>
          <w:b/>
          <w:u w:val="single"/>
        </w:rPr>
        <w:t>Meta SPC 9</w:t>
      </w:r>
      <w:r w:rsidRPr="008D1034">
        <w:rPr>
          <w:b/>
          <w:u w:val="single"/>
        </w:rPr>
        <w:t>:</w:t>
      </w:r>
    </w:p>
    <w:p w14:paraId="507A717A" w14:textId="77777777" w:rsidR="00CC6631" w:rsidRPr="008D1034" w:rsidRDefault="00CC6631" w:rsidP="00CC6631">
      <w:r w:rsidRPr="008D1034">
        <w:t>Table 18. Use # 1 – META SPC 9: Disinfectants for hard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63AC8E83"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6046D7"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8A60B2" w14:textId="77777777" w:rsidR="00CC6631" w:rsidRPr="008D1034" w:rsidRDefault="00CC6631" w:rsidP="00F3249E">
            <w:r w:rsidRPr="008D1034">
              <w:t>PT02 - Disinfectants and algaecides not intended for direct application to humans or animals (Disinfectants)</w:t>
            </w:r>
          </w:p>
        </w:tc>
      </w:tr>
      <w:tr w:rsidR="00CC6631" w:rsidRPr="008D1034" w14:paraId="37DBFDD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DE42F8C"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106A4" w14:textId="77777777" w:rsidR="00CC6631" w:rsidRPr="008D1034" w:rsidRDefault="00CC6631" w:rsidP="00F3249E">
            <w:r w:rsidRPr="008D1034">
              <w:t>Ready-To-Use (RTU).</w:t>
            </w:r>
          </w:p>
          <w:p w14:paraId="5068BA49" w14:textId="77777777" w:rsidR="00CC6631" w:rsidRPr="008D1034" w:rsidRDefault="00CC6631" w:rsidP="00F3249E">
            <w:r w:rsidRPr="008D1034">
              <w:t xml:space="preserve">Product used for the disinfection of households surfaces including toilet bowls. </w:t>
            </w:r>
            <w:r w:rsidRPr="008D1034">
              <w:br/>
            </w:r>
          </w:p>
          <w:p w14:paraId="5CBF7442" w14:textId="77777777" w:rsidR="00CC6631" w:rsidRPr="008D1034" w:rsidRDefault="00CC6631" w:rsidP="00F3249E">
            <w:r w:rsidRPr="008D1034">
              <w:t>Detergent, disinfectant (bactericidal activities).</w:t>
            </w:r>
            <w:r w:rsidRPr="008D1034">
              <w:br/>
              <w:t>Use for cleaning and disinfection of all kind of surfaces.</w:t>
            </w:r>
          </w:p>
        </w:tc>
      </w:tr>
      <w:tr w:rsidR="00CC6631" w:rsidRPr="008D1034" w14:paraId="72A4188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DA5F03C"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FDDA15" w14:textId="77777777" w:rsidR="00CC6631" w:rsidRPr="008D1034" w:rsidRDefault="00CC6631" w:rsidP="00F3249E">
            <w:r w:rsidRPr="008D1034">
              <w:t>Bacteria</w:t>
            </w:r>
          </w:p>
        </w:tc>
      </w:tr>
      <w:tr w:rsidR="00CC6631" w:rsidRPr="008D1034" w14:paraId="75AE7F4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4D6555"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353E93" w14:textId="77777777" w:rsidR="00CC6631" w:rsidRPr="008D1034" w:rsidRDefault="00CC6631" w:rsidP="00F3249E">
            <w:r w:rsidRPr="008D1034">
              <w:t>Indoor, domestic area</w:t>
            </w:r>
          </w:p>
        </w:tc>
      </w:tr>
      <w:tr w:rsidR="00CC6631" w:rsidRPr="008D1034" w14:paraId="060B20C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563DAF"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892989" w14:textId="1480F6C6" w:rsidR="00CC6631" w:rsidRPr="007A4DA8" w:rsidRDefault="00C44B83" w:rsidP="00F3249E">
            <w:pPr>
              <w:rPr>
                <w:strike/>
              </w:rPr>
            </w:pPr>
            <w:r w:rsidRPr="007A4DA8">
              <w:t>Spraying, Pouring</w:t>
            </w:r>
            <w:r>
              <w:rPr>
                <w:strike/>
              </w:rPr>
              <w:t xml:space="preserve"> </w:t>
            </w:r>
            <w:r w:rsidR="00CC6631" w:rsidRPr="007A4DA8">
              <w:rPr>
                <w:strike/>
              </w:rPr>
              <w:t>Wiping (applying product onto surface followed by wiping), Brushing, scrubbing, Mopping (applying product onto surface followed by mopping)</w:t>
            </w:r>
          </w:p>
        </w:tc>
      </w:tr>
      <w:tr w:rsidR="00CC6631" w:rsidRPr="008D1034" w14:paraId="5F7DDC45"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F501A7"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4D5213" w14:textId="77777777" w:rsidR="00CC6631" w:rsidRPr="008D1034" w:rsidRDefault="00CC6631" w:rsidP="00F3249E">
            <w:r w:rsidRPr="008D1034">
              <w:t>100% - 30 ml/m2 - 20 sprays directly on the surface per m2 - RTU</w:t>
            </w:r>
          </w:p>
          <w:p w14:paraId="4652546E" w14:textId="77777777" w:rsidR="00CC6631" w:rsidRPr="008D1034" w:rsidRDefault="00CC6631" w:rsidP="00F3249E">
            <w:r w:rsidRPr="008D1034">
              <w:lastRenderedPageBreak/>
              <w:t>Daily</w:t>
            </w:r>
          </w:p>
        </w:tc>
      </w:tr>
      <w:tr w:rsidR="00CC6631" w:rsidRPr="008D1034" w14:paraId="1297FB7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A783AE0" w14:textId="77777777" w:rsidR="00CC6631" w:rsidRPr="008D1034" w:rsidRDefault="00CC6631" w:rsidP="00F3249E">
            <w:pPr>
              <w:rPr>
                <w:b/>
              </w:rPr>
            </w:pPr>
            <w:r w:rsidRPr="008D1034">
              <w:rPr>
                <w:b/>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778E38" w14:textId="77777777" w:rsidR="00CC6631" w:rsidRPr="008D1034" w:rsidRDefault="00CC6631" w:rsidP="00F3249E">
            <w:r w:rsidRPr="008D1034">
              <w:t>General public (non-professional)</w:t>
            </w:r>
          </w:p>
        </w:tc>
      </w:tr>
      <w:tr w:rsidR="00CC6631" w:rsidRPr="008D1034" w14:paraId="1620ACD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B961D0D"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8E5775A" w14:textId="77777777" w:rsidR="00CC6631" w:rsidRPr="008D1034" w:rsidRDefault="00CC6631" w:rsidP="00F3249E">
            <w:r w:rsidRPr="008D1034">
              <w:t>Please see the relevant section.</w:t>
            </w:r>
          </w:p>
        </w:tc>
      </w:tr>
    </w:tbl>
    <w:p w14:paraId="7E925770" w14:textId="77777777" w:rsidR="00CC6631" w:rsidRPr="008D1034" w:rsidRDefault="00CC6631" w:rsidP="00CC6631"/>
    <w:p w14:paraId="4F316683" w14:textId="77777777" w:rsidR="00CC6631" w:rsidRPr="008D1034" w:rsidRDefault="00CC6631" w:rsidP="00CC6631">
      <w:r w:rsidRPr="008D1034">
        <w:t>Table 19. Use # 2 – META SPC 9: Disinfectants for hard surfaces in companion animals’ environment for private homes and pets shelters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4D1619EE"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5368F20"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91D88CF" w14:textId="77777777" w:rsidR="00CC6631" w:rsidRPr="008D1034" w:rsidRDefault="00CC6631" w:rsidP="00F3249E">
            <w:r w:rsidRPr="008D1034">
              <w:t>PT03 - Veterinary hygiene (Disinfectants)</w:t>
            </w:r>
            <w:r w:rsidRPr="008D1034">
              <w:br/>
              <w:t>PT02 - Disinfectants and algaecides not intended for direct application to humans or animals (Disinfectants)</w:t>
            </w:r>
          </w:p>
        </w:tc>
      </w:tr>
      <w:tr w:rsidR="00CC6631" w:rsidRPr="008D1034" w14:paraId="2979BB9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3EDAA28"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A5B38C" w14:textId="77777777" w:rsidR="00CC6631" w:rsidRPr="008D1034" w:rsidRDefault="00CC6631" w:rsidP="00F3249E">
            <w:r w:rsidRPr="008D1034">
              <w:t xml:space="preserve">Ready-To-Use (RTU). </w:t>
            </w:r>
            <w:r w:rsidRPr="008D1034">
              <w:br/>
            </w:r>
          </w:p>
          <w:p w14:paraId="02E5D4BC" w14:textId="77777777" w:rsidR="00CC6631" w:rsidRPr="008D1034" w:rsidRDefault="00CC6631" w:rsidP="00F3249E">
            <w:r w:rsidRPr="008D1034">
              <w:t xml:space="preserve">Product used for the disinfection of households surfaces and in companion animals’ environment including pets shelters and animal housing and associated equipment. </w:t>
            </w:r>
            <w:r w:rsidRPr="008D1034">
              <w:br/>
            </w:r>
          </w:p>
          <w:p w14:paraId="461EDFBA" w14:textId="77777777" w:rsidR="00CC6631" w:rsidRPr="008D1034" w:rsidRDefault="00CC6631" w:rsidP="00F3249E">
            <w:r w:rsidRPr="008D1034">
              <w:t>Detergent, disinfectant (bactericidal and yeasticidal activities).</w:t>
            </w:r>
            <w:r w:rsidRPr="008D1034">
              <w:br/>
              <w:t>Use for cleaning and disinfection of non-porous surfaces.</w:t>
            </w:r>
          </w:p>
        </w:tc>
      </w:tr>
      <w:tr w:rsidR="00CC6631" w:rsidRPr="008D1034" w14:paraId="11747BD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E1E523E"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45EBD1" w14:textId="77777777" w:rsidR="00CC6631" w:rsidRPr="008D1034" w:rsidRDefault="00CC6631" w:rsidP="00F3249E">
            <w:r w:rsidRPr="008D1034">
              <w:t>Bacteria</w:t>
            </w:r>
            <w:r w:rsidRPr="008D1034">
              <w:br/>
              <w:t>Yeasts</w:t>
            </w:r>
          </w:p>
        </w:tc>
      </w:tr>
      <w:tr w:rsidR="00CC6631" w:rsidRPr="008D1034" w14:paraId="3916B91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CC04C9D"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47E486" w14:textId="77777777" w:rsidR="00CC6631" w:rsidRPr="008D1034" w:rsidRDefault="00CC6631" w:rsidP="00F3249E">
            <w:r w:rsidRPr="008D1034">
              <w:t>Indoor, households and pets shelters</w:t>
            </w:r>
          </w:p>
        </w:tc>
      </w:tr>
      <w:tr w:rsidR="00CC6631" w:rsidRPr="008D1034" w14:paraId="2BA676A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C70A49"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E25A13" w14:textId="093DCDD8" w:rsidR="00CC6631" w:rsidRPr="008D1034" w:rsidRDefault="00C44B83" w:rsidP="00F3249E">
            <w:r w:rsidRPr="00FE2B16">
              <w:t>Spraying, Pouring</w:t>
            </w:r>
            <w:r>
              <w:rPr>
                <w:strike/>
              </w:rPr>
              <w:t xml:space="preserve"> </w:t>
            </w:r>
            <w:r w:rsidRPr="00FE2B16">
              <w:rPr>
                <w:strike/>
              </w:rPr>
              <w:t>Wiping (applying product onto surface followed by wiping), Brushing, scrubbing, Mopping (applying product onto surface followed by mopping)</w:t>
            </w:r>
          </w:p>
        </w:tc>
      </w:tr>
      <w:tr w:rsidR="00CC6631" w:rsidRPr="008D1034" w14:paraId="4802A3B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229FCA"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58C7EC" w14:textId="77777777" w:rsidR="00CC6631" w:rsidRPr="008D1034" w:rsidRDefault="00CC6631" w:rsidP="00F3249E">
            <w:r w:rsidRPr="008D1034">
              <w:t>100% - 30 ml/m2 - 20 sprays per m2 - RTU</w:t>
            </w:r>
          </w:p>
          <w:p w14:paraId="33FA83C6" w14:textId="77777777" w:rsidR="00CC6631" w:rsidRPr="008D1034" w:rsidRDefault="00CC6631" w:rsidP="00F3249E">
            <w:r w:rsidRPr="008D1034">
              <w:br/>
            </w:r>
            <w:r w:rsidRPr="008D1034">
              <w:rPr>
                <w:b/>
              </w:rPr>
              <w:t>Animal housings with hay (hutches, henhouses…):</w:t>
            </w:r>
          </w:p>
          <w:p w14:paraId="2C9E1102" w14:textId="77777777" w:rsidR="00CC6631" w:rsidRPr="008D1034" w:rsidRDefault="00CC6631" w:rsidP="00F3249E">
            <w:r w:rsidRPr="008D1034">
              <w:t>Treat the floors and a height of 50cm of the walls.</w:t>
            </w:r>
          </w:p>
          <w:p w14:paraId="46FF378B" w14:textId="77777777" w:rsidR="00CC6631" w:rsidRPr="008D1034" w:rsidRDefault="00CC6631" w:rsidP="00F3249E">
            <w:r w:rsidRPr="008D1034">
              <w:t>„Should not be applied directly to garden ground.“</w:t>
            </w:r>
            <w:r w:rsidRPr="008D1034">
              <w:br/>
              <w:t xml:space="preserve">One application per month </w:t>
            </w:r>
            <w:r w:rsidRPr="008D1034">
              <w:br/>
            </w:r>
            <w:r w:rsidRPr="008D1034">
              <w:br/>
            </w:r>
            <w:r w:rsidRPr="008D1034">
              <w:rPr>
                <w:b/>
              </w:rPr>
              <w:t>Animal housings without hay (dog kennel…):</w:t>
            </w:r>
            <w:r w:rsidRPr="008D1034">
              <w:br/>
              <w:t xml:space="preserve">Daily  </w:t>
            </w:r>
          </w:p>
        </w:tc>
      </w:tr>
      <w:tr w:rsidR="00CC6631" w:rsidRPr="008D1034" w14:paraId="750C3B1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84F839E"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78F99A" w14:textId="77777777" w:rsidR="00CC6631" w:rsidRPr="008D1034" w:rsidRDefault="00CC6631" w:rsidP="00F3249E">
            <w:r w:rsidRPr="008D1034">
              <w:t>General public (non-professional)</w:t>
            </w:r>
          </w:p>
        </w:tc>
      </w:tr>
      <w:tr w:rsidR="00CC6631" w:rsidRPr="008D1034" w14:paraId="5045262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430F3B"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4AC47A4" w14:textId="77777777" w:rsidR="00CC6631" w:rsidRPr="008D1034" w:rsidRDefault="00CC6631" w:rsidP="00F3249E">
            <w:r w:rsidRPr="008D1034">
              <w:t>Please see the relevant section.</w:t>
            </w:r>
          </w:p>
        </w:tc>
      </w:tr>
    </w:tbl>
    <w:p w14:paraId="07D4D21A" w14:textId="77777777" w:rsidR="00CC6631" w:rsidRPr="008D1034" w:rsidRDefault="00CC6631" w:rsidP="00CC6631"/>
    <w:p w14:paraId="0A8CEA91" w14:textId="77777777" w:rsidR="00CC6631" w:rsidRPr="008D1034" w:rsidRDefault="00CC6631" w:rsidP="00CC6631">
      <w:pPr>
        <w:rPr>
          <w:b/>
          <w:u w:val="single"/>
        </w:rPr>
      </w:pPr>
      <w:r>
        <w:rPr>
          <w:b/>
          <w:u w:val="single"/>
        </w:rPr>
        <w:t>Meta SPC 10</w:t>
      </w:r>
      <w:r w:rsidRPr="008D1034">
        <w:rPr>
          <w:b/>
          <w:u w:val="single"/>
        </w:rPr>
        <w:t>:</w:t>
      </w:r>
    </w:p>
    <w:p w14:paraId="5B0F7C37" w14:textId="77777777" w:rsidR="00CC6631" w:rsidRPr="008D1034" w:rsidRDefault="00CC6631" w:rsidP="00CC6631">
      <w:r w:rsidRPr="008D1034">
        <w:t>Table 20. Use # 1 – META SPC 10: Disinfectants for hard surfaces of domestic area</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43C5529"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1D2504"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21FEE5" w14:textId="77777777" w:rsidR="00CC6631" w:rsidRPr="008D1034" w:rsidRDefault="00CC6631" w:rsidP="00F3249E">
            <w:r w:rsidRPr="008D1034">
              <w:t>PT02 - Disinfectants and algaecides not intended for direct application to humans or animals (Disinfectants)</w:t>
            </w:r>
          </w:p>
        </w:tc>
      </w:tr>
      <w:tr w:rsidR="00CC6631" w:rsidRPr="008D1034" w14:paraId="7091589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99BC1B1"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6254D5" w14:textId="77777777" w:rsidR="00CC6631" w:rsidRPr="008D1034" w:rsidRDefault="00CC6631" w:rsidP="00F3249E">
            <w:r w:rsidRPr="008D1034">
              <w:t xml:space="preserve">Concentrate. </w:t>
            </w:r>
            <w:r w:rsidRPr="008D1034">
              <w:br/>
            </w:r>
          </w:p>
          <w:p w14:paraId="625D2553" w14:textId="77777777" w:rsidR="00CC6631" w:rsidRPr="008D1034" w:rsidRDefault="00CC6631" w:rsidP="00F3249E">
            <w:r w:rsidRPr="008D1034">
              <w:t>Product used for the disinfection of households surfaces.</w:t>
            </w:r>
          </w:p>
          <w:p w14:paraId="2A6DD8F7" w14:textId="77777777" w:rsidR="00CC6631" w:rsidRPr="008D1034" w:rsidRDefault="00CC6631" w:rsidP="00F3249E">
            <w:r w:rsidRPr="008D1034">
              <w:t>Detergent, disinfectant (bactericidal activities).</w:t>
            </w:r>
          </w:p>
          <w:p w14:paraId="53294037" w14:textId="77777777" w:rsidR="00CC6631" w:rsidRPr="008D1034" w:rsidRDefault="00CC6631" w:rsidP="00F3249E">
            <w:r w:rsidRPr="008D1034">
              <w:t>Use for cleaning and disinfection of all kind of surfaces.</w:t>
            </w:r>
          </w:p>
        </w:tc>
      </w:tr>
      <w:tr w:rsidR="00CC6631" w:rsidRPr="008D1034" w14:paraId="70B124B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FFA3AC" w14:textId="77777777" w:rsidR="00CC6631" w:rsidRPr="008D1034" w:rsidRDefault="00CC6631" w:rsidP="00F3249E">
            <w:pPr>
              <w:rPr>
                <w:b/>
              </w:rPr>
            </w:pPr>
            <w:r w:rsidRPr="008D1034">
              <w:rPr>
                <w:b/>
                <w:bCs/>
              </w:rPr>
              <w:lastRenderedPageBreak/>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36ADA9" w14:textId="77777777" w:rsidR="00CC6631" w:rsidRPr="008D1034" w:rsidRDefault="00CC6631" w:rsidP="00F3249E">
            <w:r w:rsidRPr="008D1034">
              <w:t>Bacteria</w:t>
            </w:r>
          </w:p>
        </w:tc>
      </w:tr>
      <w:tr w:rsidR="00CC6631" w:rsidRPr="008D1034" w14:paraId="64D870F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6DAE8FB"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8D74D" w14:textId="77777777" w:rsidR="00CC6631" w:rsidRPr="008D1034" w:rsidRDefault="00CC6631" w:rsidP="00F3249E">
            <w:r w:rsidRPr="008D1034">
              <w:t>Indoor, domestic area</w:t>
            </w:r>
          </w:p>
        </w:tc>
      </w:tr>
      <w:tr w:rsidR="00CC6631" w:rsidRPr="008D1034" w14:paraId="54C44026"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E71FB28"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BD286A" w14:textId="58D662D7" w:rsidR="00CC6631" w:rsidRPr="008D1034" w:rsidRDefault="00CC6631" w:rsidP="00F3249E">
            <w:r w:rsidRPr="008D1034">
              <w:t xml:space="preserve">Spraying, </w:t>
            </w:r>
            <w:r w:rsidRPr="007A4DA8">
              <w:rPr>
                <w:strike/>
              </w:rPr>
              <w:t xml:space="preserve">Wiping (applying product onto surface followed by wiping), </w:t>
            </w:r>
            <w:r w:rsidRPr="00C44B83">
              <w:t xml:space="preserve">Brushing, </w:t>
            </w:r>
            <w:r w:rsidRPr="007A4DA8">
              <w:rPr>
                <w:strike/>
              </w:rPr>
              <w:t>scrubbing</w:t>
            </w:r>
            <w:r w:rsidRPr="00C44B83">
              <w:t xml:space="preserve">, </w:t>
            </w:r>
            <w:r w:rsidRPr="007A4DA8">
              <w:rPr>
                <w:strike/>
              </w:rPr>
              <w:t>Mopping (applying product onto surface followed by mopping)</w:t>
            </w:r>
            <w:r w:rsidR="001E1877" w:rsidRPr="007A4DA8">
              <w:t>, Pouring</w:t>
            </w:r>
          </w:p>
        </w:tc>
      </w:tr>
      <w:tr w:rsidR="00CC6631" w:rsidRPr="008D1034" w14:paraId="6880CDB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7DDE340"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63C1E0" w14:textId="77777777" w:rsidR="00CC6631" w:rsidRPr="008D1034" w:rsidRDefault="00CC6631" w:rsidP="00F3249E">
            <w:r w:rsidRPr="008D1034">
              <w:t>Dilution at 6% (v/v): 30 ml/m2 for wiping, scrubbing, mopping, brushing on hard surfaces.</w:t>
            </w:r>
          </w:p>
          <w:p w14:paraId="1C118DFC" w14:textId="77777777" w:rsidR="00CC6631" w:rsidRPr="008D1034" w:rsidRDefault="00CC6631" w:rsidP="00F3249E">
            <w:r w:rsidRPr="008D1034">
              <w:t>Daily</w:t>
            </w:r>
          </w:p>
        </w:tc>
      </w:tr>
      <w:tr w:rsidR="00CC6631" w:rsidRPr="008D1034" w14:paraId="61336C0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5FF4A4"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38FC49" w14:textId="77777777" w:rsidR="00CC6631" w:rsidRPr="008D1034" w:rsidRDefault="00CC6631" w:rsidP="00F3249E">
            <w:r w:rsidRPr="008D1034">
              <w:t>General public (non-professional)</w:t>
            </w:r>
          </w:p>
        </w:tc>
      </w:tr>
      <w:tr w:rsidR="00CC6631" w:rsidRPr="008D1034" w14:paraId="0EA0560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CC393B9"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606D183" w14:textId="77777777" w:rsidR="00CC6631" w:rsidRPr="008D1034" w:rsidRDefault="00CC6631" w:rsidP="00F3249E">
            <w:r w:rsidRPr="008D1034">
              <w:t>Please see the relevant section.</w:t>
            </w:r>
          </w:p>
        </w:tc>
      </w:tr>
    </w:tbl>
    <w:p w14:paraId="380FF573" w14:textId="77777777" w:rsidR="00CC6631" w:rsidRPr="008D1034" w:rsidRDefault="00CC6631" w:rsidP="00CC6631"/>
    <w:p w14:paraId="57480023" w14:textId="77777777" w:rsidR="00CC6631" w:rsidRPr="008D1034" w:rsidRDefault="00CC6631" w:rsidP="00CC6631">
      <w:r w:rsidRPr="008D1034">
        <w:t>Table 21. Use # 2 – META SPC 10: Disinfectants for hard surfaces in companion animals’ environment for private homes and pets shelters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0B0D1FDC"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03A23DF"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17EDDBB" w14:textId="77777777" w:rsidR="00CC6631" w:rsidRPr="008D1034" w:rsidRDefault="00CC6631" w:rsidP="00F3249E">
            <w:r w:rsidRPr="008D1034">
              <w:t>PT03 - Veterinary hygiene (Disinfectants)</w:t>
            </w:r>
            <w:r w:rsidRPr="008D1034">
              <w:br/>
              <w:t>PT02 - Disinfectants and algaecides not intended for direct application to humans or animals (Disinfectants)</w:t>
            </w:r>
          </w:p>
        </w:tc>
      </w:tr>
      <w:tr w:rsidR="00CC6631" w:rsidRPr="008D1034" w14:paraId="1028894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18C0361"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6A6C84" w14:textId="77777777" w:rsidR="00CC6631" w:rsidRPr="008D1034" w:rsidRDefault="00CC6631" w:rsidP="00F3249E">
            <w:r w:rsidRPr="008D1034">
              <w:t xml:space="preserve">Concentrate. </w:t>
            </w:r>
            <w:r w:rsidRPr="008D1034">
              <w:br/>
            </w:r>
          </w:p>
          <w:p w14:paraId="64D1DA58" w14:textId="77777777" w:rsidR="00CC6631" w:rsidRPr="008D1034" w:rsidRDefault="00CC6631" w:rsidP="00F3249E">
            <w:r w:rsidRPr="008D1034">
              <w:t xml:space="preserve">Product used for the disinfection of households surfaces and in companion animals’ environment including pets shelters and animal housing and associated equipment. </w:t>
            </w:r>
            <w:r w:rsidRPr="008D1034">
              <w:br/>
            </w:r>
          </w:p>
          <w:p w14:paraId="61B24C5D" w14:textId="77777777" w:rsidR="00CC6631" w:rsidRPr="008D1034" w:rsidRDefault="00CC6631" w:rsidP="00F3249E">
            <w:r w:rsidRPr="008D1034">
              <w:t>Detergent, disinfectant (bactericidal and yeasticidal activities).</w:t>
            </w:r>
            <w:r w:rsidRPr="008D1034">
              <w:br/>
              <w:t>Use for cleaning and disinfection of non porous surfaces.</w:t>
            </w:r>
          </w:p>
        </w:tc>
      </w:tr>
      <w:tr w:rsidR="00CC6631" w:rsidRPr="008D1034" w14:paraId="1B215852"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E27BF3C"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05B74" w14:textId="77777777" w:rsidR="00CC6631" w:rsidRPr="008D1034" w:rsidRDefault="00CC6631" w:rsidP="00F3249E">
            <w:r w:rsidRPr="008D1034">
              <w:t>Bacteria</w:t>
            </w:r>
            <w:r w:rsidRPr="008D1034">
              <w:br/>
              <w:t>Yeasts</w:t>
            </w:r>
          </w:p>
        </w:tc>
      </w:tr>
      <w:tr w:rsidR="00CC6631" w:rsidRPr="008D1034" w14:paraId="3C588E98"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45F9D5"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8E5B7D" w14:textId="77777777" w:rsidR="00CC6631" w:rsidRPr="008D1034" w:rsidRDefault="00CC6631" w:rsidP="00F3249E">
            <w:r w:rsidRPr="008D1034">
              <w:t>Indoor, households and pets shelters</w:t>
            </w:r>
          </w:p>
        </w:tc>
      </w:tr>
      <w:tr w:rsidR="00CC6631" w:rsidRPr="008D1034" w14:paraId="6BD3E640"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63424C"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F338B8" w14:textId="786C6715" w:rsidR="00CC6631" w:rsidRPr="008D1034" w:rsidRDefault="00CC6631">
            <w:r w:rsidRPr="008D1034">
              <w:t>Spraying</w:t>
            </w:r>
            <w:r w:rsidRPr="007A4DA8">
              <w:rPr>
                <w:strike/>
              </w:rPr>
              <w:t xml:space="preserve">, Wiping (applying product onto surface followed by wiping), </w:t>
            </w:r>
            <w:r w:rsidRPr="001E1877">
              <w:t xml:space="preserve">Brushing, </w:t>
            </w:r>
            <w:r w:rsidRPr="003F1FC2">
              <w:rPr>
                <w:strike/>
              </w:rPr>
              <w:t>scrubbing,</w:t>
            </w:r>
            <w:r w:rsidRPr="001E1877">
              <w:t xml:space="preserve"> </w:t>
            </w:r>
            <w:r w:rsidRPr="007A4DA8">
              <w:rPr>
                <w:strike/>
              </w:rPr>
              <w:t>Mopping (applying product onto surface followed by mopping)</w:t>
            </w:r>
            <w:r w:rsidR="001E1877" w:rsidRPr="00FE2B16">
              <w:t>, Pouring</w:t>
            </w:r>
          </w:p>
        </w:tc>
      </w:tr>
      <w:tr w:rsidR="00CC6631" w:rsidRPr="008D1034" w14:paraId="0FB38C6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B350562"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1C5C3C" w14:textId="77777777" w:rsidR="00CC6631" w:rsidRPr="008D1034" w:rsidRDefault="00CC6631" w:rsidP="00F3249E">
            <w:r w:rsidRPr="008D1034">
              <w:t>Dilution at 10% (v/v): 30 ml/m2 for wiping, scrubbing, mopping, brushing on hard surfaces.</w:t>
            </w:r>
          </w:p>
          <w:p w14:paraId="670B6F9E" w14:textId="77777777" w:rsidR="00CC6631" w:rsidRPr="008D1034" w:rsidRDefault="00CC6631" w:rsidP="00F3249E">
            <w:pPr>
              <w:rPr>
                <w:b/>
              </w:rPr>
            </w:pPr>
          </w:p>
          <w:p w14:paraId="3CC5EA1F" w14:textId="77777777" w:rsidR="00CC6631" w:rsidRPr="008D1034" w:rsidRDefault="00CC6631" w:rsidP="00F3249E">
            <w:r w:rsidRPr="008D1034">
              <w:rPr>
                <w:b/>
              </w:rPr>
              <w:t>Animal housings with hay (hutches, henhouses…):</w:t>
            </w:r>
            <w:r w:rsidRPr="008D1034">
              <w:br/>
              <w:t xml:space="preserve">Treat the floors and a height of 50cm of the walls </w:t>
            </w:r>
            <w:r w:rsidRPr="008D1034">
              <w:br/>
              <w:t>„Should not be applied directly to garden ground.“</w:t>
            </w:r>
            <w:r w:rsidRPr="008D1034">
              <w:br/>
              <w:t xml:space="preserve">One application per month </w:t>
            </w:r>
            <w:r w:rsidRPr="008D1034">
              <w:br/>
            </w:r>
            <w:r w:rsidRPr="008D1034">
              <w:br/>
            </w:r>
            <w:r w:rsidRPr="008D1034">
              <w:rPr>
                <w:b/>
              </w:rPr>
              <w:t>Animal housings without hay (dog kennel…):</w:t>
            </w:r>
            <w:r w:rsidRPr="008D1034">
              <w:br/>
              <w:t xml:space="preserve">Daily  </w:t>
            </w:r>
            <w:r w:rsidRPr="008D1034">
              <w:br/>
            </w:r>
          </w:p>
        </w:tc>
      </w:tr>
      <w:tr w:rsidR="00CC6631" w:rsidRPr="008D1034" w14:paraId="73FC5FB9"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61EA096"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0391C8" w14:textId="77777777" w:rsidR="00CC6631" w:rsidRPr="008D1034" w:rsidRDefault="00CC6631" w:rsidP="00F3249E">
            <w:r w:rsidRPr="008D1034">
              <w:t>General public (non-professional)</w:t>
            </w:r>
          </w:p>
        </w:tc>
      </w:tr>
      <w:tr w:rsidR="00CC6631" w:rsidRPr="008D1034" w14:paraId="7104DAD9"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3F133A5"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7570919" w14:textId="77777777" w:rsidR="00CC6631" w:rsidRPr="008D1034" w:rsidRDefault="00CC6631" w:rsidP="00F3249E">
            <w:r w:rsidRPr="008D1034">
              <w:t>Please see the relevant section.</w:t>
            </w:r>
          </w:p>
        </w:tc>
      </w:tr>
    </w:tbl>
    <w:p w14:paraId="624C9DB5" w14:textId="77777777" w:rsidR="00CC6631" w:rsidRPr="008D1034" w:rsidRDefault="00CC6631" w:rsidP="00CC6631"/>
    <w:p w14:paraId="304B11BB" w14:textId="77777777" w:rsidR="00CC6631" w:rsidRPr="008D1034" w:rsidRDefault="00CC6631" w:rsidP="00CC6631">
      <w:r>
        <w:rPr>
          <w:b/>
          <w:u w:val="single"/>
        </w:rPr>
        <w:lastRenderedPageBreak/>
        <w:t>Meta SPC 11</w:t>
      </w:r>
      <w:r w:rsidRPr="008D1034">
        <w:rPr>
          <w:b/>
          <w:u w:val="single"/>
        </w:rPr>
        <w:t>:</w:t>
      </w:r>
    </w:p>
    <w:p w14:paraId="4AF3F8C4" w14:textId="77777777" w:rsidR="00CC6631" w:rsidRPr="008D1034" w:rsidRDefault="00CC6631" w:rsidP="00CC6631">
      <w:r w:rsidRPr="008D1034">
        <w:t>Table 22. Use # 1 – META SPC 11: Disinfectants for hard surfaces of industry, institution and healthcare facilities and food preparation and handling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55868554"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C9B5C23"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2A5187" w14:textId="77777777" w:rsidR="00CC6631" w:rsidRPr="008D1034" w:rsidRDefault="00CC6631" w:rsidP="00F3249E">
            <w:r w:rsidRPr="008D1034">
              <w:t>PT02 - Disinfectants and algaecides not intended for direct application to humans or animals (Disinfectants)</w:t>
            </w:r>
            <w:r w:rsidRPr="008D1034">
              <w:br/>
              <w:t>PT04 - Food and feed area (Disinfectants)</w:t>
            </w:r>
          </w:p>
        </w:tc>
      </w:tr>
      <w:tr w:rsidR="00CC6631" w:rsidRPr="008D1034" w14:paraId="7E45F0AA"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4B5C6D4"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99684A" w14:textId="77777777" w:rsidR="00CC6631" w:rsidRPr="008D1034" w:rsidRDefault="00CC6631" w:rsidP="00F3249E">
            <w:r w:rsidRPr="008D1034">
              <w:t xml:space="preserve">Concentrate. </w:t>
            </w:r>
            <w:r w:rsidRPr="008D1034">
              <w:br/>
            </w:r>
          </w:p>
          <w:p w14:paraId="5442BE57" w14:textId="77777777" w:rsidR="00CC6631" w:rsidRPr="008D1034" w:rsidRDefault="00CC6631" w:rsidP="00F3249E">
            <w:r w:rsidRPr="008D1034">
              <w:t xml:space="preserve">Product used for the disinfection of industry, institution and healthcare facilities including toilets bowls (outside) and disinfection for area of food preparation and handling. </w:t>
            </w:r>
            <w:r w:rsidRPr="008D1034">
              <w:br/>
            </w:r>
          </w:p>
          <w:p w14:paraId="1F8CF955" w14:textId="77777777" w:rsidR="00CC6631" w:rsidRPr="008D1034" w:rsidRDefault="00CC6631" w:rsidP="00F3249E">
            <w:r w:rsidRPr="008D1034">
              <w:t>Detergent, disinfectant (bactericidal and yeasticidal activities).</w:t>
            </w:r>
            <w:r w:rsidRPr="008D1034">
              <w:br/>
              <w:t>Use for cleaning and disinfection of all kind of surfaces.</w:t>
            </w:r>
          </w:p>
        </w:tc>
      </w:tr>
      <w:tr w:rsidR="00CC6631" w:rsidRPr="008D1034" w14:paraId="28C0FCDE"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C2EB233"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745E4" w14:textId="77777777" w:rsidR="00CC6631" w:rsidRPr="008D1034" w:rsidRDefault="00CC6631" w:rsidP="00F3249E">
            <w:r w:rsidRPr="008D1034">
              <w:t>Bacteria</w:t>
            </w:r>
            <w:r w:rsidRPr="008D1034">
              <w:br/>
              <w:t>Yeasts</w:t>
            </w:r>
          </w:p>
        </w:tc>
      </w:tr>
      <w:tr w:rsidR="00CC6631" w:rsidRPr="008D1034" w14:paraId="17258CD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EB19D9A"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F7E553" w14:textId="77777777" w:rsidR="00CC6631" w:rsidRPr="008D1034" w:rsidRDefault="00CC6631" w:rsidP="00F3249E">
            <w:r w:rsidRPr="008D1034">
              <w:t>Indoor, Industry, institution, healthcare facilities and food preparation and handling areas.</w:t>
            </w:r>
          </w:p>
        </w:tc>
      </w:tr>
      <w:tr w:rsidR="00CC6631" w:rsidRPr="008D1034" w14:paraId="6A4BA2D1"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98552B"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081647" w14:textId="6B1812B0" w:rsidR="00CC6631" w:rsidRPr="008D1034" w:rsidRDefault="001E1877" w:rsidP="00F3249E">
            <w:r>
              <w:t xml:space="preserve">Pouring, </w:t>
            </w:r>
            <w:r w:rsidR="00CC6631" w:rsidRPr="008D1034">
              <w:t>Spraying</w:t>
            </w:r>
            <w:r w:rsidR="00CC6631" w:rsidRPr="001E1877">
              <w:t xml:space="preserve">, </w:t>
            </w:r>
            <w:r w:rsidR="00CC6631" w:rsidRPr="007A4DA8">
              <w:rPr>
                <w:strike/>
              </w:rPr>
              <w:t>Brushing</w:t>
            </w:r>
            <w:r w:rsidR="00CC6631" w:rsidRPr="001E1877">
              <w:t xml:space="preserve">, scrubbing, </w:t>
            </w:r>
            <w:r w:rsidR="00CC6631" w:rsidRPr="007A4DA8">
              <w:rPr>
                <w:strike/>
              </w:rPr>
              <w:t>Mopping (applying product onto surface followed by mopping)</w:t>
            </w:r>
          </w:p>
        </w:tc>
      </w:tr>
      <w:tr w:rsidR="00CC6631" w:rsidRPr="008D1034" w14:paraId="04742DA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2B22408"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1D4DA1" w14:textId="77777777" w:rsidR="00CC6631" w:rsidRPr="008D1034" w:rsidRDefault="00CC6631" w:rsidP="00F3249E">
            <w:r w:rsidRPr="008D1034">
              <w:t xml:space="preserve">30 ml/m2 - For spraying, scrubbing, mopping, brushing on hard surfaces: </w:t>
            </w:r>
          </w:p>
          <w:p w14:paraId="7A37E3BD" w14:textId="77777777" w:rsidR="00CC6631" w:rsidRPr="008D1034" w:rsidRDefault="00CC6631" w:rsidP="00F3249E">
            <w:r w:rsidRPr="008D1034">
              <w:t xml:space="preserve">1.5% (v/v), contact time of 15 min at 20°C and 1% (v/v), contact time of 30 min at 40°C in institutional, healthcare facilities and industrial areas. </w:t>
            </w:r>
          </w:p>
          <w:p w14:paraId="4D28CA16" w14:textId="77777777" w:rsidR="00CC6631" w:rsidRPr="008D1034" w:rsidRDefault="00CC6631" w:rsidP="00F3249E"/>
          <w:p w14:paraId="30DD94B8" w14:textId="77777777" w:rsidR="00CC6631" w:rsidRPr="008D1034" w:rsidRDefault="00CC6631" w:rsidP="00F3249E">
            <w:r w:rsidRPr="008D1034">
              <w:t xml:space="preserve">In food preparation and handling areas : dilution at 1.5% (v/v), contact time of 5 min at 20°C and 0.5% (v/v), contact time of 15 min at 40°C for Bactericidal activity including </w:t>
            </w:r>
            <w:r w:rsidRPr="008D1034">
              <w:rPr>
                <w:i/>
              </w:rPr>
              <w:t>Salmonella typhimurium</w:t>
            </w:r>
            <w:r w:rsidRPr="008D1034">
              <w:t xml:space="preserve"> and </w:t>
            </w:r>
            <w:r w:rsidRPr="008D1034">
              <w:rPr>
                <w:i/>
              </w:rPr>
              <w:t>Listeria monocytogenes</w:t>
            </w:r>
            <w:r w:rsidRPr="008D1034">
              <w:t xml:space="preserve"> and 1.5% (v/v), contact time of 15 min at 20°C and 1% (v/v), contact time of 30 min at 40°C for yeasticidal activity.</w:t>
            </w:r>
          </w:p>
          <w:p w14:paraId="3F9F31CF" w14:textId="77777777" w:rsidR="00CC6631" w:rsidRPr="008D1034" w:rsidRDefault="00CC6631" w:rsidP="00F3249E"/>
          <w:p w14:paraId="5946994E" w14:textId="77777777" w:rsidR="00CC6631" w:rsidRPr="008D1034" w:rsidRDefault="00CC6631" w:rsidP="00F3249E">
            <w:r w:rsidRPr="008D1034">
              <w:t>Daily</w:t>
            </w:r>
          </w:p>
        </w:tc>
      </w:tr>
      <w:tr w:rsidR="00CC6631" w:rsidRPr="008D1034" w14:paraId="6F6C76C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079A0E"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AE151A" w14:textId="77777777" w:rsidR="00CC6631" w:rsidRPr="008D1034" w:rsidRDefault="00CC6631" w:rsidP="00F3249E">
            <w:r w:rsidRPr="008D1034">
              <w:t>Industrial, Professional</w:t>
            </w:r>
          </w:p>
        </w:tc>
      </w:tr>
      <w:tr w:rsidR="00CC6631" w:rsidRPr="008D1034" w14:paraId="5422E199"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F14FB65"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52FD228A" w14:textId="77777777" w:rsidR="00CC6631" w:rsidRPr="008D1034" w:rsidRDefault="00CC6631" w:rsidP="00F3249E">
            <w:r w:rsidRPr="008D1034">
              <w:t>Please see the relevant section.</w:t>
            </w:r>
          </w:p>
        </w:tc>
      </w:tr>
    </w:tbl>
    <w:p w14:paraId="59357FC6" w14:textId="77777777" w:rsidR="00CC6631" w:rsidRPr="008D1034" w:rsidRDefault="00CC6631" w:rsidP="00CC6631"/>
    <w:p w14:paraId="7473BCEC" w14:textId="77777777" w:rsidR="00CC6631" w:rsidRPr="008D1034" w:rsidRDefault="00CC6631" w:rsidP="00CC6631">
      <w:pPr>
        <w:rPr>
          <w:b/>
          <w:u w:val="single"/>
        </w:rPr>
      </w:pPr>
      <w:r>
        <w:rPr>
          <w:b/>
          <w:u w:val="single"/>
        </w:rPr>
        <w:t>Meta SPC 12</w:t>
      </w:r>
      <w:r w:rsidRPr="008D1034">
        <w:rPr>
          <w:b/>
          <w:u w:val="single"/>
        </w:rPr>
        <w:t>:</w:t>
      </w:r>
    </w:p>
    <w:p w14:paraId="17239C74" w14:textId="77777777" w:rsidR="00CC6631" w:rsidRPr="008D1034" w:rsidRDefault="00CC6631" w:rsidP="00CC6631"/>
    <w:p w14:paraId="4C35C536" w14:textId="77777777" w:rsidR="00CC6631" w:rsidRPr="008D1034" w:rsidRDefault="00CC6631" w:rsidP="00CC6631">
      <w:r w:rsidRPr="008D1034">
        <w:t>Table 23. Use # 1 – META SPC 12: Disinfectants for hard surfaces for industry, institution, healthcare facilities and health care</w:t>
      </w:r>
    </w:p>
    <w:tbl>
      <w:tblPr>
        <w:tblW w:w="0" w:type="auto"/>
        <w:tblInd w:w="45" w:type="dxa"/>
        <w:tblLayout w:type="fixed"/>
        <w:tblCellMar>
          <w:left w:w="0" w:type="dxa"/>
          <w:right w:w="0" w:type="dxa"/>
        </w:tblCellMar>
        <w:tblLook w:val="04A0" w:firstRow="1" w:lastRow="0" w:firstColumn="1" w:lastColumn="0" w:noHBand="0" w:noVBand="1"/>
      </w:tblPr>
      <w:tblGrid>
        <w:gridCol w:w="2644"/>
        <w:gridCol w:w="6381"/>
      </w:tblGrid>
      <w:tr w:rsidR="00CC6631" w:rsidRPr="008D1034" w14:paraId="6E067D6B" w14:textId="77777777" w:rsidTr="007A4DA8">
        <w:tc>
          <w:tcPr>
            <w:tcW w:w="264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5DB95DD" w14:textId="77777777" w:rsidR="00CC6631" w:rsidRPr="008D1034" w:rsidRDefault="00CC6631" w:rsidP="00F3249E">
            <w:pPr>
              <w:rPr>
                <w:b/>
              </w:rPr>
            </w:pPr>
            <w:r w:rsidRPr="008D1034">
              <w:rPr>
                <w:b/>
                <w:bCs/>
              </w:rPr>
              <w:t>Product Type</w:t>
            </w:r>
          </w:p>
        </w:tc>
        <w:tc>
          <w:tcPr>
            <w:tcW w:w="638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1112AF" w14:textId="77777777" w:rsidR="00CC6631" w:rsidRPr="008D1034" w:rsidRDefault="00CC6631" w:rsidP="00F3249E">
            <w:r w:rsidRPr="008D1034">
              <w:t>PT02 - Disinfectants and algaecides not intended for direct application to humans or animals (Disinfectants)</w:t>
            </w:r>
          </w:p>
        </w:tc>
      </w:tr>
      <w:tr w:rsidR="00CC6631" w:rsidRPr="008D1034" w14:paraId="3DDC3F4A"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065468" w14:textId="77777777" w:rsidR="00CC6631" w:rsidRPr="008D1034" w:rsidRDefault="00CC6631" w:rsidP="00F3249E">
            <w:pPr>
              <w:rPr>
                <w:b/>
              </w:rPr>
            </w:pPr>
            <w:r w:rsidRPr="008D1034">
              <w:rPr>
                <w:b/>
                <w:bCs/>
              </w:rPr>
              <w:t>Where relevant, an exact description of the authorised use</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2FE0C7DD" w14:textId="77777777" w:rsidR="00CC6631" w:rsidRPr="008D1034" w:rsidRDefault="00CC6631" w:rsidP="00F3249E">
            <w:r w:rsidRPr="008D1034">
              <w:t xml:space="preserve">Ready-To-Use (RTU). </w:t>
            </w:r>
            <w:r w:rsidRPr="008D1034">
              <w:br/>
            </w:r>
          </w:p>
          <w:p w14:paraId="5D6037F5" w14:textId="77777777" w:rsidR="00CC6631" w:rsidRPr="008D1034" w:rsidRDefault="00CC6631" w:rsidP="00F3249E">
            <w:r w:rsidRPr="008D1034">
              <w:t xml:space="preserve">Product used for the disinfection of industry, institution, healthcare facilities and health care for the inside of toilets </w:t>
            </w:r>
            <w:r w:rsidRPr="008D1034">
              <w:lastRenderedPageBreak/>
              <w:t xml:space="preserve">bowls. </w:t>
            </w:r>
            <w:r w:rsidRPr="008D1034">
              <w:br/>
            </w:r>
          </w:p>
          <w:p w14:paraId="4F4FA791" w14:textId="77777777" w:rsidR="00CC6631" w:rsidRPr="008D1034" w:rsidRDefault="00CC6631" w:rsidP="00F3249E">
            <w:r w:rsidRPr="008D1034">
              <w:t>Detergent, disinfectant (bactericidal and yeasticidal activities).</w:t>
            </w:r>
            <w:r w:rsidRPr="008D1034">
              <w:br/>
              <w:t>Use for cleaning and disinfection of all kind of surfaces.</w:t>
            </w:r>
          </w:p>
        </w:tc>
      </w:tr>
      <w:tr w:rsidR="00CC6631" w:rsidRPr="008D1034" w14:paraId="1D00A893"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74DD03" w14:textId="77777777" w:rsidR="00CC6631" w:rsidRPr="008D1034" w:rsidRDefault="00CC6631" w:rsidP="00F3249E">
            <w:pPr>
              <w:rPr>
                <w:b/>
              </w:rPr>
            </w:pPr>
            <w:r w:rsidRPr="008D1034">
              <w:rPr>
                <w:b/>
                <w:bCs/>
              </w:rPr>
              <w:lastRenderedPageBreak/>
              <w:t>Target organism (including development stage)</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2F4FA1D8" w14:textId="77777777" w:rsidR="00CC6631" w:rsidRPr="008D1034" w:rsidRDefault="00CC6631" w:rsidP="00F3249E">
            <w:r w:rsidRPr="008D1034">
              <w:t>Bacteria</w:t>
            </w:r>
            <w:r w:rsidRPr="008D1034">
              <w:br/>
              <w:t>Yeasts</w:t>
            </w:r>
          </w:p>
        </w:tc>
      </w:tr>
      <w:tr w:rsidR="00CC6631" w:rsidRPr="008D1034" w14:paraId="68463BAC"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D4FBF5B" w14:textId="77777777" w:rsidR="00CC6631" w:rsidRPr="008D1034" w:rsidRDefault="00CC6631" w:rsidP="00F3249E">
            <w:pPr>
              <w:rPr>
                <w:b/>
              </w:rPr>
            </w:pPr>
            <w:r w:rsidRPr="008D1034">
              <w:rPr>
                <w:b/>
                <w:bCs/>
              </w:rPr>
              <w:t>Field of use</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376CE97D" w14:textId="77777777" w:rsidR="00CC6631" w:rsidRPr="008D1034" w:rsidRDefault="00CC6631" w:rsidP="00F3249E">
            <w:r w:rsidRPr="008D1034">
              <w:t>Indoor, healthcare facilities, health care, institution and industry areas</w:t>
            </w:r>
          </w:p>
        </w:tc>
      </w:tr>
      <w:tr w:rsidR="00CC6631" w:rsidRPr="008D1034" w14:paraId="7E7852B3"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6C1876" w14:textId="77777777" w:rsidR="00CC6631" w:rsidRPr="008D1034" w:rsidRDefault="00CC6631" w:rsidP="00F3249E">
            <w:pPr>
              <w:rPr>
                <w:b/>
              </w:rPr>
            </w:pPr>
            <w:r w:rsidRPr="008D1034">
              <w:rPr>
                <w:b/>
                <w:bCs/>
              </w:rPr>
              <w:t>Application method(s)</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72F3650B" w14:textId="0177625B" w:rsidR="00CC6631" w:rsidRPr="008D1034" w:rsidRDefault="001E1877" w:rsidP="00F3249E">
            <w:r w:rsidRPr="007A4DA8">
              <w:t xml:space="preserve">Pouring, </w:t>
            </w:r>
            <w:r w:rsidR="00CC6631" w:rsidRPr="007A4DA8">
              <w:rPr>
                <w:strike/>
              </w:rPr>
              <w:t>Brushing, scrubbing</w:t>
            </w:r>
          </w:p>
        </w:tc>
      </w:tr>
      <w:tr w:rsidR="00CC6631" w:rsidRPr="008D1034" w14:paraId="77694449"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099908" w14:textId="77777777" w:rsidR="00CC6631" w:rsidRPr="008D1034" w:rsidRDefault="00CC6631" w:rsidP="00F3249E">
            <w:pPr>
              <w:rPr>
                <w:b/>
              </w:rPr>
            </w:pPr>
            <w:r w:rsidRPr="008D1034">
              <w:rPr>
                <w:b/>
                <w:bCs/>
              </w:rPr>
              <w:t>Application rate(s) and frequency</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3040B96D" w14:textId="77777777" w:rsidR="00CC6631" w:rsidRPr="008D1034" w:rsidRDefault="00CC6631" w:rsidP="00F3249E">
            <w:r w:rsidRPr="008D1034">
              <w:t>100% - 30 ml/m2 - RTU</w:t>
            </w:r>
          </w:p>
          <w:p w14:paraId="3E164531" w14:textId="77777777" w:rsidR="00CC6631" w:rsidRPr="008D1034" w:rsidRDefault="00CC6631" w:rsidP="00F3249E">
            <w:r w:rsidRPr="008D1034">
              <w:t>Daily</w:t>
            </w:r>
          </w:p>
        </w:tc>
      </w:tr>
      <w:tr w:rsidR="00CC6631" w:rsidRPr="008D1034" w14:paraId="4D068D43"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6D9C68" w14:textId="77777777" w:rsidR="00CC6631" w:rsidRPr="008D1034" w:rsidRDefault="00CC6631" w:rsidP="00F3249E">
            <w:pPr>
              <w:rPr>
                <w:b/>
              </w:rPr>
            </w:pPr>
            <w:r w:rsidRPr="008D1034">
              <w:rPr>
                <w:b/>
                <w:bCs/>
              </w:rPr>
              <w:t>Category(ies) of users</w:t>
            </w:r>
          </w:p>
        </w:tc>
        <w:tc>
          <w:tcPr>
            <w:tcW w:w="6381" w:type="dxa"/>
            <w:tcBorders>
              <w:top w:val="nil"/>
              <w:left w:val="nil"/>
              <w:bottom w:val="single" w:sz="4" w:space="0" w:color="000000"/>
              <w:right w:val="single" w:sz="4" w:space="0" w:color="000000"/>
            </w:tcBorders>
            <w:tcMar>
              <w:top w:w="40" w:type="dxa"/>
              <w:left w:w="40" w:type="dxa"/>
              <w:bottom w:w="40" w:type="dxa"/>
              <w:right w:w="40" w:type="dxa"/>
            </w:tcMar>
          </w:tcPr>
          <w:p w14:paraId="34160D3C" w14:textId="77777777" w:rsidR="00CC6631" w:rsidRPr="008D1034" w:rsidRDefault="00CC6631" w:rsidP="00F3249E">
            <w:r w:rsidRPr="008D1034">
              <w:t>Industrial, Professional</w:t>
            </w:r>
          </w:p>
        </w:tc>
      </w:tr>
      <w:tr w:rsidR="00CC6631" w:rsidRPr="008D1034" w14:paraId="3E3C4DA9" w14:textId="77777777" w:rsidTr="007A4DA8">
        <w:tc>
          <w:tcPr>
            <w:tcW w:w="264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F6634B6" w14:textId="77777777" w:rsidR="00CC6631" w:rsidRPr="008D1034" w:rsidRDefault="00CC6631" w:rsidP="00F3249E">
            <w:pPr>
              <w:rPr>
                <w:b/>
              </w:rPr>
            </w:pPr>
            <w:r w:rsidRPr="008D1034">
              <w:rPr>
                <w:b/>
                <w:bCs/>
              </w:rPr>
              <w:t>Pack sizes and packaging material</w:t>
            </w:r>
          </w:p>
        </w:tc>
        <w:tc>
          <w:tcPr>
            <w:tcW w:w="6381" w:type="dxa"/>
            <w:tcBorders>
              <w:top w:val="nil"/>
              <w:left w:val="nil"/>
              <w:bottom w:val="single" w:sz="4" w:space="0" w:color="000000"/>
              <w:right w:val="single" w:sz="4" w:space="0" w:color="000000"/>
            </w:tcBorders>
            <w:tcMar>
              <w:top w:w="40" w:type="dxa"/>
              <w:left w:w="40" w:type="dxa"/>
              <w:bottom w:w="40" w:type="dxa"/>
              <w:right w:w="40" w:type="dxa"/>
            </w:tcMar>
            <w:hideMark/>
          </w:tcPr>
          <w:p w14:paraId="5F00D6C6" w14:textId="77777777" w:rsidR="00CC6631" w:rsidRPr="008D1034" w:rsidRDefault="00CC6631" w:rsidP="00F3249E">
            <w:r w:rsidRPr="008D1034">
              <w:t>Please see the relevant section.</w:t>
            </w:r>
          </w:p>
        </w:tc>
      </w:tr>
    </w:tbl>
    <w:p w14:paraId="2A7C1D2B" w14:textId="77777777" w:rsidR="00CC6631" w:rsidRPr="008D1034" w:rsidRDefault="00CC6631" w:rsidP="00CC6631"/>
    <w:p w14:paraId="7677CD1D" w14:textId="77777777" w:rsidR="00CC6631" w:rsidRPr="008D1034" w:rsidRDefault="00CC6631" w:rsidP="00CC6631">
      <w:pPr>
        <w:rPr>
          <w:b/>
          <w:u w:val="single"/>
        </w:rPr>
      </w:pPr>
      <w:r w:rsidRPr="008D1034">
        <w:rPr>
          <w:b/>
          <w:u w:val="single"/>
        </w:rPr>
        <w:t>Meta SPC 13:</w:t>
      </w:r>
    </w:p>
    <w:p w14:paraId="6D04D136" w14:textId="77777777" w:rsidR="00CC6631" w:rsidRPr="008D1034" w:rsidRDefault="00CC6631" w:rsidP="00CC6631">
      <w:r w:rsidRPr="008D1034">
        <w:t>Table 24. Use # 1 – META SPC 13: Disinfectants for hard surfaces of industry, institution and healthcare facilities</w:t>
      </w:r>
    </w:p>
    <w:tbl>
      <w:tblPr>
        <w:tblW w:w="9025" w:type="dxa"/>
        <w:tblInd w:w="45" w:type="dxa"/>
        <w:tblLayout w:type="fixed"/>
        <w:tblCellMar>
          <w:left w:w="0" w:type="dxa"/>
          <w:right w:w="0" w:type="dxa"/>
        </w:tblCellMar>
        <w:tblLook w:val="04A0" w:firstRow="1" w:lastRow="0" w:firstColumn="1" w:lastColumn="0" w:noHBand="0" w:noVBand="1"/>
      </w:tblPr>
      <w:tblGrid>
        <w:gridCol w:w="2707"/>
        <w:gridCol w:w="6318"/>
      </w:tblGrid>
      <w:tr w:rsidR="00CC6631" w:rsidRPr="008D1034" w14:paraId="5ED4AAD1" w14:textId="77777777" w:rsidTr="00F324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CDAF23C" w14:textId="77777777" w:rsidR="00CC6631" w:rsidRPr="008D1034" w:rsidRDefault="00CC6631" w:rsidP="00F3249E">
            <w:pPr>
              <w:rPr>
                <w:b/>
              </w:rPr>
            </w:pPr>
            <w:r w:rsidRPr="008D1034">
              <w:rPr>
                <w:b/>
                <w:bC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8BDE1C" w14:textId="77777777" w:rsidR="00CC6631" w:rsidRPr="008D1034" w:rsidRDefault="00CC6631" w:rsidP="00F3249E">
            <w:r w:rsidRPr="008D1034">
              <w:t>PT02 - Disinfectants and algaecides not intended for direct application to humans or animals (Disinfectants)</w:t>
            </w:r>
          </w:p>
        </w:tc>
      </w:tr>
      <w:tr w:rsidR="00CC6631" w:rsidRPr="008D1034" w14:paraId="7704AB94"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FA9FB2E" w14:textId="77777777" w:rsidR="00CC6631" w:rsidRPr="008D1034" w:rsidRDefault="00CC6631" w:rsidP="00F3249E">
            <w:pPr>
              <w:rPr>
                <w:b/>
              </w:rPr>
            </w:pPr>
            <w:r w:rsidRPr="008D1034">
              <w:rPr>
                <w:b/>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15D2B9" w14:textId="77777777" w:rsidR="00CC6631" w:rsidRPr="008D1034" w:rsidRDefault="00CC6631" w:rsidP="00F3249E">
            <w:r w:rsidRPr="008D1034">
              <w:t xml:space="preserve">Concentrate. </w:t>
            </w:r>
            <w:r w:rsidRPr="008D1034">
              <w:br/>
            </w:r>
          </w:p>
          <w:p w14:paraId="7B41FA31" w14:textId="77777777" w:rsidR="00CC6631" w:rsidRPr="008D1034" w:rsidRDefault="00CC6631" w:rsidP="00F3249E">
            <w:r w:rsidRPr="008D1034">
              <w:t>Product used for the disinfection of households surfaces.</w:t>
            </w:r>
          </w:p>
          <w:p w14:paraId="2D2814BA" w14:textId="77777777" w:rsidR="00CC6631" w:rsidRPr="008D1034" w:rsidRDefault="00CC6631" w:rsidP="00F3249E">
            <w:r w:rsidRPr="008D1034">
              <w:t>Detergent, disinfectant (bactericidal activities).</w:t>
            </w:r>
          </w:p>
          <w:p w14:paraId="75AFDED6" w14:textId="77777777" w:rsidR="00CC6631" w:rsidRPr="008D1034" w:rsidRDefault="00CC6631" w:rsidP="00F3249E">
            <w:r w:rsidRPr="008D1034">
              <w:t>Use for cleaning and disinfection of all kind of surfaces.</w:t>
            </w:r>
          </w:p>
        </w:tc>
      </w:tr>
      <w:tr w:rsidR="00CC6631" w:rsidRPr="008D1034" w14:paraId="09CFE587"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9374614" w14:textId="77777777" w:rsidR="00CC6631" w:rsidRPr="008D1034" w:rsidRDefault="00CC6631" w:rsidP="00F3249E">
            <w:pPr>
              <w:rPr>
                <w:b/>
              </w:rPr>
            </w:pPr>
            <w:r w:rsidRPr="008D1034">
              <w:rPr>
                <w:b/>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8823BE" w14:textId="77777777" w:rsidR="00CC6631" w:rsidRPr="008D1034" w:rsidRDefault="00CC6631" w:rsidP="00F3249E">
            <w:r w:rsidRPr="008D1034">
              <w:t>Bacteria</w:t>
            </w:r>
            <w:r w:rsidRPr="008D1034">
              <w:br/>
              <w:t>Yeasts</w:t>
            </w:r>
          </w:p>
        </w:tc>
      </w:tr>
      <w:tr w:rsidR="00CC6631" w:rsidRPr="008D1034" w14:paraId="4C85229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7A513AF" w14:textId="77777777" w:rsidR="00CC6631" w:rsidRPr="008D1034" w:rsidRDefault="00CC6631" w:rsidP="00F3249E">
            <w:pPr>
              <w:rPr>
                <w:b/>
              </w:rPr>
            </w:pPr>
            <w:r w:rsidRPr="008D1034">
              <w:rPr>
                <w:b/>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F0D76C" w14:textId="77777777" w:rsidR="00CC6631" w:rsidRPr="008D1034" w:rsidRDefault="00CC6631" w:rsidP="00F3249E">
            <w:r w:rsidRPr="008D1034">
              <w:t>Indoor and outdoor, Industry, institution, healthcare facilities</w:t>
            </w:r>
          </w:p>
        </w:tc>
      </w:tr>
      <w:tr w:rsidR="00CC6631" w:rsidRPr="008D1034" w14:paraId="36A883EB"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8C412A" w14:textId="77777777" w:rsidR="00CC6631" w:rsidRPr="008D1034" w:rsidRDefault="00CC6631" w:rsidP="00F3249E">
            <w:pPr>
              <w:rPr>
                <w:b/>
              </w:rPr>
            </w:pPr>
            <w:r w:rsidRPr="008D1034">
              <w:rPr>
                <w:b/>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ACA0FA" w14:textId="2BBF8098" w:rsidR="00CC6631" w:rsidRPr="008D1034" w:rsidRDefault="001E1877" w:rsidP="00F3249E">
            <w:r>
              <w:t xml:space="preserve">Pouring, </w:t>
            </w:r>
            <w:r w:rsidR="00CC6631" w:rsidRPr="008D1034">
              <w:t xml:space="preserve">Spraying, </w:t>
            </w:r>
            <w:r w:rsidR="00CC6631" w:rsidRPr="007A4DA8">
              <w:rPr>
                <w:strike/>
              </w:rPr>
              <w:t>Wiping (applying product onto surface followed by wiping), Brushing,</w:t>
            </w:r>
            <w:r w:rsidR="00CC6631" w:rsidRPr="001E1877">
              <w:t xml:space="preserve"> scrubbing, </w:t>
            </w:r>
            <w:r w:rsidR="00CC6631" w:rsidRPr="007A4DA8">
              <w:rPr>
                <w:strike/>
              </w:rPr>
              <w:t>Mopping (applying product onto surface followed by mopping)</w:t>
            </w:r>
          </w:p>
        </w:tc>
      </w:tr>
      <w:tr w:rsidR="00CC6631" w:rsidRPr="008D1034" w14:paraId="2809E0ED"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D993D4" w14:textId="77777777" w:rsidR="00CC6631" w:rsidRPr="008D1034" w:rsidRDefault="00CC6631" w:rsidP="00F3249E">
            <w:pPr>
              <w:rPr>
                <w:b/>
              </w:rPr>
            </w:pPr>
            <w:r w:rsidRPr="008D1034">
              <w:rPr>
                <w:b/>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091478" w14:textId="77777777" w:rsidR="00CC6631" w:rsidRPr="008D1034" w:rsidRDefault="00CC6631" w:rsidP="00F3249E">
            <w:r w:rsidRPr="008D1034">
              <w:t>Dilution at 8% (v/v): 30ml/m2 for the disinfection of waste containers and around and roadways for spraying, scrubbing, wiping, mopping, brushing on hard surfaces.</w:t>
            </w:r>
          </w:p>
          <w:p w14:paraId="1662FB2A" w14:textId="77777777" w:rsidR="00CC6631" w:rsidRPr="008D1034" w:rsidRDefault="00CC6631" w:rsidP="00F3249E">
            <w:r w:rsidRPr="008D1034">
              <w:t>Disinfection of waste containers and around:</w:t>
            </w:r>
            <w:r w:rsidRPr="008D1034">
              <w:br/>
              <w:t>Daily</w:t>
            </w:r>
            <w:r w:rsidRPr="008D1034">
              <w:br/>
            </w:r>
            <w:r w:rsidRPr="008D1034">
              <w:br/>
              <w:t>Disinfection of roadways:</w:t>
            </w:r>
          </w:p>
          <w:p w14:paraId="6E4A3D3E" w14:textId="77777777" w:rsidR="00CC6631" w:rsidRPr="008D1034" w:rsidRDefault="00CC6631" w:rsidP="00F3249E">
            <w:r w:rsidRPr="008D1034">
              <w:t>One application per day</w:t>
            </w:r>
          </w:p>
          <w:p w14:paraId="311C5C33" w14:textId="77777777" w:rsidR="00CC6631" w:rsidRPr="008D1034" w:rsidRDefault="00CC6631" w:rsidP="00F3249E">
            <w:r w:rsidRPr="008D1034">
              <w:t>Surface treatment: 15 000 m</w:t>
            </w:r>
            <w:r w:rsidRPr="008D1034">
              <w:rPr>
                <w:vertAlign w:val="superscript"/>
              </w:rPr>
              <w:t>2</w:t>
            </w:r>
          </w:p>
        </w:tc>
      </w:tr>
      <w:tr w:rsidR="00CC6631" w:rsidRPr="008D1034" w14:paraId="5162C5E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E06BA1E" w14:textId="77777777" w:rsidR="00CC6631" w:rsidRPr="008D1034" w:rsidRDefault="00CC6631" w:rsidP="00F3249E">
            <w:pPr>
              <w:rPr>
                <w:b/>
              </w:rPr>
            </w:pPr>
            <w:r w:rsidRPr="008D1034">
              <w:rPr>
                <w:b/>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1ED876" w14:textId="77777777" w:rsidR="00CC6631" w:rsidRPr="008D1034" w:rsidRDefault="00CC6631" w:rsidP="00F3249E">
            <w:r w:rsidRPr="008D1034">
              <w:t>Industrial, Professional</w:t>
            </w:r>
          </w:p>
        </w:tc>
      </w:tr>
      <w:tr w:rsidR="00CC6631" w:rsidRPr="008D1034" w14:paraId="3D493043" w14:textId="77777777" w:rsidTr="00F324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54E76F3" w14:textId="77777777" w:rsidR="00CC6631" w:rsidRPr="008D1034" w:rsidRDefault="00CC6631" w:rsidP="00F3249E">
            <w:pPr>
              <w:rPr>
                <w:b/>
              </w:rPr>
            </w:pPr>
            <w:r w:rsidRPr="008D1034">
              <w:rPr>
                <w:b/>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3E361ED2" w14:textId="77777777" w:rsidR="00CC6631" w:rsidRPr="008D1034" w:rsidRDefault="00CC6631" w:rsidP="00F3249E">
            <w:r w:rsidRPr="008D1034">
              <w:t>Please see the relevant section.</w:t>
            </w:r>
          </w:p>
        </w:tc>
      </w:tr>
    </w:tbl>
    <w:p w14:paraId="3BCD493D" w14:textId="77777777" w:rsidR="00CC6631" w:rsidRPr="008D1034" w:rsidRDefault="00CC6631" w:rsidP="00CC6631"/>
    <w:p w14:paraId="7E20C924" w14:textId="10B5C9DE" w:rsidR="00CC6631" w:rsidRDefault="00CC6631" w:rsidP="00CC6631">
      <w:pPr>
        <w:pStyle w:val="Absatz"/>
        <w:ind w:left="0"/>
      </w:pPr>
    </w:p>
    <w:p w14:paraId="290DF628" w14:textId="77777777" w:rsidR="00CC6631" w:rsidRPr="00B27CB1" w:rsidRDefault="00CC6631" w:rsidP="00CC6631">
      <w:pPr>
        <w:pStyle w:val="Absatz"/>
        <w:ind w:left="0"/>
      </w:pPr>
    </w:p>
    <w:p w14:paraId="7D8E4029" w14:textId="77777777" w:rsidR="000837A9" w:rsidRDefault="000837A9">
      <w:pPr>
        <w:pStyle w:val="Absatz"/>
        <w:sectPr w:rsidR="000837A9">
          <w:headerReference w:type="even"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p w14:paraId="49E18619" w14:textId="354A46E3" w:rsidR="009D0C0B" w:rsidRPr="00B27CB1" w:rsidRDefault="009D0C0B">
      <w:pPr>
        <w:pStyle w:val="Absatz"/>
      </w:pPr>
    </w:p>
    <w:p w14:paraId="6BE23A08" w14:textId="77777777" w:rsidR="009D0C0B" w:rsidRPr="00B27CB1" w:rsidRDefault="00FA480B">
      <w:pPr>
        <w:pStyle w:val="Titre3"/>
        <w:rPr>
          <w:rFonts w:eastAsia="Calibri"/>
          <w:lang w:val="en-GB" w:eastAsia="sv-SE"/>
        </w:rPr>
      </w:pPr>
      <w:bookmarkStart w:id="160" w:name="_Toc87361188"/>
      <w:r w:rsidRPr="00B27CB1">
        <w:rPr>
          <w:lang w:val="en-GB"/>
        </w:rPr>
        <w:t>Physical, chemical and technical properties</w:t>
      </w:r>
      <w:bookmarkEnd w:id="160"/>
      <w:r w:rsidRPr="00B27CB1">
        <w:rPr>
          <w:lang w:val="en-GB"/>
        </w:rPr>
        <w:t xml:space="preserve"> </w:t>
      </w:r>
    </w:p>
    <w:p w14:paraId="60D933A6" w14:textId="50C7E838" w:rsidR="009D0C0B" w:rsidRDefault="009D0C0B">
      <w:pPr>
        <w:spacing w:line="260" w:lineRule="atLeast"/>
        <w:ind w:left="360"/>
        <w:contextualSpacing/>
        <w:rPr>
          <w:rFonts w:eastAsia="Calibri"/>
          <w:lang w:eastAsia="sv-SE"/>
        </w:rPr>
      </w:pPr>
    </w:p>
    <w:p w14:paraId="6C7F86E3" w14:textId="32512CD4" w:rsidR="000837A9" w:rsidRDefault="000837A9" w:rsidP="00E91F85">
      <w:pPr>
        <w:pStyle w:val="Absatz"/>
        <w:ind w:left="0"/>
        <w:jc w:val="both"/>
        <w:rPr>
          <w:rFonts w:ascii="Verdana" w:eastAsia="Calibri" w:hAnsi="Verdana"/>
        </w:rPr>
      </w:pPr>
      <w:r w:rsidRPr="00CC3B6F">
        <w:rPr>
          <w:rFonts w:ascii="Verdana" w:eastAsia="Calibri" w:hAnsi="Verdana"/>
        </w:rPr>
        <w:t xml:space="preserve">Information on </w:t>
      </w:r>
      <w:r>
        <w:rPr>
          <w:rFonts w:ascii="Verdana" w:eastAsia="Calibri" w:hAnsi="Verdana"/>
        </w:rPr>
        <w:t xml:space="preserve">physicochemical data </w:t>
      </w:r>
      <w:r w:rsidRPr="00CC3B6F">
        <w:rPr>
          <w:rFonts w:ascii="Verdana" w:eastAsia="Calibri" w:hAnsi="Verdana"/>
        </w:rPr>
        <w:t>for the biocidal product</w:t>
      </w:r>
      <w:r>
        <w:rPr>
          <w:rFonts w:ascii="Verdana" w:eastAsia="Calibri" w:hAnsi="Verdana"/>
        </w:rPr>
        <w:t xml:space="preserve"> family were submitted in accordance with the technical document CA-Nov14-Doc.5.8 – Final.rev3 </w:t>
      </w:r>
      <w:r>
        <w:rPr>
          <w:rFonts w:ascii="Verdana" w:eastAsia="Calibri" w:hAnsi="Verdana"/>
        </w:rPr>
        <w:fldChar w:fldCharType="begin"/>
      </w:r>
      <w:r>
        <w:rPr>
          <w:rFonts w:ascii="Verdana" w:eastAsia="Calibri" w:hAnsi="Verdana"/>
        </w:rPr>
        <w:instrText xml:space="preserve"> ADDIN ZOTERO_ITEM CSL_CITATION {"citationID":"KeCMHwfD","properties":{"formattedCitation":"(2)","plainCitation":"(2)","noteIndex":0},"citationItems":[{"id":161,"uris":["http://zotero.org/users/5589992/items/VR4SS2Y7"],"uri":["http://zotero.org/users/5589992/items/VR4SS2Y7"],"itemData":{"id":161,"type":"article","title":"Note for guidance. Implementing the new concept of biocidal product families. (CA-Nov14-Doc.5.8-Final.rev3)","author":[{"literal":"European Commission (EC)"}],"issued":{"date-parts":[["2014"]]}}}],"schema":"https://github.com/citation-style-language/schema/raw/master/csl-citation.json"} </w:instrText>
      </w:r>
      <w:r>
        <w:rPr>
          <w:rFonts w:ascii="Verdana" w:eastAsia="Calibri" w:hAnsi="Verdana"/>
        </w:rPr>
        <w:fldChar w:fldCharType="separate"/>
      </w:r>
      <w:r w:rsidRPr="001D704F">
        <w:rPr>
          <w:rFonts w:ascii="Verdana" w:eastAsia="Calibri" w:hAnsi="Verdana"/>
        </w:rPr>
        <w:t>(2)</w:t>
      </w:r>
      <w:r>
        <w:rPr>
          <w:rFonts w:ascii="Verdana" w:eastAsia="Calibri" w:hAnsi="Verdana"/>
        </w:rPr>
        <w:fldChar w:fldCharType="end"/>
      </w:r>
      <w:r>
        <w:rPr>
          <w:rFonts w:ascii="Verdana" w:eastAsia="Calibri" w:hAnsi="Verdana"/>
        </w:rPr>
        <w:t xml:space="preserve">. The assessment and testing strategy are based on the realistic parameters for each Meta-SPC, that means that testing formula is one of the marketing formula of the Meta-SPC or the testing formula is very close in terms of composition of the marketing formula. So studies have been realized for each Meta-SPC and in some cases </w:t>
      </w:r>
      <w:r w:rsidRPr="003F77ED">
        <w:rPr>
          <w:rFonts w:ascii="Verdana" w:eastAsia="Calibri" w:hAnsi="Verdana"/>
          <w:lang w:val="en-US"/>
        </w:rPr>
        <w:t>bridging justification between Meta-SPC is used</w:t>
      </w:r>
      <w:r>
        <w:rPr>
          <w:rFonts w:ascii="Verdana" w:eastAsia="Calibri" w:hAnsi="Verdana"/>
          <w:lang w:val="en-US"/>
        </w:rPr>
        <w:t>.</w:t>
      </w:r>
      <w:r>
        <w:rPr>
          <w:rFonts w:ascii="Verdana" w:eastAsia="Calibri" w:hAnsi="Verdana"/>
        </w:rPr>
        <w:t xml:space="preserve">  </w:t>
      </w:r>
    </w:p>
    <w:p w14:paraId="6F3196E2" w14:textId="6E8BAE5B" w:rsidR="000837A9" w:rsidRDefault="000837A9" w:rsidP="000837A9">
      <w:pPr>
        <w:pStyle w:val="Absatz"/>
        <w:ind w:left="0"/>
        <w:rPr>
          <w:rFonts w:ascii="Verdana" w:eastAsia="Calibri" w:hAnsi="Verdana"/>
        </w:rPr>
      </w:pPr>
    </w:p>
    <w:p w14:paraId="7FACC4CD" w14:textId="77777777" w:rsidR="000837A9" w:rsidRPr="00CC3B6F" w:rsidRDefault="000837A9" w:rsidP="000837A9">
      <w:pPr>
        <w:pStyle w:val="Absatz"/>
        <w:ind w:left="0"/>
        <w:rPr>
          <w:rFonts w:ascii="Verdana" w:eastAsia="Calibri" w:hAnsi="Verdana"/>
        </w:rPr>
      </w:pPr>
    </w:p>
    <w:p w14:paraId="73669AC3" w14:textId="77777777" w:rsidR="000837A9" w:rsidRDefault="000837A9" w:rsidP="000837A9">
      <w:pPr>
        <w:spacing w:line="260" w:lineRule="atLeast"/>
        <w:ind w:left="360"/>
        <w:contextualSpacing/>
        <w:rPr>
          <w:rFonts w:eastAsia="Calibri"/>
          <w:lang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693"/>
        <w:gridCol w:w="3828"/>
      </w:tblGrid>
      <w:tr w:rsidR="000837A9" w:rsidRPr="00ED5798" w14:paraId="7DA04020" w14:textId="77777777" w:rsidTr="00FF3977">
        <w:trPr>
          <w:jc w:val="center"/>
        </w:trPr>
        <w:tc>
          <w:tcPr>
            <w:tcW w:w="2725" w:type="dxa"/>
            <w:vMerge w:val="restart"/>
            <w:shd w:val="clear" w:color="auto" w:fill="auto"/>
            <w:vAlign w:val="center"/>
          </w:tcPr>
          <w:p w14:paraId="424C250C" w14:textId="77777777" w:rsidR="000837A9" w:rsidRPr="00ED5798" w:rsidRDefault="000837A9" w:rsidP="00FF3977">
            <w:pPr>
              <w:spacing w:line="260" w:lineRule="atLeast"/>
              <w:contextualSpacing/>
              <w:jc w:val="center"/>
              <w:rPr>
                <w:rFonts w:eastAsia="Calibri"/>
                <w:lang w:eastAsia="sv-SE"/>
              </w:rPr>
            </w:pPr>
            <w:r w:rsidRPr="00ED5798">
              <w:rPr>
                <w:rFonts w:eastAsia="Calibri"/>
                <w:lang w:eastAsia="sv-SE"/>
              </w:rPr>
              <w:t>Meta SPC</w:t>
            </w:r>
          </w:p>
        </w:tc>
        <w:tc>
          <w:tcPr>
            <w:tcW w:w="6521" w:type="dxa"/>
            <w:gridSpan w:val="2"/>
            <w:shd w:val="clear" w:color="auto" w:fill="auto"/>
            <w:vAlign w:val="center"/>
          </w:tcPr>
          <w:p w14:paraId="7E362116" w14:textId="77777777" w:rsidR="000837A9" w:rsidRPr="00ED5798" w:rsidRDefault="000837A9" w:rsidP="00FF3977">
            <w:pPr>
              <w:spacing w:line="260" w:lineRule="atLeast"/>
              <w:contextualSpacing/>
              <w:jc w:val="center"/>
              <w:rPr>
                <w:rFonts w:eastAsia="Calibri"/>
                <w:lang w:eastAsia="sv-SE"/>
              </w:rPr>
            </w:pPr>
            <w:r w:rsidRPr="00ED5798">
              <w:rPr>
                <w:rFonts w:eastAsia="Calibri"/>
                <w:lang w:eastAsia="sv-SE"/>
              </w:rPr>
              <w:t>Tested formula</w:t>
            </w:r>
          </w:p>
        </w:tc>
      </w:tr>
      <w:tr w:rsidR="000837A9" w:rsidRPr="00ED5798" w14:paraId="6FBC6D2A" w14:textId="77777777" w:rsidTr="00FF3977">
        <w:trPr>
          <w:jc w:val="center"/>
        </w:trPr>
        <w:tc>
          <w:tcPr>
            <w:tcW w:w="2725" w:type="dxa"/>
            <w:vMerge/>
            <w:shd w:val="clear" w:color="auto" w:fill="auto"/>
            <w:vAlign w:val="center"/>
          </w:tcPr>
          <w:p w14:paraId="07C904A3" w14:textId="77777777" w:rsidR="000837A9" w:rsidRPr="00ED5798" w:rsidRDefault="000837A9" w:rsidP="00FF3977">
            <w:pPr>
              <w:spacing w:line="260" w:lineRule="atLeast"/>
              <w:contextualSpacing/>
              <w:jc w:val="center"/>
              <w:rPr>
                <w:rFonts w:eastAsia="Calibri"/>
                <w:lang w:eastAsia="sv-SE"/>
              </w:rPr>
            </w:pPr>
          </w:p>
        </w:tc>
        <w:tc>
          <w:tcPr>
            <w:tcW w:w="2693" w:type="dxa"/>
            <w:shd w:val="clear" w:color="auto" w:fill="auto"/>
            <w:vAlign w:val="center"/>
          </w:tcPr>
          <w:p w14:paraId="45C3A22D" w14:textId="77777777" w:rsidR="000837A9" w:rsidRPr="00ED5798" w:rsidRDefault="000837A9" w:rsidP="00FF3977">
            <w:pPr>
              <w:spacing w:line="260" w:lineRule="atLeast"/>
              <w:contextualSpacing/>
              <w:jc w:val="center"/>
              <w:rPr>
                <w:rFonts w:eastAsia="Calibri"/>
                <w:lang w:eastAsia="sv-SE"/>
              </w:rPr>
            </w:pPr>
            <w:r w:rsidRPr="00ED5798">
              <w:rPr>
                <w:rFonts w:eastAsia="Calibri"/>
                <w:lang w:eastAsia="sv-SE"/>
              </w:rPr>
              <w:t>Product of the Meta SPC</w:t>
            </w:r>
          </w:p>
        </w:tc>
        <w:tc>
          <w:tcPr>
            <w:tcW w:w="3828" w:type="dxa"/>
            <w:shd w:val="clear" w:color="auto" w:fill="auto"/>
            <w:vAlign w:val="center"/>
          </w:tcPr>
          <w:p w14:paraId="7D3184B1" w14:textId="77777777" w:rsidR="000837A9" w:rsidRPr="00ED5798" w:rsidRDefault="000837A9" w:rsidP="00FF3977">
            <w:pPr>
              <w:spacing w:line="260" w:lineRule="atLeast"/>
              <w:contextualSpacing/>
              <w:jc w:val="center"/>
              <w:rPr>
                <w:rFonts w:eastAsia="Calibri"/>
                <w:lang w:eastAsia="sv-SE"/>
              </w:rPr>
            </w:pPr>
            <w:r w:rsidRPr="00ED5798">
              <w:rPr>
                <w:rFonts w:eastAsia="Calibri"/>
              </w:rPr>
              <w:t>Very close in terms of composition</w:t>
            </w:r>
          </w:p>
        </w:tc>
      </w:tr>
      <w:tr w:rsidR="00324B98" w:rsidRPr="00ED5798" w14:paraId="2CDB336E" w14:textId="77777777" w:rsidTr="00FF3977">
        <w:trPr>
          <w:jc w:val="center"/>
        </w:trPr>
        <w:tc>
          <w:tcPr>
            <w:tcW w:w="2725" w:type="dxa"/>
            <w:shd w:val="clear" w:color="auto" w:fill="auto"/>
            <w:vAlign w:val="center"/>
          </w:tcPr>
          <w:p w14:paraId="2AB4CFA2" w14:textId="77777777" w:rsidR="00324B98" w:rsidRPr="00ED5798" w:rsidRDefault="00324B98" w:rsidP="00324B98">
            <w:pPr>
              <w:spacing w:line="260" w:lineRule="atLeast"/>
              <w:contextualSpacing/>
              <w:rPr>
                <w:rFonts w:eastAsia="Calibri"/>
                <w:lang w:eastAsia="sv-SE"/>
              </w:rPr>
            </w:pPr>
            <w:r w:rsidRPr="00ED5798">
              <w:rPr>
                <w:rFonts w:eastAsia="Calibri"/>
                <w:lang w:eastAsia="sv-SE"/>
              </w:rPr>
              <w:t>Meta SPC 1 (2 products)</w:t>
            </w:r>
          </w:p>
        </w:tc>
        <w:tc>
          <w:tcPr>
            <w:tcW w:w="2693" w:type="dxa"/>
            <w:shd w:val="clear" w:color="auto" w:fill="auto"/>
            <w:vAlign w:val="center"/>
          </w:tcPr>
          <w:p w14:paraId="758E3890"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6C1CEDC9" w14:textId="2A0924EB"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A46573">
              <w:rPr>
                <w:color w:val="000000"/>
              </w:rPr>
              <w:t>218087-P1</w:t>
            </w:r>
            <w:r>
              <w:rPr>
                <w:color w:val="000000"/>
              </w:rPr>
              <w:t>)</w:t>
            </w:r>
          </w:p>
        </w:tc>
      </w:tr>
      <w:tr w:rsidR="00324B98" w:rsidRPr="00ED5798" w14:paraId="49A85C90" w14:textId="77777777" w:rsidTr="00FF3977">
        <w:trPr>
          <w:jc w:val="center"/>
        </w:trPr>
        <w:tc>
          <w:tcPr>
            <w:tcW w:w="2725" w:type="dxa"/>
            <w:shd w:val="clear" w:color="auto" w:fill="auto"/>
            <w:vAlign w:val="center"/>
          </w:tcPr>
          <w:p w14:paraId="7050BCBA" w14:textId="77777777" w:rsidR="00324B98" w:rsidRPr="00ED5798" w:rsidRDefault="00324B98" w:rsidP="00324B98">
            <w:pPr>
              <w:spacing w:line="260" w:lineRule="atLeast"/>
              <w:contextualSpacing/>
              <w:rPr>
                <w:rFonts w:eastAsia="Calibri"/>
                <w:lang w:eastAsia="sv-SE"/>
              </w:rPr>
            </w:pPr>
            <w:r w:rsidRPr="00ED5798">
              <w:rPr>
                <w:rFonts w:eastAsia="Calibri"/>
                <w:lang w:eastAsia="sv-SE"/>
              </w:rPr>
              <w:t>Meta SPC 2 (2 products)</w:t>
            </w:r>
          </w:p>
        </w:tc>
        <w:tc>
          <w:tcPr>
            <w:tcW w:w="2693" w:type="dxa"/>
            <w:shd w:val="clear" w:color="auto" w:fill="auto"/>
            <w:vAlign w:val="center"/>
          </w:tcPr>
          <w:p w14:paraId="64652D7E"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188F39C8" w14:textId="6AB0916F"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600059">
              <w:rPr>
                <w:color w:val="000000"/>
              </w:rPr>
              <w:t>218221-P2</w:t>
            </w:r>
            <w:r>
              <w:rPr>
                <w:color w:val="000000"/>
              </w:rPr>
              <w:t>)</w:t>
            </w:r>
          </w:p>
        </w:tc>
      </w:tr>
      <w:tr w:rsidR="00324B98" w:rsidRPr="00ED5798" w14:paraId="52CCF7F2" w14:textId="77777777" w:rsidTr="00FF3977">
        <w:trPr>
          <w:jc w:val="center"/>
        </w:trPr>
        <w:tc>
          <w:tcPr>
            <w:tcW w:w="2725" w:type="dxa"/>
            <w:shd w:val="clear" w:color="auto" w:fill="auto"/>
            <w:vAlign w:val="center"/>
          </w:tcPr>
          <w:p w14:paraId="5AF3CEE9" w14:textId="77777777" w:rsidR="00324B98" w:rsidRPr="00ED5798" w:rsidRDefault="00324B98" w:rsidP="00324B98">
            <w:pPr>
              <w:spacing w:line="260" w:lineRule="atLeast"/>
              <w:contextualSpacing/>
              <w:rPr>
                <w:rFonts w:eastAsia="Calibri"/>
                <w:lang w:eastAsia="sv-SE"/>
              </w:rPr>
            </w:pPr>
            <w:r w:rsidRPr="00ED5798">
              <w:rPr>
                <w:rFonts w:eastAsia="Calibri"/>
                <w:lang w:eastAsia="sv-SE"/>
              </w:rPr>
              <w:t>Meta SPC 3 (1 product)</w:t>
            </w:r>
          </w:p>
        </w:tc>
        <w:tc>
          <w:tcPr>
            <w:tcW w:w="2693" w:type="dxa"/>
            <w:shd w:val="clear" w:color="auto" w:fill="auto"/>
            <w:vAlign w:val="center"/>
          </w:tcPr>
          <w:p w14:paraId="5655AF3D"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303094E6" w14:textId="2721AAD0"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2625B4">
              <w:rPr>
                <w:rFonts w:eastAsia="Calibri"/>
                <w:lang w:eastAsia="sv-SE"/>
              </w:rPr>
              <w:t>218242-P1</w:t>
            </w:r>
            <w:r>
              <w:rPr>
                <w:rFonts w:eastAsia="Calibri"/>
                <w:lang w:eastAsia="sv-SE"/>
              </w:rPr>
              <w:t>)</w:t>
            </w:r>
          </w:p>
        </w:tc>
      </w:tr>
      <w:tr w:rsidR="00324B98" w:rsidRPr="00ED5798" w14:paraId="6793C923" w14:textId="77777777" w:rsidTr="00FF3977">
        <w:trPr>
          <w:jc w:val="center"/>
        </w:trPr>
        <w:tc>
          <w:tcPr>
            <w:tcW w:w="2725" w:type="dxa"/>
            <w:shd w:val="clear" w:color="auto" w:fill="auto"/>
            <w:vAlign w:val="center"/>
          </w:tcPr>
          <w:p w14:paraId="1C50E831" w14:textId="77777777" w:rsidR="00324B98" w:rsidRPr="00ED5798" w:rsidRDefault="00324B98" w:rsidP="00324B98">
            <w:pPr>
              <w:spacing w:line="260" w:lineRule="atLeast"/>
              <w:contextualSpacing/>
              <w:rPr>
                <w:rFonts w:eastAsia="Calibri"/>
                <w:lang w:eastAsia="sv-SE"/>
              </w:rPr>
            </w:pPr>
            <w:r w:rsidRPr="00ED5798">
              <w:rPr>
                <w:rFonts w:eastAsia="Calibri"/>
                <w:lang w:eastAsia="sv-SE"/>
              </w:rPr>
              <w:t>Meta SPC 4 (1 product)</w:t>
            </w:r>
          </w:p>
        </w:tc>
        <w:tc>
          <w:tcPr>
            <w:tcW w:w="2693" w:type="dxa"/>
            <w:shd w:val="clear" w:color="auto" w:fill="auto"/>
            <w:vAlign w:val="center"/>
          </w:tcPr>
          <w:p w14:paraId="66E85B24" w14:textId="77777777"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218114-B3</w:t>
            </w:r>
          </w:p>
        </w:tc>
        <w:tc>
          <w:tcPr>
            <w:tcW w:w="3828" w:type="dxa"/>
            <w:shd w:val="clear" w:color="auto" w:fill="auto"/>
            <w:vAlign w:val="center"/>
          </w:tcPr>
          <w:p w14:paraId="7AFD6EE2" w14:textId="77777777" w:rsidR="00324B98" w:rsidRPr="00ED5798" w:rsidRDefault="00324B98" w:rsidP="00324B98">
            <w:pPr>
              <w:spacing w:line="260" w:lineRule="atLeast"/>
              <w:contextualSpacing/>
              <w:jc w:val="center"/>
              <w:rPr>
                <w:rFonts w:eastAsia="Calibri"/>
                <w:lang w:eastAsia="sv-SE"/>
              </w:rPr>
            </w:pPr>
          </w:p>
        </w:tc>
      </w:tr>
      <w:tr w:rsidR="00324B98" w:rsidRPr="00ED5798" w14:paraId="562B4ACD" w14:textId="77777777" w:rsidTr="00FF3977">
        <w:trPr>
          <w:jc w:val="center"/>
        </w:trPr>
        <w:tc>
          <w:tcPr>
            <w:tcW w:w="2725" w:type="dxa"/>
            <w:shd w:val="clear" w:color="auto" w:fill="auto"/>
            <w:vAlign w:val="center"/>
          </w:tcPr>
          <w:p w14:paraId="2B98396E" w14:textId="4A28014D" w:rsidR="00324B98" w:rsidRPr="00ED5798" w:rsidRDefault="00324B98" w:rsidP="00324B98">
            <w:pPr>
              <w:spacing w:line="260" w:lineRule="atLeast"/>
              <w:contextualSpacing/>
              <w:rPr>
                <w:rFonts w:eastAsia="Calibri"/>
                <w:lang w:eastAsia="sv-SE"/>
              </w:rPr>
            </w:pPr>
            <w:r w:rsidRPr="00ED5798">
              <w:rPr>
                <w:rFonts w:eastAsia="Calibri"/>
                <w:lang w:eastAsia="sv-SE"/>
              </w:rPr>
              <w:t>Meta SPC 6 (4 products)</w:t>
            </w:r>
          </w:p>
        </w:tc>
        <w:tc>
          <w:tcPr>
            <w:tcW w:w="2693" w:type="dxa"/>
            <w:shd w:val="clear" w:color="auto" w:fill="auto"/>
            <w:vAlign w:val="center"/>
          </w:tcPr>
          <w:p w14:paraId="09DFF227"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6F5976B1" w14:textId="7ABD45B4"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547D14">
              <w:rPr>
                <w:rFonts w:eastAsia="Calibri"/>
              </w:rPr>
              <w:t>218228-P1</w:t>
            </w:r>
            <w:r>
              <w:rPr>
                <w:rFonts w:eastAsia="Calibri"/>
              </w:rPr>
              <w:t>)</w:t>
            </w:r>
          </w:p>
        </w:tc>
      </w:tr>
      <w:tr w:rsidR="00324B98" w:rsidRPr="00ED5798" w14:paraId="7650B372" w14:textId="77777777" w:rsidTr="00FF3977">
        <w:trPr>
          <w:jc w:val="center"/>
        </w:trPr>
        <w:tc>
          <w:tcPr>
            <w:tcW w:w="2725" w:type="dxa"/>
            <w:shd w:val="clear" w:color="auto" w:fill="auto"/>
            <w:vAlign w:val="center"/>
          </w:tcPr>
          <w:p w14:paraId="55E186E5" w14:textId="7674D286" w:rsidR="00324B98" w:rsidRPr="00ED5798" w:rsidRDefault="00324B98" w:rsidP="00324B98">
            <w:pPr>
              <w:spacing w:line="260" w:lineRule="atLeast"/>
              <w:contextualSpacing/>
              <w:rPr>
                <w:rFonts w:eastAsia="Calibri"/>
                <w:lang w:eastAsia="sv-SE"/>
              </w:rPr>
            </w:pPr>
            <w:r w:rsidRPr="00ED5798">
              <w:rPr>
                <w:rFonts w:eastAsia="Calibri"/>
                <w:lang w:eastAsia="sv-SE"/>
              </w:rPr>
              <w:t>Meta SPC 7 (2 products)</w:t>
            </w:r>
          </w:p>
        </w:tc>
        <w:tc>
          <w:tcPr>
            <w:tcW w:w="2693" w:type="dxa"/>
            <w:shd w:val="clear" w:color="auto" w:fill="auto"/>
            <w:vAlign w:val="center"/>
          </w:tcPr>
          <w:p w14:paraId="4800D2A9"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629E8492" w14:textId="30B04C88"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2625B4">
              <w:rPr>
                <w:rFonts w:eastAsia="Calibri"/>
                <w:lang w:eastAsia="sv-SE"/>
              </w:rPr>
              <w:t>218291-P3</w:t>
            </w:r>
            <w:r>
              <w:rPr>
                <w:rFonts w:eastAsia="Calibri"/>
                <w:lang w:eastAsia="sv-SE"/>
              </w:rPr>
              <w:t>)</w:t>
            </w:r>
          </w:p>
        </w:tc>
      </w:tr>
      <w:tr w:rsidR="00324B98" w:rsidRPr="00ED5798" w14:paraId="15C956F1" w14:textId="77777777" w:rsidTr="00FF3977">
        <w:trPr>
          <w:jc w:val="center"/>
        </w:trPr>
        <w:tc>
          <w:tcPr>
            <w:tcW w:w="2725" w:type="dxa"/>
            <w:shd w:val="clear" w:color="auto" w:fill="auto"/>
            <w:vAlign w:val="center"/>
          </w:tcPr>
          <w:p w14:paraId="11011786" w14:textId="5189DB56" w:rsidR="00324B98" w:rsidRPr="00ED5798" w:rsidRDefault="00324B98" w:rsidP="00324B98">
            <w:pPr>
              <w:spacing w:line="260" w:lineRule="atLeast"/>
              <w:contextualSpacing/>
              <w:rPr>
                <w:rFonts w:eastAsia="Calibri"/>
                <w:lang w:eastAsia="sv-SE"/>
              </w:rPr>
            </w:pPr>
            <w:r w:rsidRPr="00ED5798">
              <w:rPr>
                <w:rFonts w:eastAsia="Calibri"/>
                <w:lang w:eastAsia="sv-SE"/>
              </w:rPr>
              <w:t>Meta SPC 8 (1 product)</w:t>
            </w:r>
          </w:p>
        </w:tc>
        <w:tc>
          <w:tcPr>
            <w:tcW w:w="2693" w:type="dxa"/>
            <w:shd w:val="clear" w:color="auto" w:fill="auto"/>
            <w:vAlign w:val="center"/>
          </w:tcPr>
          <w:p w14:paraId="71F033F0"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27056A3C" w14:textId="59634CE5"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2625B4">
              <w:rPr>
                <w:rFonts w:eastAsia="Calibri"/>
                <w:lang w:eastAsia="sv-SE"/>
              </w:rPr>
              <w:t>218282-P1</w:t>
            </w:r>
            <w:r>
              <w:rPr>
                <w:rFonts w:eastAsia="Calibri"/>
                <w:lang w:eastAsia="sv-SE"/>
              </w:rPr>
              <w:t>)</w:t>
            </w:r>
          </w:p>
        </w:tc>
      </w:tr>
      <w:tr w:rsidR="00324B98" w:rsidRPr="00ED5798" w14:paraId="4C08C87D" w14:textId="77777777" w:rsidTr="00FF3977">
        <w:trPr>
          <w:jc w:val="center"/>
        </w:trPr>
        <w:tc>
          <w:tcPr>
            <w:tcW w:w="2725" w:type="dxa"/>
            <w:shd w:val="clear" w:color="auto" w:fill="auto"/>
            <w:vAlign w:val="center"/>
          </w:tcPr>
          <w:p w14:paraId="6819188A" w14:textId="259ED522" w:rsidR="00324B98" w:rsidRPr="00ED5798" w:rsidRDefault="00324B98" w:rsidP="00324B98">
            <w:pPr>
              <w:spacing w:line="260" w:lineRule="atLeast"/>
              <w:contextualSpacing/>
              <w:rPr>
                <w:rFonts w:eastAsia="Calibri"/>
                <w:lang w:eastAsia="sv-SE"/>
              </w:rPr>
            </w:pPr>
            <w:r w:rsidRPr="00ED5798">
              <w:rPr>
                <w:rFonts w:eastAsia="Calibri"/>
                <w:lang w:eastAsia="sv-SE"/>
              </w:rPr>
              <w:t>Meta SPC 9 (1 product)</w:t>
            </w:r>
          </w:p>
        </w:tc>
        <w:tc>
          <w:tcPr>
            <w:tcW w:w="2693" w:type="dxa"/>
            <w:shd w:val="clear" w:color="auto" w:fill="auto"/>
            <w:vAlign w:val="center"/>
          </w:tcPr>
          <w:p w14:paraId="25CF60CB" w14:textId="77777777"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218284-V1</w:t>
            </w:r>
          </w:p>
        </w:tc>
        <w:tc>
          <w:tcPr>
            <w:tcW w:w="3828" w:type="dxa"/>
            <w:shd w:val="clear" w:color="auto" w:fill="auto"/>
            <w:vAlign w:val="center"/>
          </w:tcPr>
          <w:p w14:paraId="1FC10C7D" w14:textId="7A54E33F" w:rsidR="00324B98" w:rsidRPr="00ED5798" w:rsidRDefault="00324B98" w:rsidP="00324B98">
            <w:pPr>
              <w:spacing w:line="260" w:lineRule="atLeast"/>
              <w:contextualSpacing/>
              <w:jc w:val="center"/>
              <w:rPr>
                <w:rFonts w:eastAsia="Calibri"/>
                <w:lang w:eastAsia="sv-SE"/>
              </w:rPr>
            </w:pPr>
          </w:p>
        </w:tc>
      </w:tr>
      <w:tr w:rsidR="00324B98" w:rsidRPr="00ED5798" w14:paraId="7EE85B36" w14:textId="77777777" w:rsidTr="00FF3977">
        <w:trPr>
          <w:jc w:val="center"/>
        </w:trPr>
        <w:tc>
          <w:tcPr>
            <w:tcW w:w="2725" w:type="dxa"/>
            <w:shd w:val="clear" w:color="auto" w:fill="auto"/>
            <w:vAlign w:val="center"/>
          </w:tcPr>
          <w:p w14:paraId="08003C47" w14:textId="68C22010" w:rsidR="00324B98" w:rsidRPr="00ED5798" w:rsidRDefault="00324B98" w:rsidP="00324B98">
            <w:pPr>
              <w:spacing w:line="260" w:lineRule="atLeast"/>
              <w:contextualSpacing/>
              <w:rPr>
                <w:rFonts w:eastAsia="Calibri"/>
                <w:lang w:eastAsia="sv-SE"/>
              </w:rPr>
            </w:pPr>
            <w:r w:rsidRPr="00ED5798">
              <w:rPr>
                <w:rFonts w:eastAsia="Calibri"/>
                <w:lang w:eastAsia="sv-SE"/>
              </w:rPr>
              <w:t>Meta SPC 10 (1 product)</w:t>
            </w:r>
          </w:p>
        </w:tc>
        <w:tc>
          <w:tcPr>
            <w:tcW w:w="2693" w:type="dxa"/>
            <w:shd w:val="clear" w:color="auto" w:fill="auto"/>
            <w:vAlign w:val="center"/>
          </w:tcPr>
          <w:p w14:paraId="0C15339B" w14:textId="77777777"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218291-V1</w:t>
            </w:r>
          </w:p>
        </w:tc>
        <w:tc>
          <w:tcPr>
            <w:tcW w:w="3828" w:type="dxa"/>
            <w:shd w:val="clear" w:color="auto" w:fill="auto"/>
            <w:vAlign w:val="center"/>
          </w:tcPr>
          <w:p w14:paraId="2469838C" w14:textId="1FED2C1D" w:rsidR="00324B98" w:rsidRPr="00ED5798" w:rsidRDefault="00324B98" w:rsidP="00324B98">
            <w:pPr>
              <w:spacing w:line="260" w:lineRule="atLeast"/>
              <w:contextualSpacing/>
              <w:jc w:val="center"/>
              <w:rPr>
                <w:rFonts w:eastAsia="Calibri"/>
                <w:lang w:eastAsia="sv-SE"/>
              </w:rPr>
            </w:pPr>
          </w:p>
        </w:tc>
      </w:tr>
      <w:tr w:rsidR="00324B98" w:rsidRPr="00ED5798" w14:paraId="019CFF71" w14:textId="77777777" w:rsidTr="00FF3977">
        <w:trPr>
          <w:jc w:val="center"/>
        </w:trPr>
        <w:tc>
          <w:tcPr>
            <w:tcW w:w="2725" w:type="dxa"/>
            <w:shd w:val="clear" w:color="auto" w:fill="auto"/>
            <w:vAlign w:val="center"/>
          </w:tcPr>
          <w:p w14:paraId="33002027" w14:textId="0FCBFE73" w:rsidR="00324B98" w:rsidRPr="00ED5798" w:rsidRDefault="00324B98" w:rsidP="00324B98">
            <w:pPr>
              <w:spacing w:line="260" w:lineRule="atLeast"/>
              <w:contextualSpacing/>
              <w:rPr>
                <w:rFonts w:eastAsia="Calibri"/>
                <w:lang w:eastAsia="sv-SE"/>
              </w:rPr>
            </w:pPr>
            <w:r w:rsidRPr="00ED5798">
              <w:rPr>
                <w:rFonts w:eastAsia="Calibri"/>
                <w:lang w:eastAsia="sv-SE"/>
              </w:rPr>
              <w:t>Meta SPC 11 (1 product)</w:t>
            </w:r>
          </w:p>
        </w:tc>
        <w:tc>
          <w:tcPr>
            <w:tcW w:w="2693" w:type="dxa"/>
            <w:shd w:val="clear" w:color="auto" w:fill="auto"/>
            <w:vAlign w:val="center"/>
          </w:tcPr>
          <w:p w14:paraId="26DE439F"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37D5013B" w14:textId="07A42E60" w:rsidR="00324B98" w:rsidRPr="00ED5798" w:rsidRDefault="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2625B4">
              <w:rPr>
                <w:rFonts w:eastAsia="Calibri"/>
                <w:lang w:eastAsia="sv-SE"/>
              </w:rPr>
              <w:t>218255-P1</w:t>
            </w:r>
            <w:r>
              <w:rPr>
                <w:rFonts w:eastAsia="Calibri"/>
                <w:lang w:eastAsia="sv-SE"/>
              </w:rPr>
              <w:t>)</w:t>
            </w:r>
          </w:p>
        </w:tc>
      </w:tr>
      <w:tr w:rsidR="00324B98" w:rsidRPr="00ED5798" w14:paraId="7F6218BC" w14:textId="77777777" w:rsidTr="00FF3977">
        <w:trPr>
          <w:jc w:val="center"/>
        </w:trPr>
        <w:tc>
          <w:tcPr>
            <w:tcW w:w="2725" w:type="dxa"/>
            <w:shd w:val="clear" w:color="auto" w:fill="auto"/>
            <w:vAlign w:val="center"/>
          </w:tcPr>
          <w:p w14:paraId="7F003EB4" w14:textId="0EE7495C" w:rsidR="00324B98" w:rsidRPr="00ED5798" w:rsidRDefault="00324B98" w:rsidP="00324B98">
            <w:pPr>
              <w:spacing w:line="260" w:lineRule="atLeast"/>
              <w:contextualSpacing/>
              <w:rPr>
                <w:rFonts w:eastAsia="Calibri"/>
                <w:lang w:eastAsia="sv-SE"/>
              </w:rPr>
            </w:pPr>
            <w:r w:rsidRPr="00ED5798">
              <w:rPr>
                <w:rFonts w:eastAsia="Calibri"/>
                <w:lang w:eastAsia="sv-SE"/>
              </w:rPr>
              <w:t>Meta SPC 12 (1 product)</w:t>
            </w:r>
          </w:p>
        </w:tc>
        <w:tc>
          <w:tcPr>
            <w:tcW w:w="2693" w:type="dxa"/>
            <w:shd w:val="clear" w:color="auto" w:fill="auto"/>
            <w:vAlign w:val="center"/>
          </w:tcPr>
          <w:p w14:paraId="4772897C" w14:textId="77777777" w:rsidR="00324B98" w:rsidRPr="00ED5798" w:rsidRDefault="00324B98" w:rsidP="00324B98">
            <w:pPr>
              <w:spacing w:line="260" w:lineRule="atLeast"/>
              <w:contextualSpacing/>
              <w:jc w:val="center"/>
              <w:rPr>
                <w:rFonts w:eastAsia="Calibri"/>
                <w:lang w:eastAsia="sv-SE"/>
              </w:rPr>
            </w:pPr>
          </w:p>
        </w:tc>
        <w:tc>
          <w:tcPr>
            <w:tcW w:w="3828" w:type="dxa"/>
            <w:shd w:val="clear" w:color="auto" w:fill="auto"/>
            <w:vAlign w:val="center"/>
          </w:tcPr>
          <w:p w14:paraId="10113670" w14:textId="754FBBDF"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X</w:t>
            </w:r>
            <w:r>
              <w:rPr>
                <w:rFonts w:eastAsia="Calibri"/>
                <w:lang w:eastAsia="sv-SE"/>
              </w:rPr>
              <w:t xml:space="preserve"> (</w:t>
            </w:r>
            <w:r w:rsidRPr="002625B4">
              <w:rPr>
                <w:rFonts w:eastAsia="Calibri"/>
                <w:lang w:eastAsia="sv-SE"/>
              </w:rPr>
              <w:t>218282-P1</w:t>
            </w:r>
            <w:r>
              <w:rPr>
                <w:rFonts w:eastAsia="Calibri"/>
                <w:lang w:eastAsia="sv-SE"/>
              </w:rPr>
              <w:t>)</w:t>
            </w:r>
          </w:p>
        </w:tc>
      </w:tr>
      <w:tr w:rsidR="00324B98" w:rsidRPr="00ED5798" w14:paraId="528BDED0" w14:textId="77777777" w:rsidTr="00FF3977">
        <w:trPr>
          <w:jc w:val="center"/>
        </w:trPr>
        <w:tc>
          <w:tcPr>
            <w:tcW w:w="2725" w:type="dxa"/>
            <w:shd w:val="clear" w:color="auto" w:fill="auto"/>
            <w:vAlign w:val="center"/>
          </w:tcPr>
          <w:p w14:paraId="715BF162" w14:textId="450BEB53" w:rsidR="00324B98" w:rsidRPr="00ED5798" w:rsidRDefault="00324B98" w:rsidP="00324B98">
            <w:pPr>
              <w:spacing w:line="260" w:lineRule="atLeast"/>
              <w:contextualSpacing/>
              <w:rPr>
                <w:rFonts w:eastAsia="Calibri"/>
                <w:lang w:eastAsia="sv-SE"/>
              </w:rPr>
            </w:pPr>
            <w:r w:rsidRPr="00ED5798">
              <w:rPr>
                <w:rFonts w:eastAsia="Calibri"/>
                <w:lang w:eastAsia="sv-SE"/>
              </w:rPr>
              <w:t>Meta SPC 13 (1 product)</w:t>
            </w:r>
          </w:p>
        </w:tc>
        <w:tc>
          <w:tcPr>
            <w:tcW w:w="2693" w:type="dxa"/>
            <w:shd w:val="clear" w:color="auto" w:fill="auto"/>
            <w:vAlign w:val="center"/>
          </w:tcPr>
          <w:p w14:paraId="6F483E00" w14:textId="77777777" w:rsidR="00324B98" w:rsidRPr="00ED5798" w:rsidRDefault="00324B98" w:rsidP="00324B98">
            <w:pPr>
              <w:spacing w:line="260" w:lineRule="atLeast"/>
              <w:contextualSpacing/>
              <w:jc w:val="center"/>
              <w:rPr>
                <w:rFonts w:eastAsia="Calibri"/>
                <w:lang w:eastAsia="sv-SE"/>
              </w:rPr>
            </w:pPr>
            <w:r w:rsidRPr="00ED5798">
              <w:rPr>
                <w:rFonts w:eastAsia="Calibri"/>
                <w:lang w:eastAsia="sv-SE"/>
              </w:rPr>
              <w:t>218285-V1</w:t>
            </w:r>
          </w:p>
        </w:tc>
        <w:tc>
          <w:tcPr>
            <w:tcW w:w="3828" w:type="dxa"/>
            <w:shd w:val="clear" w:color="auto" w:fill="auto"/>
            <w:vAlign w:val="center"/>
          </w:tcPr>
          <w:p w14:paraId="417F7A84" w14:textId="0B5488AC" w:rsidR="00324B98" w:rsidRPr="00ED5798" w:rsidRDefault="00324B98" w:rsidP="00324B98">
            <w:pPr>
              <w:spacing w:line="260" w:lineRule="atLeast"/>
              <w:contextualSpacing/>
              <w:jc w:val="center"/>
              <w:rPr>
                <w:rFonts w:eastAsia="Calibri"/>
                <w:lang w:eastAsia="sv-SE"/>
              </w:rPr>
            </w:pPr>
          </w:p>
        </w:tc>
      </w:tr>
    </w:tbl>
    <w:p w14:paraId="5AEFA8A1" w14:textId="23E0AFB9" w:rsidR="000837A9" w:rsidRDefault="000837A9" w:rsidP="000837A9">
      <w:pPr>
        <w:spacing w:line="260" w:lineRule="atLeast"/>
        <w:ind w:left="360"/>
        <w:contextualSpacing/>
        <w:rPr>
          <w:rFonts w:eastAsia="Calibri"/>
          <w:lang w:eastAsia="sv-SE"/>
        </w:rPr>
      </w:pPr>
    </w:p>
    <w:p w14:paraId="7DC20EAA" w14:textId="0639ED71" w:rsidR="000837A9" w:rsidRDefault="000837A9" w:rsidP="000837A9">
      <w:pPr>
        <w:spacing w:line="260" w:lineRule="atLeast"/>
        <w:ind w:left="360"/>
        <w:contextualSpacing/>
        <w:rPr>
          <w:rFonts w:eastAsia="Calibri"/>
          <w:lang w:eastAsia="sv-SE"/>
        </w:rPr>
      </w:pPr>
    </w:p>
    <w:p w14:paraId="7756CAA9" w14:textId="74CF9EC9" w:rsidR="000837A9" w:rsidRDefault="000837A9" w:rsidP="000837A9">
      <w:pPr>
        <w:spacing w:line="260" w:lineRule="atLeast"/>
        <w:ind w:left="360"/>
        <w:contextualSpacing/>
        <w:rPr>
          <w:rFonts w:eastAsia="Calibri"/>
          <w:lang w:eastAsia="sv-SE"/>
        </w:rPr>
      </w:pPr>
    </w:p>
    <w:p w14:paraId="5C0B7AF5" w14:textId="5661087C" w:rsidR="000837A9" w:rsidRDefault="000837A9" w:rsidP="000837A9">
      <w:pPr>
        <w:spacing w:line="260" w:lineRule="atLeast"/>
        <w:ind w:left="360"/>
        <w:contextualSpacing/>
        <w:rPr>
          <w:rFonts w:eastAsia="Calibri"/>
          <w:lang w:eastAsia="sv-SE"/>
        </w:rPr>
      </w:pPr>
    </w:p>
    <w:p w14:paraId="638F5B61" w14:textId="7A1291AB" w:rsidR="000837A9" w:rsidRDefault="000837A9" w:rsidP="000837A9">
      <w:pPr>
        <w:spacing w:line="260" w:lineRule="atLeast"/>
        <w:ind w:left="360"/>
        <w:contextualSpacing/>
        <w:rPr>
          <w:rFonts w:eastAsia="Calibri"/>
          <w:lang w:eastAsia="sv-SE"/>
        </w:rPr>
      </w:pPr>
    </w:p>
    <w:p w14:paraId="356B4C93" w14:textId="5633A291" w:rsidR="000837A9" w:rsidRDefault="000837A9" w:rsidP="000837A9">
      <w:pPr>
        <w:spacing w:line="260" w:lineRule="atLeast"/>
        <w:ind w:left="360"/>
        <w:contextualSpacing/>
        <w:rPr>
          <w:rFonts w:eastAsia="Calibri"/>
          <w:lang w:eastAsia="sv-SE"/>
        </w:rPr>
      </w:pPr>
    </w:p>
    <w:p w14:paraId="15F08226" w14:textId="1AA09902" w:rsidR="000837A9" w:rsidRDefault="000837A9" w:rsidP="000837A9">
      <w:pPr>
        <w:spacing w:line="260" w:lineRule="atLeast"/>
        <w:ind w:left="360"/>
        <w:contextualSpacing/>
        <w:rPr>
          <w:rFonts w:eastAsia="Calibri"/>
          <w:lang w:eastAsia="sv-SE"/>
        </w:rPr>
      </w:pPr>
    </w:p>
    <w:p w14:paraId="2D171C8D" w14:textId="1A50818E" w:rsidR="000837A9" w:rsidRDefault="000837A9" w:rsidP="000837A9">
      <w:pPr>
        <w:spacing w:line="260" w:lineRule="atLeast"/>
        <w:ind w:left="360"/>
        <w:contextualSpacing/>
        <w:rPr>
          <w:rFonts w:eastAsia="Calibri"/>
          <w:lang w:eastAsia="sv-SE"/>
        </w:rPr>
      </w:pPr>
    </w:p>
    <w:p w14:paraId="4C770B61" w14:textId="77777777" w:rsidR="000837A9" w:rsidRDefault="000837A9" w:rsidP="000837A9">
      <w:pPr>
        <w:spacing w:line="260" w:lineRule="atLeast"/>
        <w:ind w:left="360"/>
        <w:contextualSpacing/>
        <w:rPr>
          <w:rFonts w:eastAsia="Calibri"/>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1602"/>
        <w:gridCol w:w="1212"/>
        <w:gridCol w:w="4616"/>
        <w:gridCol w:w="1207"/>
        <w:gridCol w:w="1384"/>
      </w:tblGrid>
      <w:tr w:rsidR="000837A9" w:rsidRPr="00A411E7" w14:paraId="11374C87" w14:textId="77777777" w:rsidTr="00FF3977">
        <w:trPr>
          <w:tblHeader/>
        </w:trPr>
        <w:tc>
          <w:tcPr>
            <w:tcW w:w="0" w:type="auto"/>
            <w:gridSpan w:val="5"/>
            <w:shd w:val="clear" w:color="auto" w:fill="E0E0E0"/>
            <w:vAlign w:val="center"/>
          </w:tcPr>
          <w:p w14:paraId="42DF1F96" w14:textId="2277AC98" w:rsidR="000837A9" w:rsidRPr="00305B11" w:rsidRDefault="000837A9" w:rsidP="00FF3977">
            <w:pPr>
              <w:spacing w:line="260" w:lineRule="atLeast"/>
              <w:rPr>
                <w:rFonts w:eastAsia="Calibri"/>
                <w:b/>
                <w:lang w:eastAsia="en-US"/>
              </w:rPr>
            </w:pPr>
            <w:r>
              <w:rPr>
                <w:rFonts w:eastAsia="Calibri"/>
                <w:b/>
                <w:lang w:eastAsia="en-US"/>
              </w:rPr>
              <w:lastRenderedPageBreak/>
              <w:t>Meta-SPC 1 ( AL – ready to use)</w:t>
            </w:r>
            <w:r w:rsidR="008101B2">
              <w:rPr>
                <w:rFonts w:eastAsia="Calibri"/>
                <w:b/>
                <w:lang w:eastAsia="en-US"/>
              </w:rPr>
              <w:t xml:space="preserve"> Packaging: trigger sprays with foam nozzle / bottles</w:t>
            </w:r>
          </w:p>
        </w:tc>
        <w:tc>
          <w:tcPr>
            <w:tcW w:w="0" w:type="auto"/>
            <w:shd w:val="clear" w:color="auto" w:fill="E0E0E0"/>
          </w:tcPr>
          <w:p w14:paraId="04CB959D" w14:textId="77777777" w:rsidR="000837A9" w:rsidRDefault="000837A9" w:rsidP="00FF3977">
            <w:pPr>
              <w:spacing w:line="260" w:lineRule="atLeast"/>
              <w:rPr>
                <w:rFonts w:eastAsia="Calibri"/>
                <w:b/>
                <w:lang w:eastAsia="en-US"/>
              </w:rPr>
            </w:pPr>
          </w:p>
        </w:tc>
      </w:tr>
      <w:tr w:rsidR="000837A9" w:rsidRPr="00A411E7" w14:paraId="70F90387" w14:textId="77777777" w:rsidTr="00FF3977">
        <w:trPr>
          <w:tblHeader/>
        </w:trPr>
        <w:tc>
          <w:tcPr>
            <w:tcW w:w="0" w:type="auto"/>
            <w:shd w:val="clear" w:color="auto" w:fill="E0E0E0"/>
            <w:vAlign w:val="center"/>
          </w:tcPr>
          <w:p w14:paraId="117F9C21" w14:textId="77777777" w:rsidR="000837A9" w:rsidRPr="00F24D0D" w:rsidRDefault="000837A9" w:rsidP="00FF3977">
            <w:pPr>
              <w:spacing w:line="260" w:lineRule="atLeast"/>
              <w:rPr>
                <w:rFonts w:eastAsia="Calibri"/>
                <w:b/>
                <w:lang w:eastAsia="en-US"/>
              </w:rPr>
            </w:pPr>
            <w:r w:rsidRPr="00F24D0D">
              <w:rPr>
                <w:rFonts w:eastAsia="Calibri"/>
                <w:b/>
                <w:lang w:eastAsia="en-US"/>
              </w:rPr>
              <w:t>Property</w:t>
            </w:r>
          </w:p>
        </w:tc>
        <w:tc>
          <w:tcPr>
            <w:tcW w:w="0" w:type="auto"/>
            <w:shd w:val="clear" w:color="auto" w:fill="E0E0E0"/>
            <w:vAlign w:val="center"/>
          </w:tcPr>
          <w:p w14:paraId="67956398" w14:textId="77777777" w:rsidR="000837A9" w:rsidRPr="00F24D0D" w:rsidRDefault="000837A9" w:rsidP="00FF3977">
            <w:pPr>
              <w:spacing w:line="260" w:lineRule="atLeast"/>
              <w:rPr>
                <w:rFonts w:eastAsia="Calibri"/>
                <w:b/>
                <w:lang w:eastAsia="en-US"/>
              </w:rPr>
            </w:pPr>
            <w:r w:rsidRPr="00F24D0D">
              <w:rPr>
                <w:rFonts w:eastAsia="Calibri"/>
                <w:b/>
                <w:lang w:eastAsia="en-US"/>
              </w:rPr>
              <w:t>Guideline  and Method</w:t>
            </w:r>
          </w:p>
        </w:tc>
        <w:tc>
          <w:tcPr>
            <w:tcW w:w="0" w:type="auto"/>
            <w:shd w:val="clear" w:color="auto" w:fill="E0E0E0"/>
            <w:vAlign w:val="center"/>
          </w:tcPr>
          <w:p w14:paraId="691AB49A" w14:textId="77777777" w:rsidR="000837A9" w:rsidRPr="00F24D0D" w:rsidRDefault="000837A9" w:rsidP="00FF3977">
            <w:pPr>
              <w:spacing w:line="260" w:lineRule="atLeast"/>
              <w:rPr>
                <w:rFonts w:eastAsia="Calibri"/>
                <w:b/>
                <w:lang w:eastAsia="en-US"/>
              </w:rPr>
            </w:pPr>
            <w:r w:rsidRPr="00F24D0D">
              <w:rPr>
                <w:rFonts w:eastAsia="Calibri"/>
                <w:b/>
                <w:lang w:eastAsia="en-US"/>
              </w:rPr>
              <w:t>Purity of the test substance (% (w/w)</w:t>
            </w:r>
          </w:p>
        </w:tc>
        <w:tc>
          <w:tcPr>
            <w:tcW w:w="0" w:type="auto"/>
            <w:shd w:val="clear" w:color="auto" w:fill="E0E0E0"/>
            <w:vAlign w:val="center"/>
          </w:tcPr>
          <w:p w14:paraId="408F77D9" w14:textId="77777777" w:rsidR="000837A9" w:rsidRPr="00C746BC" w:rsidRDefault="000837A9" w:rsidP="00FF3977">
            <w:pPr>
              <w:spacing w:line="260" w:lineRule="atLeast"/>
              <w:rPr>
                <w:rFonts w:eastAsia="Calibri"/>
                <w:b/>
                <w:lang w:eastAsia="en-US"/>
              </w:rPr>
            </w:pPr>
            <w:r w:rsidRPr="00C746BC">
              <w:rPr>
                <w:rFonts w:eastAsia="Calibri"/>
                <w:b/>
                <w:lang w:eastAsia="en-US"/>
              </w:rPr>
              <w:t>Results</w:t>
            </w:r>
          </w:p>
        </w:tc>
        <w:tc>
          <w:tcPr>
            <w:tcW w:w="0" w:type="auto"/>
            <w:shd w:val="clear" w:color="auto" w:fill="E0E0E0"/>
            <w:vAlign w:val="center"/>
          </w:tcPr>
          <w:p w14:paraId="5AF59BFE" w14:textId="77777777" w:rsidR="000837A9" w:rsidRPr="00305B11" w:rsidRDefault="000837A9" w:rsidP="00FF3977">
            <w:pPr>
              <w:spacing w:line="260" w:lineRule="atLeast"/>
              <w:rPr>
                <w:rFonts w:eastAsia="Calibri"/>
                <w:b/>
                <w:lang w:eastAsia="en-US"/>
              </w:rPr>
            </w:pPr>
            <w:r w:rsidRPr="00305B11">
              <w:rPr>
                <w:rFonts w:eastAsia="Calibri"/>
                <w:b/>
                <w:lang w:eastAsia="en-US"/>
              </w:rPr>
              <w:t>Reference</w:t>
            </w:r>
          </w:p>
        </w:tc>
        <w:tc>
          <w:tcPr>
            <w:tcW w:w="0" w:type="auto"/>
            <w:shd w:val="clear" w:color="auto" w:fill="E0E0E0"/>
            <w:vAlign w:val="center"/>
          </w:tcPr>
          <w:p w14:paraId="1B6E4926" w14:textId="77777777" w:rsidR="000837A9" w:rsidRPr="00305B11" w:rsidRDefault="000837A9" w:rsidP="00FF3977">
            <w:pPr>
              <w:spacing w:line="260" w:lineRule="atLeast"/>
              <w:rPr>
                <w:rFonts w:eastAsia="Calibri"/>
                <w:b/>
                <w:lang w:eastAsia="en-US"/>
              </w:rPr>
            </w:pPr>
            <w:r>
              <w:rPr>
                <w:rFonts w:eastAsia="Calibri"/>
                <w:b/>
                <w:lang w:eastAsia="en-US"/>
              </w:rPr>
              <w:t>FR Evaluation</w:t>
            </w:r>
          </w:p>
        </w:tc>
      </w:tr>
      <w:tr w:rsidR="000837A9" w:rsidRPr="00A411E7" w14:paraId="38AA1DBB" w14:textId="77777777" w:rsidTr="00FF3977">
        <w:tc>
          <w:tcPr>
            <w:tcW w:w="0" w:type="auto"/>
          </w:tcPr>
          <w:p w14:paraId="1C09523F" w14:textId="77777777" w:rsidR="000837A9" w:rsidRPr="00017CF8" w:rsidRDefault="000837A9"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r>
              <w:rPr>
                <w:rFonts w:eastAsia="Calibri"/>
              </w:rPr>
              <w:t xml:space="preserve"> </w:t>
            </w:r>
          </w:p>
        </w:tc>
        <w:tc>
          <w:tcPr>
            <w:tcW w:w="0" w:type="auto"/>
            <w:vAlign w:val="center"/>
          </w:tcPr>
          <w:p w14:paraId="2CA50CA3" w14:textId="77777777" w:rsidR="000837A9" w:rsidRPr="00017CF8" w:rsidRDefault="000837A9" w:rsidP="00FF3977">
            <w:pPr>
              <w:rPr>
                <w:rFonts w:eastAsia="Calibri"/>
              </w:rPr>
            </w:pPr>
            <w:r>
              <w:rPr>
                <w:color w:val="000000"/>
              </w:rPr>
              <w:t xml:space="preserve"> -</w:t>
            </w:r>
          </w:p>
        </w:tc>
        <w:tc>
          <w:tcPr>
            <w:tcW w:w="0" w:type="auto"/>
            <w:vAlign w:val="center"/>
          </w:tcPr>
          <w:p w14:paraId="52E28335" w14:textId="77777777" w:rsidR="000837A9" w:rsidRDefault="000837A9" w:rsidP="00FF3977">
            <w:pPr>
              <w:rPr>
                <w:color w:val="000000"/>
              </w:rPr>
            </w:pPr>
            <w:r>
              <w:rPr>
                <w:color w:val="000000"/>
              </w:rPr>
              <w:t>Batch 5118225</w:t>
            </w:r>
          </w:p>
          <w:p w14:paraId="56D078B8" w14:textId="77777777" w:rsidR="000837A9" w:rsidRPr="00017CF8" w:rsidRDefault="000837A9" w:rsidP="00FF3977">
            <w:pPr>
              <w:rPr>
                <w:rFonts w:eastAsia="Calibri"/>
              </w:rPr>
            </w:pPr>
            <w:r>
              <w:rPr>
                <w:color w:val="000000"/>
              </w:rPr>
              <w:t>Test item:</w:t>
            </w:r>
            <w:r>
              <w:t xml:space="preserve"> </w:t>
            </w:r>
            <w:r w:rsidRPr="00A46573">
              <w:rPr>
                <w:color w:val="000000"/>
              </w:rPr>
              <w:t>218087-P1</w:t>
            </w:r>
            <w:r>
              <w:rPr>
                <w:color w:val="000000"/>
              </w:rPr>
              <w:t xml:space="preserve"> </w:t>
            </w:r>
          </w:p>
        </w:tc>
        <w:tc>
          <w:tcPr>
            <w:tcW w:w="0" w:type="auto"/>
            <w:vAlign w:val="center"/>
          </w:tcPr>
          <w:p w14:paraId="16B41D56" w14:textId="77777777" w:rsidR="000837A9" w:rsidRPr="00017CF8" w:rsidRDefault="000837A9" w:rsidP="00FF3977">
            <w:pPr>
              <w:rPr>
                <w:rFonts w:eastAsia="Calibri"/>
              </w:rPr>
            </w:pPr>
            <w:r>
              <w:rPr>
                <w:color w:val="000000"/>
              </w:rPr>
              <w:t>The appearance of the test item was homogeneous colourless limpid liquid with a characteristic odour.</w:t>
            </w:r>
          </w:p>
        </w:tc>
        <w:tc>
          <w:tcPr>
            <w:tcW w:w="0" w:type="auto"/>
            <w:vAlign w:val="center"/>
          </w:tcPr>
          <w:p w14:paraId="16D634B3" w14:textId="77777777" w:rsidR="000837A9" w:rsidRPr="00017CF8" w:rsidRDefault="000837A9" w:rsidP="00FF3977">
            <w:pPr>
              <w:rPr>
                <w:rFonts w:eastAsia="Calibri"/>
              </w:rPr>
            </w:pPr>
            <w:r>
              <w:rPr>
                <w:color w:val="000000"/>
              </w:rPr>
              <w:t>Demangel B. and Ricau H., 2019, Report No 18-901011-009</w:t>
            </w:r>
          </w:p>
        </w:tc>
        <w:tc>
          <w:tcPr>
            <w:tcW w:w="0" w:type="auto"/>
          </w:tcPr>
          <w:p w14:paraId="32B0834E" w14:textId="77777777" w:rsidR="000837A9" w:rsidRDefault="000837A9" w:rsidP="00FF3977">
            <w:pPr>
              <w:rPr>
                <w:color w:val="000000"/>
              </w:rPr>
            </w:pPr>
            <w:r>
              <w:rPr>
                <w:color w:val="000000"/>
              </w:rPr>
              <w:t>Acceptable</w:t>
            </w:r>
          </w:p>
        </w:tc>
      </w:tr>
      <w:tr w:rsidR="000837A9" w:rsidRPr="00A411E7" w14:paraId="00619203" w14:textId="77777777" w:rsidTr="00FF3977">
        <w:tc>
          <w:tcPr>
            <w:tcW w:w="0" w:type="auto"/>
          </w:tcPr>
          <w:p w14:paraId="714352F7" w14:textId="77777777" w:rsidR="000837A9" w:rsidRPr="00A411E7" w:rsidRDefault="000837A9" w:rsidP="00FF3977">
            <w:pPr>
              <w:rPr>
                <w:rFonts w:eastAsia="Calibri"/>
              </w:rPr>
            </w:pPr>
            <w:r w:rsidRPr="00A411E7">
              <w:rPr>
                <w:rFonts w:eastAsia="Calibri"/>
              </w:rPr>
              <w:t>Acidity / alkalinity</w:t>
            </w:r>
          </w:p>
        </w:tc>
        <w:tc>
          <w:tcPr>
            <w:tcW w:w="0" w:type="auto"/>
            <w:vAlign w:val="center"/>
          </w:tcPr>
          <w:p w14:paraId="3ED2CB3C" w14:textId="77777777" w:rsidR="000837A9" w:rsidRPr="00A411E7" w:rsidRDefault="000837A9" w:rsidP="00FF3977">
            <w:pPr>
              <w:rPr>
                <w:rFonts w:eastAsia="Calibri"/>
              </w:rPr>
            </w:pPr>
            <w:r>
              <w:rPr>
                <w:color w:val="000000"/>
              </w:rPr>
              <w:t>CIPAC Handbook L - MT 191 method (2006)</w:t>
            </w:r>
          </w:p>
        </w:tc>
        <w:tc>
          <w:tcPr>
            <w:tcW w:w="0" w:type="auto"/>
            <w:vAlign w:val="center"/>
          </w:tcPr>
          <w:p w14:paraId="37CBA03A" w14:textId="77777777" w:rsidR="000837A9" w:rsidRDefault="000837A9" w:rsidP="00FF3977">
            <w:pPr>
              <w:rPr>
                <w:color w:val="000000"/>
              </w:rPr>
            </w:pPr>
            <w:r>
              <w:rPr>
                <w:color w:val="000000"/>
              </w:rPr>
              <w:t>Batch 5118225</w:t>
            </w:r>
          </w:p>
          <w:p w14:paraId="19CEAC56"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28B61BDC" w14:textId="77777777" w:rsidR="000837A9" w:rsidRPr="00A411E7" w:rsidRDefault="000837A9" w:rsidP="00FF3977">
            <w:pPr>
              <w:rPr>
                <w:rFonts w:eastAsia="Calibri"/>
              </w:rPr>
            </w:pPr>
            <w:r>
              <w:rPr>
                <w:color w:val="000000"/>
              </w:rPr>
              <w:t xml:space="preserve">Before the accelerated storage procedure, the mean value of the test item acidity was 1.25% w/w. </w:t>
            </w:r>
            <w:r>
              <w:rPr>
                <w:color w:val="000000"/>
              </w:rPr>
              <w:br/>
              <w:t>After the accelerated storage procedure, the mean value of the test item acidity was 1.31% w/w.</w:t>
            </w:r>
          </w:p>
        </w:tc>
        <w:tc>
          <w:tcPr>
            <w:tcW w:w="0" w:type="auto"/>
            <w:vAlign w:val="center"/>
          </w:tcPr>
          <w:p w14:paraId="6D579EBC" w14:textId="77777777" w:rsidR="000837A9" w:rsidRPr="00A411E7" w:rsidRDefault="000837A9" w:rsidP="00FF3977">
            <w:pPr>
              <w:rPr>
                <w:rFonts w:eastAsia="Calibri"/>
              </w:rPr>
            </w:pPr>
            <w:r>
              <w:rPr>
                <w:color w:val="000000"/>
              </w:rPr>
              <w:t>Demangel B. and Ricau H., 2019, Report No 18-901011-009</w:t>
            </w:r>
          </w:p>
        </w:tc>
        <w:tc>
          <w:tcPr>
            <w:tcW w:w="0" w:type="auto"/>
          </w:tcPr>
          <w:p w14:paraId="55718E01" w14:textId="77777777" w:rsidR="000837A9" w:rsidRDefault="000837A9" w:rsidP="00FF3977">
            <w:pPr>
              <w:rPr>
                <w:color w:val="000000"/>
              </w:rPr>
            </w:pPr>
            <w:r>
              <w:rPr>
                <w:color w:val="000000"/>
              </w:rPr>
              <w:t>Acceptable</w:t>
            </w:r>
          </w:p>
        </w:tc>
      </w:tr>
      <w:tr w:rsidR="000837A9" w:rsidRPr="00A411E7" w14:paraId="26531E62" w14:textId="77777777" w:rsidTr="00FF3977">
        <w:tc>
          <w:tcPr>
            <w:tcW w:w="0" w:type="auto"/>
          </w:tcPr>
          <w:p w14:paraId="3A2B21CE" w14:textId="77777777" w:rsidR="000837A9" w:rsidRPr="00A411E7" w:rsidRDefault="000837A9" w:rsidP="00FF3977">
            <w:pPr>
              <w:rPr>
                <w:rFonts w:eastAsia="Calibri"/>
              </w:rPr>
            </w:pPr>
            <w:r>
              <w:rPr>
                <w:rFonts w:eastAsia="Calibri"/>
              </w:rPr>
              <w:t>pH value</w:t>
            </w:r>
          </w:p>
        </w:tc>
        <w:tc>
          <w:tcPr>
            <w:tcW w:w="0" w:type="auto"/>
            <w:vAlign w:val="center"/>
          </w:tcPr>
          <w:p w14:paraId="23BCB5D4" w14:textId="77777777" w:rsidR="000837A9" w:rsidRDefault="000837A9" w:rsidP="00FF3977">
            <w:pPr>
              <w:rPr>
                <w:color w:val="000000"/>
              </w:rPr>
            </w:pPr>
            <w:r>
              <w:rPr>
                <w:color w:val="000000"/>
              </w:rPr>
              <w:t>CIPAC MT 75.3</w:t>
            </w:r>
          </w:p>
        </w:tc>
        <w:tc>
          <w:tcPr>
            <w:tcW w:w="0" w:type="auto"/>
            <w:vAlign w:val="center"/>
          </w:tcPr>
          <w:p w14:paraId="19984DA6" w14:textId="77777777" w:rsidR="000837A9" w:rsidRDefault="000837A9" w:rsidP="00FF3977">
            <w:pPr>
              <w:rPr>
                <w:color w:val="000000"/>
              </w:rPr>
            </w:pPr>
            <w:r>
              <w:rPr>
                <w:color w:val="000000"/>
              </w:rPr>
              <w:t>Batch 5118225</w:t>
            </w:r>
          </w:p>
          <w:p w14:paraId="02E7A5A9" w14:textId="77777777" w:rsidR="000837A9" w:rsidRDefault="000837A9" w:rsidP="00FF3977">
            <w:pPr>
              <w:rPr>
                <w:color w:val="000000"/>
              </w:rPr>
            </w:pPr>
            <w:r>
              <w:rPr>
                <w:color w:val="000000"/>
              </w:rPr>
              <w:t>Test item:</w:t>
            </w:r>
            <w:r>
              <w:t xml:space="preserve"> </w:t>
            </w:r>
            <w:r w:rsidRPr="00A46573">
              <w:rPr>
                <w:color w:val="000000"/>
              </w:rPr>
              <w:t>218087-P1</w:t>
            </w:r>
          </w:p>
        </w:tc>
        <w:tc>
          <w:tcPr>
            <w:tcW w:w="0" w:type="auto"/>
            <w:vAlign w:val="center"/>
          </w:tcPr>
          <w:p w14:paraId="0BCAFB65" w14:textId="77777777" w:rsidR="000837A9" w:rsidRDefault="000837A9" w:rsidP="00FF3977">
            <w:pPr>
              <w:rPr>
                <w:color w:val="000000"/>
              </w:rPr>
            </w:pPr>
            <w:r>
              <w:rPr>
                <w:color w:val="000000"/>
              </w:rPr>
              <w:t>Before accelerated storage: pH=2.38 at 19,6°C</w:t>
            </w:r>
          </w:p>
          <w:p w14:paraId="051B119D" w14:textId="77777777" w:rsidR="000837A9" w:rsidRDefault="000837A9" w:rsidP="00FF3977">
            <w:pPr>
              <w:rPr>
                <w:color w:val="000000"/>
              </w:rPr>
            </w:pPr>
            <w:r>
              <w:rPr>
                <w:color w:val="000000"/>
              </w:rPr>
              <w:t>After accelerated storage: pH=2,43 at 21,1°C</w:t>
            </w:r>
          </w:p>
        </w:tc>
        <w:tc>
          <w:tcPr>
            <w:tcW w:w="0" w:type="auto"/>
            <w:vAlign w:val="center"/>
          </w:tcPr>
          <w:p w14:paraId="7A7F55D1" w14:textId="77777777" w:rsidR="000837A9" w:rsidRDefault="000837A9" w:rsidP="00FF3977">
            <w:pPr>
              <w:rPr>
                <w:color w:val="000000"/>
              </w:rPr>
            </w:pPr>
            <w:r>
              <w:rPr>
                <w:color w:val="000000"/>
              </w:rPr>
              <w:t>Demangel B. and Ricau H., 2019, Report No 18-901011-009</w:t>
            </w:r>
          </w:p>
        </w:tc>
        <w:tc>
          <w:tcPr>
            <w:tcW w:w="0" w:type="auto"/>
          </w:tcPr>
          <w:p w14:paraId="020C20CE" w14:textId="77777777" w:rsidR="000837A9" w:rsidRDefault="000837A9" w:rsidP="00FF3977">
            <w:pPr>
              <w:rPr>
                <w:color w:val="000000"/>
              </w:rPr>
            </w:pPr>
            <w:r>
              <w:rPr>
                <w:color w:val="000000"/>
              </w:rPr>
              <w:t xml:space="preserve">Acceptable </w:t>
            </w:r>
          </w:p>
        </w:tc>
      </w:tr>
      <w:tr w:rsidR="000837A9" w:rsidRPr="00A411E7" w14:paraId="31FC9202" w14:textId="77777777" w:rsidTr="00FF3977">
        <w:tc>
          <w:tcPr>
            <w:tcW w:w="0" w:type="auto"/>
            <w:tcBorders>
              <w:top w:val="single" w:sz="4" w:space="0" w:color="auto"/>
              <w:left w:val="single" w:sz="4" w:space="0" w:color="auto"/>
              <w:bottom w:val="single" w:sz="4" w:space="0" w:color="auto"/>
              <w:right w:val="single" w:sz="4" w:space="0" w:color="auto"/>
            </w:tcBorders>
          </w:tcPr>
          <w:p w14:paraId="5DC15B23" w14:textId="77777777" w:rsidR="000837A9" w:rsidRPr="00A411E7" w:rsidRDefault="000837A9" w:rsidP="00FF3977">
            <w:pPr>
              <w:rPr>
                <w:rFonts w:eastAsia="Calibri"/>
              </w:rPr>
            </w:pPr>
            <w:bookmarkStart w:id="161" w:name="_Toc244336298"/>
            <w:r w:rsidRPr="00A411E7">
              <w:rPr>
                <w:rFonts w:eastAsia="Calibri"/>
              </w:rPr>
              <w:t>Relative density / bulk density</w:t>
            </w:r>
            <w:bookmarkEnd w:id="161"/>
          </w:p>
        </w:tc>
        <w:tc>
          <w:tcPr>
            <w:tcW w:w="0" w:type="auto"/>
            <w:tcBorders>
              <w:top w:val="single" w:sz="4" w:space="0" w:color="auto"/>
              <w:left w:val="single" w:sz="4" w:space="0" w:color="auto"/>
              <w:bottom w:val="single" w:sz="4" w:space="0" w:color="auto"/>
              <w:right w:val="single" w:sz="4" w:space="0" w:color="auto"/>
            </w:tcBorders>
            <w:vAlign w:val="center"/>
          </w:tcPr>
          <w:p w14:paraId="5DD22DC5" w14:textId="77777777" w:rsidR="000837A9" w:rsidRPr="00A411E7" w:rsidRDefault="000837A9" w:rsidP="00FF3977">
            <w:pPr>
              <w:rPr>
                <w:rFonts w:eastAsia="Calibri"/>
              </w:rPr>
            </w:pPr>
            <w:r>
              <w:rPr>
                <w:color w:val="000000"/>
              </w:rPr>
              <w:t>EC A.3. method (2008) and OECD Guideline No. 109 (2012)</w:t>
            </w:r>
          </w:p>
        </w:tc>
        <w:tc>
          <w:tcPr>
            <w:tcW w:w="0" w:type="auto"/>
            <w:tcBorders>
              <w:top w:val="single" w:sz="4" w:space="0" w:color="auto"/>
              <w:left w:val="single" w:sz="4" w:space="0" w:color="auto"/>
              <w:bottom w:val="single" w:sz="4" w:space="0" w:color="auto"/>
              <w:right w:val="single" w:sz="4" w:space="0" w:color="auto"/>
            </w:tcBorders>
            <w:vAlign w:val="center"/>
          </w:tcPr>
          <w:p w14:paraId="6332D986" w14:textId="77777777" w:rsidR="000837A9" w:rsidRDefault="000837A9" w:rsidP="00FF3977">
            <w:pPr>
              <w:rPr>
                <w:color w:val="000000"/>
              </w:rPr>
            </w:pPr>
            <w:r>
              <w:rPr>
                <w:color w:val="000000"/>
              </w:rPr>
              <w:t>Batch 5118225</w:t>
            </w:r>
          </w:p>
          <w:p w14:paraId="30CFC64B"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tcBorders>
              <w:top w:val="single" w:sz="4" w:space="0" w:color="auto"/>
              <w:left w:val="single" w:sz="4" w:space="0" w:color="auto"/>
              <w:bottom w:val="single" w:sz="4" w:space="0" w:color="auto"/>
              <w:right w:val="single" w:sz="4" w:space="0" w:color="auto"/>
            </w:tcBorders>
            <w:vAlign w:val="center"/>
          </w:tcPr>
          <w:p w14:paraId="2DF6F234" w14:textId="77777777" w:rsidR="000837A9" w:rsidRPr="00A411E7" w:rsidRDefault="000837A9" w:rsidP="00FF3977">
            <w:pPr>
              <w:rPr>
                <w:rFonts w:eastAsia="Calibri"/>
              </w:rPr>
            </w:pPr>
            <w:r>
              <w:rPr>
                <w:color w:val="000000"/>
              </w:rPr>
              <w:t>The mean relative density of the test item was D</w:t>
            </w:r>
            <w:r>
              <w:rPr>
                <w:color w:val="000000"/>
                <w:vertAlign w:val="superscript"/>
              </w:rPr>
              <w:t>20</w:t>
            </w:r>
            <w:r>
              <w:rPr>
                <w:color w:val="000000"/>
                <w:vertAlign w:val="subscript"/>
              </w:rPr>
              <w:t>4</w:t>
            </w:r>
            <w:r>
              <w:rPr>
                <w:color w:val="000000"/>
              </w:rPr>
              <w:t xml:space="preserve"> = 1.013 ± 0.001 at 20.4 °C.</w:t>
            </w:r>
          </w:p>
        </w:tc>
        <w:tc>
          <w:tcPr>
            <w:tcW w:w="0" w:type="auto"/>
            <w:tcBorders>
              <w:top w:val="single" w:sz="4" w:space="0" w:color="auto"/>
              <w:left w:val="single" w:sz="4" w:space="0" w:color="auto"/>
              <w:bottom w:val="single" w:sz="4" w:space="0" w:color="auto"/>
              <w:right w:val="single" w:sz="4" w:space="0" w:color="auto"/>
            </w:tcBorders>
            <w:vAlign w:val="center"/>
          </w:tcPr>
          <w:p w14:paraId="75B68F40" w14:textId="77777777" w:rsidR="000837A9" w:rsidRPr="00A411E7" w:rsidRDefault="000837A9" w:rsidP="00FF3977">
            <w:pPr>
              <w:rPr>
                <w:rFonts w:eastAsia="Calibri"/>
              </w:rPr>
            </w:pPr>
            <w:r>
              <w:rPr>
                <w:color w:val="000000"/>
              </w:rPr>
              <w:t>Demangel B., 2019, Report No 18-901011-008</w:t>
            </w:r>
          </w:p>
        </w:tc>
        <w:tc>
          <w:tcPr>
            <w:tcW w:w="0" w:type="auto"/>
            <w:tcBorders>
              <w:top w:val="single" w:sz="4" w:space="0" w:color="auto"/>
              <w:left w:val="single" w:sz="4" w:space="0" w:color="auto"/>
              <w:bottom w:val="single" w:sz="4" w:space="0" w:color="auto"/>
              <w:right w:val="single" w:sz="4" w:space="0" w:color="auto"/>
            </w:tcBorders>
          </w:tcPr>
          <w:p w14:paraId="77A28CB2" w14:textId="77777777" w:rsidR="000837A9" w:rsidRDefault="000837A9" w:rsidP="00FF3977">
            <w:pPr>
              <w:rPr>
                <w:color w:val="000000"/>
              </w:rPr>
            </w:pPr>
            <w:r>
              <w:rPr>
                <w:color w:val="000000"/>
              </w:rPr>
              <w:t>Acceptable</w:t>
            </w:r>
          </w:p>
        </w:tc>
      </w:tr>
      <w:tr w:rsidR="000837A9" w:rsidRPr="00A411E7" w14:paraId="002CBDF5" w14:textId="77777777" w:rsidTr="00FF3977">
        <w:tc>
          <w:tcPr>
            <w:tcW w:w="0" w:type="auto"/>
          </w:tcPr>
          <w:p w14:paraId="417A2E9E" w14:textId="77777777" w:rsidR="000837A9" w:rsidRPr="00A411E7" w:rsidRDefault="000837A9" w:rsidP="00FF3977">
            <w:pPr>
              <w:rPr>
                <w:rFonts w:eastAsia="Calibri"/>
              </w:rPr>
            </w:pPr>
            <w:r w:rsidRPr="00A411E7">
              <w:rPr>
                <w:rFonts w:eastAsia="Calibri"/>
              </w:rPr>
              <w:lastRenderedPageBreak/>
              <w:t xml:space="preserve">Storage stability test – </w:t>
            </w:r>
            <w:r w:rsidRPr="00A411E7">
              <w:rPr>
                <w:rFonts w:eastAsia="Calibri"/>
                <w:b/>
              </w:rPr>
              <w:t>accelerated storage</w:t>
            </w:r>
          </w:p>
        </w:tc>
        <w:tc>
          <w:tcPr>
            <w:tcW w:w="0" w:type="auto"/>
            <w:vAlign w:val="center"/>
          </w:tcPr>
          <w:p w14:paraId="075B3FB7" w14:textId="77777777" w:rsidR="000837A9" w:rsidRDefault="000837A9" w:rsidP="00FF3977">
            <w:pPr>
              <w:rPr>
                <w:color w:val="000000"/>
              </w:rPr>
            </w:pPr>
            <w:r>
              <w:rPr>
                <w:color w:val="000000"/>
              </w:rPr>
              <w:t>CIPAC Handbook J - MT 46.3 method (2000)</w:t>
            </w:r>
            <w:r>
              <w:rPr>
                <w:color w:val="000000"/>
              </w:rPr>
              <w:br/>
            </w:r>
          </w:p>
          <w:p w14:paraId="52A7FA90" w14:textId="77777777" w:rsidR="000837A9" w:rsidRDefault="000837A9" w:rsidP="00FF3977">
            <w:pPr>
              <w:rPr>
                <w:color w:val="000000"/>
              </w:rPr>
            </w:pPr>
          </w:p>
          <w:p w14:paraId="1144512A" w14:textId="77777777" w:rsidR="000837A9" w:rsidRDefault="000837A9" w:rsidP="00FF3977">
            <w:pPr>
              <w:rPr>
                <w:color w:val="000000"/>
              </w:rPr>
            </w:pPr>
          </w:p>
          <w:p w14:paraId="04EA6C7D" w14:textId="77777777" w:rsidR="000837A9" w:rsidRDefault="000837A9" w:rsidP="00FF3977">
            <w:pPr>
              <w:rPr>
                <w:color w:val="000000"/>
              </w:rPr>
            </w:pPr>
          </w:p>
          <w:p w14:paraId="30509BAD" w14:textId="77777777" w:rsidR="000837A9" w:rsidRDefault="000837A9" w:rsidP="00FF3977">
            <w:pPr>
              <w:rPr>
                <w:color w:val="000000"/>
              </w:rPr>
            </w:pPr>
          </w:p>
          <w:p w14:paraId="1F711264" w14:textId="77777777" w:rsidR="000837A9" w:rsidRDefault="000837A9" w:rsidP="00FF3977">
            <w:pPr>
              <w:rPr>
                <w:color w:val="000000"/>
              </w:rPr>
            </w:pPr>
          </w:p>
          <w:p w14:paraId="4FDB584D" w14:textId="77777777" w:rsidR="000837A9" w:rsidRDefault="000837A9" w:rsidP="00FF3977">
            <w:pPr>
              <w:rPr>
                <w:color w:val="000000"/>
              </w:rPr>
            </w:pPr>
          </w:p>
          <w:p w14:paraId="2CD750E0" w14:textId="77777777" w:rsidR="000837A9" w:rsidRDefault="000837A9" w:rsidP="00FF3977">
            <w:pPr>
              <w:rPr>
                <w:color w:val="000000"/>
              </w:rPr>
            </w:pPr>
          </w:p>
          <w:p w14:paraId="5B465F1D" w14:textId="77777777" w:rsidR="000837A9" w:rsidRDefault="000837A9" w:rsidP="00FF3977">
            <w:pPr>
              <w:rPr>
                <w:color w:val="000000"/>
              </w:rPr>
            </w:pPr>
          </w:p>
          <w:p w14:paraId="35BBCF27" w14:textId="77777777" w:rsidR="000837A9" w:rsidRDefault="000837A9" w:rsidP="00FF3977">
            <w:pPr>
              <w:rPr>
                <w:color w:val="000000"/>
              </w:rPr>
            </w:pPr>
          </w:p>
          <w:p w14:paraId="0106C910" w14:textId="77777777" w:rsidR="000837A9" w:rsidRDefault="000837A9" w:rsidP="00FF3977">
            <w:pPr>
              <w:rPr>
                <w:color w:val="000000"/>
              </w:rPr>
            </w:pPr>
          </w:p>
          <w:p w14:paraId="7C5C1FA2" w14:textId="77777777" w:rsidR="000837A9" w:rsidRDefault="000837A9" w:rsidP="00FF3977">
            <w:pPr>
              <w:rPr>
                <w:color w:val="000000"/>
              </w:rPr>
            </w:pPr>
            <w:r>
              <w:rPr>
                <w:color w:val="000000"/>
              </w:rPr>
              <w:t>Content of AS:</w:t>
            </w:r>
          </w:p>
          <w:p w14:paraId="75368C3A" w14:textId="77777777" w:rsidR="000837A9" w:rsidRPr="007F6E33" w:rsidRDefault="000837A9" w:rsidP="00FF3977">
            <w:pPr>
              <w:rPr>
                <w:color w:val="000000"/>
                <w:lang w:val="en-US"/>
              </w:rPr>
            </w:pPr>
            <w:r>
              <w:rPr>
                <w:color w:val="000000"/>
              </w:rPr>
              <w:t xml:space="preserve">Validated method in studies </w:t>
            </w:r>
            <w:r w:rsidRPr="0026219A">
              <w:rPr>
                <w:color w:val="000000"/>
              </w:rPr>
              <w:t>No. 17-901011-001</w:t>
            </w:r>
            <w:r>
              <w:rPr>
                <w:color w:val="000000"/>
              </w:rPr>
              <w:t xml:space="preserve"> and </w:t>
            </w:r>
            <w:r w:rsidRPr="0026219A">
              <w:rPr>
                <w:color w:val="000000"/>
              </w:rPr>
              <w:t>No. 18-901011-012</w:t>
            </w:r>
          </w:p>
          <w:p w14:paraId="48AE748C" w14:textId="77777777" w:rsidR="000837A9" w:rsidRDefault="000837A9" w:rsidP="00FF3977">
            <w:pPr>
              <w:rPr>
                <w:color w:val="000000"/>
              </w:rPr>
            </w:pPr>
          </w:p>
          <w:p w14:paraId="67B9F2DA" w14:textId="77777777" w:rsidR="000837A9" w:rsidRDefault="000837A9" w:rsidP="00FF3977">
            <w:pPr>
              <w:rPr>
                <w:color w:val="000000"/>
              </w:rPr>
            </w:pPr>
          </w:p>
          <w:p w14:paraId="63A686C9" w14:textId="77777777" w:rsidR="000837A9" w:rsidRDefault="000837A9" w:rsidP="00FF3977">
            <w:pPr>
              <w:rPr>
                <w:color w:val="000000"/>
              </w:rPr>
            </w:pPr>
          </w:p>
          <w:p w14:paraId="068DB4F3" w14:textId="77777777" w:rsidR="000837A9" w:rsidRDefault="000837A9" w:rsidP="00FF3977">
            <w:pPr>
              <w:rPr>
                <w:color w:val="000000"/>
              </w:rPr>
            </w:pPr>
          </w:p>
          <w:p w14:paraId="05637F49" w14:textId="77777777" w:rsidR="000837A9" w:rsidRDefault="000837A9" w:rsidP="00FF3977">
            <w:pPr>
              <w:rPr>
                <w:color w:val="000000"/>
              </w:rPr>
            </w:pPr>
          </w:p>
          <w:p w14:paraId="5516BF0D" w14:textId="77777777" w:rsidR="000837A9" w:rsidRDefault="000837A9" w:rsidP="00FF3977">
            <w:pPr>
              <w:rPr>
                <w:color w:val="000000"/>
              </w:rPr>
            </w:pPr>
          </w:p>
          <w:p w14:paraId="64AC4404" w14:textId="77777777" w:rsidR="000837A9" w:rsidRDefault="000837A9" w:rsidP="00FF3977">
            <w:pPr>
              <w:rPr>
                <w:color w:val="000000"/>
              </w:rPr>
            </w:pPr>
          </w:p>
          <w:p w14:paraId="3FBA35AE" w14:textId="77777777" w:rsidR="000837A9" w:rsidRDefault="000837A9" w:rsidP="00FF3977">
            <w:pPr>
              <w:rPr>
                <w:color w:val="000000"/>
              </w:rPr>
            </w:pPr>
          </w:p>
          <w:p w14:paraId="65AA2116" w14:textId="77777777" w:rsidR="000837A9" w:rsidRDefault="000837A9" w:rsidP="00FF3977">
            <w:pPr>
              <w:rPr>
                <w:color w:val="000000"/>
              </w:rPr>
            </w:pPr>
          </w:p>
          <w:p w14:paraId="4AC430C4" w14:textId="77777777" w:rsidR="000837A9" w:rsidRDefault="000837A9" w:rsidP="00FF3977">
            <w:pPr>
              <w:rPr>
                <w:color w:val="000000"/>
              </w:rPr>
            </w:pPr>
          </w:p>
          <w:p w14:paraId="638FBEFF" w14:textId="77777777" w:rsidR="000837A9" w:rsidRDefault="000837A9" w:rsidP="00FF3977">
            <w:pPr>
              <w:rPr>
                <w:color w:val="000000"/>
              </w:rPr>
            </w:pPr>
          </w:p>
          <w:p w14:paraId="1C9F16C7" w14:textId="77777777" w:rsidR="000837A9" w:rsidRDefault="000837A9" w:rsidP="00FF3977">
            <w:pPr>
              <w:rPr>
                <w:color w:val="000000"/>
              </w:rPr>
            </w:pPr>
          </w:p>
          <w:p w14:paraId="1E39977A" w14:textId="77777777" w:rsidR="000837A9" w:rsidRDefault="000837A9" w:rsidP="00FF3977">
            <w:pPr>
              <w:rPr>
                <w:color w:val="000000"/>
              </w:rPr>
            </w:pPr>
          </w:p>
          <w:p w14:paraId="2274EC3A" w14:textId="77777777" w:rsidR="000837A9" w:rsidRDefault="000837A9" w:rsidP="00FF3977">
            <w:pPr>
              <w:rPr>
                <w:color w:val="000000"/>
              </w:rPr>
            </w:pPr>
          </w:p>
          <w:p w14:paraId="7A973CCA" w14:textId="77777777" w:rsidR="000837A9" w:rsidRDefault="000837A9" w:rsidP="00FF3977">
            <w:pPr>
              <w:rPr>
                <w:color w:val="000000"/>
              </w:rPr>
            </w:pPr>
          </w:p>
          <w:p w14:paraId="17041BC7" w14:textId="77777777" w:rsidR="000837A9" w:rsidRDefault="000837A9" w:rsidP="00FF3977">
            <w:pPr>
              <w:rPr>
                <w:color w:val="000000"/>
              </w:rPr>
            </w:pPr>
          </w:p>
          <w:p w14:paraId="13AA67A7" w14:textId="77777777" w:rsidR="000837A9" w:rsidRDefault="000837A9" w:rsidP="00FF3977">
            <w:pPr>
              <w:rPr>
                <w:color w:val="000000"/>
              </w:rPr>
            </w:pPr>
            <w:r>
              <w:rPr>
                <w:color w:val="000000"/>
              </w:rPr>
              <w:t>pH : CIPAC Handbook J - MT 75.3 method (2000)</w:t>
            </w:r>
            <w:r>
              <w:rPr>
                <w:color w:val="000000"/>
              </w:rPr>
              <w:br/>
            </w:r>
          </w:p>
          <w:p w14:paraId="0B573AA7" w14:textId="77777777" w:rsidR="000837A9" w:rsidRDefault="000837A9" w:rsidP="00FF3977">
            <w:pPr>
              <w:rPr>
                <w:color w:val="000000"/>
              </w:rPr>
            </w:pPr>
          </w:p>
          <w:p w14:paraId="2C71C900" w14:textId="77777777" w:rsidR="000837A9" w:rsidRDefault="000837A9" w:rsidP="00FF3977">
            <w:pPr>
              <w:rPr>
                <w:color w:val="000000"/>
              </w:rPr>
            </w:pPr>
          </w:p>
          <w:p w14:paraId="2438BE8C" w14:textId="77777777" w:rsidR="000837A9" w:rsidRDefault="000837A9" w:rsidP="00FF3977">
            <w:pPr>
              <w:rPr>
                <w:color w:val="000000"/>
              </w:rPr>
            </w:pPr>
            <w:r>
              <w:rPr>
                <w:color w:val="000000"/>
              </w:rPr>
              <w:br/>
              <w:t>SATISFACTORY OPERATION OF THE SPRAYER AND SPRAY VOLUME : in-house method</w:t>
            </w:r>
            <w:r>
              <w:rPr>
                <w:color w:val="000000"/>
              </w:rPr>
              <w:br/>
            </w:r>
          </w:p>
          <w:p w14:paraId="2FF2C785" w14:textId="77777777" w:rsidR="000837A9" w:rsidRDefault="000837A9" w:rsidP="00FF3977">
            <w:pPr>
              <w:rPr>
                <w:color w:val="000000"/>
              </w:rPr>
            </w:pPr>
          </w:p>
          <w:p w14:paraId="0FDCF7CF" w14:textId="77777777" w:rsidR="000837A9" w:rsidRDefault="000837A9" w:rsidP="00FF3977">
            <w:pPr>
              <w:rPr>
                <w:color w:val="000000"/>
              </w:rPr>
            </w:pPr>
          </w:p>
          <w:p w14:paraId="2B1B8669" w14:textId="77777777" w:rsidR="000837A9" w:rsidRPr="00A411E7" w:rsidRDefault="000837A9" w:rsidP="00FF3977">
            <w:pPr>
              <w:rPr>
                <w:rFonts w:eastAsia="Calibri"/>
              </w:rPr>
            </w:pPr>
            <w:r>
              <w:rPr>
                <w:color w:val="000000"/>
              </w:rPr>
              <w:br/>
              <w:t xml:space="preserve">SPRAY </w:t>
            </w:r>
            <w:r>
              <w:rPr>
                <w:color w:val="000000"/>
              </w:rPr>
              <w:lastRenderedPageBreak/>
              <w:t>DIAMETER AND PATTERN : In-house method (FEA 644 adapted)</w:t>
            </w:r>
          </w:p>
        </w:tc>
        <w:tc>
          <w:tcPr>
            <w:tcW w:w="0" w:type="auto"/>
            <w:vAlign w:val="center"/>
          </w:tcPr>
          <w:p w14:paraId="5A002530" w14:textId="77777777" w:rsidR="000837A9" w:rsidRDefault="000837A9" w:rsidP="00FF3977">
            <w:pPr>
              <w:rPr>
                <w:color w:val="000000"/>
              </w:rPr>
            </w:pPr>
            <w:r>
              <w:rPr>
                <w:color w:val="000000"/>
              </w:rPr>
              <w:lastRenderedPageBreak/>
              <w:t>Batch 5118225</w:t>
            </w:r>
          </w:p>
          <w:p w14:paraId="529F815F"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4C32F8AC" w14:textId="79F5564B" w:rsidR="000837A9" w:rsidRDefault="000837A9" w:rsidP="00FF3977">
            <w:pPr>
              <w:rPr>
                <w:color w:val="000000"/>
              </w:rPr>
            </w:pPr>
            <w:r>
              <w:rPr>
                <w:color w:val="000000"/>
              </w:rPr>
              <w:t>Test item characteristics before and after the accelerated storage procedure was: Homogeneous colourless limpid liquid with a characteristic odour.</w:t>
            </w:r>
            <w:r>
              <w:rPr>
                <w:color w:val="000000"/>
              </w:rPr>
              <w:br/>
              <w:t xml:space="preserve">Packaging: Transparent HDPE sprayer </w:t>
            </w:r>
            <w:r w:rsidR="008101B2">
              <w:rPr>
                <w:color w:val="000000"/>
              </w:rPr>
              <w:t xml:space="preserve">with foam nozzle </w:t>
            </w:r>
            <w:r>
              <w:rPr>
                <w:color w:val="000000"/>
              </w:rPr>
              <w:t>(no sign of degradation or leak was observed).</w:t>
            </w:r>
            <w:r>
              <w:rPr>
                <w:color w:val="000000"/>
              </w:rPr>
              <w:br/>
            </w:r>
          </w:p>
          <w:p w14:paraId="5A7AAC2F" w14:textId="77777777" w:rsidR="000837A9" w:rsidRDefault="000837A9" w:rsidP="00FF3977">
            <w:pPr>
              <w:rPr>
                <w:color w:val="000000"/>
              </w:rPr>
            </w:pPr>
            <w:r>
              <w:rPr>
                <w:color w:val="000000"/>
              </w:rPr>
              <w:t>The appearance of the test item and the packaging material were considered to be stable after an accelerated storage procedure at 54 °C ± 2 °C for 14 days. No significant change of weight was observed (-0.1%).</w:t>
            </w:r>
            <w:r>
              <w:rPr>
                <w:color w:val="000000"/>
              </w:rPr>
              <w:br/>
            </w:r>
            <w:r>
              <w:rPr>
                <w:b/>
                <w:bCs/>
                <w:color w:val="000000"/>
              </w:rPr>
              <w:t>ANALYTICAL QUANTIFICATION OF THE ACTIVE SUBSTANCE</w:t>
            </w:r>
            <w:r>
              <w:rPr>
                <w:color w:val="000000"/>
              </w:rPr>
              <w:br/>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10"/>
              <w:gridCol w:w="1300"/>
              <w:gridCol w:w="1300"/>
            </w:tblGrid>
            <w:tr w:rsidR="000837A9" w14:paraId="28C5E5AF" w14:textId="77777777" w:rsidTr="00FF3977">
              <w:tc>
                <w:tcPr>
                  <w:tcW w:w="3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C6EC7" w14:textId="77777777" w:rsidR="000837A9" w:rsidRDefault="000837A9" w:rsidP="00FF3977">
                  <w:pPr>
                    <w:jc w:val="center"/>
                  </w:pPr>
                  <w:r>
                    <w:t>Active substance</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56A28AC1" w14:textId="77777777" w:rsidR="000837A9" w:rsidRDefault="000837A9" w:rsidP="00FF3977">
                  <w:pPr>
                    <w:jc w:val="center"/>
                  </w:pPr>
                  <w:r>
                    <w:t>Before the accelerated storage procedure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4B1EC60" w14:textId="77777777" w:rsidR="000837A9" w:rsidRDefault="000837A9" w:rsidP="00FF3977">
                  <w:pPr>
                    <w:jc w:val="center"/>
                  </w:pPr>
                  <w:r>
                    <w:t>After the accelerated storage procedure</w:t>
                  </w:r>
                </w:p>
              </w:tc>
            </w:tr>
            <w:tr w:rsidR="000837A9" w14:paraId="2D353830" w14:textId="77777777" w:rsidTr="00FF3977">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093700" w14:textId="77777777" w:rsidR="000837A9" w:rsidRDefault="000837A9" w:rsidP="00FF3977">
                  <w:r>
                    <w:t>Lactic acid</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3B8FDF54" w14:textId="77777777" w:rsidR="000837A9" w:rsidRDefault="000837A9" w:rsidP="00FF3977">
                  <w:r>
                    <w:t>Content (% w/w)</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19777BAD" w14:textId="77777777" w:rsidR="000837A9" w:rsidRDefault="000837A9" w:rsidP="00FF3977">
                  <w:pPr>
                    <w:jc w:val="center"/>
                  </w:pPr>
                  <w:r>
                    <w:t>2.37</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7D04D61" w14:textId="77777777" w:rsidR="000837A9" w:rsidRDefault="000837A9" w:rsidP="00FF3977">
                  <w:pPr>
                    <w:jc w:val="center"/>
                  </w:pPr>
                  <w:r>
                    <w:t>2.37</w:t>
                  </w:r>
                </w:p>
              </w:tc>
            </w:tr>
            <w:tr w:rsidR="000837A9" w14:paraId="62F457E5"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95AE2" w14:textId="77777777" w:rsidR="000837A9" w:rsidRDefault="000837A9" w:rsidP="00FF3977"/>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7AE07AF2" w14:textId="77777777" w:rsidR="000837A9" w:rsidRDefault="000837A9" w:rsidP="00FF3977">
                  <w:r>
                    <w:t>Deviation (%)</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10D99705" w14:textId="77777777" w:rsidR="000837A9" w:rsidRDefault="000837A9" w:rsidP="00FF3977">
                  <w:pPr>
                    <w:jc w:val="center"/>
                  </w:pPr>
                  <w:r>
                    <w:t>From the nominal value</w:t>
                  </w:r>
                </w:p>
                <w:p w14:paraId="06834D19" w14:textId="77777777" w:rsidR="000837A9" w:rsidRDefault="000837A9" w:rsidP="00FF3977">
                  <w:pPr>
                    <w:jc w:val="center"/>
                  </w:pPr>
                  <w:r>
                    <w:t>-1.3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763166FC" w14:textId="77777777" w:rsidR="000837A9" w:rsidRDefault="000837A9" w:rsidP="00FF3977">
                  <w:pPr>
                    <w:jc w:val="center"/>
                  </w:pPr>
                  <w:r>
                    <w:t>From the T = 0 value</w:t>
                  </w:r>
                </w:p>
                <w:p w14:paraId="6048C682" w14:textId="77777777" w:rsidR="000837A9" w:rsidRDefault="000837A9" w:rsidP="00FF3977">
                  <w:pPr>
                    <w:jc w:val="center"/>
                  </w:pPr>
                  <w:r>
                    <w:t>0.0</w:t>
                  </w:r>
                </w:p>
              </w:tc>
            </w:tr>
          </w:tbl>
          <w:p w14:paraId="52DCD0E5" w14:textId="77777777" w:rsidR="000837A9" w:rsidRDefault="000837A9" w:rsidP="00FF3977">
            <w:pPr>
              <w:rPr>
                <w:color w:val="000000"/>
              </w:rPr>
            </w:pPr>
          </w:p>
          <w:p w14:paraId="7C46BFD3" w14:textId="6A2B51C6" w:rsidR="000837A9" w:rsidRDefault="000837A9" w:rsidP="00FF3977">
            <w:pPr>
              <w:rPr>
                <w:color w:val="000000"/>
              </w:rPr>
            </w:pPr>
            <w:r>
              <w:rPr>
                <w:color w:val="000000"/>
              </w:rPr>
              <w:br/>
            </w:r>
            <w:r>
              <w:rPr>
                <w:color w:val="000000"/>
              </w:rPr>
              <w:br/>
            </w:r>
            <w:r>
              <w:rPr>
                <w:b/>
                <w:bCs/>
                <w:color w:val="000000"/>
              </w:rPr>
              <w:lastRenderedPageBreak/>
              <w:t>DETERMINATION OF pH VALUES</w:t>
            </w:r>
            <w:r>
              <w:rPr>
                <w:color w:val="000000"/>
              </w:rPr>
              <w:br/>
              <w:t>Before the accelerated storage procedure, the mean pH value of the pure test item was: 2.38 at 19.6 °C after 1 min and 2.37 at 19.7 °C after 2 min. After the accelerated storage procedure, the mean pH value of the pure test item was: 2.43 at 21.1 °C after 1 min and 2.42 at 21.3 °C after 2 min.</w:t>
            </w:r>
            <w:r>
              <w:rPr>
                <w:color w:val="000000"/>
              </w:rPr>
              <w:br/>
            </w:r>
            <w:r>
              <w:rPr>
                <w:b/>
                <w:bCs/>
                <w:color w:val="000000"/>
              </w:rPr>
              <w:t>SATISFACTORY OPERATION OF THE SPRAYER AND SPRAY VOLUME</w:t>
            </w:r>
            <w:r>
              <w:rPr>
                <w:color w:val="000000"/>
              </w:rPr>
              <w:br/>
              <w:t xml:space="preserve">Before the accelerated storage procedure, the mean volume of a pulverisation of the sprayer was 1.43 mL. The </w:t>
            </w:r>
            <w:r w:rsidR="008101B2">
              <w:rPr>
                <w:color w:val="000000"/>
              </w:rPr>
              <w:t xml:space="preserve">foam </w:t>
            </w:r>
            <w:r>
              <w:rPr>
                <w:color w:val="000000"/>
              </w:rPr>
              <w:t xml:space="preserve">nozzles of the sprays were checked and no blocking was observed. After the accelerated storage procedure, the volume of a pulverisation of the sprayer was 1.19 mL. The </w:t>
            </w:r>
            <w:r w:rsidR="008101B2">
              <w:rPr>
                <w:color w:val="000000"/>
              </w:rPr>
              <w:t xml:space="preserve">foam </w:t>
            </w:r>
            <w:r>
              <w:rPr>
                <w:color w:val="000000"/>
              </w:rPr>
              <w:t>nozzle of the sprayer was checked and no blocking was observed.</w:t>
            </w:r>
            <w:r>
              <w:rPr>
                <w:color w:val="000000"/>
              </w:rPr>
              <w:br/>
            </w:r>
            <w:r>
              <w:rPr>
                <w:b/>
                <w:bCs/>
                <w:color w:val="000000"/>
              </w:rPr>
              <w:t>SPRAY DIAMETER AND PATTERN</w:t>
            </w:r>
            <w:r>
              <w:rPr>
                <w:color w:val="000000"/>
              </w:rPr>
              <w:br/>
              <w:t>Before the accelerated storage procedure, the mean spray diameter of the sprayer was 15 cm. The shape of the spray on the wetted patch was circular. After the accelerated storage procedure, the spray diameter of the sprayer was 12 cm. The shape of the spray on the wetted patch was circular.</w:t>
            </w:r>
            <w:r>
              <w:rPr>
                <w:color w:val="000000"/>
              </w:rPr>
              <w:br/>
            </w:r>
          </w:p>
          <w:p w14:paraId="4139EB4D" w14:textId="77777777" w:rsidR="000837A9" w:rsidRDefault="000837A9" w:rsidP="00FF3977">
            <w:r>
              <w:lastRenderedPageBreak/>
              <w:t xml:space="preserve">Products of META SPC 1 will be sold together with a srayer device with foam nozzle, therefore determination of the MMAD is not required. </w:t>
            </w:r>
          </w:p>
          <w:p w14:paraId="6604C74E" w14:textId="77777777" w:rsidR="000837A9" w:rsidRDefault="000837A9" w:rsidP="00FF3977">
            <w:pPr>
              <w:rPr>
                <w:color w:val="000000"/>
              </w:rPr>
            </w:pPr>
          </w:p>
          <w:p w14:paraId="605EEF79" w14:textId="77777777" w:rsidR="000837A9" w:rsidRPr="00A411E7" w:rsidRDefault="000837A9" w:rsidP="00FF3977">
            <w:pPr>
              <w:rPr>
                <w:rFonts w:eastAsia="Calibri"/>
              </w:rPr>
            </w:pPr>
            <w:r>
              <w:rPr>
                <w:color w:val="000000"/>
              </w:rPr>
              <w:br/>
              <w:t xml:space="preserve">These results can be extrapolated to the other packagings in HDPE, PET and COEXTRUDE (HDPE/PA) according to </w:t>
            </w:r>
            <w:r w:rsidRPr="001D704F">
              <w:t>ECHA Guidance Vol. I, Parts A+B+C</w:t>
            </w:r>
            <w:r>
              <w:t xml:space="preserve"> </w:t>
            </w:r>
            <w:r>
              <w:rPr>
                <w:color w:val="000000"/>
              </w:rPr>
              <w:fldChar w:fldCharType="begin"/>
            </w:r>
            <w:r>
              <w:rPr>
                <w:color w:val="000000"/>
              </w:rPr>
              <w:instrText xml:space="preserve"> ADDIN ZOTERO_ITEM CSL_CITATION {"citationID":"dAD9kCjt","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color w:val="000000"/>
              </w:rPr>
              <w:fldChar w:fldCharType="separate"/>
            </w:r>
            <w:r w:rsidRPr="0098795B">
              <w:t>(3)</w:t>
            </w:r>
            <w:r>
              <w:rPr>
                <w:color w:val="000000"/>
              </w:rPr>
              <w:fldChar w:fldCharType="end"/>
            </w:r>
            <w:r>
              <w:rPr>
                <w:color w:val="000000"/>
              </w:rPr>
              <w:t>, 3.6.4.2 Point 3.4.2 Table 7.</w:t>
            </w:r>
          </w:p>
        </w:tc>
        <w:tc>
          <w:tcPr>
            <w:tcW w:w="0" w:type="auto"/>
            <w:vAlign w:val="center"/>
          </w:tcPr>
          <w:p w14:paraId="3515E3A1" w14:textId="77777777" w:rsidR="000837A9" w:rsidRPr="00A411E7" w:rsidRDefault="000837A9" w:rsidP="00FF3977">
            <w:pPr>
              <w:rPr>
                <w:rFonts w:eastAsia="Calibri"/>
              </w:rPr>
            </w:pPr>
            <w:r>
              <w:rPr>
                <w:color w:val="000000"/>
              </w:rPr>
              <w:lastRenderedPageBreak/>
              <w:t>Demangel B. and Ricau H., 2019, Report No 18-901011-009</w:t>
            </w:r>
          </w:p>
        </w:tc>
        <w:tc>
          <w:tcPr>
            <w:tcW w:w="0" w:type="auto"/>
          </w:tcPr>
          <w:p w14:paraId="23CA55D5" w14:textId="77777777" w:rsidR="000837A9" w:rsidRDefault="000837A9" w:rsidP="00FF3977">
            <w:pPr>
              <w:rPr>
                <w:color w:val="000000"/>
              </w:rPr>
            </w:pPr>
            <w:r>
              <w:rPr>
                <w:color w:val="000000"/>
              </w:rPr>
              <w:t>Acceptable</w:t>
            </w:r>
          </w:p>
          <w:p w14:paraId="244B84A7" w14:textId="77777777" w:rsidR="000837A9" w:rsidRDefault="000837A9" w:rsidP="00FF3977">
            <w:pPr>
              <w:rPr>
                <w:color w:val="000000"/>
              </w:rPr>
            </w:pPr>
            <w:r>
              <w:rPr>
                <w:color w:val="000000"/>
              </w:rPr>
              <w:t>The product is stable after 14 days at 54°C.</w:t>
            </w:r>
          </w:p>
        </w:tc>
      </w:tr>
      <w:tr w:rsidR="000837A9" w:rsidRPr="00A411E7" w14:paraId="1D703E02" w14:textId="77777777" w:rsidTr="00FF3977">
        <w:tc>
          <w:tcPr>
            <w:tcW w:w="0" w:type="auto"/>
          </w:tcPr>
          <w:p w14:paraId="4F8017D3" w14:textId="77777777" w:rsidR="000837A9" w:rsidRPr="00A411E7" w:rsidRDefault="000837A9"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0" w:type="auto"/>
            <w:vAlign w:val="center"/>
          </w:tcPr>
          <w:p w14:paraId="001EDFDC" w14:textId="77777777" w:rsidR="000837A9" w:rsidRPr="00A12904" w:rsidRDefault="000837A9" w:rsidP="00FF3977">
            <w:pPr>
              <w:rPr>
                <w:color w:val="000000"/>
              </w:rPr>
            </w:pPr>
            <w:r w:rsidRPr="00A12904">
              <w:rPr>
                <w:color w:val="000000"/>
              </w:rPr>
              <w:t>Technical</w:t>
            </w:r>
          </w:p>
          <w:p w14:paraId="3B7EB37E" w14:textId="77777777" w:rsidR="000837A9" w:rsidRPr="00A411E7" w:rsidRDefault="000837A9" w:rsidP="00FF3977">
            <w:pPr>
              <w:rPr>
                <w:rFonts w:eastAsia="Calibri"/>
              </w:rPr>
            </w:pPr>
            <w:r w:rsidRPr="00A12904">
              <w:rPr>
                <w:color w:val="000000"/>
              </w:rPr>
              <w:t>Monograph No. 17</w:t>
            </w:r>
          </w:p>
        </w:tc>
        <w:tc>
          <w:tcPr>
            <w:tcW w:w="0" w:type="auto"/>
            <w:vAlign w:val="center"/>
          </w:tcPr>
          <w:p w14:paraId="06B8C7F0"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79DAF7E8" w14:textId="77777777" w:rsidR="000837A9" w:rsidRPr="00A411E7" w:rsidRDefault="000837A9" w:rsidP="00FF3977">
            <w:pPr>
              <w:rPr>
                <w:rFonts w:eastAsia="Calibri"/>
              </w:rPr>
            </w:pPr>
            <w:r>
              <w:rPr>
                <w:color w:val="000000"/>
              </w:rPr>
              <w:t>Ongoing study - the results of this study will be submitted once this study will be finalised (November 2020).</w:t>
            </w:r>
          </w:p>
        </w:tc>
        <w:tc>
          <w:tcPr>
            <w:tcW w:w="0" w:type="auto"/>
            <w:vAlign w:val="center"/>
          </w:tcPr>
          <w:p w14:paraId="6065888C" w14:textId="77777777" w:rsidR="000837A9" w:rsidRPr="00A411E7" w:rsidRDefault="000837A9" w:rsidP="00FF3977">
            <w:pPr>
              <w:rPr>
                <w:rFonts w:eastAsia="Calibri"/>
              </w:rPr>
            </w:pPr>
            <w:r>
              <w:rPr>
                <w:color w:val="000000"/>
              </w:rPr>
              <w:t xml:space="preserve">Demangel B., 2018, Report No </w:t>
            </w:r>
            <w:r w:rsidRPr="00A46573">
              <w:rPr>
                <w:color w:val="000000"/>
              </w:rPr>
              <w:t>18-901011-010</w:t>
            </w:r>
          </w:p>
        </w:tc>
        <w:tc>
          <w:tcPr>
            <w:tcW w:w="0" w:type="auto"/>
          </w:tcPr>
          <w:p w14:paraId="32345A12" w14:textId="77777777" w:rsidR="000837A9" w:rsidRDefault="000837A9" w:rsidP="00FF3977">
            <w:pPr>
              <w:rPr>
                <w:color w:val="000000"/>
              </w:rPr>
            </w:pPr>
            <w:r>
              <w:rPr>
                <w:color w:val="000000"/>
              </w:rPr>
              <w:t>Study required in post-authorisation</w:t>
            </w:r>
          </w:p>
        </w:tc>
      </w:tr>
      <w:tr w:rsidR="000837A9" w:rsidRPr="00A411E7" w14:paraId="1CD81267" w14:textId="77777777" w:rsidTr="00FF3977">
        <w:tc>
          <w:tcPr>
            <w:tcW w:w="0" w:type="auto"/>
          </w:tcPr>
          <w:p w14:paraId="7607818E" w14:textId="77777777" w:rsidR="000837A9" w:rsidRPr="00A411E7" w:rsidRDefault="000837A9"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0" w:type="auto"/>
            <w:vAlign w:val="center"/>
          </w:tcPr>
          <w:p w14:paraId="19021295" w14:textId="77777777" w:rsidR="000837A9" w:rsidRPr="00A411E7" w:rsidRDefault="000837A9" w:rsidP="00FF3977">
            <w:pPr>
              <w:rPr>
                <w:rFonts w:eastAsia="Calibri"/>
              </w:rPr>
            </w:pPr>
            <w:r>
              <w:rPr>
                <w:color w:val="000000"/>
              </w:rPr>
              <w:t>CIPAC Handbook J - MT 39.3 method (2000)</w:t>
            </w:r>
          </w:p>
        </w:tc>
        <w:tc>
          <w:tcPr>
            <w:tcW w:w="0" w:type="auto"/>
            <w:vAlign w:val="center"/>
          </w:tcPr>
          <w:p w14:paraId="7F8FAA7A" w14:textId="77777777" w:rsidR="000837A9" w:rsidRDefault="000837A9" w:rsidP="00FF3977">
            <w:pPr>
              <w:rPr>
                <w:color w:val="000000"/>
              </w:rPr>
            </w:pPr>
            <w:r>
              <w:rPr>
                <w:color w:val="000000"/>
              </w:rPr>
              <w:t>Batch 5118225</w:t>
            </w:r>
          </w:p>
          <w:p w14:paraId="458C0E0B"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2903A26D" w14:textId="77777777" w:rsidR="000837A9" w:rsidRPr="00A411E7" w:rsidRDefault="000837A9" w:rsidP="00FF3977">
            <w:pPr>
              <w:rPr>
                <w:rFonts w:eastAsia="Calibri"/>
              </w:rPr>
            </w:pPr>
            <w:r>
              <w:rPr>
                <w:color w:val="000000"/>
              </w:rPr>
              <w:t>At the start of the test, the test item was a homogeneous colourless limpid liquid. The aspect of the test item was considered to be stable after a low temperature stability for 7 days at 0 ± 2 °C, no change was observed in the test item aspect.</w:t>
            </w:r>
          </w:p>
        </w:tc>
        <w:tc>
          <w:tcPr>
            <w:tcW w:w="0" w:type="auto"/>
            <w:vAlign w:val="center"/>
          </w:tcPr>
          <w:p w14:paraId="0B7AEEB1" w14:textId="77777777" w:rsidR="000837A9" w:rsidRPr="00A411E7" w:rsidRDefault="000837A9" w:rsidP="00FF3977">
            <w:pPr>
              <w:rPr>
                <w:rFonts w:eastAsia="Calibri"/>
              </w:rPr>
            </w:pPr>
            <w:r>
              <w:rPr>
                <w:color w:val="000000"/>
              </w:rPr>
              <w:t>Demangel B., 2019, Report No 18-901011-008</w:t>
            </w:r>
          </w:p>
        </w:tc>
        <w:tc>
          <w:tcPr>
            <w:tcW w:w="0" w:type="auto"/>
          </w:tcPr>
          <w:p w14:paraId="0623AD88" w14:textId="77777777" w:rsidR="000837A9" w:rsidRDefault="000837A9" w:rsidP="00FF3977">
            <w:pPr>
              <w:rPr>
                <w:color w:val="000000"/>
              </w:rPr>
            </w:pPr>
            <w:r>
              <w:rPr>
                <w:color w:val="000000"/>
              </w:rPr>
              <w:t>Acceptable</w:t>
            </w:r>
          </w:p>
          <w:p w14:paraId="21C4FAD9" w14:textId="77777777" w:rsidR="000837A9" w:rsidRDefault="000837A9" w:rsidP="00FF3977">
            <w:pPr>
              <w:rPr>
                <w:color w:val="000000"/>
              </w:rPr>
            </w:pPr>
            <w:r>
              <w:rPr>
                <w:color w:val="000000"/>
              </w:rPr>
              <w:t xml:space="preserve">The product is stable after 7 days at 0°C. </w:t>
            </w:r>
          </w:p>
        </w:tc>
      </w:tr>
      <w:tr w:rsidR="000837A9" w:rsidRPr="00A411E7" w14:paraId="6E198898" w14:textId="77777777" w:rsidTr="00FF3977">
        <w:tc>
          <w:tcPr>
            <w:tcW w:w="0" w:type="auto"/>
          </w:tcPr>
          <w:p w14:paraId="2846BC68" w14:textId="77777777" w:rsidR="000837A9" w:rsidRPr="00A411E7" w:rsidRDefault="000837A9"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0" w:type="auto"/>
            <w:vAlign w:val="center"/>
          </w:tcPr>
          <w:p w14:paraId="3CB6A418" w14:textId="77777777" w:rsidR="000837A9" w:rsidRPr="00A411E7" w:rsidRDefault="000837A9" w:rsidP="00FF3977">
            <w:pPr>
              <w:spacing w:line="260" w:lineRule="atLeast"/>
              <w:rPr>
                <w:rFonts w:eastAsia="Calibri"/>
                <w:lang w:eastAsia="en-US"/>
              </w:rPr>
            </w:pPr>
            <w:r>
              <w:rPr>
                <w:color w:val="000000"/>
              </w:rPr>
              <w:t xml:space="preserve"> -</w:t>
            </w:r>
          </w:p>
        </w:tc>
        <w:tc>
          <w:tcPr>
            <w:tcW w:w="0" w:type="auto"/>
            <w:vAlign w:val="center"/>
          </w:tcPr>
          <w:p w14:paraId="45C1FD0B" w14:textId="77777777" w:rsidR="000837A9" w:rsidRPr="00A411E7" w:rsidRDefault="000837A9" w:rsidP="00FF3977">
            <w:pPr>
              <w:spacing w:line="260" w:lineRule="atLeast"/>
              <w:rPr>
                <w:rFonts w:eastAsia="Calibri"/>
                <w:lang w:eastAsia="en-US"/>
              </w:rPr>
            </w:pPr>
            <w:r>
              <w:rPr>
                <w:color w:val="000000"/>
              </w:rPr>
              <w:t xml:space="preserve"> -</w:t>
            </w:r>
          </w:p>
        </w:tc>
        <w:tc>
          <w:tcPr>
            <w:tcW w:w="0" w:type="auto"/>
            <w:vAlign w:val="center"/>
          </w:tcPr>
          <w:p w14:paraId="3E155E0C" w14:textId="77777777" w:rsidR="000837A9" w:rsidRPr="005B2C43" w:rsidRDefault="000837A9" w:rsidP="00FF3977">
            <w:pPr>
              <w:spacing w:line="260" w:lineRule="atLeast"/>
              <w:rPr>
                <w:color w:val="000000"/>
                <w:lang w:eastAsia="de-DE"/>
              </w:rPr>
            </w:pPr>
            <w:r>
              <w:rPr>
                <w:color w:val="000000"/>
              </w:rPr>
              <w:t>The biocidal product is packaged in opaque packaging (500 ml, 750 ml, 1 l, 5 l) and transparent packaging (500 ml, 750 ml, 1 l, 5 l). The test item is considered to be stable after 14 days at 54 ± 2°C (please refer above)</w:t>
            </w:r>
          </w:p>
        </w:tc>
        <w:tc>
          <w:tcPr>
            <w:tcW w:w="0" w:type="auto"/>
            <w:vAlign w:val="center"/>
          </w:tcPr>
          <w:p w14:paraId="54C5BE09" w14:textId="77777777" w:rsidR="000837A9" w:rsidRPr="00A411E7" w:rsidRDefault="000837A9" w:rsidP="00FF3977">
            <w:pPr>
              <w:spacing w:line="260" w:lineRule="atLeast"/>
              <w:rPr>
                <w:rFonts w:eastAsia="Calibri"/>
                <w:lang w:eastAsia="en-US"/>
              </w:rPr>
            </w:pPr>
            <w:r>
              <w:rPr>
                <w:color w:val="000000"/>
              </w:rPr>
              <w:t xml:space="preserve"> -</w:t>
            </w:r>
          </w:p>
        </w:tc>
        <w:tc>
          <w:tcPr>
            <w:tcW w:w="0" w:type="auto"/>
          </w:tcPr>
          <w:p w14:paraId="41184AA4" w14:textId="77777777" w:rsidR="000837A9" w:rsidRDefault="000837A9" w:rsidP="00FF3977">
            <w:pPr>
              <w:spacing w:line="260" w:lineRule="atLeast"/>
              <w:rPr>
                <w:color w:val="000000"/>
              </w:rPr>
            </w:pPr>
            <w:r>
              <w:rPr>
                <w:color w:val="000000"/>
              </w:rPr>
              <w:t>Acceptable</w:t>
            </w:r>
          </w:p>
          <w:p w14:paraId="5BF45A95" w14:textId="77777777" w:rsidR="000837A9" w:rsidRDefault="000837A9" w:rsidP="00FF3977">
            <w:pPr>
              <w:spacing w:line="260" w:lineRule="atLeast"/>
              <w:rPr>
                <w:color w:val="000000"/>
              </w:rPr>
            </w:pPr>
          </w:p>
          <w:p w14:paraId="4843DA46" w14:textId="77777777" w:rsidR="000837A9" w:rsidRDefault="000837A9" w:rsidP="00FF3977">
            <w:pPr>
              <w:spacing w:line="260" w:lineRule="atLeast"/>
              <w:rPr>
                <w:color w:val="000000"/>
              </w:rPr>
            </w:pPr>
            <w:r>
              <w:rPr>
                <w:color w:val="000000"/>
              </w:rPr>
              <w:t xml:space="preserve">The active substance, lactic acid, is not light sensitive.  </w:t>
            </w:r>
          </w:p>
        </w:tc>
      </w:tr>
      <w:tr w:rsidR="000837A9" w:rsidRPr="00A411E7" w14:paraId="17BDE9AB" w14:textId="77777777" w:rsidTr="00FF3977">
        <w:tc>
          <w:tcPr>
            <w:tcW w:w="0" w:type="auto"/>
          </w:tcPr>
          <w:p w14:paraId="649A0EE6" w14:textId="77777777" w:rsidR="000837A9" w:rsidRPr="00A411E7" w:rsidRDefault="000837A9" w:rsidP="00FF3977">
            <w:pPr>
              <w:rPr>
                <w:rFonts w:eastAsia="Calibri"/>
              </w:rPr>
            </w:pPr>
            <w:r w:rsidRPr="00A411E7">
              <w:rPr>
                <w:rFonts w:eastAsia="Calibri"/>
              </w:rPr>
              <w:lastRenderedPageBreak/>
              <w:t xml:space="preserve">Effects on content of the active substance and technical characteristics of the biocidal product – </w:t>
            </w:r>
            <w:r w:rsidRPr="00A411E7">
              <w:rPr>
                <w:rFonts w:eastAsia="Calibri"/>
                <w:b/>
              </w:rPr>
              <w:t>temperature and humidity</w:t>
            </w:r>
          </w:p>
        </w:tc>
        <w:tc>
          <w:tcPr>
            <w:tcW w:w="0" w:type="auto"/>
            <w:vAlign w:val="center"/>
          </w:tcPr>
          <w:p w14:paraId="053A8C1D" w14:textId="77777777" w:rsidR="000837A9" w:rsidRPr="00A411E7" w:rsidRDefault="000837A9" w:rsidP="00FF3977">
            <w:pPr>
              <w:rPr>
                <w:rFonts w:eastAsia="Calibri"/>
              </w:rPr>
            </w:pPr>
            <w:r>
              <w:rPr>
                <w:color w:val="000000"/>
              </w:rPr>
              <w:t xml:space="preserve"> -</w:t>
            </w:r>
          </w:p>
        </w:tc>
        <w:tc>
          <w:tcPr>
            <w:tcW w:w="0" w:type="auto"/>
            <w:vAlign w:val="center"/>
          </w:tcPr>
          <w:p w14:paraId="321DDFFF" w14:textId="77777777" w:rsidR="000837A9" w:rsidRPr="00A411E7" w:rsidRDefault="000837A9" w:rsidP="00FF3977">
            <w:pPr>
              <w:rPr>
                <w:rFonts w:eastAsia="Calibri"/>
              </w:rPr>
            </w:pPr>
            <w:r>
              <w:rPr>
                <w:color w:val="000000"/>
              </w:rPr>
              <w:t xml:space="preserve"> -</w:t>
            </w:r>
          </w:p>
        </w:tc>
        <w:tc>
          <w:tcPr>
            <w:tcW w:w="0" w:type="auto"/>
            <w:vAlign w:val="center"/>
          </w:tcPr>
          <w:p w14:paraId="3F26FA9A" w14:textId="77777777" w:rsidR="000837A9" w:rsidRPr="00A411E7" w:rsidRDefault="000837A9" w:rsidP="00FF3977">
            <w:pPr>
              <w:rPr>
                <w:rFonts w:eastAsia="Calibri"/>
              </w:rPr>
            </w:pPr>
            <w:r>
              <w:rPr>
                <w:color w:val="000000"/>
              </w:rPr>
              <w:t>With its hand-operated trigger sprayer and caps, the packagings are leak-tight. The test item is considered to be stable after 14 days at 54 ± 2°C (please refer above)</w:t>
            </w:r>
          </w:p>
        </w:tc>
        <w:tc>
          <w:tcPr>
            <w:tcW w:w="0" w:type="auto"/>
            <w:vAlign w:val="center"/>
          </w:tcPr>
          <w:p w14:paraId="5568ABED" w14:textId="77777777" w:rsidR="000837A9" w:rsidRPr="00A411E7" w:rsidRDefault="000837A9" w:rsidP="00FF3977">
            <w:pPr>
              <w:rPr>
                <w:rFonts w:eastAsia="Calibri"/>
              </w:rPr>
            </w:pPr>
            <w:r>
              <w:rPr>
                <w:color w:val="000000"/>
              </w:rPr>
              <w:t xml:space="preserve"> -</w:t>
            </w:r>
          </w:p>
        </w:tc>
        <w:tc>
          <w:tcPr>
            <w:tcW w:w="0" w:type="auto"/>
          </w:tcPr>
          <w:p w14:paraId="2B9895F7" w14:textId="77777777" w:rsidR="000837A9" w:rsidRDefault="000837A9" w:rsidP="00FF3977">
            <w:pPr>
              <w:rPr>
                <w:color w:val="000000"/>
              </w:rPr>
            </w:pPr>
            <w:r>
              <w:rPr>
                <w:color w:val="000000"/>
              </w:rPr>
              <w:t>Acceptable</w:t>
            </w:r>
          </w:p>
        </w:tc>
      </w:tr>
      <w:tr w:rsidR="000837A9" w:rsidRPr="00A411E7" w14:paraId="58415693" w14:textId="77777777" w:rsidTr="00FF3977">
        <w:tc>
          <w:tcPr>
            <w:tcW w:w="0" w:type="auto"/>
          </w:tcPr>
          <w:p w14:paraId="6BB9FCCA" w14:textId="77777777" w:rsidR="000837A9" w:rsidRPr="00A411E7" w:rsidRDefault="000837A9"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0" w:type="auto"/>
            <w:vAlign w:val="center"/>
          </w:tcPr>
          <w:p w14:paraId="5923D003" w14:textId="77777777" w:rsidR="000837A9" w:rsidRPr="00A411E7" w:rsidRDefault="000837A9" w:rsidP="00FF3977">
            <w:pPr>
              <w:rPr>
                <w:rFonts w:eastAsia="Calibri"/>
              </w:rPr>
            </w:pPr>
            <w:r>
              <w:rPr>
                <w:color w:val="000000"/>
              </w:rPr>
              <w:t xml:space="preserve"> -</w:t>
            </w:r>
          </w:p>
        </w:tc>
        <w:tc>
          <w:tcPr>
            <w:tcW w:w="0" w:type="auto"/>
            <w:vAlign w:val="center"/>
          </w:tcPr>
          <w:p w14:paraId="4DEFDC07" w14:textId="77777777" w:rsidR="000837A9" w:rsidRPr="00A411E7" w:rsidRDefault="000837A9" w:rsidP="00FF3977">
            <w:pPr>
              <w:rPr>
                <w:rFonts w:eastAsia="Calibri"/>
              </w:rPr>
            </w:pPr>
            <w:r>
              <w:rPr>
                <w:color w:val="000000"/>
              </w:rPr>
              <w:t xml:space="preserve"> -</w:t>
            </w:r>
          </w:p>
        </w:tc>
        <w:tc>
          <w:tcPr>
            <w:tcW w:w="0" w:type="auto"/>
            <w:vAlign w:val="center"/>
          </w:tcPr>
          <w:p w14:paraId="05D8E9B0" w14:textId="77777777" w:rsidR="000837A9" w:rsidRPr="00A411E7" w:rsidRDefault="000837A9" w:rsidP="00FF3977">
            <w:pPr>
              <w:rPr>
                <w:rFonts w:eastAsia="Calibri"/>
              </w:rPr>
            </w:pPr>
            <w:r>
              <w:rPr>
                <w:color w:val="000000"/>
              </w:rPr>
              <w:t>Experience on the product has proved that no reactivity is expected towards container materials. The test item is considered to be stable after 14 days at 54 ± 2°C (please refer above)</w:t>
            </w:r>
          </w:p>
        </w:tc>
        <w:tc>
          <w:tcPr>
            <w:tcW w:w="0" w:type="auto"/>
            <w:vAlign w:val="center"/>
          </w:tcPr>
          <w:p w14:paraId="6D89C30D" w14:textId="77777777" w:rsidR="000837A9" w:rsidRPr="00A411E7" w:rsidRDefault="000837A9" w:rsidP="00FF3977">
            <w:pPr>
              <w:rPr>
                <w:rFonts w:eastAsia="Calibri"/>
              </w:rPr>
            </w:pPr>
            <w:r>
              <w:rPr>
                <w:color w:val="000000"/>
              </w:rPr>
              <w:t xml:space="preserve"> -</w:t>
            </w:r>
          </w:p>
        </w:tc>
        <w:tc>
          <w:tcPr>
            <w:tcW w:w="0" w:type="auto"/>
          </w:tcPr>
          <w:p w14:paraId="590CB9D0" w14:textId="77777777" w:rsidR="000837A9" w:rsidRDefault="000837A9" w:rsidP="00FF3977">
            <w:pPr>
              <w:rPr>
                <w:color w:val="000000"/>
              </w:rPr>
            </w:pPr>
            <w:r>
              <w:rPr>
                <w:color w:val="000000"/>
              </w:rPr>
              <w:t>Acceptable</w:t>
            </w:r>
          </w:p>
        </w:tc>
      </w:tr>
      <w:tr w:rsidR="000837A9" w:rsidRPr="00A411E7" w14:paraId="29D5BBF2" w14:textId="77777777" w:rsidTr="00FF3977">
        <w:tc>
          <w:tcPr>
            <w:tcW w:w="0" w:type="auto"/>
          </w:tcPr>
          <w:p w14:paraId="5DA32276" w14:textId="77777777" w:rsidR="000837A9" w:rsidRPr="00A411E7" w:rsidRDefault="000837A9" w:rsidP="00FF3977">
            <w:pPr>
              <w:rPr>
                <w:rFonts w:eastAsia="Calibri"/>
              </w:rPr>
            </w:pPr>
            <w:r w:rsidRPr="00A411E7">
              <w:rPr>
                <w:rFonts w:eastAsia="Calibri"/>
              </w:rPr>
              <w:t>Wettability</w:t>
            </w:r>
          </w:p>
        </w:tc>
        <w:tc>
          <w:tcPr>
            <w:tcW w:w="0" w:type="auto"/>
            <w:vAlign w:val="center"/>
          </w:tcPr>
          <w:p w14:paraId="566DF9A2" w14:textId="77777777" w:rsidR="000837A9" w:rsidRPr="00A411E7" w:rsidRDefault="000837A9" w:rsidP="00FF3977">
            <w:pPr>
              <w:rPr>
                <w:rFonts w:eastAsia="Calibri"/>
              </w:rPr>
            </w:pPr>
            <w:r>
              <w:rPr>
                <w:color w:val="000000"/>
              </w:rPr>
              <w:t xml:space="preserve"> -</w:t>
            </w:r>
          </w:p>
        </w:tc>
        <w:tc>
          <w:tcPr>
            <w:tcW w:w="0" w:type="auto"/>
            <w:vAlign w:val="center"/>
          </w:tcPr>
          <w:p w14:paraId="540EA3DA" w14:textId="77777777" w:rsidR="000837A9" w:rsidRPr="00A411E7" w:rsidRDefault="000837A9" w:rsidP="00FF3977">
            <w:pPr>
              <w:rPr>
                <w:rFonts w:eastAsia="Calibri"/>
              </w:rPr>
            </w:pPr>
            <w:r>
              <w:rPr>
                <w:color w:val="000000"/>
              </w:rPr>
              <w:t xml:space="preserve"> -</w:t>
            </w:r>
          </w:p>
        </w:tc>
        <w:tc>
          <w:tcPr>
            <w:tcW w:w="0" w:type="auto"/>
            <w:vAlign w:val="center"/>
          </w:tcPr>
          <w:p w14:paraId="50B0C088" w14:textId="77777777" w:rsidR="000837A9" w:rsidRPr="00A411E7" w:rsidRDefault="000837A9" w:rsidP="00FF3977">
            <w:pPr>
              <w:rPr>
                <w:rFonts w:eastAsia="Calibri"/>
              </w:rPr>
            </w:pPr>
            <w:r>
              <w:rPr>
                <w:color w:val="000000"/>
              </w:rPr>
              <w:t>Not required as the product is a ready-to-use liquid.</w:t>
            </w:r>
          </w:p>
        </w:tc>
        <w:tc>
          <w:tcPr>
            <w:tcW w:w="0" w:type="auto"/>
            <w:vAlign w:val="center"/>
          </w:tcPr>
          <w:p w14:paraId="27D6EF2F" w14:textId="77777777" w:rsidR="000837A9" w:rsidRPr="00A411E7" w:rsidRDefault="000837A9" w:rsidP="00FF3977">
            <w:pPr>
              <w:rPr>
                <w:rFonts w:eastAsia="Calibri"/>
              </w:rPr>
            </w:pPr>
            <w:r>
              <w:rPr>
                <w:color w:val="000000"/>
              </w:rPr>
              <w:t xml:space="preserve"> -</w:t>
            </w:r>
          </w:p>
        </w:tc>
        <w:tc>
          <w:tcPr>
            <w:tcW w:w="0" w:type="auto"/>
          </w:tcPr>
          <w:p w14:paraId="7BA2A660" w14:textId="77777777" w:rsidR="000837A9" w:rsidRDefault="000837A9" w:rsidP="00FF3977">
            <w:pPr>
              <w:rPr>
                <w:color w:val="000000"/>
              </w:rPr>
            </w:pPr>
            <w:r>
              <w:rPr>
                <w:color w:val="000000"/>
              </w:rPr>
              <w:t>Not relevant for an AL formulation</w:t>
            </w:r>
          </w:p>
        </w:tc>
      </w:tr>
      <w:tr w:rsidR="000837A9" w:rsidRPr="00A411E7" w14:paraId="7BFDD20B" w14:textId="77777777" w:rsidTr="00FF3977">
        <w:tc>
          <w:tcPr>
            <w:tcW w:w="0" w:type="auto"/>
          </w:tcPr>
          <w:p w14:paraId="0797EB30" w14:textId="77777777" w:rsidR="000837A9" w:rsidRPr="00A411E7" w:rsidRDefault="000837A9" w:rsidP="00FF3977">
            <w:pPr>
              <w:rPr>
                <w:rFonts w:eastAsia="Calibri"/>
              </w:rPr>
            </w:pPr>
            <w:r w:rsidRPr="00A411E7">
              <w:rPr>
                <w:rFonts w:eastAsia="Calibri"/>
              </w:rPr>
              <w:t>Suspensibility, spontaneity and dispersion stability</w:t>
            </w:r>
          </w:p>
        </w:tc>
        <w:tc>
          <w:tcPr>
            <w:tcW w:w="0" w:type="auto"/>
            <w:vAlign w:val="center"/>
          </w:tcPr>
          <w:p w14:paraId="6A2653B9" w14:textId="77777777" w:rsidR="000837A9" w:rsidRPr="00A411E7" w:rsidRDefault="000837A9" w:rsidP="00FF3977">
            <w:pPr>
              <w:rPr>
                <w:rFonts w:eastAsia="Calibri"/>
              </w:rPr>
            </w:pPr>
            <w:r>
              <w:rPr>
                <w:color w:val="000000"/>
              </w:rPr>
              <w:t xml:space="preserve"> -</w:t>
            </w:r>
          </w:p>
        </w:tc>
        <w:tc>
          <w:tcPr>
            <w:tcW w:w="0" w:type="auto"/>
            <w:vAlign w:val="center"/>
          </w:tcPr>
          <w:p w14:paraId="5B66BE64" w14:textId="77777777" w:rsidR="000837A9" w:rsidRPr="00A411E7" w:rsidRDefault="000837A9" w:rsidP="00FF3977">
            <w:pPr>
              <w:rPr>
                <w:rFonts w:eastAsia="Calibri"/>
              </w:rPr>
            </w:pPr>
            <w:r>
              <w:rPr>
                <w:color w:val="000000"/>
              </w:rPr>
              <w:t xml:space="preserve"> -</w:t>
            </w:r>
          </w:p>
        </w:tc>
        <w:tc>
          <w:tcPr>
            <w:tcW w:w="0" w:type="auto"/>
            <w:vAlign w:val="center"/>
          </w:tcPr>
          <w:p w14:paraId="0FA2E889" w14:textId="77777777" w:rsidR="000837A9" w:rsidRPr="00A411E7" w:rsidRDefault="000837A9" w:rsidP="00FF3977">
            <w:pPr>
              <w:rPr>
                <w:rFonts w:eastAsia="Calibri"/>
              </w:rPr>
            </w:pPr>
            <w:r>
              <w:rPr>
                <w:color w:val="000000"/>
              </w:rPr>
              <w:t>Not required as the product is a ready-to-use liquid.</w:t>
            </w:r>
          </w:p>
        </w:tc>
        <w:tc>
          <w:tcPr>
            <w:tcW w:w="0" w:type="auto"/>
            <w:vAlign w:val="center"/>
          </w:tcPr>
          <w:p w14:paraId="77BF79F3" w14:textId="77777777" w:rsidR="000837A9" w:rsidRPr="00A411E7" w:rsidRDefault="000837A9" w:rsidP="00FF3977">
            <w:pPr>
              <w:rPr>
                <w:rFonts w:eastAsia="Calibri"/>
              </w:rPr>
            </w:pPr>
            <w:r>
              <w:rPr>
                <w:color w:val="000000"/>
              </w:rPr>
              <w:t xml:space="preserve"> -</w:t>
            </w:r>
          </w:p>
        </w:tc>
        <w:tc>
          <w:tcPr>
            <w:tcW w:w="0" w:type="auto"/>
          </w:tcPr>
          <w:p w14:paraId="07B66999" w14:textId="77777777" w:rsidR="000837A9" w:rsidRDefault="000837A9" w:rsidP="00FF3977">
            <w:pPr>
              <w:rPr>
                <w:color w:val="000000"/>
              </w:rPr>
            </w:pPr>
            <w:r>
              <w:rPr>
                <w:color w:val="000000"/>
              </w:rPr>
              <w:t>Not relevant for an AL formulation</w:t>
            </w:r>
          </w:p>
        </w:tc>
      </w:tr>
      <w:tr w:rsidR="000837A9" w:rsidRPr="00A411E7" w14:paraId="3EF8A725" w14:textId="77777777" w:rsidTr="00FF3977">
        <w:tc>
          <w:tcPr>
            <w:tcW w:w="0" w:type="auto"/>
          </w:tcPr>
          <w:p w14:paraId="536FEA6E" w14:textId="77777777" w:rsidR="000837A9" w:rsidRPr="00F24D0D" w:rsidRDefault="000837A9" w:rsidP="00FF3977">
            <w:pPr>
              <w:rPr>
                <w:rFonts w:eastAsia="Calibri"/>
              </w:rPr>
            </w:pPr>
            <w:r w:rsidRPr="00A411E7">
              <w:rPr>
                <w:rFonts w:eastAsia="Calibri"/>
              </w:rPr>
              <w:t xml:space="preserve">Wet sieve analysis </w:t>
            </w:r>
            <w:r w:rsidRPr="00F24D0D">
              <w:rPr>
                <w:rFonts w:eastAsia="Calibri"/>
              </w:rPr>
              <w:t>and dry sieve test</w:t>
            </w:r>
          </w:p>
        </w:tc>
        <w:tc>
          <w:tcPr>
            <w:tcW w:w="0" w:type="auto"/>
            <w:vAlign w:val="center"/>
          </w:tcPr>
          <w:p w14:paraId="07815050" w14:textId="77777777" w:rsidR="000837A9" w:rsidRPr="00F24D0D" w:rsidRDefault="000837A9" w:rsidP="00FF3977">
            <w:pPr>
              <w:rPr>
                <w:rFonts w:eastAsia="Calibri"/>
              </w:rPr>
            </w:pPr>
            <w:r>
              <w:rPr>
                <w:color w:val="000000"/>
              </w:rPr>
              <w:t xml:space="preserve"> -</w:t>
            </w:r>
          </w:p>
        </w:tc>
        <w:tc>
          <w:tcPr>
            <w:tcW w:w="0" w:type="auto"/>
            <w:vAlign w:val="center"/>
          </w:tcPr>
          <w:p w14:paraId="06F2B215" w14:textId="77777777" w:rsidR="000837A9" w:rsidRPr="00C746BC" w:rsidRDefault="000837A9" w:rsidP="00FF3977">
            <w:pPr>
              <w:rPr>
                <w:rFonts w:eastAsia="Calibri"/>
              </w:rPr>
            </w:pPr>
            <w:r>
              <w:rPr>
                <w:color w:val="000000"/>
              </w:rPr>
              <w:t xml:space="preserve"> -</w:t>
            </w:r>
          </w:p>
        </w:tc>
        <w:tc>
          <w:tcPr>
            <w:tcW w:w="0" w:type="auto"/>
            <w:vAlign w:val="center"/>
          </w:tcPr>
          <w:p w14:paraId="27A678C4" w14:textId="77777777" w:rsidR="000837A9" w:rsidRPr="00305B11" w:rsidRDefault="000837A9" w:rsidP="00FF3977">
            <w:pPr>
              <w:rPr>
                <w:rFonts w:eastAsia="Calibri"/>
              </w:rPr>
            </w:pPr>
            <w:r>
              <w:rPr>
                <w:color w:val="000000"/>
              </w:rPr>
              <w:t>Not required as the product is a ready-to-use liquid.</w:t>
            </w:r>
          </w:p>
        </w:tc>
        <w:tc>
          <w:tcPr>
            <w:tcW w:w="0" w:type="auto"/>
            <w:vAlign w:val="center"/>
          </w:tcPr>
          <w:p w14:paraId="3873C654" w14:textId="77777777" w:rsidR="000837A9" w:rsidRPr="00305B11" w:rsidRDefault="000837A9" w:rsidP="00FF3977">
            <w:pPr>
              <w:rPr>
                <w:rFonts w:eastAsia="Calibri"/>
              </w:rPr>
            </w:pPr>
            <w:r>
              <w:rPr>
                <w:color w:val="000000"/>
              </w:rPr>
              <w:t xml:space="preserve"> -</w:t>
            </w:r>
          </w:p>
        </w:tc>
        <w:tc>
          <w:tcPr>
            <w:tcW w:w="0" w:type="auto"/>
          </w:tcPr>
          <w:p w14:paraId="4C8C5729" w14:textId="77777777" w:rsidR="000837A9" w:rsidRDefault="000837A9" w:rsidP="00FF3977">
            <w:pPr>
              <w:rPr>
                <w:color w:val="000000"/>
              </w:rPr>
            </w:pPr>
            <w:r>
              <w:rPr>
                <w:color w:val="000000"/>
              </w:rPr>
              <w:t>Not relevant for an AL formulation</w:t>
            </w:r>
          </w:p>
        </w:tc>
      </w:tr>
      <w:tr w:rsidR="000837A9" w:rsidRPr="00A411E7" w14:paraId="31BBB710" w14:textId="77777777" w:rsidTr="00FF3977">
        <w:tc>
          <w:tcPr>
            <w:tcW w:w="0" w:type="auto"/>
          </w:tcPr>
          <w:p w14:paraId="64311BD1" w14:textId="77777777" w:rsidR="000837A9" w:rsidRPr="00017CF8" w:rsidRDefault="000837A9" w:rsidP="00FF3977">
            <w:pPr>
              <w:rPr>
                <w:rFonts w:eastAsia="Calibri"/>
              </w:rPr>
            </w:pPr>
            <w:r w:rsidRPr="00017CF8">
              <w:rPr>
                <w:rFonts w:eastAsia="Calibri"/>
              </w:rPr>
              <w:t>Emulsifiability, re-emulsifiability and emulsion stability</w:t>
            </w:r>
          </w:p>
        </w:tc>
        <w:tc>
          <w:tcPr>
            <w:tcW w:w="0" w:type="auto"/>
            <w:vAlign w:val="center"/>
          </w:tcPr>
          <w:p w14:paraId="4B0517E9" w14:textId="77777777" w:rsidR="000837A9" w:rsidRPr="00017CF8" w:rsidRDefault="000837A9" w:rsidP="00FF3977">
            <w:pPr>
              <w:rPr>
                <w:rFonts w:eastAsia="Calibri"/>
              </w:rPr>
            </w:pPr>
            <w:r>
              <w:rPr>
                <w:color w:val="000000"/>
              </w:rPr>
              <w:t xml:space="preserve"> -</w:t>
            </w:r>
          </w:p>
        </w:tc>
        <w:tc>
          <w:tcPr>
            <w:tcW w:w="0" w:type="auto"/>
            <w:vAlign w:val="center"/>
          </w:tcPr>
          <w:p w14:paraId="1D733092" w14:textId="77777777" w:rsidR="000837A9" w:rsidRPr="00017CF8" w:rsidRDefault="000837A9" w:rsidP="00FF3977">
            <w:pPr>
              <w:rPr>
                <w:rFonts w:eastAsia="Calibri"/>
              </w:rPr>
            </w:pPr>
            <w:r>
              <w:rPr>
                <w:color w:val="000000"/>
              </w:rPr>
              <w:t xml:space="preserve"> -</w:t>
            </w:r>
          </w:p>
        </w:tc>
        <w:tc>
          <w:tcPr>
            <w:tcW w:w="0" w:type="auto"/>
            <w:vAlign w:val="center"/>
          </w:tcPr>
          <w:p w14:paraId="671B0C3B" w14:textId="77777777" w:rsidR="000837A9" w:rsidRPr="00017CF8" w:rsidRDefault="000837A9" w:rsidP="00FF3977">
            <w:pPr>
              <w:rPr>
                <w:rFonts w:eastAsia="Calibri"/>
              </w:rPr>
            </w:pPr>
            <w:r>
              <w:rPr>
                <w:color w:val="000000"/>
              </w:rPr>
              <w:t>Not required as the product is a ready-to-use liquid.</w:t>
            </w:r>
          </w:p>
        </w:tc>
        <w:tc>
          <w:tcPr>
            <w:tcW w:w="0" w:type="auto"/>
            <w:vAlign w:val="center"/>
          </w:tcPr>
          <w:p w14:paraId="13B1204F" w14:textId="77777777" w:rsidR="000837A9" w:rsidRPr="00017CF8" w:rsidRDefault="000837A9" w:rsidP="00FF3977">
            <w:pPr>
              <w:rPr>
                <w:rFonts w:eastAsia="Calibri"/>
              </w:rPr>
            </w:pPr>
            <w:r>
              <w:rPr>
                <w:color w:val="000000"/>
              </w:rPr>
              <w:t xml:space="preserve"> -</w:t>
            </w:r>
          </w:p>
        </w:tc>
        <w:tc>
          <w:tcPr>
            <w:tcW w:w="0" w:type="auto"/>
          </w:tcPr>
          <w:p w14:paraId="0D312742" w14:textId="77777777" w:rsidR="000837A9" w:rsidRDefault="000837A9" w:rsidP="00FF3977">
            <w:pPr>
              <w:rPr>
                <w:color w:val="000000"/>
              </w:rPr>
            </w:pPr>
            <w:r>
              <w:rPr>
                <w:color w:val="000000"/>
              </w:rPr>
              <w:t>Not relevant for an AL formulation</w:t>
            </w:r>
          </w:p>
        </w:tc>
      </w:tr>
      <w:tr w:rsidR="000837A9" w:rsidRPr="00A411E7" w14:paraId="1C0A40B0" w14:textId="77777777" w:rsidTr="00FF3977">
        <w:tc>
          <w:tcPr>
            <w:tcW w:w="0" w:type="auto"/>
          </w:tcPr>
          <w:p w14:paraId="096AC179" w14:textId="77777777" w:rsidR="000837A9" w:rsidRPr="00DF6CFE" w:rsidRDefault="000837A9" w:rsidP="00FF3977">
            <w:pPr>
              <w:rPr>
                <w:rFonts w:eastAsia="Calibri"/>
              </w:rPr>
            </w:pPr>
            <w:r w:rsidRPr="00DF6CFE">
              <w:rPr>
                <w:rFonts w:eastAsia="Calibri"/>
              </w:rPr>
              <w:t>Disintegration time</w:t>
            </w:r>
          </w:p>
        </w:tc>
        <w:tc>
          <w:tcPr>
            <w:tcW w:w="0" w:type="auto"/>
            <w:vAlign w:val="center"/>
          </w:tcPr>
          <w:p w14:paraId="5F8CFE92" w14:textId="77777777" w:rsidR="000837A9" w:rsidRPr="00DF6CFE" w:rsidRDefault="000837A9" w:rsidP="00FF3977">
            <w:pPr>
              <w:rPr>
                <w:rFonts w:eastAsia="Calibri"/>
              </w:rPr>
            </w:pPr>
            <w:r>
              <w:rPr>
                <w:color w:val="000000"/>
              </w:rPr>
              <w:t xml:space="preserve"> -</w:t>
            </w:r>
          </w:p>
        </w:tc>
        <w:tc>
          <w:tcPr>
            <w:tcW w:w="0" w:type="auto"/>
            <w:vAlign w:val="center"/>
          </w:tcPr>
          <w:p w14:paraId="3F0F090C" w14:textId="77777777" w:rsidR="000837A9" w:rsidRPr="00DF6CFE" w:rsidRDefault="000837A9" w:rsidP="00FF3977">
            <w:pPr>
              <w:rPr>
                <w:rFonts w:eastAsia="Calibri"/>
              </w:rPr>
            </w:pPr>
            <w:r>
              <w:rPr>
                <w:color w:val="000000"/>
              </w:rPr>
              <w:t xml:space="preserve"> -</w:t>
            </w:r>
          </w:p>
        </w:tc>
        <w:tc>
          <w:tcPr>
            <w:tcW w:w="0" w:type="auto"/>
            <w:vAlign w:val="center"/>
          </w:tcPr>
          <w:p w14:paraId="3EDADB50" w14:textId="77777777" w:rsidR="000837A9" w:rsidRPr="00DF6CFE" w:rsidRDefault="000837A9" w:rsidP="00FF3977">
            <w:pPr>
              <w:rPr>
                <w:rFonts w:eastAsia="Calibri"/>
              </w:rPr>
            </w:pPr>
            <w:r>
              <w:rPr>
                <w:color w:val="000000"/>
              </w:rPr>
              <w:t>Not required as the product is a ready-to-use liquid.</w:t>
            </w:r>
          </w:p>
        </w:tc>
        <w:tc>
          <w:tcPr>
            <w:tcW w:w="0" w:type="auto"/>
            <w:vAlign w:val="center"/>
          </w:tcPr>
          <w:p w14:paraId="6D1C709D" w14:textId="77777777" w:rsidR="000837A9" w:rsidRPr="00DF6CFE" w:rsidRDefault="000837A9" w:rsidP="00FF3977">
            <w:pPr>
              <w:rPr>
                <w:rFonts w:eastAsia="Calibri"/>
              </w:rPr>
            </w:pPr>
            <w:r>
              <w:rPr>
                <w:color w:val="000000"/>
              </w:rPr>
              <w:t xml:space="preserve"> -</w:t>
            </w:r>
          </w:p>
        </w:tc>
        <w:tc>
          <w:tcPr>
            <w:tcW w:w="0" w:type="auto"/>
          </w:tcPr>
          <w:p w14:paraId="77192E18" w14:textId="77777777" w:rsidR="000837A9" w:rsidRDefault="000837A9" w:rsidP="00FF3977">
            <w:pPr>
              <w:rPr>
                <w:color w:val="000000"/>
              </w:rPr>
            </w:pPr>
            <w:r>
              <w:rPr>
                <w:color w:val="000000"/>
              </w:rPr>
              <w:t>Not relevant for an AL formulation</w:t>
            </w:r>
          </w:p>
        </w:tc>
      </w:tr>
      <w:tr w:rsidR="000837A9" w:rsidRPr="00A411E7" w14:paraId="5C95E387" w14:textId="77777777" w:rsidTr="00FF3977">
        <w:tc>
          <w:tcPr>
            <w:tcW w:w="0" w:type="auto"/>
          </w:tcPr>
          <w:p w14:paraId="50605E0D" w14:textId="77777777" w:rsidR="000837A9" w:rsidRPr="00A411E7" w:rsidRDefault="000837A9" w:rsidP="00FF3977">
            <w:pPr>
              <w:rPr>
                <w:rFonts w:eastAsia="Calibri"/>
              </w:rPr>
            </w:pPr>
            <w:r w:rsidRPr="00A411E7">
              <w:rPr>
                <w:rFonts w:eastAsia="Calibri"/>
              </w:rPr>
              <w:t>Particle size distribution, content of dust/fines, attrition, friability</w:t>
            </w:r>
          </w:p>
        </w:tc>
        <w:tc>
          <w:tcPr>
            <w:tcW w:w="0" w:type="auto"/>
            <w:vAlign w:val="center"/>
          </w:tcPr>
          <w:p w14:paraId="1C0508D1" w14:textId="77777777" w:rsidR="000837A9" w:rsidRPr="00A411E7" w:rsidRDefault="000837A9" w:rsidP="00FF3977">
            <w:pPr>
              <w:rPr>
                <w:rFonts w:eastAsia="Calibri"/>
              </w:rPr>
            </w:pPr>
            <w:r>
              <w:rPr>
                <w:color w:val="000000"/>
              </w:rPr>
              <w:t xml:space="preserve"> -</w:t>
            </w:r>
          </w:p>
        </w:tc>
        <w:tc>
          <w:tcPr>
            <w:tcW w:w="0" w:type="auto"/>
            <w:vAlign w:val="center"/>
          </w:tcPr>
          <w:p w14:paraId="08300994" w14:textId="77777777" w:rsidR="000837A9" w:rsidRPr="00A411E7" w:rsidRDefault="000837A9" w:rsidP="00FF3977">
            <w:pPr>
              <w:rPr>
                <w:rFonts w:eastAsia="Calibri"/>
              </w:rPr>
            </w:pPr>
            <w:r>
              <w:rPr>
                <w:color w:val="000000"/>
              </w:rPr>
              <w:t xml:space="preserve"> -</w:t>
            </w:r>
          </w:p>
        </w:tc>
        <w:tc>
          <w:tcPr>
            <w:tcW w:w="0" w:type="auto"/>
            <w:vAlign w:val="center"/>
          </w:tcPr>
          <w:p w14:paraId="35EC2977" w14:textId="77777777" w:rsidR="000837A9" w:rsidRPr="00A411E7" w:rsidRDefault="000837A9" w:rsidP="00FF3977">
            <w:pPr>
              <w:rPr>
                <w:rFonts w:eastAsia="Calibri"/>
              </w:rPr>
            </w:pPr>
            <w:r>
              <w:rPr>
                <w:color w:val="000000"/>
              </w:rPr>
              <w:t>Not required as the product is a ready-to-use liquid.</w:t>
            </w:r>
          </w:p>
        </w:tc>
        <w:tc>
          <w:tcPr>
            <w:tcW w:w="0" w:type="auto"/>
            <w:vAlign w:val="center"/>
          </w:tcPr>
          <w:p w14:paraId="3FFF84A2" w14:textId="77777777" w:rsidR="000837A9" w:rsidRPr="00A411E7" w:rsidRDefault="000837A9" w:rsidP="00FF3977">
            <w:pPr>
              <w:rPr>
                <w:rFonts w:eastAsia="Calibri"/>
              </w:rPr>
            </w:pPr>
            <w:r>
              <w:rPr>
                <w:color w:val="000000"/>
              </w:rPr>
              <w:t xml:space="preserve"> -</w:t>
            </w:r>
          </w:p>
        </w:tc>
        <w:tc>
          <w:tcPr>
            <w:tcW w:w="0" w:type="auto"/>
          </w:tcPr>
          <w:p w14:paraId="489022DA" w14:textId="77777777" w:rsidR="000837A9" w:rsidRDefault="000837A9" w:rsidP="00FF3977">
            <w:pPr>
              <w:rPr>
                <w:color w:val="000000"/>
              </w:rPr>
            </w:pPr>
            <w:r>
              <w:rPr>
                <w:color w:val="000000"/>
              </w:rPr>
              <w:t>Not relevant for an AL formulation</w:t>
            </w:r>
          </w:p>
        </w:tc>
      </w:tr>
      <w:tr w:rsidR="000837A9" w:rsidRPr="00A411E7" w14:paraId="45DC9F0D" w14:textId="77777777" w:rsidTr="00FF3977">
        <w:tc>
          <w:tcPr>
            <w:tcW w:w="0" w:type="auto"/>
          </w:tcPr>
          <w:p w14:paraId="7D46A62E" w14:textId="77777777" w:rsidR="000837A9" w:rsidRPr="00A411E7" w:rsidRDefault="000837A9" w:rsidP="00FF3977">
            <w:pPr>
              <w:rPr>
                <w:rFonts w:eastAsia="Calibri"/>
              </w:rPr>
            </w:pPr>
            <w:r w:rsidRPr="00A411E7">
              <w:rPr>
                <w:rFonts w:eastAsia="Calibri"/>
              </w:rPr>
              <w:t>Persistent foaming</w:t>
            </w:r>
          </w:p>
        </w:tc>
        <w:tc>
          <w:tcPr>
            <w:tcW w:w="0" w:type="auto"/>
            <w:vAlign w:val="center"/>
          </w:tcPr>
          <w:p w14:paraId="1A622162" w14:textId="77777777" w:rsidR="000837A9" w:rsidRPr="00A411E7" w:rsidRDefault="000837A9" w:rsidP="00FF3977">
            <w:pPr>
              <w:rPr>
                <w:rFonts w:eastAsia="Calibri"/>
              </w:rPr>
            </w:pPr>
            <w:r>
              <w:rPr>
                <w:color w:val="000000"/>
              </w:rPr>
              <w:t xml:space="preserve"> -</w:t>
            </w:r>
          </w:p>
        </w:tc>
        <w:tc>
          <w:tcPr>
            <w:tcW w:w="0" w:type="auto"/>
            <w:vAlign w:val="center"/>
          </w:tcPr>
          <w:p w14:paraId="41A76B04" w14:textId="77777777" w:rsidR="000837A9" w:rsidRPr="00A411E7" w:rsidRDefault="000837A9" w:rsidP="00FF3977">
            <w:pPr>
              <w:rPr>
                <w:rFonts w:eastAsia="Calibri"/>
              </w:rPr>
            </w:pPr>
            <w:r>
              <w:rPr>
                <w:color w:val="000000"/>
              </w:rPr>
              <w:t xml:space="preserve"> -</w:t>
            </w:r>
          </w:p>
        </w:tc>
        <w:tc>
          <w:tcPr>
            <w:tcW w:w="0" w:type="auto"/>
            <w:vAlign w:val="center"/>
          </w:tcPr>
          <w:p w14:paraId="4EC15E0E" w14:textId="77777777" w:rsidR="000837A9" w:rsidRPr="00A411E7" w:rsidRDefault="000837A9" w:rsidP="00FF3977">
            <w:pPr>
              <w:rPr>
                <w:rFonts w:eastAsia="Calibri"/>
              </w:rPr>
            </w:pPr>
            <w:r>
              <w:t>Not required as the product is a ready-to-use liquid.</w:t>
            </w:r>
          </w:p>
        </w:tc>
        <w:tc>
          <w:tcPr>
            <w:tcW w:w="0" w:type="auto"/>
            <w:vAlign w:val="center"/>
          </w:tcPr>
          <w:p w14:paraId="6B42249D" w14:textId="77777777" w:rsidR="000837A9" w:rsidRPr="00A411E7" w:rsidRDefault="000837A9" w:rsidP="00FF3977">
            <w:pPr>
              <w:rPr>
                <w:rFonts w:eastAsia="Calibri"/>
              </w:rPr>
            </w:pPr>
            <w:r>
              <w:rPr>
                <w:color w:val="000000"/>
              </w:rPr>
              <w:t xml:space="preserve"> -</w:t>
            </w:r>
          </w:p>
        </w:tc>
        <w:tc>
          <w:tcPr>
            <w:tcW w:w="0" w:type="auto"/>
          </w:tcPr>
          <w:p w14:paraId="63837998" w14:textId="77777777" w:rsidR="000837A9" w:rsidRDefault="000837A9" w:rsidP="00FF3977">
            <w:pPr>
              <w:rPr>
                <w:color w:val="000000"/>
              </w:rPr>
            </w:pPr>
            <w:r>
              <w:rPr>
                <w:color w:val="000000"/>
              </w:rPr>
              <w:t>Not relevant</w:t>
            </w:r>
          </w:p>
        </w:tc>
      </w:tr>
      <w:tr w:rsidR="000837A9" w:rsidRPr="00A411E7" w14:paraId="3376964D" w14:textId="77777777" w:rsidTr="00FF3977">
        <w:tc>
          <w:tcPr>
            <w:tcW w:w="0" w:type="auto"/>
          </w:tcPr>
          <w:p w14:paraId="3BCE7F9A" w14:textId="77777777" w:rsidR="000837A9" w:rsidRPr="00A411E7" w:rsidRDefault="000837A9" w:rsidP="00FF3977">
            <w:pPr>
              <w:rPr>
                <w:rFonts w:eastAsia="Calibri"/>
              </w:rPr>
            </w:pPr>
            <w:r w:rsidRPr="00A411E7">
              <w:rPr>
                <w:rFonts w:eastAsia="Calibri"/>
              </w:rPr>
              <w:lastRenderedPageBreak/>
              <w:t>Flowability/Pourability/Dustability</w:t>
            </w:r>
          </w:p>
        </w:tc>
        <w:tc>
          <w:tcPr>
            <w:tcW w:w="0" w:type="auto"/>
            <w:vAlign w:val="center"/>
          </w:tcPr>
          <w:p w14:paraId="7C021487" w14:textId="77777777" w:rsidR="000837A9" w:rsidRPr="00A411E7" w:rsidRDefault="000837A9" w:rsidP="00FF3977">
            <w:pPr>
              <w:rPr>
                <w:rFonts w:eastAsia="Calibri"/>
              </w:rPr>
            </w:pPr>
            <w:r>
              <w:rPr>
                <w:color w:val="000000"/>
              </w:rPr>
              <w:t xml:space="preserve"> -</w:t>
            </w:r>
          </w:p>
        </w:tc>
        <w:tc>
          <w:tcPr>
            <w:tcW w:w="0" w:type="auto"/>
            <w:vAlign w:val="center"/>
          </w:tcPr>
          <w:p w14:paraId="76DA7A39" w14:textId="77777777" w:rsidR="000837A9" w:rsidRPr="00A411E7" w:rsidRDefault="000837A9" w:rsidP="00FF3977">
            <w:pPr>
              <w:rPr>
                <w:rFonts w:eastAsia="Calibri"/>
              </w:rPr>
            </w:pPr>
            <w:r>
              <w:rPr>
                <w:color w:val="000000"/>
              </w:rPr>
              <w:t xml:space="preserve"> -</w:t>
            </w:r>
          </w:p>
        </w:tc>
        <w:tc>
          <w:tcPr>
            <w:tcW w:w="0" w:type="auto"/>
            <w:vAlign w:val="center"/>
          </w:tcPr>
          <w:p w14:paraId="368FCE39" w14:textId="77777777" w:rsidR="000837A9" w:rsidRPr="00A411E7" w:rsidRDefault="000837A9" w:rsidP="00FF3977">
            <w:pPr>
              <w:rPr>
                <w:rFonts w:eastAsia="Calibri"/>
              </w:rPr>
            </w:pPr>
            <w:r>
              <w:rPr>
                <w:color w:val="000000"/>
              </w:rPr>
              <w:t>Not required as the product is a ready-to-use liquid.</w:t>
            </w:r>
          </w:p>
        </w:tc>
        <w:tc>
          <w:tcPr>
            <w:tcW w:w="0" w:type="auto"/>
            <w:vAlign w:val="center"/>
          </w:tcPr>
          <w:p w14:paraId="45E741BD" w14:textId="77777777" w:rsidR="000837A9" w:rsidRPr="00A411E7" w:rsidRDefault="000837A9" w:rsidP="00FF3977">
            <w:pPr>
              <w:rPr>
                <w:rFonts w:eastAsia="Calibri"/>
              </w:rPr>
            </w:pPr>
            <w:r>
              <w:rPr>
                <w:color w:val="000000"/>
              </w:rPr>
              <w:t xml:space="preserve"> -</w:t>
            </w:r>
          </w:p>
        </w:tc>
        <w:tc>
          <w:tcPr>
            <w:tcW w:w="0" w:type="auto"/>
          </w:tcPr>
          <w:p w14:paraId="53D1D21D" w14:textId="77777777" w:rsidR="000837A9" w:rsidRDefault="000837A9" w:rsidP="00FF3977">
            <w:pPr>
              <w:rPr>
                <w:color w:val="000000"/>
              </w:rPr>
            </w:pPr>
            <w:r>
              <w:rPr>
                <w:color w:val="000000"/>
              </w:rPr>
              <w:t>Not relevant for an AL formulation</w:t>
            </w:r>
          </w:p>
        </w:tc>
      </w:tr>
      <w:tr w:rsidR="000837A9" w:rsidRPr="00A411E7" w14:paraId="2CD2648C" w14:textId="77777777" w:rsidTr="00FF3977">
        <w:tc>
          <w:tcPr>
            <w:tcW w:w="0" w:type="auto"/>
          </w:tcPr>
          <w:p w14:paraId="6770D3CC" w14:textId="77777777" w:rsidR="000837A9" w:rsidRPr="00A411E7" w:rsidRDefault="000837A9" w:rsidP="00FF3977">
            <w:pPr>
              <w:rPr>
                <w:rFonts w:eastAsia="Calibri"/>
              </w:rPr>
            </w:pPr>
            <w:r w:rsidRPr="00A411E7">
              <w:rPr>
                <w:rFonts w:eastAsia="Calibri"/>
              </w:rPr>
              <w:t>Burning rate — smoke generators</w:t>
            </w:r>
          </w:p>
        </w:tc>
        <w:tc>
          <w:tcPr>
            <w:tcW w:w="0" w:type="auto"/>
            <w:vAlign w:val="center"/>
          </w:tcPr>
          <w:p w14:paraId="6E7A326A" w14:textId="77777777" w:rsidR="000837A9" w:rsidRPr="00A411E7" w:rsidRDefault="000837A9" w:rsidP="00FF3977">
            <w:pPr>
              <w:rPr>
                <w:rFonts w:eastAsia="Calibri"/>
              </w:rPr>
            </w:pPr>
            <w:r>
              <w:rPr>
                <w:color w:val="000000"/>
              </w:rPr>
              <w:t xml:space="preserve"> -</w:t>
            </w:r>
          </w:p>
        </w:tc>
        <w:tc>
          <w:tcPr>
            <w:tcW w:w="0" w:type="auto"/>
            <w:vAlign w:val="center"/>
          </w:tcPr>
          <w:p w14:paraId="60ED0FA1" w14:textId="77777777" w:rsidR="000837A9" w:rsidRPr="00A411E7" w:rsidRDefault="000837A9" w:rsidP="00FF3977">
            <w:pPr>
              <w:rPr>
                <w:rFonts w:eastAsia="Calibri"/>
              </w:rPr>
            </w:pPr>
            <w:r>
              <w:rPr>
                <w:color w:val="000000"/>
              </w:rPr>
              <w:t xml:space="preserve"> -</w:t>
            </w:r>
          </w:p>
        </w:tc>
        <w:tc>
          <w:tcPr>
            <w:tcW w:w="0" w:type="auto"/>
            <w:vAlign w:val="center"/>
          </w:tcPr>
          <w:p w14:paraId="017D8EE6"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0" w:type="auto"/>
            <w:vAlign w:val="center"/>
          </w:tcPr>
          <w:p w14:paraId="48DFC740" w14:textId="77777777" w:rsidR="000837A9" w:rsidRPr="00A411E7" w:rsidRDefault="000837A9" w:rsidP="00FF3977">
            <w:pPr>
              <w:rPr>
                <w:rFonts w:eastAsia="Calibri"/>
              </w:rPr>
            </w:pPr>
            <w:r>
              <w:rPr>
                <w:color w:val="000000"/>
              </w:rPr>
              <w:t xml:space="preserve"> -</w:t>
            </w:r>
          </w:p>
        </w:tc>
        <w:tc>
          <w:tcPr>
            <w:tcW w:w="0" w:type="auto"/>
          </w:tcPr>
          <w:p w14:paraId="4BEBB6D8" w14:textId="77777777" w:rsidR="000837A9" w:rsidRDefault="000837A9" w:rsidP="00FF3977">
            <w:pPr>
              <w:rPr>
                <w:color w:val="000000"/>
              </w:rPr>
            </w:pPr>
            <w:r>
              <w:rPr>
                <w:color w:val="000000"/>
              </w:rPr>
              <w:t>Not relevant for an AL formulation</w:t>
            </w:r>
          </w:p>
        </w:tc>
      </w:tr>
      <w:tr w:rsidR="000837A9" w:rsidRPr="00A411E7" w14:paraId="73F5FA46" w14:textId="77777777" w:rsidTr="00FF3977">
        <w:tc>
          <w:tcPr>
            <w:tcW w:w="0" w:type="auto"/>
          </w:tcPr>
          <w:p w14:paraId="1E680DCD" w14:textId="77777777" w:rsidR="000837A9" w:rsidRPr="00A411E7" w:rsidRDefault="000837A9" w:rsidP="00FF3977">
            <w:pPr>
              <w:rPr>
                <w:rFonts w:eastAsia="Calibri"/>
              </w:rPr>
            </w:pPr>
            <w:r w:rsidRPr="00A411E7">
              <w:rPr>
                <w:rFonts w:eastAsia="Calibri"/>
              </w:rPr>
              <w:t>Burning completeness — smoke generators</w:t>
            </w:r>
          </w:p>
        </w:tc>
        <w:tc>
          <w:tcPr>
            <w:tcW w:w="0" w:type="auto"/>
            <w:vAlign w:val="center"/>
          </w:tcPr>
          <w:p w14:paraId="18E63B21" w14:textId="77777777" w:rsidR="000837A9" w:rsidRPr="00A411E7" w:rsidRDefault="000837A9" w:rsidP="00FF3977">
            <w:pPr>
              <w:rPr>
                <w:rFonts w:eastAsia="Calibri"/>
              </w:rPr>
            </w:pPr>
            <w:r>
              <w:rPr>
                <w:color w:val="000000"/>
              </w:rPr>
              <w:t xml:space="preserve"> -</w:t>
            </w:r>
          </w:p>
        </w:tc>
        <w:tc>
          <w:tcPr>
            <w:tcW w:w="0" w:type="auto"/>
            <w:vAlign w:val="center"/>
          </w:tcPr>
          <w:p w14:paraId="537729AB" w14:textId="77777777" w:rsidR="000837A9" w:rsidRPr="00A411E7" w:rsidRDefault="000837A9" w:rsidP="00FF3977">
            <w:pPr>
              <w:rPr>
                <w:rFonts w:eastAsia="Calibri"/>
              </w:rPr>
            </w:pPr>
            <w:r>
              <w:rPr>
                <w:color w:val="000000"/>
              </w:rPr>
              <w:t xml:space="preserve"> -</w:t>
            </w:r>
          </w:p>
        </w:tc>
        <w:tc>
          <w:tcPr>
            <w:tcW w:w="0" w:type="auto"/>
            <w:vAlign w:val="center"/>
          </w:tcPr>
          <w:p w14:paraId="1D86664E"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0" w:type="auto"/>
            <w:vAlign w:val="center"/>
          </w:tcPr>
          <w:p w14:paraId="480F885D" w14:textId="77777777" w:rsidR="000837A9" w:rsidRPr="00A411E7" w:rsidRDefault="000837A9" w:rsidP="00FF3977">
            <w:pPr>
              <w:rPr>
                <w:rFonts w:eastAsia="Calibri"/>
              </w:rPr>
            </w:pPr>
            <w:r>
              <w:rPr>
                <w:color w:val="000000"/>
              </w:rPr>
              <w:t xml:space="preserve"> -</w:t>
            </w:r>
          </w:p>
        </w:tc>
        <w:tc>
          <w:tcPr>
            <w:tcW w:w="0" w:type="auto"/>
          </w:tcPr>
          <w:p w14:paraId="16EF434F" w14:textId="77777777" w:rsidR="000837A9" w:rsidRDefault="000837A9" w:rsidP="00FF3977">
            <w:pPr>
              <w:rPr>
                <w:color w:val="000000"/>
              </w:rPr>
            </w:pPr>
            <w:r>
              <w:rPr>
                <w:color w:val="000000"/>
              </w:rPr>
              <w:t>Not relevant for an AL formulation</w:t>
            </w:r>
          </w:p>
        </w:tc>
      </w:tr>
      <w:tr w:rsidR="000837A9" w:rsidRPr="00A411E7" w14:paraId="0B02153F" w14:textId="77777777" w:rsidTr="00FF3977">
        <w:tc>
          <w:tcPr>
            <w:tcW w:w="0" w:type="auto"/>
          </w:tcPr>
          <w:p w14:paraId="3E8F41B2" w14:textId="77777777" w:rsidR="000837A9" w:rsidRPr="00A411E7" w:rsidRDefault="000837A9" w:rsidP="00FF3977">
            <w:pPr>
              <w:rPr>
                <w:rFonts w:eastAsia="Calibri"/>
              </w:rPr>
            </w:pPr>
            <w:r w:rsidRPr="00A411E7">
              <w:rPr>
                <w:rFonts w:eastAsia="Calibri"/>
              </w:rPr>
              <w:t>Composition of smoke — smoke generators</w:t>
            </w:r>
          </w:p>
        </w:tc>
        <w:tc>
          <w:tcPr>
            <w:tcW w:w="0" w:type="auto"/>
            <w:vAlign w:val="center"/>
          </w:tcPr>
          <w:p w14:paraId="18D823A8" w14:textId="77777777" w:rsidR="000837A9" w:rsidRPr="00A411E7" w:rsidRDefault="000837A9" w:rsidP="00FF3977">
            <w:pPr>
              <w:rPr>
                <w:rFonts w:eastAsia="Calibri"/>
              </w:rPr>
            </w:pPr>
            <w:r>
              <w:rPr>
                <w:color w:val="000000"/>
              </w:rPr>
              <w:t xml:space="preserve"> -</w:t>
            </w:r>
          </w:p>
        </w:tc>
        <w:tc>
          <w:tcPr>
            <w:tcW w:w="0" w:type="auto"/>
            <w:vAlign w:val="center"/>
          </w:tcPr>
          <w:p w14:paraId="36DC9D47" w14:textId="77777777" w:rsidR="000837A9" w:rsidRPr="00A411E7" w:rsidRDefault="000837A9" w:rsidP="00FF3977">
            <w:pPr>
              <w:rPr>
                <w:rFonts w:eastAsia="Calibri"/>
              </w:rPr>
            </w:pPr>
            <w:r>
              <w:rPr>
                <w:color w:val="000000"/>
              </w:rPr>
              <w:t xml:space="preserve"> -</w:t>
            </w:r>
          </w:p>
        </w:tc>
        <w:tc>
          <w:tcPr>
            <w:tcW w:w="0" w:type="auto"/>
            <w:vAlign w:val="center"/>
          </w:tcPr>
          <w:p w14:paraId="488A7DF1"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0" w:type="auto"/>
            <w:vAlign w:val="center"/>
          </w:tcPr>
          <w:p w14:paraId="040E5587" w14:textId="77777777" w:rsidR="000837A9" w:rsidRPr="00A411E7" w:rsidRDefault="000837A9" w:rsidP="00FF3977">
            <w:pPr>
              <w:rPr>
                <w:rFonts w:eastAsia="Calibri"/>
              </w:rPr>
            </w:pPr>
            <w:r>
              <w:rPr>
                <w:color w:val="000000"/>
              </w:rPr>
              <w:t xml:space="preserve"> -</w:t>
            </w:r>
          </w:p>
        </w:tc>
        <w:tc>
          <w:tcPr>
            <w:tcW w:w="0" w:type="auto"/>
          </w:tcPr>
          <w:p w14:paraId="34F3E0C1" w14:textId="77777777" w:rsidR="000837A9" w:rsidRDefault="000837A9" w:rsidP="00FF3977">
            <w:pPr>
              <w:rPr>
                <w:color w:val="000000"/>
              </w:rPr>
            </w:pPr>
            <w:r>
              <w:rPr>
                <w:color w:val="000000"/>
              </w:rPr>
              <w:t>Not relevant for an AL formulation</w:t>
            </w:r>
          </w:p>
        </w:tc>
      </w:tr>
      <w:tr w:rsidR="000837A9" w:rsidRPr="00A411E7" w14:paraId="3D3D05D9" w14:textId="77777777" w:rsidTr="00FF3977">
        <w:tc>
          <w:tcPr>
            <w:tcW w:w="0" w:type="auto"/>
          </w:tcPr>
          <w:p w14:paraId="69F5D026" w14:textId="77777777" w:rsidR="000837A9" w:rsidRPr="00A411E7" w:rsidRDefault="000837A9" w:rsidP="00FF3977">
            <w:pPr>
              <w:rPr>
                <w:rFonts w:eastAsia="Calibri"/>
              </w:rPr>
            </w:pPr>
            <w:r w:rsidRPr="00A411E7">
              <w:rPr>
                <w:rFonts w:eastAsia="Calibri"/>
              </w:rPr>
              <w:t>Spray</w:t>
            </w:r>
            <w:r>
              <w:rPr>
                <w:rFonts w:eastAsia="Calibri"/>
              </w:rPr>
              <w:t>ability</w:t>
            </w:r>
          </w:p>
        </w:tc>
        <w:tc>
          <w:tcPr>
            <w:tcW w:w="0" w:type="auto"/>
            <w:vAlign w:val="center"/>
          </w:tcPr>
          <w:p w14:paraId="163F3FD6" w14:textId="77777777" w:rsidR="000837A9" w:rsidRPr="00A411E7" w:rsidRDefault="000837A9" w:rsidP="00FF3977">
            <w:pPr>
              <w:rPr>
                <w:rFonts w:eastAsia="Calibri"/>
              </w:rPr>
            </w:pPr>
            <w:r>
              <w:rPr>
                <w:color w:val="000000"/>
              </w:rPr>
              <w:t xml:space="preserve"> In house method</w:t>
            </w:r>
          </w:p>
        </w:tc>
        <w:tc>
          <w:tcPr>
            <w:tcW w:w="0" w:type="auto"/>
            <w:vAlign w:val="center"/>
          </w:tcPr>
          <w:p w14:paraId="1380BC27" w14:textId="77777777" w:rsidR="000837A9" w:rsidRDefault="000837A9" w:rsidP="00FF3977">
            <w:pPr>
              <w:rPr>
                <w:color w:val="000000"/>
              </w:rPr>
            </w:pPr>
            <w:r>
              <w:rPr>
                <w:color w:val="000000"/>
              </w:rPr>
              <w:t xml:space="preserve"> Batch 5118225</w:t>
            </w:r>
          </w:p>
          <w:p w14:paraId="4CBEDB9D"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50FBFFC2" w14:textId="4F558553" w:rsidR="000837A9" w:rsidRDefault="000837A9" w:rsidP="00FF3977">
            <w:pPr>
              <w:rPr>
                <w:color w:val="000000"/>
              </w:rPr>
            </w:pPr>
            <w:r>
              <w:rPr>
                <w:color w:val="000000"/>
              </w:rPr>
              <w:t xml:space="preserve"> The mean volume of a pulverisation of the sprayer was 1.43 mL. The </w:t>
            </w:r>
            <w:r w:rsidR="008101B2">
              <w:rPr>
                <w:color w:val="000000"/>
              </w:rPr>
              <w:t xml:space="preserve">foam </w:t>
            </w:r>
            <w:r>
              <w:rPr>
                <w:color w:val="000000"/>
              </w:rPr>
              <w:t>nozzles of the sprays were checked and no blocking was observed.</w:t>
            </w:r>
          </w:p>
          <w:p w14:paraId="6E8F9AA1" w14:textId="77777777" w:rsidR="000837A9" w:rsidRDefault="000837A9" w:rsidP="00FF3977">
            <w:pPr>
              <w:rPr>
                <w:color w:val="000000"/>
              </w:rPr>
            </w:pPr>
            <w:r>
              <w:rPr>
                <w:color w:val="000000"/>
              </w:rPr>
              <w:t>The mean spray diameter of the sprayer was 15 cm. The shape of the spray on the wetted patch was circular.</w:t>
            </w:r>
          </w:p>
          <w:p w14:paraId="162BF493" w14:textId="77777777" w:rsidR="000837A9" w:rsidRDefault="000837A9" w:rsidP="00FF3977">
            <w:pPr>
              <w:rPr>
                <w:color w:val="000000"/>
              </w:rPr>
            </w:pPr>
          </w:p>
          <w:p w14:paraId="2F52560A" w14:textId="77777777" w:rsidR="000837A9" w:rsidRDefault="000837A9" w:rsidP="00FF3977">
            <w:r>
              <w:t xml:space="preserve">Products of META SPC 1 will be sold together with a srayer device with foam nozzle, therefore determination of the MMAD is not required. </w:t>
            </w:r>
          </w:p>
          <w:p w14:paraId="04BB7EAD" w14:textId="77777777" w:rsidR="000837A9" w:rsidRPr="00A411E7" w:rsidRDefault="000837A9" w:rsidP="00FF3977">
            <w:pPr>
              <w:rPr>
                <w:rFonts w:eastAsia="Calibri"/>
              </w:rPr>
            </w:pPr>
          </w:p>
        </w:tc>
        <w:tc>
          <w:tcPr>
            <w:tcW w:w="0" w:type="auto"/>
            <w:vAlign w:val="center"/>
          </w:tcPr>
          <w:p w14:paraId="27F75970" w14:textId="77777777" w:rsidR="000837A9" w:rsidRPr="00A411E7" w:rsidRDefault="000837A9" w:rsidP="00FF3977">
            <w:pPr>
              <w:rPr>
                <w:rFonts w:eastAsia="Calibri"/>
              </w:rPr>
            </w:pPr>
            <w:r>
              <w:rPr>
                <w:color w:val="000000"/>
              </w:rPr>
              <w:t xml:space="preserve"> Demangel B. and Ricau H., 2019, Report No 18-901011-009</w:t>
            </w:r>
          </w:p>
        </w:tc>
        <w:tc>
          <w:tcPr>
            <w:tcW w:w="0" w:type="auto"/>
          </w:tcPr>
          <w:p w14:paraId="572EE611" w14:textId="77777777" w:rsidR="000837A9" w:rsidRDefault="000837A9" w:rsidP="00FF3977">
            <w:pPr>
              <w:rPr>
                <w:color w:val="000000"/>
              </w:rPr>
            </w:pPr>
            <w:r>
              <w:rPr>
                <w:color w:val="000000"/>
              </w:rPr>
              <w:t>Acceptable</w:t>
            </w:r>
          </w:p>
        </w:tc>
      </w:tr>
      <w:tr w:rsidR="000837A9" w:rsidRPr="00A411E7" w14:paraId="1DD03183" w14:textId="77777777" w:rsidTr="00FF3977">
        <w:tc>
          <w:tcPr>
            <w:tcW w:w="0" w:type="auto"/>
          </w:tcPr>
          <w:p w14:paraId="69163058" w14:textId="77777777" w:rsidR="000837A9" w:rsidRPr="00A411E7" w:rsidRDefault="000837A9" w:rsidP="00FF3977">
            <w:pPr>
              <w:rPr>
                <w:rFonts w:eastAsia="Calibri"/>
              </w:rPr>
            </w:pPr>
            <w:r w:rsidRPr="00A411E7">
              <w:rPr>
                <w:rFonts w:eastAsia="Calibri"/>
              </w:rPr>
              <w:t>Physical compatibility</w:t>
            </w:r>
          </w:p>
        </w:tc>
        <w:tc>
          <w:tcPr>
            <w:tcW w:w="0" w:type="auto"/>
            <w:vAlign w:val="center"/>
          </w:tcPr>
          <w:p w14:paraId="134989FF" w14:textId="77777777" w:rsidR="000837A9" w:rsidRPr="00A411E7" w:rsidRDefault="000837A9" w:rsidP="00FF3977">
            <w:pPr>
              <w:rPr>
                <w:rFonts w:eastAsia="Calibri"/>
              </w:rPr>
            </w:pPr>
            <w:r>
              <w:rPr>
                <w:color w:val="000000"/>
              </w:rPr>
              <w:t xml:space="preserve"> -</w:t>
            </w:r>
          </w:p>
        </w:tc>
        <w:tc>
          <w:tcPr>
            <w:tcW w:w="0" w:type="auto"/>
            <w:vAlign w:val="center"/>
          </w:tcPr>
          <w:p w14:paraId="073FAFF1" w14:textId="77777777" w:rsidR="000837A9" w:rsidRPr="00A411E7" w:rsidRDefault="000837A9" w:rsidP="00FF3977">
            <w:pPr>
              <w:rPr>
                <w:rFonts w:eastAsia="Calibri"/>
              </w:rPr>
            </w:pPr>
            <w:r>
              <w:rPr>
                <w:color w:val="000000"/>
              </w:rPr>
              <w:t xml:space="preserve"> -</w:t>
            </w:r>
          </w:p>
        </w:tc>
        <w:tc>
          <w:tcPr>
            <w:tcW w:w="0" w:type="auto"/>
            <w:vAlign w:val="center"/>
          </w:tcPr>
          <w:p w14:paraId="314D5BC9"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0" w:type="auto"/>
            <w:vAlign w:val="center"/>
          </w:tcPr>
          <w:p w14:paraId="7FC70070" w14:textId="77777777" w:rsidR="000837A9" w:rsidRPr="00A411E7" w:rsidRDefault="000837A9" w:rsidP="00FF3977">
            <w:pPr>
              <w:rPr>
                <w:rFonts w:eastAsia="Calibri"/>
              </w:rPr>
            </w:pPr>
            <w:r>
              <w:rPr>
                <w:color w:val="000000"/>
              </w:rPr>
              <w:t xml:space="preserve"> -</w:t>
            </w:r>
          </w:p>
        </w:tc>
        <w:tc>
          <w:tcPr>
            <w:tcW w:w="0" w:type="auto"/>
          </w:tcPr>
          <w:p w14:paraId="1068C166" w14:textId="77777777" w:rsidR="000837A9" w:rsidRDefault="000837A9" w:rsidP="00FF3977">
            <w:pPr>
              <w:rPr>
                <w:color w:val="000000"/>
              </w:rPr>
            </w:pPr>
            <w:r>
              <w:rPr>
                <w:color w:val="000000"/>
              </w:rPr>
              <w:t>Acceptable</w:t>
            </w:r>
          </w:p>
        </w:tc>
      </w:tr>
      <w:tr w:rsidR="000837A9" w:rsidRPr="00A411E7" w14:paraId="637B64F4" w14:textId="77777777" w:rsidTr="00FF3977">
        <w:tc>
          <w:tcPr>
            <w:tcW w:w="0" w:type="auto"/>
          </w:tcPr>
          <w:p w14:paraId="57081EB1" w14:textId="77777777" w:rsidR="000837A9" w:rsidRPr="00A411E7" w:rsidRDefault="000837A9" w:rsidP="00FF3977">
            <w:pPr>
              <w:rPr>
                <w:rFonts w:eastAsia="Calibri"/>
              </w:rPr>
            </w:pPr>
            <w:r w:rsidRPr="00A411E7">
              <w:rPr>
                <w:rFonts w:eastAsia="Calibri"/>
              </w:rPr>
              <w:lastRenderedPageBreak/>
              <w:t>Chemical compatibility</w:t>
            </w:r>
          </w:p>
        </w:tc>
        <w:tc>
          <w:tcPr>
            <w:tcW w:w="0" w:type="auto"/>
            <w:vAlign w:val="center"/>
          </w:tcPr>
          <w:p w14:paraId="6D8E5DAA" w14:textId="77777777" w:rsidR="000837A9" w:rsidRPr="00A411E7" w:rsidRDefault="000837A9" w:rsidP="00FF3977">
            <w:pPr>
              <w:rPr>
                <w:rFonts w:eastAsia="Calibri"/>
              </w:rPr>
            </w:pPr>
            <w:r>
              <w:rPr>
                <w:color w:val="000000"/>
              </w:rPr>
              <w:t xml:space="preserve"> -</w:t>
            </w:r>
          </w:p>
        </w:tc>
        <w:tc>
          <w:tcPr>
            <w:tcW w:w="0" w:type="auto"/>
            <w:vAlign w:val="center"/>
          </w:tcPr>
          <w:p w14:paraId="09AC3C25" w14:textId="77777777" w:rsidR="000837A9" w:rsidRPr="00A411E7" w:rsidRDefault="000837A9" w:rsidP="00FF3977">
            <w:pPr>
              <w:rPr>
                <w:rFonts w:eastAsia="Calibri"/>
              </w:rPr>
            </w:pPr>
            <w:r>
              <w:rPr>
                <w:color w:val="000000"/>
              </w:rPr>
              <w:t xml:space="preserve"> -</w:t>
            </w:r>
          </w:p>
        </w:tc>
        <w:tc>
          <w:tcPr>
            <w:tcW w:w="0" w:type="auto"/>
            <w:vAlign w:val="center"/>
          </w:tcPr>
          <w:p w14:paraId="2F8C14CF"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0" w:type="auto"/>
            <w:vAlign w:val="center"/>
          </w:tcPr>
          <w:p w14:paraId="2C0719F9" w14:textId="77777777" w:rsidR="000837A9" w:rsidRPr="00A411E7" w:rsidRDefault="000837A9" w:rsidP="00FF3977">
            <w:pPr>
              <w:rPr>
                <w:rFonts w:eastAsia="Calibri"/>
              </w:rPr>
            </w:pPr>
            <w:r>
              <w:rPr>
                <w:color w:val="000000"/>
              </w:rPr>
              <w:t xml:space="preserve"> -</w:t>
            </w:r>
          </w:p>
        </w:tc>
        <w:tc>
          <w:tcPr>
            <w:tcW w:w="0" w:type="auto"/>
          </w:tcPr>
          <w:p w14:paraId="277C37F4" w14:textId="77777777" w:rsidR="000837A9" w:rsidRDefault="000837A9" w:rsidP="00FF3977">
            <w:pPr>
              <w:rPr>
                <w:color w:val="000000"/>
              </w:rPr>
            </w:pPr>
            <w:r>
              <w:rPr>
                <w:color w:val="000000"/>
              </w:rPr>
              <w:t>Acceptable</w:t>
            </w:r>
          </w:p>
        </w:tc>
      </w:tr>
      <w:tr w:rsidR="000837A9" w:rsidRPr="00A411E7" w14:paraId="7C9AA233" w14:textId="77777777" w:rsidTr="00FF3977">
        <w:tc>
          <w:tcPr>
            <w:tcW w:w="0" w:type="auto"/>
          </w:tcPr>
          <w:p w14:paraId="0FDCD244" w14:textId="77777777" w:rsidR="000837A9" w:rsidRPr="00A411E7" w:rsidRDefault="000837A9" w:rsidP="00FF3977">
            <w:pPr>
              <w:rPr>
                <w:rFonts w:eastAsia="Calibri"/>
              </w:rPr>
            </w:pPr>
            <w:r w:rsidRPr="00A411E7">
              <w:rPr>
                <w:rFonts w:eastAsia="Calibri"/>
              </w:rPr>
              <w:t>Degree of dissolution and dilution stability</w:t>
            </w:r>
          </w:p>
        </w:tc>
        <w:tc>
          <w:tcPr>
            <w:tcW w:w="0" w:type="auto"/>
            <w:vAlign w:val="center"/>
          </w:tcPr>
          <w:p w14:paraId="257B2437" w14:textId="77777777" w:rsidR="000837A9" w:rsidRPr="00A411E7" w:rsidRDefault="000837A9" w:rsidP="00FF3977">
            <w:pPr>
              <w:rPr>
                <w:rFonts w:eastAsia="Calibri"/>
              </w:rPr>
            </w:pPr>
            <w:r>
              <w:rPr>
                <w:color w:val="000000"/>
              </w:rPr>
              <w:t xml:space="preserve"> -</w:t>
            </w:r>
          </w:p>
        </w:tc>
        <w:tc>
          <w:tcPr>
            <w:tcW w:w="0" w:type="auto"/>
            <w:vAlign w:val="center"/>
          </w:tcPr>
          <w:p w14:paraId="00291D96" w14:textId="77777777" w:rsidR="000837A9" w:rsidRPr="00A411E7" w:rsidRDefault="000837A9" w:rsidP="00FF3977">
            <w:pPr>
              <w:rPr>
                <w:rFonts w:eastAsia="Calibri"/>
              </w:rPr>
            </w:pPr>
            <w:r>
              <w:rPr>
                <w:color w:val="000000"/>
              </w:rPr>
              <w:t xml:space="preserve"> -</w:t>
            </w:r>
          </w:p>
        </w:tc>
        <w:tc>
          <w:tcPr>
            <w:tcW w:w="0" w:type="auto"/>
            <w:vAlign w:val="center"/>
          </w:tcPr>
          <w:p w14:paraId="4460C188" w14:textId="77777777" w:rsidR="000837A9" w:rsidRPr="00A411E7" w:rsidRDefault="000837A9" w:rsidP="00FF3977">
            <w:pPr>
              <w:rPr>
                <w:rFonts w:eastAsia="Calibri"/>
              </w:rPr>
            </w:pPr>
            <w:r>
              <w:rPr>
                <w:color w:val="000000"/>
              </w:rPr>
              <w:t>Not required as the product is a ready-to-use liquid.</w:t>
            </w:r>
          </w:p>
        </w:tc>
        <w:tc>
          <w:tcPr>
            <w:tcW w:w="0" w:type="auto"/>
            <w:vAlign w:val="center"/>
          </w:tcPr>
          <w:p w14:paraId="4EED6788" w14:textId="77777777" w:rsidR="000837A9" w:rsidRPr="00A411E7" w:rsidRDefault="000837A9" w:rsidP="00FF3977">
            <w:pPr>
              <w:rPr>
                <w:rFonts w:eastAsia="Calibri"/>
              </w:rPr>
            </w:pPr>
            <w:r>
              <w:rPr>
                <w:color w:val="000000"/>
              </w:rPr>
              <w:t xml:space="preserve"> -</w:t>
            </w:r>
          </w:p>
        </w:tc>
        <w:tc>
          <w:tcPr>
            <w:tcW w:w="0" w:type="auto"/>
          </w:tcPr>
          <w:p w14:paraId="04A9AE91" w14:textId="77777777" w:rsidR="000837A9" w:rsidRDefault="000837A9" w:rsidP="00FF3977">
            <w:pPr>
              <w:rPr>
                <w:color w:val="000000"/>
              </w:rPr>
            </w:pPr>
            <w:r>
              <w:rPr>
                <w:color w:val="000000"/>
              </w:rPr>
              <w:t>Acceptable</w:t>
            </w:r>
          </w:p>
        </w:tc>
      </w:tr>
      <w:tr w:rsidR="000837A9" w:rsidRPr="00A411E7" w14:paraId="16EC9236" w14:textId="77777777" w:rsidTr="00FF3977">
        <w:tc>
          <w:tcPr>
            <w:tcW w:w="0" w:type="auto"/>
          </w:tcPr>
          <w:p w14:paraId="534D8134" w14:textId="77777777" w:rsidR="000837A9" w:rsidRPr="00A411E7" w:rsidRDefault="000837A9" w:rsidP="00FF3977">
            <w:pPr>
              <w:rPr>
                <w:rFonts w:eastAsia="Calibri"/>
              </w:rPr>
            </w:pPr>
            <w:r w:rsidRPr="00A411E7">
              <w:rPr>
                <w:rFonts w:eastAsia="Calibri"/>
              </w:rPr>
              <w:t>Surface tension</w:t>
            </w:r>
          </w:p>
        </w:tc>
        <w:tc>
          <w:tcPr>
            <w:tcW w:w="0" w:type="auto"/>
            <w:vAlign w:val="center"/>
          </w:tcPr>
          <w:p w14:paraId="5F627956" w14:textId="77777777" w:rsidR="000837A9" w:rsidRPr="00A411E7" w:rsidRDefault="000837A9" w:rsidP="00FF3977">
            <w:pPr>
              <w:rPr>
                <w:rFonts w:eastAsia="Calibri"/>
              </w:rPr>
            </w:pPr>
            <w:r>
              <w:rPr>
                <w:color w:val="000000"/>
              </w:rPr>
              <w:t>EC A.5. method (2008) and OECD Guideline No. 115 (1995)</w:t>
            </w:r>
          </w:p>
        </w:tc>
        <w:tc>
          <w:tcPr>
            <w:tcW w:w="0" w:type="auto"/>
            <w:vAlign w:val="center"/>
          </w:tcPr>
          <w:p w14:paraId="5FD5C317" w14:textId="77777777" w:rsidR="000837A9" w:rsidRDefault="000837A9" w:rsidP="00FF3977">
            <w:pPr>
              <w:rPr>
                <w:color w:val="000000"/>
              </w:rPr>
            </w:pPr>
            <w:r>
              <w:rPr>
                <w:color w:val="000000"/>
              </w:rPr>
              <w:t xml:space="preserve">Batch 5118225 </w:t>
            </w:r>
          </w:p>
          <w:p w14:paraId="26AA23F2"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6831C58A" w14:textId="77777777" w:rsidR="000837A9" w:rsidRPr="00A411E7" w:rsidRDefault="000837A9" w:rsidP="00FF3977">
            <w:pPr>
              <w:rPr>
                <w:rFonts w:eastAsia="Calibri"/>
              </w:rPr>
            </w:pPr>
            <w:r>
              <w:rPr>
                <w:color w:val="000000"/>
              </w:rPr>
              <w:t>The mean surface tension of the pure test item at 19.9 °C was 25.5 mN/m.</w:t>
            </w:r>
            <w:r>
              <w:rPr>
                <w:color w:val="000000"/>
              </w:rPr>
              <w:br/>
              <w:t>The test item was considered as surface-active in the experimental conditions</w:t>
            </w:r>
            <w:r>
              <w:rPr>
                <w:color w:val="000000"/>
              </w:rPr>
              <w:br/>
              <w:t>used.</w:t>
            </w:r>
          </w:p>
        </w:tc>
        <w:tc>
          <w:tcPr>
            <w:tcW w:w="0" w:type="auto"/>
            <w:vAlign w:val="center"/>
          </w:tcPr>
          <w:p w14:paraId="58743C09" w14:textId="77777777" w:rsidR="000837A9" w:rsidRPr="00A411E7" w:rsidRDefault="000837A9" w:rsidP="00FF3977">
            <w:pPr>
              <w:rPr>
                <w:rFonts w:eastAsia="Calibri"/>
              </w:rPr>
            </w:pPr>
            <w:r>
              <w:rPr>
                <w:color w:val="000000"/>
              </w:rPr>
              <w:t>Demangel B., 2019, Report No 18-901011-008</w:t>
            </w:r>
          </w:p>
        </w:tc>
        <w:tc>
          <w:tcPr>
            <w:tcW w:w="0" w:type="auto"/>
          </w:tcPr>
          <w:p w14:paraId="7E301D9A" w14:textId="77777777" w:rsidR="000837A9" w:rsidRDefault="000837A9" w:rsidP="00FF3977">
            <w:pPr>
              <w:rPr>
                <w:color w:val="000000"/>
              </w:rPr>
            </w:pPr>
            <w:r>
              <w:rPr>
                <w:color w:val="000000"/>
              </w:rPr>
              <w:t>Acceptable</w:t>
            </w:r>
          </w:p>
        </w:tc>
      </w:tr>
      <w:tr w:rsidR="000837A9" w:rsidRPr="00A411E7" w14:paraId="2654E82C" w14:textId="77777777" w:rsidTr="00FF3977">
        <w:tc>
          <w:tcPr>
            <w:tcW w:w="0" w:type="auto"/>
          </w:tcPr>
          <w:p w14:paraId="0CB1DF70" w14:textId="77777777" w:rsidR="000837A9" w:rsidRPr="00A411E7" w:rsidRDefault="000837A9" w:rsidP="00FF3977">
            <w:pPr>
              <w:rPr>
                <w:rFonts w:eastAsia="Calibri"/>
              </w:rPr>
            </w:pPr>
            <w:r w:rsidRPr="00A411E7">
              <w:rPr>
                <w:rFonts w:eastAsia="Calibri"/>
              </w:rPr>
              <w:t>Viscosity</w:t>
            </w:r>
          </w:p>
        </w:tc>
        <w:tc>
          <w:tcPr>
            <w:tcW w:w="0" w:type="auto"/>
            <w:vAlign w:val="center"/>
          </w:tcPr>
          <w:p w14:paraId="1ED5798C" w14:textId="77777777" w:rsidR="000837A9" w:rsidRPr="00A411E7" w:rsidRDefault="000837A9" w:rsidP="00FF3977">
            <w:pPr>
              <w:rPr>
                <w:rFonts w:eastAsia="Calibri"/>
              </w:rPr>
            </w:pPr>
            <w:r>
              <w:rPr>
                <w:color w:val="000000"/>
              </w:rPr>
              <w:t>OECD Guideline No. 114 (2012) and ISO Standard 3219 (1993)</w:t>
            </w:r>
          </w:p>
        </w:tc>
        <w:tc>
          <w:tcPr>
            <w:tcW w:w="0" w:type="auto"/>
            <w:vAlign w:val="center"/>
          </w:tcPr>
          <w:p w14:paraId="7EA4A9A0" w14:textId="77777777" w:rsidR="000837A9" w:rsidRDefault="000837A9" w:rsidP="00FF3977">
            <w:pPr>
              <w:rPr>
                <w:color w:val="000000"/>
              </w:rPr>
            </w:pPr>
            <w:r>
              <w:rPr>
                <w:color w:val="000000"/>
              </w:rPr>
              <w:t xml:space="preserve">Batch 5118225 </w:t>
            </w:r>
          </w:p>
          <w:p w14:paraId="0E0C610E" w14:textId="77777777" w:rsidR="000837A9" w:rsidRPr="00A411E7" w:rsidRDefault="000837A9" w:rsidP="00FF3977">
            <w:pPr>
              <w:rPr>
                <w:rFonts w:eastAsia="Calibri"/>
              </w:rPr>
            </w:pPr>
            <w:r>
              <w:rPr>
                <w:color w:val="000000"/>
              </w:rPr>
              <w:t>Test item:</w:t>
            </w:r>
            <w:r>
              <w:t xml:space="preserve"> </w:t>
            </w:r>
            <w:r w:rsidRPr="00A46573">
              <w:rPr>
                <w:color w:val="000000"/>
              </w:rPr>
              <w:t>218087-P1</w:t>
            </w:r>
          </w:p>
        </w:tc>
        <w:tc>
          <w:tcPr>
            <w:tcW w:w="0" w:type="auto"/>
            <w:vAlign w:val="center"/>
          </w:tcPr>
          <w:p w14:paraId="0BF4085E" w14:textId="77777777" w:rsidR="000837A9" w:rsidRPr="00A411E7" w:rsidRDefault="000837A9" w:rsidP="00FF3977">
            <w:pPr>
              <w:rPr>
                <w:rFonts w:eastAsia="Calibri"/>
              </w:rPr>
            </w:pPr>
            <w:r>
              <w:rPr>
                <w:color w:val="000000"/>
              </w:rPr>
              <w:t>Taking into account the results obtained at 20.0 °C and 40.0 °C, the test item was considered to have newtonian properties in the experimental conditions used.</w:t>
            </w:r>
            <w:r>
              <w:rPr>
                <w:color w:val="000000"/>
              </w:rPr>
              <w:br/>
              <w:t>The mean dynamic viscosity of the test item was 1.41 mPa.s at 20.0 °C ± 0.2 °C and 1.01 mPa.s at 40.0 °C ± 0.2 °C.</w:t>
            </w:r>
          </w:p>
        </w:tc>
        <w:tc>
          <w:tcPr>
            <w:tcW w:w="0" w:type="auto"/>
            <w:vAlign w:val="center"/>
          </w:tcPr>
          <w:p w14:paraId="2BF1AD0E" w14:textId="77777777" w:rsidR="000837A9" w:rsidRPr="00A411E7" w:rsidRDefault="000837A9" w:rsidP="00FF3977">
            <w:pPr>
              <w:rPr>
                <w:rFonts w:eastAsia="Calibri"/>
              </w:rPr>
            </w:pPr>
            <w:r>
              <w:rPr>
                <w:color w:val="000000"/>
              </w:rPr>
              <w:t>Demangel B., 2019, Report No 18-901011-008</w:t>
            </w:r>
          </w:p>
        </w:tc>
        <w:tc>
          <w:tcPr>
            <w:tcW w:w="0" w:type="auto"/>
          </w:tcPr>
          <w:p w14:paraId="7188C0AF" w14:textId="77777777" w:rsidR="000837A9" w:rsidRDefault="000837A9" w:rsidP="00FF3977">
            <w:pPr>
              <w:rPr>
                <w:color w:val="000000"/>
              </w:rPr>
            </w:pPr>
            <w:r>
              <w:rPr>
                <w:color w:val="000000"/>
              </w:rPr>
              <w:t>Acceptable</w:t>
            </w:r>
          </w:p>
        </w:tc>
      </w:tr>
    </w:tbl>
    <w:p w14:paraId="372504E0" w14:textId="77777777" w:rsidR="000837A9" w:rsidRDefault="000837A9" w:rsidP="000837A9">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837A9" w:rsidRPr="00A411E7" w14:paraId="09358912"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3763C2D0" w14:textId="77777777" w:rsidR="000837A9" w:rsidRPr="00F24D0D" w:rsidRDefault="000837A9"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1</w:t>
            </w:r>
          </w:p>
        </w:tc>
      </w:tr>
      <w:tr w:rsidR="000837A9" w:rsidRPr="001D704F" w14:paraId="4AB04963"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5D83368" w14:textId="77777777" w:rsidR="000837A9" w:rsidRDefault="000837A9" w:rsidP="00FF3977">
            <w:pPr>
              <w:spacing w:line="276" w:lineRule="auto"/>
              <w:jc w:val="both"/>
              <w:rPr>
                <w:lang w:eastAsia="en-US"/>
              </w:rPr>
            </w:pPr>
            <w:r>
              <w:rPr>
                <w:lang w:eastAsia="en-US"/>
              </w:rPr>
              <w:t>The Meta-SPC 1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x0i9TLjz","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Union"}]},"locator":"5"}],"schema":"https://github.com/citation-style-language/schema/raw/master/csl-citation.json"} </w:instrText>
            </w:r>
            <w:r>
              <w:rPr>
                <w:color w:val="FF0000"/>
                <w:lang w:eastAsia="en-US"/>
              </w:rPr>
              <w:fldChar w:fldCharType="separate"/>
            </w:r>
            <w:r w:rsidRPr="0098795B">
              <w:t>(1)</w:t>
            </w:r>
            <w:r>
              <w:rPr>
                <w:color w:val="FF0000"/>
                <w:lang w:eastAsia="en-US"/>
              </w:rPr>
              <w:fldChar w:fldCharType="end"/>
            </w:r>
            <w:r>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uW802cCd","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98795B">
              <w:t>(3)</w:t>
            </w:r>
            <w:r>
              <w:rPr>
                <w:lang w:eastAsia="en-US"/>
              </w:rPr>
              <w:fldChar w:fldCharType="end"/>
            </w:r>
            <w:r>
              <w:rPr>
                <w:lang w:eastAsia="en-US"/>
              </w:rPr>
              <w:t xml:space="preserve">) and the results are deemed to be acceptable. </w:t>
            </w:r>
          </w:p>
          <w:p w14:paraId="3238FBA4" w14:textId="77777777" w:rsidR="000837A9" w:rsidRDefault="000837A9" w:rsidP="00FF3977">
            <w:pPr>
              <w:spacing w:line="276" w:lineRule="auto"/>
              <w:jc w:val="both"/>
              <w:rPr>
                <w:lang w:eastAsia="en-US"/>
              </w:rPr>
            </w:pPr>
            <w:r>
              <w:rPr>
                <w:lang w:eastAsia="en-US"/>
              </w:rPr>
              <w:t xml:space="preserve">The appearance of the product is an </w:t>
            </w:r>
            <w:r>
              <w:rPr>
                <w:color w:val="000000"/>
              </w:rPr>
              <w:t>homogeneous colourless limpid liquid</w:t>
            </w:r>
            <w:r>
              <w:t xml:space="preserve">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xml:space="preserve">, PET, COEXTRUDE (HDPE/PA). The long term storage stability study is on-going and </w:t>
            </w:r>
            <w:r>
              <w:t>should be provided in post-authorisation.</w:t>
            </w:r>
          </w:p>
          <w:p w14:paraId="4F1A9AC5" w14:textId="77777777" w:rsidR="000837A9" w:rsidRPr="001D704F" w:rsidRDefault="000837A9" w:rsidP="00FF3977">
            <w:pPr>
              <w:spacing w:line="260" w:lineRule="atLeast"/>
              <w:rPr>
                <w:rFonts w:eastAsia="Calibri"/>
                <w:color w:val="FF0000"/>
                <w:lang w:val="en-US" w:eastAsia="en-US"/>
              </w:rPr>
            </w:pPr>
            <w:r>
              <w:rPr>
                <w:lang w:eastAsia="en-US"/>
              </w:rPr>
              <w:t>Its technical characteristics are acceptable for an AL formulation.</w:t>
            </w:r>
          </w:p>
        </w:tc>
      </w:tr>
    </w:tbl>
    <w:p w14:paraId="2238DDCB" w14:textId="36ED7913" w:rsidR="000837A9" w:rsidRDefault="000837A9" w:rsidP="000837A9">
      <w:pPr>
        <w:spacing w:line="260" w:lineRule="atLeast"/>
        <w:ind w:left="360"/>
        <w:contextualSpacing/>
        <w:rPr>
          <w:rFonts w:eastAsia="Calibri"/>
          <w:lang w:val="en-US" w:eastAsia="sv-SE"/>
        </w:rPr>
      </w:pPr>
    </w:p>
    <w:p w14:paraId="4F4AAC76" w14:textId="54668D3F" w:rsidR="000837A9" w:rsidRDefault="000837A9" w:rsidP="000837A9">
      <w:pPr>
        <w:spacing w:line="260" w:lineRule="atLeast"/>
        <w:ind w:left="360"/>
        <w:contextualSpacing/>
        <w:rPr>
          <w:rFonts w:eastAsia="Calibri"/>
          <w:lang w:val="en-US" w:eastAsia="sv-SE"/>
        </w:rPr>
      </w:pPr>
    </w:p>
    <w:p w14:paraId="7D458AC4" w14:textId="5DF918ED" w:rsidR="000837A9" w:rsidRDefault="000837A9" w:rsidP="000837A9">
      <w:pPr>
        <w:spacing w:line="260" w:lineRule="atLeast"/>
        <w:ind w:left="360"/>
        <w:contextualSpacing/>
        <w:rPr>
          <w:rFonts w:eastAsia="Calibri"/>
          <w:lang w:val="en-US" w:eastAsia="sv-SE"/>
        </w:rPr>
      </w:pPr>
    </w:p>
    <w:p w14:paraId="383E2A51" w14:textId="15B9E67F" w:rsidR="000837A9" w:rsidRDefault="000837A9" w:rsidP="000837A9">
      <w:pPr>
        <w:spacing w:line="260" w:lineRule="atLeast"/>
        <w:ind w:left="360"/>
        <w:contextualSpacing/>
        <w:rPr>
          <w:rFonts w:eastAsia="Calibri"/>
          <w:lang w:val="en-US" w:eastAsia="sv-SE"/>
        </w:rPr>
      </w:pPr>
    </w:p>
    <w:p w14:paraId="17CC4F03" w14:textId="0DF82384" w:rsidR="000837A9" w:rsidRDefault="000837A9" w:rsidP="000837A9">
      <w:pPr>
        <w:spacing w:line="260" w:lineRule="atLeast"/>
        <w:ind w:left="360"/>
        <w:contextualSpacing/>
        <w:rPr>
          <w:rFonts w:eastAsia="Calibri"/>
          <w:lang w:val="en-US" w:eastAsia="sv-SE"/>
        </w:rPr>
      </w:pPr>
    </w:p>
    <w:p w14:paraId="0377277E" w14:textId="4D6C5FD1" w:rsidR="000837A9" w:rsidRDefault="000837A9" w:rsidP="000837A9">
      <w:pPr>
        <w:spacing w:line="260" w:lineRule="atLeast"/>
        <w:ind w:left="360"/>
        <w:contextualSpacing/>
        <w:rPr>
          <w:rFonts w:eastAsia="Calibri"/>
          <w:lang w:val="en-US" w:eastAsia="sv-SE"/>
        </w:rPr>
      </w:pPr>
    </w:p>
    <w:p w14:paraId="51A4C23F" w14:textId="77777777" w:rsidR="000837A9" w:rsidRPr="00E91F85" w:rsidRDefault="000837A9" w:rsidP="000837A9">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1602"/>
        <w:gridCol w:w="1212"/>
        <w:gridCol w:w="4616"/>
        <w:gridCol w:w="1207"/>
        <w:gridCol w:w="1384"/>
      </w:tblGrid>
      <w:tr w:rsidR="000837A9" w14:paraId="04C35C60" w14:textId="77777777" w:rsidTr="00FF3977">
        <w:trPr>
          <w:tblHeader/>
        </w:trPr>
        <w:tc>
          <w:tcPr>
            <w:tcW w:w="4513" w:type="pct"/>
            <w:gridSpan w:val="5"/>
            <w:shd w:val="clear" w:color="auto" w:fill="E0E0E0"/>
            <w:vAlign w:val="center"/>
          </w:tcPr>
          <w:p w14:paraId="4C1D9A76" w14:textId="087C52B9" w:rsidR="000837A9" w:rsidRPr="00305B11" w:rsidRDefault="000837A9" w:rsidP="00FF3977">
            <w:pPr>
              <w:spacing w:line="260" w:lineRule="atLeast"/>
              <w:rPr>
                <w:rFonts w:eastAsia="Calibri"/>
                <w:b/>
                <w:lang w:eastAsia="en-US"/>
              </w:rPr>
            </w:pPr>
            <w:r>
              <w:rPr>
                <w:rFonts w:eastAsia="Calibri"/>
                <w:b/>
                <w:lang w:eastAsia="en-US"/>
              </w:rPr>
              <w:t>Meta-SPC 2 ( AL – ready to use)</w:t>
            </w:r>
            <w:r w:rsidR="008101B2">
              <w:rPr>
                <w:rFonts w:eastAsia="Calibri"/>
                <w:b/>
                <w:lang w:eastAsia="en-US"/>
              </w:rPr>
              <w:t xml:space="preserve"> Packaging : trigger sprays with foam nozzle / bottles </w:t>
            </w:r>
          </w:p>
        </w:tc>
        <w:tc>
          <w:tcPr>
            <w:tcW w:w="487" w:type="pct"/>
            <w:shd w:val="clear" w:color="auto" w:fill="E0E0E0"/>
          </w:tcPr>
          <w:p w14:paraId="26BB9156" w14:textId="77777777" w:rsidR="000837A9" w:rsidRDefault="000837A9" w:rsidP="00FF3977">
            <w:pPr>
              <w:spacing w:line="260" w:lineRule="atLeast"/>
              <w:rPr>
                <w:rFonts w:eastAsia="Calibri"/>
                <w:b/>
                <w:lang w:eastAsia="en-US"/>
              </w:rPr>
            </w:pPr>
          </w:p>
        </w:tc>
      </w:tr>
      <w:tr w:rsidR="000837A9" w:rsidRPr="00305B11" w14:paraId="4AFFBF5A" w14:textId="77777777" w:rsidTr="00FF3977">
        <w:trPr>
          <w:tblHeader/>
        </w:trPr>
        <w:tc>
          <w:tcPr>
            <w:tcW w:w="1255" w:type="pct"/>
            <w:shd w:val="clear" w:color="auto" w:fill="E0E0E0"/>
            <w:vAlign w:val="center"/>
          </w:tcPr>
          <w:p w14:paraId="55BB70F7" w14:textId="77777777" w:rsidR="000837A9" w:rsidRPr="00F24D0D" w:rsidRDefault="000837A9" w:rsidP="00FF3977">
            <w:pPr>
              <w:spacing w:line="260" w:lineRule="atLeast"/>
              <w:rPr>
                <w:rFonts w:eastAsia="Calibri"/>
                <w:b/>
                <w:lang w:eastAsia="en-US"/>
              </w:rPr>
            </w:pPr>
            <w:r w:rsidRPr="00F24D0D">
              <w:rPr>
                <w:rFonts w:eastAsia="Calibri"/>
                <w:b/>
                <w:lang w:eastAsia="en-US"/>
              </w:rPr>
              <w:t>Property</w:t>
            </w:r>
          </w:p>
        </w:tc>
        <w:tc>
          <w:tcPr>
            <w:tcW w:w="605" w:type="pct"/>
            <w:shd w:val="clear" w:color="auto" w:fill="E0E0E0"/>
            <w:vAlign w:val="center"/>
          </w:tcPr>
          <w:p w14:paraId="12E9A660" w14:textId="77777777" w:rsidR="000837A9" w:rsidRPr="00F24D0D" w:rsidRDefault="000837A9" w:rsidP="00FF3977">
            <w:pPr>
              <w:spacing w:line="260" w:lineRule="atLeast"/>
              <w:rPr>
                <w:rFonts w:eastAsia="Calibri"/>
                <w:b/>
                <w:lang w:eastAsia="en-US"/>
              </w:rPr>
            </w:pPr>
            <w:r w:rsidRPr="00F24D0D">
              <w:rPr>
                <w:rFonts w:eastAsia="Calibri"/>
                <w:b/>
                <w:lang w:eastAsia="en-US"/>
              </w:rPr>
              <w:t>Guideline  and Method</w:t>
            </w:r>
          </w:p>
        </w:tc>
        <w:tc>
          <w:tcPr>
            <w:tcW w:w="458" w:type="pct"/>
            <w:shd w:val="clear" w:color="auto" w:fill="E0E0E0"/>
            <w:vAlign w:val="center"/>
          </w:tcPr>
          <w:p w14:paraId="28A060E8" w14:textId="77777777" w:rsidR="000837A9" w:rsidRPr="00F24D0D" w:rsidRDefault="000837A9" w:rsidP="00FF3977">
            <w:pPr>
              <w:spacing w:line="260" w:lineRule="atLeast"/>
              <w:rPr>
                <w:rFonts w:eastAsia="Calibri"/>
                <w:b/>
                <w:lang w:eastAsia="en-US"/>
              </w:rPr>
            </w:pPr>
            <w:r w:rsidRPr="00F24D0D">
              <w:rPr>
                <w:rFonts w:eastAsia="Calibri"/>
                <w:b/>
                <w:lang w:eastAsia="en-US"/>
              </w:rPr>
              <w:t>Purity of the test substance (% (w/w)</w:t>
            </w:r>
          </w:p>
        </w:tc>
        <w:tc>
          <w:tcPr>
            <w:tcW w:w="1739" w:type="pct"/>
            <w:shd w:val="clear" w:color="auto" w:fill="E0E0E0"/>
            <w:vAlign w:val="center"/>
          </w:tcPr>
          <w:p w14:paraId="2BB26851" w14:textId="77777777" w:rsidR="000837A9" w:rsidRPr="00C746BC" w:rsidRDefault="000837A9" w:rsidP="00FF3977">
            <w:pPr>
              <w:spacing w:line="260" w:lineRule="atLeast"/>
              <w:rPr>
                <w:rFonts w:eastAsia="Calibri"/>
                <w:b/>
                <w:lang w:eastAsia="en-US"/>
              </w:rPr>
            </w:pPr>
            <w:r w:rsidRPr="00C746BC">
              <w:rPr>
                <w:rFonts w:eastAsia="Calibri"/>
                <w:b/>
                <w:lang w:eastAsia="en-US"/>
              </w:rPr>
              <w:t>Results</w:t>
            </w:r>
          </w:p>
        </w:tc>
        <w:tc>
          <w:tcPr>
            <w:tcW w:w="455" w:type="pct"/>
            <w:shd w:val="clear" w:color="auto" w:fill="E0E0E0"/>
            <w:vAlign w:val="center"/>
          </w:tcPr>
          <w:p w14:paraId="7658C290" w14:textId="77777777" w:rsidR="000837A9" w:rsidRPr="00305B11" w:rsidRDefault="000837A9" w:rsidP="00FF3977">
            <w:pPr>
              <w:spacing w:line="260" w:lineRule="atLeast"/>
              <w:rPr>
                <w:rFonts w:eastAsia="Calibri"/>
                <w:b/>
                <w:lang w:eastAsia="en-US"/>
              </w:rPr>
            </w:pPr>
            <w:r w:rsidRPr="00305B11">
              <w:rPr>
                <w:rFonts w:eastAsia="Calibri"/>
                <w:b/>
                <w:lang w:eastAsia="en-US"/>
              </w:rPr>
              <w:t>Reference</w:t>
            </w:r>
          </w:p>
        </w:tc>
        <w:tc>
          <w:tcPr>
            <w:tcW w:w="487" w:type="pct"/>
            <w:shd w:val="clear" w:color="auto" w:fill="E0E0E0"/>
            <w:vAlign w:val="center"/>
          </w:tcPr>
          <w:p w14:paraId="462D1808" w14:textId="77777777" w:rsidR="000837A9" w:rsidRPr="00305B11" w:rsidRDefault="000837A9" w:rsidP="00FF3977">
            <w:pPr>
              <w:spacing w:line="260" w:lineRule="atLeast"/>
              <w:rPr>
                <w:rFonts w:eastAsia="Calibri"/>
                <w:b/>
                <w:lang w:eastAsia="en-US"/>
              </w:rPr>
            </w:pPr>
            <w:r>
              <w:rPr>
                <w:rFonts w:eastAsia="Calibri"/>
                <w:b/>
                <w:lang w:eastAsia="en-US"/>
              </w:rPr>
              <w:t>FR evaluation</w:t>
            </w:r>
          </w:p>
        </w:tc>
      </w:tr>
      <w:tr w:rsidR="000837A9" w14:paraId="142FE6FA" w14:textId="77777777" w:rsidTr="00FF3977">
        <w:tc>
          <w:tcPr>
            <w:tcW w:w="1255" w:type="pct"/>
          </w:tcPr>
          <w:p w14:paraId="505CAE5F" w14:textId="77777777" w:rsidR="000837A9" w:rsidRPr="00017CF8" w:rsidRDefault="000837A9"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605" w:type="pct"/>
            <w:vAlign w:val="center"/>
          </w:tcPr>
          <w:p w14:paraId="0E9A41B7" w14:textId="77777777" w:rsidR="000837A9" w:rsidRPr="00017CF8" w:rsidRDefault="000837A9" w:rsidP="00FF3977">
            <w:pPr>
              <w:rPr>
                <w:rFonts w:eastAsia="Calibri"/>
              </w:rPr>
            </w:pPr>
            <w:r>
              <w:rPr>
                <w:color w:val="000000"/>
              </w:rPr>
              <w:t xml:space="preserve"> -</w:t>
            </w:r>
          </w:p>
        </w:tc>
        <w:tc>
          <w:tcPr>
            <w:tcW w:w="458" w:type="pct"/>
            <w:vAlign w:val="center"/>
          </w:tcPr>
          <w:p w14:paraId="4ED7BCBB" w14:textId="77777777" w:rsidR="000837A9" w:rsidRDefault="000837A9" w:rsidP="00FF3977">
            <w:pPr>
              <w:rPr>
                <w:color w:val="000000"/>
              </w:rPr>
            </w:pPr>
            <w:r>
              <w:rPr>
                <w:color w:val="000000"/>
              </w:rPr>
              <w:t>Batch 5118225</w:t>
            </w:r>
          </w:p>
          <w:p w14:paraId="45703510" w14:textId="77777777" w:rsidR="000837A9" w:rsidRPr="00017CF8" w:rsidRDefault="000837A9" w:rsidP="00FF3977">
            <w:pPr>
              <w:rPr>
                <w:rFonts w:eastAsia="Calibri"/>
              </w:rPr>
            </w:pPr>
            <w:r>
              <w:rPr>
                <w:color w:val="000000"/>
              </w:rPr>
              <w:t xml:space="preserve">Test item: </w:t>
            </w:r>
            <w:r w:rsidRPr="00600059">
              <w:rPr>
                <w:color w:val="000000"/>
              </w:rPr>
              <w:t>218221-P2</w:t>
            </w:r>
          </w:p>
        </w:tc>
        <w:tc>
          <w:tcPr>
            <w:tcW w:w="1739" w:type="pct"/>
            <w:vAlign w:val="center"/>
          </w:tcPr>
          <w:p w14:paraId="7CB08C90" w14:textId="77777777" w:rsidR="000837A9" w:rsidRPr="00017CF8" w:rsidRDefault="000837A9" w:rsidP="00FF3977">
            <w:pPr>
              <w:rPr>
                <w:rFonts w:eastAsia="Calibri"/>
              </w:rPr>
            </w:pPr>
            <w:r>
              <w:rPr>
                <w:color w:val="000000"/>
              </w:rPr>
              <w:t>The appearance of the test item was homogeneous colourless opalescent liquid with a characteristic odour.</w:t>
            </w:r>
          </w:p>
        </w:tc>
        <w:tc>
          <w:tcPr>
            <w:tcW w:w="455" w:type="pct"/>
            <w:vAlign w:val="center"/>
          </w:tcPr>
          <w:p w14:paraId="1C0D63C8" w14:textId="77777777" w:rsidR="000837A9" w:rsidRPr="00017CF8" w:rsidRDefault="000837A9" w:rsidP="00FF3977">
            <w:pPr>
              <w:rPr>
                <w:rFonts w:eastAsia="Calibri"/>
              </w:rPr>
            </w:pPr>
            <w:r>
              <w:rPr>
                <w:color w:val="000000"/>
              </w:rPr>
              <w:t>Demangel B. and Ricau H., 2019, Report No 18-901011-014</w:t>
            </w:r>
          </w:p>
        </w:tc>
        <w:tc>
          <w:tcPr>
            <w:tcW w:w="487" w:type="pct"/>
          </w:tcPr>
          <w:p w14:paraId="48B99FAF" w14:textId="77777777" w:rsidR="000837A9" w:rsidRDefault="000837A9" w:rsidP="00FF3977">
            <w:pPr>
              <w:rPr>
                <w:color w:val="000000"/>
              </w:rPr>
            </w:pPr>
            <w:r>
              <w:rPr>
                <w:color w:val="000000"/>
              </w:rPr>
              <w:t>Acceptable</w:t>
            </w:r>
          </w:p>
        </w:tc>
      </w:tr>
      <w:tr w:rsidR="000837A9" w14:paraId="66166E68" w14:textId="77777777" w:rsidTr="00FF3977">
        <w:tc>
          <w:tcPr>
            <w:tcW w:w="1255" w:type="pct"/>
          </w:tcPr>
          <w:p w14:paraId="0CBCB59A" w14:textId="77777777" w:rsidR="000837A9" w:rsidRPr="00A411E7" w:rsidRDefault="000837A9" w:rsidP="00FF3977">
            <w:pPr>
              <w:rPr>
                <w:rFonts w:eastAsia="Calibri"/>
              </w:rPr>
            </w:pPr>
            <w:r w:rsidRPr="00A411E7">
              <w:rPr>
                <w:rFonts w:eastAsia="Calibri"/>
              </w:rPr>
              <w:t>Acidity / alkalinity</w:t>
            </w:r>
          </w:p>
        </w:tc>
        <w:tc>
          <w:tcPr>
            <w:tcW w:w="605" w:type="pct"/>
            <w:vAlign w:val="center"/>
          </w:tcPr>
          <w:p w14:paraId="3E8F91F0" w14:textId="77777777" w:rsidR="000837A9" w:rsidRPr="00A411E7" w:rsidRDefault="000837A9" w:rsidP="00FF3977">
            <w:pPr>
              <w:rPr>
                <w:rFonts w:eastAsia="Calibri"/>
              </w:rPr>
            </w:pPr>
            <w:r>
              <w:rPr>
                <w:color w:val="000000"/>
              </w:rPr>
              <w:t>CIPAC Handbook L - MT 191 method (2006)</w:t>
            </w:r>
          </w:p>
        </w:tc>
        <w:tc>
          <w:tcPr>
            <w:tcW w:w="458" w:type="pct"/>
            <w:vAlign w:val="center"/>
          </w:tcPr>
          <w:p w14:paraId="24DE787C" w14:textId="77777777" w:rsidR="000837A9" w:rsidRDefault="000837A9" w:rsidP="00FF3977">
            <w:pPr>
              <w:rPr>
                <w:color w:val="000000"/>
              </w:rPr>
            </w:pPr>
            <w:r>
              <w:rPr>
                <w:color w:val="000000"/>
              </w:rPr>
              <w:t>Batch 5118225</w:t>
            </w:r>
          </w:p>
          <w:p w14:paraId="05C0EDCA" w14:textId="77777777" w:rsidR="000837A9" w:rsidRPr="00A411E7" w:rsidRDefault="000837A9" w:rsidP="00FF3977">
            <w:pPr>
              <w:rPr>
                <w:rFonts w:eastAsia="Calibri"/>
              </w:rPr>
            </w:pPr>
            <w:r>
              <w:rPr>
                <w:color w:val="000000"/>
              </w:rPr>
              <w:t xml:space="preserve">Test item: </w:t>
            </w:r>
            <w:r w:rsidRPr="00600059">
              <w:rPr>
                <w:color w:val="000000"/>
              </w:rPr>
              <w:t>218221-P2</w:t>
            </w:r>
          </w:p>
        </w:tc>
        <w:tc>
          <w:tcPr>
            <w:tcW w:w="1739" w:type="pct"/>
            <w:vAlign w:val="center"/>
          </w:tcPr>
          <w:p w14:paraId="556F0F76" w14:textId="77777777" w:rsidR="000837A9" w:rsidRPr="00A411E7" w:rsidRDefault="000837A9" w:rsidP="00FF3977">
            <w:pPr>
              <w:rPr>
                <w:rFonts w:eastAsia="Calibri"/>
              </w:rPr>
            </w:pPr>
            <w:r>
              <w:rPr>
                <w:color w:val="000000"/>
              </w:rPr>
              <w:t xml:space="preserve">Before the accelerated storage procedure, the mean value of the test item acidity was 1.62% w/w. </w:t>
            </w:r>
            <w:r>
              <w:rPr>
                <w:color w:val="000000"/>
              </w:rPr>
              <w:br/>
              <w:t>After the accelerated storage procedure, the mean value of the test item acidity was 1.73% w/w.</w:t>
            </w:r>
          </w:p>
        </w:tc>
        <w:tc>
          <w:tcPr>
            <w:tcW w:w="455" w:type="pct"/>
            <w:vAlign w:val="center"/>
          </w:tcPr>
          <w:p w14:paraId="20B0FABC" w14:textId="77777777" w:rsidR="000837A9" w:rsidRPr="00A411E7" w:rsidRDefault="000837A9" w:rsidP="00FF3977">
            <w:pPr>
              <w:rPr>
                <w:rFonts w:eastAsia="Calibri"/>
              </w:rPr>
            </w:pPr>
            <w:r>
              <w:rPr>
                <w:color w:val="000000"/>
              </w:rPr>
              <w:t>Demangel B. and Ricau H., 2019, Report No 18-901011-014</w:t>
            </w:r>
          </w:p>
        </w:tc>
        <w:tc>
          <w:tcPr>
            <w:tcW w:w="487" w:type="pct"/>
          </w:tcPr>
          <w:p w14:paraId="408FC21B" w14:textId="77777777" w:rsidR="000837A9" w:rsidRDefault="000837A9" w:rsidP="00FF3977">
            <w:pPr>
              <w:rPr>
                <w:color w:val="000000"/>
              </w:rPr>
            </w:pPr>
            <w:r>
              <w:rPr>
                <w:color w:val="000000"/>
              </w:rPr>
              <w:t>Acceptable</w:t>
            </w:r>
          </w:p>
        </w:tc>
      </w:tr>
      <w:tr w:rsidR="000837A9" w14:paraId="05A5EC89" w14:textId="77777777" w:rsidTr="00FF3977">
        <w:tc>
          <w:tcPr>
            <w:tcW w:w="1255" w:type="pct"/>
          </w:tcPr>
          <w:p w14:paraId="05967B81" w14:textId="77777777" w:rsidR="000837A9" w:rsidRPr="00A411E7" w:rsidRDefault="000837A9" w:rsidP="00FF3977">
            <w:pPr>
              <w:rPr>
                <w:rFonts w:eastAsia="Calibri"/>
              </w:rPr>
            </w:pPr>
            <w:r>
              <w:rPr>
                <w:rFonts w:eastAsia="Calibri"/>
              </w:rPr>
              <w:t>pH value</w:t>
            </w:r>
          </w:p>
        </w:tc>
        <w:tc>
          <w:tcPr>
            <w:tcW w:w="605" w:type="pct"/>
            <w:vAlign w:val="center"/>
          </w:tcPr>
          <w:p w14:paraId="790CB0AB" w14:textId="77777777" w:rsidR="000837A9" w:rsidRDefault="000837A9" w:rsidP="00FF3977">
            <w:pPr>
              <w:rPr>
                <w:color w:val="000000"/>
              </w:rPr>
            </w:pPr>
            <w:r>
              <w:rPr>
                <w:color w:val="000000"/>
              </w:rPr>
              <w:t>CIPAC MT 75.3</w:t>
            </w:r>
          </w:p>
        </w:tc>
        <w:tc>
          <w:tcPr>
            <w:tcW w:w="458" w:type="pct"/>
            <w:vAlign w:val="center"/>
          </w:tcPr>
          <w:p w14:paraId="76E281C9" w14:textId="77777777" w:rsidR="000837A9" w:rsidRDefault="000837A9" w:rsidP="00FF3977">
            <w:pPr>
              <w:rPr>
                <w:color w:val="000000"/>
              </w:rPr>
            </w:pPr>
            <w:r>
              <w:rPr>
                <w:color w:val="000000"/>
              </w:rPr>
              <w:t>Batch 5118225</w:t>
            </w:r>
          </w:p>
          <w:p w14:paraId="6A99EAFC" w14:textId="77777777" w:rsidR="000837A9" w:rsidRDefault="000837A9" w:rsidP="00FF3977">
            <w:pPr>
              <w:rPr>
                <w:color w:val="000000"/>
              </w:rPr>
            </w:pPr>
            <w:r>
              <w:rPr>
                <w:color w:val="000000"/>
              </w:rPr>
              <w:t xml:space="preserve">Test item: </w:t>
            </w:r>
            <w:r w:rsidRPr="00600059">
              <w:rPr>
                <w:color w:val="000000"/>
              </w:rPr>
              <w:t>218221-P2</w:t>
            </w:r>
          </w:p>
        </w:tc>
        <w:tc>
          <w:tcPr>
            <w:tcW w:w="1739" w:type="pct"/>
            <w:vAlign w:val="center"/>
          </w:tcPr>
          <w:p w14:paraId="2DD8C633" w14:textId="77777777" w:rsidR="000837A9" w:rsidRDefault="000837A9" w:rsidP="00FF3977">
            <w:pPr>
              <w:rPr>
                <w:color w:val="000000"/>
              </w:rPr>
            </w:pPr>
            <w:r>
              <w:rPr>
                <w:color w:val="000000"/>
              </w:rPr>
              <w:t>Before accelerated storage: pH=2.07 at 19°C</w:t>
            </w:r>
          </w:p>
          <w:p w14:paraId="703867A5" w14:textId="77777777" w:rsidR="000837A9" w:rsidRDefault="000837A9" w:rsidP="00FF3977">
            <w:pPr>
              <w:rPr>
                <w:color w:val="000000"/>
              </w:rPr>
            </w:pPr>
            <w:r>
              <w:rPr>
                <w:color w:val="000000"/>
              </w:rPr>
              <w:t>After accelerated storage: pH=2,13 at 21°C</w:t>
            </w:r>
          </w:p>
        </w:tc>
        <w:tc>
          <w:tcPr>
            <w:tcW w:w="455" w:type="pct"/>
            <w:vAlign w:val="center"/>
          </w:tcPr>
          <w:p w14:paraId="3EED0BF8" w14:textId="77777777" w:rsidR="000837A9" w:rsidRDefault="000837A9" w:rsidP="00FF3977">
            <w:pPr>
              <w:rPr>
                <w:color w:val="000000"/>
              </w:rPr>
            </w:pPr>
            <w:r>
              <w:rPr>
                <w:color w:val="000000"/>
              </w:rPr>
              <w:t>Demangel B. and Ricau H., 2019, Report No 18-</w:t>
            </w:r>
            <w:r>
              <w:rPr>
                <w:color w:val="000000"/>
              </w:rPr>
              <w:lastRenderedPageBreak/>
              <w:t>901011-014</w:t>
            </w:r>
          </w:p>
        </w:tc>
        <w:tc>
          <w:tcPr>
            <w:tcW w:w="487" w:type="pct"/>
          </w:tcPr>
          <w:p w14:paraId="26F0F9A5" w14:textId="77777777" w:rsidR="000837A9" w:rsidRDefault="000837A9" w:rsidP="00FF3977">
            <w:pPr>
              <w:rPr>
                <w:color w:val="000000"/>
              </w:rPr>
            </w:pPr>
            <w:r>
              <w:rPr>
                <w:color w:val="000000"/>
              </w:rPr>
              <w:lastRenderedPageBreak/>
              <w:t>Acceptable</w:t>
            </w:r>
          </w:p>
        </w:tc>
      </w:tr>
      <w:tr w:rsidR="000837A9" w14:paraId="7798A06C" w14:textId="77777777" w:rsidTr="00FF3977">
        <w:tc>
          <w:tcPr>
            <w:tcW w:w="1255" w:type="pct"/>
            <w:tcBorders>
              <w:top w:val="single" w:sz="4" w:space="0" w:color="auto"/>
              <w:left w:val="single" w:sz="4" w:space="0" w:color="auto"/>
              <w:bottom w:val="single" w:sz="4" w:space="0" w:color="auto"/>
              <w:right w:val="single" w:sz="4" w:space="0" w:color="auto"/>
            </w:tcBorders>
          </w:tcPr>
          <w:p w14:paraId="49700315" w14:textId="77777777" w:rsidR="000837A9" w:rsidRPr="00A411E7" w:rsidRDefault="000837A9" w:rsidP="00FF3977">
            <w:pPr>
              <w:rPr>
                <w:rFonts w:eastAsia="Calibri"/>
              </w:rPr>
            </w:pPr>
            <w:r w:rsidRPr="00A411E7">
              <w:rPr>
                <w:rFonts w:eastAsia="Calibri"/>
              </w:rPr>
              <w:t>Relative density / bulk density</w:t>
            </w:r>
          </w:p>
        </w:tc>
        <w:tc>
          <w:tcPr>
            <w:tcW w:w="605" w:type="pct"/>
            <w:tcBorders>
              <w:top w:val="single" w:sz="4" w:space="0" w:color="auto"/>
              <w:left w:val="single" w:sz="4" w:space="0" w:color="auto"/>
              <w:bottom w:val="single" w:sz="4" w:space="0" w:color="auto"/>
              <w:right w:val="single" w:sz="4" w:space="0" w:color="auto"/>
            </w:tcBorders>
            <w:vAlign w:val="center"/>
          </w:tcPr>
          <w:p w14:paraId="6933291F" w14:textId="77777777" w:rsidR="000837A9" w:rsidRPr="00A411E7" w:rsidRDefault="000837A9" w:rsidP="00FF3977">
            <w:pPr>
              <w:rPr>
                <w:rFonts w:eastAsia="Calibri"/>
              </w:rPr>
            </w:pPr>
            <w:r>
              <w:t>EC A.3. method (2008) and OECD Guideline No. 109 (2012)</w:t>
            </w:r>
          </w:p>
        </w:tc>
        <w:tc>
          <w:tcPr>
            <w:tcW w:w="458" w:type="pct"/>
            <w:tcBorders>
              <w:top w:val="single" w:sz="4" w:space="0" w:color="auto"/>
              <w:left w:val="single" w:sz="4" w:space="0" w:color="auto"/>
              <w:bottom w:val="single" w:sz="4" w:space="0" w:color="auto"/>
              <w:right w:val="single" w:sz="4" w:space="0" w:color="auto"/>
            </w:tcBorders>
            <w:vAlign w:val="center"/>
          </w:tcPr>
          <w:p w14:paraId="6ABD8B10" w14:textId="77777777" w:rsidR="000837A9" w:rsidRDefault="000837A9" w:rsidP="00FF3977">
            <w:r>
              <w:t>Batch 5118225</w:t>
            </w:r>
          </w:p>
          <w:p w14:paraId="048CC7DF" w14:textId="77777777" w:rsidR="000837A9" w:rsidRPr="00A411E7" w:rsidRDefault="000837A9" w:rsidP="00FF3977">
            <w:pPr>
              <w:rPr>
                <w:rFonts w:eastAsia="Calibri"/>
              </w:rPr>
            </w:pPr>
            <w:r>
              <w:rPr>
                <w:color w:val="000000"/>
              </w:rPr>
              <w:t xml:space="preserve">Test item: </w:t>
            </w:r>
            <w:r w:rsidRPr="00600059">
              <w:rPr>
                <w:color w:val="000000"/>
              </w:rPr>
              <w:t>218221-P2</w:t>
            </w:r>
          </w:p>
        </w:tc>
        <w:tc>
          <w:tcPr>
            <w:tcW w:w="1739" w:type="pct"/>
            <w:tcBorders>
              <w:top w:val="single" w:sz="4" w:space="0" w:color="auto"/>
              <w:left w:val="single" w:sz="4" w:space="0" w:color="auto"/>
              <w:bottom w:val="single" w:sz="4" w:space="0" w:color="auto"/>
              <w:right w:val="single" w:sz="4" w:space="0" w:color="auto"/>
            </w:tcBorders>
            <w:vAlign w:val="center"/>
          </w:tcPr>
          <w:p w14:paraId="27DC6E6F" w14:textId="77777777" w:rsidR="000837A9" w:rsidRPr="00A411E7" w:rsidRDefault="000837A9" w:rsidP="00FF3977">
            <w:pPr>
              <w:rPr>
                <w:rFonts w:eastAsia="Calibri"/>
              </w:rPr>
            </w:pPr>
            <w:r>
              <w:t>The mean relative density of the test item was D</w:t>
            </w:r>
            <w:r>
              <w:rPr>
                <w:vertAlign w:val="superscript"/>
              </w:rPr>
              <w:t>20</w:t>
            </w:r>
            <w:r>
              <w:rPr>
                <w:vertAlign w:val="subscript"/>
              </w:rPr>
              <w:t>4</w:t>
            </w:r>
            <w:r>
              <w:t xml:space="preserve"> = 1.015 ± 0.001 at 20.3 °C.</w:t>
            </w:r>
          </w:p>
        </w:tc>
        <w:tc>
          <w:tcPr>
            <w:tcW w:w="455" w:type="pct"/>
            <w:tcBorders>
              <w:top w:val="single" w:sz="4" w:space="0" w:color="auto"/>
              <w:left w:val="single" w:sz="4" w:space="0" w:color="auto"/>
              <w:bottom w:val="single" w:sz="4" w:space="0" w:color="auto"/>
              <w:right w:val="single" w:sz="4" w:space="0" w:color="auto"/>
            </w:tcBorders>
            <w:vAlign w:val="center"/>
          </w:tcPr>
          <w:p w14:paraId="4E85698C" w14:textId="77777777" w:rsidR="000837A9" w:rsidRPr="00A411E7" w:rsidRDefault="000837A9" w:rsidP="00FF3977">
            <w:pPr>
              <w:rPr>
                <w:rFonts w:eastAsia="Calibri"/>
              </w:rPr>
            </w:pPr>
            <w:r>
              <w:t>Demangel B., 2019, Report No 18-901011-013</w:t>
            </w:r>
          </w:p>
        </w:tc>
        <w:tc>
          <w:tcPr>
            <w:tcW w:w="487" w:type="pct"/>
            <w:tcBorders>
              <w:top w:val="single" w:sz="4" w:space="0" w:color="auto"/>
              <w:left w:val="single" w:sz="4" w:space="0" w:color="auto"/>
              <w:bottom w:val="single" w:sz="4" w:space="0" w:color="auto"/>
              <w:right w:val="single" w:sz="4" w:space="0" w:color="auto"/>
            </w:tcBorders>
          </w:tcPr>
          <w:p w14:paraId="6F2EF5CD" w14:textId="77777777" w:rsidR="000837A9" w:rsidRDefault="000837A9" w:rsidP="00FF3977">
            <w:r>
              <w:rPr>
                <w:color w:val="000000"/>
              </w:rPr>
              <w:t>Acceptable</w:t>
            </w:r>
          </w:p>
        </w:tc>
      </w:tr>
      <w:tr w:rsidR="000837A9" w14:paraId="18EC11DD" w14:textId="77777777" w:rsidTr="00FF3977">
        <w:tc>
          <w:tcPr>
            <w:tcW w:w="1255" w:type="pct"/>
          </w:tcPr>
          <w:p w14:paraId="354F3F41" w14:textId="77777777" w:rsidR="000837A9" w:rsidRPr="00A411E7" w:rsidRDefault="000837A9" w:rsidP="00FF3977">
            <w:pPr>
              <w:rPr>
                <w:rFonts w:eastAsia="Calibri"/>
              </w:rPr>
            </w:pPr>
            <w:r w:rsidRPr="00A411E7">
              <w:rPr>
                <w:rFonts w:eastAsia="Calibri"/>
              </w:rPr>
              <w:t xml:space="preserve">Storage stability test – </w:t>
            </w:r>
            <w:r w:rsidRPr="00A411E7">
              <w:rPr>
                <w:rFonts w:eastAsia="Calibri"/>
                <w:b/>
              </w:rPr>
              <w:t>accelerated storage</w:t>
            </w:r>
          </w:p>
        </w:tc>
        <w:tc>
          <w:tcPr>
            <w:tcW w:w="605" w:type="pct"/>
            <w:vAlign w:val="center"/>
          </w:tcPr>
          <w:p w14:paraId="3C3A695F" w14:textId="77777777" w:rsidR="000837A9" w:rsidRDefault="000837A9" w:rsidP="00FF3977">
            <w:pPr>
              <w:rPr>
                <w:color w:val="000000"/>
              </w:rPr>
            </w:pPr>
            <w:r>
              <w:rPr>
                <w:color w:val="000000"/>
              </w:rPr>
              <w:t>CIPAC Handbook J - MT 46.3 method (2000)</w:t>
            </w:r>
            <w:r>
              <w:rPr>
                <w:color w:val="000000"/>
              </w:rPr>
              <w:br/>
            </w:r>
          </w:p>
          <w:p w14:paraId="27E9234D" w14:textId="77777777" w:rsidR="000837A9" w:rsidRDefault="000837A9" w:rsidP="00FF3977">
            <w:pPr>
              <w:rPr>
                <w:color w:val="000000"/>
              </w:rPr>
            </w:pPr>
            <w:r>
              <w:rPr>
                <w:color w:val="000000"/>
              </w:rPr>
              <w:t>Content of AS:</w:t>
            </w:r>
          </w:p>
          <w:p w14:paraId="35FC06E2" w14:textId="77777777" w:rsidR="000837A9" w:rsidRPr="003E6A10" w:rsidRDefault="000837A9" w:rsidP="00FF3977">
            <w:pPr>
              <w:rPr>
                <w:color w:val="000000"/>
                <w:lang w:val="en-US"/>
              </w:rPr>
            </w:pPr>
            <w:r>
              <w:rPr>
                <w:color w:val="000000"/>
              </w:rPr>
              <w:t xml:space="preserve">Validated method in studies </w:t>
            </w:r>
            <w:r w:rsidRPr="0026219A">
              <w:rPr>
                <w:color w:val="000000"/>
              </w:rPr>
              <w:t>No. 17-901011-001</w:t>
            </w:r>
            <w:r>
              <w:rPr>
                <w:color w:val="000000"/>
              </w:rPr>
              <w:t xml:space="preserve"> and No. 18-901011-016</w:t>
            </w:r>
          </w:p>
          <w:p w14:paraId="20A0D1A3" w14:textId="77777777" w:rsidR="000837A9" w:rsidRPr="00A411E7" w:rsidRDefault="000837A9" w:rsidP="00FF3977">
            <w:pPr>
              <w:rPr>
                <w:rFonts w:eastAsia="Calibri"/>
              </w:rPr>
            </w:pPr>
            <w:r>
              <w:rPr>
                <w:color w:val="000000"/>
              </w:rPr>
              <w:br/>
              <w:t>pH : CIPAC Handbook J - MT 75.3 method (2000)</w:t>
            </w:r>
            <w:r>
              <w:rPr>
                <w:color w:val="000000"/>
              </w:rPr>
              <w:br/>
            </w:r>
            <w:r>
              <w:rPr>
                <w:color w:val="000000"/>
              </w:rPr>
              <w:br/>
            </w:r>
            <w:r>
              <w:rPr>
                <w:color w:val="000000"/>
              </w:rPr>
              <w:lastRenderedPageBreak/>
              <w:t>SATISFACTORY OPERATION OF THE SPRAYER AND SPRAY VOLUME : in-house method</w:t>
            </w:r>
            <w:r>
              <w:rPr>
                <w:color w:val="000000"/>
              </w:rPr>
              <w:br/>
            </w:r>
            <w:r>
              <w:rPr>
                <w:color w:val="000000"/>
              </w:rPr>
              <w:br/>
              <w:t>SPRAY DIAMETER AND PATTERN : In-house method (FEA 644 adapted)</w:t>
            </w:r>
          </w:p>
        </w:tc>
        <w:tc>
          <w:tcPr>
            <w:tcW w:w="458" w:type="pct"/>
            <w:vAlign w:val="center"/>
          </w:tcPr>
          <w:p w14:paraId="54972345" w14:textId="77777777" w:rsidR="000837A9" w:rsidRDefault="000837A9" w:rsidP="00FF3977">
            <w:pPr>
              <w:rPr>
                <w:color w:val="000000"/>
              </w:rPr>
            </w:pPr>
            <w:r>
              <w:rPr>
                <w:color w:val="000000"/>
              </w:rPr>
              <w:lastRenderedPageBreak/>
              <w:t>Batch 5118225</w:t>
            </w:r>
          </w:p>
          <w:p w14:paraId="4530EBBA" w14:textId="77777777" w:rsidR="000837A9" w:rsidRPr="00A411E7" w:rsidRDefault="000837A9" w:rsidP="00FF3977">
            <w:pPr>
              <w:rPr>
                <w:rFonts w:eastAsia="Calibri"/>
              </w:rPr>
            </w:pPr>
            <w:r>
              <w:rPr>
                <w:color w:val="000000"/>
              </w:rPr>
              <w:t xml:space="preserve">Test item: </w:t>
            </w:r>
            <w:r w:rsidRPr="00600059">
              <w:rPr>
                <w:color w:val="000000"/>
              </w:rPr>
              <w:t>218221-P2</w:t>
            </w:r>
          </w:p>
        </w:tc>
        <w:tc>
          <w:tcPr>
            <w:tcW w:w="1739" w:type="pct"/>
            <w:vAlign w:val="center"/>
          </w:tcPr>
          <w:p w14:paraId="00D01A5D" w14:textId="7A2F1D9C" w:rsidR="000837A9" w:rsidRDefault="000837A9" w:rsidP="00FF3977">
            <w:pPr>
              <w:rPr>
                <w:color w:val="000000"/>
              </w:rPr>
            </w:pPr>
            <w:r>
              <w:rPr>
                <w:color w:val="000000"/>
              </w:rPr>
              <w:t>Test item characteristics before and after the accelerated storage procedure was: Homogeneous colourless opalescent liquid with a characteristic odour.</w:t>
            </w:r>
            <w:r>
              <w:rPr>
                <w:color w:val="000000"/>
              </w:rPr>
              <w:br/>
              <w:t xml:space="preserve">Packaging: Transparent HDPE sprayer </w:t>
            </w:r>
            <w:r w:rsidR="008101B2">
              <w:rPr>
                <w:color w:val="000000"/>
              </w:rPr>
              <w:t xml:space="preserve">with foam nozzle </w:t>
            </w:r>
            <w:r>
              <w:rPr>
                <w:color w:val="000000"/>
              </w:rPr>
              <w:t>(no sign of degradation or leak was observed).</w:t>
            </w:r>
          </w:p>
          <w:p w14:paraId="4A900274" w14:textId="77777777" w:rsidR="000837A9" w:rsidRDefault="000837A9" w:rsidP="00FF3977">
            <w:pPr>
              <w:rPr>
                <w:color w:val="000000"/>
              </w:rPr>
            </w:pPr>
            <w:r>
              <w:rPr>
                <w:color w:val="000000"/>
              </w:rPr>
              <w:br/>
              <w:t>The appearance of the test item and the packaging material was considered to be stable after an accelerated storage procedure at 54 °C ± 2 °C for 14 days. No significant change of weight was observed (-0,1%).</w:t>
            </w:r>
            <w:r>
              <w:rPr>
                <w:color w:val="000000"/>
              </w:rPr>
              <w:br/>
            </w:r>
            <w:r>
              <w:rPr>
                <w:b/>
                <w:bCs/>
                <w:color w:val="000000"/>
              </w:rPr>
              <w:t>ANALYTICAL QUANTIFICATION OF THE ACTIVE SUBSTANCE</w:t>
            </w:r>
            <w:r>
              <w:rPr>
                <w:color w:val="000000"/>
              </w:rPr>
              <w:br/>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10"/>
              <w:gridCol w:w="1300"/>
              <w:gridCol w:w="1300"/>
            </w:tblGrid>
            <w:tr w:rsidR="000837A9" w14:paraId="72C5BF0C" w14:textId="77777777" w:rsidTr="00FF3977">
              <w:tc>
                <w:tcPr>
                  <w:tcW w:w="3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AFD7A" w14:textId="77777777" w:rsidR="000837A9" w:rsidRDefault="000837A9" w:rsidP="00FF3977">
                  <w:pPr>
                    <w:jc w:val="center"/>
                  </w:pPr>
                  <w:r>
                    <w:t>Active substance</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4D9AEE63" w14:textId="77777777" w:rsidR="000837A9" w:rsidRDefault="000837A9" w:rsidP="00FF3977">
                  <w:pPr>
                    <w:jc w:val="center"/>
                  </w:pPr>
                  <w:r>
                    <w:t>Before the accelerated storage procedure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BB8273A" w14:textId="77777777" w:rsidR="000837A9" w:rsidRDefault="000837A9" w:rsidP="00FF3977">
                  <w:pPr>
                    <w:jc w:val="center"/>
                  </w:pPr>
                  <w:r>
                    <w:t>After the accelerated storage procedure</w:t>
                  </w:r>
                </w:p>
              </w:tc>
            </w:tr>
            <w:tr w:rsidR="000837A9" w14:paraId="1E165C60" w14:textId="77777777" w:rsidTr="00FF3977">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3F2D8A" w14:textId="77777777" w:rsidR="000837A9" w:rsidRDefault="000837A9" w:rsidP="00FF3977">
                  <w:r>
                    <w:lastRenderedPageBreak/>
                    <w:t>Lactic acid</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3DC2DC7A" w14:textId="77777777" w:rsidR="000837A9" w:rsidRDefault="000837A9" w:rsidP="00FF3977">
                  <w:r>
                    <w:t>Content (% w/w)</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779109E3" w14:textId="77777777" w:rsidR="000837A9" w:rsidRDefault="000837A9" w:rsidP="00FF3977">
                  <w:pPr>
                    <w:jc w:val="center"/>
                  </w:pPr>
                  <w:r>
                    <w:t>3.00</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23533F1" w14:textId="77777777" w:rsidR="000837A9" w:rsidRDefault="000837A9" w:rsidP="00FF3977">
                  <w:pPr>
                    <w:jc w:val="center"/>
                  </w:pPr>
                  <w:r>
                    <w:t>3.01</w:t>
                  </w:r>
                </w:p>
              </w:tc>
            </w:tr>
            <w:tr w:rsidR="000837A9" w14:paraId="5E6F34D1"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28EB6" w14:textId="77777777" w:rsidR="000837A9" w:rsidRDefault="000837A9" w:rsidP="00FF3977"/>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4089D307" w14:textId="77777777" w:rsidR="000837A9" w:rsidRDefault="000837A9" w:rsidP="00FF3977">
                  <w:r>
                    <w:t>Deviation (%)</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02719780" w14:textId="77777777" w:rsidR="000837A9" w:rsidRDefault="000837A9" w:rsidP="00FF3977">
                  <w:pPr>
                    <w:jc w:val="center"/>
                  </w:pPr>
                  <w:r>
                    <w:t>From the nominal value</w:t>
                  </w:r>
                </w:p>
                <w:p w14:paraId="5ACDC8D0" w14:textId="77777777" w:rsidR="000837A9" w:rsidRDefault="000837A9" w:rsidP="00FF3977">
                  <w:pPr>
                    <w:jc w:val="center"/>
                  </w:pPr>
                  <w:r>
                    <w:t>0.0</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39DC010" w14:textId="77777777" w:rsidR="000837A9" w:rsidRDefault="000837A9" w:rsidP="00FF3977">
                  <w:pPr>
                    <w:jc w:val="center"/>
                  </w:pPr>
                  <w:r>
                    <w:t>From the T = 0 value</w:t>
                  </w:r>
                </w:p>
                <w:p w14:paraId="75DDF0E3" w14:textId="77777777" w:rsidR="000837A9" w:rsidRDefault="000837A9" w:rsidP="00FF3977">
                  <w:pPr>
                    <w:jc w:val="center"/>
                  </w:pPr>
                  <w:r>
                    <w:t>+0.3</w:t>
                  </w:r>
                </w:p>
              </w:tc>
            </w:tr>
          </w:tbl>
          <w:p w14:paraId="6B4A159B" w14:textId="77777777" w:rsidR="000837A9" w:rsidRDefault="000837A9" w:rsidP="00FF3977">
            <w:pPr>
              <w:rPr>
                <w:color w:val="000000"/>
              </w:rPr>
            </w:pPr>
          </w:p>
          <w:p w14:paraId="142BD9CA" w14:textId="382FE34E" w:rsidR="000837A9" w:rsidRDefault="000837A9" w:rsidP="00FF3977">
            <w:pPr>
              <w:rPr>
                <w:color w:val="000000"/>
              </w:rPr>
            </w:pPr>
            <w:r>
              <w:rPr>
                <w:color w:val="000000"/>
              </w:rPr>
              <w:br/>
            </w:r>
            <w:r>
              <w:rPr>
                <w:b/>
                <w:bCs/>
                <w:color w:val="000000"/>
              </w:rPr>
              <w:t>DETERMINATION OF pH VALUES</w:t>
            </w:r>
            <w:r>
              <w:rPr>
                <w:color w:val="000000"/>
              </w:rPr>
              <w:br/>
              <w:t>Before the accelerated storage procedure, the mean pH value of the pure test item was: 2.07 at 19.0 °C after 1 min and 2.05 at 19.2 °C after 2 min. After the accelerated storage procedure, the mean pH value of the pure test item was: 2.13 at 21.0 °C after 1 min and 2.12 at 21.2 °C after 2 min.</w:t>
            </w:r>
            <w:r>
              <w:rPr>
                <w:color w:val="000000"/>
              </w:rPr>
              <w:br/>
            </w:r>
            <w:r>
              <w:rPr>
                <w:b/>
                <w:bCs/>
                <w:color w:val="000000"/>
              </w:rPr>
              <w:t>SATISFACTORY OPERATION OF THE SPRAYER AND SPRAY VOLUME</w:t>
            </w:r>
            <w:r>
              <w:rPr>
                <w:color w:val="000000"/>
              </w:rPr>
              <w:br/>
              <w:t xml:space="preserve">Before the accelerated storage procedure, the mean volume of a pulverisation of the sprayer was 1.38 mL. The </w:t>
            </w:r>
            <w:r w:rsidR="008101B2">
              <w:rPr>
                <w:color w:val="000000"/>
              </w:rPr>
              <w:t xml:space="preserve">foam </w:t>
            </w:r>
            <w:r>
              <w:rPr>
                <w:color w:val="000000"/>
              </w:rPr>
              <w:t>nozzles of the sprays were checked and no blocking was observed. After the accelerated storage procedure, the mean volume of a pulverisation of the sprayer was 1.05 mL. The nozzles of the sprays were checked and no blocking was observed.</w:t>
            </w:r>
            <w:r>
              <w:rPr>
                <w:color w:val="000000"/>
              </w:rPr>
              <w:br/>
            </w:r>
            <w:r>
              <w:rPr>
                <w:b/>
                <w:bCs/>
                <w:color w:val="000000"/>
              </w:rPr>
              <w:t>SPRAY DIAMETER AND PATTERN</w:t>
            </w:r>
            <w:r>
              <w:rPr>
                <w:color w:val="000000"/>
              </w:rPr>
              <w:br/>
              <w:t xml:space="preserve">Before the accelerated storage procedure, </w:t>
            </w:r>
            <w:r>
              <w:rPr>
                <w:color w:val="000000"/>
              </w:rPr>
              <w:lastRenderedPageBreak/>
              <w:t>the mean spray diameter of the sprayer was 15 cm. The shape of the spray on the wetted patch was circular. After the accelerated storage procedure, the spray diameter of the sprayer was 14 cm. The shape of the spray on the wetted patch was circular.</w:t>
            </w:r>
          </w:p>
          <w:p w14:paraId="714EE53C" w14:textId="77777777" w:rsidR="000837A9" w:rsidRDefault="000837A9" w:rsidP="00FF3977">
            <w:pPr>
              <w:rPr>
                <w:color w:val="000000"/>
              </w:rPr>
            </w:pPr>
          </w:p>
          <w:p w14:paraId="7ABD1A3E" w14:textId="77777777" w:rsidR="000837A9" w:rsidRDefault="000837A9" w:rsidP="00FF3977">
            <w:r>
              <w:t xml:space="preserve">Products of META SPC 2 will be sold together with a srayer device with foam nozzle, therefore determination of the MMAD is not required. </w:t>
            </w:r>
          </w:p>
          <w:p w14:paraId="43A4A8A5" w14:textId="77777777" w:rsidR="000837A9" w:rsidRPr="00A411E7" w:rsidRDefault="000837A9" w:rsidP="00FF3977">
            <w:pPr>
              <w:rPr>
                <w:rFonts w:eastAsia="Calibri"/>
              </w:rPr>
            </w:pPr>
            <w:r>
              <w:rPr>
                <w:color w:val="000000"/>
              </w:rPr>
              <w:br/>
              <w:t xml:space="preserve">These results can be extrapolated to the other packagings in HDPE, PET and COEXTRUDE (HDPE/PA) according to </w:t>
            </w:r>
            <w:r w:rsidRPr="001D704F">
              <w:t>ECHA Guidance Vol. I, Parts A+B+C</w:t>
            </w:r>
            <w:r>
              <w:t xml:space="preserve"> </w:t>
            </w:r>
            <w:r>
              <w:fldChar w:fldCharType="begin"/>
            </w:r>
            <w:r>
              <w:instrText xml:space="preserve"> ADDIN ZOTERO_ITEM CSL_CITATION {"citationID":"Gutl2pOC","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fldChar w:fldCharType="separate"/>
            </w:r>
            <w:r w:rsidRPr="0098795B">
              <w:t>(3)</w:t>
            </w:r>
            <w:r>
              <w:fldChar w:fldCharType="end"/>
            </w:r>
            <w:r>
              <w:rPr>
                <w:color w:val="000000"/>
              </w:rPr>
              <w:t>, 3.6.4.2 Point 3.4.2 Table 7.</w:t>
            </w:r>
          </w:p>
        </w:tc>
        <w:tc>
          <w:tcPr>
            <w:tcW w:w="455" w:type="pct"/>
            <w:vAlign w:val="center"/>
          </w:tcPr>
          <w:p w14:paraId="1EE69FFB" w14:textId="77777777" w:rsidR="000837A9" w:rsidRPr="00A411E7" w:rsidRDefault="000837A9" w:rsidP="00FF3977">
            <w:pPr>
              <w:rPr>
                <w:rFonts w:eastAsia="Calibri"/>
              </w:rPr>
            </w:pPr>
            <w:r>
              <w:rPr>
                <w:color w:val="000000"/>
              </w:rPr>
              <w:lastRenderedPageBreak/>
              <w:t>Demangel B. and Ricau H., 2019, Report No 18-901011-014</w:t>
            </w:r>
          </w:p>
        </w:tc>
        <w:tc>
          <w:tcPr>
            <w:tcW w:w="487" w:type="pct"/>
          </w:tcPr>
          <w:p w14:paraId="10941217" w14:textId="77777777" w:rsidR="000837A9" w:rsidRDefault="000837A9" w:rsidP="00FF3977">
            <w:pPr>
              <w:rPr>
                <w:color w:val="000000"/>
              </w:rPr>
            </w:pPr>
            <w:r>
              <w:rPr>
                <w:color w:val="000000"/>
              </w:rPr>
              <w:t>Acceptable</w:t>
            </w:r>
          </w:p>
          <w:p w14:paraId="3FDFB472" w14:textId="77777777" w:rsidR="000837A9" w:rsidRDefault="000837A9" w:rsidP="00FF3977">
            <w:pPr>
              <w:rPr>
                <w:color w:val="000000"/>
              </w:rPr>
            </w:pPr>
            <w:r>
              <w:rPr>
                <w:color w:val="000000"/>
              </w:rPr>
              <w:t>The product is stable after 14 days at 54°C.</w:t>
            </w:r>
          </w:p>
          <w:p w14:paraId="62FD1EDE" w14:textId="77777777" w:rsidR="00324B98" w:rsidRDefault="00324B98" w:rsidP="00FF3977">
            <w:pPr>
              <w:rPr>
                <w:color w:val="000000"/>
              </w:rPr>
            </w:pPr>
          </w:p>
          <w:p w14:paraId="1B86AEC9" w14:textId="3F509AC6" w:rsidR="00324B98" w:rsidRDefault="00324B98">
            <w:pPr>
              <w:rPr>
                <w:color w:val="000000"/>
              </w:rPr>
            </w:pPr>
            <w:r>
              <w:rPr>
                <w:color w:val="000000"/>
              </w:rPr>
              <w:t xml:space="preserve">However, a decrease in </w:t>
            </w:r>
            <w:r w:rsidRPr="00324B98">
              <w:rPr>
                <w:color w:val="000000"/>
              </w:rPr>
              <w:t>the mean volume of a pulverisation of the sprayer</w:t>
            </w:r>
            <w:r>
              <w:rPr>
                <w:color w:val="000000"/>
              </w:rPr>
              <w:t xml:space="preserve"> is noted. </w:t>
            </w:r>
            <w:r w:rsidR="00CB4CF1">
              <w:rPr>
                <w:color w:val="000000"/>
              </w:rPr>
              <w:t xml:space="preserve">Results after long-term storage are required to conclude on the </w:t>
            </w:r>
            <w:r w:rsidR="00CB4CF1">
              <w:rPr>
                <w:color w:val="000000"/>
              </w:rPr>
              <w:lastRenderedPageBreak/>
              <w:t xml:space="preserve">satisfactory operation of the sprayer device. </w:t>
            </w:r>
          </w:p>
        </w:tc>
      </w:tr>
      <w:tr w:rsidR="000837A9" w14:paraId="7C2A7905" w14:textId="77777777" w:rsidTr="00FF3977">
        <w:tc>
          <w:tcPr>
            <w:tcW w:w="1255" w:type="pct"/>
          </w:tcPr>
          <w:p w14:paraId="337611A5" w14:textId="77777777" w:rsidR="000837A9" w:rsidRPr="00A411E7" w:rsidRDefault="000837A9"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605" w:type="pct"/>
            <w:vAlign w:val="center"/>
          </w:tcPr>
          <w:p w14:paraId="538FAFEC" w14:textId="77777777" w:rsidR="000837A9" w:rsidRPr="00A12904" w:rsidRDefault="000837A9" w:rsidP="00FF3977">
            <w:pPr>
              <w:rPr>
                <w:color w:val="000000"/>
              </w:rPr>
            </w:pPr>
            <w:r>
              <w:rPr>
                <w:color w:val="000000"/>
              </w:rPr>
              <w:t> </w:t>
            </w:r>
            <w:r w:rsidRPr="00A12904">
              <w:rPr>
                <w:color w:val="000000"/>
              </w:rPr>
              <w:t>Technical</w:t>
            </w:r>
          </w:p>
          <w:p w14:paraId="4A5CC76D" w14:textId="77777777" w:rsidR="000837A9" w:rsidRPr="00A411E7" w:rsidRDefault="000837A9" w:rsidP="00FF3977">
            <w:pPr>
              <w:rPr>
                <w:rFonts w:eastAsia="Calibri"/>
              </w:rPr>
            </w:pPr>
            <w:r w:rsidRPr="00A12904">
              <w:rPr>
                <w:color w:val="000000"/>
              </w:rPr>
              <w:t>Monograph No. 17</w:t>
            </w:r>
          </w:p>
        </w:tc>
        <w:tc>
          <w:tcPr>
            <w:tcW w:w="458" w:type="pct"/>
            <w:vAlign w:val="center"/>
          </w:tcPr>
          <w:p w14:paraId="645B8081" w14:textId="77777777" w:rsidR="000837A9" w:rsidRPr="00A411E7" w:rsidRDefault="000837A9" w:rsidP="00FF3977">
            <w:pPr>
              <w:rPr>
                <w:rFonts w:eastAsia="Calibri"/>
              </w:rPr>
            </w:pPr>
            <w:r>
              <w:rPr>
                <w:color w:val="000000"/>
              </w:rPr>
              <w:t xml:space="preserve"> Test item: </w:t>
            </w:r>
            <w:r w:rsidRPr="00600059">
              <w:rPr>
                <w:color w:val="000000"/>
              </w:rPr>
              <w:t>218221-P2</w:t>
            </w:r>
          </w:p>
        </w:tc>
        <w:tc>
          <w:tcPr>
            <w:tcW w:w="1739" w:type="pct"/>
            <w:vAlign w:val="center"/>
          </w:tcPr>
          <w:p w14:paraId="255DC1E3" w14:textId="77777777" w:rsidR="000837A9" w:rsidRPr="00A411E7" w:rsidRDefault="000837A9" w:rsidP="00FF3977">
            <w:pPr>
              <w:rPr>
                <w:rFonts w:eastAsia="Calibri"/>
              </w:rPr>
            </w:pPr>
            <w:r>
              <w:rPr>
                <w:color w:val="000000"/>
              </w:rPr>
              <w:t>Ongoing study - the results of this study will be submitted once this study will be finalised (November 2020).</w:t>
            </w:r>
          </w:p>
        </w:tc>
        <w:tc>
          <w:tcPr>
            <w:tcW w:w="455" w:type="pct"/>
            <w:vAlign w:val="center"/>
          </w:tcPr>
          <w:p w14:paraId="18E3DFF5" w14:textId="77777777" w:rsidR="000837A9" w:rsidRPr="00A411E7" w:rsidRDefault="000837A9" w:rsidP="00FF3977">
            <w:pPr>
              <w:rPr>
                <w:rFonts w:eastAsia="Calibri"/>
              </w:rPr>
            </w:pPr>
            <w:r>
              <w:rPr>
                <w:color w:val="000000"/>
              </w:rPr>
              <w:t>Demangel B., 2018, Report No 18-901011-015</w:t>
            </w:r>
          </w:p>
        </w:tc>
        <w:tc>
          <w:tcPr>
            <w:tcW w:w="487" w:type="pct"/>
          </w:tcPr>
          <w:p w14:paraId="79138035" w14:textId="77777777" w:rsidR="000837A9" w:rsidRDefault="000837A9" w:rsidP="00FF3977">
            <w:pPr>
              <w:rPr>
                <w:color w:val="000000"/>
              </w:rPr>
            </w:pPr>
            <w:r>
              <w:rPr>
                <w:color w:val="000000"/>
              </w:rPr>
              <w:t xml:space="preserve">Study required in post authorisation </w:t>
            </w:r>
          </w:p>
        </w:tc>
      </w:tr>
      <w:tr w:rsidR="000837A9" w14:paraId="08DF40BF" w14:textId="77777777" w:rsidTr="00FF3977">
        <w:tc>
          <w:tcPr>
            <w:tcW w:w="1255" w:type="pct"/>
          </w:tcPr>
          <w:p w14:paraId="0471BA1E" w14:textId="77777777" w:rsidR="000837A9" w:rsidRPr="00A411E7" w:rsidRDefault="000837A9"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605" w:type="pct"/>
            <w:vAlign w:val="center"/>
          </w:tcPr>
          <w:p w14:paraId="19FDC9C6" w14:textId="77777777" w:rsidR="000837A9" w:rsidRPr="00A411E7" w:rsidRDefault="000837A9" w:rsidP="00FF3977">
            <w:pPr>
              <w:rPr>
                <w:rFonts w:eastAsia="Calibri"/>
              </w:rPr>
            </w:pPr>
            <w:r>
              <w:t>CIPAC Handbook J - MT 39.3 method (2000)</w:t>
            </w:r>
          </w:p>
        </w:tc>
        <w:tc>
          <w:tcPr>
            <w:tcW w:w="458" w:type="pct"/>
            <w:vAlign w:val="center"/>
          </w:tcPr>
          <w:p w14:paraId="38325F3C" w14:textId="77777777" w:rsidR="000837A9" w:rsidRPr="00A411E7" w:rsidRDefault="000837A9" w:rsidP="00FF3977">
            <w:pPr>
              <w:rPr>
                <w:rFonts w:eastAsia="Calibri"/>
              </w:rPr>
            </w:pPr>
            <w:r>
              <w:t xml:space="preserve">Batch 5118225 </w:t>
            </w:r>
            <w:r>
              <w:rPr>
                <w:color w:val="000000"/>
              </w:rPr>
              <w:t xml:space="preserve">Test item: </w:t>
            </w:r>
            <w:r w:rsidRPr="00600059">
              <w:rPr>
                <w:color w:val="000000"/>
              </w:rPr>
              <w:t>218221-P2</w:t>
            </w:r>
          </w:p>
        </w:tc>
        <w:tc>
          <w:tcPr>
            <w:tcW w:w="1739" w:type="pct"/>
            <w:vAlign w:val="center"/>
          </w:tcPr>
          <w:p w14:paraId="7F7C645F" w14:textId="77777777" w:rsidR="000837A9" w:rsidRPr="00A411E7" w:rsidRDefault="000837A9" w:rsidP="00FF3977">
            <w:pPr>
              <w:rPr>
                <w:rFonts w:eastAsia="Calibri"/>
              </w:rPr>
            </w:pPr>
            <w:r>
              <w:t>At the start of the test, the test item was a homogeneous pale yellow limpid liquid. The aspect of the test item was considered to be stable after a low temperature stability for 7 days at 0 ± 2 °C, no change was observed in the test item aspect.</w:t>
            </w:r>
          </w:p>
        </w:tc>
        <w:tc>
          <w:tcPr>
            <w:tcW w:w="455" w:type="pct"/>
            <w:vAlign w:val="center"/>
          </w:tcPr>
          <w:p w14:paraId="6223A013" w14:textId="77777777" w:rsidR="000837A9" w:rsidRPr="00A411E7" w:rsidRDefault="000837A9" w:rsidP="00FF3977">
            <w:pPr>
              <w:rPr>
                <w:rFonts w:eastAsia="Calibri"/>
              </w:rPr>
            </w:pPr>
            <w:r>
              <w:t>Demangel B., 2019, Report No 18-901011-013</w:t>
            </w:r>
          </w:p>
        </w:tc>
        <w:tc>
          <w:tcPr>
            <w:tcW w:w="487" w:type="pct"/>
          </w:tcPr>
          <w:p w14:paraId="0BC0D3A5" w14:textId="77777777" w:rsidR="000837A9" w:rsidRDefault="000837A9" w:rsidP="00FF3977">
            <w:pPr>
              <w:rPr>
                <w:color w:val="000000"/>
              </w:rPr>
            </w:pPr>
            <w:r>
              <w:rPr>
                <w:color w:val="000000"/>
              </w:rPr>
              <w:t>Acceptable</w:t>
            </w:r>
          </w:p>
          <w:p w14:paraId="7F841324" w14:textId="77777777" w:rsidR="000837A9" w:rsidRDefault="000837A9" w:rsidP="00FF3977">
            <w:r>
              <w:rPr>
                <w:color w:val="000000"/>
              </w:rPr>
              <w:t>The product is stable after 7 days at 0°C.</w:t>
            </w:r>
          </w:p>
        </w:tc>
      </w:tr>
      <w:tr w:rsidR="000837A9" w14:paraId="23AD3892" w14:textId="77777777" w:rsidTr="00FF3977">
        <w:tc>
          <w:tcPr>
            <w:tcW w:w="1255" w:type="pct"/>
          </w:tcPr>
          <w:p w14:paraId="77C38BD1" w14:textId="77777777" w:rsidR="000837A9" w:rsidRPr="00A411E7" w:rsidRDefault="000837A9" w:rsidP="00FF3977">
            <w:pPr>
              <w:rPr>
                <w:rFonts w:eastAsia="Calibri"/>
                <w:lang w:eastAsia="en-US"/>
              </w:rPr>
            </w:pPr>
            <w:r w:rsidRPr="00A411E7">
              <w:rPr>
                <w:rFonts w:eastAsia="Calibri"/>
                <w:lang w:eastAsia="en-US"/>
              </w:rPr>
              <w:lastRenderedPageBreak/>
              <w:t xml:space="preserve">Effects on content of the active substance and technical characteristics of the biocidal product - </w:t>
            </w:r>
            <w:r w:rsidRPr="00A411E7">
              <w:rPr>
                <w:rFonts w:eastAsia="Calibri"/>
                <w:b/>
                <w:lang w:eastAsia="en-US"/>
              </w:rPr>
              <w:t>light</w:t>
            </w:r>
          </w:p>
        </w:tc>
        <w:tc>
          <w:tcPr>
            <w:tcW w:w="605" w:type="pct"/>
            <w:vAlign w:val="center"/>
          </w:tcPr>
          <w:p w14:paraId="23D7C61E" w14:textId="77777777" w:rsidR="000837A9" w:rsidRPr="00A411E7" w:rsidRDefault="000837A9" w:rsidP="00FF3977">
            <w:pPr>
              <w:spacing w:line="260" w:lineRule="atLeast"/>
              <w:rPr>
                <w:rFonts w:eastAsia="Calibri"/>
                <w:lang w:eastAsia="en-US"/>
              </w:rPr>
            </w:pPr>
            <w:r>
              <w:rPr>
                <w:color w:val="000000"/>
              </w:rPr>
              <w:t xml:space="preserve"> -</w:t>
            </w:r>
          </w:p>
        </w:tc>
        <w:tc>
          <w:tcPr>
            <w:tcW w:w="458" w:type="pct"/>
            <w:vAlign w:val="center"/>
          </w:tcPr>
          <w:p w14:paraId="27D823AC" w14:textId="77777777" w:rsidR="000837A9" w:rsidRPr="00A411E7" w:rsidRDefault="000837A9" w:rsidP="00FF3977">
            <w:pPr>
              <w:spacing w:line="260" w:lineRule="atLeast"/>
              <w:rPr>
                <w:rFonts w:eastAsia="Calibri"/>
                <w:lang w:eastAsia="en-US"/>
              </w:rPr>
            </w:pPr>
            <w:r>
              <w:rPr>
                <w:color w:val="000000"/>
              </w:rPr>
              <w:t xml:space="preserve"> -</w:t>
            </w:r>
          </w:p>
        </w:tc>
        <w:tc>
          <w:tcPr>
            <w:tcW w:w="1739" w:type="pct"/>
            <w:vAlign w:val="center"/>
          </w:tcPr>
          <w:p w14:paraId="29DD4EDC" w14:textId="77777777" w:rsidR="000837A9" w:rsidRPr="005B2C43" w:rsidRDefault="000837A9" w:rsidP="00FF3977">
            <w:pPr>
              <w:spacing w:line="260" w:lineRule="atLeast"/>
              <w:rPr>
                <w:color w:val="000000"/>
                <w:lang w:eastAsia="de-DE"/>
              </w:rPr>
            </w:pPr>
            <w:r>
              <w:rPr>
                <w:color w:val="000000"/>
              </w:rPr>
              <w:t>The biocidal product is packaged in opaque packaging (500 ml, 750 ml, 1 l, 5 l) and transparent packaging (500 ml, 750 ml, 1 l, 5 l). The test item is considered to be stable after 14 days at 54 ± 2°C (please refer above)</w:t>
            </w:r>
          </w:p>
        </w:tc>
        <w:tc>
          <w:tcPr>
            <w:tcW w:w="455" w:type="pct"/>
            <w:vAlign w:val="center"/>
          </w:tcPr>
          <w:p w14:paraId="2A270B71" w14:textId="77777777" w:rsidR="000837A9" w:rsidRPr="00A411E7" w:rsidRDefault="000837A9" w:rsidP="00FF3977">
            <w:pPr>
              <w:spacing w:line="260" w:lineRule="atLeast"/>
              <w:rPr>
                <w:rFonts w:eastAsia="Calibri"/>
                <w:lang w:eastAsia="en-US"/>
              </w:rPr>
            </w:pPr>
            <w:r>
              <w:rPr>
                <w:color w:val="000000"/>
              </w:rPr>
              <w:t xml:space="preserve"> -</w:t>
            </w:r>
          </w:p>
        </w:tc>
        <w:tc>
          <w:tcPr>
            <w:tcW w:w="487" w:type="pct"/>
          </w:tcPr>
          <w:p w14:paraId="36EEA666" w14:textId="77777777" w:rsidR="000837A9" w:rsidRDefault="000837A9" w:rsidP="00FF3977">
            <w:pPr>
              <w:spacing w:line="260" w:lineRule="atLeast"/>
              <w:rPr>
                <w:color w:val="000000"/>
              </w:rPr>
            </w:pPr>
            <w:r>
              <w:rPr>
                <w:color w:val="000000"/>
              </w:rPr>
              <w:t>Acceptable</w:t>
            </w:r>
          </w:p>
          <w:p w14:paraId="7C72614E" w14:textId="77777777" w:rsidR="000837A9" w:rsidRDefault="000837A9" w:rsidP="00FF3977">
            <w:pPr>
              <w:spacing w:line="260" w:lineRule="atLeast"/>
              <w:rPr>
                <w:color w:val="000000"/>
              </w:rPr>
            </w:pPr>
          </w:p>
          <w:p w14:paraId="4B0BEDC3" w14:textId="77777777" w:rsidR="000837A9" w:rsidRDefault="000837A9" w:rsidP="00FF3977">
            <w:pPr>
              <w:spacing w:line="260" w:lineRule="atLeast"/>
              <w:rPr>
                <w:color w:val="000000"/>
              </w:rPr>
            </w:pPr>
            <w:r>
              <w:rPr>
                <w:color w:val="000000"/>
              </w:rPr>
              <w:t xml:space="preserve">The active substance, lactic acid, is not light sensitive.  </w:t>
            </w:r>
          </w:p>
        </w:tc>
      </w:tr>
      <w:tr w:rsidR="000837A9" w14:paraId="5B2D6331" w14:textId="77777777" w:rsidTr="00FF3977">
        <w:tc>
          <w:tcPr>
            <w:tcW w:w="1255" w:type="pct"/>
          </w:tcPr>
          <w:p w14:paraId="475FEDA3" w14:textId="77777777" w:rsidR="000837A9" w:rsidRPr="00A411E7" w:rsidRDefault="000837A9"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605" w:type="pct"/>
            <w:vAlign w:val="center"/>
          </w:tcPr>
          <w:p w14:paraId="462C73AF" w14:textId="77777777" w:rsidR="000837A9" w:rsidRPr="00A411E7" w:rsidRDefault="000837A9" w:rsidP="00FF3977">
            <w:pPr>
              <w:rPr>
                <w:rFonts w:eastAsia="Calibri"/>
              </w:rPr>
            </w:pPr>
            <w:r>
              <w:rPr>
                <w:color w:val="000000"/>
              </w:rPr>
              <w:t xml:space="preserve"> -</w:t>
            </w:r>
          </w:p>
        </w:tc>
        <w:tc>
          <w:tcPr>
            <w:tcW w:w="458" w:type="pct"/>
            <w:vAlign w:val="center"/>
          </w:tcPr>
          <w:p w14:paraId="325EE8E0" w14:textId="77777777" w:rsidR="000837A9" w:rsidRPr="00A411E7" w:rsidRDefault="000837A9" w:rsidP="00FF3977">
            <w:pPr>
              <w:rPr>
                <w:rFonts w:eastAsia="Calibri"/>
              </w:rPr>
            </w:pPr>
            <w:r>
              <w:rPr>
                <w:color w:val="000000"/>
              </w:rPr>
              <w:t xml:space="preserve"> -</w:t>
            </w:r>
          </w:p>
        </w:tc>
        <w:tc>
          <w:tcPr>
            <w:tcW w:w="1739" w:type="pct"/>
            <w:vAlign w:val="center"/>
          </w:tcPr>
          <w:p w14:paraId="7E18AD37" w14:textId="77777777" w:rsidR="000837A9" w:rsidRPr="00A411E7" w:rsidRDefault="000837A9" w:rsidP="00FF3977">
            <w:pPr>
              <w:rPr>
                <w:rFonts w:eastAsia="Calibri"/>
              </w:rPr>
            </w:pPr>
            <w:r>
              <w:rPr>
                <w:color w:val="000000"/>
              </w:rPr>
              <w:t>With its hand-operated trigger sprayer and caps, the packagings are leak-tight. The test item is considered to be stable after 14 days at 54 ± 2°C (please refer above)</w:t>
            </w:r>
          </w:p>
        </w:tc>
        <w:tc>
          <w:tcPr>
            <w:tcW w:w="455" w:type="pct"/>
            <w:vAlign w:val="center"/>
          </w:tcPr>
          <w:p w14:paraId="13BA2100" w14:textId="77777777" w:rsidR="000837A9" w:rsidRPr="00A411E7" w:rsidRDefault="000837A9" w:rsidP="00FF3977">
            <w:pPr>
              <w:rPr>
                <w:rFonts w:eastAsia="Calibri"/>
              </w:rPr>
            </w:pPr>
            <w:r>
              <w:rPr>
                <w:color w:val="000000"/>
              </w:rPr>
              <w:t xml:space="preserve"> -</w:t>
            </w:r>
          </w:p>
        </w:tc>
        <w:tc>
          <w:tcPr>
            <w:tcW w:w="487" w:type="pct"/>
          </w:tcPr>
          <w:p w14:paraId="6690C6F4" w14:textId="77777777" w:rsidR="000837A9" w:rsidRDefault="000837A9" w:rsidP="00FF3977">
            <w:pPr>
              <w:rPr>
                <w:color w:val="000000"/>
              </w:rPr>
            </w:pPr>
            <w:r>
              <w:rPr>
                <w:color w:val="000000"/>
              </w:rPr>
              <w:t>Acceptable</w:t>
            </w:r>
          </w:p>
        </w:tc>
      </w:tr>
      <w:tr w:rsidR="000837A9" w14:paraId="34844CB4" w14:textId="77777777" w:rsidTr="00FF3977">
        <w:tc>
          <w:tcPr>
            <w:tcW w:w="1255" w:type="pct"/>
          </w:tcPr>
          <w:p w14:paraId="774345DC" w14:textId="77777777" w:rsidR="000837A9" w:rsidRPr="00A411E7" w:rsidRDefault="000837A9"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605" w:type="pct"/>
            <w:vAlign w:val="center"/>
          </w:tcPr>
          <w:p w14:paraId="6ADBFAD0" w14:textId="77777777" w:rsidR="000837A9" w:rsidRPr="00A411E7" w:rsidRDefault="000837A9" w:rsidP="00FF3977">
            <w:pPr>
              <w:rPr>
                <w:rFonts w:eastAsia="Calibri"/>
              </w:rPr>
            </w:pPr>
            <w:r>
              <w:rPr>
                <w:color w:val="000000"/>
              </w:rPr>
              <w:t xml:space="preserve"> -</w:t>
            </w:r>
          </w:p>
        </w:tc>
        <w:tc>
          <w:tcPr>
            <w:tcW w:w="458" w:type="pct"/>
            <w:vAlign w:val="center"/>
          </w:tcPr>
          <w:p w14:paraId="1431DB00" w14:textId="77777777" w:rsidR="000837A9" w:rsidRPr="00A411E7" w:rsidRDefault="000837A9" w:rsidP="00FF3977">
            <w:pPr>
              <w:rPr>
                <w:rFonts w:eastAsia="Calibri"/>
              </w:rPr>
            </w:pPr>
            <w:r>
              <w:rPr>
                <w:color w:val="000000"/>
              </w:rPr>
              <w:t xml:space="preserve"> -</w:t>
            </w:r>
          </w:p>
        </w:tc>
        <w:tc>
          <w:tcPr>
            <w:tcW w:w="1739" w:type="pct"/>
            <w:vAlign w:val="center"/>
          </w:tcPr>
          <w:p w14:paraId="57AB55F5" w14:textId="77777777" w:rsidR="000837A9" w:rsidRPr="00A411E7" w:rsidRDefault="000837A9" w:rsidP="00FF3977">
            <w:pPr>
              <w:rPr>
                <w:rFonts w:eastAsia="Calibri"/>
              </w:rPr>
            </w:pPr>
            <w:r>
              <w:rPr>
                <w:color w:val="000000"/>
              </w:rPr>
              <w:t>Experience on the product has proved that no reactivity is expected towards container materials. The test item is considered to be stable after 14 days at 54 ± 2°C (please refer above)</w:t>
            </w:r>
          </w:p>
        </w:tc>
        <w:tc>
          <w:tcPr>
            <w:tcW w:w="455" w:type="pct"/>
            <w:vAlign w:val="center"/>
          </w:tcPr>
          <w:p w14:paraId="630D725E" w14:textId="77777777" w:rsidR="000837A9" w:rsidRPr="00A411E7" w:rsidRDefault="000837A9" w:rsidP="00FF3977">
            <w:pPr>
              <w:rPr>
                <w:rFonts w:eastAsia="Calibri"/>
              </w:rPr>
            </w:pPr>
            <w:r>
              <w:rPr>
                <w:color w:val="000000"/>
              </w:rPr>
              <w:t xml:space="preserve"> -</w:t>
            </w:r>
          </w:p>
        </w:tc>
        <w:tc>
          <w:tcPr>
            <w:tcW w:w="487" w:type="pct"/>
          </w:tcPr>
          <w:p w14:paraId="15E95C3D" w14:textId="77777777" w:rsidR="000837A9" w:rsidRDefault="000837A9" w:rsidP="00FF3977">
            <w:pPr>
              <w:rPr>
                <w:color w:val="000000"/>
              </w:rPr>
            </w:pPr>
            <w:r>
              <w:rPr>
                <w:color w:val="000000"/>
              </w:rPr>
              <w:t>Acceptable</w:t>
            </w:r>
          </w:p>
        </w:tc>
      </w:tr>
      <w:tr w:rsidR="000837A9" w14:paraId="63DE12AC" w14:textId="77777777" w:rsidTr="00FF3977">
        <w:tc>
          <w:tcPr>
            <w:tcW w:w="1255" w:type="pct"/>
          </w:tcPr>
          <w:p w14:paraId="527F663D" w14:textId="77777777" w:rsidR="000837A9" w:rsidRPr="00A411E7" w:rsidRDefault="000837A9" w:rsidP="00FF3977">
            <w:pPr>
              <w:rPr>
                <w:rFonts w:eastAsia="Calibri"/>
              </w:rPr>
            </w:pPr>
            <w:r w:rsidRPr="00A411E7">
              <w:rPr>
                <w:rFonts w:eastAsia="Calibri"/>
              </w:rPr>
              <w:t>Wettability</w:t>
            </w:r>
          </w:p>
        </w:tc>
        <w:tc>
          <w:tcPr>
            <w:tcW w:w="605" w:type="pct"/>
            <w:vAlign w:val="center"/>
          </w:tcPr>
          <w:p w14:paraId="7C820B9F" w14:textId="77777777" w:rsidR="000837A9" w:rsidRPr="00A411E7" w:rsidRDefault="000837A9" w:rsidP="00FF3977">
            <w:pPr>
              <w:rPr>
                <w:rFonts w:eastAsia="Calibri"/>
              </w:rPr>
            </w:pPr>
            <w:r>
              <w:rPr>
                <w:color w:val="000000"/>
              </w:rPr>
              <w:t xml:space="preserve"> -</w:t>
            </w:r>
          </w:p>
        </w:tc>
        <w:tc>
          <w:tcPr>
            <w:tcW w:w="458" w:type="pct"/>
            <w:vAlign w:val="center"/>
          </w:tcPr>
          <w:p w14:paraId="2404CE52" w14:textId="77777777" w:rsidR="000837A9" w:rsidRPr="00A411E7" w:rsidRDefault="000837A9" w:rsidP="00FF3977">
            <w:pPr>
              <w:rPr>
                <w:rFonts w:eastAsia="Calibri"/>
              </w:rPr>
            </w:pPr>
            <w:r>
              <w:rPr>
                <w:color w:val="000000"/>
              </w:rPr>
              <w:t xml:space="preserve"> -</w:t>
            </w:r>
          </w:p>
        </w:tc>
        <w:tc>
          <w:tcPr>
            <w:tcW w:w="1739" w:type="pct"/>
            <w:vAlign w:val="center"/>
          </w:tcPr>
          <w:p w14:paraId="676BE77E" w14:textId="77777777" w:rsidR="000837A9" w:rsidRPr="00A411E7" w:rsidRDefault="000837A9" w:rsidP="00FF3977">
            <w:pPr>
              <w:rPr>
                <w:rFonts w:eastAsia="Calibri"/>
              </w:rPr>
            </w:pPr>
            <w:r>
              <w:rPr>
                <w:color w:val="000000"/>
              </w:rPr>
              <w:t>Not required as the product is a ready-to-use liquid.</w:t>
            </w:r>
          </w:p>
        </w:tc>
        <w:tc>
          <w:tcPr>
            <w:tcW w:w="455" w:type="pct"/>
            <w:vAlign w:val="center"/>
          </w:tcPr>
          <w:p w14:paraId="319CC675" w14:textId="77777777" w:rsidR="000837A9" w:rsidRPr="00A411E7" w:rsidRDefault="000837A9" w:rsidP="00FF3977">
            <w:pPr>
              <w:rPr>
                <w:rFonts w:eastAsia="Calibri"/>
              </w:rPr>
            </w:pPr>
            <w:r>
              <w:rPr>
                <w:color w:val="000000"/>
              </w:rPr>
              <w:t xml:space="preserve"> -</w:t>
            </w:r>
          </w:p>
        </w:tc>
        <w:tc>
          <w:tcPr>
            <w:tcW w:w="487" w:type="pct"/>
          </w:tcPr>
          <w:p w14:paraId="66764FBE" w14:textId="77777777" w:rsidR="000837A9" w:rsidRDefault="000837A9" w:rsidP="00FF3977">
            <w:pPr>
              <w:rPr>
                <w:color w:val="000000"/>
              </w:rPr>
            </w:pPr>
            <w:r>
              <w:rPr>
                <w:color w:val="000000"/>
              </w:rPr>
              <w:t>Not relevant for an AL formulation</w:t>
            </w:r>
          </w:p>
        </w:tc>
      </w:tr>
      <w:tr w:rsidR="000837A9" w14:paraId="05EE5D64" w14:textId="77777777" w:rsidTr="00FF3977">
        <w:tc>
          <w:tcPr>
            <w:tcW w:w="1255" w:type="pct"/>
          </w:tcPr>
          <w:p w14:paraId="597F4AD7" w14:textId="77777777" w:rsidR="000837A9" w:rsidRPr="00A411E7" w:rsidRDefault="000837A9" w:rsidP="00FF3977">
            <w:pPr>
              <w:rPr>
                <w:rFonts w:eastAsia="Calibri"/>
              </w:rPr>
            </w:pPr>
            <w:r w:rsidRPr="00A411E7">
              <w:rPr>
                <w:rFonts w:eastAsia="Calibri"/>
              </w:rPr>
              <w:t>Suspensibility, spontaneity and dispersion stability</w:t>
            </w:r>
          </w:p>
        </w:tc>
        <w:tc>
          <w:tcPr>
            <w:tcW w:w="605" w:type="pct"/>
            <w:vAlign w:val="center"/>
          </w:tcPr>
          <w:p w14:paraId="03670BB3" w14:textId="77777777" w:rsidR="000837A9" w:rsidRPr="00A411E7" w:rsidRDefault="000837A9" w:rsidP="00FF3977">
            <w:pPr>
              <w:rPr>
                <w:rFonts w:eastAsia="Calibri"/>
              </w:rPr>
            </w:pPr>
            <w:r>
              <w:rPr>
                <w:color w:val="000000"/>
              </w:rPr>
              <w:t xml:space="preserve"> -</w:t>
            </w:r>
          </w:p>
        </w:tc>
        <w:tc>
          <w:tcPr>
            <w:tcW w:w="458" w:type="pct"/>
            <w:vAlign w:val="center"/>
          </w:tcPr>
          <w:p w14:paraId="23389397" w14:textId="77777777" w:rsidR="000837A9" w:rsidRPr="00A411E7" w:rsidRDefault="000837A9" w:rsidP="00FF3977">
            <w:pPr>
              <w:rPr>
                <w:rFonts w:eastAsia="Calibri"/>
              </w:rPr>
            </w:pPr>
            <w:r>
              <w:rPr>
                <w:color w:val="000000"/>
              </w:rPr>
              <w:t xml:space="preserve"> -</w:t>
            </w:r>
          </w:p>
        </w:tc>
        <w:tc>
          <w:tcPr>
            <w:tcW w:w="1739" w:type="pct"/>
            <w:vAlign w:val="center"/>
          </w:tcPr>
          <w:p w14:paraId="4C82DF39" w14:textId="77777777" w:rsidR="000837A9" w:rsidRPr="00A411E7" w:rsidRDefault="000837A9" w:rsidP="00FF3977">
            <w:pPr>
              <w:rPr>
                <w:rFonts w:eastAsia="Calibri"/>
              </w:rPr>
            </w:pPr>
            <w:r>
              <w:rPr>
                <w:color w:val="000000"/>
              </w:rPr>
              <w:t>Not required as the product is a ready-to-use liquid.</w:t>
            </w:r>
          </w:p>
        </w:tc>
        <w:tc>
          <w:tcPr>
            <w:tcW w:w="455" w:type="pct"/>
            <w:vAlign w:val="center"/>
          </w:tcPr>
          <w:p w14:paraId="53BA5F9A" w14:textId="77777777" w:rsidR="000837A9" w:rsidRPr="00A411E7" w:rsidRDefault="000837A9" w:rsidP="00FF3977">
            <w:pPr>
              <w:rPr>
                <w:rFonts w:eastAsia="Calibri"/>
              </w:rPr>
            </w:pPr>
            <w:r>
              <w:rPr>
                <w:color w:val="000000"/>
              </w:rPr>
              <w:t xml:space="preserve"> -</w:t>
            </w:r>
          </w:p>
        </w:tc>
        <w:tc>
          <w:tcPr>
            <w:tcW w:w="487" w:type="pct"/>
          </w:tcPr>
          <w:p w14:paraId="2FF2853E" w14:textId="77777777" w:rsidR="000837A9" w:rsidRDefault="000837A9" w:rsidP="00FF3977">
            <w:pPr>
              <w:rPr>
                <w:color w:val="000000"/>
              </w:rPr>
            </w:pPr>
            <w:r>
              <w:rPr>
                <w:color w:val="000000"/>
              </w:rPr>
              <w:t>Not relevant for an AL formulation</w:t>
            </w:r>
          </w:p>
        </w:tc>
      </w:tr>
      <w:tr w:rsidR="000837A9" w14:paraId="2C9F59A5" w14:textId="77777777" w:rsidTr="00FF3977">
        <w:tc>
          <w:tcPr>
            <w:tcW w:w="1255" w:type="pct"/>
          </w:tcPr>
          <w:p w14:paraId="24816BD8" w14:textId="77777777" w:rsidR="000837A9" w:rsidRPr="00F24D0D" w:rsidRDefault="000837A9" w:rsidP="00FF3977">
            <w:pPr>
              <w:rPr>
                <w:rFonts w:eastAsia="Calibri"/>
              </w:rPr>
            </w:pPr>
            <w:r w:rsidRPr="00A411E7">
              <w:rPr>
                <w:rFonts w:eastAsia="Calibri"/>
              </w:rPr>
              <w:t xml:space="preserve">Wet sieve analysis </w:t>
            </w:r>
            <w:r w:rsidRPr="00F24D0D">
              <w:rPr>
                <w:rFonts w:eastAsia="Calibri"/>
              </w:rPr>
              <w:t>and dry sieve test</w:t>
            </w:r>
          </w:p>
        </w:tc>
        <w:tc>
          <w:tcPr>
            <w:tcW w:w="605" w:type="pct"/>
            <w:vAlign w:val="center"/>
          </w:tcPr>
          <w:p w14:paraId="1412FEE2" w14:textId="77777777" w:rsidR="000837A9" w:rsidRPr="00F24D0D" w:rsidRDefault="000837A9" w:rsidP="00FF3977">
            <w:pPr>
              <w:rPr>
                <w:rFonts w:eastAsia="Calibri"/>
              </w:rPr>
            </w:pPr>
            <w:r>
              <w:rPr>
                <w:color w:val="000000"/>
              </w:rPr>
              <w:t xml:space="preserve"> -</w:t>
            </w:r>
          </w:p>
        </w:tc>
        <w:tc>
          <w:tcPr>
            <w:tcW w:w="458" w:type="pct"/>
            <w:vAlign w:val="center"/>
          </w:tcPr>
          <w:p w14:paraId="37C8ED88" w14:textId="77777777" w:rsidR="000837A9" w:rsidRPr="00C746BC" w:rsidRDefault="000837A9" w:rsidP="00FF3977">
            <w:pPr>
              <w:rPr>
                <w:rFonts w:eastAsia="Calibri"/>
              </w:rPr>
            </w:pPr>
            <w:r>
              <w:rPr>
                <w:color w:val="000000"/>
              </w:rPr>
              <w:t xml:space="preserve"> -</w:t>
            </w:r>
          </w:p>
        </w:tc>
        <w:tc>
          <w:tcPr>
            <w:tcW w:w="1739" w:type="pct"/>
            <w:vAlign w:val="center"/>
          </w:tcPr>
          <w:p w14:paraId="324D548C" w14:textId="77777777" w:rsidR="000837A9" w:rsidRPr="00305B11" w:rsidRDefault="000837A9" w:rsidP="00FF3977">
            <w:pPr>
              <w:rPr>
                <w:rFonts w:eastAsia="Calibri"/>
              </w:rPr>
            </w:pPr>
            <w:r>
              <w:rPr>
                <w:color w:val="000000"/>
              </w:rPr>
              <w:t>Not required as the product is a ready-to-use liquid.</w:t>
            </w:r>
          </w:p>
        </w:tc>
        <w:tc>
          <w:tcPr>
            <w:tcW w:w="455" w:type="pct"/>
            <w:vAlign w:val="center"/>
          </w:tcPr>
          <w:p w14:paraId="5BB1460A" w14:textId="77777777" w:rsidR="000837A9" w:rsidRPr="00305B11" w:rsidRDefault="000837A9" w:rsidP="00FF3977">
            <w:pPr>
              <w:rPr>
                <w:rFonts w:eastAsia="Calibri"/>
              </w:rPr>
            </w:pPr>
            <w:r>
              <w:rPr>
                <w:color w:val="000000"/>
              </w:rPr>
              <w:t xml:space="preserve"> -</w:t>
            </w:r>
          </w:p>
        </w:tc>
        <w:tc>
          <w:tcPr>
            <w:tcW w:w="487" w:type="pct"/>
          </w:tcPr>
          <w:p w14:paraId="3AD8DCE7" w14:textId="77777777" w:rsidR="000837A9" w:rsidRDefault="000837A9" w:rsidP="00FF3977">
            <w:pPr>
              <w:rPr>
                <w:color w:val="000000"/>
              </w:rPr>
            </w:pPr>
            <w:r>
              <w:rPr>
                <w:color w:val="000000"/>
              </w:rPr>
              <w:t>Not relevant for an AL formulation</w:t>
            </w:r>
          </w:p>
        </w:tc>
      </w:tr>
      <w:tr w:rsidR="000837A9" w14:paraId="1DC9B871" w14:textId="77777777" w:rsidTr="00FF3977">
        <w:tc>
          <w:tcPr>
            <w:tcW w:w="1255" w:type="pct"/>
          </w:tcPr>
          <w:p w14:paraId="783ECC9B" w14:textId="77777777" w:rsidR="000837A9" w:rsidRPr="00017CF8" w:rsidRDefault="000837A9" w:rsidP="00FF3977">
            <w:pPr>
              <w:rPr>
                <w:rFonts w:eastAsia="Calibri"/>
              </w:rPr>
            </w:pPr>
            <w:r w:rsidRPr="00017CF8">
              <w:rPr>
                <w:rFonts w:eastAsia="Calibri"/>
              </w:rPr>
              <w:t>Emulsifiability, re-emulsifiability and emulsion stability</w:t>
            </w:r>
          </w:p>
        </w:tc>
        <w:tc>
          <w:tcPr>
            <w:tcW w:w="605" w:type="pct"/>
            <w:vAlign w:val="center"/>
          </w:tcPr>
          <w:p w14:paraId="1C3C42F5" w14:textId="77777777" w:rsidR="000837A9" w:rsidRPr="00017CF8" w:rsidRDefault="000837A9" w:rsidP="00FF3977">
            <w:pPr>
              <w:rPr>
                <w:rFonts w:eastAsia="Calibri"/>
              </w:rPr>
            </w:pPr>
            <w:r>
              <w:rPr>
                <w:color w:val="000000"/>
              </w:rPr>
              <w:t xml:space="preserve"> -</w:t>
            </w:r>
          </w:p>
        </w:tc>
        <w:tc>
          <w:tcPr>
            <w:tcW w:w="458" w:type="pct"/>
            <w:vAlign w:val="center"/>
          </w:tcPr>
          <w:p w14:paraId="4EE1732A" w14:textId="77777777" w:rsidR="000837A9" w:rsidRPr="00017CF8" w:rsidRDefault="000837A9" w:rsidP="00FF3977">
            <w:pPr>
              <w:rPr>
                <w:rFonts w:eastAsia="Calibri"/>
              </w:rPr>
            </w:pPr>
            <w:r>
              <w:rPr>
                <w:color w:val="000000"/>
              </w:rPr>
              <w:t xml:space="preserve"> -</w:t>
            </w:r>
          </w:p>
        </w:tc>
        <w:tc>
          <w:tcPr>
            <w:tcW w:w="1739" w:type="pct"/>
            <w:vAlign w:val="center"/>
          </w:tcPr>
          <w:p w14:paraId="3A0BFB02" w14:textId="77777777" w:rsidR="000837A9" w:rsidRPr="00017CF8" w:rsidRDefault="000837A9" w:rsidP="00FF3977">
            <w:pPr>
              <w:rPr>
                <w:rFonts w:eastAsia="Calibri"/>
              </w:rPr>
            </w:pPr>
            <w:r>
              <w:rPr>
                <w:color w:val="000000"/>
              </w:rPr>
              <w:t>Not required as the product is a ready-to-use liquid.</w:t>
            </w:r>
          </w:p>
        </w:tc>
        <w:tc>
          <w:tcPr>
            <w:tcW w:w="455" w:type="pct"/>
            <w:vAlign w:val="center"/>
          </w:tcPr>
          <w:p w14:paraId="78A95304" w14:textId="77777777" w:rsidR="000837A9" w:rsidRPr="00017CF8" w:rsidRDefault="000837A9" w:rsidP="00FF3977">
            <w:pPr>
              <w:rPr>
                <w:rFonts w:eastAsia="Calibri"/>
              </w:rPr>
            </w:pPr>
            <w:r>
              <w:rPr>
                <w:color w:val="000000"/>
              </w:rPr>
              <w:t xml:space="preserve"> -</w:t>
            </w:r>
          </w:p>
        </w:tc>
        <w:tc>
          <w:tcPr>
            <w:tcW w:w="487" w:type="pct"/>
          </w:tcPr>
          <w:p w14:paraId="12E2B1BF" w14:textId="77777777" w:rsidR="000837A9" w:rsidRDefault="000837A9" w:rsidP="00FF3977">
            <w:pPr>
              <w:rPr>
                <w:color w:val="000000"/>
              </w:rPr>
            </w:pPr>
            <w:r>
              <w:rPr>
                <w:color w:val="000000"/>
              </w:rPr>
              <w:t>Not relevant for an AL formulation</w:t>
            </w:r>
          </w:p>
        </w:tc>
      </w:tr>
      <w:tr w:rsidR="000837A9" w14:paraId="03650C51" w14:textId="77777777" w:rsidTr="00FF3977">
        <w:tc>
          <w:tcPr>
            <w:tcW w:w="1255" w:type="pct"/>
          </w:tcPr>
          <w:p w14:paraId="5EB58889" w14:textId="77777777" w:rsidR="000837A9" w:rsidRPr="00DF6CFE" w:rsidRDefault="000837A9" w:rsidP="00FF3977">
            <w:pPr>
              <w:rPr>
                <w:rFonts w:eastAsia="Calibri"/>
              </w:rPr>
            </w:pPr>
            <w:r w:rsidRPr="00DF6CFE">
              <w:rPr>
                <w:rFonts w:eastAsia="Calibri"/>
              </w:rPr>
              <w:lastRenderedPageBreak/>
              <w:t>Disintegration time</w:t>
            </w:r>
          </w:p>
        </w:tc>
        <w:tc>
          <w:tcPr>
            <w:tcW w:w="605" w:type="pct"/>
            <w:vAlign w:val="center"/>
          </w:tcPr>
          <w:p w14:paraId="7543E687" w14:textId="77777777" w:rsidR="000837A9" w:rsidRPr="00DF6CFE" w:rsidRDefault="000837A9" w:rsidP="00FF3977">
            <w:pPr>
              <w:rPr>
                <w:rFonts w:eastAsia="Calibri"/>
              </w:rPr>
            </w:pPr>
            <w:r>
              <w:rPr>
                <w:color w:val="000000"/>
              </w:rPr>
              <w:t xml:space="preserve"> -</w:t>
            </w:r>
          </w:p>
        </w:tc>
        <w:tc>
          <w:tcPr>
            <w:tcW w:w="458" w:type="pct"/>
            <w:vAlign w:val="center"/>
          </w:tcPr>
          <w:p w14:paraId="48EFC56C" w14:textId="77777777" w:rsidR="000837A9" w:rsidRPr="00DF6CFE" w:rsidRDefault="000837A9" w:rsidP="00FF3977">
            <w:pPr>
              <w:rPr>
                <w:rFonts w:eastAsia="Calibri"/>
              </w:rPr>
            </w:pPr>
            <w:r>
              <w:rPr>
                <w:color w:val="000000"/>
              </w:rPr>
              <w:t xml:space="preserve"> -</w:t>
            </w:r>
          </w:p>
        </w:tc>
        <w:tc>
          <w:tcPr>
            <w:tcW w:w="1739" w:type="pct"/>
            <w:vAlign w:val="center"/>
          </w:tcPr>
          <w:p w14:paraId="3175AE28" w14:textId="77777777" w:rsidR="000837A9" w:rsidRPr="00DF6CFE" w:rsidRDefault="000837A9" w:rsidP="00FF3977">
            <w:pPr>
              <w:rPr>
                <w:rFonts w:eastAsia="Calibri"/>
              </w:rPr>
            </w:pPr>
            <w:r>
              <w:rPr>
                <w:color w:val="000000"/>
              </w:rPr>
              <w:t>Not required as the product is a ready-to-use liquid.</w:t>
            </w:r>
          </w:p>
        </w:tc>
        <w:tc>
          <w:tcPr>
            <w:tcW w:w="455" w:type="pct"/>
            <w:vAlign w:val="center"/>
          </w:tcPr>
          <w:p w14:paraId="0AA6F9EB" w14:textId="77777777" w:rsidR="000837A9" w:rsidRPr="00DF6CFE" w:rsidRDefault="000837A9" w:rsidP="00FF3977">
            <w:pPr>
              <w:rPr>
                <w:rFonts w:eastAsia="Calibri"/>
              </w:rPr>
            </w:pPr>
            <w:r>
              <w:rPr>
                <w:color w:val="000000"/>
              </w:rPr>
              <w:t xml:space="preserve"> -</w:t>
            </w:r>
          </w:p>
        </w:tc>
        <w:tc>
          <w:tcPr>
            <w:tcW w:w="487" w:type="pct"/>
          </w:tcPr>
          <w:p w14:paraId="42CE677D" w14:textId="77777777" w:rsidR="000837A9" w:rsidRDefault="000837A9" w:rsidP="00FF3977">
            <w:pPr>
              <w:rPr>
                <w:color w:val="000000"/>
              </w:rPr>
            </w:pPr>
            <w:r>
              <w:rPr>
                <w:color w:val="000000"/>
              </w:rPr>
              <w:t>Not relevant for an AL formulation</w:t>
            </w:r>
          </w:p>
        </w:tc>
      </w:tr>
      <w:tr w:rsidR="000837A9" w14:paraId="6128B346" w14:textId="77777777" w:rsidTr="00FF3977">
        <w:tc>
          <w:tcPr>
            <w:tcW w:w="1255" w:type="pct"/>
          </w:tcPr>
          <w:p w14:paraId="56963419" w14:textId="77777777" w:rsidR="000837A9" w:rsidRPr="00A411E7" w:rsidRDefault="000837A9" w:rsidP="00FF3977">
            <w:pPr>
              <w:rPr>
                <w:rFonts w:eastAsia="Calibri"/>
              </w:rPr>
            </w:pPr>
            <w:r w:rsidRPr="00A411E7">
              <w:rPr>
                <w:rFonts w:eastAsia="Calibri"/>
              </w:rPr>
              <w:t>Particle size distribution, content of dust/fines, attrition, friability</w:t>
            </w:r>
          </w:p>
        </w:tc>
        <w:tc>
          <w:tcPr>
            <w:tcW w:w="605" w:type="pct"/>
            <w:vAlign w:val="center"/>
          </w:tcPr>
          <w:p w14:paraId="5B599785" w14:textId="77777777" w:rsidR="000837A9" w:rsidRPr="00A411E7" w:rsidRDefault="000837A9" w:rsidP="00FF3977">
            <w:pPr>
              <w:rPr>
                <w:rFonts w:eastAsia="Calibri"/>
              </w:rPr>
            </w:pPr>
            <w:r>
              <w:rPr>
                <w:color w:val="000000"/>
              </w:rPr>
              <w:t xml:space="preserve"> -</w:t>
            </w:r>
          </w:p>
        </w:tc>
        <w:tc>
          <w:tcPr>
            <w:tcW w:w="458" w:type="pct"/>
            <w:vAlign w:val="center"/>
          </w:tcPr>
          <w:p w14:paraId="1716AD80" w14:textId="77777777" w:rsidR="000837A9" w:rsidRPr="00A411E7" w:rsidRDefault="000837A9" w:rsidP="00FF3977">
            <w:pPr>
              <w:rPr>
                <w:rFonts w:eastAsia="Calibri"/>
              </w:rPr>
            </w:pPr>
            <w:r>
              <w:rPr>
                <w:color w:val="000000"/>
              </w:rPr>
              <w:t xml:space="preserve"> -</w:t>
            </w:r>
          </w:p>
        </w:tc>
        <w:tc>
          <w:tcPr>
            <w:tcW w:w="1739" w:type="pct"/>
            <w:vAlign w:val="center"/>
          </w:tcPr>
          <w:p w14:paraId="5C0AB55B" w14:textId="77777777" w:rsidR="000837A9" w:rsidRPr="00A411E7" w:rsidRDefault="000837A9" w:rsidP="00FF3977">
            <w:pPr>
              <w:rPr>
                <w:rFonts w:eastAsia="Calibri"/>
              </w:rPr>
            </w:pPr>
            <w:r>
              <w:rPr>
                <w:color w:val="000000"/>
              </w:rPr>
              <w:t>Not required as the product is a ready-to-use liquid.</w:t>
            </w:r>
          </w:p>
        </w:tc>
        <w:tc>
          <w:tcPr>
            <w:tcW w:w="455" w:type="pct"/>
            <w:vAlign w:val="center"/>
          </w:tcPr>
          <w:p w14:paraId="21DC4432" w14:textId="77777777" w:rsidR="000837A9" w:rsidRPr="00A411E7" w:rsidRDefault="000837A9" w:rsidP="00FF3977">
            <w:pPr>
              <w:rPr>
                <w:rFonts w:eastAsia="Calibri"/>
              </w:rPr>
            </w:pPr>
            <w:r>
              <w:rPr>
                <w:color w:val="000000"/>
              </w:rPr>
              <w:t xml:space="preserve"> -</w:t>
            </w:r>
          </w:p>
        </w:tc>
        <w:tc>
          <w:tcPr>
            <w:tcW w:w="487" w:type="pct"/>
          </w:tcPr>
          <w:p w14:paraId="1A30E75E" w14:textId="77777777" w:rsidR="000837A9" w:rsidRDefault="000837A9" w:rsidP="00FF3977">
            <w:pPr>
              <w:rPr>
                <w:color w:val="000000"/>
              </w:rPr>
            </w:pPr>
            <w:r>
              <w:rPr>
                <w:color w:val="000000"/>
              </w:rPr>
              <w:t>Not relevant for an AL formulation</w:t>
            </w:r>
          </w:p>
        </w:tc>
      </w:tr>
      <w:tr w:rsidR="000837A9" w14:paraId="118B0D4A" w14:textId="77777777" w:rsidTr="00FF3977">
        <w:tc>
          <w:tcPr>
            <w:tcW w:w="1255" w:type="pct"/>
          </w:tcPr>
          <w:p w14:paraId="7172721F" w14:textId="77777777" w:rsidR="000837A9" w:rsidRPr="00A411E7" w:rsidRDefault="000837A9" w:rsidP="00FF3977">
            <w:pPr>
              <w:rPr>
                <w:rFonts w:eastAsia="Calibri"/>
              </w:rPr>
            </w:pPr>
            <w:r w:rsidRPr="00A411E7">
              <w:rPr>
                <w:rFonts w:eastAsia="Calibri"/>
              </w:rPr>
              <w:t>Persistent foaming</w:t>
            </w:r>
          </w:p>
        </w:tc>
        <w:tc>
          <w:tcPr>
            <w:tcW w:w="605" w:type="pct"/>
            <w:vAlign w:val="center"/>
          </w:tcPr>
          <w:p w14:paraId="4E910C77" w14:textId="77777777" w:rsidR="000837A9" w:rsidRPr="00A411E7" w:rsidRDefault="000837A9" w:rsidP="00FF3977">
            <w:pPr>
              <w:rPr>
                <w:rFonts w:eastAsia="Calibri"/>
              </w:rPr>
            </w:pPr>
            <w:r>
              <w:rPr>
                <w:color w:val="000000"/>
              </w:rPr>
              <w:t xml:space="preserve"> -</w:t>
            </w:r>
          </w:p>
        </w:tc>
        <w:tc>
          <w:tcPr>
            <w:tcW w:w="458" w:type="pct"/>
            <w:vAlign w:val="center"/>
          </w:tcPr>
          <w:p w14:paraId="2D981F27" w14:textId="77777777" w:rsidR="000837A9" w:rsidRPr="00A411E7" w:rsidRDefault="000837A9" w:rsidP="00FF3977">
            <w:pPr>
              <w:rPr>
                <w:rFonts w:eastAsia="Calibri"/>
              </w:rPr>
            </w:pPr>
            <w:r>
              <w:rPr>
                <w:color w:val="000000"/>
              </w:rPr>
              <w:t xml:space="preserve"> -</w:t>
            </w:r>
          </w:p>
        </w:tc>
        <w:tc>
          <w:tcPr>
            <w:tcW w:w="1739" w:type="pct"/>
            <w:vAlign w:val="center"/>
          </w:tcPr>
          <w:p w14:paraId="3FEFE08D" w14:textId="77777777" w:rsidR="000837A9" w:rsidRPr="00A411E7" w:rsidRDefault="000837A9" w:rsidP="00FF3977">
            <w:pPr>
              <w:rPr>
                <w:rFonts w:eastAsia="Calibri"/>
              </w:rPr>
            </w:pPr>
            <w:r>
              <w:t>Not required as the product is a ready-to-use liquid.</w:t>
            </w:r>
          </w:p>
        </w:tc>
        <w:tc>
          <w:tcPr>
            <w:tcW w:w="455" w:type="pct"/>
            <w:vAlign w:val="center"/>
          </w:tcPr>
          <w:p w14:paraId="708662B4" w14:textId="77777777" w:rsidR="000837A9" w:rsidRPr="00A411E7" w:rsidRDefault="000837A9" w:rsidP="00FF3977">
            <w:pPr>
              <w:rPr>
                <w:rFonts w:eastAsia="Calibri"/>
              </w:rPr>
            </w:pPr>
            <w:r>
              <w:rPr>
                <w:color w:val="000000"/>
              </w:rPr>
              <w:t xml:space="preserve"> -</w:t>
            </w:r>
          </w:p>
        </w:tc>
        <w:tc>
          <w:tcPr>
            <w:tcW w:w="487" w:type="pct"/>
          </w:tcPr>
          <w:p w14:paraId="6E85794A" w14:textId="77777777" w:rsidR="000837A9" w:rsidRDefault="000837A9" w:rsidP="00FF3977">
            <w:pPr>
              <w:rPr>
                <w:color w:val="000000"/>
              </w:rPr>
            </w:pPr>
            <w:r>
              <w:rPr>
                <w:color w:val="000000"/>
              </w:rPr>
              <w:t>Not relevant</w:t>
            </w:r>
          </w:p>
        </w:tc>
      </w:tr>
      <w:tr w:rsidR="000837A9" w14:paraId="70256401" w14:textId="77777777" w:rsidTr="00FF3977">
        <w:tc>
          <w:tcPr>
            <w:tcW w:w="1255" w:type="pct"/>
          </w:tcPr>
          <w:p w14:paraId="1E8977AC" w14:textId="77777777" w:rsidR="000837A9" w:rsidRPr="00A411E7" w:rsidRDefault="000837A9" w:rsidP="00FF3977">
            <w:pPr>
              <w:rPr>
                <w:rFonts w:eastAsia="Calibri"/>
              </w:rPr>
            </w:pPr>
            <w:r w:rsidRPr="00A411E7">
              <w:rPr>
                <w:rFonts w:eastAsia="Calibri"/>
              </w:rPr>
              <w:t>Flowability/Pourability/Dustability</w:t>
            </w:r>
          </w:p>
        </w:tc>
        <w:tc>
          <w:tcPr>
            <w:tcW w:w="605" w:type="pct"/>
            <w:vAlign w:val="center"/>
          </w:tcPr>
          <w:p w14:paraId="1AC0C645" w14:textId="77777777" w:rsidR="000837A9" w:rsidRPr="00A411E7" w:rsidRDefault="000837A9" w:rsidP="00FF3977">
            <w:pPr>
              <w:rPr>
                <w:rFonts w:eastAsia="Calibri"/>
              </w:rPr>
            </w:pPr>
            <w:r>
              <w:rPr>
                <w:color w:val="000000"/>
              </w:rPr>
              <w:t xml:space="preserve"> -</w:t>
            </w:r>
          </w:p>
        </w:tc>
        <w:tc>
          <w:tcPr>
            <w:tcW w:w="458" w:type="pct"/>
            <w:vAlign w:val="center"/>
          </w:tcPr>
          <w:p w14:paraId="7083152A" w14:textId="77777777" w:rsidR="000837A9" w:rsidRPr="00A411E7" w:rsidRDefault="000837A9" w:rsidP="00FF3977">
            <w:pPr>
              <w:rPr>
                <w:rFonts w:eastAsia="Calibri"/>
              </w:rPr>
            </w:pPr>
            <w:r>
              <w:rPr>
                <w:color w:val="000000"/>
              </w:rPr>
              <w:t xml:space="preserve"> -</w:t>
            </w:r>
          </w:p>
        </w:tc>
        <w:tc>
          <w:tcPr>
            <w:tcW w:w="1739" w:type="pct"/>
            <w:vAlign w:val="center"/>
          </w:tcPr>
          <w:p w14:paraId="6FCFCCC3" w14:textId="77777777" w:rsidR="000837A9" w:rsidRPr="00A411E7" w:rsidRDefault="000837A9" w:rsidP="00FF3977">
            <w:pPr>
              <w:rPr>
                <w:rFonts w:eastAsia="Calibri"/>
              </w:rPr>
            </w:pPr>
            <w:r>
              <w:rPr>
                <w:color w:val="000000"/>
              </w:rPr>
              <w:t>Not required as the product is a ready-to-use liquid.</w:t>
            </w:r>
          </w:p>
        </w:tc>
        <w:tc>
          <w:tcPr>
            <w:tcW w:w="455" w:type="pct"/>
            <w:vAlign w:val="center"/>
          </w:tcPr>
          <w:p w14:paraId="11EF533F" w14:textId="77777777" w:rsidR="000837A9" w:rsidRPr="00A411E7" w:rsidRDefault="000837A9" w:rsidP="00FF3977">
            <w:pPr>
              <w:rPr>
                <w:rFonts w:eastAsia="Calibri"/>
              </w:rPr>
            </w:pPr>
            <w:r>
              <w:rPr>
                <w:color w:val="000000"/>
              </w:rPr>
              <w:t xml:space="preserve"> -</w:t>
            </w:r>
          </w:p>
        </w:tc>
        <w:tc>
          <w:tcPr>
            <w:tcW w:w="487" w:type="pct"/>
          </w:tcPr>
          <w:p w14:paraId="25595BD9" w14:textId="77777777" w:rsidR="000837A9" w:rsidRDefault="000837A9" w:rsidP="00FF3977">
            <w:pPr>
              <w:rPr>
                <w:color w:val="000000"/>
              </w:rPr>
            </w:pPr>
            <w:r>
              <w:rPr>
                <w:color w:val="000000"/>
              </w:rPr>
              <w:t>Not relevant for an AL formulation</w:t>
            </w:r>
          </w:p>
        </w:tc>
      </w:tr>
      <w:tr w:rsidR="000837A9" w14:paraId="715A6BF4" w14:textId="77777777" w:rsidTr="00FF3977">
        <w:tc>
          <w:tcPr>
            <w:tcW w:w="1255" w:type="pct"/>
          </w:tcPr>
          <w:p w14:paraId="657A61D6" w14:textId="77777777" w:rsidR="000837A9" w:rsidRPr="00A411E7" w:rsidRDefault="000837A9" w:rsidP="00FF3977">
            <w:pPr>
              <w:rPr>
                <w:rFonts w:eastAsia="Calibri"/>
              </w:rPr>
            </w:pPr>
            <w:r w:rsidRPr="00A411E7">
              <w:rPr>
                <w:rFonts w:eastAsia="Calibri"/>
              </w:rPr>
              <w:t>Burning rate — smoke generators</w:t>
            </w:r>
          </w:p>
        </w:tc>
        <w:tc>
          <w:tcPr>
            <w:tcW w:w="605" w:type="pct"/>
            <w:vAlign w:val="center"/>
          </w:tcPr>
          <w:p w14:paraId="2308491A" w14:textId="77777777" w:rsidR="000837A9" w:rsidRPr="00A411E7" w:rsidRDefault="000837A9" w:rsidP="00FF3977">
            <w:pPr>
              <w:rPr>
                <w:rFonts w:eastAsia="Calibri"/>
              </w:rPr>
            </w:pPr>
            <w:r>
              <w:rPr>
                <w:color w:val="000000"/>
              </w:rPr>
              <w:t xml:space="preserve"> -</w:t>
            </w:r>
          </w:p>
        </w:tc>
        <w:tc>
          <w:tcPr>
            <w:tcW w:w="458" w:type="pct"/>
            <w:vAlign w:val="center"/>
          </w:tcPr>
          <w:p w14:paraId="0FE935AD" w14:textId="77777777" w:rsidR="000837A9" w:rsidRPr="00A411E7" w:rsidRDefault="000837A9" w:rsidP="00FF3977">
            <w:pPr>
              <w:rPr>
                <w:rFonts w:eastAsia="Calibri"/>
              </w:rPr>
            </w:pPr>
            <w:r>
              <w:rPr>
                <w:color w:val="000000"/>
              </w:rPr>
              <w:t xml:space="preserve"> -</w:t>
            </w:r>
          </w:p>
        </w:tc>
        <w:tc>
          <w:tcPr>
            <w:tcW w:w="1739" w:type="pct"/>
            <w:vAlign w:val="center"/>
          </w:tcPr>
          <w:p w14:paraId="00BCEF6A"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55" w:type="pct"/>
            <w:vAlign w:val="center"/>
          </w:tcPr>
          <w:p w14:paraId="6B396682" w14:textId="77777777" w:rsidR="000837A9" w:rsidRPr="00A411E7" w:rsidRDefault="000837A9" w:rsidP="00FF3977">
            <w:pPr>
              <w:rPr>
                <w:rFonts w:eastAsia="Calibri"/>
              </w:rPr>
            </w:pPr>
            <w:r>
              <w:rPr>
                <w:color w:val="000000"/>
              </w:rPr>
              <w:t xml:space="preserve"> -</w:t>
            </w:r>
          </w:p>
        </w:tc>
        <w:tc>
          <w:tcPr>
            <w:tcW w:w="487" w:type="pct"/>
          </w:tcPr>
          <w:p w14:paraId="141E817E" w14:textId="77777777" w:rsidR="000837A9" w:rsidRDefault="000837A9" w:rsidP="00FF3977">
            <w:pPr>
              <w:rPr>
                <w:color w:val="000000"/>
              </w:rPr>
            </w:pPr>
            <w:r>
              <w:rPr>
                <w:color w:val="000000"/>
              </w:rPr>
              <w:t>Not relevant for an AL formulation</w:t>
            </w:r>
          </w:p>
        </w:tc>
      </w:tr>
      <w:tr w:rsidR="000837A9" w14:paraId="65DDB555" w14:textId="77777777" w:rsidTr="00FF3977">
        <w:tc>
          <w:tcPr>
            <w:tcW w:w="1255" w:type="pct"/>
          </w:tcPr>
          <w:p w14:paraId="34EC5DC9" w14:textId="77777777" w:rsidR="000837A9" w:rsidRPr="00A411E7" w:rsidRDefault="000837A9" w:rsidP="00FF3977">
            <w:pPr>
              <w:rPr>
                <w:rFonts w:eastAsia="Calibri"/>
              </w:rPr>
            </w:pPr>
            <w:r w:rsidRPr="00A411E7">
              <w:rPr>
                <w:rFonts w:eastAsia="Calibri"/>
              </w:rPr>
              <w:t>Burning completeness — smoke generators</w:t>
            </w:r>
          </w:p>
        </w:tc>
        <w:tc>
          <w:tcPr>
            <w:tcW w:w="605" w:type="pct"/>
            <w:vAlign w:val="center"/>
          </w:tcPr>
          <w:p w14:paraId="6AD6C275" w14:textId="77777777" w:rsidR="000837A9" w:rsidRPr="00A411E7" w:rsidRDefault="000837A9" w:rsidP="00FF3977">
            <w:pPr>
              <w:rPr>
                <w:rFonts w:eastAsia="Calibri"/>
              </w:rPr>
            </w:pPr>
            <w:r>
              <w:rPr>
                <w:color w:val="000000"/>
              </w:rPr>
              <w:t xml:space="preserve"> -</w:t>
            </w:r>
          </w:p>
        </w:tc>
        <w:tc>
          <w:tcPr>
            <w:tcW w:w="458" w:type="pct"/>
            <w:vAlign w:val="center"/>
          </w:tcPr>
          <w:p w14:paraId="4BEEE58F" w14:textId="77777777" w:rsidR="000837A9" w:rsidRPr="00A411E7" w:rsidRDefault="000837A9" w:rsidP="00FF3977">
            <w:pPr>
              <w:rPr>
                <w:rFonts w:eastAsia="Calibri"/>
              </w:rPr>
            </w:pPr>
            <w:r>
              <w:rPr>
                <w:color w:val="000000"/>
              </w:rPr>
              <w:t xml:space="preserve"> -</w:t>
            </w:r>
          </w:p>
        </w:tc>
        <w:tc>
          <w:tcPr>
            <w:tcW w:w="1739" w:type="pct"/>
            <w:vAlign w:val="center"/>
          </w:tcPr>
          <w:p w14:paraId="26E97DE3"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55" w:type="pct"/>
            <w:vAlign w:val="center"/>
          </w:tcPr>
          <w:p w14:paraId="668F2642" w14:textId="77777777" w:rsidR="000837A9" w:rsidRPr="00A411E7" w:rsidRDefault="000837A9" w:rsidP="00FF3977">
            <w:pPr>
              <w:rPr>
                <w:rFonts w:eastAsia="Calibri"/>
              </w:rPr>
            </w:pPr>
            <w:r>
              <w:rPr>
                <w:color w:val="000000"/>
              </w:rPr>
              <w:t xml:space="preserve"> -</w:t>
            </w:r>
          </w:p>
        </w:tc>
        <w:tc>
          <w:tcPr>
            <w:tcW w:w="487" w:type="pct"/>
          </w:tcPr>
          <w:p w14:paraId="1CBBA60B" w14:textId="77777777" w:rsidR="000837A9" w:rsidRDefault="000837A9" w:rsidP="00FF3977">
            <w:pPr>
              <w:rPr>
                <w:color w:val="000000"/>
              </w:rPr>
            </w:pPr>
            <w:r>
              <w:rPr>
                <w:color w:val="000000"/>
              </w:rPr>
              <w:t>Not relevant for an AL formulation</w:t>
            </w:r>
          </w:p>
        </w:tc>
      </w:tr>
      <w:tr w:rsidR="000837A9" w14:paraId="7AED884E" w14:textId="77777777" w:rsidTr="00FF3977">
        <w:tc>
          <w:tcPr>
            <w:tcW w:w="1255" w:type="pct"/>
          </w:tcPr>
          <w:p w14:paraId="058266B5" w14:textId="77777777" w:rsidR="000837A9" w:rsidRPr="00A411E7" w:rsidRDefault="000837A9" w:rsidP="00FF3977">
            <w:pPr>
              <w:rPr>
                <w:rFonts w:eastAsia="Calibri"/>
              </w:rPr>
            </w:pPr>
            <w:r w:rsidRPr="00A411E7">
              <w:rPr>
                <w:rFonts w:eastAsia="Calibri"/>
              </w:rPr>
              <w:t>Composition of smoke — smoke generators</w:t>
            </w:r>
          </w:p>
        </w:tc>
        <w:tc>
          <w:tcPr>
            <w:tcW w:w="605" w:type="pct"/>
            <w:vAlign w:val="center"/>
          </w:tcPr>
          <w:p w14:paraId="76AAE5A6" w14:textId="77777777" w:rsidR="000837A9" w:rsidRPr="00A411E7" w:rsidRDefault="000837A9" w:rsidP="00FF3977">
            <w:pPr>
              <w:rPr>
                <w:rFonts w:eastAsia="Calibri"/>
              </w:rPr>
            </w:pPr>
            <w:r>
              <w:rPr>
                <w:color w:val="000000"/>
              </w:rPr>
              <w:t xml:space="preserve"> -</w:t>
            </w:r>
          </w:p>
        </w:tc>
        <w:tc>
          <w:tcPr>
            <w:tcW w:w="458" w:type="pct"/>
            <w:vAlign w:val="center"/>
          </w:tcPr>
          <w:p w14:paraId="1538FE7A" w14:textId="77777777" w:rsidR="000837A9" w:rsidRPr="00A411E7" w:rsidRDefault="000837A9" w:rsidP="00FF3977">
            <w:pPr>
              <w:rPr>
                <w:rFonts w:eastAsia="Calibri"/>
              </w:rPr>
            </w:pPr>
            <w:r>
              <w:rPr>
                <w:color w:val="000000"/>
              </w:rPr>
              <w:t xml:space="preserve"> -</w:t>
            </w:r>
          </w:p>
        </w:tc>
        <w:tc>
          <w:tcPr>
            <w:tcW w:w="1739" w:type="pct"/>
            <w:vAlign w:val="center"/>
          </w:tcPr>
          <w:p w14:paraId="46875AD2"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55" w:type="pct"/>
            <w:vAlign w:val="center"/>
          </w:tcPr>
          <w:p w14:paraId="51B41596" w14:textId="77777777" w:rsidR="000837A9" w:rsidRPr="00A411E7" w:rsidRDefault="000837A9" w:rsidP="00FF3977">
            <w:pPr>
              <w:rPr>
                <w:rFonts w:eastAsia="Calibri"/>
              </w:rPr>
            </w:pPr>
            <w:r>
              <w:rPr>
                <w:color w:val="000000"/>
              </w:rPr>
              <w:t xml:space="preserve"> -</w:t>
            </w:r>
          </w:p>
        </w:tc>
        <w:tc>
          <w:tcPr>
            <w:tcW w:w="487" w:type="pct"/>
          </w:tcPr>
          <w:p w14:paraId="04ACF988" w14:textId="77777777" w:rsidR="000837A9" w:rsidRDefault="000837A9" w:rsidP="00FF3977">
            <w:pPr>
              <w:rPr>
                <w:color w:val="000000"/>
              </w:rPr>
            </w:pPr>
            <w:r>
              <w:rPr>
                <w:color w:val="000000"/>
              </w:rPr>
              <w:t>Not relevant for an AL formulation</w:t>
            </w:r>
          </w:p>
        </w:tc>
      </w:tr>
      <w:tr w:rsidR="000837A9" w14:paraId="68AC7FBE" w14:textId="77777777" w:rsidTr="00FF3977">
        <w:tc>
          <w:tcPr>
            <w:tcW w:w="1255" w:type="pct"/>
          </w:tcPr>
          <w:p w14:paraId="0593177E" w14:textId="77777777" w:rsidR="000837A9" w:rsidRPr="00A411E7" w:rsidRDefault="000837A9" w:rsidP="00FF3977">
            <w:pPr>
              <w:rPr>
                <w:rFonts w:eastAsia="Calibri"/>
              </w:rPr>
            </w:pPr>
            <w:r w:rsidRPr="00A411E7">
              <w:rPr>
                <w:rFonts w:eastAsia="Calibri"/>
              </w:rPr>
              <w:t>Spray</w:t>
            </w:r>
            <w:r>
              <w:rPr>
                <w:rFonts w:eastAsia="Calibri"/>
              </w:rPr>
              <w:t>ability</w:t>
            </w:r>
          </w:p>
        </w:tc>
        <w:tc>
          <w:tcPr>
            <w:tcW w:w="605" w:type="pct"/>
            <w:vAlign w:val="center"/>
          </w:tcPr>
          <w:p w14:paraId="76F8F9B0" w14:textId="77777777" w:rsidR="000837A9" w:rsidRPr="00A411E7" w:rsidRDefault="000837A9" w:rsidP="00FF3977">
            <w:pPr>
              <w:rPr>
                <w:rFonts w:eastAsia="Calibri"/>
              </w:rPr>
            </w:pPr>
            <w:r>
              <w:rPr>
                <w:color w:val="000000"/>
              </w:rPr>
              <w:t>In house method</w:t>
            </w:r>
          </w:p>
        </w:tc>
        <w:tc>
          <w:tcPr>
            <w:tcW w:w="458" w:type="pct"/>
            <w:vAlign w:val="center"/>
          </w:tcPr>
          <w:p w14:paraId="488FC8A0" w14:textId="77777777" w:rsidR="000837A9" w:rsidRPr="00A411E7" w:rsidRDefault="000837A9" w:rsidP="00FF3977">
            <w:pPr>
              <w:rPr>
                <w:rFonts w:eastAsia="Calibri"/>
              </w:rPr>
            </w:pPr>
            <w:r>
              <w:t xml:space="preserve">Batch 5118225 </w:t>
            </w:r>
            <w:r>
              <w:rPr>
                <w:color w:val="000000"/>
              </w:rPr>
              <w:t xml:space="preserve">Test item: </w:t>
            </w:r>
            <w:r w:rsidRPr="00600059">
              <w:rPr>
                <w:color w:val="000000"/>
              </w:rPr>
              <w:t>218221-P2</w:t>
            </w:r>
          </w:p>
        </w:tc>
        <w:tc>
          <w:tcPr>
            <w:tcW w:w="1739" w:type="pct"/>
            <w:vAlign w:val="center"/>
          </w:tcPr>
          <w:p w14:paraId="4F108D59" w14:textId="77777777" w:rsidR="000837A9" w:rsidRDefault="000837A9" w:rsidP="00FF3977">
            <w:pPr>
              <w:rPr>
                <w:color w:val="000000"/>
              </w:rPr>
            </w:pPr>
          </w:p>
          <w:p w14:paraId="490B6666" w14:textId="7A30F9BF" w:rsidR="000837A9" w:rsidRDefault="000837A9" w:rsidP="00FF3977">
            <w:pPr>
              <w:rPr>
                <w:color w:val="000000"/>
              </w:rPr>
            </w:pPr>
            <w:r>
              <w:rPr>
                <w:color w:val="000000"/>
              </w:rPr>
              <w:t xml:space="preserve">The mean volume of a pulverisation of the sprayer was 1.38 mL. The </w:t>
            </w:r>
            <w:r w:rsidR="008101B2">
              <w:rPr>
                <w:color w:val="000000"/>
              </w:rPr>
              <w:t xml:space="preserve">foam </w:t>
            </w:r>
            <w:r>
              <w:rPr>
                <w:color w:val="000000"/>
              </w:rPr>
              <w:t>nozzles of the sprays were checked and no blocking was observed.</w:t>
            </w:r>
          </w:p>
          <w:p w14:paraId="55643371" w14:textId="77777777" w:rsidR="000837A9" w:rsidRDefault="000837A9" w:rsidP="00FF3977">
            <w:pPr>
              <w:rPr>
                <w:color w:val="000000"/>
              </w:rPr>
            </w:pPr>
            <w:r>
              <w:rPr>
                <w:color w:val="000000"/>
              </w:rPr>
              <w:t>The mean spray diameter of the sprayer was 15 cm. The shape of the spray on the wetted patch was circular.</w:t>
            </w:r>
          </w:p>
          <w:p w14:paraId="00164E78" w14:textId="77777777" w:rsidR="000837A9" w:rsidRDefault="000837A9" w:rsidP="00FF3977"/>
          <w:p w14:paraId="72CD11F4" w14:textId="77777777" w:rsidR="000837A9" w:rsidRDefault="000837A9" w:rsidP="00FF3977">
            <w:r>
              <w:lastRenderedPageBreak/>
              <w:t xml:space="preserve">Products of META SPC 2 will be sold together with a srayer device with foam nozzle, therefore determination of the MMAD is not required. </w:t>
            </w:r>
          </w:p>
          <w:p w14:paraId="4036BEF8" w14:textId="77777777" w:rsidR="000837A9" w:rsidRPr="00A411E7" w:rsidRDefault="000837A9" w:rsidP="00FF3977">
            <w:pPr>
              <w:rPr>
                <w:rFonts w:eastAsia="Calibri"/>
              </w:rPr>
            </w:pPr>
          </w:p>
        </w:tc>
        <w:tc>
          <w:tcPr>
            <w:tcW w:w="455" w:type="pct"/>
            <w:vAlign w:val="center"/>
          </w:tcPr>
          <w:p w14:paraId="0F4904FE" w14:textId="77777777" w:rsidR="000837A9" w:rsidRPr="00A411E7" w:rsidRDefault="000837A9" w:rsidP="00FF3977">
            <w:pPr>
              <w:rPr>
                <w:rFonts w:eastAsia="Calibri"/>
              </w:rPr>
            </w:pPr>
            <w:r w:rsidRPr="000507FC">
              <w:rPr>
                <w:color w:val="000000"/>
              </w:rPr>
              <w:lastRenderedPageBreak/>
              <w:t>Demangel B. and Ricau H., 2019, Report No 18-901011-014</w:t>
            </w:r>
          </w:p>
        </w:tc>
        <w:tc>
          <w:tcPr>
            <w:tcW w:w="487" w:type="pct"/>
          </w:tcPr>
          <w:p w14:paraId="7F513007" w14:textId="77777777" w:rsidR="000837A9" w:rsidRDefault="000837A9" w:rsidP="00FF3977">
            <w:pPr>
              <w:rPr>
                <w:color w:val="000000"/>
              </w:rPr>
            </w:pPr>
            <w:r>
              <w:rPr>
                <w:color w:val="000000"/>
              </w:rPr>
              <w:t>Acceptable</w:t>
            </w:r>
          </w:p>
        </w:tc>
      </w:tr>
      <w:tr w:rsidR="000837A9" w14:paraId="569D1F27" w14:textId="77777777" w:rsidTr="00FF3977">
        <w:tc>
          <w:tcPr>
            <w:tcW w:w="1255" w:type="pct"/>
          </w:tcPr>
          <w:p w14:paraId="3CAD77F6" w14:textId="77777777" w:rsidR="000837A9" w:rsidRPr="00A411E7" w:rsidRDefault="000837A9" w:rsidP="00FF3977">
            <w:pPr>
              <w:rPr>
                <w:rFonts w:eastAsia="Calibri"/>
              </w:rPr>
            </w:pPr>
            <w:r w:rsidRPr="00A411E7">
              <w:rPr>
                <w:rFonts w:eastAsia="Calibri"/>
              </w:rPr>
              <w:t>Physical compatibility</w:t>
            </w:r>
          </w:p>
        </w:tc>
        <w:tc>
          <w:tcPr>
            <w:tcW w:w="605" w:type="pct"/>
            <w:vAlign w:val="center"/>
          </w:tcPr>
          <w:p w14:paraId="65DFED55" w14:textId="77777777" w:rsidR="000837A9" w:rsidRPr="00A411E7" w:rsidRDefault="000837A9" w:rsidP="00FF3977">
            <w:pPr>
              <w:rPr>
                <w:rFonts w:eastAsia="Calibri"/>
              </w:rPr>
            </w:pPr>
            <w:r>
              <w:rPr>
                <w:color w:val="000000"/>
              </w:rPr>
              <w:t xml:space="preserve"> -</w:t>
            </w:r>
          </w:p>
        </w:tc>
        <w:tc>
          <w:tcPr>
            <w:tcW w:w="458" w:type="pct"/>
            <w:vAlign w:val="center"/>
          </w:tcPr>
          <w:p w14:paraId="5AA0D555" w14:textId="77777777" w:rsidR="000837A9" w:rsidRPr="00A411E7" w:rsidRDefault="000837A9" w:rsidP="00FF3977">
            <w:pPr>
              <w:rPr>
                <w:rFonts w:eastAsia="Calibri"/>
              </w:rPr>
            </w:pPr>
            <w:r>
              <w:rPr>
                <w:color w:val="000000"/>
              </w:rPr>
              <w:t xml:space="preserve"> -</w:t>
            </w:r>
          </w:p>
        </w:tc>
        <w:tc>
          <w:tcPr>
            <w:tcW w:w="1739" w:type="pct"/>
            <w:vAlign w:val="center"/>
          </w:tcPr>
          <w:p w14:paraId="6724F698"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455" w:type="pct"/>
            <w:vAlign w:val="center"/>
          </w:tcPr>
          <w:p w14:paraId="10150175" w14:textId="77777777" w:rsidR="000837A9" w:rsidRPr="00A411E7" w:rsidRDefault="000837A9" w:rsidP="00FF3977">
            <w:pPr>
              <w:rPr>
                <w:rFonts w:eastAsia="Calibri"/>
              </w:rPr>
            </w:pPr>
            <w:r>
              <w:rPr>
                <w:color w:val="000000"/>
              </w:rPr>
              <w:t xml:space="preserve"> -</w:t>
            </w:r>
          </w:p>
        </w:tc>
        <w:tc>
          <w:tcPr>
            <w:tcW w:w="487" w:type="pct"/>
          </w:tcPr>
          <w:p w14:paraId="10E5AFFC" w14:textId="77777777" w:rsidR="000837A9" w:rsidRDefault="000837A9" w:rsidP="00FF3977">
            <w:pPr>
              <w:rPr>
                <w:color w:val="000000"/>
              </w:rPr>
            </w:pPr>
            <w:r>
              <w:rPr>
                <w:color w:val="000000"/>
              </w:rPr>
              <w:t>Acceptable</w:t>
            </w:r>
          </w:p>
        </w:tc>
      </w:tr>
      <w:tr w:rsidR="000837A9" w14:paraId="132E564B" w14:textId="77777777" w:rsidTr="00FF3977">
        <w:tc>
          <w:tcPr>
            <w:tcW w:w="1255" w:type="pct"/>
          </w:tcPr>
          <w:p w14:paraId="64C0F561" w14:textId="77777777" w:rsidR="000837A9" w:rsidRPr="00A411E7" w:rsidRDefault="000837A9" w:rsidP="00FF3977">
            <w:pPr>
              <w:rPr>
                <w:rFonts w:eastAsia="Calibri"/>
              </w:rPr>
            </w:pPr>
            <w:r w:rsidRPr="00A411E7">
              <w:rPr>
                <w:rFonts w:eastAsia="Calibri"/>
              </w:rPr>
              <w:t>Chemical compatibility</w:t>
            </w:r>
          </w:p>
        </w:tc>
        <w:tc>
          <w:tcPr>
            <w:tcW w:w="605" w:type="pct"/>
            <w:vAlign w:val="center"/>
          </w:tcPr>
          <w:p w14:paraId="59927EC0" w14:textId="77777777" w:rsidR="000837A9" w:rsidRPr="00A411E7" w:rsidRDefault="000837A9" w:rsidP="00FF3977">
            <w:pPr>
              <w:rPr>
                <w:rFonts w:eastAsia="Calibri"/>
              </w:rPr>
            </w:pPr>
            <w:r>
              <w:rPr>
                <w:color w:val="000000"/>
              </w:rPr>
              <w:t xml:space="preserve"> -</w:t>
            </w:r>
          </w:p>
        </w:tc>
        <w:tc>
          <w:tcPr>
            <w:tcW w:w="458" w:type="pct"/>
            <w:vAlign w:val="center"/>
          </w:tcPr>
          <w:p w14:paraId="641576E5" w14:textId="77777777" w:rsidR="000837A9" w:rsidRPr="00A411E7" w:rsidRDefault="000837A9" w:rsidP="00FF3977">
            <w:pPr>
              <w:rPr>
                <w:rFonts w:eastAsia="Calibri"/>
              </w:rPr>
            </w:pPr>
            <w:r>
              <w:rPr>
                <w:color w:val="000000"/>
              </w:rPr>
              <w:t xml:space="preserve"> -</w:t>
            </w:r>
          </w:p>
        </w:tc>
        <w:tc>
          <w:tcPr>
            <w:tcW w:w="1739" w:type="pct"/>
            <w:vAlign w:val="center"/>
          </w:tcPr>
          <w:p w14:paraId="267F25A8"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455" w:type="pct"/>
            <w:vAlign w:val="center"/>
          </w:tcPr>
          <w:p w14:paraId="76D4582C" w14:textId="77777777" w:rsidR="000837A9" w:rsidRPr="00A411E7" w:rsidRDefault="000837A9" w:rsidP="00FF3977">
            <w:pPr>
              <w:rPr>
                <w:rFonts w:eastAsia="Calibri"/>
              </w:rPr>
            </w:pPr>
            <w:r>
              <w:rPr>
                <w:color w:val="000000"/>
              </w:rPr>
              <w:t xml:space="preserve"> -</w:t>
            </w:r>
          </w:p>
        </w:tc>
        <w:tc>
          <w:tcPr>
            <w:tcW w:w="487" w:type="pct"/>
          </w:tcPr>
          <w:p w14:paraId="4B478E63" w14:textId="77777777" w:rsidR="000837A9" w:rsidRDefault="000837A9" w:rsidP="00FF3977">
            <w:pPr>
              <w:rPr>
                <w:color w:val="000000"/>
              </w:rPr>
            </w:pPr>
            <w:r>
              <w:rPr>
                <w:color w:val="000000"/>
              </w:rPr>
              <w:t>Acceptable</w:t>
            </w:r>
          </w:p>
        </w:tc>
      </w:tr>
      <w:tr w:rsidR="000837A9" w14:paraId="24AC3BF6" w14:textId="77777777" w:rsidTr="00FF3977">
        <w:tc>
          <w:tcPr>
            <w:tcW w:w="1255" w:type="pct"/>
          </w:tcPr>
          <w:p w14:paraId="73B1250E" w14:textId="77777777" w:rsidR="000837A9" w:rsidRPr="00A411E7" w:rsidRDefault="000837A9" w:rsidP="00FF3977">
            <w:pPr>
              <w:rPr>
                <w:rFonts w:eastAsia="Calibri"/>
              </w:rPr>
            </w:pPr>
            <w:r w:rsidRPr="00A411E7">
              <w:rPr>
                <w:rFonts w:eastAsia="Calibri"/>
              </w:rPr>
              <w:t>Degree of dissolution and dilution stability</w:t>
            </w:r>
          </w:p>
        </w:tc>
        <w:tc>
          <w:tcPr>
            <w:tcW w:w="605" w:type="pct"/>
            <w:vAlign w:val="center"/>
          </w:tcPr>
          <w:p w14:paraId="6DE7718F" w14:textId="77777777" w:rsidR="000837A9" w:rsidRPr="00A411E7" w:rsidRDefault="000837A9" w:rsidP="00FF3977">
            <w:pPr>
              <w:rPr>
                <w:rFonts w:eastAsia="Calibri"/>
              </w:rPr>
            </w:pPr>
            <w:r>
              <w:rPr>
                <w:color w:val="000000"/>
              </w:rPr>
              <w:t xml:space="preserve"> -</w:t>
            </w:r>
          </w:p>
        </w:tc>
        <w:tc>
          <w:tcPr>
            <w:tcW w:w="458" w:type="pct"/>
            <w:vAlign w:val="center"/>
          </w:tcPr>
          <w:p w14:paraId="62FC754E" w14:textId="77777777" w:rsidR="000837A9" w:rsidRPr="00A411E7" w:rsidRDefault="000837A9" w:rsidP="00FF3977">
            <w:pPr>
              <w:rPr>
                <w:rFonts w:eastAsia="Calibri"/>
              </w:rPr>
            </w:pPr>
            <w:r>
              <w:rPr>
                <w:color w:val="000000"/>
              </w:rPr>
              <w:t xml:space="preserve"> -</w:t>
            </w:r>
          </w:p>
        </w:tc>
        <w:tc>
          <w:tcPr>
            <w:tcW w:w="1739" w:type="pct"/>
            <w:vAlign w:val="center"/>
          </w:tcPr>
          <w:p w14:paraId="0A2D2301" w14:textId="77777777" w:rsidR="000837A9" w:rsidRPr="00A411E7" w:rsidRDefault="000837A9" w:rsidP="00FF3977">
            <w:pPr>
              <w:rPr>
                <w:rFonts w:eastAsia="Calibri"/>
              </w:rPr>
            </w:pPr>
            <w:r>
              <w:rPr>
                <w:color w:val="000000"/>
              </w:rPr>
              <w:t>Not required as the product is a ready-to-use liquid.</w:t>
            </w:r>
          </w:p>
        </w:tc>
        <w:tc>
          <w:tcPr>
            <w:tcW w:w="455" w:type="pct"/>
            <w:vAlign w:val="center"/>
          </w:tcPr>
          <w:p w14:paraId="00A4A5E6" w14:textId="77777777" w:rsidR="000837A9" w:rsidRPr="00A411E7" w:rsidRDefault="000837A9" w:rsidP="00FF3977">
            <w:pPr>
              <w:rPr>
                <w:rFonts w:eastAsia="Calibri"/>
              </w:rPr>
            </w:pPr>
            <w:r>
              <w:rPr>
                <w:color w:val="000000"/>
              </w:rPr>
              <w:t xml:space="preserve"> -</w:t>
            </w:r>
          </w:p>
        </w:tc>
        <w:tc>
          <w:tcPr>
            <w:tcW w:w="487" w:type="pct"/>
          </w:tcPr>
          <w:p w14:paraId="477D1570" w14:textId="77777777" w:rsidR="000837A9" w:rsidRDefault="000837A9" w:rsidP="00FF3977">
            <w:pPr>
              <w:rPr>
                <w:color w:val="000000"/>
              </w:rPr>
            </w:pPr>
            <w:r>
              <w:rPr>
                <w:color w:val="000000"/>
              </w:rPr>
              <w:t>Acceptable</w:t>
            </w:r>
          </w:p>
        </w:tc>
      </w:tr>
      <w:tr w:rsidR="000837A9" w14:paraId="326816E3" w14:textId="77777777" w:rsidTr="00FF3977">
        <w:tc>
          <w:tcPr>
            <w:tcW w:w="1255" w:type="pct"/>
          </w:tcPr>
          <w:p w14:paraId="7E851C3D" w14:textId="77777777" w:rsidR="000837A9" w:rsidRPr="00A411E7" w:rsidRDefault="000837A9" w:rsidP="00FF3977">
            <w:pPr>
              <w:rPr>
                <w:rFonts w:eastAsia="Calibri"/>
              </w:rPr>
            </w:pPr>
            <w:r w:rsidRPr="00A411E7">
              <w:rPr>
                <w:rFonts w:eastAsia="Calibri"/>
              </w:rPr>
              <w:t>Surface tension</w:t>
            </w:r>
          </w:p>
        </w:tc>
        <w:tc>
          <w:tcPr>
            <w:tcW w:w="605" w:type="pct"/>
            <w:vAlign w:val="center"/>
          </w:tcPr>
          <w:p w14:paraId="53994220" w14:textId="77777777" w:rsidR="000837A9" w:rsidRPr="00A411E7" w:rsidRDefault="000837A9" w:rsidP="00FF3977">
            <w:pPr>
              <w:rPr>
                <w:rFonts w:eastAsia="Calibri"/>
              </w:rPr>
            </w:pPr>
            <w:r>
              <w:t>EC A.5. method (2008) and OECD Guideline No. 115 (1995)</w:t>
            </w:r>
          </w:p>
        </w:tc>
        <w:tc>
          <w:tcPr>
            <w:tcW w:w="458" w:type="pct"/>
            <w:vAlign w:val="center"/>
          </w:tcPr>
          <w:p w14:paraId="398AAA1B" w14:textId="77777777" w:rsidR="000837A9" w:rsidRDefault="000837A9" w:rsidP="00FF3977">
            <w:r>
              <w:t>Batch 5118225</w:t>
            </w:r>
          </w:p>
          <w:p w14:paraId="17AC978A" w14:textId="77777777" w:rsidR="000837A9" w:rsidRPr="00A411E7" w:rsidRDefault="000837A9" w:rsidP="00FF3977">
            <w:pPr>
              <w:rPr>
                <w:rFonts w:eastAsia="Calibri"/>
              </w:rPr>
            </w:pPr>
            <w:r>
              <w:rPr>
                <w:color w:val="000000"/>
              </w:rPr>
              <w:t xml:space="preserve">Test item: </w:t>
            </w:r>
            <w:r w:rsidRPr="00600059">
              <w:rPr>
                <w:color w:val="000000"/>
              </w:rPr>
              <w:t>218221-P2</w:t>
            </w:r>
          </w:p>
        </w:tc>
        <w:tc>
          <w:tcPr>
            <w:tcW w:w="1739" w:type="pct"/>
            <w:vAlign w:val="center"/>
          </w:tcPr>
          <w:p w14:paraId="533E58C8" w14:textId="77777777" w:rsidR="000837A9" w:rsidRPr="00A411E7" w:rsidRDefault="000837A9" w:rsidP="00FF3977">
            <w:pPr>
              <w:rPr>
                <w:rFonts w:eastAsia="Calibri"/>
              </w:rPr>
            </w:pPr>
            <w:r>
              <w:t>The mean surface tension of the pure test item at 20.1 °C was 24.7 mN/m. The test item was considered as surface-active in the experimental conditions used.</w:t>
            </w:r>
          </w:p>
        </w:tc>
        <w:tc>
          <w:tcPr>
            <w:tcW w:w="455" w:type="pct"/>
            <w:vAlign w:val="center"/>
          </w:tcPr>
          <w:p w14:paraId="19E0CDB8" w14:textId="77777777" w:rsidR="000837A9" w:rsidRPr="00A411E7" w:rsidRDefault="000837A9" w:rsidP="00FF3977">
            <w:pPr>
              <w:rPr>
                <w:rFonts w:eastAsia="Calibri"/>
              </w:rPr>
            </w:pPr>
            <w:r>
              <w:t>Demangel B., 2019, Report No 18-901011-013</w:t>
            </w:r>
          </w:p>
        </w:tc>
        <w:tc>
          <w:tcPr>
            <w:tcW w:w="487" w:type="pct"/>
          </w:tcPr>
          <w:p w14:paraId="6040D63F" w14:textId="77777777" w:rsidR="000837A9" w:rsidRDefault="000837A9" w:rsidP="00FF3977">
            <w:r>
              <w:rPr>
                <w:color w:val="000000"/>
              </w:rPr>
              <w:t>Acceptable</w:t>
            </w:r>
          </w:p>
        </w:tc>
      </w:tr>
      <w:tr w:rsidR="000837A9" w14:paraId="625B4314" w14:textId="77777777" w:rsidTr="00FF3977">
        <w:tc>
          <w:tcPr>
            <w:tcW w:w="1255" w:type="pct"/>
          </w:tcPr>
          <w:p w14:paraId="5E42E0CC" w14:textId="77777777" w:rsidR="000837A9" w:rsidRPr="00A411E7" w:rsidRDefault="000837A9" w:rsidP="00FF3977">
            <w:pPr>
              <w:rPr>
                <w:rFonts w:eastAsia="Calibri"/>
              </w:rPr>
            </w:pPr>
            <w:r w:rsidRPr="00A411E7">
              <w:rPr>
                <w:rFonts w:eastAsia="Calibri"/>
              </w:rPr>
              <w:t>Viscosity</w:t>
            </w:r>
          </w:p>
        </w:tc>
        <w:tc>
          <w:tcPr>
            <w:tcW w:w="605" w:type="pct"/>
            <w:vAlign w:val="center"/>
          </w:tcPr>
          <w:p w14:paraId="46B6E640" w14:textId="77777777" w:rsidR="000837A9" w:rsidRPr="00A411E7" w:rsidRDefault="000837A9" w:rsidP="00FF3977">
            <w:pPr>
              <w:rPr>
                <w:rFonts w:eastAsia="Calibri"/>
              </w:rPr>
            </w:pPr>
            <w:r>
              <w:t>OECD Guideline No. 114 (2012) and ISO Standard 3219 (1993)</w:t>
            </w:r>
          </w:p>
        </w:tc>
        <w:tc>
          <w:tcPr>
            <w:tcW w:w="458" w:type="pct"/>
            <w:vAlign w:val="center"/>
          </w:tcPr>
          <w:p w14:paraId="71ABED8E" w14:textId="77777777" w:rsidR="000837A9" w:rsidRDefault="000837A9" w:rsidP="00FF3977">
            <w:r>
              <w:t>Batch 5118225</w:t>
            </w:r>
          </w:p>
          <w:p w14:paraId="6BC5454A" w14:textId="77777777" w:rsidR="000837A9" w:rsidRPr="00A411E7" w:rsidRDefault="000837A9" w:rsidP="00FF3977">
            <w:pPr>
              <w:rPr>
                <w:rFonts w:eastAsia="Calibri"/>
              </w:rPr>
            </w:pPr>
            <w:r>
              <w:rPr>
                <w:color w:val="000000"/>
              </w:rPr>
              <w:t xml:space="preserve">Test item: </w:t>
            </w:r>
            <w:r w:rsidRPr="00600059">
              <w:rPr>
                <w:color w:val="000000"/>
              </w:rPr>
              <w:t>218221-P2</w:t>
            </w:r>
          </w:p>
        </w:tc>
        <w:tc>
          <w:tcPr>
            <w:tcW w:w="1739" w:type="pct"/>
            <w:vAlign w:val="center"/>
          </w:tcPr>
          <w:p w14:paraId="0A000685" w14:textId="77777777" w:rsidR="000837A9" w:rsidRPr="00A411E7" w:rsidRDefault="000837A9" w:rsidP="00FF3977">
            <w:pPr>
              <w:rPr>
                <w:rFonts w:eastAsia="Calibri"/>
              </w:rPr>
            </w:pPr>
            <w:r>
              <w:t>Taking into account the results obtained at 20.0 °C and 40.0 °C, the test item was considered to have newtonian properties in the experimental conditions used. The mean dynamic viscosity of the test item was 6.24 mPa.s at 20.0 °C ± 0.2 °C and 2.60 mPa.s at 40.0 °C ± 0.2 °C.</w:t>
            </w:r>
          </w:p>
        </w:tc>
        <w:tc>
          <w:tcPr>
            <w:tcW w:w="455" w:type="pct"/>
            <w:vAlign w:val="center"/>
          </w:tcPr>
          <w:p w14:paraId="3E06DFAD" w14:textId="77777777" w:rsidR="000837A9" w:rsidRPr="00A411E7" w:rsidRDefault="000837A9" w:rsidP="00FF3977">
            <w:pPr>
              <w:rPr>
                <w:rFonts w:eastAsia="Calibri"/>
              </w:rPr>
            </w:pPr>
            <w:r>
              <w:t>Demangel B., 2019, Report No 18-901011-013</w:t>
            </w:r>
          </w:p>
        </w:tc>
        <w:tc>
          <w:tcPr>
            <w:tcW w:w="487" w:type="pct"/>
          </w:tcPr>
          <w:p w14:paraId="28BFD501" w14:textId="77777777" w:rsidR="000837A9" w:rsidRDefault="000837A9" w:rsidP="00FF3977">
            <w:r>
              <w:rPr>
                <w:color w:val="000000"/>
              </w:rPr>
              <w:t>Acceptable</w:t>
            </w:r>
          </w:p>
        </w:tc>
      </w:tr>
    </w:tbl>
    <w:p w14:paraId="2024916D" w14:textId="44DE6236" w:rsidR="000837A9" w:rsidRDefault="000837A9">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837A9" w:rsidRPr="00A411E7" w14:paraId="73F802E1"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2761F4C5" w14:textId="77777777" w:rsidR="000837A9" w:rsidRPr="00F24D0D" w:rsidRDefault="000837A9"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2</w:t>
            </w:r>
          </w:p>
        </w:tc>
      </w:tr>
      <w:tr w:rsidR="000837A9" w:rsidRPr="001D704F" w14:paraId="380E74EA"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C935F5D" w14:textId="77777777" w:rsidR="000837A9" w:rsidRDefault="000837A9" w:rsidP="00FF3977">
            <w:pPr>
              <w:spacing w:line="276" w:lineRule="auto"/>
              <w:jc w:val="both"/>
              <w:rPr>
                <w:lang w:eastAsia="en-US"/>
              </w:rPr>
            </w:pPr>
            <w:r>
              <w:rPr>
                <w:lang w:eastAsia="en-US"/>
              </w:rPr>
              <w:lastRenderedPageBreak/>
              <w:t>The Meta-SPC 2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lang w:eastAsia="en-US"/>
              </w:rPr>
              <w:fldChar w:fldCharType="begin"/>
            </w:r>
            <w:r>
              <w:rPr>
                <w:lang w:eastAsia="en-US"/>
              </w:rPr>
              <w:instrText xml:space="preserve"> ADDIN ZOTERO_ITEM CSL_CITATION {"citationID":"7RYyjs5Z","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lang w:eastAsia="en-US"/>
              </w:rPr>
              <w:fldChar w:fldCharType="separate"/>
            </w:r>
            <w:r w:rsidRPr="0098795B">
              <w:t>(1)</w:t>
            </w:r>
            <w:r>
              <w:rPr>
                <w:lang w:eastAsia="en-US"/>
              </w:rPr>
              <w:fldChar w:fldCharType="end"/>
            </w:r>
            <w:r>
              <w:rPr>
                <w:lang w:eastAsia="en-US"/>
              </w:rPr>
              <w:t xml:space="preserve"> and</w:t>
            </w:r>
            <w:r w:rsidRPr="001D704F">
              <w:rPr>
                <w:lang w:eastAsia="en-US"/>
              </w:rPr>
              <w:t xml:space="preserve">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L0nNJixJ","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98795B">
              <w:t>(3)</w:t>
            </w:r>
            <w:r>
              <w:rPr>
                <w:lang w:eastAsia="en-US"/>
              </w:rPr>
              <w:fldChar w:fldCharType="end"/>
            </w:r>
            <w:r>
              <w:rPr>
                <w:lang w:eastAsia="en-US"/>
              </w:rPr>
              <w:t xml:space="preserve">) and the results are deemed to be acceptable. </w:t>
            </w:r>
          </w:p>
          <w:p w14:paraId="0CBE1C60" w14:textId="77777777" w:rsidR="000837A9" w:rsidRDefault="000837A9" w:rsidP="00FF3977">
            <w:pPr>
              <w:spacing w:line="276" w:lineRule="auto"/>
              <w:jc w:val="both"/>
              <w:rPr>
                <w:lang w:eastAsia="en-US"/>
              </w:rPr>
            </w:pPr>
            <w:r>
              <w:rPr>
                <w:lang w:eastAsia="en-US"/>
              </w:rPr>
              <w:t xml:space="preserve">The appearance of the product is an </w:t>
            </w:r>
            <w:r>
              <w:t>h</w:t>
            </w:r>
            <w:r w:rsidRPr="00A61C13">
              <w:t>omogeneous colourless opalescent liquid</w:t>
            </w:r>
            <w:r>
              <w:t xml:space="preserve">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xml:space="preserve">, PET, COEXTRUDE (HDPE/PA). The long term storage stability study is on-going and </w:t>
            </w:r>
            <w:r>
              <w:t>should be provided in post-authorisation.</w:t>
            </w:r>
          </w:p>
          <w:p w14:paraId="74533B14" w14:textId="77777777" w:rsidR="000837A9" w:rsidRPr="001D704F" w:rsidRDefault="000837A9" w:rsidP="00FF3977">
            <w:pPr>
              <w:spacing w:line="260" w:lineRule="atLeast"/>
              <w:rPr>
                <w:rFonts w:eastAsia="Calibri"/>
                <w:color w:val="FF0000"/>
                <w:lang w:val="en-US" w:eastAsia="en-US"/>
              </w:rPr>
            </w:pPr>
            <w:r>
              <w:rPr>
                <w:lang w:eastAsia="en-US"/>
              </w:rPr>
              <w:t>Its technical characteristics are acceptable for an AL formulation.</w:t>
            </w:r>
          </w:p>
        </w:tc>
      </w:tr>
    </w:tbl>
    <w:p w14:paraId="226A829E" w14:textId="3C25AD8D" w:rsidR="000837A9" w:rsidRDefault="000837A9">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1568"/>
        <w:gridCol w:w="1421"/>
        <w:gridCol w:w="4571"/>
        <w:gridCol w:w="1182"/>
        <w:gridCol w:w="1355"/>
      </w:tblGrid>
      <w:tr w:rsidR="000837A9" w14:paraId="6B1DC95C" w14:textId="77777777" w:rsidTr="00FF3977">
        <w:trPr>
          <w:tblHeader/>
        </w:trPr>
        <w:tc>
          <w:tcPr>
            <w:tcW w:w="4522" w:type="pct"/>
            <w:gridSpan w:val="5"/>
            <w:shd w:val="clear" w:color="auto" w:fill="E0E0E0"/>
            <w:vAlign w:val="center"/>
          </w:tcPr>
          <w:p w14:paraId="1A67FACC" w14:textId="302CFBFA" w:rsidR="000837A9" w:rsidRPr="00305B11" w:rsidRDefault="000837A9" w:rsidP="00FF3977">
            <w:pPr>
              <w:spacing w:line="260" w:lineRule="atLeast"/>
              <w:rPr>
                <w:rFonts w:eastAsia="Calibri"/>
                <w:b/>
                <w:lang w:eastAsia="en-US"/>
              </w:rPr>
            </w:pPr>
            <w:r>
              <w:rPr>
                <w:rFonts w:eastAsia="Calibri"/>
                <w:b/>
                <w:lang w:eastAsia="en-US"/>
              </w:rPr>
              <w:t>Meta-SPC 3 ( AL – ready to use)</w:t>
            </w:r>
            <w:r w:rsidR="008101B2">
              <w:rPr>
                <w:rFonts w:eastAsia="Calibri"/>
                <w:b/>
                <w:lang w:eastAsia="en-US"/>
              </w:rPr>
              <w:t xml:space="preserve"> Packaging : trigger sprays with foam nozzle / bottles </w:t>
            </w:r>
          </w:p>
        </w:tc>
        <w:tc>
          <w:tcPr>
            <w:tcW w:w="478" w:type="pct"/>
            <w:shd w:val="clear" w:color="auto" w:fill="E0E0E0"/>
          </w:tcPr>
          <w:p w14:paraId="220D1650" w14:textId="77777777" w:rsidR="000837A9" w:rsidRDefault="000837A9" w:rsidP="00FF3977">
            <w:pPr>
              <w:spacing w:line="260" w:lineRule="atLeast"/>
              <w:rPr>
                <w:rFonts w:eastAsia="Calibri"/>
                <w:b/>
                <w:lang w:eastAsia="en-US"/>
              </w:rPr>
            </w:pPr>
          </w:p>
        </w:tc>
      </w:tr>
      <w:tr w:rsidR="000837A9" w:rsidRPr="00305B11" w14:paraId="2D150EC5" w14:textId="77777777" w:rsidTr="00FF3977">
        <w:trPr>
          <w:tblHeader/>
        </w:trPr>
        <w:tc>
          <w:tcPr>
            <w:tcW w:w="1231" w:type="pct"/>
            <w:shd w:val="clear" w:color="auto" w:fill="E0E0E0"/>
            <w:vAlign w:val="center"/>
          </w:tcPr>
          <w:p w14:paraId="70C2C781" w14:textId="77777777" w:rsidR="000837A9" w:rsidRPr="00F24D0D" w:rsidRDefault="000837A9" w:rsidP="00FF3977">
            <w:pPr>
              <w:spacing w:line="260" w:lineRule="atLeast"/>
              <w:rPr>
                <w:rFonts w:eastAsia="Calibri"/>
                <w:b/>
                <w:lang w:eastAsia="en-US"/>
              </w:rPr>
            </w:pPr>
            <w:r w:rsidRPr="00F24D0D">
              <w:rPr>
                <w:rFonts w:eastAsia="Calibri"/>
                <w:b/>
                <w:lang w:eastAsia="en-US"/>
              </w:rPr>
              <w:t>Property</w:t>
            </w:r>
          </w:p>
        </w:tc>
        <w:tc>
          <w:tcPr>
            <w:tcW w:w="594" w:type="pct"/>
            <w:shd w:val="clear" w:color="auto" w:fill="E0E0E0"/>
            <w:vAlign w:val="center"/>
          </w:tcPr>
          <w:p w14:paraId="7B6C8E14" w14:textId="77777777" w:rsidR="000837A9" w:rsidRPr="00F24D0D" w:rsidRDefault="000837A9" w:rsidP="00FF3977">
            <w:pPr>
              <w:spacing w:line="260" w:lineRule="atLeast"/>
              <w:rPr>
                <w:rFonts w:eastAsia="Calibri"/>
                <w:b/>
                <w:lang w:eastAsia="en-US"/>
              </w:rPr>
            </w:pPr>
            <w:r w:rsidRPr="00F24D0D">
              <w:rPr>
                <w:rFonts w:eastAsia="Calibri"/>
                <w:b/>
                <w:lang w:eastAsia="en-US"/>
              </w:rPr>
              <w:t>Guideline  and Method</w:t>
            </w:r>
          </w:p>
        </w:tc>
        <w:tc>
          <w:tcPr>
            <w:tcW w:w="538" w:type="pct"/>
            <w:shd w:val="clear" w:color="auto" w:fill="E0E0E0"/>
            <w:vAlign w:val="center"/>
          </w:tcPr>
          <w:p w14:paraId="0E939CF7" w14:textId="77777777" w:rsidR="000837A9" w:rsidRPr="00F24D0D" w:rsidRDefault="000837A9" w:rsidP="00FF3977">
            <w:pPr>
              <w:spacing w:line="260" w:lineRule="atLeast"/>
              <w:rPr>
                <w:rFonts w:eastAsia="Calibri"/>
                <w:b/>
                <w:lang w:eastAsia="en-US"/>
              </w:rPr>
            </w:pPr>
            <w:r w:rsidRPr="00F24D0D">
              <w:rPr>
                <w:rFonts w:eastAsia="Calibri"/>
                <w:b/>
                <w:lang w:eastAsia="en-US"/>
              </w:rPr>
              <w:t>Purity of the test substance (% (w/w)</w:t>
            </w:r>
          </w:p>
        </w:tc>
        <w:tc>
          <w:tcPr>
            <w:tcW w:w="1712" w:type="pct"/>
            <w:shd w:val="clear" w:color="auto" w:fill="E0E0E0"/>
            <w:vAlign w:val="center"/>
          </w:tcPr>
          <w:p w14:paraId="4FF96168" w14:textId="77777777" w:rsidR="000837A9" w:rsidRPr="00C746BC" w:rsidRDefault="000837A9" w:rsidP="00FF3977">
            <w:pPr>
              <w:spacing w:line="260" w:lineRule="atLeast"/>
              <w:rPr>
                <w:rFonts w:eastAsia="Calibri"/>
                <w:b/>
                <w:lang w:eastAsia="en-US"/>
              </w:rPr>
            </w:pPr>
            <w:r w:rsidRPr="00C746BC">
              <w:rPr>
                <w:rFonts w:eastAsia="Calibri"/>
                <w:b/>
                <w:lang w:eastAsia="en-US"/>
              </w:rPr>
              <w:t>Results</w:t>
            </w:r>
          </w:p>
        </w:tc>
        <w:tc>
          <w:tcPr>
            <w:tcW w:w="447" w:type="pct"/>
            <w:shd w:val="clear" w:color="auto" w:fill="E0E0E0"/>
            <w:vAlign w:val="center"/>
          </w:tcPr>
          <w:p w14:paraId="2D1ABD08" w14:textId="77777777" w:rsidR="000837A9" w:rsidRPr="00305B11" w:rsidRDefault="000837A9" w:rsidP="00FF3977">
            <w:pPr>
              <w:spacing w:line="260" w:lineRule="atLeast"/>
              <w:rPr>
                <w:rFonts w:eastAsia="Calibri"/>
                <w:b/>
                <w:lang w:eastAsia="en-US"/>
              </w:rPr>
            </w:pPr>
            <w:r w:rsidRPr="00305B11">
              <w:rPr>
                <w:rFonts w:eastAsia="Calibri"/>
                <w:b/>
                <w:lang w:eastAsia="en-US"/>
              </w:rPr>
              <w:t>Reference</w:t>
            </w:r>
          </w:p>
        </w:tc>
        <w:tc>
          <w:tcPr>
            <w:tcW w:w="478" w:type="pct"/>
            <w:shd w:val="clear" w:color="auto" w:fill="E0E0E0"/>
            <w:vAlign w:val="center"/>
          </w:tcPr>
          <w:p w14:paraId="75D2A51C" w14:textId="77777777" w:rsidR="000837A9" w:rsidRPr="00305B11" w:rsidRDefault="000837A9" w:rsidP="00FF3977">
            <w:pPr>
              <w:spacing w:line="260" w:lineRule="atLeast"/>
              <w:rPr>
                <w:rFonts w:eastAsia="Calibri"/>
                <w:b/>
                <w:lang w:eastAsia="en-US"/>
              </w:rPr>
            </w:pPr>
            <w:r>
              <w:rPr>
                <w:rFonts w:eastAsia="Calibri"/>
                <w:b/>
                <w:lang w:eastAsia="en-US"/>
              </w:rPr>
              <w:t>FR evaluation</w:t>
            </w:r>
          </w:p>
        </w:tc>
      </w:tr>
      <w:tr w:rsidR="000837A9" w14:paraId="4D0A9349" w14:textId="77777777" w:rsidTr="00FF3977">
        <w:tc>
          <w:tcPr>
            <w:tcW w:w="1231" w:type="pct"/>
          </w:tcPr>
          <w:p w14:paraId="1BE46F1D" w14:textId="77777777" w:rsidR="000837A9" w:rsidRPr="00017CF8" w:rsidRDefault="000837A9"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594" w:type="pct"/>
            <w:vAlign w:val="center"/>
          </w:tcPr>
          <w:p w14:paraId="25877352" w14:textId="77777777" w:rsidR="000837A9" w:rsidRPr="00017CF8" w:rsidRDefault="000837A9" w:rsidP="00FF3977">
            <w:pPr>
              <w:rPr>
                <w:rFonts w:eastAsia="Calibri"/>
              </w:rPr>
            </w:pPr>
            <w:r>
              <w:rPr>
                <w:color w:val="000000"/>
              </w:rPr>
              <w:t xml:space="preserve"> -</w:t>
            </w:r>
          </w:p>
        </w:tc>
        <w:tc>
          <w:tcPr>
            <w:tcW w:w="538" w:type="pct"/>
            <w:vAlign w:val="center"/>
          </w:tcPr>
          <w:p w14:paraId="585FC4B7" w14:textId="77777777" w:rsidR="000837A9" w:rsidRDefault="000837A9" w:rsidP="00FF3977">
            <w:pPr>
              <w:rPr>
                <w:color w:val="000000"/>
              </w:rPr>
            </w:pPr>
            <w:r>
              <w:rPr>
                <w:color w:val="000000"/>
              </w:rPr>
              <w:t>Batch 5118225</w:t>
            </w:r>
          </w:p>
          <w:p w14:paraId="6D0A7599" w14:textId="77777777" w:rsidR="000837A9" w:rsidRPr="00017CF8" w:rsidRDefault="000837A9" w:rsidP="00FF3977">
            <w:pPr>
              <w:rPr>
                <w:rFonts w:eastAsia="Calibri"/>
              </w:rPr>
            </w:pPr>
            <w:r>
              <w:rPr>
                <w:color w:val="000000"/>
              </w:rPr>
              <w:t>Test item:</w:t>
            </w:r>
            <w:r w:rsidRPr="00A1541F">
              <w:rPr>
                <w:color w:val="000000"/>
              </w:rPr>
              <w:t>218242-P1</w:t>
            </w:r>
          </w:p>
        </w:tc>
        <w:tc>
          <w:tcPr>
            <w:tcW w:w="1712" w:type="pct"/>
            <w:vAlign w:val="center"/>
          </w:tcPr>
          <w:p w14:paraId="454E559C" w14:textId="77777777" w:rsidR="000837A9" w:rsidRPr="00017CF8" w:rsidRDefault="000837A9" w:rsidP="00FF3977">
            <w:pPr>
              <w:rPr>
                <w:rFonts w:eastAsia="Calibri"/>
              </w:rPr>
            </w:pPr>
            <w:r>
              <w:rPr>
                <w:color w:val="000000"/>
              </w:rPr>
              <w:t>The appearance of the test item was homogeneous colourless opalescent liquid with a characteristic odour.</w:t>
            </w:r>
          </w:p>
        </w:tc>
        <w:tc>
          <w:tcPr>
            <w:tcW w:w="447" w:type="pct"/>
            <w:vAlign w:val="center"/>
          </w:tcPr>
          <w:p w14:paraId="69371238" w14:textId="77777777" w:rsidR="000837A9" w:rsidRPr="00017CF8" w:rsidRDefault="000837A9" w:rsidP="00FF3977">
            <w:pPr>
              <w:rPr>
                <w:rFonts w:eastAsia="Calibri"/>
              </w:rPr>
            </w:pPr>
            <w:r>
              <w:rPr>
                <w:color w:val="000000"/>
              </w:rPr>
              <w:t>Demangel B., 2019, Report No 18-901011-018</w:t>
            </w:r>
          </w:p>
        </w:tc>
        <w:tc>
          <w:tcPr>
            <w:tcW w:w="478" w:type="pct"/>
          </w:tcPr>
          <w:p w14:paraId="00C2D24D" w14:textId="77777777" w:rsidR="000837A9" w:rsidRDefault="000837A9" w:rsidP="00FF3977">
            <w:pPr>
              <w:rPr>
                <w:color w:val="000000"/>
              </w:rPr>
            </w:pPr>
            <w:r>
              <w:rPr>
                <w:color w:val="000000"/>
              </w:rPr>
              <w:t>Acceptable</w:t>
            </w:r>
          </w:p>
        </w:tc>
      </w:tr>
      <w:tr w:rsidR="000837A9" w14:paraId="674B7ECE" w14:textId="77777777" w:rsidTr="00FF3977">
        <w:tc>
          <w:tcPr>
            <w:tcW w:w="1231" w:type="pct"/>
          </w:tcPr>
          <w:p w14:paraId="29C14405" w14:textId="77777777" w:rsidR="000837A9" w:rsidRPr="00A411E7" w:rsidRDefault="000837A9" w:rsidP="00FF3977">
            <w:pPr>
              <w:rPr>
                <w:rFonts w:eastAsia="Calibri"/>
              </w:rPr>
            </w:pPr>
            <w:r w:rsidRPr="00A411E7">
              <w:rPr>
                <w:rFonts w:eastAsia="Calibri"/>
              </w:rPr>
              <w:t>Acidity / alkalinity</w:t>
            </w:r>
          </w:p>
        </w:tc>
        <w:tc>
          <w:tcPr>
            <w:tcW w:w="594" w:type="pct"/>
            <w:vAlign w:val="center"/>
          </w:tcPr>
          <w:p w14:paraId="765B335A" w14:textId="77777777" w:rsidR="000837A9" w:rsidRPr="00A411E7" w:rsidRDefault="000837A9" w:rsidP="00FF3977">
            <w:pPr>
              <w:rPr>
                <w:rFonts w:eastAsia="Calibri"/>
              </w:rPr>
            </w:pPr>
            <w:r>
              <w:rPr>
                <w:color w:val="000000"/>
              </w:rPr>
              <w:t>CIPAC Handbook L - MT 191 method (2006)</w:t>
            </w:r>
          </w:p>
        </w:tc>
        <w:tc>
          <w:tcPr>
            <w:tcW w:w="538" w:type="pct"/>
            <w:vAlign w:val="center"/>
          </w:tcPr>
          <w:p w14:paraId="23CE0519" w14:textId="77777777" w:rsidR="000837A9" w:rsidRDefault="000837A9" w:rsidP="00FF3977">
            <w:pPr>
              <w:rPr>
                <w:color w:val="000000"/>
              </w:rPr>
            </w:pPr>
            <w:r>
              <w:rPr>
                <w:color w:val="000000"/>
              </w:rPr>
              <w:t>Batch 5118225</w:t>
            </w:r>
          </w:p>
          <w:p w14:paraId="31A65E3C" w14:textId="77777777" w:rsidR="000837A9" w:rsidRPr="00A411E7" w:rsidRDefault="000837A9" w:rsidP="00FF3977">
            <w:pPr>
              <w:rPr>
                <w:rFonts w:eastAsia="Calibri"/>
              </w:rPr>
            </w:pPr>
            <w:r>
              <w:rPr>
                <w:color w:val="000000"/>
              </w:rPr>
              <w:t>Test item:</w:t>
            </w:r>
            <w:r w:rsidRPr="00A1541F">
              <w:rPr>
                <w:color w:val="000000"/>
              </w:rPr>
              <w:t>218242-P1</w:t>
            </w:r>
          </w:p>
        </w:tc>
        <w:tc>
          <w:tcPr>
            <w:tcW w:w="1712" w:type="pct"/>
            <w:vAlign w:val="center"/>
          </w:tcPr>
          <w:p w14:paraId="5679E894" w14:textId="77777777" w:rsidR="000837A9" w:rsidRPr="00A411E7" w:rsidRDefault="000837A9" w:rsidP="00FF3977">
            <w:pPr>
              <w:rPr>
                <w:rFonts w:eastAsia="Calibri"/>
              </w:rPr>
            </w:pPr>
            <w:r>
              <w:rPr>
                <w:color w:val="000000"/>
              </w:rPr>
              <w:t>Before the accelerated storage procedure, the mean value of the test item acidity was 2.92% w/w. After the accelerated storage procedure, the mean value of the test item acidity was 3.03% w/w.</w:t>
            </w:r>
          </w:p>
        </w:tc>
        <w:tc>
          <w:tcPr>
            <w:tcW w:w="447" w:type="pct"/>
            <w:vAlign w:val="center"/>
          </w:tcPr>
          <w:p w14:paraId="1DDC6C3B" w14:textId="77777777" w:rsidR="000837A9" w:rsidRPr="00A411E7" w:rsidRDefault="000837A9" w:rsidP="00FF3977">
            <w:pPr>
              <w:rPr>
                <w:rFonts w:eastAsia="Calibri"/>
              </w:rPr>
            </w:pPr>
            <w:r>
              <w:rPr>
                <w:color w:val="000000"/>
              </w:rPr>
              <w:t>Demangel B., 2019, Report No 18-901011-018</w:t>
            </w:r>
          </w:p>
        </w:tc>
        <w:tc>
          <w:tcPr>
            <w:tcW w:w="478" w:type="pct"/>
          </w:tcPr>
          <w:p w14:paraId="2C30CD94" w14:textId="77777777" w:rsidR="000837A9" w:rsidRDefault="000837A9" w:rsidP="00FF3977">
            <w:pPr>
              <w:rPr>
                <w:color w:val="000000"/>
              </w:rPr>
            </w:pPr>
            <w:r>
              <w:rPr>
                <w:color w:val="000000"/>
              </w:rPr>
              <w:t>Acceptable</w:t>
            </w:r>
          </w:p>
        </w:tc>
      </w:tr>
      <w:tr w:rsidR="000837A9" w14:paraId="01EC66D8" w14:textId="77777777" w:rsidTr="00FF3977">
        <w:tc>
          <w:tcPr>
            <w:tcW w:w="1231" w:type="pct"/>
          </w:tcPr>
          <w:p w14:paraId="564C8F15" w14:textId="77777777" w:rsidR="000837A9" w:rsidRPr="00A411E7" w:rsidRDefault="000837A9" w:rsidP="00FF3977">
            <w:pPr>
              <w:rPr>
                <w:rFonts w:eastAsia="Calibri"/>
              </w:rPr>
            </w:pPr>
            <w:r>
              <w:rPr>
                <w:rFonts w:eastAsia="Calibri"/>
              </w:rPr>
              <w:t>pH value</w:t>
            </w:r>
          </w:p>
        </w:tc>
        <w:tc>
          <w:tcPr>
            <w:tcW w:w="594" w:type="pct"/>
            <w:vAlign w:val="center"/>
          </w:tcPr>
          <w:p w14:paraId="521A0832" w14:textId="77777777" w:rsidR="000837A9" w:rsidRDefault="000837A9" w:rsidP="00FF3977">
            <w:pPr>
              <w:rPr>
                <w:color w:val="000000"/>
              </w:rPr>
            </w:pPr>
            <w:r>
              <w:rPr>
                <w:color w:val="000000"/>
              </w:rPr>
              <w:t>CIPAC MT 75.3</w:t>
            </w:r>
          </w:p>
        </w:tc>
        <w:tc>
          <w:tcPr>
            <w:tcW w:w="538" w:type="pct"/>
            <w:vAlign w:val="center"/>
          </w:tcPr>
          <w:p w14:paraId="4BB951C3" w14:textId="77777777" w:rsidR="000837A9" w:rsidRDefault="000837A9" w:rsidP="00FF3977">
            <w:pPr>
              <w:rPr>
                <w:color w:val="000000"/>
              </w:rPr>
            </w:pPr>
            <w:r>
              <w:rPr>
                <w:color w:val="000000"/>
              </w:rPr>
              <w:t>Batch 5118225</w:t>
            </w:r>
          </w:p>
          <w:p w14:paraId="1F827963" w14:textId="77777777" w:rsidR="000837A9" w:rsidRDefault="000837A9" w:rsidP="00FF3977">
            <w:pPr>
              <w:rPr>
                <w:color w:val="000000"/>
              </w:rPr>
            </w:pPr>
            <w:r>
              <w:rPr>
                <w:color w:val="000000"/>
              </w:rPr>
              <w:t>Test item:</w:t>
            </w:r>
            <w:r w:rsidRPr="00A1541F">
              <w:rPr>
                <w:color w:val="000000"/>
              </w:rPr>
              <w:t>218242-P1</w:t>
            </w:r>
          </w:p>
        </w:tc>
        <w:tc>
          <w:tcPr>
            <w:tcW w:w="1712" w:type="pct"/>
            <w:vAlign w:val="center"/>
          </w:tcPr>
          <w:p w14:paraId="6B7792BE" w14:textId="77777777" w:rsidR="000837A9" w:rsidRDefault="000837A9" w:rsidP="00FF3977">
            <w:pPr>
              <w:rPr>
                <w:color w:val="000000"/>
              </w:rPr>
            </w:pPr>
            <w:r>
              <w:rPr>
                <w:color w:val="000000"/>
              </w:rPr>
              <w:t>Before accelerated storage: pH=2.12 at 19.3°C</w:t>
            </w:r>
          </w:p>
          <w:p w14:paraId="654583AC" w14:textId="77777777" w:rsidR="000837A9" w:rsidRDefault="000837A9" w:rsidP="00FF3977">
            <w:pPr>
              <w:rPr>
                <w:color w:val="000000"/>
              </w:rPr>
            </w:pPr>
            <w:r>
              <w:rPr>
                <w:color w:val="000000"/>
              </w:rPr>
              <w:t>After accelerated storage: pH=2,20 at 19.4°C</w:t>
            </w:r>
          </w:p>
        </w:tc>
        <w:tc>
          <w:tcPr>
            <w:tcW w:w="447" w:type="pct"/>
            <w:vAlign w:val="center"/>
          </w:tcPr>
          <w:p w14:paraId="36D9590B" w14:textId="77777777" w:rsidR="000837A9" w:rsidRDefault="000837A9" w:rsidP="00FF3977">
            <w:pPr>
              <w:rPr>
                <w:color w:val="000000"/>
              </w:rPr>
            </w:pPr>
            <w:r>
              <w:rPr>
                <w:color w:val="000000"/>
              </w:rPr>
              <w:t>Demangel B., 2019, Report No 18-901011-018</w:t>
            </w:r>
          </w:p>
        </w:tc>
        <w:tc>
          <w:tcPr>
            <w:tcW w:w="478" w:type="pct"/>
          </w:tcPr>
          <w:p w14:paraId="4B39C2A1" w14:textId="77777777" w:rsidR="000837A9" w:rsidRDefault="000837A9" w:rsidP="00FF3977">
            <w:pPr>
              <w:rPr>
                <w:color w:val="000000"/>
              </w:rPr>
            </w:pPr>
            <w:r>
              <w:rPr>
                <w:color w:val="000000"/>
              </w:rPr>
              <w:t>Acceptable</w:t>
            </w:r>
          </w:p>
        </w:tc>
      </w:tr>
      <w:tr w:rsidR="000837A9" w14:paraId="4418546B" w14:textId="77777777" w:rsidTr="00FF3977">
        <w:tc>
          <w:tcPr>
            <w:tcW w:w="1231" w:type="pct"/>
            <w:tcBorders>
              <w:top w:val="single" w:sz="4" w:space="0" w:color="auto"/>
              <w:left w:val="single" w:sz="4" w:space="0" w:color="auto"/>
              <w:bottom w:val="single" w:sz="4" w:space="0" w:color="auto"/>
              <w:right w:val="single" w:sz="4" w:space="0" w:color="auto"/>
            </w:tcBorders>
          </w:tcPr>
          <w:p w14:paraId="65322377" w14:textId="77777777" w:rsidR="000837A9" w:rsidRPr="00A411E7" w:rsidRDefault="000837A9" w:rsidP="00FF3977">
            <w:pPr>
              <w:rPr>
                <w:rFonts w:eastAsia="Calibri"/>
              </w:rPr>
            </w:pPr>
            <w:r w:rsidRPr="00A411E7">
              <w:rPr>
                <w:rFonts w:eastAsia="Calibri"/>
              </w:rPr>
              <w:t>Relative density / bulk density</w:t>
            </w:r>
          </w:p>
        </w:tc>
        <w:tc>
          <w:tcPr>
            <w:tcW w:w="594" w:type="pct"/>
            <w:tcBorders>
              <w:top w:val="single" w:sz="4" w:space="0" w:color="auto"/>
              <w:left w:val="single" w:sz="4" w:space="0" w:color="auto"/>
              <w:bottom w:val="single" w:sz="4" w:space="0" w:color="auto"/>
              <w:right w:val="single" w:sz="4" w:space="0" w:color="auto"/>
            </w:tcBorders>
            <w:vAlign w:val="center"/>
          </w:tcPr>
          <w:p w14:paraId="4F877282" w14:textId="77777777" w:rsidR="000837A9" w:rsidRPr="00A411E7" w:rsidRDefault="000837A9" w:rsidP="00FF3977">
            <w:pPr>
              <w:rPr>
                <w:rFonts w:eastAsia="Calibri"/>
              </w:rPr>
            </w:pPr>
            <w:r>
              <w:rPr>
                <w:color w:val="000000"/>
              </w:rPr>
              <w:t xml:space="preserve">EC A.3. method </w:t>
            </w:r>
            <w:r>
              <w:rPr>
                <w:color w:val="000000"/>
              </w:rPr>
              <w:lastRenderedPageBreak/>
              <w:t>(2008) and OECD Guideline No. 109 (2012)</w:t>
            </w:r>
          </w:p>
        </w:tc>
        <w:tc>
          <w:tcPr>
            <w:tcW w:w="538" w:type="pct"/>
            <w:tcBorders>
              <w:top w:val="single" w:sz="4" w:space="0" w:color="auto"/>
              <w:left w:val="single" w:sz="4" w:space="0" w:color="auto"/>
              <w:bottom w:val="single" w:sz="4" w:space="0" w:color="auto"/>
              <w:right w:val="single" w:sz="4" w:space="0" w:color="auto"/>
            </w:tcBorders>
            <w:vAlign w:val="center"/>
          </w:tcPr>
          <w:p w14:paraId="1A40D3C0" w14:textId="77777777" w:rsidR="000837A9" w:rsidRPr="00A411E7" w:rsidRDefault="000837A9" w:rsidP="00FF3977">
            <w:pPr>
              <w:rPr>
                <w:rFonts w:eastAsia="Calibri"/>
              </w:rPr>
            </w:pPr>
            <w:r>
              <w:rPr>
                <w:color w:val="000000"/>
              </w:rPr>
              <w:lastRenderedPageBreak/>
              <w:t xml:space="preserve">Batch 5118225  </w:t>
            </w:r>
            <w:r>
              <w:rPr>
                <w:color w:val="000000"/>
              </w:rPr>
              <w:lastRenderedPageBreak/>
              <w:t>Test item:</w:t>
            </w:r>
            <w:r w:rsidRPr="00A1541F">
              <w:rPr>
                <w:color w:val="000000"/>
              </w:rPr>
              <w:t>218242-P1</w:t>
            </w:r>
          </w:p>
        </w:tc>
        <w:tc>
          <w:tcPr>
            <w:tcW w:w="1712" w:type="pct"/>
            <w:tcBorders>
              <w:top w:val="single" w:sz="4" w:space="0" w:color="auto"/>
              <w:left w:val="single" w:sz="4" w:space="0" w:color="auto"/>
              <w:bottom w:val="single" w:sz="4" w:space="0" w:color="auto"/>
              <w:right w:val="single" w:sz="4" w:space="0" w:color="auto"/>
            </w:tcBorders>
            <w:vAlign w:val="center"/>
          </w:tcPr>
          <w:p w14:paraId="44081D27" w14:textId="77777777" w:rsidR="000837A9" w:rsidRPr="00A411E7" w:rsidRDefault="000837A9" w:rsidP="00FF3977">
            <w:pPr>
              <w:rPr>
                <w:rFonts w:eastAsia="Calibri"/>
              </w:rPr>
            </w:pPr>
            <w:r>
              <w:rPr>
                <w:color w:val="000000"/>
              </w:rPr>
              <w:lastRenderedPageBreak/>
              <w:t>The mean relative density of the test item was D</w:t>
            </w:r>
            <w:r>
              <w:rPr>
                <w:color w:val="000000"/>
                <w:vertAlign w:val="superscript"/>
              </w:rPr>
              <w:t>20</w:t>
            </w:r>
            <w:r>
              <w:rPr>
                <w:color w:val="000000"/>
                <w:vertAlign w:val="subscript"/>
              </w:rPr>
              <w:t>4</w:t>
            </w:r>
            <w:r>
              <w:rPr>
                <w:color w:val="000000"/>
              </w:rPr>
              <w:t xml:space="preserve"> = 1.023 ± 0.001 at 20.0 °C.</w:t>
            </w:r>
          </w:p>
        </w:tc>
        <w:tc>
          <w:tcPr>
            <w:tcW w:w="447" w:type="pct"/>
            <w:tcBorders>
              <w:top w:val="single" w:sz="4" w:space="0" w:color="auto"/>
              <w:left w:val="single" w:sz="4" w:space="0" w:color="auto"/>
              <w:bottom w:val="single" w:sz="4" w:space="0" w:color="auto"/>
              <w:right w:val="single" w:sz="4" w:space="0" w:color="auto"/>
            </w:tcBorders>
            <w:vAlign w:val="center"/>
          </w:tcPr>
          <w:p w14:paraId="0653480C" w14:textId="77777777" w:rsidR="000837A9" w:rsidRPr="00A411E7" w:rsidRDefault="000837A9" w:rsidP="00FF3977">
            <w:pPr>
              <w:rPr>
                <w:rFonts w:eastAsia="Calibri"/>
              </w:rPr>
            </w:pPr>
            <w:r>
              <w:rPr>
                <w:color w:val="000000"/>
              </w:rPr>
              <w:t xml:space="preserve">Demangel B., 2019, </w:t>
            </w:r>
            <w:r>
              <w:rPr>
                <w:color w:val="000000"/>
              </w:rPr>
              <w:lastRenderedPageBreak/>
              <w:t>Report No 18-901011-017</w:t>
            </w:r>
          </w:p>
        </w:tc>
        <w:tc>
          <w:tcPr>
            <w:tcW w:w="478" w:type="pct"/>
            <w:tcBorders>
              <w:top w:val="single" w:sz="4" w:space="0" w:color="auto"/>
              <w:left w:val="single" w:sz="4" w:space="0" w:color="auto"/>
              <w:bottom w:val="single" w:sz="4" w:space="0" w:color="auto"/>
              <w:right w:val="single" w:sz="4" w:space="0" w:color="auto"/>
            </w:tcBorders>
          </w:tcPr>
          <w:p w14:paraId="43FFB6E5" w14:textId="77777777" w:rsidR="000837A9" w:rsidRDefault="000837A9" w:rsidP="00FF3977">
            <w:pPr>
              <w:rPr>
                <w:color w:val="000000"/>
              </w:rPr>
            </w:pPr>
            <w:r>
              <w:rPr>
                <w:color w:val="000000"/>
              </w:rPr>
              <w:lastRenderedPageBreak/>
              <w:t>Acceptable</w:t>
            </w:r>
          </w:p>
        </w:tc>
      </w:tr>
      <w:tr w:rsidR="000837A9" w14:paraId="3B8843F3" w14:textId="77777777" w:rsidTr="00FF3977">
        <w:tc>
          <w:tcPr>
            <w:tcW w:w="1231" w:type="pct"/>
          </w:tcPr>
          <w:p w14:paraId="746B75EB" w14:textId="77777777" w:rsidR="000837A9" w:rsidRPr="00A411E7" w:rsidRDefault="000837A9" w:rsidP="00FF3977">
            <w:pPr>
              <w:rPr>
                <w:rFonts w:eastAsia="Calibri"/>
              </w:rPr>
            </w:pPr>
            <w:r w:rsidRPr="00A411E7">
              <w:rPr>
                <w:rFonts w:eastAsia="Calibri"/>
              </w:rPr>
              <w:t xml:space="preserve">Storage stability test – </w:t>
            </w:r>
            <w:r w:rsidRPr="00A411E7">
              <w:rPr>
                <w:rFonts w:eastAsia="Calibri"/>
                <w:b/>
              </w:rPr>
              <w:t>accelerated storage</w:t>
            </w:r>
          </w:p>
        </w:tc>
        <w:tc>
          <w:tcPr>
            <w:tcW w:w="594" w:type="pct"/>
            <w:vAlign w:val="center"/>
          </w:tcPr>
          <w:p w14:paraId="5997AB89" w14:textId="77777777" w:rsidR="000837A9" w:rsidRDefault="000837A9" w:rsidP="00FF3977">
            <w:pPr>
              <w:rPr>
                <w:color w:val="000000"/>
              </w:rPr>
            </w:pPr>
            <w:r>
              <w:rPr>
                <w:color w:val="000000"/>
              </w:rPr>
              <w:t>CIPAC Handbook J - MT 46.3 method (2000)</w:t>
            </w:r>
            <w:r>
              <w:rPr>
                <w:color w:val="000000"/>
              </w:rPr>
              <w:br/>
            </w:r>
          </w:p>
          <w:p w14:paraId="2A9C87A7" w14:textId="77777777" w:rsidR="000837A9" w:rsidRDefault="000837A9" w:rsidP="00FF3977">
            <w:pPr>
              <w:rPr>
                <w:color w:val="000000"/>
              </w:rPr>
            </w:pPr>
            <w:r>
              <w:rPr>
                <w:color w:val="000000"/>
              </w:rPr>
              <w:t>Content of AS:</w:t>
            </w:r>
          </w:p>
          <w:p w14:paraId="520CE630" w14:textId="77777777" w:rsidR="000837A9" w:rsidRDefault="000837A9" w:rsidP="00FF3977">
            <w:pPr>
              <w:rPr>
                <w:color w:val="000000"/>
              </w:rPr>
            </w:pPr>
            <w:r>
              <w:rPr>
                <w:color w:val="000000"/>
              </w:rPr>
              <w:t xml:space="preserve">Validated method in studies </w:t>
            </w:r>
            <w:r w:rsidRPr="0026219A">
              <w:rPr>
                <w:color w:val="000000"/>
              </w:rPr>
              <w:t>No. 17-901011-001</w:t>
            </w:r>
            <w:r>
              <w:rPr>
                <w:color w:val="000000"/>
              </w:rPr>
              <w:t xml:space="preserve"> and No. 18-901011-020</w:t>
            </w:r>
          </w:p>
          <w:p w14:paraId="53E79514" w14:textId="77777777" w:rsidR="000837A9" w:rsidRDefault="000837A9" w:rsidP="00FF3977">
            <w:pPr>
              <w:rPr>
                <w:color w:val="000000"/>
              </w:rPr>
            </w:pPr>
          </w:p>
          <w:p w14:paraId="764F11B4" w14:textId="77777777" w:rsidR="000837A9" w:rsidRDefault="000837A9" w:rsidP="00FF3977">
            <w:pPr>
              <w:rPr>
                <w:color w:val="000000"/>
              </w:rPr>
            </w:pPr>
            <w:r>
              <w:rPr>
                <w:color w:val="000000"/>
              </w:rPr>
              <w:t>Content of citric acid:</w:t>
            </w:r>
          </w:p>
          <w:p w14:paraId="526726BE" w14:textId="77777777" w:rsidR="000837A9" w:rsidRPr="003E6A10" w:rsidRDefault="000837A9" w:rsidP="00FF3977">
            <w:pPr>
              <w:rPr>
                <w:color w:val="000000"/>
                <w:lang w:val="en-US"/>
              </w:rPr>
            </w:pPr>
            <w:r>
              <w:rPr>
                <w:color w:val="000000"/>
              </w:rPr>
              <w:t xml:space="preserve">Validated method in study </w:t>
            </w:r>
            <w:r w:rsidRPr="00494046">
              <w:rPr>
                <w:color w:val="000000"/>
              </w:rPr>
              <w:t>No. 18-901011-021</w:t>
            </w:r>
          </w:p>
          <w:p w14:paraId="5A4626B5" w14:textId="77777777" w:rsidR="000837A9" w:rsidRPr="00A411E7" w:rsidRDefault="000837A9" w:rsidP="00FF3977">
            <w:pPr>
              <w:rPr>
                <w:rFonts w:eastAsia="Calibri"/>
              </w:rPr>
            </w:pPr>
            <w:r>
              <w:rPr>
                <w:color w:val="000000"/>
              </w:rPr>
              <w:br/>
              <w:t>pH : CIPAC Handbook J - MT 75.3 method (2000)</w:t>
            </w:r>
            <w:r>
              <w:rPr>
                <w:color w:val="000000"/>
              </w:rPr>
              <w:br/>
            </w:r>
            <w:r>
              <w:rPr>
                <w:color w:val="000000"/>
              </w:rPr>
              <w:lastRenderedPageBreak/>
              <w:br/>
              <w:t>SATISFACTORY OPERATION OF THE SPRAYER AND SPRAY VOLUME : in-house method</w:t>
            </w:r>
            <w:r>
              <w:rPr>
                <w:color w:val="000000"/>
              </w:rPr>
              <w:br/>
            </w:r>
            <w:r>
              <w:rPr>
                <w:color w:val="000000"/>
              </w:rPr>
              <w:br/>
              <w:t>SPRAY DIAMETER AND PATTERN : In-house method (FEA 644 adapted)</w:t>
            </w:r>
          </w:p>
        </w:tc>
        <w:tc>
          <w:tcPr>
            <w:tcW w:w="538" w:type="pct"/>
            <w:vAlign w:val="center"/>
          </w:tcPr>
          <w:p w14:paraId="5047C5DE" w14:textId="77777777" w:rsidR="000837A9" w:rsidRDefault="000837A9" w:rsidP="00FF3977">
            <w:pPr>
              <w:rPr>
                <w:color w:val="000000"/>
              </w:rPr>
            </w:pPr>
            <w:r>
              <w:rPr>
                <w:color w:val="000000"/>
              </w:rPr>
              <w:lastRenderedPageBreak/>
              <w:t>Batch 5118225</w:t>
            </w:r>
          </w:p>
          <w:p w14:paraId="6C7EC6DD" w14:textId="77777777" w:rsidR="000837A9" w:rsidRPr="00A411E7" w:rsidRDefault="000837A9" w:rsidP="00FF3977">
            <w:pPr>
              <w:rPr>
                <w:rFonts w:eastAsia="Calibri"/>
              </w:rPr>
            </w:pPr>
            <w:r>
              <w:rPr>
                <w:color w:val="000000"/>
              </w:rPr>
              <w:t>Test item:</w:t>
            </w:r>
            <w:r w:rsidRPr="00A1541F">
              <w:rPr>
                <w:color w:val="000000"/>
              </w:rPr>
              <w:t>218242-P1</w:t>
            </w:r>
          </w:p>
        </w:tc>
        <w:tc>
          <w:tcPr>
            <w:tcW w:w="1712" w:type="pct"/>
            <w:vAlign w:val="center"/>
          </w:tcPr>
          <w:p w14:paraId="569FF7BB" w14:textId="0A5DF7C8" w:rsidR="000837A9" w:rsidRDefault="000837A9" w:rsidP="00FF3977">
            <w:pPr>
              <w:rPr>
                <w:color w:val="000000"/>
              </w:rPr>
            </w:pPr>
            <w:r>
              <w:rPr>
                <w:color w:val="000000"/>
              </w:rPr>
              <w:t>Test item characteristics before and after the accelerated storage procedure was: Homogeneous colourless opalescent liquid with a characteristic odour.</w:t>
            </w:r>
            <w:r>
              <w:rPr>
                <w:color w:val="000000"/>
              </w:rPr>
              <w:br/>
              <w:t xml:space="preserve">Packaging: Transparent HDPE sprayer </w:t>
            </w:r>
            <w:r w:rsidR="008101B2">
              <w:rPr>
                <w:color w:val="000000"/>
              </w:rPr>
              <w:t xml:space="preserve">with foam nozzle </w:t>
            </w:r>
            <w:r>
              <w:rPr>
                <w:color w:val="000000"/>
              </w:rPr>
              <w:t>(no sign of degradation or leak was observed).</w:t>
            </w:r>
            <w:r>
              <w:rPr>
                <w:color w:val="000000"/>
              </w:rPr>
              <w:br/>
            </w:r>
          </w:p>
          <w:p w14:paraId="51EFAD0E" w14:textId="77777777" w:rsidR="000837A9" w:rsidRDefault="000837A9" w:rsidP="00FF3977">
            <w:pPr>
              <w:rPr>
                <w:color w:val="FF0000"/>
              </w:rPr>
            </w:pPr>
            <w:r>
              <w:rPr>
                <w:color w:val="000000"/>
              </w:rPr>
              <w:t>The appearance of the test item and the packaging material were considered to be stable after an accelerated storage procedure at 54 °C ± 2 °C for 14 days. No significant change of weight was observed (-0,1%).</w:t>
            </w:r>
            <w:r>
              <w:rPr>
                <w:color w:val="000000"/>
              </w:rPr>
              <w:br/>
            </w:r>
            <w:r>
              <w:rPr>
                <w:b/>
                <w:bCs/>
                <w:color w:val="000000"/>
              </w:rPr>
              <w:t>ANALYTICAL QUANTIFICATION OF THE ACTIVE SUBSTANCE</w:t>
            </w:r>
            <w:r>
              <w:rPr>
                <w:color w:val="000000"/>
              </w:rPr>
              <w:br/>
            </w:r>
            <w:r w:rsidRPr="001D704F">
              <w:t xml:space="preserve">Content of AS </w:t>
            </w:r>
            <w:r w:rsidRPr="00EC3FE5">
              <w:t>and SoC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089"/>
              <w:gridCol w:w="1274"/>
              <w:gridCol w:w="1274"/>
            </w:tblGrid>
            <w:tr w:rsidR="000837A9" w14:paraId="09477A42" w14:textId="77777777" w:rsidTr="00FF3977">
              <w:tc>
                <w:tcPr>
                  <w:tcW w:w="33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ED00B" w14:textId="77777777" w:rsidR="000837A9" w:rsidRDefault="000837A9" w:rsidP="00FF3977">
                  <w:pPr>
                    <w:jc w:val="center"/>
                  </w:pPr>
                  <w:r>
                    <w:t>Active substances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102DA9" w14:textId="77777777" w:rsidR="000837A9" w:rsidRDefault="000837A9" w:rsidP="00FF3977">
                  <w:pPr>
                    <w:jc w:val="center"/>
                  </w:pPr>
                  <w:r>
                    <w:t>Before the accelerated storage procedure</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1EB46305" w14:textId="77777777" w:rsidR="000837A9" w:rsidRDefault="000837A9" w:rsidP="00FF3977">
                  <w:pPr>
                    <w:jc w:val="center"/>
                  </w:pPr>
                  <w:r>
                    <w:t>After the accelerated storage procedure</w:t>
                  </w:r>
                </w:p>
              </w:tc>
            </w:tr>
            <w:tr w:rsidR="000837A9" w14:paraId="607A61DD"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9EC61" w14:textId="77777777" w:rsidR="000837A9" w:rsidRDefault="000837A9" w:rsidP="00FF3977">
                  <w:r>
                    <w:t>Lactic acid</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15DF3C4" w14:textId="77777777" w:rsidR="000837A9" w:rsidRDefault="000837A9"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C5D9EAF" w14:textId="77777777" w:rsidR="000837A9" w:rsidRDefault="000837A9" w:rsidP="00FF3977">
                  <w:pPr>
                    <w:jc w:val="center"/>
                  </w:pPr>
                  <w:r>
                    <w:t>3.93</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5E9DA2C6" w14:textId="77777777" w:rsidR="000837A9" w:rsidRDefault="000837A9" w:rsidP="00FF3977">
                  <w:pPr>
                    <w:jc w:val="center"/>
                  </w:pPr>
                  <w:r>
                    <w:t>3.94</w:t>
                  </w:r>
                </w:p>
              </w:tc>
            </w:tr>
            <w:tr w:rsidR="000837A9" w14:paraId="2CBEBD6A"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9569E" w14:textId="77777777" w:rsidR="000837A9" w:rsidRDefault="000837A9"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B4CC47D" w14:textId="77777777" w:rsidR="000837A9" w:rsidRDefault="000837A9"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B1AC820" w14:textId="77777777" w:rsidR="000837A9" w:rsidRDefault="000837A9" w:rsidP="00FF3977">
                  <w:pPr>
                    <w:jc w:val="center"/>
                  </w:pPr>
                  <w:r>
                    <w:t>From the nominal value</w:t>
                  </w:r>
                </w:p>
                <w:p w14:paraId="2D7C4FDD" w14:textId="77777777" w:rsidR="000837A9" w:rsidRDefault="000837A9" w:rsidP="00FF3977">
                  <w:pPr>
                    <w:jc w:val="center"/>
                  </w:pPr>
                  <w:r>
                    <w:lastRenderedPageBreak/>
                    <w:t>-1.8</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15109BC4" w14:textId="77777777" w:rsidR="000837A9" w:rsidRDefault="000837A9" w:rsidP="00FF3977">
                  <w:pPr>
                    <w:jc w:val="center"/>
                  </w:pPr>
                  <w:r>
                    <w:lastRenderedPageBreak/>
                    <w:t>From the T = 0 value</w:t>
                  </w:r>
                </w:p>
                <w:p w14:paraId="393476CF" w14:textId="77777777" w:rsidR="000837A9" w:rsidRDefault="000837A9" w:rsidP="00FF3977">
                  <w:pPr>
                    <w:jc w:val="center"/>
                  </w:pPr>
                  <w:r>
                    <w:lastRenderedPageBreak/>
                    <w:t>+0.3</w:t>
                  </w:r>
                </w:p>
              </w:tc>
            </w:tr>
            <w:tr w:rsidR="000837A9" w14:paraId="4D8F9DCB"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559A9" w14:textId="77777777" w:rsidR="000837A9" w:rsidRDefault="000837A9" w:rsidP="00FF3977">
                  <w:r>
                    <w:lastRenderedPageBreak/>
                    <w:t>Citric acid (SOC)</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CFD6D2E" w14:textId="77777777" w:rsidR="000837A9" w:rsidRDefault="000837A9"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1524DD0" w14:textId="77777777" w:rsidR="000837A9" w:rsidRDefault="000837A9" w:rsidP="00FF3977">
                  <w:pPr>
                    <w:jc w:val="center"/>
                  </w:pPr>
                  <w:r>
                    <w:t>1.01</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1D7FDEB6" w14:textId="77777777" w:rsidR="000837A9" w:rsidRDefault="000837A9" w:rsidP="00FF3977">
                  <w:pPr>
                    <w:jc w:val="center"/>
                  </w:pPr>
                  <w:r>
                    <w:t>1.00</w:t>
                  </w:r>
                </w:p>
              </w:tc>
            </w:tr>
            <w:tr w:rsidR="000837A9" w14:paraId="237FF6CC"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A55EFF" w14:textId="77777777" w:rsidR="000837A9" w:rsidRDefault="000837A9"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83A25D7" w14:textId="77777777" w:rsidR="000837A9" w:rsidRDefault="000837A9"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9CA94B3" w14:textId="77777777" w:rsidR="000837A9" w:rsidRDefault="000837A9" w:rsidP="00FF3977">
                  <w:pPr>
                    <w:jc w:val="center"/>
                  </w:pPr>
                  <w:r>
                    <w:t>From the nominal value</w:t>
                  </w:r>
                </w:p>
                <w:p w14:paraId="1BB790F0" w14:textId="77777777" w:rsidR="000837A9" w:rsidRDefault="000837A9" w:rsidP="00FF3977">
                  <w:pPr>
                    <w:jc w:val="center"/>
                  </w:pPr>
                  <w:r>
                    <w:t>+1.0</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6C400EF7" w14:textId="77777777" w:rsidR="000837A9" w:rsidRDefault="000837A9" w:rsidP="00FF3977">
                  <w:pPr>
                    <w:jc w:val="center"/>
                  </w:pPr>
                  <w:r>
                    <w:t>From the T = 0 value</w:t>
                  </w:r>
                </w:p>
                <w:p w14:paraId="708B1A61" w14:textId="77777777" w:rsidR="000837A9" w:rsidRDefault="000837A9" w:rsidP="00FF3977">
                  <w:pPr>
                    <w:jc w:val="center"/>
                  </w:pPr>
                  <w:r>
                    <w:t>-1.0</w:t>
                  </w:r>
                </w:p>
              </w:tc>
            </w:tr>
          </w:tbl>
          <w:p w14:paraId="7F2BB7D0" w14:textId="77777777" w:rsidR="000837A9" w:rsidRDefault="000837A9" w:rsidP="00FF3977">
            <w:pPr>
              <w:rPr>
                <w:color w:val="000000"/>
              </w:rPr>
            </w:pPr>
          </w:p>
          <w:p w14:paraId="4B37A03F" w14:textId="3AA06FAF" w:rsidR="000837A9" w:rsidRDefault="000837A9" w:rsidP="00FF3977">
            <w:pPr>
              <w:rPr>
                <w:color w:val="000000"/>
              </w:rPr>
            </w:pPr>
            <w:r>
              <w:rPr>
                <w:color w:val="000000"/>
              </w:rPr>
              <w:br/>
            </w:r>
            <w:r>
              <w:rPr>
                <w:b/>
                <w:bCs/>
                <w:color w:val="000000"/>
              </w:rPr>
              <w:t>DETERMINATION OF pH VALUES</w:t>
            </w:r>
            <w:r>
              <w:rPr>
                <w:color w:val="000000"/>
              </w:rPr>
              <w:br/>
              <w:t>Before the accelerated storage procedure, the mean pH value of the pure test item was: 2.12 at 19.3 °C after 1 min and 2.11 at 19.5 °C after 2 min. After the accelerated storage procedure, the mean pH value of the pure test item was: 2.20 at 19.4 °C after 1 min and 2.23 at 19.5 °C after 2 min.</w:t>
            </w:r>
            <w:r>
              <w:rPr>
                <w:color w:val="000000"/>
              </w:rPr>
              <w:br/>
            </w:r>
            <w:r>
              <w:rPr>
                <w:b/>
                <w:bCs/>
                <w:color w:val="000000"/>
              </w:rPr>
              <w:t>SATISFACTORY OPERATION OF THE SPRAYER AND SPRAY VOLUME</w:t>
            </w:r>
            <w:r>
              <w:rPr>
                <w:color w:val="000000"/>
              </w:rPr>
              <w:br/>
              <w:t xml:space="preserve">Before the accelerated storage procedure, the mean volume of a pulverisation of the sprayer was 1.37 mL. The </w:t>
            </w:r>
            <w:r w:rsidR="008101B2">
              <w:rPr>
                <w:color w:val="000000"/>
              </w:rPr>
              <w:t xml:space="preserve">foam </w:t>
            </w:r>
            <w:r>
              <w:rPr>
                <w:color w:val="000000"/>
              </w:rPr>
              <w:t>nozzles of the sprays were checked and no blocking was observed. After the accelerated storage procedure, the mean volume of a pulverisation of the sprayer was 1.11 mL. The nozzles of the sprays were checked and no blocking was observed.</w:t>
            </w:r>
            <w:r>
              <w:rPr>
                <w:color w:val="000000"/>
              </w:rPr>
              <w:br/>
            </w:r>
            <w:r>
              <w:rPr>
                <w:b/>
                <w:bCs/>
                <w:color w:val="000000"/>
              </w:rPr>
              <w:t>SPRAY DIAMETER AND PATTERN</w:t>
            </w:r>
            <w:r>
              <w:rPr>
                <w:color w:val="000000"/>
              </w:rPr>
              <w:br/>
            </w:r>
            <w:r>
              <w:rPr>
                <w:color w:val="000000"/>
              </w:rPr>
              <w:lastRenderedPageBreak/>
              <w:t>Before the accelerated storage procedure, the mean spray diameter of the sprayer was 15 cm. The shape of the spray on the wetted patch was circular. After the accelerated storage procedure, the mean spray diameter of the sprayer was 14 cm. The shape of the spray on the wetted patch was circular.</w:t>
            </w:r>
          </w:p>
          <w:p w14:paraId="300B6A21" w14:textId="77777777" w:rsidR="000837A9" w:rsidRDefault="000837A9" w:rsidP="00FF3977">
            <w:r>
              <w:rPr>
                <w:color w:val="000000"/>
              </w:rPr>
              <w:br/>
            </w:r>
            <w:r>
              <w:t xml:space="preserve">Products of META SPC 3 will be sold together with a srayer device with foam nozzle, therefore determination of the MMAD is not required. </w:t>
            </w:r>
          </w:p>
          <w:p w14:paraId="40F33447" w14:textId="77777777" w:rsidR="000837A9" w:rsidRPr="00A411E7" w:rsidRDefault="000837A9" w:rsidP="00FF3977">
            <w:pPr>
              <w:rPr>
                <w:rFonts w:eastAsia="Calibri"/>
              </w:rPr>
            </w:pPr>
            <w:r>
              <w:rPr>
                <w:color w:val="000000"/>
              </w:rPr>
              <w:br/>
              <w:t xml:space="preserve">These results can be extrapolated to the other packagings in HDPE, PET and COEXTRUDE (HDPE/PA) according to </w:t>
            </w:r>
            <w:r w:rsidRPr="001D704F">
              <w:t>ECHA Guidance Vol. I, Parts A+B+C</w:t>
            </w:r>
            <w:r>
              <w:t xml:space="preserve"> </w:t>
            </w:r>
            <w:r>
              <w:fldChar w:fldCharType="begin"/>
            </w:r>
            <w:r>
              <w:instrText xml:space="preserve"> ADDIN ZOTERO_ITEM CSL_CITATION {"citationID":"IMeftyLL","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fldChar w:fldCharType="separate"/>
            </w:r>
            <w:r w:rsidRPr="0098795B">
              <w:t>(3)</w:t>
            </w:r>
            <w:r>
              <w:fldChar w:fldCharType="end"/>
            </w:r>
            <w:r>
              <w:rPr>
                <w:color w:val="000000"/>
              </w:rPr>
              <w:t>, 3.6.4.2 Point 3.4.2 Table 7.</w:t>
            </w:r>
          </w:p>
        </w:tc>
        <w:tc>
          <w:tcPr>
            <w:tcW w:w="447" w:type="pct"/>
            <w:vAlign w:val="center"/>
          </w:tcPr>
          <w:p w14:paraId="4D295BC9" w14:textId="77777777" w:rsidR="000837A9" w:rsidRPr="00A411E7" w:rsidRDefault="000837A9" w:rsidP="00FF3977">
            <w:pPr>
              <w:rPr>
                <w:rFonts w:eastAsia="Calibri"/>
              </w:rPr>
            </w:pPr>
            <w:r>
              <w:rPr>
                <w:color w:val="000000"/>
              </w:rPr>
              <w:lastRenderedPageBreak/>
              <w:t>Demangel B. and Ricau H., 2019, Report No 18-901011-018</w:t>
            </w:r>
          </w:p>
        </w:tc>
        <w:tc>
          <w:tcPr>
            <w:tcW w:w="478" w:type="pct"/>
          </w:tcPr>
          <w:p w14:paraId="46B31F9C" w14:textId="77777777" w:rsidR="000837A9" w:rsidRDefault="000837A9" w:rsidP="00FF3977">
            <w:pPr>
              <w:rPr>
                <w:color w:val="000000"/>
              </w:rPr>
            </w:pPr>
            <w:r>
              <w:rPr>
                <w:color w:val="000000"/>
              </w:rPr>
              <w:t>Acceptable</w:t>
            </w:r>
          </w:p>
          <w:p w14:paraId="38035743" w14:textId="77777777" w:rsidR="000837A9" w:rsidRDefault="000837A9" w:rsidP="00FF3977">
            <w:pPr>
              <w:rPr>
                <w:color w:val="000000"/>
              </w:rPr>
            </w:pPr>
            <w:r>
              <w:rPr>
                <w:color w:val="000000"/>
              </w:rPr>
              <w:t>The product is stable after 14 days at 54°C.</w:t>
            </w:r>
          </w:p>
          <w:p w14:paraId="0A58A223" w14:textId="77777777" w:rsidR="00CB4CF1" w:rsidRDefault="00CB4CF1" w:rsidP="00FF3977">
            <w:pPr>
              <w:rPr>
                <w:color w:val="000000"/>
              </w:rPr>
            </w:pPr>
          </w:p>
          <w:p w14:paraId="60D08B99" w14:textId="63301B50" w:rsidR="00CB4CF1" w:rsidRDefault="00CB4CF1" w:rsidP="00FF3977">
            <w:pPr>
              <w:rPr>
                <w:color w:val="000000"/>
              </w:rPr>
            </w:pPr>
            <w:r>
              <w:rPr>
                <w:color w:val="000000"/>
              </w:rPr>
              <w:t xml:space="preserve">However, a decrease in </w:t>
            </w:r>
            <w:r w:rsidRPr="00324B98">
              <w:rPr>
                <w:color w:val="000000"/>
              </w:rPr>
              <w:t>the mean volume of a pulverisation of the sprayer</w:t>
            </w:r>
            <w:r>
              <w:rPr>
                <w:color w:val="000000"/>
              </w:rPr>
              <w:t xml:space="preserve"> is noted. Results after long-term storage are required to conclude on the satisfactory operation of the sprayer device.</w:t>
            </w:r>
          </w:p>
        </w:tc>
      </w:tr>
      <w:tr w:rsidR="000837A9" w14:paraId="45BCA605" w14:textId="77777777" w:rsidTr="00FF3977">
        <w:tc>
          <w:tcPr>
            <w:tcW w:w="1231" w:type="pct"/>
          </w:tcPr>
          <w:p w14:paraId="75A3932C" w14:textId="77777777" w:rsidR="000837A9" w:rsidRPr="00A411E7" w:rsidRDefault="000837A9"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594" w:type="pct"/>
            <w:vAlign w:val="center"/>
          </w:tcPr>
          <w:p w14:paraId="1F51ED48" w14:textId="77777777" w:rsidR="000837A9" w:rsidRPr="00A12904" w:rsidRDefault="000837A9" w:rsidP="00FF3977">
            <w:pPr>
              <w:rPr>
                <w:color w:val="000000"/>
              </w:rPr>
            </w:pPr>
            <w:r>
              <w:rPr>
                <w:color w:val="000000"/>
              </w:rPr>
              <w:t> </w:t>
            </w:r>
            <w:r w:rsidRPr="00A12904">
              <w:rPr>
                <w:color w:val="000000"/>
              </w:rPr>
              <w:t>Technical</w:t>
            </w:r>
          </w:p>
          <w:p w14:paraId="2508A505" w14:textId="77777777" w:rsidR="000837A9" w:rsidRPr="00A411E7" w:rsidRDefault="000837A9" w:rsidP="00FF3977">
            <w:pPr>
              <w:rPr>
                <w:rFonts w:eastAsia="Calibri"/>
              </w:rPr>
            </w:pPr>
            <w:r w:rsidRPr="00A12904">
              <w:rPr>
                <w:color w:val="000000"/>
              </w:rPr>
              <w:t>Monograph No. 17</w:t>
            </w:r>
          </w:p>
        </w:tc>
        <w:tc>
          <w:tcPr>
            <w:tcW w:w="538" w:type="pct"/>
            <w:vAlign w:val="center"/>
          </w:tcPr>
          <w:p w14:paraId="57AF7DB1" w14:textId="77777777" w:rsidR="000837A9" w:rsidRPr="00A411E7" w:rsidRDefault="000837A9" w:rsidP="00FF3977">
            <w:pPr>
              <w:rPr>
                <w:rFonts w:eastAsia="Calibri"/>
              </w:rPr>
            </w:pPr>
            <w:r>
              <w:rPr>
                <w:color w:val="000000"/>
              </w:rPr>
              <w:t xml:space="preserve"> Test item: </w:t>
            </w:r>
            <w:r w:rsidRPr="00A1541F">
              <w:rPr>
                <w:color w:val="000000"/>
              </w:rPr>
              <w:t>218242-P1</w:t>
            </w:r>
          </w:p>
        </w:tc>
        <w:tc>
          <w:tcPr>
            <w:tcW w:w="1712" w:type="pct"/>
            <w:vAlign w:val="center"/>
          </w:tcPr>
          <w:p w14:paraId="0275D715" w14:textId="77777777" w:rsidR="000837A9" w:rsidRPr="00A411E7" w:rsidRDefault="000837A9" w:rsidP="00FF3977">
            <w:pPr>
              <w:rPr>
                <w:rFonts w:eastAsia="Calibri"/>
              </w:rPr>
            </w:pPr>
            <w:r>
              <w:rPr>
                <w:color w:val="000000"/>
              </w:rPr>
              <w:t>Ongoing study - the results of this study will be submitted once this study will be finalised (November 2020).</w:t>
            </w:r>
          </w:p>
        </w:tc>
        <w:tc>
          <w:tcPr>
            <w:tcW w:w="447" w:type="pct"/>
            <w:vAlign w:val="center"/>
          </w:tcPr>
          <w:p w14:paraId="7DC8E3B1" w14:textId="77777777" w:rsidR="000837A9" w:rsidRPr="00A411E7" w:rsidRDefault="000837A9" w:rsidP="00FF3977">
            <w:pPr>
              <w:rPr>
                <w:rFonts w:eastAsia="Calibri"/>
              </w:rPr>
            </w:pPr>
            <w:r>
              <w:rPr>
                <w:color w:val="000000"/>
              </w:rPr>
              <w:t> Demangel B., 2018, Report No 18-901011-019</w:t>
            </w:r>
          </w:p>
        </w:tc>
        <w:tc>
          <w:tcPr>
            <w:tcW w:w="478" w:type="pct"/>
          </w:tcPr>
          <w:p w14:paraId="1ED3FDCF" w14:textId="77777777" w:rsidR="000837A9" w:rsidRDefault="000837A9" w:rsidP="00FF3977">
            <w:pPr>
              <w:rPr>
                <w:color w:val="000000"/>
              </w:rPr>
            </w:pPr>
            <w:r>
              <w:rPr>
                <w:color w:val="000000"/>
              </w:rPr>
              <w:t xml:space="preserve">Study requied in post authorisation </w:t>
            </w:r>
          </w:p>
        </w:tc>
      </w:tr>
      <w:tr w:rsidR="000837A9" w14:paraId="0F4AF1C0" w14:textId="77777777" w:rsidTr="00FF3977">
        <w:tc>
          <w:tcPr>
            <w:tcW w:w="1231" w:type="pct"/>
          </w:tcPr>
          <w:p w14:paraId="7139F404" w14:textId="77777777" w:rsidR="000837A9" w:rsidRPr="00A411E7" w:rsidRDefault="000837A9"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594" w:type="pct"/>
            <w:vAlign w:val="center"/>
          </w:tcPr>
          <w:p w14:paraId="5753345D" w14:textId="77777777" w:rsidR="000837A9" w:rsidRPr="00A411E7" w:rsidRDefault="000837A9" w:rsidP="00FF3977">
            <w:pPr>
              <w:rPr>
                <w:rFonts w:eastAsia="Calibri"/>
              </w:rPr>
            </w:pPr>
            <w:r>
              <w:rPr>
                <w:color w:val="000000"/>
              </w:rPr>
              <w:t>CIPAC Handbook J - MT 39.3 method (2000)</w:t>
            </w:r>
          </w:p>
        </w:tc>
        <w:tc>
          <w:tcPr>
            <w:tcW w:w="538" w:type="pct"/>
            <w:vAlign w:val="center"/>
          </w:tcPr>
          <w:p w14:paraId="2E0CB7D1" w14:textId="77777777" w:rsidR="000837A9" w:rsidRDefault="000837A9" w:rsidP="00FF3977">
            <w:pPr>
              <w:rPr>
                <w:color w:val="000000"/>
              </w:rPr>
            </w:pPr>
            <w:r>
              <w:rPr>
                <w:color w:val="000000"/>
              </w:rPr>
              <w:t>Batch 5118225</w:t>
            </w:r>
          </w:p>
          <w:p w14:paraId="38F49336" w14:textId="77777777" w:rsidR="000837A9" w:rsidRPr="00A411E7" w:rsidRDefault="000837A9" w:rsidP="00FF3977">
            <w:pPr>
              <w:rPr>
                <w:rFonts w:eastAsia="Calibri"/>
              </w:rPr>
            </w:pPr>
            <w:r>
              <w:rPr>
                <w:color w:val="000000"/>
              </w:rPr>
              <w:t xml:space="preserve">Test item: </w:t>
            </w:r>
            <w:r w:rsidRPr="00A1541F">
              <w:rPr>
                <w:color w:val="000000"/>
              </w:rPr>
              <w:t>218242-P1</w:t>
            </w:r>
          </w:p>
        </w:tc>
        <w:tc>
          <w:tcPr>
            <w:tcW w:w="1712" w:type="pct"/>
            <w:vAlign w:val="center"/>
          </w:tcPr>
          <w:p w14:paraId="19C040A2" w14:textId="77777777" w:rsidR="000837A9" w:rsidRPr="00A411E7" w:rsidRDefault="000837A9" w:rsidP="00FF3977">
            <w:pPr>
              <w:rPr>
                <w:rFonts w:eastAsia="Calibri"/>
              </w:rPr>
            </w:pPr>
            <w:r>
              <w:rPr>
                <w:color w:val="000000"/>
              </w:rPr>
              <w:t>At the start of the test, the test item was a homogeneous opalescent liquid.</w:t>
            </w:r>
            <w:r>
              <w:rPr>
                <w:color w:val="000000"/>
              </w:rPr>
              <w:br/>
              <w:t>The aspect of the test item was considered to be stable after a low temperature</w:t>
            </w:r>
            <w:r>
              <w:rPr>
                <w:color w:val="000000"/>
              </w:rPr>
              <w:br/>
              <w:t>stability for 7 days at 0 ± 2 °C, no change was observed in the test item aspect.</w:t>
            </w:r>
          </w:p>
        </w:tc>
        <w:tc>
          <w:tcPr>
            <w:tcW w:w="447" w:type="pct"/>
            <w:vAlign w:val="center"/>
          </w:tcPr>
          <w:p w14:paraId="7F7C3B4C" w14:textId="77777777" w:rsidR="000837A9" w:rsidRPr="00A411E7" w:rsidRDefault="000837A9" w:rsidP="00FF3977">
            <w:pPr>
              <w:rPr>
                <w:rFonts w:eastAsia="Calibri"/>
              </w:rPr>
            </w:pPr>
            <w:r>
              <w:rPr>
                <w:color w:val="000000"/>
              </w:rPr>
              <w:t>Demangel B., 2019, Report No 18-901011-017</w:t>
            </w:r>
          </w:p>
        </w:tc>
        <w:tc>
          <w:tcPr>
            <w:tcW w:w="478" w:type="pct"/>
          </w:tcPr>
          <w:p w14:paraId="5BFBD881" w14:textId="77777777" w:rsidR="000837A9" w:rsidRDefault="000837A9" w:rsidP="00FF3977">
            <w:pPr>
              <w:rPr>
                <w:color w:val="000000"/>
              </w:rPr>
            </w:pPr>
            <w:r>
              <w:rPr>
                <w:color w:val="000000"/>
              </w:rPr>
              <w:t>Acceptable</w:t>
            </w:r>
          </w:p>
          <w:p w14:paraId="67ADBD7A" w14:textId="77777777" w:rsidR="000837A9" w:rsidRDefault="000837A9" w:rsidP="00FF3977">
            <w:pPr>
              <w:rPr>
                <w:color w:val="000000"/>
              </w:rPr>
            </w:pPr>
            <w:r>
              <w:rPr>
                <w:color w:val="000000"/>
              </w:rPr>
              <w:t>The product is stable after 7 days at 0°C.</w:t>
            </w:r>
          </w:p>
        </w:tc>
      </w:tr>
      <w:tr w:rsidR="000837A9" w14:paraId="6BF33888" w14:textId="77777777" w:rsidTr="00FF3977">
        <w:tc>
          <w:tcPr>
            <w:tcW w:w="1231" w:type="pct"/>
          </w:tcPr>
          <w:p w14:paraId="492912F7" w14:textId="77777777" w:rsidR="000837A9" w:rsidRPr="00A411E7" w:rsidRDefault="000837A9" w:rsidP="00FF3977">
            <w:pPr>
              <w:rPr>
                <w:rFonts w:eastAsia="Calibri"/>
                <w:lang w:eastAsia="en-US"/>
              </w:rPr>
            </w:pPr>
            <w:r w:rsidRPr="00A411E7">
              <w:rPr>
                <w:rFonts w:eastAsia="Calibri"/>
                <w:lang w:eastAsia="en-US"/>
              </w:rPr>
              <w:lastRenderedPageBreak/>
              <w:t xml:space="preserve">Effects on content of the active substance and technical characteristics of the biocidal product - </w:t>
            </w:r>
            <w:r w:rsidRPr="00A411E7">
              <w:rPr>
                <w:rFonts w:eastAsia="Calibri"/>
                <w:b/>
                <w:lang w:eastAsia="en-US"/>
              </w:rPr>
              <w:t>light</w:t>
            </w:r>
          </w:p>
        </w:tc>
        <w:tc>
          <w:tcPr>
            <w:tcW w:w="594" w:type="pct"/>
            <w:vAlign w:val="center"/>
          </w:tcPr>
          <w:p w14:paraId="47C95AC2" w14:textId="77777777" w:rsidR="000837A9" w:rsidRPr="00A411E7" w:rsidRDefault="000837A9" w:rsidP="00FF3977">
            <w:pPr>
              <w:spacing w:line="260" w:lineRule="atLeast"/>
              <w:rPr>
                <w:rFonts w:eastAsia="Calibri"/>
                <w:lang w:eastAsia="en-US"/>
              </w:rPr>
            </w:pPr>
            <w:r>
              <w:rPr>
                <w:color w:val="000000"/>
              </w:rPr>
              <w:t xml:space="preserve"> -</w:t>
            </w:r>
          </w:p>
        </w:tc>
        <w:tc>
          <w:tcPr>
            <w:tcW w:w="538" w:type="pct"/>
            <w:vAlign w:val="center"/>
          </w:tcPr>
          <w:p w14:paraId="12AB93D4" w14:textId="77777777" w:rsidR="000837A9" w:rsidRPr="00A411E7" w:rsidRDefault="000837A9" w:rsidP="00FF3977">
            <w:pPr>
              <w:spacing w:line="260" w:lineRule="atLeast"/>
              <w:rPr>
                <w:rFonts w:eastAsia="Calibri"/>
                <w:lang w:eastAsia="en-US"/>
              </w:rPr>
            </w:pPr>
            <w:r>
              <w:rPr>
                <w:color w:val="000000"/>
              </w:rPr>
              <w:t xml:space="preserve"> -</w:t>
            </w:r>
          </w:p>
        </w:tc>
        <w:tc>
          <w:tcPr>
            <w:tcW w:w="1712" w:type="pct"/>
            <w:vAlign w:val="center"/>
          </w:tcPr>
          <w:p w14:paraId="5B52ED34" w14:textId="77777777" w:rsidR="000837A9" w:rsidRPr="00A411E7" w:rsidRDefault="000837A9" w:rsidP="00FF3977">
            <w:pPr>
              <w:spacing w:line="260" w:lineRule="atLeast"/>
              <w:rPr>
                <w:rFonts w:eastAsia="Calibri"/>
                <w:lang w:eastAsia="en-US"/>
              </w:rPr>
            </w:pPr>
            <w:r>
              <w:rPr>
                <w:color w:val="000000"/>
              </w:rPr>
              <w:t>The biocidal product is packaged in opaque packaging (500 ml, 750 ml, 1 l, 5 l) and transparent packaging (500 ml, 750 ml, 1 l, 5 l). The test item is considered to be stable after 14 days at 54 ± 2°C (please refer above).</w:t>
            </w:r>
          </w:p>
        </w:tc>
        <w:tc>
          <w:tcPr>
            <w:tcW w:w="447" w:type="pct"/>
            <w:vAlign w:val="center"/>
          </w:tcPr>
          <w:p w14:paraId="1762BEC8" w14:textId="77777777" w:rsidR="000837A9" w:rsidRPr="00A411E7" w:rsidRDefault="000837A9" w:rsidP="00FF3977">
            <w:pPr>
              <w:spacing w:line="260" w:lineRule="atLeast"/>
              <w:rPr>
                <w:rFonts w:eastAsia="Calibri"/>
                <w:lang w:eastAsia="en-US"/>
              </w:rPr>
            </w:pPr>
            <w:r>
              <w:rPr>
                <w:color w:val="000000"/>
              </w:rPr>
              <w:t xml:space="preserve"> -</w:t>
            </w:r>
          </w:p>
        </w:tc>
        <w:tc>
          <w:tcPr>
            <w:tcW w:w="478" w:type="pct"/>
          </w:tcPr>
          <w:p w14:paraId="423DBECC" w14:textId="77777777" w:rsidR="000837A9" w:rsidRDefault="000837A9" w:rsidP="00FF3977">
            <w:pPr>
              <w:spacing w:line="260" w:lineRule="atLeast"/>
              <w:rPr>
                <w:color w:val="000000"/>
              </w:rPr>
            </w:pPr>
            <w:r>
              <w:rPr>
                <w:color w:val="000000"/>
              </w:rPr>
              <w:t>Acceptable</w:t>
            </w:r>
          </w:p>
          <w:p w14:paraId="55CD5E2B" w14:textId="77777777" w:rsidR="000837A9" w:rsidRDefault="000837A9" w:rsidP="00FF3977">
            <w:pPr>
              <w:spacing w:line="260" w:lineRule="atLeast"/>
              <w:rPr>
                <w:color w:val="000000"/>
              </w:rPr>
            </w:pPr>
          </w:p>
          <w:p w14:paraId="42A26B17" w14:textId="77777777" w:rsidR="000837A9" w:rsidRDefault="000837A9" w:rsidP="00FF3977">
            <w:pPr>
              <w:spacing w:line="260" w:lineRule="atLeast"/>
              <w:rPr>
                <w:color w:val="000000"/>
              </w:rPr>
            </w:pPr>
            <w:r w:rsidRPr="00450A0D">
              <w:rPr>
                <w:color w:val="000000"/>
              </w:rPr>
              <w:t xml:space="preserve">The active substance, lactic acid, is not light sensitive.  </w:t>
            </w:r>
          </w:p>
        </w:tc>
      </w:tr>
      <w:tr w:rsidR="000837A9" w14:paraId="150A8A65" w14:textId="77777777" w:rsidTr="00FF3977">
        <w:tc>
          <w:tcPr>
            <w:tcW w:w="1231" w:type="pct"/>
          </w:tcPr>
          <w:p w14:paraId="6CCC97D0" w14:textId="77777777" w:rsidR="000837A9" w:rsidRPr="00A411E7" w:rsidRDefault="000837A9"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594" w:type="pct"/>
            <w:vAlign w:val="center"/>
          </w:tcPr>
          <w:p w14:paraId="7FE901AB" w14:textId="77777777" w:rsidR="000837A9" w:rsidRPr="00A411E7" w:rsidRDefault="000837A9" w:rsidP="00FF3977">
            <w:pPr>
              <w:rPr>
                <w:rFonts w:eastAsia="Calibri"/>
              </w:rPr>
            </w:pPr>
            <w:r>
              <w:rPr>
                <w:color w:val="000000"/>
              </w:rPr>
              <w:t xml:space="preserve"> -</w:t>
            </w:r>
          </w:p>
        </w:tc>
        <w:tc>
          <w:tcPr>
            <w:tcW w:w="538" w:type="pct"/>
            <w:vAlign w:val="center"/>
          </w:tcPr>
          <w:p w14:paraId="28F1E7BF" w14:textId="77777777" w:rsidR="000837A9" w:rsidRPr="00A411E7" w:rsidRDefault="000837A9" w:rsidP="00FF3977">
            <w:pPr>
              <w:rPr>
                <w:rFonts w:eastAsia="Calibri"/>
              </w:rPr>
            </w:pPr>
            <w:r>
              <w:rPr>
                <w:color w:val="000000"/>
              </w:rPr>
              <w:t xml:space="preserve"> -</w:t>
            </w:r>
          </w:p>
        </w:tc>
        <w:tc>
          <w:tcPr>
            <w:tcW w:w="1712" w:type="pct"/>
            <w:vAlign w:val="center"/>
          </w:tcPr>
          <w:p w14:paraId="63545025" w14:textId="77777777" w:rsidR="000837A9" w:rsidRPr="00A411E7" w:rsidRDefault="000837A9" w:rsidP="00FF3977">
            <w:pPr>
              <w:rPr>
                <w:rFonts w:eastAsia="Calibri"/>
              </w:rPr>
            </w:pPr>
            <w:r>
              <w:rPr>
                <w:color w:val="000000"/>
              </w:rPr>
              <w:t>With its hand-operated trigger sprayer and caps, the packagings are leak-tight. The test item is considered to be stable after 14 days at 54 ± 2°C (please refer above).</w:t>
            </w:r>
          </w:p>
        </w:tc>
        <w:tc>
          <w:tcPr>
            <w:tcW w:w="447" w:type="pct"/>
            <w:vAlign w:val="center"/>
          </w:tcPr>
          <w:p w14:paraId="34937967" w14:textId="77777777" w:rsidR="000837A9" w:rsidRPr="00A411E7" w:rsidRDefault="000837A9" w:rsidP="00FF3977">
            <w:pPr>
              <w:rPr>
                <w:rFonts w:eastAsia="Calibri"/>
              </w:rPr>
            </w:pPr>
            <w:r>
              <w:rPr>
                <w:color w:val="000000"/>
              </w:rPr>
              <w:t xml:space="preserve"> -</w:t>
            </w:r>
          </w:p>
        </w:tc>
        <w:tc>
          <w:tcPr>
            <w:tcW w:w="478" w:type="pct"/>
          </w:tcPr>
          <w:p w14:paraId="18A535B8" w14:textId="77777777" w:rsidR="000837A9" w:rsidRDefault="000837A9" w:rsidP="00FF3977">
            <w:pPr>
              <w:rPr>
                <w:color w:val="000000"/>
              </w:rPr>
            </w:pPr>
            <w:r>
              <w:rPr>
                <w:color w:val="000000"/>
              </w:rPr>
              <w:t>Acceptable</w:t>
            </w:r>
          </w:p>
        </w:tc>
      </w:tr>
      <w:tr w:rsidR="000837A9" w14:paraId="24124722" w14:textId="77777777" w:rsidTr="00FF3977">
        <w:tc>
          <w:tcPr>
            <w:tcW w:w="1231" w:type="pct"/>
          </w:tcPr>
          <w:p w14:paraId="506C0128" w14:textId="77777777" w:rsidR="000837A9" w:rsidRPr="00A411E7" w:rsidRDefault="000837A9"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594" w:type="pct"/>
            <w:vAlign w:val="center"/>
          </w:tcPr>
          <w:p w14:paraId="5A754BC6" w14:textId="77777777" w:rsidR="000837A9" w:rsidRPr="00A411E7" w:rsidRDefault="000837A9" w:rsidP="00FF3977">
            <w:pPr>
              <w:rPr>
                <w:rFonts w:eastAsia="Calibri"/>
              </w:rPr>
            </w:pPr>
            <w:r>
              <w:rPr>
                <w:color w:val="000000"/>
              </w:rPr>
              <w:t xml:space="preserve"> -</w:t>
            </w:r>
          </w:p>
        </w:tc>
        <w:tc>
          <w:tcPr>
            <w:tcW w:w="538" w:type="pct"/>
            <w:vAlign w:val="center"/>
          </w:tcPr>
          <w:p w14:paraId="60E8C883" w14:textId="77777777" w:rsidR="000837A9" w:rsidRPr="00A411E7" w:rsidRDefault="000837A9" w:rsidP="00FF3977">
            <w:pPr>
              <w:rPr>
                <w:rFonts w:eastAsia="Calibri"/>
              </w:rPr>
            </w:pPr>
            <w:r>
              <w:rPr>
                <w:color w:val="000000"/>
              </w:rPr>
              <w:t xml:space="preserve"> -</w:t>
            </w:r>
          </w:p>
        </w:tc>
        <w:tc>
          <w:tcPr>
            <w:tcW w:w="1712" w:type="pct"/>
            <w:vAlign w:val="center"/>
          </w:tcPr>
          <w:p w14:paraId="5D6144C5" w14:textId="77777777" w:rsidR="000837A9" w:rsidRPr="00A411E7" w:rsidRDefault="000837A9" w:rsidP="00FF3977">
            <w:pPr>
              <w:rPr>
                <w:rFonts w:eastAsia="Calibri"/>
              </w:rPr>
            </w:pPr>
            <w:r>
              <w:rPr>
                <w:color w:val="000000"/>
              </w:rPr>
              <w:t>Experience on the product has proved that no reactivity is expected towards container materials. The test item is considered to be stable after 14 days at 54 ± 2°C (please refer above).</w:t>
            </w:r>
          </w:p>
        </w:tc>
        <w:tc>
          <w:tcPr>
            <w:tcW w:w="447" w:type="pct"/>
            <w:vAlign w:val="center"/>
          </w:tcPr>
          <w:p w14:paraId="77982B14" w14:textId="77777777" w:rsidR="000837A9" w:rsidRPr="00A411E7" w:rsidRDefault="000837A9" w:rsidP="00FF3977">
            <w:pPr>
              <w:rPr>
                <w:rFonts w:eastAsia="Calibri"/>
              </w:rPr>
            </w:pPr>
            <w:r>
              <w:rPr>
                <w:color w:val="000000"/>
              </w:rPr>
              <w:t xml:space="preserve"> -</w:t>
            </w:r>
          </w:p>
        </w:tc>
        <w:tc>
          <w:tcPr>
            <w:tcW w:w="478" w:type="pct"/>
          </w:tcPr>
          <w:p w14:paraId="23B9A597" w14:textId="77777777" w:rsidR="000837A9" w:rsidRDefault="000837A9" w:rsidP="00FF3977">
            <w:pPr>
              <w:rPr>
                <w:color w:val="000000"/>
              </w:rPr>
            </w:pPr>
            <w:r>
              <w:rPr>
                <w:color w:val="000000"/>
              </w:rPr>
              <w:t>Acceptable</w:t>
            </w:r>
          </w:p>
        </w:tc>
      </w:tr>
      <w:tr w:rsidR="000837A9" w14:paraId="4A6E25E7" w14:textId="77777777" w:rsidTr="00FF3977">
        <w:tc>
          <w:tcPr>
            <w:tcW w:w="1231" w:type="pct"/>
          </w:tcPr>
          <w:p w14:paraId="6C3F9C72" w14:textId="77777777" w:rsidR="000837A9" w:rsidRPr="00A411E7" w:rsidRDefault="000837A9" w:rsidP="00FF3977">
            <w:pPr>
              <w:rPr>
                <w:rFonts w:eastAsia="Calibri"/>
              </w:rPr>
            </w:pPr>
            <w:r w:rsidRPr="00A411E7">
              <w:rPr>
                <w:rFonts w:eastAsia="Calibri"/>
              </w:rPr>
              <w:t>Wettability</w:t>
            </w:r>
          </w:p>
        </w:tc>
        <w:tc>
          <w:tcPr>
            <w:tcW w:w="594" w:type="pct"/>
            <w:vAlign w:val="center"/>
          </w:tcPr>
          <w:p w14:paraId="5F61AAFD" w14:textId="77777777" w:rsidR="000837A9" w:rsidRPr="00A411E7" w:rsidRDefault="000837A9" w:rsidP="00FF3977">
            <w:pPr>
              <w:rPr>
                <w:rFonts w:eastAsia="Calibri"/>
              </w:rPr>
            </w:pPr>
            <w:r>
              <w:rPr>
                <w:color w:val="000000"/>
              </w:rPr>
              <w:t xml:space="preserve"> -</w:t>
            </w:r>
          </w:p>
        </w:tc>
        <w:tc>
          <w:tcPr>
            <w:tcW w:w="538" w:type="pct"/>
            <w:vAlign w:val="center"/>
          </w:tcPr>
          <w:p w14:paraId="40E98334" w14:textId="77777777" w:rsidR="000837A9" w:rsidRPr="00A411E7" w:rsidRDefault="000837A9" w:rsidP="00FF3977">
            <w:pPr>
              <w:rPr>
                <w:rFonts w:eastAsia="Calibri"/>
              </w:rPr>
            </w:pPr>
            <w:r>
              <w:rPr>
                <w:color w:val="000000"/>
              </w:rPr>
              <w:t xml:space="preserve"> -</w:t>
            </w:r>
          </w:p>
        </w:tc>
        <w:tc>
          <w:tcPr>
            <w:tcW w:w="1712" w:type="pct"/>
            <w:vAlign w:val="center"/>
          </w:tcPr>
          <w:p w14:paraId="595B2CD1"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19D34058" w14:textId="77777777" w:rsidR="000837A9" w:rsidRPr="00A411E7" w:rsidRDefault="000837A9" w:rsidP="00FF3977">
            <w:pPr>
              <w:rPr>
                <w:rFonts w:eastAsia="Calibri"/>
              </w:rPr>
            </w:pPr>
            <w:r>
              <w:rPr>
                <w:color w:val="000000"/>
              </w:rPr>
              <w:t xml:space="preserve"> -</w:t>
            </w:r>
          </w:p>
        </w:tc>
        <w:tc>
          <w:tcPr>
            <w:tcW w:w="478" w:type="pct"/>
          </w:tcPr>
          <w:p w14:paraId="58583174" w14:textId="77777777" w:rsidR="000837A9" w:rsidRDefault="000837A9" w:rsidP="00FF3977">
            <w:pPr>
              <w:rPr>
                <w:color w:val="000000"/>
              </w:rPr>
            </w:pPr>
            <w:r>
              <w:rPr>
                <w:color w:val="000000"/>
              </w:rPr>
              <w:t>Not relevant for an AL formulation</w:t>
            </w:r>
          </w:p>
        </w:tc>
      </w:tr>
      <w:tr w:rsidR="000837A9" w14:paraId="4E7FF2AF" w14:textId="77777777" w:rsidTr="00FF3977">
        <w:tc>
          <w:tcPr>
            <w:tcW w:w="1231" w:type="pct"/>
          </w:tcPr>
          <w:p w14:paraId="7EB0E4EF" w14:textId="77777777" w:rsidR="000837A9" w:rsidRPr="00A411E7" w:rsidRDefault="000837A9" w:rsidP="00FF3977">
            <w:pPr>
              <w:rPr>
                <w:rFonts w:eastAsia="Calibri"/>
              </w:rPr>
            </w:pPr>
            <w:r w:rsidRPr="00A411E7">
              <w:rPr>
                <w:rFonts w:eastAsia="Calibri"/>
              </w:rPr>
              <w:t>Suspensibility, spontaneity and dispersion stability</w:t>
            </w:r>
          </w:p>
        </w:tc>
        <w:tc>
          <w:tcPr>
            <w:tcW w:w="594" w:type="pct"/>
            <w:vAlign w:val="center"/>
          </w:tcPr>
          <w:p w14:paraId="634B92BE" w14:textId="77777777" w:rsidR="000837A9" w:rsidRPr="00A411E7" w:rsidRDefault="000837A9" w:rsidP="00FF3977">
            <w:pPr>
              <w:rPr>
                <w:rFonts w:eastAsia="Calibri"/>
              </w:rPr>
            </w:pPr>
            <w:r>
              <w:rPr>
                <w:color w:val="000000"/>
              </w:rPr>
              <w:t xml:space="preserve"> -</w:t>
            </w:r>
          </w:p>
        </w:tc>
        <w:tc>
          <w:tcPr>
            <w:tcW w:w="538" w:type="pct"/>
            <w:vAlign w:val="center"/>
          </w:tcPr>
          <w:p w14:paraId="65496ED8" w14:textId="77777777" w:rsidR="000837A9" w:rsidRPr="00A411E7" w:rsidRDefault="000837A9" w:rsidP="00FF3977">
            <w:pPr>
              <w:rPr>
                <w:rFonts w:eastAsia="Calibri"/>
              </w:rPr>
            </w:pPr>
            <w:r>
              <w:rPr>
                <w:color w:val="000000"/>
              </w:rPr>
              <w:t xml:space="preserve"> -</w:t>
            </w:r>
          </w:p>
        </w:tc>
        <w:tc>
          <w:tcPr>
            <w:tcW w:w="1712" w:type="pct"/>
            <w:vAlign w:val="center"/>
          </w:tcPr>
          <w:p w14:paraId="4D2E3CEB"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01E3E528" w14:textId="77777777" w:rsidR="000837A9" w:rsidRPr="00A411E7" w:rsidRDefault="000837A9" w:rsidP="00FF3977">
            <w:pPr>
              <w:rPr>
                <w:rFonts w:eastAsia="Calibri"/>
              </w:rPr>
            </w:pPr>
            <w:r>
              <w:rPr>
                <w:color w:val="000000"/>
              </w:rPr>
              <w:t xml:space="preserve"> -</w:t>
            </w:r>
          </w:p>
        </w:tc>
        <w:tc>
          <w:tcPr>
            <w:tcW w:w="478" w:type="pct"/>
          </w:tcPr>
          <w:p w14:paraId="1EDAE495" w14:textId="77777777" w:rsidR="000837A9" w:rsidRDefault="000837A9" w:rsidP="00FF3977">
            <w:pPr>
              <w:rPr>
                <w:color w:val="000000"/>
              </w:rPr>
            </w:pPr>
            <w:r>
              <w:rPr>
                <w:color w:val="000000"/>
              </w:rPr>
              <w:t>Not relevant for an AL formulation</w:t>
            </w:r>
          </w:p>
        </w:tc>
      </w:tr>
      <w:tr w:rsidR="000837A9" w14:paraId="4BBCD20F" w14:textId="77777777" w:rsidTr="00FF3977">
        <w:tc>
          <w:tcPr>
            <w:tcW w:w="1231" w:type="pct"/>
          </w:tcPr>
          <w:p w14:paraId="1D8E0A27" w14:textId="77777777" w:rsidR="000837A9" w:rsidRPr="00F24D0D" w:rsidRDefault="000837A9" w:rsidP="00FF3977">
            <w:pPr>
              <w:rPr>
                <w:rFonts w:eastAsia="Calibri"/>
              </w:rPr>
            </w:pPr>
            <w:r w:rsidRPr="00A411E7">
              <w:rPr>
                <w:rFonts w:eastAsia="Calibri"/>
              </w:rPr>
              <w:t xml:space="preserve">Wet sieve analysis </w:t>
            </w:r>
            <w:r w:rsidRPr="00F24D0D">
              <w:rPr>
                <w:rFonts w:eastAsia="Calibri"/>
              </w:rPr>
              <w:t>and dry sieve test</w:t>
            </w:r>
          </w:p>
        </w:tc>
        <w:tc>
          <w:tcPr>
            <w:tcW w:w="594" w:type="pct"/>
            <w:vAlign w:val="center"/>
          </w:tcPr>
          <w:p w14:paraId="6D284731" w14:textId="77777777" w:rsidR="000837A9" w:rsidRPr="00F24D0D" w:rsidRDefault="000837A9" w:rsidP="00FF3977">
            <w:pPr>
              <w:rPr>
                <w:rFonts w:eastAsia="Calibri"/>
              </w:rPr>
            </w:pPr>
            <w:r>
              <w:rPr>
                <w:color w:val="000000"/>
              </w:rPr>
              <w:t xml:space="preserve"> -</w:t>
            </w:r>
          </w:p>
        </w:tc>
        <w:tc>
          <w:tcPr>
            <w:tcW w:w="538" w:type="pct"/>
            <w:vAlign w:val="center"/>
          </w:tcPr>
          <w:p w14:paraId="3D401883" w14:textId="77777777" w:rsidR="000837A9" w:rsidRPr="00C746BC" w:rsidRDefault="000837A9" w:rsidP="00FF3977">
            <w:pPr>
              <w:rPr>
                <w:rFonts w:eastAsia="Calibri"/>
              </w:rPr>
            </w:pPr>
            <w:r>
              <w:rPr>
                <w:color w:val="000000"/>
              </w:rPr>
              <w:t xml:space="preserve"> -</w:t>
            </w:r>
          </w:p>
        </w:tc>
        <w:tc>
          <w:tcPr>
            <w:tcW w:w="1712" w:type="pct"/>
            <w:vAlign w:val="center"/>
          </w:tcPr>
          <w:p w14:paraId="5EF94137" w14:textId="77777777" w:rsidR="000837A9" w:rsidRPr="00305B11" w:rsidRDefault="000837A9" w:rsidP="00FF3977">
            <w:pPr>
              <w:rPr>
                <w:rFonts w:eastAsia="Calibri"/>
              </w:rPr>
            </w:pPr>
            <w:r>
              <w:rPr>
                <w:color w:val="000000"/>
              </w:rPr>
              <w:t>Not required as the product is a ready-to-use liquid.</w:t>
            </w:r>
          </w:p>
        </w:tc>
        <w:tc>
          <w:tcPr>
            <w:tcW w:w="447" w:type="pct"/>
            <w:vAlign w:val="center"/>
          </w:tcPr>
          <w:p w14:paraId="1B47BCD7" w14:textId="77777777" w:rsidR="000837A9" w:rsidRPr="00305B11" w:rsidRDefault="000837A9" w:rsidP="00FF3977">
            <w:pPr>
              <w:rPr>
                <w:rFonts w:eastAsia="Calibri"/>
              </w:rPr>
            </w:pPr>
            <w:r>
              <w:rPr>
                <w:color w:val="000000"/>
              </w:rPr>
              <w:t xml:space="preserve"> -</w:t>
            </w:r>
          </w:p>
        </w:tc>
        <w:tc>
          <w:tcPr>
            <w:tcW w:w="478" w:type="pct"/>
          </w:tcPr>
          <w:p w14:paraId="2A244020" w14:textId="77777777" w:rsidR="000837A9" w:rsidRDefault="000837A9" w:rsidP="00FF3977">
            <w:pPr>
              <w:rPr>
                <w:color w:val="000000"/>
              </w:rPr>
            </w:pPr>
            <w:r>
              <w:rPr>
                <w:color w:val="000000"/>
              </w:rPr>
              <w:t>Not relevant for an AL formulation</w:t>
            </w:r>
          </w:p>
        </w:tc>
      </w:tr>
      <w:tr w:rsidR="000837A9" w14:paraId="34E2C616" w14:textId="77777777" w:rsidTr="00FF3977">
        <w:tc>
          <w:tcPr>
            <w:tcW w:w="1231" w:type="pct"/>
          </w:tcPr>
          <w:p w14:paraId="25D35966" w14:textId="77777777" w:rsidR="000837A9" w:rsidRPr="00017CF8" w:rsidRDefault="000837A9" w:rsidP="00FF3977">
            <w:pPr>
              <w:rPr>
                <w:rFonts w:eastAsia="Calibri"/>
              </w:rPr>
            </w:pPr>
            <w:r w:rsidRPr="00017CF8">
              <w:rPr>
                <w:rFonts w:eastAsia="Calibri"/>
              </w:rPr>
              <w:lastRenderedPageBreak/>
              <w:t>Emulsifiability, re-emulsifiability and emulsion stability</w:t>
            </w:r>
          </w:p>
        </w:tc>
        <w:tc>
          <w:tcPr>
            <w:tcW w:w="594" w:type="pct"/>
            <w:vAlign w:val="center"/>
          </w:tcPr>
          <w:p w14:paraId="381970A0" w14:textId="77777777" w:rsidR="000837A9" w:rsidRPr="00017CF8" w:rsidRDefault="000837A9" w:rsidP="00FF3977">
            <w:pPr>
              <w:rPr>
                <w:rFonts w:eastAsia="Calibri"/>
              </w:rPr>
            </w:pPr>
            <w:r>
              <w:rPr>
                <w:color w:val="000000"/>
              </w:rPr>
              <w:t xml:space="preserve"> -</w:t>
            </w:r>
          </w:p>
        </w:tc>
        <w:tc>
          <w:tcPr>
            <w:tcW w:w="538" w:type="pct"/>
            <w:vAlign w:val="center"/>
          </w:tcPr>
          <w:p w14:paraId="43028A68" w14:textId="77777777" w:rsidR="000837A9" w:rsidRPr="00017CF8" w:rsidRDefault="000837A9" w:rsidP="00FF3977">
            <w:pPr>
              <w:rPr>
                <w:rFonts w:eastAsia="Calibri"/>
              </w:rPr>
            </w:pPr>
            <w:r>
              <w:rPr>
                <w:color w:val="000000"/>
              </w:rPr>
              <w:t xml:space="preserve"> -</w:t>
            </w:r>
          </w:p>
        </w:tc>
        <w:tc>
          <w:tcPr>
            <w:tcW w:w="1712" w:type="pct"/>
            <w:vAlign w:val="center"/>
          </w:tcPr>
          <w:p w14:paraId="5384A148" w14:textId="77777777" w:rsidR="000837A9" w:rsidRPr="00017CF8" w:rsidRDefault="000837A9" w:rsidP="00FF3977">
            <w:pPr>
              <w:rPr>
                <w:rFonts w:eastAsia="Calibri"/>
              </w:rPr>
            </w:pPr>
            <w:r>
              <w:rPr>
                <w:color w:val="000000"/>
              </w:rPr>
              <w:t>Not required as the product is a ready-to-use liquid.</w:t>
            </w:r>
          </w:p>
        </w:tc>
        <w:tc>
          <w:tcPr>
            <w:tcW w:w="447" w:type="pct"/>
            <w:vAlign w:val="center"/>
          </w:tcPr>
          <w:p w14:paraId="222C1768" w14:textId="77777777" w:rsidR="000837A9" w:rsidRPr="00017CF8" w:rsidRDefault="000837A9" w:rsidP="00FF3977">
            <w:pPr>
              <w:rPr>
                <w:rFonts w:eastAsia="Calibri"/>
              </w:rPr>
            </w:pPr>
            <w:r>
              <w:rPr>
                <w:color w:val="000000"/>
              </w:rPr>
              <w:t xml:space="preserve"> -</w:t>
            </w:r>
          </w:p>
        </w:tc>
        <w:tc>
          <w:tcPr>
            <w:tcW w:w="478" w:type="pct"/>
          </w:tcPr>
          <w:p w14:paraId="108AB8DE" w14:textId="77777777" w:rsidR="000837A9" w:rsidRDefault="000837A9" w:rsidP="00FF3977">
            <w:pPr>
              <w:rPr>
                <w:color w:val="000000"/>
              </w:rPr>
            </w:pPr>
            <w:r>
              <w:rPr>
                <w:color w:val="000000"/>
              </w:rPr>
              <w:t>Not relevant for an AL formulation</w:t>
            </w:r>
          </w:p>
        </w:tc>
      </w:tr>
      <w:tr w:rsidR="000837A9" w14:paraId="1E7DC3E9" w14:textId="77777777" w:rsidTr="00FF3977">
        <w:tc>
          <w:tcPr>
            <w:tcW w:w="1231" w:type="pct"/>
          </w:tcPr>
          <w:p w14:paraId="7AD5FEA0" w14:textId="77777777" w:rsidR="000837A9" w:rsidRPr="00DF6CFE" w:rsidRDefault="000837A9" w:rsidP="00FF3977">
            <w:pPr>
              <w:rPr>
                <w:rFonts w:eastAsia="Calibri"/>
              </w:rPr>
            </w:pPr>
            <w:r w:rsidRPr="00DF6CFE">
              <w:rPr>
                <w:rFonts w:eastAsia="Calibri"/>
              </w:rPr>
              <w:t>Disintegration time</w:t>
            </w:r>
          </w:p>
        </w:tc>
        <w:tc>
          <w:tcPr>
            <w:tcW w:w="594" w:type="pct"/>
            <w:vAlign w:val="center"/>
          </w:tcPr>
          <w:p w14:paraId="7E9628A5" w14:textId="77777777" w:rsidR="000837A9" w:rsidRPr="00DF6CFE" w:rsidRDefault="000837A9" w:rsidP="00FF3977">
            <w:pPr>
              <w:rPr>
                <w:rFonts w:eastAsia="Calibri"/>
              </w:rPr>
            </w:pPr>
            <w:r>
              <w:rPr>
                <w:color w:val="000000"/>
              </w:rPr>
              <w:t xml:space="preserve"> -</w:t>
            </w:r>
          </w:p>
        </w:tc>
        <w:tc>
          <w:tcPr>
            <w:tcW w:w="538" w:type="pct"/>
            <w:vAlign w:val="center"/>
          </w:tcPr>
          <w:p w14:paraId="61A25121" w14:textId="77777777" w:rsidR="000837A9" w:rsidRPr="00DF6CFE" w:rsidRDefault="000837A9" w:rsidP="00FF3977">
            <w:pPr>
              <w:rPr>
                <w:rFonts w:eastAsia="Calibri"/>
              </w:rPr>
            </w:pPr>
            <w:r>
              <w:rPr>
                <w:color w:val="000000"/>
              </w:rPr>
              <w:t xml:space="preserve"> -</w:t>
            </w:r>
          </w:p>
        </w:tc>
        <w:tc>
          <w:tcPr>
            <w:tcW w:w="1712" w:type="pct"/>
            <w:vAlign w:val="center"/>
          </w:tcPr>
          <w:p w14:paraId="2B0F3D53" w14:textId="77777777" w:rsidR="000837A9" w:rsidRPr="00DF6CFE" w:rsidRDefault="000837A9" w:rsidP="00FF3977">
            <w:pPr>
              <w:rPr>
                <w:rFonts w:eastAsia="Calibri"/>
              </w:rPr>
            </w:pPr>
            <w:r>
              <w:rPr>
                <w:color w:val="000000"/>
              </w:rPr>
              <w:t>Not required as the product is a ready-to-use liquid.</w:t>
            </w:r>
          </w:p>
        </w:tc>
        <w:tc>
          <w:tcPr>
            <w:tcW w:w="447" w:type="pct"/>
            <w:vAlign w:val="center"/>
          </w:tcPr>
          <w:p w14:paraId="02B066EF" w14:textId="77777777" w:rsidR="000837A9" w:rsidRPr="00DF6CFE" w:rsidRDefault="000837A9" w:rsidP="00FF3977">
            <w:pPr>
              <w:rPr>
                <w:rFonts w:eastAsia="Calibri"/>
              </w:rPr>
            </w:pPr>
            <w:r>
              <w:rPr>
                <w:color w:val="000000"/>
              </w:rPr>
              <w:t xml:space="preserve"> -</w:t>
            </w:r>
          </w:p>
        </w:tc>
        <w:tc>
          <w:tcPr>
            <w:tcW w:w="478" w:type="pct"/>
          </w:tcPr>
          <w:p w14:paraId="446980C4" w14:textId="77777777" w:rsidR="000837A9" w:rsidRDefault="000837A9" w:rsidP="00FF3977">
            <w:pPr>
              <w:rPr>
                <w:color w:val="000000"/>
              </w:rPr>
            </w:pPr>
            <w:r>
              <w:rPr>
                <w:color w:val="000000"/>
              </w:rPr>
              <w:t>Not relevant for an AL formulation</w:t>
            </w:r>
          </w:p>
        </w:tc>
      </w:tr>
      <w:tr w:rsidR="000837A9" w14:paraId="0CA3E165" w14:textId="77777777" w:rsidTr="00FF3977">
        <w:tc>
          <w:tcPr>
            <w:tcW w:w="1231" w:type="pct"/>
          </w:tcPr>
          <w:p w14:paraId="59D190EB" w14:textId="77777777" w:rsidR="000837A9" w:rsidRPr="00A411E7" w:rsidRDefault="000837A9" w:rsidP="00FF3977">
            <w:pPr>
              <w:rPr>
                <w:rFonts w:eastAsia="Calibri"/>
              </w:rPr>
            </w:pPr>
            <w:r w:rsidRPr="00A411E7">
              <w:rPr>
                <w:rFonts w:eastAsia="Calibri"/>
              </w:rPr>
              <w:t>Particle size distribution, content of dust/fines, attrition, friability</w:t>
            </w:r>
          </w:p>
        </w:tc>
        <w:tc>
          <w:tcPr>
            <w:tcW w:w="594" w:type="pct"/>
            <w:vAlign w:val="center"/>
          </w:tcPr>
          <w:p w14:paraId="57B167F4" w14:textId="77777777" w:rsidR="000837A9" w:rsidRPr="00A411E7" w:rsidRDefault="000837A9" w:rsidP="00FF3977">
            <w:pPr>
              <w:rPr>
                <w:rFonts w:eastAsia="Calibri"/>
              </w:rPr>
            </w:pPr>
            <w:r>
              <w:rPr>
                <w:color w:val="000000"/>
              </w:rPr>
              <w:t xml:space="preserve"> -</w:t>
            </w:r>
          </w:p>
        </w:tc>
        <w:tc>
          <w:tcPr>
            <w:tcW w:w="538" w:type="pct"/>
            <w:vAlign w:val="center"/>
          </w:tcPr>
          <w:p w14:paraId="4BEDDAA6" w14:textId="77777777" w:rsidR="000837A9" w:rsidRPr="00A411E7" w:rsidRDefault="000837A9" w:rsidP="00FF3977">
            <w:pPr>
              <w:rPr>
                <w:rFonts w:eastAsia="Calibri"/>
              </w:rPr>
            </w:pPr>
            <w:r>
              <w:rPr>
                <w:color w:val="000000"/>
              </w:rPr>
              <w:t xml:space="preserve"> -</w:t>
            </w:r>
          </w:p>
        </w:tc>
        <w:tc>
          <w:tcPr>
            <w:tcW w:w="1712" w:type="pct"/>
            <w:vAlign w:val="center"/>
          </w:tcPr>
          <w:p w14:paraId="7EE9F86E"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70EC83E7" w14:textId="77777777" w:rsidR="000837A9" w:rsidRPr="00A411E7" w:rsidRDefault="000837A9" w:rsidP="00FF3977">
            <w:pPr>
              <w:rPr>
                <w:rFonts w:eastAsia="Calibri"/>
              </w:rPr>
            </w:pPr>
            <w:r>
              <w:rPr>
                <w:color w:val="000000"/>
              </w:rPr>
              <w:t xml:space="preserve"> -</w:t>
            </w:r>
          </w:p>
        </w:tc>
        <w:tc>
          <w:tcPr>
            <w:tcW w:w="478" w:type="pct"/>
          </w:tcPr>
          <w:p w14:paraId="3C8D1D25" w14:textId="77777777" w:rsidR="000837A9" w:rsidRDefault="000837A9" w:rsidP="00FF3977">
            <w:pPr>
              <w:rPr>
                <w:color w:val="000000"/>
              </w:rPr>
            </w:pPr>
            <w:r>
              <w:rPr>
                <w:color w:val="000000"/>
              </w:rPr>
              <w:t>Not relevant for an AL formulation</w:t>
            </w:r>
          </w:p>
        </w:tc>
      </w:tr>
      <w:tr w:rsidR="000837A9" w14:paraId="3762C28A" w14:textId="77777777" w:rsidTr="00FF3977">
        <w:tc>
          <w:tcPr>
            <w:tcW w:w="1231" w:type="pct"/>
          </w:tcPr>
          <w:p w14:paraId="060AA813" w14:textId="77777777" w:rsidR="000837A9" w:rsidRPr="00A411E7" w:rsidRDefault="000837A9" w:rsidP="00FF3977">
            <w:pPr>
              <w:rPr>
                <w:rFonts w:eastAsia="Calibri"/>
              </w:rPr>
            </w:pPr>
            <w:r w:rsidRPr="00A411E7">
              <w:rPr>
                <w:rFonts w:eastAsia="Calibri"/>
              </w:rPr>
              <w:t>Persistent foaming</w:t>
            </w:r>
          </w:p>
        </w:tc>
        <w:tc>
          <w:tcPr>
            <w:tcW w:w="594" w:type="pct"/>
            <w:vAlign w:val="center"/>
          </w:tcPr>
          <w:p w14:paraId="61DEA636" w14:textId="77777777" w:rsidR="000837A9" w:rsidRPr="00A411E7" w:rsidRDefault="000837A9" w:rsidP="00FF3977">
            <w:pPr>
              <w:rPr>
                <w:rFonts w:eastAsia="Calibri"/>
              </w:rPr>
            </w:pPr>
            <w:r>
              <w:rPr>
                <w:color w:val="000000"/>
              </w:rPr>
              <w:t xml:space="preserve"> -</w:t>
            </w:r>
          </w:p>
        </w:tc>
        <w:tc>
          <w:tcPr>
            <w:tcW w:w="538" w:type="pct"/>
            <w:vAlign w:val="center"/>
          </w:tcPr>
          <w:p w14:paraId="359B4022" w14:textId="77777777" w:rsidR="000837A9" w:rsidRPr="00A411E7" w:rsidRDefault="000837A9" w:rsidP="00FF3977">
            <w:pPr>
              <w:rPr>
                <w:rFonts w:eastAsia="Calibri"/>
              </w:rPr>
            </w:pPr>
            <w:r>
              <w:rPr>
                <w:color w:val="000000"/>
              </w:rPr>
              <w:t xml:space="preserve"> -</w:t>
            </w:r>
          </w:p>
        </w:tc>
        <w:tc>
          <w:tcPr>
            <w:tcW w:w="1712" w:type="pct"/>
            <w:vAlign w:val="center"/>
          </w:tcPr>
          <w:p w14:paraId="1FF81C04"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0C5779C2" w14:textId="77777777" w:rsidR="000837A9" w:rsidRPr="00A411E7" w:rsidRDefault="000837A9" w:rsidP="00FF3977">
            <w:pPr>
              <w:rPr>
                <w:rFonts w:eastAsia="Calibri"/>
              </w:rPr>
            </w:pPr>
            <w:r>
              <w:rPr>
                <w:color w:val="000000"/>
              </w:rPr>
              <w:t xml:space="preserve"> -</w:t>
            </w:r>
          </w:p>
        </w:tc>
        <w:tc>
          <w:tcPr>
            <w:tcW w:w="478" w:type="pct"/>
          </w:tcPr>
          <w:p w14:paraId="12E6B2B7" w14:textId="77777777" w:rsidR="000837A9" w:rsidRDefault="000837A9" w:rsidP="00FF3977">
            <w:pPr>
              <w:rPr>
                <w:color w:val="000000"/>
              </w:rPr>
            </w:pPr>
            <w:r>
              <w:rPr>
                <w:color w:val="000000"/>
              </w:rPr>
              <w:t xml:space="preserve">Not relevant </w:t>
            </w:r>
          </w:p>
        </w:tc>
      </w:tr>
      <w:tr w:rsidR="000837A9" w14:paraId="11CD7A1F" w14:textId="77777777" w:rsidTr="00FF3977">
        <w:tc>
          <w:tcPr>
            <w:tcW w:w="1231" w:type="pct"/>
          </w:tcPr>
          <w:p w14:paraId="62CDFA7A" w14:textId="77777777" w:rsidR="000837A9" w:rsidRPr="00A411E7" w:rsidRDefault="000837A9" w:rsidP="00FF3977">
            <w:pPr>
              <w:rPr>
                <w:rFonts w:eastAsia="Calibri"/>
              </w:rPr>
            </w:pPr>
            <w:r w:rsidRPr="00A411E7">
              <w:rPr>
                <w:rFonts w:eastAsia="Calibri"/>
              </w:rPr>
              <w:t>Flowability/Pourability/Dustability</w:t>
            </w:r>
          </w:p>
        </w:tc>
        <w:tc>
          <w:tcPr>
            <w:tcW w:w="594" w:type="pct"/>
            <w:vAlign w:val="center"/>
          </w:tcPr>
          <w:p w14:paraId="130F0C11" w14:textId="77777777" w:rsidR="000837A9" w:rsidRPr="00A411E7" w:rsidRDefault="000837A9" w:rsidP="00FF3977">
            <w:pPr>
              <w:rPr>
                <w:rFonts w:eastAsia="Calibri"/>
              </w:rPr>
            </w:pPr>
            <w:r>
              <w:rPr>
                <w:color w:val="000000"/>
              </w:rPr>
              <w:t xml:space="preserve"> -</w:t>
            </w:r>
          </w:p>
        </w:tc>
        <w:tc>
          <w:tcPr>
            <w:tcW w:w="538" w:type="pct"/>
            <w:vAlign w:val="center"/>
          </w:tcPr>
          <w:p w14:paraId="434E9150" w14:textId="77777777" w:rsidR="000837A9" w:rsidRPr="00A411E7" w:rsidRDefault="000837A9" w:rsidP="00FF3977">
            <w:pPr>
              <w:rPr>
                <w:rFonts w:eastAsia="Calibri"/>
              </w:rPr>
            </w:pPr>
            <w:r>
              <w:rPr>
                <w:color w:val="000000"/>
              </w:rPr>
              <w:t xml:space="preserve"> -</w:t>
            </w:r>
          </w:p>
        </w:tc>
        <w:tc>
          <w:tcPr>
            <w:tcW w:w="1712" w:type="pct"/>
            <w:vAlign w:val="center"/>
          </w:tcPr>
          <w:p w14:paraId="38297930"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2A1AF916" w14:textId="77777777" w:rsidR="000837A9" w:rsidRPr="00A411E7" w:rsidRDefault="000837A9" w:rsidP="00FF3977">
            <w:pPr>
              <w:rPr>
                <w:rFonts w:eastAsia="Calibri"/>
              </w:rPr>
            </w:pPr>
            <w:r>
              <w:rPr>
                <w:color w:val="000000"/>
              </w:rPr>
              <w:t xml:space="preserve"> -</w:t>
            </w:r>
          </w:p>
        </w:tc>
        <w:tc>
          <w:tcPr>
            <w:tcW w:w="478" w:type="pct"/>
          </w:tcPr>
          <w:p w14:paraId="67D281E1" w14:textId="77777777" w:rsidR="000837A9" w:rsidRDefault="000837A9" w:rsidP="00FF3977">
            <w:pPr>
              <w:rPr>
                <w:color w:val="000000"/>
              </w:rPr>
            </w:pPr>
            <w:r>
              <w:rPr>
                <w:color w:val="000000"/>
              </w:rPr>
              <w:t>Not relevant for an AL formulation</w:t>
            </w:r>
          </w:p>
        </w:tc>
      </w:tr>
      <w:tr w:rsidR="000837A9" w14:paraId="5A57F1C7" w14:textId="77777777" w:rsidTr="00FF3977">
        <w:tc>
          <w:tcPr>
            <w:tcW w:w="1231" w:type="pct"/>
          </w:tcPr>
          <w:p w14:paraId="12D2A186" w14:textId="77777777" w:rsidR="000837A9" w:rsidRPr="00A411E7" w:rsidRDefault="000837A9" w:rsidP="00FF3977">
            <w:pPr>
              <w:rPr>
                <w:rFonts w:eastAsia="Calibri"/>
              </w:rPr>
            </w:pPr>
            <w:r w:rsidRPr="00A411E7">
              <w:rPr>
                <w:rFonts w:eastAsia="Calibri"/>
              </w:rPr>
              <w:t>Burning rate — smoke generators</w:t>
            </w:r>
          </w:p>
        </w:tc>
        <w:tc>
          <w:tcPr>
            <w:tcW w:w="594" w:type="pct"/>
            <w:vAlign w:val="center"/>
          </w:tcPr>
          <w:p w14:paraId="358B563D" w14:textId="77777777" w:rsidR="000837A9" w:rsidRPr="00A411E7" w:rsidRDefault="000837A9" w:rsidP="00FF3977">
            <w:pPr>
              <w:rPr>
                <w:rFonts w:eastAsia="Calibri"/>
              </w:rPr>
            </w:pPr>
            <w:r>
              <w:rPr>
                <w:color w:val="000000"/>
              </w:rPr>
              <w:t xml:space="preserve"> -</w:t>
            </w:r>
          </w:p>
        </w:tc>
        <w:tc>
          <w:tcPr>
            <w:tcW w:w="538" w:type="pct"/>
            <w:vAlign w:val="center"/>
          </w:tcPr>
          <w:p w14:paraId="3D7843B8" w14:textId="77777777" w:rsidR="000837A9" w:rsidRPr="00A411E7" w:rsidRDefault="000837A9" w:rsidP="00FF3977">
            <w:pPr>
              <w:rPr>
                <w:rFonts w:eastAsia="Calibri"/>
              </w:rPr>
            </w:pPr>
            <w:r>
              <w:rPr>
                <w:color w:val="000000"/>
              </w:rPr>
              <w:t xml:space="preserve"> -</w:t>
            </w:r>
          </w:p>
        </w:tc>
        <w:tc>
          <w:tcPr>
            <w:tcW w:w="1712" w:type="pct"/>
            <w:vAlign w:val="center"/>
          </w:tcPr>
          <w:p w14:paraId="49CAB05A"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47" w:type="pct"/>
            <w:vAlign w:val="center"/>
          </w:tcPr>
          <w:p w14:paraId="7FDC439C" w14:textId="77777777" w:rsidR="000837A9" w:rsidRPr="00A411E7" w:rsidRDefault="000837A9" w:rsidP="00FF3977">
            <w:pPr>
              <w:rPr>
                <w:rFonts w:eastAsia="Calibri"/>
              </w:rPr>
            </w:pPr>
            <w:r>
              <w:rPr>
                <w:color w:val="000000"/>
              </w:rPr>
              <w:t xml:space="preserve"> -</w:t>
            </w:r>
          </w:p>
        </w:tc>
        <w:tc>
          <w:tcPr>
            <w:tcW w:w="478" w:type="pct"/>
          </w:tcPr>
          <w:p w14:paraId="401AAC7C" w14:textId="77777777" w:rsidR="000837A9" w:rsidRDefault="000837A9" w:rsidP="00FF3977">
            <w:pPr>
              <w:rPr>
                <w:color w:val="000000"/>
              </w:rPr>
            </w:pPr>
            <w:r>
              <w:rPr>
                <w:color w:val="000000"/>
              </w:rPr>
              <w:t>Not relevant for an AL formulation</w:t>
            </w:r>
          </w:p>
        </w:tc>
      </w:tr>
      <w:tr w:rsidR="000837A9" w14:paraId="34B1CB86" w14:textId="77777777" w:rsidTr="00FF3977">
        <w:tc>
          <w:tcPr>
            <w:tcW w:w="1231" w:type="pct"/>
          </w:tcPr>
          <w:p w14:paraId="7AE34C3C" w14:textId="77777777" w:rsidR="000837A9" w:rsidRPr="00A411E7" w:rsidRDefault="000837A9" w:rsidP="00FF3977">
            <w:pPr>
              <w:rPr>
                <w:rFonts w:eastAsia="Calibri"/>
              </w:rPr>
            </w:pPr>
            <w:r w:rsidRPr="00A411E7">
              <w:rPr>
                <w:rFonts w:eastAsia="Calibri"/>
              </w:rPr>
              <w:t>Burning completeness — smoke generators</w:t>
            </w:r>
          </w:p>
        </w:tc>
        <w:tc>
          <w:tcPr>
            <w:tcW w:w="594" w:type="pct"/>
            <w:vAlign w:val="center"/>
          </w:tcPr>
          <w:p w14:paraId="7CF09E0B" w14:textId="77777777" w:rsidR="000837A9" w:rsidRPr="00A411E7" w:rsidRDefault="000837A9" w:rsidP="00FF3977">
            <w:pPr>
              <w:rPr>
                <w:rFonts w:eastAsia="Calibri"/>
              </w:rPr>
            </w:pPr>
            <w:r>
              <w:rPr>
                <w:color w:val="000000"/>
              </w:rPr>
              <w:t xml:space="preserve"> -</w:t>
            </w:r>
          </w:p>
        </w:tc>
        <w:tc>
          <w:tcPr>
            <w:tcW w:w="538" w:type="pct"/>
            <w:vAlign w:val="center"/>
          </w:tcPr>
          <w:p w14:paraId="35EBFCC4" w14:textId="77777777" w:rsidR="000837A9" w:rsidRPr="00A411E7" w:rsidRDefault="000837A9" w:rsidP="00FF3977">
            <w:pPr>
              <w:rPr>
                <w:rFonts w:eastAsia="Calibri"/>
              </w:rPr>
            </w:pPr>
            <w:r>
              <w:rPr>
                <w:color w:val="000000"/>
              </w:rPr>
              <w:t xml:space="preserve"> -</w:t>
            </w:r>
          </w:p>
        </w:tc>
        <w:tc>
          <w:tcPr>
            <w:tcW w:w="1712" w:type="pct"/>
            <w:vAlign w:val="center"/>
          </w:tcPr>
          <w:p w14:paraId="394CACEA"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47" w:type="pct"/>
            <w:vAlign w:val="center"/>
          </w:tcPr>
          <w:p w14:paraId="4D92724F" w14:textId="77777777" w:rsidR="000837A9" w:rsidRPr="00A411E7" w:rsidRDefault="000837A9" w:rsidP="00FF3977">
            <w:pPr>
              <w:rPr>
                <w:rFonts w:eastAsia="Calibri"/>
              </w:rPr>
            </w:pPr>
            <w:r>
              <w:rPr>
                <w:color w:val="000000"/>
              </w:rPr>
              <w:t xml:space="preserve"> -</w:t>
            </w:r>
          </w:p>
        </w:tc>
        <w:tc>
          <w:tcPr>
            <w:tcW w:w="478" w:type="pct"/>
          </w:tcPr>
          <w:p w14:paraId="063830B9" w14:textId="77777777" w:rsidR="000837A9" w:rsidRDefault="000837A9" w:rsidP="00FF3977">
            <w:pPr>
              <w:rPr>
                <w:color w:val="000000"/>
              </w:rPr>
            </w:pPr>
            <w:r>
              <w:rPr>
                <w:color w:val="000000"/>
              </w:rPr>
              <w:t>Not relevant for an AL formulation</w:t>
            </w:r>
          </w:p>
        </w:tc>
      </w:tr>
      <w:tr w:rsidR="000837A9" w14:paraId="3AAE539D" w14:textId="77777777" w:rsidTr="00FF3977">
        <w:tc>
          <w:tcPr>
            <w:tcW w:w="1231" w:type="pct"/>
          </w:tcPr>
          <w:p w14:paraId="23D9B4DD" w14:textId="77777777" w:rsidR="000837A9" w:rsidRPr="00A411E7" w:rsidRDefault="000837A9" w:rsidP="00FF3977">
            <w:pPr>
              <w:rPr>
                <w:rFonts w:eastAsia="Calibri"/>
              </w:rPr>
            </w:pPr>
            <w:r w:rsidRPr="00A411E7">
              <w:rPr>
                <w:rFonts w:eastAsia="Calibri"/>
              </w:rPr>
              <w:t>Composition of smoke — smoke generators</w:t>
            </w:r>
          </w:p>
        </w:tc>
        <w:tc>
          <w:tcPr>
            <w:tcW w:w="594" w:type="pct"/>
            <w:vAlign w:val="center"/>
          </w:tcPr>
          <w:p w14:paraId="71FC4C50" w14:textId="77777777" w:rsidR="000837A9" w:rsidRPr="00A411E7" w:rsidRDefault="000837A9" w:rsidP="00FF3977">
            <w:pPr>
              <w:rPr>
                <w:rFonts w:eastAsia="Calibri"/>
              </w:rPr>
            </w:pPr>
            <w:r>
              <w:rPr>
                <w:color w:val="000000"/>
              </w:rPr>
              <w:t xml:space="preserve"> -</w:t>
            </w:r>
          </w:p>
        </w:tc>
        <w:tc>
          <w:tcPr>
            <w:tcW w:w="538" w:type="pct"/>
            <w:vAlign w:val="center"/>
          </w:tcPr>
          <w:p w14:paraId="77088495" w14:textId="77777777" w:rsidR="000837A9" w:rsidRPr="00A411E7" w:rsidRDefault="000837A9" w:rsidP="00FF3977">
            <w:pPr>
              <w:rPr>
                <w:rFonts w:eastAsia="Calibri"/>
              </w:rPr>
            </w:pPr>
            <w:r>
              <w:rPr>
                <w:color w:val="000000"/>
              </w:rPr>
              <w:t xml:space="preserve"> -</w:t>
            </w:r>
          </w:p>
        </w:tc>
        <w:tc>
          <w:tcPr>
            <w:tcW w:w="1712" w:type="pct"/>
            <w:vAlign w:val="center"/>
          </w:tcPr>
          <w:p w14:paraId="1CD33B25" w14:textId="77777777" w:rsidR="000837A9" w:rsidRPr="00A411E7" w:rsidRDefault="000837A9" w:rsidP="00FF3977">
            <w:pPr>
              <w:rPr>
                <w:rFonts w:eastAsia="Calibri"/>
              </w:rPr>
            </w:pPr>
            <w:r>
              <w:rPr>
                <w:color w:val="000000"/>
              </w:rPr>
              <w:t>Not applicable. The product is a ready-to-use liquid and is not intended to be applied as a smoke.</w:t>
            </w:r>
          </w:p>
        </w:tc>
        <w:tc>
          <w:tcPr>
            <w:tcW w:w="447" w:type="pct"/>
            <w:vAlign w:val="center"/>
          </w:tcPr>
          <w:p w14:paraId="6E90CD62" w14:textId="77777777" w:rsidR="000837A9" w:rsidRPr="00A411E7" w:rsidRDefault="000837A9" w:rsidP="00FF3977">
            <w:pPr>
              <w:rPr>
                <w:rFonts w:eastAsia="Calibri"/>
              </w:rPr>
            </w:pPr>
            <w:r>
              <w:rPr>
                <w:color w:val="000000"/>
              </w:rPr>
              <w:t xml:space="preserve"> -</w:t>
            </w:r>
          </w:p>
        </w:tc>
        <w:tc>
          <w:tcPr>
            <w:tcW w:w="478" w:type="pct"/>
          </w:tcPr>
          <w:p w14:paraId="44242BBA" w14:textId="77777777" w:rsidR="000837A9" w:rsidRDefault="000837A9" w:rsidP="00FF3977">
            <w:pPr>
              <w:rPr>
                <w:color w:val="000000"/>
              </w:rPr>
            </w:pPr>
            <w:r>
              <w:rPr>
                <w:color w:val="000000"/>
              </w:rPr>
              <w:t>Not relevant for an AL formulation</w:t>
            </w:r>
          </w:p>
        </w:tc>
      </w:tr>
      <w:tr w:rsidR="000837A9" w14:paraId="4DEE340F" w14:textId="77777777" w:rsidTr="00FF3977">
        <w:tc>
          <w:tcPr>
            <w:tcW w:w="1231" w:type="pct"/>
          </w:tcPr>
          <w:p w14:paraId="4CCA8E18" w14:textId="77777777" w:rsidR="000837A9" w:rsidRPr="00A411E7" w:rsidRDefault="000837A9" w:rsidP="00FF3977">
            <w:pPr>
              <w:rPr>
                <w:rFonts w:eastAsia="Calibri"/>
              </w:rPr>
            </w:pPr>
            <w:r w:rsidRPr="00A411E7">
              <w:rPr>
                <w:rFonts w:eastAsia="Calibri"/>
              </w:rPr>
              <w:lastRenderedPageBreak/>
              <w:t>Spray</w:t>
            </w:r>
            <w:r>
              <w:rPr>
                <w:rFonts w:eastAsia="Calibri"/>
              </w:rPr>
              <w:t>ability</w:t>
            </w:r>
          </w:p>
        </w:tc>
        <w:tc>
          <w:tcPr>
            <w:tcW w:w="594" w:type="pct"/>
            <w:vAlign w:val="center"/>
          </w:tcPr>
          <w:p w14:paraId="11BA0351" w14:textId="77777777" w:rsidR="000837A9" w:rsidRPr="00A411E7" w:rsidRDefault="000837A9" w:rsidP="00FF3977">
            <w:pPr>
              <w:rPr>
                <w:rFonts w:eastAsia="Calibri"/>
              </w:rPr>
            </w:pPr>
            <w:r>
              <w:rPr>
                <w:color w:val="000000"/>
              </w:rPr>
              <w:t xml:space="preserve"> In house method</w:t>
            </w:r>
          </w:p>
        </w:tc>
        <w:tc>
          <w:tcPr>
            <w:tcW w:w="538" w:type="pct"/>
            <w:vAlign w:val="center"/>
          </w:tcPr>
          <w:p w14:paraId="281DF0AD" w14:textId="77777777" w:rsidR="000837A9" w:rsidRDefault="000837A9" w:rsidP="00FF3977">
            <w:pPr>
              <w:rPr>
                <w:color w:val="000000"/>
              </w:rPr>
            </w:pPr>
            <w:r>
              <w:rPr>
                <w:color w:val="000000"/>
              </w:rPr>
              <w:t xml:space="preserve"> Batch 5118225</w:t>
            </w:r>
          </w:p>
          <w:p w14:paraId="1FA6E3CF" w14:textId="77777777" w:rsidR="000837A9" w:rsidRPr="00A411E7" w:rsidRDefault="000837A9" w:rsidP="00FF3977">
            <w:pPr>
              <w:rPr>
                <w:rFonts w:eastAsia="Calibri"/>
              </w:rPr>
            </w:pPr>
            <w:r>
              <w:rPr>
                <w:color w:val="000000"/>
              </w:rPr>
              <w:t xml:space="preserve">Test item: </w:t>
            </w:r>
            <w:r w:rsidRPr="00A1541F">
              <w:rPr>
                <w:color w:val="000000"/>
              </w:rPr>
              <w:t>218242-P1</w:t>
            </w:r>
          </w:p>
        </w:tc>
        <w:tc>
          <w:tcPr>
            <w:tcW w:w="1712" w:type="pct"/>
            <w:vAlign w:val="center"/>
          </w:tcPr>
          <w:p w14:paraId="607E3033" w14:textId="1FC6B44E" w:rsidR="000837A9" w:rsidRDefault="000837A9" w:rsidP="00FF3977">
            <w:pPr>
              <w:rPr>
                <w:color w:val="000000"/>
              </w:rPr>
            </w:pPr>
            <w:r>
              <w:rPr>
                <w:color w:val="000000"/>
              </w:rPr>
              <w:t xml:space="preserve"> The mean volume of a pulverisation of the sprayer was 1.37 mL. The</w:t>
            </w:r>
            <w:r w:rsidR="008101B2">
              <w:rPr>
                <w:color w:val="000000"/>
              </w:rPr>
              <w:t xml:space="preserve"> foam</w:t>
            </w:r>
            <w:r>
              <w:rPr>
                <w:color w:val="000000"/>
              </w:rPr>
              <w:t xml:space="preserve"> nozzles of the sprays were checked and no blocking was observed. </w:t>
            </w:r>
          </w:p>
          <w:p w14:paraId="640BF09D" w14:textId="77777777" w:rsidR="000837A9" w:rsidRDefault="000837A9" w:rsidP="00FF3977">
            <w:pPr>
              <w:rPr>
                <w:color w:val="000000"/>
              </w:rPr>
            </w:pPr>
            <w:r>
              <w:rPr>
                <w:color w:val="000000"/>
              </w:rPr>
              <w:t xml:space="preserve">The mean spray diameter of the sprayer was 15 cm. The shape of the spray on the wetted patch was circular. </w:t>
            </w:r>
          </w:p>
          <w:p w14:paraId="391A99F1" w14:textId="77777777" w:rsidR="000837A9" w:rsidRDefault="000837A9" w:rsidP="00FF3977">
            <w:pPr>
              <w:rPr>
                <w:color w:val="000000"/>
              </w:rPr>
            </w:pPr>
          </w:p>
          <w:p w14:paraId="4C908366" w14:textId="77777777" w:rsidR="000837A9" w:rsidRDefault="000837A9" w:rsidP="00FF3977">
            <w:r>
              <w:t xml:space="preserve">Products of META SPC 3 will be sold together with a srayer device with foam nozzle, therefore determination of the MMAD is not required. </w:t>
            </w:r>
          </w:p>
          <w:p w14:paraId="5F0DB984" w14:textId="77777777" w:rsidR="000837A9" w:rsidRPr="00A411E7" w:rsidRDefault="000837A9" w:rsidP="00FF3977">
            <w:pPr>
              <w:rPr>
                <w:rFonts w:eastAsia="Calibri"/>
              </w:rPr>
            </w:pPr>
          </w:p>
        </w:tc>
        <w:tc>
          <w:tcPr>
            <w:tcW w:w="447" w:type="pct"/>
            <w:vAlign w:val="center"/>
          </w:tcPr>
          <w:p w14:paraId="2C92F883" w14:textId="77777777" w:rsidR="000837A9" w:rsidRPr="00A411E7" w:rsidRDefault="000837A9" w:rsidP="00FF3977">
            <w:pPr>
              <w:rPr>
                <w:rFonts w:eastAsia="Calibri"/>
              </w:rPr>
            </w:pPr>
            <w:r>
              <w:rPr>
                <w:color w:val="000000"/>
              </w:rPr>
              <w:t xml:space="preserve"> Demangel B. and Ricau H., 2019, Report No 18-901011-018</w:t>
            </w:r>
          </w:p>
        </w:tc>
        <w:tc>
          <w:tcPr>
            <w:tcW w:w="478" w:type="pct"/>
          </w:tcPr>
          <w:p w14:paraId="1D548139" w14:textId="77777777" w:rsidR="000837A9" w:rsidRDefault="000837A9" w:rsidP="00FF3977">
            <w:pPr>
              <w:rPr>
                <w:color w:val="000000"/>
              </w:rPr>
            </w:pPr>
            <w:r>
              <w:rPr>
                <w:color w:val="000000"/>
              </w:rPr>
              <w:t>Acceptable</w:t>
            </w:r>
          </w:p>
        </w:tc>
      </w:tr>
      <w:tr w:rsidR="000837A9" w14:paraId="2FB02BBC" w14:textId="77777777" w:rsidTr="00FF3977">
        <w:tc>
          <w:tcPr>
            <w:tcW w:w="1231" w:type="pct"/>
          </w:tcPr>
          <w:p w14:paraId="465000CF" w14:textId="77777777" w:rsidR="000837A9" w:rsidRPr="00A411E7" w:rsidRDefault="000837A9" w:rsidP="00FF3977">
            <w:pPr>
              <w:rPr>
                <w:rFonts w:eastAsia="Calibri"/>
              </w:rPr>
            </w:pPr>
            <w:r w:rsidRPr="00A411E7">
              <w:rPr>
                <w:rFonts w:eastAsia="Calibri"/>
              </w:rPr>
              <w:t>Physical compatibility</w:t>
            </w:r>
          </w:p>
        </w:tc>
        <w:tc>
          <w:tcPr>
            <w:tcW w:w="594" w:type="pct"/>
            <w:vAlign w:val="center"/>
          </w:tcPr>
          <w:p w14:paraId="063BEB7B" w14:textId="77777777" w:rsidR="000837A9" w:rsidRPr="00A411E7" w:rsidRDefault="000837A9" w:rsidP="00FF3977">
            <w:pPr>
              <w:rPr>
                <w:rFonts w:eastAsia="Calibri"/>
              </w:rPr>
            </w:pPr>
            <w:r>
              <w:rPr>
                <w:color w:val="000000"/>
              </w:rPr>
              <w:t xml:space="preserve"> -</w:t>
            </w:r>
          </w:p>
        </w:tc>
        <w:tc>
          <w:tcPr>
            <w:tcW w:w="538" w:type="pct"/>
            <w:vAlign w:val="center"/>
          </w:tcPr>
          <w:p w14:paraId="43C57ED6" w14:textId="77777777" w:rsidR="000837A9" w:rsidRPr="00A411E7" w:rsidRDefault="000837A9" w:rsidP="00FF3977">
            <w:pPr>
              <w:rPr>
                <w:rFonts w:eastAsia="Calibri"/>
              </w:rPr>
            </w:pPr>
            <w:r>
              <w:rPr>
                <w:color w:val="000000"/>
              </w:rPr>
              <w:t xml:space="preserve"> -</w:t>
            </w:r>
          </w:p>
        </w:tc>
        <w:tc>
          <w:tcPr>
            <w:tcW w:w="1712" w:type="pct"/>
            <w:vAlign w:val="center"/>
          </w:tcPr>
          <w:p w14:paraId="0A9FB794"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447" w:type="pct"/>
            <w:vAlign w:val="center"/>
          </w:tcPr>
          <w:p w14:paraId="2C526875" w14:textId="77777777" w:rsidR="000837A9" w:rsidRPr="00A411E7" w:rsidRDefault="000837A9" w:rsidP="00FF3977">
            <w:pPr>
              <w:rPr>
                <w:rFonts w:eastAsia="Calibri"/>
              </w:rPr>
            </w:pPr>
            <w:r>
              <w:rPr>
                <w:color w:val="000000"/>
              </w:rPr>
              <w:t xml:space="preserve"> -</w:t>
            </w:r>
          </w:p>
        </w:tc>
        <w:tc>
          <w:tcPr>
            <w:tcW w:w="478" w:type="pct"/>
          </w:tcPr>
          <w:p w14:paraId="707E131D" w14:textId="77777777" w:rsidR="000837A9" w:rsidRDefault="000837A9" w:rsidP="00FF3977">
            <w:pPr>
              <w:rPr>
                <w:color w:val="000000"/>
              </w:rPr>
            </w:pPr>
            <w:r>
              <w:rPr>
                <w:color w:val="000000"/>
              </w:rPr>
              <w:t>Acceptable</w:t>
            </w:r>
          </w:p>
        </w:tc>
      </w:tr>
      <w:tr w:rsidR="000837A9" w14:paraId="01376072" w14:textId="77777777" w:rsidTr="00FF3977">
        <w:tc>
          <w:tcPr>
            <w:tcW w:w="1231" w:type="pct"/>
          </w:tcPr>
          <w:p w14:paraId="148A89DD" w14:textId="77777777" w:rsidR="000837A9" w:rsidRPr="00A411E7" w:rsidRDefault="000837A9" w:rsidP="00FF3977">
            <w:pPr>
              <w:rPr>
                <w:rFonts w:eastAsia="Calibri"/>
              </w:rPr>
            </w:pPr>
            <w:r w:rsidRPr="00A411E7">
              <w:rPr>
                <w:rFonts w:eastAsia="Calibri"/>
              </w:rPr>
              <w:t>Chemical compatibility</w:t>
            </w:r>
          </w:p>
        </w:tc>
        <w:tc>
          <w:tcPr>
            <w:tcW w:w="594" w:type="pct"/>
            <w:vAlign w:val="center"/>
          </w:tcPr>
          <w:p w14:paraId="21D7B077" w14:textId="77777777" w:rsidR="000837A9" w:rsidRPr="00A411E7" w:rsidRDefault="000837A9" w:rsidP="00FF3977">
            <w:pPr>
              <w:rPr>
                <w:rFonts w:eastAsia="Calibri"/>
              </w:rPr>
            </w:pPr>
            <w:r>
              <w:rPr>
                <w:color w:val="000000"/>
              </w:rPr>
              <w:t xml:space="preserve"> -</w:t>
            </w:r>
          </w:p>
        </w:tc>
        <w:tc>
          <w:tcPr>
            <w:tcW w:w="538" w:type="pct"/>
            <w:vAlign w:val="center"/>
          </w:tcPr>
          <w:p w14:paraId="6A997C27" w14:textId="77777777" w:rsidR="000837A9" w:rsidRPr="00A411E7" w:rsidRDefault="000837A9" w:rsidP="00FF3977">
            <w:pPr>
              <w:rPr>
                <w:rFonts w:eastAsia="Calibri"/>
              </w:rPr>
            </w:pPr>
            <w:r>
              <w:rPr>
                <w:color w:val="000000"/>
              </w:rPr>
              <w:t xml:space="preserve"> -</w:t>
            </w:r>
          </w:p>
        </w:tc>
        <w:tc>
          <w:tcPr>
            <w:tcW w:w="1712" w:type="pct"/>
            <w:vAlign w:val="center"/>
          </w:tcPr>
          <w:p w14:paraId="1D3CC37B" w14:textId="77777777" w:rsidR="000837A9" w:rsidRPr="00A411E7" w:rsidRDefault="000837A9" w:rsidP="00FF3977">
            <w:pPr>
              <w:rPr>
                <w:rFonts w:eastAsia="Calibri"/>
              </w:rPr>
            </w:pPr>
            <w:r>
              <w:rPr>
                <w:color w:val="000000"/>
              </w:rPr>
              <w:t>Not applicable. The product is a ready-to-use liquid and is not intended to be added to any other product.</w:t>
            </w:r>
          </w:p>
        </w:tc>
        <w:tc>
          <w:tcPr>
            <w:tcW w:w="447" w:type="pct"/>
            <w:vAlign w:val="center"/>
          </w:tcPr>
          <w:p w14:paraId="3F23FAF5" w14:textId="77777777" w:rsidR="000837A9" w:rsidRPr="00A411E7" w:rsidRDefault="000837A9" w:rsidP="00FF3977">
            <w:pPr>
              <w:rPr>
                <w:rFonts w:eastAsia="Calibri"/>
              </w:rPr>
            </w:pPr>
            <w:r>
              <w:rPr>
                <w:color w:val="000000"/>
              </w:rPr>
              <w:t xml:space="preserve"> -</w:t>
            </w:r>
          </w:p>
        </w:tc>
        <w:tc>
          <w:tcPr>
            <w:tcW w:w="478" w:type="pct"/>
          </w:tcPr>
          <w:p w14:paraId="625F6876" w14:textId="77777777" w:rsidR="000837A9" w:rsidRDefault="000837A9" w:rsidP="00FF3977">
            <w:pPr>
              <w:rPr>
                <w:color w:val="000000"/>
              </w:rPr>
            </w:pPr>
            <w:r>
              <w:rPr>
                <w:color w:val="000000"/>
              </w:rPr>
              <w:t>Acceptable</w:t>
            </w:r>
          </w:p>
        </w:tc>
      </w:tr>
      <w:tr w:rsidR="000837A9" w14:paraId="65DE388F" w14:textId="77777777" w:rsidTr="00FF3977">
        <w:tc>
          <w:tcPr>
            <w:tcW w:w="1231" w:type="pct"/>
          </w:tcPr>
          <w:p w14:paraId="447BA644" w14:textId="77777777" w:rsidR="000837A9" w:rsidRPr="00A411E7" w:rsidRDefault="000837A9" w:rsidP="00FF3977">
            <w:pPr>
              <w:rPr>
                <w:rFonts w:eastAsia="Calibri"/>
              </w:rPr>
            </w:pPr>
            <w:r w:rsidRPr="00A411E7">
              <w:rPr>
                <w:rFonts w:eastAsia="Calibri"/>
              </w:rPr>
              <w:t>Degree of dissolution and dilution stability</w:t>
            </w:r>
          </w:p>
        </w:tc>
        <w:tc>
          <w:tcPr>
            <w:tcW w:w="594" w:type="pct"/>
            <w:vAlign w:val="center"/>
          </w:tcPr>
          <w:p w14:paraId="56A66907" w14:textId="77777777" w:rsidR="000837A9" w:rsidRPr="00A411E7" w:rsidRDefault="000837A9" w:rsidP="00FF3977">
            <w:pPr>
              <w:rPr>
                <w:rFonts w:eastAsia="Calibri"/>
              </w:rPr>
            </w:pPr>
            <w:r>
              <w:rPr>
                <w:color w:val="000000"/>
              </w:rPr>
              <w:t xml:space="preserve"> -</w:t>
            </w:r>
          </w:p>
        </w:tc>
        <w:tc>
          <w:tcPr>
            <w:tcW w:w="538" w:type="pct"/>
            <w:vAlign w:val="center"/>
          </w:tcPr>
          <w:p w14:paraId="49180D2E" w14:textId="77777777" w:rsidR="000837A9" w:rsidRPr="00A411E7" w:rsidRDefault="000837A9" w:rsidP="00FF3977">
            <w:pPr>
              <w:rPr>
                <w:rFonts w:eastAsia="Calibri"/>
              </w:rPr>
            </w:pPr>
            <w:r>
              <w:rPr>
                <w:color w:val="000000"/>
              </w:rPr>
              <w:t xml:space="preserve"> -</w:t>
            </w:r>
          </w:p>
        </w:tc>
        <w:tc>
          <w:tcPr>
            <w:tcW w:w="1712" w:type="pct"/>
            <w:vAlign w:val="center"/>
          </w:tcPr>
          <w:p w14:paraId="3ABE7D2C" w14:textId="77777777" w:rsidR="000837A9" w:rsidRPr="00A411E7" w:rsidRDefault="000837A9" w:rsidP="00FF3977">
            <w:pPr>
              <w:rPr>
                <w:rFonts w:eastAsia="Calibri"/>
              </w:rPr>
            </w:pPr>
            <w:r>
              <w:rPr>
                <w:color w:val="000000"/>
              </w:rPr>
              <w:t>Not required as the product is a ready-to-use liquid.</w:t>
            </w:r>
          </w:p>
        </w:tc>
        <w:tc>
          <w:tcPr>
            <w:tcW w:w="447" w:type="pct"/>
            <w:vAlign w:val="center"/>
          </w:tcPr>
          <w:p w14:paraId="38D4C432" w14:textId="77777777" w:rsidR="000837A9" w:rsidRPr="00A411E7" w:rsidRDefault="000837A9" w:rsidP="00FF3977">
            <w:pPr>
              <w:rPr>
                <w:rFonts w:eastAsia="Calibri"/>
              </w:rPr>
            </w:pPr>
            <w:r>
              <w:rPr>
                <w:color w:val="000000"/>
              </w:rPr>
              <w:t xml:space="preserve"> -</w:t>
            </w:r>
          </w:p>
        </w:tc>
        <w:tc>
          <w:tcPr>
            <w:tcW w:w="478" w:type="pct"/>
          </w:tcPr>
          <w:p w14:paraId="55778961" w14:textId="77777777" w:rsidR="000837A9" w:rsidRDefault="000837A9" w:rsidP="00FF3977">
            <w:pPr>
              <w:rPr>
                <w:color w:val="000000"/>
              </w:rPr>
            </w:pPr>
            <w:r>
              <w:rPr>
                <w:color w:val="000000"/>
              </w:rPr>
              <w:t>Acceptable</w:t>
            </w:r>
          </w:p>
        </w:tc>
      </w:tr>
      <w:tr w:rsidR="000837A9" w14:paraId="3B5C5486" w14:textId="77777777" w:rsidTr="00FF3977">
        <w:tc>
          <w:tcPr>
            <w:tcW w:w="1231" w:type="pct"/>
          </w:tcPr>
          <w:p w14:paraId="192CBC7D" w14:textId="77777777" w:rsidR="000837A9" w:rsidRPr="00A411E7" w:rsidRDefault="000837A9" w:rsidP="00FF3977">
            <w:pPr>
              <w:rPr>
                <w:rFonts w:eastAsia="Calibri"/>
              </w:rPr>
            </w:pPr>
            <w:r w:rsidRPr="00A411E7">
              <w:rPr>
                <w:rFonts w:eastAsia="Calibri"/>
              </w:rPr>
              <w:t>Surface tension</w:t>
            </w:r>
          </w:p>
        </w:tc>
        <w:tc>
          <w:tcPr>
            <w:tcW w:w="594" w:type="pct"/>
            <w:vAlign w:val="center"/>
          </w:tcPr>
          <w:p w14:paraId="6447C885" w14:textId="77777777" w:rsidR="000837A9" w:rsidRPr="00A411E7" w:rsidRDefault="000837A9" w:rsidP="00FF3977">
            <w:pPr>
              <w:rPr>
                <w:rFonts w:eastAsia="Calibri"/>
              </w:rPr>
            </w:pPr>
            <w:r>
              <w:rPr>
                <w:color w:val="000000"/>
              </w:rPr>
              <w:t>EC A.5. method (2008) and OECD Guideline No. 115 (1995)</w:t>
            </w:r>
          </w:p>
        </w:tc>
        <w:tc>
          <w:tcPr>
            <w:tcW w:w="538" w:type="pct"/>
            <w:vAlign w:val="center"/>
          </w:tcPr>
          <w:p w14:paraId="30E4909A" w14:textId="77777777" w:rsidR="000837A9" w:rsidRDefault="000837A9" w:rsidP="00FF3977">
            <w:pPr>
              <w:rPr>
                <w:color w:val="000000"/>
              </w:rPr>
            </w:pPr>
            <w:r>
              <w:rPr>
                <w:color w:val="000000"/>
              </w:rPr>
              <w:t>Batch 5118225</w:t>
            </w:r>
          </w:p>
          <w:p w14:paraId="4B8C2834" w14:textId="77777777" w:rsidR="000837A9" w:rsidRPr="00A411E7" w:rsidRDefault="000837A9" w:rsidP="00FF3977">
            <w:pPr>
              <w:rPr>
                <w:rFonts w:eastAsia="Calibri"/>
              </w:rPr>
            </w:pPr>
            <w:r>
              <w:rPr>
                <w:color w:val="000000"/>
              </w:rPr>
              <w:t xml:space="preserve">Test item: </w:t>
            </w:r>
            <w:r w:rsidRPr="00A1541F">
              <w:rPr>
                <w:color w:val="000000"/>
              </w:rPr>
              <w:t>218242-P1</w:t>
            </w:r>
          </w:p>
        </w:tc>
        <w:tc>
          <w:tcPr>
            <w:tcW w:w="1712" w:type="pct"/>
            <w:vAlign w:val="center"/>
          </w:tcPr>
          <w:p w14:paraId="5AEF3EF0" w14:textId="77777777" w:rsidR="000837A9" w:rsidRPr="00A411E7" w:rsidRDefault="000837A9" w:rsidP="00FF3977">
            <w:pPr>
              <w:rPr>
                <w:rFonts w:eastAsia="Calibri"/>
              </w:rPr>
            </w:pPr>
            <w:r>
              <w:rPr>
                <w:color w:val="000000"/>
              </w:rPr>
              <w:t>The mean surface tension of the pure test item at 20.0 °C was 25.4 mN/m.</w:t>
            </w:r>
            <w:r>
              <w:rPr>
                <w:color w:val="000000"/>
              </w:rPr>
              <w:br/>
              <w:t>The test item was considered as surface-active in the experimental conditions</w:t>
            </w:r>
            <w:r>
              <w:rPr>
                <w:color w:val="000000"/>
              </w:rPr>
              <w:br/>
              <w:t>used.</w:t>
            </w:r>
          </w:p>
        </w:tc>
        <w:tc>
          <w:tcPr>
            <w:tcW w:w="447" w:type="pct"/>
            <w:vAlign w:val="center"/>
          </w:tcPr>
          <w:p w14:paraId="274E542E" w14:textId="77777777" w:rsidR="000837A9" w:rsidRPr="00A411E7" w:rsidRDefault="000837A9" w:rsidP="00FF3977">
            <w:pPr>
              <w:rPr>
                <w:rFonts w:eastAsia="Calibri"/>
              </w:rPr>
            </w:pPr>
            <w:r>
              <w:rPr>
                <w:color w:val="000000"/>
              </w:rPr>
              <w:t>Demangel B., 2019, Report No 18-901011-017</w:t>
            </w:r>
          </w:p>
        </w:tc>
        <w:tc>
          <w:tcPr>
            <w:tcW w:w="478" w:type="pct"/>
          </w:tcPr>
          <w:p w14:paraId="03003E22" w14:textId="77777777" w:rsidR="000837A9" w:rsidRDefault="000837A9" w:rsidP="00FF3977">
            <w:pPr>
              <w:rPr>
                <w:color w:val="000000"/>
              </w:rPr>
            </w:pPr>
            <w:r>
              <w:rPr>
                <w:color w:val="000000"/>
              </w:rPr>
              <w:t>Acceptable</w:t>
            </w:r>
          </w:p>
        </w:tc>
      </w:tr>
      <w:tr w:rsidR="000837A9" w14:paraId="512990F5" w14:textId="77777777" w:rsidTr="00FF3977">
        <w:tc>
          <w:tcPr>
            <w:tcW w:w="1231" w:type="pct"/>
          </w:tcPr>
          <w:p w14:paraId="60237F08" w14:textId="77777777" w:rsidR="000837A9" w:rsidRPr="00A411E7" w:rsidRDefault="000837A9" w:rsidP="00FF3977">
            <w:pPr>
              <w:rPr>
                <w:rFonts w:eastAsia="Calibri"/>
              </w:rPr>
            </w:pPr>
            <w:r w:rsidRPr="00A411E7">
              <w:rPr>
                <w:rFonts w:eastAsia="Calibri"/>
              </w:rPr>
              <w:t>Viscosity</w:t>
            </w:r>
          </w:p>
        </w:tc>
        <w:tc>
          <w:tcPr>
            <w:tcW w:w="594" w:type="pct"/>
            <w:vAlign w:val="center"/>
          </w:tcPr>
          <w:p w14:paraId="4CCD4B65" w14:textId="77777777" w:rsidR="000837A9" w:rsidRPr="00A411E7" w:rsidRDefault="000837A9" w:rsidP="00FF3977">
            <w:pPr>
              <w:rPr>
                <w:rFonts w:eastAsia="Calibri"/>
              </w:rPr>
            </w:pPr>
            <w:r>
              <w:rPr>
                <w:color w:val="000000"/>
              </w:rPr>
              <w:t xml:space="preserve">OECD Guideline No. 114 (2012) and ISO </w:t>
            </w:r>
            <w:r>
              <w:rPr>
                <w:color w:val="000000"/>
              </w:rPr>
              <w:lastRenderedPageBreak/>
              <w:t>Standard 3219 (1993)</w:t>
            </w:r>
          </w:p>
        </w:tc>
        <w:tc>
          <w:tcPr>
            <w:tcW w:w="538" w:type="pct"/>
            <w:vAlign w:val="center"/>
          </w:tcPr>
          <w:p w14:paraId="7AD23456" w14:textId="77777777" w:rsidR="000837A9" w:rsidRPr="00A411E7" w:rsidRDefault="000837A9" w:rsidP="00FF3977">
            <w:pPr>
              <w:rPr>
                <w:rFonts w:eastAsia="Calibri"/>
              </w:rPr>
            </w:pPr>
            <w:r>
              <w:rPr>
                <w:color w:val="000000"/>
              </w:rPr>
              <w:lastRenderedPageBreak/>
              <w:t xml:space="preserve">Batch 5118225 Test item: </w:t>
            </w:r>
            <w:r w:rsidRPr="00A1541F">
              <w:rPr>
                <w:color w:val="000000"/>
              </w:rPr>
              <w:t>218242-P1</w:t>
            </w:r>
          </w:p>
        </w:tc>
        <w:tc>
          <w:tcPr>
            <w:tcW w:w="1712" w:type="pct"/>
            <w:vAlign w:val="center"/>
          </w:tcPr>
          <w:p w14:paraId="6D2EAE7E" w14:textId="77777777" w:rsidR="000837A9" w:rsidRPr="00A411E7" w:rsidRDefault="000837A9" w:rsidP="00FF3977">
            <w:pPr>
              <w:rPr>
                <w:rFonts w:eastAsia="Calibri"/>
              </w:rPr>
            </w:pPr>
            <w:r>
              <w:rPr>
                <w:color w:val="000000"/>
              </w:rPr>
              <w:t>Taking into account the results obtained at 20.0 °C and 40.0 °C, the test item was</w:t>
            </w:r>
            <w:r>
              <w:rPr>
                <w:color w:val="000000"/>
              </w:rPr>
              <w:br/>
              <w:t>considered to have newtonian properties in the experimental conditions used.</w:t>
            </w:r>
            <w:r>
              <w:rPr>
                <w:color w:val="000000"/>
              </w:rPr>
              <w:br/>
            </w:r>
            <w:r>
              <w:rPr>
                <w:color w:val="000000"/>
              </w:rPr>
              <w:lastRenderedPageBreak/>
              <w:t>The mean dynamic viscosity of the test item was 3.33 mPa.s at 20.0 °C ± 0.2 °C</w:t>
            </w:r>
            <w:r>
              <w:rPr>
                <w:color w:val="000000"/>
              </w:rPr>
              <w:br/>
              <w:t>and 1.67 mPa.s at 40.0 °C ± 0.2 °C.</w:t>
            </w:r>
          </w:p>
        </w:tc>
        <w:tc>
          <w:tcPr>
            <w:tcW w:w="447" w:type="pct"/>
            <w:vAlign w:val="center"/>
          </w:tcPr>
          <w:p w14:paraId="32E8FD4D" w14:textId="77777777" w:rsidR="000837A9" w:rsidRPr="00A411E7" w:rsidRDefault="000837A9" w:rsidP="00FF3977">
            <w:pPr>
              <w:rPr>
                <w:rFonts w:eastAsia="Calibri"/>
              </w:rPr>
            </w:pPr>
            <w:r>
              <w:rPr>
                <w:color w:val="000000"/>
              </w:rPr>
              <w:lastRenderedPageBreak/>
              <w:t>Demangel B., 2019, Report No 18-</w:t>
            </w:r>
            <w:r>
              <w:rPr>
                <w:color w:val="000000"/>
              </w:rPr>
              <w:lastRenderedPageBreak/>
              <w:t>901011-017</w:t>
            </w:r>
          </w:p>
        </w:tc>
        <w:tc>
          <w:tcPr>
            <w:tcW w:w="478" w:type="pct"/>
          </w:tcPr>
          <w:p w14:paraId="2F4A519C" w14:textId="77777777" w:rsidR="000837A9" w:rsidRDefault="000837A9" w:rsidP="00FF3977">
            <w:pPr>
              <w:rPr>
                <w:color w:val="000000"/>
              </w:rPr>
            </w:pPr>
            <w:r>
              <w:rPr>
                <w:color w:val="000000"/>
              </w:rPr>
              <w:lastRenderedPageBreak/>
              <w:t>Acceptable</w:t>
            </w:r>
          </w:p>
        </w:tc>
      </w:tr>
    </w:tbl>
    <w:p w14:paraId="0C7FC7A1" w14:textId="5426EC6A" w:rsidR="000837A9" w:rsidRDefault="000837A9">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837A9" w:rsidRPr="00A411E7" w14:paraId="398DD3D4"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4200F398" w14:textId="77777777" w:rsidR="000837A9" w:rsidRPr="00F24D0D" w:rsidRDefault="000837A9"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3</w:t>
            </w:r>
          </w:p>
        </w:tc>
      </w:tr>
      <w:tr w:rsidR="000837A9" w:rsidRPr="001D704F" w14:paraId="2949A651"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1043C0B" w14:textId="77777777" w:rsidR="000837A9" w:rsidRDefault="000837A9" w:rsidP="00FF3977">
            <w:pPr>
              <w:spacing w:line="276" w:lineRule="auto"/>
              <w:jc w:val="both"/>
              <w:rPr>
                <w:lang w:eastAsia="en-US"/>
              </w:rPr>
            </w:pPr>
            <w:r>
              <w:rPr>
                <w:lang w:eastAsia="en-US"/>
              </w:rPr>
              <w:t>The Meta-SPC 3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BXZDqEjM","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Union"}]},"locator":"5"}],"schema":"https://github.com/citation-style-language/schema/raw/master/csl-citation.json"} </w:instrText>
            </w:r>
            <w:r>
              <w:rPr>
                <w:color w:val="FF0000"/>
                <w:lang w:eastAsia="en-US"/>
              </w:rPr>
              <w:fldChar w:fldCharType="separate"/>
            </w:r>
            <w:r w:rsidRPr="0098795B">
              <w:t>(1)</w:t>
            </w:r>
            <w:r>
              <w:rPr>
                <w:color w:val="FF0000"/>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0wBZG7cy","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98795B">
              <w:t>(3)</w:t>
            </w:r>
            <w:r>
              <w:rPr>
                <w:lang w:eastAsia="en-US"/>
              </w:rPr>
              <w:fldChar w:fldCharType="end"/>
            </w:r>
            <w:r>
              <w:rPr>
                <w:lang w:eastAsia="en-US"/>
              </w:rPr>
              <w:t xml:space="preserve">) and the results are deemed to be acceptable. </w:t>
            </w:r>
          </w:p>
          <w:p w14:paraId="6A80252B" w14:textId="77777777" w:rsidR="000837A9" w:rsidRDefault="000837A9" w:rsidP="00FF3977">
            <w:pPr>
              <w:spacing w:line="276" w:lineRule="auto"/>
              <w:jc w:val="both"/>
              <w:rPr>
                <w:lang w:eastAsia="en-US"/>
              </w:rPr>
            </w:pPr>
            <w:r>
              <w:rPr>
                <w:lang w:eastAsia="en-US"/>
              </w:rPr>
              <w:t xml:space="preserve">The appearance of the product is an </w:t>
            </w:r>
            <w:r w:rsidRPr="00A61C13">
              <w:t>homogeneous colourless opalescent liquid</w:t>
            </w:r>
            <w:r>
              <w:t xml:space="preserve"> with a characteristic odour</w:t>
            </w:r>
            <w:r>
              <w:rPr>
                <w:lang w:eastAsia="en-US"/>
              </w:rPr>
              <w:t xml:space="preserve">. There is no effect of high temperature (14 days at 54°C) and low temperature (7 days at 0°C) on the stability of the formulation, neither the active substance and the SoC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xml:space="preserve">, PET, COEXTRUDE (HDPE/PA). The long term storage stability study is on-going and </w:t>
            </w:r>
            <w:r>
              <w:t>should be provided in post-authorisation.</w:t>
            </w:r>
          </w:p>
          <w:p w14:paraId="511EE525" w14:textId="77777777" w:rsidR="000837A9" w:rsidRPr="001D704F" w:rsidRDefault="000837A9" w:rsidP="00FF3977">
            <w:pPr>
              <w:spacing w:line="260" w:lineRule="atLeast"/>
              <w:rPr>
                <w:rFonts w:eastAsia="Calibri"/>
                <w:color w:val="FF0000"/>
                <w:lang w:val="en-US" w:eastAsia="en-US"/>
              </w:rPr>
            </w:pPr>
            <w:r>
              <w:rPr>
                <w:lang w:eastAsia="en-US"/>
              </w:rPr>
              <w:t>Its technical characteristics are acceptable for an AL formulation.</w:t>
            </w:r>
          </w:p>
        </w:tc>
      </w:tr>
    </w:tbl>
    <w:p w14:paraId="744888C1" w14:textId="068C2ADC" w:rsidR="000837A9" w:rsidRDefault="000837A9">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1572"/>
        <w:gridCol w:w="1431"/>
        <w:gridCol w:w="4542"/>
        <w:gridCol w:w="1185"/>
        <w:gridCol w:w="1358"/>
      </w:tblGrid>
      <w:tr w:rsidR="000228FA" w14:paraId="5103E98B" w14:textId="77777777" w:rsidTr="00FF3977">
        <w:trPr>
          <w:tblHeader/>
        </w:trPr>
        <w:tc>
          <w:tcPr>
            <w:tcW w:w="4522" w:type="pct"/>
            <w:gridSpan w:val="5"/>
            <w:shd w:val="clear" w:color="auto" w:fill="E0E0E0"/>
            <w:vAlign w:val="center"/>
          </w:tcPr>
          <w:p w14:paraId="4F027246" w14:textId="10F5729D" w:rsidR="000228FA" w:rsidRPr="00305B11" w:rsidRDefault="000228FA" w:rsidP="00FF3977">
            <w:pPr>
              <w:spacing w:line="260" w:lineRule="atLeast"/>
              <w:rPr>
                <w:rFonts w:eastAsia="Calibri"/>
                <w:b/>
                <w:lang w:eastAsia="en-US"/>
              </w:rPr>
            </w:pPr>
            <w:r>
              <w:rPr>
                <w:rFonts w:eastAsia="Calibri"/>
                <w:b/>
                <w:lang w:eastAsia="en-US"/>
              </w:rPr>
              <w:t>Meta-SPC 4 ( AL – ready to use)</w:t>
            </w:r>
            <w:r w:rsidR="008101B2">
              <w:rPr>
                <w:rFonts w:eastAsia="Calibri"/>
                <w:b/>
                <w:lang w:eastAsia="en-US"/>
              </w:rPr>
              <w:t xml:space="preserve"> packaging : triggers sprays with both foam and classic nozzle / Bottles </w:t>
            </w:r>
          </w:p>
        </w:tc>
        <w:tc>
          <w:tcPr>
            <w:tcW w:w="478" w:type="pct"/>
            <w:shd w:val="clear" w:color="auto" w:fill="E0E0E0"/>
          </w:tcPr>
          <w:p w14:paraId="2BE6D19B" w14:textId="77777777" w:rsidR="000228FA" w:rsidRDefault="000228FA" w:rsidP="00FF3977">
            <w:pPr>
              <w:spacing w:line="260" w:lineRule="atLeast"/>
              <w:rPr>
                <w:rFonts w:eastAsia="Calibri"/>
                <w:b/>
                <w:lang w:eastAsia="en-US"/>
              </w:rPr>
            </w:pPr>
          </w:p>
        </w:tc>
      </w:tr>
      <w:tr w:rsidR="000228FA" w:rsidRPr="00305B11" w14:paraId="08554440" w14:textId="77777777" w:rsidTr="00FF3977">
        <w:trPr>
          <w:tblHeader/>
        </w:trPr>
        <w:tc>
          <w:tcPr>
            <w:tcW w:w="1230" w:type="pct"/>
            <w:shd w:val="clear" w:color="auto" w:fill="E0E0E0"/>
            <w:vAlign w:val="center"/>
          </w:tcPr>
          <w:p w14:paraId="1E236937"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594" w:type="pct"/>
            <w:shd w:val="clear" w:color="auto" w:fill="E0E0E0"/>
            <w:vAlign w:val="center"/>
          </w:tcPr>
          <w:p w14:paraId="4F883626"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540" w:type="pct"/>
            <w:shd w:val="clear" w:color="auto" w:fill="E0E0E0"/>
            <w:vAlign w:val="center"/>
          </w:tcPr>
          <w:p w14:paraId="37924179"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711" w:type="pct"/>
            <w:shd w:val="clear" w:color="auto" w:fill="E0E0E0"/>
            <w:vAlign w:val="center"/>
          </w:tcPr>
          <w:p w14:paraId="00E6877E"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47" w:type="pct"/>
            <w:shd w:val="clear" w:color="auto" w:fill="E0E0E0"/>
            <w:vAlign w:val="center"/>
          </w:tcPr>
          <w:p w14:paraId="26E899A8"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478" w:type="pct"/>
            <w:shd w:val="clear" w:color="auto" w:fill="E0E0E0"/>
            <w:vAlign w:val="center"/>
          </w:tcPr>
          <w:p w14:paraId="445B944E"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204CCBEB" w14:textId="77777777" w:rsidTr="00FF3977">
        <w:tc>
          <w:tcPr>
            <w:tcW w:w="1230" w:type="pct"/>
          </w:tcPr>
          <w:p w14:paraId="4A280731"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594" w:type="pct"/>
            <w:vAlign w:val="center"/>
          </w:tcPr>
          <w:p w14:paraId="7CA8C8A0" w14:textId="77777777" w:rsidR="000228FA" w:rsidRPr="00017CF8" w:rsidRDefault="000228FA" w:rsidP="00FF3977">
            <w:pPr>
              <w:rPr>
                <w:rFonts w:eastAsia="Calibri"/>
              </w:rPr>
            </w:pPr>
            <w:r>
              <w:rPr>
                <w:color w:val="000000"/>
              </w:rPr>
              <w:t xml:space="preserve"> -</w:t>
            </w:r>
          </w:p>
        </w:tc>
        <w:tc>
          <w:tcPr>
            <w:tcW w:w="540" w:type="pct"/>
            <w:vAlign w:val="center"/>
          </w:tcPr>
          <w:p w14:paraId="72259C8E" w14:textId="77777777" w:rsidR="000228FA" w:rsidRDefault="000228FA" w:rsidP="00FF3977">
            <w:pPr>
              <w:rPr>
                <w:color w:val="000000"/>
              </w:rPr>
            </w:pPr>
            <w:r>
              <w:rPr>
                <w:color w:val="000000"/>
              </w:rPr>
              <w:t>Batch 1805000317</w:t>
            </w:r>
          </w:p>
          <w:p w14:paraId="27F3EC4C" w14:textId="77777777" w:rsidR="000228FA" w:rsidRPr="00017CF8"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53BCEB10" w14:textId="77777777" w:rsidR="000228FA" w:rsidRPr="00017CF8" w:rsidRDefault="000228FA" w:rsidP="00FF3977">
            <w:pPr>
              <w:rPr>
                <w:rFonts w:eastAsia="Calibri"/>
              </w:rPr>
            </w:pPr>
            <w:r>
              <w:t>The appearance of the test item was Homogeneous colourless limpid liquid with a characteristic odour.</w:t>
            </w:r>
          </w:p>
        </w:tc>
        <w:tc>
          <w:tcPr>
            <w:tcW w:w="447" w:type="pct"/>
            <w:vAlign w:val="center"/>
          </w:tcPr>
          <w:p w14:paraId="11929B48" w14:textId="77777777" w:rsidR="000228FA" w:rsidRPr="00017CF8" w:rsidRDefault="000228FA" w:rsidP="00FF3977">
            <w:pPr>
              <w:rPr>
                <w:rFonts w:eastAsia="Calibri"/>
              </w:rPr>
            </w:pPr>
            <w:r>
              <w:t>Demangel B. and Ricau H., 2019, Report No 18-901011-023</w:t>
            </w:r>
          </w:p>
        </w:tc>
        <w:tc>
          <w:tcPr>
            <w:tcW w:w="478" w:type="pct"/>
          </w:tcPr>
          <w:p w14:paraId="405BE429" w14:textId="77777777" w:rsidR="000228FA" w:rsidRDefault="000228FA" w:rsidP="00FF3977">
            <w:r>
              <w:rPr>
                <w:color w:val="000000"/>
              </w:rPr>
              <w:t>Acceptable</w:t>
            </w:r>
          </w:p>
        </w:tc>
      </w:tr>
      <w:tr w:rsidR="000228FA" w14:paraId="6E803D0E" w14:textId="77777777" w:rsidTr="00FF3977">
        <w:tc>
          <w:tcPr>
            <w:tcW w:w="1230" w:type="pct"/>
          </w:tcPr>
          <w:p w14:paraId="3D37B3BD" w14:textId="77777777" w:rsidR="000228FA" w:rsidRPr="00A411E7" w:rsidRDefault="000228FA" w:rsidP="00FF3977">
            <w:pPr>
              <w:rPr>
                <w:rFonts w:eastAsia="Calibri"/>
              </w:rPr>
            </w:pPr>
            <w:r w:rsidRPr="00A411E7">
              <w:rPr>
                <w:rFonts w:eastAsia="Calibri"/>
              </w:rPr>
              <w:lastRenderedPageBreak/>
              <w:t>Acidity / alkalinity</w:t>
            </w:r>
          </w:p>
        </w:tc>
        <w:tc>
          <w:tcPr>
            <w:tcW w:w="594" w:type="pct"/>
            <w:vAlign w:val="center"/>
          </w:tcPr>
          <w:p w14:paraId="1CF72A6F" w14:textId="77777777" w:rsidR="000228FA" w:rsidRPr="00A411E7" w:rsidRDefault="000228FA" w:rsidP="00FF3977">
            <w:pPr>
              <w:rPr>
                <w:rFonts w:eastAsia="Calibri"/>
              </w:rPr>
            </w:pPr>
            <w:r>
              <w:rPr>
                <w:color w:val="000000"/>
              </w:rPr>
              <w:t>CIPAC Handbook L - MT 191 method (2006)</w:t>
            </w:r>
          </w:p>
        </w:tc>
        <w:tc>
          <w:tcPr>
            <w:tcW w:w="540" w:type="pct"/>
            <w:vAlign w:val="center"/>
          </w:tcPr>
          <w:p w14:paraId="5123B6D2" w14:textId="77777777" w:rsidR="000228FA" w:rsidRDefault="000228FA" w:rsidP="00FF3977">
            <w:pPr>
              <w:rPr>
                <w:color w:val="000000"/>
              </w:rPr>
            </w:pPr>
            <w:r>
              <w:rPr>
                <w:color w:val="000000"/>
              </w:rPr>
              <w:t>Batch 51805000317</w:t>
            </w:r>
          </w:p>
          <w:p w14:paraId="62296F9A"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6AAB5490" w14:textId="77777777" w:rsidR="000228FA" w:rsidRPr="00A411E7" w:rsidRDefault="000228FA" w:rsidP="00FF3977">
            <w:pPr>
              <w:rPr>
                <w:rFonts w:eastAsia="Calibri"/>
              </w:rPr>
            </w:pPr>
            <w:r>
              <w:t>Before the accelerated storage procedure, the mean value of the test item acidity was 1.74% w/w. After the accelerated storage procedure, the mean value of the test item acidity was 1.76% w/w.</w:t>
            </w:r>
          </w:p>
        </w:tc>
        <w:tc>
          <w:tcPr>
            <w:tcW w:w="447" w:type="pct"/>
            <w:vAlign w:val="center"/>
          </w:tcPr>
          <w:p w14:paraId="49D80E8D" w14:textId="77777777" w:rsidR="000228FA" w:rsidRPr="00A411E7" w:rsidRDefault="000228FA" w:rsidP="00FF3977">
            <w:pPr>
              <w:rPr>
                <w:rFonts w:eastAsia="Calibri"/>
              </w:rPr>
            </w:pPr>
            <w:r>
              <w:t>Demangel B. and Ricau H., 2019, Report No 18-901011-023</w:t>
            </w:r>
          </w:p>
        </w:tc>
        <w:tc>
          <w:tcPr>
            <w:tcW w:w="478" w:type="pct"/>
          </w:tcPr>
          <w:p w14:paraId="00B302D4" w14:textId="77777777" w:rsidR="000228FA" w:rsidRDefault="000228FA" w:rsidP="00FF3977">
            <w:r>
              <w:rPr>
                <w:color w:val="000000"/>
              </w:rPr>
              <w:t>Acceptable</w:t>
            </w:r>
          </w:p>
        </w:tc>
      </w:tr>
      <w:tr w:rsidR="000228FA" w14:paraId="6E56C977" w14:textId="77777777" w:rsidTr="00FF3977">
        <w:tc>
          <w:tcPr>
            <w:tcW w:w="1230" w:type="pct"/>
          </w:tcPr>
          <w:p w14:paraId="48B32B36" w14:textId="77777777" w:rsidR="000228FA" w:rsidRPr="00A411E7" w:rsidRDefault="000228FA" w:rsidP="00FF3977">
            <w:pPr>
              <w:rPr>
                <w:rFonts w:eastAsia="Calibri"/>
              </w:rPr>
            </w:pPr>
            <w:r>
              <w:rPr>
                <w:rFonts w:eastAsia="Calibri"/>
              </w:rPr>
              <w:t>pH value</w:t>
            </w:r>
          </w:p>
        </w:tc>
        <w:tc>
          <w:tcPr>
            <w:tcW w:w="594" w:type="pct"/>
            <w:vAlign w:val="center"/>
          </w:tcPr>
          <w:p w14:paraId="1C8D9601" w14:textId="77777777" w:rsidR="000228FA" w:rsidRDefault="000228FA" w:rsidP="00FF3977">
            <w:pPr>
              <w:rPr>
                <w:color w:val="000000"/>
              </w:rPr>
            </w:pPr>
            <w:r>
              <w:rPr>
                <w:color w:val="000000"/>
              </w:rPr>
              <w:t>CIPAC MT 75.3</w:t>
            </w:r>
          </w:p>
        </w:tc>
        <w:tc>
          <w:tcPr>
            <w:tcW w:w="540" w:type="pct"/>
            <w:vAlign w:val="center"/>
          </w:tcPr>
          <w:p w14:paraId="7EC0609A" w14:textId="77777777" w:rsidR="000228FA" w:rsidRDefault="000228FA" w:rsidP="00FF3977">
            <w:pPr>
              <w:rPr>
                <w:color w:val="000000"/>
              </w:rPr>
            </w:pPr>
            <w:r>
              <w:rPr>
                <w:color w:val="000000"/>
              </w:rPr>
              <w:t>Batch 51805000317</w:t>
            </w:r>
          </w:p>
          <w:p w14:paraId="3546F5A6" w14:textId="77777777" w:rsidR="000228FA" w:rsidRDefault="000228FA" w:rsidP="00FF3977">
            <w:pPr>
              <w:rPr>
                <w:color w:val="000000"/>
              </w:rPr>
            </w:pPr>
            <w:r>
              <w:rPr>
                <w:rFonts w:eastAsia="Calibri"/>
              </w:rPr>
              <w:t xml:space="preserve">Test item: </w:t>
            </w:r>
            <w:r w:rsidRPr="00BC0514">
              <w:rPr>
                <w:rFonts w:eastAsia="Calibri"/>
              </w:rPr>
              <w:t>218114-B3</w:t>
            </w:r>
          </w:p>
        </w:tc>
        <w:tc>
          <w:tcPr>
            <w:tcW w:w="1711" w:type="pct"/>
            <w:vAlign w:val="center"/>
          </w:tcPr>
          <w:p w14:paraId="7E4AA4F6" w14:textId="77777777" w:rsidR="000228FA" w:rsidRDefault="000228FA" w:rsidP="00FF3977">
            <w:pPr>
              <w:rPr>
                <w:color w:val="000000"/>
              </w:rPr>
            </w:pPr>
            <w:r>
              <w:rPr>
                <w:color w:val="000000"/>
              </w:rPr>
              <w:t>Before accelerated storage: pH=2.12 at 20.1°C</w:t>
            </w:r>
          </w:p>
          <w:p w14:paraId="10A77266" w14:textId="77777777" w:rsidR="000228FA" w:rsidRDefault="000228FA" w:rsidP="00FF3977">
            <w:r>
              <w:rPr>
                <w:color w:val="000000"/>
              </w:rPr>
              <w:t>After accelerated storage: pH=2,13 at 20.5°C</w:t>
            </w:r>
          </w:p>
        </w:tc>
        <w:tc>
          <w:tcPr>
            <w:tcW w:w="447" w:type="pct"/>
            <w:vAlign w:val="center"/>
          </w:tcPr>
          <w:p w14:paraId="02DC5E71" w14:textId="77777777" w:rsidR="000228FA" w:rsidRDefault="000228FA" w:rsidP="00FF3977">
            <w:r>
              <w:t>Demangel B. and Ricau H., 2019, Report No 18-901011-023</w:t>
            </w:r>
          </w:p>
        </w:tc>
        <w:tc>
          <w:tcPr>
            <w:tcW w:w="478" w:type="pct"/>
          </w:tcPr>
          <w:p w14:paraId="5B1FCF0B" w14:textId="77777777" w:rsidR="000228FA" w:rsidRDefault="000228FA" w:rsidP="00FF3977">
            <w:pPr>
              <w:rPr>
                <w:color w:val="000000"/>
              </w:rPr>
            </w:pPr>
            <w:r>
              <w:rPr>
                <w:color w:val="000000"/>
              </w:rPr>
              <w:t>Acceptable</w:t>
            </w:r>
          </w:p>
        </w:tc>
      </w:tr>
      <w:tr w:rsidR="000228FA" w14:paraId="4C56E35F" w14:textId="77777777" w:rsidTr="00FF3977">
        <w:tc>
          <w:tcPr>
            <w:tcW w:w="1230" w:type="pct"/>
            <w:tcBorders>
              <w:top w:val="single" w:sz="4" w:space="0" w:color="auto"/>
              <w:left w:val="single" w:sz="4" w:space="0" w:color="auto"/>
              <w:bottom w:val="single" w:sz="4" w:space="0" w:color="auto"/>
              <w:right w:val="single" w:sz="4" w:space="0" w:color="auto"/>
            </w:tcBorders>
          </w:tcPr>
          <w:p w14:paraId="127BBD5D" w14:textId="77777777" w:rsidR="000228FA" w:rsidRPr="00A411E7" w:rsidRDefault="000228FA" w:rsidP="00FF3977">
            <w:pPr>
              <w:rPr>
                <w:rFonts w:eastAsia="Calibri"/>
              </w:rPr>
            </w:pPr>
            <w:r w:rsidRPr="00A411E7">
              <w:rPr>
                <w:rFonts w:eastAsia="Calibri"/>
              </w:rPr>
              <w:t>Relative density / bulk density</w:t>
            </w:r>
          </w:p>
        </w:tc>
        <w:tc>
          <w:tcPr>
            <w:tcW w:w="594" w:type="pct"/>
            <w:tcBorders>
              <w:top w:val="single" w:sz="4" w:space="0" w:color="auto"/>
              <w:left w:val="single" w:sz="4" w:space="0" w:color="auto"/>
              <w:bottom w:val="single" w:sz="4" w:space="0" w:color="auto"/>
              <w:right w:val="single" w:sz="4" w:space="0" w:color="auto"/>
            </w:tcBorders>
            <w:vAlign w:val="center"/>
          </w:tcPr>
          <w:p w14:paraId="301C5840" w14:textId="77777777" w:rsidR="000228FA" w:rsidRPr="00A411E7" w:rsidRDefault="000228FA" w:rsidP="00FF3977">
            <w:pPr>
              <w:rPr>
                <w:rFonts w:eastAsia="Calibri"/>
              </w:rPr>
            </w:pPr>
            <w:r>
              <w:rPr>
                <w:color w:val="000000"/>
              </w:rPr>
              <w:t>EC A.3. method (2008) and OECD Guideline No. 109 (2012)</w:t>
            </w:r>
          </w:p>
        </w:tc>
        <w:tc>
          <w:tcPr>
            <w:tcW w:w="540" w:type="pct"/>
            <w:tcBorders>
              <w:top w:val="single" w:sz="4" w:space="0" w:color="auto"/>
              <w:left w:val="single" w:sz="4" w:space="0" w:color="auto"/>
              <w:bottom w:val="single" w:sz="4" w:space="0" w:color="auto"/>
              <w:right w:val="single" w:sz="4" w:space="0" w:color="auto"/>
            </w:tcBorders>
            <w:vAlign w:val="center"/>
          </w:tcPr>
          <w:p w14:paraId="4A726352" w14:textId="77777777" w:rsidR="000228FA" w:rsidRDefault="000228FA" w:rsidP="00FF3977">
            <w:pPr>
              <w:rPr>
                <w:color w:val="000000"/>
              </w:rPr>
            </w:pPr>
            <w:r>
              <w:rPr>
                <w:color w:val="000000"/>
              </w:rPr>
              <w:t>Batch 1805000317</w:t>
            </w:r>
          </w:p>
          <w:p w14:paraId="215912FD"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tcBorders>
              <w:top w:val="single" w:sz="4" w:space="0" w:color="auto"/>
              <w:left w:val="single" w:sz="4" w:space="0" w:color="auto"/>
              <w:bottom w:val="single" w:sz="4" w:space="0" w:color="auto"/>
              <w:right w:val="single" w:sz="4" w:space="0" w:color="auto"/>
            </w:tcBorders>
            <w:vAlign w:val="center"/>
          </w:tcPr>
          <w:p w14:paraId="713A3159" w14:textId="77777777" w:rsidR="000228FA" w:rsidRPr="00A411E7" w:rsidRDefault="000228FA" w:rsidP="00FF3977">
            <w:pPr>
              <w:rPr>
                <w:rFonts w:eastAsia="Calibri"/>
              </w:rPr>
            </w:pPr>
            <w:r>
              <w:t>The mean relative density of the test item was D</w:t>
            </w:r>
            <w:r>
              <w:rPr>
                <w:vertAlign w:val="superscript"/>
              </w:rPr>
              <w:t>20</w:t>
            </w:r>
            <w:r>
              <w:rPr>
                <w:vertAlign w:val="subscript"/>
              </w:rPr>
              <w:t>4</w:t>
            </w:r>
            <w:r>
              <w:t xml:space="preserve"> = 1.004 ± 0.001 at 20.0 °C.</w:t>
            </w:r>
          </w:p>
        </w:tc>
        <w:tc>
          <w:tcPr>
            <w:tcW w:w="447" w:type="pct"/>
            <w:tcBorders>
              <w:top w:val="single" w:sz="4" w:space="0" w:color="auto"/>
              <w:left w:val="single" w:sz="4" w:space="0" w:color="auto"/>
              <w:bottom w:val="single" w:sz="4" w:space="0" w:color="auto"/>
              <w:right w:val="single" w:sz="4" w:space="0" w:color="auto"/>
            </w:tcBorders>
            <w:vAlign w:val="center"/>
          </w:tcPr>
          <w:p w14:paraId="6084216F" w14:textId="77777777" w:rsidR="000228FA" w:rsidRPr="00A411E7" w:rsidRDefault="000228FA" w:rsidP="00FF3977">
            <w:pPr>
              <w:rPr>
                <w:rFonts w:eastAsia="Calibri"/>
              </w:rPr>
            </w:pPr>
            <w:r>
              <w:rPr>
                <w:color w:val="000000"/>
              </w:rPr>
              <w:t>Demangel B., 2019, Report No 18-901011-022</w:t>
            </w:r>
          </w:p>
        </w:tc>
        <w:tc>
          <w:tcPr>
            <w:tcW w:w="478" w:type="pct"/>
            <w:tcBorders>
              <w:top w:val="single" w:sz="4" w:space="0" w:color="auto"/>
              <w:left w:val="single" w:sz="4" w:space="0" w:color="auto"/>
              <w:bottom w:val="single" w:sz="4" w:space="0" w:color="auto"/>
              <w:right w:val="single" w:sz="4" w:space="0" w:color="auto"/>
            </w:tcBorders>
          </w:tcPr>
          <w:p w14:paraId="48039423" w14:textId="77777777" w:rsidR="000228FA" w:rsidRDefault="000228FA" w:rsidP="00FF3977">
            <w:pPr>
              <w:rPr>
                <w:color w:val="000000"/>
              </w:rPr>
            </w:pPr>
            <w:r>
              <w:rPr>
                <w:color w:val="000000"/>
              </w:rPr>
              <w:t>Acceptable</w:t>
            </w:r>
          </w:p>
        </w:tc>
      </w:tr>
      <w:tr w:rsidR="000228FA" w14:paraId="6F362EC5" w14:textId="77777777" w:rsidTr="00FF3977">
        <w:tc>
          <w:tcPr>
            <w:tcW w:w="1230" w:type="pct"/>
          </w:tcPr>
          <w:p w14:paraId="3C5D997D"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594" w:type="pct"/>
            <w:vAlign w:val="center"/>
          </w:tcPr>
          <w:p w14:paraId="6DD6326A" w14:textId="77777777" w:rsidR="000228FA" w:rsidRDefault="000228FA" w:rsidP="00FF3977">
            <w:pPr>
              <w:rPr>
                <w:color w:val="000000"/>
              </w:rPr>
            </w:pPr>
            <w:r>
              <w:rPr>
                <w:color w:val="000000"/>
              </w:rPr>
              <w:t>CIPAC Handbook J - MT 46.3 method (2000)</w:t>
            </w:r>
            <w:r>
              <w:rPr>
                <w:color w:val="000000"/>
              </w:rPr>
              <w:br/>
            </w:r>
          </w:p>
          <w:p w14:paraId="4D58FCD3" w14:textId="77777777" w:rsidR="000228FA" w:rsidRDefault="000228FA" w:rsidP="00FF3977">
            <w:pPr>
              <w:rPr>
                <w:color w:val="000000"/>
              </w:rPr>
            </w:pPr>
            <w:r>
              <w:rPr>
                <w:color w:val="000000"/>
              </w:rPr>
              <w:t>Content of AS:</w:t>
            </w:r>
          </w:p>
          <w:p w14:paraId="69E80F47" w14:textId="77777777" w:rsidR="000228FA" w:rsidRPr="003E6A10" w:rsidRDefault="000228FA" w:rsidP="00FF3977">
            <w:pPr>
              <w:rPr>
                <w:color w:val="000000"/>
                <w:lang w:val="en-US"/>
              </w:rPr>
            </w:pPr>
            <w:r>
              <w:rPr>
                <w:color w:val="000000"/>
              </w:rPr>
              <w:lastRenderedPageBreak/>
              <w:t xml:space="preserve">Validated method in studies </w:t>
            </w:r>
            <w:r w:rsidRPr="0026219A">
              <w:rPr>
                <w:color w:val="000000"/>
              </w:rPr>
              <w:t>No. 17-901011-001</w:t>
            </w:r>
            <w:r>
              <w:rPr>
                <w:color w:val="000000"/>
              </w:rPr>
              <w:t xml:space="preserve"> and No. 18-901011-026</w:t>
            </w:r>
          </w:p>
          <w:p w14:paraId="069F14D4" w14:textId="77777777" w:rsidR="000228FA" w:rsidRPr="00A411E7" w:rsidRDefault="000228FA" w:rsidP="00FF3977">
            <w:pPr>
              <w:rPr>
                <w:rFonts w:eastAsia="Calibri"/>
              </w:rPr>
            </w:pPr>
            <w:r>
              <w:rPr>
                <w:color w:val="000000"/>
              </w:rPr>
              <w:br/>
              <w:t>pH : CIPAC Handbook J - MT 75.3 method (2000)</w:t>
            </w:r>
            <w:r>
              <w:rPr>
                <w:color w:val="000000"/>
              </w:rPr>
              <w:br/>
            </w:r>
            <w:r>
              <w:rPr>
                <w:color w:val="000000"/>
              </w:rPr>
              <w:br/>
              <w:t>SATISFACTORY OPERATION OF THE SPRAYER AND SPRAY VOLUME : in-house method</w:t>
            </w:r>
            <w:r>
              <w:rPr>
                <w:color w:val="000000"/>
              </w:rPr>
              <w:br/>
            </w:r>
            <w:r>
              <w:rPr>
                <w:color w:val="000000"/>
              </w:rPr>
              <w:br/>
              <w:t>SPRAY DIAMETER AND PATTERN : In-house method (FEA 644 adapted)</w:t>
            </w:r>
          </w:p>
        </w:tc>
        <w:tc>
          <w:tcPr>
            <w:tcW w:w="540" w:type="pct"/>
            <w:vAlign w:val="center"/>
          </w:tcPr>
          <w:p w14:paraId="1FEEAA10" w14:textId="77777777" w:rsidR="000228FA" w:rsidRDefault="000228FA" w:rsidP="00FF3977">
            <w:pPr>
              <w:rPr>
                <w:color w:val="000000"/>
              </w:rPr>
            </w:pPr>
            <w:r>
              <w:rPr>
                <w:color w:val="000000"/>
              </w:rPr>
              <w:lastRenderedPageBreak/>
              <w:t>Batch 1805000317</w:t>
            </w:r>
          </w:p>
          <w:p w14:paraId="21FEDF43"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49C7D0B3" w14:textId="77777777" w:rsidR="000228FA" w:rsidRDefault="000228FA" w:rsidP="00FF3977">
            <w:pPr>
              <w:rPr>
                <w:color w:val="000000"/>
              </w:rPr>
            </w:pPr>
            <w:r>
              <w:t>Test item characteristics before and after the accelerated storage procedure was: Homogeneous colourless limpid liquid with a characteristic odour.</w:t>
            </w:r>
            <w:r>
              <w:br/>
              <w:t xml:space="preserve">Packaging: Transparent PET sprayer with classic nozzle and Transparent PET sprayer with foam nozzle. </w:t>
            </w:r>
            <w:r>
              <w:rPr>
                <w:color w:val="000000"/>
              </w:rPr>
              <w:t>(no sign of degradation or leak was observed)</w:t>
            </w:r>
          </w:p>
          <w:p w14:paraId="119E482F" w14:textId="77777777" w:rsidR="000228FA" w:rsidRDefault="000228FA" w:rsidP="00FF3977">
            <w:pPr>
              <w:rPr>
                <w:color w:val="FF0000"/>
              </w:rPr>
            </w:pPr>
            <w:r>
              <w:rPr>
                <w:color w:val="FF0000"/>
              </w:rPr>
              <w:lastRenderedPageBreak/>
              <w:br/>
            </w:r>
            <w:r>
              <w:t>The appearance of the test item and the packaging materials were considered to be stable after an accelerated storage procedure at 54 °C ± 2 °C for 14 days. No significant changes of weight were observed (-0.5%).</w:t>
            </w:r>
            <w:r>
              <w:rPr>
                <w:color w:val="FF0000"/>
              </w:rPr>
              <w:br/>
            </w:r>
            <w:r>
              <w:rPr>
                <w:b/>
                <w:bCs/>
              </w:rPr>
              <w:t>ANALYTICAL QUANTIFICATION OF THE ACTIVE SUBSTANCE</w:t>
            </w:r>
            <w:r>
              <w:rPr>
                <w:color w:val="FF0000"/>
              </w:rPr>
              <w:br/>
            </w:r>
            <w:r w:rsidRPr="001D704F">
              <w:t>Content of AS:</w:t>
            </w:r>
            <w:r>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92"/>
              <w:gridCol w:w="1277"/>
              <w:gridCol w:w="1277"/>
            </w:tblGrid>
            <w:tr w:rsidR="000228FA" w14:paraId="70A0690B" w14:textId="77777777" w:rsidTr="00FF3977">
              <w:tc>
                <w:tcPr>
                  <w:tcW w:w="3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43EECC" w14:textId="77777777" w:rsidR="000228FA" w:rsidRDefault="000228FA" w:rsidP="00FF3977">
                  <w:pPr>
                    <w:jc w:val="center"/>
                  </w:pPr>
                  <w:r>
                    <w:t>Active substance</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492CB2AB" w14:textId="77777777" w:rsidR="000228FA" w:rsidRDefault="000228FA" w:rsidP="00FF3977">
                  <w:pPr>
                    <w:jc w:val="center"/>
                  </w:pPr>
                  <w:r>
                    <w:t>Before the accelerated storage procedure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2CF2A8E" w14:textId="77777777" w:rsidR="000228FA" w:rsidRDefault="000228FA" w:rsidP="00FF3977">
                  <w:pPr>
                    <w:jc w:val="center"/>
                  </w:pPr>
                  <w:r>
                    <w:t>After the accelerated storage procedure</w:t>
                  </w:r>
                </w:p>
              </w:tc>
            </w:tr>
            <w:tr w:rsidR="000228FA" w14:paraId="6533F719" w14:textId="77777777" w:rsidTr="00FF3977">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EAB492" w14:textId="77777777" w:rsidR="000228FA" w:rsidRDefault="000228FA" w:rsidP="00FF3977">
                  <w:r>
                    <w:t>Lactic acid</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4B1E1C55" w14:textId="77777777" w:rsidR="000228FA" w:rsidRDefault="000228FA" w:rsidP="00FF3977">
                  <w:r>
                    <w:t>Content (% w/w)</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5D31B3CE" w14:textId="77777777" w:rsidR="000228FA" w:rsidRDefault="000228FA" w:rsidP="00FF3977">
                  <w:pPr>
                    <w:jc w:val="center"/>
                  </w:pPr>
                  <w:r>
                    <w:t>3.17</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6CBD840" w14:textId="77777777" w:rsidR="000228FA" w:rsidRDefault="000228FA" w:rsidP="00FF3977">
                  <w:pPr>
                    <w:jc w:val="center"/>
                  </w:pPr>
                  <w:r>
                    <w:t>3.21</w:t>
                  </w:r>
                </w:p>
              </w:tc>
            </w:tr>
            <w:tr w:rsidR="000228FA" w14:paraId="17A089B2"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B70D9" w14:textId="77777777" w:rsidR="000228FA" w:rsidRDefault="000228FA" w:rsidP="00FF3977"/>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0744E47D" w14:textId="77777777" w:rsidR="000228FA" w:rsidRDefault="000228FA" w:rsidP="00FF3977">
                  <w:r>
                    <w:t>Deviation (%)</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78FE56F7" w14:textId="77777777" w:rsidR="000228FA" w:rsidRDefault="000228FA" w:rsidP="00FF3977">
                  <w:pPr>
                    <w:jc w:val="center"/>
                  </w:pPr>
                  <w:r>
                    <w:t>From the nominal value</w:t>
                  </w:r>
                </w:p>
                <w:p w14:paraId="505B2D7A" w14:textId="77777777" w:rsidR="000228FA" w:rsidRDefault="000228FA" w:rsidP="00FF3977">
                  <w:pPr>
                    <w:jc w:val="center"/>
                  </w:pPr>
                  <w:r>
                    <w:t>-0.9</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4EC82F3" w14:textId="77777777" w:rsidR="000228FA" w:rsidRDefault="000228FA" w:rsidP="00FF3977">
                  <w:pPr>
                    <w:jc w:val="center"/>
                  </w:pPr>
                  <w:r>
                    <w:t>From the T = 0 value</w:t>
                  </w:r>
                </w:p>
                <w:p w14:paraId="1068981F" w14:textId="77777777" w:rsidR="000228FA" w:rsidRDefault="000228FA" w:rsidP="00FF3977">
                  <w:pPr>
                    <w:jc w:val="center"/>
                  </w:pPr>
                  <w:r>
                    <w:t>+1.3</w:t>
                  </w:r>
                </w:p>
              </w:tc>
            </w:tr>
          </w:tbl>
          <w:p w14:paraId="04CF407E" w14:textId="77777777" w:rsidR="000228FA" w:rsidRPr="00A411E7" w:rsidRDefault="000228FA" w:rsidP="00FF3977">
            <w:pPr>
              <w:rPr>
                <w:rFonts w:eastAsia="Calibri"/>
              </w:rPr>
            </w:pPr>
            <w:r>
              <w:rPr>
                <w:color w:val="FF0000"/>
              </w:rPr>
              <w:br/>
            </w:r>
            <w:r>
              <w:rPr>
                <w:color w:val="FF0000"/>
              </w:rPr>
              <w:br/>
            </w:r>
            <w:r>
              <w:rPr>
                <w:b/>
                <w:bCs/>
              </w:rPr>
              <w:t>DETERMINATION OF pH VALUES</w:t>
            </w:r>
            <w:r>
              <w:rPr>
                <w:color w:val="FF0000"/>
              </w:rPr>
              <w:br/>
            </w:r>
            <w:r>
              <w:t xml:space="preserve">Before the accelerated storage procedure, the mean pH value of the pure test item was: 2.12 at 20.1 °C after 1 min and 2.12 at 20.3 °C after 2 min. After the accelerated storage procedure, the mean pH value of the pure test item was: 2.13 at 20.5 °C after 1 min and 2.12 at 20.7 °C </w:t>
            </w:r>
            <w:r>
              <w:lastRenderedPageBreak/>
              <w:t>after 2 min.</w:t>
            </w:r>
            <w:r>
              <w:rPr>
                <w:color w:val="FF0000"/>
              </w:rPr>
              <w:br/>
            </w:r>
            <w:r>
              <w:rPr>
                <w:b/>
                <w:bCs/>
              </w:rPr>
              <w:t>SATISFACTORY OPERATION OF THE SPRAYER AND SPRAY VOLUME</w:t>
            </w:r>
            <w:r>
              <w:rPr>
                <w:color w:val="FF0000"/>
              </w:rPr>
              <w:br/>
            </w:r>
            <w:r>
              <w:t xml:space="preserve">Before the accelerated storage procedure, the mean volume of a pulverisation of the sprayer with a classic nozzle was 1.43 mL. The mean volume of a pulverisation of the sprayer with a foam nozzle was 1.44 mL. Both nozzles of the sprayers were checked and no blocking was observed. </w:t>
            </w:r>
            <w:r>
              <w:br/>
              <w:t>After the accelerated storage procedure, the mean volume of a pulverisation of the sprayer with a classic nozzle was 1.22 mL. The mean volume of a pulverisation of the sprayer with a foam nozzle was 1.41 mL. Both nozzles of the sprayers were checked and no blocking was observed.</w:t>
            </w:r>
            <w:r>
              <w:rPr>
                <w:color w:val="FF0000"/>
              </w:rPr>
              <w:br/>
            </w:r>
            <w:r>
              <w:rPr>
                <w:b/>
                <w:bCs/>
              </w:rPr>
              <w:t>SPRAY DIAMETER AND PATTERN</w:t>
            </w:r>
            <w:r>
              <w:br/>
              <w:t>Before the accelerated storage procedure, the mean spray diameter of the sprayer with a classic nozzle was 24 cm. The mean spray diameter of the sprayer with a foam nozzle was 17 cm. The shape of the sprays on the wetted patch for both nozzles was circular.</w:t>
            </w:r>
            <w:r>
              <w:br/>
              <w:t>After the accelerated storage procedure, the mean spray diameter of the sprayer with a classic nozzle was 23 cm. The mean spray diameter of the sprayer with a foam nozzle was 18 cm. The shape of the sprays on the wetted patch for both nozzles was circular.</w:t>
            </w:r>
            <w:r>
              <w:br/>
            </w:r>
            <w:r>
              <w:lastRenderedPageBreak/>
              <w:br/>
              <w:t xml:space="preserve">These results can be extrapolated to the other packagings in HDPE, PET and COEXTRUDE ( HDPE/PA) according to </w:t>
            </w:r>
            <w:r w:rsidRPr="001D704F">
              <w:t>ECHA Guidance Vol. I, Parts A+B+C</w:t>
            </w:r>
            <w:r>
              <w:t xml:space="preserve"> </w:t>
            </w:r>
            <w:r>
              <w:fldChar w:fldCharType="begin"/>
            </w:r>
            <w:r>
              <w:instrText xml:space="preserve"> ADDIN ZOTERO_ITEM CSL_CITATION {"citationID":"7UFd6yEQ","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fldChar w:fldCharType="separate"/>
            </w:r>
            <w:r w:rsidRPr="0098795B">
              <w:t>(3)</w:t>
            </w:r>
            <w:r>
              <w:fldChar w:fldCharType="end"/>
            </w:r>
            <w:r>
              <w:rPr>
                <w:color w:val="000000"/>
              </w:rPr>
              <w:t>, 3.6.4.2 Point 3.4.2 Table 7.</w:t>
            </w:r>
          </w:p>
        </w:tc>
        <w:tc>
          <w:tcPr>
            <w:tcW w:w="447" w:type="pct"/>
            <w:vAlign w:val="center"/>
          </w:tcPr>
          <w:p w14:paraId="1DE9D88C" w14:textId="77777777" w:rsidR="000228FA" w:rsidRPr="00A411E7" w:rsidRDefault="000228FA" w:rsidP="00FF3977">
            <w:pPr>
              <w:rPr>
                <w:rFonts w:eastAsia="Calibri"/>
              </w:rPr>
            </w:pPr>
            <w:r>
              <w:lastRenderedPageBreak/>
              <w:t>Demangel B. and Ricau H., 2019, Report No 18-901011-023</w:t>
            </w:r>
          </w:p>
        </w:tc>
        <w:tc>
          <w:tcPr>
            <w:tcW w:w="478" w:type="pct"/>
          </w:tcPr>
          <w:p w14:paraId="2F25443C" w14:textId="77777777" w:rsidR="000228FA" w:rsidRDefault="000228FA" w:rsidP="00FF3977">
            <w:pPr>
              <w:rPr>
                <w:color w:val="000000"/>
              </w:rPr>
            </w:pPr>
            <w:r>
              <w:rPr>
                <w:color w:val="000000"/>
              </w:rPr>
              <w:t>Acceptable</w:t>
            </w:r>
          </w:p>
          <w:p w14:paraId="61F0935C" w14:textId="77777777" w:rsidR="000228FA" w:rsidRDefault="000228FA" w:rsidP="00FF3977">
            <w:pPr>
              <w:rPr>
                <w:color w:val="000000"/>
              </w:rPr>
            </w:pPr>
            <w:r>
              <w:rPr>
                <w:color w:val="000000"/>
              </w:rPr>
              <w:t xml:space="preserve">The product is stable after 14 days at 54°C with both sprayers (classic </w:t>
            </w:r>
            <w:r>
              <w:rPr>
                <w:color w:val="000000"/>
              </w:rPr>
              <w:lastRenderedPageBreak/>
              <w:t>nozzle / foam nozzle)</w:t>
            </w:r>
            <w:r w:rsidR="00CB4CF1">
              <w:rPr>
                <w:color w:val="000000"/>
              </w:rPr>
              <w:t>.</w:t>
            </w:r>
          </w:p>
          <w:p w14:paraId="38026153" w14:textId="77777777" w:rsidR="00CB4CF1" w:rsidRDefault="00CB4CF1" w:rsidP="00FF3977">
            <w:pPr>
              <w:rPr>
                <w:color w:val="000000"/>
              </w:rPr>
            </w:pPr>
          </w:p>
          <w:p w14:paraId="43B76F50" w14:textId="5F817DCC" w:rsidR="00CB4CF1" w:rsidRDefault="00CB4CF1" w:rsidP="00FF3977">
            <w:r>
              <w:rPr>
                <w:color w:val="000000"/>
              </w:rPr>
              <w:t xml:space="preserve">However, a decrease in </w:t>
            </w:r>
            <w:r w:rsidRPr="00324B98">
              <w:rPr>
                <w:color w:val="000000"/>
              </w:rPr>
              <w:t>the mean volume of a pulverisation of the sprayer</w:t>
            </w:r>
            <w:r>
              <w:rPr>
                <w:color w:val="000000"/>
              </w:rPr>
              <w:t xml:space="preserve"> is noted with the classic nozzle. Results after long-term storage are required to conclude on the satisfactory operation of the sprayer device.</w:t>
            </w:r>
          </w:p>
        </w:tc>
      </w:tr>
      <w:tr w:rsidR="000228FA" w14:paraId="47701FB7" w14:textId="77777777" w:rsidTr="00FF3977">
        <w:tc>
          <w:tcPr>
            <w:tcW w:w="1230" w:type="pct"/>
          </w:tcPr>
          <w:p w14:paraId="0CAD2C30"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594" w:type="pct"/>
            <w:vAlign w:val="center"/>
          </w:tcPr>
          <w:p w14:paraId="6A84E136" w14:textId="77777777" w:rsidR="000228FA" w:rsidRPr="00A12904" w:rsidRDefault="000228FA" w:rsidP="00FF3977">
            <w:pPr>
              <w:rPr>
                <w:color w:val="000000"/>
              </w:rPr>
            </w:pPr>
            <w:r>
              <w:rPr>
                <w:color w:val="000000"/>
              </w:rPr>
              <w:t> </w:t>
            </w:r>
            <w:r w:rsidRPr="00A12904">
              <w:rPr>
                <w:color w:val="000000"/>
              </w:rPr>
              <w:t>Technical</w:t>
            </w:r>
          </w:p>
          <w:p w14:paraId="06C0C22B" w14:textId="77777777" w:rsidR="000228FA" w:rsidRPr="00A411E7" w:rsidRDefault="000228FA" w:rsidP="00FF3977">
            <w:pPr>
              <w:rPr>
                <w:rFonts w:eastAsia="Calibri"/>
              </w:rPr>
            </w:pPr>
            <w:r w:rsidRPr="00A12904">
              <w:rPr>
                <w:color w:val="000000"/>
              </w:rPr>
              <w:t>Monograph No. 17</w:t>
            </w:r>
          </w:p>
        </w:tc>
        <w:tc>
          <w:tcPr>
            <w:tcW w:w="540" w:type="pct"/>
            <w:vAlign w:val="center"/>
          </w:tcPr>
          <w:p w14:paraId="2BE58E2A" w14:textId="77777777" w:rsidR="000228FA" w:rsidRPr="00A411E7" w:rsidRDefault="000228FA" w:rsidP="00FF3977">
            <w:pPr>
              <w:rPr>
                <w:rFonts w:eastAsia="Calibri"/>
              </w:rPr>
            </w:pPr>
            <w:r>
              <w:rPr>
                <w:color w:val="000000"/>
              </w:rPr>
              <w:t> </w:t>
            </w:r>
            <w:r>
              <w:rPr>
                <w:rFonts w:eastAsia="Calibri"/>
              </w:rPr>
              <w:t xml:space="preserve">Test item: </w:t>
            </w:r>
            <w:r w:rsidRPr="00BC0514">
              <w:rPr>
                <w:rFonts w:eastAsia="Calibri"/>
              </w:rPr>
              <w:t>218114-B3</w:t>
            </w:r>
          </w:p>
        </w:tc>
        <w:tc>
          <w:tcPr>
            <w:tcW w:w="1711" w:type="pct"/>
            <w:vAlign w:val="center"/>
          </w:tcPr>
          <w:p w14:paraId="208BB0FC"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47" w:type="pct"/>
            <w:vAlign w:val="center"/>
          </w:tcPr>
          <w:p w14:paraId="2A117137" w14:textId="77777777" w:rsidR="000228FA" w:rsidRPr="00A411E7" w:rsidRDefault="000228FA" w:rsidP="00FF3977">
            <w:pPr>
              <w:rPr>
                <w:rFonts w:eastAsia="Calibri"/>
              </w:rPr>
            </w:pPr>
            <w:r>
              <w:rPr>
                <w:color w:val="000000"/>
              </w:rPr>
              <w:t> Demangel B., 2018, Report No 18-901011-024</w:t>
            </w:r>
          </w:p>
        </w:tc>
        <w:tc>
          <w:tcPr>
            <w:tcW w:w="478" w:type="pct"/>
          </w:tcPr>
          <w:p w14:paraId="7A311143" w14:textId="77777777" w:rsidR="000228FA" w:rsidRDefault="000228FA" w:rsidP="00FF3977">
            <w:pPr>
              <w:rPr>
                <w:color w:val="000000"/>
              </w:rPr>
            </w:pPr>
            <w:r>
              <w:rPr>
                <w:color w:val="000000"/>
              </w:rPr>
              <w:t>study required in poste authorisation</w:t>
            </w:r>
          </w:p>
        </w:tc>
      </w:tr>
      <w:tr w:rsidR="000228FA" w14:paraId="04D82513" w14:textId="77777777" w:rsidTr="00FF3977">
        <w:tc>
          <w:tcPr>
            <w:tcW w:w="1230" w:type="pct"/>
          </w:tcPr>
          <w:p w14:paraId="337D8A5F"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594" w:type="pct"/>
            <w:vAlign w:val="center"/>
          </w:tcPr>
          <w:p w14:paraId="72321EA6" w14:textId="77777777" w:rsidR="000228FA" w:rsidRPr="00A411E7" w:rsidRDefault="000228FA" w:rsidP="00FF3977">
            <w:pPr>
              <w:rPr>
                <w:rFonts w:eastAsia="Calibri"/>
              </w:rPr>
            </w:pPr>
            <w:r>
              <w:rPr>
                <w:color w:val="000000"/>
              </w:rPr>
              <w:t>CIPAC Handbook J - MT 39.3 method (2000)</w:t>
            </w:r>
          </w:p>
        </w:tc>
        <w:tc>
          <w:tcPr>
            <w:tcW w:w="540" w:type="pct"/>
            <w:vAlign w:val="center"/>
          </w:tcPr>
          <w:p w14:paraId="07CEB2BB" w14:textId="77777777" w:rsidR="000228FA" w:rsidRDefault="000228FA" w:rsidP="00FF3977">
            <w:pPr>
              <w:rPr>
                <w:color w:val="000000"/>
              </w:rPr>
            </w:pPr>
            <w:r>
              <w:rPr>
                <w:color w:val="000000"/>
              </w:rPr>
              <w:t>Batch 1805000317</w:t>
            </w:r>
          </w:p>
          <w:p w14:paraId="1FAB5D1E"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0C200FAF" w14:textId="77777777" w:rsidR="000228FA" w:rsidRPr="00A411E7" w:rsidRDefault="000228FA" w:rsidP="00FF3977">
            <w:pPr>
              <w:rPr>
                <w:rFonts w:eastAsia="Calibri"/>
              </w:rPr>
            </w:pPr>
            <w:r>
              <w:t>At the start of the test, the test item was a homogeneous colourless limpid liquid. The aspect of the test item was considered to be stable after a low temperature stability for 7 days at 0 ± 2 °C, no change was observed in the test item aspect.</w:t>
            </w:r>
          </w:p>
        </w:tc>
        <w:tc>
          <w:tcPr>
            <w:tcW w:w="447" w:type="pct"/>
            <w:vAlign w:val="center"/>
          </w:tcPr>
          <w:p w14:paraId="45066080" w14:textId="77777777" w:rsidR="000228FA" w:rsidRPr="00A411E7" w:rsidRDefault="000228FA" w:rsidP="00FF3977">
            <w:pPr>
              <w:rPr>
                <w:rFonts w:eastAsia="Calibri"/>
              </w:rPr>
            </w:pPr>
            <w:r>
              <w:rPr>
                <w:color w:val="000000"/>
              </w:rPr>
              <w:t>Demangel B., 2019, Report No 18-901011-022</w:t>
            </w:r>
          </w:p>
        </w:tc>
        <w:tc>
          <w:tcPr>
            <w:tcW w:w="478" w:type="pct"/>
          </w:tcPr>
          <w:p w14:paraId="20B0E39F" w14:textId="77777777" w:rsidR="000228FA" w:rsidRDefault="000228FA" w:rsidP="00FF3977">
            <w:pPr>
              <w:rPr>
                <w:color w:val="000000"/>
              </w:rPr>
            </w:pPr>
            <w:r>
              <w:rPr>
                <w:color w:val="000000"/>
              </w:rPr>
              <w:t>Acceptable</w:t>
            </w:r>
          </w:p>
          <w:p w14:paraId="3D190B6D" w14:textId="77777777" w:rsidR="000228FA" w:rsidRDefault="000228FA" w:rsidP="00FF3977">
            <w:pPr>
              <w:rPr>
                <w:color w:val="000000"/>
              </w:rPr>
            </w:pPr>
            <w:r>
              <w:rPr>
                <w:color w:val="000000"/>
              </w:rPr>
              <w:t>The product is stable after 7 days at 0°C.</w:t>
            </w:r>
          </w:p>
        </w:tc>
      </w:tr>
      <w:tr w:rsidR="000228FA" w14:paraId="27BCAA17" w14:textId="77777777" w:rsidTr="00FF3977">
        <w:tc>
          <w:tcPr>
            <w:tcW w:w="1230" w:type="pct"/>
          </w:tcPr>
          <w:p w14:paraId="73130086"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594" w:type="pct"/>
            <w:vAlign w:val="center"/>
          </w:tcPr>
          <w:p w14:paraId="3B07FE7B" w14:textId="77777777" w:rsidR="000228FA" w:rsidRPr="00A411E7" w:rsidRDefault="000228FA" w:rsidP="00FF3977">
            <w:pPr>
              <w:spacing w:line="260" w:lineRule="atLeast"/>
              <w:rPr>
                <w:rFonts w:eastAsia="Calibri"/>
                <w:lang w:eastAsia="en-US"/>
              </w:rPr>
            </w:pPr>
            <w:r>
              <w:rPr>
                <w:color w:val="000000"/>
              </w:rPr>
              <w:t xml:space="preserve"> -</w:t>
            </w:r>
          </w:p>
        </w:tc>
        <w:tc>
          <w:tcPr>
            <w:tcW w:w="540" w:type="pct"/>
            <w:vAlign w:val="center"/>
          </w:tcPr>
          <w:p w14:paraId="3CBA7A71" w14:textId="77777777" w:rsidR="000228FA" w:rsidRPr="00A411E7" w:rsidRDefault="000228FA" w:rsidP="00FF3977">
            <w:pPr>
              <w:spacing w:line="260" w:lineRule="atLeast"/>
              <w:rPr>
                <w:rFonts w:eastAsia="Calibri"/>
                <w:lang w:eastAsia="en-US"/>
              </w:rPr>
            </w:pPr>
            <w:r>
              <w:rPr>
                <w:color w:val="000000"/>
              </w:rPr>
              <w:t xml:space="preserve"> -</w:t>
            </w:r>
          </w:p>
        </w:tc>
        <w:tc>
          <w:tcPr>
            <w:tcW w:w="1711" w:type="pct"/>
            <w:vAlign w:val="center"/>
          </w:tcPr>
          <w:p w14:paraId="58F81F02" w14:textId="77777777" w:rsidR="000228FA" w:rsidRPr="00A411E7" w:rsidRDefault="000228FA" w:rsidP="00FF3977">
            <w:pPr>
              <w:spacing w:line="260" w:lineRule="atLeast"/>
              <w:rPr>
                <w:rFonts w:eastAsia="Calibri"/>
                <w:lang w:eastAsia="en-US"/>
              </w:rPr>
            </w:pPr>
            <w:r>
              <w:rPr>
                <w:color w:val="000000"/>
              </w:rPr>
              <w:t>The biocidal product is packaged in opaque packaging (500 ml, 750 ml, 1 l, 5 l) and transparent packaging (500 ml, 750 ml, 1 l, 5 l).</w:t>
            </w:r>
            <w:r>
              <w:rPr>
                <w:color w:val="000000"/>
              </w:rPr>
              <w:br/>
              <w:t>The test item is considered to be stable after 14 days at 54 ± 2°C (please refer above).</w:t>
            </w:r>
          </w:p>
        </w:tc>
        <w:tc>
          <w:tcPr>
            <w:tcW w:w="447" w:type="pct"/>
            <w:vAlign w:val="center"/>
          </w:tcPr>
          <w:p w14:paraId="41CA8763" w14:textId="77777777" w:rsidR="000228FA" w:rsidRPr="00A411E7" w:rsidRDefault="000228FA" w:rsidP="00FF3977">
            <w:pPr>
              <w:spacing w:line="260" w:lineRule="atLeast"/>
              <w:rPr>
                <w:rFonts w:eastAsia="Calibri"/>
                <w:lang w:eastAsia="en-US"/>
              </w:rPr>
            </w:pPr>
            <w:r>
              <w:rPr>
                <w:color w:val="000000"/>
              </w:rPr>
              <w:t xml:space="preserve"> -</w:t>
            </w:r>
          </w:p>
        </w:tc>
        <w:tc>
          <w:tcPr>
            <w:tcW w:w="478" w:type="pct"/>
          </w:tcPr>
          <w:p w14:paraId="11B8BDE1" w14:textId="77777777" w:rsidR="000228FA" w:rsidRDefault="000228FA" w:rsidP="00FF3977">
            <w:pPr>
              <w:spacing w:line="260" w:lineRule="atLeast"/>
              <w:rPr>
                <w:color w:val="000000"/>
              </w:rPr>
            </w:pPr>
            <w:r>
              <w:rPr>
                <w:color w:val="000000"/>
              </w:rPr>
              <w:t>Acceptable</w:t>
            </w:r>
          </w:p>
          <w:p w14:paraId="77591D34" w14:textId="77777777" w:rsidR="000228FA" w:rsidRDefault="000228FA" w:rsidP="00FF3977">
            <w:pPr>
              <w:spacing w:line="260" w:lineRule="atLeast"/>
              <w:rPr>
                <w:color w:val="000000"/>
              </w:rPr>
            </w:pPr>
          </w:p>
          <w:p w14:paraId="30C24422" w14:textId="77777777" w:rsidR="000228FA" w:rsidRDefault="000228FA" w:rsidP="00FF3977">
            <w:pPr>
              <w:spacing w:line="260" w:lineRule="atLeast"/>
              <w:rPr>
                <w:color w:val="000000"/>
              </w:rPr>
            </w:pPr>
            <w:r w:rsidRPr="00450A0D">
              <w:rPr>
                <w:color w:val="000000"/>
              </w:rPr>
              <w:t xml:space="preserve">The active substance, lactic acid, is not light sensitive.  </w:t>
            </w:r>
          </w:p>
        </w:tc>
      </w:tr>
      <w:tr w:rsidR="000228FA" w14:paraId="72A87851" w14:textId="77777777" w:rsidTr="00FF3977">
        <w:tc>
          <w:tcPr>
            <w:tcW w:w="1230" w:type="pct"/>
          </w:tcPr>
          <w:p w14:paraId="0BD5F0C0"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594" w:type="pct"/>
            <w:vAlign w:val="center"/>
          </w:tcPr>
          <w:p w14:paraId="2981B8AA" w14:textId="77777777" w:rsidR="000228FA" w:rsidRPr="00A411E7" w:rsidRDefault="000228FA" w:rsidP="00FF3977">
            <w:pPr>
              <w:rPr>
                <w:rFonts w:eastAsia="Calibri"/>
              </w:rPr>
            </w:pPr>
            <w:r>
              <w:rPr>
                <w:color w:val="000000"/>
              </w:rPr>
              <w:t xml:space="preserve"> -</w:t>
            </w:r>
          </w:p>
        </w:tc>
        <w:tc>
          <w:tcPr>
            <w:tcW w:w="540" w:type="pct"/>
            <w:vAlign w:val="center"/>
          </w:tcPr>
          <w:p w14:paraId="70960D19" w14:textId="77777777" w:rsidR="000228FA" w:rsidRPr="00A411E7" w:rsidRDefault="000228FA" w:rsidP="00FF3977">
            <w:pPr>
              <w:rPr>
                <w:rFonts w:eastAsia="Calibri"/>
              </w:rPr>
            </w:pPr>
            <w:r>
              <w:rPr>
                <w:color w:val="000000"/>
              </w:rPr>
              <w:t xml:space="preserve"> -</w:t>
            </w:r>
          </w:p>
        </w:tc>
        <w:tc>
          <w:tcPr>
            <w:tcW w:w="1711" w:type="pct"/>
            <w:vAlign w:val="center"/>
          </w:tcPr>
          <w:p w14:paraId="478172E4" w14:textId="77777777" w:rsidR="000228FA" w:rsidRPr="00A411E7" w:rsidRDefault="000228FA" w:rsidP="00FF3977">
            <w:pPr>
              <w:rPr>
                <w:rFonts w:eastAsia="Calibri"/>
              </w:rPr>
            </w:pPr>
            <w:r>
              <w:rPr>
                <w:color w:val="000000"/>
              </w:rPr>
              <w:t>With its hand-operated trigger sprayer and caps, the packagings are leak-tight. The test item is considered to be stable after 14 days at 54 ± 2°C (please refer above).</w:t>
            </w:r>
          </w:p>
        </w:tc>
        <w:tc>
          <w:tcPr>
            <w:tcW w:w="447" w:type="pct"/>
            <w:vAlign w:val="center"/>
          </w:tcPr>
          <w:p w14:paraId="4C216394" w14:textId="77777777" w:rsidR="000228FA" w:rsidRPr="00A411E7" w:rsidRDefault="000228FA" w:rsidP="00FF3977">
            <w:pPr>
              <w:rPr>
                <w:rFonts w:eastAsia="Calibri"/>
              </w:rPr>
            </w:pPr>
            <w:r>
              <w:rPr>
                <w:color w:val="000000"/>
              </w:rPr>
              <w:t xml:space="preserve"> -</w:t>
            </w:r>
          </w:p>
        </w:tc>
        <w:tc>
          <w:tcPr>
            <w:tcW w:w="478" w:type="pct"/>
          </w:tcPr>
          <w:p w14:paraId="37F5FAEF" w14:textId="77777777" w:rsidR="000228FA" w:rsidRDefault="000228FA" w:rsidP="00FF3977">
            <w:pPr>
              <w:rPr>
                <w:color w:val="000000"/>
              </w:rPr>
            </w:pPr>
            <w:r>
              <w:rPr>
                <w:color w:val="000000"/>
              </w:rPr>
              <w:t>Acceptable</w:t>
            </w:r>
          </w:p>
        </w:tc>
      </w:tr>
      <w:tr w:rsidR="000228FA" w14:paraId="4DADAFD0" w14:textId="77777777" w:rsidTr="00FF3977">
        <w:tc>
          <w:tcPr>
            <w:tcW w:w="1230" w:type="pct"/>
          </w:tcPr>
          <w:p w14:paraId="441C9EEE" w14:textId="77777777" w:rsidR="000228FA" w:rsidRPr="00A411E7" w:rsidRDefault="000228FA" w:rsidP="00FF3977">
            <w:pPr>
              <w:rPr>
                <w:rFonts w:eastAsia="Calibri"/>
              </w:rPr>
            </w:pPr>
            <w:r w:rsidRPr="00A411E7">
              <w:rPr>
                <w:rFonts w:eastAsia="Calibri"/>
              </w:rPr>
              <w:lastRenderedPageBreak/>
              <w:t xml:space="preserve">Effects on content of the active substance and technical characteristics of the biocidal product - </w:t>
            </w:r>
            <w:r w:rsidRPr="00A411E7">
              <w:rPr>
                <w:rFonts w:eastAsia="Calibri"/>
                <w:b/>
              </w:rPr>
              <w:t>reactivity towards container material</w:t>
            </w:r>
          </w:p>
        </w:tc>
        <w:tc>
          <w:tcPr>
            <w:tcW w:w="594" w:type="pct"/>
            <w:vAlign w:val="center"/>
          </w:tcPr>
          <w:p w14:paraId="1909F2B2" w14:textId="77777777" w:rsidR="000228FA" w:rsidRPr="00A411E7" w:rsidRDefault="000228FA" w:rsidP="00FF3977">
            <w:pPr>
              <w:rPr>
                <w:rFonts w:eastAsia="Calibri"/>
              </w:rPr>
            </w:pPr>
            <w:r>
              <w:rPr>
                <w:color w:val="000000"/>
              </w:rPr>
              <w:t xml:space="preserve"> -</w:t>
            </w:r>
          </w:p>
        </w:tc>
        <w:tc>
          <w:tcPr>
            <w:tcW w:w="540" w:type="pct"/>
            <w:vAlign w:val="center"/>
          </w:tcPr>
          <w:p w14:paraId="2DB04F29" w14:textId="77777777" w:rsidR="000228FA" w:rsidRPr="00A411E7" w:rsidRDefault="000228FA" w:rsidP="00FF3977">
            <w:pPr>
              <w:rPr>
                <w:rFonts w:eastAsia="Calibri"/>
              </w:rPr>
            </w:pPr>
            <w:r>
              <w:rPr>
                <w:color w:val="000000"/>
              </w:rPr>
              <w:t xml:space="preserve"> -</w:t>
            </w:r>
          </w:p>
        </w:tc>
        <w:tc>
          <w:tcPr>
            <w:tcW w:w="1711" w:type="pct"/>
            <w:vAlign w:val="center"/>
          </w:tcPr>
          <w:p w14:paraId="5FD9B015" w14:textId="77777777" w:rsidR="000228FA" w:rsidRPr="00A411E7" w:rsidRDefault="000228FA" w:rsidP="00FF3977">
            <w:pPr>
              <w:rPr>
                <w:rFonts w:eastAsia="Calibri"/>
              </w:rPr>
            </w:pPr>
            <w:r>
              <w:rPr>
                <w:color w:val="000000"/>
              </w:rPr>
              <w:t>Experience on the product has proved that no reactivity is expected towards container materials. The test item is considered to be stable after 14 days at 54 ± 2°C (please refer above).</w:t>
            </w:r>
          </w:p>
        </w:tc>
        <w:tc>
          <w:tcPr>
            <w:tcW w:w="447" w:type="pct"/>
            <w:vAlign w:val="center"/>
          </w:tcPr>
          <w:p w14:paraId="3D450DD0" w14:textId="77777777" w:rsidR="000228FA" w:rsidRPr="00A411E7" w:rsidRDefault="000228FA" w:rsidP="00FF3977">
            <w:pPr>
              <w:rPr>
                <w:rFonts w:eastAsia="Calibri"/>
              </w:rPr>
            </w:pPr>
            <w:r>
              <w:rPr>
                <w:color w:val="000000"/>
              </w:rPr>
              <w:t xml:space="preserve"> -</w:t>
            </w:r>
          </w:p>
        </w:tc>
        <w:tc>
          <w:tcPr>
            <w:tcW w:w="478" w:type="pct"/>
          </w:tcPr>
          <w:p w14:paraId="1D2FCBE4" w14:textId="77777777" w:rsidR="000228FA" w:rsidRDefault="000228FA" w:rsidP="00FF3977">
            <w:pPr>
              <w:rPr>
                <w:color w:val="000000"/>
              </w:rPr>
            </w:pPr>
            <w:r>
              <w:rPr>
                <w:color w:val="000000"/>
              </w:rPr>
              <w:t>Acceptable</w:t>
            </w:r>
          </w:p>
        </w:tc>
      </w:tr>
      <w:tr w:rsidR="000228FA" w14:paraId="3A68B277" w14:textId="77777777" w:rsidTr="00FF3977">
        <w:tc>
          <w:tcPr>
            <w:tcW w:w="1230" w:type="pct"/>
          </w:tcPr>
          <w:p w14:paraId="1B3E8B11" w14:textId="77777777" w:rsidR="000228FA" w:rsidRPr="00A411E7" w:rsidRDefault="000228FA" w:rsidP="00FF3977">
            <w:pPr>
              <w:rPr>
                <w:rFonts w:eastAsia="Calibri"/>
              </w:rPr>
            </w:pPr>
            <w:r w:rsidRPr="00A411E7">
              <w:rPr>
                <w:rFonts w:eastAsia="Calibri"/>
              </w:rPr>
              <w:t>Wettability</w:t>
            </w:r>
          </w:p>
        </w:tc>
        <w:tc>
          <w:tcPr>
            <w:tcW w:w="594" w:type="pct"/>
            <w:vAlign w:val="center"/>
          </w:tcPr>
          <w:p w14:paraId="4969D01C" w14:textId="77777777" w:rsidR="000228FA" w:rsidRPr="00A411E7" w:rsidRDefault="000228FA" w:rsidP="00FF3977">
            <w:pPr>
              <w:rPr>
                <w:rFonts w:eastAsia="Calibri"/>
              </w:rPr>
            </w:pPr>
            <w:r>
              <w:rPr>
                <w:color w:val="000000"/>
              </w:rPr>
              <w:t xml:space="preserve"> -</w:t>
            </w:r>
          </w:p>
        </w:tc>
        <w:tc>
          <w:tcPr>
            <w:tcW w:w="540" w:type="pct"/>
            <w:vAlign w:val="center"/>
          </w:tcPr>
          <w:p w14:paraId="7B61A034" w14:textId="77777777" w:rsidR="000228FA" w:rsidRPr="00A411E7" w:rsidRDefault="000228FA" w:rsidP="00FF3977">
            <w:pPr>
              <w:rPr>
                <w:rFonts w:eastAsia="Calibri"/>
              </w:rPr>
            </w:pPr>
            <w:r>
              <w:rPr>
                <w:color w:val="000000"/>
              </w:rPr>
              <w:t xml:space="preserve"> -</w:t>
            </w:r>
          </w:p>
        </w:tc>
        <w:tc>
          <w:tcPr>
            <w:tcW w:w="1711" w:type="pct"/>
            <w:vAlign w:val="center"/>
          </w:tcPr>
          <w:p w14:paraId="6B4BE984"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5A4A6C41" w14:textId="77777777" w:rsidR="000228FA" w:rsidRPr="00A411E7" w:rsidRDefault="000228FA" w:rsidP="00FF3977">
            <w:pPr>
              <w:rPr>
                <w:rFonts w:eastAsia="Calibri"/>
              </w:rPr>
            </w:pPr>
            <w:r>
              <w:rPr>
                <w:color w:val="000000"/>
              </w:rPr>
              <w:t xml:space="preserve"> -</w:t>
            </w:r>
          </w:p>
        </w:tc>
        <w:tc>
          <w:tcPr>
            <w:tcW w:w="478" w:type="pct"/>
          </w:tcPr>
          <w:p w14:paraId="7427EAD4" w14:textId="77777777" w:rsidR="000228FA" w:rsidRDefault="000228FA" w:rsidP="00FF3977">
            <w:pPr>
              <w:rPr>
                <w:color w:val="000000"/>
              </w:rPr>
            </w:pPr>
            <w:r>
              <w:rPr>
                <w:color w:val="000000"/>
              </w:rPr>
              <w:t>Not relevant for an AL formulation</w:t>
            </w:r>
          </w:p>
        </w:tc>
      </w:tr>
      <w:tr w:rsidR="000228FA" w14:paraId="3DC8EBB4" w14:textId="77777777" w:rsidTr="00FF3977">
        <w:tc>
          <w:tcPr>
            <w:tcW w:w="1230" w:type="pct"/>
          </w:tcPr>
          <w:p w14:paraId="5D9344FD" w14:textId="77777777" w:rsidR="000228FA" w:rsidRPr="00A411E7" w:rsidRDefault="000228FA" w:rsidP="00FF3977">
            <w:pPr>
              <w:rPr>
                <w:rFonts w:eastAsia="Calibri"/>
              </w:rPr>
            </w:pPr>
            <w:r w:rsidRPr="00A411E7">
              <w:rPr>
                <w:rFonts w:eastAsia="Calibri"/>
              </w:rPr>
              <w:t>Suspensibility, spontaneity and dispersion stability</w:t>
            </w:r>
          </w:p>
        </w:tc>
        <w:tc>
          <w:tcPr>
            <w:tcW w:w="594" w:type="pct"/>
            <w:vAlign w:val="center"/>
          </w:tcPr>
          <w:p w14:paraId="75CA7BDE" w14:textId="77777777" w:rsidR="000228FA" w:rsidRPr="00A411E7" w:rsidRDefault="000228FA" w:rsidP="00FF3977">
            <w:pPr>
              <w:rPr>
                <w:rFonts w:eastAsia="Calibri"/>
              </w:rPr>
            </w:pPr>
            <w:r>
              <w:rPr>
                <w:color w:val="000000"/>
              </w:rPr>
              <w:t xml:space="preserve"> -</w:t>
            </w:r>
          </w:p>
        </w:tc>
        <w:tc>
          <w:tcPr>
            <w:tcW w:w="540" w:type="pct"/>
            <w:vAlign w:val="center"/>
          </w:tcPr>
          <w:p w14:paraId="73FEEB4E" w14:textId="77777777" w:rsidR="000228FA" w:rsidRPr="00A411E7" w:rsidRDefault="000228FA" w:rsidP="00FF3977">
            <w:pPr>
              <w:rPr>
                <w:rFonts w:eastAsia="Calibri"/>
              </w:rPr>
            </w:pPr>
            <w:r>
              <w:rPr>
                <w:color w:val="000000"/>
              </w:rPr>
              <w:t xml:space="preserve"> -</w:t>
            </w:r>
          </w:p>
        </w:tc>
        <w:tc>
          <w:tcPr>
            <w:tcW w:w="1711" w:type="pct"/>
            <w:vAlign w:val="center"/>
          </w:tcPr>
          <w:p w14:paraId="159612B0"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3957AD73" w14:textId="77777777" w:rsidR="000228FA" w:rsidRPr="00A411E7" w:rsidRDefault="000228FA" w:rsidP="00FF3977">
            <w:pPr>
              <w:rPr>
                <w:rFonts w:eastAsia="Calibri"/>
              </w:rPr>
            </w:pPr>
            <w:r>
              <w:rPr>
                <w:color w:val="000000"/>
              </w:rPr>
              <w:t xml:space="preserve"> -</w:t>
            </w:r>
          </w:p>
        </w:tc>
        <w:tc>
          <w:tcPr>
            <w:tcW w:w="478" w:type="pct"/>
          </w:tcPr>
          <w:p w14:paraId="73A5E180" w14:textId="77777777" w:rsidR="000228FA" w:rsidRDefault="000228FA" w:rsidP="00FF3977">
            <w:pPr>
              <w:rPr>
                <w:color w:val="000000"/>
              </w:rPr>
            </w:pPr>
            <w:r>
              <w:rPr>
                <w:color w:val="000000"/>
              </w:rPr>
              <w:t>Not relevant for an AL formulation</w:t>
            </w:r>
          </w:p>
        </w:tc>
      </w:tr>
      <w:tr w:rsidR="000228FA" w14:paraId="153CCF54" w14:textId="77777777" w:rsidTr="00FF3977">
        <w:tc>
          <w:tcPr>
            <w:tcW w:w="1230" w:type="pct"/>
          </w:tcPr>
          <w:p w14:paraId="60072A23" w14:textId="77777777" w:rsidR="000228FA" w:rsidRPr="00F24D0D" w:rsidRDefault="000228FA" w:rsidP="00FF3977">
            <w:pPr>
              <w:rPr>
                <w:rFonts w:eastAsia="Calibri"/>
              </w:rPr>
            </w:pPr>
            <w:r w:rsidRPr="00A411E7">
              <w:rPr>
                <w:rFonts w:eastAsia="Calibri"/>
              </w:rPr>
              <w:t xml:space="preserve">Wet sieve analysis </w:t>
            </w:r>
            <w:r w:rsidRPr="00F24D0D">
              <w:rPr>
                <w:rFonts w:eastAsia="Calibri"/>
              </w:rPr>
              <w:t>and dry sieve test</w:t>
            </w:r>
          </w:p>
        </w:tc>
        <w:tc>
          <w:tcPr>
            <w:tcW w:w="594" w:type="pct"/>
            <w:vAlign w:val="center"/>
          </w:tcPr>
          <w:p w14:paraId="0DE86113" w14:textId="77777777" w:rsidR="000228FA" w:rsidRPr="00F24D0D" w:rsidRDefault="000228FA" w:rsidP="00FF3977">
            <w:pPr>
              <w:rPr>
                <w:rFonts w:eastAsia="Calibri"/>
              </w:rPr>
            </w:pPr>
            <w:r>
              <w:rPr>
                <w:color w:val="000000"/>
              </w:rPr>
              <w:t xml:space="preserve"> -</w:t>
            </w:r>
          </w:p>
        </w:tc>
        <w:tc>
          <w:tcPr>
            <w:tcW w:w="540" w:type="pct"/>
            <w:vAlign w:val="center"/>
          </w:tcPr>
          <w:p w14:paraId="26E0E002" w14:textId="77777777" w:rsidR="000228FA" w:rsidRPr="00C746BC" w:rsidRDefault="000228FA" w:rsidP="00FF3977">
            <w:pPr>
              <w:rPr>
                <w:rFonts w:eastAsia="Calibri"/>
              </w:rPr>
            </w:pPr>
            <w:r>
              <w:rPr>
                <w:color w:val="000000"/>
              </w:rPr>
              <w:t xml:space="preserve"> -</w:t>
            </w:r>
          </w:p>
        </w:tc>
        <w:tc>
          <w:tcPr>
            <w:tcW w:w="1711" w:type="pct"/>
            <w:vAlign w:val="center"/>
          </w:tcPr>
          <w:p w14:paraId="1BFE78DB" w14:textId="77777777" w:rsidR="000228FA" w:rsidRPr="00305B11" w:rsidRDefault="000228FA" w:rsidP="00FF3977">
            <w:pPr>
              <w:rPr>
                <w:rFonts w:eastAsia="Calibri"/>
              </w:rPr>
            </w:pPr>
            <w:r>
              <w:rPr>
                <w:color w:val="000000"/>
              </w:rPr>
              <w:t>Not required as the product is a ready-to-use liquid.</w:t>
            </w:r>
          </w:p>
        </w:tc>
        <w:tc>
          <w:tcPr>
            <w:tcW w:w="447" w:type="pct"/>
            <w:vAlign w:val="center"/>
          </w:tcPr>
          <w:p w14:paraId="0C6F3205" w14:textId="77777777" w:rsidR="000228FA" w:rsidRPr="00305B11" w:rsidRDefault="000228FA" w:rsidP="00FF3977">
            <w:pPr>
              <w:rPr>
                <w:rFonts w:eastAsia="Calibri"/>
              </w:rPr>
            </w:pPr>
            <w:r>
              <w:rPr>
                <w:color w:val="000000"/>
              </w:rPr>
              <w:t xml:space="preserve"> -</w:t>
            </w:r>
          </w:p>
        </w:tc>
        <w:tc>
          <w:tcPr>
            <w:tcW w:w="478" w:type="pct"/>
          </w:tcPr>
          <w:p w14:paraId="20DE8FBB" w14:textId="77777777" w:rsidR="000228FA" w:rsidRDefault="000228FA" w:rsidP="00FF3977">
            <w:pPr>
              <w:rPr>
                <w:color w:val="000000"/>
              </w:rPr>
            </w:pPr>
            <w:r>
              <w:rPr>
                <w:color w:val="000000"/>
              </w:rPr>
              <w:t>Not relevant for an AL formulation</w:t>
            </w:r>
          </w:p>
        </w:tc>
      </w:tr>
      <w:tr w:rsidR="000228FA" w14:paraId="79277F2F" w14:textId="77777777" w:rsidTr="00FF3977">
        <w:tc>
          <w:tcPr>
            <w:tcW w:w="1230" w:type="pct"/>
          </w:tcPr>
          <w:p w14:paraId="58EA8D8D" w14:textId="77777777" w:rsidR="000228FA" w:rsidRPr="00017CF8" w:rsidRDefault="000228FA" w:rsidP="00FF3977">
            <w:pPr>
              <w:rPr>
                <w:rFonts w:eastAsia="Calibri"/>
              </w:rPr>
            </w:pPr>
            <w:r w:rsidRPr="00017CF8">
              <w:rPr>
                <w:rFonts w:eastAsia="Calibri"/>
              </w:rPr>
              <w:t>Emulsifiability, re-emulsifiability and emulsion stability</w:t>
            </w:r>
          </w:p>
        </w:tc>
        <w:tc>
          <w:tcPr>
            <w:tcW w:w="594" w:type="pct"/>
            <w:vAlign w:val="center"/>
          </w:tcPr>
          <w:p w14:paraId="3945315D" w14:textId="77777777" w:rsidR="000228FA" w:rsidRPr="00017CF8" w:rsidRDefault="000228FA" w:rsidP="00FF3977">
            <w:pPr>
              <w:rPr>
                <w:rFonts w:eastAsia="Calibri"/>
              </w:rPr>
            </w:pPr>
            <w:r>
              <w:rPr>
                <w:color w:val="000000"/>
              </w:rPr>
              <w:t xml:space="preserve"> -</w:t>
            </w:r>
          </w:p>
        </w:tc>
        <w:tc>
          <w:tcPr>
            <w:tcW w:w="540" w:type="pct"/>
            <w:vAlign w:val="center"/>
          </w:tcPr>
          <w:p w14:paraId="2E83A024" w14:textId="77777777" w:rsidR="000228FA" w:rsidRPr="00017CF8" w:rsidRDefault="000228FA" w:rsidP="00FF3977">
            <w:pPr>
              <w:rPr>
                <w:rFonts w:eastAsia="Calibri"/>
              </w:rPr>
            </w:pPr>
            <w:r>
              <w:rPr>
                <w:color w:val="000000"/>
              </w:rPr>
              <w:t xml:space="preserve"> -</w:t>
            </w:r>
          </w:p>
        </w:tc>
        <w:tc>
          <w:tcPr>
            <w:tcW w:w="1711" w:type="pct"/>
            <w:vAlign w:val="center"/>
          </w:tcPr>
          <w:p w14:paraId="0AA35960" w14:textId="77777777" w:rsidR="000228FA" w:rsidRPr="00017CF8" w:rsidRDefault="000228FA" w:rsidP="00FF3977">
            <w:pPr>
              <w:rPr>
                <w:rFonts w:eastAsia="Calibri"/>
              </w:rPr>
            </w:pPr>
            <w:r>
              <w:rPr>
                <w:color w:val="000000"/>
              </w:rPr>
              <w:t>Not required as the product is a ready-to-use liquid.</w:t>
            </w:r>
          </w:p>
        </w:tc>
        <w:tc>
          <w:tcPr>
            <w:tcW w:w="447" w:type="pct"/>
            <w:vAlign w:val="center"/>
          </w:tcPr>
          <w:p w14:paraId="37A8789D" w14:textId="77777777" w:rsidR="000228FA" w:rsidRPr="00017CF8" w:rsidRDefault="000228FA" w:rsidP="00FF3977">
            <w:pPr>
              <w:rPr>
                <w:rFonts w:eastAsia="Calibri"/>
              </w:rPr>
            </w:pPr>
            <w:r>
              <w:rPr>
                <w:color w:val="000000"/>
              </w:rPr>
              <w:t xml:space="preserve"> -</w:t>
            </w:r>
          </w:p>
        </w:tc>
        <w:tc>
          <w:tcPr>
            <w:tcW w:w="478" w:type="pct"/>
          </w:tcPr>
          <w:p w14:paraId="5527F67A" w14:textId="77777777" w:rsidR="000228FA" w:rsidRDefault="000228FA" w:rsidP="00FF3977">
            <w:pPr>
              <w:rPr>
                <w:color w:val="000000"/>
              </w:rPr>
            </w:pPr>
            <w:r>
              <w:rPr>
                <w:color w:val="000000"/>
              </w:rPr>
              <w:t>Not relevant for an AL formulation</w:t>
            </w:r>
          </w:p>
        </w:tc>
      </w:tr>
      <w:tr w:rsidR="000228FA" w14:paraId="110B4403" w14:textId="77777777" w:rsidTr="00FF3977">
        <w:tc>
          <w:tcPr>
            <w:tcW w:w="1230" w:type="pct"/>
          </w:tcPr>
          <w:p w14:paraId="7B47183F" w14:textId="77777777" w:rsidR="000228FA" w:rsidRPr="00DF6CFE" w:rsidRDefault="000228FA" w:rsidP="00FF3977">
            <w:pPr>
              <w:rPr>
                <w:rFonts w:eastAsia="Calibri"/>
              </w:rPr>
            </w:pPr>
            <w:r w:rsidRPr="00DF6CFE">
              <w:rPr>
                <w:rFonts w:eastAsia="Calibri"/>
              </w:rPr>
              <w:t>Disintegration time</w:t>
            </w:r>
          </w:p>
        </w:tc>
        <w:tc>
          <w:tcPr>
            <w:tcW w:w="594" w:type="pct"/>
            <w:vAlign w:val="center"/>
          </w:tcPr>
          <w:p w14:paraId="717A118F" w14:textId="77777777" w:rsidR="000228FA" w:rsidRPr="00DF6CFE" w:rsidRDefault="000228FA" w:rsidP="00FF3977">
            <w:pPr>
              <w:rPr>
                <w:rFonts w:eastAsia="Calibri"/>
              </w:rPr>
            </w:pPr>
            <w:r>
              <w:rPr>
                <w:color w:val="000000"/>
              </w:rPr>
              <w:t xml:space="preserve"> -</w:t>
            </w:r>
          </w:p>
        </w:tc>
        <w:tc>
          <w:tcPr>
            <w:tcW w:w="540" w:type="pct"/>
            <w:vAlign w:val="center"/>
          </w:tcPr>
          <w:p w14:paraId="730091B5" w14:textId="77777777" w:rsidR="000228FA" w:rsidRPr="00DF6CFE" w:rsidRDefault="000228FA" w:rsidP="00FF3977">
            <w:pPr>
              <w:rPr>
                <w:rFonts w:eastAsia="Calibri"/>
              </w:rPr>
            </w:pPr>
            <w:r>
              <w:rPr>
                <w:color w:val="000000"/>
              </w:rPr>
              <w:t xml:space="preserve"> -</w:t>
            </w:r>
          </w:p>
        </w:tc>
        <w:tc>
          <w:tcPr>
            <w:tcW w:w="1711" w:type="pct"/>
            <w:vAlign w:val="center"/>
          </w:tcPr>
          <w:p w14:paraId="77E2C935" w14:textId="77777777" w:rsidR="000228FA" w:rsidRPr="00DF6CFE" w:rsidRDefault="000228FA" w:rsidP="00FF3977">
            <w:pPr>
              <w:rPr>
                <w:rFonts w:eastAsia="Calibri"/>
              </w:rPr>
            </w:pPr>
            <w:r>
              <w:rPr>
                <w:color w:val="000000"/>
              </w:rPr>
              <w:t>Not required as the product is a ready-to-use liquid.</w:t>
            </w:r>
          </w:p>
        </w:tc>
        <w:tc>
          <w:tcPr>
            <w:tcW w:w="447" w:type="pct"/>
            <w:vAlign w:val="center"/>
          </w:tcPr>
          <w:p w14:paraId="524DEB37" w14:textId="77777777" w:rsidR="000228FA" w:rsidRPr="00DF6CFE" w:rsidRDefault="000228FA" w:rsidP="00FF3977">
            <w:pPr>
              <w:rPr>
                <w:rFonts w:eastAsia="Calibri"/>
              </w:rPr>
            </w:pPr>
            <w:r>
              <w:rPr>
                <w:color w:val="000000"/>
              </w:rPr>
              <w:t xml:space="preserve"> -</w:t>
            </w:r>
          </w:p>
        </w:tc>
        <w:tc>
          <w:tcPr>
            <w:tcW w:w="478" w:type="pct"/>
          </w:tcPr>
          <w:p w14:paraId="12458BA7" w14:textId="77777777" w:rsidR="000228FA" w:rsidRDefault="000228FA" w:rsidP="00FF3977">
            <w:pPr>
              <w:rPr>
                <w:color w:val="000000"/>
              </w:rPr>
            </w:pPr>
            <w:r>
              <w:rPr>
                <w:color w:val="000000"/>
              </w:rPr>
              <w:t>Not relevant for an AL formulation</w:t>
            </w:r>
          </w:p>
        </w:tc>
      </w:tr>
      <w:tr w:rsidR="000228FA" w14:paraId="4723C8F9" w14:textId="77777777" w:rsidTr="00FF3977">
        <w:tc>
          <w:tcPr>
            <w:tcW w:w="1230" w:type="pct"/>
          </w:tcPr>
          <w:p w14:paraId="783CDF5C"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594" w:type="pct"/>
            <w:vAlign w:val="center"/>
          </w:tcPr>
          <w:p w14:paraId="5251B612" w14:textId="77777777" w:rsidR="000228FA" w:rsidRPr="00A411E7" w:rsidRDefault="000228FA" w:rsidP="00FF3977">
            <w:pPr>
              <w:rPr>
                <w:rFonts w:eastAsia="Calibri"/>
              </w:rPr>
            </w:pPr>
            <w:r>
              <w:rPr>
                <w:color w:val="000000"/>
              </w:rPr>
              <w:t xml:space="preserve"> -</w:t>
            </w:r>
          </w:p>
        </w:tc>
        <w:tc>
          <w:tcPr>
            <w:tcW w:w="540" w:type="pct"/>
            <w:vAlign w:val="center"/>
          </w:tcPr>
          <w:p w14:paraId="23C2AEE0" w14:textId="77777777" w:rsidR="000228FA" w:rsidRPr="00A411E7" w:rsidRDefault="000228FA" w:rsidP="00FF3977">
            <w:pPr>
              <w:rPr>
                <w:rFonts w:eastAsia="Calibri"/>
              </w:rPr>
            </w:pPr>
            <w:r>
              <w:rPr>
                <w:color w:val="000000"/>
              </w:rPr>
              <w:t xml:space="preserve"> -</w:t>
            </w:r>
          </w:p>
        </w:tc>
        <w:tc>
          <w:tcPr>
            <w:tcW w:w="1711" w:type="pct"/>
            <w:vAlign w:val="center"/>
          </w:tcPr>
          <w:p w14:paraId="7EBB9526"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7D55C178" w14:textId="77777777" w:rsidR="000228FA" w:rsidRPr="00A411E7" w:rsidRDefault="000228FA" w:rsidP="00FF3977">
            <w:pPr>
              <w:rPr>
                <w:rFonts w:eastAsia="Calibri"/>
              </w:rPr>
            </w:pPr>
            <w:r>
              <w:rPr>
                <w:color w:val="000000"/>
              </w:rPr>
              <w:t xml:space="preserve"> -</w:t>
            </w:r>
          </w:p>
        </w:tc>
        <w:tc>
          <w:tcPr>
            <w:tcW w:w="478" w:type="pct"/>
          </w:tcPr>
          <w:p w14:paraId="5DEC23BC" w14:textId="77777777" w:rsidR="000228FA" w:rsidRDefault="000228FA" w:rsidP="00FF3977">
            <w:pPr>
              <w:rPr>
                <w:color w:val="000000"/>
              </w:rPr>
            </w:pPr>
            <w:r>
              <w:rPr>
                <w:color w:val="000000"/>
              </w:rPr>
              <w:t>Not relevant for an AL formulation</w:t>
            </w:r>
          </w:p>
        </w:tc>
      </w:tr>
      <w:tr w:rsidR="000228FA" w14:paraId="3E01D889" w14:textId="77777777" w:rsidTr="00FF3977">
        <w:tc>
          <w:tcPr>
            <w:tcW w:w="1230" w:type="pct"/>
          </w:tcPr>
          <w:p w14:paraId="42E1E4F4" w14:textId="77777777" w:rsidR="000228FA" w:rsidRPr="00A411E7" w:rsidRDefault="000228FA" w:rsidP="00FF3977">
            <w:pPr>
              <w:rPr>
                <w:rFonts w:eastAsia="Calibri"/>
              </w:rPr>
            </w:pPr>
            <w:r w:rsidRPr="00A411E7">
              <w:rPr>
                <w:rFonts w:eastAsia="Calibri"/>
              </w:rPr>
              <w:t>Persistent foaming</w:t>
            </w:r>
          </w:p>
        </w:tc>
        <w:tc>
          <w:tcPr>
            <w:tcW w:w="594" w:type="pct"/>
            <w:vAlign w:val="center"/>
          </w:tcPr>
          <w:p w14:paraId="6F193F14" w14:textId="77777777" w:rsidR="000228FA" w:rsidRPr="00A411E7" w:rsidRDefault="000228FA" w:rsidP="00FF3977">
            <w:pPr>
              <w:rPr>
                <w:rFonts w:eastAsia="Calibri"/>
              </w:rPr>
            </w:pPr>
            <w:r>
              <w:rPr>
                <w:color w:val="000000"/>
              </w:rPr>
              <w:t xml:space="preserve"> -</w:t>
            </w:r>
          </w:p>
        </w:tc>
        <w:tc>
          <w:tcPr>
            <w:tcW w:w="540" w:type="pct"/>
            <w:vAlign w:val="center"/>
          </w:tcPr>
          <w:p w14:paraId="3695C552" w14:textId="77777777" w:rsidR="000228FA" w:rsidRPr="00A411E7" w:rsidRDefault="000228FA" w:rsidP="00FF3977">
            <w:pPr>
              <w:rPr>
                <w:rFonts w:eastAsia="Calibri"/>
              </w:rPr>
            </w:pPr>
            <w:r>
              <w:rPr>
                <w:color w:val="000000"/>
              </w:rPr>
              <w:t xml:space="preserve"> -</w:t>
            </w:r>
          </w:p>
        </w:tc>
        <w:tc>
          <w:tcPr>
            <w:tcW w:w="1711" w:type="pct"/>
            <w:vAlign w:val="center"/>
          </w:tcPr>
          <w:p w14:paraId="2ABFB9BA"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1844CD5E" w14:textId="77777777" w:rsidR="000228FA" w:rsidRPr="00A411E7" w:rsidRDefault="000228FA" w:rsidP="00FF3977">
            <w:pPr>
              <w:rPr>
                <w:rFonts w:eastAsia="Calibri"/>
              </w:rPr>
            </w:pPr>
            <w:r>
              <w:rPr>
                <w:color w:val="000000"/>
              </w:rPr>
              <w:t xml:space="preserve"> -</w:t>
            </w:r>
          </w:p>
        </w:tc>
        <w:tc>
          <w:tcPr>
            <w:tcW w:w="478" w:type="pct"/>
          </w:tcPr>
          <w:p w14:paraId="22875CDA" w14:textId="77777777" w:rsidR="000228FA" w:rsidRDefault="000228FA" w:rsidP="00FF3977">
            <w:pPr>
              <w:rPr>
                <w:color w:val="000000"/>
              </w:rPr>
            </w:pPr>
            <w:r>
              <w:rPr>
                <w:color w:val="000000"/>
              </w:rPr>
              <w:t>Not relevant</w:t>
            </w:r>
          </w:p>
        </w:tc>
      </w:tr>
      <w:tr w:rsidR="000228FA" w14:paraId="1DF4D84B" w14:textId="77777777" w:rsidTr="00FF3977">
        <w:tc>
          <w:tcPr>
            <w:tcW w:w="1230" w:type="pct"/>
          </w:tcPr>
          <w:p w14:paraId="67DCC23B" w14:textId="77777777" w:rsidR="000228FA" w:rsidRPr="00A411E7" w:rsidRDefault="000228FA" w:rsidP="00FF3977">
            <w:pPr>
              <w:rPr>
                <w:rFonts w:eastAsia="Calibri"/>
              </w:rPr>
            </w:pPr>
            <w:r w:rsidRPr="00A411E7">
              <w:rPr>
                <w:rFonts w:eastAsia="Calibri"/>
              </w:rPr>
              <w:lastRenderedPageBreak/>
              <w:t>Flowability/Pourability/Dustability</w:t>
            </w:r>
          </w:p>
        </w:tc>
        <w:tc>
          <w:tcPr>
            <w:tcW w:w="594" w:type="pct"/>
            <w:vAlign w:val="center"/>
          </w:tcPr>
          <w:p w14:paraId="1B142FB2" w14:textId="77777777" w:rsidR="000228FA" w:rsidRPr="00A411E7" w:rsidRDefault="000228FA" w:rsidP="00FF3977">
            <w:pPr>
              <w:rPr>
                <w:rFonts w:eastAsia="Calibri"/>
              </w:rPr>
            </w:pPr>
            <w:r>
              <w:rPr>
                <w:color w:val="000000"/>
              </w:rPr>
              <w:t xml:space="preserve"> -</w:t>
            </w:r>
          </w:p>
        </w:tc>
        <w:tc>
          <w:tcPr>
            <w:tcW w:w="540" w:type="pct"/>
            <w:vAlign w:val="center"/>
          </w:tcPr>
          <w:p w14:paraId="70768678" w14:textId="77777777" w:rsidR="000228FA" w:rsidRPr="00A411E7" w:rsidRDefault="000228FA" w:rsidP="00FF3977">
            <w:pPr>
              <w:rPr>
                <w:rFonts w:eastAsia="Calibri"/>
              </w:rPr>
            </w:pPr>
            <w:r>
              <w:rPr>
                <w:color w:val="000000"/>
              </w:rPr>
              <w:t xml:space="preserve"> -</w:t>
            </w:r>
          </w:p>
        </w:tc>
        <w:tc>
          <w:tcPr>
            <w:tcW w:w="1711" w:type="pct"/>
            <w:vAlign w:val="center"/>
          </w:tcPr>
          <w:p w14:paraId="0E119C63"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54A93FEE" w14:textId="77777777" w:rsidR="000228FA" w:rsidRPr="00A411E7" w:rsidRDefault="000228FA" w:rsidP="00FF3977">
            <w:pPr>
              <w:rPr>
                <w:rFonts w:eastAsia="Calibri"/>
              </w:rPr>
            </w:pPr>
            <w:r>
              <w:rPr>
                <w:color w:val="000000"/>
              </w:rPr>
              <w:t xml:space="preserve"> -</w:t>
            </w:r>
          </w:p>
        </w:tc>
        <w:tc>
          <w:tcPr>
            <w:tcW w:w="478" w:type="pct"/>
          </w:tcPr>
          <w:p w14:paraId="7C066F9D" w14:textId="77777777" w:rsidR="000228FA" w:rsidRDefault="000228FA" w:rsidP="00FF3977">
            <w:pPr>
              <w:rPr>
                <w:color w:val="000000"/>
              </w:rPr>
            </w:pPr>
            <w:r>
              <w:rPr>
                <w:color w:val="000000"/>
              </w:rPr>
              <w:t>Not relevant for an AL formulation</w:t>
            </w:r>
          </w:p>
        </w:tc>
      </w:tr>
      <w:tr w:rsidR="000228FA" w14:paraId="20A867C5" w14:textId="77777777" w:rsidTr="00FF3977">
        <w:tc>
          <w:tcPr>
            <w:tcW w:w="1230" w:type="pct"/>
          </w:tcPr>
          <w:p w14:paraId="551A6B45" w14:textId="77777777" w:rsidR="000228FA" w:rsidRPr="00A411E7" w:rsidRDefault="000228FA" w:rsidP="00FF3977">
            <w:pPr>
              <w:rPr>
                <w:rFonts w:eastAsia="Calibri"/>
              </w:rPr>
            </w:pPr>
            <w:r w:rsidRPr="00A411E7">
              <w:rPr>
                <w:rFonts w:eastAsia="Calibri"/>
              </w:rPr>
              <w:t>Burning rate — smoke generators</w:t>
            </w:r>
          </w:p>
        </w:tc>
        <w:tc>
          <w:tcPr>
            <w:tcW w:w="594" w:type="pct"/>
            <w:vAlign w:val="center"/>
          </w:tcPr>
          <w:p w14:paraId="71920E7B" w14:textId="77777777" w:rsidR="000228FA" w:rsidRPr="00A411E7" w:rsidRDefault="000228FA" w:rsidP="00FF3977">
            <w:pPr>
              <w:rPr>
                <w:rFonts w:eastAsia="Calibri"/>
              </w:rPr>
            </w:pPr>
            <w:r>
              <w:rPr>
                <w:color w:val="000000"/>
              </w:rPr>
              <w:t xml:space="preserve"> -</w:t>
            </w:r>
          </w:p>
        </w:tc>
        <w:tc>
          <w:tcPr>
            <w:tcW w:w="540" w:type="pct"/>
            <w:vAlign w:val="center"/>
          </w:tcPr>
          <w:p w14:paraId="0B426B6A" w14:textId="77777777" w:rsidR="000228FA" w:rsidRPr="00A411E7" w:rsidRDefault="000228FA" w:rsidP="00FF3977">
            <w:pPr>
              <w:rPr>
                <w:rFonts w:eastAsia="Calibri"/>
              </w:rPr>
            </w:pPr>
            <w:r>
              <w:rPr>
                <w:color w:val="000000"/>
              </w:rPr>
              <w:t xml:space="preserve"> -</w:t>
            </w:r>
          </w:p>
        </w:tc>
        <w:tc>
          <w:tcPr>
            <w:tcW w:w="1711" w:type="pct"/>
            <w:vAlign w:val="center"/>
          </w:tcPr>
          <w:p w14:paraId="0E1F7630"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6805B726" w14:textId="77777777" w:rsidR="000228FA" w:rsidRPr="00A411E7" w:rsidRDefault="000228FA" w:rsidP="00FF3977">
            <w:pPr>
              <w:rPr>
                <w:rFonts w:eastAsia="Calibri"/>
              </w:rPr>
            </w:pPr>
            <w:r>
              <w:rPr>
                <w:color w:val="000000"/>
              </w:rPr>
              <w:t xml:space="preserve"> -</w:t>
            </w:r>
          </w:p>
        </w:tc>
        <w:tc>
          <w:tcPr>
            <w:tcW w:w="478" w:type="pct"/>
          </w:tcPr>
          <w:p w14:paraId="3E5010FC" w14:textId="77777777" w:rsidR="000228FA" w:rsidRDefault="000228FA" w:rsidP="00FF3977">
            <w:pPr>
              <w:rPr>
                <w:color w:val="000000"/>
              </w:rPr>
            </w:pPr>
            <w:r>
              <w:rPr>
                <w:color w:val="000000"/>
              </w:rPr>
              <w:t>Not relevant for an AL formulation</w:t>
            </w:r>
          </w:p>
        </w:tc>
      </w:tr>
      <w:tr w:rsidR="000228FA" w14:paraId="1DACB909" w14:textId="77777777" w:rsidTr="00FF3977">
        <w:tc>
          <w:tcPr>
            <w:tcW w:w="1230" w:type="pct"/>
          </w:tcPr>
          <w:p w14:paraId="77A1AA55" w14:textId="77777777" w:rsidR="000228FA" w:rsidRPr="00A411E7" w:rsidRDefault="000228FA" w:rsidP="00FF3977">
            <w:pPr>
              <w:rPr>
                <w:rFonts w:eastAsia="Calibri"/>
              </w:rPr>
            </w:pPr>
            <w:r w:rsidRPr="00A411E7">
              <w:rPr>
                <w:rFonts w:eastAsia="Calibri"/>
              </w:rPr>
              <w:t>Burning completeness — smoke generators</w:t>
            </w:r>
          </w:p>
        </w:tc>
        <w:tc>
          <w:tcPr>
            <w:tcW w:w="594" w:type="pct"/>
            <w:vAlign w:val="center"/>
          </w:tcPr>
          <w:p w14:paraId="101080CF" w14:textId="77777777" w:rsidR="000228FA" w:rsidRPr="00A411E7" w:rsidRDefault="000228FA" w:rsidP="00FF3977">
            <w:pPr>
              <w:rPr>
                <w:rFonts w:eastAsia="Calibri"/>
              </w:rPr>
            </w:pPr>
            <w:r>
              <w:rPr>
                <w:color w:val="000000"/>
              </w:rPr>
              <w:t xml:space="preserve"> -</w:t>
            </w:r>
          </w:p>
        </w:tc>
        <w:tc>
          <w:tcPr>
            <w:tcW w:w="540" w:type="pct"/>
            <w:vAlign w:val="center"/>
          </w:tcPr>
          <w:p w14:paraId="642A3779" w14:textId="77777777" w:rsidR="000228FA" w:rsidRPr="00A411E7" w:rsidRDefault="000228FA" w:rsidP="00FF3977">
            <w:pPr>
              <w:rPr>
                <w:rFonts w:eastAsia="Calibri"/>
              </w:rPr>
            </w:pPr>
            <w:r>
              <w:rPr>
                <w:color w:val="000000"/>
              </w:rPr>
              <w:t xml:space="preserve"> -</w:t>
            </w:r>
          </w:p>
        </w:tc>
        <w:tc>
          <w:tcPr>
            <w:tcW w:w="1711" w:type="pct"/>
            <w:vAlign w:val="center"/>
          </w:tcPr>
          <w:p w14:paraId="429F1897"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6C7F2774" w14:textId="77777777" w:rsidR="000228FA" w:rsidRPr="00A411E7" w:rsidRDefault="000228FA" w:rsidP="00FF3977">
            <w:pPr>
              <w:rPr>
                <w:rFonts w:eastAsia="Calibri"/>
              </w:rPr>
            </w:pPr>
            <w:r>
              <w:rPr>
                <w:color w:val="000000"/>
              </w:rPr>
              <w:t xml:space="preserve"> -</w:t>
            </w:r>
          </w:p>
        </w:tc>
        <w:tc>
          <w:tcPr>
            <w:tcW w:w="478" w:type="pct"/>
          </w:tcPr>
          <w:p w14:paraId="65197BBC" w14:textId="77777777" w:rsidR="000228FA" w:rsidRDefault="000228FA" w:rsidP="00FF3977">
            <w:pPr>
              <w:rPr>
                <w:color w:val="000000"/>
              </w:rPr>
            </w:pPr>
            <w:r>
              <w:rPr>
                <w:color w:val="000000"/>
              </w:rPr>
              <w:t>Not relevant for an AL formulation</w:t>
            </w:r>
          </w:p>
        </w:tc>
      </w:tr>
      <w:tr w:rsidR="000228FA" w14:paraId="6EF6602B" w14:textId="77777777" w:rsidTr="00FF3977">
        <w:tc>
          <w:tcPr>
            <w:tcW w:w="1230" w:type="pct"/>
          </w:tcPr>
          <w:p w14:paraId="06434AAA" w14:textId="77777777" w:rsidR="000228FA" w:rsidRPr="00A411E7" w:rsidRDefault="000228FA" w:rsidP="00FF3977">
            <w:pPr>
              <w:rPr>
                <w:rFonts w:eastAsia="Calibri"/>
              </w:rPr>
            </w:pPr>
            <w:r w:rsidRPr="00A411E7">
              <w:rPr>
                <w:rFonts w:eastAsia="Calibri"/>
              </w:rPr>
              <w:t>Composition of smoke — smoke generators</w:t>
            </w:r>
          </w:p>
        </w:tc>
        <w:tc>
          <w:tcPr>
            <w:tcW w:w="594" w:type="pct"/>
            <w:vAlign w:val="center"/>
          </w:tcPr>
          <w:p w14:paraId="5E941EAB" w14:textId="77777777" w:rsidR="000228FA" w:rsidRPr="00A411E7" w:rsidRDefault="000228FA" w:rsidP="00FF3977">
            <w:pPr>
              <w:rPr>
                <w:rFonts w:eastAsia="Calibri"/>
              </w:rPr>
            </w:pPr>
            <w:r>
              <w:rPr>
                <w:color w:val="000000"/>
              </w:rPr>
              <w:t xml:space="preserve"> -</w:t>
            </w:r>
          </w:p>
        </w:tc>
        <w:tc>
          <w:tcPr>
            <w:tcW w:w="540" w:type="pct"/>
            <w:vAlign w:val="center"/>
          </w:tcPr>
          <w:p w14:paraId="736967D3" w14:textId="77777777" w:rsidR="000228FA" w:rsidRPr="00A411E7" w:rsidRDefault="000228FA" w:rsidP="00FF3977">
            <w:pPr>
              <w:rPr>
                <w:rFonts w:eastAsia="Calibri"/>
              </w:rPr>
            </w:pPr>
            <w:r>
              <w:rPr>
                <w:color w:val="000000"/>
              </w:rPr>
              <w:t xml:space="preserve"> -</w:t>
            </w:r>
          </w:p>
        </w:tc>
        <w:tc>
          <w:tcPr>
            <w:tcW w:w="1711" w:type="pct"/>
            <w:vAlign w:val="center"/>
          </w:tcPr>
          <w:p w14:paraId="2DC10476"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60D4F19D" w14:textId="77777777" w:rsidR="000228FA" w:rsidRPr="00A411E7" w:rsidRDefault="000228FA" w:rsidP="00FF3977">
            <w:pPr>
              <w:rPr>
                <w:rFonts w:eastAsia="Calibri"/>
              </w:rPr>
            </w:pPr>
            <w:r>
              <w:rPr>
                <w:color w:val="000000"/>
              </w:rPr>
              <w:t xml:space="preserve"> -</w:t>
            </w:r>
          </w:p>
        </w:tc>
        <w:tc>
          <w:tcPr>
            <w:tcW w:w="478" w:type="pct"/>
          </w:tcPr>
          <w:p w14:paraId="64461090" w14:textId="77777777" w:rsidR="000228FA" w:rsidRDefault="000228FA" w:rsidP="00FF3977">
            <w:pPr>
              <w:rPr>
                <w:color w:val="000000"/>
              </w:rPr>
            </w:pPr>
            <w:r>
              <w:rPr>
                <w:color w:val="000000"/>
              </w:rPr>
              <w:t>Not relevant for an AL formulation</w:t>
            </w:r>
          </w:p>
        </w:tc>
      </w:tr>
      <w:tr w:rsidR="000228FA" w14:paraId="451EBF3E" w14:textId="77777777" w:rsidTr="00FF3977">
        <w:tc>
          <w:tcPr>
            <w:tcW w:w="1230" w:type="pct"/>
          </w:tcPr>
          <w:p w14:paraId="7CD4351F" w14:textId="77777777" w:rsidR="000228FA" w:rsidRPr="00A411E7" w:rsidRDefault="000228FA" w:rsidP="00FF3977">
            <w:pPr>
              <w:rPr>
                <w:rFonts w:eastAsia="Calibri"/>
              </w:rPr>
            </w:pPr>
            <w:r w:rsidRPr="00A411E7">
              <w:rPr>
                <w:rFonts w:eastAsia="Calibri"/>
              </w:rPr>
              <w:t>Spray</w:t>
            </w:r>
            <w:r>
              <w:rPr>
                <w:rFonts w:eastAsia="Calibri"/>
              </w:rPr>
              <w:t>ability</w:t>
            </w:r>
          </w:p>
        </w:tc>
        <w:tc>
          <w:tcPr>
            <w:tcW w:w="594" w:type="pct"/>
            <w:vAlign w:val="center"/>
          </w:tcPr>
          <w:p w14:paraId="7406EEDA" w14:textId="77777777" w:rsidR="000228FA" w:rsidRDefault="000228FA" w:rsidP="00FF3977">
            <w:pPr>
              <w:rPr>
                <w:color w:val="000000"/>
              </w:rPr>
            </w:pPr>
          </w:p>
          <w:p w14:paraId="4906267E" w14:textId="77777777" w:rsidR="000228FA" w:rsidRDefault="000228FA" w:rsidP="00FF3977">
            <w:pPr>
              <w:rPr>
                <w:color w:val="000000"/>
              </w:rPr>
            </w:pPr>
          </w:p>
          <w:p w14:paraId="0BFF8F03" w14:textId="77777777" w:rsidR="000228FA" w:rsidRDefault="000228FA" w:rsidP="00FF3977">
            <w:pPr>
              <w:rPr>
                <w:color w:val="000000"/>
              </w:rPr>
            </w:pPr>
          </w:p>
          <w:p w14:paraId="661E1465" w14:textId="77777777" w:rsidR="000228FA" w:rsidRDefault="000228FA" w:rsidP="00FF3977">
            <w:pPr>
              <w:rPr>
                <w:color w:val="000000"/>
              </w:rPr>
            </w:pPr>
          </w:p>
          <w:p w14:paraId="2B014A46" w14:textId="77777777" w:rsidR="000228FA" w:rsidRDefault="000228FA" w:rsidP="00FF3977">
            <w:pPr>
              <w:rPr>
                <w:color w:val="000000"/>
              </w:rPr>
            </w:pPr>
            <w:r>
              <w:rPr>
                <w:color w:val="000000"/>
              </w:rPr>
              <w:t>In house method</w:t>
            </w:r>
          </w:p>
          <w:p w14:paraId="6B8B2243" w14:textId="77777777" w:rsidR="000228FA" w:rsidRDefault="000228FA" w:rsidP="00FF3977">
            <w:pPr>
              <w:rPr>
                <w:color w:val="000000"/>
              </w:rPr>
            </w:pPr>
          </w:p>
          <w:p w14:paraId="53AE6571" w14:textId="77777777" w:rsidR="000228FA" w:rsidRDefault="000228FA" w:rsidP="00FF3977">
            <w:pPr>
              <w:rPr>
                <w:color w:val="000000"/>
              </w:rPr>
            </w:pPr>
          </w:p>
          <w:p w14:paraId="647678B0" w14:textId="77777777" w:rsidR="000228FA" w:rsidRDefault="000228FA" w:rsidP="00FF3977">
            <w:pPr>
              <w:rPr>
                <w:color w:val="000000"/>
              </w:rPr>
            </w:pPr>
          </w:p>
          <w:p w14:paraId="3000F392" w14:textId="77777777" w:rsidR="000228FA" w:rsidRDefault="000228FA" w:rsidP="00FF3977">
            <w:pPr>
              <w:rPr>
                <w:color w:val="000000"/>
              </w:rPr>
            </w:pPr>
          </w:p>
          <w:p w14:paraId="2F8CF6A4" w14:textId="77777777" w:rsidR="000228FA" w:rsidRDefault="000228FA" w:rsidP="00FF3977">
            <w:pPr>
              <w:rPr>
                <w:color w:val="000000"/>
              </w:rPr>
            </w:pPr>
          </w:p>
          <w:p w14:paraId="4DDEB9CF" w14:textId="77777777" w:rsidR="000228FA" w:rsidRDefault="000228FA" w:rsidP="00FF3977">
            <w:pPr>
              <w:rPr>
                <w:color w:val="000000"/>
              </w:rPr>
            </w:pPr>
          </w:p>
          <w:p w14:paraId="748B17EE" w14:textId="77777777" w:rsidR="000228FA" w:rsidRDefault="000228FA" w:rsidP="00FF3977">
            <w:pPr>
              <w:rPr>
                <w:color w:val="000000"/>
              </w:rPr>
            </w:pPr>
          </w:p>
          <w:p w14:paraId="17220E95" w14:textId="77777777" w:rsidR="000228FA" w:rsidRDefault="000228FA" w:rsidP="00FF3977">
            <w:pPr>
              <w:rPr>
                <w:color w:val="000000"/>
              </w:rPr>
            </w:pPr>
          </w:p>
          <w:p w14:paraId="10962D31" w14:textId="77777777" w:rsidR="000228FA" w:rsidRDefault="000228FA" w:rsidP="00FF3977">
            <w:pPr>
              <w:rPr>
                <w:color w:val="000000"/>
              </w:rPr>
            </w:pPr>
          </w:p>
          <w:p w14:paraId="6C507A14" w14:textId="77777777" w:rsidR="000228FA" w:rsidRDefault="000228FA" w:rsidP="00FF3977">
            <w:pPr>
              <w:rPr>
                <w:color w:val="000000"/>
              </w:rPr>
            </w:pPr>
          </w:p>
          <w:p w14:paraId="666843D4" w14:textId="77777777" w:rsidR="000228FA" w:rsidRPr="00EC74C1" w:rsidRDefault="000228FA" w:rsidP="00FF3977">
            <w:pPr>
              <w:rPr>
                <w:color w:val="000000"/>
              </w:rPr>
            </w:pPr>
            <w:r w:rsidRPr="00EC74C1">
              <w:rPr>
                <w:color w:val="000000"/>
              </w:rPr>
              <w:t>CIPAC Handbook K - MT 187 method (2003)</w:t>
            </w:r>
          </w:p>
          <w:p w14:paraId="48FF11E1" w14:textId="77777777" w:rsidR="000228FA" w:rsidRPr="00A411E7" w:rsidRDefault="000228FA" w:rsidP="00FF3977">
            <w:pPr>
              <w:rPr>
                <w:rFonts w:eastAsia="Calibri"/>
              </w:rPr>
            </w:pPr>
            <w:r w:rsidRPr="00EC74C1">
              <w:rPr>
                <w:color w:val="000000"/>
              </w:rPr>
              <w:t>and ISO 13320:2009</w:t>
            </w:r>
          </w:p>
        </w:tc>
        <w:tc>
          <w:tcPr>
            <w:tcW w:w="540" w:type="pct"/>
            <w:vAlign w:val="center"/>
          </w:tcPr>
          <w:p w14:paraId="7C5DB3DC" w14:textId="77777777" w:rsidR="000228FA" w:rsidRDefault="000228FA" w:rsidP="00FF3977">
            <w:pPr>
              <w:rPr>
                <w:color w:val="000000"/>
              </w:rPr>
            </w:pPr>
            <w:r>
              <w:rPr>
                <w:color w:val="000000"/>
              </w:rPr>
              <w:lastRenderedPageBreak/>
              <w:t xml:space="preserve"> Batch 1805000317</w:t>
            </w:r>
          </w:p>
          <w:p w14:paraId="31C9F7EF"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2C394CCA" w14:textId="77777777" w:rsidR="000228FA" w:rsidRDefault="000228FA" w:rsidP="00FF3977">
            <w:r>
              <w:t xml:space="preserve">The mean volume of a pulverisation of the sprayer with a classic nozzle was 1.43 mL. The mean volume of a pulverisation of the sprayer with a foam nozzle was 1.44 mL. Both nozzles of the sprayers were checked and no blocking was observed. </w:t>
            </w:r>
            <w:r>
              <w:br/>
            </w:r>
          </w:p>
          <w:p w14:paraId="2D43A75E" w14:textId="77777777" w:rsidR="000228FA" w:rsidRDefault="000228FA" w:rsidP="00FF3977">
            <w:r>
              <w:t>The mean spray diameter of the sprayer with a classic nozzle was 24 cm. The mean spray diameter of the sprayer with a foam nozzle was 17 cm. The shape of the sprays on the wetted patch for both nozzles was circular.</w:t>
            </w:r>
            <w:r>
              <w:br/>
            </w:r>
          </w:p>
          <w:p w14:paraId="17788DA7" w14:textId="77777777" w:rsidR="000228FA" w:rsidRDefault="000228FA" w:rsidP="00FF3977">
            <w:r>
              <w:t>Sray droplet size distribution:</w:t>
            </w:r>
          </w:p>
          <w:p w14:paraId="06DF049B" w14:textId="77777777" w:rsidR="000228FA" w:rsidRDefault="000228FA" w:rsidP="00FF3977">
            <w:r>
              <w:lastRenderedPageBreak/>
              <w:t>The following values were obtained for the test item:</w:t>
            </w:r>
          </w:p>
          <w:p w14:paraId="34C065FB" w14:textId="77777777" w:rsidR="000228FA" w:rsidRDefault="000228FA" w:rsidP="00FF3977">
            <w:r>
              <w:t>- The mean diameter in volume dv was 117.2 µm.</w:t>
            </w:r>
          </w:p>
          <w:p w14:paraId="54152673" w14:textId="77777777" w:rsidR="000228FA" w:rsidRDefault="000228FA" w:rsidP="00FF3977">
            <w:r>
              <w:t>- The mean diameter in surface dsv was 83.3 µm.</w:t>
            </w:r>
          </w:p>
          <w:p w14:paraId="4A70E291" w14:textId="77777777" w:rsidR="000228FA" w:rsidRDefault="000228FA" w:rsidP="00FF3977">
            <w:r>
              <w:t>- The particule size D(0.1) was 49.33 µm.</w:t>
            </w:r>
          </w:p>
          <w:p w14:paraId="67B0B7E1" w14:textId="77777777" w:rsidR="000228FA" w:rsidRDefault="000228FA" w:rsidP="00FF3977">
            <w:r>
              <w:t>- The particule size D(0.5) was 102.75 µm.</w:t>
            </w:r>
          </w:p>
          <w:p w14:paraId="018B1F77" w14:textId="77777777" w:rsidR="000228FA" w:rsidRDefault="000228FA" w:rsidP="00FF3977">
            <w:r>
              <w:t>- The particule size D(0.9) was 203.13 µm.</w:t>
            </w:r>
          </w:p>
          <w:p w14:paraId="5142BAD9" w14:textId="77777777" w:rsidR="000228FA" w:rsidRPr="00A411E7" w:rsidRDefault="000228FA" w:rsidP="00FF3977">
            <w:pPr>
              <w:rPr>
                <w:rFonts w:eastAsia="Calibri"/>
              </w:rPr>
            </w:pPr>
            <w:r>
              <w:t>The particule size distribution of the test item was found to range approximately 6.31 µm to 464.16 µm.</w:t>
            </w:r>
            <w:r>
              <w:br/>
            </w:r>
          </w:p>
        </w:tc>
        <w:tc>
          <w:tcPr>
            <w:tcW w:w="447" w:type="pct"/>
            <w:vAlign w:val="center"/>
          </w:tcPr>
          <w:p w14:paraId="0806ED87" w14:textId="77777777" w:rsidR="000228FA" w:rsidRDefault="000228FA" w:rsidP="00FF3977">
            <w:r>
              <w:lastRenderedPageBreak/>
              <w:t>Demangel B. and Ricau H., 2019, Report No 18-901011-023</w:t>
            </w:r>
          </w:p>
          <w:p w14:paraId="0CD3190E" w14:textId="77777777" w:rsidR="000228FA" w:rsidRDefault="000228FA" w:rsidP="00FF3977"/>
          <w:p w14:paraId="1974ECBB" w14:textId="77777777" w:rsidR="000228FA" w:rsidRDefault="000228FA" w:rsidP="00FF3977">
            <w:r>
              <w:t xml:space="preserve">And </w:t>
            </w:r>
          </w:p>
          <w:p w14:paraId="35AA6FB7" w14:textId="77777777" w:rsidR="000228FA" w:rsidRDefault="000228FA" w:rsidP="00FF3977"/>
          <w:p w14:paraId="668C98A5" w14:textId="77777777" w:rsidR="000228FA" w:rsidRPr="00A411E7" w:rsidRDefault="000228FA" w:rsidP="00FF3977">
            <w:pPr>
              <w:rPr>
                <w:rFonts w:eastAsia="Calibri"/>
              </w:rPr>
            </w:pPr>
            <w:r w:rsidRPr="00EC74C1">
              <w:t>Demangel B., 2020, Report No 18-</w:t>
            </w:r>
            <w:r w:rsidRPr="00EC74C1">
              <w:lastRenderedPageBreak/>
              <w:t>901011-024</w:t>
            </w:r>
          </w:p>
        </w:tc>
        <w:tc>
          <w:tcPr>
            <w:tcW w:w="478" w:type="pct"/>
          </w:tcPr>
          <w:p w14:paraId="3AC8D1A0" w14:textId="77777777" w:rsidR="000228FA" w:rsidRDefault="000228FA" w:rsidP="00FF3977">
            <w:pPr>
              <w:rPr>
                <w:color w:val="000000"/>
              </w:rPr>
            </w:pPr>
            <w:r>
              <w:rPr>
                <w:color w:val="000000"/>
              </w:rPr>
              <w:lastRenderedPageBreak/>
              <w:t>Acceptable</w:t>
            </w:r>
          </w:p>
        </w:tc>
      </w:tr>
      <w:tr w:rsidR="000228FA" w14:paraId="4F19B170" w14:textId="77777777" w:rsidTr="00FF3977">
        <w:tc>
          <w:tcPr>
            <w:tcW w:w="1230" w:type="pct"/>
          </w:tcPr>
          <w:p w14:paraId="479B7860" w14:textId="77777777" w:rsidR="000228FA" w:rsidRPr="00A411E7" w:rsidRDefault="000228FA" w:rsidP="00FF3977">
            <w:pPr>
              <w:rPr>
                <w:rFonts w:eastAsia="Calibri"/>
              </w:rPr>
            </w:pPr>
            <w:r w:rsidRPr="00A411E7">
              <w:rPr>
                <w:rFonts w:eastAsia="Calibri"/>
              </w:rPr>
              <w:t>Physical compatibility</w:t>
            </w:r>
          </w:p>
        </w:tc>
        <w:tc>
          <w:tcPr>
            <w:tcW w:w="594" w:type="pct"/>
            <w:vAlign w:val="center"/>
          </w:tcPr>
          <w:p w14:paraId="3265E653" w14:textId="77777777" w:rsidR="000228FA" w:rsidRPr="00A411E7" w:rsidRDefault="000228FA" w:rsidP="00FF3977">
            <w:pPr>
              <w:rPr>
                <w:rFonts w:eastAsia="Calibri"/>
              </w:rPr>
            </w:pPr>
            <w:r>
              <w:rPr>
                <w:color w:val="000000"/>
              </w:rPr>
              <w:t xml:space="preserve"> -</w:t>
            </w:r>
          </w:p>
        </w:tc>
        <w:tc>
          <w:tcPr>
            <w:tcW w:w="540" w:type="pct"/>
            <w:vAlign w:val="center"/>
          </w:tcPr>
          <w:p w14:paraId="0A41C3C4" w14:textId="77777777" w:rsidR="000228FA" w:rsidRPr="00A411E7" w:rsidRDefault="000228FA" w:rsidP="00FF3977">
            <w:pPr>
              <w:rPr>
                <w:rFonts w:eastAsia="Calibri"/>
              </w:rPr>
            </w:pPr>
            <w:r>
              <w:rPr>
                <w:color w:val="000000"/>
              </w:rPr>
              <w:t xml:space="preserve"> -</w:t>
            </w:r>
          </w:p>
        </w:tc>
        <w:tc>
          <w:tcPr>
            <w:tcW w:w="1711" w:type="pct"/>
            <w:vAlign w:val="center"/>
          </w:tcPr>
          <w:p w14:paraId="17FFDFDE" w14:textId="77777777" w:rsidR="000228FA" w:rsidRPr="00A411E7" w:rsidRDefault="000228FA" w:rsidP="00FF3977">
            <w:pPr>
              <w:rPr>
                <w:rFonts w:eastAsia="Calibri"/>
              </w:rPr>
            </w:pPr>
            <w:r>
              <w:rPr>
                <w:color w:val="000000"/>
              </w:rPr>
              <w:t>Not applicable. The product is a ready-to-use liquid and is not intended to be added to any other product.</w:t>
            </w:r>
          </w:p>
        </w:tc>
        <w:tc>
          <w:tcPr>
            <w:tcW w:w="447" w:type="pct"/>
            <w:vAlign w:val="center"/>
          </w:tcPr>
          <w:p w14:paraId="4E3BFAD3" w14:textId="77777777" w:rsidR="000228FA" w:rsidRPr="00A411E7" w:rsidRDefault="000228FA" w:rsidP="00FF3977">
            <w:pPr>
              <w:rPr>
                <w:rFonts w:eastAsia="Calibri"/>
              </w:rPr>
            </w:pPr>
            <w:r>
              <w:rPr>
                <w:color w:val="000000"/>
              </w:rPr>
              <w:t xml:space="preserve"> -</w:t>
            </w:r>
          </w:p>
        </w:tc>
        <w:tc>
          <w:tcPr>
            <w:tcW w:w="478" w:type="pct"/>
          </w:tcPr>
          <w:p w14:paraId="6E124CD0" w14:textId="77777777" w:rsidR="000228FA" w:rsidRDefault="000228FA" w:rsidP="00FF3977">
            <w:pPr>
              <w:rPr>
                <w:color w:val="000000"/>
              </w:rPr>
            </w:pPr>
            <w:r>
              <w:rPr>
                <w:color w:val="000000"/>
              </w:rPr>
              <w:t>Acceptable</w:t>
            </w:r>
          </w:p>
        </w:tc>
      </w:tr>
      <w:tr w:rsidR="000228FA" w14:paraId="1E1B3BA6" w14:textId="77777777" w:rsidTr="00FF3977">
        <w:tc>
          <w:tcPr>
            <w:tcW w:w="1230" w:type="pct"/>
          </w:tcPr>
          <w:p w14:paraId="27B8E27E" w14:textId="77777777" w:rsidR="000228FA" w:rsidRPr="00A411E7" w:rsidRDefault="000228FA" w:rsidP="00FF3977">
            <w:pPr>
              <w:rPr>
                <w:rFonts w:eastAsia="Calibri"/>
              </w:rPr>
            </w:pPr>
            <w:r w:rsidRPr="00A411E7">
              <w:rPr>
                <w:rFonts w:eastAsia="Calibri"/>
              </w:rPr>
              <w:t>Chemical compatibility</w:t>
            </w:r>
          </w:p>
        </w:tc>
        <w:tc>
          <w:tcPr>
            <w:tcW w:w="594" w:type="pct"/>
            <w:vAlign w:val="center"/>
          </w:tcPr>
          <w:p w14:paraId="7AD5B637" w14:textId="77777777" w:rsidR="000228FA" w:rsidRPr="00A411E7" w:rsidRDefault="000228FA" w:rsidP="00FF3977">
            <w:pPr>
              <w:rPr>
                <w:rFonts w:eastAsia="Calibri"/>
              </w:rPr>
            </w:pPr>
            <w:r>
              <w:rPr>
                <w:color w:val="000000"/>
              </w:rPr>
              <w:t xml:space="preserve"> -</w:t>
            </w:r>
          </w:p>
        </w:tc>
        <w:tc>
          <w:tcPr>
            <w:tcW w:w="540" w:type="pct"/>
            <w:vAlign w:val="center"/>
          </w:tcPr>
          <w:p w14:paraId="73BC4FE4" w14:textId="77777777" w:rsidR="000228FA" w:rsidRPr="00A411E7" w:rsidRDefault="000228FA" w:rsidP="00FF3977">
            <w:pPr>
              <w:rPr>
                <w:rFonts w:eastAsia="Calibri"/>
              </w:rPr>
            </w:pPr>
            <w:r>
              <w:rPr>
                <w:color w:val="000000"/>
              </w:rPr>
              <w:t xml:space="preserve"> -</w:t>
            </w:r>
          </w:p>
        </w:tc>
        <w:tc>
          <w:tcPr>
            <w:tcW w:w="1711" w:type="pct"/>
            <w:vAlign w:val="center"/>
          </w:tcPr>
          <w:p w14:paraId="1A51DE08" w14:textId="77777777" w:rsidR="000228FA" w:rsidRPr="00A411E7" w:rsidRDefault="000228FA" w:rsidP="00FF3977">
            <w:pPr>
              <w:rPr>
                <w:rFonts w:eastAsia="Calibri"/>
              </w:rPr>
            </w:pPr>
            <w:r>
              <w:rPr>
                <w:color w:val="000000"/>
              </w:rPr>
              <w:t>Not applicable. The product is a ready-to-use liquid and is not intended to be added to any other product.</w:t>
            </w:r>
          </w:p>
        </w:tc>
        <w:tc>
          <w:tcPr>
            <w:tcW w:w="447" w:type="pct"/>
            <w:vAlign w:val="center"/>
          </w:tcPr>
          <w:p w14:paraId="51BFAAA7" w14:textId="77777777" w:rsidR="000228FA" w:rsidRPr="00A411E7" w:rsidRDefault="000228FA" w:rsidP="00FF3977">
            <w:pPr>
              <w:rPr>
                <w:rFonts w:eastAsia="Calibri"/>
              </w:rPr>
            </w:pPr>
            <w:r>
              <w:rPr>
                <w:color w:val="000000"/>
              </w:rPr>
              <w:t xml:space="preserve"> -</w:t>
            </w:r>
          </w:p>
        </w:tc>
        <w:tc>
          <w:tcPr>
            <w:tcW w:w="478" w:type="pct"/>
          </w:tcPr>
          <w:p w14:paraId="4102A907" w14:textId="77777777" w:rsidR="000228FA" w:rsidRDefault="000228FA" w:rsidP="00FF3977">
            <w:pPr>
              <w:rPr>
                <w:color w:val="000000"/>
              </w:rPr>
            </w:pPr>
            <w:r>
              <w:rPr>
                <w:color w:val="000000"/>
              </w:rPr>
              <w:t>Acceptable</w:t>
            </w:r>
          </w:p>
        </w:tc>
      </w:tr>
      <w:tr w:rsidR="000228FA" w14:paraId="0E94C099" w14:textId="77777777" w:rsidTr="00FF3977">
        <w:tc>
          <w:tcPr>
            <w:tcW w:w="1230" w:type="pct"/>
          </w:tcPr>
          <w:p w14:paraId="15CC1B6F" w14:textId="77777777" w:rsidR="000228FA" w:rsidRPr="00A411E7" w:rsidRDefault="000228FA" w:rsidP="00FF3977">
            <w:pPr>
              <w:rPr>
                <w:rFonts w:eastAsia="Calibri"/>
              </w:rPr>
            </w:pPr>
            <w:r w:rsidRPr="00A411E7">
              <w:rPr>
                <w:rFonts w:eastAsia="Calibri"/>
              </w:rPr>
              <w:t>Degree of dissolution and dilution stability</w:t>
            </w:r>
          </w:p>
        </w:tc>
        <w:tc>
          <w:tcPr>
            <w:tcW w:w="594" w:type="pct"/>
            <w:vAlign w:val="center"/>
          </w:tcPr>
          <w:p w14:paraId="524539C7" w14:textId="77777777" w:rsidR="000228FA" w:rsidRPr="00A411E7" w:rsidRDefault="000228FA" w:rsidP="00FF3977">
            <w:pPr>
              <w:rPr>
                <w:rFonts w:eastAsia="Calibri"/>
              </w:rPr>
            </w:pPr>
            <w:r>
              <w:rPr>
                <w:color w:val="000000"/>
              </w:rPr>
              <w:t xml:space="preserve"> -</w:t>
            </w:r>
          </w:p>
        </w:tc>
        <w:tc>
          <w:tcPr>
            <w:tcW w:w="540" w:type="pct"/>
            <w:vAlign w:val="center"/>
          </w:tcPr>
          <w:p w14:paraId="44C679EF" w14:textId="77777777" w:rsidR="000228FA" w:rsidRPr="00A411E7" w:rsidRDefault="000228FA" w:rsidP="00FF3977">
            <w:pPr>
              <w:rPr>
                <w:rFonts w:eastAsia="Calibri"/>
              </w:rPr>
            </w:pPr>
            <w:r>
              <w:rPr>
                <w:color w:val="000000"/>
              </w:rPr>
              <w:t xml:space="preserve"> -</w:t>
            </w:r>
          </w:p>
        </w:tc>
        <w:tc>
          <w:tcPr>
            <w:tcW w:w="1711" w:type="pct"/>
            <w:vAlign w:val="center"/>
          </w:tcPr>
          <w:p w14:paraId="0D409C38"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02B5D462" w14:textId="77777777" w:rsidR="000228FA" w:rsidRPr="00A411E7" w:rsidRDefault="000228FA" w:rsidP="00FF3977">
            <w:pPr>
              <w:rPr>
                <w:rFonts w:eastAsia="Calibri"/>
              </w:rPr>
            </w:pPr>
            <w:r>
              <w:rPr>
                <w:color w:val="000000"/>
              </w:rPr>
              <w:t xml:space="preserve"> -</w:t>
            </w:r>
          </w:p>
        </w:tc>
        <w:tc>
          <w:tcPr>
            <w:tcW w:w="478" w:type="pct"/>
          </w:tcPr>
          <w:p w14:paraId="14A16462" w14:textId="77777777" w:rsidR="000228FA" w:rsidRDefault="000228FA" w:rsidP="00FF3977">
            <w:pPr>
              <w:rPr>
                <w:color w:val="000000"/>
              </w:rPr>
            </w:pPr>
            <w:r>
              <w:rPr>
                <w:color w:val="000000"/>
              </w:rPr>
              <w:t>Acceptable</w:t>
            </w:r>
          </w:p>
        </w:tc>
      </w:tr>
      <w:tr w:rsidR="000228FA" w14:paraId="08476AA1" w14:textId="77777777" w:rsidTr="00FF3977">
        <w:tc>
          <w:tcPr>
            <w:tcW w:w="1230" w:type="pct"/>
          </w:tcPr>
          <w:p w14:paraId="7BAD7283" w14:textId="77777777" w:rsidR="000228FA" w:rsidRPr="00A411E7" w:rsidRDefault="000228FA" w:rsidP="00FF3977">
            <w:pPr>
              <w:rPr>
                <w:rFonts w:eastAsia="Calibri"/>
              </w:rPr>
            </w:pPr>
            <w:r w:rsidRPr="00A411E7">
              <w:rPr>
                <w:rFonts w:eastAsia="Calibri"/>
              </w:rPr>
              <w:t>Surface tension</w:t>
            </w:r>
          </w:p>
        </w:tc>
        <w:tc>
          <w:tcPr>
            <w:tcW w:w="594" w:type="pct"/>
            <w:vAlign w:val="center"/>
          </w:tcPr>
          <w:p w14:paraId="480F0FFD" w14:textId="77777777" w:rsidR="000228FA" w:rsidRPr="00A411E7" w:rsidRDefault="000228FA" w:rsidP="00FF3977">
            <w:pPr>
              <w:rPr>
                <w:rFonts w:eastAsia="Calibri"/>
              </w:rPr>
            </w:pPr>
            <w:r>
              <w:rPr>
                <w:color w:val="000000"/>
              </w:rPr>
              <w:t>EC A.5. method (2008) and OECD Guideline No. 115 (1995)</w:t>
            </w:r>
          </w:p>
        </w:tc>
        <w:tc>
          <w:tcPr>
            <w:tcW w:w="540" w:type="pct"/>
            <w:vAlign w:val="center"/>
          </w:tcPr>
          <w:p w14:paraId="04E53541" w14:textId="77777777" w:rsidR="000228FA" w:rsidRDefault="000228FA" w:rsidP="00FF3977">
            <w:pPr>
              <w:rPr>
                <w:color w:val="000000"/>
              </w:rPr>
            </w:pPr>
            <w:r>
              <w:rPr>
                <w:color w:val="000000"/>
              </w:rPr>
              <w:t>Batch 1805000317</w:t>
            </w:r>
          </w:p>
          <w:p w14:paraId="6838B802"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62F803CF" w14:textId="77777777" w:rsidR="000228FA" w:rsidRPr="00A411E7" w:rsidRDefault="000228FA" w:rsidP="00FF3977">
            <w:pPr>
              <w:rPr>
                <w:rFonts w:eastAsia="Calibri"/>
              </w:rPr>
            </w:pPr>
            <w:r>
              <w:t>The mean surface tension of the pure test item at 20.0 °C was 27.9 mN/m. The test item was considered as surface-active in the experimental conditions used.</w:t>
            </w:r>
          </w:p>
        </w:tc>
        <w:tc>
          <w:tcPr>
            <w:tcW w:w="447" w:type="pct"/>
            <w:vAlign w:val="center"/>
          </w:tcPr>
          <w:p w14:paraId="5FB7094B" w14:textId="77777777" w:rsidR="000228FA" w:rsidRPr="00A411E7" w:rsidRDefault="000228FA" w:rsidP="00FF3977">
            <w:pPr>
              <w:rPr>
                <w:rFonts w:eastAsia="Calibri"/>
              </w:rPr>
            </w:pPr>
            <w:r>
              <w:rPr>
                <w:color w:val="000000"/>
              </w:rPr>
              <w:t>Demangel B., 2019, Report No 18-901011-022</w:t>
            </w:r>
          </w:p>
        </w:tc>
        <w:tc>
          <w:tcPr>
            <w:tcW w:w="478" w:type="pct"/>
          </w:tcPr>
          <w:p w14:paraId="0BEC6E12" w14:textId="77777777" w:rsidR="000228FA" w:rsidRDefault="000228FA" w:rsidP="00FF3977">
            <w:pPr>
              <w:rPr>
                <w:color w:val="000000"/>
              </w:rPr>
            </w:pPr>
            <w:r>
              <w:rPr>
                <w:color w:val="000000"/>
              </w:rPr>
              <w:t>Acceptable</w:t>
            </w:r>
          </w:p>
        </w:tc>
      </w:tr>
      <w:tr w:rsidR="000228FA" w14:paraId="60B60D84" w14:textId="77777777" w:rsidTr="00FF3977">
        <w:tc>
          <w:tcPr>
            <w:tcW w:w="1230" w:type="pct"/>
          </w:tcPr>
          <w:p w14:paraId="36D25DE8" w14:textId="77777777" w:rsidR="000228FA" w:rsidRPr="00A411E7" w:rsidRDefault="000228FA" w:rsidP="00FF3977">
            <w:pPr>
              <w:rPr>
                <w:rFonts w:eastAsia="Calibri"/>
              </w:rPr>
            </w:pPr>
            <w:r w:rsidRPr="00A411E7">
              <w:rPr>
                <w:rFonts w:eastAsia="Calibri"/>
              </w:rPr>
              <w:t>Viscosity</w:t>
            </w:r>
          </w:p>
        </w:tc>
        <w:tc>
          <w:tcPr>
            <w:tcW w:w="594" w:type="pct"/>
            <w:vAlign w:val="center"/>
          </w:tcPr>
          <w:p w14:paraId="3F6968B2" w14:textId="77777777" w:rsidR="000228FA" w:rsidRPr="00A411E7" w:rsidRDefault="000228FA" w:rsidP="00FF3977">
            <w:pPr>
              <w:rPr>
                <w:rFonts w:eastAsia="Calibri"/>
              </w:rPr>
            </w:pPr>
            <w:r>
              <w:rPr>
                <w:color w:val="000000"/>
              </w:rPr>
              <w:t xml:space="preserve">OECD Guideline No. 114 (2012) and ISO </w:t>
            </w:r>
            <w:r>
              <w:rPr>
                <w:color w:val="000000"/>
              </w:rPr>
              <w:lastRenderedPageBreak/>
              <w:t>Standard 3219 (1993)</w:t>
            </w:r>
          </w:p>
        </w:tc>
        <w:tc>
          <w:tcPr>
            <w:tcW w:w="540" w:type="pct"/>
            <w:vAlign w:val="center"/>
          </w:tcPr>
          <w:p w14:paraId="49E23F38" w14:textId="77777777" w:rsidR="000228FA" w:rsidRDefault="000228FA" w:rsidP="00FF3977">
            <w:pPr>
              <w:rPr>
                <w:color w:val="000000"/>
              </w:rPr>
            </w:pPr>
            <w:r>
              <w:rPr>
                <w:color w:val="000000"/>
              </w:rPr>
              <w:lastRenderedPageBreak/>
              <w:t>Batch 1805000317</w:t>
            </w:r>
          </w:p>
          <w:p w14:paraId="07A016EC" w14:textId="77777777" w:rsidR="000228FA" w:rsidRPr="00A411E7" w:rsidRDefault="000228FA" w:rsidP="00FF3977">
            <w:pPr>
              <w:rPr>
                <w:rFonts w:eastAsia="Calibri"/>
              </w:rPr>
            </w:pPr>
            <w:r>
              <w:rPr>
                <w:rFonts w:eastAsia="Calibri"/>
              </w:rPr>
              <w:t xml:space="preserve">Test item: </w:t>
            </w:r>
            <w:r w:rsidRPr="00BC0514">
              <w:rPr>
                <w:rFonts w:eastAsia="Calibri"/>
              </w:rPr>
              <w:t>218114-B3</w:t>
            </w:r>
          </w:p>
        </w:tc>
        <w:tc>
          <w:tcPr>
            <w:tcW w:w="1711" w:type="pct"/>
            <w:vAlign w:val="center"/>
          </w:tcPr>
          <w:p w14:paraId="239C0B77" w14:textId="77777777" w:rsidR="000228FA" w:rsidRPr="00A411E7" w:rsidRDefault="000228FA" w:rsidP="00FF3977">
            <w:pPr>
              <w:rPr>
                <w:rFonts w:eastAsia="Calibri"/>
              </w:rPr>
            </w:pPr>
            <w:r>
              <w:t xml:space="preserve">Taking into account the results obtained at 20.0 °C, the test item was considered to have newtonian properties in the experimental conditions used. The mean </w:t>
            </w:r>
            <w:r>
              <w:lastRenderedPageBreak/>
              <w:t>dynamic viscosity of the test item was 1.43 mPa.s at 20.0 °C ± 0.2 °C. It was not possible to obtain results at 40.0 °C ± 0.2 °C with our mobiles and viscosimeter as the results were lower 1.0 mPa.s (limit of reliability of the values). Moreover, the ratio (rotation speed/viscosity) was higher than 70.6, the flow was turbulent.</w:t>
            </w:r>
          </w:p>
        </w:tc>
        <w:tc>
          <w:tcPr>
            <w:tcW w:w="447" w:type="pct"/>
            <w:vAlign w:val="center"/>
          </w:tcPr>
          <w:p w14:paraId="3470A2C2" w14:textId="77777777" w:rsidR="000228FA" w:rsidRPr="00A411E7" w:rsidRDefault="000228FA" w:rsidP="00FF3977">
            <w:pPr>
              <w:rPr>
                <w:rFonts w:eastAsia="Calibri"/>
              </w:rPr>
            </w:pPr>
            <w:r>
              <w:rPr>
                <w:color w:val="000000"/>
              </w:rPr>
              <w:lastRenderedPageBreak/>
              <w:t>Demangel B., 2019, Report No 18-</w:t>
            </w:r>
            <w:r>
              <w:rPr>
                <w:color w:val="000000"/>
              </w:rPr>
              <w:lastRenderedPageBreak/>
              <w:t>901011-022</w:t>
            </w:r>
          </w:p>
        </w:tc>
        <w:tc>
          <w:tcPr>
            <w:tcW w:w="478" w:type="pct"/>
          </w:tcPr>
          <w:p w14:paraId="6020ADBD" w14:textId="77777777" w:rsidR="000228FA" w:rsidRDefault="000228FA" w:rsidP="00FF3977">
            <w:pPr>
              <w:rPr>
                <w:color w:val="000000"/>
              </w:rPr>
            </w:pPr>
            <w:r>
              <w:rPr>
                <w:color w:val="000000"/>
              </w:rPr>
              <w:lastRenderedPageBreak/>
              <w:t>Acceptable</w:t>
            </w:r>
          </w:p>
        </w:tc>
      </w:tr>
    </w:tbl>
    <w:p w14:paraId="4A54E5AE" w14:textId="5BDEC193"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228FA" w:rsidRPr="00A411E7" w14:paraId="6BE82886"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52A70142"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4</w:t>
            </w:r>
          </w:p>
        </w:tc>
      </w:tr>
      <w:tr w:rsidR="000228FA" w:rsidRPr="001D704F" w14:paraId="217CA8BF"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679DEE" w14:textId="77777777" w:rsidR="000228FA" w:rsidRDefault="000228FA" w:rsidP="00FF3977">
            <w:pPr>
              <w:spacing w:line="276" w:lineRule="auto"/>
              <w:jc w:val="both"/>
              <w:rPr>
                <w:lang w:eastAsia="en-US"/>
              </w:rPr>
            </w:pPr>
            <w:r>
              <w:rPr>
                <w:lang w:eastAsia="en-US"/>
              </w:rPr>
              <w:t>The Meta-SPC 4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lang w:eastAsia="en-US"/>
              </w:rPr>
              <w:fldChar w:fldCharType="begin"/>
            </w:r>
            <w:r>
              <w:rPr>
                <w:lang w:eastAsia="en-US"/>
              </w:rPr>
              <w:instrText xml:space="preserve"> ADDIN ZOTERO_ITEM CSL_CITATION {"citationID":"NLmuoq6J","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lang w:eastAsia="en-US"/>
              </w:rPr>
              <w:fldChar w:fldCharType="separate"/>
            </w:r>
            <w:r w:rsidRPr="0098795B">
              <w:t>(1)</w:t>
            </w:r>
            <w:r>
              <w:rPr>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I6YfMDXw","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98795B">
              <w:t>(3)</w:t>
            </w:r>
            <w:r>
              <w:rPr>
                <w:lang w:eastAsia="en-US"/>
              </w:rPr>
              <w:fldChar w:fldCharType="end"/>
            </w:r>
            <w:r>
              <w:rPr>
                <w:lang w:eastAsia="en-US"/>
              </w:rPr>
              <w:t xml:space="preserve">) and the results are deemed to be acceptable. </w:t>
            </w:r>
          </w:p>
          <w:p w14:paraId="56229A09" w14:textId="77777777" w:rsidR="000228FA" w:rsidRDefault="000228FA" w:rsidP="00FF3977">
            <w:pPr>
              <w:spacing w:line="276" w:lineRule="auto"/>
              <w:jc w:val="both"/>
              <w:rPr>
                <w:lang w:eastAsia="en-US"/>
              </w:rPr>
            </w:pPr>
            <w:r>
              <w:rPr>
                <w:lang w:eastAsia="en-US"/>
              </w:rPr>
              <w:t xml:space="preserve">The appearance of the product is an </w:t>
            </w:r>
            <w:r>
              <w:t>homogeneous colourless limpid liquid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xml:space="preserve">, PET, COEXTRUDE (HDPE/PA). The long term storage stability study is on-going and </w:t>
            </w:r>
            <w:r>
              <w:t>should be provided in post-authorisation.</w:t>
            </w:r>
          </w:p>
          <w:p w14:paraId="087C3EAA" w14:textId="77777777" w:rsidR="000228FA" w:rsidRPr="001D704F" w:rsidRDefault="000228FA" w:rsidP="00FF3977">
            <w:pPr>
              <w:spacing w:line="260" w:lineRule="atLeast"/>
              <w:rPr>
                <w:rFonts w:eastAsia="Calibri"/>
                <w:color w:val="FF0000"/>
                <w:lang w:val="en-US" w:eastAsia="en-US"/>
              </w:rPr>
            </w:pPr>
            <w:r>
              <w:rPr>
                <w:lang w:eastAsia="en-US"/>
              </w:rPr>
              <w:t>Its technical characteristics are acceptable for an AL formulation.</w:t>
            </w:r>
          </w:p>
        </w:tc>
      </w:tr>
    </w:tbl>
    <w:p w14:paraId="0BB4FE65" w14:textId="051ED72F" w:rsidR="000228FA" w:rsidRDefault="000228FA">
      <w:pPr>
        <w:spacing w:line="260" w:lineRule="atLeast"/>
        <w:ind w:left="360"/>
        <w:contextualSpacing/>
        <w:rPr>
          <w:rFonts w:eastAsia="Calibri"/>
          <w:lang w:val="en-US" w:eastAsia="sv-SE"/>
        </w:rPr>
      </w:pPr>
    </w:p>
    <w:tbl>
      <w:tblPr>
        <w:tblpPr w:leftFromText="141" w:rightFromText="141" w:vertAnchor="text" w:tblpY="1"/>
        <w:tblOverlap w:val="neve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248"/>
        <w:gridCol w:w="1237"/>
        <w:gridCol w:w="4766"/>
        <w:gridCol w:w="1265"/>
        <w:gridCol w:w="2099"/>
      </w:tblGrid>
      <w:tr w:rsidR="000228FA" w14:paraId="536A6E6E" w14:textId="77777777" w:rsidTr="00FF3977">
        <w:trPr>
          <w:tblHeader/>
        </w:trPr>
        <w:tc>
          <w:tcPr>
            <w:tcW w:w="4255" w:type="pct"/>
            <w:gridSpan w:val="5"/>
            <w:shd w:val="clear" w:color="auto" w:fill="E0E0E0"/>
            <w:vAlign w:val="center"/>
          </w:tcPr>
          <w:p w14:paraId="46EB103B" w14:textId="77777777" w:rsidR="000228FA" w:rsidRPr="00305B11" w:rsidRDefault="000228FA" w:rsidP="00FF3977">
            <w:pPr>
              <w:spacing w:line="260" w:lineRule="atLeast"/>
              <w:rPr>
                <w:rFonts w:eastAsia="Calibri"/>
                <w:b/>
                <w:lang w:eastAsia="en-US"/>
              </w:rPr>
            </w:pPr>
            <w:r>
              <w:rPr>
                <w:rFonts w:eastAsia="Calibri"/>
                <w:b/>
                <w:lang w:eastAsia="en-US"/>
              </w:rPr>
              <w:t>Meta-SPC 6 (SL- dilution concentrations: 3% v/v – 10% v/v)</w:t>
            </w:r>
          </w:p>
        </w:tc>
        <w:tc>
          <w:tcPr>
            <w:tcW w:w="745" w:type="pct"/>
            <w:shd w:val="clear" w:color="auto" w:fill="E0E0E0"/>
          </w:tcPr>
          <w:p w14:paraId="42DA7FED" w14:textId="77777777" w:rsidR="000228FA" w:rsidRDefault="000228FA" w:rsidP="00FF3977">
            <w:pPr>
              <w:spacing w:line="260" w:lineRule="atLeast"/>
              <w:rPr>
                <w:rFonts w:eastAsia="Calibri"/>
                <w:b/>
                <w:lang w:eastAsia="en-US"/>
              </w:rPr>
            </w:pPr>
          </w:p>
        </w:tc>
      </w:tr>
      <w:tr w:rsidR="000228FA" w:rsidRPr="00305B11" w14:paraId="1215C197" w14:textId="77777777" w:rsidTr="00FF3977">
        <w:trPr>
          <w:tblHeader/>
        </w:trPr>
        <w:tc>
          <w:tcPr>
            <w:tcW w:w="1232" w:type="pct"/>
            <w:shd w:val="clear" w:color="auto" w:fill="E0E0E0"/>
            <w:vAlign w:val="center"/>
          </w:tcPr>
          <w:p w14:paraId="351B48CE"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443" w:type="pct"/>
            <w:shd w:val="clear" w:color="auto" w:fill="E0E0E0"/>
            <w:vAlign w:val="center"/>
          </w:tcPr>
          <w:p w14:paraId="72C4CE51"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439" w:type="pct"/>
            <w:shd w:val="clear" w:color="auto" w:fill="E0E0E0"/>
            <w:vAlign w:val="center"/>
          </w:tcPr>
          <w:p w14:paraId="032BDE35"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692" w:type="pct"/>
            <w:shd w:val="clear" w:color="auto" w:fill="E0E0E0"/>
            <w:vAlign w:val="center"/>
          </w:tcPr>
          <w:p w14:paraId="44F85691"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49" w:type="pct"/>
            <w:shd w:val="clear" w:color="auto" w:fill="E0E0E0"/>
            <w:vAlign w:val="center"/>
          </w:tcPr>
          <w:p w14:paraId="061DE52E"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745" w:type="pct"/>
            <w:shd w:val="clear" w:color="auto" w:fill="E0E0E0"/>
            <w:vAlign w:val="center"/>
          </w:tcPr>
          <w:p w14:paraId="43EDBA6D"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19EC6721" w14:textId="77777777" w:rsidTr="00FF3977">
        <w:tc>
          <w:tcPr>
            <w:tcW w:w="1232" w:type="pct"/>
          </w:tcPr>
          <w:p w14:paraId="67B07719"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443" w:type="pct"/>
            <w:vAlign w:val="center"/>
          </w:tcPr>
          <w:p w14:paraId="77D5F197" w14:textId="77777777" w:rsidR="000228FA" w:rsidRPr="00017CF8" w:rsidRDefault="000228FA" w:rsidP="00FF3977">
            <w:pPr>
              <w:rPr>
                <w:rFonts w:eastAsia="Calibri"/>
              </w:rPr>
            </w:pPr>
            <w:r>
              <w:rPr>
                <w:color w:val="000000"/>
              </w:rPr>
              <w:t xml:space="preserve"> -</w:t>
            </w:r>
          </w:p>
        </w:tc>
        <w:tc>
          <w:tcPr>
            <w:tcW w:w="439" w:type="pct"/>
            <w:vAlign w:val="center"/>
          </w:tcPr>
          <w:p w14:paraId="65A22331" w14:textId="77777777" w:rsidR="000228FA" w:rsidRDefault="000228FA" w:rsidP="00FF3977">
            <w:pPr>
              <w:rPr>
                <w:color w:val="000000"/>
              </w:rPr>
            </w:pPr>
            <w:r>
              <w:rPr>
                <w:color w:val="000000"/>
              </w:rPr>
              <w:t xml:space="preserve">Batch </w:t>
            </w:r>
          </w:p>
          <w:p w14:paraId="182CFA07" w14:textId="77777777" w:rsidR="000228FA" w:rsidRDefault="000228FA" w:rsidP="00FF3977">
            <w:pPr>
              <w:rPr>
                <w:color w:val="000000"/>
              </w:rPr>
            </w:pPr>
            <w:r>
              <w:rPr>
                <w:color w:val="000000"/>
              </w:rPr>
              <w:t>5125352</w:t>
            </w:r>
          </w:p>
          <w:p w14:paraId="10808F40" w14:textId="77777777" w:rsidR="000228FA" w:rsidRPr="00017CF8" w:rsidRDefault="000228FA" w:rsidP="00FF3977">
            <w:pPr>
              <w:rPr>
                <w:rFonts w:eastAsia="Calibri"/>
              </w:rPr>
            </w:pPr>
            <w:r>
              <w:rPr>
                <w:rFonts w:eastAsia="Calibri"/>
              </w:rPr>
              <w:lastRenderedPageBreak/>
              <w:t xml:space="preserve">Test item: </w:t>
            </w:r>
            <w:r w:rsidRPr="00547D14">
              <w:rPr>
                <w:rFonts w:eastAsia="Calibri"/>
              </w:rPr>
              <w:t>218228-P1</w:t>
            </w:r>
          </w:p>
        </w:tc>
        <w:tc>
          <w:tcPr>
            <w:tcW w:w="1692" w:type="pct"/>
            <w:vAlign w:val="center"/>
          </w:tcPr>
          <w:p w14:paraId="2F044046" w14:textId="77777777" w:rsidR="000228FA" w:rsidRPr="00017CF8" w:rsidRDefault="000228FA" w:rsidP="00FF3977">
            <w:pPr>
              <w:rPr>
                <w:rFonts w:eastAsia="Calibri"/>
              </w:rPr>
            </w:pPr>
            <w:r>
              <w:rPr>
                <w:color w:val="000000"/>
              </w:rPr>
              <w:lastRenderedPageBreak/>
              <w:t>The appearance of the test item was homogeneous slightly yellow limpid liquid with a characteristic odour.</w:t>
            </w:r>
          </w:p>
        </w:tc>
        <w:tc>
          <w:tcPr>
            <w:tcW w:w="449" w:type="pct"/>
            <w:vAlign w:val="center"/>
          </w:tcPr>
          <w:p w14:paraId="512295D8" w14:textId="77777777" w:rsidR="000228FA" w:rsidRPr="00017CF8" w:rsidRDefault="000228FA" w:rsidP="00FF3977">
            <w:pPr>
              <w:rPr>
                <w:rFonts w:eastAsia="Calibri"/>
              </w:rPr>
            </w:pPr>
            <w:r w:rsidRPr="001541E4">
              <w:rPr>
                <w:color w:val="000000"/>
              </w:rPr>
              <w:t xml:space="preserve">Halbwachs P. and Ricau H., </w:t>
            </w:r>
            <w:r w:rsidRPr="001541E4">
              <w:rPr>
                <w:color w:val="000000"/>
              </w:rPr>
              <w:lastRenderedPageBreak/>
              <w:t>2020, Report No 19-901011-016</w:t>
            </w:r>
          </w:p>
        </w:tc>
        <w:tc>
          <w:tcPr>
            <w:tcW w:w="745" w:type="pct"/>
          </w:tcPr>
          <w:p w14:paraId="36DB6632" w14:textId="77777777" w:rsidR="000228FA" w:rsidRDefault="000228FA" w:rsidP="00FF3977">
            <w:pPr>
              <w:rPr>
                <w:color w:val="000000"/>
              </w:rPr>
            </w:pPr>
            <w:r>
              <w:rPr>
                <w:color w:val="000000"/>
              </w:rPr>
              <w:lastRenderedPageBreak/>
              <w:t>Acceptable</w:t>
            </w:r>
          </w:p>
        </w:tc>
      </w:tr>
      <w:tr w:rsidR="000228FA" w14:paraId="68C8B671" w14:textId="77777777" w:rsidTr="00FF3977">
        <w:tc>
          <w:tcPr>
            <w:tcW w:w="1232" w:type="pct"/>
          </w:tcPr>
          <w:p w14:paraId="1D3D2419" w14:textId="77777777" w:rsidR="000228FA" w:rsidRPr="00A411E7" w:rsidRDefault="000228FA" w:rsidP="00FF3977">
            <w:pPr>
              <w:rPr>
                <w:rFonts w:eastAsia="Calibri"/>
              </w:rPr>
            </w:pPr>
            <w:r w:rsidRPr="00A411E7">
              <w:rPr>
                <w:rFonts w:eastAsia="Calibri"/>
              </w:rPr>
              <w:t>Acidity / alkalinity</w:t>
            </w:r>
          </w:p>
        </w:tc>
        <w:tc>
          <w:tcPr>
            <w:tcW w:w="443" w:type="pct"/>
            <w:vAlign w:val="center"/>
          </w:tcPr>
          <w:p w14:paraId="4D9E9505" w14:textId="77777777" w:rsidR="000228FA" w:rsidRPr="00A411E7" w:rsidRDefault="000228FA" w:rsidP="00FF3977">
            <w:pPr>
              <w:rPr>
                <w:rFonts w:eastAsia="Calibri"/>
              </w:rPr>
            </w:pPr>
            <w:r>
              <w:t>CIPAC Handbook L - MT 191 method (2006)</w:t>
            </w:r>
          </w:p>
        </w:tc>
        <w:tc>
          <w:tcPr>
            <w:tcW w:w="439" w:type="pct"/>
            <w:vAlign w:val="center"/>
          </w:tcPr>
          <w:p w14:paraId="57C7B4A9" w14:textId="77777777" w:rsidR="000228FA" w:rsidRDefault="000228FA" w:rsidP="00FF3977">
            <w:r>
              <w:t xml:space="preserve">Batch </w:t>
            </w:r>
            <w:r w:rsidRPr="001541E4">
              <w:t>5125352</w:t>
            </w:r>
          </w:p>
          <w:p w14:paraId="236A9B0D"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4BCB0B87" w14:textId="77777777" w:rsidR="000228FA" w:rsidRDefault="000228FA" w:rsidP="00FF3977">
            <w:r w:rsidRPr="001541E4">
              <w:t xml:space="preserve">Before the accelerated storage procedure, the mean value of the test item acidity was 13.0% w/w. </w:t>
            </w:r>
          </w:p>
          <w:p w14:paraId="478610A9" w14:textId="77777777" w:rsidR="000228FA" w:rsidRPr="00A411E7" w:rsidRDefault="000228FA" w:rsidP="00FF3977">
            <w:pPr>
              <w:rPr>
                <w:rFonts w:eastAsia="Calibri"/>
              </w:rPr>
            </w:pPr>
            <w:r w:rsidRPr="001541E4">
              <w:t>After the accelerated storage procedure, the mean value of the test item acidity was 12.1% w/w.</w:t>
            </w:r>
          </w:p>
        </w:tc>
        <w:tc>
          <w:tcPr>
            <w:tcW w:w="449" w:type="pct"/>
            <w:vAlign w:val="center"/>
          </w:tcPr>
          <w:p w14:paraId="7D39FC55" w14:textId="77777777" w:rsidR="000228FA" w:rsidRPr="00A411E7" w:rsidRDefault="000228FA" w:rsidP="00FF3977">
            <w:pPr>
              <w:rPr>
                <w:rFonts w:eastAsia="Calibri"/>
              </w:rPr>
            </w:pPr>
            <w:r w:rsidRPr="001541E4">
              <w:t>Halbwachs P. and Ricau H., 2020, Report No 19-901011-016</w:t>
            </w:r>
          </w:p>
        </w:tc>
        <w:tc>
          <w:tcPr>
            <w:tcW w:w="745" w:type="pct"/>
          </w:tcPr>
          <w:p w14:paraId="34923A06" w14:textId="77777777" w:rsidR="000228FA" w:rsidRDefault="000228FA" w:rsidP="00FF3977">
            <w:r>
              <w:rPr>
                <w:color w:val="000000"/>
              </w:rPr>
              <w:t>Acceptable</w:t>
            </w:r>
          </w:p>
        </w:tc>
      </w:tr>
      <w:tr w:rsidR="000228FA" w14:paraId="2AF5AA52" w14:textId="77777777" w:rsidTr="00FF3977">
        <w:tc>
          <w:tcPr>
            <w:tcW w:w="1232" w:type="pct"/>
          </w:tcPr>
          <w:p w14:paraId="770C0B14" w14:textId="77777777" w:rsidR="000228FA" w:rsidRPr="00A411E7" w:rsidRDefault="000228FA" w:rsidP="00FF3977">
            <w:pPr>
              <w:rPr>
                <w:rFonts w:eastAsia="Calibri"/>
              </w:rPr>
            </w:pPr>
            <w:r>
              <w:rPr>
                <w:rFonts w:eastAsia="Calibri"/>
              </w:rPr>
              <w:t>pH value</w:t>
            </w:r>
          </w:p>
        </w:tc>
        <w:tc>
          <w:tcPr>
            <w:tcW w:w="443" w:type="pct"/>
            <w:vAlign w:val="center"/>
          </w:tcPr>
          <w:p w14:paraId="2411EC0A" w14:textId="77777777" w:rsidR="000228FA" w:rsidRDefault="000228FA" w:rsidP="00FF3977">
            <w:r>
              <w:rPr>
                <w:color w:val="000000"/>
              </w:rPr>
              <w:t>CIPAC MT 75.3</w:t>
            </w:r>
          </w:p>
        </w:tc>
        <w:tc>
          <w:tcPr>
            <w:tcW w:w="439" w:type="pct"/>
            <w:vAlign w:val="center"/>
          </w:tcPr>
          <w:p w14:paraId="5E98F327" w14:textId="77777777" w:rsidR="000228FA" w:rsidRDefault="000228FA" w:rsidP="00FF3977">
            <w:r>
              <w:t xml:space="preserve">Batch </w:t>
            </w:r>
            <w:r w:rsidRPr="001541E4">
              <w:t>5125352</w:t>
            </w:r>
          </w:p>
          <w:p w14:paraId="2CB50FDD" w14:textId="77777777" w:rsidR="000228FA" w:rsidRDefault="000228FA" w:rsidP="00FF3977">
            <w:r>
              <w:rPr>
                <w:rFonts w:eastAsia="Calibri"/>
              </w:rPr>
              <w:t xml:space="preserve">Test item: </w:t>
            </w:r>
            <w:r w:rsidRPr="00547D14">
              <w:rPr>
                <w:rFonts w:eastAsia="Calibri"/>
              </w:rPr>
              <w:t>218228-P1</w:t>
            </w:r>
          </w:p>
        </w:tc>
        <w:tc>
          <w:tcPr>
            <w:tcW w:w="1692" w:type="pct"/>
            <w:vAlign w:val="center"/>
          </w:tcPr>
          <w:p w14:paraId="392E4BF4" w14:textId="77777777" w:rsidR="000228FA" w:rsidRDefault="000228FA" w:rsidP="00FF3977">
            <w:pPr>
              <w:rPr>
                <w:color w:val="000000"/>
              </w:rPr>
            </w:pPr>
            <w:r>
              <w:rPr>
                <w:color w:val="000000"/>
              </w:rPr>
              <w:t>Before accelerated storage: pH=2.01 at 19.8°C</w:t>
            </w:r>
          </w:p>
          <w:p w14:paraId="4024B219" w14:textId="77777777" w:rsidR="000228FA" w:rsidRDefault="000228FA" w:rsidP="00FF3977">
            <w:r>
              <w:rPr>
                <w:color w:val="000000"/>
              </w:rPr>
              <w:t>After accelerated storage: pH=1.99 at 21.2°C</w:t>
            </w:r>
          </w:p>
        </w:tc>
        <w:tc>
          <w:tcPr>
            <w:tcW w:w="449" w:type="pct"/>
            <w:vAlign w:val="center"/>
          </w:tcPr>
          <w:p w14:paraId="5AD1367B" w14:textId="77777777" w:rsidR="000228FA" w:rsidRDefault="000228FA" w:rsidP="00FF3977">
            <w:r w:rsidRPr="001541E4">
              <w:t>Halbwachs P. and Ricau H., 2020, Report No 19-901011-016</w:t>
            </w:r>
          </w:p>
        </w:tc>
        <w:tc>
          <w:tcPr>
            <w:tcW w:w="745" w:type="pct"/>
          </w:tcPr>
          <w:p w14:paraId="2723FEE0" w14:textId="77777777" w:rsidR="000228FA" w:rsidRDefault="000228FA" w:rsidP="00FF3977">
            <w:pPr>
              <w:rPr>
                <w:color w:val="000000"/>
              </w:rPr>
            </w:pPr>
            <w:r>
              <w:rPr>
                <w:color w:val="000000"/>
              </w:rPr>
              <w:t>Acceptable</w:t>
            </w:r>
          </w:p>
        </w:tc>
      </w:tr>
      <w:tr w:rsidR="000228FA" w14:paraId="43D4EA7C" w14:textId="77777777" w:rsidTr="00FF3977">
        <w:tc>
          <w:tcPr>
            <w:tcW w:w="1232" w:type="pct"/>
            <w:tcBorders>
              <w:top w:val="single" w:sz="4" w:space="0" w:color="auto"/>
              <w:left w:val="single" w:sz="4" w:space="0" w:color="auto"/>
              <w:bottom w:val="single" w:sz="4" w:space="0" w:color="auto"/>
              <w:right w:val="single" w:sz="4" w:space="0" w:color="auto"/>
            </w:tcBorders>
          </w:tcPr>
          <w:p w14:paraId="2D93E88D" w14:textId="77777777" w:rsidR="000228FA" w:rsidRPr="00A411E7" w:rsidRDefault="000228FA" w:rsidP="00FF3977">
            <w:pPr>
              <w:rPr>
                <w:rFonts w:eastAsia="Calibri"/>
              </w:rPr>
            </w:pPr>
            <w:r w:rsidRPr="00A411E7">
              <w:rPr>
                <w:rFonts w:eastAsia="Calibri"/>
              </w:rPr>
              <w:t>Relative density / bulk density</w:t>
            </w:r>
          </w:p>
        </w:tc>
        <w:tc>
          <w:tcPr>
            <w:tcW w:w="443" w:type="pct"/>
            <w:tcBorders>
              <w:top w:val="single" w:sz="4" w:space="0" w:color="auto"/>
              <w:left w:val="single" w:sz="4" w:space="0" w:color="auto"/>
              <w:bottom w:val="single" w:sz="4" w:space="0" w:color="auto"/>
              <w:right w:val="single" w:sz="4" w:space="0" w:color="auto"/>
            </w:tcBorders>
            <w:vAlign w:val="center"/>
          </w:tcPr>
          <w:p w14:paraId="1E4D3E1E" w14:textId="77777777" w:rsidR="000228FA" w:rsidRPr="00A411E7" w:rsidRDefault="000228FA" w:rsidP="00FF3977">
            <w:pPr>
              <w:rPr>
                <w:rFonts w:eastAsia="Calibri"/>
              </w:rPr>
            </w:pPr>
            <w:r>
              <w:t>EC A.3. method (2008) and OECD Guideline No. 109 (2012)</w:t>
            </w:r>
          </w:p>
        </w:tc>
        <w:tc>
          <w:tcPr>
            <w:tcW w:w="439" w:type="pct"/>
            <w:tcBorders>
              <w:top w:val="single" w:sz="4" w:space="0" w:color="auto"/>
              <w:left w:val="single" w:sz="4" w:space="0" w:color="auto"/>
              <w:bottom w:val="single" w:sz="4" w:space="0" w:color="auto"/>
              <w:right w:val="single" w:sz="4" w:space="0" w:color="auto"/>
            </w:tcBorders>
            <w:vAlign w:val="center"/>
          </w:tcPr>
          <w:p w14:paraId="1454D706" w14:textId="77777777" w:rsidR="000228FA" w:rsidRDefault="000228FA" w:rsidP="00FF3977">
            <w:r>
              <w:t xml:space="preserve">Batch </w:t>
            </w:r>
            <w:r w:rsidRPr="001541E4">
              <w:t>5125352</w:t>
            </w:r>
          </w:p>
          <w:p w14:paraId="15C9B7A8"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tcBorders>
              <w:top w:val="single" w:sz="4" w:space="0" w:color="auto"/>
              <w:left w:val="single" w:sz="4" w:space="0" w:color="auto"/>
              <w:bottom w:val="single" w:sz="4" w:space="0" w:color="auto"/>
              <w:right w:val="single" w:sz="4" w:space="0" w:color="auto"/>
            </w:tcBorders>
            <w:vAlign w:val="center"/>
          </w:tcPr>
          <w:p w14:paraId="76975D87" w14:textId="77777777" w:rsidR="000228FA" w:rsidRPr="00A411E7" w:rsidRDefault="000228FA" w:rsidP="00FF3977">
            <w:pPr>
              <w:rPr>
                <w:rFonts w:eastAsia="Calibri"/>
              </w:rPr>
            </w:pPr>
            <w:r w:rsidRPr="001541E4">
              <w:t>The mean relative density of the test item was D204 = 1.077 ± 0.001 at 20.0 °C.</w:t>
            </w:r>
          </w:p>
        </w:tc>
        <w:tc>
          <w:tcPr>
            <w:tcW w:w="449" w:type="pct"/>
            <w:tcBorders>
              <w:top w:val="single" w:sz="4" w:space="0" w:color="auto"/>
              <w:left w:val="single" w:sz="4" w:space="0" w:color="auto"/>
              <w:bottom w:val="single" w:sz="4" w:space="0" w:color="auto"/>
              <w:right w:val="single" w:sz="4" w:space="0" w:color="auto"/>
            </w:tcBorders>
            <w:vAlign w:val="center"/>
          </w:tcPr>
          <w:p w14:paraId="27EBF869" w14:textId="77777777" w:rsidR="000228FA" w:rsidRPr="00A411E7" w:rsidRDefault="000228FA" w:rsidP="00FF3977">
            <w:pPr>
              <w:rPr>
                <w:rFonts w:eastAsia="Calibri"/>
              </w:rPr>
            </w:pPr>
            <w:r w:rsidRPr="001541E4">
              <w:t>Halbwachs P., 2020, Report No 19-901011-015</w:t>
            </w:r>
          </w:p>
        </w:tc>
        <w:tc>
          <w:tcPr>
            <w:tcW w:w="745" w:type="pct"/>
            <w:tcBorders>
              <w:top w:val="single" w:sz="4" w:space="0" w:color="auto"/>
              <w:left w:val="single" w:sz="4" w:space="0" w:color="auto"/>
              <w:bottom w:val="single" w:sz="4" w:space="0" w:color="auto"/>
              <w:right w:val="single" w:sz="4" w:space="0" w:color="auto"/>
            </w:tcBorders>
          </w:tcPr>
          <w:p w14:paraId="22A58B12" w14:textId="77777777" w:rsidR="000228FA" w:rsidRDefault="000228FA" w:rsidP="00FF3977">
            <w:r>
              <w:rPr>
                <w:color w:val="000000"/>
              </w:rPr>
              <w:t>Acceptable</w:t>
            </w:r>
          </w:p>
        </w:tc>
      </w:tr>
      <w:tr w:rsidR="000228FA" w14:paraId="61AA9138" w14:textId="77777777" w:rsidTr="00FF3977">
        <w:tc>
          <w:tcPr>
            <w:tcW w:w="1232" w:type="pct"/>
          </w:tcPr>
          <w:p w14:paraId="5A3472AF"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443" w:type="pct"/>
            <w:vAlign w:val="center"/>
          </w:tcPr>
          <w:p w14:paraId="29208309" w14:textId="77777777" w:rsidR="000228FA" w:rsidRDefault="000228FA" w:rsidP="00FF3977">
            <w:r>
              <w:t>CIPAC Handbook J - MT 46.3 method (2000)</w:t>
            </w:r>
            <w:r>
              <w:br/>
            </w:r>
          </w:p>
          <w:p w14:paraId="5F4FB37B" w14:textId="77777777" w:rsidR="000228FA" w:rsidRDefault="000228FA" w:rsidP="00FF3977">
            <w:pPr>
              <w:rPr>
                <w:color w:val="000000"/>
              </w:rPr>
            </w:pPr>
            <w:r>
              <w:rPr>
                <w:color w:val="000000"/>
              </w:rPr>
              <w:t>Content of AS:</w:t>
            </w:r>
          </w:p>
          <w:p w14:paraId="0FA54CE7" w14:textId="77777777" w:rsidR="000228FA" w:rsidRPr="003E6A10" w:rsidRDefault="000228FA" w:rsidP="00FF3977">
            <w:pPr>
              <w:rPr>
                <w:color w:val="000000"/>
                <w:lang w:val="en-US"/>
              </w:rPr>
            </w:pPr>
            <w:r>
              <w:rPr>
                <w:color w:val="000000"/>
              </w:rPr>
              <w:lastRenderedPageBreak/>
              <w:t xml:space="preserve">Validated method in studies </w:t>
            </w:r>
            <w:r w:rsidRPr="0026219A">
              <w:rPr>
                <w:color w:val="000000"/>
              </w:rPr>
              <w:t>No. 17-901011-001</w:t>
            </w:r>
            <w:r>
              <w:rPr>
                <w:color w:val="000000"/>
              </w:rPr>
              <w:t xml:space="preserve"> and No. 18-901011-034</w:t>
            </w:r>
          </w:p>
          <w:p w14:paraId="5383FDE1" w14:textId="77777777" w:rsidR="000228FA" w:rsidRPr="00A411E7" w:rsidRDefault="000228FA" w:rsidP="00FF3977">
            <w:pPr>
              <w:rPr>
                <w:rFonts w:eastAsia="Calibri"/>
              </w:rPr>
            </w:pPr>
            <w:r>
              <w:br/>
              <w:t>pH : CIPAC Handbook J - MT 75.3 method (2000)</w:t>
            </w:r>
          </w:p>
        </w:tc>
        <w:tc>
          <w:tcPr>
            <w:tcW w:w="439" w:type="pct"/>
            <w:vAlign w:val="center"/>
          </w:tcPr>
          <w:p w14:paraId="09AF70EA" w14:textId="77777777" w:rsidR="000228FA" w:rsidRDefault="000228FA" w:rsidP="00FF3977">
            <w:r>
              <w:lastRenderedPageBreak/>
              <w:t xml:space="preserve">Batch </w:t>
            </w:r>
            <w:r w:rsidRPr="001541E4">
              <w:t>5125352</w:t>
            </w:r>
          </w:p>
          <w:p w14:paraId="2A8B821F"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450BB32E" w14:textId="77777777" w:rsidR="000228FA" w:rsidRPr="005B2C43" w:rsidRDefault="000228FA" w:rsidP="00FF3977">
            <w:r w:rsidRPr="005B2C43">
              <w:t>Test item characteristics before and after the accelerated storage procedure was: Homogeneous slightly yellow limpid liquid with a characteristic odour.</w:t>
            </w:r>
          </w:p>
          <w:p w14:paraId="6CE5D655" w14:textId="77777777" w:rsidR="000228FA" w:rsidRPr="005B2C43" w:rsidRDefault="000228FA" w:rsidP="00FF3977">
            <w:r w:rsidRPr="005B2C43">
              <w:t>Packaging: Transparent HDPE flask.</w:t>
            </w:r>
          </w:p>
          <w:p w14:paraId="485C66ED" w14:textId="77777777" w:rsidR="000228FA" w:rsidRDefault="000228FA" w:rsidP="00FF3977">
            <w:r w:rsidRPr="005B2C43">
              <w:t xml:space="preserve">The appearance of the test item was considered to be stable after an accelerated storage procedure at 54 °C ± 2 °C for 14 days. The packaging material was considered </w:t>
            </w:r>
            <w:r w:rsidRPr="005B2C43">
              <w:lastRenderedPageBreak/>
              <w:t>to be stable after an accelerated storage procedure at 54 °C ± 2 °C for 14 days. No significant change of weight was observed.</w:t>
            </w:r>
          </w:p>
          <w:p w14:paraId="1BE5693E" w14:textId="77777777" w:rsidR="000228FA" w:rsidRPr="005B2C43" w:rsidRDefault="000228FA" w:rsidP="00FF3977"/>
          <w:p w14:paraId="4B032C84" w14:textId="77777777" w:rsidR="000228FA" w:rsidRPr="005B2C43" w:rsidRDefault="000228FA" w:rsidP="00FF3977">
            <w:r w:rsidRPr="005B2C43">
              <w:t>ANALYTICAL QUANTIFICATION OF THE ACTIVE SUBSTANCE</w:t>
            </w:r>
          </w:p>
          <w:p w14:paraId="53CF983F" w14:textId="77777777" w:rsidR="000228FA" w:rsidRPr="005B2C43" w:rsidRDefault="000228FA" w:rsidP="00FF3977">
            <w:r w:rsidRPr="005B2C43">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166"/>
              <w:gridCol w:w="1167"/>
              <w:gridCol w:w="1167"/>
            </w:tblGrid>
            <w:tr w:rsidR="000228FA" w14:paraId="51B28D1F" w14:textId="77777777" w:rsidTr="00FF3977">
              <w:tc>
                <w:tcPr>
                  <w:tcW w:w="2332" w:type="dxa"/>
                  <w:gridSpan w:val="2"/>
                  <w:shd w:val="clear" w:color="auto" w:fill="auto"/>
                </w:tcPr>
                <w:p w14:paraId="5E108FFD" w14:textId="77777777" w:rsidR="000228FA" w:rsidRDefault="000228FA" w:rsidP="0052669C">
                  <w:pPr>
                    <w:framePr w:hSpace="141" w:wrap="around" w:vAnchor="text" w:hAnchor="text" w:y="1"/>
                    <w:suppressOverlap/>
                  </w:pPr>
                  <w:r w:rsidRPr="001541E4">
                    <w:t>Active substance</w:t>
                  </w:r>
                </w:p>
              </w:tc>
              <w:tc>
                <w:tcPr>
                  <w:tcW w:w="1167" w:type="dxa"/>
                  <w:shd w:val="clear" w:color="auto" w:fill="auto"/>
                </w:tcPr>
                <w:p w14:paraId="3C70B45A" w14:textId="77777777" w:rsidR="000228FA" w:rsidRDefault="000228FA" w:rsidP="0052669C">
                  <w:pPr>
                    <w:framePr w:hSpace="141" w:wrap="around" w:vAnchor="text" w:hAnchor="text" w:y="1"/>
                    <w:suppressOverlap/>
                  </w:pPr>
                  <w:r w:rsidRPr="001541E4">
                    <w:t>Before the accelerated storage procedure</w:t>
                  </w:r>
                </w:p>
              </w:tc>
              <w:tc>
                <w:tcPr>
                  <w:tcW w:w="1167" w:type="dxa"/>
                  <w:shd w:val="clear" w:color="auto" w:fill="auto"/>
                </w:tcPr>
                <w:p w14:paraId="4AC3B98F" w14:textId="77777777" w:rsidR="000228FA" w:rsidRDefault="000228FA" w:rsidP="0052669C">
                  <w:pPr>
                    <w:framePr w:hSpace="141" w:wrap="around" w:vAnchor="text" w:hAnchor="text" w:y="1"/>
                    <w:suppressOverlap/>
                  </w:pPr>
                  <w:r w:rsidRPr="001541E4">
                    <w:t>After the accelerated storage procedure</w:t>
                  </w:r>
                </w:p>
              </w:tc>
            </w:tr>
            <w:tr w:rsidR="000228FA" w14:paraId="559ECD9E" w14:textId="77777777" w:rsidTr="00FF3977">
              <w:tc>
                <w:tcPr>
                  <w:tcW w:w="1166" w:type="dxa"/>
                  <w:vMerge w:val="restart"/>
                  <w:shd w:val="clear" w:color="auto" w:fill="auto"/>
                </w:tcPr>
                <w:p w14:paraId="49DCC6DD" w14:textId="77777777" w:rsidR="000228FA" w:rsidRDefault="000228FA" w:rsidP="0052669C">
                  <w:pPr>
                    <w:framePr w:hSpace="141" w:wrap="around" w:vAnchor="text" w:hAnchor="text" w:y="1"/>
                    <w:suppressOverlap/>
                  </w:pPr>
                  <w:r w:rsidRPr="001541E4">
                    <w:t>Lactic acid</w:t>
                  </w:r>
                </w:p>
              </w:tc>
              <w:tc>
                <w:tcPr>
                  <w:tcW w:w="1166" w:type="dxa"/>
                  <w:shd w:val="clear" w:color="auto" w:fill="auto"/>
                </w:tcPr>
                <w:p w14:paraId="35C5D5A4" w14:textId="77777777" w:rsidR="000228FA" w:rsidRDefault="000228FA" w:rsidP="0052669C">
                  <w:pPr>
                    <w:framePr w:hSpace="141" w:wrap="around" w:vAnchor="text" w:hAnchor="text" w:y="1"/>
                    <w:suppressOverlap/>
                  </w:pPr>
                  <w:r w:rsidRPr="001541E4">
                    <w:t>Content (% w/w)</w:t>
                  </w:r>
                </w:p>
              </w:tc>
              <w:tc>
                <w:tcPr>
                  <w:tcW w:w="1167" w:type="dxa"/>
                  <w:shd w:val="clear" w:color="auto" w:fill="auto"/>
                </w:tcPr>
                <w:p w14:paraId="01A1C7C1" w14:textId="77777777" w:rsidR="000228FA" w:rsidRDefault="000228FA" w:rsidP="0052669C">
                  <w:pPr>
                    <w:framePr w:hSpace="141" w:wrap="around" w:vAnchor="text" w:hAnchor="text" w:y="1"/>
                    <w:suppressOverlap/>
                  </w:pPr>
                  <w:r>
                    <w:t>24.1</w:t>
                  </w:r>
                </w:p>
              </w:tc>
              <w:tc>
                <w:tcPr>
                  <w:tcW w:w="1167" w:type="dxa"/>
                  <w:shd w:val="clear" w:color="auto" w:fill="auto"/>
                </w:tcPr>
                <w:p w14:paraId="3678DC0E" w14:textId="77777777" w:rsidR="000228FA" w:rsidRDefault="000228FA" w:rsidP="0052669C">
                  <w:pPr>
                    <w:framePr w:hSpace="141" w:wrap="around" w:vAnchor="text" w:hAnchor="text" w:y="1"/>
                    <w:suppressOverlap/>
                  </w:pPr>
                  <w:r>
                    <w:t>24.1</w:t>
                  </w:r>
                </w:p>
              </w:tc>
            </w:tr>
            <w:tr w:rsidR="000228FA" w14:paraId="2685683F" w14:textId="77777777" w:rsidTr="00FF3977">
              <w:tc>
                <w:tcPr>
                  <w:tcW w:w="1166" w:type="dxa"/>
                  <w:vMerge/>
                  <w:shd w:val="clear" w:color="auto" w:fill="auto"/>
                </w:tcPr>
                <w:p w14:paraId="4843051C" w14:textId="77777777" w:rsidR="000228FA" w:rsidRDefault="000228FA" w:rsidP="0052669C">
                  <w:pPr>
                    <w:framePr w:hSpace="141" w:wrap="around" w:vAnchor="text" w:hAnchor="text" w:y="1"/>
                    <w:suppressOverlap/>
                  </w:pPr>
                </w:p>
              </w:tc>
              <w:tc>
                <w:tcPr>
                  <w:tcW w:w="1166" w:type="dxa"/>
                  <w:shd w:val="clear" w:color="auto" w:fill="auto"/>
                </w:tcPr>
                <w:p w14:paraId="4E27CD6D" w14:textId="77777777" w:rsidR="000228FA" w:rsidRDefault="000228FA" w:rsidP="0052669C">
                  <w:pPr>
                    <w:framePr w:hSpace="141" w:wrap="around" w:vAnchor="text" w:hAnchor="text" w:y="1"/>
                    <w:suppressOverlap/>
                  </w:pPr>
                  <w:r w:rsidRPr="001541E4">
                    <w:t>Deviation (%)</w:t>
                  </w:r>
                </w:p>
              </w:tc>
              <w:tc>
                <w:tcPr>
                  <w:tcW w:w="1167" w:type="dxa"/>
                  <w:shd w:val="clear" w:color="auto" w:fill="auto"/>
                </w:tcPr>
                <w:p w14:paraId="6800A8A9" w14:textId="77777777" w:rsidR="000228FA" w:rsidRDefault="000228FA" w:rsidP="0052669C">
                  <w:pPr>
                    <w:framePr w:hSpace="141" w:wrap="around" w:vAnchor="text" w:hAnchor="text" w:y="1"/>
                    <w:suppressOverlap/>
                  </w:pPr>
                  <w:r>
                    <w:t>From the nominal value</w:t>
                  </w:r>
                </w:p>
                <w:p w14:paraId="7C5341F8" w14:textId="77777777" w:rsidR="000228FA" w:rsidRDefault="000228FA" w:rsidP="0052669C">
                  <w:pPr>
                    <w:framePr w:hSpace="141" w:wrap="around" w:vAnchor="text" w:hAnchor="text" w:y="1"/>
                    <w:suppressOverlap/>
                  </w:pPr>
                  <w:r>
                    <w:t>+0.4</w:t>
                  </w:r>
                </w:p>
              </w:tc>
              <w:tc>
                <w:tcPr>
                  <w:tcW w:w="1167" w:type="dxa"/>
                  <w:shd w:val="clear" w:color="auto" w:fill="auto"/>
                </w:tcPr>
                <w:p w14:paraId="2116BA7C" w14:textId="77777777" w:rsidR="000228FA" w:rsidRDefault="000228FA" w:rsidP="0052669C">
                  <w:pPr>
                    <w:framePr w:hSpace="141" w:wrap="around" w:vAnchor="text" w:hAnchor="text" w:y="1"/>
                    <w:suppressOverlap/>
                  </w:pPr>
                  <w:r>
                    <w:t>From the T = 0 value</w:t>
                  </w:r>
                </w:p>
                <w:p w14:paraId="7FFCF664" w14:textId="77777777" w:rsidR="000228FA" w:rsidRDefault="000228FA" w:rsidP="0052669C">
                  <w:pPr>
                    <w:framePr w:hSpace="141" w:wrap="around" w:vAnchor="text" w:hAnchor="text" w:y="1"/>
                    <w:suppressOverlap/>
                  </w:pPr>
                  <w:r>
                    <w:t>0.0</w:t>
                  </w:r>
                </w:p>
              </w:tc>
            </w:tr>
          </w:tbl>
          <w:p w14:paraId="66FCED8F" w14:textId="77777777" w:rsidR="000228FA" w:rsidRPr="005B2C43" w:rsidRDefault="000228FA" w:rsidP="00FF3977"/>
          <w:p w14:paraId="10327B64" w14:textId="77777777" w:rsidR="000228FA" w:rsidRDefault="000228FA" w:rsidP="00FF3977">
            <w:r w:rsidRPr="005B2C43">
              <w:t>No change was observed in the content of the active substance after the accelerated storage procedure at 54 °C ± 2 °C for 14 days. The test item was considered to be stable.</w:t>
            </w:r>
          </w:p>
          <w:p w14:paraId="7BB46924" w14:textId="77777777" w:rsidR="000228FA" w:rsidRPr="005B2C43" w:rsidRDefault="000228FA" w:rsidP="00FF3977"/>
          <w:p w14:paraId="533284A9" w14:textId="77777777" w:rsidR="000228FA" w:rsidRPr="005B2C43" w:rsidRDefault="000228FA" w:rsidP="00FF3977">
            <w:r w:rsidRPr="005B2C43">
              <w:t>DETERMINATION OF pH VALUES</w:t>
            </w:r>
          </w:p>
          <w:p w14:paraId="54182787" w14:textId="77777777" w:rsidR="000228FA" w:rsidRPr="005B2C43" w:rsidRDefault="000228FA" w:rsidP="00FF3977">
            <w:r w:rsidRPr="005B2C43">
              <w:t>Before the accelerated storage procedure, the mean pH value of the pure test item was: 2.01 at 19.8 °C after 1 min and 2.00 at 20 °C after 2 min. After the accelerated storage procedure, the mean pH value of the pure test item was: 1.99 at 21.2 °C after 1 min and 1.98 at 21.3 °C after 2 min.</w:t>
            </w:r>
          </w:p>
          <w:p w14:paraId="3DB1419B" w14:textId="77777777" w:rsidR="000228FA" w:rsidRDefault="000228FA" w:rsidP="00FF3977"/>
          <w:p w14:paraId="542EAFCC" w14:textId="77777777" w:rsidR="000228FA" w:rsidRDefault="000228FA" w:rsidP="00FF3977">
            <w:r>
              <w:lastRenderedPageBreak/>
              <w:t>DILUTION STABILITY OF AQUEOUS SOLUTIONS</w:t>
            </w:r>
          </w:p>
          <w:p w14:paraId="1E1B12CF" w14:textId="77777777" w:rsidR="000228FA" w:rsidRDefault="000228FA" w:rsidP="00FF3977">
            <w:r>
              <w:t>Before and after the accelerated storage procedure, The test item solution did not remain stable. 60 mL of whitish precipitate (before storage) and two different phases (after storage) were observed on the test item solution at 10% w/w in standard water D after standing for 24 h at 30 °C ± 2 °C.</w:t>
            </w:r>
          </w:p>
          <w:p w14:paraId="0FAD3FAE" w14:textId="77777777" w:rsidR="000228FA" w:rsidRDefault="000228FA" w:rsidP="00FF3977"/>
          <w:p w14:paraId="0470BDB2" w14:textId="77777777" w:rsidR="000228FA" w:rsidRDefault="000228FA" w:rsidP="00FF3977">
            <w:r>
              <w:t xml:space="preserve">WET SIEVE TEST AFTER DILUTION STABILITY </w:t>
            </w:r>
          </w:p>
          <w:p w14:paraId="742A1414" w14:textId="77777777" w:rsidR="000228FA" w:rsidRDefault="000228FA" w:rsidP="00FF3977">
            <w:r>
              <w:t xml:space="preserve">Before and after accelerated storage, no residue of the test item was heal on a 75 µm sieve. </w:t>
            </w:r>
          </w:p>
          <w:p w14:paraId="0D5128DF" w14:textId="77777777" w:rsidR="000228FA" w:rsidRDefault="000228FA" w:rsidP="00FF3977"/>
          <w:p w14:paraId="7D99B22C" w14:textId="77777777" w:rsidR="000228FA" w:rsidRDefault="000228FA" w:rsidP="00FF3977">
            <w:r>
              <w:t>PERSISTENT FOAM (not required after accelerated storage for a SL formulation)</w:t>
            </w:r>
          </w:p>
          <w:p w14:paraId="0C5546E9" w14:textId="77777777" w:rsidR="000228FA" w:rsidRDefault="000228FA" w:rsidP="00FF3977">
            <w:r w:rsidRPr="00DD3425">
              <w:t>Before the accelerated storage procedure, the mean volume of foam produced after several inversions of the test item diluted at 2% w/w</w:t>
            </w:r>
            <w:r>
              <w:t xml:space="preserve"> and 10% w/w</w:t>
            </w:r>
            <w:r w:rsidRPr="00DD3425">
              <w:t xml:space="preserve"> in standard water D at 20 °C ± 2 °C was higher than 70 mL after 1 min of standing.</w:t>
            </w:r>
          </w:p>
          <w:p w14:paraId="3E8E151D" w14:textId="77777777" w:rsidR="000228FA" w:rsidRDefault="000228FA" w:rsidP="00FF3977">
            <w:r w:rsidRPr="00EA2BC3">
              <w:t>After the accelerated storage procedure. The mean volume of foam produced after several inversions of the test item diluted at 2% w/w in standard water D at 20 °C ± 2 °C was higher than 70 mL after 1 min of standing.</w:t>
            </w:r>
          </w:p>
          <w:p w14:paraId="6BCCC369" w14:textId="7BD327FB" w:rsidR="000228FA" w:rsidRDefault="000228FA" w:rsidP="00FF3977">
            <w:r w:rsidRPr="00EA2BC3">
              <w:t>After the accelerated storage procedure. The mean volume of foam produced after several inversions of the te</w:t>
            </w:r>
            <w:r>
              <w:t>st item diluted at 10</w:t>
            </w:r>
            <w:r w:rsidRPr="00EA2BC3">
              <w:t>% w/w in standard water D at</w:t>
            </w:r>
            <w:r>
              <w:t xml:space="preserve"> 20 °C ± 2 °C was higher than 65</w:t>
            </w:r>
            <w:r w:rsidRPr="00EA2BC3">
              <w:t xml:space="preserve"> mL after 1 min of standing.</w:t>
            </w:r>
            <w:r w:rsidR="00151864">
              <w:t xml:space="preserve"> </w:t>
            </w:r>
          </w:p>
          <w:p w14:paraId="6EB1D01A" w14:textId="375F5B31" w:rsidR="00151864" w:rsidRDefault="00151864" w:rsidP="00FF3977">
            <w:r>
              <w:t xml:space="preserve">Please see below (persistent foam row):  One video has been provided to </w:t>
            </w:r>
            <w:r w:rsidRPr="00151864">
              <w:t>de</w:t>
            </w:r>
            <w:r>
              <w:t>monstrate</w:t>
            </w:r>
            <w:r w:rsidRPr="00151864">
              <w:t xml:space="preserve"> that </w:t>
            </w:r>
            <w:r w:rsidRPr="00151864">
              <w:lastRenderedPageBreak/>
              <w:t xml:space="preserve">the presence of the foam will not affect the use of the product. </w:t>
            </w:r>
            <w:r>
              <w:t xml:space="preserve"> </w:t>
            </w:r>
          </w:p>
          <w:p w14:paraId="29719718" w14:textId="77777777" w:rsidR="000228FA" w:rsidRPr="005B2C43" w:rsidRDefault="000228FA" w:rsidP="00FF3977">
            <w:r>
              <w:t xml:space="preserve"> </w:t>
            </w:r>
          </w:p>
          <w:p w14:paraId="05BE489E" w14:textId="77777777" w:rsidR="000228FA" w:rsidRPr="00A411E7" w:rsidRDefault="000228FA" w:rsidP="00FF3977">
            <w:pPr>
              <w:rPr>
                <w:rFonts w:eastAsia="Calibri"/>
              </w:rPr>
            </w:pPr>
            <w:r w:rsidRPr="005B2C43">
              <w:t>These results can be extrapolated to the other packagings in HDPE, LDPE/HDPE, PET and COEXTRUDE according to ECHA Guidance Vol. I, Parts A+B+C (3), 3.6.4.2 Point 3.4.2 Table 7.</w:t>
            </w:r>
          </w:p>
        </w:tc>
        <w:tc>
          <w:tcPr>
            <w:tcW w:w="449" w:type="pct"/>
            <w:vAlign w:val="center"/>
          </w:tcPr>
          <w:p w14:paraId="6FF48127" w14:textId="77777777" w:rsidR="000228FA" w:rsidRPr="00A411E7" w:rsidRDefault="000228FA" w:rsidP="00FF3977">
            <w:pPr>
              <w:rPr>
                <w:rFonts w:eastAsia="Calibri"/>
              </w:rPr>
            </w:pPr>
            <w:r w:rsidRPr="001541E4">
              <w:lastRenderedPageBreak/>
              <w:t>Halbwachs P. and Ricau H., 2020, Report No 19-901011-016</w:t>
            </w:r>
          </w:p>
        </w:tc>
        <w:tc>
          <w:tcPr>
            <w:tcW w:w="745" w:type="pct"/>
          </w:tcPr>
          <w:p w14:paraId="120BB85F" w14:textId="77777777" w:rsidR="000228FA" w:rsidRDefault="000228FA" w:rsidP="00FF3977">
            <w:pPr>
              <w:rPr>
                <w:color w:val="000000"/>
              </w:rPr>
            </w:pPr>
            <w:r>
              <w:rPr>
                <w:color w:val="000000"/>
              </w:rPr>
              <w:t xml:space="preserve">Acceptable except for the dilution stability. </w:t>
            </w:r>
          </w:p>
          <w:p w14:paraId="66ACCA15" w14:textId="77777777" w:rsidR="000228FA" w:rsidRDefault="000228FA" w:rsidP="00FF3977">
            <w:pPr>
              <w:rPr>
                <w:color w:val="000000"/>
              </w:rPr>
            </w:pPr>
          </w:p>
          <w:p w14:paraId="0DD182F7" w14:textId="77777777" w:rsidR="000228FA" w:rsidRDefault="000228FA" w:rsidP="00FF3977">
            <w:pPr>
              <w:rPr>
                <w:color w:val="000000"/>
              </w:rPr>
            </w:pPr>
            <w:r>
              <w:rPr>
                <w:color w:val="000000"/>
              </w:rPr>
              <w:t xml:space="preserve">The solution formed after dilution is not stable. </w:t>
            </w:r>
          </w:p>
          <w:p w14:paraId="3999F075" w14:textId="0606FE43" w:rsidR="000228FA" w:rsidRDefault="000228FA" w:rsidP="00FF3977">
            <w:r>
              <w:rPr>
                <w:color w:val="000000"/>
              </w:rPr>
              <w:lastRenderedPageBreak/>
              <w:t xml:space="preserve">The label of products of META SPC 6 should mention: The product should be used </w:t>
            </w:r>
            <w:r w:rsidR="00EB1131">
              <w:rPr>
                <w:rFonts w:eastAsia="Calibri"/>
              </w:rPr>
              <w:t>within 30 minutes</w:t>
            </w:r>
            <w:r>
              <w:rPr>
                <w:color w:val="000000"/>
              </w:rPr>
              <w:t xml:space="preserve"> after dilution.</w:t>
            </w:r>
          </w:p>
        </w:tc>
      </w:tr>
      <w:tr w:rsidR="000228FA" w14:paraId="60F196CD" w14:textId="77777777" w:rsidTr="00FF3977">
        <w:tc>
          <w:tcPr>
            <w:tcW w:w="1232" w:type="pct"/>
          </w:tcPr>
          <w:p w14:paraId="6791ED94"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443" w:type="pct"/>
            <w:vAlign w:val="center"/>
          </w:tcPr>
          <w:p w14:paraId="6454379B" w14:textId="77777777" w:rsidR="000228FA" w:rsidRPr="00A12904" w:rsidRDefault="000228FA" w:rsidP="00FF3977">
            <w:pPr>
              <w:rPr>
                <w:color w:val="000000"/>
              </w:rPr>
            </w:pPr>
            <w:r>
              <w:rPr>
                <w:color w:val="000000"/>
              </w:rPr>
              <w:t> </w:t>
            </w:r>
            <w:r w:rsidRPr="00A12904">
              <w:rPr>
                <w:color w:val="000000"/>
              </w:rPr>
              <w:t>Technical</w:t>
            </w:r>
          </w:p>
          <w:p w14:paraId="0DE62448" w14:textId="77777777" w:rsidR="000228FA" w:rsidRPr="00A411E7" w:rsidRDefault="000228FA" w:rsidP="00FF3977">
            <w:pPr>
              <w:rPr>
                <w:rFonts w:eastAsia="Calibri"/>
              </w:rPr>
            </w:pPr>
            <w:r w:rsidRPr="00A12904">
              <w:rPr>
                <w:color w:val="000000"/>
              </w:rPr>
              <w:t>Monograph No. 17</w:t>
            </w:r>
          </w:p>
        </w:tc>
        <w:tc>
          <w:tcPr>
            <w:tcW w:w="439" w:type="pct"/>
            <w:vAlign w:val="center"/>
          </w:tcPr>
          <w:p w14:paraId="510A9202" w14:textId="77777777" w:rsidR="000228FA" w:rsidRPr="00A411E7" w:rsidRDefault="000228FA" w:rsidP="00FF3977">
            <w:pPr>
              <w:rPr>
                <w:rFonts w:eastAsia="Calibri"/>
              </w:rPr>
            </w:pPr>
            <w:r>
              <w:rPr>
                <w:color w:val="000000"/>
              </w:rPr>
              <w:t> </w:t>
            </w:r>
            <w:r>
              <w:rPr>
                <w:rFonts w:eastAsia="Calibri"/>
              </w:rPr>
              <w:t xml:space="preserve">Test item: </w:t>
            </w:r>
            <w:r w:rsidRPr="00547D14">
              <w:rPr>
                <w:rFonts w:eastAsia="Calibri"/>
              </w:rPr>
              <w:t>218228-P1</w:t>
            </w:r>
          </w:p>
        </w:tc>
        <w:tc>
          <w:tcPr>
            <w:tcW w:w="1692" w:type="pct"/>
            <w:vAlign w:val="center"/>
          </w:tcPr>
          <w:p w14:paraId="1D9024E1"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49" w:type="pct"/>
            <w:vAlign w:val="center"/>
          </w:tcPr>
          <w:p w14:paraId="3DE39086" w14:textId="77777777" w:rsidR="000228FA" w:rsidRPr="00A411E7" w:rsidRDefault="000228FA" w:rsidP="00FF3977">
            <w:pPr>
              <w:rPr>
                <w:rFonts w:eastAsia="Calibri"/>
              </w:rPr>
            </w:pPr>
            <w:r>
              <w:rPr>
                <w:color w:val="000000"/>
              </w:rPr>
              <w:t> Demangel B., 2018, Report No 18-901011-033</w:t>
            </w:r>
          </w:p>
        </w:tc>
        <w:tc>
          <w:tcPr>
            <w:tcW w:w="745" w:type="pct"/>
          </w:tcPr>
          <w:p w14:paraId="5E2C34C7" w14:textId="77777777" w:rsidR="000228FA" w:rsidRDefault="000228FA" w:rsidP="00FF3977">
            <w:pPr>
              <w:rPr>
                <w:color w:val="000000"/>
              </w:rPr>
            </w:pPr>
            <w:r>
              <w:rPr>
                <w:color w:val="000000"/>
              </w:rPr>
              <w:t xml:space="preserve">Study required in post authorisation </w:t>
            </w:r>
          </w:p>
        </w:tc>
      </w:tr>
      <w:tr w:rsidR="000228FA" w14:paraId="4605FB97" w14:textId="77777777" w:rsidTr="00FF3977">
        <w:tc>
          <w:tcPr>
            <w:tcW w:w="1232" w:type="pct"/>
          </w:tcPr>
          <w:p w14:paraId="2F330E84"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443" w:type="pct"/>
            <w:vAlign w:val="center"/>
          </w:tcPr>
          <w:p w14:paraId="54C0A1D6" w14:textId="77777777" w:rsidR="000228FA" w:rsidRPr="00A411E7" w:rsidRDefault="000228FA" w:rsidP="00FF3977">
            <w:pPr>
              <w:rPr>
                <w:rFonts w:eastAsia="Calibri"/>
              </w:rPr>
            </w:pPr>
            <w:r>
              <w:t>CIPAC Handbook J - MT 39.3 method (2000)</w:t>
            </w:r>
          </w:p>
        </w:tc>
        <w:tc>
          <w:tcPr>
            <w:tcW w:w="439" w:type="pct"/>
            <w:vAlign w:val="center"/>
          </w:tcPr>
          <w:p w14:paraId="7D0D7E4F" w14:textId="77777777" w:rsidR="000228FA" w:rsidRDefault="000228FA" w:rsidP="00FF3977">
            <w:r>
              <w:t xml:space="preserve">Batch </w:t>
            </w:r>
            <w:r w:rsidRPr="005F6731">
              <w:t>5125352</w:t>
            </w:r>
          </w:p>
          <w:p w14:paraId="09B3884D"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47809F27" w14:textId="77777777" w:rsidR="000228FA" w:rsidRPr="00A411E7" w:rsidRDefault="000228FA" w:rsidP="00FF3977">
            <w:pPr>
              <w:rPr>
                <w:rFonts w:eastAsia="Calibri"/>
              </w:rPr>
            </w:pPr>
            <w:r w:rsidRPr="005F6731">
              <w:t>At the start of the test, the test item was a homogeneous slightly yellow limpid liquid. The appearance of the test item was considered to be stable after a low temperature stability for 7 days at 0 ± 2 °C, no change was observed in the test item aspect.</w:t>
            </w:r>
          </w:p>
        </w:tc>
        <w:tc>
          <w:tcPr>
            <w:tcW w:w="449" w:type="pct"/>
            <w:vAlign w:val="center"/>
          </w:tcPr>
          <w:p w14:paraId="2C668950" w14:textId="77777777" w:rsidR="000228FA" w:rsidRPr="00A411E7" w:rsidRDefault="000228FA" w:rsidP="00FF3977">
            <w:pPr>
              <w:rPr>
                <w:rFonts w:eastAsia="Calibri"/>
              </w:rPr>
            </w:pPr>
            <w:r w:rsidRPr="005F6731">
              <w:t>Halbwachs P., 2020, Report No 19-901011-015</w:t>
            </w:r>
          </w:p>
        </w:tc>
        <w:tc>
          <w:tcPr>
            <w:tcW w:w="745" w:type="pct"/>
          </w:tcPr>
          <w:p w14:paraId="74AE9C59" w14:textId="77777777" w:rsidR="000228FA" w:rsidRDefault="000228FA" w:rsidP="00FF3977">
            <w:pPr>
              <w:rPr>
                <w:color w:val="000000"/>
              </w:rPr>
            </w:pPr>
            <w:r>
              <w:rPr>
                <w:color w:val="000000"/>
              </w:rPr>
              <w:t>Acceptable</w:t>
            </w:r>
          </w:p>
          <w:p w14:paraId="69B0FDD0" w14:textId="77777777" w:rsidR="000228FA" w:rsidRDefault="000228FA" w:rsidP="00FF3977">
            <w:r>
              <w:rPr>
                <w:color w:val="000000"/>
              </w:rPr>
              <w:t>The product is stable after 7 days at 0°C.</w:t>
            </w:r>
          </w:p>
        </w:tc>
      </w:tr>
      <w:tr w:rsidR="000228FA" w14:paraId="5DFC0C93" w14:textId="77777777" w:rsidTr="00FF3977">
        <w:tc>
          <w:tcPr>
            <w:tcW w:w="1232" w:type="pct"/>
          </w:tcPr>
          <w:p w14:paraId="6E91A053"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443" w:type="pct"/>
            <w:vAlign w:val="center"/>
          </w:tcPr>
          <w:p w14:paraId="63C09380" w14:textId="77777777" w:rsidR="000228FA" w:rsidRPr="00A411E7" w:rsidRDefault="000228FA" w:rsidP="00FF3977">
            <w:pPr>
              <w:spacing w:line="260" w:lineRule="atLeast"/>
              <w:rPr>
                <w:rFonts w:eastAsia="Calibri"/>
                <w:lang w:eastAsia="en-US"/>
              </w:rPr>
            </w:pPr>
            <w:r>
              <w:rPr>
                <w:color w:val="000000"/>
              </w:rPr>
              <w:t xml:space="preserve"> -</w:t>
            </w:r>
          </w:p>
        </w:tc>
        <w:tc>
          <w:tcPr>
            <w:tcW w:w="439" w:type="pct"/>
            <w:vAlign w:val="center"/>
          </w:tcPr>
          <w:p w14:paraId="6DE77F5F" w14:textId="77777777" w:rsidR="000228FA" w:rsidRPr="00A411E7" w:rsidRDefault="000228FA" w:rsidP="00FF3977">
            <w:pPr>
              <w:spacing w:line="260" w:lineRule="atLeast"/>
              <w:rPr>
                <w:rFonts w:eastAsia="Calibri"/>
                <w:lang w:eastAsia="en-US"/>
              </w:rPr>
            </w:pPr>
            <w:r>
              <w:rPr>
                <w:color w:val="000000"/>
              </w:rPr>
              <w:t xml:space="preserve"> -</w:t>
            </w:r>
          </w:p>
        </w:tc>
        <w:tc>
          <w:tcPr>
            <w:tcW w:w="1692" w:type="pct"/>
            <w:vAlign w:val="center"/>
          </w:tcPr>
          <w:p w14:paraId="650E529A" w14:textId="77777777" w:rsidR="000228FA" w:rsidRPr="00A411E7" w:rsidRDefault="000228FA" w:rsidP="00FF3977">
            <w:pPr>
              <w:spacing w:line="260" w:lineRule="atLeast"/>
              <w:rPr>
                <w:rFonts w:eastAsia="Calibri"/>
                <w:lang w:eastAsia="en-US"/>
              </w:rPr>
            </w:pPr>
            <w:r>
              <w:t>The biocidal product is packaged in opaque packaging (20 ml, 250 ml, 1 l, 5 l, 120 l, 200 l, 220 l) and transparent packaging (1 l, 5 l, 10 l, 20 l). The test item is considered to be stable after 14 days at 54 ± 2°C (please refer above)</w:t>
            </w:r>
          </w:p>
        </w:tc>
        <w:tc>
          <w:tcPr>
            <w:tcW w:w="449" w:type="pct"/>
            <w:vAlign w:val="center"/>
          </w:tcPr>
          <w:p w14:paraId="7183B7C8" w14:textId="77777777" w:rsidR="000228FA" w:rsidRPr="00A411E7" w:rsidRDefault="000228FA" w:rsidP="00FF3977">
            <w:pPr>
              <w:spacing w:line="260" w:lineRule="atLeast"/>
              <w:rPr>
                <w:rFonts w:eastAsia="Calibri"/>
                <w:lang w:eastAsia="en-US"/>
              </w:rPr>
            </w:pPr>
            <w:r>
              <w:rPr>
                <w:color w:val="000000"/>
              </w:rPr>
              <w:t xml:space="preserve"> -</w:t>
            </w:r>
          </w:p>
        </w:tc>
        <w:tc>
          <w:tcPr>
            <w:tcW w:w="745" w:type="pct"/>
          </w:tcPr>
          <w:p w14:paraId="652E6BB0" w14:textId="77777777" w:rsidR="000228FA" w:rsidRDefault="000228FA" w:rsidP="00FF3977">
            <w:pPr>
              <w:spacing w:line="260" w:lineRule="atLeast"/>
              <w:rPr>
                <w:color w:val="000000"/>
              </w:rPr>
            </w:pPr>
            <w:r>
              <w:rPr>
                <w:color w:val="000000"/>
              </w:rPr>
              <w:t>Acceptable</w:t>
            </w:r>
          </w:p>
          <w:p w14:paraId="40E63ED7" w14:textId="77777777" w:rsidR="000228FA" w:rsidRDefault="000228FA" w:rsidP="00FF3977">
            <w:pPr>
              <w:spacing w:line="260" w:lineRule="atLeast"/>
              <w:rPr>
                <w:color w:val="000000"/>
              </w:rPr>
            </w:pPr>
          </w:p>
          <w:p w14:paraId="5C059A44" w14:textId="77777777" w:rsidR="000228FA" w:rsidRDefault="000228FA" w:rsidP="00FF3977">
            <w:pPr>
              <w:spacing w:line="260" w:lineRule="atLeast"/>
              <w:rPr>
                <w:color w:val="000000"/>
              </w:rPr>
            </w:pPr>
            <w:r w:rsidRPr="00B01C10">
              <w:rPr>
                <w:color w:val="000000"/>
              </w:rPr>
              <w:t xml:space="preserve">The active substance, lactic acid, is not light sensitive.  </w:t>
            </w:r>
          </w:p>
        </w:tc>
      </w:tr>
      <w:tr w:rsidR="000228FA" w14:paraId="0F0461A7" w14:textId="77777777" w:rsidTr="00FF3977">
        <w:tc>
          <w:tcPr>
            <w:tcW w:w="1232" w:type="pct"/>
          </w:tcPr>
          <w:p w14:paraId="297B567E"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443" w:type="pct"/>
            <w:vAlign w:val="center"/>
          </w:tcPr>
          <w:p w14:paraId="7BB1F99C" w14:textId="77777777" w:rsidR="000228FA" w:rsidRPr="00A411E7" w:rsidRDefault="000228FA" w:rsidP="00FF3977">
            <w:pPr>
              <w:rPr>
                <w:rFonts w:eastAsia="Calibri"/>
              </w:rPr>
            </w:pPr>
            <w:r>
              <w:rPr>
                <w:color w:val="000000"/>
              </w:rPr>
              <w:t xml:space="preserve"> -</w:t>
            </w:r>
          </w:p>
        </w:tc>
        <w:tc>
          <w:tcPr>
            <w:tcW w:w="439" w:type="pct"/>
            <w:vAlign w:val="center"/>
          </w:tcPr>
          <w:p w14:paraId="75C1CDB4" w14:textId="77777777" w:rsidR="000228FA" w:rsidRPr="00A411E7" w:rsidRDefault="000228FA" w:rsidP="00FF3977">
            <w:pPr>
              <w:rPr>
                <w:rFonts w:eastAsia="Calibri"/>
              </w:rPr>
            </w:pPr>
            <w:r>
              <w:rPr>
                <w:color w:val="000000"/>
              </w:rPr>
              <w:t xml:space="preserve"> -</w:t>
            </w:r>
          </w:p>
        </w:tc>
        <w:tc>
          <w:tcPr>
            <w:tcW w:w="1692" w:type="pct"/>
            <w:vAlign w:val="center"/>
          </w:tcPr>
          <w:p w14:paraId="26FD724C" w14:textId="77777777" w:rsidR="000228FA" w:rsidRPr="00A411E7" w:rsidRDefault="000228FA" w:rsidP="00FF3977">
            <w:pPr>
              <w:rPr>
                <w:rFonts w:eastAsia="Calibri"/>
              </w:rPr>
            </w:pPr>
            <w:r>
              <w:rPr>
                <w:color w:val="000000"/>
              </w:rPr>
              <w:t>With its cap, the packagings are leak-tight. The test item is considered to be stable after 14 days at 54 ± 2°C (please refer above)</w:t>
            </w:r>
          </w:p>
        </w:tc>
        <w:tc>
          <w:tcPr>
            <w:tcW w:w="449" w:type="pct"/>
            <w:vAlign w:val="center"/>
          </w:tcPr>
          <w:p w14:paraId="6416837B" w14:textId="77777777" w:rsidR="000228FA" w:rsidRPr="00A411E7" w:rsidRDefault="000228FA" w:rsidP="00FF3977">
            <w:pPr>
              <w:rPr>
                <w:rFonts w:eastAsia="Calibri"/>
              </w:rPr>
            </w:pPr>
            <w:r>
              <w:rPr>
                <w:color w:val="000000"/>
              </w:rPr>
              <w:t xml:space="preserve"> -</w:t>
            </w:r>
          </w:p>
        </w:tc>
        <w:tc>
          <w:tcPr>
            <w:tcW w:w="745" w:type="pct"/>
          </w:tcPr>
          <w:p w14:paraId="4EBEF686" w14:textId="77777777" w:rsidR="000228FA" w:rsidRDefault="000228FA" w:rsidP="00FF3977">
            <w:pPr>
              <w:rPr>
                <w:color w:val="000000"/>
              </w:rPr>
            </w:pPr>
            <w:r>
              <w:rPr>
                <w:color w:val="000000"/>
              </w:rPr>
              <w:t>Acceptable</w:t>
            </w:r>
          </w:p>
        </w:tc>
      </w:tr>
      <w:tr w:rsidR="000228FA" w14:paraId="1C8B0614" w14:textId="77777777" w:rsidTr="00FF3977">
        <w:tc>
          <w:tcPr>
            <w:tcW w:w="1232" w:type="pct"/>
          </w:tcPr>
          <w:p w14:paraId="3622F785"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w:t>
            </w:r>
            <w:r w:rsidRPr="00A411E7">
              <w:rPr>
                <w:rFonts w:eastAsia="Calibri"/>
              </w:rPr>
              <w:lastRenderedPageBreak/>
              <w:t xml:space="preserve">product - </w:t>
            </w:r>
            <w:r w:rsidRPr="00A411E7">
              <w:rPr>
                <w:rFonts w:eastAsia="Calibri"/>
                <w:b/>
              </w:rPr>
              <w:t>reactivity towards container material</w:t>
            </w:r>
          </w:p>
        </w:tc>
        <w:tc>
          <w:tcPr>
            <w:tcW w:w="443" w:type="pct"/>
            <w:vAlign w:val="center"/>
          </w:tcPr>
          <w:p w14:paraId="767E7777" w14:textId="77777777" w:rsidR="000228FA" w:rsidRPr="00A411E7" w:rsidRDefault="000228FA" w:rsidP="00FF3977">
            <w:pPr>
              <w:rPr>
                <w:rFonts w:eastAsia="Calibri"/>
              </w:rPr>
            </w:pPr>
            <w:r>
              <w:rPr>
                <w:color w:val="000000"/>
              </w:rPr>
              <w:lastRenderedPageBreak/>
              <w:t xml:space="preserve"> -</w:t>
            </w:r>
          </w:p>
        </w:tc>
        <w:tc>
          <w:tcPr>
            <w:tcW w:w="439" w:type="pct"/>
            <w:vAlign w:val="center"/>
          </w:tcPr>
          <w:p w14:paraId="6CB9FB60" w14:textId="77777777" w:rsidR="000228FA" w:rsidRPr="00A411E7" w:rsidRDefault="000228FA" w:rsidP="00FF3977">
            <w:pPr>
              <w:rPr>
                <w:rFonts w:eastAsia="Calibri"/>
              </w:rPr>
            </w:pPr>
            <w:r>
              <w:rPr>
                <w:color w:val="000000"/>
              </w:rPr>
              <w:t xml:space="preserve"> -</w:t>
            </w:r>
          </w:p>
        </w:tc>
        <w:tc>
          <w:tcPr>
            <w:tcW w:w="1692" w:type="pct"/>
            <w:vAlign w:val="center"/>
          </w:tcPr>
          <w:p w14:paraId="35ED887D"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w:t>
            </w:r>
            <w:r>
              <w:rPr>
                <w:color w:val="000000"/>
              </w:rPr>
              <w:lastRenderedPageBreak/>
              <w:t>stable after 14 days at 54 ± 2°C (please refer above)</w:t>
            </w:r>
          </w:p>
        </w:tc>
        <w:tc>
          <w:tcPr>
            <w:tcW w:w="449" w:type="pct"/>
            <w:vAlign w:val="center"/>
          </w:tcPr>
          <w:p w14:paraId="7499EB90" w14:textId="77777777" w:rsidR="000228FA" w:rsidRPr="00A411E7" w:rsidRDefault="000228FA" w:rsidP="00FF3977">
            <w:pPr>
              <w:rPr>
                <w:rFonts w:eastAsia="Calibri"/>
              </w:rPr>
            </w:pPr>
            <w:r>
              <w:rPr>
                <w:color w:val="000000"/>
              </w:rPr>
              <w:lastRenderedPageBreak/>
              <w:t xml:space="preserve"> -</w:t>
            </w:r>
          </w:p>
        </w:tc>
        <w:tc>
          <w:tcPr>
            <w:tcW w:w="745" w:type="pct"/>
          </w:tcPr>
          <w:p w14:paraId="4FEEF071" w14:textId="77777777" w:rsidR="000228FA" w:rsidRDefault="000228FA" w:rsidP="00FF3977">
            <w:pPr>
              <w:rPr>
                <w:color w:val="000000"/>
              </w:rPr>
            </w:pPr>
            <w:r>
              <w:rPr>
                <w:color w:val="000000"/>
              </w:rPr>
              <w:t>Acceptable</w:t>
            </w:r>
          </w:p>
        </w:tc>
      </w:tr>
      <w:tr w:rsidR="000228FA" w14:paraId="24EBD694" w14:textId="77777777" w:rsidTr="00FF3977">
        <w:tc>
          <w:tcPr>
            <w:tcW w:w="1232" w:type="pct"/>
          </w:tcPr>
          <w:p w14:paraId="1C74FDBE" w14:textId="77777777" w:rsidR="000228FA" w:rsidRPr="00A411E7" w:rsidRDefault="000228FA" w:rsidP="00FF3977">
            <w:pPr>
              <w:rPr>
                <w:rFonts w:eastAsia="Calibri"/>
              </w:rPr>
            </w:pPr>
            <w:r w:rsidRPr="00A411E7">
              <w:rPr>
                <w:rFonts w:eastAsia="Calibri"/>
              </w:rPr>
              <w:t>Wettability</w:t>
            </w:r>
          </w:p>
        </w:tc>
        <w:tc>
          <w:tcPr>
            <w:tcW w:w="443" w:type="pct"/>
            <w:vAlign w:val="center"/>
          </w:tcPr>
          <w:p w14:paraId="4F3718A5" w14:textId="77777777" w:rsidR="000228FA" w:rsidRPr="00A411E7" w:rsidRDefault="000228FA" w:rsidP="00FF3977">
            <w:pPr>
              <w:rPr>
                <w:rFonts w:eastAsia="Calibri"/>
              </w:rPr>
            </w:pPr>
            <w:r>
              <w:rPr>
                <w:color w:val="000000"/>
              </w:rPr>
              <w:t xml:space="preserve"> -</w:t>
            </w:r>
          </w:p>
        </w:tc>
        <w:tc>
          <w:tcPr>
            <w:tcW w:w="439" w:type="pct"/>
            <w:vAlign w:val="center"/>
          </w:tcPr>
          <w:p w14:paraId="0FB95BBE" w14:textId="77777777" w:rsidR="000228FA" w:rsidRPr="00A411E7" w:rsidRDefault="000228FA" w:rsidP="00FF3977">
            <w:pPr>
              <w:rPr>
                <w:rFonts w:eastAsia="Calibri"/>
              </w:rPr>
            </w:pPr>
            <w:r>
              <w:rPr>
                <w:color w:val="000000"/>
              </w:rPr>
              <w:t xml:space="preserve"> -</w:t>
            </w:r>
          </w:p>
        </w:tc>
        <w:tc>
          <w:tcPr>
            <w:tcW w:w="1692" w:type="pct"/>
            <w:vAlign w:val="center"/>
          </w:tcPr>
          <w:p w14:paraId="55014DC8" w14:textId="77777777" w:rsidR="000228FA" w:rsidRPr="00A411E7" w:rsidRDefault="000228FA" w:rsidP="00FF3977">
            <w:pPr>
              <w:rPr>
                <w:rFonts w:eastAsia="Calibri"/>
              </w:rPr>
            </w:pPr>
            <w:r>
              <w:rPr>
                <w:color w:val="000000"/>
              </w:rPr>
              <w:t>Not required as the product is a soluble concentrate (SL).</w:t>
            </w:r>
          </w:p>
        </w:tc>
        <w:tc>
          <w:tcPr>
            <w:tcW w:w="449" w:type="pct"/>
            <w:vAlign w:val="center"/>
          </w:tcPr>
          <w:p w14:paraId="2E11CF9E" w14:textId="77777777" w:rsidR="000228FA" w:rsidRPr="00A411E7" w:rsidRDefault="000228FA" w:rsidP="00FF3977">
            <w:pPr>
              <w:rPr>
                <w:rFonts w:eastAsia="Calibri"/>
              </w:rPr>
            </w:pPr>
            <w:r>
              <w:rPr>
                <w:color w:val="000000"/>
              </w:rPr>
              <w:t xml:space="preserve"> -</w:t>
            </w:r>
          </w:p>
        </w:tc>
        <w:tc>
          <w:tcPr>
            <w:tcW w:w="745" w:type="pct"/>
          </w:tcPr>
          <w:p w14:paraId="7C56B1B1" w14:textId="77777777" w:rsidR="000228FA" w:rsidRDefault="000228FA" w:rsidP="00FF3977">
            <w:pPr>
              <w:rPr>
                <w:color w:val="000000"/>
              </w:rPr>
            </w:pPr>
            <w:r>
              <w:rPr>
                <w:color w:val="000000"/>
              </w:rPr>
              <w:t>Not relevant for a SL formulation.</w:t>
            </w:r>
          </w:p>
        </w:tc>
      </w:tr>
      <w:tr w:rsidR="000228FA" w14:paraId="1692E7B5" w14:textId="77777777" w:rsidTr="00FF3977">
        <w:tc>
          <w:tcPr>
            <w:tcW w:w="1232" w:type="pct"/>
          </w:tcPr>
          <w:p w14:paraId="0693A83D" w14:textId="77777777" w:rsidR="000228FA" w:rsidRPr="00A411E7" w:rsidRDefault="000228FA" w:rsidP="00FF3977">
            <w:pPr>
              <w:rPr>
                <w:rFonts w:eastAsia="Calibri"/>
              </w:rPr>
            </w:pPr>
            <w:r w:rsidRPr="00A411E7">
              <w:rPr>
                <w:rFonts w:eastAsia="Calibri"/>
              </w:rPr>
              <w:t>Suspensibility, spontaneity and dispersion stability</w:t>
            </w:r>
          </w:p>
        </w:tc>
        <w:tc>
          <w:tcPr>
            <w:tcW w:w="443" w:type="pct"/>
            <w:vAlign w:val="center"/>
          </w:tcPr>
          <w:p w14:paraId="69A9CFAD" w14:textId="77777777" w:rsidR="000228FA" w:rsidRPr="00A411E7" w:rsidRDefault="000228FA" w:rsidP="00FF3977">
            <w:pPr>
              <w:rPr>
                <w:rFonts w:eastAsia="Calibri"/>
              </w:rPr>
            </w:pPr>
            <w:r>
              <w:rPr>
                <w:color w:val="000000"/>
              </w:rPr>
              <w:t xml:space="preserve"> -</w:t>
            </w:r>
          </w:p>
        </w:tc>
        <w:tc>
          <w:tcPr>
            <w:tcW w:w="439" w:type="pct"/>
            <w:vAlign w:val="center"/>
          </w:tcPr>
          <w:p w14:paraId="3290FD6F" w14:textId="77777777" w:rsidR="000228FA" w:rsidRPr="00A411E7" w:rsidRDefault="000228FA" w:rsidP="00FF3977">
            <w:pPr>
              <w:rPr>
                <w:rFonts w:eastAsia="Calibri"/>
              </w:rPr>
            </w:pPr>
            <w:r>
              <w:rPr>
                <w:color w:val="000000"/>
              </w:rPr>
              <w:t xml:space="preserve"> -</w:t>
            </w:r>
          </w:p>
        </w:tc>
        <w:tc>
          <w:tcPr>
            <w:tcW w:w="1692" w:type="pct"/>
            <w:vAlign w:val="center"/>
          </w:tcPr>
          <w:p w14:paraId="7F576024" w14:textId="77777777" w:rsidR="000228FA" w:rsidRPr="00A411E7" w:rsidRDefault="000228FA" w:rsidP="00FF3977">
            <w:pPr>
              <w:rPr>
                <w:rFonts w:eastAsia="Calibri"/>
              </w:rPr>
            </w:pPr>
            <w:r>
              <w:rPr>
                <w:color w:val="000000"/>
              </w:rPr>
              <w:t>Not required as the product is a soluble concentrate (SL).</w:t>
            </w:r>
          </w:p>
        </w:tc>
        <w:tc>
          <w:tcPr>
            <w:tcW w:w="449" w:type="pct"/>
            <w:vAlign w:val="center"/>
          </w:tcPr>
          <w:p w14:paraId="56103698" w14:textId="77777777" w:rsidR="000228FA" w:rsidRPr="00A411E7" w:rsidRDefault="000228FA" w:rsidP="00FF3977">
            <w:pPr>
              <w:rPr>
                <w:rFonts w:eastAsia="Calibri"/>
              </w:rPr>
            </w:pPr>
            <w:r>
              <w:rPr>
                <w:color w:val="000000"/>
              </w:rPr>
              <w:t xml:space="preserve"> -</w:t>
            </w:r>
          </w:p>
        </w:tc>
        <w:tc>
          <w:tcPr>
            <w:tcW w:w="745" w:type="pct"/>
          </w:tcPr>
          <w:p w14:paraId="470B4640" w14:textId="77777777" w:rsidR="000228FA" w:rsidRDefault="000228FA" w:rsidP="00FF3977">
            <w:pPr>
              <w:rPr>
                <w:color w:val="000000"/>
              </w:rPr>
            </w:pPr>
            <w:r>
              <w:rPr>
                <w:color w:val="000000"/>
              </w:rPr>
              <w:t>Not relevant for a SL formulation.</w:t>
            </w:r>
          </w:p>
        </w:tc>
      </w:tr>
      <w:tr w:rsidR="000228FA" w14:paraId="604BDC36" w14:textId="77777777" w:rsidTr="00FF3977">
        <w:tc>
          <w:tcPr>
            <w:tcW w:w="1232" w:type="pct"/>
          </w:tcPr>
          <w:p w14:paraId="1CCFD828" w14:textId="77777777" w:rsidR="000228FA" w:rsidRPr="00F24D0D" w:rsidRDefault="000228FA" w:rsidP="00FF3977">
            <w:pPr>
              <w:rPr>
                <w:rFonts w:eastAsia="Calibri"/>
              </w:rPr>
            </w:pPr>
            <w:r w:rsidRPr="00A411E7">
              <w:rPr>
                <w:rFonts w:eastAsia="Calibri"/>
              </w:rPr>
              <w:t xml:space="preserve">Wet sieve analysis </w:t>
            </w:r>
            <w:r w:rsidRPr="00F24D0D">
              <w:rPr>
                <w:rFonts w:eastAsia="Calibri"/>
              </w:rPr>
              <w:t>and dry sieve test</w:t>
            </w:r>
          </w:p>
        </w:tc>
        <w:tc>
          <w:tcPr>
            <w:tcW w:w="443" w:type="pct"/>
            <w:vAlign w:val="center"/>
          </w:tcPr>
          <w:p w14:paraId="6CA4425B" w14:textId="77777777" w:rsidR="000228FA" w:rsidRPr="00F24D0D" w:rsidRDefault="000228FA" w:rsidP="00FF3977">
            <w:pPr>
              <w:rPr>
                <w:rFonts w:eastAsia="Calibri"/>
              </w:rPr>
            </w:pPr>
            <w:r>
              <w:rPr>
                <w:color w:val="000000"/>
              </w:rPr>
              <w:t>CIPAC Handbook K - MT 185 method (2003) adapted</w:t>
            </w:r>
          </w:p>
        </w:tc>
        <w:tc>
          <w:tcPr>
            <w:tcW w:w="439" w:type="pct"/>
            <w:vAlign w:val="center"/>
          </w:tcPr>
          <w:p w14:paraId="7492965D" w14:textId="77777777" w:rsidR="000228FA" w:rsidRDefault="000228FA" w:rsidP="00FF3977">
            <w:pPr>
              <w:rPr>
                <w:color w:val="000000"/>
              </w:rPr>
            </w:pPr>
            <w:r>
              <w:rPr>
                <w:color w:val="000000"/>
              </w:rPr>
              <w:t xml:space="preserve">Batch </w:t>
            </w:r>
            <w:r w:rsidRPr="00FD6F0A">
              <w:rPr>
                <w:color w:val="000000"/>
              </w:rPr>
              <w:t>5125352</w:t>
            </w:r>
          </w:p>
          <w:p w14:paraId="369F70FC" w14:textId="77777777" w:rsidR="000228FA" w:rsidRPr="00C746BC"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1DBE4F7C" w14:textId="77777777" w:rsidR="000228FA" w:rsidRPr="00305B11" w:rsidRDefault="000228FA" w:rsidP="00FF3977">
            <w:pPr>
              <w:rPr>
                <w:rFonts w:eastAsia="Calibri"/>
              </w:rPr>
            </w:pPr>
            <w:r>
              <w:rPr>
                <w:color w:val="000000"/>
              </w:rPr>
              <w:t>Before the accelerated storage procedure, no residue of the test item was held on a 75-µm sieve. After the accelerated storage procedure, no residue of the test item was held on a 75-µm sieve.</w:t>
            </w:r>
          </w:p>
        </w:tc>
        <w:tc>
          <w:tcPr>
            <w:tcW w:w="449" w:type="pct"/>
            <w:vAlign w:val="center"/>
          </w:tcPr>
          <w:p w14:paraId="28FC1D04" w14:textId="77777777" w:rsidR="000228FA" w:rsidRPr="00305B11" w:rsidRDefault="000228FA" w:rsidP="00FF3977">
            <w:pPr>
              <w:rPr>
                <w:rFonts w:eastAsia="Calibri"/>
              </w:rPr>
            </w:pPr>
            <w:r w:rsidRPr="00FD6F0A">
              <w:rPr>
                <w:color w:val="000000"/>
              </w:rPr>
              <w:t>Halbwachs P. and Ricau H., 2020, Report No 19-901011-016</w:t>
            </w:r>
          </w:p>
        </w:tc>
        <w:tc>
          <w:tcPr>
            <w:tcW w:w="745" w:type="pct"/>
          </w:tcPr>
          <w:p w14:paraId="6AF1FB8A" w14:textId="77777777" w:rsidR="000228FA" w:rsidRDefault="000228FA" w:rsidP="00FF3977">
            <w:pPr>
              <w:rPr>
                <w:color w:val="000000"/>
              </w:rPr>
            </w:pPr>
            <w:r>
              <w:rPr>
                <w:color w:val="000000"/>
              </w:rPr>
              <w:t>Acceptable, although not required for a SL formulation</w:t>
            </w:r>
          </w:p>
        </w:tc>
      </w:tr>
      <w:tr w:rsidR="000228FA" w14:paraId="348BBD9D" w14:textId="77777777" w:rsidTr="00FF3977">
        <w:tc>
          <w:tcPr>
            <w:tcW w:w="1232" w:type="pct"/>
          </w:tcPr>
          <w:p w14:paraId="594BDFDA" w14:textId="77777777" w:rsidR="000228FA" w:rsidRPr="00017CF8" w:rsidRDefault="000228FA" w:rsidP="00FF3977">
            <w:pPr>
              <w:rPr>
                <w:rFonts w:eastAsia="Calibri"/>
              </w:rPr>
            </w:pPr>
            <w:r w:rsidRPr="00017CF8">
              <w:rPr>
                <w:rFonts w:eastAsia="Calibri"/>
              </w:rPr>
              <w:t>Emulsifiability, re-emulsifiability and emulsion stability</w:t>
            </w:r>
          </w:p>
        </w:tc>
        <w:tc>
          <w:tcPr>
            <w:tcW w:w="443" w:type="pct"/>
            <w:vAlign w:val="center"/>
          </w:tcPr>
          <w:p w14:paraId="4ED79F09" w14:textId="77777777" w:rsidR="000228FA" w:rsidRPr="00017CF8" w:rsidRDefault="000228FA" w:rsidP="00FF3977">
            <w:pPr>
              <w:rPr>
                <w:rFonts w:eastAsia="Calibri"/>
              </w:rPr>
            </w:pPr>
            <w:r>
              <w:rPr>
                <w:color w:val="000000"/>
              </w:rPr>
              <w:t xml:space="preserve"> -</w:t>
            </w:r>
          </w:p>
        </w:tc>
        <w:tc>
          <w:tcPr>
            <w:tcW w:w="439" w:type="pct"/>
            <w:vAlign w:val="center"/>
          </w:tcPr>
          <w:p w14:paraId="40FD0B3D" w14:textId="77777777" w:rsidR="000228FA" w:rsidRPr="00017CF8" w:rsidRDefault="000228FA" w:rsidP="00FF3977">
            <w:pPr>
              <w:rPr>
                <w:rFonts w:eastAsia="Calibri"/>
              </w:rPr>
            </w:pPr>
            <w:r>
              <w:rPr>
                <w:color w:val="000000"/>
              </w:rPr>
              <w:t xml:space="preserve"> -</w:t>
            </w:r>
          </w:p>
        </w:tc>
        <w:tc>
          <w:tcPr>
            <w:tcW w:w="1692" w:type="pct"/>
            <w:vAlign w:val="center"/>
          </w:tcPr>
          <w:p w14:paraId="46A4FD60" w14:textId="77777777" w:rsidR="000228FA" w:rsidRPr="00017CF8" w:rsidRDefault="000228FA" w:rsidP="00FF3977">
            <w:pPr>
              <w:rPr>
                <w:rFonts w:eastAsia="Calibri"/>
              </w:rPr>
            </w:pPr>
            <w:r>
              <w:rPr>
                <w:color w:val="000000"/>
              </w:rPr>
              <w:t>Not required as the product is a soluble concentrate (SL).</w:t>
            </w:r>
          </w:p>
        </w:tc>
        <w:tc>
          <w:tcPr>
            <w:tcW w:w="449" w:type="pct"/>
            <w:vAlign w:val="center"/>
          </w:tcPr>
          <w:p w14:paraId="42991A06" w14:textId="77777777" w:rsidR="000228FA" w:rsidRPr="00017CF8" w:rsidRDefault="000228FA" w:rsidP="00FF3977">
            <w:pPr>
              <w:rPr>
                <w:rFonts w:eastAsia="Calibri"/>
              </w:rPr>
            </w:pPr>
            <w:r>
              <w:rPr>
                <w:color w:val="000000"/>
              </w:rPr>
              <w:t xml:space="preserve"> -</w:t>
            </w:r>
          </w:p>
        </w:tc>
        <w:tc>
          <w:tcPr>
            <w:tcW w:w="745" w:type="pct"/>
          </w:tcPr>
          <w:p w14:paraId="06884355" w14:textId="77777777" w:rsidR="000228FA" w:rsidRDefault="000228FA" w:rsidP="00FF3977">
            <w:pPr>
              <w:rPr>
                <w:color w:val="000000"/>
              </w:rPr>
            </w:pPr>
            <w:r>
              <w:rPr>
                <w:color w:val="000000"/>
              </w:rPr>
              <w:t>Not relevant for a SL formulation.</w:t>
            </w:r>
          </w:p>
        </w:tc>
      </w:tr>
      <w:tr w:rsidR="000228FA" w14:paraId="51A4782B" w14:textId="77777777" w:rsidTr="00FF3977">
        <w:tc>
          <w:tcPr>
            <w:tcW w:w="1232" w:type="pct"/>
          </w:tcPr>
          <w:p w14:paraId="6FF6108A" w14:textId="77777777" w:rsidR="000228FA" w:rsidRPr="00DF6CFE" w:rsidRDefault="000228FA" w:rsidP="00FF3977">
            <w:pPr>
              <w:rPr>
                <w:rFonts w:eastAsia="Calibri"/>
              </w:rPr>
            </w:pPr>
            <w:r w:rsidRPr="00DF6CFE">
              <w:rPr>
                <w:rFonts w:eastAsia="Calibri"/>
              </w:rPr>
              <w:t>Disintegration time</w:t>
            </w:r>
          </w:p>
        </w:tc>
        <w:tc>
          <w:tcPr>
            <w:tcW w:w="443" w:type="pct"/>
            <w:vAlign w:val="center"/>
          </w:tcPr>
          <w:p w14:paraId="4DE57C89" w14:textId="77777777" w:rsidR="000228FA" w:rsidRPr="00DF6CFE" w:rsidRDefault="000228FA" w:rsidP="00FF3977">
            <w:pPr>
              <w:rPr>
                <w:rFonts w:eastAsia="Calibri"/>
              </w:rPr>
            </w:pPr>
            <w:r>
              <w:rPr>
                <w:color w:val="000000"/>
              </w:rPr>
              <w:t xml:space="preserve"> -</w:t>
            </w:r>
          </w:p>
        </w:tc>
        <w:tc>
          <w:tcPr>
            <w:tcW w:w="439" w:type="pct"/>
            <w:vAlign w:val="center"/>
          </w:tcPr>
          <w:p w14:paraId="77E77E17" w14:textId="77777777" w:rsidR="000228FA" w:rsidRPr="00DF6CFE" w:rsidRDefault="000228FA" w:rsidP="00FF3977">
            <w:pPr>
              <w:rPr>
                <w:rFonts w:eastAsia="Calibri"/>
              </w:rPr>
            </w:pPr>
            <w:r>
              <w:rPr>
                <w:color w:val="000000"/>
              </w:rPr>
              <w:t xml:space="preserve"> -</w:t>
            </w:r>
          </w:p>
        </w:tc>
        <w:tc>
          <w:tcPr>
            <w:tcW w:w="1692" w:type="pct"/>
            <w:vAlign w:val="center"/>
          </w:tcPr>
          <w:p w14:paraId="06DD2EE5" w14:textId="77777777" w:rsidR="000228FA" w:rsidRPr="00DF6CFE" w:rsidRDefault="000228FA" w:rsidP="00FF3977">
            <w:pPr>
              <w:rPr>
                <w:rFonts w:eastAsia="Calibri"/>
              </w:rPr>
            </w:pPr>
            <w:r>
              <w:rPr>
                <w:color w:val="000000"/>
              </w:rPr>
              <w:t>Not required as the product is a soluble concentrate (SL).</w:t>
            </w:r>
          </w:p>
        </w:tc>
        <w:tc>
          <w:tcPr>
            <w:tcW w:w="449" w:type="pct"/>
            <w:vAlign w:val="center"/>
          </w:tcPr>
          <w:p w14:paraId="6E5CC874" w14:textId="77777777" w:rsidR="000228FA" w:rsidRPr="00DF6CFE" w:rsidRDefault="000228FA" w:rsidP="00FF3977">
            <w:pPr>
              <w:rPr>
                <w:rFonts w:eastAsia="Calibri"/>
              </w:rPr>
            </w:pPr>
            <w:r>
              <w:rPr>
                <w:color w:val="000000"/>
              </w:rPr>
              <w:t xml:space="preserve"> -</w:t>
            </w:r>
          </w:p>
        </w:tc>
        <w:tc>
          <w:tcPr>
            <w:tcW w:w="745" w:type="pct"/>
          </w:tcPr>
          <w:p w14:paraId="7882EBFE" w14:textId="77777777" w:rsidR="000228FA" w:rsidRDefault="000228FA" w:rsidP="00FF3977">
            <w:pPr>
              <w:rPr>
                <w:color w:val="000000"/>
              </w:rPr>
            </w:pPr>
            <w:r>
              <w:rPr>
                <w:color w:val="000000"/>
              </w:rPr>
              <w:t>Not relevant for a SL formulation.</w:t>
            </w:r>
          </w:p>
        </w:tc>
      </w:tr>
      <w:tr w:rsidR="000228FA" w14:paraId="100313A7" w14:textId="77777777" w:rsidTr="00FF3977">
        <w:tc>
          <w:tcPr>
            <w:tcW w:w="1232" w:type="pct"/>
          </w:tcPr>
          <w:p w14:paraId="2DA2DE11"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443" w:type="pct"/>
            <w:vAlign w:val="center"/>
          </w:tcPr>
          <w:p w14:paraId="5C2E00D9" w14:textId="77777777" w:rsidR="000228FA" w:rsidRPr="00A411E7" w:rsidRDefault="000228FA" w:rsidP="00FF3977">
            <w:pPr>
              <w:rPr>
                <w:rFonts w:eastAsia="Calibri"/>
              </w:rPr>
            </w:pPr>
            <w:r>
              <w:rPr>
                <w:color w:val="000000"/>
              </w:rPr>
              <w:t xml:space="preserve"> -</w:t>
            </w:r>
          </w:p>
        </w:tc>
        <w:tc>
          <w:tcPr>
            <w:tcW w:w="439" w:type="pct"/>
            <w:vAlign w:val="center"/>
          </w:tcPr>
          <w:p w14:paraId="6BE37A64" w14:textId="77777777" w:rsidR="000228FA" w:rsidRPr="00A411E7" w:rsidRDefault="000228FA" w:rsidP="00FF3977">
            <w:pPr>
              <w:rPr>
                <w:rFonts w:eastAsia="Calibri"/>
              </w:rPr>
            </w:pPr>
            <w:r>
              <w:rPr>
                <w:color w:val="000000"/>
              </w:rPr>
              <w:t xml:space="preserve"> -</w:t>
            </w:r>
          </w:p>
        </w:tc>
        <w:tc>
          <w:tcPr>
            <w:tcW w:w="1692" w:type="pct"/>
            <w:vAlign w:val="center"/>
          </w:tcPr>
          <w:p w14:paraId="10DB4E4F" w14:textId="77777777" w:rsidR="000228FA" w:rsidRPr="00A411E7" w:rsidRDefault="000228FA" w:rsidP="00FF3977">
            <w:pPr>
              <w:rPr>
                <w:rFonts w:eastAsia="Calibri"/>
              </w:rPr>
            </w:pPr>
            <w:r>
              <w:rPr>
                <w:color w:val="000000"/>
              </w:rPr>
              <w:t>Not required as the product is a soluble concentrate (SL).</w:t>
            </w:r>
          </w:p>
        </w:tc>
        <w:tc>
          <w:tcPr>
            <w:tcW w:w="449" w:type="pct"/>
            <w:vAlign w:val="center"/>
          </w:tcPr>
          <w:p w14:paraId="4857E977" w14:textId="77777777" w:rsidR="000228FA" w:rsidRPr="00A411E7" w:rsidRDefault="000228FA" w:rsidP="00FF3977">
            <w:pPr>
              <w:rPr>
                <w:rFonts w:eastAsia="Calibri"/>
              </w:rPr>
            </w:pPr>
            <w:r>
              <w:rPr>
                <w:color w:val="000000"/>
              </w:rPr>
              <w:t xml:space="preserve"> -</w:t>
            </w:r>
          </w:p>
        </w:tc>
        <w:tc>
          <w:tcPr>
            <w:tcW w:w="745" w:type="pct"/>
          </w:tcPr>
          <w:p w14:paraId="6FA45FFB" w14:textId="77777777" w:rsidR="000228FA" w:rsidRDefault="000228FA" w:rsidP="00FF3977">
            <w:pPr>
              <w:rPr>
                <w:color w:val="000000"/>
              </w:rPr>
            </w:pPr>
            <w:r>
              <w:rPr>
                <w:color w:val="000000"/>
              </w:rPr>
              <w:t>Not relevant for a SL formulation.</w:t>
            </w:r>
          </w:p>
        </w:tc>
      </w:tr>
      <w:tr w:rsidR="000228FA" w14:paraId="59BD1F35" w14:textId="77777777" w:rsidTr="00FF3977">
        <w:tc>
          <w:tcPr>
            <w:tcW w:w="1232" w:type="pct"/>
          </w:tcPr>
          <w:p w14:paraId="61159DB2" w14:textId="77777777" w:rsidR="000228FA" w:rsidRPr="00A411E7" w:rsidRDefault="000228FA" w:rsidP="00FF3977">
            <w:pPr>
              <w:rPr>
                <w:rFonts w:eastAsia="Calibri"/>
              </w:rPr>
            </w:pPr>
            <w:r w:rsidRPr="00A411E7">
              <w:rPr>
                <w:rFonts w:eastAsia="Calibri"/>
              </w:rPr>
              <w:t>Persistent foaming</w:t>
            </w:r>
          </w:p>
        </w:tc>
        <w:tc>
          <w:tcPr>
            <w:tcW w:w="443" w:type="pct"/>
            <w:vAlign w:val="center"/>
          </w:tcPr>
          <w:p w14:paraId="154FA011" w14:textId="77777777" w:rsidR="000228FA" w:rsidRPr="00A411E7" w:rsidRDefault="000228FA" w:rsidP="00FF3977">
            <w:pPr>
              <w:rPr>
                <w:rFonts w:eastAsia="Calibri"/>
              </w:rPr>
            </w:pPr>
            <w:r>
              <w:rPr>
                <w:color w:val="000000"/>
              </w:rPr>
              <w:t>CIPAC Handbook O - MT 47.3 method (2017)</w:t>
            </w:r>
          </w:p>
        </w:tc>
        <w:tc>
          <w:tcPr>
            <w:tcW w:w="439" w:type="pct"/>
            <w:vAlign w:val="center"/>
          </w:tcPr>
          <w:p w14:paraId="2ABC5CF5" w14:textId="77777777" w:rsidR="000228FA" w:rsidRDefault="000228FA" w:rsidP="00FF3977">
            <w:pPr>
              <w:rPr>
                <w:color w:val="000000"/>
              </w:rPr>
            </w:pPr>
            <w:r>
              <w:rPr>
                <w:color w:val="000000"/>
              </w:rPr>
              <w:t xml:space="preserve">Batch </w:t>
            </w:r>
            <w:r w:rsidRPr="00FD6F0A">
              <w:rPr>
                <w:color w:val="000000"/>
              </w:rPr>
              <w:t>5125352</w:t>
            </w:r>
          </w:p>
          <w:p w14:paraId="1746E000"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150C0DEF" w14:textId="77777777" w:rsidR="000228FA" w:rsidRDefault="000228FA" w:rsidP="00FF3977">
            <w:r>
              <w:t xml:space="preserve">Before the accelerated storage procedure, the mean volume of foam produced after several inversions of the test item diluted at 2% w/w in standard water D at 20 °C ± 2 °C was higher than 70 mL after 1 min of standing. The mean volume of foam produced after several inversions of the test item diluted at 10% w/w in standard water D at 20 °C ± 2 °C was higher than 70 mL after 1 min of standing. </w:t>
            </w:r>
          </w:p>
          <w:p w14:paraId="0A7F4A91" w14:textId="77777777" w:rsidR="000228FA" w:rsidRDefault="000228FA" w:rsidP="00FF3977">
            <w:r>
              <w:t xml:space="preserve">After the accelerated storage procedure. The mean volume of foam produced after several inversions of the test item diluted at 2% w/w in standard water D at 20 °C ± 2 °C was higher than 70 mL after 1 min of standing. The mean volume of foam produced after several inversions of the test item diluted at </w:t>
            </w:r>
            <w:r>
              <w:lastRenderedPageBreak/>
              <w:t xml:space="preserve">10% w/w in standard water D at 20 °C ± 2 °C was higher than 65 mL after 1 min of standing. </w:t>
            </w:r>
          </w:p>
          <w:p w14:paraId="505C4DC1" w14:textId="77777777" w:rsidR="000228FA" w:rsidRDefault="000228FA" w:rsidP="00FF3977"/>
          <w:p w14:paraId="001FBDFC" w14:textId="77777777" w:rsidR="000228FA" w:rsidRPr="00A411E7" w:rsidRDefault="000228FA" w:rsidP="00FF3977">
            <w:pPr>
              <w:rPr>
                <w:rFonts w:eastAsia="Calibri"/>
              </w:rPr>
            </w:pPr>
            <w:r>
              <w:t>One video of manual activity under real conditions of use at the maximum dilution concentration efficacy (10% v/v) of the product shows that the quantity of foam formed is not problematic. There is no overflow. The video is saved in IUCLID section 13.</w:t>
            </w:r>
          </w:p>
        </w:tc>
        <w:tc>
          <w:tcPr>
            <w:tcW w:w="449" w:type="pct"/>
            <w:vAlign w:val="center"/>
          </w:tcPr>
          <w:p w14:paraId="5CC809FE" w14:textId="77777777" w:rsidR="000228FA" w:rsidRPr="00A411E7" w:rsidRDefault="000228FA" w:rsidP="00FF3977">
            <w:pPr>
              <w:rPr>
                <w:rFonts w:eastAsia="Calibri"/>
              </w:rPr>
            </w:pPr>
            <w:r w:rsidRPr="00FD6F0A">
              <w:rPr>
                <w:color w:val="000000"/>
              </w:rPr>
              <w:lastRenderedPageBreak/>
              <w:t>Halbwachs P. and Ricau H., 2020, Report No 19-901011-016</w:t>
            </w:r>
          </w:p>
        </w:tc>
        <w:tc>
          <w:tcPr>
            <w:tcW w:w="745" w:type="pct"/>
          </w:tcPr>
          <w:p w14:paraId="01343DE1" w14:textId="77777777" w:rsidR="000228FA" w:rsidRDefault="000228FA" w:rsidP="00FF3977">
            <w:pPr>
              <w:rPr>
                <w:lang w:eastAsia="en-US"/>
              </w:rPr>
            </w:pPr>
          </w:p>
          <w:p w14:paraId="4C36921E" w14:textId="77777777" w:rsidR="000228FA" w:rsidRDefault="000228FA" w:rsidP="00FF3977">
            <w:pPr>
              <w:rPr>
                <w:lang w:eastAsia="en-US"/>
              </w:rPr>
            </w:pPr>
            <w:r>
              <w:rPr>
                <w:lang w:eastAsia="en-US"/>
              </w:rPr>
              <w:t xml:space="preserve">At both low and high dilution concentrations, the results are outside acceptable limits. </w:t>
            </w:r>
          </w:p>
          <w:p w14:paraId="64905746" w14:textId="77777777" w:rsidR="000228FA" w:rsidRDefault="000228FA" w:rsidP="00FF3977">
            <w:pPr>
              <w:rPr>
                <w:color w:val="000000"/>
              </w:rPr>
            </w:pPr>
          </w:p>
          <w:p w14:paraId="1070FD96" w14:textId="77777777" w:rsidR="000228FA" w:rsidRDefault="000228FA" w:rsidP="00FF3977">
            <w:pPr>
              <w:rPr>
                <w:color w:val="000000"/>
              </w:rPr>
            </w:pPr>
            <w:r>
              <w:rPr>
                <w:color w:val="000000"/>
              </w:rPr>
              <w:t>However, it has been demonstrated that the presence of the foam will not affect the use of the product. No additional data are required.</w:t>
            </w:r>
          </w:p>
        </w:tc>
      </w:tr>
      <w:tr w:rsidR="000228FA" w14:paraId="0545E55F" w14:textId="77777777" w:rsidTr="00FF3977">
        <w:tc>
          <w:tcPr>
            <w:tcW w:w="1232" w:type="pct"/>
          </w:tcPr>
          <w:p w14:paraId="47632B8A" w14:textId="77777777" w:rsidR="000228FA" w:rsidRPr="00A411E7" w:rsidRDefault="000228FA" w:rsidP="00FF3977">
            <w:pPr>
              <w:rPr>
                <w:rFonts w:eastAsia="Calibri"/>
              </w:rPr>
            </w:pPr>
            <w:r w:rsidRPr="00A411E7">
              <w:rPr>
                <w:rFonts w:eastAsia="Calibri"/>
              </w:rPr>
              <w:t>Flowability/Pourability/Dustability</w:t>
            </w:r>
          </w:p>
        </w:tc>
        <w:tc>
          <w:tcPr>
            <w:tcW w:w="443" w:type="pct"/>
            <w:vAlign w:val="center"/>
          </w:tcPr>
          <w:p w14:paraId="428A2D91" w14:textId="77777777" w:rsidR="000228FA" w:rsidRPr="00A411E7" w:rsidRDefault="000228FA" w:rsidP="00FF3977">
            <w:pPr>
              <w:rPr>
                <w:rFonts w:eastAsia="Calibri"/>
              </w:rPr>
            </w:pPr>
            <w:r>
              <w:rPr>
                <w:color w:val="000000"/>
              </w:rPr>
              <w:t xml:space="preserve"> -</w:t>
            </w:r>
          </w:p>
        </w:tc>
        <w:tc>
          <w:tcPr>
            <w:tcW w:w="439" w:type="pct"/>
            <w:vAlign w:val="center"/>
          </w:tcPr>
          <w:p w14:paraId="4A02E4BF" w14:textId="77777777" w:rsidR="000228FA" w:rsidRPr="00A411E7" w:rsidRDefault="000228FA" w:rsidP="00FF3977">
            <w:pPr>
              <w:rPr>
                <w:rFonts w:eastAsia="Calibri"/>
              </w:rPr>
            </w:pPr>
            <w:r>
              <w:rPr>
                <w:color w:val="000000"/>
              </w:rPr>
              <w:t xml:space="preserve"> -</w:t>
            </w:r>
          </w:p>
        </w:tc>
        <w:tc>
          <w:tcPr>
            <w:tcW w:w="1692" w:type="pct"/>
            <w:vAlign w:val="center"/>
          </w:tcPr>
          <w:p w14:paraId="6C0E61C1" w14:textId="77777777" w:rsidR="000228FA" w:rsidRPr="00A411E7" w:rsidRDefault="000228FA" w:rsidP="00FF3977">
            <w:pPr>
              <w:rPr>
                <w:rFonts w:eastAsia="Calibri"/>
              </w:rPr>
            </w:pPr>
            <w:r>
              <w:rPr>
                <w:color w:val="000000"/>
              </w:rPr>
              <w:t>Not required as the product is a soluble concentrate (SL).</w:t>
            </w:r>
          </w:p>
        </w:tc>
        <w:tc>
          <w:tcPr>
            <w:tcW w:w="449" w:type="pct"/>
            <w:vAlign w:val="center"/>
          </w:tcPr>
          <w:p w14:paraId="7EC9184E" w14:textId="77777777" w:rsidR="000228FA" w:rsidRPr="00A411E7" w:rsidRDefault="000228FA" w:rsidP="00FF3977">
            <w:pPr>
              <w:rPr>
                <w:rFonts w:eastAsia="Calibri"/>
              </w:rPr>
            </w:pPr>
            <w:r>
              <w:rPr>
                <w:color w:val="000000"/>
              </w:rPr>
              <w:t xml:space="preserve"> -</w:t>
            </w:r>
          </w:p>
        </w:tc>
        <w:tc>
          <w:tcPr>
            <w:tcW w:w="745" w:type="pct"/>
          </w:tcPr>
          <w:p w14:paraId="03B65775" w14:textId="77777777" w:rsidR="000228FA" w:rsidRDefault="000228FA" w:rsidP="00FF3977">
            <w:pPr>
              <w:rPr>
                <w:color w:val="000000"/>
              </w:rPr>
            </w:pPr>
            <w:r>
              <w:rPr>
                <w:color w:val="000000"/>
              </w:rPr>
              <w:t>Not relevant for a SL formulation</w:t>
            </w:r>
          </w:p>
        </w:tc>
      </w:tr>
      <w:tr w:rsidR="000228FA" w14:paraId="408A601F" w14:textId="77777777" w:rsidTr="00FF3977">
        <w:tc>
          <w:tcPr>
            <w:tcW w:w="1232" w:type="pct"/>
          </w:tcPr>
          <w:p w14:paraId="657D1406" w14:textId="77777777" w:rsidR="000228FA" w:rsidRPr="00A411E7" w:rsidRDefault="000228FA" w:rsidP="00FF3977">
            <w:pPr>
              <w:rPr>
                <w:rFonts w:eastAsia="Calibri"/>
              </w:rPr>
            </w:pPr>
            <w:r w:rsidRPr="00A411E7">
              <w:rPr>
                <w:rFonts w:eastAsia="Calibri"/>
              </w:rPr>
              <w:t>Burning rate — smoke generators</w:t>
            </w:r>
          </w:p>
        </w:tc>
        <w:tc>
          <w:tcPr>
            <w:tcW w:w="443" w:type="pct"/>
            <w:vAlign w:val="center"/>
          </w:tcPr>
          <w:p w14:paraId="0A7611F5" w14:textId="77777777" w:rsidR="000228FA" w:rsidRPr="00A411E7" w:rsidRDefault="000228FA" w:rsidP="00FF3977">
            <w:pPr>
              <w:rPr>
                <w:rFonts w:eastAsia="Calibri"/>
              </w:rPr>
            </w:pPr>
            <w:r>
              <w:rPr>
                <w:color w:val="000000"/>
              </w:rPr>
              <w:t xml:space="preserve"> -</w:t>
            </w:r>
          </w:p>
        </w:tc>
        <w:tc>
          <w:tcPr>
            <w:tcW w:w="439" w:type="pct"/>
            <w:vAlign w:val="center"/>
          </w:tcPr>
          <w:p w14:paraId="6E9BAD6E" w14:textId="77777777" w:rsidR="000228FA" w:rsidRPr="00A411E7" w:rsidRDefault="000228FA" w:rsidP="00FF3977">
            <w:pPr>
              <w:rPr>
                <w:rFonts w:eastAsia="Calibri"/>
              </w:rPr>
            </w:pPr>
            <w:r>
              <w:rPr>
                <w:color w:val="000000"/>
              </w:rPr>
              <w:t xml:space="preserve"> -</w:t>
            </w:r>
          </w:p>
        </w:tc>
        <w:tc>
          <w:tcPr>
            <w:tcW w:w="1692" w:type="pct"/>
            <w:vAlign w:val="center"/>
          </w:tcPr>
          <w:p w14:paraId="65595576"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49" w:type="pct"/>
            <w:vAlign w:val="center"/>
          </w:tcPr>
          <w:p w14:paraId="2F307D7D" w14:textId="77777777" w:rsidR="000228FA" w:rsidRPr="00A411E7" w:rsidRDefault="000228FA" w:rsidP="00FF3977">
            <w:pPr>
              <w:rPr>
                <w:rFonts w:eastAsia="Calibri"/>
              </w:rPr>
            </w:pPr>
            <w:r>
              <w:rPr>
                <w:color w:val="000000"/>
              </w:rPr>
              <w:t xml:space="preserve"> -</w:t>
            </w:r>
          </w:p>
        </w:tc>
        <w:tc>
          <w:tcPr>
            <w:tcW w:w="745" w:type="pct"/>
          </w:tcPr>
          <w:p w14:paraId="724AF448" w14:textId="77777777" w:rsidR="000228FA" w:rsidRDefault="000228FA" w:rsidP="00FF3977">
            <w:pPr>
              <w:rPr>
                <w:color w:val="000000"/>
              </w:rPr>
            </w:pPr>
            <w:r>
              <w:rPr>
                <w:color w:val="000000"/>
              </w:rPr>
              <w:t>not relevant</w:t>
            </w:r>
          </w:p>
        </w:tc>
      </w:tr>
      <w:tr w:rsidR="000228FA" w14:paraId="2EA74D07" w14:textId="77777777" w:rsidTr="00FF3977">
        <w:tc>
          <w:tcPr>
            <w:tcW w:w="1232" w:type="pct"/>
          </w:tcPr>
          <w:p w14:paraId="179669BE" w14:textId="77777777" w:rsidR="000228FA" w:rsidRPr="00A411E7" w:rsidRDefault="000228FA" w:rsidP="00FF3977">
            <w:pPr>
              <w:rPr>
                <w:rFonts w:eastAsia="Calibri"/>
              </w:rPr>
            </w:pPr>
            <w:r w:rsidRPr="00A411E7">
              <w:rPr>
                <w:rFonts w:eastAsia="Calibri"/>
              </w:rPr>
              <w:t>Burning completeness — smoke generators</w:t>
            </w:r>
          </w:p>
        </w:tc>
        <w:tc>
          <w:tcPr>
            <w:tcW w:w="443" w:type="pct"/>
            <w:vAlign w:val="center"/>
          </w:tcPr>
          <w:p w14:paraId="006367C2" w14:textId="77777777" w:rsidR="000228FA" w:rsidRPr="00A411E7" w:rsidRDefault="000228FA" w:rsidP="00FF3977">
            <w:pPr>
              <w:rPr>
                <w:rFonts w:eastAsia="Calibri"/>
              </w:rPr>
            </w:pPr>
            <w:r>
              <w:rPr>
                <w:color w:val="000000"/>
              </w:rPr>
              <w:t xml:space="preserve"> -</w:t>
            </w:r>
          </w:p>
        </w:tc>
        <w:tc>
          <w:tcPr>
            <w:tcW w:w="439" w:type="pct"/>
            <w:vAlign w:val="center"/>
          </w:tcPr>
          <w:p w14:paraId="009026C4" w14:textId="77777777" w:rsidR="000228FA" w:rsidRPr="00A411E7" w:rsidRDefault="000228FA" w:rsidP="00FF3977">
            <w:pPr>
              <w:rPr>
                <w:rFonts w:eastAsia="Calibri"/>
              </w:rPr>
            </w:pPr>
            <w:r>
              <w:rPr>
                <w:color w:val="000000"/>
              </w:rPr>
              <w:t xml:space="preserve"> -</w:t>
            </w:r>
          </w:p>
        </w:tc>
        <w:tc>
          <w:tcPr>
            <w:tcW w:w="1692" w:type="pct"/>
            <w:vAlign w:val="center"/>
          </w:tcPr>
          <w:p w14:paraId="352BE3E7"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49" w:type="pct"/>
            <w:vAlign w:val="center"/>
          </w:tcPr>
          <w:p w14:paraId="6FD2EDB1" w14:textId="77777777" w:rsidR="000228FA" w:rsidRPr="00A411E7" w:rsidRDefault="000228FA" w:rsidP="00FF3977">
            <w:pPr>
              <w:rPr>
                <w:rFonts w:eastAsia="Calibri"/>
              </w:rPr>
            </w:pPr>
            <w:r>
              <w:rPr>
                <w:color w:val="000000"/>
              </w:rPr>
              <w:t xml:space="preserve"> -</w:t>
            </w:r>
          </w:p>
        </w:tc>
        <w:tc>
          <w:tcPr>
            <w:tcW w:w="745" w:type="pct"/>
          </w:tcPr>
          <w:p w14:paraId="09F59D7C" w14:textId="77777777" w:rsidR="000228FA" w:rsidRDefault="000228FA" w:rsidP="00FF3977">
            <w:pPr>
              <w:rPr>
                <w:color w:val="000000"/>
              </w:rPr>
            </w:pPr>
            <w:r>
              <w:rPr>
                <w:color w:val="000000"/>
              </w:rPr>
              <w:t>Not relevant</w:t>
            </w:r>
          </w:p>
        </w:tc>
      </w:tr>
      <w:tr w:rsidR="000228FA" w14:paraId="712B6FC0" w14:textId="77777777" w:rsidTr="00FF3977">
        <w:tc>
          <w:tcPr>
            <w:tcW w:w="1232" w:type="pct"/>
          </w:tcPr>
          <w:p w14:paraId="6342DB1C" w14:textId="77777777" w:rsidR="000228FA" w:rsidRPr="00A411E7" w:rsidRDefault="000228FA" w:rsidP="00FF3977">
            <w:pPr>
              <w:rPr>
                <w:rFonts w:eastAsia="Calibri"/>
              </w:rPr>
            </w:pPr>
            <w:r w:rsidRPr="00A411E7">
              <w:rPr>
                <w:rFonts w:eastAsia="Calibri"/>
              </w:rPr>
              <w:t>Composition of smoke — smoke generators</w:t>
            </w:r>
          </w:p>
        </w:tc>
        <w:tc>
          <w:tcPr>
            <w:tcW w:w="443" w:type="pct"/>
            <w:vAlign w:val="center"/>
          </w:tcPr>
          <w:p w14:paraId="16DCABA6" w14:textId="77777777" w:rsidR="000228FA" w:rsidRPr="00A411E7" w:rsidRDefault="000228FA" w:rsidP="00FF3977">
            <w:pPr>
              <w:rPr>
                <w:rFonts w:eastAsia="Calibri"/>
              </w:rPr>
            </w:pPr>
            <w:r>
              <w:rPr>
                <w:color w:val="000000"/>
              </w:rPr>
              <w:t xml:space="preserve"> -</w:t>
            </w:r>
          </w:p>
        </w:tc>
        <w:tc>
          <w:tcPr>
            <w:tcW w:w="439" w:type="pct"/>
            <w:vAlign w:val="center"/>
          </w:tcPr>
          <w:p w14:paraId="2AB1B70E" w14:textId="77777777" w:rsidR="000228FA" w:rsidRPr="00A411E7" w:rsidRDefault="000228FA" w:rsidP="00FF3977">
            <w:pPr>
              <w:rPr>
                <w:rFonts w:eastAsia="Calibri"/>
              </w:rPr>
            </w:pPr>
            <w:r>
              <w:rPr>
                <w:color w:val="000000"/>
              </w:rPr>
              <w:t xml:space="preserve"> -</w:t>
            </w:r>
          </w:p>
        </w:tc>
        <w:tc>
          <w:tcPr>
            <w:tcW w:w="1692" w:type="pct"/>
            <w:vAlign w:val="center"/>
          </w:tcPr>
          <w:p w14:paraId="7EC84CF4"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49" w:type="pct"/>
            <w:vAlign w:val="center"/>
          </w:tcPr>
          <w:p w14:paraId="653D27AC" w14:textId="77777777" w:rsidR="000228FA" w:rsidRPr="00A411E7" w:rsidRDefault="000228FA" w:rsidP="00FF3977">
            <w:pPr>
              <w:rPr>
                <w:rFonts w:eastAsia="Calibri"/>
              </w:rPr>
            </w:pPr>
            <w:r>
              <w:rPr>
                <w:color w:val="000000"/>
              </w:rPr>
              <w:t xml:space="preserve"> -</w:t>
            </w:r>
          </w:p>
        </w:tc>
        <w:tc>
          <w:tcPr>
            <w:tcW w:w="745" w:type="pct"/>
          </w:tcPr>
          <w:p w14:paraId="7627D536" w14:textId="77777777" w:rsidR="000228FA" w:rsidRDefault="000228FA" w:rsidP="00FF3977">
            <w:pPr>
              <w:rPr>
                <w:color w:val="000000"/>
              </w:rPr>
            </w:pPr>
            <w:r>
              <w:rPr>
                <w:color w:val="000000"/>
              </w:rPr>
              <w:t>Not relevant</w:t>
            </w:r>
          </w:p>
        </w:tc>
      </w:tr>
      <w:tr w:rsidR="000228FA" w14:paraId="5BF0EC27" w14:textId="77777777" w:rsidTr="00FF3977">
        <w:tc>
          <w:tcPr>
            <w:tcW w:w="1232" w:type="pct"/>
          </w:tcPr>
          <w:p w14:paraId="2A6B11C3" w14:textId="77777777" w:rsidR="000228FA" w:rsidRPr="00A411E7" w:rsidRDefault="000228FA" w:rsidP="00FF3977">
            <w:pPr>
              <w:rPr>
                <w:rFonts w:eastAsia="Calibri"/>
              </w:rPr>
            </w:pPr>
            <w:r w:rsidRPr="00A411E7">
              <w:rPr>
                <w:rFonts w:eastAsia="Calibri"/>
              </w:rPr>
              <w:t>Spraying pattern — aerosols</w:t>
            </w:r>
          </w:p>
        </w:tc>
        <w:tc>
          <w:tcPr>
            <w:tcW w:w="443" w:type="pct"/>
            <w:vAlign w:val="center"/>
          </w:tcPr>
          <w:p w14:paraId="689526CD" w14:textId="77777777" w:rsidR="000228FA" w:rsidRPr="00A411E7" w:rsidRDefault="000228FA" w:rsidP="00FF3977">
            <w:pPr>
              <w:rPr>
                <w:rFonts w:eastAsia="Calibri"/>
              </w:rPr>
            </w:pPr>
            <w:r>
              <w:rPr>
                <w:color w:val="000000"/>
              </w:rPr>
              <w:t xml:space="preserve"> -</w:t>
            </w:r>
          </w:p>
        </w:tc>
        <w:tc>
          <w:tcPr>
            <w:tcW w:w="439" w:type="pct"/>
            <w:vAlign w:val="center"/>
          </w:tcPr>
          <w:p w14:paraId="3CFE72D2" w14:textId="77777777" w:rsidR="000228FA" w:rsidRPr="00A411E7" w:rsidRDefault="000228FA" w:rsidP="00FF3977">
            <w:pPr>
              <w:rPr>
                <w:rFonts w:eastAsia="Calibri"/>
              </w:rPr>
            </w:pPr>
            <w:r>
              <w:rPr>
                <w:color w:val="000000"/>
              </w:rPr>
              <w:t xml:space="preserve"> -</w:t>
            </w:r>
          </w:p>
        </w:tc>
        <w:tc>
          <w:tcPr>
            <w:tcW w:w="1692" w:type="pct"/>
            <w:vAlign w:val="center"/>
          </w:tcPr>
          <w:p w14:paraId="0887AECB" w14:textId="77777777" w:rsidR="000228FA" w:rsidRPr="00A411E7" w:rsidRDefault="000228FA" w:rsidP="00FF3977">
            <w:pPr>
              <w:rPr>
                <w:rFonts w:eastAsia="Calibri"/>
              </w:rPr>
            </w:pPr>
            <w:r>
              <w:rPr>
                <w:color w:val="000000"/>
              </w:rPr>
              <w:t>Not applicable. The product is a soluble concentrate liquid and is not intended to be applied by spray with propellant gas under pressure.</w:t>
            </w:r>
          </w:p>
        </w:tc>
        <w:tc>
          <w:tcPr>
            <w:tcW w:w="449" w:type="pct"/>
            <w:vAlign w:val="center"/>
          </w:tcPr>
          <w:p w14:paraId="584966AE" w14:textId="77777777" w:rsidR="000228FA" w:rsidRPr="00A411E7" w:rsidRDefault="000228FA" w:rsidP="00FF3977">
            <w:pPr>
              <w:rPr>
                <w:rFonts w:eastAsia="Calibri"/>
              </w:rPr>
            </w:pPr>
            <w:r>
              <w:rPr>
                <w:color w:val="000000"/>
              </w:rPr>
              <w:t xml:space="preserve"> -</w:t>
            </w:r>
          </w:p>
        </w:tc>
        <w:tc>
          <w:tcPr>
            <w:tcW w:w="745" w:type="pct"/>
          </w:tcPr>
          <w:p w14:paraId="12F4FF40" w14:textId="77777777" w:rsidR="000228FA" w:rsidRDefault="000228FA" w:rsidP="00FF3977">
            <w:pPr>
              <w:rPr>
                <w:color w:val="000000"/>
              </w:rPr>
            </w:pPr>
            <w:r>
              <w:rPr>
                <w:color w:val="000000"/>
              </w:rPr>
              <w:t>not relevant</w:t>
            </w:r>
          </w:p>
        </w:tc>
      </w:tr>
      <w:tr w:rsidR="000228FA" w14:paraId="3CC6E447" w14:textId="77777777" w:rsidTr="00FF3977">
        <w:tc>
          <w:tcPr>
            <w:tcW w:w="1232" w:type="pct"/>
          </w:tcPr>
          <w:p w14:paraId="44A06CF5" w14:textId="77777777" w:rsidR="000228FA" w:rsidRPr="00A411E7" w:rsidRDefault="000228FA" w:rsidP="00FF3977">
            <w:pPr>
              <w:rPr>
                <w:rFonts w:eastAsia="Calibri"/>
              </w:rPr>
            </w:pPr>
            <w:r w:rsidRPr="00A411E7">
              <w:rPr>
                <w:rFonts w:eastAsia="Calibri"/>
              </w:rPr>
              <w:t>Physical compatibility</w:t>
            </w:r>
          </w:p>
        </w:tc>
        <w:tc>
          <w:tcPr>
            <w:tcW w:w="443" w:type="pct"/>
            <w:vAlign w:val="center"/>
          </w:tcPr>
          <w:p w14:paraId="5980D635" w14:textId="77777777" w:rsidR="000228FA" w:rsidRPr="00A411E7" w:rsidRDefault="000228FA" w:rsidP="00FF3977">
            <w:pPr>
              <w:rPr>
                <w:rFonts w:eastAsia="Calibri"/>
              </w:rPr>
            </w:pPr>
            <w:r>
              <w:rPr>
                <w:color w:val="000000"/>
              </w:rPr>
              <w:t xml:space="preserve"> -</w:t>
            </w:r>
          </w:p>
        </w:tc>
        <w:tc>
          <w:tcPr>
            <w:tcW w:w="439" w:type="pct"/>
            <w:vAlign w:val="center"/>
          </w:tcPr>
          <w:p w14:paraId="3EA69BFA" w14:textId="77777777" w:rsidR="000228FA" w:rsidRPr="00A411E7" w:rsidRDefault="000228FA" w:rsidP="00FF3977">
            <w:pPr>
              <w:rPr>
                <w:rFonts w:eastAsia="Calibri"/>
              </w:rPr>
            </w:pPr>
            <w:r>
              <w:rPr>
                <w:color w:val="000000"/>
              </w:rPr>
              <w:t xml:space="preserve"> -</w:t>
            </w:r>
          </w:p>
        </w:tc>
        <w:tc>
          <w:tcPr>
            <w:tcW w:w="1692" w:type="pct"/>
            <w:vAlign w:val="center"/>
          </w:tcPr>
          <w:p w14:paraId="18BA8ECE"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49" w:type="pct"/>
            <w:vAlign w:val="center"/>
          </w:tcPr>
          <w:p w14:paraId="4805252A" w14:textId="77777777" w:rsidR="000228FA" w:rsidRPr="00A411E7" w:rsidRDefault="000228FA" w:rsidP="00FF3977">
            <w:pPr>
              <w:rPr>
                <w:rFonts w:eastAsia="Calibri"/>
              </w:rPr>
            </w:pPr>
            <w:r>
              <w:rPr>
                <w:color w:val="000000"/>
              </w:rPr>
              <w:t xml:space="preserve"> -</w:t>
            </w:r>
          </w:p>
        </w:tc>
        <w:tc>
          <w:tcPr>
            <w:tcW w:w="745" w:type="pct"/>
          </w:tcPr>
          <w:p w14:paraId="086F9C2B" w14:textId="77777777" w:rsidR="000228FA" w:rsidRDefault="000228FA" w:rsidP="00FF3977">
            <w:pPr>
              <w:rPr>
                <w:color w:val="000000"/>
              </w:rPr>
            </w:pPr>
            <w:r>
              <w:rPr>
                <w:color w:val="000000"/>
              </w:rPr>
              <w:t>not relevant</w:t>
            </w:r>
          </w:p>
        </w:tc>
      </w:tr>
      <w:tr w:rsidR="000228FA" w14:paraId="4DF2F7C6" w14:textId="77777777" w:rsidTr="00FF3977">
        <w:tc>
          <w:tcPr>
            <w:tcW w:w="1232" w:type="pct"/>
          </w:tcPr>
          <w:p w14:paraId="35305CA6" w14:textId="77777777" w:rsidR="000228FA" w:rsidRPr="00A411E7" w:rsidRDefault="000228FA" w:rsidP="00FF3977">
            <w:pPr>
              <w:rPr>
                <w:rFonts w:eastAsia="Calibri"/>
              </w:rPr>
            </w:pPr>
            <w:r w:rsidRPr="00A411E7">
              <w:rPr>
                <w:rFonts w:eastAsia="Calibri"/>
              </w:rPr>
              <w:t>Chemical compatibility</w:t>
            </w:r>
          </w:p>
        </w:tc>
        <w:tc>
          <w:tcPr>
            <w:tcW w:w="443" w:type="pct"/>
            <w:vAlign w:val="center"/>
          </w:tcPr>
          <w:p w14:paraId="1B5F1284" w14:textId="77777777" w:rsidR="000228FA" w:rsidRPr="00A411E7" w:rsidRDefault="000228FA" w:rsidP="00FF3977">
            <w:pPr>
              <w:rPr>
                <w:rFonts w:eastAsia="Calibri"/>
              </w:rPr>
            </w:pPr>
            <w:r>
              <w:rPr>
                <w:color w:val="000000"/>
              </w:rPr>
              <w:t xml:space="preserve"> -</w:t>
            </w:r>
          </w:p>
        </w:tc>
        <w:tc>
          <w:tcPr>
            <w:tcW w:w="439" w:type="pct"/>
            <w:vAlign w:val="center"/>
          </w:tcPr>
          <w:p w14:paraId="29560D00" w14:textId="77777777" w:rsidR="000228FA" w:rsidRPr="00A411E7" w:rsidRDefault="000228FA" w:rsidP="00FF3977">
            <w:pPr>
              <w:rPr>
                <w:rFonts w:eastAsia="Calibri"/>
              </w:rPr>
            </w:pPr>
            <w:r>
              <w:rPr>
                <w:color w:val="000000"/>
              </w:rPr>
              <w:t xml:space="preserve"> -</w:t>
            </w:r>
          </w:p>
        </w:tc>
        <w:tc>
          <w:tcPr>
            <w:tcW w:w="1692" w:type="pct"/>
            <w:vAlign w:val="center"/>
          </w:tcPr>
          <w:p w14:paraId="653D7192"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49" w:type="pct"/>
            <w:vAlign w:val="center"/>
          </w:tcPr>
          <w:p w14:paraId="013ACD34" w14:textId="77777777" w:rsidR="000228FA" w:rsidRPr="00A411E7" w:rsidRDefault="000228FA" w:rsidP="00FF3977">
            <w:pPr>
              <w:rPr>
                <w:rFonts w:eastAsia="Calibri"/>
              </w:rPr>
            </w:pPr>
            <w:r>
              <w:rPr>
                <w:color w:val="000000"/>
              </w:rPr>
              <w:t xml:space="preserve"> -</w:t>
            </w:r>
          </w:p>
        </w:tc>
        <w:tc>
          <w:tcPr>
            <w:tcW w:w="745" w:type="pct"/>
          </w:tcPr>
          <w:p w14:paraId="47DEEB3A" w14:textId="77777777" w:rsidR="000228FA" w:rsidRDefault="000228FA" w:rsidP="00FF3977">
            <w:pPr>
              <w:rPr>
                <w:color w:val="000000"/>
              </w:rPr>
            </w:pPr>
            <w:r>
              <w:rPr>
                <w:color w:val="000000"/>
              </w:rPr>
              <w:t>not relevant</w:t>
            </w:r>
          </w:p>
        </w:tc>
      </w:tr>
      <w:tr w:rsidR="000228FA" w14:paraId="38817876" w14:textId="77777777" w:rsidTr="00FF3977">
        <w:tc>
          <w:tcPr>
            <w:tcW w:w="1232" w:type="pct"/>
          </w:tcPr>
          <w:p w14:paraId="7D1834DA" w14:textId="77777777" w:rsidR="000228FA" w:rsidRPr="00A411E7" w:rsidRDefault="000228FA" w:rsidP="00FF3977">
            <w:pPr>
              <w:rPr>
                <w:rFonts w:eastAsia="Calibri"/>
              </w:rPr>
            </w:pPr>
            <w:r w:rsidRPr="00A411E7">
              <w:rPr>
                <w:rFonts w:eastAsia="Calibri"/>
              </w:rPr>
              <w:t>Degree of dissolution and dilution stability</w:t>
            </w:r>
          </w:p>
        </w:tc>
        <w:tc>
          <w:tcPr>
            <w:tcW w:w="443" w:type="pct"/>
            <w:vAlign w:val="center"/>
          </w:tcPr>
          <w:p w14:paraId="24B08BCE" w14:textId="77777777" w:rsidR="000228FA" w:rsidRPr="00A411E7" w:rsidRDefault="000228FA" w:rsidP="00FF3977">
            <w:pPr>
              <w:rPr>
                <w:rFonts w:eastAsia="Calibri"/>
              </w:rPr>
            </w:pPr>
            <w:r>
              <w:rPr>
                <w:color w:val="000000"/>
              </w:rPr>
              <w:t xml:space="preserve">CIPAC Handbook O - MT 41.1 </w:t>
            </w:r>
            <w:r>
              <w:rPr>
                <w:color w:val="000000"/>
              </w:rPr>
              <w:lastRenderedPageBreak/>
              <w:t>method (2017)</w:t>
            </w:r>
          </w:p>
        </w:tc>
        <w:tc>
          <w:tcPr>
            <w:tcW w:w="439" w:type="pct"/>
            <w:vAlign w:val="center"/>
          </w:tcPr>
          <w:p w14:paraId="23F01403" w14:textId="77777777" w:rsidR="000228FA" w:rsidRDefault="000228FA" w:rsidP="00FF3977">
            <w:pPr>
              <w:rPr>
                <w:color w:val="000000"/>
              </w:rPr>
            </w:pPr>
            <w:r>
              <w:rPr>
                <w:color w:val="000000"/>
              </w:rPr>
              <w:lastRenderedPageBreak/>
              <w:t xml:space="preserve">Batch </w:t>
            </w:r>
            <w:r w:rsidRPr="00FD6F0A">
              <w:rPr>
                <w:color w:val="000000"/>
              </w:rPr>
              <w:t>5125352</w:t>
            </w:r>
          </w:p>
          <w:p w14:paraId="4C3C7714"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vAlign w:val="center"/>
          </w:tcPr>
          <w:p w14:paraId="46B118C0" w14:textId="77777777" w:rsidR="000228FA" w:rsidRPr="00A411E7" w:rsidRDefault="000228FA" w:rsidP="00FF3977">
            <w:pPr>
              <w:rPr>
                <w:rFonts w:eastAsia="Calibri"/>
              </w:rPr>
            </w:pPr>
            <w:r w:rsidRPr="00FD6F0A">
              <w:rPr>
                <w:color w:val="000000"/>
              </w:rPr>
              <w:t xml:space="preserve">Before the accelerated storage procedure, about 60 mL of white precipitate was observed at the bottom of the measuring cylinder after standing for 24 hours at 30 °C ± 2 °C. The test item solution did not remain </w:t>
            </w:r>
            <w:r w:rsidRPr="00FD6F0A">
              <w:rPr>
                <w:color w:val="000000"/>
              </w:rPr>
              <w:lastRenderedPageBreak/>
              <w:t>stable.. After the accelerated storage procedure, two phases were observed after standing for 24 hours at 30 °C ± 2 °C. The test item solution did not remain stable.</w:t>
            </w:r>
          </w:p>
        </w:tc>
        <w:tc>
          <w:tcPr>
            <w:tcW w:w="449" w:type="pct"/>
            <w:vAlign w:val="center"/>
          </w:tcPr>
          <w:p w14:paraId="130F5977" w14:textId="77777777" w:rsidR="000228FA" w:rsidRPr="00A411E7" w:rsidRDefault="000228FA" w:rsidP="00FF3977">
            <w:pPr>
              <w:rPr>
                <w:rFonts w:eastAsia="Calibri"/>
              </w:rPr>
            </w:pPr>
            <w:r w:rsidRPr="00FD6F0A">
              <w:rPr>
                <w:color w:val="000000"/>
              </w:rPr>
              <w:lastRenderedPageBreak/>
              <w:t xml:space="preserve">Halbwachs P. and Ricau H., 2020, Report No </w:t>
            </w:r>
            <w:r w:rsidRPr="00FD6F0A">
              <w:rPr>
                <w:color w:val="000000"/>
              </w:rPr>
              <w:lastRenderedPageBreak/>
              <w:t>19-901011-016</w:t>
            </w:r>
          </w:p>
        </w:tc>
        <w:tc>
          <w:tcPr>
            <w:tcW w:w="745" w:type="pct"/>
          </w:tcPr>
          <w:p w14:paraId="4EE7EA4B" w14:textId="77777777" w:rsidR="000228FA" w:rsidRDefault="000228FA" w:rsidP="00FF3977">
            <w:pPr>
              <w:rPr>
                <w:color w:val="000000"/>
              </w:rPr>
            </w:pPr>
            <w:r>
              <w:rPr>
                <w:color w:val="000000"/>
              </w:rPr>
              <w:lastRenderedPageBreak/>
              <w:t>Not acceptable</w:t>
            </w:r>
          </w:p>
          <w:p w14:paraId="321424B3" w14:textId="77777777" w:rsidR="000228FA" w:rsidRDefault="000228FA" w:rsidP="00FF3977">
            <w:pPr>
              <w:rPr>
                <w:color w:val="000000"/>
              </w:rPr>
            </w:pPr>
          </w:p>
          <w:p w14:paraId="49D0BE9E" w14:textId="77777777" w:rsidR="000228FA" w:rsidRDefault="000228FA" w:rsidP="00FF3977">
            <w:pPr>
              <w:rPr>
                <w:color w:val="000000"/>
              </w:rPr>
            </w:pPr>
            <w:r>
              <w:rPr>
                <w:color w:val="000000"/>
              </w:rPr>
              <w:t xml:space="preserve">The solution formed after </w:t>
            </w:r>
            <w:r>
              <w:rPr>
                <w:color w:val="000000"/>
              </w:rPr>
              <w:lastRenderedPageBreak/>
              <w:t xml:space="preserve">dilution is not stable. </w:t>
            </w:r>
          </w:p>
          <w:p w14:paraId="682D9A33" w14:textId="21DD29ED" w:rsidR="000228FA" w:rsidRDefault="000228FA" w:rsidP="00FF3977">
            <w:pPr>
              <w:rPr>
                <w:color w:val="000000"/>
              </w:rPr>
            </w:pPr>
            <w:r>
              <w:rPr>
                <w:color w:val="000000"/>
              </w:rPr>
              <w:t>The label of products of META SPC 6 should mention:</w:t>
            </w:r>
            <w:r>
              <w:t xml:space="preserve"> </w:t>
            </w:r>
            <w:r w:rsidRPr="00FD6F0A">
              <w:rPr>
                <w:color w:val="000000"/>
              </w:rPr>
              <w:t xml:space="preserve">The product should be used </w:t>
            </w:r>
            <w:r w:rsidR="00EB1131">
              <w:rPr>
                <w:rFonts w:eastAsia="Calibri"/>
              </w:rPr>
              <w:t>within 30 minutes</w:t>
            </w:r>
            <w:r w:rsidRPr="00FD6F0A">
              <w:rPr>
                <w:color w:val="000000"/>
              </w:rPr>
              <w:t xml:space="preserve"> after dilution.</w:t>
            </w:r>
          </w:p>
        </w:tc>
      </w:tr>
      <w:tr w:rsidR="000228FA" w14:paraId="6B6D01E8" w14:textId="77777777" w:rsidTr="00FF3977">
        <w:tc>
          <w:tcPr>
            <w:tcW w:w="1232" w:type="pct"/>
          </w:tcPr>
          <w:p w14:paraId="59F709DA" w14:textId="77777777" w:rsidR="000228FA" w:rsidRPr="00A411E7" w:rsidRDefault="000228FA" w:rsidP="00FF3977">
            <w:pPr>
              <w:rPr>
                <w:rFonts w:eastAsia="Calibri"/>
              </w:rPr>
            </w:pPr>
            <w:r w:rsidRPr="00A411E7">
              <w:rPr>
                <w:rFonts w:eastAsia="Calibri"/>
              </w:rPr>
              <w:lastRenderedPageBreak/>
              <w:t>Surface tension</w:t>
            </w:r>
          </w:p>
        </w:tc>
        <w:tc>
          <w:tcPr>
            <w:tcW w:w="443" w:type="pct"/>
            <w:vAlign w:val="center"/>
          </w:tcPr>
          <w:p w14:paraId="7541D8DE" w14:textId="77777777" w:rsidR="000228FA" w:rsidRPr="00A411E7" w:rsidRDefault="000228FA" w:rsidP="00FF3977">
            <w:pPr>
              <w:rPr>
                <w:rFonts w:eastAsia="Calibri"/>
              </w:rPr>
            </w:pPr>
            <w:r>
              <w:t>EC A.5. method (2008) and OECD Guideline No. 115 (1995)</w:t>
            </w:r>
          </w:p>
        </w:tc>
        <w:tc>
          <w:tcPr>
            <w:tcW w:w="439" w:type="pct"/>
            <w:vAlign w:val="center"/>
          </w:tcPr>
          <w:p w14:paraId="7A29B355" w14:textId="77777777" w:rsidR="000228FA" w:rsidRDefault="000228FA" w:rsidP="00FF3977">
            <w:r>
              <w:t xml:space="preserve">Batch </w:t>
            </w:r>
            <w:r w:rsidRPr="00FD6F0A">
              <w:t>5125352</w:t>
            </w:r>
          </w:p>
          <w:p w14:paraId="2CD1B94B"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tcPr>
          <w:p w14:paraId="04BE3E01" w14:textId="77777777" w:rsidR="000228FA" w:rsidRPr="00A411E7" w:rsidRDefault="000228FA" w:rsidP="00FF3977">
            <w:pPr>
              <w:rPr>
                <w:rFonts w:eastAsia="Calibri"/>
              </w:rPr>
            </w:pPr>
            <w:r w:rsidRPr="00986C58">
              <w:t>The mean surface tension of the test item diluted at 10% w/w in distilled water at 20.2 °C was 25.5 mN/m. The test item was considered as surface-active in the experimental conditions used.</w:t>
            </w:r>
          </w:p>
        </w:tc>
        <w:tc>
          <w:tcPr>
            <w:tcW w:w="449" w:type="pct"/>
          </w:tcPr>
          <w:p w14:paraId="115D51FB" w14:textId="77777777" w:rsidR="000228FA" w:rsidRPr="00A411E7" w:rsidRDefault="000228FA" w:rsidP="00FF3977">
            <w:pPr>
              <w:rPr>
                <w:rFonts w:eastAsia="Calibri"/>
              </w:rPr>
            </w:pPr>
            <w:r w:rsidRPr="00986C58">
              <w:t>Halbwachs P., 2020, Report No 19-901011-015</w:t>
            </w:r>
          </w:p>
        </w:tc>
        <w:tc>
          <w:tcPr>
            <w:tcW w:w="745" w:type="pct"/>
          </w:tcPr>
          <w:p w14:paraId="441EC4B4" w14:textId="77777777" w:rsidR="000228FA" w:rsidRDefault="000228FA" w:rsidP="00FF3977">
            <w:r>
              <w:rPr>
                <w:color w:val="000000"/>
              </w:rPr>
              <w:t>Acceptable</w:t>
            </w:r>
          </w:p>
        </w:tc>
      </w:tr>
      <w:tr w:rsidR="000228FA" w14:paraId="60D66D3D" w14:textId="77777777" w:rsidTr="00FF3977">
        <w:tc>
          <w:tcPr>
            <w:tcW w:w="1232" w:type="pct"/>
          </w:tcPr>
          <w:p w14:paraId="4FEF1D49" w14:textId="77777777" w:rsidR="000228FA" w:rsidRPr="00A411E7" w:rsidRDefault="000228FA" w:rsidP="00FF3977">
            <w:pPr>
              <w:rPr>
                <w:rFonts w:eastAsia="Calibri"/>
              </w:rPr>
            </w:pPr>
            <w:r w:rsidRPr="00A411E7">
              <w:rPr>
                <w:rFonts w:eastAsia="Calibri"/>
              </w:rPr>
              <w:t>Viscosity</w:t>
            </w:r>
          </w:p>
        </w:tc>
        <w:tc>
          <w:tcPr>
            <w:tcW w:w="443" w:type="pct"/>
            <w:vAlign w:val="center"/>
          </w:tcPr>
          <w:p w14:paraId="23436B0A" w14:textId="77777777" w:rsidR="000228FA" w:rsidRPr="00A411E7" w:rsidRDefault="000228FA" w:rsidP="00FF3977">
            <w:pPr>
              <w:rPr>
                <w:rFonts w:eastAsia="Calibri"/>
              </w:rPr>
            </w:pPr>
            <w:r>
              <w:t>OECD Guideline No. 114 (2012) and ISO Standard 3219 (1993)</w:t>
            </w:r>
          </w:p>
        </w:tc>
        <w:tc>
          <w:tcPr>
            <w:tcW w:w="439" w:type="pct"/>
            <w:vAlign w:val="center"/>
          </w:tcPr>
          <w:p w14:paraId="6C6E1939" w14:textId="77777777" w:rsidR="000228FA" w:rsidRDefault="000228FA" w:rsidP="00FF3977">
            <w:r>
              <w:t xml:space="preserve">Batch </w:t>
            </w:r>
            <w:r w:rsidRPr="00FD6F0A">
              <w:t>5125352</w:t>
            </w:r>
          </w:p>
          <w:p w14:paraId="56CAA18F" w14:textId="77777777" w:rsidR="000228FA" w:rsidRPr="00A411E7" w:rsidRDefault="000228FA" w:rsidP="00FF3977">
            <w:pPr>
              <w:rPr>
                <w:rFonts w:eastAsia="Calibri"/>
              </w:rPr>
            </w:pPr>
            <w:r>
              <w:rPr>
                <w:rFonts w:eastAsia="Calibri"/>
              </w:rPr>
              <w:t xml:space="preserve">Test item: </w:t>
            </w:r>
            <w:r w:rsidRPr="00547D14">
              <w:rPr>
                <w:rFonts w:eastAsia="Calibri"/>
              </w:rPr>
              <w:t>218228-P1</w:t>
            </w:r>
          </w:p>
        </w:tc>
        <w:tc>
          <w:tcPr>
            <w:tcW w:w="1692" w:type="pct"/>
          </w:tcPr>
          <w:p w14:paraId="36A4BC8C" w14:textId="77777777" w:rsidR="000228FA" w:rsidRPr="00A411E7" w:rsidRDefault="000228FA" w:rsidP="00FF3977">
            <w:pPr>
              <w:rPr>
                <w:rFonts w:eastAsia="Calibri"/>
              </w:rPr>
            </w:pPr>
            <w:r w:rsidRPr="00986C58">
              <w:t>Taking into account the results obtained at 20.0 °C and 40.0 °C, the test item was considered to have newtonian properties in the experimental conditions used. The mean dynamic viscosity of the test item was 8.77 mPa.s at 20.0 °C ± 0.2 °C and 4.25 mPa.s at 40.0 °C ± 0.2 °C.</w:t>
            </w:r>
          </w:p>
        </w:tc>
        <w:tc>
          <w:tcPr>
            <w:tcW w:w="449" w:type="pct"/>
          </w:tcPr>
          <w:p w14:paraId="68E21947" w14:textId="77777777" w:rsidR="000228FA" w:rsidRPr="00A411E7" w:rsidRDefault="000228FA" w:rsidP="00FF3977">
            <w:pPr>
              <w:rPr>
                <w:rFonts w:eastAsia="Calibri"/>
              </w:rPr>
            </w:pPr>
            <w:r w:rsidRPr="00986C58">
              <w:t>Halbwachs P., 2020, Report No 19-901011-015</w:t>
            </w:r>
          </w:p>
        </w:tc>
        <w:tc>
          <w:tcPr>
            <w:tcW w:w="745" w:type="pct"/>
          </w:tcPr>
          <w:p w14:paraId="44F0B181" w14:textId="77777777" w:rsidR="000228FA" w:rsidRDefault="000228FA" w:rsidP="00FF3977">
            <w:r>
              <w:rPr>
                <w:color w:val="000000"/>
              </w:rPr>
              <w:t>Acceptable</w:t>
            </w:r>
          </w:p>
        </w:tc>
      </w:tr>
    </w:tbl>
    <w:p w14:paraId="0B31DA3A" w14:textId="7FBFDD38" w:rsidR="000228FA" w:rsidRDefault="000228FA">
      <w:pPr>
        <w:spacing w:line="260" w:lineRule="atLeast"/>
        <w:ind w:left="360"/>
        <w:contextualSpacing/>
        <w:rPr>
          <w:rFonts w:eastAsia="Calibri"/>
          <w:lang w:val="en-US" w:eastAsia="sv-SE"/>
        </w:rPr>
      </w:pPr>
    </w:p>
    <w:tbl>
      <w:tblPr>
        <w:tblW w:w="526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042"/>
      </w:tblGrid>
      <w:tr w:rsidR="000228FA" w:rsidRPr="00A411E7" w14:paraId="0522E13A" w14:textId="77777777" w:rsidTr="00E91F85">
        <w:tc>
          <w:tcPr>
            <w:tcW w:w="5000" w:type="pct"/>
            <w:tcBorders>
              <w:top w:val="single" w:sz="4" w:space="0" w:color="auto"/>
              <w:left w:val="single" w:sz="4" w:space="0" w:color="auto"/>
              <w:bottom w:val="single" w:sz="6" w:space="0" w:color="auto"/>
              <w:right w:val="single" w:sz="6" w:space="0" w:color="auto"/>
            </w:tcBorders>
            <w:shd w:val="clear" w:color="auto" w:fill="CCFFCC"/>
          </w:tcPr>
          <w:p w14:paraId="203750C9"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6</w:t>
            </w:r>
          </w:p>
        </w:tc>
      </w:tr>
      <w:tr w:rsidR="000228FA" w:rsidRPr="001D704F" w14:paraId="61A2041B" w14:textId="77777777" w:rsidTr="00E91F8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6271602" w14:textId="77777777" w:rsidR="000228FA" w:rsidRDefault="000228FA" w:rsidP="00FF3977">
            <w:pPr>
              <w:spacing w:line="276" w:lineRule="auto"/>
              <w:jc w:val="both"/>
              <w:rPr>
                <w:lang w:eastAsia="en-US"/>
              </w:rPr>
            </w:pPr>
            <w:r>
              <w:rPr>
                <w:lang w:eastAsia="en-US"/>
              </w:rPr>
              <w:t>The Meta-SPC 6 is a soluble concentrate (SL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z8uvix4A","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98795B">
              <w:t>(1)</w:t>
            </w:r>
            <w:r>
              <w:rPr>
                <w:color w:val="FF0000"/>
                <w:lang w:eastAsia="en-US"/>
              </w:rPr>
              <w:fldChar w:fldCharType="end"/>
            </w:r>
            <w:r>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ARw3xN9F","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98795B">
              <w:t>(3)</w:t>
            </w:r>
            <w:r>
              <w:rPr>
                <w:lang w:eastAsia="en-US"/>
              </w:rPr>
              <w:fldChar w:fldCharType="end"/>
            </w:r>
            <w:r>
              <w:rPr>
                <w:lang w:eastAsia="en-US"/>
              </w:rPr>
              <w:t xml:space="preserve">) and the results are deemed to be acceptable. </w:t>
            </w:r>
          </w:p>
          <w:p w14:paraId="44841D73" w14:textId="3257A03D" w:rsidR="000228FA" w:rsidRDefault="000228FA" w:rsidP="00FF3977">
            <w:pPr>
              <w:spacing w:line="276" w:lineRule="auto"/>
              <w:jc w:val="both"/>
              <w:rPr>
                <w:lang w:eastAsia="en-US"/>
              </w:rPr>
            </w:pPr>
            <w:r>
              <w:rPr>
                <w:lang w:eastAsia="en-US"/>
              </w:rPr>
              <w:t xml:space="preserve">The appearance of the product is an </w:t>
            </w:r>
            <w:r>
              <w:t>homogeneous slightly yellow limpid liquid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PET, LDPE/HDPE and COEXTRUDE (HDPE/PA and HDPE/EVAL). As the product is not stable after dilution, the labels should mention:</w:t>
            </w:r>
            <w:r>
              <w:t xml:space="preserve"> </w:t>
            </w:r>
            <w:r w:rsidRPr="00FD6F0A">
              <w:rPr>
                <w:lang w:eastAsia="en-US"/>
              </w:rPr>
              <w:t xml:space="preserve">The product should be used </w:t>
            </w:r>
            <w:r w:rsidR="00EB1131">
              <w:rPr>
                <w:rFonts w:eastAsia="Calibri"/>
              </w:rPr>
              <w:t>within 30 minutes</w:t>
            </w:r>
            <w:r w:rsidRPr="00FD6F0A">
              <w:rPr>
                <w:lang w:eastAsia="en-US"/>
              </w:rPr>
              <w:t xml:space="preserve"> after dilution.</w:t>
            </w:r>
            <w:r w:rsidR="00C2001F">
              <w:rPr>
                <w:lang w:eastAsia="en-US"/>
              </w:rPr>
              <w:t xml:space="preserve"> Results of the persistent </w:t>
            </w:r>
            <w:r w:rsidR="00C2001F">
              <w:rPr>
                <w:lang w:eastAsia="en-US"/>
              </w:rPr>
              <w:lastRenderedPageBreak/>
              <w:t>foaming are outside acceptable limits, however it has been demonstrated that</w:t>
            </w:r>
            <w:r w:rsidR="00C2001F" w:rsidRPr="00C2001F">
              <w:rPr>
                <w:lang w:eastAsia="en-US"/>
              </w:rPr>
              <w:t xml:space="preserve"> the presence of the foam will not affect the use of the product.</w:t>
            </w:r>
          </w:p>
          <w:p w14:paraId="1B6A8CA3" w14:textId="77777777" w:rsidR="000228FA" w:rsidRPr="001D704F" w:rsidRDefault="000228FA" w:rsidP="00FF3977">
            <w:pPr>
              <w:spacing w:line="276" w:lineRule="auto"/>
              <w:jc w:val="both"/>
              <w:rPr>
                <w:rFonts w:eastAsia="Calibri"/>
                <w:color w:val="FF0000"/>
                <w:lang w:val="en-US" w:eastAsia="en-US"/>
              </w:rPr>
            </w:pPr>
            <w:r>
              <w:rPr>
                <w:lang w:eastAsia="en-US"/>
              </w:rPr>
              <w:t xml:space="preserve">The long term storage stability study is on-going and </w:t>
            </w:r>
            <w:r>
              <w:t>should be provided in post-authorisation.</w:t>
            </w:r>
          </w:p>
        </w:tc>
      </w:tr>
    </w:tbl>
    <w:p w14:paraId="7E96ADD8" w14:textId="49B0CF6C"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5"/>
        <w:gridCol w:w="1234"/>
        <w:gridCol w:w="1251"/>
        <w:gridCol w:w="4747"/>
        <w:gridCol w:w="1245"/>
        <w:gridCol w:w="1429"/>
      </w:tblGrid>
      <w:tr w:rsidR="000228FA" w14:paraId="371F9A46" w14:textId="77777777" w:rsidTr="00FF3977">
        <w:trPr>
          <w:tblHeader/>
        </w:trPr>
        <w:tc>
          <w:tcPr>
            <w:tcW w:w="4165" w:type="pct"/>
            <w:gridSpan w:val="5"/>
            <w:shd w:val="clear" w:color="auto" w:fill="E0E0E0"/>
            <w:vAlign w:val="center"/>
          </w:tcPr>
          <w:p w14:paraId="714BF1F6" w14:textId="77777777" w:rsidR="000228FA" w:rsidRPr="00305B11" w:rsidRDefault="000228FA" w:rsidP="00FF3977">
            <w:pPr>
              <w:spacing w:line="260" w:lineRule="atLeast"/>
              <w:rPr>
                <w:rFonts w:eastAsia="Calibri"/>
                <w:b/>
                <w:lang w:eastAsia="en-US"/>
              </w:rPr>
            </w:pPr>
            <w:r>
              <w:rPr>
                <w:rFonts w:eastAsia="Calibri"/>
                <w:b/>
                <w:lang w:eastAsia="en-US"/>
              </w:rPr>
              <w:t>Meta-SPC 7 (SL - dilution concentrations: 6% v/v – 10% v/v)</w:t>
            </w:r>
          </w:p>
        </w:tc>
        <w:tc>
          <w:tcPr>
            <w:tcW w:w="835" w:type="pct"/>
            <w:shd w:val="clear" w:color="auto" w:fill="E0E0E0"/>
          </w:tcPr>
          <w:p w14:paraId="098E675A" w14:textId="77777777" w:rsidR="000228FA" w:rsidRDefault="000228FA" w:rsidP="00FF3977">
            <w:pPr>
              <w:spacing w:line="260" w:lineRule="atLeast"/>
              <w:rPr>
                <w:rFonts w:eastAsia="Calibri"/>
                <w:b/>
                <w:lang w:eastAsia="en-US"/>
              </w:rPr>
            </w:pPr>
          </w:p>
        </w:tc>
      </w:tr>
      <w:tr w:rsidR="000228FA" w:rsidRPr="00305B11" w14:paraId="3DAE60F0" w14:textId="77777777" w:rsidTr="00FF3977">
        <w:trPr>
          <w:tblHeader/>
        </w:trPr>
        <w:tc>
          <w:tcPr>
            <w:tcW w:w="1193" w:type="pct"/>
            <w:shd w:val="clear" w:color="auto" w:fill="E0E0E0"/>
            <w:vAlign w:val="center"/>
          </w:tcPr>
          <w:p w14:paraId="526E3A35"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431" w:type="pct"/>
            <w:shd w:val="clear" w:color="auto" w:fill="E0E0E0"/>
            <w:vAlign w:val="center"/>
          </w:tcPr>
          <w:p w14:paraId="69BBE7BB"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437" w:type="pct"/>
            <w:shd w:val="clear" w:color="auto" w:fill="E0E0E0"/>
            <w:vAlign w:val="center"/>
          </w:tcPr>
          <w:p w14:paraId="68B5E106"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669" w:type="pct"/>
            <w:shd w:val="clear" w:color="auto" w:fill="E0E0E0"/>
            <w:vAlign w:val="center"/>
          </w:tcPr>
          <w:p w14:paraId="24869932"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35" w:type="pct"/>
            <w:shd w:val="clear" w:color="auto" w:fill="E0E0E0"/>
            <w:vAlign w:val="center"/>
          </w:tcPr>
          <w:p w14:paraId="5AAFC9DC"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835" w:type="pct"/>
            <w:shd w:val="clear" w:color="auto" w:fill="E0E0E0"/>
            <w:vAlign w:val="center"/>
          </w:tcPr>
          <w:p w14:paraId="24DFEDB1"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2B49635E" w14:textId="77777777" w:rsidTr="00FF3977">
        <w:tc>
          <w:tcPr>
            <w:tcW w:w="1193" w:type="pct"/>
          </w:tcPr>
          <w:p w14:paraId="65C9B585"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431" w:type="pct"/>
            <w:vAlign w:val="center"/>
          </w:tcPr>
          <w:p w14:paraId="0645A376" w14:textId="77777777" w:rsidR="000228FA" w:rsidRPr="00017CF8" w:rsidRDefault="000228FA" w:rsidP="00FF3977">
            <w:pPr>
              <w:rPr>
                <w:rFonts w:eastAsia="Calibri"/>
              </w:rPr>
            </w:pPr>
            <w:r>
              <w:rPr>
                <w:color w:val="000000"/>
              </w:rPr>
              <w:t xml:space="preserve"> -</w:t>
            </w:r>
          </w:p>
        </w:tc>
        <w:tc>
          <w:tcPr>
            <w:tcW w:w="437" w:type="pct"/>
            <w:vAlign w:val="center"/>
          </w:tcPr>
          <w:p w14:paraId="389C87CF" w14:textId="77777777" w:rsidR="000228FA" w:rsidRDefault="000228FA" w:rsidP="00FF3977">
            <w:pPr>
              <w:rPr>
                <w:color w:val="000000"/>
              </w:rPr>
            </w:pPr>
            <w:r>
              <w:rPr>
                <w:color w:val="000000"/>
              </w:rPr>
              <w:t>Batch 5118225</w:t>
            </w:r>
          </w:p>
          <w:p w14:paraId="6812F4E7" w14:textId="77777777" w:rsidR="000228FA" w:rsidRPr="00017CF8"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3A4A208E" w14:textId="77777777" w:rsidR="000228FA" w:rsidRPr="00017CF8" w:rsidRDefault="000228FA" w:rsidP="00FF3977">
            <w:pPr>
              <w:rPr>
                <w:rFonts w:eastAsia="Calibri"/>
              </w:rPr>
            </w:pPr>
            <w:r>
              <w:rPr>
                <w:color w:val="000000"/>
              </w:rPr>
              <w:t>The appearance of the test item was homogeneous pale yellow limpid liquid with a characteristic odour.</w:t>
            </w:r>
          </w:p>
        </w:tc>
        <w:tc>
          <w:tcPr>
            <w:tcW w:w="435" w:type="pct"/>
            <w:vAlign w:val="center"/>
          </w:tcPr>
          <w:p w14:paraId="48CFAADF" w14:textId="77777777" w:rsidR="000228FA" w:rsidRPr="00017CF8" w:rsidRDefault="000228FA" w:rsidP="00FF3977">
            <w:pPr>
              <w:rPr>
                <w:rFonts w:eastAsia="Calibri"/>
              </w:rPr>
            </w:pPr>
            <w:r>
              <w:rPr>
                <w:color w:val="000000"/>
              </w:rPr>
              <w:t>Demangel B. and Ricau H., 2019, Report No 18-901011-036</w:t>
            </w:r>
          </w:p>
        </w:tc>
        <w:tc>
          <w:tcPr>
            <w:tcW w:w="835" w:type="pct"/>
          </w:tcPr>
          <w:p w14:paraId="61DB0B32" w14:textId="77777777" w:rsidR="000228FA" w:rsidRDefault="000228FA" w:rsidP="00FF3977">
            <w:pPr>
              <w:rPr>
                <w:color w:val="000000"/>
              </w:rPr>
            </w:pPr>
            <w:r>
              <w:rPr>
                <w:color w:val="000000"/>
              </w:rPr>
              <w:t>Acceptable</w:t>
            </w:r>
          </w:p>
        </w:tc>
      </w:tr>
      <w:tr w:rsidR="000228FA" w14:paraId="216D4811" w14:textId="77777777" w:rsidTr="00FF3977">
        <w:tc>
          <w:tcPr>
            <w:tcW w:w="1193" w:type="pct"/>
          </w:tcPr>
          <w:p w14:paraId="3975DDB2" w14:textId="77777777" w:rsidR="000228FA" w:rsidRPr="00A411E7" w:rsidRDefault="000228FA" w:rsidP="00FF3977">
            <w:pPr>
              <w:rPr>
                <w:rFonts w:eastAsia="Calibri"/>
              </w:rPr>
            </w:pPr>
            <w:r w:rsidRPr="00A411E7">
              <w:rPr>
                <w:rFonts w:eastAsia="Calibri"/>
              </w:rPr>
              <w:t>Acidity / alkalinity</w:t>
            </w:r>
          </w:p>
        </w:tc>
        <w:tc>
          <w:tcPr>
            <w:tcW w:w="431" w:type="pct"/>
            <w:vAlign w:val="center"/>
          </w:tcPr>
          <w:p w14:paraId="79C6D99D" w14:textId="77777777" w:rsidR="000228FA" w:rsidRPr="00A411E7" w:rsidRDefault="000228FA" w:rsidP="00FF3977">
            <w:pPr>
              <w:rPr>
                <w:rFonts w:eastAsia="Calibri"/>
              </w:rPr>
            </w:pPr>
            <w:r>
              <w:t>CIPAC Handbook L - MT 191 method (2006)</w:t>
            </w:r>
          </w:p>
        </w:tc>
        <w:tc>
          <w:tcPr>
            <w:tcW w:w="437" w:type="pct"/>
            <w:vAlign w:val="center"/>
          </w:tcPr>
          <w:p w14:paraId="5C976813" w14:textId="77777777" w:rsidR="000228FA" w:rsidRDefault="000228FA" w:rsidP="00FF3977">
            <w:r>
              <w:t xml:space="preserve">Batch 5118225 </w:t>
            </w:r>
          </w:p>
          <w:p w14:paraId="37808D79"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59C03C5D" w14:textId="77777777" w:rsidR="000228FA" w:rsidRPr="00A411E7" w:rsidRDefault="000228FA" w:rsidP="00FF3977">
            <w:pPr>
              <w:rPr>
                <w:rFonts w:eastAsia="Calibri"/>
              </w:rPr>
            </w:pPr>
            <w:r>
              <w:t>Before the accelerated storage procedure, the mean value of the test item acidity was 6.38% w/w. After the accelerated storage procedure, the mean value of the test item acidity was 6.47% w/w.</w:t>
            </w:r>
          </w:p>
        </w:tc>
        <w:tc>
          <w:tcPr>
            <w:tcW w:w="435" w:type="pct"/>
            <w:vAlign w:val="center"/>
          </w:tcPr>
          <w:p w14:paraId="3ED89AB8" w14:textId="77777777" w:rsidR="000228FA" w:rsidRPr="00A411E7" w:rsidRDefault="000228FA" w:rsidP="00FF3977">
            <w:pPr>
              <w:rPr>
                <w:rFonts w:eastAsia="Calibri"/>
              </w:rPr>
            </w:pPr>
            <w:r>
              <w:t>Demangel B. and Ricau H., 2019, Report No 18-901011-036</w:t>
            </w:r>
          </w:p>
        </w:tc>
        <w:tc>
          <w:tcPr>
            <w:tcW w:w="835" w:type="pct"/>
          </w:tcPr>
          <w:p w14:paraId="16B46401" w14:textId="77777777" w:rsidR="000228FA" w:rsidRDefault="000228FA" w:rsidP="00FF3977">
            <w:r>
              <w:rPr>
                <w:color w:val="000000"/>
              </w:rPr>
              <w:t>Acceptable</w:t>
            </w:r>
          </w:p>
        </w:tc>
      </w:tr>
      <w:tr w:rsidR="000228FA" w14:paraId="0DB8AD35" w14:textId="77777777" w:rsidTr="00FF3977">
        <w:tc>
          <w:tcPr>
            <w:tcW w:w="1193" w:type="pct"/>
          </w:tcPr>
          <w:p w14:paraId="78727583" w14:textId="77777777" w:rsidR="000228FA" w:rsidRPr="00A411E7" w:rsidRDefault="000228FA" w:rsidP="00FF3977">
            <w:pPr>
              <w:rPr>
                <w:rFonts w:eastAsia="Calibri"/>
              </w:rPr>
            </w:pPr>
            <w:r>
              <w:rPr>
                <w:rFonts w:eastAsia="Calibri"/>
              </w:rPr>
              <w:t>pH value</w:t>
            </w:r>
          </w:p>
        </w:tc>
        <w:tc>
          <w:tcPr>
            <w:tcW w:w="431" w:type="pct"/>
            <w:vAlign w:val="center"/>
          </w:tcPr>
          <w:p w14:paraId="5A130B6A" w14:textId="77777777" w:rsidR="000228FA" w:rsidRDefault="000228FA" w:rsidP="00FF3977">
            <w:r>
              <w:rPr>
                <w:color w:val="000000"/>
              </w:rPr>
              <w:t>CIPAC MT 75.3</w:t>
            </w:r>
          </w:p>
        </w:tc>
        <w:tc>
          <w:tcPr>
            <w:tcW w:w="437" w:type="pct"/>
            <w:vAlign w:val="center"/>
          </w:tcPr>
          <w:p w14:paraId="27A9BFD8" w14:textId="77777777" w:rsidR="000228FA" w:rsidRDefault="000228FA" w:rsidP="00FF3977">
            <w:r>
              <w:t xml:space="preserve">Batch 5118225 </w:t>
            </w:r>
          </w:p>
          <w:p w14:paraId="36318F3F" w14:textId="77777777" w:rsidR="000228FA" w:rsidRDefault="000228FA" w:rsidP="00FF3977">
            <w:r>
              <w:rPr>
                <w:color w:val="000000"/>
              </w:rPr>
              <w:t xml:space="preserve">Test item: </w:t>
            </w:r>
            <w:r w:rsidRPr="00EF30FC">
              <w:rPr>
                <w:color w:val="000000"/>
              </w:rPr>
              <w:t>218291-P3</w:t>
            </w:r>
          </w:p>
        </w:tc>
        <w:tc>
          <w:tcPr>
            <w:tcW w:w="1669" w:type="pct"/>
            <w:vAlign w:val="center"/>
          </w:tcPr>
          <w:p w14:paraId="26512C32" w14:textId="77777777" w:rsidR="000228FA" w:rsidRDefault="000228FA" w:rsidP="00FF3977">
            <w:pPr>
              <w:rPr>
                <w:color w:val="000000"/>
              </w:rPr>
            </w:pPr>
            <w:r>
              <w:rPr>
                <w:color w:val="000000"/>
              </w:rPr>
              <w:t>Before accelerated storage: pH=1.74 at 19.4°C</w:t>
            </w:r>
          </w:p>
          <w:p w14:paraId="13193882" w14:textId="77777777" w:rsidR="000228FA" w:rsidRDefault="000228FA" w:rsidP="00FF3977">
            <w:r>
              <w:rPr>
                <w:color w:val="000000"/>
              </w:rPr>
              <w:t>After accelerated storage: pH=1.73 at 20°C</w:t>
            </w:r>
          </w:p>
        </w:tc>
        <w:tc>
          <w:tcPr>
            <w:tcW w:w="435" w:type="pct"/>
            <w:vAlign w:val="center"/>
          </w:tcPr>
          <w:p w14:paraId="49998B7F" w14:textId="77777777" w:rsidR="000228FA" w:rsidRDefault="000228FA" w:rsidP="00FF3977">
            <w:r>
              <w:t>Demangel B. and Ricau H., 2019, Report No 18-901011-036</w:t>
            </w:r>
          </w:p>
        </w:tc>
        <w:tc>
          <w:tcPr>
            <w:tcW w:w="835" w:type="pct"/>
          </w:tcPr>
          <w:p w14:paraId="228970CA" w14:textId="77777777" w:rsidR="000228FA" w:rsidRDefault="000228FA" w:rsidP="00FF3977">
            <w:pPr>
              <w:rPr>
                <w:color w:val="000000"/>
              </w:rPr>
            </w:pPr>
            <w:r>
              <w:rPr>
                <w:color w:val="000000"/>
              </w:rPr>
              <w:t>Acceptable</w:t>
            </w:r>
          </w:p>
        </w:tc>
      </w:tr>
      <w:tr w:rsidR="000228FA" w14:paraId="7D7C9540" w14:textId="77777777" w:rsidTr="00FF3977">
        <w:tc>
          <w:tcPr>
            <w:tcW w:w="1193" w:type="pct"/>
            <w:tcBorders>
              <w:top w:val="single" w:sz="4" w:space="0" w:color="auto"/>
              <w:left w:val="single" w:sz="4" w:space="0" w:color="auto"/>
              <w:bottom w:val="single" w:sz="4" w:space="0" w:color="auto"/>
              <w:right w:val="single" w:sz="4" w:space="0" w:color="auto"/>
            </w:tcBorders>
          </w:tcPr>
          <w:p w14:paraId="00D98A19" w14:textId="77777777" w:rsidR="000228FA" w:rsidRPr="00A411E7" w:rsidRDefault="000228FA" w:rsidP="00FF3977">
            <w:pPr>
              <w:rPr>
                <w:rFonts w:eastAsia="Calibri"/>
              </w:rPr>
            </w:pPr>
            <w:r w:rsidRPr="00A411E7">
              <w:rPr>
                <w:rFonts w:eastAsia="Calibri"/>
              </w:rPr>
              <w:t>Relative density / bulk density</w:t>
            </w:r>
          </w:p>
        </w:tc>
        <w:tc>
          <w:tcPr>
            <w:tcW w:w="431" w:type="pct"/>
            <w:tcBorders>
              <w:top w:val="single" w:sz="4" w:space="0" w:color="auto"/>
              <w:left w:val="single" w:sz="4" w:space="0" w:color="auto"/>
              <w:bottom w:val="single" w:sz="4" w:space="0" w:color="auto"/>
              <w:right w:val="single" w:sz="4" w:space="0" w:color="auto"/>
            </w:tcBorders>
            <w:vAlign w:val="center"/>
          </w:tcPr>
          <w:p w14:paraId="34938B45" w14:textId="77777777" w:rsidR="000228FA" w:rsidRPr="00A411E7" w:rsidRDefault="000228FA" w:rsidP="00FF3977">
            <w:pPr>
              <w:rPr>
                <w:rFonts w:eastAsia="Calibri"/>
              </w:rPr>
            </w:pPr>
            <w:r>
              <w:t xml:space="preserve">EC A.3. method </w:t>
            </w:r>
            <w:r>
              <w:lastRenderedPageBreak/>
              <w:t>(2008) and OECD Guideline No. 109 (2012)</w:t>
            </w:r>
          </w:p>
        </w:tc>
        <w:tc>
          <w:tcPr>
            <w:tcW w:w="437" w:type="pct"/>
            <w:tcBorders>
              <w:top w:val="single" w:sz="4" w:space="0" w:color="auto"/>
              <w:left w:val="single" w:sz="4" w:space="0" w:color="auto"/>
              <w:bottom w:val="single" w:sz="4" w:space="0" w:color="auto"/>
              <w:right w:val="single" w:sz="4" w:space="0" w:color="auto"/>
            </w:tcBorders>
            <w:vAlign w:val="center"/>
          </w:tcPr>
          <w:p w14:paraId="1B5293A9" w14:textId="77777777" w:rsidR="000228FA" w:rsidRDefault="000228FA" w:rsidP="00FF3977">
            <w:r>
              <w:lastRenderedPageBreak/>
              <w:t>Batch 5118225</w:t>
            </w:r>
          </w:p>
          <w:p w14:paraId="49F78536" w14:textId="77777777" w:rsidR="000228FA" w:rsidRPr="00A411E7" w:rsidRDefault="000228FA" w:rsidP="00FF3977">
            <w:pPr>
              <w:rPr>
                <w:rFonts w:eastAsia="Calibri"/>
              </w:rPr>
            </w:pPr>
            <w:r>
              <w:rPr>
                <w:color w:val="000000"/>
              </w:rPr>
              <w:lastRenderedPageBreak/>
              <w:t xml:space="preserve">Test item: </w:t>
            </w:r>
            <w:r w:rsidRPr="00EF30FC">
              <w:rPr>
                <w:color w:val="000000"/>
              </w:rPr>
              <w:t>218291-P3</w:t>
            </w:r>
          </w:p>
        </w:tc>
        <w:tc>
          <w:tcPr>
            <w:tcW w:w="1669" w:type="pct"/>
            <w:tcBorders>
              <w:top w:val="single" w:sz="4" w:space="0" w:color="auto"/>
              <w:left w:val="single" w:sz="4" w:space="0" w:color="auto"/>
              <w:bottom w:val="single" w:sz="4" w:space="0" w:color="auto"/>
              <w:right w:val="single" w:sz="4" w:space="0" w:color="auto"/>
            </w:tcBorders>
            <w:vAlign w:val="center"/>
          </w:tcPr>
          <w:p w14:paraId="37BE3D66" w14:textId="77777777" w:rsidR="000228FA" w:rsidRPr="00A411E7" w:rsidRDefault="000228FA" w:rsidP="00FF3977">
            <w:pPr>
              <w:rPr>
                <w:rFonts w:eastAsia="Calibri"/>
              </w:rPr>
            </w:pPr>
            <w:r>
              <w:lastRenderedPageBreak/>
              <w:t>The mean relative density of the test item was D</w:t>
            </w:r>
            <w:r>
              <w:rPr>
                <w:vertAlign w:val="superscript"/>
              </w:rPr>
              <w:t>20</w:t>
            </w:r>
            <w:r>
              <w:rPr>
                <w:vertAlign w:val="subscript"/>
              </w:rPr>
              <w:t>4</w:t>
            </w:r>
            <w:r>
              <w:t xml:space="preserve"> = 1.060 ± 0.001 at 20.0 °C.</w:t>
            </w:r>
          </w:p>
        </w:tc>
        <w:tc>
          <w:tcPr>
            <w:tcW w:w="435" w:type="pct"/>
            <w:tcBorders>
              <w:top w:val="single" w:sz="4" w:space="0" w:color="auto"/>
              <w:left w:val="single" w:sz="4" w:space="0" w:color="auto"/>
              <w:bottom w:val="single" w:sz="4" w:space="0" w:color="auto"/>
              <w:right w:val="single" w:sz="4" w:space="0" w:color="auto"/>
            </w:tcBorders>
            <w:vAlign w:val="center"/>
          </w:tcPr>
          <w:p w14:paraId="18464CDF" w14:textId="77777777" w:rsidR="000228FA" w:rsidRPr="00A411E7" w:rsidRDefault="000228FA" w:rsidP="00FF3977">
            <w:pPr>
              <w:rPr>
                <w:rFonts w:eastAsia="Calibri"/>
              </w:rPr>
            </w:pPr>
            <w:r>
              <w:t xml:space="preserve">Demangel B., 2019, </w:t>
            </w:r>
            <w:r>
              <w:lastRenderedPageBreak/>
              <w:t>Report No 18-901011-035</w:t>
            </w:r>
          </w:p>
        </w:tc>
        <w:tc>
          <w:tcPr>
            <w:tcW w:w="835" w:type="pct"/>
            <w:tcBorders>
              <w:top w:val="single" w:sz="4" w:space="0" w:color="auto"/>
              <w:left w:val="single" w:sz="4" w:space="0" w:color="auto"/>
              <w:bottom w:val="single" w:sz="4" w:space="0" w:color="auto"/>
              <w:right w:val="single" w:sz="4" w:space="0" w:color="auto"/>
            </w:tcBorders>
          </w:tcPr>
          <w:p w14:paraId="5BFFC02E" w14:textId="77777777" w:rsidR="000228FA" w:rsidRDefault="000228FA" w:rsidP="00FF3977">
            <w:r>
              <w:rPr>
                <w:color w:val="000000"/>
              </w:rPr>
              <w:lastRenderedPageBreak/>
              <w:t>Acceptable</w:t>
            </w:r>
          </w:p>
        </w:tc>
      </w:tr>
      <w:tr w:rsidR="000228FA" w14:paraId="04A626F0" w14:textId="77777777" w:rsidTr="00FF3977">
        <w:tc>
          <w:tcPr>
            <w:tcW w:w="1193" w:type="pct"/>
          </w:tcPr>
          <w:p w14:paraId="2F76B1B6"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431" w:type="pct"/>
            <w:vAlign w:val="center"/>
          </w:tcPr>
          <w:p w14:paraId="778C5786" w14:textId="77777777" w:rsidR="000228FA" w:rsidRDefault="000228FA" w:rsidP="00FF3977">
            <w:pPr>
              <w:rPr>
                <w:color w:val="000000"/>
              </w:rPr>
            </w:pPr>
            <w:r>
              <w:t>CIPAC Handbook J - MT 46.3 method (2000)</w:t>
            </w:r>
            <w:r>
              <w:br/>
            </w:r>
            <w:r>
              <w:br/>
            </w:r>
            <w:r>
              <w:br/>
            </w:r>
            <w:r>
              <w:rPr>
                <w:color w:val="000000"/>
              </w:rPr>
              <w:t>Content of AS:</w:t>
            </w:r>
          </w:p>
          <w:p w14:paraId="5E06A9A9" w14:textId="77777777" w:rsidR="000228FA" w:rsidRPr="003E6A10" w:rsidRDefault="000228FA" w:rsidP="00FF3977">
            <w:pPr>
              <w:rPr>
                <w:color w:val="000000"/>
                <w:lang w:val="en-US"/>
              </w:rPr>
            </w:pPr>
            <w:r>
              <w:rPr>
                <w:color w:val="000000"/>
              </w:rPr>
              <w:t xml:space="preserve">Validated method in studies </w:t>
            </w:r>
            <w:r w:rsidRPr="0026219A">
              <w:rPr>
                <w:color w:val="000000"/>
              </w:rPr>
              <w:t>No. 17-901011-001</w:t>
            </w:r>
            <w:r>
              <w:rPr>
                <w:color w:val="000000"/>
              </w:rPr>
              <w:t xml:space="preserve"> and No. 18-901011-038</w:t>
            </w:r>
          </w:p>
          <w:p w14:paraId="40A7AD82" w14:textId="77777777" w:rsidR="000228FA" w:rsidRPr="00A411E7" w:rsidRDefault="000228FA" w:rsidP="00FF3977">
            <w:pPr>
              <w:rPr>
                <w:rFonts w:eastAsia="Calibri"/>
              </w:rPr>
            </w:pPr>
            <w:r>
              <w:br/>
            </w:r>
            <w:r>
              <w:rPr>
                <w:color w:val="FF0000"/>
              </w:rPr>
              <w:br/>
            </w:r>
            <w:r>
              <w:t xml:space="preserve">pH : CIPAC Handbook J - MT 75.3 </w:t>
            </w:r>
            <w:r>
              <w:lastRenderedPageBreak/>
              <w:t>method (2000)</w:t>
            </w:r>
          </w:p>
        </w:tc>
        <w:tc>
          <w:tcPr>
            <w:tcW w:w="437" w:type="pct"/>
            <w:vAlign w:val="center"/>
          </w:tcPr>
          <w:p w14:paraId="7BB82A64" w14:textId="77777777" w:rsidR="000228FA" w:rsidRDefault="000228FA" w:rsidP="00FF3977">
            <w:r>
              <w:lastRenderedPageBreak/>
              <w:t>Batch 5118225</w:t>
            </w:r>
          </w:p>
          <w:p w14:paraId="633F3A2F"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0BA800A8" w14:textId="77777777" w:rsidR="000228FA" w:rsidRDefault="000228FA" w:rsidP="00FF3977">
            <w:r>
              <w:t>Test item characteristics before and after the accelerated storage procedure was: Homogeneous pale yellow limpid liquid with a characteristic odour.</w:t>
            </w:r>
            <w:r>
              <w:br/>
              <w:t xml:space="preserve">Packaging: Transparent HDPE flask. </w:t>
            </w:r>
            <w:r>
              <w:rPr>
                <w:color w:val="000000"/>
              </w:rPr>
              <w:t>no sign of degradation or leak was observed)</w:t>
            </w:r>
            <w:r>
              <w:br/>
              <w:t>The appearance of the test item and the packaging material were considered to be stable after an accelerated storage procedure at 54 °C ± 2 °C for 14 days. No significant change of weight was observed (-0.1%).</w:t>
            </w:r>
          </w:p>
          <w:p w14:paraId="472DEFDE" w14:textId="77777777" w:rsidR="000228FA" w:rsidRDefault="000228FA" w:rsidP="00FF3977">
            <w:pPr>
              <w:rPr>
                <w:color w:val="FF0000"/>
              </w:rPr>
            </w:pPr>
            <w:r>
              <w:rPr>
                <w:color w:val="FF0000"/>
              </w:rPr>
              <w:br/>
            </w:r>
            <w:r>
              <w:rPr>
                <w:b/>
                <w:bCs/>
              </w:rPr>
              <w:t>ANALYTICAL QUANTIFICATION OF THE ACTIVE SUBSTANCE</w:t>
            </w:r>
            <w:r>
              <w:rPr>
                <w:b/>
                <w:bCs/>
                <w:color w:val="FF0000"/>
              </w:rPr>
              <w:br/>
            </w:r>
            <w:r w:rsidRPr="001D704F">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3"/>
              <w:gridCol w:w="1339"/>
              <w:gridCol w:w="1339"/>
            </w:tblGrid>
            <w:tr w:rsidR="000228FA" w14:paraId="02295D8E" w14:textId="77777777" w:rsidTr="00FF3977">
              <w:tc>
                <w:tcPr>
                  <w:tcW w:w="3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7F263" w14:textId="77777777" w:rsidR="000228FA" w:rsidRDefault="000228FA" w:rsidP="00FF3977">
                  <w:pPr>
                    <w:jc w:val="center"/>
                  </w:pPr>
                  <w:r>
                    <w:t>Active substance</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70FA9887" w14:textId="77777777" w:rsidR="000228FA" w:rsidRDefault="000228FA" w:rsidP="00FF3977">
                  <w:pPr>
                    <w:jc w:val="center"/>
                  </w:pPr>
                  <w:r>
                    <w:t>Before the accelerated storage procedure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8BA67B5" w14:textId="77777777" w:rsidR="000228FA" w:rsidRDefault="000228FA" w:rsidP="00FF3977">
                  <w:pPr>
                    <w:jc w:val="center"/>
                  </w:pPr>
                  <w:r>
                    <w:t>After the accelerated storage procedure</w:t>
                  </w:r>
                </w:p>
              </w:tc>
            </w:tr>
            <w:tr w:rsidR="000228FA" w14:paraId="55F9AFB3" w14:textId="77777777" w:rsidTr="00FF3977">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6B90D" w14:textId="77777777" w:rsidR="000228FA" w:rsidRDefault="000228FA" w:rsidP="00FF3977">
                  <w:r>
                    <w:t>Lactic acid</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1F25DE80" w14:textId="77777777" w:rsidR="000228FA" w:rsidRDefault="000228FA" w:rsidP="00FF3977">
                  <w:r>
                    <w:t>Content (% w/w)</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0AD59682" w14:textId="77777777" w:rsidR="000228FA" w:rsidRDefault="000228FA" w:rsidP="00FF3977">
                  <w:pPr>
                    <w:jc w:val="center"/>
                  </w:pPr>
                  <w:r>
                    <w:t>12.0</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EFB9E6E" w14:textId="77777777" w:rsidR="000228FA" w:rsidRDefault="000228FA" w:rsidP="00FF3977">
                  <w:pPr>
                    <w:jc w:val="center"/>
                  </w:pPr>
                  <w:r>
                    <w:t>12.0</w:t>
                  </w:r>
                </w:p>
              </w:tc>
            </w:tr>
            <w:tr w:rsidR="000228FA" w14:paraId="4A3C2AD3"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63DFE" w14:textId="77777777" w:rsidR="000228FA" w:rsidRDefault="000228FA" w:rsidP="00FF3977"/>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44151C8E" w14:textId="77777777" w:rsidR="000228FA" w:rsidRDefault="000228FA" w:rsidP="00FF3977">
                  <w:r>
                    <w:t>Deviation (%)</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78F540E9" w14:textId="77777777" w:rsidR="000228FA" w:rsidRDefault="000228FA" w:rsidP="00FF3977">
                  <w:pPr>
                    <w:jc w:val="center"/>
                  </w:pPr>
                  <w:r>
                    <w:t>From the nominal value</w:t>
                  </w:r>
                </w:p>
                <w:p w14:paraId="73C815DD" w14:textId="77777777" w:rsidR="000228FA" w:rsidRDefault="000228FA" w:rsidP="00FF3977">
                  <w:pPr>
                    <w:jc w:val="center"/>
                  </w:pPr>
                  <w:r>
                    <w:t>0.0</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DFBBCCA" w14:textId="77777777" w:rsidR="000228FA" w:rsidRDefault="000228FA" w:rsidP="00FF3977">
                  <w:pPr>
                    <w:jc w:val="center"/>
                  </w:pPr>
                  <w:r>
                    <w:t>From the T = 0 value</w:t>
                  </w:r>
                </w:p>
                <w:p w14:paraId="1D8674D1" w14:textId="77777777" w:rsidR="000228FA" w:rsidRDefault="000228FA" w:rsidP="00FF3977">
                  <w:pPr>
                    <w:jc w:val="center"/>
                  </w:pPr>
                  <w:r>
                    <w:t>0.0</w:t>
                  </w:r>
                </w:p>
              </w:tc>
            </w:tr>
          </w:tbl>
          <w:p w14:paraId="0143C3A3" w14:textId="77777777" w:rsidR="000228FA" w:rsidRDefault="000228FA" w:rsidP="00FF3977">
            <w:r>
              <w:rPr>
                <w:color w:val="FF0000"/>
              </w:rPr>
              <w:lastRenderedPageBreak/>
              <w:br/>
            </w:r>
            <w:r>
              <w:rPr>
                <w:color w:val="FF0000"/>
              </w:rPr>
              <w:br/>
            </w:r>
            <w:r>
              <w:rPr>
                <w:b/>
                <w:bCs/>
              </w:rPr>
              <w:t>DETERMINATION OF pH VALUES</w:t>
            </w:r>
            <w:r>
              <w:br/>
              <w:t>Before the accelerated storage procedure, the mean pH value of the pure test item was: 1.74 at 19.1 °C after 1 min and 1.73 at 19.5 °C after 2 min. After the accelerated storage procedure, the mean pH value of the pure test item was: 1.73 at 20.0 °C after 1 min and 1.72 at 20.0 °C after 2 min.</w:t>
            </w:r>
          </w:p>
          <w:p w14:paraId="1FB4F5AB" w14:textId="77777777" w:rsidR="000228FA" w:rsidRDefault="000228FA" w:rsidP="00FF3977"/>
          <w:p w14:paraId="7C417676" w14:textId="77777777" w:rsidR="000228FA" w:rsidRDefault="000228FA" w:rsidP="00FF3977">
            <w:pPr>
              <w:rPr>
                <w:b/>
                <w:bCs/>
              </w:rPr>
            </w:pPr>
            <w:r w:rsidRPr="00841966">
              <w:rPr>
                <w:b/>
                <w:bCs/>
              </w:rPr>
              <w:t>DILUTION STABILITY OF AQUEOUS SOLUTIONS</w:t>
            </w:r>
          </w:p>
          <w:p w14:paraId="766A944C" w14:textId="77777777" w:rsidR="000228FA" w:rsidRPr="00A411E7" w:rsidRDefault="000228FA" w:rsidP="00FF3977">
            <w:pPr>
              <w:rPr>
                <w:rFonts w:eastAsia="Calibri"/>
              </w:rPr>
            </w:pPr>
            <w:r>
              <w:rPr>
                <w:color w:val="000000"/>
              </w:rPr>
              <w:t>Before and after the accelerated storage procedure, two different phases were observed on the test item solution at 15% w/w in standard water D after standing for 24 h at 30 °C ± 2 °C.</w:t>
            </w:r>
            <w:r>
              <w:br/>
            </w:r>
            <w:r>
              <w:br/>
              <w:t xml:space="preserve">These results can be extrapolated to the other packagings in HDPE, PET and COEXTRUDE (HDPE/PA and HDPE/EVAL) according to </w:t>
            </w:r>
            <w:r w:rsidRPr="001D704F">
              <w:t>ECHA Guidance Vol. I, Parts A+B+C</w:t>
            </w:r>
            <w:r>
              <w:t xml:space="preserve"> </w:t>
            </w:r>
            <w:r>
              <w:fldChar w:fldCharType="begin"/>
            </w:r>
            <w:r>
              <w:instrText xml:space="preserve"> ADDIN ZOTERO_ITEM CSL_CITATION {"citationID":"1HZHKuIg","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fldChar w:fldCharType="separate"/>
            </w:r>
            <w:r w:rsidRPr="005D0005">
              <w:t>(3)</w:t>
            </w:r>
            <w:r>
              <w:fldChar w:fldCharType="end"/>
            </w:r>
            <w:r>
              <w:rPr>
                <w:color w:val="000000"/>
              </w:rPr>
              <w:t>, 3.6.4.2 Point 3.4.2 Table 7.</w:t>
            </w:r>
          </w:p>
        </w:tc>
        <w:tc>
          <w:tcPr>
            <w:tcW w:w="435" w:type="pct"/>
            <w:vAlign w:val="center"/>
          </w:tcPr>
          <w:p w14:paraId="71C820C4" w14:textId="77777777" w:rsidR="000228FA" w:rsidRPr="00A411E7" w:rsidRDefault="000228FA" w:rsidP="00FF3977">
            <w:pPr>
              <w:rPr>
                <w:rFonts w:eastAsia="Calibri"/>
              </w:rPr>
            </w:pPr>
            <w:r>
              <w:lastRenderedPageBreak/>
              <w:t>Demangel B. and Ricau H., 2019, Report No 18-901011-036</w:t>
            </w:r>
          </w:p>
        </w:tc>
        <w:tc>
          <w:tcPr>
            <w:tcW w:w="835" w:type="pct"/>
          </w:tcPr>
          <w:p w14:paraId="259DF478" w14:textId="77777777" w:rsidR="000228FA" w:rsidRDefault="000228FA" w:rsidP="00FF3977">
            <w:pPr>
              <w:rPr>
                <w:color w:val="000000"/>
              </w:rPr>
            </w:pPr>
            <w:r>
              <w:rPr>
                <w:color w:val="000000"/>
              </w:rPr>
              <w:t xml:space="preserve">Acceptable except for the dilution stability. </w:t>
            </w:r>
          </w:p>
          <w:p w14:paraId="37B85D69" w14:textId="77777777" w:rsidR="000228FA" w:rsidRDefault="000228FA" w:rsidP="00FF3977">
            <w:pPr>
              <w:rPr>
                <w:color w:val="000000"/>
              </w:rPr>
            </w:pPr>
          </w:p>
          <w:p w14:paraId="36E4595D" w14:textId="77777777" w:rsidR="000228FA" w:rsidRDefault="000228FA" w:rsidP="00FF3977">
            <w:pPr>
              <w:rPr>
                <w:color w:val="000000"/>
              </w:rPr>
            </w:pPr>
            <w:r>
              <w:rPr>
                <w:color w:val="000000"/>
              </w:rPr>
              <w:t xml:space="preserve">The solution formed after dilution is not stable. </w:t>
            </w:r>
          </w:p>
          <w:p w14:paraId="714524EA" w14:textId="56EA3EF2" w:rsidR="000228FA" w:rsidRDefault="000228FA" w:rsidP="00FF3977">
            <w:r>
              <w:rPr>
                <w:color w:val="000000"/>
              </w:rPr>
              <w:t xml:space="preserve">The label of products of META SPC 7 should mention: </w:t>
            </w:r>
            <w:r w:rsidRPr="00FD6F0A">
              <w:rPr>
                <w:color w:val="000000"/>
              </w:rPr>
              <w:t xml:space="preserve">The product should be used </w:t>
            </w:r>
            <w:r w:rsidR="00EB1131">
              <w:rPr>
                <w:rFonts w:eastAsia="Calibri"/>
              </w:rPr>
              <w:t>within 30 minutes</w:t>
            </w:r>
            <w:r w:rsidRPr="00FD6F0A">
              <w:rPr>
                <w:color w:val="000000"/>
              </w:rPr>
              <w:t xml:space="preserve"> after dilution.</w:t>
            </w:r>
          </w:p>
        </w:tc>
      </w:tr>
      <w:tr w:rsidR="000228FA" w14:paraId="5AF84065" w14:textId="77777777" w:rsidTr="00FF3977">
        <w:tc>
          <w:tcPr>
            <w:tcW w:w="1193" w:type="pct"/>
          </w:tcPr>
          <w:p w14:paraId="75307776"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431" w:type="pct"/>
            <w:vAlign w:val="center"/>
          </w:tcPr>
          <w:p w14:paraId="5F63E57F" w14:textId="77777777" w:rsidR="000228FA" w:rsidRPr="00A12904" w:rsidRDefault="000228FA" w:rsidP="00FF3977">
            <w:pPr>
              <w:rPr>
                <w:color w:val="000000"/>
              </w:rPr>
            </w:pPr>
            <w:r>
              <w:rPr>
                <w:color w:val="000000"/>
              </w:rPr>
              <w:t> </w:t>
            </w:r>
            <w:r w:rsidRPr="00A12904">
              <w:rPr>
                <w:color w:val="000000"/>
              </w:rPr>
              <w:t>Technical</w:t>
            </w:r>
          </w:p>
          <w:p w14:paraId="16682E41" w14:textId="77777777" w:rsidR="000228FA" w:rsidRPr="00A411E7" w:rsidRDefault="000228FA" w:rsidP="00FF3977">
            <w:pPr>
              <w:rPr>
                <w:rFonts w:eastAsia="Calibri"/>
              </w:rPr>
            </w:pPr>
            <w:r w:rsidRPr="00A12904">
              <w:rPr>
                <w:color w:val="000000"/>
              </w:rPr>
              <w:t>Monograph No. 17</w:t>
            </w:r>
          </w:p>
        </w:tc>
        <w:tc>
          <w:tcPr>
            <w:tcW w:w="437" w:type="pct"/>
            <w:vAlign w:val="center"/>
          </w:tcPr>
          <w:p w14:paraId="35C3236B" w14:textId="77777777" w:rsidR="000228FA" w:rsidRPr="00A411E7" w:rsidRDefault="000228FA" w:rsidP="00FF3977">
            <w:pPr>
              <w:rPr>
                <w:rFonts w:eastAsia="Calibri"/>
              </w:rPr>
            </w:pPr>
            <w:r>
              <w:rPr>
                <w:color w:val="000000"/>
              </w:rPr>
              <w:t xml:space="preserve"> Test item: </w:t>
            </w:r>
            <w:r w:rsidRPr="00EF30FC">
              <w:rPr>
                <w:color w:val="000000"/>
              </w:rPr>
              <w:t>218291-P3</w:t>
            </w:r>
          </w:p>
        </w:tc>
        <w:tc>
          <w:tcPr>
            <w:tcW w:w="1669" w:type="pct"/>
            <w:vAlign w:val="center"/>
          </w:tcPr>
          <w:p w14:paraId="1A32955E"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35" w:type="pct"/>
            <w:vAlign w:val="center"/>
          </w:tcPr>
          <w:p w14:paraId="2198F44B" w14:textId="77777777" w:rsidR="000228FA" w:rsidRPr="00A411E7" w:rsidRDefault="000228FA" w:rsidP="00FF3977">
            <w:pPr>
              <w:rPr>
                <w:rFonts w:eastAsia="Calibri"/>
              </w:rPr>
            </w:pPr>
            <w:r>
              <w:rPr>
                <w:color w:val="000000"/>
              </w:rPr>
              <w:t> </w:t>
            </w:r>
            <w:r>
              <w:t>Demangel B., 2019, Report No 18-901011-037</w:t>
            </w:r>
          </w:p>
        </w:tc>
        <w:tc>
          <w:tcPr>
            <w:tcW w:w="835" w:type="pct"/>
          </w:tcPr>
          <w:p w14:paraId="03E09D1E" w14:textId="77777777" w:rsidR="000228FA" w:rsidRDefault="000228FA" w:rsidP="00FF3977">
            <w:pPr>
              <w:rPr>
                <w:color w:val="000000"/>
              </w:rPr>
            </w:pPr>
            <w:r>
              <w:rPr>
                <w:color w:val="000000"/>
              </w:rPr>
              <w:t>study required in post authorisation</w:t>
            </w:r>
          </w:p>
        </w:tc>
      </w:tr>
      <w:tr w:rsidR="000228FA" w14:paraId="3A414899" w14:textId="77777777" w:rsidTr="00FF3977">
        <w:tc>
          <w:tcPr>
            <w:tcW w:w="1193" w:type="pct"/>
          </w:tcPr>
          <w:p w14:paraId="00CB3AE3"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low temperature stability test for liquids</w:t>
            </w:r>
          </w:p>
        </w:tc>
        <w:tc>
          <w:tcPr>
            <w:tcW w:w="431" w:type="pct"/>
            <w:vAlign w:val="center"/>
          </w:tcPr>
          <w:p w14:paraId="0F9EC1ED" w14:textId="77777777" w:rsidR="000228FA" w:rsidRPr="00A411E7" w:rsidRDefault="000228FA" w:rsidP="00FF3977">
            <w:pPr>
              <w:rPr>
                <w:rFonts w:eastAsia="Calibri"/>
              </w:rPr>
            </w:pPr>
            <w:r>
              <w:t>CIPAC Handbook J - MT 39.3 method (2000)</w:t>
            </w:r>
          </w:p>
        </w:tc>
        <w:tc>
          <w:tcPr>
            <w:tcW w:w="437" w:type="pct"/>
            <w:vAlign w:val="center"/>
          </w:tcPr>
          <w:p w14:paraId="5882620F" w14:textId="77777777" w:rsidR="000228FA" w:rsidRDefault="000228FA" w:rsidP="00FF3977">
            <w:r>
              <w:t>Batch 5118225</w:t>
            </w:r>
          </w:p>
          <w:p w14:paraId="1CF8D14D"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10822BBA" w14:textId="77777777" w:rsidR="000228FA" w:rsidRPr="00A411E7" w:rsidRDefault="000228FA" w:rsidP="00FF3977">
            <w:pPr>
              <w:rPr>
                <w:rFonts w:eastAsia="Calibri"/>
              </w:rPr>
            </w:pPr>
            <w:r>
              <w:t>At the start of the test, the test item was a homogeneous pale yellow limpid liquid. The aspect of the test item was considered to be stable after a low temperature stability for 7 days at 0 ± 2 °C, no change was observed in the test item aspect.</w:t>
            </w:r>
          </w:p>
        </w:tc>
        <w:tc>
          <w:tcPr>
            <w:tcW w:w="435" w:type="pct"/>
            <w:vAlign w:val="center"/>
          </w:tcPr>
          <w:p w14:paraId="6CD42D40" w14:textId="77777777" w:rsidR="000228FA" w:rsidRPr="00A411E7" w:rsidRDefault="000228FA" w:rsidP="00FF3977">
            <w:pPr>
              <w:rPr>
                <w:rFonts w:eastAsia="Calibri"/>
              </w:rPr>
            </w:pPr>
            <w:r>
              <w:t>Demangel B., 2019, Report No 18-901011-035</w:t>
            </w:r>
          </w:p>
        </w:tc>
        <w:tc>
          <w:tcPr>
            <w:tcW w:w="835" w:type="pct"/>
          </w:tcPr>
          <w:p w14:paraId="22D8D04F" w14:textId="77777777" w:rsidR="000228FA" w:rsidRDefault="000228FA" w:rsidP="00FF3977">
            <w:pPr>
              <w:rPr>
                <w:color w:val="000000"/>
              </w:rPr>
            </w:pPr>
            <w:r>
              <w:rPr>
                <w:color w:val="000000"/>
              </w:rPr>
              <w:t>Acceptable</w:t>
            </w:r>
          </w:p>
          <w:p w14:paraId="72BC3B71" w14:textId="77777777" w:rsidR="000228FA" w:rsidRDefault="000228FA" w:rsidP="00FF3977">
            <w:r>
              <w:rPr>
                <w:color w:val="000000"/>
              </w:rPr>
              <w:t>The product is stable after 7 days at 0°C.</w:t>
            </w:r>
          </w:p>
        </w:tc>
      </w:tr>
      <w:tr w:rsidR="000228FA" w14:paraId="1AB2ABD6" w14:textId="77777777" w:rsidTr="00FF3977">
        <w:tc>
          <w:tcPr>
            <w:tcW w:w="1193" w:type="pct"/>
          </w:tcPr>
          <w:p w14:paraId="758AFACF"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431" w:type="pct"/>
            <w:vAlign w:val="center"/>
          </w:tcPr>
          <w:p w14:paraId="6FC4C03F" w14:textId="77777777" w:rsidR="000228FA" w:rsidRPr="00A411E7" w:rsidRDefault="000228FA" w:rsidP="00FF3977">
            <w:pPr>
              <w:spacing w:line="260" w:lineRule="atLeast"/>
              <w:rPr>
                <w:rFonts w:eastAsia="Calibri"/>
                <w:lang w:eastAsia="en-US"/>
              </w:rPr>
            </w:pPr>
            <w:r>
              <w:rPr>
                <w:color w:val="000000"/>
              </w:rPr>
              <w:t xml:space="preserve"> -</w:t>
            </w:r>
          </w:p>
        </w:tc>
        <w:tc>
          <w:tcPr>
            <w:tcW w:w="437" w:type="pct"/>
            <w:vAlign w:val="center"/>
          </w:tcPr>
          <w:p w14:paraId="6A102433" w14:textId="77777777" w:rsidR="000228FA" w:rsidRPr="00A411E7" w:rsidRDefault="000228FA" w:rsidP="00FF3977">
            <w:pPr>
              <w:spacing w:line="260" w:lineRule="atLeast"/>
              <w:rPr>
                <w:rFonts w:eastAsia="Calibri"/>
                <w:lang w:eastAsia="en-US"/>
              </w:rPr>
            </w:pPr>
            <w:r>
              <w:rPr>
                <w:color w:val="000000"/>
              </w:rPr>
              <w:t xml:space="preserve"> -</w:t>
            </w:r>
          </w:p>
        </w:tc>
        <w:tc>
          <w:tcPr>
            <w:tcW w:w="1669" w:type="pct"/>
            <w:vAlign w:val="center"/>
          </w:tcPr>
          <w:p w14:paraId="0849A75A" w14:textId="77777777" w:rsidR="000228FA" w:rsidRPr="00A411E7" w:rsidRDefault="000228FA" w:rsidP="00FF3977">
            <w:pPr>
              <w:spacing w:line="260" w:lineRule="atLeast"/>
              <w:rPr>
                <w:rFonts w:eastAsia="Calibri"/>
                <w:lang w:eastAsia="en-US"/>
              </w:rPr>
            </w:pPr>
            <w:r>
              <w:t>The biocidal product is packaged in opaque packaging (250 ml, 1 l, 5 l, 120 l, 200 l, 220 l) and transparent packaging (1 l, 5 l, 10 l, 20 l). The test item is considered to be stable after 14 days at 54 ± 2°C (please refer to above)</w:t>
            </w:r>
          </w:p>
        </w:tc>
        <w:tc>
          <w:tcPr>
            <w:tcW w:w="435" w:type="pct"/>
            <w:vAlign w:val="center"/>
          </w:tcPr>
          <w:p w14:paraId="0CA5CD9D" w14:textId="77777777" w:rsidR="000228FA" w:rsidRPr="00A411E7" w:rsidRDefault="000228FA" w:rsidP="00FF3977">
            <w:pPr>
              <w:spacing w:line="260" w:lineRule="atLeast"/>
              <w:rPr>
                <w:rFonts w:eastAsia="Calibri"/>
                <w:lang w:eastAsia="en-US"/>
              </w:rPr>
            </w:pPr>
            <w:r>
              <w:rPr>
                <w:color w:val="000000"/>
              </w:rPr>
              <w:t xml:space="preserve"> -</w:t>
            </w:r>
          </w:p>
        </w:tc>
        <w:tc>
          <w:tcPr>
            <w:tcW w:w="835" w:type="pct"/>
          </w:tcPr>
          <w:p w14:paraId="4FCDB010" w14:textId="77777777" w:rsidR="000228FA" w:rsidRDefault="000228FA" w:rsidP="00FF3977">
            <w:pPr>
              <w:spacing w:line="260" w:lineRule="atLeast"/>
              <w:rPr>
                <w:color w:val="000000"/>
              </w:rPr>
            </w:pPr>
            <w:r>
              <w:rPr>
                <w:color w:val="000000"/>
              </w:rPr>
              <w:t>Acceptable</w:t>
            </w:r>
          </w:p>
          <w:p w14:paraId="20E84037" w14:textId="77777777" w:rsidR="000228FA" w:rsidRDefault="000228FA" w:rsidP="00FF3977">
            <w:pPr>
              <w:spacing w:line="260" w:lineRule="atLeast"/>
              <w:rPr>
                <w:color w:val="000000"/>
              </w:rPr>
            </w:pPr>
          </w:p>
          <w:p w14:paraId="08F42EC3" w14:textId="77777777" w:rsidR="000228FA" w:rsidRDefault="000228FA" w:rsidP="00FF3977">
            <w:pPr>
              <w:spacing w:line="260" w:lineRule="atLeast"/>
              <w:rPr>
                <w:color w:val="000000"/>
              </w:rPr>
            </w:pPr>
            <w:r w:rsidRPr="00D50631">
              <w:rPr>
                <w:color w:val="000000"/>
              </w:rPr>
              <w:t xml:space="preserve">The active substance, lactic acid, is not light sensitive.  </w:t>
            </w:r>
          </w:p>
        </w:tc>
      </w:tr>
      <w:tr w:rsidR="000228FA" w14:paraId="08F5464A" w14:textId="77777777" w:rsidTr="00FF3977">
        <w:tc>
          <w:tcPr>
            <w:tcW w:w="1193" w:type="pct"/>
          </w:tcPr>
          <w:p w14:paraId="5376DEAC"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431" w:type="pct"/>
            <w:vAlign w:val="center"/>
          </w:tcPr>
          <w:p w14:paraId="12495397" w14:textId="77777777" w:rsidR="000228FA" w:rsidRPr="00A411E7" w:rsidRDefault="000228FA" w:rsidP="00FF3977">
            <w:pPr>
              <w:rPr>
                <w:rFonts w:eastAsia="Calibri"/>
              </w:rPr>
            </w:pPr>
            <w:r>
              <w:rPr>
                <w:color w:val="000000"/>
              </w:rPr>
              <w:t xml:space="preserve"> -</w:t>
            </w:r>
          </w:p>
        </w:tc>
        <w:tc>
          <w:tcPr>
            <w:tcW w:w="437" w:type="pct"/>
            <w:vAlign w:val="center"/>
          </w:tcPr>
          <w:p w14:paraId="221878F0" w14:textId="77777777" w:rsidR="000228FA" w:rsidRPr="00A411E7" w:rsidRDefault="000228FA" w:rsidP="00FF3977">
            <w:pPr>
              <w:rPr>
                <w:rFonts w:eastAsia="Calibri"/>
              </w:rPr>
            </w:pPr>
            <w:r>
              <w:rPr>
                <w:color w:val="000000"/>
              </w:rPr>
              <w:t xml:space="preserve"> -</w:t>
            </w:r>
          </w:p>
        </w:tc>
        <w:tc>
          <w:tcPr>
            <w:tcW w:w="1669" w:type="pct"/>
            <w:vAlign w:val="center"/>
          </w:tcPr>
          <w:p w14:paraId="1FE441B1" w14:textId="77777777" w:rsidR="000228FA" w:rsidRPr="00A411E7" w:rsidRDefault="000228FA" w:rsidP="00FF3977">
            <w:pPr>
              <w:rPr>
                <w:rFonts w:eastAsia="Calibri"/>
              </w:rPr>
            </w:pPr>
            <w:r>
              <w:rPr>
                <w:color w:val="000000"/>
              </w:rPr>
              <w:t xml:space="preserve">With its cap, the packagings are leak-tight. The test item is considered to be stable after 14 days at 54 ± 2°C (please refer above). </w:t>
            </w:r>
          </w:p>
        </w:tc>
        <w:tc>
          <w:tcPr>
            <w:tcW w:w="435" w:type="pct"/>
            <w:vAlign w:val="center"/>
          </w:tcPr>
          <w:p w14:paraId="12B8E71D" w14:textId="77777777" w:rsidR="000228FA" w:rsidRPr="00A411E7" w:rsidRDefault="000228FA" w:rsidP="00FF3977">
            <w:pPr>
              <w:rPr>
                <w:rFonts w:eastAsia="Calibri"/>
              </w:rPr>
            </w:pPr>
            <w:r>
              <w:rPr>
                <w:color w:val="000000"/>
              </w:rPr>
              <w:t xml:space="preserve"> -</w:t>
            </w:r>
          </w:p>
        </w:tc>
        <w:tc>
          <w:tcPr>
            <w:tcW w:w="835" w:type="pct"/>
          </w:tcPr>
          <w:p w14:paraId="5A8705C5" w14:textId="77777777" w:rsidR="000228FA" w:rsidRDefault="000228FA" w:rsidP="00FF3977">
            <w:pPr>
              <w:rPr>
                <w:color w:val="000000"/>
              </w:rPr>
            </w:pPr>
            <w:r>
              <w:rPr>
                <w:color w:val="000000"/>
              </w:rPr>
              <w:t>Acceptable</w:t>
            </w:r>
          </w:p>
        </w:tc>
      </w:tr>
      <w:tr w:rsidR="000228FA" w14:paraId="39DE7B7C" w14:textId="77777777" w:rsidTr="00FF3977">
        <w:tc>
          <w:tcPr>
            <w:tcW w:w="1193" w:type="pct"/>
          </w:tcPr>
          <w:p w14:paraId="449631B1"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431" w:type="pct"/>
            <w:vAlign w:val="center"/>
          </w:tcPr>
          <w:p w14:paraId="50FD1E9A" w14:textId="77777777" w:rsidR="000228FA" w:rsidRPr="00A411E7" w:rsidRDefault="000228FA" w:rsidP="00FF3977">
            <w:pPr>
              <w:rPr>
                <w:rFonts w:eastAsia="Calibri"/>
              </w:rPr>
            </w:pPr>
            <w:r>
              <w:rPr>
                <w:color w:val="000000"/>
              </w:rPr>
              <w:t xml:space="preserve"> -</w:t>
            </w:r>
          </w:p>
        </w:tc>
        <w:tc>
          <w:tcPr>
            <w:tcW w:w="437" w:type="pct"/>
            <w:vAlign w:val="center"/>
          </w:tcPr>
          <w:p w14:paraId="198BE8D8" w14:textId="77777777" w:rsidR="000228FA" w:rsidRPr="00A411E7" w:rsidRDefault="000228FA" w:rsidP="00FF3977">
            <w:pPr>
              <w:rPr>
                <w:rFonts w:eastAsia="Calibri"/>
              </w:rPr>
            </w:pPr>
            <w:r>
              <w:rPr>
                <w:color w:val="000000"/>
              </w:rPr>
              <w:t xml:space="preserve"> -</w:t>
            </w:r>
          </w:p>
        </w:tc>
        <w:tc>
          <w:tcPr>
            <w:tcW w:w="1669" w:type="pct"/>
            <w:vAlign w:val="center"/>
          </w:tcPr>
          <w:p w14:paraId="2770535A"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stable after 14 days at 54 ± 2°C (please refer above). </w:t>
            </w:r>
          </w:p>
        </w:tc>
        <w:tc>
          <w:tcPr>
            <w:tcW w:w="435" w:type="pct"/>
            <w:vAlign w:val="center"/>
          </w:tcPr>
          <w:p w14:paraId="1B3A75F8" w14:textId="77777777" w:rsidR="000228FA" w:rsidRPr="00A411E7" w:rsidRDefault="000228FA" w:rsidP="00FF3977">
            <w:pPr>
              <w:rPr>
                <w:rFonts w:eastAsia="Calibri"/>
              </w:rPr>
            </w:pPr>
            <w:r>
              <w:rPr>
                <w:color w:val="000000"/>
              </w:rPr>
              <w:t xml:space="preserve"> -</w:t>
            </w:r>
          </w:p>
        </w:tc>
        <w:tc>
          <w:tcPr>
            <w:tcW w:w="835" w:type="pct"/>
          </w:tcPr>
          <w:p w14:paraId="2CCC6F81" w14:textId="77777777" w:rsidR="000228FA" w:rsidRDefault="000228FA" w:rsidP="00FF3977">
            <w:pPr>
              <w:rPr>
                <w:color w:val="000000"/>
              </w:rPr>
            </w:pPr>
            <w:r>
              <w:rPr>
                <w:color w:val="000000"/>
              </w:rPr>
              <w:t>Acceptable</w:t>
            </w:r>
          </w:p>
        </w:tc>
      </w:tr>
      <w:tr w:rsidR="000228FA" w14:paraId="1B224C8E" w14:textId="77777777" w:rsidTr="00FF3977">
        <w:tc>
          <w:tcPr>
            <w:tcW w:w="1193" w:type="pct"/>
          </w:tcPr>
          <w:p w14:paraId="273412CC" w14:textId="77777777" w:rsidR="000228FA" w:rsidRPr="00A411E7" w:rsidRDefault="000228FA" w:rsidP="00FF3977">
            <w:pPr>
              <w:rPr>
                <w:rFonts w:eastAsia="Calibri"/>
              </w:rPr>
            </w:pPr>
            <w:r w:rsidRPr="00A411E7">
              <w:rPr>
                <w:rFonts w:eastAsia="Calibri"/>
              </w:rPr>
              <w:t>Wettability</w:t>
            </w:r>
          </w:p>
        </w:tc>
        <w:tc>
          <w:tcPr>
            <w:tcW w:w="431" w:type="pct"/>
            <w:vAlign w:val="center"/>
          </w:tcPr>
          <w:p w14:paraId="13C1F248" w14:textId="77777777" w:rsidR="000228FA" w:rsidRPr="00A411E7" w:rsidRDefault="000228FA" w:rsidP="00FF3977">
            <w:pPr>
              <w:rPr>
                <w:rFonts w:eastAsia="Calibri"/>
              </w:rPr>
            </w:pPr>
            <w:r>
              <w:rPr>
                <w:color w:val="000000"/>
              </w:rPr>
              <w:t xml:space="preserve"> -</w:t>
            </w:r>
          </w:p>
        </w:tc>
        <w:tc>
          <w:tcPr>
            <w:tcW w:w="437" w:type="pct"/>
            <w:vAlign w:val="center"/>
          </w:tcPr>
          <w:p w14:paraId="1278634A" w14:textId="77777777" w:rsidR="000228FA" w:rsidRPr="00A411E7" w:rsidRDefault="000228FA" w:rsidP="00FF3977">
            <w:pPr>
              <w:rPr>
                <w:rFonts w:eastAsia="Calibri"/>
              </w:rPr>
            </w:pPr>
            <w:r>
              <w:rPr>
                <w:color w:val="000000"/>
              </w:rPr>
              <w:t xml:space="preserve"> -</w:t>
            </w:r>
          </w:p>
        </w:tc>
        <w:tc>
          <w:tcPr>
            <w:tcW w:w="1669" w:type="pct"/>
            <w:vAlign w:val="center"/>
          </w:tcPr>
          <w:p w14:paraId="2F85CB07" w14:textId="77777777" w:rsidR="000228FA" w:rsidRPr="00A411E7" w:rsidRDefault="000228FA" w:rsidP="00FF3977">
            <w:pPr>
              <w:rPr>
                <w:rFonts w:eastAsia="Calibri"/>
              </w:rPr>
            </w:pPr>
            <w:r>
              <w:rPr>
                <w:color w:val="000000"/>
              </w:rPr>
              <w:t>Not required as the product is a soluble concentrate (SL).</w:t>
            </w:r>
          </w:p>
        </w:tc>
        <w:tc>
          <w:tcPr>
            <w:tcW w:w="435" w:type="pct"/>
            <w:vAlign w:val="center"/>
          </w:tcPr>
          <w:p w14:paraId="3ACA8769" w14:textId="77777777" w:rsidR="000228FA" w:rsidRPr="00A411E7" w:rsidRDefault="000228FA" w:rsidP="00FF3977">
            <w:pPr>
              <w:rPr>
                <w:rFonts w:eastAsia="Calibri"/>
              </w:rPr>
            </w:pPr>
            <w:r>
              <w:rPr>
                <w:color w:val="000000"/>
              </w:rPr>
              <w:t xml:space="preserve"> -</w:t>
            </w:r>
          </w:p>
        </w:tc>
        <w:tc>
          <w:tcPr>
            <w:tcW w:w="835" w:type="pct"/>
          </w:tcPr>
          <w:p w14:paraId="06B9A602" w14:textId="77777777" w:rsidR="000228FA" w:rsidRDefault="000228FA" w:rsidP="00FF3977">
            <w:pPr>
              <w:rPr>
                <w:color w:val="000000"/>
              </w:rPr>
            </w:pPr>
            <w:r>
              <w:rPr>
                <w:color w:val="000000"/>
              </w:rPr>
              <w:t>Not relevant for a SL formulation.</w:t>
            </w:r>
          </w:p>
        </w:tc>
      </w:tr>
      <w:tr w:rsidR="000228FA" w14:paraId="2489C75D" w14:textId="77777777" w:rsidTr="00FF3977">
        <w:tc>
          <w:tcPr>
            <w:tcW w:w="1193" w:type="pct"/>
          </w:tcPr>
          <w:p w14:paraId="0DDFB569" w14:textId="77777777" w:rsidR="000228FA" w:rsidRPr="00A411E7" w:rsidRDefault="000228FA" w:rsidP="00FF3977">
            <w:pPr>
              <w:rPr>
                <w:rFonts w:eastAsia="Calibri"/>
              </w:rPr>
            </w:pPr>
            <w:r w:rsidRPr="00A411E7">
              <w:rPr>
                <w:rFonts w:eastAsia="Calibri"/>
              </w:rPr>
              <w:t>Suspensibility, spontaneity and dispersion stability</w:t>
            </w:r>
          </w:p>
        </w:tc>
        <w:tc>
          <w:tcPr>
            <w:tcW w:w="431" w:type="pct"/>
            <w:vAlign w:val="center"/>
          </w:tcPr>
          <w:p w14:paraId="5A3F3E1B" w14:textId="77777777" w:rsidR="000228FA" w:rsidRPr="00A411E7" w:rsidRDefault="000228FA" w:rsidP="00FF3977">
            <w:pPr>
              <w:rPr>
                <w:rFonts w:eastAsia="Calibri"/>
              </w:rPr>
            </w:pPr>
            <w:r>
              <w:rPr>
                <w:color w:val="000000"/>
              </w:rPr>
              <w:t xml:space="preserve"> -</w:t>
            </w:r>
          </w:p>
        </w:tc>
        <w:tc>
          <w:tcPr>
            <w:tcW w:w="437" w:type="pct"/>
            <w:vAlign w:val="center"/>
          </w:tcPr>
          <w:p w14:paraId="473E7E28" w14:textId="77777777" w:rsidR="000228FA" w:rsidRPr="00A411E7" w:rsidRDefault="000228FA" w:rsidP="00FF3977">
            <w:pPr>
              <w:rPr>
                <w:rFonts w:eastAsia="Calibri"/>
              </w:rPr>
            </w:pPr>
            <w:r>
              <w:rPr>
                <w:color w:val="000000"/>
              </w:rPr>
              <w:t xml:space="preserve"> -</w:t>
            </w:r>
          </w:p>
        </w:tc>
        <w:tc>
          <w:tcPr>
            <w:tcW w:w="1669" w:type="pct"/>
            <w:vAlign w:val="center"/>
          </w:tcPr>
          <w:p w14:paraId="437A9108" w14:textId="77777777" w:rsidR="000228FA" w:rsidRPr="00A411E7" w:rsidRDefault="000228FA" w:rsidP="00FF3977">
            <w:pPr>
              <w:rPr>
                <w:rFonts w:eastAsia="Calibri"/>
              </w:rPr>
            </w:pPr>
            <w:r>
              <w:rPr>
                <w:color w:val="000000"/>
              </w:rPr>
              <w:t>Not required as the product is a soluble concentrate (SL).</w:t>
            </w:r>
          </w:p>
        </w:tc>
        <w:tc>
          <w:tcPr>
            <w:tcW w:w="435" w:type="pct"/>
            <w:vAlign w:val="center"/>
          </w:tcPr>
          <w:p w14:paraId="501ACB34" w14:textId="77777777" w:rsidR="000228FA" w:rsidRPr="00A411E7" w:rsidRDefault="000228FA" w:rsidP="00FF3977">
            <w:pPr>
              <w:rPr>
                <w:rFonts w:eastAsia="Calibri"/>
              </w:rPr>
            </w:pPr>
            <w:r>
              <w:rPr>
                <w:color w:val="000000"/>
              </w:rPr>
              <w:t xml:space="preserve"> -</w:t>
            </w:r>
          </w:p>
        </w:tc>
        <w:tc>
          <w:tcPr>
            <w:tcW w:w="835" w:type="pct"/>
          </w:tcPr>
          <w:p w14:paraId="2EF267ED" w14:textId="77777777" w:rsidR="000228FA" w:rsidRDefault="000228FA" w:rsidP="00FF3977">
            <w:pPr>
              <w:rPr>
                <w:color w:val="000000"/>
              </w:rPr>
            </w:pPr>
            <w:r>
              <w:rPr>
                <w:color w:val="000000"/>
              </w:rPr>
              <w:t>Not relevant for a SL formulation.</w:t>
            </w:r>
          </w:p>
        </w:tc>
      </w:tr>
      <w:tr w:rsidR="000228FA" w14:paraId="0457135F" w14:textId="77777777" w:rsidTr="00FF3977">
        <w:tc>
          <w:tcPr>
            <w:tcW w:w="1193" w:type="pct"/>
          </w:tcPr>
          <w:p w14:paraId="54B21393" w14:textId="77777777" w:rsidR="000228FA" w:rsidRPr="00F24D0D" w:rsidRDefault="000228FA" w:rsidP="00FF3977">
            <w:pPr>
              <w:rPr>
                <w:rFonts w:eastAsia="Calibri"/>
              </w:rPr>
            </w:pPr>
            <w:r w:rsidRPr="00A411E7">
              <w:rPr>
                <w:rFonts w:eastAsia="Calibri"/>
              </w:rPr>
              <w:lastRenderedPageBreak/>
              <w:t xml:space="preserve">Wet sieve analysis </w:t>
            </w:r>
            <w:r w:rsidRPr="00F24D0D">
              <w:rPr>
                <w:rFonts w:eastAsia="Calibri"/>
              </w:rPr>
              <w:t>and dry sieve test</w:t>
            </w:r>
          </w:p>
        </w:tc>
        <w:tc>
          <w:tcPr>
            <w:tcW w:w="431" w:type="pct"/>
            <w:vAlign w:val="center"/>
          </w:tcPr>
          <w:p w14:paraId="4EA5D19B" w14:textId="77777777" w:rsidR="000228FA" w:rsidRPr="00F24D0D" w:rsidRDefault="000228FA" w:rsidP="00FF3977">
            <w:pPr>
              <w:rPr>
                <w:rFonts w:eastAsia="Calibri"/>
              </w:rPr>
            </w:pPr>
            <w:r>
              <w:rPr>
                <w:color w:val="000000"/>
              </w:rPr>
              <w:t>CIPAC Handbook K - MT 185 method (2003) adapted</w:t>
            </w:r>
          </w:p>
        </w:tc>
        <w:tc>
          <w:tcPr>
            <w:tcW w:w="437" w:type="pct"/>
            <w:vAlign w:val="center"/>
          </w:tcPr>
          <w:p w14:paraId="4A671407" w14:textId="77777777" w:rsidR="000228FA" w:rsidRDefault="000228FA" w:rsidP="00FF3977">
            <w:pPr>
              <w:rPr>
                <w:color w:val="000000"/>
              </w:rPr>
            </w:pPr>
            <w:r>
              <w:rPr>
                <w:color w:val="000000"/>
              </w:rPr>
              <w:t>Batch 5118225</w:t>
            </w:r>
          </w:p>
          <w:p w14:paraId="6F783FE2" w14:textId="77777777" w:rsidR="000228FA" w:rsidRPr="00C746BC"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7337BE27" w14:textId="77777777" w:rsidR="000228FA" w:rsidRPr="00305B11" w:rsidRDefault="000228FA" w:rsidP="00FF3977">
            <w:pPr>
              <w:rPr>
                <w:rFonts w:eastAsia="Calibri"/>
              </w:rPr>
            </w:pPr>
            <w:r>
              <w:rPr>
                <w:color w:val="000000"/>
              </w:rPr>
              <w:t>Before the accelerated storage procedure, the mean percentage retention of the test item held on a 75-µm sieve was lower than 0.1% of the total sieved test item. After the accelerated storage procedure, no residue of the test item was held on a 75-µm sieve.</w:t>
            </w:r>
          </w:p>
        </w:tc>
        <w:tc>
          <w:tcPr>
            <w:tcW w:w="435" w:type="pct"/>
            <w:vAlign w:val="center"/>
          </w:tcPr>
          <w:p w14:paraId="3C86E484" w14:textId="77777777" w:rsidR="000228FA" w:rsidRPr="00305B11" w:rsidRDefault="000228FA" w:rsidP="00FF3977">
            <w:pPr>
              <w:rPr>
                <w:rFonts w:eastAsia="Calibri"/>
              </w:rPr>
            </w:pPr>
            <w:r>
              <w:rPr>
                <w:color w:val="000000"/>
              </w:rPr>
              <w:t>Demangel B. and Ricau H., 2019, Report No 18-901011-036</w:t>
            </w:r>
          </w:p>
        </w:tc>
        <w:tc>
          <w:tcPr>
            <w:tcW w:w="835" w:type="pct"/>
          </w:tcPr>
          <w:p w14:paraId="1DF969A8" w14:textId="77777777" w:rsidR="000228FA" w:rsidRDefault="000228FA" w:rsidP="00FF3977">
            <w:pPr>
              <w:rPr>
                <w:color w:val="000000"/>
              </w:rPr>
            </w:pPr>
            <w:r>
              <w:rPr>
                <w:color w:val="000000"/>
              </w:rPr>
              <w:t>Acceptable, although not required for a SL formulation</w:t>
            </w:r>
          </w:p>
        </w:tc>
      </w:tr>
      <w:tr w:rsidR="000228FA" w14:paraId="611AB5D8" w14:textId="77777777" w:rsidTr="00FF3977">
        <w:tc>
          <w:tcPr>
            <w:tcW w:w="1193" w:type="pct"/>
          </w:tcPr>
          <w:p w14:paraId="1B8EE5FA" w14:textId="77777777" w:rsidR="000228FA" w:rsidRPr="00017CF8" w:rsidRDefault="000228FA" w:rsidP="00FF3977">
            <w:pPr>
              <w:rPr>
                <w:rFonts w:eastAsia="Calibri"/>
              </w:rPr>
            </w:pPr>
            <w:r w:rsidRPr="00017CF8">
              <w:rPr>
                <w:rFonts w:eastAsia="Calibri"/>
              </w:rPr>
              <w:t>Emulsifiability, re-emulsifiability and emulsion stability</w:t>
            </w:r>
          </w:p>
        </w:tc>
        <w:tc>
          <w:tcPr>
            <w:tcW w:w="431" w:type="pct"/>
            <w:vAlign w:val="center"/>
          </w:tcPr>
          <w:p w14:paraId="54195FB7" w14:textId="77777777" w:rsidR="000228FA" w:rsidRPr="00017CF8" w:rsidRDefault="000228FA" w:rsidP="00FF3977">
            <w:pPr>
              <w:rPr>
                <w:rFonts w:eastAsia="Calibri"/>
              </w:rPr>
            </w:pPr>
            <w:r>
              <w:rPr>
                <w:color w:val="000000"/>
              </w:rPr>
              <w:t xml:space="preserve"> -</w:t>
            </w:r>
          </w:p>
        </w:tc>
        <w:tc>
          <w:tcPr>
            <w:tcW w:w="437" w:type="pct"/>
            <w:vAlign w:val="center"/>
          </w:tcPr>
          <w:p w14:paraId="6C79DCA6" w14:textId="77777777" w:rsidR="000228FA" w:rsidRPr="00017CF8" w:rsidRDefault="000228FA" w:rsidP="00FF3977">
            <w:pPr>
              <w:rPr>
                <w:rFonts w:eastAsia="Calibri"/>
              </w:rPr>
            </w:pPr>
            <w:r>
              <w:rPr>
                <w:color w:val="000000"/>
              </w:rPr>
              <w:t xml:space="preserve"> -</w:t>
            </w:r>
          </w:p>
        </w:tc>
        <w:tc>
          <w:tcPr>
            <w:tcW w:w="1669" w:type="pct"/>
            <w:vAlign w:val="center"/>
          </w:tcPr>
          <w:p w14:paraId="1A12BF19" w14:textId="77777777" w:rsidR="000228FA" w:rsidRPr="00017CF8" w:rsidRDefault="000228FA" w:rsidP="00FF3977">
            <w:pPr>
              <w:rPr>
                <w:rFonts w:eastAsia="Calibri"/>
              </w:rPr>
            </w:pPr>
            <w:r>
              <w:rPr>
                <w:color w:val="000000"/>
              </w:rPr>
              <w:t>Not required as the product is a soluble concentrate (SL).</w:t>
            </w:r>
          </w:p>
        </w:tc>
        <w:tc>
          <w:tcPr>
            <w:tcW w:w="435" w:type="pct"/>
            <w:vAlign w:val="center"/>
          </w:tcPr>
          <w:p w14:paraId="5C39E00C" w14:textId="77777777" w:rsidR="000228FA" w:rsidRPr="00017CF8" w:rsidRDefault="000228FA" w:rsidP="00FF3977">
            <w:pPr>
              <w:rPr>
                <w:rFonts w:eastAsia="Calibri"/>
              </w:rPr>
            </w:pPr>
            <w:r>
              <w:rPr>
                <w:color w:val="000000"/>
              </w:rPr>
              <w:t xml:space="preserve"> -</w:t>
            </w:r>
          </w:p>
        </w:tc>
        <w:tc>
          <w:tcPr>
            <w:tcW w:w="835" w:type="pct"/>
          </w:tcPr>
          <w:p w14:paraId="33550E84" w14:textId="77777777" w:rsidR="000228FA" w:rsidRDefault="000228FA" w:rsidP="00FF3977">
            <w:pPr>
              <w:rPr>
                <w:color w:val="000000"/>
              </w:rPr>
            </w:pPr>
            <w:r>
              <w:rPr>
                <w:color w:val="000000"/>
              </w:rPr>
              <w:t>Not relevant for a SL formulation.</w:t>
            </w:r>
          </w:p>
        </w:tc>
      </w:tr>
      <w:tr w:rsidR="000228FA" w14:paraId="58C15622" w14:textId="77777777" w:rsidTr="00FF3977">
        <w:tc>
          <w:tcPr>
            <w:tcW w:w="1193" w:type="pct"/>
          </w:tcPr>
          <w:p w14:paraId="58BEFBC7" w14:textId="77777777" w:rsidR="000228FA" w:rsidRPr="00DF6CFE" w:rsidRDefault="000228FA" w:rsidP="00FF3977">
            <w:pPr>
              <w:rPr>
                <w:rFonts w:eastAsia="Calibri"/>
              </w:rPr>
            </w:pPr>
            <w:r w:rsidRPr="00DF6CFE">
              <w:rPr>
                <w:rFonts w:eastAsia="Calibri"/>
              </w:rPr>
              <w:t>Disintegration time</w:t>
            </w:r>
          </w:p>
        </w:tc>
        <w:tc>
          <w:tcPr>
            <w:tcW w:w="431" w:type="pct"/>
            <w:vAlign w:val="center"/>
          </w:tcPr>
          <w:p w14:paraId="31CDF91B" w14:textId="77777777" w:rsidR="000228FA" w:rsidRPr="00DF6CFE" w:rsidRDefault="000228FA" w:rsidP="00FF3977">
            <w:pPr>
              <w:rPr>
                <w:rFonts w:eastAsia="Calibri"/>
              </w:rPr>
            </w:pPr>
            <w:r>
              <w:rPr>
                <w:color w:val="000000"/>
              </w:rPr>
              <w:t xml:space="preserve"> -</w:t>
            </w:r>
          </w:p>
        </w:tc>
        <w:tc>
          <w:tcPr>
            <w:tcW w:w="437" w:type="pct"/>
            <w:vAlign w:val="center"/>
          </w:tcPr>
          <w:p w14:paraId="45DA454B" w14:textId="77777777" w:rsidR="000228FA" w:rsidRPr="00DF6CFE" w:rsidRDefault="000228FA" w:rsidP="00FF3977">
            <w:pPr>
              <w:rPr>
                <w:rFonts w:eastAsia="Calibri"/>
              </w:rPr>
            </w:pPr>
            <w:r>
              <w:rPr>
                <w:color w:val="000000"/>
              </w:rPr>
              <w:t xml:space="preserve"> -</w:t>
            </w:r>
          </w:p>
        </w:tc>
        <w:tc>
          <w:tcPr>
            <w:tcW w:w="1669" w:type="pct"/>
            <w:vAlign w:val="center"/>
          </w:tcPr>
          <w:p w14:paraId="61A128D5" w14:textId="77777777" w:rsidR="000228FA" w:rsidRPr="00DF6CFE" w:rsidRDefault="000228FA" w:rsidP="00FF3977">
            <w:pPr>
              <w:rPr>
                <w:rFonts w:eastAsia="Calibri"/>
              </w:rPr>
            </w:pPr>
            <w:r>
              <w:rPr>
                <w:color w:val="000000"/>
              </w:rPr>
              <w:t>Not required as the product is a soluble concentrate (SL).</w:t>
            </w:r>
          </w:p>
        </w:tc>
        <w:tc>
          <w:tcPr>
            <w:tcW w:w="435" w:type="pct"/>
            <w:vAlign w:val="center"/>
          </w:tcPr>
          <w:p w14:paraId="7EA8645E" w14:textId="77777777" w:rsidR="000228FA" w:rsidRPr="00DF6CFE" w:rsidRDefault="000228FA" w:rsidP="00FF3977">
            <w:pPr>
              <w:rPr>
                <w:rFonts w:eastAsia="Calibri"/>
              </w:rPr>
            </w:pPr>
            <w:r>
              <w:rPr>
                <w:color w:val="000000"/>
              </w:rPr>
              <w:t xml:space="preserve"> -</w:t>
            </w:r>
          </w:p>
        </w:tc>
        <w:tc>
          <w:tcPr>
            <w:tcW w:w="835" w:type="pct"/>
          </w:tcPr>
          <w:p w14:paraId="1D1F670E" w14:textId="77777777" w:rsidR="000228FA" w:rsidRDefault="000228FA" w:rsidP="00FF3977">
            <w:pPr>
              <w:rPr>
                <w:color w:val="000000"/>
              </w:rPr>
            </w:pPr>
            <w:r>
              <w:rPr>
                <w:color w:val="000000"/>
              </w:rPr>
              <w:t>Not relevant for a SL formulation.</w:t>
            </w:r>
          </w:p>
        </w:tc>
      </w:tr>
      <w:tr w:rsidR="000228FA" w14:paraId="3AEAC4D8" w14:textId="77777777" w:rsidTr="00FF3977">
        <w:tc>
          <w:tcPr>
            <w:tcW w:w="1193" w:type="pct"/>
          </w:tcPr>
          <w:p w14:paraId="0C122C39"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431" w:type="pct"/>
            <w:vAlign w:val="center"/>
          </w:tcPr>
          <w:p w14:paraId="30374054" w14:textId="77777777" w:rsidR="000228FA" w:rsidRPr="00A411E7" w:rsidRDefault="000228FA" w:rsidP="00FF3977">
            <w:pPr>
              <w:rPr>
                <w:rFonts w:eastAsia="Calibri"/>
              </w:rPr>
            </w:pPr>
            <w:r>
              <w:rPr>
                <w:color w:val="000000"/>
              </w:rPr>
              <w:t xml:space="preserve"> -</w:t>
            </w:r>
          </w:p>
        </w:tc>
        <w:tc>
          <w:tcPr>
            <w:tcW w:w="437" w:type="pct"/>
            <w:vAlign w:val="center"/>
          </w:tcPr>
          <w:p w14:paraId="52ABA424" w14:textId="77777777" w:rsidR="000228FA" w:rsidRPr="00A411E7" w:rsidRDefault="000228FA" w:rsidP="00FF3977">
            <w:pPr>
              <w:rPr>
                <w:rFonts w:eastAsia="Calibri"/>
              </w:rPr>
            </w:pPr>
            <w:r>
              <w:rPr>
                <w:color w:val="000000"/>
              </w:rPr>
              <w:t xml:space="preserve"> -</w:t>
            </w:r>
          </w:p>
        </w:tc>
        <w:tc>
          <w:tcPr>
            <w:tcW w:w="1669" w:type="pct"/>
            <w:vAlign w:val="center"/>
          </w:tcPr>
          <w:p w14:paraId="1DC4D9D0" w14:textId="77777777" w:rsidR="000228FA" w:rsidRPr="00A411E7" w:rsidRDefault="000228FA" w:rsidP="00FF3977">
            <w:pPr>
              <w:rPr>
                <w:rFonts w:eastAsia="Calibri"/>
              </w:rPr>
            </w:pPr>
            <w:r>
              <w:rPr>
                <w:color w:val="000000"/>
              </w:rPr>
              <w:t>Not required as the product is a soluble concentrate (SL).</w:t>
            </w:r>
          </w:p>
        </w:tc>
        <w:tc>
          <w:tcPr>
            <w:tcW w:w="435" w:type="pct"/>
            <w:vAlign w:val="center"/>
          </w:tcPr>
          <w:p w14:paraId="23E4C726" w14:textId="77777777" w:rsidR="000228FA" w:rsidRPr="00A411E7" w:rsidRDefault="000228FA" w:rsidP="00FF3977">
            <w:pPr>
              <w:rPr>
                <w:rFonts w:eastAsia="Calibri"/>
              </w:rPr>
            </w:pPr>
            <w:r>
              <w:rPr>
                <w:color w:val="000000"/>
              </w:rPr>
              <w:t xml:space="preserve"> -</w:t>
            </w:r>
          </w:p>
        </w:tc>
        <w:tc>
          <w:tcPr>
            <w:tcW w:w="835" w:type="pct"/>
          </w:tcPr>
          <w:p w14:paraId="1AB8B454" w14:textId="77777777" w:rsidR="000228FA" w:rsidRDefault="000228FA" w:rsidP="00FF3977">
            <w:pPr>
              <w:rPr>
                <w:color w:val="000000"/>
              </w:rPr>
            </w:pPr>
            <w:r>
              <w:rPr>
                <w:color w:val="000000"/>
              </w:rPr>
              <w:t>Not relevant for a SL formulation.</w:t>
            </w:r>
          </w:p>
        </w:tc>
      </w:tr>
      <w:tr w:rsidR="000228FA" w14:paraId="7C2EFD0D" w14:textId="77777777" w:rsidTr="00FF3977">
        <w:tc>
          <w:tcPr>
            <w:tcW w:w="1193" w:type="pct"/>
          </w:tcPr>
          <w:p w14:paraId="5B8E7380" w14:textId="77777777" w:rsidR="000228FA" w:rsidRPr="00A411E7" w:rsidRDefault="000228FA" w:rsidP="00FF3977">
            <w:pPr>
              <w:rPr>
                <w:rFonts w:eastAsia="Calibri"/>
              </w:rPr>
            </w:pPr>
            <w:r w:rsidRPr="00A411E7">
              <w:rPr>
                <w:rFonts w:eastAsia="Calibri"/>
              </w:rPr>
              <w:t>Persistent foaming</w:t>
            </w:r>
          </w:p>
        </w:tc>
        <w:tc>
          <w:tcPr>
            <w:tcW w:w="431" w:type="pct"/>
            <w:vAlign w:val="center"/>
          </w:tcPr>
          <w:p w14:paraId="02F1D7F6" w14:textId="77777777" w:rsidR="000228FA" w:rsidRPr="00A411E7" w:rsidRDefault="000228FA" w:rsidP="00FF3977">
            <w:pPr>
              <w:rPr>
                <w:rFonts w:eastAsia="Calibri"/>
              </w:rPr>
            </w:pPr>
            <w:r>
              <w:rPr>
                <w:color w:val="000000"/>
              </w:rPr>
              <w:t>CIPAC Handbook O - MT 47.3 method (2017)</w:t>
            </w:r>
          </w:p>
        </w:tc>
        <w:tc>
          <w:tcPr>
            <w:tcW w:w="437" w:type="pct"/>
            <w:vAlign w:val="center"/>
          </w:tcPr>
          <w:p w14:paraId="12F69F68" w14:textId="77777777" w:rsidR="000228FA" w:rsidRDefault="000228FA" w:rsidP="00FF3977">
            <w:pPr>
              <w:rPr>
                <w:color w:val="000000"/>
              </w:rPr>
            </w:pPr>
            <w:r>
              <w:rPr>
                <w:color w:val="000000"/>
              </w:rPr>
              <w:t>Batch 5118225</w:t>
            </w:r>
          </w:p>
          <w:p w14:paraId="1A4E249D"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42DF5E9F" w14:textId="77777777" w:rsidR="000228FA" w:rsidRDefault="000228FA" w:rsidP="00FF3977">
            <w:r>
              <w:t xml:space="preserve">Before the accelerated storage procedure, the mean volume of foam produced after several inversions of the test item diluted at 3% w/w in standard water D at 20 °C ± 2 °C was 8 mL after 1 min of standing. The mean volume of foam produced after several inversions of the test item diluted at 15% w/w in standard water D at 20 °C ± 2 °C was 4 mL after 1 min of standing. </w:t>
            </w:r>
            <w:r>
              <w:br/>
            </w:r>
          </w:p>
          <w:p w14:paraId="0E3DCD76" w14:textId="77777777" w:rsidR="000228FA" w:rsidRPr="00A411E7" w:rsidRDefault="000228FA" w:rsidP="00FF3977">
            <w:pPr>
              <w:rPr>
                <w:rFonts w:eastAsia="Calibri"/>
              </w:rPr>
            </w:pPr>
            <w:r>
              <w:t xml:space="preserve">After the accelerated storage procedure. No foam was produced after several inversions of the test item diluted at 3% w/w in </w:t>
            </w:r>
            <w:r>
              <w:lastRenderedPageBreak/>
              <w:t xml:space="preserve">standard water D at 20 °C ± 2 °C after 1 min of standing. The mean volume of foam produced after several inversions of the test item diluted at 15% w/w in standard water D at 20 °C ± 2 °C was 4 mL after 1 min of standing. </w:t>
            </w:r>
          </w:p>
        </w:tc>
        <w:tc>
          <w:tcPr>
            <w:tcW w:w="435" w:type="pct"/>
            <w:vAlign w:val="center"/>
          </w:tcPr>
          <w:p w14:paraId="73FFD738" w14:textId="77777777" w:rsidR="000228FA" w:rsidRPr="00A411E7" w:rsidRDefault="000228FA" w:rsidP="00FF3977">
            <w:pPr>
              <w:rPr>
                <w:rFonts w:eastAsia="Calibri"/>
              </w:rPr>
            </w:pPr>
            <w:r>
              <w:rPr>
                <w:color w:val="000000"/>
              </w:rPr>
              <w:lastRenderedPageBreak/>
              <w:t>Demangel B. and Ricau H., 2019, Report No 18-901011-036</w:t>
            </w:r>
          </w:p>
        </w:tc>
        <w:tc>
          <w:tcPr>
            <w:tcW w:w="835" w:type="pct"/>
          </w:tcPr>
          <w:p w14:paraId="38F077C1" w14:textId="77777777" w:rsidR="000228FA" w:rsidRDefault="000228FA" w:rsidP="00FF3977">
            <w:pPr>
              <w:rPr>
                <w:color w:val="000000"/>
              </w:rPr>
            </w:pPr>
            <w:r>
              <w:rPr>
                <w:color w:val="000000"/>
              </w:rPr>
              <w:t>Acceptable</w:t>
            </w:r>
          </w:p>
        </w:tc>
      </w:tr>
      <w:tr w:rsidR="000228FA" w14:paraId="6AB3F33B" w14:textId="77777777" w:rsidTr="00FF3977">
        <w:tc>
          <w:tcPr>
            <w:tcW w:w="1193" w:type="pct"/>
          </w:tcPr>
          <w:p w14:paraId="31AEE90A" w14:textId="77777777" w:rsidR="000228FA" w:rsidRPr="00A411E7" w:rsidRDefault="000228FA" w:rsidP="00FF3977">
            <w:pPr>
              <w:rPr>
                <w:rFonts w:eastAsia="Calibri"/>
              </w:rPr>
            </w:pPr>
            <w:r w:rsidRPr="00A411E7">
              <w:rPr>
                <w:rFonts w:eastAsia="Calibri"/>
              </w:rPr>
              <w:t>Flowability/Pourability/Dustability</w:t>
            </w:r>
          </w:p>
        </w:tc>
        <w:tc>
          <w:tcPr>
            <w:tcW w:w="431" w:type="pct"/>
            <w:vAlign w:val="center"/>
          </w:tcPr>
          <w:p w14:paraId="1E2EEE4A" w14:textId="77777777" w:rsidR="000228FA" w:rsidRPr="00A411E7" w:rsidRDefault="000228FA" w:rsidP="00FF3977">
            <w:pPr>
              <w:rPr>
                <w:rFonts w:eastAsia="Calibri"/>
              </w:rPr>
            </w:pPr>
            <w:r>
              <w:rPr>
                <w:color w:val="000000"/>
              </w:rPr>
              <w:t xml:space="preserve"> -</w:t>
            </w:r>
          </w:p>
        </w:tc>
        <w:tc>
          <w:tcPr>
            <w:tcW w:w="437" w:type="pct"/>
            <w:vAlign w:val="center"/>
          </w:tcPr>
          <w:p w14:paraId="09785591" w14:textId="77777777" w:rsidR="000228FA" w:rsidRPr="00A411E7" w:rsidRDefault="000228FA" w:rsidP="00FF3977">
            <w:pPr>
              <w:rPr>
                <w:rFonts w:eastAsia="Calibri"/>
              </w:rPr>
            </w:pPr>
            <w:r>
              <w:rPr>
                <w:color w:val="000000"/>
              </w:rPr>
              <w:t xml:space="preserve"> -</w:t>
            </w:r>
          </w:p>
        </w:tc>
        <w:tc>
          <w:tcPr>
            <w:tcW w:w="1669" w:type="pct"/>
            <w:vAlign w:val="center"/>
          </w:tcPr>
          <w:p w14:paraId="6877567E" w14:textId="77777777" w:rsidR="000228FA" w:rsidRPr="00A411E7" w:rsidRDefault="000228FA" w:rsidP="00FF3977">
            <w:pPr>
              <w:rPr>
                <w:rFonts w:eastAsia="Calibri"/>
              </w:rPr>
            </w:pPr>
            <w:r>
              <w:rPr>
                <w:color w:val="000000"/>
              </w:rPr>
              <w:t>Not required as the product is a soluble concentrate (SL).</w:t>
            </w:r>
          </w:p>
        </w:tc>
        <w:tc>
          <w:tcPr>
            <w:tcW w:w="435" w:type="pct"/>
            <w:vAlign w:val="center"/>
          </w:tcPr>
          <w:p w14:paraId="453E102A" w14:textId="77777777" w:rsidR="000228FA" w:rsidRPr="00A411E7" w:rsidRDefault="000228FA" w:rsidP="00FF3977">
            <w:pPr>
              <w:rPr>
                <w:rFonts w:eastAsia="Calibri"/>
              </w:rPr>
            </w:pPr>
            <w:r>
              <w:rPr>
                <w:color w:val="000000"/>
              </w:rPr>
              <w:t xml:space="preserve"> -</w:t>
            </w:r>
          </w:p>
        </w:tc>
        <w:tc>
          <w:tcPr>
            <w:tcW w:w="835" w:type="pct"/>
          </w:tcPr>
          <w:p w14:paraId="78FF06C7" w14:textId="77777777" w:rsidR="000228FA" w:rsidRDefault="000228FA" w:rsidP="00FF3977">
            <w:pPr>
              <w:rPr>
                <w:color w:val="000000"/>
              </w:rPr>
            </w:pPr>
            <w:r>
              <w:rPr>
                <w:color w:val="000000"/>
              </w:rPr>
              <w:t>Not relevant for a SL formulation.</w:t>
            </w:r>
          </w:p>
        </w:tc>
      </w:tr>
      <w:tr w:rsidR="000228FA" w14:paraId="4DAE59BE" w14:textId="77777777" w:rsidTr="00FF3977">
        <w:tc>
          <w:tcPr>
            <w:tcW w:w="1193" w:type="pct"/>
          </w:tcPr>
          <w:p w14:paraId="148710DA" w14:textId="77777777" w:rsidR="000228FA" w:rsidRPr="00A411E7" w:rsidRDefault="000228FA" w:rsidP="00FF3977">
            <w:pPr>
              <w:rPr>
                <w:rFonts w:eastAsia="Calibri"/>
              </w:rPr>
            </w:pPr>
            <w:r w:rsidRPr="00A411E7">
              <w:rPr>
                <w:rFonts w:eastAsia="Calibri"/>
              </w:rPr>
              <w:t>Burning rate — smoke generators</w:t>
            </w:r>
          </w:p>
        </w:tc>
        <w:tc>
          <w:tcPr>
            <w:tcW w:w="431" w:type="pct"/>
            <w:vAlign w:val="center"/>
          </w:tcPr>
          <w:p w14:paraId="1C9E3CAF" w14:textId="77777777" w:rsidR="000228FA" w:rsidRPr="00A411E7" w:rsidRDefault="000228FA" w:rsidP="00FF3977">
            <w:pPr>
              <w:rPr>
                <w:rFonts w:eastAsia="Calibri"/>
              </w:rPr>
            </w:pPr>
            <w:r>
              <w:rPr>
                <w:color w:val="000000"/>
              </w:rPr>
              <w:t xml:space="preserve"> -</w:t>
            </w:r>
          </w:p>
        </w:tc>
        <w:tc>
          <w:tcPr>
            <w:tcW w:w="437" w:type="pct"/>
            <w:vAlign w:val="center"/>
          </w:tcPr>
          <w:p w14:paraId="7D8AD5F8" w14:textId="77777777" w:rsidR="000228FA" w:rsidRPr="00A411E7" w:rsidRDefault="000228FA" w:rsidP="00FF3977">
            <w:pPr>
              <w:rPr>
                <w:rFonts w:eastAsia="Calibri"/>
              </w:rPr>
            </w:pPr>
            <w:r>
              <w:rPr>
                <w:color w:val="000000"/>
              </w:rPr>
              <w:t xml:space="preserve"> -</w:t>
            </w:r>
          </w:p>
        </w:tc>
        <w:tc>
          <w:tcPr>
            <w:tcW w:w="1669" w:type="pct"/>
            <w:vAlign w:val="center"/>
          </w:tcPr>
          <w:p w14:paraId="523F8779"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5" w:type="pct"/>
            <w:vAlign w:val="center"/>
          </w:tcPr>
          <w:p w14:paraId="6A3D1AE0" w14:textId="77777777" w:rsidR="000228FA" w:rsidRPr="00A411E7" w:rsidRDefault="000228FA" w:rsidP="00FF3977">
            <w:pPr>
              <w:rPr>
                <w:rFonts w:eastAsia="Calibri"/>
              </w:rPr>
            </w:pPr>
            <w:r>
              <w:rPr>
                <w:color w:val="000000"/>
              </w:rPr>
              <w:t xml:space="preserve"> -</w:t>
            </w:r>
          </w:p>
        </w:tc>
        <w:tc>
          <w:tcPr>
            <w:tcW w:w="835" w:type="pct"/>
          </w:tcPr>
          <w:p w14:paraId="453CEF1F" w14:textId="77777777" w:rsidR="000228FA" w:rsidRDefault="000228FA" w:rsidP="00FF3977">
            <w:pPr>
              <w:rPr>
                <w:color w:val="000000"/>
              </w:rPr>
            </w:pPr>
            <w:r>
              <w:rPr>
                <w:color w:val="000000"/>
              </w:rPr>
              <w:t>Not relevant</w:t>
            </w:r>
          </w:p>
        </w:tc>
      </w:tr>
      <w:tr w:rsidR="000228FA" w14:paraId="23D1D5B2" w14:textId="77777777" w:rsidTr="00FF3977">
        <w:tc>
          <w:tcPr>
            <w:tcW w:w="1193" w:type="pct"/>
          </w:tcPr>
          <w:p w14:paraId="34B5B3ED" w14:textId="77777777" w:rsidR="000228FA" w:rsidRPr="00A411E7" w:rsidRDefault="000228FA" w:rsidP="00FF3977">
            <w:pPr>
              <w:rPr>
                <w:rFonts w:eastAsia="Calibri"/>
              </w:rPr>
            </w:pPr>
            <w:r w:rsidRPr="00A411E7">
              <w:rPr>
                <w:rFonts w:eastAsia="Calibri"/>
              </w:rPr>
              <w:t>Burning completeness — smoke generators</w:t>
            </w:r>
          </w:p>
        </w:tc>
        <w:tc>
          <w:tcPr>
            <w:tcW w:w="431" w:type="pct"/>
            <w:vAlign w:val="center"/>
          </w:tcPr>
          <w:p w14:paraId="39C46623" w14:textId="77777777" w:rsidR="000228FA" w:rsidRPr="00A411E7" w:rsidRDefault="000228FA" w:rsidP="00FF3977">
            <w:pPr>
              <w:rPr>
                <w:rFonts w:eastAsia="Calibri"/>
              </w:rPr>
            </w:pPr>
            <w:r>
              <w:rPr>
                <w:color w:val="000000"/>
              </w:rPr>
              <w:t xml:space="preserve"> -</w:t>
            </w:r>
          </w:p>
        </w:tc>
        <w:tc>
          <w:tcPr>
            <w:tcW w:w="437" w:type="pct"/>
            <w:vAlign w:val="center"/>
          </w:tcPr>
          <w:p w14:paraId="3E8F1ACA" w14:textId="77777777" w:rsidR="000228FA" w:rsidRPr="00A411E7" w:rsidRDefault="000228FA" w:rsidP="00FF3977">
            <w:pPr>
              <w:rPr>
                <w:rFonts w:eastAsia="Calibri"/>
              </w:rPr>
            </w:pPr>
            <w:r>
              <w:rPr>
                <w:color w:val="000000"/>
              </w:rPr>
              <w:t xml:space="preserve"> -</w:t>
            </w:r>
          </w:p>
        </w:tc>
        <w:tc>
          <w:tcPr>
            <w:tcW w:w="1669" w:type="pct"/>
            <w:vAlign w:val="center"/>
          </w:tcPr>
          <w:p w14:paraId="13039B91"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5" w:type="pct"/>
            <w:vAlign w:val="center"/>
          </w:tcPr>
          <w:p w14:paraId="0C73B789" w14:textId="77777777" w:rsidR="000228FA" w:rsidRPr="00A411E7" w:rsidRDefault="000228FA" w:rsidP="00FF3977">
            <w:pPr>
              <w:rPr>
                <w:rFonts w:eastAsia="Calibri"/>
              </w:rPr>
            </w:pPr>
            <w:r>
              <w:rPr>
                <w:color w:val="000000"/>
              </w:rPr>
              <w:t xml:space="preserve"> -</w:t>
            </w:r>
          </w:p>
        </w:tc>
        <w:tc>
          <w:tcPr>
            <w:tcW w:w="835" w:type="pct"/>
          </w:tcPr>
          <w:p w14:paraId="4E54BC8A" w14:textId="77777777" w:rsidR="000228FA" w:rsidRDefault="000228FA" w:rsidP="00FF3977">
            <w:pPr>
              <w:rPr>
                <w:color w:val="000000"/>
              </w:rPr>
            </w:pPr>
            <w:r>
              <w:rPr>
                <w:color w:val="000000"/>
              </w:rPr>
              <w:t>Not relevant</w:t>
            </w:r>
          </w:p>
        </w:tc>
      </w:tr>
      <w:tr w:rsidR="000228FA" w14:paraId="2678F111" w14:textId="77777777" w:rsidTr="00FF3977">
        <w:tc>
          <w:tcPr>
            <w:tcW w:w="1193" w:type="pct"/>
          </w:tcPr>
          <w:p w14:paraId="43FFE628" w14:textId="77777777" w:rsidR="000228FA" w:rsidRPr="00A411E7" w:rsidRDefault="000228FA" w:rsidP="00FF3977">
            <w:pPr>
              <w:rPr>
                <w:rFonts w:eastAsia="Calibri"/>
              </w:rPr>
            </w:pPr>
            <w:r w:rsidRPr="00A411E7">
              <w:rPr>
                <w:rFonts w:eastAsia="Calibri"/>
              </w:rPr>
              <w:t>Composition of smoke — smoke generators</w:t>
            </w:r>
          </w:p>
        </w:tc>
        <w:tc>
          <w:tcPr>
            <w:tcW w:w="431" w:type="pct"/>
            <w:vAlign w:val="center"/>
          </w:tcPr>
          <w:p w14:paraId="4B2D53DD" w14:textId="77777777" w:rsidR="000228FA" w:rsidRPr="00A411E7" w:rsidRDefault="000228FA" w:rsidP="00FF3977">
            <w:pPr>
              <w:rPr>
                <w:rFonts w:eastAsia="Calibri"/>
              </w:rPr>
            </w:pPr>
            <w:r>
              <w:rPr>
                <w:color w:val="000000"/>
              </w:rPr>
              <w:t xml:space="preserve"> -</w:t>
            </w:r>
          </w:p>
        </w:tc>
        <w:tc>
          <w:tcPr>
            <w:tcW w:w="437" w:type="pct"/>
            <w:vAlign w:val="center"/>
          </w:tcPr>
          <w:p w14:paraId="24F71C21" w14:textId="77777777" w:rsidR="000228FA" w:rsidRPr="00A411E7" w:rsidRDefault="000228FA" w:rsidP="00FF3977">
            <w:pPr>
              <w:rPr>
                <w:rFonts w:eastAsia="Calibri"/>
              </w:rPr>
            </w:pPr>
            <w:r>
              <w:rPr>
                <w:color w:val="000000"/>
              </w:rPr>
              <w:t xml:space="preserve"> -</w:t>
            </w:r>
          </w:p>
        </w:tc>
        <w:tc>
          <w:tcPr>
            <w:tcW w:w="1669" w:type="pct"/>
            <w:vAlign w:val="center"/>
          </w:tcPr>
          <w:p w14:paraId="36FEE579"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5" w:type="pct"/>
            <w:vAlign w:val="center"/>
          </w:tcPr>
          <w:p w14:paraId="6BB6115F" w14:textId="77777777" w:rsidR="000228FA" w:rsidRPr="00A411E7" w:rsidRDefault="000228FA" w:rsidP="00FF3977">
            <w:pPr>
              <w:rPr>
                <w:rFonts w:eastAsia="Calibri"/>
              </w:rPr>
            </w:pPr>
            <w:r>
              <w:rPr>
                <w:color w:val="000000"/>
              </w:rPr>
              <w:t xml:space="preserve"> -</w:t>
            </w:r>
          </w:p>
        </w:tc>
        <w:tc>
          <w:tcPr>
            <w:tcW w:w="835" w:type="pct"/>
          </w:tcPr>
          <w:p w14:paraId="42C54F1D" w14:textId="77777777" w:rsidR="000228FA" w:rsidRDefault="000228FA" w:rsidP="00FF3977">
            <w:pPr>
              <w:rPr>
                <w:color w:val="000000"/>
              </w:rPr>
            </w:pPr>
            <w:r>
              <w:rPr>
                <w:color w:val="000000"/>
              </w:rPr>
              <w:t>Not relevant</w:t>
            </w:r>
          </w:p>
        </w:tc>
      </w:tr>
      <w:tr w:rsidR="000228FA" w14:paraId="3D697C81" w14:textId="77777777" w:rsidTr="00FF3977">
        <w:tc>
          <w:tcPr>
            <w:tcW w:w="1193" w:type="pct"/>
          </w:tcPr>
          <w:p w14:paraId="08C4D160" w14:textId="77777777" w:rsidR="000228FA" w:rsidRPr="00A411E7" w:rsidRDefault="000228FA" w:rsidP="00FF3977">
            <w:pPr>
              <w:rPr>
                <w:rFonts w:eastAsia="Calibri"/>
              </w:rPr>
            </w:pPr>
            <w:r w:rsidRPr="00A411E7">
              <w:rPr>
                <w:rFonts w:eastAsia="Calibri"/>
              </w:rPr>
              <w:t>Spraying pattern — aerosols</w:t>
            </w:r>
          </w:p>
        </w:tc>
        <w:tc>
          <w:tcPr>
            <w:tcW w:w="431" w:type="pct"/>
            <w:vAlign w:val="center"/>
          </w:tcPr>
          <w:p w14:paraId="01A10C32" w14:textId="77777777" w:rsidR="000228FA" w:rsidRPr="00A411E7" w:rsidRDefault="000228FA" w:rsidP="00FF3977">
            <w:pPr>
              <w:rPr>
                <w:rFonts w:eastAsia="Calibri"/>
              </w:rPr>
            </w:pPr>
            <w:r>
              <w:rPr>
                <w:color w:val="000000"/>
              </w:rPr>
              <w:t xml:space="preserve"> -</w:t>
            </w:r>
          </w:p>
        </w:tc>
        <w:tc>
          <w:tcPr>
            <w:tcW w:w="437" w:type="pct"/>
            <w:vAlign w:val="center"/>
          </w:tcPr>
          <w:p w14:paraId="1A5D961C" w14:textId="77777777" w:rsidR="000228FA" w:rsidRPr="00A411E7" w:rsidRDefault="000228FA" w:rsidP="00FF3977">
            <w:pPr>
              <w:rPr>
                <w:rFonts w:eastAsia="Calibri"/>
              </w:rPr>
            </w:pPr>
            <w:r>
              <w:rPr>
                <w:color w:val="000000"/>
              </w:rPr>
              <w:t xml:space="preserve"> -</w:t>
            </w:r>
          </w:p>
        </w:tc>
        <w:tc>
          <w:tcPr>
            <w:tcW w:w="1669" w:type="pct"/>
            <w:vAlign w:val="center"/>
          </w:tcPr>
          <w:p w14:paraId="13546FA4" w14:textId="77777777" w:rsidR="000228FA" w:rsidRPr="00A411E7" w:rsidRDefault="000228FA" w:rsidP="00FF3977">
            <w:pPr>
              <w:rPr>
                <w:rFonts w:eastAsia="Calibri"/>
              </w:rPr>
            </w:pPr>
            <w:r>
              <w:rPr>
                <w:color w:val="000000"/>
              </w:rPr>
              <w:t>Not applicable. The product is a soluble concentrate liquid and is not intended to be applied by spray with propellant gas under pressure.</w:t>
            </w:r>
          </w:p>
        </w:tc>
        <w:tc>
          <w:tcPr>
            <w:tcW w:w="435" w:type="pct"/>
            <w:vAlign w:val="center"/>
          </w:tcPr>
          <w:p w14:paraId="294B9FCA" w14:textId="77777777" w:rsidR="000228FA" w:rsidRPr="00A411E7" w:rsidRDefault="000228FA" w:rsidP="00FF3977">
            <w:pPr>
              <w:rPr>
                <w:rFonts w:eastAsia="Calibri"/>
              </w:rPr>
            </w:pPr>
            <w:r>
              <w:rPr>
                <w:color w:val="000000"/>
              </w:rPr>
              <w:t xml:space="preserve"> -</w:t>
            </w:r>
          </w:p>
        </w:tc>
        <w:tc>
          <w:tcPr>
            <w:tcW w:w="835" w:type="pct"/>
          </w:tcPr>
          <w:p w14:paraId="553DC2DD" w14:textId="77777777" w:rsidR="000228FA" w:rsidRDefault="000228FA" w:rsidP="00FF3977">
            <w:pPr>
              <w:rPr>
                <w:color w:val="000000"/>
              </w:rPr>
            </w:pPr>
            <w:r>
              <w:rPr>
                <w:color w:val="000000"/>
              </w:rPr>
              <w:t>Not relevant</w:t>
            </w:r>
          </w:p>
        </w:tc>
      </w:tr>
      <w:tr w:rsidR="000228FA" w14:paraId="3C3F17CE" w14:textId="77777777" w:rsidTr="00FF3977">
        <w:tc>
          <w:tcPr>
            <w:tcW w:w="1193" w:type="pct"/>
          </w:tcPr>
          <w:p w14:paraId="12DA255A" w14:textId="77777777" w:rsidR="000228FA" w:rsidRPr="00A411E7" w:rsidRDefault="000228FA" w:rsidP="00FF3977">
            <w:pPr>
              <w:rPr>
                <w:rFonts w:eastAsia="Calibri"/>
              </w:rPr>
            </w:pPr>
            <w:r w:rsidRPr="00A411E7">
              <w:rPr>
                <w:rFonts w:eastAsia="Calibri"/>
              </w:rPr>
              <w:t>Physical compatibility</w:t>
            </w:r>
          </w:p>
        </w:tc>
        <w:tc>
          <w:tcPr>
            <w:tcW w:w="431" w:type="pct"/>
            <w:vAlign w:val="center"/>
          </w:tcPr>
          <w:p w14:paraId="55D7A1EB" w14:textId="77777777" w:rsidR="000228FA" w:rsidRPr="00A411E7" w:rsidRDefault="000228FA" w:rsidP="00FF3977">
            <w:pPr>
              <w:rPr>
                <w:rFonts w:eastAsia="Calibri"/>
              </w:rPr>
            </w:pPr>
            <w:r>
              <w:rPr>
                <w:color w:val="000000"/>
              </w:rPr>
              <w:t xml:space="preserve"> -</w:t>
            </w:r>
          </w:p>
        </w:tc>
        <w:tc>
          <w:tcPr>
            <w:tcW w:w="437" w:type="pct"/>
            <w:vAlign w:val="center"/>
          </w:tcPr>
          <w:p w14:paraId="4C6BA55D" w14:textId="77777777" w:rsidR="000228FA" w:rsidRPr="00A411E7" w:rsidRDefault="000228FA" w:rsidP="00FF3977">
            <w:pPr>
              <w:rPr>
                <w:rFonts w:eastAsia="Calibri"/>
              </w:rPr>
            </w:pPr>
            <w:r>
              <w:rPr>
                <w:color w:val="000000"/>
              </w:rPr>
              <w:t xml:space="preserve"> -</w:t>
            </w:r>
          </w:p>
        </w:tc>
        <w:tc>
          <w:tcPr>
            <w:tcW w:w="1669" w:type="pct"/>
            <w:vAlign w:val="center"/>
          </w:tcPr>
          <w:p w14:paraId="58B3B753"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35" w:type="pct"/>
            <w:vAlign w:val="center"/>
          </w:tcPr>
          <w:p w14:paraId="018CE37E" w14:textId="77777777" w:rsidR="000228FA" w:rsidRPr="00A411E7" w:rsidRDefault="000228FA" w:rsidP="00FF3977">
            <w:pPr>
              <w:rPr>
                <w:rFonts w:eastAsia="Calibri"/>
              </w:rPr>
            </w:pPr>
            <w:r>
              <w:rPr>
                <w:color w:val="000000"/>
              </w:rPr>
              <w:t xml:space="preserve"> -</w:t>
            </w:r>
          </w:p>
        </w:tc>
        <w:tc>
          <w:tcPr>
            <w:tcW w:w="835" w:type="pct"/>
          </w:tcPr>
          <w:p w14:paraId="15000150" w14:textId="77777777" w:rsidR="000228FA" w:rsidRDefault="000228FA" w:rsidP="00FF3977">
            <w:pPr>
              <w:rPr>
                <w:color w:val="000000"/>
              </w:rPr>
            </w:pPr>
            <w:r>
              <w:rPr>
                <w:color w:val="000000"/>
              </w:rPr>
              <w:t>Not relevant</w:t>
            </w:r>
          </w:p>
        </w:tc>
      </w:tr>
      <w:tr w:rsidR="000228FA" w14:paraId="7A42BFC9" w14:textId="77777777" w:rsidTr="00FF3977">
        <w:tc>
          <w:tcPr>
            <w:tcW w:w="1193" w:type="pct"/>
          </w:tcPr>
          <w:p w14:paraId="5B811296" w14:textId="77777777" w:rsidR="000228FA" w:rsidRPr="00A411E7" w:rsidRDefault="000228FA" w:rsidP="00FF3977">
            <w:pPr>
              <w:rPr>
                <w:rFonts w:eastAsia="Calibri"/>
              </w:rPr>
            </w:pPr>
            <w:r w:rsidRPr="00A411E7">
              <w:rPr>
                <w:rFonts w:eastAsia="Calibri"/>
              </w:rPr>
              <w:t>Chemical compatibility</w:t>
            </w:r>
          </w:p>
        </w:tc>
        <w:tc>
          <w:tcPr>
            <w:tcW w:w="431" w:type="pct"/>
            <w:vAlign w:val="center"/>
          </w:tcPr>
          <w:p w14:paraId="01B2F770" w14:textId="77777777" w:rsidR="000228FA" w:rsidRPr="00A411E7" w:rsidRDefault="000228FA" w:rsidP="00FF3977">
            <w:pPr>
              <w:rPr>
                <w:rFonts w:eastAsia="Calibri"/>
              </w:rPr>
            </w:pPr>
            <w:r>
              <w:rPr>
                <w:color w:val="000000"/>
              </w:rPr>
              <w:t xml:space="preserve"> -</w:t>
            </w:r>
          </w:p>
        </w:tc>
        <w:tc>
          <w:tcPr>
            <w:tcW w:w="437" w:type="pct"/>
            <w:vAlign w:val="center"/>
          </w:tcPr>
          <w:p w14:paraId="49CB293A" w14:textId="77777777" w:rsidR="000228FA" w:rsidRPr="00A411E7" w:rsidRDefault="000228FA" w:rsidP="00FF3977">
            <w:pPr>
              <w:rPr>
                <w:rFonts w:eastAsia="Calibri"/>
              </w:rPr>
            </w:pPr>
            <w:r>
              <w:rPr>
                <w:color w:val="000000"/>
              </w:rPr>
              <w:t xml:space="preserve"> -</w:t>
            </w:r>
          </w:p>
        </w:tc>
        <w:tc>
          <w:tcPr>
            <w:tcW w:w="1669" w:type="pct"/>
            <w:vAlign w:val="center"/>
          </w:tcPr>
          <w:p w14:paraId="11F96FFD"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35" w:type="pct"/>
            <w:vAlign w:val="center"/>
          </w:tcPr>
          <w:p w14:paraId="294A0631" w14:textId="77777777" w:rsidR="000228FA" w:rsidRPr="00A411E7" w:rsidRDefault="000228FA" w:rsidP="00FF3977">
            <w:pPr>
              <w:rPr>
                <w:rFonts w:eastAsia="Calibri"/>
              </w:rPr>
            </w:pPr>
            <w:r>
              <w:rPr>
                <w:color w:val="000000"/>
              </w:rPr>
              <w:t xml:space="preserve"> -</w:t>
            </w:r>
          </w:p>
        </w:tc>
        <w:tc>
          <w:tcPr>
            <w:tcW w:w="835" w:type="pct"/>
          </w:tcPr>
          <w:p w14:paraId="17DC5201" w14:textId="77777777" w:rsidR="000228FA" w:rsidRDefault="000228FA" w:rsidP="00FF3977">
            <w:pPr>
              <w:rPr>
                <w:color w:val="000000"/>
              </w:rPr>
            </w:pPr>
            <w:r>
              <w:rPr>
                <w:color w:val="000000"/>
              </w:rPr>
              <w:t>Not relevant</w:t>
            </w:r>
          </w:p>
        </w:tc>
      </w:tr>
      <w:tr w:rsidR="000228FA" w14:paraId="702047D1" w14:textId="77777777" w:rsidTr="00FF3977">
        <w:tc>
          <w:tcPr>
            <w:tcW w:w="1193" w:type="pct"/>
          </w:tcPr>
          <w:p w14:paraId="6DC47089" w14:textId="77777777" w:rsidR="000228FA" w:rsidRPr="00A411E7" w:rsidRDefault="000228FA" w:rsidP="00FF3977">
            <w:pPr>
              <w:rPr>
                <w:rFonts w:eastAsia="Calibri"/>
              </w:rPr>
            </w:pPr>
            <w:r w:rsidRPr="00A411E7">
              <w:rPr>
                <w:rFonts w:eastAsia="Calibri"/>
              </w:rPr>
              <w:t>Degree of dissolution and dilution stability</w:t>
            </w:r>
          </w:p>
        </w:tc>
        <w:tc>
          <w:tcPr>
            <w:tcW w:w="431" w:type="pct"/>
            <w:vAlign w:val="center"/>
          </w:tcPr>
          <w:p w14:paraId="241E34FA" w14:textId="77777777" w:rsidR="000228FA" w:rsidRPr="00A411E7" w:rsidRDefault="000228FA" w:rsidP="00FF3977">
            <w:pPr>
              <w:rPr>
                <w:rFonts w:eastAsia="Calibri"/>
              </w:rPr>
            </w:pPr>
            <w:r>
              <w:rPr>
                <w:color w:val="000000"/>
              </w:rPr>
              <w:t xml:space="preserve">CIPAC Handbook </w:t>
            </w:r>
            <w:r>
              <w:rPr>
                <w:color w:val="000000"/>
              </w:rPr>
              <w:lastRenderedPageBreak/>
              <w:t>O - MT 41.1 method (2017)</w:t>
            </w:r>
          </w:p>
        </w:tc>
        <w:tc>
          <w:tcPr>
            <w:tcW w:w="437" w:type="pct"/>
            <w:vAlign w:val="center"/>
          </w:tcPr>
          <w:p w14:paraId="35E32261" w14:textId="77777777" w:rsidR="000228FA" w:rsidRDefault="000228FA" w:rsidP="00FF3977">
            <w:pPr>
              <w:rPr>
                <w:color w:val="000000"/>
              </w:rPr>
            </w:pPr>
            <w:r>
              <w:rPr>
                <w:color w:val="000000"/>
              </w:rPr>
              <w:lastRenderedPageBreak/>
              <w:t>Batch 5118225</w:t>
            </w:r>
          </w:p>
          <w:p w14:paraId="65AAA89F" w14:textId="77777777" w:rsidR="000228FA" w:rsidRPr="00A411E7" w:rsidRDefault="000228FA" w:rsidP="00FF3977">
            <w:pPr>
              <w:rPr>
                <w:rFonts w:eastAsia="Calibri"/>
              </w:rPr>
            </w:pPr>
            <w:r>
              <w:rPr>
                <w:color w:val="000000"/>
              </w:rPr>
              <w:lastRenderedPageBreak/>
              <w:t xml:space="preserve">Test item: </w:t>
            </w:r>
            <w:r w:rsidRPr="00EF30FC">
              <w:rPr>
                <w:color w:val="000000"/>
              </w:rPr>
              <w:t>218291-P3</w:t>
            </w:r>
          </w:p>
        </w:tc>
        <w:tc>
          <w:tcPr>
            <w:tcW w:w="1669" w:type="pct"/>
            <w:vAlign w:val="center"/>
          </w:tcPr>
          <w:p w14:paraId="5F13BD3E" w14:textId="77777777" w:rsidR="000228FA" w:rsidRPr="00A411E7" w:rsidRDefault="000228FA" w:rsidP="00FF3977">
            <w:pPr>
              <w:rPr>
                <w:rFonts w:eastAsia="Calibri"/>
              </w:rPr>
            </w:pPr>
            <w:r>
              <w:rPr>
                <w:color w:val="000000"/>
              </w:rPr>
              <w:lastRenderedPageBreak/>
              <w:t xml:space="preserve">Before the accelerated storage procedure, two different phases were observed on the </w:t>
            </w:r>
            <w:r>
              <w:rPr>
                <w:color w:val="000000"/>
              </w:rPr>
              <w:lastRenderedPageBreak/>
              <w:t>test item solution at 15% w/w in standard water D after standing for 24 h at 30 °C ± 2 °C. After the accelerated storage procedure, two different phases were observed on the test item solution at 15% w/w in standard water D after standing for 24 h at 30 °C ± 2 °C.</w:t>
            </w:r>
          </w:p>
        </w:tc>
        <w:tc>
          <w:tcPr>
            <w:tcW w:w="435" w:type="pct"/>
            <w:vAlign w:val="center"/>
          </w:tcPr>
          <w:p w14:paraId="134FD96E" w14:textId="77777777" w:rsidR="000228FA" w:rsidRPr="00A411E7" w:rsidRDefault="000228FA" w:rsidP="00FF3977">
            <w:pPr>
              <w:rPr>
                <w:rFonts w:eastAsia="Calibri"/>
              </w:rPr>
            </w:pPr>
            <w:r>
              <w:rPr>
                <w:color w:val="000000"/>
              </w:rPr>
              <w:lastRenderedPageBreak/>
              <w:t xml:space="preserve">Demangel B. and </w:t>
            </w:r>
            <w:r>
              <w:rPr>
                <w:color w:val="000000"/>
              </w:rPr>
              <w:lastRenderedPageBreak/>
              <w:t>Ricau H., 2019, Report No 18-901011-036</w:t>
            </w:r>
          </w:p>
        </w:tc>
        <w:tc>
          <w:tcPr>
            <w:tcW w:w="835" w:type="pct"/>
          </w:tcPr>
          <w:p w14:paraId="795505A2" w14:textId="77777777" w:rsidR="000228FA" w:rsidRDefault="000228FA" w:rsidP="00FF3977">
            <w:pPr>
              <w:rPr>
                <w:color w:val="000000"/>
              </w:rPr>
            </w:pPr>
            <w:r>
              <w:rPr>
                <w:color w:val="000000"/>
              </w:rPr>
              <w:lastRenderedPageBreak/>
              <w:t>Not acceptable</w:t>
            </w:r>
          </w:p>
          <w:p w14:paraId="4DC60C4A" w14:textId="77777777" w:rsidR="000228FA" w:rsidRDefault="000228FA" w:rsidP="00FF3977">
            <w:pPr>
              <w:rPr>
                <w:color w:val="000000"/>
              </w:rPr>
            </w:pPr>
          </w:p>
          <w:p w14:paraId="41D25736" w14:textId="77777777" w:rsidR="000228FA" w:rsidRDefault="000228FA" w:rsidP="00FF3977">
            <w:pPr>
              <w:rPr>
                <w:color w:val="000000"/>
              </w:rPr>
            </w:pPr>
            <w:r>
              <w:rPr>
                <w:color w:val="000000"/>
              </w:rPr>
              <w:t xml:space="preserve">The solution formed after dilution is not stable. </w:t>
            </w:r>
          </w:p>
          <w:p w14:paraId="3D6894C6" w14:textId="27719072" w:rsidR="000228FA" w:rsidRDefault="000228FA" w:rsidP="00FF3977">
            <w:pPr>
              <w:rPr>
                <w:color w:val="000000"/>
              </w:rPr>
            </w:pPr>
            <w:r>
              <w:rPr>
                <w:color w:val="000000"/>
              </w:rPr>
              <w:t xml:space="preserve">The label of products of META SPC 7 should mention: </w:t>
            </w:r>
            <w:r w:rsidRPr="00FD6F0A">
              <w:rPr>
                <w:color w:val="000000"/>
              </w:rPr>
              <w:t xml:space="preserve">The product should be used </w:t>
            </w:r>
            <w:r w:rsidR="00EB1131">
              <w:rPr>
                <w:rFonts w:eastAsia="Calibri"/>
              </w:rPr>
              <w:t>within 30 minutes</w:t>
            </w:r>
            <w:r w:rsidRPr="00FD6F0A">
              <w:rPr>
                <w:color w:val="000000"/>
              </w:rPr>
              <w:t xml:space="preserve"> after dilution.</w:t>
            </w:r>
          </w:p>
        </w:tc>
      </w:tr>
      <w:tr w:rsidR="000228FA" w14:paraId="3AF15AC7" w14:textId="77777777" w:rsidTr="00FF3977">
        <w:tc>
          <w:tcPr>
            <w:tcW w:w="1193" w:type="pct"/>
          </w:tcPr>
          <w:p w14:paraId="21701F9A" w14:textId="77777777" w:rsidR="000228FA" w:rsidRPr="00A411E7" w:rsidRDefault="000228FA" w:rsidP="00FF3977">
            <w:pPr>
              <w:rPr>
                <w:rFonts w:eastAsia="Calibri"/>
              </w:rPr>
            </w:pPr>
            <w:r w:rsidRPr="00A411E7">
              <w:rPr>
                <w:rFonts w:eastAsia="Calibri"/>
              </w:rPr>
              <w:lastRenderedPageBreak/>
              <w:t>Surface tension</w:t>
            </w:r>
          </w:p>
        </w:tc>
        <w:tc>
          <w:tcPr>
            <w:tcW w:w="431" w:type="pct"/>
            <w:vAlign w:val="center"/>
          </w:tcPr>
          <w:p w14:paraId="65792864" w14:textId="77777777" w:rsidR="000228FA" w:rsidRPr="00A411E7" w:rsidRDefault="000228FA" w:rsidP="00FF3977">
            <w:pPr>
              <w:rPr>
                <w:rFonts w:eastAsia="Calibri"/>
              </w:rPr>
            </w:pPr>
            <w:r>
              <w:t>EC A.5. method (2008) and OECD Guideline No. 115 (1995)</w:t>
            </w:r>
          </w:p>
        </w:tc>
        <w:tc>
          <w:tcPr>
            <w:tcW w:w="437" w:type="pct"/>
            <w:vAlign w:val="center"/>
          </w:tcPr>
          <w:p w14:paraId="740F6F2C" w14:textId="77777777" w:rsidR="000228FA" w:rsidRDefault="000228FA" w:rsidP="00FF3977">
            <w:r>
              <w:t>Batch 5118225</w:t>
            </w:r>
          </w:p>
          <w:p w14:paraId="0F28EBF0"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2FF020E4" w14:textId="77777777" w:rsidR="000228FA" w:rsidRPr="00A411E7" w:rsidRDefault="000228FA" w:rsidP="00FF3977">
            <w:pPr>
              <w:rPr>
                <w:rFonts w:eastAsia="Calibri"/>
              </w:rPr>
            </w:pPr>
            <w:r>
              <w:t>The mean surface tension of the test item diluted at 15% w/w in distilled water at 19.9 °C was 25.2 mN/m. The test item was considered as surface-active in the experimental conditions used.</w:t>
            </w:r>
          </w:p>
        </w:tc>
        <w:tc>
          <w:tcPr>
            <w:tcW w:w="435" w:type="pct"/>
            <w:vAlign w:val="center"/>
          </w:tcPr>
          <w:p w14:paraId="2A2AA857" w14:textId="77777777" w:rsidR="000228FA" w:rsidRPr="00A411E7" w:rsidRDefault="000228FA" w:rsidP="00FF3977">
            <w:pPr>
              <w:rPr>
                <w:rFonts w:eastAsia="Calibri"/>
              </w:rPr>
            </w:pPr>
            <w:r>
              <w:t>Demangel B., 2019, Report No 18-901011-035</w:t>
            </w:r>
          </w:p>
        </w:tc>
        <w:tc>
          <w:tcPr>
            <w:tcW w:w="835" w:type="pct"/>
          </w:tcPr>
          <w:p w14:paraId="4188DF75" w14:textId="77777777" w:rsidR="000228FA" w:rsidRDefault="000228FA" w:rsidP="00FF3977">
            <w:r>
              <w:rPr>
                <w:color w:val="000000"/>
              </w:rPr>
              <w:t>Acceptable</w:t>
            </w:r>
          </w:p>
        </w:tc>
      </w:tr>
      <w:tr w:rsidR="000228FA" w14:paraId="2C6C06A5" w14:textId="77777777" w:rsidTr="00FF3977">
        <w:tc>
          <w:tcPr>
            <w:tcW w:w="1193" w:type="pct"/>
          </w:tcPr>
          <w:p w14:paraId="583464E0" w14:textId="77777777" w:rsidR="000228FA" w:rsidRPr="00A411E7" w:rsidRDefault="000228FA" w:rsidP="00FF3977">
            <w:pPr>
              <w:rPr>
                <w:rFonts w:eastAsia="Calibri"/>
              </w:rPr>
            </w:pPr>
            <w:r w:rsidRPr="00A411E7">
              <w:rPr>
                <w:rFonts w:eastAsia="Calibri"/>
              </w:rPr>
              <w:t>Viscosity</w:t>
            </w:r>
          </w:p>
        </w:tc>
        <w:tc>
          <w:tcPr>
            <w:tcW w:w="431" w:type="pct"/>
            <w:vAlign w:val="center"/>
          </w:tcPr>
          <w:p w14:paraId="6D0EC462" w14:textId="77777777" w:rsidR="000228FA" w:rsidRPr="00A411E7" w:rsidRDefault="000228FA" w:rsidP="00FF3977">
            <w:pPr>
              <w:rPr>
                <w:rFonts w:eastAsia="Calibri"/>
              </w:rPr>
            </w:pPr>
            <w:r>
              <w:t xml:space="preserve">OECD Guideline No. 114 (2012) and ISO Standard </w:t>
            </w:r>
            <w:r>
              <w:lastRenderedPageBreak/>
              <w:t>3219 (1993)</w:t>
            </w:r>
          </w:p>
        </w:tc>
        <w:tc>
          <w:tcPr>
            <w:tcW w:w="437" w:type="pct"/>
            <w:vAlign w:val="center"/>
          </w:tcPr>
          <w:p w14:paraId="6A90C9BA" w14:textId="77777777" w:rsidR="000228FA" w:rsidRDefault="000228FA" w:rsidP="00FF3977">
            <w:r>
              <w:lastRenderedPageBreak/>
              <w:t>Batch 5118225</w:t>
            </w:r>
          </w:p>
          <w:p w14:paraId="4F97D496" w14:textId="77777777" w:rsidR="000228FA" w:rsidRPr="00A411E7" w:rsidRDefault="000228FA" w:rsidP="00FF3977">
            <w:pPr>
              <w:rPr>
                <w:rFonts w:eastAsia="Calibri"/>
              </w:rPr>
            </w:pPr>
            <w:r>
              <w:rPr>
                <w:color w:val="000000"/>
              </w:rPr>
              <w:t xml:space="preserve">Test item: </w:t>
            </w:r>
            <w:r w:rsidRPr="00EF30FC">
              <w:rPr>
                <w:color w:val="000000"/>
              </w:rPr>
              <w:t>218291-P3</w:t>
            </w:r>
          </w:p>
        </w:tc>
        <w:tc>
          <w:tcPr>
            <w:tcW w:w="1669" w:type="pct"/>
            <w:vAlign w:val="center"/>
          </w:tcPr>
          <w:p w14:paraId="0EC36D8A" w14:textId="77777777" w:rsidR="000228FA" w:rsidRPr="00A411E7" w:rsidRDefault="000228FA" w:rsidP="00FF3977">
            <w:pPr>
              <w:rPr>
                <w:rFonts w:eastAsia="Calibri"/>
              </w:rPr>
            </w:pPr>
            <w:r>
              <w:t xml:space="preserve">Taking into account the results obtained at 20.0 °C and 40.0 °C, the test item was considered to have newtonian properties in the experimental conditions used. The mean dynamic viscosity of the test item was 5.18 mPa.s at 20.0 °C ± 0.2 °C and 2.78 mPa.s at 40.0 °C ± 0.2 °C. </w:t>
            </w:r>
          </w:p>
        </w:tc>
        <w:tc>
          <w:tcPr>
            <w:tcW w:w="435" w:type="pct"/>
            <w:vAlign w:val="center"/>
          </w:tcPr>
          <w:p w14:paraId="7A4E01F3" w14:textId="77777777" w:rsidR="000228FA" w:rsidRPr="00A411E7" w:rsidRDefault="000228FA" w:rsidP="00FF3977">
            <w:pPr>
              <w:rPr>
                <w:rFonts w:eastAsia="Calibri"/>
              </w:rPr>
            </w:pPr>
            <w:r>
              <w:t>Demangel B., 2019, Report No 18-901011-035</w:t>
            </w:r>
          </w:p>
        </w:tc>
        <w:tc>
          <w:tcPr>
            <w:tcW w:w="835" w:type="pct"/>
          </w:tcPr>
          <w:p w14:paraId="1DADB7AC" w14:textId="77777777" w:rsidR="000228FA" w:rsidRDefault="000228FA" w:rsidP="00FF3977">
            <w:r>
              <w:rPr>
                <w:color w:val="000000"/>
              </w:rPr>
              <w:t>Acceptable</w:t>
            </w:r>
          </w:p>
        </w:tc>
      </w:tr>
    </w:tbl>
    <w:p w14:paraId="1F123302" w14:textId="207655E5"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228FA" w:rsidRPr="00A411E7" w14:paraId="21A8F5A7"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19AD1FC8"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7</w:t>
            </w:r>
          </w:p>
        </w:tc>
      </w:tr>
      <w:tr w:rsidR="000228FA" w:rsidRPr="001D704F" w14:paraId="795F688E"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9E4D1C5" w14:textId="77777777" w:rsidR="000228FA" w:rsidRDefault="000228FA" w:rsidP="00FF3977">
            <w:pPr>
              <w:spacing w:line="276" w:lineRule="auto"/>
              <w:jc w:val="both"/>
              <w:rPr>
                <w:lang w:eastAsia="en-US"/>
              </w:rPr>
            </w:pPr>
            <w:r>
              <w:rPr>
                <w:lang w:eastAsia="en-US"/>
              </w:rPr>
              <w:t>The Meta-SPC 7 is a soluble concentrate (SL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CrxI7wL3","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Pr7vkCbL","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0A50650F" w14:textId="034CD3BF" w:rsidR="000228FA" w:rsidRDefault="000228FA" w:rsidP="00FF3977">
            <w:pPr>
              <w:spacing w:line="276" w:lineRule="auto"/>
              <w:jc w:val="both"/>
              <w:rPr>
                <w:lang w:eastAsia="en-US"/>
              </w:rPr>
            </w:pPr>
            <w:r>
              <w:rPr>
                <w:lang w:eastAsia="en-US"/>
              </w:rPr>
              <w:t xml:space="preserve">The appearance of the product is an </w:t>
            </w:r>
            <w:r>
              <w:t>homogeneous pale yellow limpid liquid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PET and COEXTRUDE (HDPE/PA and HDPE/EVAL). As the product is not stable after dilution, the labels should mention:</w:t>
            </w:r>
            <w:r>
              <w:t xml:space="preserve"> </w:t>
            </w:r>
            <w:r w:rsidRPr="00FD6F0A">
              <w:rPr>
                <w:lang w:eastAsia="en-US"/>
              </w:rPr>
              <w:t xml:space="preserve">The product should be used </w:t>
            </w:r>
            <w:r w:rsidR="00EB1131">
              <w:rPr>
                <w:rFonts w:eastAsia="Calibri"/>
              </w:rPr>
              <w:t>within 30 minutes</w:t>
            </w:r>
            <w:r w:rsidRPr="00FD6F0A">
              <w:rPr>
                <w:lang w:eastAsia="en-US"/>
              </w:rPr>
              <w:t xml:space="preserve"> after dilution.</w:t>
            </w:r>
            <w:r>
              <w:rPr>
                <w:lang w:eastAsia="en-US"/>
              </w:rPr>
              <w:t xml:space="preserve"> The long term storage stability study is on-going and </w:t>
            </w:r>
            <w:r>
              <w:t>should be provided in post-authorisation.</w:t>
            </w:r>
          </w:p>
          <w:p w14:paraId="4941B8E8" w14:textId="77777777" w:rsidR="000228FA" w:rsidRPr="001D704F" w:rsidRDefault="000228FA" w:rsidP="00FF3977">
            <w:pPr>
              <w:spacing w:line="260" w:lineRule="atLeast"/>
              <w:rPr>
                <w:rFonts w:eastAsia="Calibri"/>
                <w:color w:val="FF0000"/>
                <w:lang w:val="en-US" w:eastAsia="en-US"/>
              </w:rPr>
            </w:pPr>
            <w:r>
              <w:rPr>
                <w:lang w:eastAsia="en-US"/>
              </w:rPr>
              <w:t>Its technical characteristics are acceptable for a SL formulation.</w:t>
            </w:r>
          </w:p>
        </w:tc>
      </w:tr>
    </w:tbl>
    <w:p w14:paraId="76C9EF2E" w14:textId="2C409F34"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1213"/>
        <w:gridCol w:w="1231"/>
        <w:gridCol w:w="4678"/>
        <w:gridCol w:w="1225"/>
        <w:gridCol w:w="1621"/>
      </w:tblGrid>
      <w:tr w:rsidR="000228FA" w14:paraId="03CFB400" w14:textId="77777777" w:rsidTr="00FF3977">
        <w:trPr>
          <w:tblHeader/>
        </w:trPr>
        <w:tc>
          <w:tcPr>
            <w:tcW w:w="4483" w:type="pct"/>
            <w:gridSpan w:val="5"/>
            <w:shd w:val="clear" w:color="auto" w:fill="E0E0E0"/>
            <w:vAlign w:val="center"/>
          </w:tcPr>
          <w:p w14:paraId="202DB4AD" w14:textId="77777777" w:rsidR="000228FA" w:rsidRPr="00305B11" w:rsidRDefault="000228FA" w:rsidP="00FF3977">
            <w:pPr>
              <w:spacing w:line="260" w:lineRule="atLeast"/>
              <w:rPr>
                <w:rFonts w:eastAsia="Calibri"/>
                <w:b/>
                <w:lang w:eastAsia="en-US"/>
              </w:rPr>
            </w:pPr>
            <w:r>
              <w:rPr>
                <w:rFonts w:eastAsia="Calibri"/>
                <w:b/>
                <w:lang w:eastAsia="en-US"/>
              </w:rPr>
              <w:t>Meta-SPC 8 (SL - dilution concentration: 6% v/v)</w:t>
            </w:r>
          </w:p>
        </w:tc>
        <w:tc>
          <w:tcPr>
            <w:tcW w:w="517" w:type="pct"/>
            <w:shd w:val="clear" w:color="auto" w:fill="E0E0E0"/>
          </w:tcPr>
          <w:p w14:paraId="147912B7" w14:textId="77777777" w:rsidR="000228FA" w:rsidRDefault="000228FA" w:rsidP="00FF3977">
            <w:pPr>
              <w:spacing w:line="260" w:lineRule="atLeast"/>
              <w:rPr>
                <w:rFonts w:eastAsia="Calibri"/>
                <w:b/>
                <w:lang w:eastAsia="en-US"/>
              </w:rPr>
            </w:pPr>
          </w:p>
        </w:tc>
      </w:tr>
      <w:tr w:rsidR="000228FA" w:rsidRPr="00305B11" w14:paraId="3602275E" w14:textId="77777777" w:rsidTr="00FF3977">
        <w:trPr>
          <w:tblHeader/>
        </w:trPr>
        <w:tc>
          <w:tcPr>
            <w:tcW w:w="1302" w:type="pct"/>
            <w:shd w:val="clear" w:color="auto" w:fill="E0E0E0"/>
            <w:vAlign w:val="center"/>
          </w:tcPr>
          <w:p w14:paraId="52391C58"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444" w:type="pct"/>
            <w:shd w:val="clear" w:color="auto" w:fill="E0E0E0"/>
            <w:vAlign w:val="center"/>
          </w:tcPr>
          <w:p w14:paraId="74014C95"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474" w:type="pct"/>
            <w:shd w:val="clear" w:color="auto" w:fill="E0E0E0"/>
            <w:vAlign w:val="center"/>
          </w:tcPr>
          <w:p w14:paraId="70E3F08E"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792" w:type="pct"/>
            <w:shd w:val="clear" w:color="auto" w:fill="E0E0E0"/>
            <w:vAlign w:val="center"/>
          </w:tcPr>
          <w:p w14:paraId="73905E4F"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71" w:type="pct"/>
            <w:shd w:val="clear" w:color="auto" w:fill="E0E0E0"/>
            <w:vAlign w:val="center"/>
          </w:tcPr>
          <w:p w14:paraId="047EFE1B"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517" w:type="pct"/>
            <w:shd w:val="clear" w:color="auto" w:fill="E0E0E0"/>
            <w:vAlign w:val="center"/>
          </w:tcPr>
          <w:p w14:paraId="16E6F999"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2001A729" w14:textId="77777777" w:rsidTr="00FF3977">
        <w:tc>
          <w:tcPr>
            <w:tcW w:w="1302" w:type="pct"/>
          </w:tcPr>
          <w:p w14:paraId="0BAD1140"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444" w:type="pct"/>
            <w:vAlign w:val="center"/>
          </w:tcPr>
          <w:p w14:paraId="097B7E66" w14:textId="77777777" w:rsidR="000228FA" w:rsidRPr="00017CF8" w:rsidRDefault="000228FA" w:rsidP="00FF3977">
            <w:pPr>
              <w:rPr>
                <w:rFonts w:eastAsia="Calibri"/>
              </w:rPr>
            </w:pPr>
            <w:r>
              <w:rPr>
                <w:color w:val="000000"/>
              </w:rPr>
              <w:t xml:space="preserve"> -</w:t>
            </w:r>
          </w:p>
        </w:tc>
        <w:tc>
          <w:tcPr>
            <w:tcW w:w="474" w:type="pct"/>
            <w:vAlign w:val="center"/>
          </w:tcPr>
          <w:p w14:paraId="61ACC0BB" w14:textId="77777777" w:rsidR="000228FA" w:rsidRDefault="000228FA" w:rsidP="00FF3977">
            <w:pPr>
              <w:rPr>
                <w:color w:val="000000"/>
              </w:rPr>
            </w:pPr>
            <w:r>
              <w:rPr>
                <w:color w:val="000000"/>
              </w:rPr>
              <w:t>Batch 5118225</w:t>
            </w:r>
          </w:p>
          <w:p w14:paraId="3B6AB02F" w14:textId="77777777" w:rsidR="000228FA" w:rsidRPr="00017CF8"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06F5C448" w14:textId="77777777" w:rsidR="000228FA" w:rsidRPr="00017CF8" w:rsidRDefault="000228FA" w:rsidP="00FF3977">
            <w:pPr>
              <w:rPr>
                <w:rFonts w:eastAsia="Calibri"/>
              </w:rPr>
            </w:pPr>
            <w:r>
              <w:rPr>
                <w:color w:val="000000"/>
              </w:rPr>
              <w:t>The appearance of the test item was homogeneous slightly yellow limpid liquid with a characteristic odour.</w:t>
            </w:r>
          </w:p>
        </w:tc>
        <w:tc>
          <w:tcPr>
            <w:tcW w:w="471" w:type="pct"/>
            <w:vAlign w:val="center"/>
          </w:tcPr>
          <w:p w14:paraId="1D77C364" w14:textId="77777777" w:rsidR="000228FA" w:rsidRPr="00017CF8" w:rsidRDefault="000228FA" w:rsidP="00FF3977">
            <w:pPr>
              <w:rPr>
                <w:rFonts w:eastAsia="Calibri"/>
              </w:rPr>
            </w:pPr>
            <w:r>
              <w:rPr>
                <w:color w:val="000000"/>
              </w:rPr>
              <w:t>Demangel B. and Ricau H., 2019, Report No 18-</w:t>
            </w:r>
            <w:r>
              <w:rPr>
                <w:color w:val="000000"/>
              </w:rPr>
              <w:lastRenderedPageBreak/>
              <w:t>901011-040</w:t>
            </w:r>
          </w:p>
        </w:tc>
        <w:tc>
          <w:tcPr>
            <w:tcW w:w="517" w:type="pct"/>
          </w:tcPr>
          <w:p w14:paraId="168FA6E0" w14:textId="77777777" w:rsidR="000228FA" w:rsidRDefault="000228FA" w:rsidP="00FF3977">
            <w:pPr>
              <w:rPr>
                <w:color w:val="000000"/>
              </w:rPr>
            </w:pPr>
            <w:r>
              <w:rPr>
                <w:color w:val="000000"/>
              </w:rPr>
              <w:lastRenderedPageBreak/>
              <w:t>Acceptable</w:t>
            </w:r>
          </w:p>
        </w:tc>
      </w:tr>
      <w:tr w:rsidR="000228FA" w14:paraId="27AFB2E3" w14:textId="77777777" w:rsidTr="00FF3977">
        <w:tc>
          <w:tcPr>
            <w:tcW w:w="1302" w:type="pct"/>
          </w:tcPr>
          <w:p w14:paraId="7A7683D1" w14:textId="77777777" w:rsidR="000228FA" w:rsidRPr="00A411E7" w:rsidRDefault="000228FA" w:rsidP="00FF3977">
            <w:pPr>
              <w:rPr>
                <w:rFonts w:eastAsia="Calibri"/>
              </w:rPr>
            </w:pPr>
            <w:r w:rsidRPr="00A411E7">
              <w:rPr>
                <w:rFonts w:eastAsia="Calibri"/>
              </w:rPr>
              <w:t>Acidity / alkalinity</w:t>
            </w:r>
          </w:p>
        </w:tc>
        <w:tc>
          <w:tcPr>
            <w:tcW w:w="444" w:type="pct"/>
            <w:vAlign w:val="center"/>
          </w:tcPr>
          <w:p w14:paraId="2FABE469" w14:textId="77777777" w:rsidR="000228FA" w:rsidRPr="00A411E7" w:rsidRDefault="000228FA" w:rsidP="00FF3977">
            <w:pPr>
              <w:rPr>
                <w:rFonts w:eastAsia="Calibri"/>
              </w:rPr>
            </w:pPr>
            <w:r>
              <w:rPr>
                <w:color w:val="000000"/>
              </w:rPr>
              <w:t>CIPAC Handbook L - MT 191 method (2006)</w:t>
            </w:r>
          </w:p>
        </w:tc>
        <w:tc>
          <w:tcPr>
            <w:tcW w:w="474" w:type="pct"/>
            <w:vAlign w:val="center"/>
          </w:tcPr>
          <w:p w14:paraId="706650CE" w14:textId="77777777" w:rsidR="000228FA" w:rsidRDefault="000228FA" w:rsidP="00FF3977">
            <w:pPr>
              <w:rPr>
                <w:color w:val="000000"/>
              </w:rPr>
            </w:pPr>
            <w:r>
              <w:rPr>
                <w:color w:val="000000"/>
              </w:rPr>
              <w:t>Batch 5118225</w:t>
            </w:r>
          </w:p>
          <w:p w14:paraId="2036E5AD"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7515D49E" w14:textId="77777777" w:rsidR="000228FA" w:rsidRPr="00A411E7" w:rsidRDefault="000228FA" w:rsidP="00FF3977">
            <w:pPr>
              <w:rPr>
                <w:rFonts w:eastAsia="Calibri"/>
              </w:rPr>
            </w:pPr>
            <w:r>
              <w:br/>
              <w:t>Before the accelerated storage procedure, the mean value of the test item acidity was 8.89% w/w. After the accelerated storage procedure, the mean value of the test item acidity was 9.00% w/w.</w:t>
            </w:r>
          </w:p>
        </w:tc>
        <w:tc>
          <w:tcPr>
            <w:tcW w:w="471" w:type="pct"/>
            <w:vAlign w:val="center"/>
          </w:tcPr>
          <w:p w14:paraId="618AA922" w14:textId="77777777" w:rsidR="000228FA" w:rsidRPr="00A411E7" w:rsidRDefault="000228FA" w:rsidP="00FF3977">
            <w:pPr>
              <w:rPr>
                <w:rFonts w:eastAsia="Calibri"/>
              </w:rPr>
            </w:pPr>
            <w:r>
              <w:rPr>
                <w:color w:val="000000"/>
              </w:rPr>
              <w:t>Demangel B. and Ricau H., 2019, Report No 18-901011-040</w:t>
            </w:r>
          </w:p>
        </w:tc>
        <w:tc>
          <w:tcPr>
            <w:tcW w:w="517" w:type="pct"/>
          </w:tcPr>
          <w:p w14:paraId="1F876162" w14:textId="77777777" w:rsidR="000228FA" w:rsidRDefault="000228FA" w:rsidP="00FF3977">
            <w:pPr>
              <w:rPr>
                <w:color w:val="000000"/>
              </w:rPr>
            </w:pPr>
            <w:r>
              <w:rPr>
                <w:color w:val="000000"/>
              </w:rPr>
              <w:t>Acceptable</w:t>
            </w:r>
          </w:p>
        </w:tc>
      </w:tr>
      <w:tr w:rsidR="000228FA" w14:paraId="4C175C4A" w14:textId="77777777" w:rsidTr="00FF3977">
        <w:tc>
          <w:tcPr>
            <w:tcW w:w="1302" w:type="pct"/>
          </w:tcPr>
          <w:p w14:paraId="1A6E707B" w14:textId="77777777" w:rsidR="000228FA" w:rsidRPr="00A411E7" w:rsidRDefault="000228FA" w:rsidP="00FF3977">
            <w:pPr>
              <w:rPr>
                <w:rFonts w:eastAsia="Calibri"/>
              </w:rPr>
            </w:pPr>
            <w:r>
              <w:rPr>
                <w:rFonts w:eastAsia="Calibri"/>
              </w:rPr>
              <w:t>pH value</w:t>
            </w:r>
          </w:p>
        </w:tc>
        <w:tc>
          <w:tcPr>
            <w:tcW w:w="444" w:type="pct"/>
            <w:vAlign w:val="center"/>
          </w:tcPr>
          <w:p w14:paraId="19DDD323" w14:textId="77777777" w:rsidR="000228FA" w:rsidRDefault="000228FA" w:rsidP="00FF3977">
            <w:pPr>
              <w:rPr>
                <w:color w:val="000000"/>
              </w:rPr>
            </w:pPr>
            <w:r>
              <w:rPr>
                <w:color w:val="000000"/>
              </w:rPr>
              <w:t>CIPAC MT 75.3</w:t>
            </w:r>
          </w:p>
        </w:tc>
        <w:tc>
          <w:tcPr>
            <w:tcW w:w="474" w:type="pct"/>
            <w:vAlign w:val="center"/>
          </w:tcPr>
          <w:p w14:paraId="6DF99EE2" w14:textId="77777777" w:rsidR="000228FA" w:rsidRDefault="000228FA" w:rsidP="00FF3977">
            <w:pPr>
              <w:rPr>
                <w:color w:val="000000"/>
              </w:rPr>
            </w:pPr>
            <w:r>
              <w:rPr>
                <w:color w:val="000000"/>
              </w:rPr>
              <w:t>Batch 5118225</w:t>
            </w:r>
          </w:p>
          <w:p w14:paraId="1C5134A5" w14:textId="77777777" w:rsidR="000228FA" w:rsidRDefault="000228FA" w:rsidP="00FF3977">
            <w:pPr>
              <w:rPr>
                <w:color w:val="000000"/>
              </w:rPr>
            </w:pPr>
            <w:r>
              <w:rPr>
                <w:rFonts w:eastAsia="Calibri"/>
              </w:rPr>
              <w:t xml:space="preserve">Test item: </w:t>
            </w:r>
            <w:r w:rsidRPr="00B43A3F">
              <w:rPr>
                <w:rFonts w:eastAsia="Calibri"/>
              </w:rPr>
              <w:t>218282-P1</w:t>
            </w:r>
          </w:p>
        </w:tc>
        <w:tc>
          <w:tcPr>
            <w:tcW w:w="1792" w:type="pct"/>
            <w:vAlign w:val="center"/>
          </w:tcPr>
          <w:p w14:paraId="725D712F" w14:textId="77777777" w:rsidR="000228FA" w:rsidRDefault="000228FA" w:rsidP="00FF3977">
            <w:pPr>
              <w:rPr>
                <w:color w:val="000000"/>
              </w:rPr>
            </w:pPr>
            <w:r>
              <w:rPr>
                <w:color w:val="000000"/>
              </w:rPr>
              <w:t>Before accelerated storage: pH=1.79 at 20°C</w:t>
            </w:r>
          </w:p>
          <w:p w14:paraId="05CC10B6" w14:textId="77777777" w:rsidR="000228FA" w:rsidRDefault="000228FA" w:rsidP="00FF3977">
            <w:r>
              <w:rPr>
                <w:color w:val="000000"/>
              </w:rPr>
              <w:t>After accelerated storage: pH=1.75 at 20.4°C</w:t>
            </w:r>
          </w:p>
        </w:tc>
        <w:tc>
          <w:tcPr>
            <w:tcW w:w="471" w:type="pct"/>
            <w:vAlign w:val="center"/>
          </w:tcPr>
          <w:p w14:paraId="00A9DAAE" w14:textId="77777777" w:rsidR="000228FA" w:rsidRDefault="000228FA" w:rsidP="00FF3977">
            <w:pPr>
              <w:rPr>
                <w:color w:val="000000"/>
              </w:rPr>
            </w:pPr>
            <w:r>
              <w:rPr>
                <w:color w:val="000000"/>
              </w:rPr>
              <w:t>Demangel B. and Ricau H., 2019, Report No 18-901011-040</w:t>
            </w:r>
          </w:p>
        </w:tc>
        <w:tc>
          <w:tcPr>
            <w:tcW w:w="517" w:type="pct"/>
          </w:tcPr>
          <w:p w14:paraId="0F370068" w14:textId="77777777" w:rsidR="000228FA" w:rsidRDefault="000228FA" w:rsidP="00FF3977">
            <w:pPr>
              <w:rPr>
                <w:color w:val="000000"/>
              </w:rPr>
            </w:pPr>
            <w:r>
              <w:rPr>
                <w:color w:val="000000"/>
              </w:rPr>
              <w:t>Acceptable</w:t>
            </w:r>
          </w:p>
        </w:tc>
      </w:tr>
      <w:tr w:rsidR="000228FA" w14:paraId="14F96E35" w14:textId="77777777" w:rsidTr="00FF3977">
        <w:tc>
          <w:tcPr>
            <w:tcW w:w="1302" w:type="pct"/>
            <w:tcBorders>
              <w:top w:val="single" w:sz="4" w:space="0" w:color="auto"/>
              <w:left w:val="single" w:sz="4" w:space="0" w:color="auto"/>
              <w:bottom w:val="single" w:sz="4" w:space="0" w:color="auto"/>
              <w:right w:val="single" w:sz="4" w:space="0" w:color="auto"/>
            </w:tcBorders>
          </w:tcPr>
          <w:p w14:paraId="373C654D" w14:textId="77777777" w:rsidR="000228FA" w:rsidRPr="00A411E7" w:rsidRDefault="000228FA" w:rsidP="00FF3977">
            <w:pPr>
              <w:rPr>
                <w:rFonts w:eastAsia="Calibri"/>
              </w:rPr>
            </w:pPr>
            <w:r w:rsidRPr="00A411E7">
              <w:rPr>
                <w:rFonts w:eastAsia="Calibri"/>
              </w:rPr>
              <w:t>Relative density / bulk density</w:t>
            </w:r>
          </w:p>
        </w:tc>
        <w:tc>
          <w:tcPr>
            <w:tcW w:w="444" w:type="pct"/>
            <w:tcBorders>
              <w:top w:val="single" w:sz="4" w:space="0" w:color="auto"/>
              <w:left w:val="single" w:sz="4" w:space="0" w:color="auto"/>
              <w:bottom w:val="single" w:sz="4" w:space="0" w:color="auto"/>
              <w:right w:val="single" w:sz="4" w:space="0" w:color="auto"/>
            </w:tcBorders>
            <w:vAlign w:val="center"/>
          </w:tcPr>
          <w:p w14:paraId="23071809" w14:textId="77777777" w:rsidR="000228FA" w:rsidRPr="00A411E7" w:rsidRDefault="000228FA" w:rsidP="00FF3977">
            <w:pPr>
              <w:rPr>
                <w:rFonts w:eastAsia="Calibri"/>
              </w:rPr>
            </w:pPr>
            <w:r>
              <w:rPr>
                <w:color w:val="000000"/>
              </w:rPr>
              <w:t>EC A.3. method (2008) and OECD Guideline No. 109 (2012)</w:t>
            </w:r>
          </w:p>
        </w:tc>
        <w:tc>
          <w:tcPr>
            <w:tcW w:w="474" w:type="pct"/>
            <w:tcBorders>
              <w:top w:val="single" w:sz="4" w:space="0" w:color="auto"/>
              <w:left w:val="single" w:sz="4" w:space="0" w:color="auto"/>
              <w:bottom w:val="single" w:sz="4" w:space="0" w:color="auto"/>
              <w:right w:val="single" w:sz="4" w:space="0" w:color="auto"/>
            </w:tcBorders>
            <w:vAlign w:val="center"/>
          </w:tcPr>
          <w:p w14:paraId="6231DBAC" w14:textId="77777777" w:rsidR="000228FA" w:rsidRDefault="000228FA" w:rsidP="00FF3977">
            <w:pPr>
              <w:rPr>
                <w:color w:val="000000"/>
              </w:rPr>
            </w:pPr>
            <w:r>
              <w:rPr>
                <w:color w:val="000000"/>
              </w:rPr>
              <w:t>Batch 5118225</w:t>
            </w:r>
          </w:p>
          <w:p w14:paraId="2DC53D7C"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tcBorders>
              <w:top w:val="single" w:sz="4" w:space="0" w:color="auto"/>
              <w:left w:val="single" w:sz="4" w:space="0" w:color="auto"/>
              <w:bottom w:val="single" w:sz="4" w:space="0" w:color="auto"/>
              <w:right w:val="single" w:sz="4" w:space="0" w:color="auto"/>
            </w:tcBorders>
            <w:vAlign w:val="center"/>
          </w:tcPr>
          <w:p w14:paraId="02D49C63" w14:textId="77777777" w:rsidR="000228FA" w:rsidRPr="00A411E7" w:rsidRDefault="000228FA" w:rsidP="00FF3977">
            <w:pPr>
              <w:rPr>
                <w:rFonts w:eastAsia="Calibri"/>
              </w:rPr>
            </w:pPr>
            <w:r>
              <w:rPr>
                <w:color w:val="000000"/>
              </w:rPr>
              <w:t>The mean relative density of the test item was D204 = 1.057 ± 0.001 at 20.0 °C.</w:t>
            </w:r>
          </w:p>
        </w:tc>
        <w:tc>
          <w:tcPr>
            <w:tcW w:w="471" w:type="pct"/>
            <w:tcBorders>
              <w:top w:val="single" w:sz="4" w:space="0" w:color="auto"/>
              <w:left w:val="single" w:sz="4" w:space="0" w:color="auto"/>
              <w:bottom w:val="single" w:sz="4" w:space="0" w:color="auto"/>
              <w:right w:val="single" w:sz="4" w:space="0" w:color="auto"/>
            </w:tcBorders>
            <w:vAlign w:val="center"/>
          </w:tcPr>
          <w:p w14:paraId="31802961" w14:textId="77777777" w:rsidR="000228FA" w:rsidRPr="00A411E7" w:rsidRDefault="000228FA" w:rsidP="00FF3977">
            <w:pPr>
              <w:rPr>
                <w:rFonts w:eastAsia="Calibri"/>
              </w:rPr>
            </w:pPr>
            <w:r>
              <w:rPr>
                <w:color w:val="000000"/>
              </w:rPr>
              <w:t>Demangel B., 2019, Report No 18-901011-039</w:t>
            </w:r>
          </w:p>
        </w:tc>
        <w:tc>
          <w:tcPr>
            <w:tcW w:w="517" w:type="pct"/>
            <w:tcBorders>
              <w:top w:val="single" w:sz="4" w:space="0" w:color="auto"/>
              <w:left w:val="single" w:sz="4" w:space="0" w:color="auto"/>
              <w:bottom w:val="single" w:sz="4" w:space="0" w:color="auto"/>
              <w:right w:val="single" w:sz="4" w:space="0" w:color="auto"/>
            </w:tcBorders>
          </w:tcPr>
          <w:p w14:paraId="1CC0368D" w14:textId="77777777" w:rsidR="000228FA" w:rsidRDefault="000228FA" w:rsidP="00FF3977">
            <w:pPr>
              <w:rPr>
                <w:color w:val="000000"/>
              </w:rPr>
            </w:pPr>
            <w:r>
              <w:rPr>
                <w:color w:val="000000"/>
              </w:rPr>
              <w:t>Acceptable</w:t>
            </w:r>
          </w:p>
        </w:tc>
      </w:tr>
      <w:tr w:rsidR="000228FA" w14:paraId="22E86DD4" w14:textId="77777777" w:rsidTr="00FF3977">
        <w:tc>
          <w:tcPr>
            <w:tcW w:w="1302" w:type="pct"/>
          </w:tcPr>
          <w:p w14:paraId="40059676"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444" w:type="pct"/>
            <w:vAlign w:val="center"/>
          </w:tcPr>
          <w:p w14:paraId="3169F0FA" w14:textId="77777777" w:rsidR="000228FA" w:rsidRDefault="000228FA" w:rsidP="00FF3977">
            <w:pPr>
              <w:rPr>
                <w:color w:val="000000"/>
              </w:rPr>
            </w:pPr>
            <w:r>
              <w:rPr>
                <w:color w:val="000000"/>
              </w:rPr>
              <w:t xml:space="preserve">CIPAC Handbook J - MT 46.3 method </w:t>
            </w:r>
            <w:r>
              <w:rPr>
                <w:color w:val="000000"/>
              </w:rPr>
              <w:lastRenderedPageBreak/>
              <w:t>(2000)</w:t>
            </w:r>
            <w:r>
              <w:rPr>
                <w:color w:val="000000"/>
              </w:rPr>
              <w:br/>
            </w:r>
          </w:p>
          <w:p w14:paraId="484E84EE" w14:textId="77777777" w:rsidR="000228FA" w:rsidRDefault="000228FA" w:rsidP="00FF3977">
            <w:pPr>
              <w:rPr>
                <w:color w:val="000000"/>
              </w:rPr>
            </w:pPr>
            <w:r>
              <w:rPr>
                <w:color w:val="000000"/>
              </w:rPr>
              <w:t>Content of AS:</w:t>
            </w:r>
          </w:p>
          <w:p w14:paraId="074E7DB3" w14:textId="77777777" w:rsidR="000228FA" w:rsidRPr="003E6A10" w:rsidRDefault="000228FA" w:rsidP="00FF3977">
            <w:pPr>
              <w:rPr>
                <w:color w:val="000000"/>
                <w:lang w:val="en-US"/>
              </w:rPr>
            </w:pPr>
            <w:r>
              <w:rPr>
                <w:color w:val="000000"/>
              </w:rPr>
              <w:t xml:space="preserve">Validated method in studies </w:t>
            </w:r>
            <w:r w:rsidRPr="0026219A">
              <w:rPr>
                <w:color w:val="000000"/>
              </w:rPr>
              <w:t>No. 17-901011-001</w:t>
            </w:r>
            <w:r>
              <w:rPr>
                <w:color w:val="000000"/>
              </w:rPr>
              <w:t xml:space="preserve"> and No. 18-901011-043</w:t>
            </w:r>
          </w:p>
          <w:p w14:paraId="6938EA55" w14:textId="77777777" w:rsidR="000228FA" w:rsidRPr="00A411E7" w:rsidRDefault="000228FA" w:rsidP="00FF3977">
            <w:pPr>
              <w:rPr>
                <w:rFonts w:eastAsia="Calibri"/>
              </w:rPr>
            </w:pPr>
            <w:r>
              <w:rPr>
                <w:color w:val="000000"/>
              </w:rPr>
              <w:br/>
              <w:t>pH : CIPAC Handbook J - MT 75.3 method (2000)</w:t>
            </w:r>
          </w:p>
        </w:tc>
        <w:tc>
          <w:tcPr>
            <w:tcW w:w="474" w:type="pct"/>
            <w:vAlign w:val="center"/>
          </w:tcPr>
          <w:p w14:paraId="4782A275" w14:textId="77777777" w:rsidR="000228FA" w:rsidRDefault="000228FA" w:rsidP="00FF3977">
            <w:pPr>
              <w:rPr>
                <w:color w:val="000000"/>
              </w:rPr>
            </w:pPr>
            <w:r>
              <w:rPr>
                <w:color w:val="000000"/>
              </w:rPr>
              <w:lastRenderedPageBreak/>
              <w:t>Batch 5118225</w:t>
            </w:r>
          </w:p>
          <w:p w14:paraId="799F4BB3"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6F281320" w14:textId="77777777" w:rsidR="000228FA" w:rsidRDefault="000228FA" w:rsidP="00FF3977">
            <w:r>
              <w:t>Test item characteristics before and after the accelerated storage procedure was: Homogeneous slightly yellow limpid liquid with a characteristic odour.</w:t>
            </w:r>
            <w:r>
              <w:br/>
              <w:t xml:space="preserve">Packaging: White opaque HDPE flask. </w:t>
            </w:r>
            <w:r>
              <w:rPr>
                <w:color w:val="000000"/>
              </w:rPr>
              <w:t xml:space="preserve">(no </w:t>
            </w:r>
            <w:r>
              <w:rPr>
                <w:color w:val="000000"/>
              </w:rPr>
              <w:lastRenderedPageBreak/>
              <w:t>sign of degradation or leak was observed)</w:t>
            </w:r>
            <w:r>
              <w:rPr>
                <w:color w:val="FF0000"/>
              </w:rPr>
              <w:br/>
            </w:r>
            <w:r>
              <w:t>The appearance of the test item and the packaging material were considered to be stable after an accelerated storage procedure at 54 °C ± 2 °C for 14 days. No significant change of weight was observed (-0.2%).</w:t>
            </w:r>
          </w:p>
          <w:p w14:paraId="6F72B1A0" w14:textId="77777777" w:rsidR="000228FA" w:rsidRDefault="000228FA" w:rsidP="00FF3977">
            <w:pPr>
              <w:rPr>
                <w:color w:val="FF0000"/>
              </w:rPr>
            </w:pPr>
            <w:r>
              <w:rPr>
                <w:color w:val="FF0000"/>
              </w:rPr>
              <w:br/>
            </w:r>
            <w:r>
              <w:rPr>
                <w:b/>
                <w:bCs/>
              </w:rPr>
              <w:t>ANALYTICAL QUANTIFICATION OF THE ACTIVE SUBSTANCE</w:t>
            </w:r>
            <w:r>
              <w:rPr>
                <w:color w:val="FF0000"/>
              </w:rPr>
              <w:br/>
            </w:r>
            <w:r w:rsidRPr="001D704F">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126"/>
              <w:gridCol w:w="1318"/>
              <w:gridCol w:w="1318"/>
            </w:tblGrid>
            <w:tr w:rsidR="000228FA" w14:paraId="6EF0DDF7" w14:textId="77777777" w:rsidTr="00FF3977">
              <w:tc>
                <w:tcPr>
                  <w:tcW w:w="3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1542D6" w14:textId="77777777" w:rsidR="000228FA" w:rsidRDefault="000228FA" w:rsidP="00FF3977">
                  <w:pPr>
                    <w:jc w:val="center"/>
                  </w:pPr>
                  <w:r>
                    <w:t>Active substance</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30B1BB06" w14:textId="77777777" w:rsidR="000228FA" w:rsidRDefault="000228FA" w:rsidP="00FF3977">
                  <w:pPr>
                    <w:jc w:val="center"/>
                  </w:pPr>
                  <w:r>
                    <w:t>Before the accelerated storage procedure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D60A042" w14:textId="77777777" w:rsidR="000228FA" w:rsidRDefault="000228FA" w:rsidP="00FF3977">
                  <w:pPr>
                    <w:jc w:val="center"/>
                  </w:pPr>
                  <w:r>
                    <w:t>After the accelerated storage procedure</w:t>
                  </w:r>
                </w:p>
              </w:tc>
            </w:tr>
            <w:tr w:rsidR="000228FA" w14:paraId="5B19514E" w14:textId="77777777" w:rsidTr="00FF3977">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802C57" w14:textId="77777777" w:rsidR="000228FA" w:rsidRDefault="000228FA" w:rsidP="00FF3977">
                  <w:r>
                    <w:t>Lactic acid</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3531D6C1" w14:textId="77777777" w:rsidR="000228FA" w:rsidRDefault="000228FA" w:rsidP="00FF3977">
                  <w:r>
                    <w:t>Content (% w/w)</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54087916" w14:textId="77777777" w:rsidR="000228FA" w:rsidRDefault="000228FA" w:rsidP="00FF3977">
                  <w:pPr>
                    <w:jc w:val="center"/>
                  </w:pPr>
                  <w:r>
                    <w:t>16.2</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641A2C10" w14:textId="77777777" w:rsidR="000228FA" w:rsidRDefault="000228FA" w:rsidP="00FF3977">
                  <w:pPr>
                    <w:jc w:val="center"/>
                  </w:pPr>
                  <w:r>
                    <w:t>16.1</w:t>
                  </w:r>
                </w:p>
              </w:tc>
            </w:tr>
            <w:tr w:rsidR="000228FA" w14:paraId="78DE809E"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101F6" w14:textId="77777777" w:rsidR="000228FA" w:rsidRDefault="000228FA" w:rsidP="00FF3977"/>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14:paraId="3FC53866" w14:textId="77777777" w:rsidR="000228FA" w:rsidRDefault="000228FA" w:rsidP="00FF3977">
                  <w:r>
                    <w:t>Deviation (%)</w:t>
                  </w:r>
                </w:p>
              </w:tc>
              <w:tc>
                <w:tcPr>
                  <w:tcW w:w="2997" w:type="dxa"/>
                  <w:tcBorders>
                    <w:top w:val="single" w:sz="4" w:space="0" w:color="auto"/>
                    <w:left w:val="single" w:sz="4" w:space="0" w:color="auto"/>
                    <w:bottom w:val="single" w:sz="4" w:space="0" w:color="auto"/>
                    <w:right w:val="single" w:sz="4" w:space="0" w:color="auto"/>
                  </w:tcBorders>
                  <w:shd w:val="clear" w:color="auto" w:fill="auto"/>
                  <w:hideMark/>
                </w:tcPr>
                <w:p w14:paraId="0C11689D" w14:textId="77777777" w:rsidR="000228FA" w:rsidRDefault="000228FA" w:rsidP="00FF3977">
                  <w:pPr>
                    <w:jc w:val="center"/>
                  </w:pPr>
                  <w:r>
                    <w:t>From the nominal value</w:t>
                  </w:r>
                </w:p>
                <w:p w14:paraId="12E7146C" w14:textId="77777777" w:rsidR="000228FA" w:rsidRDefault="000228FA" w:rsidP="00FF3977">
                  <w:pPr>
                    <w:jc w:val="center"/>
                  </w:pPr>
                  <w:r>
                    <w:t>+1.3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6072E5A" w14:textId="77777777" w:rsidR="000228FA" w:rsidRDefault="000228FA" w:rsidP="00FF3977">
                  <w:pPr>
                    <w:jc w:val="center"/>
                  </w:pPr>
                  <w:r>
                    <w:t>From the T = 0 value</w:t>
                  </w:r>
                </w:p>
                <w:p w14:paraId="1C8A189A" w14:textId="77777777" w:rsidR="000228FA" w:rsidRDefault="000228FA" w:rsidP="00FF3977">
                  <w:pPr>
                    <w:jc w:val="center"/>
                  </w:pPr>
                  <w:r>
                    <w:t>-0.6</w:t>
                  </w:r>
                </w:p>
              </w:tc>
            </w:tr>
          </w:tbl>
          <w:p w14:paraId="0AF921D7" w14:textId="77777777" w:rsidR="000228FA" w:rsidRDefault="000228FA" w:rsidP="00FF3977">
            <w:r>
              <w:rPr>
                <w:color w:val="FF0000"/>
              </w:rPr>
              <w:br/>
            </w:r>
            <w:r>
              <w:rPr>
                <w:color w:val="FF0000"/>
              </w:rPr>
              <w:br/>
            </w:r>
            <w:r>
              <w:rPr>
                <w:b/>
                <w:bCs/>
              </w:rPr>
              <w:t>DETERMINATION OF pH VALUES</w:t>
            </w:r>
            <w:r>
              <w:br/>
              <w:t xml:space="preserve">Before the accelerated storage procedure, the mean pH value of the pure test item was: 1.79 at 20.0 °C after 1 min and 1.78 at 20.2 °C after 2 min. After the accelerated storage procedure, the mean pH value of </w:t>
            </w:r>
            <w:r>
              <w:lastRenderedPageBreak/>
              <w:t>the pure test item was: 1.75 at 20.4 °C after 1 min and 1.74 at 20.5 °C after 2 min.</w:t>
            </w:r>
          </w:p>
          <w:p w14:paraId="1293F313" w14:textId="77777777" w:rsidR="000228FA" w:rsidRDefault="000228FA" w:rsidP="00FF3977"/>
          <w:p w14:paraId="50E0DBB2" w14:textId="77777777" w:rsidR="000228FA" w:rsidRDefault="000228FA" w:rsidP="00FF3977">
            <w:pPr>
              <w:rPr>
                <w:b/>
                <w:bCs/>
              </w:rPr>
            </w:pPr>
            <w:r w:rsidRPr="00841966">
              <w:rPr>
                <w:b/>
                <w:bCs/>
              </w:rPr>
              <w:t>DILUTION STABILITY OF AQUEOUS SOLUTIONS</w:t>
            </w:r>
          </w:p>
          <w:p w14:paraId="5D59138E" w14:textId="77777777" w:rsidR="000228FA" w:rsidRPr="00A411E7" w:rsidRDefault="000228FA" w:rsidP="00FF3977">
            <w:pPr>
              <w:rPr>
                <w:rFonts w:eastAsia="Calibri"/>
              </w:rPr>
            </w:pPr>
            <w:r>
              <w:rPr>
                <w:color w:val="000000"/>
              </w:rPr>
              <w:t>Before and after the accelerated storage procedure, two different phases were observed on the test item solution at 10% w/w in standard water D after standing for 24 h at 30 °C ± 2 °C.</w:t>
            </w:r>
          </w:p>
        </w:tc>
        <w:tc>
          <w:tcPr>
            <w:tcW w:w="471" w:type="pct"/>
            <w:vAlign w:val="center"/>
          </w:tcPr>
          <w:p w14:paraId="3D500AE6" w14:textId="77777777" w:rsidR="000228FA" w:rsidRPr="00A411E7" w:rsidRDefault="000228FA" w:rsidP="00FF3977">
            <w:pPr>
              <w:rPr>
                <w:rFonts w:eastAsia="Calibri"/>
              </w:rPr>
            </w:pPr>
            <w:r>
              <w:rPr>
                <w:color w:val="000000"/>
              </w:rPr>
              <w:lastRenderedPageBreak/>
              <w:t xml:space="preserve">Demangel B. and Ricau H., 2019, Report No </w:t>
            </w:r>
            <w:r>
              <w:rPr>
                <w:color w:val="000000"/>
              </w:rPr>
              <w:lastRenderedPageBreak/>
              <w:t>18-901011-040</w:t>
            </w:r>
          </w:p>
        </w:tc>
        <w:tc>
          <w:tcPr>
            <w:tcW w:w="517" w:type="pct"/>
          </w:tcPr>
          <w:p w14:paraId="42BEEB00" w14:textId="77777777" w:rsidR="000228FA" w:rsidRDefault="000228FA" w:rsidP="00FF3977">
            <w:pPr>
              <w:rPr>
                <w:color w:val="000000"/>
              </w:rPr>
            </w:pPr>
            <w:r>
              <w:rPr>
                <w:color w:val="000000"/>
              </w:rPr>
              <w:lastRenderedPageBreak/>
              <w:t xml:space="preserve">Acceptable except for the dilution stability. </w:t>
            </w:r>
          </w:p>
          <w:p w14:paraId="314A49D9" w14:textId="77777777" w:rsidR="000228FA" w:rsidRDefault="000228FA" w:rsidP="00FF3977">
            <w:pPr>
              <w:rPr>
                <w:color w:val="000000"/>
              </w:rPr>
            </w:pPr>
          </w:p>
          <w:p w14:paraId="09FFE46D" w14:textId="77777777" w:rsidR="000228FA" w:rsidRDefault="000228FA" w:rsidP="00FF3977">
            <w:pPr>
              <w:rPr>
                <w:color w:val="000000"/>
              </w:rPr>
            </w:pPr>
            <w:r>
              <w:rPr>
                <w:color w:val="000000"/>
              </w:rPr>
              <w:lastRenderedPageBreak/>
              <w:t xml:space="preserve">The solution formed after dilution is not stable. </w:t>
            </w:r>
          </w:p>
          <w:p w14:paraId="38EACDDD" w14:textId="13E0F65E" w:rsidR="000228FA" w:rsidRDefault="000228FA" w:rsidP="00FF3977">
            <w:pPr>
              <w:rPr>
                <w:color w:val="000000"/>
              </w:rPr>
            </w:pPr>
            <w:r>
              <w:rPr>
                <w:color w:val="000000"/>
              </w:rPr>
              <w:t xml:space="preserve">The label of products of META SPC 8 should mention: </w:t>
            </w:r>
            <w:r w:rsidRPr="00FD6F0A">
              <w:rPr>
                <w:color w:val="000000"/>
              </w:rPr>
              <w:t xml:space="preserve">The product should be used </w:t>
            </w:r>
            <w:r w:rsidR="00EB1131">
              <w:rPr>
                <w:rFonts w:eastAsia="Calibri"/>
              </w:rPr>
              <w:t>within 30 minutes</w:t>
            </w:r>
            <w:r w:rsidRPr="00FD6F0A">
              <w:rPr>
                <w:color w:val="000000"/>
              </w:rPr>
              <w:t xml:space="preserve"> after dilution.</w:t>
            </w:r>
          </w:p>
        </w:tc>
      </w:tr>
      <w:tr w:rsidR="000228FA" w14:paraId="05D84A52" w14:textId="77777777" w:rsidTr="00FF3977">
        <w:tc>
          <w:tcPr>
            <w:tcW w:w="1302" w:type="pct"/>
          </w:tcPr>
          <w:p w14:paraId="49CA2FFD"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444" w:type="pct"/>
            <w:vAlign w:val="center"/>
          </w:tcPr>
          <w:p w14:paraId="6C9FCBCF" w14:textId="77777777" w:rsidR="000228FA" w:rsidRPr="00A12904" w:rsidRDefault="000228FA" w:rsidP="00FF3977">
            <w:pPr>
              <w:rPr>
                <w:color w:val="000000"/>
              </w:rPr>
            </w:pPr>
            <w:r>
              <w:rPr>
                <w:color w:val="000000"/>
              </w:rPr>
              <w:t> </w:t>
            </w:r>
            <w:r w:rsidRPr="00A12904">
              <w:rPr>
                <w:color w:val="000000"/>
              </w:rPr>
              <w:t>Technical</w:t>
            </w:r>
          </w:p>
          <w:p w14:paraId="495AA84E" w14:textId="77777777" w:rsidR="000228FA" w:rsidRPr="00A411E7" w:rsidRDefault="000228FA" w:rsidP="00FF3977">
            <w:pPr>
              <w:rPr>
                <w:rFonts w:eastAsia="Calibri"/>
              </w:rPr>
            </w:pPr>
            <w:r w:rsidRPr="00A12904">
              <w:rPr>
                <w:color w:val="000000"/>
              </w:rPr>
              <w:t>Monograph No. 17</w:t>
            </w:r>
          </w:p>
        </w:tc>
        <w:tc>
          <w:tcPr>
            <w:tcW w:w="474" w:type="pct"/>
            <w:vAlign w:val="center"/>
          </w:tcPr>
          <w:p w14:paraId="35F78597" w14:textId="77777777" w:rsidR="000228FA" w:rsidRPr="00A411E7" w:rsidRDefault="000228FA" w:rsidP="00FF3977">
            <w:pPr>
              <w:rPr>
                <w:rFonts w:eastAsia="Calibri"/>
              </w:rPr>
            </w:pPr>
            <w:r>
              <w:rPr>
                <w:color w:val="000000"/>
              </w:rPr>
              <w:t> </w:t>
            </w:r>
            <w:r>
              <w:rPr>
                <w:rFonts w:eastAsia="Calibri"/>
              </w:rPr>
              <w:t xml:space="preserve">Test item: </w:t>
            </w:r>
            <w:r w:rsidRPr="00B43A3F">
              <w:rPr>
                <w:rFonts w:eastAsia="Calibri"/>
              </w:rPr>
              <w:t>218282-P1</w:t>
            </w:r>
          </w:p>
        </w:tc>
        <w:tc>
          <w:tcPr>
            <w:tcW w:w="1792" w:type="pct"/>
            <w:vAlign w:val="center"/>
          </w:tcPr>
          <w:p w14:paraId="73CCAFBE"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71" w:type="pct"/>
            <w:vAlign w:val="center"/>
          </w:tcPr>
          <w:p w14:paraId="0E7F0D94" w14:textId="77777777" w:rsidR="000228FA" w:rsidRPr="00A411E7" w:rsidRDefault="000228FA" w:rsidP="00FF3977">
            <w:pPr>
              <w:rPr>
                <w:rFonts w:eastAsia="Calibri"/>
              </w:rPr>
            </w:pPr>
            <w:r>
              <w:rPr>
                <w:color w:val="000000"/>
              </w:rPr>
              <w:t> Demangel B., 2018, Report No 18-901011-041</w:t>
            </w:r>
          </w:p>
        </w:tc>
        <w:tc>
          <w:tcPr>
            <w:tcW w:w="517" w:type="pct"/>
          </w:tcPr>
          <w:p w14:paraId="3B389C7D" w14:textId="77777777" w:rsidR="000228FA" w:rsidRDefault="000228FA" w:rsidP="00FF3977">
            <w:pPr>
              <w:rPr>
                <w:color w:val="000000"/>
              </w:rPr>
            </w:pPr>
            <w:r>
              <w:rPr>
                <w:color w:val="000000"/>
              </w:rPr>
              <w:t>Study required in post-authorisation</w:t>
            </w:r>
          </w:p>
        </w:tc>
      </w:tr>
      <w:tr w:rsidR="000228FA" w14:paraId="6017D673" w14:textId="77777777" w:rsidTr="00FF3977">
        <w:tc>
          <w:tcPr>
            <w:tcW w:w="1302" w:type="pct"/>
          </w:tcPr>
          <w:p w14:paraId="55A7D646"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444" w:type="pct"/>
            <w:vAlign w:val="center"/>
          </w:tcPr>
          <w:p w14:paraId="22D414E5" w14:textId="77777777" w:rsidR="000228FA" w:rsidRPr="00A411E7" w:rsidRDefault="000228FA" w:rsidP="00FF3977">
            <w:pPr>
              <w:rPr>
                <w:rFonts w:eastAsia="Calibri"/>
              </w:rPr>
            </w:pPr>
            <w:r>
              <w:rPr>
                <w:color w:val="000000"/>
              </w:rPr>
              <w:t>CIPAC Handbook J - MT 39.3 method (2000)</w:t>
            </w:r>
          </w:p>
        </w:tc>
        <w:tc>
          <w:tcPr>
            <w:tcW w:w="474" w:type="pct"/>
            <w:vAlign w:val="center"/>
          </w:tcPr>
          <w:p w14:paraId="3D326A63" w14:textId="77777777" w:rsidR="000228FA" w:rsidRDefault="000228FA" w:rsidP="00FF3977">
            <w:pPr>
              <w:rPr>
                <w:color w:val="000000"/>
              </w:rPr>
            </w:pPr>
            <w:r>
              <w:rPr>
                <w:color w:val="000000"/>
              </w:rPr>
              <w:t>Batch 5118225</w:t>
            </w:r>
          </w:p>
          <w:p w14:paraId="52281F98"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6850FCEF" w14:textId="77777777" w:rsidR="000228FA" w:rsidRPr="00A411E7" w:rsidRDefault="000228FA" w:rsidP="00FF3977">
            <w:pPr>
              <w:rPr>
                <w:rFonts w:eastAsia="Calibri"/>
              </w:rPr>
            </w:pPr>
            <w:r>
              <w:t>At the start of the test, the test item was a homogeneous clear yellow limpid liquid. The aspect of the test item was considered to be stable after a low temperature stability for 7 days at 0 ± 2 °C, no change was observed in the test item aspect.</w:t>
            </w:r>
          </w:p>
        </w:tc>
        <w:tc>
          <w:tcPr>
            <w:tcW w:w="471" w:type="pct"/>
            <w:vAlign w:val="center"/>
          </w:tcPr>
          <w:p w14:paraId="06043A30" w14:textId="77777777" w:rsidR="000228FA" w:rsidRPr="00A411E7" w:rsidRDefault="000228FA" w:rsidP="00FF3977">
            <w:pPr>
              <w:rPr>
                <w:rFonts w:eastAsia="Calibri"/>
              </w:rPr>
            </w:pPr>
            <w:r>
              <w:rPr>
                <w:color w:val="000000"/>
              </w:rPr>
              <w:t>Demangel B., 2019, Report No 18-901011-039</w:t>
            </w:r>
          </w:p>
        </w:tc>
        <w:tc>
          <w:tcPr>
            <w:tcW w:w="517" w:type="pct"/>
          </w:tcPr>
          <w:p w14:paraId="6B390359" w14:textId="77777777" w:rsidR="000228FA" w:rsidRDefault="000228FA" w:rsidP="00FF3977">
            <w:pPr>
              <w:rPr>
                <w:color w:val="000000"/>
              </w:rPr>
            </w:pPr>
            <w:r>
              <w:rPr>
                <w:color w:val="000000"/>
              </w:rPr>
              <w:t>Acceptable</w:t>
            </w:r>
          </w:p>
          <w:p w14:paraId="05426B37" w14:textId="77777777" w:rsidR="000228FA" w:rsidRDefault="000228FA" w:rsidP="00FF3977">
            <w:pPr>
              <w:rPr>
                <w:color w:val="000000"/>
              </w:rPr>
            </w:pPr>
            <w:r>
              <w:rPr>
                <w:color w:val="000000"/>
              </w:rPr>
              <w:t>The product is stable after 7 days at 0°C.</w:t>
            </w:r>
          </w:p>
        </w:tc>
      </w:tr>
      <w:tr w:rsidR="000228FA" w14:paraId="1229399E" w14:textId="77777777" w:rsidTr="00FF3977">
        <w:tc>
          <w:tcPr>
            <w:tcW w:w="1302" w:type="pct"/>
          </w:tcPr>
          <w:p w14:paraId="0D8ADFD5"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444" w:type="pct"/>
            <w:vAlign w:val="center"/>
          </w:tcPr>
          <w:p w14:paraId="23B9B0FE" w14:textId="77777777" w:rsidR="000228FA" w:rsidRPr="00A411E7" w:rsidRDefault="000228FA" w:rsidP="00FF3977">
            <w:pPr>
              <w:spacing w:line="260" w:lineRule="atLeast"/>
              <w:rPr>
                <w:rFonts w:eastAsia="Calibri"/>
                <w:lang w:eastAsia="en-US"/>
              </w:rPr>
            </w:pPr>
            <w:r>
              <w:rPr>
                <w:color w:val="000000"/>
              </w:rPr>
              <w:t xml:space="preserve"> -</w:t>
            </w:r>
          </w:p>
        </w:tc>
        <w:tc>
          <w:tcPr>
            <w:tcW w:w="474" w:type="pct"/>
            <w:vAlign w:val="center"/>
          </w:tcPr>
          <w:p w14:paraId="25C7C61C" w14:textId="77777777" w:rsidR="000228FA" w:rsidRPr="00A411E7" w:rsidRDefault="000228FA" w:rsidP="00FF3977">
            <w:pPr>
              <w:spacing w:line="260" w:lineRule="atLeast"/>
              <w:rPr>
                <w:rFonts w:eastAsia="Calibri"/>
                <w:lang w:eastAsia="en-US"/>
              </w:rPr>
            </w:pPr>
            <w:r>
              <w:rPr>
                <w:color w:val="000000"/>
              </w:rPr>
              <w:t xml:space="preserve"> -</w:t>
            </w:r>
          </w:p>
        </w:tc>
        <w:tc>
          <w:tcPr>
            <w:tcW w:w="1792" w:type="pct"/>
            <w:vAlign w:val="center"/>
          </w:tcPr>
          <w:p w14:paraId="7C07DEBC" w14:textId="77777777" w:rsidR="000228FA" w:rsidRPr="00A411E7" w:rsidRDefault="000228FA" w:rsidP="00FF3977">
            <w:pPr>
              <w:spacing w:line="260" w:lineRule="atLeast"/>
              <w:rPr>
                <w:rFonts w:eastAsia="Calibri"/>
                <w:lang w:eastAsia="en-US"/>
              </w:rPr>
            </w:pPr>
            <w:r>
              <w:rPr>
                <w:color w:val="000000"/>
              </w:rPr>
              <w:t xml:space="preserve">Not relevant as the biocidal product is packaged in opaque HDPE packaging (1 l). </w:t>
            </w:r>
          </w:p>
        </w:tc>
        <w:tc>
          <w:tcPr>
            <w:tcW w:w="471" w:type="pct"/>
            <w:vAlign w:val="center"/>
          </w:tcPr>
          <w:p w14:paraId="54F8C5D6" w14:textId="77777777" w:rsidR="000228FA" w:rsidRPr="00A411E7" w:rsidRDefault="000228FA" w:rsidP="00FF3977">
            <w:pPr>
              <w:spacing w:line="260" w:lineRule="atLeast"/>
              <w:rPr>
                <w:rFonts w:eastAsia="Calibri"/>
                <w:lang w:eastAsia="en-US"/>
              </w:rPr>
            </w:pPr>
            <w:r>
              <w:rPr>
                <w:color w:val="000000"/>
              </w:rPr>
              <w:t xml:space="preserve"> -</w:t>
            </w:r>
          </w:p>
        </w:tc>
        <w:tc>
          <w:tcPr>
            <w:tcW w:w="517" w:type="pct"/>
          </w:tcPr>
          <w:p w14:paraId="66CA802D" w14:textId="77777777" w:rsidR="000228FA" w:rsidRDefault="000228FA" w:rsidP="00FF3977">
            <w:pPr>
              <w:spacing w:line="260" w:lineRule="atLeast"/>
              <w:rPr>
                <w:color w:val="000000"/>
              </w:rPr>
            </w:pPr>
            <w:r>
              <w:rPr>
                <w:color w:val="000000"/>
              </w:rPr>
              <w:t>Acceptable</w:t>
            </w:r>
          </w:p>
          <w:p w14:paraId="01A42B99" w14:textId="77777777" w:rsidR="000228FA" w:rsidRDefault="000228FA" w:rsidP="00FF3977">
            <w:pPr>
              <w:spacing w:line="260" w:lineRule="atLeast"/>
              <w:rPr>
                <w:color w:val="000000"/>
              </w:rPr>
            </w:pPr>
            <w:r w:rsidRPr="00542FDF">
              <w:rPr>
                <w:color w:val="000000"/>
              </w:rPr>
              <w:t xml:space="preserve">The active substance, lactic acid, is not light sensitive.  </w:t>
            </w:r>
          </w:p>
        </w:tc>
      </w:tr>
      <w:tr w:rsidR="000228FA" w14:paraId="35F48226" w14:textId="77777777" w:rsidTr="00FF3977">
        <w:tc>
          <w:tcPr>
            <w:tcW w:w="1302" w:type="pct"/>
          </w:tcPr>
          <w:p w14:paraId="52941C3E" w14:textId="77777777" w:rsidR="000228FA" w:rsidRPr="00A411E7" w:rsidRDefault="000228FA" w:rsidP="00FF3977">
            <w:pPr>
              <w:rPr>
                <w:rFonts w:eastAsia="Calibri"/>
              </w:rPr>
            </w:pPr>
            <w:r w:rsidRPr="00A411E7">
              <w:rPr>
                <w:rFonts w:eastAsia="Calibri"/>
              </w:rPr>
              <w:lastRenderedPageBreak/>
              <w:t xml:space="preserve">Effects on content of the active substance and technical characteristics of the biocidal product – </w:t>
            </w:r>
            <w:r w:rsidRPr="00A411E7">
              <w:rPr>
                <w:rFonts w:eastAsia="Calibri"/>
                <w:b/>
              </w:rPr>
              <w:t>temperature and humidity</w:t>
            </w:r>
          </w:p>
        </w:tc>
        <w:tc>
          <w:tcPr>
            <w:tcW w:w="444" w:type="pct"/>
            <w:vAlign w:val="center"/>
          </w:tcPr>
          <w:p w14:paraId="170C648F" w14:textId="77777777" w:rsidR="000228FA" w:rsidRPr="00A411E7" w:rsidRDefault="000228FA" w:rsidP="00FF3977">
            <w:pPr>
              <w:rPr>
                <w:rFonts w:eastAsia="Calibri"/>
              </w:rPr>
            </w:pPr>
            <w:r>
              <w:rPr>
                <w:color w:val="000000"/>
              </w:rPr>
              <w:t xml:space="preserve"> -</w:t>
            </w:r>
          </w:p>
        </w:tc>
        <w:tc>
          <w:tcPr>
            <w:tcW w:w="474" w:type="pct"/>
            <w:vAlign w:val="center"/>
          </w:tcPr>
          <w:p w14:paraId="517A7EA4" w14:textId="77777777" w:rsidR="000228FA" w:rsidRPr="00A411E7" w:rsidRDefault="000228FA" w:rsidP="00FF3977">
            <w:pPr>
              <w:rPr>
                <w:rFonts w:eastAsia="Calibri"/>
              </w:rPr>
            </w:pPr>
            <w:r>
              <w:rPr>
                <w:color w:val="000000"/>
              </w:rPr>
              <w:t xml:space="preserve"> -</w:t>
            </w:r>
          </w:p>
        </w:tc>
        <w:tc>
          <w:tcPr>
            <w:tcW w:w="1792" w:type="pct"/>
            <w:vAlign w:val="center"/>
          </w:tcPr>
          <w:p w14:paraId="6359385C" w14:textId="77777777" w:rsidR="000228FA" w:rsidRPr="00A411E7" w:rsidRDefault="000228FA" w:rsidP="00FF3977">
            <w:pPr>
              <w:rPr>
                <w:rFonts w:eastAsia="Calibri"/>
              </w:rPr>
            </w:pPr>
            <w:r>
              <w:rPr>
                <w:color w:val="000000"/>
              </w:rPr>
              <w:t xml:space="preserve">With its cap, the packagings are leak-tight. The test item is considered to be stable after 14 days at 54 ± 2°C (please refer above). </w:t>
            </w:r>
          </w:p>
        </w:tc>
        <w:tc>
          <w:tcPr>
            <w:tcW w:w="471" w:type="pct"/>
            <w:vAlign w:val="center"/>
          </w:tcPr>
          <w:p w14:paraId="70D41901" w14:textId="77777777" w:rsidR="000228FA" w:rsidRPr="00A411E7" w:rsidRDefault="000228FA" w:rsidP="00FF3977">
            <w:pPr>
              <w:rPr>
                <w:rFonts w:eastAsia="Calibri"/>
              </w:rPr>
            </w:pPr>
            <w:r>
              <w:rPr>
                <w:color w:val="000000"/>
              </w:rPr>
              <w:t xml:space="preserve"> -</w:t>
            </w:r>
          </w:p>
        </w:tc>
        <w:tc>
          <w:tcPr>
            <w:tcW w:w="517" w:type="pct"/>
          </w:tcPr>
          <w:p w14:paraId="13D037AC" w14:textId="77777777" w:rsidR="000228FA" w:rsidRDefault="000228FA" w:rsidP="00FF3977">
            <w:pPr>
              <w:rPr>
                <w:color w:val="000000"/>
              </w:rPr>
            </w:pPr>
            <w:r>
              <w:rPr>
                <w:color w:val="000000"/>
              </w:rPr>
              <w:t>Acceptable</w:t>
            </w:r>
          </w:p>
        </w:tc>
      </w:tr>
      <w:tr w:rsidR="000228FA" w14:paraId="0B465CE7" w14:textId="77777777" w:rsidTr="00FF3977">
        <w:tc>
          <w:tcPr>
            <w:tcW w:w="1302" w:type="pct"/>
          </w:tcPr>
          <w:p w14:paraId="0031BC48"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444" w:type="pct"/>
            <w:vAlign w:val="center"/>
          </w:tcPr>
          <w:p w14:paraId="0F10CCC8" w14:textId="77777777" w:rsidR="000228FA" w:rsidRPr="00A411E7" w:rsidRDefault="000228FA" w:rsidP="00FF3977">
            <w:pPr>
              <w:rPr>
                <w:rFonts w:eastAsia="Calibri"/>
              </w:rPr>
            </w:pPr>
            <w:r>
              <w:rPr>
                <w:color w:val="000000"/>
              </w:rPr>
              <w:t xml:space="preserve"> -</w:t>
            </w:r>
          </w:p>
        </w:tc>
        <w:tc>
          <w:tcPr>
            <w:tcW w:w="474" w:type="pct"/>
            <w:vAlign w:val="center"/>
          </w:tcPr>
          <w:p w14:paraId="128CD819" w14:textId="77777777" w:rsidR="000228FA" w:rsidRPr="00A411E7" w:rsidRDefault="000228FA" w:rsidP="00FF3977">
            <w:pPr>
              <w:rPr>
                <w:rFonts w:eastAsia="Calibri"/>
              </w:rPr>
            </w:pPr>
            <w:r>
              <w:rPr>
                <w:color w:val="000000"/>
              </w:rPr>
              <w:t xml:space="preserve"> -</w:t>
            </w:r>
          </w:p>
        </w:tc>
        <w:tc>
          <w:tcPr>
            <w:tcW w:w="1792" w:type="pct"/>
            <w:vAlign w:val="center"/>
          </w:tcPr>
          <w:p w14:paraId="404AE4D8"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stable after 14 days at 54 ± 2°C (please refer above). </w:t>
            </w:r>
          </w:p>
        </w:tc>
        <w:tc>
          <w:tcPr>
            <w:tcW w:w="471" w:type="pct"/>
            <w:vAlign w:val="center"/>
          </w:tcPr>
          <w:p w14:paraId="143A137C" w14:textId="77777777" w:rsidR="000228FA" w:rsidRPr="00A411E7" w:rsidRDefault="000228FA" w:rsidP="00FF3977">
            <w:pPr>
              <w:rPr>
                <w:rFonts w:eastAsia="Calibri"/>
              </w:rPr>
            </w:pPr>
            <w:r>
              <w:rPr>
                <w:color w:val="000000"/>
              </w:rPr>
              <w:t xml:space="preserve"> -</w:t>
            </w:r>
          </w:p>
        </w:tc>
        <w:tc>
          <w:tcPr>
            <w:tcW w:w="517" w:type="pct"/>
          </w:tcPr>
          <w:p w14:paraId="130A4003" w14:textId="77777777" w:rsidR="000228FA" w:rsidRDefault="000228FA" w:rsidP="00FF3977">
            <w:pPr>
              <w:rPr>
                <w:color w:val="000000"/>
              </w:rPr>
            </w:pPr>
            <w:r>
              <w:rPr>
                <w:color w:val="000000"/>
              </w:rPr>
              <w:t>Acceptable</w:t>
            </w:r>
          </w:p>
        </w:tc>
      </w:tr>
      <w:tr w:rsidR="000228FA" w14:paraId="3243836D" w14:textId="77777777" w:rsidTr="00FF3977">
        <w:tc>
          <w:tcPr>
            <w:tcW w:w="1302" w:type="pct"/>
          </w:tcPr>
          <w:p w14:paraId="2566CB08" w14:textId="77777777" w:rsidR="000228FA" w:rsidRPr="00A411E7" w:rsidRDefault="000228FA" w:rsidP="00FF3977">
            <w:pPr>
              <w:rPr>
                <w:rFonts w:eastAsia="Calibri"/>
              </w:rPr>
            </w:pPr>
            <w:r w:rsidRPr="00A411E7">
              <w:rPr>
                <w:rFonts w:eastAsia="Calibri"/>
              </w:rPr>
              <w:t>Wettability</w:t>
            </w:r>
          </w:p>
        </w:tc>
        <w:tc>
          <w:tcPr>
            <w:tcW w:w="444" w:type="pct"/>
            <w:vAlign w:val="center"/>
          </w:tcPr>
          <w:p w14:paraId="7387C5D3" w14:textId="77777777" w:rsidR="000228FA" w:rsidRPr="00A411E7" w:rsidRDefault="000228FA" w:rsidP="00FF3977">
            <w:pPr>
              <w:rPr>
                <w:rFonts w:eastAsia="Calibri"/>
              </w:rPr>
            </w:pPr>
            <w:r>
              <w:rPr>
                <w:color w:val="000000"/>
              </w:rPr>
              <w:t xml:space="preserve"> -</w:t>
            </w:r>
          </w:p>
        </w:tc>
        <w:tc>
          <w:tcPr>
            <w:tcW w:w="474" w:type="pct"/>
            <w:vAlign w:val="center"/>
          </w:tcPr>
          <w:p w14:paraId="3ABD1A47" w14:textId="77777777" w:rsidR="000228FA" w:rsidRPr="00A411E7" w:rsidRDefault="000228FA" w:rsidP="00FF3977">
            <w:pPr>
              <w:rPr>
                <w:rFonts w:eastAsia="Calibri"/>
              </w:rPr>
            </w:pPr>
            <w:r>
              <w:rPr>
                <w:color w:val="000000"/>
              </w:rPr>
              <w:t xml:space="preserve"> -</w:t>
            </w:r>
          </w:p>
        </w:tc>
        <w:tc>
          <w:tcPr>
            <w:tcW w:w="1792" w:type="pct"/>
            <w:vAlign w:val="center"/>
          </w:tcPr>
          <w:p w14:paraId="03A5DB8E" w14:textId="77777777" w:rsidR="000228FA" w:rsidRPr="00A411E7" w:rsidRDefault="000228FA" w:rsidP="00FF3977">
            <w:pPr>
              <w:rPr>
                <w:rFonts w:eastAsia="Calibri"/>
              </w:rPr>
            </w:pPr>
            <w:r>
              <w:rPr>
                <w:color w:val="000000"/>
              </w:rPr>
              <w:t>Not required as the product is a soluble concentrate (SL).</w:t>
            </w:r>
          </w:p>
        </w:tc>
        <w:tc>
          <w:tcPr>
            <w:tcW w:w="471" w:type="pct"/>
            <w:vAlign w:val="center"/>
          </w:tcPr>
          <w:p w14:paraId="0CE48E30" w14:textId="77777777" w:rsidR="000228FA" w:rsidRPr="00A411E7" w:rsidRDefault="000228FA" w:rsidP="00FF3977">
            <w:pPr>
              <w:rPr>
                <w:rFonts w:eastAsia="Calibri"/>
              </w:rPr>
            </w:pPr>
            <w:r>
              <w:rPr>
                <w:color w:val="000000"/>
              </w:rPr>
              <w:t xml:space="preserve"> -</w:t>
            </w:r>
          </w:p>
        </w:tc>
        <w:tc>
          <w:tcPr>
            <w:tcW w:w="517" w:type="pct"/>
          </w:tcPr>
          <w:p w14:paraId="372F725F" w14:textId="77777777" w:rsidR="000228FA" w:rsidRDefault="000228FA" w:rsidP="00FF3977">
            <w:pPr>
              <w:rPr>
                <w:color w:val="000000"/>
              </w:rPr>
            </w:pPr>
            <w:r>
              <w:rPr>
                <w:color w:val="000000"/>
              </w:rPr>
              <w:t>Not relevant for a SL formulation.</w:t>
            </w:r>
          </w:p>
        </w:tc>
      </w:tr>
      <w:tr w:rsidR="000228FA" w14:paraId="6A982CA2" w14:textId="77777777" w:rsidTr="00FF3977">
        <w:tc>
          <w:tcPr>
            <w:tcW w:w="1302" w:type="pct"/>
          </w:tcPr>
          <w:p w14:paraId="6315A910" w14:textId="77777777" w:rsidR="000228FA" w:rsidRPr="00A411E7" w:rsidRDefault="000228FA" w:rsidP="00FF3977">
            <w:pPr>
              <w:rPr>
                <w:rFonts w:eastAsia="Calibri"/>
              </w:rPr>
            </w:pPr>
            <w:r w:rsidRPr="00A411E7">
              <w:rPr>
                <w:rFonts w:eastAsia="Calibri"/>
              </w:rPr>
              <w:t>Suspensibility, spontaneity and dispersion stability</w:t>
            </w:r>
          </w:p>
        </w:tc>
        <w:tc>
          <w:tcPr>
            <w:tcW w:w="444" w:type="pct"/>
            <w:vAlign w:val="center"/>
          </w:tcPr>
          <w:p w14:paraId="5103BB0E" w14:textId="77777777" w:rsidR="000228FA" w:rsidRPr="00A411E7" w:rsidRDefault="000228FA" w:rsidP="00FF3977">
            <w:pPr>
              <w:rPr>
                <w:rFonts w:eastAsia="Calibri"/>
              </w:rPr>
            </w:pPr>
            <w:r>
              <w:rPr>
                <w:color w:val="000000"/>
              </w:rPr>
              <w:t xml:space="preserve"> -</w:t>
            </w:r>
          </w:p>
        </w:tc>
        <w:tc>
          <w:tcPr>
            <w:tcW w:w="474" w:type="pct"/>
            <w:vAlign w:val="center"/>
          </w:tcPr>
          <w:p w14:paraId="172BE5AD" w14:textId="77777777" w:rsidR="000228FA" w:rsidRPr="00A411E7" w:rsidRDefault="000228FA" w:rsidP="00FF3977">
            <w:pPr>
              <w:rPr>
                <w:rFonts w:eastAsia="Calibri"/>
              </w:rPr>
            </w:pPr>
            <w:r>
              <w:rPr>
                <w:color w:val="000000"/>
              </w:rPr>
              <w:t xml:space="preserve"> -</w:t>
            </w:r>
          </w:p>
        </w:tc>
        <w:tc>
          <w:tcPr>
            <w:tcW w:w="1792" w:type="pct"/>
            <w:vAlign w:val="center"/>
          </w:tcPr>
          <w:p w14:paraId="0A16CC4F" w14:textId="77777777" w:rsidR="000228FA" w:rsidRPr="00A411E7" w:rsidRDefault="000228FA" w:rsidP="00FF3977">
            <w:pPr>
              <w:rPr>
                <w:rFonts w:eastAsia="Calibri"/>
              </w:rPr>
            </w:pPr>
            <w:r>
              <w:rPr>
                <w:color w:val="000000"/>
              </w:rPr>
              <w:t>Not required as the product is a soluble concentrate (SL).</w:t>
            </w:r>
          </w:p>
        </w:tc>
        <w:tc>
          <w:tcPr>
            <w:tcW w:w="471" w:type="pct"/>
            <w:vAlign w:val="center"/>
          </w:tcPr>
          <w:p w14:paraId="27A8977E" w14:textId="77777777" w:rsidR="000228FA" w:rsidRPr="00A411E7" w:rsidRDefault="000228FA" w:rsidP="00FF3977">
            <w:pPr>
              <w:rPr>
                <w:rFonts w:eastAsia="Calibri"/>
              </w:rPr>
            </w:pPr>
            <w:r>
              <w:rPr>
                <w:color w:val="000000"/>
              </w:rPr>
              <w:t xml:space="preserve"> -</w:t>
            </w:r>
          </w:p>
        </w:tc>
        <w:tc>
          <w:tcPr>
            <w:tcW w:w="517" w:type="pct"/>
          </w:tcPr>
          <w:p w14:paraId="09C8775F" w14:textId="77777777" w:rsidR="000228FA" w:rsidRDefault="000228FA" w:rsidP="00FF3977">
            <w:pPr>
              <w:rPr>
                <w:color w:val="000000"/>
              </w:rPr>
            </w:pPr>
            <w:r>
              <w:rPr>
                <w:color w:val="000000"/>
              </w:rPr>
              <w:t>Not relevant for a SL formulation.</w:t>
            </w:r>
          </w:p>
        </w:tc>
      </w:tr>
      <w:tr w:rsidR="000228FA" w14:paraId="0F88DCD4" w14:textId="77777777" w:rsidTr="00FF3977">
        <w:tc>
          <w:tcPr>
            <w:tcW w:w="1302" w:type="pct"/>
          </w:tcPr>
          <w:p w14:paraId="6AF53ABC" w14:textId="77777777" w:rsidR="000228FA" w:rsidRPr="00F24D0D" w:rsidRDefault="000228FA" w:rsidP="00FF3977">
            <w:pPr>
              <w:rPr>
                <w:rFonts w:eastAsia="Calibri"/>
              </w:rPr>
            </w:pPr>
            <w:r w:rsidRPr="00A411E7">
              <w:rPr>
                <w:rFonts w:eastAsia="Calibri"/>
              </w:rPr>
              <w:t xml:space="preserve">Wet sieve analysis </w:t>
            </w:r>
            <w:r w:rsidRPr="00F24D0D">
              <w:rPr>
                <w:rFonts w:eastAsia="Calibri"/>
              </w:rPr>
              <w:t>and dry sieve test</w:t>
            </w:r>
          </w:p>
        </w:tc>
        <w:tc>
          <w:tcPr>
            <w:tcW w:w="444" w:type="pct"/>
            <w:vAlign w:val="center"/>
          </w:tcPr>
          <w:p w14:paraId="5CDB301D" w14:textId="77777777" w:rsidR="000228FA" w:rsidRPr="00F24D0D" w:rsidRDefault="000228FA" w:rsidP="00FF3977">
            <w:pPr>
              <w:rPr>
                <w:rFonts w:eastAsia="Calibri"/>
              </w:rPr>
            </w:pPr>
            <w:r>
              <w:rPr>
                <w:color w:val="000000"/>
              </w:rPr>
              <w:t>CIPAC Handbook K - MT 185 method (2003) adapted</w:t>
            </w:r>
          </w:p>
        </w:tc>
        <w:tc>
          <w:tcPr>
            <w:tcW w:w="474" w:type="pct"/>
            <w:vAlign w:val="center"/>
          </w:tcPr>
          <w:p w14:paraId="5FD19F13" w14:textId="77777777" w:rsidR="000228FA" w:rsidRDefault="000228FA" w:rsidP="00FF3977">
            <w:pPr>
              <w:rPr>
                <w:color w:val="000000"/>
              </w:rPr>
            </w:pPr>
            <w:r>
              <w:rPr>
                <w:color w:val="000000"/>
              </w:rPr>
              <w:t>Batch 5118225</w:t>
            </w:r>
          </w:p>
          <w:p w14:paraId="07D0943E" w14:textId="77777777" w:rsidR="000228FA" w:rsidRPr="00C746BC"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67D3B70F" w14:textId="77777777" w:rsidR="000228FA" w:rsidRPr="00305B11" w:rsidRDefault="000228FA" w:rsidP="00FF3977">
            <w:pPr>
              <w:rPr>
                <w:rFonts w:eastAsia="Calibri"/>
              </w:rPr>
            </w:pPr>
            <w:r>
              <w:rPr>
                <w:color w:val="000000"/>
              </w:rPr>
              <w:t>Before the accelerated storage procedure, no residue of the test item was held on a 75-µm sieve. After the accelerated storage procedure, no residue of the test item was held on a 75-µm sieve.</w:t>
            </w:r>
          </w:p>
        </w:tc>
        <w:tc>
          <w:tcPr>
            <w:tcW w:w="471" w:type="pct"/>
            <w:vAlign w:val="center"/>
          </w:tcPr>
          <w:p w14:paraId="40229E8E" w14:textId="77777777" w:rsidR="000228FA" w:rsidRPr="00305B11" w:rsidRDefault="000228FA" w:rsidP="00FF3977">
            <w:pPr>
              <w:rPr>
                <w:rFonts w:eastAsia="Calibri"/>
              </w:rPr>
            </w:pPr>
            <w:r>
              <w:rPr>
                <w:color w:val="000000"/>
              </w:rPr>
              <w:t>Demangel B. and Ricau H., 2019, Report No 18-901011-040</w:t>
            </w:r>
          </w:p>
        </w:tc>
        <w:tc>
          <w:tcPr>
            <w:tcW w:w="517" w:type="pct"/>
          </w:tcPr>
          <w:p w14:paraId="0B297AD7" w14:textId="77777777" w:rsidR="000228FA" w:rsidRDefault="000228FA" w:rsidP="00FF3977">
            <w:pPr>
              <w:rPr>
                <w:color w:val="000000"/>
              </w:rPr>
            </w:pPr>
            <w:r>
              <w:rPr>
                <w:color w:val="000000"/>
              </w:rPr>
              <w:t>Acceptable</w:t>
            </w:r>
            <w:r>
              <w:t xml:space="preserve"> </w:t>
            </w:r>
            <w:r w:rsidRPr="00542FDF">
              <w:rPr>
                <w:color w:val="000000"/>
              </w:rPr>
              <w:t>, although not required for a SL formulation</w:t>
            </w:r>
          </w:p>
          <w:p w14:paraId="515A47FF" w14:textId="77777777" w:rsidR="000228FA" w:rsidRDefault="000228FA" w:rsidP="00FF3977">
            <w:pPr>
              <w:rPr>
                <w:color w:val="000000"/>
              </w:rPr>
            </w:pPr>
          </w:p>
        </w:tc>
      </w:tr>
      <w:tr w:rsidR="000228FA" w14:paraId="709D5D40" w14:textId="77777777" w:rsidTr="00FF3977">
        <w:tc>
          <w:tcPr>
            <w:tcW w:w="1302" w:type="pct"/>
          </w:tcPr>
          <w:p w14:paraId="108C66AB" w14:textId="77777777" w:rsidR="000228FA" w:rsidRPr="00017CF8" w:rsidRDefault="000228FA" w:rsidP="00FF3977">
            <w:pPr>
              <w:rPr>
                <w:rFonts w:eastAsia="Calibri"/>
              </w:rPr>
            </w:pPr>
            <w:r w:rsidRPr="00017CF8">
              <w:rPr>
                <w:rFonts w:eastAsia="Calibri"/>
              </w:rPr>
              <w:t>Emulsifiability, re-emulsifiability and emulsion stability</w:t>
            </w:r>
          </w:p>
        </w:tc>
        <w:tc>
          <w:tcPr>
            <w:tcW w:w="444" w:type="pct"/>
            <w:vAlign w:val="center"/>
          </w:tcPr>
          <w:p w14:paraId="754B63B1" w14:textId="77777777" w:rsidR="000228FA" w:rsidRPr="00017CF8" w:rsidRDefault="000228FA" w:rsidP="00FF3977">
            <w:pPr>
              <w:rPr>
                <w:rFonts w:eastAsia="Calibri"/>
              </w:rPr>
            </w:pPr>
            <w:r>
              <w:rPr>
                <w:color w:val="000000"/>
              </w:rPr>
              <w:t xml:space="preserve"> -</w:t>
            </w:r>
          </w:p>
        </w:tc>
        <w:tc>
          <w:tcPr>
            <w:tcW w:w="474" w:type="pct"/>
            <w:vAlign w:val="center"/>
          </w:tcPr>
          <w:p w14:paraId="683C78A1" w14:textId="77777777" w:rsidR="000228FA" w:rsidRPr="00017CF8" w:rsidRDefault="000228FA" w:rsidP="00FF3977">
            <w:pPr>
              <w:rPr>
                <w:rFonts w:eastAsia="Calibri"/>
              </w:rPr>
            </w:pPr>
            <w:r>
              <w:rPr>
                <w:color w:val="000000"/>
              </w:rPr>
              <w:t xml:space="preserve"> -</w:t>
            </w:r>
          </w:p>
        </w:tc>
        <w:tc>
          <w:tcPr>
            <w:tcW w:w="1792" w:type="pct"/>
            <w:vAlign w:val="center"/>
          </w:tcPr>
          <w:p w14:paraId="72ECB817" w14:textId="77777777" w:rsidR="000228FA" w:rsidRPr="00017CF8" w:rsidRDefault="000228FA" w:rsidP="00FF3977">
            <w:pPr>
              <w:rPr>
                <w:rFonts w:eastAsia="Calibri"/>
              </w:rPr>
            </w:pPr>
            <w:r>
              <w:rPr>
                <w:color w:val="000000"/>
              </w:rPr>
              <w:t>Not required as the product is a soluble concentrate (SL).</w:t>
            </w:r>
          </w:p>
        </w:tc>
        <w:tc>
          <w:tcPr>
            <w:tcW w:w="471" w:type="pct"/>
            <w:vAlign w:val="center"/>
          </w:tcPr>
          <w:p w14:paraId="7E5F3101" w14:textId="77777777" w:rsidR="000228FA" w:rsidRPr="00017CF8" w:rsidRDefault="000228FA" w:rsidP="00FF3977">
            <w:pPr>
              <w:rPr>
                <w:rFonts w:eastAsia="Calibri"/>
              </w:rPr>
            </w:pPr>
            <w:r>
              <w:rPr>
                <w:color w:val="000000"/>
              </w:rPr>
              <w:t xml:space="preserve"> -</w:t>
            </w:r>
          </w:p>
        </w:tc>
        <w:tc>
          <w:tcPr>
            <w:tcW w:w="517" w:type="pct"/>
          </w:tcPr>
          <w:p w14:paraId="24E7EDDF" w14:textId="77777777" w:rsidR="000228FA" w:rsidRDefault="000228FA" w:rsidP="00FF3977">
            <w:pPr>
              <w:rPr>
                <w:color w:val="000000"/>
              </w:rPr>
            </w:pPr>
            <w:r>
              <w:rPr>
                <w:color w:val="000000"/>
              </w:rPr>
              <w:t>Not relevant for a SL formulation.</w:t>
            </w:r>
          </w:p>
        </w:tc>
      </w:tr>
      <w:tr w:rsidR="000228FA" w14:paraId="2464AE9C" w14:textId="77777777" w:rsidTr="00FF3977">
        <w:tc>
          <w:tcPr>
            <w:tcW w:w="1302" w:type="pct"/>
          </w:tcPr>
          <w:p w14:paraId="600F46E6" w14:textId="77777777" w:rsidR="000228FA" w:rsidRPr="00DF6CFE" w:rsidRDefault="000228FA" w:rsidP="00FF3977">
            <w:pPr>
              <w:rPr>
                <w:rFonts w:eastAsia="Calibri"/>
              </w:rPr>
            </w:pPr>
            <w:r w:rsidRPr="00DF6CFE">
              <w:rPr>
                <w:rFonts w:eastAsia="Calibri"/>
              </w:rPr>
              <w:t>Disintegration time</w:t>
            </w:r>
          </w:p>
        </w:tc>
        <w:tc>
          <w:tcPr>
            <w:tcW w:w="444" w:type="pct"/>
            <w:vAlign w:val="center"/>
          </w:tcPr>
          <w:p w14:paraId="451FE010" w14:textId="77777777" w:rsidR="000228FA" w:rsidRPr="00DF6CFE" w:rsidRDefault="000228FA" w:rsidP="00FF3977">
            <w:pPr>
              <w:rPr>
                <w:rFonts w:eastAsia="Calibri"/>
              </w:rPr>
            </w:pPr>
            <w:r>
              <w:rPr>
                <w:color w:val="000000"/>
              </w:rPr>
              <w:t xml:space="preserve"> -</w:t>
            </w:r>
          </w:p>
        </w:tc>
        <w:tc>
          <w:tcPr>
            <w:tcW w:w="474" w:type="pct"/>
            <w:vAlign w:val="center"/>
          </w:tcPr>
          <w:p w14:paraId="72E39EF9" w14:textId="77777777" w:rsidR="000228FA" w:rsidRPr="00DF6CFE" w:rsidRDefault="000228FA" w:rsidP="00FF3977">
            <w:pPr>
              <w:rPr>
                <w:rFonts w:eastAsia="Calibri"/>
              </w:rPr>
            </w:pPr>
            <w:r>
              <w:rPr>
                <w:color w:val="000000"/>
              </w:rPr>
              <w:t xml:space="preserve"> -</w:t>
            </w:r>
          </w:p>
        </w:tc>
        <w:tc>
          <w:tcPr>
            <w:tcW w:w="1792" w:type="pct"/>
            <w:vAlign w:val="center"/>
          </w:tcPr>
          <w:p w14:paraId="2156BC82" w14:textId="77777777" w:rsidR="000228FA" w:rsidRPr="00DF6CFE" w:rsidRDefault="000228FA" w:rsidP="00FF3977">
            <w:pPr>
              <w:rPr>
                <w:rFonts w:eastAsia="Calibri"/>
              </w:rPr>
            </w:pPr>
            <w:r>
              <w:rPr>
                <w:color w:val="000000"/>
              </w:rPr>
              <w:t>Not required as the product is a soluble concentrate (SL).</w:t>
            </w:r>
          </w:p>
        </w:tc>
        <w:tc>
          <w:tcPr>
            <w:tcW w:w="471" w:type="pct"/>
            <w:vAlign w:val="center"/>
          </w:tcPr>
          <w:p w14:paraId="178A790F" w14:textId="77777777" w:rsidR="000228FA" w:rsidRPr="00DF6CFE" w:rsidRDefault="000228FA" w:rsidP="00FF3977">
            <w:pPr>
              <w:rPr>
                <w:rFonts w:eastAsia="Calibri"/>
              </w:rPr>
            </w:pPr>
            <w:r>
              <w:rPr>
                <w:color w:val="000000"/>
              </w:rPr>
              <w:t xml:space="preserve"> -</w:t>
            </w:r>
          </w:p>
        </w:tc>
        <w:tc>
          <w:tcPr>
            <w:tcW w:w="517" w:type="pct"/>
          </w:tcPr>
          <w:p w14:paraId="3652DFE9" w14:textId="77777777" w:rsidR="000228FA" w:rsidRDefault="000228FA" w:rsidP="00FF3977">
            <w:pPr>
              <w:rPr>
                <w:color w:val="000000"/>
              </w:rPr>
            </w:pPr>
            <w:r>
              <w:rPr>
                <w:color w:val="000000"/>
              </w:rPr>
              <w:t>Not relevant for a SL formulation.</w:t>
            </w:r>
          </w:p>
        </w:tc>
      </w:tr>
      <w:tr w:rsidR="000228FA" w14:paraId="316F8C1C" w14:textId="77777777" w:rsidTr="00FF3977">
        <w:tc>
          <w:tcPr>
            <w:tcW w:w="1302" w:type="pct"/>
          </w:tcPr>
          <w:p w14:paraId="458B5CA8" w14:textId="77777777" w:rsidR="000228FA" w:rsidRPr="00A411E7" w:rsidRDefault="000228FA" w:rsidP="00FF3977">
            <w:pPr>
              <w:rPr>
                <w:rFonts w:eastAsia="Calibri"/>
              </w:rPr>
            </w:pPr>
            <w:r w:rsidRPr="00A411E7">
              <w:rPr>
                <w:rFonts w:eastAsia="Calibri"/>
              </w:rPr>
              <w:lastRenderedPageBreak/>
              <w:t>Particle size distribution, content of dust/fines, attrition, friability</w:t>
            </w:r>
          </w:p>
        </w:tc>
        <w:tc>
          <w:tcPr>
            <w:tcW w:w="444" w:type="pct"/>
            <w:vAlign w:val="center"/>
          </w:tcPr>
          <w:p w14:paraId="0E6E6589" w14:textId="77777777" w:rsidR="000228FA" w:rsidRPr="00A411E7" w:rsidRDefault="000228FA" w:rsidP="00FF3977">
            <w:pPr>
              <w:rPr>
                <w:rFonts w:eastAsia="Calibri"/>
              </w:rPr>
            </w:pPr>
            <w:r>
              <w:rPr>
                <w:color w:val="000000"/>
              </w:rPr>
              <w:t xml:space="preserve"> -</w:t>
            </w:r>
          </w:p>
        </w:tc>
        <w:tc>
          <w:tcPr>
            <w:tcW w:w="474" w:type="pct"/>
            <w:vAlign w:val="center"/>
          </w:tcPr>
          <w:p w14:paraId="3C39FDB4" w14:textId="77777777" w:rsidR="000228FA" w:rsidRPr="00A411E7" w:rsidRDefault="000228FA" w:rsidP="00FF3977">
            <w:pPr>
              <w:rPr>
                <w:rFonts w:eastAsia="Calibri"/>
              </w:rPr>
            </w:pPr>
            <w:r>
              <w:rPr>
                <w:color w:val="000000"/>
              </w:rPr>
              <w:t xml:space="preserve"> -</w:t>
            </w:r>
          </w:p>
        </w:tc>
        <w:tc>
          <w:tcPr>
            <w:tcW w:w="1792" w:type="pct"/>
            <w:vAlign w:val="center"/>
          </w:tcPr>
          <w:p w14:paraId="17C6C06E" w14:textId="77777777" w:rsidR="000228FA" w:rsidRPr="00A411E7" w:rsidRDefault="000228FA" w:rsidP="00FF3977">
            <w:pPr>
              <w:rPr>
                <w:rFonts w:eastAsia="Calibri"/>
              </w:rPr>
            </w:pPr>
            <w:r>
              <w:rPr>
                <w:color w:val="000000"/>
              </w:rPr>
              <w:t>Not required as the product is a soluble concentrate (SL).</w:t>
            </w:r>
          </w:p>
        </w:tc>
        <w:tc>
          <w:tcPr>
            <w:tcW w:w="471" w:type="pct"/>
            <w:vAlign w:val="center"/>
          </w:tcPr>
          <w:p w14:paraId="3ED0EDDD" w14:textId="77777777" w:rsidR="000228FA" w:rsidRPr="00A411E7" w:rsidRDefault="000228FA" w:rsidP="00FF3977">
            <w:pPr>
              <w:rPr>
                <w:rFonts w:eastAsia="Calibri"/>
              </w:rPr>
            </w:pPr>
            <w:r>
              <w:rPr>
                <w:color w:val="000000"/>
              </w:rPr>
              <w:t xml:space="preserve"> -</w:t>
            </w:r>
          </w:p>
        </w:tc>
        <w:tc>
          <w:tcPr>
            <w:tcW w:w="517" w:type="pct"/>
          </w:tcPr>
          <w:p w14:paraId="70421013" w14:textId="77777777" w:rsidR="000228FA" w:rsidRDefault="000228FA" w:rsidP="00FF3977">
            <w:pPr>
              <w:rPr>
                <w:color w:val="000000"/>
              </w:rPr>
            </w:pPr>
            <w:r>
              <w:rPr>
                <w:color w:val="000000"/>
              </w:rPr>
              <w:t>Not relevant for a SL formulation.</w:t>
            </w:r>
          </w:p>
        </w:tc>
      </w:tr>
      <w:tr w:rsidR="000228FA" w14:paraId="7884CCA7" w14:textId="77777777" w:rsidTr="00FF3977">
        <w:tc>
          <w:tcPr>
            <w:tcW w:w="1302" w:type="pct"/>
          </w:tcPr>
          <w:p w14:paraId="1F5ED488" w14:textId="77777777" w:rsidR="000228FA" w:rsidRPr="00A411E7" w:rsidRDefault="000228FA" w:rsidP="00FF3977">
            <w:pPr>
              <w:rPr>
                <w:rFonts w:eastAsia="Calibri"/>
              </w:rPr>
            </w:pPr>
            <w:r w:rsidRPr="00A411E7">
              <w:rPr>
                <w:rFonts w:eastAsia="Calibri"/>
              </w:rPr>
              <w:t>Persistent foaming</w:t>
            </w:r>
          </w:p>
        </w:tc>
        <w:tc>
          <w:tcPr>
            <w:tcW w:w="444" w:type="pct"/>
            <w:vAlign w:val="center"/>
          </w:tcPr>
          <w:p w14:paraId="140C2E64" w14:textId="77777777" w:rsidR="000228FA" w:rsidRPr="00A411E7" w:rsidRDefault="000228FA" w:rsidP="00FF3977">
            <w:pPr>
              <w:rPr>
                <w:rFonts w:eastAsia="Calibri"/>
              </w:rPr>
            </w:pPr>
            <w:r>
              <w:rPr>
                <w:color w:val="000000"/>
              </w:rPr>
              <w:t>CIPAC Handbook O - MT 47.3 method (2017)</w:t>
            </w:r>
          </w:p>
        </w:tc>
        <w:tc>
          <w:tcPr>
            <w:tcW w:w="474" w:type="pct"/>
            <w:vAlign w:val="center"/>
          </w:tcPr>
          <w:p w14:paraId="325C62A8" w14:textId="77777777" w:rsidR="000228FA" w:rsidRDefault="000228FA" w:rsidP="00FF3977">
            <w:pPr>
              <w:rPr>
                <w:color w:val="000000"/>
              </w:rPr>
            </w:pPr>
            <w:r>
              <w:rPr>
                <w:color w:val="000000"/>
              </w:rPr>
              <w:t>Batch 5118225</w:t>
            </w:r>
          </w:p>
          <w:p w14:paraId="1D41A6F1"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7AAE3234" w14:textId="77777777" w:rsidR="000228FA" w:rsidRDefault="000228FA" w:rsidP="00FF3977">
            <w:r>
              <w:t xml:space="preserve">Before the accelerated storage procedure, the mean volume of foam produced after several inversions of the test item diluted at 4.0% w/w in standard water D at 20 °C ± 2 °C was </w:t>
            </w:r>
            <w:r w:rsidRPr="00A87897">
              <w:rPr>
                <w:b/>
              </w:rPr>
              <w:t>higher than 70 mL</w:t>
            </w:r>
            <w:r>
              <w:t xml:space="preserve"> after 1 min of standing. The mean volume of foam produced after several inversions of the test item diluted at 10% w/w in standard water D at 20 °C ± 2 °C was </w:t>
            </w:r>
            <w:r w:rsidRPr="005B2C43">
              <w:rPr>
                <w:b/>
              </w:rPr>
              <w:t>higher than 70 mL</w:t>
            </w:r>
            <w:r>
              <w:t xml:space="preserve"> after 1 min of standing.</w:t>
            </w:r>
          </w:p>
          <w:p w14:paraId="07C9001C" w14:textId="77777777" w:rsidR="000228FA" w:rsidRDefault="000228FA" w:rsidP="00FF3977">
            <w:r>
              <w:t xml:space="preserve"> </w:t>
            </w:r>
            <w:r>
              <w:br/>
              <w:t>After the accelerated storage procedure. The mean volume of foam produced after several inversions of the test item diluted at 4.0% w/w in standard water D at 20 °C ± 2 °C was between 60 mL and 70 mL after 1 min of standing. The mean volume of foam produced after several inversions of the test item diluted at 10% w/w in standard water D at 20 °C ± 2 °C was higher than 70 mL after 1 min of standing.</w:t>
            </w:r>
          </w:p>
          <w:p w14:paraId="4515F888" w14:textId="77777777" w:rsidR="000228FA" w:rsidRDefault="000228FA" w:rsidP="00FF3977"/>
          <w:p w14:paraId="76EC4262" w14:textId="77777777" w:rsidR="000228FA" w:rsidRPr="00A411E7" w:rsidRDefault="000228FA" w:rsidP="00FF3977">
            <w:pPr>
              <w:rPr>
                <w:rFonts w:eastAsia="Calibri"/>
              </w:rPr>
            </w:pPr>
            <w:r w:rsidRPr="00FD6F0A">
              <w:t xml:space="preserve">One video of manual activity under real conditions of use at the maximum dilution concentration efficacy (6% v/v) of the product shows that the quantity of foam formed is not problematic. There is no </w:t>
            </w:r>
            <w:r w:rsidRPr="00FD6F0A">
              <w:lastRenderedPageBreak/>
              <w:t>overflow. The video is saved in IUCLID section 13.</w:t>
            </w:r>
            <w:r>
              <w:t xml:space="preserve"> </w:t>
            </w:r>
          </w:p>
        </w:tc>
        <w:tc>
          <w:tcPr>
            <w:tcW w:w="471" w:type="pct"/>
            <w:vAlign w:val="center"/>
          </w:tcPr>
          <w:p w14:paraId="60BBA6A8" w14:textId="77777777" w:rsidR="000228FA" w:rsidRPr="00A411E7" w:rsidRDefault="000228FA" w:rsidP="00FF3977">
            <w:pPr>
              <w:rPr>
                <w:rFonts w:eastAsia="Calibri"/>
              </w:rPr>
            </w:pPr>
            <w:r>
              <w:rPr>
                <w:color w:val="000000"/>
              </w:rPr>
              <w:lastRenderedPageBreak/>
              <w:t>Demangel B. and Ricau H., 2019, Report No 18-901011-040</w:t>
            </w:r>
          </w:p>
        </w:tc>
        <w:tc>
          <w:tcPr>
            <w:tcW w:w="517" w:type="pct"/>
          </w:tcPr>
          <w:p w14:paraId="19F55B04" w14:textId="77777777" w:rsidR="000228FA" w:rsidRDefault="000228FA" w:rsidP="00FF3977">
            <w:pPr>
              <w:rPr>
                <w:lang w:eastAsia="en-US"/>
              </w:rPr>
            </w:pPr>
            <w:r>
              <w:rPr>
                <w:lang w:eastAsia="en-US"/>
              </w:rPr>
              <w:t xml:space="preserve">At both low and high dilution concentrations, the results are outside acceptable limits. </w:t>
            </w:r>
          </w:p>
          <w:p w14:paraId="74B17613" w14:textId="77777777" w:rsidR="000228FA" w:rsidRDefault="000228FA" w:rsidP="00FF3977">
            <w:pPr>
              <w:rPr>
                <w:color w:val="000000"/>
              </w:rPr>
            </w:pPr>
          </w:p>
          <w:p w14:paraId="570BBDFF" w14:textId="77777777" w:rsidR="000228FA" w:rsidRDefault="000228FA" w:rsidP="00FF3977">
            <w:pPr>
              <w:rPr>
                <w:color w:val="000000"/>
              </w:rPr>
            </w:pPr>
            <w:r>
              <w:rPr>
                <w:color w:val="000000"/>
              </w:rPr>
              <w:t>However, it has been demonstrated that the presence of the foam will not affect the use of the product. No additional data are required.</w:t>
            </w:r>
          </w:p>
        </w:tc>
      </w:tr>
      <w:tr w:rsidR="000228FA" w14:paraId="20221CF3" w14:textId="77777777" w:rsidTr="00FF3977">
        <w:tc>
          <w:tcPr>
            <w:tcW w:w="1302" w:type="pct"/>
          </w:tcPr>
          <w:p w14:paraId="19AC2DE3" w14:textId="77777777" w:rsidR="000228FA" w:rsidRPr="00A411E7" w:rsidRDefault="000228FA" w:rsidP="00FF3977">
            <w:pPr>
              <w:rPr>
                <w:rFonts w:eastAsia="Calibri"/>
              </w:rPr>
            </w:pPr>
            <w:r w:rsidRPr="00A411E7">
              <w:rPr>
                <w:rFonts w:eastAsia="Calibri"/>
              </w:rPr>
              <w:t>Flowability/Pourability/Dustability</w:t>
            </w:r>
          </w:p>
        </w:tc>
        <w:tc>
          <w:tcPr>
            <w:tcW w:w="444" w:type="pct"/>
            <w:vAlign w:val="center"/>
          </w:tcPr>
          <w:p w14:paraId="7D6923D2" w14:textId="77777777" w:rsidR="000228FA" w:rsidRPr="00A411E7" w:rsidRDefault="000228FA" w:rsidP="00FF3977">
            <w:pPr>
              <w:rPr>
                <w:rFonts w:eastAsia="Calibri"/>
              </w:rPr>
            </w:pPr>
            <w:r>
              <w:rPr>
                <w:color w:val="000000"/>
              </w:rPr>
              <w:t xml:space="preserve"> -</w:t>
            </w:r>
          </w:p>
        </w:tc>
        <w:tc>
          <w:tcPr>
            <w:tcW w:w="474" w:type="pct"/>
            <w:vAlign w:val="center"/>
          </w:tcPr>
          <w:p w14:paraId="45901EA2" w14:textId="77777777" w:rsidR="000228FA" w:rsidRPr="00A411E7" w:rsidRDefault="000228FA" w:rsidP="00FF3977">
            <w:pPr>
              <w:rPr>
                <w:rFonts w:eastAsia="Calibri"/>
              </w:rPr>
            </w:pPr>
            <w:r>
              <w:rPr>
                <w:color w:val="000000"/>
              </w:rPr>
              <w:t xml:space="preserve"> -</w:t>
            </w:r>
          </w:p>
        </w:tc>
        <w:tc>
          <w:tcPr>
            <w:tcW w:w="1792" w:type="pct"/>
            <w:vAlign w:val="center"/>
          </w:tcPr>
          <w:p w14:paraId="44F403B2" w14:textId="77777777" w:rsidR="000228FA" w:rsidRPr="00A411E7" w:rsidRDefault="000228FA" w:rsidP="00FF3977">
            <w:pPr>
              <w:rPr>
                <w:rFonts w:eastAsia="Calibri"/>
              </w:rPr>
            </w:pPr>
            <w:r>
              <w:rPr>
                <w:color w:val="000000"/>
              </w:rPr>
              <w:t>Not required as the product is a soluble concentrate (SL).</w:t>
            </w:r>
          </w:p>
        </w:tc>
        <w:tc>
          <w:tcPr>
            <w:tcW w:w="471" w:type="pct"/>
            <w:vAlign w:val="center"/>
          </w:tcPr>
          <w:p w14:paraId="603E8B25" w14:textId="77777777" w:rsidR="000228FA" w:rsidRPr="00A411E7" w:rsidRDefault="000228FA" w:rsidP="00FF3977">
            <w:pPr>
              <w:rPr>
                <w:rFonts w:eastAsia="Calibri"/>
              </w:rPr>
            </w:pPr>
            <w:r>
              <w:rPr>
                <w:color w:val="000000"/>
              </w:rPr>
              <w:t xml:space="preserve"> -</w:t>
            </w:r>
          </w:p>
        </w:tc>
        <w:tc>
          <w:tcPr>
            <w:tcW w:w="517" w:type="pct"/>
          </w:tcPr>
          <w:p w14:paraId="5A6CEF38" w14:textId="77777777" w:rsidR="000228FA" w:rsidRDefault="000228FA" w:rsidP="00FF3977">
            <w:pPr>
              <w:rPr>
                <w:color w:val="000000"/>
              </w:rPr>
            </w:pPr>
            <w:r>
              <w:rPr>
                <w:color w:val="000000"/>
              </w:rPr>
              <w:t>Not relevant for a SL formulation.</w:t>
            </w:r>
          </w:p>
        </w:tc>
      </w:tr>
      <w:tr w:rsidR="000228FA" w14:paraId="27262431" w14:textId="77777777" w:rsidTr="00FF3977">
        <w:tc>
          <w:tcPr>
            <w:tcW w:w="1302" w:type="pct"/>
          </w:tcPr>
          <w:p w14:paraId="57BD5571" w14:textId="77777777" w:rsidR="000228FA" w:rsidRPr="00A411E7" w:rsidRDefault="000228FA" w:rsidP="00FF3977">
            <w:pPr>
              <w:rPr>
                <w:rFonts w:eastAsia="Calibri"/>
              </w:rPr>
            </w:pPr>
            <w:r w:rsidRPr="00A411E7">
              <w:rPr>
                <w:rFonts w:eastAsia="Calibri"/>
              </w:rPr>
              <w:t>Burning rate — smoke generators</w:t>
            </w:r>
          </w:p>
        </w:tc>
        <w:tc>
          <w:tcPr>
            <w:tcW w:w="444" w:type="pct"/>
            <w:vAlign w:val="center"/>
          </w:tcPr>
          <w:p w14:paraId="1583AE9D" w14:textId="77777777" w:rsidR="000228FA" w:rsidRPr="00A411E7" w:rsidRDefault="000228FA" w:rsidP="00FF3977">
            <w:pPr>
              <w:rPr>
                <w:rFonts w:eastAsia="Calibri"/>
              </w:rPr>
            </w:pPr>
            <w:r>
              <w:rPr>
                <w:color w:val="000000"/>
              </w:rPr>
              <w:t xml:space="preserve"> -</w:t>
            </w:r>
          </w:p>
        </w:tc>
        <w:tc>
          <w:tcPr>
            <w:tcW w:w="474" w:type="pct"/>
            <w:vAlign w:val="center"/>
          </w:tcPr>
          <w:p w14:paraId="77CE7959" w14:textId="77777777" w:rsidR="000228FA" w:rsidRPr="00A411E7" w:rsidRDefault="000228FA" w:rsidP="00FF3977">
            <w:pPr>
              <w:rPr>
                <w:rFonts w:eastAsia="Calibri"/>
              </w:rPr>
            </w:pPr>
            <w:r>
              <w:rPr>
                <w:color w:val="000000"/>
              </w:rPr>
              <w:t xml:space="preserve"> -</w:t>
            </w:r>
          </w:p>
        </w:tc>
        <w:tc>
          <w:tcPr>
            <w:tcW w:w="1792" w:type="pct"/>
            <w:vAlign w:val="center"/>
          </w:tcPr>
          <w:p w14:paraId="47125400"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71" w:type="pct"/>
            <w:vAlign w:val="center"/>
          </w:tcPr>
          <w:p w14:paraId="252D69D4" w14:textId="77777777" w:rsidR="000228FA" w:rsidRPr="00A411E7" w:rsidRDefault="000228FA" w:rsidP="00FF3977">
            <w:pPr>
              <w:rPr>
                <w:rFonts w:eastAsia="Calibri"/>
              </w:rPr>
            </w:pPr>
            <w:r>
              <w:rPr>
                <w:color w:val="000000"/>
              </w:rPr>
              <w:t xml:space="preserve"> -</w:t>
            </w:r>
          </w:p>
        </w:tc>
        <w:tc>
          <w:tcPr>
            <w:tcW w:w="517" w:type="pct"/>
          </w:tcPr>
          <w:p w14:paraId="5A41BE15" w14:textId="77777777" w:rsidR="000228FA" w:rsidRDefault="000228FA" w:rsidP="00FF3977">
            <w:pPr>
              <w:rPr>
                <w:color w:val="000000"/>
              </w:rPr>
            </w:pPr>
            <w:r>
              <w:rPr>
                <w:color w:val="000000"/>
              </w:rPr>
              <w:t>Not relevant</w:t>
            </w:r>
          </w:p>
        </w:tc>
      </w:tr>
      <w:tr w:rsidR="000228FA" w14:paraId="7D7A7216" w14:textId="77777777" w:rsidTr="00FF3977">
        <w:tc>
          <w:tcPr>
            <w:tcW w:w="1302" w:type="pct"/>
          </w:tcPr>
          <w:p w14:paraId="7D47293D" w14:textId="77777777" w:rsidR="000228FA" w:rsidRPr="00A411E7" w:rsidRDefault="000228FA" w:rsidP="00FF3977">
            <w:pPr>
              <w:rPr>
                <w:rFonts w:eastAsia="Calibri"/>
              </w:rPr>
            </w:pPr>
            <w:r w:rsidRPr="00A411E7">
              <w:rPr>
                <w:rFonts w:eastAsia="Calibri"/>
              </w:rPr>
              <w:t>Burning completeness — smoke generators</w:t>
            </w:r>
          </w:p>
        </w:tc>
        <w:tc>
          <w:tcPr>
            <w:tcW w:w="444" w:type="pct"/>
            <w:vAlign w:val="center"/>
          </w:tcPr>
          <w:p w14:paraId="2E060744" w14:textId="77777777" w:rsidR="000228FA" w:rsidRPr="00A411E7" w:rsidRDefault="000228FA" w:rsidP="00FF3977">
            <w:pPr>
              <w:rPr>
                <w:rFonts w:eastAsia="Calibri"/>
              </w:rPr>
            </w:pPr>
            <w:r>
              <w:rPr>
                <w:color w:val="000000"/>
              </w:rPr>
              <w:t xml:space="preserve"> -</w:t>
            </w:r>
          </w:p>
        </w:tc>
        <w:tc>
          <w:tcPr>
            <w:tcW w:w="474" w:type="pct"/>
            <w:vAlign w:val="center"/>
          </w:tcPr>
          <w:p w14:paraId="38518A27" w14:textId="77777777" w:rsidR="000228FA" w:rsidRPr="00A411E7" w:rsidRDefault="000228FA" w:rsidP="00FF3977">
            <w:pPr>
              <w:rPr>
                <w:rFonts w:eastAsia="Calibri"/>
              </w:rPr>
            </w:pPr>
            <w:r>
              <w:rPr>
                <w:color w:val="000000"/>
              </w:rPr>
              <w:t xml:space="preserve"> -</w:t>
            </w:r>
          </w:p>
        </w:tc>
        <w:tc>
          <w:tcPr>
            <w:tcW w:w="1792" w:type="pct"/>
            <w:vAlign w:val="center"/>
          </w:tcPr>
          <w:p w14:paraId="2B2DDAD4"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71" w:type="pct"/>
            <w:vAlign w:val="center"/>
          </w:tcPr>
          <w:p w14:paraId="1930B6A2" w14:textId="77777777" w:rsidR="000228FA" w:rsidRPr="00A411E7" w:rsidRDefault="000228FA" w:rsidP="00FF3977">
            <w:pPr>
              <w:rPr>
                <w:rFonts w:eastAsia="Calibri"/>
              </w:rPr>
            </w:pPr>
            <w:r>
              <w:rPr>
                <w:color w:val="000000"/>
              </w:rPr>
              <w:t xml:space="preserve"> -</w:t>
            </w:r>
          </w:p>
        </w:tc>
        <w:tc>
          <w:tcPr>
            <w:tcW w:w="517" w:type="pct"/>
          </w:tcPr>
          <w:p w14:paraId="7CDB207E" w14:textId="77777777" w:rsidR="000228FA" w:rsidRDefault="000228FA" w:rsidP="00FF3977">
            <w:pPr>
              <w:rPr>
                <w:color w:val="000000"/>
              </w:rPr>
            </w:pPr>
            <w:r>
              <w:rPr>
                <w:color w:val="000000"/>
              </w:rPr>
              <w:t>Not relevant</w:t>
            </w:r>
          </w:p>
        </w:tc>
      </w:tr>
      <w:tr w:rsidR="000228FA" w14:paraId="1498CC48" w14:textId="77777777" w:rsidTr="00FF3977">
        <w:tc>
          <w:tcPr>
            <w:tcW w:w="1302" w:type="pct"/>
          </w:tcPr>
          <w:p w14:paraId="5D77C0FC" w14:textId="77777777" w:rsidR="000228FA" w:rsidRPr="00A411E7" w:rsidRDefault="000228FA" w:rsidP="00FF3977">
            <w:pPr>
              <w:rPr>
                <w:rFonts w:eastAsia="Calibri"/>
              </w:rPr>
            </w:pPr>
            <w:r w:rsidRPr="00A411E7">
              <w:rPr>
                <w:rFonts w:eastAsia="Calibri"/>
              </w:rPr>
              <w:t>Composition of smoke — smoke generators</w:t>
            </w:r>
          </w:p>
        </w:tc>
        <w:tc>
          <w:tcPr>
            <w:tcW w:w="444" w:type="pct"/>
            <w:vAlign w:val="center"/>
          </w:tcPr>
          <w:p w14:paraId="56335B49" w14:textId="77777777" w:rsidR="000228FA" w:rsidRPr="00A411E7" w:rsidRDefault="000228FA" w:rsidP="00FF3977">
            <w:pPr>
              <w:rPr>
                <w:rFonts w:eastAsia="Calibri"/>
              </w:rPr>
            </w:pPr>
            <w:r>
              <w:rPr>
                <w:color w:val="000000"/>
              </w:rPr>
              <w:t xml:space="preserve"> -</w:t>
            </w:r>
          </w:p>
        </w:tc>
        <w:tc>
          <w:tcPr>
            <w:tcW w:w="474" w:type="pct"/>
            <w:vAlign w:val="center"/>
          </w:tcPr>
          <w:p w14:paraId="0B41F443" w14:textId="77777777" w:rsidR="000228FA" w:rsidRPr="00A411E7" w:rsidRDefault="000228FA" w:rsidP="00FF3977">
            <w:pPr>
              <w:rPr>
                <w:rFonts w:eastAsia="Calibri"/>
              </w:rPr>
            </w:pPr>
            <w:r>
              <w:rPr>
                <w:color w:val="000000"/>
              </w:rPr>
              <w:t xml:space="preserve"> -</w:t>
            </w:r>
          </w:p>
        </w:tc>
        <w:tc>
          <w:tcPr>
            <w:tcW w:w="1792" w:type="pct"/>
            <w:vAlign w:val="center"/>
          </w:tcPr>
          <w:p w14:paraId="7C4461AA"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71" w:type="pct"/>
            <w:vAlign w:val="center"/>
          </w:tcPr>
          <w:p w14:paraId="6663A0DB" w14:textId="77777777" w:rsidR="000228FA" w:rsidRPr="00A411E7" w:rsidRDefault="000228FA" w:rsidP="00FF3977">
            <w:pPr>
              <w:rPr>
                <w:rFonts w:eastAsia="Calibri"/>
              </w:rPr>
            </w:pPr>
            <w:r>
              <w:rPr>
                <w:color w:val="000000"/>
              </w:rPr>
              <w:t xml:space="preserve"> -</w:t>
            </w:r>
          </w:p>
        </w:tc>
        <w:tc>
          <w:tcPr>
            <w:tcW w:w="517" w:type="pct"/>
          </w:tcPr>
          <w:p w14:paraId="171ED331" w14:textId="77777777" w:rsidR="000228FA" w:rsidRDefault="000228FA" w:rsidP="00FF3977">
            <w:pPr>
              <w:rPr>
                <w:color w:val="000000"/>
              </w:rPr>
            </w:pPr>
            <w:r>
              <w:rPr>
                <w:color w:val="000000"/>
              </w:rPr>
              <w:t>Not relevant</w:t>
            </w:r>
          </w:p>
        </w:tc>
      </w:tr>
      <w:tr w:rsidR="000228FA" w14:paraId="6A3CFA6A" w14:textId="77777777" w:rsidTr="00FF3977">
        <w:tc>
          <w:tcPr>
            <w:tcW w:w="1302" w:type="pct"/>
          </w:tcPr>
          <w:p w14:paraId="44E19297" w14:textId="77777777" w:rsidR="000228FA" w:rsidRPr="00A411E7" w:rsidRDefault="000228FA" w:rsidP="00FF3977">
            <w:pPr>
              <w:rPr>
                <w:rFonts w:eastAsia="Calibri"/>
              </w:rPr>
            </w:pPr>
            <w:r w:rsidRPr="00A411E7">
              <w:rPr>
                <w:rFonts w:eastAsia="Calibri"/>
              </w:rPr>
              <w:t>Spraying pattern — aerosols</w:t>
            </w:r>
          </w:p>
        </w:tc>
        <w:tc>
          <w:tcPr>
            <w:tcW w:w="444" w:type="pct"/>
            <w:vAlign w:val="center"/>
          </w:tcPr>
          <w:p w14:paraId="1CC179AF" w14:textId="77777777" w:rsidR="000228FA" w:rsidRPr="00A411E7" w:rsidRDefault="000228FA" w:rsidP="00FF3977">
            <w:pPr>
              <w:rPr>
                <w:rFonts w:eastAsia="Calibri"/>
              </w:rPr>
            </w:pPr>
            <w:r>
              <w:rPr>
                <w:color w:val="000000"/>
              </w:rPr>
              <w:t xml:space="preserve"> -</w:t>
            </w:r>
          </w:p>
        </w:tc>
        <w:tc>
          <w:tcPr>
            <w:tcW w:w="474" w:type="pct"/>
            <w:vAlign w:val="center"/>
          </w:tcPr>
          <w:p w14:paraId="4565E559" w14:textId="77777777" w:rsidR="000228FA" w:rsidRPr="00A411E7" w:rsidRDefault="000228FA" w:rsidP="00FF3977">
            <w:pPr>
              <w:rPr>
                <w:rFonts w:eastAsia="Calibri"/>
              </w:rPr>
            </w:pPr>
            <w:r>
              <w:rPr>
                <w:color w:val="000000"/>
              </w:rPr>
              <w:t xml:space="preserve"> -</w:t>
            </w:r>
          </w:p>
        </w:tc>
        <w:tc>
          <w:tcPr>
            <w:tcW w:w="1792" w:type="pct"/>
            <w:vAlign w:val="center"/>
          </w:tcPr>
          <w:p w14:paraId="711C58B4" w14:textId="77777777" w:rsidR="000228FA" w:rsidRPr="00A411E7" w:rsidRDefault="000228FA" w:rsidP="00FF3977">
            <w:pPr>
              <w:rPr>
                <w:rFonts w:eastAsia="Calibri"/>
              </w:rPr>
            </w:pPr>
            <w:r>
              <w:rPr>
                <w:color w:val="000000"/>
              </w:rPr>
              <w:t>Not applicable. The product is a soluble concentrate liquid and is not intended to be applied by spray with propellant gas under pressure.</w:t>
            </w:r>
          </w:p>
        </w:tc>
        <w:tc>
          <w:tcPr>
            <w:tcW w:w="471" w:type="pct"/>
            <w:vAlign w:val="center"/>
          </w:tcPr>
          <w:p w14:paraId="6783D545" w14:textId="77777777" w:rsidR="000228FA" w:rsidRPr="00A411E7" w:rsidRDefault="000228FA" w:rsidP="00FF3977">
            <w:pPr>
              <w:rPr>
                <w:rFonts w:eastAsia="Calibri"/>
              </w:rPr>
            </w:pPr>
            <w:r>
              <w:rPr>
                <w:color w:val="000000"/>
              </w:rPr>
              <w:t xml:space="preserve"> -</w:t>
            </w:r>
          </w:p>
        </w:tc>
        <w:tc>
          <w:tcPr>
            <w:tcW w:w="517" w:type="pct"/>
          </w:tcPr>
          <w:p w14:paraId="479996DA" w14:textId="77777777" w:rsidR="000228FA" w:rsidRDefault="000228FA" w:rsidP="00FF3977">
            <w:pPr>
              <w:rPr>
                <w:color w:val="000000"/>
              </w:rPr>
            </w:pPr>
            <w:r>
              <w:rPr>
                <w:color w:val="000000"/>
              </w:rPr>
              <w:t>Not relevant</w:t>
            </w:r>
          </w:p>
        </w:tc>
      </w:tr>
      <w:tr w:rsidR="000228FA" w14:paraId="225685FD" w14:textId="77777777" w:rsidTr="00FF3977">
        <w:tc>
          <w:tcPr>
            <w:tcW w:w="1302" w:type="pct"/>
          </w:tcPr>
          <w:p w14:paraId="405FB0D0" w14:textId="77777777" w:rsidR="000228FA" w:rsidRPr="00A411E7" w:rsidRDefault="000228FA" w:rsidP="00FF3977">
            <w:pPr>
              <w:rPr>
                <w:rFonts w:eastAsia="Calibri"/>
              </w:rPr>
            </w:pPr>
            <w:r w:rsidRPr="00A411E7">
              <w:rPr>
                <w:rFonts w:eastAsia="Calibri"/>
              </w:rPr>
              <w:t>Physical compatibility</w:t>
            </w:r>
          </w:p>
        </w:tc>
        <w:tc>
          <w:tcPr>
            <w:tcW w:w="444" w:type="pct"/>
            <w:vAlign w:val="center"/>
          </w:tcPr>
          <w:p w14:paraId="320F0284" w14:textId="77777777" w:rsidR="000228FA" w:rsidRPr="00A411E7" w:rsidRDefault="000228FA" w:rsidP="00FF3977">
            <w:pPr>
              <w:rPr>
                <w:rFonts w:eastAsia="Calibri"/>
              </w:rPr>
            </w:pPr>
            <w:r>
              <w:rPr>
                <w:color w:val="000000"/>
              </w:rPr>
              <w:t xml:space="preserve"> -</w:t>
            </w:r>
          </w:p>
        </w:tc>
        <w:tc>
          <w:tcPr>
            <w:tcW w:w="474" w:type="pct"/>
            <w:vAlign w:val="center"/>
          </w:tcPr>
          <w:p w14:paraId="04E04B76" w14:textId="77777777" w:rsidR="000228FA" w:rsidRPr="00A411E7" w:rsidRDefault="000228FA" w:rsidP="00FF3977">
            <w:pPr>
              <w:rPr>
                <w:rFonts w:eastAsia="Calibri"/>
              </w:rPr>
            </w:pPr>
            <w:r>
              <w:rPr>
                <w:color w:val="000000"/>
              </w:rPr>
              <w:t xml:space="preserve"> -</w:t>
            </w:r>
          </w:p>
        </w:tc>
        <w:tc>
          <w:tcPr>
            <w:tcW w:w="1792" w:type="pct"/>
            <w:vAlign w:val="center"/>
          </w:tcPr>
          <w:p w14:paraId="2BBBA89D"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71" w:type="pct"/>
            <w:vAlign w:val="center"/>
          </w:tcPr>
          <w:p w14:paraId="59405218" w14:textId="77777777" w:rsidR="000228FA" w:rsidRPr="00A411E7" w:rsidRDefault="000228FA" w:rsidP="00FF3977">
            <w:pPr>
              <w:rPr>
                <w:rFonts w:eastAsia="Calibri"/>
              </w:rPr>
            </w:pPr>
            <w:r>
              <w:rPr>
                <w:color w:val="000000"/>
              </w:rPr>
              <w:t xml:space="preserve"> -</w:t>
            </w:r>
          </w:p>
        </w:tc>
        <w:tc>
          <w:tcPr>
            <w:tcW w:w="517" w:type="pct"/>
          </w:tcPr>
          <w:p w14:paraId="139A525D" w14:textId="77777777" w:rsidR="000228FA" w:rsidRDefault="000228FA" w:rsidP="00FF3977">
            <w:pPr>
              <w:rPr>
                <w:color w:val="000000"/>
              </w:rPr>
            </w:pPr>
            <w:r>
              <w:rPr>
                <w:color w:val="000000"/>
              </w:rPr>
              <w:t>Not relevant</w:t>
            </w:r>
          </w:p>
        </w:tc>
      </w:tr>
      <w:tr w:rsidR="000228FA" w14:paraId="58A164AD" w14:textId="77777777" w:rsidTr="00FF3977">
        <w:tc>
          <w:tcPr>
            <w:tcW w:w="1302" w:type="pct"/>
          </w:tcPr>
          <w:p w14:paraId="6C5F0A55" w14:textId="77777777" w:rsidR="000228FA" w:rsidRPr="00A411E7" w:rsidRDefault="000228FA" w:rsidP="00FF3977">
            <w:pPr>
              <w:rPr>
                <w:rFonts w:eastAsia="Calibri"/>
              </w:rPr>
            </w:pPr>
            <w:r w:rsidRPr="00A411E7">
              <w:rPr>
                <w:rFonts w:eastAsia="Calibri"/>
              </w:rPr>
              <w:t>Chemical compatibility</w:t>
            </w:r>
          </w:p>
        </w:tc>
        <w:tc>
          <w:tcPr>
            <w:tcW w:w="444" w:type="pct"/>
            <w:vAlign w:val="center"/>
          </w:tcPr>
          <w:p w14:paraId="151C4D67" w14:textId="77777777" w:rsidR="000228FA" w:rsidRPr="00A411E7" w:rsidRDefault="000228FA" w:rsidP="00FF3977">
            <w:pPr>
              <w:rPr>
                <w:rFonts w:eastAsia="Calibri"/>
              </w:rPr>
            </w:pPr>
            <w:r>
              <w:rPr>
                <w:color w:val="000000"/>
              </w:rPr>
              <w:t xml:space="preserve"> -</w:t>
            </w:r>
          </w:p>
        </w:tc>
        <w:tc>
          <w:tcPr>
            <w:tcW w:w="474" w:type="pct"/>
            <w:vAlign w:val="center"/>
          </w:tcPr>
          <w:p w14:paraId="79D218E5" w14:textId="77777777" w:rsidR="000228FA" w:rsidRPr="00A411E7" w:rsidRDefault="000228FA" w:rsidP="00FF3977">
            <w:pPr>
              <w:rPr>
                <w:rFonts w:eastAsia="Calibri"/>
              </w:rPr>
            </w:pPr>
            <w:r>
              <w:rPr>
                <w:color w:val="000000"/>
              </w:rPr>
              <w:t xml:space="preserve"> -</w:t>
            </w:r>
          </w:p>
        </w:tc>
        <w:tc>
          <w:tcPr>
            <w:tcW w:w="1792" w:type="pct"/>
            <w:vAlign w:val="center"/>
          </w:tcPr>
          <w:p w14:paraId="0C11F70A"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71" w:type="pct"/>
            <w:vAlign w:val="center"/>
          </w:tcPr>
          <w:p w14:paraId="283EF933" w14:textId="77777777" w:rsidR="000228FA" w:rsidRPr="00A411E7" w:rsidRDefault="000228FA" w:rsidP="00FF3977">
            <w:pPr>
              <w:rPr>
                <w:rFonts w:eastAsia="Calibri"/>
              </w:rPr>
            </w:pPr>
            <w:r>
              <w:rPr>
                <w:color w:val="000000"/>
              </w:rPr>
              <w:t xml:space="preserve"> -</w:t>
            </w:r>
          </w:p>
        </w:tc>
        <w:tc>
          <w:tcPr>
            <w:tcW w:w="517" w:type="pct"/>
          </w:tcPr>
          <w:p w14:paraId="12EAE6B5" w14:textId="77777777" w:rsidR="000228FA" w:rsidRDefault="000228FA" w:rsidP="00FF3977">
            <w:pPr>
              <w:rPr>
                <w:color w:val="000000"/>
              </w:rPr>
            </w:pPr>
            <w:r>
              <w:rPr>
                <w:color w:val="000000"/>
              </w:rPr>
              <w:t>Not relevant</w:t>
            </w:r>
          </w:p>
        </w:tc>
      </w:tr>
      <w:tr w:rsidR="000228FA" w14:paraId="5F73646E" w14:textId="77777777" w:rsidTr="00FF3977">
        <w:tc>
          <w:tcPr>
            <w:tcW w:w="1302" w:type="pct"/>
          </w:tcPr>
          <w:p w14:paraId="42A02028" w14:textId="77777777" w:rsidR="000228FA" w:rsidRPr="00A411E7" w:rsidRDefault="000228FA" w:rsidP="00FF3977">
            <w:pPr>
              <w:rPr>
                <w:rFonts w:eastAsia="Calibri"/>
              </w:rPr>
            </w:pPr>
            <w:r w:rsidRPr="00A411E7">
              <w:rPr>
                <w:rFonts w:eastAsia="Calibri"/>
              </w:rPr>
              <w:t>Degree of dissolution and dilution stability</w:t>
            </w:r>
          </w:p>
        </w:tc>
        <w:tc>
          <w:tcPr>
            <w:tcW w:w="444" w:type="pct"/>
            <w:vAlign w:val="center"/>
          </w:tcPr>
          <w:p w14:paraId="13FE7A2C" w14:textId="77777777" w:rsidR="000228FA" w:rsidRPr="00A411E7" w:rsidRDefault="000228FA" w:rsidP="00FF3977">
            <w:pPr>
              <w:rPr>
                <w:rFonts w:eastAsia="Calibri"/>
              </w:rPr>
            </w:pPr>
            <w:r>
              <w:rPr>
                <w:color w:val="000000"/>
              </w:rPr>
              <w:t xml:space="preserve">CIPAC Handbook O - MT 41.1 </w:t>
            </w:r>
            <w:r>
              <w:rPr>
                <w:color w:val="000000"/>
              </w:rPr>
              <w:lastRenderedPageBreak/>
              <w:t>method (2017)</w:t>
            </w:r>
          </w:p>
        </w:tc>
        <w:tc>
          <w:tcPr>
            <w:tcW w:w="474" w:type="pct"/>
            <w:vAlign w:val="center"/>
          </w:tcPr>
          <w:p w14:paraId="24A1A315" w14:textId="77777777" w:rsidR="000228FA" w:rsidRDefault="000228FA" w:rsidP="00FF3977">
            <w:pPr>
              <w:rPr>
                <w:color w:val="000000"/>
              </w:rPr>
            </w:pPr>
            <w:r>
              <w:rPr>
                <w:color w:val="000000"/>
              </w:rPr>
              <w:lastRenderedPageBreak/>
              <w:t>Batch 5118225</w:t>
            </w:r>
          </w:p>
          <w:p w14:paraId="67FA1FD6" w14:textId="77777777" w:rsidR="000228FA" w:rsidRPr="00A411E7" w:rsidRDefault="000228FA" w:rsidP="00FF3977">
            <w:pPr>
              <w:rPr>
                <w:rFonts w:eastAsia="Calibri"/>
              </w:rPr>
            </w:pPr>
            <w:r>
              <w:rPr>
                <w:rFonts w:eastAsia="Calibri"/>
              </w:rPr>
              <w:lastRenderedPageBreak/>
              <w:t xml:space="preserve">Test item: </w:t>
            </w:r>
            <w:r w:rsidRPr="00B43A3F">
              <w:rPr>
                <w:rFonts w:eastAsia="Calibri"/>
              </w:rPr>
              <w:t>218282-P1</w:t>
            </w:r>
          </w:p>
        </w:tc>
        <w:tc>
          <w:tcPr>
            <w:tcW w:w="1792" w:type="pct"/>
            <w:vAlign w:val="center"/>
          </w:tcPr>
          <w:p w14:paraId="01A45253" w14:textId="77777777" w:rsidR="000228FA" w:rsidRPr="00A411E7" w:rsidRDefault="000228FA" w:rsidP="00FF3977">
            <w:pPr>
              <w:rPr>
                <w:rFonts w:eastAsia="Calibri"/>
              </w:rPr>
            </w:pPr>
            <w:r>
              <w:rPr>
                <w:color w:val="000000"/>
              </w:rPr>
              <w:lastRenderedPageBreak/>
              <w:t xml:space="preserve">Before the accelerated storage procedure, two different phases were observed on the test item solution at 10% w/w in standard water D after standing for 24 h at 30 °C ± </w:t>
            </w:r>
            <w:r>
              <w:rPr>
                <w:color w:val="000000"/>
              </w:rPr>
              <w:lastRenderedPageBreak/>
              <w:t>2 °C. After the accelerated storage procedure, two different phases were observed on the test item solution at 10% w/w in standard water D after standing for 24 h at 30 °C ± 2 °C.</w:t>
            </w:r>
          </w:p>
        </w:tc>
        <w:tc>
          <w:tcPr>
            <w:tcW w:w="471" w:type="pct"/>
            <w:vAlign w:val="center"/>
          </w:tcPr>
          <w:p w14:paraId="17F6FE1D" w14:textId="77777777" w:rsidR="000228FA" w:rsidRPr="00A411E7" w:rsidRDefault="000228FA" w:rsidP="00FF3977">
            <w:pPr>
              <w:rPr>
                <w:rFonts w:eastAsia="Calibri"/>
              </w:rPr>
            </w:pPr>
            <w:r>
              <w:rPr>
                <w:color w:val="000000"/>
              </w:rPr>
              <w:lastRenderedPageBreak/>
              <w:t xml:space="preserve">Demangel B. and Ricau H., 2019, </w:t>
            </w:r>
            <w:r>
              <w:rPr>
                <w:color w:val="000000"/>
              </w:rPr>
              <w:lastRenderedPageBreak/>
              <w:t>Report No 18-901011-040</w:t>
            </w:r>
          </w:p>
        </w:tc>
        <w:tc>
          <w:tcPr>
            <w:tcW w:w="517" w:type="pct"/>
          </w:tcPr>
          <w:p w14:paraId="797F6EB5" w14:textId="77777777" w:rsidR="000228FA" w:rsidRDefault="000228FA" w:rsidP="00FF3977">
            <w:pPr>
              <w:rPr>
                <w:color w:val="000000"/>
              </w:rPr>
            </w:pPr>
            <w:r>
              <w:rPr>
                <w:color w:val="000000"/>
              </w:rPr>
              <w:lastRenderedPageBreak/>
              <w:t>Not acceptable</w:t>
            </w:r>
          </w:p>
          <w:p w14:paraId="28C708BC" w14:textId="77777777" w:rsidR="000228FA" w:rsidRDefault="000228FA" w:rsidP="00FF3977">
            <w:pPr>
              <w:rPr>
                <w:color w:val="000000"/>
              </w:rPr>
            </w:pPr>
          </w:p>
          <w:p w14:paraId="76A6D09C" w14:textId="77777777" w:rsidR="000228FA" w:rsidRDefault="000228FA" w:rsidP="00FF3977">
            <w:pPr>
              <w:rPr>
                <w:color w:val="000000"/>
              </w:rPr>
            </w:pPr>
            <w:r>
              <w:rPr>
                <w:color w:val="000000"/>
              </w:rPr>
              <w:lastRenderedPageBreak/>
              <w:t xml:space="preserve">The solution formed after dilution is not stable. </w:t>
            </w:r>
          </w:p>
          <w:p w14:paraId="789DF957" w14:textId="3FDE67D6" w:rsidR="000228FA" w:rsidRDefault="000228FA" w:rsidP="00FF3977">
            <w:pPr>
              <w:rPr>
                <w:color w:val="000000"/>
              </w:rPr>
            </w:pPr>
            <w:r>
              <w:rPr>
                <w:color w:val="000000"/>
              </w:rPr>
              <w:t xml:space="preserve">The label of products of META SPC 8 should mention: </w:t>
            </w:r>
            <w:r w:rsidRPr="00FD6F0A">
              <w:rPr>
                <w:color w:val="000000"/>
              </w:rPr>
              <w:t xml:space="preserve">The product should be used </w:t>
            </w:r>
            <w:r w:rsidR="00EB1131">
              <w:rPr>
                <w:rFonts w:eastAsia="Calibri"/>
              </w:rPr>
              <w:t>within 30 minutes</w:t>
            </w:r>
            <w:r w:rsidRPr="00FD6F0A">
              <w:rPr>
                <w:color w:val="000000"/>
              </w:rPr>
              <w:t xml:space="preserve"> after dilution.</w:t>
            </w:r>
          </w:p>
        </w:tc>
      </w:tr>
      <w:tr w:rsidR="000228FA" w14:paraId="5AF6E0B2" w14:textId="77777777" w:rsidTr="00FF3977">
        <w:tc>
          <w:tcPr>
            <w:tcW w:w="1302" w:type="pct"/>
          </w:tcPr>
          <w:p w14:paraId="68E0CA77" w14:textId="77777777" w:rsidR="000228FA" w:rsidRPr="00A411E7" w:rsidRDefault="000228FA" w:rsidP="00FF3977">
            <w:pPr>
              <w:rPr>
                <w:rFonts w:eastAsia="Calibri"/>
              </w:rPr>
            </w:pPr>
            <w:r w:rsidRPr="00A411E7">
              <w:rPr>
                <w:rFonts w:eastAsia="Calibri"/>
              </w:rPr>
              <w:lastRenderedPageBreak/>
              <w:t>Surface tension</w:t>
            </w:r>
          </w:p>
        </w:tc>
        <w:tc>
          <w:tcPr>
            <w:tcW w:w="444" w:type="pct"/>
            <w:vAlign w:val="center"/>
          </w:tcPr>
          <w:p w14:paraId="12C436C3" w14:textId="77777777" w:rsidR="000228FA" w:rsidRPr="00A411E7" w:rsidRDefault="000228FA" w:rsidP="00FF3977">
            <w:pPr>
              <w:rPr>
                <w:rFonts w:eastAsia="Calibri"/>
              </w:rPr>
            </w:pPr>
            <w:r>
              <w:rPr>
                <w:color w:val="000000"/>
              </w:rPr>
              <w:t>EC A.5. method (2008) and OECD Guideline No. 115 (1995)</w:t>
            </w:r>
          </w:p>
        </w:tc>
        <w:tc>
          <w:tcPr>
            <w:tcW w:w="474" w:type="pct"/>
            <w:vAlign w:val="center"/>
          </w:tcPr>
          <w:p w14:paraId="0C75902A" w14:textId="77777777" w:rsidR="000228FA" w:rsidRDefault="000228FA" w:rsidP="00FF3977">
            <w:pPr>
              <w:rPr>
                <w:color w:val="000000"/>
              </w:rPr>
            </w:pPr>
            <w:r>
              <w:rPr>
                <w:color w:val="000000"/>
              </w:rPr>
              <w:t>Batch 5118225</w:t>
            </w:r>
          </w:p>
          <w:p w14:paraId="15284D03"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461F36F1" w14:textId="77777777" w:rsidR="000228FA" w:rsidRPr="00A411E7" w:rsidRDefault="000228FA" w:rsidP="00FF3977">
            <w:pPr>
              <w:rPr>
                <w:rFonts w:eastAsia="Calibri"/>
              </w:rPr>
            </w:pPr>
            <w:r>
              <w:rPr>
                <w:color w:val="000000"/>
              </w:rPr>
              <w:t>The mean surface tension of the test item diluted at 10% w/w in distilled water at 20.0 °C was 24.4 mN/m. The test item was considered as surface-active in the experimental conditions used.</w:t>
            </w:r>
          </w:p>
        </w:tc>
        <w:tc>
          <w:tcPr>
            <w:tcW w:w="471" w:type="pct"/>
            <w:vAlign w:val="center"/>
          </w:tcPr>
          <w:p w14:paraId="368BA700" w14:textId="77777777" w:rsidR="000228FA" w:rsidRPr="00A411E7" w:rsidRDefault="000228FA" w:rsidP="00FF3977">
            <w:pPr>
              <w:rPr>
                <w:rFonts w:eastAsia="Calibri"/>
              </w:rPr>
            </w:pPr>
            <w:r>
              <w:rPr>
                <w:color w:val="000000"/>
              </w:rPr>
              <w:t>Demangel B., 2019, Report No 18-901011-039</w:t>
            </w:r>
          </w:p>
        </w:tc>
        <w:tc>
          <w:tcPr>
            <w:tcW w:w="517" w:type="pct"/>
          </w:tcPr>
          <w:p w14:paraId="2692709C" w14:textId="77777777" w:rsidR="000228FA" w:rsidRDefault="000228FA" w:rsidP="00FF3977">
            <w:pPr>
              <w:rPr>
                <w:color w:val="000000"/>
              </w:rPr>
            </w:pPr>
            <w:r>
              <w:rPr>
                <w:color w:val="000000"/>
              </w:rPr>
              <w:t>Acceptable</w:t>
            </w:r>
          </w:p>
        </w:tc>
      </w:tr>
      <w:tr w:rsidR="000228FA" w14:paraId="6634315E" w14:textId="77777777" w:rsidTr="00FF3977">
        <w:tc>
          <w:tcPr>
            <w:tcW w:w="1302" w:type="pct"/>
          </w:tcPr>
          <w:p w14:paraId="4C16E634" w14:textId="77777777" w:rsidR="000228FA" w:rsidRPr="00A411E7" w:rsidRDefault="000228FA" w:rsidP="00FF3977">
            <w:pPr>
              <w:rPr>
                <w:rFonts w:eastAsia="Calibri"/>
              </w:rPr>
            </w:pPr>
            <w:r w:rsidRPr="00A411E7">
              <w:rPr>
                <w:rFonts w:eastAsia="Calibri"/>
              </w:rPr>
              <w:t>Viscosity</w:t>
            </w:r>
          </w:p>
        </w:tc>
        <w:tc>
          <w:tcPr>
            <w:tcW w:w="444" w:type="pct"/>
            <w:vAlign w:val="center"/>
          </w:tcPr>
          <w:p w14:paraId="258A350E" w14:textId="77777777" w:rsidR="000228FA" w:rsidRPr="00A411E7" w:rsidRDefault="000228FA" w:rsidP="00FF3977">
            <w:pPr>
              <w:rPr>
                <w:rFonts w:eastAsia="Calibri"/>
              </w:rPr>
            </w:pPr>
            <w:r>
              <w:rPr>
                <w:color w:val="000000"/>
              </w:rPr>
              <w:t>OECD Guideline No. 114 (2012) and ISO Standard 3219 (1993)</w:t>
            </w:r>
          </w:p>
        </w:tc>
        <w:tc>
          <w:tcPr>
            <w:tcW w:w="474" w:type="pct"/>
            <w:vAlign w:val="center"/>
          </w:tcPr>
          <w:p w14:paraId="42221D99" w14:textId="77777777" w:rsidR="000228FA" w:rsidRDefault="000228FA" w:rsidP="00FF3977">
            <w:pPr>
              <w:rPr>
                <w:color w:val="000000"/>
              </w:rPr>
            </w:pPr>
            <w:r>
              <w:rPr>
                <w:color w:val="000000"/>
              </w:rPr>
              <w:t>Batch 5118225</w:t>
            </w:r>
          </w:p>
          <w:p w14:paraId="31D6434F" w14:textId="77777777" w:rsidR="000228FA" w:rsidRPr="00A411E7" w:rsidRDefault="000228FA" w:rsidP="00FF3977">
            <w:pPr>
              <w:rPr>
                <w:rFonts w:eastAsia="Calibri"/>
              </w:rPr>
            </w:pPr>
            <w:r>
              <w:rPr>
                <w:rFonts w:eastAsia="Calibri"/>
              </w:rPr>
              <w:t xml:space="preserve">Test item: </w:t>
            </w:r>
            <w:r w:rsidRPr="00B43A3F">
              <w:rPr>
                <w:rFonts w:eastAsia="Calibri"/>
              </w:rPr>
              <w:t>218282-P1</w:t>
            </w:r>
          </w:p>
        </w:tc>
        <w:tc>
          <w:tcPr>
            <w:tcW w:w="1792" w:type="pct"/>
            <w:vAlign w:val="center"/>
          </w:tcPr>
          <w:p w14:paraId="03E1078B" w14:textId="77777777" w:rsidR="000228FA" w:rsidRPr="00A411E7" w:rsidRDefault="000228FA" w:rsidP="00FF3977">
            <w:pPr>
              <w:rPr>
                <w:rFonts w:eastAsia="Calibri"/>
              </w:rPr>
            </w:pPr>
            <w:r>
              <w:rPr>
                <w:color w:val="000000"/>
              </w:rPr>
              <w:t xml:space="preserve">Taking into account the results obtained at 20.0 °C and 40.0 °C, the test item was considered to have non-newtonian properties in the experimental conditions used. The dynamic viscosity varied as following: </w:t>
            </w:r>
            <w:r>
              <w:rPr>
                <w:color w:val="000000"/>
              </w:rPr>
              <w:br/>
              <w:t>-At 20.0 °C ± 0.2 °C, from η (1.86 s-1) = 279 mPa.s to η(158.10 s-1) = 27 mPa.s.</w:t>
            </w:r>
            <w:r>
              <w:rPr>
                <w:color w:val="000000"/>
              </w:rPr>
              <w:br/>
            </w:r>
            <w:r>
              <w:rPr>
                <w:color w:val="000000"/>
              </w:rPr>
              <w:lastRenderedPageBreak/>
              <w:t xml:space="preserve"> -At 40.0 °C ± 0.2 °C, from η (3.72 s-1) = 132 mPa.s to η(186.0 s-1) = 19 mPa.s.</w:t>
            </w:r>
          </w:p>
        </w:tc>
        <w:tc>
          <w:tcPr>
            <w:tcW w:w="471" w:type="pct"/>
            <w:vAlign w:val="center"/>
          </w:tcPr>
          <w:p w14:paraId="6AEB0ACD" w14:textId="77777777" w:rsidR="000228FA" w:rsidRPr="00A411E7" w:rsidRDefault="000228FA" w:rsidP="00FF3977">
            <w:pPr>
              <w:rPr>
                <w:rFonts w:eastAsia="Calibri"/>
              </w:rPr>
            </w:pPr>
            <w:r>
              <w:rPr>
                <w:color w:val="000000"/>
              </w:rPr>
              <w:lastRenderedPageBreak/>
              <w:t>Demangel B., 2019, Report No 18-901011-039</w:t>
            </w:r>
          </w:p>
        </w:tc>
        <w:tc>
          <w:tcPr>
            <w:tcW w:w="517" w:type="pct"/>
          </w:tcPr>
          <w:p w14:paraId="560A5A39" w14:textId="77777777" w:rsidR="000228FA" w:rsidRDefault="000228FA" w:rsidP="00FF3977">
            <w:pPr>
              <w:rPr>
                <w:color w:val="000000"/>
              </w:rPr>
            </w:pPr>
            <w:r>
              <w:rPr>
                <w:color w:val="000000"/>
              </w:rPr>
              <w:t>Acceptable</w:t>
            </w:r>
          </w:p>
        </w:tc>
      </w:tr>
    </w:tbl>
    <w:p w14:paraId="4628555F" w14:textId="77777777" w:rsidR="000228FA" w:rsidRPr="00E91F85" w:rsidRDefault="000228FA">
      <w:pPr>
        <w:spacing w:line="260" w:lineRule="atLeast"/>
        <w:ind w:left="360"/>
        <w:contextualSpacing/>
        <w:rPr>
          <w:rFonts w:eastAsia="Calibri"/>
          <w:lang w:val="en-US" w:eastAsia="sv-SE"/>
        </w:rPr>
      </w:pPr>
    </w:p>
    <w:tbl>
      <w:tblPr>
        <w:tblW w:w="5029" w:type="pct"/>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415"/>
      </w:tblGrid>
      <w:tr w:rsidR="000228FA" w:rsidRPr="00A411E7" w14:paraId="40E15432" w14:textId="77777777" w:rsidTr="000228FA">
        <w:tc>
          <w:tcPr>
            <w:tcW w:w="5000" w:type="pct"/>
            <w:tcBorders>
              <w:top w:val="single" w:sz="4" w:space="0" w:color="auto"/>
              <w:left w:val="single" w:sz="4" w:space="0" w:color="auto"/>
              <w:bottom w:val="single" w:sz="6" w:space="0" w:color="auto"/>
              <w:right w:val="single" w:sz="6" w:space="0" w:color="auto"/>
            </w:tcBorders>
            <w:shd w:val="clear" w:color="auto" w:fill="CCFFCC"/>
          </w:tcPr>
          <w:p w14:paraId="1500203C"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8</w:t>
            </w:r>
          </w:p>
        </w:tc>
      </w:tr>
      <w:tr w:rsidR="000228FA" w:rsidRPr="001D704F" w14:paraId="6764B9E0" w14:textId="77777777" w:rsidTr="000228F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F67D70F" w14:textId="77777777" w:rsidR="000228FA" w:rsidRDefault="000228FA" w:rsidP="00FF3977">
            <w:pPr>
              <w:spacing w:line="276" w:lineRule="auto"/>
              <w:jc w:val="both"/>
              <w:rPr>
                <w:lang w:eastAsia="en-US"/>
              </w:rPr>
            </w:pPr>
            <w:r>
              <w:rPr>
                <w:lang w:eastAsia="en-US"/>
              </w:rPr>
              <w:t>The Meta-SPC 8 is a soluble concentrate (SL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1viP1TTQ","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rcPTVI5m","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4AEFE252" w14:textId="025ECCE3" w:rsidR="001F28AC" w:rsidRDefault="000228FA" w:rsidP="001F28AC">
            <w:pPr>
              <w:spacing w:line="276" w:lineRule="auto"/>
              <w:jc w:val="both"/>
              <w:rPr>
                <w:lang w:eastAsia="en-US"/>
              </w:rPr>
            </w:pPr>
            <w:r>
              <w:rPr>
                <w:lang w:eastAsia="en-US"/>
              </w:rPr>
              <w:t xml:space="preserve">The appearance of the product is an </w:t>
            </w:r>
            <w:r>
              <w:t>homogeneous slightly yellow limpid liquid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this commercial packaging in </w:t>
            </w:r>
            <w:r w:rsidRPr="004E0EF7">
              <w:rPr>
                <w:lang w:eastAsia="en-US"/>
              </w:rPr>
              <w:t>HDPE</w:t>
            </w:r>
            <w:r>
              <w:rPr>
                <w:lang w:eastAsia="en-US"/>
              </w:rPr>
              <w:t>. As the product is not stable after dilution, the labels should mention:</w:t>
            </w:r>
            <w:r>
              <w:t xml:space="preserve"> </w:t>
            </w:r>
            <w:r w:rsidRPr="00FD6F0A">
              <w:rPr>
                <w:lang w:eastAsia="en-US"/>
              </w:rPr>
              <w:t xml:space="preserve">The product should be used </w:t>
            </w:r>
            <w:r w:rsidR="00EB1131">
              <w:rPr>
                <w:rFonts w:eastAsia="Calibri"/>
              </w:rPr>
              <w:t>within 30 minutes</w:t>
            </w:r>
            <w:r w:rsidRPr="00FD6F0A">
              <w:rPr>
                <w:lang w:eastAsia="en-US"/>
              </w:rPr>
              <w:t xml:space="preserve"> after dilution.</w:t>
            </w:r>
            <w:r>
              <w:rPr>
                <w:lang w:eastAsia="en-US"/>
              </w:rPr>
              <w:t xml:space="preserve"> </w:t>
            </w:r>
            <w:r w:rsidR="001F28AC">
              <w:rPr>
                <w:lang w:eastAsia="en-US"/>
              </w:rPr>
              <w:t>Results of the persistent foaming are outside acceptable limits, however it has been demonstrated that</w:t>
            </w:r>
            <w:r w:rsidR="001F28AC" w:rsidRPr="00C2001F">
              <w:rPr>
                <w:lang w:eastAsia="en-US"/>
              </w:rPr>
              <w:t xml:space="preserve"> the presence of the foam will not affect the use of the product.</w:t>
            </w:r>
          </w:p>
          <w:p w14:paraId="6DB22C91" w14:textId="77777777" w:rsidR="000228FA" w:rsidRPr="001D704F" w:rsidRDefault="000228FA" w:rsidP="00FF3977">
            <w:pPr>
              <w:spacing w:line="276" w:lineRule="auto"/>
              <w:jc w:val="both"/>
              <w:rPr>
                <w:rFonts w:eastAsia="Calibri"/>
                <w:color w:val="FF0000"/>
                <w:lang w:val="en-US" w:eastAsia="en-US"/>
              </w:rPr>
            </w:pPr>
            <w:r>
              <w:rPr>
                <w:lang w:eastAsia="en-US"/>
              </w:rPr>
              <w:t xml:space="preserve">The long term storage stability study is on-going and </w:t>
            </w:r>
            <w:r>
              <w:t>should be provided in post-authorisation.</w:t>
            </w:r>
          </w:p>
        </w:tc>
      </w:tr>
    </w:tbl>
    <w:p w14:paraId="73B5E5FE" w14:textId="7084E744" w:rsidR="009D0C0B" w:rsidRDefault="009D0C0B">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1"/>
        <w:gridCol w:w="1603"/>
        <w:gridCol w:w="1339"/>
        <w:gridCol w:w="4618"/>
        <w:gridCol w:w="1207"/>
        <w:gridCol w:w="1253"/>
      </w:tblGrid>
      <w:tr w:rsidR="000228FA" w14:paraId="14F19499" w14:textId="77777777" w:rsidTr="00FF3977">
        <w:trPr>
          <w:tblHeader/>
        </w:trPr>
        <w:tc>
          <w:tcPr>
            <w:tcW w:w="4522" w:type="pct"/>
            <w:gridSpan w:val="5"/>
            <w:shd w:val="clear" w:color="auto" w:fill="E0E0E0"/>
            <w:vAlign w:val="center"/>
          </w:tcPr>
          <w:p w14:paraId="2893558F" w14:textId="77777777" w:rsidR="000228FA" w:rsidRPr="00305B11" w:rsidRDefault="000228FA" w:rsidP="00FF3977">
            <w:pPr>
              <w:spacing w:line="260" w:lineRule="atLeast"/>
              <w:rPr>
                <w:rFonts w:eastAsia="Calibri"/>
                <w:b/>
                <w:lang w:eastAsia="en-US"/>
              </w:rPr>
            </w:pPr>
            <w:r>
              <w:rPr>
                <w:rFonts w:eastAsia="Calibri"/>
                <w:b/>
                <w:lang w:eastAsia="en-US"/>
              </w:rPr>
              <w:t>Meta-SPC 9 ( AL – ready to use)</w:t>
            </w:r>
          </w:p>
        </w:tc>
        <w:tc>
          <w:tcPr>
            <w:tcW w:w="478" w:type="pct"/>
            <w:shd w:val="clear" w:color="auto" w:fill="E0E0E0"/>
          </w:tcPr>
          <w:p w14:paraId="374609C5" w14:textId="77777777" w:rsidR="000228FA" w:rsidRDefault="000228FA" w:rsidP="00FF3977">
            <w:pPr>
              <w:spacing w:line="260" w:lineRule="atLeast"/>
              <w:rPr>
                <w:rFonts w:eastAsia="Calibri"/>
                <w:b/>
                <w:lang w:eastAsia="en-US"/>
              </w:rPr>
            </w:pPr>
          </w:p>
        </w:tc>
      </w:tr>
      <w:tr w:rsidR="000228FA" w:rsidRPr="00305B11" w14:paraId="24DF8B5E" w14:textId="77777777" w:rsidTr="00FF3977">
        <w:trPr>
          <w:tblHeader/>
        </w:trPr>
        <w:tc>
          <w:tcPr>
            <w:tcW w:w="1230" w:type="pct"/>
            <w:shd w:val="clear" w:color="auto" w:fill="E0E0E0"/>
            <w:vAlign w:val="center"/>
          </w:tcPr>
          <w:p w14:paraId="12DE76BE"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594" w:type="pct"/>
            <w:shd w:val="clear" w:color="auto" w:fill="E0E0E0"/>
            <w:vAlign w:val="center"/>
          </w:tcPr>
          <w:p w14:paraId="7B7E2399"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540" w:type="pct"/>
            <w:shd w:val="clear" w:color="auto" w:fill="E0E0E0"/>
            <w:vAlign w:val="center"/>
          </w:tcPr>
          <w:p w14:paraId="312896D9"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711" w:type="pct"/>
            <w:shd w:val="clear" w:color="auto" w:fill="E0E0E0"/>
            <w:vAlign w:val="center"/>
          </w:tcPr>
          <w:p w14:paraId="7D2FDCD1"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47" w:type="pct"/>
            <w:shd w:val="clear" w:color="auto" w:fill="E0E0E0"/>
            <w:vAlign w:val="center"/>
          </w:tcPr>
          <w:p w14:paraId="303743E6"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478" w:type="pct"/>
            <w:shd w:val="clear" w:color="auto" w:fill="E0E0E0"/>
          </w:tcPr>
          <w:p w14:paraId="53349FB4"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5EE77F40" w14:textId="77777777" w:rsidTr="00FF3977">
        <w:tc>
          <w:tcPr>
            <w:tcW w:w="1230" w:type="pct"/>
          </w:tcPr>
          <w:p w14:paraId="2EF259DC"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594" w:type="pct"/>
            <w:vAlign w:val="center"/>
          </w:tcPr>
          <w:p w14:paraId="226E160E" w14:textId="77777777" w:rsidR="000228FA" w:rsidRPr="00017CF8" w:rsidRDefault="000228FA" w:rsidP="00FF3977">
            <w:pPr>
              <w:rPr>
                <w:rFonts w:eastAsia="Calibri"/>
              </w:rPr>
            </w:pPr>
            <w:r>
              <w:rPr>
                <w:color w:val="000000"/>
              </w:rPr>
              <w:t xml:space="preserve"> -</w:t>
            </w:r>
          </w:p>
        </w:tc>
        <w:tc>
          <w:tcPr>
            <w:tcW w:w="540" w:type="pct"/>
            <w:vAlign w:val="center"/>
          </w:tcPr>
          <w:p w14:paraId="7450D559" w14:textId="77777777" w:rsidR="000228FA" w:rsidRDefault="000228FA" w:rsidP="00FF3977">
            <w:pPr>
              <w:rPr>
                <w:color w:val="000000"/>
              </w:rPr>
            </w:pPr>
            <w:r>
              <w:rPr>
                <w:color w:val="000000"/>
              </w:rPr>
              <w:t>Batch 1805000317</w:t>
            </w:r>
          </w:p>
          <w:p w14:paraId="5C15B55C" w14:textId="77777777" w:rsidR="000228FA" w:rsidRPr="00017CF8"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47DB7857" w14:textId="77777777" w:rsidR="000228FA" w:rsidRPr="00017CF8" w:rsidRDefault="000228FA" w:rsidP="00FF3977">
            <w:pPr>
              <w:rPr>
                <w:rFonts w:eastAsia="Calibri"/>
              </w:rPr>
            </w:pPr>
            <w:r>
              <w:t>The appearance of the test item was homogeneous slightly yellow liquid with a characteristic odour.</w:t>
            </w:r>
          </w:p>
        </w:tc>
        <w:tc>
          <w:tcPr>
            <w:tcW w:w="447" w:type="pct"/>
            <w:vAlign w:val="center"/>
          </w:tcPr>
          <w:p w14:paraId="49A48D5A" w14:textId="77777777" w:rsidR="000228FA" w:rsidRPr="00017CF8" w:rsidRDefault="000228FA" w:rsidP="00FF3977">
            <w:pPr>
              <w:rPr>
                <w:rFonts w:eastAsia="Calibri"/>
              </w:rPr>
            </w:pPr>
            <w:r>
              <w:t>Demangel B. and Ricau H., 2019, Report No 18-901011-045</w:t>
            </w:r>
          </w:p>
        </w:tc>
        <w:tc>
          <w:tcPr>
            <w:tcW w:w="478" w:type="pct"/>
          </w:tcPr>
          <w:p w14:paraId="48CF972D" w14:textId="77777777" w:rsidR="000228FA" w:rsidRDefault="000228FA" w:rsidP="00FF3977">
            <w:r>
              <w:rPr>
                <w:color w:val="000000"/>
              </w:rPr>
              <w:t>Acceptable</w:t>
            </w:r>
          </w:p>
        </w:tc>
      </w:tr>
      <w:tr w:rsidR="000228FA" w14:paraId="2C54983F" w14:textId="77777777" w:rsidTr="00FF3977">
        <w:tc>
          <w:tcPr>
            <w:tcW w:w="1230" w:type="pct"/>
          </w:tcPr>
          <w:p w14:paraId="72099549" w14:textId="77777777" w:rsidR="000228FA" w:rsidRPr="00A411E7" w:rsidRDefault="000228FA" w:rsidP="00FF3977">
            <w:pPr>
              <w:rPr>
                <w:rFonts w:eastAsia="Calibri"/>
              </w:rPr>
            </w:pPr>
            <w:r w:rsidRPr="00A411E7">
              <w:rPr>
                <w:rFonts w:eastAsia="Calibri"/>
              </w:rPr>
              <w:lastRenderedPageBreak/>
              <w:t>Acidity / alkalinity</w:t>
            </w:r>
          </w:p>
        </w:tc>
        <w:tc>
          <w:tcPr>
            <w:tcW w:w="594" w:type="pct"/>
            <w:vAlign w:val="center"/>
          </w:tcPr>
          <w:p w14:paraId="74B105F5" w14:textId="77777777" w:rsidR="000228FA" w:rsidRPr="00A411E7" w:rsidRDefault="000228FA" w:rsidP="00FF3977">
            <w:pPr>
              <w:rPr>
                <w:rFonts w:eastAsia="Calibri"/>
              </w:rPr>
            </w:pPr>
            <w:r>
              <w:rPr>
                <w:color w:val="000000"/>
              </w:rPr>
              <w:t>CIPAC Handbook L - MT 191 method (2006)</w:t>
            </w:r>
          </w:p>
        </w:tc>
        <w:tc>
          <w:tcPr>
            <w:tcW w:w="540" w:type="pct"/>
            <w:vAlign w:val="center"/>
          </w:tcPr>
          <w:p w14:paraId="463E6C55" w14:textId="77777777" w:rsidR="000228FA" w:rsidRDefault="000228FA" w:rsidP="00FF3977">
            <w:pPr>
              <w:rPr>
                <w:color w:val="000000"/>
              </w:rPr>
            </w:pPr>
            <w:r>
              <w:rPr>
                <w:color w:val="000000"/>
              </w:rPr>
              <w:t>Batch 1805000317</w:t>
            </w:r>
          </w:p>
          <w:p w14:paraId="63CEDB1C"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11B8A009" w14:textId="77777777" w:rsidR="000228FA" w:rsidRPr="00A411E7" w:rsidRDefault="000228FA" w:rsidP="00FF3977">
            <w:pPr>
              <w:rPr>
                <w:rFonts w:eastAsia="Calibri"/>
              </w:rPr>
            </w:pPr>
            <w:r>
              <w:t>Before the accelerated storage procedure, the mean value of the test item acidity was 1.20% w/w. After the accelerated storage procedure, the mean value of the test item acidity was 1.24% w/w.</w:t>
            </w:r>
          </w:p>
        </w:tc>
        <w:tc>
          <w:tcPr>
            <w:tcW w:w="447" w:type="pct"/>
            <w:vAlign w:val="center"/>
          </w:tcPr>
          <w:p w14:paraId="72E02B18" w14:textId="77777777" w:rsidR="000228FA" w:rsidRPr="00A411E7" w:rsidRDefault="000228FA" w:rsidP="00FF3977">
            <w:pPr>
              <w:rPr>
                <w:rFonts w:eastAsia="Calibri"/>
              </w:rPr>
            </w:pPr>
            <w:r>
              <w:t>Demangel B. and Ricau H., 2019, Report No 18-901011-045</w:t>
            </w:r>
          </w:p>
        </w:tc>
        <w:tc>
          <w:tcPr>
            <w:tcW w:w="478" w:type="pct"/>
          </w:tcPr>
          <w:p w14:paraId="1CE22FE8" w14:textId="77777777" w:rsidR="000228FA" w:rsidRDefault="000228FA" w:rsidP="00FF3977">
            <w:r>
              <w:rPr>
                <w:color w:val="000000"/>
              </w:rPr>
              <w:t>Acceptable</w:t>
            </w:r>
          </w:p>
        </w:tc>
      </w:tr>
      <w:tr w:rsidR="000228FA" w14:paraId="647174DD" w14:textId="77777777" w:rsidTr="00FF3977">
        <w:tc>
          <w:tcPr>
            <w:tcW w:w="1230" w:type="pct"/>
          </w:tcPr>
          <w:p w14:paraId="44616EDF" w14:textId="77777777" w:rsidR="000228FA" w:rsidRPr="00A411E7" w:rsidRDefault="000228FA" w:rsidP="00FF3977">
            <w:pPr>
              <w:rPr>
                <w:rFonts w:eastAsia="Calibri"/>
              </w:rPr>
            </w:pPr>
            <w:r>
              <w:rPr>
                <w:rFonts w:eastAsia="Calibri"/>
              </w:rPr>
              <w:t>pH value</w:t>
            </w:r>
          </w:p>
        </w:tc>
        <w:tc>
          <w:tcPr>
            <w:tcW w:w="594" w:type="pct"/>
            <w:vAlign w:val="center"/>
          </w:tcPr>
          <w:p w14:paraId="68E72D83" w14:textId="77777777" w:rsidR="000228FA" w:rsidRDefault="000228FA" w:rsidP="00FF3977">
            <w:pPr>
              <w:rPr>
                <w:color w:val="000000"/>
              </w:rPr>
            </w:pPr>
            <w:r>
              <w:rPr>
                <w:color w:val="000000"/>
              </w:rPr>
              <w:t>CIPAC MT 75.3</w:t>
            </w:r>
          </w:p>
        </w:tc>
        <w:tc>
          <w:tcPr>
            <w:tcW w:w="540" w:type="pct"/>
            <w:vAlign w:val="center"/>
          </w:tcPr>
          <w:p w14:paraId="07C9E5E4" w14:textId="77777777" w:rsidR="000228FA" w:rsidRDefault="000228FA" w:rsidP="00FF3977">
            <w:pPr>
              <w:rPr>
                <w:color w:val="000000"/>
              </w:rPr>
            </w:pPr>
            <w:r>
              <w:rPr>
                <w:color w:val="000000"/>
              </w:rPr>
              <w:t>Batch 1805000317</w:t>
            </w:r>
          </w:p>
          <w:p w14:paraId="6785137F" w14:textId="77777777" w:rsidR="000228FA" w:rsidRDefault="000228FA" w:rsidP="00FF3977">
            <w:pPr>
              <w:rPr>
                <w:color w:val="000000"/>
              </w:rPr>
            </w:pPr>
            <w:r>
              <w:rPr>
                <w:color w:val="000000"/>
              </w:rPr>
              <w:t xml:space="preserve">Test item: </w:t>
            </w:r>
            <w:r w:rsidRPr="00494046">
              <w:rPr>
                <w:color w:val="000000"/>
              </w:rPr>
              <w:t>218284-V1</w:t>
            </w:r>
          </w:p>
        </w:tc>
        <w:tc>
          <w:tcPr>
            <w:tcW w:w="1711" w:type="pct"/>
            <w:vAlign w:val="center"/>
          </w:tcPr>
          <w:p w14:paraId="7749EDC3" w14:textId="77777777" w:rsidR="000228FA" w:rsidRDefault="000228FA" w:rsidP="00FF3977">
            <w:pPr>
              <w:rPr>
                <w:color w:val="000000"/>
              </w:rPr>
            </w:pPr>
            <w:r>
              <w:rPr>
                <w:color w:val="000000"/>
              </w:rPr>
              <w:t>Before accelerated storage: pH=2.67 at 21°C</w:t>
            </w:r>
          </w:p>
          <w:p w14:paraId="6A3350FE" w14:textId="77777777" w:rsidR="000228FA" w:rsidRDefault="000228FA" w:rsidP="00FF3977">
            <w:r>
              <w:rPr>
                <w:color w:val="000000"/>
              </w:rPr>
              <w:t>After accelerated storage: pH=2.70 at 19.3°C</w:t>
            </w:r>
          </w:p>
        </w:tc>
        <w:tc>
          <w:tcPr>
            <w:tcW w:w="447" w:type="pct"/>
            <w:vAlign w:val="center"/>
          </w:tcPr>
          <w:p w14:paraId="4DB7038E" w14:textId="77777777" w:rsidR="000228FA" w:rsidRDefault="000228FA" w:rsidP="00FF3977">
            <w:r>
              <w:t>Demangel B. and Ricau H., 2019, Report No 18-901011-045</w:t>
            </w:r>
          </w:p>
        </w:tc>
        <w:tc>
          <w:tcPr>
            <w:tcW w:w="478" w:type="pct"/>
          </w:tcPr>
          <w:p w14:paraId="01102BEB" w14:textId="77777777" w:rsidR="000228FA" w:rsidRDefault="000228FA" w:rsidP="00FF3977">
            <w:pPr>
              <w:rPr>
                <w:color w:val="000000"/>
              </w:rPr>
            </w:pPr>
            <w:r>
              <w:rPr>
                <w:color w:val="000000"/>
              </w:rPr>
              <w:t>Acceptable</w:t>
            </w:r>
          </w:p>
        </w:tc>
      </w:tr>
      <w:tr w:rsidR="000228FA" w14:paraId="76F83F19" w14:textId="77777777" w:rsidTr="00FF3977">
        <w:tc>
          <w:tcPr>
            <w:tcW w:w="1230" w:type="pct"/>
            <w:tcBorders>
              <w:top w:val="single" w:sz="4" w:space="0" w:color="auto"/>
              <w:left w:val="single" w:sz="4" w:space="0" w:color="auto"/>
              <w:bottom w:val="single" w:sz="4" w:space="0" w:color="auto"/>
              <w:right w:val="single" w:sz="4" w:space="0" w:color="auto"/>
            </w:tcBorders>
          </w:tcPr>
          <w:p w14:paraId="6F9D3FB7" w14:textId="77777777" w:rsidR="000228FA" w:rsidRPr="00A411E7" w:rsidRDefault="000228FA" w:rsidP="00FF3977">
            <w:pPr>
              <w:rPr>
                <w:rFonts w:eastAsia="Calibri"/>
              </w:rPr>
            </w:pPr>
            <w:r w:rsidRPr="00A411E7">
              <w:rPr>
                <w:rFonts w:eastAsia="Calibri"/>
              </w:rPr>
              <w:t>Relative density / bulk density</w:t>
            </w:r>
          </w:p>
        </w:tc>
        <w:tc>
          <w:tcPr>
            <w:tcW w:w="594" w:type="pct"/>
            <w:tcBorders>
              <w:top w:val="single" w:sz="4" w:space="0" w:color="auto"/>
              <w:left w:val="single" w:sz="4" w:space="0" w:color="auto"/>
              <w:bottom w:val="single" w:sz="4" w:space="0" w:color="auto"/>
              <w:right w:val="single" w:sz="4" w:space="0" w:color="auto"/>
            </w:tcBorders>
            <w:vAlign w:val="center"/>
          </w:tcPr>
          <w:p w14:paraId="7EA23754" w14:textId="77777777" w:rsidR="000228FA" w:rsidRPr="00A411E7" w:rsidRDefault="000228FA" w:rsidP="00FF3977">
            <w:pPr>
              <w:rPr>
                <w:rFonts w:eastAsia="Calibri"/>
              </w:rPr>
            </w:pPr>
            <w:r>
              <w:rPr>
                <w:color w:val="000000"/>
              </w:rPr>
              <w:t>EC A.3. method (2008) and OECD Guideline No. 109 (2012)</w:t>
            </w:r>
          </w:p>
        </w:tc>
        <w:tc>
          <w:tcPr>
            <w:tcW w:w="540" w:type="pct"/>
            <w:tcBorders>
              <w:top w:val="single" w:sz="4" w:space="0" w:color="auto"/>
              <w:left w:val="single" w:sz="4" w:space="0" w:color="auto"/>
              <w:bottom w:val="single" w:sz="4" w:space="0" w:color="auto"/>
              <w:right w:val="single" w:sz="4" w:space="0" w:color="auto"/>
            </w:tcBorders>
            <w:vAlign w:val="center"/>
          </w:tcPr>
          <w:p w14:paraId="3031886E" w14:textId="77777777" w:rsidR="000228FA" w:rsidRDefault="000228FA" w:rsidP="00FF3977">
            <w:pPr>
              <w:rPr>
                <w:color w:val="000000"/>
              </w:rPr>
            </w:pPr>
            <w:r>
              <w:rPr>
                <w:color w:val="000000"/>
              </w:rPr>
              <w:t>Batch 1805000317</w:t>
            </w:r>
          </w:p>
          <w:p w14:paraId="774BA1A0"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tcBorders>
              <w:top w:val="single" w:sz="4" w:space="0" w:color="auto"/>
              <w:left w:val="single" w:sz="4" w:space="0" w:color="auto"/>
              <w:bottom w:val="single" w:sz="4" w:space="0" w:color="auto"/>
              <w:right w:val="single" w:sz="4" w:space="0" w:color="auto"/>
            </w:tcBorders>
            <w:vAlign w:val="center"/>
          </w:tcPr>
          <w:p w14:paraId="2B8463C6" w14:textId="77777777" w:rsidR="000228FA" w:rsidRPr="00A411E7" w:rsidRDefault="000228FA" w:rsidP="00FF3977">
            <w:pPr>
              <w:rPr>
                <w:rFonts w:eastAsia="Calibri"/>
              </w:rPr>
            </w:pPr>
            <w:r>
              <w:t>The mean relative density of the test item was D</w:t>
            </w:r>
            <w:r>
              <w:rPr>
                <w:vertAlign w:val="superscript"/>
              </w:rPr>
              <w:t>20</w:t>
            </w:r>
            <w:r>
              <w:rPr>
                <w:vertAlign w:val="subscript"/>
              </w:rPr>
              <w:t>4</w:t>
            </w:r>
            <w:r>
              <w:t xml:space="preserve"> = 1.021 ± 0.001 at 20.0 °C.</w:t>
            </w:r>
          </w:p>
        </w:tc>
        <w:tc>
          <w:tcPr>
            <w:tcW w:w="447" w:type="pct"/>
            <w:tcBorders>
              <w:top w:val="single" w:sz="4" w:space="0" w:color="auto"/>
              <w:left w:val="single" w:sz="4" w:space="0" w:color="auto"/>
              <w:bottom w:val="single" w:sz="4" w:space="0" w:color="auto"/>
              <w:right w:val="single" w:sz="4" w:space="0" w:color="auto"/>
            </w:tcBorders>
            <w:vAlign w:val="center"/>
          </w:tcPr>
          <w:p w14:paraId="10F46518" w14:textId="77777777" w:rsidR="000228FA" w:rsidRPr="00A411E7" w:rsidRDefault="000228FA" w:rsidP="00FF3977">
            <w:pPr>
              <w:rPr>
                <w:rFonts w:eastAsia="Calibri"/>
              </w:rPr>
            </w:pPr>
            <w:r>
              <w:rPr>
                <w:color w:val="000000"/>
              </w:rPr>
              <w:t>Demangel B., 2019, Report No 18-901011-044</w:t>
            </w:r>
          </w:p>
        </w:tc>
        <w:tc>
          <w:tcPr>
            <w:tcW w:w="478" w:type="pct"/>
            <w:tcBorders>
              <w:top w:val="single" w:sz="4" w:space="0" w:color="auto"/>
              <w:left w:val="single" w:sz="4" w:space="0" w:color="auto"/>
              <w:bottom w:val="single" w:sz="4" w:space="0" w:color="auto"/>
              <w:right w:val="single" w:sz="4" w:space="0" w:color="auto"/>
            </w:tcBorders>
          </w:tcPr>
          <w:p w14:paraId="0AD70C1C" w14:textId="77777777" w:rsidR="000228FA" w:rsidRDefault="000228FA" w:rsidP="00FF3977">
            <w:pPr>
              <w:rPr>
                <w:color w:val="000000"/>
              </w:rPr>
            </w:pPr>
            <w:r>
              <w:rPr>
                <w:color w:val="000000"/>
              </w:rPr>
              <w:t>Acceptable</w:t>
            </w:r>
          </w:p>
        </w:tc>
      </w:tr>
      <w:tr w:rsidR="000228FA" w14:paraId="63AFAD9A" w14:textId="77777777" w:rsidTr="00FF3977">
        <w:tc>
          <w:tcPr>
            <w:tcW w:w="1230" w:type="pct"/>
          </w:tcPr>
          <w:p w14:paraId="2C999360"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594" w:type="pct"/>
            <w:vAlign w:val="center"/>
          </w:tcPr>
          <w:p w14:paraId="1AB795EE" w14:textId="77777777" w:rsidR="000228FA" w:rsidRDefault="000228FA" w:rsidP="00FF3977">
            <w:pPr>
              <w:rPr>
                <w:color w:val="000000"/>
              </w:rPr>
            </w:pPr>
            <w:r>
              <w:rPr>
                <w:color w:val="000000"/>
              </w:rPr>
              <w:t>CIPAC Handbook J - MT 46.3 method (2000)</w:t>
            </w:r>
            <w:r>
              <w:rPr>
                <w:color w:val="000000"/>
              </w:rPr>
              <w:br/>
            </w:r>
          </w:p>
          <w:p w14:paraId="0FFF8CF4" w14:textId="77777777" w:rsidR="000228FA" w:rsidRDefault="000228FA" w:rsidP="00FF3977">
            <w:pPr>
              <w:rPr>
                <w:color w:val="000000"/>
              </w:rPr>
            </w:pPr>
            <w:r>
              <w:rPr>
                <w:color w:val="000000"/>
              </w:rPr>
              <w:t>Content of AS:</w:t>
            </w:r>
          </w:p>
          <w:p w14:paraId="59CF16AD" w14:textId="77777777" w:rsidR="000228FA" w:rsidRDefault="000228FA" w:rsidP="00FF3977">
            <w:pPr>
              <w:rPr>
                <w:color w:val="000000"/>
              </w:rPr>
            </w:pPr>
            <w:r>
              <w:rPr>
                <w:color w:val="000000"/>
              </w:rPr>
              <w:lastRenderedPageBreak/>
              <w:t xml:space="preserve">Validated method in studies </w:t>
            </w:r>
            <w:r w:rsidRPr="0026219A">
              <w:rPr>
                <w:color w:val="000000"/>
              </w:rPr>
              <w:t>No. 17-901011-001</w:t>
            </w:r>
            <w:r>
              <w:rPr>
                <w:color w:val="000000"/>
              </w:rPr>
              <w:t xml:space="preserve"> and No. 18-901011-048</w:t>
            </w:r>
          </w:p>
          <w:p w14:paraId="78A5C0DD" w14:textId="77777777" w:rsidR="000228FA" w:rsidRPr="00A411E7" w:rsidRDefault="000228FA" w:rsidP="00FF3977">
            <w:pPr>
              <w:rPr>
                <w:rFonts w:eastAsia="Calibri"/>
              </w:rPr>
            </w:pPr>
            <w:r>
              <w:rPr>
                <w:color w:val="000000"/>
              </w:rPr>
              <w:br/>
              <w:t>pH : CIPAC Handbook J - MT 75.3 method (2000)</w:t>
            </w:r>
            <w:r>
              <w:rPr>
                <w:color w:val="000000"/>
              </w:rPr>
              <w:br/>
            </w:r>
            <w:r>
              <w:rPr>
                <w:color w:val="000000"/>
              </w:rPr>
              <w:br/>
              <w:t>SATISFACTORY OPERATION OF THE SPRAYER AND SPRAY VOLUME : in-house method</w:t>
            </w:r>
            <w:r>
              <w:rPr>
                <w:color w:val="000000"/>
              </w:rPr>
              <w:br/>
            </w:r>
            <w:r>
              <w:rPr>
                <w:color w:val="000000"/>
              </w:rPr>
              <w:br/>
              <w:t>SPRAY DIAMETER AND PATTERN : In-house method (FEA 644 adapted)</w:t>
            </w:r>
          </w:p>
        </w:tc>
        <w:tc>
          <w:tcPr>
            <w:tcW w:w="540" w:type="pct"/>
            <w:vAlign w:val="center"/>
          </w:tcPr>
          <w:p w14:paraId="09E4CC35" w14:textId="77777777" w:rsidR="000228FA" w:rsidRDefault="000228FA" w:rsidP="00FF3977">
            <w:pPr>
              <w:rPr>
                <w:color w:val="000000"/>
              </w:rPr>
            </w:pPr>
            <w:r>
              <w:rPr>
                <w:color w:val="000000"/>
              </w:rPr>
              <w:lastRenderedPageBreak/>
              <w:t>Batch 1805000317</w:t>
            </w:r>
          </w:p>
          <w:p w14:paraId="297AD2B7"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67F27891" w14:textId="77777777" w:rsidR="000228FA" w:rsidRDefault="000228FA" w:rsidP="00FF3977">
            <w:pPr>
              <w:rPr>
                <w:color w:val="FF0000"/>
              </w:rPr>
            </w:pPr>
            <w:r>
              <w:t>Test item characteristics before and after the accelerated storage procedure was: homogeneous slightly yellow liquid with a characteristic odour.</w:t>
            </w:r>
            <w:r>
              <w:rPr>
                <w:color w:val="FF0000"/>
              </w:rPr>
              <w:br/>
            </w:r>
            <w:r>
              <w:t xml:space="preserve">Packaging: White opaque PET sprayer </w:t>
            </w:r>
            <w:r>
              <w:rPr>
                <w:color w:val="000000"/>
              </w:rPr>
              <w:t>(no sign of degradation or leak was observed).</w:t>
            </w:r>
            <w:r>
              <w:rPr>
                <w:color w:val="FF0000"/>
              </w:rPr>
              <w:br/>
            </w:r>
            <w:r>
              <w:t xml:space="preserve">The appearance of the test item and the packaging material were considered to be stable after an accelerated storage </w:t>
            </w:r>
            <w:r>
              <w:lastRenderedPageBreak/>
              <w:t>procedure at 54 °C ± 2 °C for 14 days. No significant change of weight was observed (-0.5%).</w:t>
            </w:r>
            <w:r>
              <w:rPr>
                <w:color w:val="FF0000"/>
              </w:rPr>
              <w:br/>
            </w:r>
            <w:r>
              <w:rPr>
                <w:b/>
                <w:bCs/>
              </w:rPr>
              <w:t>ANALYTICAL QUANTIFICATION OF THE ACTIVE SUBSTANCE</w:t>
            </w:r>
            <w:r>
              <w:rPr>
                <w:color w:val="FF0000"/>
              </w:rPr>
              <w:br/>
            </w:r>
            <w:r w:rsidRPr="001D704F">
              <w:t>Content of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111"/>
              <w:gridCol w:w="1300"/>
              <w:gridCol w:w="1300"/>
            </w:tblGrid>
            <w:tr w:rsidR="000228FA" w14:paraId="43826FAC" w14:textId="77777777" w:rsidTr="00FF3977">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5C083475" w14:textId="77777777" w:rsidR="000228FA" w:rsidRDefault="000228FA" w:rsidP="00FF3977">
                  <w:pPr>
                    <w:jc w:val="center"/>
                  </w:pPr>
                  <w:r>
                    <w:t>Active substance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147EB" w14:textId="77777777" w:rsidR="000228FA" w:rsidRDefault="000228FA" w:rsidP="00FF3977">
                  <w:pPr>
                    <w:jc w:val="center"/>
                  </w:pPr>
                  <w:r>
                    <w:t>Before the accelerated storage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0CCED" w14:textId="77777777" w:rsidR="000228FA" w:rsidRDefault="000228FA" w:rsidP="00FF3977">
                  <w:pPr>
                    <w:jc w:val="center"/>
                  </w:pPr>
                  <w:r>
                    <w:t>After the accelerated storage procedure</w:t>
                  </w:r>
                </w:p>
              </w:tc>
            </w:tr>
            <w:tr w:rsidR="000228FA" w14:paraId="41194A03" w14:textId="77777777" w:rsidTr="00FF3977">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7E02EF93" w14:textId="77777777" w:rsidR="000228FA" w:rsidRDefault="000228FA" w:rsidP="00FF3977">
                  <w:r>
                    <w:t>Lactic acid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DCF4A" w14:textId="77777777" w:rsidR="000228FA" w:rsidRDefault="000228FA" w:rsidP="00FF3977">
                  <w:r>
                    <w:t>Content (% w/w)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63183" w14:textId="77777777" w:rsidR="000228FA" w:rsidRDefault="000228FA" w:rsidP="00FF3977">
                  <w:pPr>
                    <w:jc w:val="center"/>
                  </w:pPr>
                  <w:r>
                    <w:t>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62A15" w14:textId="77777777" w:rsidR="000228FA" w:rsidRDefault="000228FA" w:rsidP="00FF3977">
                  <w:pPr>
                    <w:jc w:val="center"/>
                  </w:pPr>
                  <w:r>
                    <w:t>2.38</w:t>
                  </w:r>
                </w:p>
              </w:tc>
            </w:tr>
            <w:tr w:rsidR="000228FA" w14:paraId="51B5C3BB"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91B87" w14:textId="77777777" w:rsidR="000228FA" w:rsidRDefault="000228FA" w:rsidP="00FF3977"/>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1B3A0" w14:textId="77777777" w:rsidR="000228FA" w:rsidRDefault="000228FA" w:rsidP="00FF3977">
                  <w:r>
                    <w:t>Deviation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4FA0F" w14:textId="77777777" w:rsidR="000228FA" w:rsidRDefault="000228FA" w:rsidP="00FF3977">
                  <w:pPr>
                    <w:jc w:val="center"/>
                  </w:pPr>
                  <w:r>
                    <w:t>From the nominal value</w:t>
                  </w:r>
                </w:p>
                <w:p w14:paraId="0DEA08BD" w14:textId="77777777" w:rsidR="000228FA" w:rsidRDefault="000228FA" w:rsidP="00FF3977">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DF4BA" w14:textId="77777777" w:rsidR="000228FA" w:rsidRDefault="000228FA" w:rsidP="00FF3977">
                  <w:pPr>
                    <w:jc w:val="center"/>
                  </w:pPr>
                  <w:r>
                    <w:t>From the T = 0 value</w:t>
                  </w:r>
                </w:p>
                <w:p w14:paraId="3D827B02" w14:textId="77777777" w:rsidR="000228FA" w:rsidRDefault="000228FA" w:rsidP="00FF3977">
                  <w:pPr>
                    <w:jc w:val="center"/>
                  </w:pPr>
                  <w:r>
                    <w:t>+0.9</w:t>
                  </w:r>
                </w:p>
              </w:tc>
            </w:tr>
          </w:tbl>
          <w:p w14:paraId="4522CC21" w14:textId="77777777" w:rsidR="000228FA" w:rsidRDefault="000228FA" w:rsidP="00FF3977">
            <w:r>
              <w:rPr>
                <w:color w:val="FF0000"/>
              </w:rPr>
              <w:br/>
            </w:r>
            <w:r>
              <w:rPr>
                <w:color w:val="FF0000"/>
              </w:rPr>
              <w:br/>
            </w:r>
            <w:r>
              <w:rPr>
                <w:b/>
                <w:bCs/>
              </w:rPr>
              <w:t>DETERMINATION OF pH VALUES</w:t>
            </w:r>
            <w:r>
              <w:br/>
              <w:t>Before the accelerated storage procedure, the mean pH value of the pure test item was: 2.67 at 21.0 °C after 1 min and 2.66 at 21.1 °C after 2 min. After the accelerated storage procedure, the mean pH value of the pure test item was: 2.70 at 19.3 °C after 1 min and 2.69 at 19.6 °C after 2 min.</w:t>
            </w:r>
            <w:r>
              <w:rPr>
                <w:color w:val="FF0000"/>
              </w:rPr>
              <w:br/>
            </w:r>
            <w:r>
              <w:rPr>
                <w:b/>
                <w:bCs/>
              </w:rPr>
              <w:t>SATISFACTORY OPERATION OF THE SPRAYER AND SPRAY VOLUME</w:t>
            </w:r>
            <w:r>
              <w:br/>
              <w:t xml:space="preserve">Before the accelerated storage procedure, the mean volume of a pulverisation of the sprayer was 1.44 mL. The nozzles of the </w:t>
            </w:r>
            <w:r>
              <w:lastRenderedPageBreak/>
              <w:t>sprays were checked and no blocking was observed. After the accelerated storage procedure, the mean volume of a pulverisation of the sprayer was 0.48 mL. The nozzles of the sprays were checked: A dysfunction and blocking were observed.</w:t>
            </w:r>
            <w:r>
              <w:rPr>
                <w:color w:val="FF0000"/>
              </w:rPr>
              <w:br/>
            </w:r>
            <w:r>
              <w:rPr>
                <w:b/>
                <w:bCs/>
              </w:rPr>
              <w:t>SPRAY DIAMETER AND PATTERN</w:t>
            </w:r>
            <w:r>
              <w:br/>
              <w:t>Before the accelerated storage procedure, the mean spray diameter of the sprayer was 16 cm. The shape of the spray on the wetted patch was circular. After the accelerated storage procedure, the mean spray diameter of the sprayer was 13 cm. The shape of the spray on the wetted patch was circular.</w:t>
            </w:r>
            <w:r>
              <w:br/>
            </w:r>
          </w:p>
          <w:p w14:paraId="62FDD6BE" w14:textId="77777777" w:rsidR="000228FA" w:rsidRDefault="000228FA" w:rsidP="00FF3977">
            <w:r>
              <w:t xml:space="preserve">Products of META SPC 9 will not be sold together with a sraying device, therefore assessment of spray characteristics are not required. </w:t>
            </w:r>
          </w:p>
          <w:p w14:paraId="3F241F2D" w14:textId="77777777" w:rsidR="000228FA" w:rsidRPr="00A411E7" w:rsidRDefault="000228FA" w:rsidP="00FF3977">
            <w:pPr>
              <w:rPr>
                <w:rFonts w:eastAsia="Calibri"/>
              </w:rPr>
            </w:pPr>
            <w:r>
              <w:br/>
              <w:t xml:space="preserve">These results can be extrapolated to the other packagings in HDPE, PET and COEXTRUDE (HDPE/PA) according to </w:t>
            </w:r>
            <w:r w:rsidRPr="001D704F">
              <w:t>ECHA Guidance Vol. I, Parts A+B+C</w:t>
            </w:r>
            <w:r>
              <w:t xml:space="preserve"> </w:t>
            </w:r>
            <w:r>
              <w:rPr>
                <w:color w:val="000000"/>
              </w:rPr>
              <w:fldChar w:fldCharType="begin"/>
            </w:r>
            <w:r>
              <w:rPr>
                <w:color w:val="000000"/>
              </w:rPr>
              <w:instrText xml:space="preserve"> ADDIN ZOTERO_ITEM CSL_CITATION {"citationID":"vefC7Y4G","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color w:val="000000"/>
              </w:rPr>
              <w:fldChar w:fldCharType="separate"/>
            </w:r>
            <w:r w:rsidRPr="005D0005">
              <w:t>(3)</w:t>
            </w:r>
            <w:r>
              <w:rPr>
                <w:color w:val="000000"/>
              </w:rPr>
              <w:fldChar w:fldCharType="end"/>
            </w:r>
            <w:r>
              <w:rPr>
                <w:color w:val="000000"/>
              </w:rPr>
              <w:t>, 3.6.4.2 Point 3.4.2 Table 7.</w:t>
            </w:r>
          </w:p>
        </w:tc>
        <w:tc>
          <w:tcPr>
            <w:tcW w:w="447" w:type="pct"/>
            <w:vAlign w:val="center"/>
          </w:tcPr>
          <w:p w14:paraId="67CCC741" w14:textId="77777777" w:rsidR="000228FA" w:rsidRPr="00A411E7" w:rsidRDefault="000228FA" w:rsidP="00FF3977">
            <w:pPr>
              <w:rPr>
                <w:rFonts w:eastAsia="Calibri"/>
              </w:rPr>
            </w:pPr>
            <w:r>
              <w:lastRenderedPageBreak/>
              <w:t>Demangel B. and Ricau H., 2019, Report No 18-901011-045</w:t>
            </w:r>
          </w:p>
        </w:tc>
        <w:tc>
          <w:tcPr>
            <w:tcW w:w="478" w:type="pct"/>
          </w:tcPr>
          <w:p w14:paraId="3604F483" w14:textId="77777777" w:rsidR="000228FA" w:rsidRDefault="000228FA" w:rsidP="00FF3977">
            <w:pPr>
              <w:rPr>
                <w:color w:val="000000"/>
              </w:rPr>
            </w:pPr>
            <w:r>
              <w:rPr>
                <w:color w:val="000000"/>
              </w:rPr>
              <w:t>Acceptable</w:t>
            </w:r>
          </w:p>
          <w:p w14:paraId="77250EA4" w14:textId="77777777" w:rsidR="000228FA" w:rsidRDefault="000228FA" w:rsidP="00FF3977">
            <w:r>
              <w:rPr>
                <w:color w:val="000000"/>
              </w:rPr>
              <w:t>The product is stable after 14 days at 54°C.</w:t>
            </w:r>
          </w:p>
        </w:tc>
      </w:tr>
      <w:tr w:rsidR="000228FA" w14:paraId="05EE6CBF" w14:textId="77777777" w:rsidTr="00FF3977">
        <w:tc>
          <w:tcPr>
            <w:tcW w:w="1230" w:type="pct"/>
          </w:tcPr>
          <w:p w14:paraId="65A3C8E1"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594" w:type="pct"/>
            <w:vAlign w:val="center"/>
          </w:tcPr>
          <w:p w14:paraId="575E5B12" w14:textId="77777777" w:rsidR="000228FA" w:rsidRPr="00A12904" w:rsidRDefault="000228FA" w:rsidP="00FF3977">
            <w:pPr>
              <w:rPr>
                <w:color w:val="000000"/>
              </w:rPr>
            </w:pPr>
            <w:r>
              <w:rPr>
                <w:color w:val="000000"/>
              </w:rPr>
              <w:t> </w:t>
            </w:r>
            <w:r w:rsidRPr="00A12904">
              <w:rPr>
                <w:color w:val="000000"/>
              </w:rPr>
              <w:t>Technical</w:t>
            </w:r>
          </w:p>
          <w:p w14:paraId="59D89AA1" w14:textId="77777777" w:rsidR="000228FA" w:rsidRPr="00A411E7" w:rsidRDefault="000228FA" w:rsidP="00FF3977">
            <w:pPr>
              <w:rPr>
                <w:rFonts w:eastAsia="Calibri"/>
              </w:rPr>
            </w:pPr>
            <w:r w:rsidRPr="00A12904">
              <w:rPr>
                <w:color w:val="000000"/>
              </w:rPr>
              <w:t>Monograph No. 17</w:t>
            </w:r>
          </w:p>
        </w:tc>
        <w:tc>
          <w:tcPr>
            <w:tcW w:w="540" w:type="pct"/>
            <w:vAlign w:val="center"/>
          </w:tcPr>
          <w:p w14:paraId="65B0EB34" w14:textId="77777777" w:rsidR="000228FA" w:rsidRPr="00A411E7" w:rsidRDefault="000228FA" w:rsidP="00FF3977">
            <w:pPr>
              <w:rPr>
                <w:rFonts w:eastAsia="Calibri"/>
              </w:rPr>
            </w:pPr>
            <w:r>
              <w:rPr>
                <w:color w:val="000000"/>
              </w:rPr>
              <w:t xml:space="preserve"> Test item: </w:t>
            </w:r>
            <w:r w:rsidRPr="00494046">
              <w:rPr>
                <w:color w:val="000000"/>
              </w:rPr>
              <w:t>218284-V1</w:t>
            </w:r>
          </w:p>
        </w:tc>
        <w:tc>
          <w:tcPr>
            <w:tcW w:w="1711" w:type="pct"/>
            <w:vAlign w:val="center"/>
          </w:tcPr>
          <w:p w14:paraId="4F3C0620"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47" w:type="pct"/>
            <w:vAlign w:val="center"/>
          </w:tcPr>
          <w:p w14:paraId="4CC3EA77" w14:textId="5C0A3ED9" w:rsidR="000228FA" w:rsidRPr="00A411E7" w:rsidRDefault="0060536D" w:rsidP="00FF3977">
            <w:pPr>
              <w:rPr>
                <w:rFonts w:eastAsia="Calibri"/>
              </w:rPr>
            </w:pPr>
            <w:r w:rsidRPr="0060536D">
              <w:rPr>
                <w:color w:val="000000"/>
              </w:rPr>
              <w:t>Demangel B., 2018, Report No 18-901011-046</w:t>
            </w:r>
          </w:p>
        </w:tc>
        <w:tc>
          <w:tcPr>
            <w:tcW w:w="478" w:type="pct"/>
          </w:tcPr>
          <w:p w14:paraId="1306C634" w14:textId="77777777" w:rsidR="000228FA" w:rsidRDefault="000228FA" w:rsidP="00FF3977">
            <w:pPr>
              <w:rPr>
                <w:color w:val="000000"/>
              </w:rPr>
            </w:pPr>
            <w:r>
              <w:rPr>
                <w:color w:val="000000"/>
              </w:rPr>
              <w:t>Study requied</w:t>
            </w:r>
          </w:p>
        </w:tc>
      </w:tr>
      <w:tr w:rsidR="000228FA" w14:paraId="283A3B34" w14:textId="77777777" w:rsidTr="00FF3977">
        <w:tc>
          <w:tcPr>
            <w:tcW w:w="1230" w:type="pct"/>
          </w:tcPr>
          <w:p w14:paraId="26CE832D"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low temperature stability test for liquids</w:t>
            </w:r>
          </w:p>
        </w:tc>
        <w:tc>
          <w:tcPr>
            <w:tcW w:w="594" w:type="pct"/>
            <w:vAlign w:val="center"/>
          </w:tcPr>
          <w:p w14:paraId="5B8B1A21" w14:textId="77777777" w:rsidR="000228FA" w:rsidRPr="00A411E7" w:rsidRDefault="000228FA" w:rsidP="00FF3977">
            <w:pPr>
              <w:rPr>
                <w:rFonts w:eastAsia="Calibri"/>
              </w:rPr>
            </w:pPr>
            <w:r>
              <w:rPr>
                <w:color w:val="000000"/>
              </w:rPr>
              <w:t>CIPAC Handbook J - MT 39.3 method (2000)</w:t>
            </w:r>
          </w:p>
        </w:tc>
        <w:tc>
          <w:tcPr>
            <w:tcW w:w="540" w:type="pct"/>
            <w:vAlign w:val="center"/>
          </w:tcPr>
          <w:p w14:paraId="02765A74" w14:textId="77777777" w:rsidR="000228FA" w:rsidRDefault="000228FA" w:rsidP="00FF3977">
            <w:pPr>
              <w:rPr>
                <w:color w:val="000000"/>
              </w:rPr>
            </w:pPr>
            <w:r>
              <w:rPr>
                <w:color w:val="000000"/>
              </w:rPr>
              <w:t>Batch 1805000317</w:t>
            </w:r>
          </w:p>
          <w:p w14:paraId="1178CE4A"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628E9E90" w14:textId="77777777" w:rsidR="000228FA" w:rsidRPr="00A411E7" w:rsidRDefault="000228FA" w:rsidP="00FF3977">
            <w:pPr>
              <w:rPr>
                <w:rFonts w:eastAsia="Calibri"/>
              </w:rPr>
            </w:pPr>
            <w:r>
              <w:t>At the start of the test, the test item was a homogeneous slightly yellow limpid liquid. The aspect of the test item was considered to be stable after a low temperature stability for 7 days at 0 ± 2 °C, no change was observed in the test item aspect.</w:t>
            </w:r>
          </w:p>
        </w:tc>
        <w:tc>
          <w:tcPr>
            <w:tcW w:w="447" w:type="pct"/>
            <w:vAlign w:val="center"/>
          </w:tcPr>
          <w:p w14:paraId="1465D534" w14:textId="77777777" w:rsidR="000228FA" w:rsidRPr="00A411E7" w:rsidRDefault="000228FA" w:rsidP="00FF3977">
            <w:pPr>
              <w:rPr>
                <w:rFonts w:eastAsia="Calibri"/>
              </w:rPr>
            </w:pPr>
            <w:r>
              <w:rPr>
                <w:color w:val="000000"/>
              </w:rPr>
              <w:t>Demangel B., 2019, Report No 18-901011-044</w:t>
            </w:r>
          </w:p>
        </w:tc>
        <w:tc>
          <w:tcPr>
            <w:tcW w:w="478" w:type="pct"/>
          </w:tcPr>
          <w:p w14:paraId="21B0EC08" w14:textId="77777777" w:rsidR="000228FA" w:rsidRDefault="000228FA" w:rsidP="00FF3977">
            <w:pPr>
              <w:rPr>
                <w:color w:val="000000"/>
              </w:rPr>
            </w:pPr>
            <w:r>
              <w:rPr>
                <w:color w:val="000000"/>
              </w:rPr>
              <w:t>Acceptable</w:t>
            </w:r>
          </w:p>
          <w:p w14:paraId="1B5BB4F7" w14:textId="77777777" w:rsidR="000228FA" w:rsidRDefault="000228FA" w:rsidP="00FF3977">
            <w:pPr>
              <w:rPr>
                <w:color w:val="000000"/>
              </w:rPr>
            </w:pPr>
            <w:r>
              <w:rPr>
                <w:color w:val="000000"/>
              </w:rPr>
              <w:t>The product is stable after 7 days at 0°C.</w:t>
            </w:r>
          </w:p>
        </w:tc>
      </w:tr>
      <w:tr w:rsidR="000228FA" w14:paraId="3C4C05DA" w14:textId="77777777" w:rsidTr="00FF3977">
        <w:tc>
          <w:tcPr>
            <w:tcW w:w="1230" w:type="pct"/>
          </w:tcPr>
          <w:p w14:paraId="5CFDFAB4"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594" w:type="pct"/>
            <w:vAlign w:val="center"/>
          </w:tcPr>
          <w:p w14:paraId="1687A9CE" w14:textId="77777777" w:rsidR="000228FA" w:rsidRPr="00A411E7" w:rsidRDefault="000228FA" w:rsidP="00FF3977">
            <w:pPr>
              <w:spacing w:line="260" w:lineRule="atLeast"/>
              <w:rPr>
                <w:rFonts w:eastAsia="Calibri"/>
                <w:lang w:eastAsia="en-US"/>
              </w:rPr>
            </w:pPr>
            <w:r>
              <w:rPr>
                <w:color w:val="000000"/>
              </w:rPr>
              <w:t xml:space="preserve"> -</w:t>
            </w:r>
          </w:p>
        </w:tc>
        <w:tc>
          <w:tcPr>
            <w:tcW w:w="540" w:type="pct"/>
            <w:vAlign w:val="center"/>
          </w:tcPr>
          <w:p w14:paraId="6D89F237" w14:textId="77777777" w:rsidR="000228FA" w:rsidRPr="00A411E7" w:rsidRDefault="000228FA" w:rsidP="00FF3977">
            <w:pPr>
              <w:spacing w:line="260" w:lineRule="atLeast"/>
              <w:rPr>
                <w:rFonts w:eastAsia="Calibri"/>
                <w:lang w:eastAsia="en-US"/>
              </w:rPr>
            </w:pPr>
            <w:r>
              <w:rPr>
                <w:color w:val="000000"/>
              </w:rPr>
              <w:t xml:space="preserve"> -</w:t>
            </w:r>
          </w:p>
        </w:tc>
        <w:tc>
          <w:tcPr>
            <w:tcW w:w="1711" w:type="pct"/>
            <w:vAlign w:val="center"/>
          </w:tcPr>
          <w:p w14:paraId="601E1287" w14:textId="77777777" w:rsidR="000228FA" w:rsidRPr="00A411E7" w:rsidRDefault="000228FA" w:rsidP="00FF3977">
            <w:pPr>
              <w:spacing w:line="260" w:lineRule="atLeast"/>
              <w:rPr>
                <w:rFonts w:eastAsia="Calibri"/>
                <w:lang w:eastAsia="en-US"/>
              </w:rPr>
            </w:pPr>
            <w:r>
              <w:rPr>
                <w:color w:val="000000"/>
              </w:rPr>
              <w:t>Not relevant as the biocidal product is packaged in opaque packaging (1L and 5L).</w:t>
            </w:r>
          </w:p>
        </w:tc>
        <w:tc>
          <w:tcPr>
            <w:tcW w:w="447" w:type="pct"/>
            <w:vAlign w:val="center"/>
          </w:tcPr>
          <w:p w14:paraId="7CB9AA45" w14:textId="77777777" w:rsidR="000228FA" w:rsidRPr="00A411E7" w:rsidRDefault="000228FA" w:rsidP="00FF3977">
            <w:pPr>
              <w:spacing w:line="260" w:lineRule="atLeast"/>
              <w:rPr>
                <w:rFonts w:eastAsia="Calibri"/>
                <w:lang w:eastAsia="en-US"/>
              </w:rPr>
            </w:pPr>
            <w:r>
              <w:rPr>
                <w:color w:val="000000"/>
              </w:rPr>
              <w:t xml:space="preserve"> -</w:t>
            </w:r>
          </w:p>
        </w:tc>
        <w:tc>
          <w:tcPr>
            <w:tcW w:w="478" w:type="pct"/>
          </w:tcPr>
          <w:p w14:paraId="79C6021D" w14:textId="77777777" w:rsidR="000228FA" w:rsidRDefault="000228FA" w:rsidP="00FF3977">
            <w:pPr>
              <w:spacing w:line="260" w:lineRule="atLeast"/>
              <w:rPr>
                <w:color w:val="000000"/>
              </w:rPr>
            </w:pPr>
            <w:r>
              <w:rPr>
                <w:color w:val="000000"/>
              </w:rPr>
              <w:t>Acceptable</w:t>
            </w:r>
          </w:p>
        </w:tc>
      </w:tr>
      <w:tr w:rsidR="000228FA" w14:paraId="67983541" w14:textId="77777777" w:rsidTr="00FF3977">
        <w:tc>
          <w:tcPr>
            <w:tcW w:w="1230" w:type="pct"/>
          </w:tcPr>
          <w:p w14:paraId="4B8944A7"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594" w:type="pct"/>
            <w:vAlign w:val="center"/>
          </w:tcPr>
          <w:p w14:paraId="6C1B86F1" w14:textId="77777777" w:rsidR="000228FA" w:rsidRPr="00A411E7" w:rsidRDefault="000228FA" w:rsidP="00FF3977">
            <w:pPr>
              <w:rPr>
                <w:rFonts w:eastAsia="Calibri"/>
              </w:rPr>
            </w:pPr>
            <w:r>
              <w:rPr>
                <w:color w:val="000000"/>
              </w:rPr>
              <w:t xml:space="preserve"> -</w:t>
            </w:r>
          </w:p>
        </w:tc>
        <w:tc>
          <w:tcPr>
            <w:tcW w:w="540" w:type="pct"/>
            <w:vAlign w:val="center"/>
          </w:tcPr>
          <w:p w14:paraId="7714C84E" w14:textId="77777777" w:rsidR="000228FA" w:rsidRPr="00A411E7" w:rsidRDefault="000228FA" w:rsidP="00FF3977">
            <w:pPr>
              <w:rPr>
                <w:rFonts w:eastAsia="Calibri"/>
              </w:rPr>
            </w:pPr>
            <w:r>
              <w:rPr>
                <w:color w:val="000000"/>
              </w:rPr>
              <w:t xml:space="preserve"> -</w:t>
            </w:r>
          </w:p>
        </w:tc>
        <w:tc>
          <w:tcPr>
            <w:tcW w:w="1711" w:type="pct"/>
            <w:vAlign w:val="center"/>
          </w:tcPr>
          <w:p w14:paraId="735542CE" w14:textId="77777777" w:rsidR="000228FA" w:rsidRPr="00A411E7" w:rsidRDefault="000228FA" w:rsidP="00FF3977">
            <w:pPr>
              <w:rPr>
                <w:rFonts w:eastAsia="Calibri"/>
              </w:rPr>
            </w:pPr>
            <w:r>
              <w:rPr>
                <w:color w:val="000000"/>
              </w:rPr>
              <w:t>With its</w:t>
            </w:r>
            <w:r>
              <w:rPr>
                <w:color w:val="FF0000"/>
              </w:rPr>
              <w:t xml:space="preserve"> </w:t>
            </w:r>
            <w:r>
              <w:rPr>
                <w:color w:val="000000"/>
              </w:rPr>
              <w:t xml:space="preserve">caps, the packagings are leak-tight. The test item is considered to be stable after 14 days at 54 ± 2°C (please refer above). </w:t>
            </w:r>
          </w:p>
        </w:tc>
        <w:tc>
          <w:tcPr>
            <w:tcW w:w="447" w:type="pct"/>
            <w:vAlign w:val="center"/>
          </w:tcPr>
          <w:p w14:paraId="28F0DD63" w14:textId="77777777" w:rsidR="000228FA" w:rsidRPr="00A411E7" w:rsidRDefault="000228FA" w:rsidP="00FF3977">
            <w:pPr>
              <w:rPr>
                <w:rFonts w:eastAsia="Calibri"/>
              </w:rPr>
            </w:pPr>
            <w:r>
              <w:rPr>
                <w:color w:val="000000"/>
              </w:rPr>
              <w:t xml:space="preserve"> -</w:t>
            </w:r>
          </w:p>
        </w:tc>
        <w:tc>
          <w:tcPr>
            <w:tcW w:w="478" w:type="pct"/>
          </w:tcPr>
          <w:p w14:paraId="3B69DEE1" w14:textId="77777777" w:rsidR="000228FA" w:rsidRDefault="000228FA" w:rsidP="00FF3977">
            <w:pPr>
              <w:rPr>
                <w:color w:val="000000"/>
              </w:rPr>
            </w:pPr>
            <w:r>
              <w:rPr>
                <w:color w:val="000000"/>
              </w:rPr>
              <w:t>Acceptable</w:t>
            </w:r>
          </w:p>
        </w:tc>
      </w:tr>
      <w:tr w:rsidR="000228FA" w14:paraId="39AD77EE" w14:textId="77777777" w:rsidTr="00FF3977">
        <w:tc>
          <w:tcPr>
            <w:tcW w:w="1230" w:type="pct"/>
          </w:tcPr>
          <w:p w14:paraId="553FDE72"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594" w:type="pct"/>
            <w:vAlign w:val="center"/>
          </w:tcPr>
          <w:p w14:paraId="0E45A178" w14:textId="77777777" w:rsidR="000228FA" w:rsidRPr="00A411E7" w:rsidRDefault="000228FA" w:rsidP="00FF3977">
            <w:pPr>
              <w:rPr>
                <w:rFonts w:eastAsia="Calibri"/>
              </w:rPr>
            </w:pPr>
            <w:r>
              <w:rPr>
                <w:color w:val="000000"/>
              </w:rPr>
              <w:t xml:space="preserve"> -</w:t>
            </w:r>
          </w:p>
        </w:tc>
        <w:tc>
          <w:tcPr>
            <w:tcW w:w="540" w:type="pct"/>
            <w:vAlign w:val="center"/>
          </w:tcPr>
          <w:p w14:paraId="20503B35" w14:textId="77777777" w:rsidR="000228FA" w:rsidRPr="00A411E7" w:rsidRDefault="000228FA" w:rsidP="00FF3977">
            <w:pPr>
              <w:rPr>
                <w:rFonts w:eastAsia="Calibri"/>
              </w:rPr>
            </w:pPr>
            <w:r>
              <w:rPr>
                <w:color w:val="000000"/>
              </w:rPr>
              <w:t xml:space="preserve"> -</w:t>
            </w:r>
          </w:p>
        </w:tc>
        <w:tc>
          <w:tcPr>
            <w:tcW w:w="1711" w:type="pct"/>
            <w:vAlign w:val="center"/>
          </w:tcPr>
          <w:p w14:paraId="40FC2616"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stable after 14 days at 54 ± 2°C (please refer above). </w:t>
            </w:r>
          </w:p>
        </w:tc>
        <w:tc>
          <w:tcPr>
            <w:tcW w:w="447" w:type="pct"/>
            <w:vAlign w:val="center"/>
          </w:tcPr>
          <w:p w14:paraId="244DFEEC" w14:textId="77777777" w:rsidR="000228FA" w:rsidRPr="00A411E7" w:rsidRDefault="000228FA" w:rsidP="00FF3977">
            <w:pPr>
              <w:rPr>
                <w:rFonts w:eastAsia="Calibri"/>
              </w:rPr>
            </w:pPr>
            <w:r>
              <w:rPr>
                <w:color w:val="000000"/>
              </w:rPr>
              <w:t xml:space="preserve"> -</w:t>
            </w:r>
          </w:p>
        </w:tc>
        <w:tc>
          <w:tcPr>
            <w:tcW w:w="478" w:type="pct"/>
          </w:tcPr>
          <w:p w14:paraId="5F3970E9" w14:textId="77777777" w:rsidR="000228FA" w:rsidRDefault="000228FA" w:rsidP="00FF3977">
            <w:pPr>
              <w:rPr>
                <w:color w:val="000000"/>
              </w:rPr>
            </w:pPr>
            <w:r>
              <w:rPr>
                <w:color w:val="000000"/>
              </w:rPr>
              <w:t>Acceptable</w:t>
            </w:r>
          </w:p>
        </w:tc>
      </w:tr>
      <w:tr w:rsidR="000228FA" w14:paraId="32EE120B" w14:textId="77777777" w:rsidTr="00FF3977">
        <w:tc>
          <w:tcPr>
            <w:tcW w:w="1230" w:type="pct"/>
          </w:tcPr>
          <w:p w14:paraId="4EDEC4C5" w14:textId="77777777" w:rsidR="000228FA" w:rsidRPr="00A411E7" w:rsidRDefault="000228FA" w:rsidP="00FF3977">
            <w:pPr>
              <w:rPr>
                <w:rFonts w:eastAsia="Calibri"/>
              </w:rPr>
            </w:pPr>
            <w:r w:rsidRPr="00A411E7">
              <w:rPr>
                <w:rFonts w:eastAsia="Calibri"/>
              </w:rPr>
              <w:t>Wettability</w:t>
            </w:r>
          </w:p>
        </w:tc>
        <w:tc>
          <w:tcPr>
            <w:tcW w:w="594" w:type="pct"/>
            <w:vAlign w:val="center"/>
          </w:tcPr>
          <w:p w14:paraId="532F9534" w14:textId="77777777" w:rsidR="000228FA" w:rsidRPr="00A411E7" w:rsidRDefault="000228FA" w:rsidP="00FF3977">
            <w:pPr>
              <w:rPr>
                <w:rFonts w:eastAsia="Calibri"/>
              </w:rPr>
            </w:pPr>
            <w:r>
              <w:rPr>
                <w:color w:val="000000"/>
              </w:rPr>
              <w:t xml:space="preserve"> -</w:t>
            </w:r>
          </w:p>
        </w:tc>
        <w:tc>
          <w:tcPr>
            <w:tcW w:w="540" w:type="pct"/>
            <w:vAlign w:val="center"/>
          </w:tcPr>
          <w:p w14:paraId="637BCB59" w14:textId="77777777" w:rsidR="000228FA" w:rsidRPr="00A411E7" w:rsidRDefault="000228FA" w:rsidP="00FF3977">
            <w:pPr>
              <w:rPr>
                <w:rFonts w:eastAsia="Calibri"/>
              </w:rPr>
            </w:pPr>
            <w:r>
              <w:rPr>
                <w:color w:val="000000"/>
              </w:rPr>
              <w:t xml:space="preserve"> -</w:t>
            </w:r>
          </w:p>
        </w:tc>
        <w:tc>
          <w:tcPr>
            <w:tcW w:w="1711" w:type="pct"/>
            <w:vAlign w:val="center"/>
          </w:tcPr>
          <w:p w14:paraId="1F34FEE9"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4F23E17F" w14:textId="77777777" w:rsidR="000228FA" w:rsidRPr="00A411E7" w:rsidRDefault="000228FA" w:rsidP="00FF3977">
            <w:pPr>
              <w:rPr>
                <w:rFonts w:eastAsia="Calibri"/>
              </w:rPr>
            </w:pPr>
            <w:r>
              <w:rPr>
                <w:color w:val="000000"/>
              </w:rPr>
              <w:t xml:space="preserve"> -</w:t>
            </w:r>
          </w:p>
        </w:tc>
        <w:tc>
          <w:tcPr>
            <w:tcW w:w="478" w:type="pct"/>
          </w:tcPr>
          <w:p w14:paraId="2E8EAF76" w14:textId="77777777" w:rsidR="000228FA" w:rsidRDefault="000228FA" w:rsidP="00FF3977">
            <w:pPr>
              <w:rPr>
                <w:color w:val="000000"/>
              </w:rPr>
            </w:pPr>
            <w:r>
              <w:rPr>
                <w:color w:val="000000"/>
              </w:rPr>
              <w:t>Not relevant for an AL formulation</w:t>
            </w:r>
          </w:p>
        </w:tc>
      </w:tr>
      <w:tr w:rsidR="000228FA" w14:paraId="0A11A379" w14:textId="77777777" w:rsidTr="00FF3977">
        <w:tc>
          <w:tcPr>
            <w:tcW w:w="1230" w:type="pct"/>
          </w:tcPr>
          <w:p w14:paraId="7236F11B" w14:textId="77777777" w:rsidR="000228FA" w:rsidRPr="00A411E7" w:rsidRDefault="000228FA" w:rsidP="00FF3977">
            <w:pPr>
              <w:rPr>
                <w:rFonts w:eastAsia="Calibri"/>
              </w:rPr>
            </w:pPr>
            <w:r w:rsidRPr="00A411E7">
              <w:rPr>
                <w:rFonts w:eastAsia="Calibri"/>
              </w:rPr>
              <w:t>Suspensibility, spontaneity and dispersion stability</w:t>
            </w:r>
          </w:p>
        </w:tc>
        <w:tc>
          <w:tcPr>
            <w:tcW w:w="594" w:type="pct"/>
            <w:vAlign w:val="center"/>
          </w:tcPr>
          <w:p w14:paraId="40CC9318" w14:textId="77777777" w:rsidR="000228FA" w:rsidRPr="00A411E7" w:rsidRDefault="000228FA" w:rsidP="00FF3977">
            <w:pPr>
              <w:rPr>
                <w:rFonts w:eastAsia="Calibri"/>
              </w:rPr>
            </w:pPr>
            <w:r>
              <w:rPr>
                <w:color w:val="000000"/>
              </w:rPr>
              <w:t xml:space="preserve"> -</w:t>
            </w:r>
          </w:p>
        </w:tc>
        <w:tc>
          <w:tcPr>
            <w:tcW w:w="540" w:type="pct"/>
            <w:vAlign w:val="center"/>
          </w:tcPr>
          <w:p w14:paraId="0333C3FC" w14:textId="77777777" w:rsidR="000228FA" w:rsidRPr="00A411E7" w:rsidRDefault="000228FA" w:rsidP="00FF3977">
            <w:pPr>
              <w:rPr>
                <w:rFonts w:eastAsia="Calibri"/>
              </w:rPr>
            </w:pPr>
            <w:r>
              <w:rPr>
                <w:color w:val="000000"/>
              </w:rPr>
              <w:t xml:space="preserve"> -</w:t>
            </w:r>
          </w:p>
        </w:tc>
        <w:tc>
          <w:tcPr>
            <w:tcW w:w="1711" w:type="pct"/>
            <w:vAlign w:val="center"/>
          </w:tcPr>
          <w:p w14:paraId="73F239DD"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2EA2D0A5" w14:textId="77777777" w:rsidR="000228FA" w:rsidRPr="00A411E7" w:rsidRDefault="000228FA" w:rsidP="00FF3977">
            <w:pPr>
              <w:rPr>
                <w:rFonts w:eastAsia="Calibri"/>
              </w:rPr>
            </w:pPr>
            <w:r>
              <w:rPr>
                <w:color w:val="000000"/>
              </w:rPr>
              <w:t xml:space="preserve"> -</w:t>
            </w:r>
          </w:p>
        </w:tc>
        <w:tc>
          <w:tcPr>
            <w:tcW w:w="478" w:type="pct"/>
          </w:tcPr>
          <w:p w14:paraId="372B1000" w14:textId="77777777" w:rsidR="000228FA" w:rsidRDefault="000228FA" w:rsidP="00FF3977">
            <w:pPr>
              <w:rPr>
                <w:color w:val="000000"/>
              </w:rPr>
            </w:pPr>
            <w:r>
              <w:rPr>
                <w:color w:val="000000"/>
              </w:rPr>
              <w:t>Not relevant for an AL formulation</w:t>
            </w:r>
          </w:p>
        </w:tc>
      </w:tr>
      <w:tr w:rsidR="000228FA" w14:paraId="0F180A95" w14:textId="77777777" w:rsidTr="00FF3977">
        <w:tc>
          <w:tcPr>
            <w:tcW w:w="1230" w:type="pct"/>
          </w:tcPr>
          <w:p w14:paraId="61B919C5" w14:textId="77777777" w:rsidR="000228FA" w:rsidRPr="00F24D0D" w:rsidRDefault="000228FA" w:rsidP="00FF3977">
            <w:pPr>
              <w:rPr>
                <w:rFonts w:eastAsia="Calibri"/>
              </w:rPr>
            </w:pPr>
            <w:r w:rsidRPr="00A411E7">
              <w:rPr>
                <w:rFonts w:eastAsia="Calibri"/>
              </w:rPr>
              <w:lastRenderedPageBreak/>
              <w:t xml:space="preserve">Wet sieve analysis </w:t>
            </w:r>
            <w:r w:rsidRPr="00F24D0D">
              <w:rPr>
                <w:rFonts w:eastAsia="Calibri"/>
              </w:rPr>
              <w:t>and dry sieve test</w:t>
            </w:r>
          </w:p>
        </w:tc>
        <w:tc>
          <w:tcPr>
            <w:tcW w:w="594" w:type="pct"/>
            <w:vAlign w:val="center"/>
          </w:tcPr>
          <w:p w14:paraId="151E78FB" w14:textId="77777777" w:rsidR="000228FA" w:rsidRPr="00F24D0D" w:rsidRDefault="000228FA" w:rsidP="00FF3977">
            <w:pPr>
              <w:rPr>
                <w:rFonts w:eastAsia="Calibri"/>
              </w:rPr>
            </w:pPr>
            <w:r>
              <w:rPr>
                <w:color w:val="000000"/>
              </w:rPr>
              <w:t xml:space="preserve"> -</w:t>
            </w:r>
          </w:p>
        </w:tc>
        <w:tc>
          <w:tcPr>
            <w:tcW w:w="540" w:type="pct"/>
            <w:vAlign w:val="center"/>
          </w:tcPr>
          <w:p w14:paraId="4D13E390" w14:textId="77777777" w:rsidR="000228FA" w:rsidRPr="00C746BC" w:rsidRDefault="000228FA" w:rsidP="00FF3977">
            <w:pPr>
              <w:rPr>
                <w:rFonts w:eastAsia="Calibri"/>
              </w:rPr>
            </w:pPr>
            <w:r>
              <w:rPr>
                <w:color w:val="000000"/>
              </w:rPr>
              <w:t xml:space="preserve"> -</w:t>
            </w:r>
          </w:p>
        </w:tc>
        <w:tc>
          <w:tcPr>
            <w:tcW w:w="1711" w:type="pct"/>
            <w:vAlign w:val="center"/>
          </w:tcPr>
          <w:p w14:paraId="0F0DF5DD" w14:textId="77777777" w:rsidR="000228FA" w:rsidRPr="00305B11" w:rsidRDefault="000228FA" w:rsidP="00FF3977">
            <w:pPr>
              <w:rPr>
                <w:rFonts w:eastAsia="Calibri"/>
              </w:rPr>
            </w:pPr>
            <w:r>
              <w:rPr>
                <w:color w:val="000000"/>
              </w:rPr>
              <w:t>Not required as the product is a ready-to-use liquid.</w:t>
            </w:r>
          </w:p>
        </w:tc>
        <w:tc>
          <w:tcPr>
            <w:tcW w:w="447" w:type="pct"/>
            <w:vAlign w:val="center"/>
          </w:tcPr>
          <w:p w14:paraId="259DDE01" w14:textId="77777777" w:rsidR="000228FA" w:rsidRPr="00305B11" w:rsidRDefault="000228FA" w:rsidP="00FF3977">
            <w:pPr>
              <w:rPr>
                <w:rFonts w:eastAsia="Calibri"/>
              </w:rPr>
            </w:pPr>
            <w:r>
              <w:rPr>
                <w:color w:val="000000"/>
              </w:rPr>
              <w:t xml:space="preserve"> -</w:t>
            </w:r>
          </w:p>
        </w:tc>
        <w:tc>
          <w:tcPr>
            <w:tcW w:w="478" w:type="pct"/>
          </w:tcPr>
          <w:p w14:paraId="345A811D" w14:textId="77777777" w:rsidR="000228FA" w:rsidRDefault="000228FA" w:rsidP="00FF3977">
            <w:pPr>
              <w:rPr>
                <w:color w:val="000000"/>
              </w:rPr>
            </w:pPr>
            <w:r>
              <w:rPr>
                <w:color w:val="000000"/>
              </w:rPr>
              <w:t>Not relevant for an AL formulation</w:t>
            </w:r>
          </w:p>
        </w:tc>
      </w:tr>
      <w:tr w:rsidR="000228FA" w14:paraId="4FBCD534" w14:textId="77777777" w:rsidTr="00FF3977">
        <w:tc>
          <w:tcPr>
            <w:tcW w:w="1230" w:type="pct"/>
          </w:tcPr>
          <w:p w14:paraId="285AAFD3" w14:textId="77777777" w:rsidR="000228FA" w:rsidRPr="00017CF8" w:rsidRDefault="000228FA" w:rsidP="00FF3977">
            <w:pPr>
              <w:rPr>
                <w:rFonts w:eastAsia="Calibri"/>
              </w:rPr>
            </w:pPr>
            <w:r w:rsidRPr="00017CF8">
              <w:rPr>
                <w:rFonts w:eastAsia="Calibri"/>
              </w:rPr>
              <w:t>Emulsifiability, re-emulsifiability and emulsion stability</w:t>
            </w:r>
          </w:p>
        </w:tc>
        <w:tc>
          <w:tcPr>
            <w:tcW w:w="594" w:type="pct"/>
            <w:vAlign w:val="center"/>
          </w:tcPr>
          <w:p w14:paraId="3A18063F" w14:textId="77777777" w:rsidR="000228FA" w:rsidRPr="00017CF8" w:rsidRDefault="000228FA" w:rsidP="00FF3977">
            <w:pPr>
              <w:rPr>
                <w:rFonts w:eastAsia="Calibri"/>
              </w:rPr>
            </w:pPr>
            <w:r>
              <w:rPr>
                <w:color w:val="000000"/>
              </w:rPr>
              <w:t xml:space="preserve"> -</w:t>
            </w:r>
          </w:p>
        </w:tc>
        <w:tc>
          <w:tcPr>
            <w:tcW w:w="540" w:type="pct"/>
            <w:vAlign w:val="center"/>
          </w:tcPr>
          <w:p w14:paraId="46B47B7F" w14:textId="77777777" w:rsidR="000228FA" w:rsidRPr="00017CF8" w:rsidRDefault="000228FA" w:rsidP="00FF3977">
            <w:pPr>
              <w:rPr>
                <w:rFonts w:eastAsia="Calibri"/>
              </w:rPr>
            </w:pPr>
            <w:r>
              <w:rPr>
                <w:color w:val="000000"/>
              </w:rPr>
              <w:t xml:space="preserve"> -</w:t>
            </w:r>
          </w:p>
        </w:tc>
        <w:tc>
          <w:tcPr>
            <w:tcW w:w="1711" w:type="pct"/>
            <w:vAlign w:val="center"/>
          </w:tcPr>
          <w:p w14:paraId="14F2A476" w14:textId="77777777" w:rsidR="000228FA" w:rsidRPr="00017CF8" w:rsidRDefault="000228FA" w:rsidP="00FF3977">
            <w:pPr>
              <w:rPr>
                <w:rFonts w:eastAsia="Calibri"/>
              </w:rPr>
            </w:pPr>
            <w:r>
              <w:rPr>
                <w:color w:val="000000"/>
              </w:rPr>
              <w:t>Not required as the product is a ready-to-use liquid.</w:t>
            </w:r>
          </w:p>
        </w:tc>
        <w:tc>
          <w:tcPr>
            <w:tcW w:w="447" w:type="pct"/>
            <w:vAlign w:val="center"/>
          </w:tcPr>
          <w:p w14:paraId="3B9BF6DE" w14:textId="77777777" w:rsidR="000228FA" w:rsidRPr="00017CF8" w:rsidRDefault="000228FA" w:rsidP="00FF3977">
            <w:pPr>
              <w:rPr>
                <w:rFonts w:eastAsia="Calibri"/>
              </w:rPr>
            </w:pPr>
            <w:r>
              <w:rPr>
                <w:color w:val="000000"/>
              </w:rPr>
              <w:t xml:space="preserve"> -</w:t>
            </w:r>
          </w:p>
        </w:tc>
        <w:tc>
          <w:tcPr>
            <w:tcW w:w="478" w:type="pct"/>
          </w:tcPr>
          <w:p w14:paraId="695A7EBC" w14:textId="77777777" w:rsidR="000228FA" w:rsidRDefault="000228FA" w:rsidP="00FF3977">
            <w:pPr>
              <w:rPr>
                <w:color w:val="000000"/>
              </w:rPr>
            </w:pPr>
            <w:r>
              <w:rPr>
                <w:color w:val="000000"/>
              </w:rPr>
              <w:t>Not relevant for an AL formulation</w:t>
            </w:r>
          </w:p>
        </w:tc>
      </w:tr>
      <w:tr w:rsidR="000228FA" w14:paraId="51A0C52D" w14:textId="77777777" w:rsidTr="00FF3977">
        <w:tc>
          <w:tcPr>
            <w:tcW w:w="1230" w:type="pct"/>
          </w:tcPr>
          <w:p w14:paraId="1A4BFCBE" w14:textId="77777777" w:rsidR="000228FA" w:rsidRPr="00DF6CFE" w:rsidRDefault="000228FA" w:rsidP="00FF3977">
            <w:pPr>
              <w:rPr>
                <w:rFonts w:eastAsia="Calibri"/>
              </w:rPr>
            </w:pPr>
            <w:r w:rsidRPr="00DF6CFE">
              <w:rPr>
                <w:rFonts w:eastAsia="Calibri"/>
              </w:rPr>
              <w:t>Disintegration time</w:t>
            </w:r>
          </w:p>
        </w:tc>
        <w:tc>
          <w:tcPr>
            <w:tcW w:w="594" w:type="pct"/>
            <w:vAlign w:val="center"/>
          </w:tcPr>
          <w:p w14:paraId="702BB81F" w14:textId="77777777" w:rsidR="000228FA" w:rsidRPr="00DF6CFE" w:rsidRDefault="000228FA" w:rsidP="00FF3977">
            <w:pPr>
              <w:rPr>
                <w:rFonts w:eastAsia="Calibri"/>
              </w:rPr>
            </w:pPr>
            <w:r>
              <w:rPr>
                <w:color w:val="000000"/>
              </w:rPr>
              <w:t xml:space="preserve"> -</w:t>
            </w:r>
          </w:p>
        </w:tc>
        <w:tc>
          <w:tcPr>
            <w:tcW w:w="540" w:type="pct"/>
            <w:vAlign w:val="center"/>
          </w:tcPr>
          <w:p w14:paraId="584378D1" w14:textId="77777777" w:rsidR="000228FA" w:rsidRPr="00DF6CFE" w:rsidRDefault="000228FA" w:rsidP="00FF3977">
            <w:pPr>
              <w:rPr>
                <w:rFonts w:eastAsia="Calibri"/>
              </w:rPr>
            </w:pPr>
            <w:r>
              <w:rPr>
                <w:color w:val="000000"/>
              </w:rPr>
              <w:t xml:space="preserve"> -</w:t>
            </w:r>
          </w:p>
        </w:tc>
        <w:tc>
          <w:tcPr>
            <w:tcW w:w="1711" w:type="pct"/>
            <w:vAlign w:val="center"/>
          </w:tcPr>
          <w:p w14:paraId="2F7ED7FF" w14:textId="77777777" w:rsidR="000228FA" w:rsidRPr="00DF6CFE" w:rsidRDefault="000228FA" w:rsidP="00FF3977">
            <w:pPr>
              <w:rPr>
                <w:rFonts w:eastAsia="Calibri"/>
              </w:rPr>
            </w:pPr>
            <w:r>
              <w:rPr>
                <w:color w:val="000000"/>
              </w:rPr>
              <w:t>Not required as the product is a ready-to-use liquid.</w:t>
            </w:r>
          </w:p>
        </w:tc>
        <w:tc>
          <w:tcPr>
            <w:tcW w:w="447" w:type="pct"/>
            <w:vAlign w:val="center"/>
          </w:tcPr>
          <w:p w14:paraId="303124F5" w14:textId="77777777" w:rsidR="000228FA" w:rsidRPr="00DF6CFE" w:rsidRDefault="000228FA" w:rsidP="00FF3977">
            <w:pPr>
              <w:rPr>
                <w:rFonts w:eastAsia="Calibri"/>
              </w:rPr>
            </w:pPr>
            <w:r>
              <w:rPr>
                <w:color w:val="000000"/>
              </w:rPr>
              <w:t xml:space="preserve"> -</w:t>
            </w:r>
          </w:p>
        </w:tc>
        <w:tc>
          <w:tcPr>
            <w:tcW w:w="478" w:type="pct"/>
          </w:tcPr>
          <w:p w14:paraId="6863A43E" w14:textId="77777777" w:rsidR="000228FA" w:rsidRDefault="000228FA" w:rsidP="00FF3977">
            <w:pPr>
              <w:rPr>
                <w:color w:val="000000"/>
              </w:rPr>
            </w:pPr>
            <w:r>
              <w:rPr>
                <w:color w:val="000000"/>
              </w:rPr>
              <w:t>Not relevant for an AL formulation</w:t>
            </w:r>
          </w:p>
        </w:tc>
      </w:tr>
      <w:tr w:rsidR="000228FA" w14:paraId="5F6EFA2E" w14:textId="77777777" w:rsidTr="00FF3977">
        <w:tc>
          <w:tcPr>
            <w:tcW w:w="1230" w:type="pct"/>
          </w:tcPr>
          <w:p w14:paraId="1FB92358"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594" w:type="pct"/>
            <w:vAlign w:val="center"/>
          </w:tcPr>
          <w:p w14:paraId="1C8DB233" w14:textId="77777777" w:rsidR="000228FA" w:rsidRPr="00A411E7" w:rsidRDefault="000228FA" w:rsidP="00FF3977">
            <w:pPr>
              <w:rPr>
                <w:rFonts w:eastAsia="Calibri"/>
              </w:rPr>
            </w:pPr>
            <w:r>
              <w:rPr>
                <w:color w:val="000000"/>
              </w:rPr>
              <w:t xml:space="preserve"> -</w:t>
            </w:r>
          </w:p>
        </w:tc>
        <w:tc>
          <w:tcPr>
            <w:tcW w:w="540" w:type="pct"/>
            <w:vAlign w:val="center"/>
          </w:tcPr>
          <w:p w14:paraId="02FA1018" w14:textId="77777777" w:rsidR="000228FA" w:rsidRPr="00A411E7" w:rsidRDefault="000228FA" w:rsidP="00FF3977">
            <w:pPr>
              <w:rPr>
                <w:rFonts w:eastAsia="Calibri"/>
              </w:rPr>
            </w:pPr>
            <w:r>
              <w:rPr>
                <w:color w:val="000000"/>
              </w:rPr>
              <w:t xml:space="preserve"> -</w:t>
            </w:r>
          </w:p>
        </w:tc>
        <w:tc>
          <w:tcPr>
            <w:tcW w:w="1711" w:type="pct"/>
            <w:vAlign w:val="center"/>
          </w:tcPr>
          <w:p w14:paraId="4E4819B9" w14:textId="256B9844" w:rsidR="000228FA" w:rsidRPr="00A411E7" w:rsidRDefault="000228FA" w:rsidP="00FF3977">
            <w:pPr>
              <w:rPr>
                <w:rFonts w:eastAsia="Calibri"/>
              </w:rPr>
            </w:pPr>
            <w:r>
              <w:rPr>
                <w:color w:val="000000"/>
              </w:rPr>
              <w:t>Not required as the product is a ready-to-use liquid.</w:t>
            </w:r>
            <w:r w:rsidR="00A9062E">
              <w:rPr>
                <w:color w:val="000000"/>
              </w:rPr>
              <w:t xml:space="preserve"> Besides, p</w:t>
            </w:r>
            <w:r w:rsidR="00A9062E" w:rsidRPr="00A9062E">
              <w:rPr>
                <w:color w:val="000000"/>
              </w:rPr>
              <w:t>roducts of META SPC 9 will not be sold together with a sraying device</w:t>
            </w:r>
            <w:r w:rsidR="00A9062E">
              <w:rPr>
                <w:color w:val="000000"/>
              </w:rPr>
              <w:t>.</w:t>
            </w:r>
          </w:p>
        </w:tc>
        <w:tc>
          <w:tcPr>
            <w:tcW w:w="447" w:type="pct"/>
            <w:vAlign w:val="center"/>
          </w:tcPr>
          <w:p w14:paraId="3F0FA01B" w14:textId="77777777" w:rsidR="000228FA" w:rsidRPr="00A411E7" w:rsidRDefault="000228FA" w:rsidP="00FF3977">
            <w:pPr>
              <w:rPr>
                <w:rFonts w:eastAsia="Calibri"/>
              </w:rPr>
            </w:pPr>
            <w:r>
              <w:rPr>
                <w:color w:val="000000"/>
              </w:rPr>
              <w:t xml:space="preserve"> -</w:t>
            </w:r>
          </w:p>
        </w:tc>
        <w:tc>
          <w:tcPr>
            <w:tcW w:w="478" w:type="pct"/>
          </w:tcPr>
          <w:p w14:paraId="557E0ABE" w14:textId="77777777" w:rsidR="000228FA" w:rsidRDefault="000228FA" w:rsidP="00FF3977">
            <w:pPr>
              <w:rPr>
                <w:color w:val="000000"/>
              </w:rPr>
            </w:pPr>
            <w:r>
              <w:rPr>
                <w:color w:val="000000"/>
              </w:rPr>
              <w:t>Not relevant for an AL formulation</w:t>
            </w:r>
          </w:p>
        </w:tc>
      </w:tr>
      <w:tr w:rsidR="000228FA" w14:paraId="6D003FDB" w14:textId="77777777" w:rsidTr="00FF3977">
        <w:tc>
          <w:tcPr>
            <w:tcW w:w="1230" w:type="pct"/>
          </w:tcPr>
          <w:p w14:paraId="3F80AAC6" w14:textId="77777777" w:rsidR="000228FA" w:rsidRPr="00A411E7" w:rsidRDefault="000228FA" w:rsidP="00FF3977">
            <w:pPr>
              <w:rPr>
                <w:rFonts w:eastAsia="Calibri"/>
              </w:rPr>
            </w:pPr>
            <w:r w:rsidRPr="00A411E7">
              <w:rPr>
                <w:rFonts w:eastAsia="Calibri"/>
              </w:rPr>
              <w:t>Persistent foaming</w:t>
            </w:r>
          </w:p>
        </w:tc>
        <w:tc>
          <w:tcPr>
            <w:tcW w:w="594" w:type="pct"/>
            <w:vAlign w:val="center"/>
          </w:tcPr>
          <w:p w14:paraId="462455A1" w14:textId="77777777" w:rsidR="000228FA" w:rsidRPr="00A411E7" w:rsidRDefault="000228FA" w:rsidP="00FF3977">
            <w:pPr>
              <w:rPr>
                <w:rFonts w:eastAsia="Calibri"/>
              </w:rPr>
            </w:pPr>
            <w:r>
              <w:rPr>
                <w:color w:val="000000"/>
              </w:rPr>
              <w:t xml:space="preserve"> -</w:t>
            </w:r>
          </w:p>
        </w:tc>
        <w:tc>
          <w:tcPr>
            <w:tcW w:w="540" w:type="pct"/>
            <w:vAlign w:val="center"/>
          </w:tcPr>
          <w:p w14:paraId="7AF5EA4F" w14:textId="77777777" w:rsidR="000228FA" w:rsidRPr="00A411E7" w:rsidRDefault="000228FA" w:rsidP="00FF3977">
            <w:pPr>
              <w:rPr>
                <w:rFonts w:eastAsia="Calibri"/>
              </w:rPr>
            </w:pPr>
            <w:r>
              <w:rPr>
                <w:color w:val="000000"/>
              </w:rPr>
              <w:t xml:space="preserve"> -</w:t>
            </w:r>
          </w:p>
        </w:tc>
        <w:tc>
          <w:tcPr>
            <w:tcW w:w="1711" w:type="pct"/>
            <w:vAlign w:val="center"/>
          </w:tcPr>
          <w:p w14:paraId="472ADD52"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5279801C" w14:textId="77777777" w:rsidR="000228FA" w:rsidRPr="00A411E7" w:rsidRDefault="000228FA" w:rsidP="00FF3977">
            <w:pPr>
              <w:rPr>
                <w:rFonts w:eastAsia="Calibri"/>
              </w:rPr>
            </w:pPr>
            <w:r>
              <w:rPr>
                <w:color w:val="000000"/>
              </w:rPr>
              <w:t xml:space="preserve"> -</w:t>
            </w:r>
          </w:p>
        </w:tc>
        <w:tc>
          <w:tcPr>
            <w:tcW w:w="478" w:type="pct"/>
          </w:tcPr>
          <w:p w14:paraId="1A348C8A" w14:textId="77777777" w:rsidR="000228FA" w:rsidRDefault="000228FA" w:rsidP="00FF3977">
            <w:pPr>
              <w:rPr>
                <w:color w:val="000000"/>
              </w:rPr>
            </w:pPr>
            <w:r>
              <w:rPr>
                <w:color w:val="000000"/>
              </w:rPr>
              <w:t>Not relevant</w:t>
            </w:r>
          </w:p>
        </w:tc>
      </w:tr>
      <w:tr w:rsidR="000228FA" w14:paraId="73CEA2F8" w14:textId="77777777" w:rsidTr="00FF3977">
        <w:tc>
          <w:tcPr>
            <w:tcW w:w="1230" w:type="pct"/>
          </w:tcPr>
          <w:p w14:paraId="3D9E9777" w14:textId="77777777" w:rsidR="000228FA" w:rsidRPr="00A411E7" w:rsidRDefault="000228FA" w:rsidP="00FF3977">
            <w:pPr>
              <w:rPr>
                <w:rFonts w:eastAsia="Calibri"/>
              </w:rPr>
            </w:pPr>
            <w:r w:rsidRPr="00A411E7">
              <w:rPr>
                <w:rFonts w:eastAsia="Calibri"/>
              </w:rPr>
              <w:t>Flowability/Pourability/Dustability</w:t>
            </w:r>
          </w:p>
        </w:tc>
        <w:tc>
          <w:tcPr>
            <w:tcW w:w="594" w:type="pct"/>
            <w:vAlign w:val="center"/>
          </w:tcPr>
          <w:p w14:paraId="08258115" w14:textId="77777777" w:rsidR="000228FA" w:rsidRPr="00A411E7" w:rsidRDefault="000228FA" w:rsidP="00FF3977">
            <w:pPr>
              <w:rPr>
                <w:rFonts w:eastAsia="Calibri"/>
              </w:rPr>
            </w:pPr>
            <w:r>
              <w:rPr>
                <w:color w:val="000000"/>
              </w:rPr>
              <w:t xml:space="preserve"> -</w:t>
            </w:r>
          </w:p>
        </w:tc>
        <w:tc>
          <w:tcPr>
            <w:tcW w:w="540" w:type="pct"/>
            <w:vAlign w:val="center"/>
          </w:tcPr>
          <w:p w14:paraId="21D5B5BB" w14:textId="77777777" w:rsidR="000228FA" w:rsidRPr="00A411E7" w:rsidRDefault="000228FA" w:rsidP="00FF3977">
            <w:pPr>
              <w:rPr>
                <w:rFonts w:eastAsia="Calibri"/>
              </w:rPr>
            </w:pPr>
            <w:r>
              <w:rPr>
                <w:color w:val="000000"/>
              </w:rPr>
              <w:t xml:space="preserve"> -</w:t>
            </w:r>
          </w:p>
        </w:tc>
        <w:tc>
          <w:tcPr>
            <w:tcW w:w="1711" w:type="pct"/>
            <w:vAlign w:val="center"/>
          </w:tcPr>
          <w:p w14:paraId="1EA99C21"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6BD7659E" w14:textId="77777777" w:rsidR="000228FA" w:rsidRPr="00A411E7" w:rsidRDefault="000228FA" w:rsidP="00FF3977">
            <w:pPr>
              <w:rPr>
                <w:rFonts w:eastAsia="Calibri"/>
              </w:rPr>
            </w:pPr>
            <w:r>
              <w:rPr>
                <w:color w:val="000000"/>
              </w:rPr>
              <w:t xml:space="preserve"> -</w:t>
            </w:r>
          </w:p>
        </w:tc>
        <w:tc>
          <w:tcPr>
            <w:tcW w:w="478" w:type="pct"/>
          </w:tcPr>
          <w:p w14:paraId="4162511D" w14:textId="77777777" w:rsidR="000228FA" w:rsidRDefault="000228FA" w:rsidP="00FF3977">
            <w:pPr>
              <w:rPr>
                <w:color w:val="000000"/>
              </w:rPr>
            </w:pPr>
            <w:r>
              <w:rPr>
                <w:color w:val="000000"/>
              </w:rPr>
              <w:t>Not relevant for an AL formulation</w:t>
            </w:r>
          </w:p>
        </w:tc>
      </w:tr>
      <w:tr w:rsidR="000228FA" w14:paraId="52F62F97" w14:textId="77777777" w:rsidTr="00FF3977">
        <w:tc>
          <w:tcPr>
            <w:tcW w:w="1230" w:type="pct"/>
          </w:tcPr>
          <w:p w14:paraId="594EF157" w14:textId="77777777" w:rsidR="000228FA" w:rsidRPr="00A411E7" w:rsidRDefault="000228FA" w:rsidP="00FF3977">
            <w:pPr>
              <w:rPr>
                <w:rFonts w:eastAsia="Calibri"/>
              </w:rPr>
            </w:pPr>
            <w:r w:rsidRPr="00A411E7">
              <w:rPr>
                <w:rFonts w:eastAsia="Calibri"/>
              </w:rPr>
              <w:t>Burning rate — smoke generators</w:t>
            </w:r>
          </w:p>
        </w:tc>
        <w:tc>
          <w:tcPr>
            <w:tcW w:w="594" w:type="pct"/>
            <w:vAlign w:val="center"/>
          </w:tcPr>
          <w:p w14:paraId="448D6A27" w14:textId="77777777" w:rsidR="000228FA" w:rsidRPr="00A411E7" w:rsidRDefault="000228FA" w:rsidP="00FF3977">
            <w:pPr>
              <w:rPr>
                <w:rFonts w:eastAsia="Calibri"/>
              </w:rPr>
            </w:pPr>
            <w:r>
              <w:rPr>
                <w:color w:val="000000"/>
              </w:rPr>
              <w:t xml:space="preserve"> -</w:t>
            </w:r>
          </w:p>
        </w:tc>
        <w:tc>
          <w:tcPr>
            <w:tcW w:w="540" w:type="pct"/>
            <w:vAlign w:val="center"/>
          </w:tcPr>
          <w:p w14:paraId="002E21F4" w14:textId="77777777" w:rsidR="000228FA" w:rsidRPr="00A411E7" w:rsidRDefault="000228FA" w:rsidP="00FF3977">
            <w:pPr>
              <w:rPr>
                <w:rFonts w:eastAsia="Calibri"/>
              </w:rPr>
            </w:pPr>
            <w:r>
              <w:rPr>
                <w:color w:val="000000"/>
              </w:rPr>
              <w:t xml:space="preserve"> -</w:t>
            </w:r>
          </w:p>
        </w:tc>
        <w:tc>
          <w:tcPr>
            <w:tcW w:w="1711" w:type="pct"/>
            <w:vAlign w:val="center"/>
          </w:tcPr>
          <w:p w14:paraId="04D94192"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1DB52CCC" w14:textId="77777777" w:rsidR="000228FA" w:rsidRPr="00A411E7" w:rsidRDefault="000228FA" w:rsidP="00FF3977">
            <w:pPr>
              <w:rPr>
                <w:rFonts w:eastAsia="Calibri"/>
              </w:rPr>
            </w:pPr>
            <w:r>
              <w:rPr>
                <w:color w:val="000000"/>
              </w:rPr>
              <w:t xml:space="preserve"> -</w:t>
            </w:r>
          </w:p>
        </w:tc>
        <w:tc>
          <w:tcPr>
            <w:tcW w:w="478" w:type="pct"/>
          </w:tcPr>
          <w:p w14:paraId="4A845D25" w14:textId="77777777" w:rsidR="000228FA" w:rsidRDefault="000228FA" w:rsidP="00FF3977">
            <w:pPr>
              <w:rPr>
                <w:color w:val="000000"/>
              </w:rPr>
            </w:pPr>
            <w:r>
              <w:rPr>
                <w:color w:val="000000"/>
              </w:rPr>
              <w:t xml:space="preserve">Not relevant for an AL </w:t>
            </w:r>
            <w:r>
              <w:rPr>
                <w:color w:val="000000"/>
              </w:rPr>
              <w:lastRenderedPageBreak/>
              <w:t>formulation</w:t>
            </w:r>
          </w:p>
        </w:tc>
      </w:tr>
      <w:tr w:rsidR="000228FA" w14:paraId="59CD4D6F" w14:textId="77777777" w:rsidTr="00FF3977">
        <w:tc>
          <w:tcPr>
            <w:tcW w:w="1230" w:type="pct"/>
          </w:tcPr>
          <w:p w14:paraId="498C9F9A" w14:textId="77777777" w:rsidR="000228FA" w:rsidRPr="00A411E7" w:rsidRDefault="000228FA" w:rsidP="00FF3977">
            <w:pPr>
              <w:rPr>
                <w:rFonts w:eastAsia="Calibri"/>
              </w:rPr>
            </w:pPr>
            <w:r w:rsidRPr="00A411E7">
              <w:rPr>
                <w:rFonts w:eastAsia="Calibri"/>
              </w:rPr>
              <w:lastRenderedPageBreak/>
              <w:t>Burning completeness — smoke generators</w:t>
            </w:r>
          </w:p>
        </w:tc>
        <w:tc>
          <w:tcPr>
            <w:tcW w:w="594" w:type="pct"/>
            <w:vAlign w:val="center"/>
          </w:tcPr>
          <w:p w14:paraId="32D3B86E" w14:textId="77777777" w:rsidR="000228FA" w:rsidRPr="00A411E7" w:rsidRDefault="000228FA" w:rsidP="00FF3977">
            <w:pPr>
              <w:rPr>
                <w:rFonts w:eastAsia="Calibri"/>
              </w:rPr>
            </w:pPr>
            <w:r>
              <w:rPr>
                <w:color w:val="000000"/>
              </w:rPr>
              <w:t xml:space="preserve"> -</w:t>
            </w:r>
          </w:p>
        </w:tc>
        <w:tc>
          <w:tcPr>
            <w:tcW w:w="540" w:type="pct"/>
            <w:vAlign w:val="center"/>
          </w:tcPr>
          <w:p w14:paraId="7F57137F" w14:textId="77777777" w:rsidR="000228FA" w:rsidRPr="00A411E7" w:rsidRDefault="000228FA" w:rsidP="00FF3977">
            <w:pPr>
              <w:rPr>
                <w:rFonts w:eastAsia="Calibri"/>
              </w:rPr>
            </w:pPr>
            <w:r>
              <w:rPr>
                <w:color w:val="000000"/>
              </w:rPr>
              <w:t xml:space="preserve"> -</w:t>
            </w:r>
          </w:p>
        </w:tc>
        <w:tc>
          <w:tcPr>
            <w:tcW w:w="1711" w:type="pct"/>
            <w:vAlign w:val="center"/>
          </w:tcPr>
          <w:p w14:paraId="4A93F08A"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287FAC49" w14:textId="77777777" w:rsidR="000228FA" w:rsidRPr="00A411E7" w:rsidRDefault="000228FA" w:rsidP="00FF3977">
            <w:pPr>
              <w:rPr>
                <w:rFonts w:eastAsia="Calibri"/>
              </w:rPr>
            </w:pPr>
            <w:r>
              <w:rPr>
                <w:color w:val="000000"/>
              </w:rPr>
              <w:t xml:space="preserve"> -</w:t>
            </w:r>
          </w:p>
        </w:tc>
        <w:tc>
          <w:tcPr>
            <w:tcW w:w="478" w:type="pct"/>
          </w:tcPr>
          <w:p w14:paraId="4501314E" w14:textId="77777777" w:rsidR="000228FA" w:rsidRDefault="000228FA" w:rsidP="00FF3977">
            <w:pPr>
              <w:rPr>
                <w:color w:val="000000"/>
              </w:rPr>
            </w:pPr>
            <w:r>
              <w:rPr>
                <w:color w:val="000000"/>
              </w:rPr>
              <w:t>Not relevant for an AL formulation</w:t>
            </w:r>
          </w:p>
        </w:tc>
      </w:tr>
      <w:tr w:rsidR="000228FA" w14:paraId="43396718" w14:textId="77777777" w:rsidTr="00FF3977">
        <w:tc>
          <w:tcPr>
            <w:tcW w:w="1230" w:type="pct"/>
          </w:tcPr>
          <w:p w14:paraId="34207BD5" w14:textId="77777777" w:rsidR="000228FA" w:rsidRPr="00A411E7" w:rsidRDefault="000228FA" w:rsidP="00FF3977">
            <w:pPr>
              <w:rPr>
                <w:rFonts w:eastAsia="Calibri"/>
              </w:rPr>
            </w:pPr>
            <w:r w:rsidRPr="00A411E7">
              <w:rPr>
                <w:rFonts w:eastAsia="Calibri"/>
              </w:rPr>
              <w:t>Composition of smoke — smoke generators</w:t>
            </w:r>
          </w:p>
        </w:tc>
        <w:tc>
          <w:tcPr>
            <w:tcW w:w="594" w:type="pct"/>
            <w:vAlign w:val="center"/>
          </w:tcPr>
          <w:p w14:paraId="5D3B726B" w14:textId="77777777" w:rsidR="000228FA" w:rsidRPr="00A411E7" w:rsidRDefault="000228FA" w:rsidP="00FF3977">
            <w:pPr>
              <w:rPr>
                <w:rFonts w:eastAsia="Calibri"/>
              </w:rPr>
            </w:pPr>
            <w:r>
              <w:rPr>
                <w:color w:val="000000"/>
              </w:rPr>
              <w:t xml:space="preserve"> -</w:t>
            </w:r>
          </w:p>
        </w:tc>
        <w:tc>
          <w:tcPr>
            <w:tcW w:w="540" w:type="pct"/>
            <w:vAlign w:val="center"/>
          </w:tcPr>
          <w:p w14:paraId="4CA15D1E" w14:textId="77777777" w:rsidR="000228FA" w:rsidRPr="00A411E7" w:rsidRDefault="000228FA" w:rsidP="00FF3977">
            <w:pPr>
              <w:rPr>
                <w:rFonts w:eastAsia="Calibri"/>
              </w:rPr>
            </w:pPr>
            <w:r>
              <w:rPr>
                <w:color w:val="000000"/>
              </w:rPr>
              <w:t xml:space="preserve"> -</w:t>
            </w:r>
          </w:p>
        </w:tc>
        <w:tc>
          <w:tcPr>
            <w:tcW w:w="1711" w:type="pct"/>
            <w:vAlign w:val="center"/>
          </w:tcPr>
          <w:p w14:paraId="657E3777" w14:textId="77777777" w:rsidR="000228FA" w:rsidRPr="00A411E7" w:rsidRDefault="000228FA" w:rsidP="00FF3977">
            <w:pPr>
              <w:rPr>
                <w:rFonts w:eastAsia="Calibri"/>
              </w:rPr>
            </w:pPr>
            <w:r>
              <w:rPr>
                <w:color w:val="000000"/>
              </w:rPr>
              <w:t>Not applicable. The product is a ready-to-use liquid and is not intended to be applied as a smoke.</w:t>
            </w:r>
          </w:p>
        </w:tc>
        <w:tc>
          <w:tcPr>
            <w:tcW w:w="447" w:type="pct"/>
            <w:vAlign w:val="center"/>
          </w:tcPr>
          <w:p w14:paraId="3622BBD4" w14:textId="77777777" w:rsidR="000228FA" w:rsidRPr="00A411E7" w:rsidRDefault="000228FA" w:rsidP="00FF3977">
            <w:pPr>
              <w:rPr>
                <w:rFonts w:eastAsia="Calibri"/>
              </w:rPr>
            </w:pPr>
            <w:r>
              <w:rPr>
                <w:color w:val="000000"/>
              </w:rPr>
              <w:t xml:space="preserve"> -</w:t>
            </w:r>
          </w:p>
        </w:tc>
        <w:tc>
          <w:tcPr>
            <w:tcW w:w="478" w:type="pct"/>
          </w:tcPr>
          <w:p w14:paraId="6D8C878F" w14:textId="77777777" w:rsidR="000228FA" w:rsidRDefault="000228FA" w:rsidP="00FF3977">
            <w:pPr>
              <w:rPr>
                <w:color w:val="000000"/>
              </w:rPr>
            </w:pPr>
            <w:r>
              <w:rPr>
                <w:color w:val="000000"/>
              </w:rPr>
              <w:t>Not relevant for an AL formulation</w:t>
            </w:r>
          </w:p>
        </w:tc>
      </w:tr>
      <w:tr w:rsidR="000228FA" w14:paraId="60DE965E" w14:textId="77777777" w:rsidTr="00FF3977">
        <w:tc>
          <w:tcPr>
            <w:tcW w:w="1230" w:type="pct"/>
          </w:tcPr>
          <w:p w14:paraId="0C34DE29" w14:textId="77777777" w:rsidR="000228FA" w:rsidRPr="00A411E7" w:rsidRDefault="000228FA" w:rsidP="00FF3977">
            <w:pPr>
              <w:rPr>
                <w:rFonts w:eastAsia="Calibri"/>
              </w:rPr>
            </w:pPr>
            <w:r w:rsidRPr="00A411E7">
              <w:rPr>
                <w:rFonts w:eastAsia="Calibri"/>
              </w:rPr>
              <w:t>Spray</w:t>
            </w:r>
            <w:r>
              <w:rPr>
                <w:rFonts w:eastAsia="Calibri"/>
              </w:rPr>
              <w:t>ability</w:t>
            </w:r>
          </w:p>
        </w:tc>
        <w:tc>
          <w:tcPr>
            <w:tcW w:w="594" w:type="pct"/>
            <w:vAlign w:val="center"/>
          </w:tcPr>
          <w:p w14:paraId="633B8796" w14:textId="77777777" w:rsidR="000228FA" w:rsidRPr="00A411E7" w:rsidRDefault="000228FA" w:rsidP="00FF3977">
            <w:pPr>
              <w:rPr>
                <w:rFonts w:eastAsia="Calibri"/>
              </w:rPr>
            </w:pPr>
            <w:r>
              <w:rPr>
                <w:color w:val="000000"/>
              </w:rPr>
              <w:t>In house method</w:t>
            </w:r>
          </w:p>
        </w:tc>
        <w:tc>
          <w:tcPr>
            <w:tcW w:w="540" w:type="pct"/>
            <w:vAlign w:val="center"/>
          </w:tcPr>
          <w:p w14:paraId="7DCD6446" w14:textId="77777777" w:rsidR="000228FA" w:rsidRDefault="000228FA" w:rsidP="00FF3977">
            <w:pPr>
              <w:rPr>
                <w:color w:val="000000"/>
              </w:rPr>
            </w:pPr>
            <w:r>
              <w:rPr>
                <w:color w:val="000000"/>
              </w:rPr>
              <w:t>Batch 1805000317</w:t>
            </w:r>
          </w:p>
          <w:p w14:paraId="4B8CC904"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73087465" w14:textId="77777777" w:rsidR="000228FA" w:rsidRDefault="000228FA" w:rsidP="00FF3977">
            <w:r>
              <w:t xml:space="preserve">The mean volume of a pulverisation of the sprayer was 1.44 mL. The nozzles of the sprays were checked and no blocking was observed. </w:t>
            </w:r>
          </w:p>
          <w:p w14:paraId="26662DA5" w14:textId="77777777" w:rsidR="000228FA" w:rsidRDefault="000228FA" w:rsidP="00FF3977">
            <w:r>
              <w:t xml:space="preserve">The mean spray diameter of the sprayer was 16 cm. The shape of the spray on the wetted patch was circular. </w:t>
            </w:r>
          </w:p>
          <w:p w14:paraId="38F1DC99" w14:textId="77777777" w:rsidR="000228FA" w:rsidRDefault="000228FA" w:rsidP="00FF3977"/>
          <w:p w14:paraId="31A8A244" w14:textId="77777777" w:rsidR="000228FA" w:rsidRDefault="000228FA" w:rsidP="00FF3977">
            <w:r>
              <w:t xml:space="preserve">Products of META SPC 9 will not be sold together with a sraying device, therefore assessment of spray characteristics are not required. </w:t>
            </w:r>
          </w:p>
          <w:p w14:paraId="2D65C586" w14:textId="77777777" w:rsidR="000228FA" w:rsidRPr="00A411E7" w:rsidRDefault="000228FA" w:rsidP="00FF3977">
            <w:pPr>
              <w:rPr>
                <w:rFonts w:eastAsia="Calibri"/>
              </w:rPr>
            </w:pPr>
          </w:p>
        </w:tc>
        <w:tc>
          <w:tcPr>
            <w:tcW w:w="447" w:type="pct"/>
            <w:vAlign w:val="center"/>
          </w:tcPr>
          <w:p w14:paraId="34576FB6" w14:textId="77777777" w:rsidR="000228FA" w:rsidRPr="00A411E7" w:rsidRDefault="000228FA" w:rsidP="00FF3977">
            <w:pPr>
              <w:rPr>
                <w:rFonts w:eastAsia="Calibri"/>
              </w:rPr>
            </w:pPr>
            <w:r>
              <w:rPr>
                <w:color w:val="000000"/>
              </w:rPr>
              <w:t xml:space="preserve"> </w:t>
            </w:r>
            <w:r>
              <w:t>Demangel B. and Ricau H., 2019, Report No 18-901011-045</w:t>
            </w:r>
          </w:p>
        </w:tc>
        <w:tc>
          <w:tcPr>
            <w:tcW w:w="478" w:type="pct"/>
          </w:tcPr>
          <w:p w14:paraId="19655E47" w14:textId="77777777" w:rsidR="000228FA" w:rsidRDefault="000228FA" w:rsidP="00FF3977">
            <w:pPr>
              <w:rPr>
                <w:color w:val="000000"/>
              </w:rPr>
            </w:pPr>
            <w:r>
              <w:rPr>
                <w:color w:val="000000"/>
              </w:rPr>
              <w:t>Acceptable</w:t>
            </w:r>
          </w:p>
        </w:tc>
      </w:tr>
      <w:tr w:rsidR="000228FA" w14:paraId="5DDC084E" w14:textId="77777777" w:rsidTr="00FF3977">
        <w:tc>
          <w:tcPr>
            <w:tcW w:w="1230" w:type="pct"/>
          </w:tcPr>
          <w:p w14:paraId="563B866A" w14:textId="77777777" w:rsidR="000228FA" w:rsidRPr="00A411E7" w:rsidRDefault="000228FA" w:rsidP="00FF3977">
            <w:pPr>
              <w:rPr>
                <w:rFonts w:eastAsia="Calibri"/>
              </w:rPr>
            </w:pPr>
            <w:r w:rsidRPr="00A411E7">
              <w:rPr>
                <w:rFonts w:eastAsia="Calibri"/>
              </w:rPr>
              <w:t>Physical compatibility</w:t>
            </w:r>
          </w:p>
        </w:tc>
        <w:tc>
          <w:tcPr>
            <w:tcW w:w="594" w:type="pct"/>
            <w:vAlign w:val="center"/>
          </w:tcPr>
          <w:p w14:paraId="44A06A6C" w14:textId="77777777" w:rsidR="000228FA" w:rsidRPr="00A411E7" w:rsidRDefault="000228FA" w:rsidP="00FF3977">
            <w:pPr>
              <w:rPr>
                <w:rFonts w:eastAsia="Calibri"/>
              </w:rPr>
            </w:pPr>
            <w:r>
              <w:rPr>
                <w:color w:val="000000"/>
              </w:rPr>
              <w:t xml:space="preserve"> -</w:t>
            </w:r>
          </w:p>
        </w:tc>
        <w:tc>
          <w:tcPr>
            <w:tcW w:w="540" w:type="pct"/>
            <w:vAlign w:val="center"/>
          </w:tcPr>
          <w:p w14:paraId="591F89E0" w14:textId="77777777" w:rsidR="000228FA" w:rsidRPr="00A411E7" w:rsidRDefault="000228FA" w:rsidP="00FF3977">
            <w:pPr>
              <w:rPr>
                <w:rFonts w:eastAsia="Calibri"/>
              </w:rPr>
            </w:pPr>
            <w:r>
              <w:rPr>
                <w:color w:val="000000"/>
              </w:rPr>
              <w:t xml:space="preserve"> -</w:t>
            </w:r>
          </w:p>
        </w:tc>
        <w:tc>
          <w:tcPr>
            <w:tcW w:w="1711" w:type="pct"/>
            <w:vAlign w:val="center"/>
          </w:tcPr>
          <w:p w14:paraId="29F92BA5" w14:textId="77777777" w:rsidR="000228FA" w:rsidRPr="00A411E7" w:rsidRDefault="000228FA" w:rsidP="00FF3977">
            <w:pPr>
              <w:rPr>
                <w:rFonts w:eastAsia="Calibri"/>
              </w:rPr>
            </w:pPr>
            <w:r>
              <w:rPr>
                <w:color w:val="000000"/>
              </w:rPr>
              <w:t>Not applicable. The product is a ready-to-use liquid and is not intended to be added to any other product.</w:t>
            </w:r>
          </w:p>
        </w:tc>
        <w:tc>
          <w:tcPr>
            <w:tcW w:w="447" w:type="pct"/>
            <w:vAlign w:val="center"/>
          </w:tcPr>
          <w:p w14:paraId="570C278A" w14:textId="77777777" w:rsidR="000228FA" w:rsidRPr="00A411E7" w:rsidRDefault="000228FA" w:rsidP="00FF3977">
            <w:pPr>
              <w:rPr>
                <w:rFonts w:eastAsia="Calibri"/>
              </w:rPr>
            </w:pPr>
            <w:r>
              <w:rPr>
                <w:color w:val="000000"/>
              </w:rPr>
              <w:t xml:space="preserve"> -</w:t>
            </w:r>
          </w:p>
        </w:tc>
        <w:tc>
          <w:tcPr>
            <w:tcW w:w="478" w:type="pct"/>
          </w:tcPr>
          <w:p w14:paraId="0855C7BB" w14:textId="77777777" w:rsidR="000228FA" w:rsidRDefault="000228FA" w:rsidP="00FF3977">
            <w:pPr>
              <w:rPr>
                <w:color w:val="000000"/>
              </w:rPr>
            </w:pPr>
            <w:r>
              <w:rPr>
                <w:color w:val="000000"/>
              </w:rPr>
              <w:t>Acceptable</w:t>
            </w:r>
          </w:p>
        </w:tc>
      </w:tr>
      <w:tr w:rsidR="000228FA" w14:paraId="37081105" w14:textId="77777777" w:rsidTr="00FF3977">
        <w:tc>
          <w:tcPr>
            <w:tcW w:w="1230" w:type="pct"/>
          </w:tcPr>
          <w:p w14:paraId="5D377B17" w14:textId="77777777" w:rsidR="000228FA" w:rsidRPr="00A411E7" w:rsidRDefault="000228FA" w:rsidP="00FF3977">
            <w:pPr>
              <w:rPr>
                <w:rFonts w:eastAsia="Calibri"/>
              </w:rPr>
            </w:pPr>
            <w:r w:rsidRPr="00A411E7">
              <w:rPr>
                <w:rFonts w:eastAsia="Calibri"/>
              </w:rPr>
              <w:t>Chemical compatibility</w:t>
            </w:r>
          </w:p>
        </w:tc>
        <w:tc>
          <w:tcPr>
            <w:tcW w:w="594" w:type="pct"/>
            <w:vAlign w:val="center"/>
          </w:tcPr>
          <w:p w14:paraId="347A0AA1" w14:textId="77777777" w:rsidR="000228FA" w:rsidRPr="00A411E7" w:rsidRDefault="000228FA" w:rsidP="00FF3977">
            <w:pPr>
              <w:rPr>
                <w:rFonts w:eastAsia="Calibri"/>
              </w:rPr>
            </w:pPr>
            <w:r>
              <w:rPr>
                <w:color w:val="000000"/>
              </w:rPr>
              <w:t xml:space="preserve"> -</w:t>
            </w:r>
          </w:p>
        </w:tc>
        <w:tc>
          <w:tcPr>
            <w:tcW w:w="540" w:type="pct"/>
            <w:vAlign w:val="center"/>
          </w:tcPr>
          <w:p w14:paraId="48F6A432" w14:textId="77777777" w:rsidR="000228FA" w:rsidRPr="00A411E7" w:rsidRDefault="000228FA" w:rsidP="00FF3977">
            <w:pPr>
              <w:rPr>
                <w:rFonts w:eastAsia="Calibri"/>
              </w:rPr>
            </w:pPr>
            <w:r>
              <w:rPr>
                <w:color w:val="000000"/>
              </w:rPr>
              <w:t xml:space="preserve"> -</w:t>
            </w:r>
          </w:p>
        </w:tc>
        <w:tc>
          <w:tcPr>
            <w:tcW w:w="1711" w:type="pct"/>
            <w:vAlign w:val="center"/>
          </w:tcPr>
          <w:p w14:paraId="3905E69C" w14:textId="77777777" w:rsidR="000228FA" w:rsidRPr="00A411E7" w:rsidRDefault="000228FA" w:rsidP="00FF3977">
            <w:pPr>
              <w:rPr>
                <w:rFonts w:eastAsia="Calibri"/>
              </w:rPr>
            </w:pPr>
            <w:r>
              <w:rPr>
                <w:color w:val="000000"/>
              </w:rPr>
              <w:t>Not applicable. The product is a ready-to-use liquid and is not intended to be added to any other product.</w:t>
            </w:r>
          </w:p>
        </w:tc>
        <w:tc>
          <w:tcPr>
            <w:tcW w:w="447" w:type="pct"/>
            <w:vAlign w:val="center"/>
          </w:tcPr>
          <w:p w14:paraId="326CBD59" w14:textId="77777777" w:rsidR="000228FA" w:rsidRPr="00A411E7" w:rsidRDefault="000228FA" w:rsidP="00FF3977">
            <w:pPr>
              <w:rPr>
                <w:rFonts w:eastAsia="Calibri"/>
              </w:rPr>
            </w:pPr>
            <w:r>
              <w:rPr>
                <w:color w:val="000000"/>
              </w:rPr>
              <w:t xml:space="preserve"> -</w:t>
            </w:r>
          </w:p>
        </w:tc>
        <w:tc>
          <w:tcPr>
            <w:tcW w:w="478" w:type="pct"/>
          </w:tcPr>
          <w:p w14:paraId="10A8CE89" w14:textId="77777777" w:rsidR="000228FA" w:rsidRDefault="000228FA" w:rsidP="00FF3977">
            <w:pPr>
              <w:rPr>
                <w:color w:val="000000"/>
              </w:rPr>
            </w:pPr>
            <w:r>
              <w:rPr>
                <w:color w:val="000000"/>
              </w:rPr>
              <w:t>Acceptable</w:t>
            </w:r>
          </w:p>
        </w:tc>
      </w:tr>
      <w:tr w:rsidR="000228FA" w14:paraId="303D01CE" w14:textId="77777777" w:rsidTr="00FF3977">
        <w:tc>
          <w:tcPr>
            <w:tcW w:w="1230" w:type="pct"/>
          </w:tcPr>
          <w:p w14:paraId="4B81CFF2" w14:textId="77777777" w:rsidR="000228FA" w:rsidRPr="00A411E7" w:rsidRDefault="000228FA" w:rsidP="00FF3977">
            <w:pPr>
              <w:rPr>
                <w:rFonts w:eastAsia="Calibri"/>
              </w:rPr>
            </w:pPr>
            <w:r w:rsidRPr="00A411E7">
              <w:rPr>
                <w:rFonts w:eastAsia="Calibri"/>
              </w:rPr>
              <w:lastRenderedPageBreak/>
              <w:t>Degree of dissolution and dilution stability</w:t>
            </w:r>
          </w:p>
        </w:tc>
        <w:tc>
          <w:tcPr>
            <w:tcW w:w="594" w:type="pct"/>
            <w:vAlign w:val="center"/>
          </w:tcPr>
          <w:p w14:paraId="4E135CAB" w14:textId="77777777" w:rsidR="000228FA" w:rsidRPr="00A411E7" w:rsidRDefault="000228FA" w:rsidP="00FF3977">
            <w:pPr>
              <w:rPr>
                <w:rFonts w:eastAsia="Calibri"/>
              </w:rPr>
            </w:pPr>
            <w:r>
              <w:rPr>
                <w:color w:val="000000"/>
              </w:rPr>
              <w:t xml:space="preserve"> -</w:t>
            </w:r>
          </w:p>
        </w:tc>
        <w:tc>
          <w:tcPr>
            <w:tcW w:w="540" w:type="pct"/>
            <w:vAlign w:val="center"/>
          </w:tcPr>
          <w:p w14:paraId="57D6D939" w14:textId="77777777" w:rsidR="000228FA" w:rsidRPr="00A411E7" w:rsidRDefault="000228FA" w:rsidP="00FF3977">
            <w:pPr>
              <w:rPr>
                <w:rFonts w:eastAsia="Calibri"/>
              </w:rPr>
            </w:pPr>
            <w:r>
              <w:rPr>
                <w:color w:val="000000"/>
              </w:rPr>
              <w:t xml:space="preserve"> -</w:t>
            </w:r>
          </w:p>
        </w:tc>
        <w:tc>
          <w:tcPr>
            <w:tcW w:w="1711" w:type="pct"/>
            <w:vAlign w:val="center"/>
          </w:tcPr>
          <w:p w14:paraId="68583606" w14:textId="77777777" w:rsidR="000228FA" w:rsidRPr="00A411E7" w:rsidRDefault="000228FA" w:rsidP="00FF3977">
            <w:pPr>
              <w:rPr>
                <w:rFonts w:eastAsia="Calibri"/>
              </w:rPr>
            </w:pPr>
            <w:r>
              <w:rPr>
                <w:color w:val="000000"/>
              </w:rPr>
              <w:t>Not required as the product is a ready-to-use liquid.</w:t>
            </w:r>
          </w:p>
        </w:tc>
        <w:tc>
          <w:tcPr>
            <w:tcW w:w="447" w:type="pct"/>
            <w:vAlign w:val="center"/>
          </w:tcPr>
          <w:p w14:paraId="1B1D679D" w14:textId="77777777" w:rsidR="000228FA" w:rsidRPr="00A411E7" w:rsidRDefault="000228FA" w:rsidP="00FF3977">
            <w:pPr>
              <w:rPr>
                <w:rFonts w:eastAsia="Calibri"/>
              </w:rPr>
            </w:pPr>
            <w:r>
              <w:rPr>
                <w:color w:val="000000"/>
              </w:rPr>
              <w:t xml:space="preserve"> -</w:t>
            </w:r>
          </w:p>
        </w:tc>
        <w:tc>
          <w:tcPr>
            <w:tcW w:w="478" w:type="pct"/>
          </w:tcPr>
          <w:p w14:paraId="521CA6EF" w14:textId="77777777" w:rsidR="000228FA" w:rsidRDefault="000228FA" w:rsidP="00FF3977">
            <w:pPr>
              <w:rPr>
                <w:color w:val="000000"/>
              </w:rPr>
            </w:pPr>
            <w:r>
              <w:rPr>
                <w:color w:val="000000"/>
              </w:rPr>
              <w:t>Acceptable</w:t>
            </w:r>
          </w:p>
        </w:tc>
      </w:tr>
      <w:tr w:rsidR="000228FA" w14:paraId="5B94FA8B" w14:textId="77777777" w:rsidTr="00FF3977">
        <w:tc>
          <w:tcPr>
            <w:tcW w:w="1230" w:type="pct"/>
          </w:tcPr>
          <w:p w14:paraId="2F7B13A7" w14:textId="77777777" w:rsidR="000228FA" w:rsidRPr="00A411E7" w:rsidRDefault="000228FA" w:rsidP="00FF3977">
            <w:pPr>
              <w:rPr>
                <w:rFonts w:eastAsia="Calibri"/>
              </w:rPr>
            </w:pPr>
            <w:r w:rsidRPr="00A411E7">
              <w:rPr>
                <w:rFonts w:eastAsia="Calibri"/>
              </w:rPr>
              <w:t>Surface tension</w:t>
            </w:r>
          </w:p>
        </w:tc>
        <w:tc>
          <w:tcPr>
            <w:tcW w:w="594" w:type="pct"/>
            <w:vAlign w:val="center"/>
          </w:tcPr>
          <w:p w14:paraId="1FADC303" w14:textId="77777777" w:rsidR="000228FA" w:rsidRPr="00A411E7" w:rsidRDefault="000228FA" w:rsidP="00FF3977">
            <w:pPr>
              <w:rPr>
                <w:rFonts w:eastAsia="Calibri"/>
              </w:rPr>
            </w:pPr>
            <w:r>
              <w:rPr>
                <w:color w:val="000000"/>
              </w:rPr>
              <w:t>EC A.5. method (2008) and OECD Guideline No. 115 (1995)</w:t>
            </w:r>
          </w:p>
        </w:tc>
        <w:tc>
          <w:tcPr>
            <w:tcW w:w="540" w:type="pct"/>
            <w:vAlign w:val="center"/>
          </w:tcPr>
          <w:p w14:paraId="681F1FA8" w14:textId="77777777" w:rsidR="000228FA" w:rsidRDefault="000228FA" w:rsidP="00FF3977">
            <w:pPr>
              <w:rPr>
                <w:color w:val="000000"/>
              </w:rPr>
            </w:pPr>
            <w:r>
              <w:rPr>
                <w:color w:val="000000"/>
              </w:rPr>
              <w:t>Batch 1805000317</w:t>
            </w:r>
          </w:p>
          <w:p w14:paraId="0D0E5A82"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7AB2E4F8" w14:textId="77777777" w:rsidR="000228FA" w:rsidRPr="00A411E7" w:rsidRDefault="000228FA" w:rsidP="00FF3977">
            <w:pPr>
              <w:rPr>
                <w:rFonts w:eastAsia="Calibri"/>
              </w:rPr>
            </w:pPr>
            <w:r>
              <w:t>The mean surface tension of the pure test item at 20.2 °C was 26.8 mN/m. The test item was considered as surface-active in the experimental conditions used.</w:t>
            </w:r>
          </w:p>
        </w:tc>
        <w:tc>
          <w:tcPr>
            <w:tcW w:w="447" w:type="pct"/>
            <w:vAlign w:val="center"/>
          </w:tcPr>
          <w:p w14:paraId="3C0703B1" w14:textId="77777777" w:rsidR="000228FA" w:rsidRPr="00A411E7" w:rsidRDefault="000228FA" w:rsidP="00FF3977">
            <w:pPr>
              <w:rPr>
                <w:rFonts w:eastAsia="Calibri"/>
              </w:rPr>
            </w:pPr>
            <w:r>
              <w:rPr>
                <w:color w:val="000000"/>
              </w:rPr>
              <w:t>Demangel B., 2019, Report No 18-901011-044</w:t>
            </w:r>
          </w:p>
        </w:tc>
        <w:tc>
          <w:tcPr>
            <w:tcW w:w="478" w:type="pct"/>
          </w:tcPr>
          <w:p w14:paraId="7425720B" w14:textId="77777777" w:rsidR="000228FA" w:rsidRDefault="000228FA" w:rsidP="00FF3977">
            <w:pPr>
              <w:rPr>
                <w:color w:val="000000"/>
              </w:rPr>
            </w:pPr>
            <w:r>
              <w:rPr>
                <w:color w:val="000000"/>
              </w:rPr>
              <w:t>Acceptable</w:t>
            </w:r>
          </w:p>
        </w:tc>
      </w:tr>
      <w:tr w:rsidR="000228FA" w14:paraId="47D51111" w14:textId="77777777" w:rsidTr="00FF3977">
        <w:tc>
          <w:tcPr>
            <w:tcW w:w="1230" w:type="pct"/>
          </w:tcPr>
          <w:p w14:paraId="7D5C8BB9" w14:textId="77777777" w:rsidR="000228FA" w:rsidRPr="00A411E7" w:rsidRDefault="000228FA" w:rsidP="00FF3977">
            <w:pPr>
              <w:rPr>
                <w:rFonts w:eastAsia="Calibri"/>
              </w:rPr>
            </w:pPr>
            <w:r w:rsidRPr="00A411E7">
              <w:rPr>
                <w:rFonts w:eastAsia="Calibri"/>
              </w:rPr>
              <w:t>Viscosity</w:t>
            </w:r>
          </w:p>
        </w:tc>
        <w:tc>
          <w:tcPr>
            <w:tcW w:w="594" w:type="pct"/>
            <w:vAlign w:val="center"/>
          </w:tcPr>
          <w:p w14:paraId="62692141" w14:textId="77777777" w:rsidR="000228FA" w:rsidRPr="00A411E7" w:rsidRDefault="000228FA" w:rsidP="00FF3977">
            <w:pPr>
              <w:rPr>
                <w:rFonts w:eastAsia="Calibri"/>
              </w:rPr>
            </w:pPr>
            <w:r>
              <w:rPr>
                <w:color w:val="000000"/>
              </w:rPr>
              <w:t>OECD Guideline No. 114 (2012) and ISO Standard 3219 (1993)</w:t>
            </w:r>
          </w:p>
        </w:tc>
        <w:tc>
          <w:tcPr>
            <w:tcW w:w="540" w:type="pct"/>
            <w:vAlign w:val="center"/>
          </w:tcPr>
          <w:p w14:paraId="762DADED" w14:textId="77777777" w:rsidR="000228FA" w:rsidRDefault="000228FA" w:rsidP="00FF3977">
            <w:pPr>
              <w:rPr>
                <w:color w:val="000000"/>
              </w:rPr>
            </w:pPr>
            <w:r>
              <w:rPr>
                <w:color w:val="000000"/>
              </w:rPr>
              <w:t>Batch 1805000317</w:t>
            </w:r>
          </w:p>
          <w:p w14:paraId="51764BD7" w14:textId="77777777" w:rsidR="000228FA" w:rsidRPr="00A411E7" w:rsidRDefault="000228FA" w:rsidP="00FF3977">
            <w:pPr>
              <w:rPr>
                <w:rFonts w:eastAsia="Calibri"/>
              </w:rPr>
            </w:pPr>
            <w:r>
              <w:rPr>
                <w:color w:val="000000"/>
              </w:rPr>
              <w:t xml:space="preserve">Test item: </w:t>
            </w:r>
            <w:r w:rsidRPr="00494046">
              <w:rPr>
                <w:color w:val="000000"/>
              </w:rPr>
              <w:t>218284-V1</w:t>
            </w:r>
          </w:p>
        </w:tc>
        <w:tc>
          <w:tcPr>
            <w:tcW w:w="1711" w:type="pct"/>
            <w:vAlign w:val="center"/>
          </w:tcPr>
          <w:p w14:paraId="424862ED" w14:textId="77777777" w:rsidR="000228FA" w:rsidRPr="00A411E7" w:rsidRDefault="000228FA" w:rsidP="00FF3977">
            <w:pPr>
              <w:rPr>
                <w:rFonts w:eastAsia="Calibri"/>
              </w:rPr>
            </w:pPr>
            <w:r>
              <w:t xml:space="preserve"> Taking into account the results obtained at 20.0 °C and 40.0 °C, the test item was considered to have newtonian properties in the experimental conditions used. The mean dynamic viscosity of the test item was 2.28 mPa.s at 20.0 °C ± 0.2 °C and 1.48 mPa.s at 40.0 °C ± 0.2 °C.</w:t>
            </w:r>
          </w:p>
        </w:tc>
        <w:tc>
          <w:tcPr>
            <w:tcW w:w="447" w:type="pct"/>
            <w:vAlign w:val="center"/>
          </w:tcPr>
          <w:p w14:paraId="6E08068C" w14:textId="77777777" w:rsidR="000228FA" w:rsidRPr="00A411E7" w:rsidRDefault="000228FA" w:rsidP="00FF3977">
            <w:pPr>
              <w:rPr>
                <w:rFonts w:eastAsia="Calibri"/>
              </w:rPr>
            </w:pPr>
            <w:r>
              <w:rPr>
                <w:color w:val="000000"/>
              </w:rPr>
              <w:t>Demangel B., 2019, Report No 18-901011-044</w:t>
            </w:r>
          </w:p>
        </w:tc>
        <w:tc>
          <w:tcPr>
            <w:tcW w:w="478" w:type="pct"/>
          </w:tcPr>
          <w:p w14:paraId="44F00AA4" w14:textId="77777777" w:rsidR="000228FA" w:rsidRDefault="000228FA" w:rsidP="00FF3977">
            <w:pPr>
              <w:rPr>
                <w:color w:val="000000"/>
              </w:rPr>
            </w:pPr>
            <w:r>
              <w:rPr>
                <w:color w:val="000000"/>
              </w:rPr>
              <w:t>Acceptable</w:t>
            </w:r>
          </w:p>
        </w:tc>
      </w:tr>
    </w:tbl>
    <w:p w14:paraId="35A91696" w14:textId="62CAB6A4"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228FA" w:rsidRPr="00A411E7" w14:paraId="73C4BEAA"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5BA21321"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9</w:t>
            </w:r>
          </w:p>
        </w:tc>
      </w:tr>
      <w:tr w:rsidR="000228FA" w:rsidRPr="001D704F" w14:paraId="03A28615"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DD36C41" w14:textId="77777777" w:rsidR="000228FA" w:rsidRDefault="000228FA" w:rsidP="00FF3977">
            <w:pPr>
              <w:spacing w:line="276" w:lineRule="auto"/>
              <w:jc w:val="both"/>
              <w:rPr>
                <w:lang w:eastAsia="en-US"/>
              </w:rPr>
            </w:pPr>
            <w:r>
              <w:rPr>
                <w:lang w:eastAsia="en-US"/>
              </w:rPr>
              <w:t>The Meta-SPC 9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KHvyy47J","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HymnSxkq","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12ECD40E" w14:textId="77777777" w:rsidR="000228FA" w:rsidRDefault="000228FA" w:rsidP="00FF3977">
            <w:pPr>
              <w:spacing w:line="276" w:lineRule="auto"/>
              <w:jc w:val="both"/>
              <w:rPr>
                <w:lang w:eastAsia="en-US"/>
              </w:rPr>
            </w:pPr>
            <w:r>
              <w:rPr>
                <w:lang w:eastAsia="en-US"/>
              </w:rPr>
              <w:t xml:space="preserve">The appearance of the product is an </w:t>
            </w:r>
            <w:r>
              <w:t>homogeneous slightly yellow liquid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these commercial packagings in </w:t>
            </w:r>
            <w:r w:rsidRPr="004E0EF7">
              <w:rPr>
                <w:lang w:eastAsia="en-US"/>
              </w:rPr>
              <w:t>HDPE</w:t>
            </w:r>
            <w:r>
              <w:rPr>
                <w:lang w:eastAsia="en-US"/>
              </w:rPr>
              <w:t xml:space="preserve">, PET, COEXTRUDE (HDPE/PA). The long term storage stability study is on-going and </w:t>
            </w:r>
            <w:r>
              <w:t>should be provided in post-authorisation.</w:t>
            </w:r>
          </w:p>
          <w:p w14:paraId="228FD9C8" w14:textId="77777777" w:rsidR="000228FA" w:rsidRPr="001D704F" w:rsidRDefault="000228FA" w:rsidP="00FF3977">
            <w:pPr>
              <w:spacing w:line="260" w:lineRule="atLeast"/>
              <w:rPr>
                <w:rFonts w:eastAsia="Calibri"/>
                <w:color w:val="FF0000"/>
                <w:lang w:val="en-US" w:eastAsia="en-US"/>
              </w:rPr>
            </w:pPr>
            <w:r>
              <w:rPr>
                <w:lang w:eastAsia="en-US"/>
              </w:rPr>
              <w:t>Its technical characteristics are acceptable for an AL formulation.</w:t>
            </w:r>
          </w:p>
        </w:tc>
      </w:tr>
    </w:tbl>
    <w:p w14:paraId="15CDA798" w14:textId="393DCC5D" w:rsidR="000228FA" w:rsidRDefault="000228FA">
      <w:pPr>
        <w:spacing w:line="260" w:lineRule="atLeast"/>
        <w:ind w:left="360"/>
        <w:contextualSpacing/>
        <w:rPr>
          <w:rFonts w:eastAsia="Calibri"/>
          <w:lang w:val="en-US"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1362"/>
        <w:gridCol w:w="1279"/>
        <w:gridCol w:w="5064"/>
        <w:gridCol w:w="1154"/>
        <w:gridCol w:w="1322"/>
      </w:tblGrid>
      <w:tr w:rsidR="000228FA" w:rsidRPr="00C97335" w14:paraId="62B8858C" w14:textId="77777777" w:rsidTr="00FF3977">
        <w:trPr>
          <w:tblHeader/>
        </w:trPr>
        <w:tc>
          <w:tcPr>
            <w:tcW w:w="0" w:type="auto"/>
            <w:gridSpan w:val="5"/>
            <w:shd w:val="clear" w:color="auto" w:fill="E0E0E0"/>
            <w:vAlign w:val="center"/>
          </w:tcPr>
          <w:p w14:paraId="3E849660" w14:textId="77777777" w:rsidR="000228FA" w:rsidRPr="007A4DA8" w:rsidRDefault="000228FA" w:rsidP="00FF3977">
            <w:pPr>
              <w:spacing w:line="260" w:lineRule="atLeast"/>
              <w:rPr>
                <w:rFonts w:eastAsia="Calibri"/>
                <w:b/>
                <w:lang w:val="fr-FR" w:eastAsia="en-US"/>
              </w:rPr>
            </w:pPr>
            <w:r w:rsidRPr="007A4DA8">
              <w:rPr>
                <w:rFonts w:eastAsia="Calibri"/>
                <w:b/>
                <w:lang w:val="fr-FR" w:eastAsia="en-US"/>
              </w:rPr>
              <w:lastRenderedPageBreak/>
              <w:t>Meta-SPC 10 (ME - dilution concentrations: 6% v/v – 8% v/v)</w:t>
            </w:r>
          </w:p>
        </w:tc>
        <w:tc>
          <w:tcPr>
            <w:tcW w:w="0" w:type="auto"/>
            <w:shd w:val="clear" w:color="auto" w:fill="E0E0E0"/>
          </w:tcPr>
          <w:p w14:paraId="7F89C0DB" w14:textId="77777777" w:rsidR="000228FA" w:rsidRPr="007A4DA8" w:rsidRDefault="000228FA" w:rsidP="00FF3977">
            <w:pPr>
              <w:spacing w:line="260" w:lineRule="atLeast"/>
              <w:rPr>
                <w:rFonts w:eastAsia="Calibri"/>
                <w:b/>
                <w:lang w:val="fr-FR" w:eastAsia="en-US"/>
              </w:rPr>
            </w:pPr>
          </w:p>
        </w:tc>
      </w:tr>
      <w:tr w:rsidR="000228FA" w:rsidRPr="00305B11" w14:paraId="3CE08524" w14:textId="77777777" w:rsidTr="00FF3977">
        <w:trPr>
          <w:tblHeader/>
        </w:trPr>
        <w:tc>
          <w:tcPr>
            <w:tcW w:w="0" w:type="auto"/>
            <w:shd w:val="clear" w:color="auto" w:fill="E0E0E0"/>
            <w:vAlign w:val="center"/>
          </w:tcPr>
          <w:p w14:paraId="5BE82C97"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0" w:type="auto"/>
            <w:shd w:val="clear" w:color="auto" w:fill="E0E0E0"/>
            <w:vAlign w:val="center"/>
          </w:tcPr>
          <w:p w14:paraId="750389CC"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0" w:type="auto"/>
            <w:shd w:val="clear" w:color="auto" w:fill="E0E0E0"/>
            <w:vAlign w:val="center"/>
          </w:tcPr>
          <w:p w14:paraId="23CA5B5C"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0" w:type="auto"/>
            <w:shd w:val="clear" w:color="auto" w:fill="E0E0E0"/>
            <w:vAlign w:val="center"/>
          </w:tcPr>
          <w:p w14:paraId="251FA2D4"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0" w:type="auto"/>
            <w:shd w:val="clear" w:color="auto" w:fill="E0E0E0"/>
            <w:vAlign w:val="center"/>
          </w:tcPr>
          <w:p w14:paraId="49B660A7"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0" w:type="auto"/>
            <w:shd w:val="clear" w:color="auto" w:fill="E0E0E0"/>
          </w:tcPr>
          <w:p w14:paraId="74A6C500" w14:textId="77777777" w:rsidR="000228FA" w:rsidRPr="00305B11" w:rsidRDefault="000228FA" w:rsidP="00FF3977">
            <w:pPr>
              <w:spacing w:line="260" w:lineRule="atLeast"/>
              <w:rPr>
                <w:rFonts w:eastAsia="Calibri"/>
                <w:b/>
                <w:lang w:eastAsia="en-US"/>
              </w:rPr>
            </w:pPr>
            <w:r>
              <w:rPr>
                <w:rFonts w:eastAsia="Calibri"/>
                <w:b/>
                <w:lang w:eastAsia="en-US"/>
              </w:rPr>
              <w:t>FR evalutaion</w:t>
            </w:r>
          </w:p>
        </w:tc>
      </w:tr>
      <w:tr w:rsidR="000228FA" w14:paraId="4331A1E4" w14:textId="77777777" w:rsidTr="00FF3977">
        <w:tc>
          <w:tcPr>
            <w:tcW w:w="0" w:type="auto"/>
          </w:tcPr>
          <w:p w14:paraId="0C607E8A" w14:textId="77777777" w:rsidR="000228FA" w:rsidRPr="00017CF8" w:rsidRDefault="000228FA" w:rsidP="00FF3977">
            <w:pPr>
              <w:rPr>
                <w:rFonts w:eastAsia="Calibri"/>
              </w:rPr>
            </w:pPr>
            <w:r w:rsidRPr="00017CF8">
              <w:rPr>
                <w:rFonts w:eastAsia="Calibri"/>
              </w:rPr>
              <w:t>Physical state</w:t>
            </w:r>
            <w:r>
              <w:rPr>
                <w:rFonts w:eastAsia="Calibri"/>
              </w:rPr>
              <w:t>/colour/odour</w:t>
            </w:r>
            <w:r w:rsidRPr="00017CF8">
              <w:rPr>
                <w:rFonts w:eastAsia="Calibri"/>
              </w:rPr>
              <w:t xml:space="preserve"> at 20 °C and 101.3 kPa</w:t>
            </w:r>
          </w:p>
        </w:tc>
        <w:tc>
          <w:tcPr>
            <w:tcW w:w="0" w:type="auto"/>
            <w:vAlign w:val="center"/>
          </w:tcPr>
          <w:p w14:paraId="6CE31A0B" w14:textId="77777777" w:rsidR="000228FA" w:rsidRPr="00017CF8" w:rsidRDefault="000228FA" w:rsidP="00FF3977">
            <w:pPr>
              <w:rPr>
                <w:rFonts w:eastAsia="Calibri"/>
              </w:rPr>
            </w:pPr>
            <w:r>
              <w:rPr>
                <w:color w:val="000000"/>
              </w:rPr>
              <w:t xml:space="preserve"> -</w:t>
            </w:r>
          </w:p>
        </w:tc>
        <w:tc>
          <w:tcPr>
            <w:tcW w:w="0" w:type="auto"/>
            <w:vAlign w:val="center"/>
          </w:tcPr>
          <w:p w14:paraId="5F6B14C0" w14:textId="77777777" w:rsidR="000228FA" w:rsidRDefault="000228FA" w:rsidP="00FF3977">
            <w:pPr>
              <w:rPr>
                <w:color w:val="000000"/>
              </w:rPr>
            </w:pPr>
            <w:r>
              <w:rPr>
                <w:color w:val="000000"/>
              </w:rPr>
              <w:t>Batch 1805000317</w:t>
            </w:r>
          </w:p>
          <w:p w14:paraId="2A07F43A" w14:textId="77777777" w:rsidR="000228FA" w:rsidRPr="00017CF8"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0E310CD2" w14:textId="77777777" w:rsidR="000228FA" w:rsidRPr="00017CF8" w:rsidRDefault="000228FA" w:rsidP="00FF3977">
            <w:pPr>
              <w:rPr>
                <w:rFonts w:eastAsia="Calibri"/>
              </w:rPr>
            </w:pPr>
            <w:r>
              <w:rPr>
                <w:color w:val="000000"/>
              </w:rPr>
              <w:t>The appearance of the test item was homogeneous yellow limpid liquid with a characteristic odour.</w:t>
            </w:r>
          </w:p>
        </w:tc>
        <w:tc>
          <w:tcPr>
            <w:tcW w:w="0" w:type="auto"/>
            <w:vAlign w:val="center"/>
          </w:tcPr>
          <w:p w14:paraId="0AC58D2A" w14:textId="77777777" w:rsidR="000228FA" w:rsidRPr="00017CF8" w:rsidRDefault="000228FA" w:rsidP="00FF3977">
            <w:pPr>
              <w:rPr>
                <w:rFonts w:eastAsia="Calibri"/>
              </w:rPr>
            </w:pPr>
            <w:r>
              <w:rPr>
                <w:color w:val="000000"/>
              </w:rPr>
              <w:t>Demangel B. and Ricau H., 2019, Report No 18-901011-051</w:t>
            </w:r>
          </w:p>
        </w:tc>
        <w:tc>
          <w:tcPr>
            <w:tcW w:w="0" w:type="auto"/>
          </w:tcPr>
          <w:p w14:paraId="57C53290" w14:textId="77777777" w:rsidR="000228FA" w:rsidRDefault="000228FA" w:rsidP="00FF3977">
            <w:pPr>
              <w:rPr>
                <w:color w:val="000000"/>
              </w:rPr>
            </w:pPr>
            <w:r>
              <w:rPr>
                <w:color w:val="000000"/>
              </w:rPr>
              <w:t>Acceptable</w:t>
            </w:r>
          </w:p>
        </w:tc>
      </w:tr>
      <w:tr w:rsidR="000228FA" w14:paraId="1399BD69" w14:textId="77777777" w:rsidTr="00FF3977">
        <w:tc>
          <w:tcPr>
            <w:tcW w:w="0" w:type="auto"/>
          </w:tcPr>
          <w:p w14:paraId="621C9107" w14:textId="77777777" w:rsidR="000228FA" w:rsidRPr="00A411E7" w:rsidRDefault="000228FA" w:rsidP="00FF3977">
            <w:pPr>
              <w:rPr>
                <w:rFonts w:eastAsia="Calibri"/>
              </w:rPr>
            </w:pPr>
            <w:r w:rsidRPr="00A411E7">
              <w:rPr>
                <w:rFonts w:eastAsia="Calibri"/>
              </w:rPr>
              <w:t>Acidity / alkalinity</w:t>
            </w:r>
          </w:p>
        </w:tc>
        <w:tc>
          <w:tcPr>
            <w:tcW w:w="0" w:type="auto"/>
            <w:vAlign w:val="center"/>
          </w:tcPr>
          <w:p w14:paraId="7CF49447" w14:textId="77777777" w:rsidR="000228FA" w:rsidRPr="00A411E7" w:rsidRDefault="000228FA" w:rsidP="00FF3977">
            <w:pPr>
              <w:rPr>
                <w:rFonts w:eastAsia="Calibri"/>
              </w:rPr>
            </w:pPr>
            <w:r>
              <w:rPr>
                <w:color w:val="000000"/>
              </w:rPr>
              <w:t>CIPAC Handbook L - MT 191 method (2006)</w:t>
            </w:r>
          </w:p>
        </w:tc>
        <w:tc>
          <w:tcPr>
            <w:tcW w:w="0" w:type="auto"/>
            <w:vAlign w:val="center"/>
          </w:tcPr>
          <w:p w14:paraId="4DE966B9" w14:textId="77777777" w:rsidR="000228FA" w:rsidRDefault="000228FA" w:rsidP="00FF3977">
            <w:pPr>
              <w:rPr>
                <w:color w:val="000000"/>
              </w:rPr>
            </w:pPr>
            <w:r>
              <w:rPr>
                <w:color w:val="000000"/>
              </w:rPr>
              <w:t>Batch 1805000317</w:t>
            </w:r>
          </w:p>
          <w:p w14:paraId="0E1695A9"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13782EB1" w14:textId="77777777" w:rsidR="000228FA" w:rsidRPr="00A411E7" w:rsidRDefault="000228FA" w:rsidP="00FF3977">
            <w:pPr>
              <w:rPr>
                <w:rFonts w:eastAsia="Calibri"/>
              </w:rPr>
            </w:pPr>
            <w:r>
              <w:t>Before the accelerated storage procedure, the mean value of the test item acidity was 3.98% w/w. After the accelerated storage procedure, the mean value of the test item acidity was 4.24% w/w.</w:t>
            </w:r>
            <w:r>
              <w:br/>
              <w:t>After the low temperature stability, the mean value of the test item acidity was 4.03% w/w.</w:t>
            </w:r>
          </w:p>
        </w:tc>
        <w:tc>
          <w:tcPr>
            <w:tcW w:w="0" w:type="auto"/>
            <w:vAlign w:val="center"/>
          </w:tcPr>
          <w:p w14:paraId="04A3FBEB" w14:textId="77777777" w:rsidR="000228FA" w:rsidRPr="00A411E7" w:rsidRDefault="000228FA" w:rsidP="00FF3977">
            <w:pPr>
              <w:rPr>
                <w:rFonts w:eastAsia="Calibri"/>
              </w:rPr>
            </w:pPr>
            <w:r>
              <w:t>Demangel B. and Ricau H., 2019, Report No 18-901011-051</w:t>
            </w:r>
            <w:r>
              <w:br/>
            </w:r>
            <w:r>
              <w:br/>
              <w:t>Demangel B., 2019, Report No 18-901011-050</w:t>
            </w:r>
          </w:p>
        </w:tc>
        <w:tc>
          <w:tcPr>
            <w:tcW w:w="0" w:type="auto"/>
          </w:tcPr>
          <w:p w14:paraId="22042204" w14:textId="77777777" w:rsidR="000228FA" w:rsidRDefault="000228FA" w:rsidP="00FF3977">
            <w:r>
              <w:rPr>
                <w:color w:val="000000"/>
              </w:rPr>
              <w:t>Acceptable</w:t>
            </w:r>
          </w:p>
        </w:tc>
      </w:tr>
      <w:tr w:rsidR="000228FA" w14:paraId="5D8FC595" w14:textId="77777777" w:rsidTr="00FF3977">
        <w:tc>
          <w:tcPr>
            <w:tcW w:w="0" w:type="auto"/>
          </w:tcPr>
          <w:p w14:paraId="0C042357" w14:textId="77777777" w:rsidR="000228FA" w:rsidRPr="00A411E7" w:rsidRDefault="000228FA" w:rsidP="00FF3977">
            <w:pPr>
              <w:rPr>
                <w:rFonts w:eastAsia="Calibri"/>
              </w:rPr>
            </w:pPr>
            <w:r>
              <w:rPr>
                <w:rFonts w:eastAsia="Calibri"/>
              </w:rPr>
              <w:t>pH value</w:t>
            </w:r>
          </w:p>
        </w:tc>
        <w:tc>
          <w:tcPr>
            <w:tcW w:w="0" w:type="auto"/>
            <w:vAlign w:val="center"/>
          </w:tcPr>
          <w:p w14:paraId="15CC6AF1" w14:textId="77777777" w:rsidR="000228FA" w:rsidRDefault="000228FA" w:rsidP="00FF3977">
            <w:pPr>
              <w:rPr>
                <w:color w:val="000000"/>
              </w:rPr>
            </w:pPr>
            <w:r>
              <w:rPr>
                <w:color w:val="000000"/>
              </w:rPr>
              <w:t>CIPAC MT 75.3</w:t>
            </w:r>
          </w:p>
        </w:tc>
        <w:tc>
          <w:tcPr>
            <w:tcW w:w="0" w:type="auto"/>
            <w:vAlign w:val="center"/>
          </w:tcPr>
          <w:p w14:paraId="5E2F6B14" w14:textId="77777777" w:rsidR="000228FA" w:rsidRDefault="000228FA" w:rsidP="00FF3977">
            <w:pPr>
              <w:rPr>
                <w:color w:val="000000"/>
              </w:rPr>
            </w:pPr>
            <w:r>
              <w:rPr>
                <w:color w:val="000000"/>
              </w:rPr>
              <w:t>Batch 1805000317</w:t>
            </w:r>
          </w:p>
          <w:p w14:paraId="5C2BBBB3" w14:textId="77777777" w:rsidR="000228FA" w:rsidRDefault="000228FA" w:rsidP="00FF3977">
            <w:pPr>
              <w:rPr>
                <w:color w:val="000000"/>
              </w:rPr>
            </w:pPr>
            <w:r>
              <w:rPr>
                <w:rFonts w:eastAsia="Calibri"/>
              </w:rPr>
              <w:t xml:space="preserve">Test  item: </w:t>
            </w:r>
            <w:r w:rsidRPr="00175754">
              <w:rPr>
                <w:rFonts w:eastAsia="Calibri"/>
              </w:rPr>
              <w:t>218291-V1</w:t>
            </w:r>
          </w:p>
        </w:tc>
        <w:tc>
          <w:tcPr>
            <w:tcW w:w="0" w:type="auto"/>
            <w:vAlign w:val="center"/>
          </w:tcPr>
          <w:p w14:paraId="14CCAF47" w14:textId="77777777" w:rsidR="000228FA" w:rsidRDefault="000228FA" w:rsidP="00FF3977">
            <w:pPr>
              <w:rPr>
                <w:color w:val="000000"/>
              </w:rPr>
            </w:pPr>
            <w:r>
              <w:rPr>
                <w:color w:val="000000"/>
              </w:rPr>
              <w:t>Before accelerated storage: pH=2.26 at 19.3°C</w:t>
            </w:r>
          </w:p>
          <w:p w14:paraId="0B6CE3D4" w14:textId="77777777" w:rsidR="000228FA" w:rsidRDefault="000228FA" w:rsidP="00FF3977">
            <w:r>
              <w:rPr>
                <w:color w:val="000000"/>
              </w:rPr>
              <w:t>After accelerated storage: pH=2.4 at 19.7°C</w:t>
            </w:r>
          </w:p>
        </w:tc>
        <w:tc>
          <w:tcPr>
            <w:tcW w:w="0" w:type="auto"/>
            <w:vAlign w:val="center"/>
          </w:tcPr>
          <w:p w14:paraId="6B6CF5DC" w14:textId="77777777" w:rsidR="000228FA" w:rsidRDefault="000228FA" w:rsidP="00FF3977">
            <w:r>
              <w:rPr>
                <w:color w:val="000000"/>
              </w:rPr>
              <w:t>Demangel B. and Ricau H., 2019, Report No 18-</w:t>
            </w:r>
            <w:r>
              <w:rPr>
                <w:color w:val="000000"/>
              </w:rPr>
              <w:lastRenderedPageBreak/>
              <w:t>901011-051</w:t>
            </w:r>
          </w:p>
        </w:tc>
        <w:tc>
          <w:tcPr>
            <w:tcW w:w="0" w:type="auto"/>
          </w:tcPr>
          <w:p w14:paraId="4E20DB74" w14:textId="77777777" w:rsidR="000228FA" w:rsidRDefault="000228FA" w:rsidP="00FF3977">
            <w:pPr>
              <w:rPr>
                <w:color w:val="000000"/>
              </w:rPr>
            </w:pPr>
            <w:r>
              <w:rPr>
                <w:color w:val="000000"/>
              </w:rPr>
              <w:lastRenderedPageBreak/>
              <w:t>Acceptable</w:t>
            </w:r>
          </w:p>
        </w:tc>
      </w:tr>
      <w:tr w:rsidR="000228FA" w14:paraId="7D45D5BE" w14:textId="77777777" w:rsidTr="00FF3977">
        <w:tc>
          <w:tcPr>
            <w:tcW w:w="0" w:type="auto"/>
            <w:tcBorders>
              <w:top w:val="single" w:sz="4" w:space="0" w:color="auto"/>
              <w:left w:val="single" w:sz="4" w:space="0" w:color="auto"/>
              <w:bottom w:val="single" w:sz="4" w:space="0" w:color="auto"/>
              <w:right w:val="single" w:sz="4" w:space="0" w:color="auto"/>
            </w:tcBorders>
          </w:tcPr>
          <w:p w14:paraId="6F9BDA2A" w14:textId="77777777" w:rsidR="000228FA" w:rsidRPr="00A411E7" w:rsidRDefault="000228FA" w:rsidP="00FF3977">
            <w:pPr>
              <w:rPr>
                <w:rFonts w:eastAsia="Calibri"/>
              </w:rPr>
            </w:pPr>
            <w:r w:rsidRPr="00A411E7">
              <w:rPr>
                <w:rFonts w:eastAsia="Calibri"/>
              </w:rPr>
              <w:t>Relative density / bulk density</w:t>
            </w:r>
          </w:p>
        </w:tc>
        <w:tc>
          <w:tcPr>
            <w:tcW w:w="0" w:type="auto"/>
            <w:tcBorders>
              <w:top w:val="single" w:sz="4" w:space="0" w:color="auto"/>
              <w:left w:val="single" w:sz="4" w:space="0" w:color="auto"/>
              <w:bottom w:val="single" w:sz="4" w:space="0" w:color="auto"/>
              <w:right w:val="single" w:sz="4" w:space="0" w:color="auto"/>
            </w:tcBorders>
            <w:vAlign w:val="center"/>
          </w:tcPr>
          <w:p w14:paraId="490D72D2" w14:textId="77777777" w:rsidR="000228FA" w:rsidRPr="00A411E7" w:rsidRDefault="000228FA" w:rsidP="00FF3977">
            <w:pPr>
              <w:rPr>
                <w:rFonts w:eastAsia="Calibri"/>
              </w:rPr>
            </w:pPr>
            <w:r>
              <w:rPr>
                <w:color w:val="000000"/>
              </w:rPr>
              <w:t>EC A.3. method (2008) and OECD Guideline No. 109 (2012)</w:t>
            </w:r>
          </w:p>
        </w:tc>
        <w:tc>
          <w:tcPr>
            <w:tcW w:w="0" w:type="auto"/>
            <w:tcBorders>
              <w:top w:val="single" w:sz="4" w:space="0" w:color="auto"/>
              <w:left w:val="single" w:sz="4" w:space="0" w:color="auto"/>
              <w:bottom w:val="single" w:sz="4" w:space="0" w:color="auto"/>
              <w:right w:val="single" w:sz="4" w:space="0" w:color="auto"/>
            </w:tcBorders>
            <w:vAlign w:val="center"/>
          </w:tcPr>
          <w:p w14:paraId="23FABBFB" w14:textId="77777777" w:rsidR="000228FA" w:rsidRDefault="000228FA" w:rsidP="00FF3977">
            <w:pPr>
              <w:rPr>
                <w:color w:val="000000"/>
              </w:rPr>
            </w:pPr>
            <w:r>
              <w:rPr>
                <w:color w:val="000000"/>
              </w:rPr>
              <w:t>Batch 1805000317</w:t>
            </w:r>
          </w:p>
          <w:p w14:paraId="650A4FEB"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tcBorders>
              <w:top w:val="single" w:sz="4" w:space="0" w:color="auto"/>
              <w:left w:val="single" w:sz="4" w:space="0" w:color="auto"/>
              <w:bottom w:val="single" w:sz="4" w:space="0" w:color="auto"/>
              <w:right w:val="single" w:sz="4" w:space="0" w:color="auto"/>
            </w:tcBorders>
            <w:vAlign w:val="center"/>
          </w:tcPr>
          <w:p w14:paraId="57A8CC00" w14:textId="77777777" w:rsidR="000228FA" w:rsidRPr="00A411E7" w:rsidRDefault="000228FA" w:rsidP="00FF3977">
            <w:pPr>
              <w:rPr>
                <w:rFonts w:eastAsia="Calibri"/>
              </w:rPr>
            </w:pPr>
            <w:r>
              <w:rPr>
                <w:color w:val="000000"/>
              </w:rPr>
              <w:t>The mean relative density of the test item was D204 = 1.030 ± 0.001 at 20.0 °C.</w:t>
            </w:r>
          </w:p>
        </w:tc>
        <w:tc>
          <w:tcPr>
            <w:tcW w:w="0" w:type="auto"/>
            <w:tcBorders>
              <w:top w:val="single" w:sz="4" w:space="0" w:color="auto"/>
              <w:left w:val="single" w:sz="4" w:space="0" w:color="auto"/>
              <w:bottom w:val="single" w:sz="4" w:space="0" w:color="auto"/>
              <w:right w:val="single" w:sz="4" w:space="0" w:color="auto"/>
            </w:tcBorders>
            <w:vAlign w:val="center"/>
          </w:tcPr>
          <w:p w14:paraId="01A70FD8" w14:textId="77777777" w:rsidR="000228FA" w:rsidRPr="00A411E7" w:rsidRDefault="000228FA" w:rsidP="00FF3977">
            <w:pPr>
              <w:rPr>
                <w:rFonts w:eastAsia="Calibri"/>
              </w:rPr>
            </w:pPr>
            <w:r>
              <w:rPr>
                <w:color w:val="000000"/>
              </w:rPr>
              <w:t>Demangel B., 2019, Report No 18-901011-049</w:t>
            </w:r>
          </w:p>
        </w:tc>
        <w:tc>
          <w:tcPr>
            <w:tcW w:w="0" w:type="auto"/>
            <w:tcBorders>
              <w:top w:val="single" w:sz="4" w:space="0" w:color="auto"/>
              <w:left w:val="single" w:sz="4" w:space="0" w:color="auto"/>
              <w:bottom w:val="single" w:sz="4" w:space="0" w:color="auto"/>
              <w:right w:val="single" w:sz="4" w:space="0" w:color="auto"/>
            </w:tcBorders>
          </w:tcPr>
          <w:p w14:paraId="01177DE8" w14:textId="77777777" w:rsidR="000228FA" w:rsidRDefault="000228FA" w:rsidP="00FF3977">
            <w:pPr>
              <w:rPr>
                <w:color w:val="000000"/>
              </w:rPr>
            </w:pPr>
            <w:r>
              <w:rPr>
                <w:color w:val="000000"/>
              </w:rPr>
              <w:t>Acceptable</w:t>
            </w:r>
          </w:p>
        </w:tc>
      </w:tr>
      <w:tr w:rsidR="000228FA" w14:paraId="3AF8D932" w14:textId="77777777" w:rsidTr="00FF3977">
        <w:tc>
          <w:tcPr>
            <w:tcW w:w="0" w:type="auto"/>
          </w:tcPr>
          <w:p w14:paraId="7B25C2A8"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0" w:type="auto"/>
            <w:vAlign w:val="center"/>
          </w:tcPr>
          <w:p w14:paraId="72A99672" w14:textId="77777777" w:rsidR="000228FA" w:rsidRDefault="000228FA" w:rsidP="00FF3977">
            <w:pPr>
              <w:rPr>
                <w:color w:val="FF0000"/>
              </w:rPr>
            </w:pPr>
            <w:r>
              <w:rPr>
                <w:color w:val="000000"/>
              </w:rPr>
              <w:t>CIPAC Handbook J - MT 46.3 method (2000)</w:t>
            </w:r>
            <w:r>
              <w:rPr>
                <w:color w:val="000000"/>
              </w:rPr>
              <w:br/>
            </w:r>
          </w:p>
          <w:p w14:paraId="6EFD9783" w14:textId="77777777" w:rsidR="000228FA" w:rsidRDefault="000228FA" w:rsidP="00FF3977">
            <w:pPr>
              <w:rPr>
                <w:color w:val="000000"/>
              </w:rPr>
            </w:pPr>
            <w:r>
              <w:rPr>
                <w:color w:val="000000"/>
              </w:rPr>
              <w:t>Content of AS:</w:t>
            </w:r>
          </w:p>
          <w:p w14:paraId="11AA5F6C" w14:textId="77777777" w:rsidR="000228FA" w:rsidRPr="003E6A10" w:rsidRDefault="000228FA" w:rsidP="00FF3977">
            <w:pPr>
              <w:rPr>
                <w:color w:val="000000"/>
                <w:lang w:val="en-US"/>
              </w:rPr>
            </w:pPr>
            <w:r>
              <w:rPr>
                <w:color w:val="000000"/>
              </w:rPr>
              <w:t xml:space="preserve">Validated method in studies </w:t>
            </w:r>
            <w:r w:rsidRPr="0026219A">
              <w:rPr>
                <w:color w:val="000000"/>
              </w:rPr>
              <w:t>No. 17-901011-001</w:t>
            </w:r>
            <w:r>
              <w:rPr>
                <w:color w:val="000000"/>
              </w:rPr>
              <w:t xml:space="preserve"> and No. 18-901011-054.</w:t>
            </w:r>
          </w:p>
          <w:p w14:paraId="501B7C30" w14:textId="77777777" w:rsidR="000228FA" w:rsidRDefault="000228FA" w:rsidP="00FF3977">
            <w:pPr>
              <w:rPr>
                <w:color w:val="FF0000"/>
              </w:rPr>
            </w:pPr>
          </w:p>
          <w:p w14:paraId="497821FE" w14:textId="77777777" w:rsidR="000228FA" w:rsidRPr="005B2C43" w:rsidRDefault="000228FA" w:rsidP="00FF3977">
            <w:r w:rsidRPr="005B2C43">
              <w:t>Content of Butyldiglycol:</w:t>
            </w:r>
          </w:p>
          <w:p w14:paraId="20BCDDF9" w14:textId="77777777" w:rsidR="000228FA" w:rsidRDefault="000228FA" w:rsidP="00FF3977">
            <w:pPr>
              <w:rPr>
                <w:color w:val="000000"/>
              </w:rPr>
            </w:pPr>
            <w:r w:rsidRPr="005B2C43">
              <w:lastRenderedPageBreak/>
              <w:t>Validated method in study</w:t>
            </w:r>
            <w:r>
              <w:rPr>
                <w:color w:val="000000"/>
              </w:rPr>
              <w:t xml:space="preserve"> </w:t>
            </w:r>
            <w:r w:rsidRPr="005C3F52">
              <w:rPr>
                <w:color w:val="000000"/>
              </w:rPr>
              <w:t>No. 18-901011-055</w:t>
            </w:r>
            <w:r>
              <w:rPr>
                <w:color w:val="000000"/>
              </w:rPr>
              <w:t>.</w:t>
            </w:r>
          </w:p>
          <w:p w14:paraId="089C64FD" w14:textId="77777777" w:rsidR="000228FA" w:rsidRPr="00A411E7" w:rsidRDefault="000228FA" w:rsidP="00FF3977">
            <w:pPr>
              <w:rPr>
                <w:rFonts w:eastAsia="Calibri"/>
              </w:rPr>
            </w:pPr>
            <w:r>
              <w:rPr>
                <w:color w:val="FF0000"/>
              </w:rPr>
              <w:br/>
            </w:r>
            <w:r>
              <w:t>pH : CIPAC Handbook J - MT 75.3 method (2000)</w:t>
            </w:r>
          </w:p>
        </w:tc>
        <w:tc>
          <w:tcPr>
            <w:tcW w:w="0" w:type="auto"/>
            <w:vAlign w:val="center"/>
          </w:tcPr>
          <w:p w14:paraId="72DAF4FB" w14:textId="77777777" w:rsidR="000228FA" w:rsidRDefault="000228FA" w:rsidP="00FF3977">
            <w:pPr>
              <w:rPr>
                <w:color w:val="000000"/>
              </w:rPr>
            </w:pPr>
            <w:r>
              <w:rPr>
                <w:color w:val="000000"/>
              </w:rPr>
              <w:lastRenderedPageBreak/>
              <w:t>Batch 1805000317</w:t>
            </w:r>
          </w:p>
          <w:p w14:paraId="54F52E6E"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5D030581" w14:textId="77777777" w:rsidR="000228FA" w:rsidRDefault="000228FA" w:rsidP="00FF3977">
            <w:pPr>
              <w:rPr>
                <w:color w:val="FF0000"/>
              </w:rPr>
            </w:pPr>
            <w:r>
              <w:t>Test item characteristics before and after the accelerated storage procedure was: homogeneous yellow limpid liquid with a characteristic odour.</w:t>
            </w:r>
            <w:r>
              <w:br/>
              <w:t xml:space="preserve">Packaging: White opaque HDPE flask. </w:t>
            </w:r>
            <w:r>
              <w:rPr>
                <w:color w:val="000000"/>
              </w:rPr>
              <w:t>(no sign of degradation or leak was observed)</w:t>
            </w:r>
            <w:r>
              <w:br/>
              <w:t>The appearance of the test item and the packaging material were considered to be stable after an accelerated storage procedure at 54 °C ± 2 °C for 14 days. No significant change of weight was observed (-0.2%).</w:t>
            </w:r>
            <w:r>
              <w:rPr>
                <w:color w:val="FF0000"/>
              </w:rPr>
              <w:br/>
            </w:r>
            <w:r>
              <w:rPr>
                <w:color w:val="FF0000"/>
              </w:rPr>
              <w:br/>
            </w:r>
            <w:r>
              <w:rPr>
                <w:b/>
                <w:bCs/>
              </w:rPr>
              <w:t>ANALYTICAL QUANTIFICATION OF THE ACTIVE SUBSTANCES</w:t>
            </w:r>
            <w:r>
              <w:br/>
            </w:r>
            <w:r w:rsidRPr="001D704F">
              <w:t>Content of AS</w:t>
            </w:r>
            <w:r>
              <w:t xml:space="preserve"> and SoC</w:t>
            </w:r>
            <w:r w:rsidRPr="001D704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66"/>
              <w:gridCol w:w="1246"/>
              <w:gridCol w:w="1246"/>
            </w:tblGrid>
            <w:tr w:rsidR="000228FA" w14:paraId="34E9C111" w14:textId="77777777" w:rsidTr="00FF3977">
              <w:tc>
                <w:tcPr>
                  <w:tcW w:w="33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F71402" w14:textId="77777777" w:rsidR="000228FA" w:rsidRDefault="000228FA" w:rsidP="00FF3977">
                  <w:pPr>
                    <w:jc w:val="center"/>
                  </w:pPr>
                  <w:r>
                    <w:t>Active substances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C76B04" w14:textId="77777777" w:rsidR="000228FA" w:rsidRDefault="000228FA" w:rsidP="00FF3977">
                  <w:pPr>
                    <w:jc w:val="center"/>
                  </w:pPr>
                  <w:r>
                    <w:t>Before the accelerated storage procedure</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49614D92" w14:textId="77777777" w:rsidR="000228FA" w:rsidRDefault="000228FA" w:rsidP="00FF3977">
                  <w:pPr>
                    <w:jc w:val="center"/>
                  </w:pPr>
                  <w:r>
                    <w:t>After the accelerated storage procedure</w:t>
                  </w:r>
                </w:p>
              </w:tc>
            </w:tr>
            <w:tr w:rsidR="000228FA" w14:paraId="240CB7D7"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079A7" w14:textId="77777777" w:rsidR="000228FA" w:rsidRDefault="000228FA" w:rsidP="00FF3977">
                  <w:r>
                    <w:lastRenderedPageBreak/>
                    <w:t>Lactic acid</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567B24A" w14:textId="77777777" w:rsidR="000228FA" w:rsidRDefault="000228FA"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62FAAAF" w14:textId="77777777" w:rsidR="000228FA" w:rsidRDefault="000228FA" w:rsidP="00FF3977">
                  <w:pPr>
                    <w:jc w:val="center"/>
                  </w:pPr>
                  <w:r>
                    <w:t>8.04</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6DB3C154" w14:textId="77777777" w:rsidR="000228FA" w:rsidRDefault="000228FA" w:rsidP="00FF3977">
                  <w:pPr>
                    <w:jc w:val="center"/>
                  </w:pPr>
                  <w:r>
                    <w:t>8.11</w:t>
                  </w:r>
                </w:p>
              </w:tc>
            </w:tr>
            <w:tr w:rsidR="000228FA" w14:paraId="24F85A95"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5848E" w14:textId="77777777" w:rsidR="000228FA" w:rsidRDefault="000228FA"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3EB0012" w14:textId="77777777" w:rsidR="000228FA" w:rsidRDefault="000228FA"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96E8D21" w14:textId="77777777" w:rsidR="000228FA" w:rsidRDefault="000228FA" w:rsidP="00FF3977">
                  <w:pPr>
                    <w:jc w:val="center"/>
                  </w:pPr>
                  <w:r>
                    <w:t>From the nominal value</w:t>
                  </w:r>
                </w:p>
                <w:p w14:paraId="3128F59E" w14:textId="77777777" w:rsidR="000228FA" w:rsidRDefault="000228FA" w:rsidP="00FF3977">
                  <w:pPr>
                    <w:jc w:val="center"/>
                  </w:pPr>
                  <w:r>
                    <w:t>+0.5</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0B6384F2" w14:textId="77777777" w:rsidR="000228FA" w:rsidRDefault="000228FA" w:rsidP="00FF3977">
                  <w:pPr>
                    <w:jc w:val="center"/>
                  </w:pPr>
                  <w:r>
                    <w:t>From the T = 0 value</w:t>
                  </w:r>
                </w:p>
                <w:p w14:paraId="03EFE387" w14:textId="77777777" w:rsidR="000228FA" w:rsidRDefault="000228FA" w:rsidP="00FF3977">
                  <w:pPr>
                    <w:jc w:val="center"/>
                  </w:pPr>
                  <w:r>
                    <w:t>+0.9</w:t>
                  </w:r>
                </w:p>
              </w:tc>
            </w:tr>
            <w:tr w:rsidR="000228FA" w14:paraId="7CF374CA"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B7C3DE" w14:textId="77777777" w:rsidR="000228FA" w:rsidRDefault="000228FA" w:rsidP="00FF3977">
                  <w:r>
                    <w:t>Butyldiglycol (SOC)</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2E20F44" w14:textId="77777777" w:rsidR="000228FA" w:rsidRDefault="000228FA"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5706199" w14:textId="77777777" w:rsidR="000228FA" w:rsidRDefault="000228FA" w:rsidP="00FF3977">
                  <w:pPr>
                    <w:jc w:val="center"/>
                  </w:pPr>
                  <w:r>
                    <w:t>5.50</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635CDF68" w14:textId="77777777" w:rsidR="000228FA" w:rsidRDefault="000228FA" w:rsidP="00FF3977">
                  <w:pPr>
                    <w:jc w:val="center"/>
                  </w:pPr>
                  <w:r>
                    <w:t>5.54</w:t>
                  </w:r>
                </w:p>
              </w:tc>
            </w:tr>
            <w:tr w:rsidR="000228FA" w14:paraId="49F47F20"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46BAF" w14:textId="77777777" w:rsidR="000228FA" w:rsidRDefault="000228FA"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A33ED9E" w14:textId="77777777" w:rsidR="000228FA" w:rsidRDefault="000228FA"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52FA675" w14:textId="77777777" w:rsidR="000228FA" w:rsidRDefault="000228FA" w:rsidP="00FF3977">
                  <w:pPr>
                    <w:jc w:val="center"/>
                  </w:pPr>
                  <w:r>
                    <w:t>From the nominal value</w:t>
                  </w:r>
                </w:p>
                <w:p w14:paraId="5011AB19" w14:textId="77777777" w:rsidR="000228FA" w:rsidRDefault="000228FA" w:rsidP="00FF3977">
                  <w:pPr>
                    <w:jc w:val="center"/>
                  </w:pPr>
                  <w:r>
                    <w:t>0.0</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50DDBAB1" w14:textId="77777777" w:rsidR="000228FA" w:rsidRDefault="000228FA" w:rsidP="00FF3977">
                  <w:pPr>
                    <w:jc w:val="center"/>
                  </w:pPr>
                  <w:r>
                    <w:t>From the T = 0 value</w:t>
                  </w:r>
                </w:p>
                <w:p w14:paraId="6550059F" w14:textId="77777777" w:rsidR="000228FA" w:rsidRDefault="000228FA" w:rsidP="00FF3977">
                  <w:pPr>
                    <w:jc w:val="center"/>
                  </w:pPr>
                  <w:r>
                    <w:t>+0.7</w:t>
                  </w:r>
                </w:p>
              </w:tc>
            </w:tr>
          </w:tbl>
          <w:p w14:paraId="43BDCAB6" w14:textId="77777777" w:rsidR="000228FA" w:rsidRDefault="000228FA" w:rsidP="00FF3977">
            <w:r>
              <w:rPr>
                <w:color w:val="FF0000"/>
              </w:rPr>
              <w:br/>
            </w:r>
            <w:r>
              <w:br/>
            </w:r>
            <w:r>
              <w:rPr>
                <w:b/>
                <w:bCs/>
              </w:rPr>
              <w:t>DETERMINATION OF pH VALUES</w:t>
            </w:r>
            <w:r>
              <w:br/>
              <w:t xml:space="preserve">Before the accelerated storage procedure, the mean pH value of the pure test item was: 2.26 at 19.3 °C after 1 min and 2.24 at 19.3 °C after 2 min. </w:t>
            </w:r>
            <w:r>
              <w:br/>
              <w:t>After the accelerated storage procedure, the mean pH value of the pure test item was: 2.40 at 19.7 °C after 1 min and 2.38 at 20.0 °C after 2 min.</w:t>
            </w:r>
          </w:p>
          <w:p w14:paraId="63168B05" w14:textId="77777777" w:rsidR="000228FA" w:rsidRDefault="000228FA" w:rsidP="00FF3977"/>
          <w:p w14:paraId="72E03606" w14:textId="77777777" w:rsidR="000228FA" w:rsidRDefault="000228FA" w:rsidP="00FF3977">
            <w:pPr>
              <w:rPr>
                <w:b/>
                <w:bCs/>
              </w:rPr>
            </w:pPr>
            <w:r>
              <w:rPr>
                <w:b/>
                <w:bCs/>
              </w:rPr>
              <w:t>DETERMINATION OF EMULSION CHARACTERISTICS</w:t>
            </w:r>
          </w:p>
          <w:p w14:paraId="1E858402" w14:textId="77777777" w:rsidR="000228FA" w:rsidRDefault="000228FA" w:rsidP="00FF3977">
            <w:pPr>
              <w:rPr>
                <w:b/>
                <w:bCs/>
              </w:rPr>
            </w:pPr>
          </w:p>
          <w:p w14:paraId="03261613" w14:textId="77777777" w:rsidR="000228FA" w:rsidRDefault="000228FA" w:rsidP="00FF3977">
            <w:r>
              <w:lastRenderedPageBreak/>
              <w:t>Before the accelerated storage procedure, the emulsions at 2% w/w and 10% w/w in standard waters A and D at 30 °C ± 2 °C were considered to be stable.</w:t>
            </w:r>
          </w:p>
          <w:p w14:paraId="6729861B" w14:textId="77777777" w:rsidR="000228FA" w:rsidRDefault="000228FA" w:rsidP="00FF3977"/>
          <w:p w14:paraId="3F0AA449" w14:textId="77777777" w:rsidR="000228FA" w:rsidRDefault="000228FA" w:rsidP="00FF3977">
            <w:r>
              <w:t>After the accelerated storage procedure, the emulsions at 2% w/w and 10% w/w in standard waters A and D at 30 °C ± 2 °C were considered to be stable (only 3mL of white cream or oily yellow phase noticed at 10% after 24h in water A and D)</w:t>
            </w:r>
          </w:p>
          <w:p w14:paraId="164D5346" w14:textId="77777777" w:rsidR="000228FA" w:rsidRPr="00A411E7" w:rsidRDefault="000228FA" w:rsidP="00FF3977">
            <w:pPr>
              <w:rPr>
                <w:rFonts w:eastAsia="Calibri"/>
              </w:rPr>
            </w:pPr>
          </w:p>
        </w:tc>
        <w:tc>
          <w:tcPr>
            <w:tcW w:w="0" w:type="auto"/>
            <w:vAlign w:val="center"/>
          </w:tcPr>
          <w:p w14:paraId="2F80543C" w14:textId="77777777" w:rsidR="000228FA" w:rsidRPr="00A411E7" w:rsidRDefault="000228FA" w:rsidP="00FF3977">
            <w:pPr>
              <w:rPr>
                <w:rFonts w:eastAsia="Calibri"/>
              </w:rPr>
            </w:pPr>
            <w:r>
              <w:rPr>
                <w:color w:val="000000"/>
              </w:rPr>
              <w:lastRenderedPageBreak/>
              <w:t>Demangel B. and Ricau H., 2019, Report No 18-901011-051</w:t>
            </w:r>
          </w:p>
        </w:tc>
        <w:tc>
          <w:tcPr>
            <w:tcW w:w="0" w:type="auto"/>
          </w:tcPr>
          <w:p w14:paraId="692C574A" w14:textId="77777777" w:rsidR="000228FA" w:rsidRDefault="000228FA" w:rsidP="00FF3977">
            <w:pPr>
              <w:rPr>
                <w:color w:val="000000"/>
              </w:rPr>
            </w:pPr>
            <w:r>
              <w:rPr>
                <w:color w:val="000000"/>
              </w:rPr>
              <w:t>Acceptable</w:t>
            </w:r>
          </w:p>
          <w:p w14:paraId="651D9563" w14:textId="77777777" w:rsidR="000228FA" w:rsidRDefault="000228FA" w:rsidP="00FF3977">
            <w:pPr>
              <w:rPr>
                <w:color w:val="000000"/>
              </w:rPr>
            </w:pPr>
            <w:r>
              <w:rPr>
                <w:color w:val="000000"/>
              </w:rPr>
              <w:t>The product is stable after 14 days at 54°C.</w:t>
            </w:r>
          </w:p>
        </w:tc>
      </w:tr>
      <w:tr w:rsidR="000228FA" w14:paraId="6F5CB23D" w14:textId="77777777" w:rsidTr="00FF3977">
        <w:tc>
          <w:tcPr>
            <w:tcW w:w="0" w:type="auto"/>
          </w:tcPr>
          <w:p w14:paraId="77B13205"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0" w:type="auto"/>
            <w:vAlign w:val="center"/>
          </w:tcPr>
          <w:p w14:paraId="63D8E85E" w14:textId="77777777" w:rsidR="000228FA" w:rsidRPr="00A12904" w:rsidRDefault="000228FA" w:rsidP="00FF3977">
            <w:pPr>
              <w:rPr>
                <w:color w:val="000000"/>
              </w:rPr>
            </w:pPr>
            <w:r>
              <w:rPr>
                <w:color w:val="000000"/>
              </w:rPr>
              <w:t> </w:t>
            </w:r>
            <w:r w:rsidRPr="00A12904">
              <w:rPr>
                <w:color w:val="000000"/>
              </w:rPr>
              <w:t>Technical</w:t>
            </w:r>
          </w:p>
          <w:p w14:paraId="13575669" w14:textId="77777777" w:rsidR="000228FA" w:rsidRPr="00A411E7" w:rsidRDefault="000228FA" w:rsidP="00FF3977">
            <w:pPr>
              <w:rPr>
                <w:rFonts w:eastAsia="Calibri"/>
              </w:rPr>
            </w:pPr>
            <w:r w:rsidRPr="00A12904">
              <w:rPr>
                <w:color w:val="000000"/>
              </w:rPr>
              <w:t>Monograph No. 17</w:t>
            </w:r>
          </w:p>
        </w:tc>
        <w:tc>
          <w:tcPr>
            <w:tcW w:w="0" w:type="auto"/>
            <w:vAlign w:val="center"/>
          </w:tcPr>
          <w:p w14:paraId="189AC214" w14:textId="77777777" w:rsidR="000228FA" w:rsidRPr="00A411E7" w:rsidRDefault="000228FA" w:rsidP="00FF3977">
            <w:pPr>
              <w:rPr>
                <w:rFonts w:eastAsia="Calibri"/>
              </w:rPr>
            </w:pPr>
            <w:r>
              <w:rPr>
                <w:color w:val="000000"/>
              </w:rPr>
              <w:t> </w:t>
            </w:r>
            <w:r>
              <w:rPr>
                <w:rFonts w:eastAsia="Calibri"/>
              </w:rPr>
              <w:t xml:space="preserve">Test  item: </w:t>
            </w:r>
            <w:r w:rsidRPr="00175754">
              <w:rPr>
                <w:rFonts w:eastAsia="Calibri"/>
              </w:rPr>
              <w:t>218291-V1</w:t>
            </w:r>
          </w:p>
        </w:tc>
        <w:tc>
          <w:tcPr>
            <w:tcW w:w="0" w:type="auto"/>
            <w:vAlign w:val="center"/>
          </w:tcPr>
          <w:p w14:paraId="04143B22"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0" w:type="auto"/>
            <w:vAlign w:val="center"/>
          </w:tcPr>
          <w:p w14:paraId="172D2DDE" w14:textId="77777777" w:rsidR="000228FA" w:rsidRPr="00A411E7" w:rsidRDefault="000228FA" w:rsidP="00FF3977">
            <w:pPr>
              <w:rPr>
                <w:rFonts w:eastAsia="Calibri"/>
              </w:rPr>
            </w:pPr>
            <w:r>
              <w:rPr>
                <w:color w:val="000000"/>
              </w:rPr>
              <w:t> Demangel B., 2018, Report No 18-901011-052</w:t>
            </w:r>
          </w:p>
        </w:tc>
        <w:tc>
          <w:tcPr>
            <w:tcW w:w="0" w:type="auto"/>
          </w:tcPr>
          <w:p w14:paraId="3B455F10" w14:textId="77777777" w:rsidR="000228FA" w:rsidRDefault="000228FA" w:rsidP="00FF3977">
            <w:pPr>
              <w:rPr>
                <w:color w:val="000000"/>
              </w:rPr>
            </w:pPr>
            <w:r>
              <w:rPr>
                <w:color w:val="000000"/>
              </w:rPr>
              <w:t>Study required in post-authorisation</w:t>
            </w:r>
          </w:p>
        </w:tc>
      </w:tr>
      <w:tr w:rsidR="000228FA" w14:paraId="535E7099" w14:textId="77777777" w:rsidTr="00FF3977">
        <w:tc>
          <w:tcPr>
            <w:tcW w:w="0" w:type="auto"/>
          </w:tcPr>
          <w:p w14:paraId="522ECEA9"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0" w:type="auto"/>
            <w:vAlign w:val="center"/>
          </w:tcPr>
          <w:p w14:paraId="68BB1703" w14:textId="77777777" w:rsidR="000228FA" w:rsidRPr="00A411E7" w:rsidRDefault="000228FA" w:rsidP="00FF3977">
            <w:pPr>
              <w:rPr>
                <w:rFonts w:eastAsia="Calibri"/>
              </w:rPr>
            </w:pPr>
            <w:r>
              <w:rPr>
                <w:color w:val="000000"/>
              </w:rPr>
              <w:t>CIPAC Handbook J - MT 39.3 method (2000)</w:t>
            </w:r>
            <w:r>
              <w:rPr>
                <w:color w:val="000000"/>
              </w:rPr>
              <w:br/>
            </w:r>
            <w:r>
              <w:rPr>
                <w:color w:val="000000"/>
              </w:rPr>
              <w:br/>
              <w:t>pH : CIPAC Handbook J - MT 75.3 method (2000)</w:t>
            </w:r>
          </w:p>
        </w:tc>
        <w:tc>
          <w:tcPr>
            <w:tcW w:w="0" w:type="auto"/>
            <w:vAlign w:val="center"/>
          </w:tcPr>
          <w:p w14:paraId="6C6EC453" w14:textId="77777777" w:rsidR="000228FA" w:rsidRDefault="000228FA" w:rsidP="00FF3977">
            <w:pPr>
              <w:rPr>
                <w:color w:val="000000"/>
              </w:rPr>
            </w:pPr>
            <w:r>
              <w:rPr>
                <w:color w:val="000000"/>
              </w:rPr>
              <w:t>Batch 1805000317</w:t>
            </w:r>
          </w:p>
          <w:p w14:paraId="706E961E"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5D81E160" w14:textId="77777777" w:rsidR="000228FA" w:rsidRPr="00A411E7" w:rsidRDefault="000228FA" w:rsidP="00FF3977">
            <w:pPr>
              <w:rPr>
                <w:rFonts w:eastAsia="Calibri"/>
              </w:rPr>
            </w:pPr>
            <w:r>
              <w:t>At the start of the test, the test item was a homogeneous yellow limpid liquid. The appearance of the test item was considered to be stable after a low temperature stability at 0 ± 2 °C for 7 days, no change was observed in the test item aspect.</w:t>
            </w:r>
            <w:r>
              <w:br/>
            </w:r>
            <w:r>
              <w:br/>
            </w:r>
            <w:r>
              <w:rPr>
                <w:b/>
                <w:bCs/>
              </w:rPr>
              <w:t>DETERMINATION OF pH VALUES</w:t>
            </w:r>
            <w:r>
              <w:br/>
              <w:t>After the low temperature stability, the mean pH value of the pure test item was: 2.34 at 20.8 °C after 1 min and 2.33 at 20.9 °C after 2 min.</w:t>
            </w:r>
          </w:p>
        </w:tc>
        <w:tc>
          <w:tcPr>
            <w:tcW w:w="0" w:type="auto"/>
            <w:vAlign w:val="center"/>
          </w:tcPr>
          <w:p w14:paraId="5AB0100B" w14:textId="77777777" w:rsidR="000228FA" w:rsidRPr="00A411E7" w:rsidRDefault="000228FA" w:rsidP="00FF3977">
            <w:pPr>
              <w:rPr>
                <w:rFonts w:eastAsia="Calibri"/>
              </w:rPr>
            </w:pPr>
            <w:r>
              <w:t>Demangel B., 2019, Report No 18-901011-05</w:t>
            </w:r>
          </w:p>
        </w:tc>
        <w:tc>
          <w:tcPr>
            <w:tcW w:w="0" w:type="auto"/>
          </w:tcPr>
          <w:p w14:paraId="2F644C9D" w14:textId="77777777" w:rsidR="000228FA" w:rsidRDefault="000228FA" w:rsidP="00FF3977">
            <w:pPr>
              <w:rPr>
                <w:color w:val="000000"/>
              </w:rPr>
            </w:pPr>
            <w:r>
              <w:rPr>
                <w:color w:val="000000"/>
              </w:rPr>
              <w:t>Acceptable</w:t>
            </w:r>
          </w:p>
          <w:p w14:paraId="35DBFBFA" w14:textId="77777777" w:rsidR="000228FA" w:rsidRDefault="000228FA" w:rsidP="00FF3977">
            <w:r>
              <w:rPr>
                <w:color w:val="000000"/>
              </w:rPr>
              <w:t>The product is stable after 7 days at 0°C.</w:t>
            </w:r>
          </w:p>
        </w:tc>
      </w:tr>
      <w:tr w:rsidR="000228FA" w14:paraId="504707BA" w14:textId="77777777" w:rsidTr="00FF3977">
        <w:tc>
          <w:tcPr>
            <w:tcW w:w="0" w:type="auto"/>
          </w:tcPr>
          <w:p w14:paraId="6912820F" w14:textId="77777777" w:rsidR="000228FA" w:rsidRPr="00A411E7" w:rsidRDefault="000228FA" w:rsidP="00FF3977">
            <w:pPr>
              <w:rPr>
                <w:rFonts w:eastAsia="Calibri"/>
                <w:lang w:eastAsia="en-US"/>
              </w:rPr>
            </w:pPr>
            <w:r w:rsidRPr="00A411E7">
              <w:rPr>
                <w:rFonts w:eastAsia="Calibri"/>
                <w:lang w:eastAsia="en-US"/>
              </w:rPr>
              <w:lastRenderedPageBreak/>
              <w:t xml:space="preserve">Effects on content of the active substance and technical characteristics of the biocidal product - </w:t>
            </w:r>
            <w:r w:rsidRPr="00A411E7">
              <w:rPr>
                <w:rFonts w:eastAsia="Calibri"/>
                <w:b/>
                <w:lang w:eastAsia="en-US"/>
              </w:rPr>
              <w:t>light</w:t>
            </w:r>
          </w:p>
        </w:tc>
        <w:tc>
          <w:tcPr>
            <w:tcW w:w="0" w:type="auto"/>
            <w:vAlign w:val="center"/>
          </w:tcPr>
          <w:p w14:paraId="0614698C" w14:textId="77777777" w:rsidR="000228FA" w:rsidRPr="00A411E7" w:rsidRDefault="000228FA" w:rsidP="00FF3977">
            <w:pPr>
              <w:spacing w:line="260" w:lineRule="atLeast"/>
              <w:rPr>
                <w:rFonts w:eastAsia="Calibri"/>
                <w:lang w:eastAsia="en-US"/>
              </w:rPr>
            </w:pPr>
            <w:r>
              <w:rPr>
                <w:color w:val="000000"/>
              </w:rPr>
              <w:t xml:space="preserve"> -</w:t>
            </w:r>
          </w:p>
        </w:tc>
        <w:tc>
          <w:tcPr>
            <w:tcW w:w="0" w:type="auto"/>
            <w:vAlign w:val="center"/>
          </w:tcPr>
          <w:p w14:paraId="5821C925" w14:textId="77777777" w:rsidR="000228FA" w:rsidRPr="00A411E7" w:rsidRDefault="000228FA" w:rsidP="00FF3977">
            <w:pPr>
              <w:spacing w:line="260" w:lineRule="atLeast"/>
              <w:rPr>
                <w:rFonts w:eastAsia="Calibri"/>
                <w:lang w:eastAsia="en-US"/>
              </w:rPr>
            </w:pPr>
            <w:r>
              <w:rPr>
                <w:color w:val="000000"/>
              </w:rPr>
              <w:t xml:space="preserve"> -</w:t>
            </w:r>
          </w:p>
        </w:tc>
        <w:tc>
          <w:tcPr>
            <w:tcW w:w="0" w:type="auto"/>
            <w:vAlign w:val="center"/>
          </w:tcPr>
          <w:p w14:paraId="232E6D81" w14:textId="77777777" w:rsidR="000228FA" w:rsidRPr="00A411E7" w:rsidRDefault="000228FA" w:rsidP="00FF3977">
            <w:pPr>
              <w:spacing w:line="260" w:lineRule="atLeast"/>
              <w:rPr>
                <w:rFonts w:eastAsia="Calibri"/>
                <w:lang w:eastAsia="en-US"/>
              </w:rPr>
            </w:pPr>
            <w:r>
              <w:rPr>
                <w:color w:val="000000"/>
              </w:rPr>
              <w:t xml:space="preserve">Not relevant as the biocidal product is packaged in opaque packaging (1L). </w:t>
            </w:r>
          </w:p>
        </w:tc>
        <w:tc>
          <w:tcPr>
            <w:tcW w:w="0" w:type="auto"/>
            <w:vAlign w:val="center"/>
          </w:tcPr>
          <w:p w14:paraId="472BB844" w14:textId="77777777" w:rsidR="000228FA" w:rsidRPr="00A411E7" w:rsidRDefault="000228FA" w:rsidP="00FF3977">
            <w:pPr>
              <w:spacing w:line="260" w:lineRule="atLeast"/>
              <w:rPr>
                <w:rFonts w:eastAsia="Calibri"/>
                <w:lang w:eastAsia="en-US"/>
              </w:rPr>
            </w:pPr>
            <w:r>
              <w:rPr>
                <w:color w:val="000000"/>
              </w:rPr>
              <w:t xml:space="preserve"> -</w:t>
            </w:r>
          </w:p>
        </w:tc>
        <w:tc>
          <w:tcPr>
            <w:tcW w:w="0" w:type="auto"/>
          </w:tcPr>
          <w:p w14:paraId="7348F0B3" w14:textId="77777777" w:rsidR="000228FA" w:rsidRDefault="000228FA" w:rsidP="00FF3977">
            <w:pPr>
              <w:spacing w:line="260" w:lineRule="atLeast"/>
              <w:rPr>
                <w:color w:val="000000"/>
              </w:rPr>
            </w:pPr>
            <w:r>
              <w:rPr>
                <w:color w:val="000000"/>
              </w:rPr>
              <w:t>Acceptable</w:t>
            </w:r>
          </w:p>
        </w:tc>
      </w:tr>
      <w:tr w:rsidR="000228FA" w14:paraId="7D03EDC9" w14:textId="77777777" w:rsidTr="00FF3977">
        <w:tc>
          <w:tcPr>
            <w:tcW w:w="0" w:type="auto"/>
          </w:tcPr>
          <w:p w14:paraId="5000386C"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0" w:type="auto"/>
            <w:vAlign w:val="center"/>
          </w:tcPr>
          <w:p w14:paraId="33815682" w14:textId="77777777" w:rsidR="000228FA" w:rsidRPr="00A411E7" w:rsidRDefault="000228FA" w:rsidP="00FF3977">
            <w:pPr>
              <w:rPr>
                <w:rFonts w:eastAsia="Calibri"/>
              </w:rPr>
            </w:pPr>
            <w:r>
              <w:rPr>
                <w:color w:val="000000"/>
              </w:rPr>
              <w:t xml:space="preserve"> -</w:t>
            </w:r>
          </w:p>
        </w:tc>
        <w:tc>
          <w:tcPr>
            <w:tcW w:w="0" w:type="auto"/>
            <w:vAlign w:val="center"/>
          </w:tcPr>
          <w:p w14:paraId="03E099D0" w14:textId="77777777" w:rsidR="000228FA" w:rsidRPr="00A411E7" w:rsidRDefault="000228FA" w:rsidP="00FF3977">
            <w:pPr>
              <w:rPr>
                <w:rFonts w:eastAsia="Calibri"/>
              </w:rPr>
            </w:pPr>
            <w:r>
              <w:rPr>
                <w:color w:val="000000"/>
              </w:rPr>
              <w:t xml:space="preserve"> -</w:t>
            </w:r>
          </w:p>
        </w:tc>
        <w:tc>
          <w:tcPr>
            <w:tcW w:w="0" w:type="auto"/>
            <w:vAlign w:val="center"/>
          </w:tcPr>
          <w:p w14:paraId="5A797935" w14:textId="77777777" w:rsidR="000228FA" w:rsidRPr="00A411E7" w:rsidRDefault="000228FA" w:rsidP="00FF3977">
            <w:pPr>
              <w:rPr>
                <w:rFonts w:eastAsia="Calibri"/>
              </w:rPr>
            </w:pPr>
            <w:r>
              <w:rPr>
                <w:color w:val="000000"/>
              </w:rPr>
              <w:t xml:space="preserve">With its cap, the packagings are leak-tight. The test item is considered to be stable after 14 days at 54 ± 2°C (please refer above). </w:t>
            </w:r>
          </w:p>
        </w:tc>
        <w:tc>
          <w:tcPr>
            <w:tcW w:w="0" w:type="auto"/>
            <w:vAlign w:val="center"/>
          </w:tcPr>
          <w:p w14:paraId="012BCC63" w14:textId="77777777" w:rsidR="000228FA" w:rsidRPr="00A411E7" w:rsidRDefault="000228FA" w:rsidP="00FF3977">
            <w:pPr>
              <w:rPr>
                <w:rFonts w:eastAsia="Calibri"/>
              </w:rPr>
            </w:pPr>
            <w:r>
              <w:rPr>
                <w:color w:val="000000"/>
              </w:rPr>
              <w:t xml:space="preserve"> -</w:t>
            </w:r>
          </w:p>
        </w:tc>
        <w:tc>
          <w:tcPr>
            <w:tcW w:w="0" w:type="auto"/>
          </w:tcPr>
          <w:p w14:paraId="084C952F" w14:textId="77777777" w:rsidR="000228FA" w:rsidRDefault="000228FA" w:rsidP="00FF3977">
            <w:pPr>
              <w:rPr>
                <w:color w:val="000000"/>
              </w:rPr>
            </w:pPr>
            <w:r>
              <w:rPr>
                <w:color w:val="000000"/>
              </w:rPr>
              <w:t>Acceptable</w:t>
            </w:r>
          </w:p>
        </w:tc>
      </w:tr>
      <w:tr w:rsidR="000228FA" w14:paraId="4F84B786" w14:textId="77777777" w:rsidTr="00FF3977">
        <w:tc>
          <w:tcPr>
            <w:tcW w:w="0" w:type="auto"/>
          </w:tcPr>
          <w:p w14:paraId="1AC628D4"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0" w:type="auto"/>
            <w:vAlign w:val="center"/>
          </w:tcPr>
          <w:p w14:paraId="3F18FEFE" w14:textId="77777777" w:rsidR="000228FA" w:rsidRPr="00A411E7" w:rsidRDefault="000228FA" w:rsidP="00FF3977">
            <w:pPr>
              <w:rPr>
                <w:rFonts w:eastAsia="Calibri"/>
              </w:rPr>
            </w:pPr>
            <w:r>
              <w:rPr>
                <w:color w:val="000000"/>
              </w:rPr>
              <w:t xml:space="preserve"> -</w:t>
            </w:r>
          </w:p>
        </w:tc>
        <w:tc>
          <w:tcPr>
            <w:tcW w:w="0" w:type="auto"/>
            <w:vAlign w:val="center"/>
          </w:tcPr>
          <w:p w14:paraId="3CFB3608" w14:textId="77777777" w:rsidR="000228FA" w:rsidRPr="00A411E7" w:rsidRDefault="000228FA" w:rsidP="00FF3977">
            <w:pPr>
              <w:rPr>
                <w:rFonts w:eastAsia="Calibri"/>
              </w:rPr>
            </w:pPr>
            <w:r>
              <w:rPr>
                <w:color w:val="000000"/>
              </w:rPr>
              <w:t xml:space="preserve"> -</w:t>
            </w:r>
          </w:p>
        </w:tc>
        <w:tc>
          <w:tcPr>
            <w:tcW w:w="0" w:type="auto"/>
            <w:vAlign w:val="center"/>
          </w:tcPr>
          <w:p w14:paraId="0C54AFFE"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stable after 14 days at 54 ± 2°C (please refer above). </w:t>
            </w:r>
          </w:p>
        </w:tc>
        <w:tc>
          <w:tcPr>
            <w:tcW w:w="0" w:type="auto"/>
            <w:vAlign w:val="center"/>
          </w:tcPr>
          <w:p w14:paraId="27F06A02" w14:textId="77777777" w:rsidR="000228FA" w:rsidRPr="00A411E7" w:rsidRDefault="000228FA" w:rsidP="00FF3977">
            <w:pPr>
              <w:rPr>
                <w:rFonts w:eastAsia="Calibri"/>
              </w:rPr>
            </w:pPr>
            <w:r>
              <w:rPr>
                <w:color w:val="000000"/>
              </w:rPr>
              <w:t xml:space="preserve"> -</w:t>
            </w:r>
          </w:p>
        </w:tc>
        <w:tc>
          <w:tcPr>
            <w:tcW w:w="0" w:type="auto"/>
          </w:tcPr>
          <w:p w14:paraId="4D1F942F" w14:textId="77777777" w:rsidR="000228FA" w:rsidRDefault="000228FA" w:rsidP="00FF3977">
            <w:pPr>
              <w:rPr>
                <w:color w:val="000000"/>
              </w:rPr>
            </w:pPr>
            <w:r>
              <w:rPr>
                <w:color w:val="000000"/>
              </w:rPr>
              <w:t>Acceptable</w:t>
            </w:r>
          </w:p>
        </w:tc>
      </w:tr>
      <w:tr w:rsidR="000228FA" w14:paraId="6BE5D67A" w14:textId="77777777" w:rsidTr="00FF3977">
        <w:tc>
          <w:tcPr>
            <w:tcW w:w="0" w:type="auto"/>
          </w:tcPr>
          <w:p w14:paraId="31817176" w14:textId="77777777" w:rsidR="000228FA" w:rsidRPr="00A411E7" w:rsidRDefault="000228FA" w:rsidP="00FF3977">
            <w:pPr>
              <w:rPr>
                <w:rFonts w:eastAsia="Calibri"/>
              </w:rPr>
            </w:pPr>
            <w:r w:rsidRPr="00A411E7">
              <w:rPr>
                <w:rFonts w:eastAsia="Calibri"/>
              </w:rPr>
              <w:t>Wettability</w:t>
            </w:r>
          </w:p>
        </w:tc>
        <w:tc>
          <w:tcPr>
            <w:tcW w:w="0" w:type="auto"/>
            <w:vAlign w:val="center"/>
          </w:tcPr>
          <w:p w14:paraId="4DEA9747" w14:textId="77777777" w:rsidR="000228FA" w:rsidRPr="00A411E7" w:rsidRDefault="000228FA" w:rsidP="00FF3977">
            <w:pPr>
              <w:rPr>
                <w:rFonts w:eastAsia="Calibri"/>
              </w:rPr>
            </w:pPr>
            <w:r>
              <w:rPr>
                <w:color w:val="000000"/>
              </w:rPr>
              <w:t xml:space="preserve"> -</w:t>
            </w:r>
          </w:p>
        </w:tc>
        <w:tc>
          <w:tcPr>
            <w:tcW w:w="0" w:type="auto"/>
            <w:vAlign w:val="center"/>
          </w:tcPr>
          <w:p w14:paraId="3BBA6FB6" w14:textId="77777777" w:rsidR="000228FA" w:rsidRPr="00A411E7" w:rsidRDefault="000228FA" w:rsidP="00FF3977">
            <w:pPr>
              <w:rPr>
                <w:rFonts w:eastAsia="Calibri"/>
              </w:rPr>
            </w:pPr>
            <w:r>
              <w:rPr>
                <w:color w:val="000000"/>
              </w:rPr>
              <w:t xml:space="preserve"> -</w:t>
            </w:r>
          </w:p>
        </w:tc>
        <w:tc>
          <w:tcPr>
            <w:tcW w:w="0" w:type="auto"/>
            <w:vAlign w:val="center"/>
          </w:tcPr>
          <w:p w14:paraId="7A5C68B0" w14:textId="77777777" w:rsidR="000228FA" w:rsidRPr="00A411E7" w:rsidRDefault="000228FA" w:rsidP="00FF3977">
            <w:pPr>
              <w:rPr>
                <w:rFonts w:eastAsia="Calibri"/>
              </w:rPr>
            </w:pPr>
            <w:r>
              <w:rPr>
                <w:color w:val="000000"/>
              </w:rPr>
              <w:t>Not required as the product is a micro-emulsion (ME).</w:t>
            </w:r>
          </w:p>
        </w:tc>
        <w:tc>
          <w:tcPr>
            <w:tcW w:w="0" w:type="auto"/>
            <w:vAlign w:val="center"/>
          </w:tcPr>
          <w:p w14:paraId="46292465" w14:textId="77777777" w:rsidR="000228FA" w:rsidRPr="00A411E7" w:rsidRDefault="000228FA" w:rsidP="00FF3977">
            <w:pPr>
              <w:rPr>
                <w:rFonts w:eastAsia="Calibri"/>
              </w:rPr>
            </w:pPr>
            <w:r>
              <w:rPr>
                <w:color w:val="000000"/>
              </w:rPr>
              <w:t xml:space="preserve"> -</w:t>
            </w:r>
          </w:p>
        </w:tc>
        <w:tc>
          <w:tcPr>
            <w:tcW w:w="0" w:type="auto"/>
          </w:tcPr>
          <w:p w14:paraId="3366054B" w14:textId="77777777" w:rsidR="000228FA" w:rsidRDefault="000228FA" w:rsidP="00FF3977">
            <w:pPr>
              <w:rPr>
                <w:color w:val="000000"/>
              </w:rPr>
            </w:pPr>
            <w:r>
              <w:rPr>
                <w:color w:val="000000"/>
              </w:rPr>
              <w:t>Not relevant for a ME formulation.</w:t>
            </w:r>
          </w:p>
        </w:tc>
      </w:tr>
      <w:tr w:rsidR="000228FA" w14:paraId="1F0E5E8F" w14:textId="77777777" w:rsidTr="00FF3977">
        <w:tc>
          <w:tcPr>
            <w:tcW w:w="0" w:type="auto"/>
          </w:tcPr>
          <w:p w14:paraId="6B61E40E" w14:textId="77777777" w:rsidR="000228FA" w:rsidRPr="00A411E7" w:rsidRDefault="000228FA" w:rsidP="00FF3977">
            <w:pPr>
              <w:rPr>
                <w:rFonts w:eastAsia="Calibri"/>
              </w:rPr>
            </w:pPr>
            <w:r w:rsidRPr="00A411E7">
              <w:rPr>
                <w:rFonts w:eastAsia="Calibri"/>
              </w:rPr>
              <w:t>Suspensibility, spontaneity and dispersion stability</w:t>
            </w:r>
          </w:p>
        </w:tc>
        <w:tc>
          <w:tcPr>
            <w:tcW w:w="0" w:type="auto"/>
            <w:vAlign w:val="center"/>
          </w:tcPr>
          <w:p w14:paraId="2576CFEB" w14:textId="77777777" w:rsidR="000228FA" w:rsidRPr="00A411E7" w:rsidRDefault="000228FA" w:rsidP="00FF3977">
            <w:pPr>
              <w:rPr>
                <w:rFonts w:eastAsia="Calibri"/>
              </w:rPr>
            </w:pPr>
            <w:r>
              <w:rPr>
                <w:color w:val="000000"/>
              </w:rPr>
              <w:t xml:space="preserve"> -</w:t>
            </w:r>
          </w:p>
        </w:tc>
        <w:tc>
          <w:tcPr>
            <w:tcW w:w="0" w:type="auto"/>
            <w:vAlign w:val="center"/>
          </w:tcPr>
          <w:p w14:paraId="5A133453" w14:textId="77777777" w:rsidR="000228FA" w:rsidRPr="00A411E7" w:rsidRDefault="000228FA" w:rsidP="00FF3977">
            <w:pPr>
              <w:rPr>
                <w:rFonts w:eastAsia="Calibri"/>
              </w:rPr>
            </w:pPr>
            <w:r>
              <w:rPr>
                <w:color w:val="000000"/>
              </w:rPr>
              <w:t xml:space="preserve"> -</w:t>
            </w:r>
          </w:p>
        </w:tc>
        <w:tc>
          <w:tcPr>
            <w:tcW w:w="0" w:type="auto"/>
            <w:vAlign w:val="center"/>
          </w:tcPr>
          <w:p w14:paraId="2DCB38B5" w14:textId="77777777" w:rsidR="000228FA" w:rsidRPr="00A411E7" w:rsidRDefault="000228FA" w:rsidP="00FF3977">
            <w:pPr>
              <w:rPr>
                <w:rFonts w:eastAsia="Calibri"/>
              </w:rPr>
            </w:pPr>
            <w:r>
              <w:rPr>
                <w:color w:val="000000"/>
              </w:rPr>
              <w:t>Not required as the product is a micro-emulsion (ME).</w:t>
            </w:r>
          </w:p>
        </w:tc>
        <w:tc>
          <w:tcPr>
            <w:tcW w:w="0" w:type="auto"/>
            <w:vAlign w:val="center"/>
          </w:tcPr>
          <w:p w14:paraId="684B4873" w14:textId="77777777" w:rsidR="000228FA" w:rsidRPr="00A411E7" w:rsidRDefault="000228FA" w:rsidP="00FF3977">
            <w:pPr>
              <w:rPr>
                <w:rFonts w:eastAsia="Calibri"/>
              </w:rPr>
            </w:pPr>
            <w:r>
              <w:rPr>
                <w:color w:val="000000"/>
              </w:rPr>
              <w:t xml:space="preserve"> -</w:t>
            </w:r>
          </w:p>
        </w:tc>
        <w:tc>
          <w:tcPr>
            <w:tcW w:w="0" w:type="auto"/>
          </w:tcPr>
          <w:p w14:paraId="2B2755AC" w14:textId="77777777" w:rsidR="000228FA" w:rsidRDefault="000228FA" w:rsidP="00FF3977">
            <w:pPr>
              <w:rPr>
                <w:color w:val="000000"/>
              </w:rPr>
            </w:pPr>
            <w:r>
              <w:rPr>
                <w:color w:val="000000"/>
              </w:rPr>
              <w:t>Not relevant for a ME formulation.</w:t>
            </w:r>
          </w:p>
        </w:tc>
      </w:tr>
      <w:tr w:rsidR="000228FA" w14:paraId="481FF9E5" w14:textId="77777777" w:rsidTr="00FF3977">
        <w:tc>
          <w:tcPr>
            <w:tcW w:w="0" w:type="auto"/>
          </w:tcPr>
          <w:p w14:paraId="054E5AD6" w14:textId="77777777" w:rsidR="000228FA" w:rsidRPr="00F24D0D" w:rsidRDefault="000228FA" w:rsidP="00FF3977">
            <w:pPr>
              <w:rPr>
                <w:rFonts w:eastAsia="Calibri"/>
              </w:rPr>
            </w:pPr>
            <w:r w:rsidRPr="00A411E7">
              <w:rPr>
                <w:rFonts w:eastAsia="Calibri"/>
              </w:rPr>
              <w:t xml:space="preserve">Wet sieve analysis </w:t>
            </w:r>
            <w:r w:rsidRPr="00F24D0D">
              <w:rPr>
                <w:rFonts w:eastAsia="Calibri"/>
              </w:rPr>
              <w:t>and dry sieve test</w:t>
            </w:r>
          </w:p>
        </w:tc>
        <w:tc>
          <w:tcPr>
            <w:tcW w:w="0" w:type="auto"/>
            <w:vAlign w:val="center"/>
          </w:tcPr>
          <w:p w14:paraId="29FF70C7" w14:textId="77777777" w:rsidR="000228FA" w:rsidRPr="00F24D0D" w:rsidRDefault="000228FA" w:rsidP="00FF3977">
            <w:pPr>
              <w:rPr>
                <w:rFonts w:eastAsia="Calibri"/>
              </w:rPr>
            </w:pPr>
            <w:r>
              <w:rPr>
                <w:color w:val="000000"/>
              </w:rPr>
              <w:t xml:space="preserve"> -</w:t>
            </w:r>
          </w:p>
        </w:tc>
        <w:tc>
          <w:tcPr>
            <w:tcW w:w="0" w:type="auto"/>
            <w:vAlign w:val="center"/>
          </w:tcPr>
          <w:p w14:paraId="47963C23" w14:textId="77777777" w:rsidR="000228FA" w:rsidRPr="00C746BC" w:rsidRDefault="000228FA" w:rsidP="00FF3977">
            <w:pPr>
              <w:rPr>
                <w:rFonts w:eastAsia="Calibri"/>
              </w:rPr>
            </w:pPr>
            <w:r>
              <w:rPr>
                <w:color w:val="000000"/>
              </w:rPr>
              <w:t xml:space="preserve"> -</w:t>
            </w:r>
          </w:p>
        </w:tc>
        <w:tc>
          <w:tcPr>
            <w:tcW w:w="0" w:type="auto"/>
            <w:vAlign w:val="center"/>
          </w:tcPr>
          <w:p w14:paraId="698DED3E" w14:textId="77777777" w:rsidR="000228FA" w:rsidRPr="00305B11" w:rsidRDefault="000228FA" w:rsidP="00FF3977">
            <w:pPr>
              <w:rPr>
                <w:rFonts w:eastAsia="Calibri"/>
              </w:rPr>
            </w:pPr>
            <w:r>
              <w:rPr>
                <w:color w:val="000000"/>
              </w:rPr>
              <w:t>Not required as the product is a micro-emulsion (ME).</w:t>
            </w:r>
          </w:p>
        </w:tc>
        <w:tc>
          <w:tcPr>
            <w:tcW w:w="0" w:type="auto"/>
            <w:vAlign w:val="center"/>
          </w:tcPr>
          <w:p w14:paraId="04D35E43" w14:textId="77777777" w:rsidR="000228FA" w:rsidRPr="00305B11" w:rsidRDefault="000228FA" w:rsidP="00FF3977">
            <w:pPr>
              <w:rPr>
                <w:rFonts w:eastAsia="Calibri"/>
              </w:rPr>
            </w:pPr>
            <w:r>
              <w:rPr>
                <w:color w:val="000000"/>
              </w:rPr>
              <w:t xml:space="preserve"> -</w:t>
            </w:r>
          </w:p>
        </w:tc>
        <w:tc>
          <w:tcPr>
            <w:tcW w:w="0" w:type="auto"/>
          </w:tcPr>
          <w:p w14:paraId="3BD3D1AF" w14:textId="77777777" w:rsidR="000228FA" w:rsidRDefault="000228FA" w:rsidP="00FF3977">
            <w:pPr>
              <w:rPr>
                <w:color w:val="000000"/>
              </w:rPr>
            </w:pPr>
            <w:r>
              <w:rPr>
                <w:color w:val="000000"/>
              </w:rPr>
              <w:t>Not relevant for a ME formulation.</w:t>
            </w:r>
          </w:p>
        </w:tc>
      </w:tr>
      <w:tr w:rsidR="000228FA" w14:paraId="07B98641" w14:textId="77777777" w:rsidTr="00FF3977">
        <w:tc>
          <w:tcPr>
            <w:tcW w:w="0" w:type="auto"/>
          </w:tcPr>
          <w:p w14:paraId="0DC29F6F" w14:textId="77777777" w:rsidR="000228FA" w:rsidRPr="00017CF8" w:rsidRDefault="000228FA" w:rsidP="00FF3977">
            <w:pPr>
              <w:rPr>
                <w:rFonts w:eastAsia="Calibri"/>
              </w:rPr>
            </w:pPr>
            <w:r w:rsidRPr="00017CF8">
              <w:rPr>
                <w:rFonts w:eastAsia="Calibri"/>
              </w:rPr>
              <w:lastRenderedPageBreak/>
              <w:t>Emulsifiability, re-emulsifiability and emulsion stability</w:t>
            </w:r>
          </w:p>
        </w:tc>
        <w:tc>
          <w:tcPr>
            <w:tcW w:w="0" w:type="auto"/>
            <w:vAlign w:val="center"/>
          </w:tcPr>
          <w:p w14:paraId="7E6B259C" w14:textId="77777777" w:rsidR="000228FA" w:rsidRPr="00017CF8" w:rsidRDefault="000228FA" w:rsidP="00FF3977">
            <w:pPr>
              <w:rPr>
                <w:rFonts w:eastAsia="Calibri"/>
              </w:rPr>
            </w:pPr>
            <w:r>
              <w:rPr>
                <w:color w:val="000000"/>
              </w:rPr>
              <w:t>CIPAC Handbook K - MT 36.3 method (2003)</w:t>
            </w:r>
          </w:p>
        </w:tc>
        <w:tc>
          <w:tcPr>
            <w:tcW w:w="0" w:type="auto"/>
            <w:vAlign w:val="center"/>
          </w:tcPr>
          <w:p w14:paraId="6F8ECC07" w14:textId="77777777" w:rsidR="000228FA" w:rsidRDefault="000228FA" w:rsidP="00FF3977">
            <w:pPr>
              <w:rPr>
                <w:color w:val="000000"/>
              </w:rPr>
            </w:pPr>
            <w:r>
              <w:rPr>
                <w:color w:val="000000"/>
              </w:rPr>
              <w:t>Batch 1805000317</w:t>
            </w:r>
          </w:p>
          <w:p w14:paraId="54361A35" w14:textId="77777777" w:rsidR="000228FA" w:rsidRPr="00017CF8"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3A985239" w14:textId="77777777" w:rsidR="000228FA" w:rsidRPr="00017CF8" w:rsidRDefault="000228FA" w:rsidP="00FF3977">
            <w:pPr>
              <w:rPr>
                <w:rFonts w:eastAsia="Calibri"/>
              </w:rPr>
            </w:pPr>
            <w:r>
              <w:rPr>
                <w:color w:val="000000"/>
              </w:rPr>
              <w:t>Before the accelerated storage procedure, the emulsions at 2% w/w and 10% w/w in standard waters A and D at 30 °C ± 2 °C were considered to be stable.</w:t>
            </w:r>
            <w:r>
              <w:rPr>
                <w:color w:val="000000"/>
              </w:rPr>
              <w:br/>
              <w:t>After the accelerated storage procedure, the emulsions at 2% w/w and 10% w/w in standard waters A and D at 30 °C ± 2 °C were considered to be stable.</w:t>
            </w:r>
            <w:r>
              <w:rPr>
                <w:color w:val="000000"/>
              </w:rPr>
              <w:br/>
              <w:t>After the low temperature stability, the emulsions at 2% w/w and 10% w/w in standard waters A and D at 30 °C ± 2 °C were considered to be stable.</w:t>
            </w:r>
          </w:p>
        </w:tc>
        <w:tc>
          <w:tcPr>
            <w:tcW w:w="0" w:type="auto"/>
            <w:vAlign w:val="center"/>
          </w:tcPr>
          <w:p w14:paraId="00972EED" w14:textId="77777777" w:rsidR="000228FA" w:rsidRPr="00017CF8" w:rsidRDefault="000228FA" w:rsidP="00FF3977">
            <w:pPr>
              <w:rPr>
                <w:rFonts w:eastAsia="Calibri"/>
              </w:rPr>
            </w:pPr>
            <w:r>
              <w:rPr>
                <w:color w:val="000000"/>
              </w:rPr>
              <w:t>Demangel B. and Ricau H., 2019, Report No 18-901011-051</w:t>
            </w:r>
            <w:r>
              <w:rPr>
                <w:color w:val="000000"/>
              </w:rPr>
              <w:br/>
            </w:r>
            <w:r>
              <w:rPr>
                <w:color w:val="000000"/>
              </w:rPr>
              <w:br/>
              <w:t>Demangel B., 2019, Report No 18-901011-050</w:t>
            </w:r>
          </w:p>
        </w:tc>
        <w:tc>
          <w:tcPr>
            <w:tcW w:w="0" w:type="auto"/>
          </w:tcPr>
          <w:p w14:paraId="42EFE1E2" w14:textId="77777777" w:rsidR="000228FA" w:rsidRDefault="000228FA" w:rsidP="00FF3977">
            <w:pPr>
              <w:rPr>
                <w:color w:val="000000"/>
              </w:rPr>
            </w:pPr>
            <w:r>
              <w:rPr>
                <w:color w:val="000000"/>
              </w:rPr>
              <w:t>Acceptable</w:t>
            </w:r>
          </w:p>
        </w:tc>
      </w:tr>
      <w:tr w:rsidR="000228FA" w14:paraId="19E9DC6A" w14:textId="77777777" w:rsidTr="00FF3977">
        <w:tc>
          <w:tcPr>
            <w:tcW w:w="0" w:type="auto"/>
          </w:tcPr>
          <w:p w14:paraId="736020CF" w14:textId="77777777" w:rsidR="000228FA" w:rsidRPr="00DF6CFE" w:rsidRDefault="000228FA" w:rsidP="00FF3977">
            <w:pPr>
              <w:rPr>
                <w:rFonts w:eastAsia="Calibri"/>
              </w:rPr>
            </w:pPr>
            <w:r w:rsidRPr="00DF6CFE">
              <w:rPr>
                <w:rFonts w:eastAsia="Calibri"/>
              </w:rPr>
              <w:t>Disintegration time</w:t>
            </w:r>
          </w:p>
        </w:tc>
        <w:tc>
          <w:tcPr>
            <w:tcW w:w="0" w:type="auto"/>
            <w:vAlign w:val="center"/>
          </w:tcPr>
          <w:p w14:paraId="49D7A40D" w14:textId="77777777" w:rsidR="000228FA" w:rsidRPr="00DF6CFE" w:rsidRDefault="000228FA" w:rsidP="00FF3977">
            <w:pPr>
              <w:rPr>
                <w:rFonts w:eastAsia="Calibri"/>
              </w:rPr>
            </w:pPr>
            <w:r>
              <w:rPr>
                <w:color w:val="000000"/>
              </w:rPr>
              <w:t xml:space="preserve"> -</w:t>
            </w:r>
          </w:p>
        </w:tc>
        <w:tc>
          <w:tcPr>
            <w:tcW w:w="0" w:type="auto"/>
            <w:vAlign w:val="center"/>
          </w:tcPr>
          <w:p w14:paraId="70BD747D" w14:textId="77777777" w:rsidR="000228FA" w:rsidRPr="00DF6CFE" w:rsidRDefault="000228FA" w:rsidP="00FF3977">
            <w:pPr>
              <w:rPr>
                <w:rFonts w:eastAsia="Calibri"/>
              </w:rPr>
            </w:pPr>
            <w:r>
              <w:rPr>
                <w:color w:val="000000"/>
              </w:rPr>
              <w:t xml:space="preserve"> -</w:t>
            </w:r>
          </w:p>
        </w:tc>
        <w:tc>
          <w:tcPr>
            <w:tcW w:w="0" w:type="auto"/>
            <w:vAlign w:val="center"/>
          </w:tcPr>
          <w:p w14:paraId="2F2AE396" w14:textId="77777777" w:rsidR="000228FA" w:rsidRPr="00DF6CFE" w:rsidRDefault="000228FA" w:rsidP="00FF3977">
            <w:pPr>
              <w:rPr>
                <w:rFonts w:eastAsia="Calibri"/>
              </w:rPr>
            </w:pPr>
            <w:r>
              <w:rPr>
                <w:color w:val="000000"/>
              </w:rPr>
              <w:t>Not required as the product is a micro-emulsion (ME).</w:t>
            </w:r>
          </w:p>
        </w:tc>
        <w:tc>
          <w:tcPr>
            <w:tcW w:w="0" w:type="auto"/>
            <w:vAlign w:val="center"/>
          </w:tcPr>
          <w:p w14:paraId="1B69B4DB" w14:textId="77777777" w:rsidR="000228FA" w:rsidRPr="00DF6CFE" w:rsidRDefault="000228FA" w:rsidP="00FF3977">
            <w:pPr>
              <w:rPr>
                <w:rFonts w:eastAsia="Calibri"/>
              </w:rPr>
            </w:pPr>
            <w:r>
              <w:rPr>
                <w:color w:val="000000"/>
              </w:rPr>
              <w:t xml:space="preserve"> -</w:t>
            </w:r>
          </w:p>
        </w:tc>
        <w:tc>
          <w:tcPr>
            <w:tcW w:w="0" w:type="auto"/>
          </w:tcPr>
          <w:p w14:paraId="414BF459" w14:textId="77777777" w:rsidR="000228FA" w:rsidRDefault="000228FA" w:rsidP="00FF3977">
            <w:pPr>
              <w:rPr>
                <w:color w:val="000000"/>
              </w:rPr>
            </w:pPr>
            <w:r>
              <w:rPr>
                <w:color w:val="000000"/>
              </w:rPr>
              <w:t>Not relevant for a ME formulation.</w:t>
            </w:r>
          </w:p>
        </w:tc>
      </w:tr>
      <w:tr w:rsidR="000228FA" w14:paraId="0554768F" w14:textId="77777777" w:rsidTr="00FF3977">
        <w:tc>
          <w:tcPr>
            <w:tcW w:w="0" w:type="auto"/>
          </w:tcPr>
          <w:p w14:paraId="3BB99F6E"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0" w:type="auto"/>
            <w:vAlign w:val="center"/>
          </w:tcPr>
          <w:p w14:paraId="5B261F64" w14:textId="77777777" w:rsidR="000228FA" w:rsidRPr="00A411E7" w:rsidRDefault="000228FA" w:rsidP="00FF3977">
            <w:pPr>
              <w:rPr>
                <w:rFonts w:eastAsia="Calibri"/>
              </w:rPr>
            </w:pPr>
            <w:r>
              <w:rPr>
                <w:color w:val="000000"/>
              </w:rPr>
              <w:t xml:space="preserve"> -</w:t>
            </w:r>
          </w:p>
        </w:tc>
        <w:tc>
          <w:tcPr>
            <w:tcW w:w="0" w:type="auto"/>
            <w:vAlign w:val="center"/>
          </w:tcPr>
          <w:p w14:paraId="608F36C3" w14:textId="77777777" w:rsidR="000228FA" w:rsidRPr="00A411E7" w:rsidRDefault="000228FA" w:rsidP="00FF3977">
            <w:pPr>
              <w:rPr>
                <w:rFonts w:eastAsia="Calibri"/>
              </w:rPr>
            </w:pPr>
            <w:r>
              <w:rPr>
                <w:color w:val="000000"/>
              </w:rPr>
              <w:t xml:space="preserve"> -</w:t>
            </w:r>
          </w:p>
        </w:tc>
        <w:tc>
          <w:tcPr>
            <w:tcW w:w="0" w:type="auto"/>
            <w:vAlign w:val="center"/>
          </w:tcPr>
          <w:p w14:paraId="7134C535" w14:textId="77777777" w:rsidR="000228FA" w:rsidRPr="00A411E7" w:rsidRDefault="000228FA" w:rsidP="00FF3977">
            <w:pPr>
              <w:rPr>
                <w:rFonts w:eastAsia="Calibri"/>
              </w:rPr>
            </w:pPr>
            <w:r>
              <w:rPr>
                <w:color w:val="000000"/>
              </w:rPr>
              <w:t>Not required as the product is a micro-emulsion (ME).</w:t>
            </w:r>
          </w:p>
        </w:tc>
        <w:tc>
          <w:tcPr>
            <w:tcW w:w="0" w:type="auto"/>
            <w:vAlign w:val="center"/>
          </w:tcPr>
          <w:p w14:paraId="107E7173" w14:textId="77777777" w:rsidR="000228FA" w:rsidRPr="00A411E7" w:rsidRDefault="000228FA" w:rsidP="00FF3977">
            <w:pPr>
              <w:rPr>
                <w:rFonts w:eastAsia="Calibri"/>
              </w:rPr>
            </w:pPr>
            <w:r>
              <w:rPr>
                <w:color w:val="000000"/>
              </w:rPr>
              <w:t xml:space="preserve"> -</w:t>
            </w:r>
          </w:p>
        </w:tc>
        <w:tc>
          <w:tcPr>
            <w:tcW w:w="0" w:type="auto"/>
          </w:tcPr>
          <w:p w14:paraId="5DD31188" w14:textId="77777777" w:rsidR="000228FA" w:rsidRDefault="000228FA" w:rsidP="00FF3977">
            <w:pPr>
              <w:rPr>
                <w:color w:val="000000"/>
              </w:rPr>
            </w:pPr>
            <w:r>
              <w:rPr>
                <w:color w:val="000000"/>
              </w:rPr>
              <w:t>Not relevant for a ME formulation.</w:t>
            </w:r>
          </w:p>
        </w:tc>
      </w:tr>
      <w:tr w:rsidR="000228FA" w14:paraId="7A925951" w14:textId="77777777" w:rsidTr="00FF3977">
        <w:tc>
          <w:tcPr>
            <w:tcW w:w="0" w:type="auto"/>
          </w:tcPr>
          <w:p w14:paraId="145511DC" w14:textId="77777777" w:rsidR="000228FA" w:rsidRPr="00A411E7" w:rsidRDefault="000228FA" w:rsidP="00FF3977">
            <w:pPr>
              <w:rPr>
                <w:rFonts w:eastAsia="Calibri"/>
              </w:rPr>
            </w:pPr>
            <w:r w:rsidRPr="00A411E7">
              <w:rPr>
                <w:rFonts w:eastAsia="Calibri"/>
              </w:rPr>
              <w:t>Persistent foaming</w:t>
            </w:r>
          </w:p>
        </w:tc>
        <w:tc>
          <w:tcPr>
            <w:tcW w:w="0" w:type="auto"/>
            <w:vAlign w:val="center"/>
          </w:tcPr>
          <w:p w14:paraId="1E9AEA75" w14:textId="77777777" w:rsidR="000228FA" w:rsidRPr="00A411E7" w:rsidRDefault="000228FA" w:rsidP="00FF3977">
            <w:pPr>
              <w:rPr>
                <w:rFonts w:eastAsia="Calibri"/>
              </w:rPr>
            </w:pPr>
            <w:r>
              <w:rPr>
                <w:color w:val="000000"/>
              </w:rPr>
              <w:t xml:space="preserve">CIPAC Handbook O - MT 47.3 method (2017). </w:t>
            </w:r>
          </w:p>
        </w:tc>
        <w:tc>
          <w:tcPr>
            <w:tcW w:w="0" w:type="auto"/>
            <w:vAlign w:val="center"/>
          </w:tcPr>
          <w:p w14:paraId="3821538F" w14:textId="77777777" w:rsidR="000228FA" w:rsidRDefault="000228FA" w:rsidP="00FF3977">
            <w:pPr>
              <w:rPr>
                <w:color w:val="000000"/>
              </w:rPr>
            </w:pPr>
            <w:r>
              <w:rPr>
                <w:color w:val="000000"/>
              </w:rPr>
              <w:t>Batch 1805000317</w:t>
            </w:r>
          </w:p>
          <w:p w14:paraId="718F729B"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272CA676" w14:textId="77777777" w:rsidR="000228FA" w:rsidRPr="00A411E7" w:rsidRDefault="000228FA" w:rsidP="00FF3977">
            <w:pPr>
              <w:rPr>
                <w:rFonts w:eastAsia="Calibri"/>
              </w:rPr>
            </w:pPr>
            <w:r>
              <w:t xml:space="preserve">Before the accelerated storage procedure, the mean volume of foam produced after several inversions of the test item diluted at 2% w/w in standard water D at 20 °C ± 2 °C was </w:t>
            </w:r>
            <w:r w:rsidRPr="005B2C43">
              <w:rPr>
                <w:b/>
              </w:rPr>
              <w:t xml:space="preserve">60 mL </w:t>
            </w:r>
            <w:r>
              <w:t xml:space="preserve">after 1 min of standing. The mean volume of </w:t>
            </w:r>
            <w:r>
              <w:lastRenderedPageBreak/>
              <w:t xml:space="preserve">foam produced after several inversions of the test item diluted at 10% w/w in standard water D at 20 °C ± 2 °C was </w:t>
            </w:r>
            <w:r w:rsidRPr="005B2C43">
              <w:rPr>
                <w:b/>
              </w:rPr>
              <w:t>45 mL</w:t>
            </w:r>
            <w:r>
              <w:t xml:space="preserve"> after 1 min of standing. </w:t>
            </w:r>
            <w:r>
              <w:br/>
              <w:t xml:space="preserve">After the accelerated storage procedure. The mean volume of foam produced after several inversions of the test item diluted at 2% w/w in standard water D at 20 °C ± 2 °C was between 50 mL and 60 mL after 1 min of standing. The mean volume of foam produced after several inversions of the test item diluted at 10% w/w in standard water D at 20 °C ± 2 °C was 50 mL and 60 mL after 1 min of standing. </w:t>
            </w:r>
          </w:p>
        </w:tc>
        <w:tc>
          <w:tcPr>
            <w:tcW w:w="0" w:type="auto"/>
            <w:vAlign w:val="center"/>
          </w:tcPr>
          <w:p w14:paraId="76FAC3F9" w14:textId="77777777" w:rsidR="000228FA" w:rsidRPr="00A411E7" w:rsidRDefault="000228FA" w:rsidP="00FF3977">
            <w:pPr>
              <w:rPr>
                <w:rFonts w:eastAsia="Calibri"/>
              </w:rPr>
            </w:pPr>
            <w:r>
              <w:rPr>
                <w:color w:val="000000"/>
              </w:rPr>
              <w:lastRenderedPageBreak/>
              <w:t xml:space="preserve">Demangel B. and Ricau H., 2019, Report No </w:t>
            </w:r>
            <w:r>
              <w:rPr>
                <w:color w:val="000000"/>
              </w:rPr>
              <w:lastRenderedPageBreak/>
              <w:t>18-901011-051</w:t>
            </w:r>
          </w:p>
        </w:tc>
        <w:tc>
          <w:tcPr>
            <w:tcW w:w="0" w:type="auto"/>
          </w:tcPr>
          <w:p w14:paraId="0D3D0FC3" w14:textId="77777777" w:rsidR="000228FA" w:rsidRDefault="000228FA" w:rsidP="00FF3977">
            <w:pPr>
              <w:rPr>
                <w:color w:val="000000"/>
              </w:rPr>
            </w:pPr>
            <w:r>
              <w:rPr>
                <w:color w:val="000000"/>
              </w:rPr>
              <w:lastRenderedPageBreak/>
              <w:t>Acceptable</w:t>
            </w:r>
          </w:p>
        </w:tc>
      </w:tr>
      <w:tr w:rsidR="000228FA" w14:paraId="50C27A04" w14:textId="77777777" w:rsidTr="00FF3977">
        <w:tc>
          <w:tcPr>
            <w:tcW w:w="0" w:type="auto"/>
          </w:tcPr>
          <w:p w14:paraId="5B798271" w14:textId="77777777" w:rsidR="000228FA" w:rsidRPr="00A411E7" w:rsidRDefault="000228FA" w:rsidP="00FF3977">
            <w:pPr>
              <w:rPr>
                <w:rFonts w:eastAsia="Calibri"/>
              </w:rPr>
            </w:pPr>
            <w:r w:rsidRPr="00A411E7">
              <w:rPr>
                <w:rFonts w:eastAsia="Calibri"/>
              </w:rPr>
              <w:t>Flowability/Pourability/Dustability</w:t>
            </w:r>
          </w:p>
        </w:tc>
        <w:tc>
          <w:tcPr>
            <w:tcW w:w="0" w:type="auto"/>
            <w:vAlign w:val="center"/>
          </w:tcPr>
          <w:p w14:paraId="5F8E195E" w14:textId="77777777" w:rsidR="000228FA" w:rsidRPr="00A411E7" w:rsidRDefault="000228FA" w:rsidP="00FF3977">
            <w:pPr>
              <w:rPr>
                <w:rFonts w:eastAsia="Calibri"/>
              </w:rPr>
            </w:pPr>
            <w:r>
              <w:rPr>
                <w:color w:val="000000"/>
              </w:rPr>
              <w:t xml:space="preserve"> -</w:t>
            </w:r>
          </w:p>
        </w:tc>
        <w:tc>
          <w:tcPr>
            <w:tcW w:w="0" w:type="auto"/>
            <w:vAlign w:val="center"/>
          </w:tcPr>
          <w:p w14:paraId="69700FB3" w14:textId="77777777" w:rsidR="000228FA" w:rsidRPr="00A411E7" w:rsidRDefault="000228FA" w:rsidP="00FF3977">
            <w:pPr>
              <w:rPr>
                <w:rFonts w:eastAsia="Calibri"/>
              </w:rPr>
            </w:pPr>
            <w:r>
              <w:rPr>
                <w:color w:val="000000"/>
              </w:rPr>
              <w:t xml:space="preserve"> -</w:t>
            </w:r>
          </w:p>
        </w:tc>
        <w:tc>
          <w:tcPr>
            <w:tcW w:w="0" w:type="auto"/>
            <w:vAlign w:val="center"/>
          </w:tcPr>
          <w:p w14:paraId="0B173D18" w14:textId="77777777" w:rsidR="000228FA" w:rsidRPr="00A411E7" w:rsidRDefault="000228FA" w:rsidP="00FF3977">
            <w:pPr>
              <w:rPr>
                <w:rFonts w:eastAsia="Calibri"/>
              </w:rPr>
            </w:pPr>
            <w:r>
              <w:rPr>
                <w:color w:val="000000"/>
              </w:rPr>
              <w:t>Not required as the product is a micro-emulsion (ME).</w:t>
            </w:r>
          </w:p>
        </w:tc>
        <w:tc>
          <w:tcPr>
            <w:tcW w:w="0" w:type="auto"/>
            <w:vAlign w:val="center"/>
          </w:tcPr>
          <w:p w14:paraId="158F66E3" w14:textId="77777777" w:rsidR="000228FA" w:rsidRPr="00A411E7" w:rsidRDefault="000228FA" w:rsidP="00FF3977">
            <w:pPr>
              <w:rPr>
                <w:rFonts w:eastAsia="Calibri"/>
              </w:rPr>
            </w:pPr>
            <w:r>
              <w:rPr>
                <w:color w:val="000000"/>
              </w:rPr>
              <w:t xml:space="preserve"> -</w:t>
            </w:r>
          </w:p>
        </w:tc>
        <w:tc>
          <w:tcPr>
            <w:tcW w:w="0" w:type="auto"/>
          </w:tcPr>
          <w:p w14:paraId="396AC98A" w14:textId="77777777" w:rsidR="000228FA" w:rsidRDefault="000228FA" w:rsidP="00FF3977">
            <w:pPr>
              <w:rPr>
                <w:color w:val="000000"/>
              </w:rPr>
            </w:pPr>
            <w:r>
              <w:rPr>
                <w:color w:val="000000"/>
              </w:rPr>
              <w:t>Not relevant for a ME formulation.</w:t>
            </w:r>
          </w:p>
        </w:tc>
      </w:tr>
      <w:tr w:rsidR="000228FA" w14:paraId="392777C9" w14:textId="77777777" w:rsidTr="00FF3977">
        <w:tc>
          <w:tcPr>
            <w:tcW w:w="0" w:type="auto"/>
          </w:tcPr>
          <w:p w14:paraId="4FCFBED9" w14:textId="77777777" w:rsidR="000228FA" w:rsidRPr="00A411E7" w:rsidRDefault="000228FA" w:rsidP="00FF3977">
            <w:pPr>
              <w:rPr>
                <w:rFonts w:eastAsia="Calibri"/>
              </w:rPr>
            </w:pPr>
            <w:r w:rsidRPr="00A411E7">
              <w:rPr>
                <w:rFonts w:eastAsia="Calibri"/>
              </w:rPr>
              <w:t>Burning rate — smoke generators</w:t>
            </w:r>
          </w:p>
        </w:tc>
        <w:tc>
          <w:tcPr>
            <w:tcW w:w="0" w:type="auto"/>
            <w:vAlign w:val="center"/>
          </w:tcPr>
          <w:p w14:paraId="6FD96B0A" w14:textId="77777777" w:rsidR="000228FA" w:rsidRPr="00A411E7" w:rsidRDefault="000228FA" w:rsidP="00FF3977">
            <w:pPr>
              <w:rPr>
                <w:rFonts w:eastAsia="Calibri"/>
              </w:rPr>
            </w:pPr>
            <w:r>
              <w:rPr>
                <w:color w:val="000000"/>
              </w:rPr>
              <w:t xml:space="preserve"> -</w:t>
            </w:r>
          </w:p>
        </w:tc>
        <w:tc>
          <w:tcPr>
            <w:tcW w:w="0" w:type="auto"/>
            <w:vAlign w:val="center"/>
          </w:tcPr>
          <w:p w14:paraId="02EC412B" w14:textId="77777777" w:rsidR="000228FA" w:rsidRPr="00A411E7" w:rsidRDefault="000228FA" w:rsidP="00FF3977">
            <w:pPr>
              <w:rPr>
                <w:rFonts w:eastAsia="Calibri"/>
              </w:rPr>
            </w:pPr>
            <w:r>
              <w:rPr>
                <w:color w:val="000000"/>
              </w:rPr>
              <w:t xml:space="preserve"> -</w:t>
            </w:r>
          </w:p>
        </w:tc>
        <w:tc>
          <w:tcPr>
            <w:tcW w:w="0" w:type="auto"/>
            <w:vAlign w:val="center"/>
          </w:tcPr>
          <w:p w14:paraId="3C8CBCB4" w14:textId="77777777" w:rsidR="000228FA" w:rsidRPr="00A411E7" w:rsidRDefault="000228FA" w:rsidP="00FF3977">
            <w:pPr>
              <w:rPr>
                <w:rFonts w:eastAsia="Calibri"/>
              </w:rPr>
            </w:pPr>
            <w:r>
              <w:rPr>
                <w:color w:val="000000"/>
              </w:rPr>
              <w:t>Not applicable. The product is a micro-emulsion liquid and is not intended to be applied as a smoke.</w:t>
            </w:r>
          </w:p>
        </w:tc>
        <w:tc>
          <w:tcPr>
            <w:tcW w:w="0" w:type="auto"/>
            <w:vAlign w:val="center"/>
          </w:tcPr>
          <w:p w14:paraId="7E301410" w14:textId="77777777" w:rsidR="000228FA" w:rsidRPr="00A411E7" w:rsidRDefault="000228FA" w:rsidP="00FF3977">
            <w:pPr>
              <w:rPr>
                <w:rFonts w:eastAsia="Calibri"/>
              </w:rPr>
            </w:pPr>
            <w:r>
              <w:rPr>
                <w:color w:val="000000"/>
              </w:rPr>
              <w:t xml:space="preserve"> -</w:t>
            </w:r>
          </w:p>
        </w:tc>
        <w:tc>
          <w:tcPr>
            <w:tcW w:w="0" w:type="auto"/>
          </w:tcPr>
          <w:p w14:paraId="157EB662" w14:textId="77777777" w:rsidR="000228FA" w:rsidRDefault="000228FA" w:rsidP="00FF3977">
            <w:pPr>
              <w:rPr>
                <w:color w:val="000000"/>
              </w:rPr>
            </w:pPr>
            <w:r>
              <w:rPr>
                <w:color w:val="000000"/>
              </w:rPr>
              <w:t>Not relevant</w:t>
            </w:r>
          </w:p>
        </w:tc>
      </w:tr>
      <w:tr w:rsidR="000228FA" w14:paraId="1D6B2D96" w14:textId="77777777" w:rsidTr="00FF3977">
        <w:tc>
          <w:tcPr>
            <w:tcW w:w="0" w:type="auto"/>
          </w:tcPr>
          <w:p w14:paraId="3A2B3DF9" w14:textId="77777777" w:rsidR="000228FA" w:rsidRPr="00A411E7" w:rsidRDefault="000228FA" w:rsidP="00FF3977">
            <w:pPr>
              <w:rPr>
                <w:rFonts w:eastAsia="Calibri"/>
              </w:rPr>
            </w:pPr>
            <w:r w:rsidRPr="00A411E7">
              <w:rPr>
                <w:rFonts w:eastAsia="Calibri"/>
              </w:rPr>
              <w:t>Burning completeness — smoke generators</w:t>
            </w:r>
          </w:p>
        </w:tc>
        <w:tc>
          <w:tcPr>
            <w:tcW w:w="0" w:type="auto"/>
            <w:vAlign w:val="center"/>
          </w:tcPr>
          <w:p w14:paraId="27F55F23" w14:textId="77777777" w:rsidR="000228FA" w:rsidRPr="00A411E7" w:rsidRDefault="000228FA" w:rsidP="00FF3977">
            <w:pPr>
              <w:rPr>
                <w:rFonts w:eastAsia="Calibri"/>
              </w:rPr>
            </w:pPr>
            <w:r>
              <w:rPr>
                <w:color w:val="000000"/>
              </w:rPr>
              <w:t xml:space="preserve"> -</w:t>
            </w:r>
          </w:p>
        </w:tc>
        <w:tc>
          <w:tcPr>
            <w:tcW w:w="0" w:type="auto"/>
            <w:vAlign w:val="center"/>
          </w:tcPr>
          <w:p w14:paraId="0B4F87DA" w14:textId="77777777" w:rsidR="000228FA" w:rsidRPr="00A411E7" w:rsidRDefault="000228FA" w:rsidP="00FF3977">
            <w:pPr>
              <w:rPr>
                <w:rFonts w:eastAsia="Calibri"/>
              </w:rPr>
            </w:pPr>
            <w:r>
              <w:rPr>
                <w:color w:val="000000"/>
              </w:rPr>
              <w:t xml:space="preserve"> -</w:t>
            </w:r>
          </w:p>
        </w:tc>
        <w:tc>
          <w:tcPr>
            <w:tcW w:w="0" w:type="auto"/>
            <w:vAlign w:val="center"/>
          </w:tcPr>
          <w:p w14:paraId="051B6A46" w14:textId="77777777" w:rsidR="000228FA" w:rsidRPr="00A411E7" w:rsidRDefault="000228FA" w:rsidP="00FF3977">
            <w:pPr>
              <w:rPr>
                <w:rFonts w:eastAsia="Calibri"/>
              </w:rPr>
            </w:pPr>
            <w:r>
              <w:rPr>
                <w:color w:val="000000"/>
              </w:rPr>
              <w:t>Not applicable. The product is a micro-emulsion liquid and is not intended to be applied as a smoke.</w:t>
            </w:r>
          </w:p>
        </w:tc>
        <w:tc>
          <w:tcPr>
            <w:tcW w:w="0" w:type="auto"/>
            <w:vAlign w:val="center"/>
          </w:tcPr>
          <w:p w14:paraId="07C8BC20" w14:textId="77777777" w:rsidR="000228FA" w:rsidRPr="00A411E7" w:rsidRDefault="000228FA" w:rsidP="00FF3977">
            <w:pPr>
              <w:rPr>
                <w:rFonts w:eastAsia="Calibri"/>
              </w:rPr>
            </w:pPr>
            <w:r>
              <w:rPr>
                <w:color w:val="000000"/>
              </w:rPr>
              <w:t xml:space="preserve"> -</w:t>
            </w:r>
          </w:p>
        </w:tc>
        <w:tc>
          <w:tcPr>
            <w:tcW w:w="0" w:type="auto"/>
          </w:tcPr>
          <w:p w14:paraId="3AE5D00C" w14:textId="77777777" w:rsidR="000228FA" w:rsidRDefault="000228FA" w:rsidP="00FF3977">
            <w:pPr>
              <w:rPr>
                <w:color w:val="000000"/>
              </w:rPr>
            </w:pPr>
            <w:r>
              <w:rPr>
                <w:color w:val="000000"/>
              </w:rPr>
              <w:t>Not relevant</w:t>
            </w:r>
          </w:p>
        </w:tc>
      </w:tr>
      <w:tr w:rsidR="000228FA" w14:paraId="6936FEA2" w14:textId="77777777" w:rsidTr="00FF3977">
        <w:tc>
          <w:tcPr>
            <w:tcW w:w="0" w:type="auto"/>
          </w:tcPr>
          <w:p w14:paraId="33C08313" w14:textId="77777777" w:rsidR="000228FA" w:rsidRPr="00A411E7" w:rsidRDefault="000228FA" w:rsidP="00FF3977">
            <w:pPr>
              <w:rPr>
                <w:rFonts w:eastAsia="Calibri"/>
              </w:rPr>
            </w:pPr>
            <w:r w:rsidRPr="00A411E7">
              <w:rPr>
                <w:rFonts w:eastAsia="Calibri"/>
              </w:rPr>
              <w:t>Composition of smoke — smoke generators</w:t>
            </w:r>
          </w:p>
        </w:tc>
        <w:tc>
          <w:tcPr>
            <w:tcW w:w="0" w:type="auto"/>
            <w:vAlign w:val="center"/>
          </w:tcPr>
          <w:p w14:paraId="7B71307D" w14:textId="77777777" w:rsidR="000228FA" w:rsidRPr="00A411E7" w:rsidRDefault="000228FA" w:rsidP="00FF3977">
            <w:pPr>
              <w:rPr>
                <w:rFonts w:eastAsia="Calibri"/>
              </w:rPr>
            </w:pPr>
            <w:r>
              <w:rPr>
                <w:color w:val="000000"/>
              </w:rPr>
              <w:t xml:space="preserve"> -</w:t>
            </w:r>
          </w:p>
        </w:tc>
        <w:tc>
          <w:tcPr>
            <w:tcW w:w="0" w:type="auto"/>
            <w:vAlign w:val="center"/>
          </w:tcPr>
          <w:p w14:paraId="405E1B47" w14:textId="77777777" w:rsidR="000228FA" w:rsidRPr="00A411E7" w:rsidRDefault="000228FA" w:rsidP="00FF3977">
            <w:pPr>
              <w:rPr>
                <w:rFonts w:eastAsia="Calibri"/>
              </w:rPr>
            </w:pPr>
            <w:r>
              <w:rPr>
                <w:color w:val="000000"/>
              </w:rPr>
              <w:t xml:space="preserve"> -</w:t>
            </w:r>
          </w:p>
        </w:tc>
        <w:tc>
          <w:tcPr>
            <w:tcW w:w="0" w:type="auto"/>
            <w:vAlign w:val="center"/>
          </w:tcPr>
          <w:p w14:paraId="754953F9" w14:textId="77777777" w:rsidR="000228FA" w:rsidRPr="00A411E7" w:rsidRDefault="000228FA" w:rsidP="00FF3977">
            <w:pPr>
              <w:rPr>
                <w:rFonts w:eastAsia="Calibri"/>
              </w:rPr>
            </w:pPr>
            <w:r>
              <w:rPr>
                <w:color w:val="000000"/>
              </w:rPr>
              <w:t>Not applicable. The product is a micro-emulsion liquid and is not intended to be applied as a smoke.</w:t>
            </w:r>
          </w:p>
        </w:tc>
        <w:tc>
          <w:tcPr>
            <w:tcW w:w="0" w:type="auto"/>
            <w:vAlign w:val="center"/>
          </w:tcPr>
          <w:p w14:paraId="192767DA" w14:textId="77777777" w:rsidR="000228FA" w:rsidRPr="00A411E7" w:rsidRDefault="000228FA" w:rsidP="00FF3977">
            <w:pPr>
              <w:rPr>
                <w:rFonts w:eastAsia="Calibri"/>
              </w:rPr>
            </w:pPr>
            <w:r>
              <w:rPr>
                <w:color w:val="000000"/>
              </w:rPr>
              <w:t xml:space="preserve"> -</w:t>
            </w:r>
          </w:p>
        </w:tc>
        <w:tc>
          <w:tcPr>
            <w:tcW w:w="0" w:type="auto"/>
          </w:tcPr>
          <w:p w14:paraId="17C7DB5B" w14:textId="77777777" w:rsidR="000228FA" w:rsidRDefault="000228FA" w:rsidP="00FF3977">
            <w:pPr>
              <w:rPr>
                <w:color w:val="000000"/>
              </w:rPr>
            </w:pPr>
            <w:r>
              <w:rPr>
                <w:color w:val="000000"/>
              </w:rPr>
              <w:t>Not relevant</w:t>
            </w:r>
          </w:p>
        </w:tc>
      </w:tr>
      <w:tr w:rsidR="000228FA" w14:paraId="5B4991E2" w14:textId="77777777" w:rsidTr="00FF3977">
        <w:tc>
          <w:tcPr>
            <w:tcW w:w="0" w:type="auto"/>
          </w:tcPr>
          <w:p w14:paraId="7DD37F1D" w14:textId="77777777" w:rsidR="000228FA" w:rsidRPr="00A411E7" w:rsidRDefault="000228FA" w:rsidP="00FF3977">
            <w:pPr>
              <w:rPr>
                <w:rFonts w:eastAsia="Calibri"/>
              </w:rPr>
            </w:pPr>
            <w:r w:rsidRPr="00A411E7">
              <w:rPr>
                <w:rFonts w:eastAsia="Calibri"/>
              </w:rPr>
              <w:t>Spraying pattern — aerosols</w:t>
            </w:r>
          </w:p>
        </w:tc>
        <w:tc>
          <w:tcPr>
            <w:tcW w:w="0" w:type="auto"/>
            <w:vAlign w:val="center"/>
          </w:tcPr>
          <w:p w14:paraId="35C07BD0" w14:textId="77777777" w:rsidR="000228FA" w:rsidRPr="00A411E7" w:rsidRDefault="000228FA" w:rsidP="00FF3977">
            <w:pPr>
              <w:rPr>
                <w:rFonts w:eastAsia="Calibri"/>
              </w:rPr>
            </w:pPr>
            <w:r>
              <w:rPr>
                <w:color w:val="000000"/>
              </w:rPr>
              <w:t xml:space="preserve"> -</w:t>
            </w:r>
          </w:p>
        </w:tc>
        <w:tc>
          <w:tcPr>
            <w:tcW w:w="0" w:type="auto"/>
            <w:vAlign w:val="center"/>
          </w:tcPr>
          <w:p w14:paraId="345AB334" w14:textId="77777777" w:rsidR="000228FA" w:rsidRPr="00A411E7" w:rsidRDefault="000228FA" w:rsidP="00FF3977">
            <w:pPr>
              <w:rPr>
                <w:rFonts w:eastAsia="Calibri"/>
              </w:rPr>
            </w:pPr>
            <w:r>
              <w:rPr>
                <w:color w:val="000000"/>
              </w:rPr>
              <w:t xml:space="preserve"> -</w:t>
            </w:r>
          </w:p>
        </w:tc>
        <w:tc>
          <w:tcPr>
            <w:tcW w:w="0" w:type="auto"/>
            <w:vAlign w:val="center"/>
          </w:tcPr>
          <w:p w14:paraId="1699A729" w14:textId="77777777" w:rsidR="000228FA" w:rsidRPr="00A411E7" w:rsidRDefault="000228FA" w:rsidP="00FF3977">
            <w:pPr>
              <w:rPr>
                <w:rFonts w:eastAsia="Calibri"/>
              </w:rPr>
            </w:pPr>
            <w:r>
              <w:rPr>
                <w:color w:val="000000"/>
              </w:rPr>
              <w:t>Not applicable. The product is a micro-emulsion liquid and is not intended to be applied by spray with propellant gas under pressure.</w:t>
            </w:r>
          </w:p>
        </w:tc>
        <w:tc>
          <w:tcPr>
            <w:tcW w:w="0" w:type="auto"/>
            <w:vAlign w:val="center"/>
          </w:tcPr>
          <w:p w14:paraId="1FAE9E7F" w14:textId="77777777" w:rsidR="000228FA" w:rsidRPr="00A411E7" w:rsidRDefault="000228FA" w:rsidP="00FF3977">
            <w:pPr>
              <w:rPr>
                <w:rFonts w:eastAsia="Calibri"/>
              </w:rPr>
            </w:pPr>
            <w:r>
              <w:rPr>
                <w:color w:val="000000"/>
              </w:rPr>
              <w:t xml:space="preserve"> -</w:t>
            </w:r>
          </w:p>
        </w:tc>
        <w:tc>
          <w:tcPr>
            <w:tcW w:w="0" w:type="auto"/>
          </w:tcPr>
          <w:p w14:paraId="0903365F" w14:textId="77777777" w:rsidR="000228FA" w:rsidRDefault="000228FA" w:rsidP="00FF3977">
            <w:pPr>
              <w:rPr>
                <w:color w:val="000000"/>
              </w:rPr>
            </w:pPr>
            <w:r>
              <w:rPr>
                <w:color w:val="000000"/>
              </w:rPr>
              <w:t>Not relevant</w:t>
            </w:r>
          </w:p>
        </w:tc>
      </w:tr>
      <w:tr w:rsidR="000228FA" w14:paraId="4C790629" w14:textId="77777777" w:rsidTr="00FF3977">
        <w:tc>
          <w:tcPr>
            <w:tcW w:w="0" w:type="auto"/>
          </w:tcPr>
          <w:p w14:paraId="306E6DDC" w14:textId="77777777" w:rsidR="000228FA" w:rsidRPr="00A411E7" w:rsidRDefault="000228FA" w:rsidP="00FF3977">
            <w:pPr>
              <w:rPr>
                <w:rFonts w:eastAsia="Calibri"/>
              </w:rPr>
            </w:pPr>
            <w:r w:rsidRPr="00A411E7">
              <w:rPr>
                <w:rFonts w:eastAsia="Calibri"/>
              </w:rPr>
              <w:lastRenderedPageBreak/>
              <w:t>Physical compatibility</w:t>
            </w:r>
          </w:p>
        </w:tc>
        <w:tc>
          <w:tcPr>
            <w:tcW w:w="0" w:type="auto"/>
            <w:vAlign w:val="center"/>
          </w:tcPr>
          <w:p w14:paraId="177953D6" w14:textId="77777777" w:rsidR="000228FA" w:rsidRPr="00A411E7" w:rsidRDefault="000228FA" w:rsidP="00FF3977">
            <w:pPr>
              <w:rPr>
                <w:rFonts w:eastAsia="Calibri"/>
              </w:rPr>
            </w:pPr>
            <w:r>
              <w:rPr>
                <w:color w:val="000000"/>
              </w:rPr>
              <w:t xml:space="preserve"> -</w:t>
            </w:r>
          </w:p>
        </w:tc>
        <w:tc>
          <w:tcPr>
            <w:tcW w:w="0" w:type="auto"/>
            <w:vAlign w:val="center"/>
          </w:tcPr>
          <w:p w14:paraId="2491F416" w14:textId="77777777" w:rsidR="000228FA" w:rsidRPr="00A411E7" w:rsidRDefault="000228FA" w:rsidP="00FF3977">
            <w:pPr>
              <w:rPr>
                <w:rFonts w:eastAsia="Calibri"/>
              </w:rPr>
            </w:pPr>
            <w:r>
              <w:rPr>
                <w:color w:val="000000"/>
              </w:rPr>
              <w:t xml:space="preserve"> -</w:t>
            </w:r>
          </w:p>
        </w:tc>
        <w:tc>
          <w:tcPr>
            <w:tcW w:w="0" w:type="auto"/>
            <w:vAlign w:val="center"/>
          </w:tcPr>
          <w:p w14:paraId="0E4DC471"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0" w:type="auto"/>
            <w:vAlign w:val="center"/>
          </w:tcPr>
          <w:p w14:paraId="5875CB5C" w14:textId="77777777" w:rsidR="000228FA" w:rsidRPr="00A411E7" w:rsidRDefault="000228FA" w:rsidP="00FF3977">
            <w:pPr>
              <w:rPr>
                <w:rFonts w:eastAsia="Calibri"/>
              </w:rPr>
            </w:pPr>
            <w:r>
              <w:rPr>
                <w:color w:val="000000"/>
              </w:rPr>
              <w:t xml:space="preserve"> -</w:t>
            </w:r>
          </w:p>
        </w:tc>
        <w:tc>
          <w:tcPr>
            <w:tcW w:w="0" w:type="auto"/>
          </w:tcPr>
          <w:p w14:paraId="3A077DFC" w14:textId="77777777" w:rsidR="000228FA" w:rsidRDefault="000228FA" w:rsidP="00FF3977">
            <w:pPr>
              <w:rPr>
                <w:color w:val="000000"/>
              </w:rPr>
            </w:pPr>
            <w:r>
              <w:rPr>
                <w:color w:val="000000"/>
              </w:rPr>
              <w:t>Not relevant</w:t>
            </w:r>
          </w:p>
        </w:tc>
      </w:tr>
      <w:tr w:rsidR="000228FA" w14:paraId="242A19A1" w14:textId="77777777" w:rsidTr="00FF3977">
        <w:tc>
          <w:tcPr>
            <w:tcW w:w="0" w:type="auto"/>
          </w:tcPr>
          <w:p w14:paraId="59EE3606" w14:textId="77777777" w:rsidR="000228FA" w:rsidRPr="00A411E7" w:rsidRDefault="000228FA" w:rsidP="00FF3977">
            <w:pPr>
              <w:rPr>
                <w:rFonts w:eastAsia="Calibri"/>
              </w:rPr>
            </w:pPr>
            <w:r w:rsidRPr="00A411E7">
              <w:rPr>
                <w:rFonts w:eastAsia="Calibri"/>
              </w:rPr>
              <w:t>Chemical compatibility</w:t>
            </w:r>
          </w:p>
        </w:tc>
        <w:tc>
          <w:tcPr>
            <w:tcW w:w="0" w:type="auto"/>
            <w:vAlign w:val="center"/>
          </w:tcPr>
          <w:p w14:paraId="229B69EF" w14:textId="77777777" w:rsidR="000228FA" w:rsidRPr="00A411E7" w:rsidRDefault="000228FA" w:rsidP="00FF3977">
            <w:pPr>
              <w:rPr>
                <w:rFonts w:eastAsia="Calibri"/>
              </w:rPr>
            </w:pPr>
            <w:r>
              <w:rPr>
                <w:color w:val="000000"/>
              </w:rPr>
              <w:t xml:space="preserve"> -</w:t>
            </w:r>
          </w:p>
        </w:tc>
        <w:tc>
          <w:tcPr>
            <w:tcW w:w="0" w:type="auto"/>
            <w:vAlign w:val="center"/>
          </w:tcPr>
          <w:p w14:paraId="3F3BC2ED" w14:textId="77777777" w:rsidR="000228FA" w:rsidRPr="00A411E7" w:rsidRDefault="000228FA" w:rsidP="00FF3977">
            <w:pPr>
              <w:rPr>
                <w:rFonts w:eastAsia="Calibri"/>
              </w:rPr>
            </w:pPr>
            <w:r>
              <w:rPr>
                <w:color w:val="000000"/>
              </w:rPr>
              <w:t xml:space="preserve"> -</w:t>
            </w:r>
          </w:p>
        </w:tc>
        <w:tc>
          <w:tcPr>
            <w:tcW w:w="0" w:type="auto"/>
            <w:vAlign w:val="center"/>
          </w:tcPr>
          <w:p w14:paraId="72B1D46A"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0" w:type="auto"/>
            <w:vAlign w:val="center"/>
          </w:tcPr>
          <w:p w14:paraId="2B2EC9F0" w14:textId="77777777" w:rsidR="000228FA" w:rsidRPr="00A411E7" w:rsidRDefault="000228FA" w:rsidP="00FF3977">
            <w:pPr>
              <w:rPr>
                <w:rFonts w:eastAsia="Calibri"/>
              </w:rPr>
            </w:pPr>
            <w:r>
              <w:rPr>
                <w:color w:val="000000"/>
              </w:rPr>
              <w:t xml:space="preserve"> -</w:t>
            </w:r>
          </w:p>
        </w:tc>
        <w:tc>
          <w:tcPr>
            <w:tcW w:w="0" w:type="auto"/>
          </w:tcPr>
          <w:p w14:paraId="3D05D787" w14:textId="77777777" w:rsidR="000228FA" w:rsidRDefault="000228FA" w:rsidP="00FF3977">
            <w:pPr>
              <w:rPr>
                <w:color w:val="000000"/>
              </w:rPr>
            </w:pPr>
            <w:r>
              <w:rPr>
                <w:color w:val="000000"/>
              </w:rPr>
              <w:t>Not relevant</w:t>
            </w:r>
          </w:p>
        </w:tc>
      </w:tr>
      <w:tr w:rsidR="000228FA" w14:paraId="63FD3AC8" w14:textId="77777777" w:rsidTr="00FF3977">
        <w:tc>
          <w:tcPr>
            <w:tcW w:w="0" w:type="auto"/>
          </w:tcPr>
          <w:p w14:paraId="7E26092E" w14:textId="77777777" w:rsidR="000228FA" w:rsidRPr="00A411E7" w:rsidRDefault="000228FA" w:rsidP="00FF3977">
            <w:pPr>
              <w:rPr>
                <w:rFonts w:eastAsia="Calibri"/>
              </w:rPr>
            </w:pPr>
            <w:r w:rsidRPr="00A411E7">
              <w:rPr>
                <w:rFonts w:eastAsia="Calibri"/>
              </w:rPr>
              <w:t>Degree of dissolution and dilution stability</w:t>
            </w:r>
          </w:p>
        </w:tc>
        <w:tc>
          <w:tcPr>
            <w:tcW w:w="0" w:type="auto"/>
            <w:vAlign w:val="center"/>
          </w:tcPr>
          <w:p w14:paraId="143B25CC" w14:textId="77777777" w:rsidR="000228FA" w:rsidRPr="00A411E7" w:rsidRDefault="000228FA" w:rsidP="00FF3977">
            <w:pPr>
              <w:rPr>
                <w:rFonts w:eastAsia="Calibri"/>
              </w:rPr>
            </w:pPr>
            <w:r>
              <w:rPr>
                <w:color w:val="000000"/>
              </w:rPr>
              <w:t xml:space="preserve"> -</w:t>
            </w:r>
          </w:p>
        </w:tc>
        <w:tc>
          <w:tcPr>
            <w:tcW w:w="0" w:type="auto"/>
            <w:vAlign w:val="center"/>
          </w:tcPr>
          <w:p w14:paraId="3C25AECB" w14:textId="77777777" w:rsidR="000228FA" w:rsidRPr="00A411E7" w:rsidRDefault="000228FA" w:rsidP="00FF3977">
            <w:pPr>
              <w:rPr>
                <w:rFonts w:eastAsia="Calibri"/>
              </w:rPr>
            </w:pPr>
            <w:r>
              <w:rPr>
                <w:color w:val="000000"/>
              </w:rPr>
              <w:t xml:space="preserve"> -</w:t>
            </w:r>
          </w:p>
        </w:tc>
        <w:tc>
          <w:tcPr>
            <w:tcW w:w="0" w:type="auto"/>
            <w:vAlign w:val="center"/>
          </w:tcPr>
          <w:p w14:paraId="0CAF779E" w14:textId="77777777" w:rsidR="000228FA" w:rsidRPr="00A411E7" w:rsidRDefault="000228FA" w:rsidP="00FF3977">
            <w:pPr>
              <w:rPr>
                <w:rFonts w:eastAsia="Calibri"/>
              </w:rPr>
            </w:pPr>
            <w:r>
              <w:rPr>
                <w:color w:val="000000"/>
              </w:rPr>
              <w:t>Not required as the product is a micro-emulsion (ME).</w:t>
            </w:r>
          </w:p>
        </w:tc>
        <w:tc>
          <w:tcPr>
            <w:tcW w:w="0" w:type="auto"/>
            <w:vAlign w:val="center"/>
          </w:tcPr>
          <w:p w14:paraId="428CA205" w14:textId="77777777" w:rsidR="000228FA" w:rsidRPr="00A411E7" w:rsidRDefault="000228FA" w:rsidP="00FF3977">
            <w:pPr>
              <w:rPr>
                <w:rFonts w:eastAsia="Calibri"/>
              </w:rPr>
            </w:pPr>
            <w:r>
              <w:rPr>
                <w:color w:val="000000"/>
              </w:rPr>
              <w:t xml:space="preserve"> -</w:t>
            </w:r>
          </w:p>
        </w:tc>
        <w:tc>
          <w:tcPr>
            <w:tcW w:w="0" w:type="auto"/>
          </w:tcPr>
          <w:p w14:paraId="28306772" w14:textId="77777777" w:rsidR="000228FA" w:rsidRDefault="000228FA" w:rsidP="00FF3977">
            <w:pPr>
              <w:rPr>
                <w:color w:val="000000"/>
              </w:rPr>
            </w:pPr>
            <w:r>
              <w:rPr>
                <w:color w:val="000000"/>
              </w:rPr>
              <w:t>Not relevant for a ME formulation.</w:t>
            </w:r>
          </w:p>
        </w:tc>
      </w:tr>
      <w:tr w:rsidR="000228FA" w14:paraId="5BB75C37" w14:textId="77777777" w:rsidTr="00FF3977">
        <w:tc>
          <w:tcPr>
            <w:tcW w:w="0" w:type="auto"/>
          </w:tcPr>
          <w:p w14:paraId="04C4F79B" w14:textId="77777777" w:rsidR="000228FA" w:rsidRPr="00A411E7" w:rsidRDefault="000228FA" w:rsidP="00FF3977">
            <w:pPr>
              <w:rPr>
                <w:rFonts w:eastAsia="Calibri"/>
              </w:rPr>
            </w:pPr>
            <w:r w:rsidRPr="00A411E7">
              <w:rPr>
                <w:rFonts w:eastAsia="Calibri"/>
              </w:rPr>
              <w:t>Surface tension</w:t>
            </w:r>
          </w:p>
        </w:tc>
        <w:tc>
          <w:tcPr>
            <w:tcW w:w="0" w:type="auto"/>
            <w:vAlign w:val="center"/>
          </w:tcPr>
          <w:p w14:paraId="135BACD5" w14:textId="77777777" w:rsidR="000228FA" w:rsidRPr="00A411E7" w:rsidRDefault="000228FA" w:rsidP="00FF3977">
            <w:pPr>
              <w:rPr>
                <w:rFonts w:eastAsia="Calibri"/>
              </w:rPr>
            </w:pPr>
            <w:r>
              <w:rPr>
                <w:color w:val="000000"/>
              </w:rPr>
              <w:t>EC A.5. method (2008) and OECD Guideline No. 115 (1995)</w:t>
            </w:r>
          </w:p>
        </w:tc>
        <w:tc>
          <w:tcPr>
            <w:tcW w:w="0" w:type="auto"/>
            <w:vAlign w:val="center"/>
          </w:tcPr>
          <w:p w14:paraId="3F0231B5" w14:textId="77777777" w:rsidR="000228FA" w:rsidRDefault="000228FA" w:rsidP="00FF3977">
            <w:pPr>
              <w:rPr>
                <w:color w:val="000000"/>
              </w:rPr>
            </w:pPr>
            <w:r>
              <w:rPr>
                <w:color w:val="000000"/>
              </w:rPr>
              <w:t>Batch 1805000317</w:t>
            </w:r>
          </w:p>
          <w:p w14:paraId="5239CDC9"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0E987A7B" w14:textId="77777777" w:rsidR="000228FA" w:rsidRPr="00A411E7" w:rsidRDefault="000228FA" w:rsidP="00FF3977">
            <w:pPr>
              <w:rPr>
                <w:rFonts w:eastAsia="Calibri"/>
              </w:rPr>
            </w:pPr>
            <w:r>
              <w:rPr>
                <w:color w:val="000000"/>
              </w:rPr>
              <w:t>The mean surface tension of the test item diluted at 10% w/w in distilled water at 20.1 °C was 26 mN/m. The test item was considered as surface-active in the experimental conditions used.</w:t>
            </w:r>
          </w:p>
        </w:tc>
        <w:tc>
          <w:tcPr>
            <w:tcW w:w="0" w:type="auto"/>
            <w:vAlign w:val="center"/>
          </w:tcPr>
          <w:p w14:paraId="0A9F67BA" w14:textId="77777777" w:rsidR="000228FA" w:rsidRPr="00A411E7" w:rsidRDefault="000228FA" w:rsidP="00FF3977">
            <w:pPr>
              <w:rPr>
                <w:rFonts w:eastAsia="Calibri"/>
              </w:rPr>
            </w:pPr>
            <w:r>
              <w:rPr>
                <w:color w:val="000000"/>
              </w:rPr>
              <w:t>Demangel B., 2019, Report No 18-901011-049</w:t>
            </w:r>
          </w:p>
        </w:tc>
        <w:tc>
          <w:tcPr>
            <w:tcW w:w="0" w:type="auto"/>
          </w:tcPr>
          <w:p w14:paraId="205AF009" w14:textId="77777777" w:rsidR="000228FA" w:rsidRDefault="000228FA" w:rsidP="00FF3977">
            <w:pPr>
              <w:rPr>
                <w:color w:val="000000"/>
              </w:rPr>
            </w:pPr>
            <w:r>
              <w:rPr>
                <w:color w:val="000000"/>
              </w:rPr>
              <w:t>Acceptable</w:t>
            </w:r>
          </w:p>
        </w:tc>
      </w:tr>
      <w:tr w:rsidR="000228FA" w14:paraId="4BE5F76A" w14:textId="77777777" w:rsidTr="00FF3977">
        <w:tc>
          <w:tcPr>
            <w:tcW w:w="0" w:type="auto"/>
          </w:tcPr>
          <w:p w14:paraId="245986BE" w14:textId="77777777" w:rsidR="000228FA" w:rsidRPr="00A411E7" w:rsidRDefault="000228FA" w:rsidP="00FF3977">
            <w:pPr>
              <w:rPr>
                <w:rFonts w:eastAsia="Calibri"/>
              </w:rPr>
            </w:pPr>
            <w:r w:rsidRPr="00A411E7">
              <w:rPr>
                <w:rFonts w:eastAsia="Calibri"/>
              </w:rPr>
              <w:t>Viscosity</w:t>
            </w:r>
          </w:p>
        </w:tc>
        <w:tc>
          <w:tcPr>
            <w:tcW w:w="0" w:type="auto"/>
            <w:vAlign w:val="center"/>
          </w:tcPr>
          <w:p w14:paraId="1992FBEB" w14:textId="77777777" w:rsidR="000228FA" w:rsidRPr="00A411E7" w:rsidRDefault="000228FA" w:rsidP="00FF3977">
            <w:pPr>
              <w:rPr>
                <w:rFonts w:eastAsia="Calibri"/>
              </w:rPr>
            </w:pPr>
            <w:r>
              <w:rPr>
                <w:color w:val="000000"/>
              </w:rPr>
              <w:t>OECD Guideline No. 114 (2012) and ISO Standard 3219 (1993)</w:t>
            </w:r>
          </w:p>
        </w:tc>
        <w:tc>
          <w:tcPr>
            <w:tcW w:w="0" w:type="auto"/>
            <w:vAlign w:val="center"/>
          </w:tcPr>
          <w:p w14:paraId="36D7387E" w14:textId="77777777" w:rsidR="000228FA" w:rsidRDefault="000228FA" w:rsidP="00FF3977">
            <w:pPr>
              <w:rPr>
                <w:color w:val="000000"/>
              </w:rPr>
            </w:pPr>
            <w:r>
              <w:rPr>
                <w:color w:val="000000"/>
              </w:rPr>
              <w:t>Batch 1805000317</w:t>
            </w:r>
          </w:p>
          <w:p w14:paraId="799F169B" w14:textId="77777777" w:rsidR="000228FA" w:rsidRPr="00A411E7" w:rsidRDefault="000228FA" w:rsidP="00FF3977">
            <w:pPr>
              <w:rPr>
                <w:rFonts w:eastAsia="Calibri"/>
              </w:rPr>
            </w:pPr>
            <w:r>
              <w:rPr>
                <w:rFonts w:eastAsia="Calibri"/>
              </w:rPr>
              <w:t xml:space="preserve">Test  item: </w:t>
            </w:r>
            <w:r w:rsidRPr="00175754">
              <w:rPr>
                <w:rFonts w:eastAsia="Calibri"/>
              </w:rPr>
              <w:t>218291-V1</w:t>
            </w:r>
          </w:p>
        </w:tc>
        <w:tc>
          <w:tcPr>
            <w:tcW w:w="0" w:type="auto"/>
            <w:vAlign w:val="center"/>
          </w:tcPr>
          <w:p w14:paraId="67333A88" w14:textId="77777777" w:rsidR="000228FA" w:rsidRPr="00A411E7" w:rsidRDefault="000228FA" w:rsidP="00FF3977">
            <w:pPr>
              <w:rPr>
                <w:rFonts w:eastAsia="Calibri"/>
              </w:rPr>
            </w:pPr>
            <w:r>
              <w:rPr>
                <w:color w:val="000000"/>
              </w:rPr>
              <w:t xml:space="preserve">Taking into account the results obtained at 20.0 °C and 40.0 °C, the test item was considered to have newtonian properties in the experimental conditions used. The mean dynamic viscosity of the test item was 6.65 mPa.s at 20.0 °C ± 0.2 °C and 3.71 mPa.s at 40.0 °C ± 0.2 °C. </w:t>
            </w:r>
          </w:p>
        </w:tc>
        <w:tc>
          <w:tcPr>
            <w:tcW w:w="0" w:type="auto"/>
            <w:vAlign w:val="center"/>
          </w:tcPr>
          <w:p w14:paraId="335967EC" w14:textId="77777777" w:rsidR="000228FA" w:rsidRPr="00A411E7" w:rsidRDefault="000228FA" w:rsidP="00FF3977">
            <w:pPr>
              <w:rPr>
                <w:rFonts w:eastAsia="Calibri"/>
              </w:rPr>
            </w:pPr>
            <w:r>
              <w:rPr>
                <w:color w:val="000000"/>
              </w:rPr>
              <w:t>Demangel B., 2019, Report No 18-901011-049</w:t>
            </w:r>
          </w:p>
        </w:tc>
        <w:tc>
          <w:tcPr>
            <w:tcW w:w="0" w:type="auto"/>
          </w:tcPr>
          <w:p w14:paraId="07F48D86" w14:textId="77777777" w:rsidR="000228FA" w:rsidRDefault="000228FA" w:rsidP="00FF3977">
            <w:pPr>
              <w:rPr>
                <w:color w:val="000000"/>
              </w:rPr>
            </w:pPr>
            <w:r>
              <w:rPr>
                <w:color w:val="000000"/>
              </w:rPr>
              <w:t>Acceptable</w:t>
            </w:r>
          </w:p>
        </w:tc>
      </w:tr>
    </w:tbl>
    <w:p w14:paraId="12D5E1E1" w14:textId="30309BFE"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228FA" w:rsidRPr="00A411E7" w14:paraId="7665E046"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03E4AA4C"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10</w:t>
            </w:r>
          </w:p>
        </w:tc>
      </w:tr>
      <w:tr w:rsidR="000228FA" w:rsidRPr="001D704F" w14:paraId="5A6FFADD"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59E640" w14:textId="77777777" w:rsidR="000228FA" w:rsidRDefault="000228FA" w:rsidP="00FF3977">
            <w:pPr>
              <w:spacing w:line="276" w:lineRule="auto"/>
              <w:jc w:val="both"/>
              <w:rPr>
                <w:lang w:eastAsia="en-US"/>
              </w:rPr>
            </w:pPr>
            <w:r>
              <w:rPr>
                <w:lang w:eastAsia="en-US"/>
              </w:rPr>
              <w:lastRenderedPageBreak/>
              <w:t>The Meta-SPC 10 is a micro-emulsion (ME</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YZG2Eh5x","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6WfWApZh","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3CE2F2CD" w14:textId="77777777" w:rsidR="000228FA" w:rsidRDefault="000228FA" w:rsidP="00FF3977">
            <w:pPr>
              <w:spacing w:line="276" w:lineRule="auto"/>
              <w:jc w:val="both"/>
              <w:rPr>
                <w:lang w:eastAsia="en-US"/>
              </w:rPr>
            </w:pPr>
            <w:r>
              <w:rPr>
                <w:lang w:eastAsia="en-US"/>
              </w:rPr>
              <w:t xml:space="preserve">The appearance of the product is an </w:t>
            </w:r>
            <w:r>
              <w:rPr>
                <w:color w:val="000000"/>
              </w:rPr>
              <w:t>homogeneous yellow limpid liquid</w:t>
            </w:r>
            <w:r>
              <w:t xml:space="preserve"> with a characteristic odour</w:t>
            </w:r>
            <w:r>
              <w:rPr>
                <w:lang w:eastAsia="en-US"/>
              </w:rPr>
              <w:t xml:space="preserve">. There is no effect of high temperature (14 days at 54°C) and low temperature (7 days at 0°C) on the stability of the formulation, neither the active substance and the SoC content nor the technical properties were changed. The stability data indicate a shelf life of at least 2 years at ambient temperature when stored in this commercial packaging in </w:t>
            </w:r>
            <w:r w:rsidRPr="004E0EF7">
              <w:rPr>
                <w:lang w:eastAsia="en-US"/>
              </w:rPr>
              <w:t>HDPE</w:t>
            </w:r>
            <w:r>
              <w:rPr>
                <w:lang w:eastAsia="en-US"/>
              </w:rPr>
              <w:t xml:space="preserve">. The long term storage stability study is on-going and </w:t>
            </w:r>
            <w:r>
              <w:t>should be provided in post-authorisation.</w:t>
            </w:r>
          </w:p>
          <w:p w14:paraId="69897C3C" w14:textId="77777777" w:rsidR="000228FA" w:rsidRPr="001D704F" w:rsidRDefault="000228FA" w:rsidP="00FF3977">
            <w:pPr>
              <w:spacing w:line="260" w:lineRule="atLeast"/>
              <w:rPr>
                <w:rFonts w:eastAsia="Calibri"/>
                <w:color w:val="FF0000"/>
                <w:lang w:val="en-US" w:eastAsia="en-US"/>
              </w:rPr>
            </w:pPr>
            <w:r>
              <w:rPr>
                <w:lang w:eastAsia="en-US"/>
              </w:rPr>
              <w:t>Its technical characteristics are acceptable for a ME formulation.</w:t>
            </w:r>
          </w:p>
        </w:tc>
      </w:tr>
    </w:tbl>
    <w:p w14:paraId="53DD1FB6" w14:textId="19C8C41A"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8"/>
        <w:gridCol w:w="1378"/>
        <w:gridCol w:w="1138"/>
        <w:gridCol w:w="5100"/>
        <w:gridCol w:w="1132"/>
        <w:gridCol w:w="1495"/>
      </w:tblGrid>
      <w:tr w:rsidR="000228FA" w14:paraId="5A0DB965" w14:textId="77777777" w:rsidTr="00FF3977">
        <w:trPr>
          <w:tblHeader/>
        </w:trPr>
        <w:tc>
          <w:tcPr>
            <w:tcW w:w="4536" w:type="pct"/>
            <w:gridSpan w:val="5"/>
            <w:shd w:val="clear" w:color="auto" w:fill="E0E0E0"/>
            <w:vAlign w:val="center"/>
          </w:tcPr>
          <w:p w14:paraId="563C445C" w14:textId="77777777" w:rsidR="000228FA" w:rsidRPr="00305B11" w:rsidRDefault="000228FA" w:rsidP="00FF3977">
            <w:pPr>
              <w:spacing w:line="260" w:lineRule="atLeast"/>
              <w:rPr>
                <w:rFonts w:eastAsia="Calibri"/>
                <w:b/>
                <w:lang w:eastAsia="en-US"/>
              </w:rPr>
            </w:pPr>
            <w:r>
              <w:rPr>
                <w:rFonts w:eastAsia="Calibri"/>
                <w:b/>
                <w:lang w:eastAsia="en-US"/>
              </w:rPr>
              <w:t>Meta-SPC 11 (SL - dilution concentration: 1% v/v – 1.5% v/v)</w:t>
            </w:r>
          </w:p>
        </w:tc>
        <w:tc>
          <w:tcPr>
            <w:tcW w:w="464" w:type="pct"/>
            <w:shd w:val="clear" w:color="auto" w:fill="E0E0E0"/>
          </w:tcPr>
          <w:p w14:paraId="6117686B" w14:textId="77777777" w:rsidR="000228FA" w:rsidRDefault="000228FA" w:rsidP="00FF3977">
            <w:pPr>
              <w:spacing w:line="260" w:lineRule="atLeast"/>
              <w:rPr>
                <w:rFonts w:eastAsia="Calibri"/>
                <w:b/>
                <w:lang w:eastAsia="en-US"/>
              </w:rPr>
            </w:pPr>
          </w:p>
        </w:tc>
      </w:tr>
      <w:tr w:rsidR="000228FA" w:rsidRPr="00305B11" w14:paraId="6DC37D14" w14:textId="77777777" w:rsidTr="00FF3977">
        <w:trPr>
          <w:tblHeader/>
        </w:trPr>
        <w:tc>
          <w:tcPr>
            <w:tcW w:w="1190" w:type="pct"/>
            <w:shd w:val="clear" w:color="auto" w:fill="E0E0E0"/>
            <w:vAlign w:val="center"/>
          </w:tcPr>
          <w:p w14:paraId="5B8E4071" w14:textId="77777777" w:rsidR="000228FA" w:rsidRPr="00F24D0D" w:rsidRDefault="000228FA" w:rsidP="00FF3977">
            <w:pPr>
              <w:spacing w:line="260" w:lineRule="atLeast"/>
              <w:rPr>
                <w:rFonts w:eastAsia="Calibri"/>
                <w:b/>
                <w:lang w:eastAsia="en-US"/>
              </w:rPr>
            </w:pPr>
            <w:r w:rsidRPr="00F24D0D">
              <w:rPr>
                <w:rFonts w:eastAsia="Calibri"/>
                <w:b/>
                <w:lang w:eastAsia="en-US"/>
              </w:rPr>
              <w:t>Property</w:t>
            </w:r>
          </w:p>
        </w:tc>
        <w:tc>
          <w:tcPr>
            <w:tcW w:w="528" w:type="pct"/>
            <w:shd w:val="clear" w:color="auto" w:fill="E0E0E0"/>
            <w:vAlign w:val="center"/>
          </w:tcPr>
          <w:p w14:paraId="7B4B0657" w14:textId="77777777" w:rsidR="000228FA" w:rsidRPr="00F24D0D" w:rsidRDefault="000228FA" w:rsidP="00FF3977">
            <w:pPr>
              <w:spacing w:line="260" w:lineRule="atLeast"/>
              <w:rPr>
                <w:rFonts w:eastAsia="Calibri"/>
                <w:b/>
                <w:lang w:eastAsia="en-US"/>
              </w:rPr>
            </w:pPr>
            <w:r w:rsidRPr="00F24D0D">
              <w:rPr>
                <w:rFonts w:eastAsia="Calibri"/>
                <w:b/>
                <w:lang w:eastAsia="en-US"/>
              </w:rPr>
              <w:t>Guideline  and Method</w:t>
            </w:r>
          </w:p>
        </w:tc>
        <w:tc>
          <w:tcPr>
            <w:tcW w:w="436" w:type="pct"/>
            <w:shd w:val="clear" w:color="auto" w:fill="E0E0E0"/>
            <w:vAlign w:val="center"/>
          </w:tcPr>
          <w:p w14:paraId="083F28E7" w14:textId="77777777" w:rsidR="000228FA" w:rsidRPr="00F24D0D" w:rsidRDefault="000228FA" w:rsidP="00FF3977">
            <w:pPr>
              <w:spacing w:line="260" w:lineRule="atLeast"/>
              <w:rPr>
                <w:rFonts w:eastAsia="Calibri"/>
                <w:b/>
                <w:lang w:eastAsia="en-US"/>
              </w:rPr>
            </w:pPr>
            <w:r w:rsidRPr="00F24D0D">
              <w:rPr>
                <w:rFonts w:eastAsia="Calibri"/>
                <w:b/>
                <w:lang w:eastAsia="en-US"/>
              </w:rPr>
              <w:t>Purity of the test substance (% (w/w)</w:t>
            </w:r>
          </w:p>
        </w:tc>
        <w:tc>
          <w:tcPr>
            <w:tcW w:w="1948" w:type="pct"/>
            <w:shd w:val="clear" w:color="auto" w:fill="E0E0E0"/>
            <w:vAlign w:val="center"/>
          </w:tcPr>
          <w:p w14:paraId="7A10CB9B" w14:textId="77777777" w:rsidR="000228FA" w:rsidRPr="00C746BC" w:rsidRDefault="000228FA" w:rsidP="00FF3977">
            <w:pPr>
              <w:spacing w:line="260" w:lineRule="atLeast"/>
              <w:rPr>
                <w:rFonts w:eastAsia="Calibri"/>
                <w:b/>
                <w:lang w:eastAsia="en-US"/>
              </w:rPr>
            </w:pPr>
            <w:r w:rsidRPr="00C746BC">
              <w:rPr>
                <w:rFonts w:eastAsia="Calibri"/>
                <w:b/>
                <w:lang w:eastAsia="en-US"/>
              </w:rPr>
              <w:t>Results</w:t>
            </w:r>
          </w:p>
        </w:tc>
        <w:tc>
          <w:tcPr>
            <w:tcW w:w="434" w:type="pct"/>
            <w:shd w:val="clear" w:color="auto" w:fill="E0E0E0"/>
            <w:vAlign w:val="center"/>
          </w:tcPr>
          <w:p w14:paraId="715FE128" w14:textId="77777777" w:rsidR="000228FA" w:rsidRPr="00305B11" w:rsidRDefault="000228FA" w:rsidP="00FF3977">
            <w:pPr>
              <w:spacing w:line="260" w:lineRule="atLeast"/>
              <w:rPr>
                <w:rFonts w:eastAsia="Calibri"/>
                <w:b/>
                <w:lang w:eastAsia="en-US"/>
              </w:rPr>
            </w:pPr>
            <w:r w:rsidRPr="00305B11">
              <w:rPr>
                <w:rFonts w:eastAsia="Calibri"/>
                <w:b/>
                <w:lang w:eastAsia="en-US"/>
              </w:rPr>
              <w:t>Reference</w:t>
            </w:r>
          </w:p>
        </w:tc>
        <w:tc>
          <w:tcPr>
            <w:tcW w:w="464" w:type="pct"/>
            <w:shd w:val="clear" w:color="auto" w:fill="E0E0E0"/>
          </w:tcPr>
          <w:p w14:paraId="064DB272" w14:textId="77777777" w:rsidR="000228FA" w:rsidRPr="00305B11" w:rsidRDefault="000228FA" w:rsidP="00FF3977">
            <w:pPr>
              <w:spacing w:line="260" w:lineRule="atLeast"/>
              <w:rPr>
                <w:rFonts w:eastAsia="Calibri"/>
                <w:b/>
                <w:lang w:eastAsia="en-US"/>
              </w:rPr>
            </w:pPr>
            <w:r>
              <w:rPr>
                <w:rFonts w:eastAsia="Calibri"/>
                <w:b/>
                <w:lang w:eastAsia="en-US"/>
              </w:rPr>
              <w:t>FR evaluation</w:t>
            </w:r>
          </w:p>
        </w:tc>
      </w:tr>
      <w:tr w:rsidR="000228FA" w14:paraId="0A5AA76E" w14:textId="77777777" w:rsidTr="00FF3977">
        <w:tc>
          <w:tcPr>
            <w:tcW w:w="1190" w:type="pct"/>
          </w:tcPr>
          <w:p w14:paraId="7FA254E8" w14:textId="77777777" w:rsidR="000228FA" w:rsidRPr="00017CF8" w:rsidRDefault="000228FA" w:rsidP="00FF3977">
            <w:pPr>
              <w:rPr>
                <w:rFonts w:eastAsia="Calibri"/>
              </w:rPr>
            </w:pPr>
            <w:r w:rsidRPr="00017CF8">
              <w:rPr>
                <w:rFonts w:eastAsia="Calibri"/>
              </w:rPr>
              <w:t>Physical state</w:t>
            </w:r>
            <w:r>
              <w:rPr>
                <w:rFonts w:eastAsia="Calibri"/>
              </w:rPr>
              <w:t>/odour/colour</w:t>
            </w:r>
            <w:r w:rsidRPr="00017CF8">
              <w:rPr>
                <w:rFonts w:eastAsia="Calibri"/>
              </w:rPr>
              <w:t xml:space="preserve"> at 20 °C and 101.3 kPa</w:t>
            </w:r>
          </w:p>
        </w:tc>
        <w:tc>
          <w:tcPr>
            <w:tcW w:w="528" w:type="pct"/>
            <w:vAlign w:val="center"/>
          </w:tcPr>
          <w:p w14:paraId="11A0572C" w14:textId="77777777" w:rsidR="000228FA" w:rsidRPr="00017CF8" w:rsidRDefault="000228FA" w:rsidP="00FF3977">
            <w:pPr>
              <w:rPr>
                <w:rFonts w:eastAsia="Calibri"/>
              </w:rPr>
            </w:pPr>
            <w:r>
              <w:rPr>
                <w:color w:val="000000"/>
              </w:rPr>
              <w:t xml:space="preserve"> -</w:t>
            </w:r>
          </w:p>
        </w:tc>
        <w:tc>
          <w:tcPr>
            <w:tcW w:w="436" w:type="pct"/>
            <w:vAlign w:val="center"/>
          </w:tcPr>
          <w:p w14:paraId="4F3CF572" w14:textId="77777777" w:rsidR="000228FA" w:rsidRDefault="000228FA" w:rsidP="00FF3977">
            <w:pPr>
              <w:rPr>
                <w:color w:val="000000"/>
              </w:rPr>
            </w:pPr>
            <w:r>
              <w:rPr>
                <w:color w:val="000000"/>
              </w:rPr>
              <w:t>Batch 5118225</w:t>
            </w:r>
          </w:p>
          <w:p w14:paraId="70A0F4AC" w14:textId="77777777" w:rsidR="000228FA" w:rsidRPr="00017CF8"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69D757A7" w14:textId="77777777" w:rsidR="000228FA" w:rsidRPr="00017CF8" w:rsidRDefault="000228FA" w:rsidP="00FF3977">
            <w:pPr>
              <w:rPr>
                <w:rFonts w:eastAsia="Calibri"/>
              </w:rPr>
            </w:pPr>
            <w:r>
              <w:rPr>
                <w:color w:val="000000"/>
              </w:rPr>
              <w:t>The appearance of the test item was homogeneous slightly yellow limpid liquid with a characteristic odour.</w:t>
            </w:r>
          </w:p>
        </w:tc>
        <w:tc>
          <w:tcPr>
            <w:tcW w:w="434" w:type="pct"/>
            <w:vAlign w:val="center"/>
          </w:tcPr>
          <w:p w14:paraId="054A9489" w14:textId="77777777" w:rsidR="000228FA" w:rsidRPr="00017CF8" w:rsidRDefault="000228FA" w:rsidP="00FF3977">
            <w:pPr>
              <w:rPr>
                <w:rFonts w:eastAsia="Calibri"/>
              </w:rPr>
            </w:pPr>
            <w:r>
              <w:rPr>
                <w:color w:val="000000"/>
              </w:rPr>
              <w:t>Demangel B. and Ricau H., 2019, Report No 18-901011-057</w:t>
            </w:r>
          </w:p>
        </w:tc>
        <w:tc>
          <w:tcPr>
            <w:tcW w:w="464" w:type="pct"/>
          </w:tcPr>
          <w:p w14:paraId="193110B5" w14:textId="77777777" w:rsidR="000228FA" w:rsidRDefault="000228FA" w:rsidP="00FF3977">
            <w:pPr>
              <w:rPr>
                <w:color w:val="000000"/>
              </w:rPr>
            </w:pPr>
            <w:r>
              <w:rPr>
                <w:color w:val="000000"/>
              </w:rPr>
              <w:t>Acceptable</w:t>
            </w:r>
          </w:p>
        </w:tc>
      </w:tr>
      <w:tr w:rsidR="000228FA" w14:paraId="239A7936" w14:textId="77777777" w:rsidTr="00FF3977">
        <w:tc>
          <w:tcPr>
            <w:tcW w:w="1190" w:type="pct"/>
          </w:tcPr>
          <w:p w14:paraId="52D5D8DD" w14:textId="77777777" w:rsidR="000228FA" w:rsidRPr="00A411E7" w:rsidRDefault="000228FA" w:rsidP="00FF3977">
            <w:pPr>
              <w:rPr>
                <w:rFonts w:eastAsia="Calibri"/>
              </w:rPr>
            </w:pPr>
            <w:r w:rsidRPr="00A411E7">
              <w:rPr>
                <w:rFonts w:eastAsia="Calibri"/>
              </w:rPr>
              <w:t>Acidity / alkalinity</w:t>
            </w:r>
          </w:p>
        </w:tc>
        <w:tc>
          <w:tcPr>
            <w:tcW w:w="528" w:type="pct"/>
            <w:vAlign w:val="center"/>
          </w:tcPr>
          <w:p w14:paraId="70ED6F13" w14:textId="77777777" w:rsidR="000228FA" w:rsidRPr="00A411E7" w:rsidRDefault="000228FA" w:rsidP="00FF3977">
            <w:pPr>
              <w:rPr>
                <w:rFonts w:eastAsia="Calibri"/>
              </w:rPr>
            </w:pPr>
            <w:r>
              <w:rPr>
                <w:color w:val="000000"/>
              </w:rPr>
              <w:t>CIPAC Handbook L - MT 191 method (2006)</w:t>
            </w:r>
          </w:p>
        </w:tc>
        <w:tc>
          <w:tcPr>
            <w:tcW w:w="436" w:type="pct"/>
            <w:vAlign w:val="center"/>
          </w:tcPr>
          <w:p w14:paraId="5FCB0F1B" w14:textId="77777777" w:rsidR="000228FA" w:rsidRDefault="000228FA" w:rsidP="00FF3977">
            <w:pPr>
              <w:rPr>
                <w:color w:val="000000"/>
              </w:rPr>
            </w:pPr>
            <w:r>
              <w:rPr>
                <w:color w:val="000000"/>
              </w:rPr>
              <w:t>Batch 5118225</w:t>
            </w:r>
          </w:p>
          <w:p w14:paraId="0C0F6B88"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469D0963" w14:textId="77777777" w:rsidR="000228FA" w:rsidRPr="00A411E7" w:rsidRDefault="000228FA" w:rsidP="00FF3977">
            <w:pPr>
              <w:rPr>
                <w:rFonts w:eastAsia="Calibri"/>
              </w:rPr>
            </w:pPr>
            <w:r>
              <w:t>Before the accelerated storage procedure, the mean value of the test item acidity was 12.8% w/w. After the accelerated storage procedure, the mean value of the test item acidity was 13.1% w/w.</w:t>
            </w:r>
          </w:p>
        </w:tc>
        <w:tc>
          <w:tcPr>
            <w:tcW w:w="434" w:type="pct"/>
            <w:vAlign w:val="center"/>
          </w:tcPr>
          <w:p w14:paraId="117DF1A9" w14:textId="77777777" w:rsidR="000228FA" w:rsidRPr="00A411E7" w:rsidRDefault="000228FA" w:rsidP="00FF3977">
            <w:pPr>
              <w:rPr>
                <w:rFonts w:eastAsia="Calibri"/>
              </w:rPr>
            </w:pPr>
            <w:r>
              <w:rPr>
                <w:color w:val="000000"/>
              </w:rPr>
              <w:t>Demangel B. and Ricau H., 2019, Report No 18-901011-057</w:t>
            </w:r>
          </w:p>
        </w:tc>
        <w:tc>
          <w:tcPr>
            <w:tcW w:w="464" w:type="pct"/>
          </w:tcPr>
          <w:p w14:paraId="27AC99F1" w14:textId="77777777" w:rsidR="000228FA" w:rsidRDefault="000228FA" w:rsidP="00FF3977">
            <w:pPr>
              <w:rPr>
                <w:color w:val="000000"/>
              </w:rPr>
            </w:pPr>
            <w:r>
              <w:rPr>
                <w:color w:val="000000"/>
              </w:rPr>
              <w:t>Acceptable</w:t>
            </w:r>
          </w:p>
        </w:tc>
      </w:tr>
      <w:tr w:rsidR="000228FA" w14:paraId="0A8487F5" w14:textId="77777777" w:rsidTr="00FF3977">
        <w:tc>
          <w:tcPr>
            <w:tcW w:w="1190" w:type="pct"/>
          </w:tcPr>
          <w:p w14:paraId="7828CB1B" w14:textId="77777777" w:rsidR="000228FA" w:rsidRPr="00A411E7" w:rsidRDefault="000228FA" w:rsidP="00FF3977">
            <w:pPr>
              <w:rPr>
                <w:rFonts w:eastAsia="Calibri"/>
              </w:rPr>
            </w:pPr>
            <w:r>
              <w:rPr>
                <w:rFonts w:eastAsia="Calibri"/>
              </w:rPr>
              <w:t>pH value</w:t>
            </w:r>
          </w:p>
        </w:tc>
        <w:tc>
          <w:tcPr>
            <w:tcW w:w="528" w:type="pct"/>
            <w:vAlign w:val="center"/>
          </w:tcPr>
          <w:p w14:paraId="5004B761" w14:textId="77777777" w:rsidR="000228FA" w:rsidRDefault="000228FA" w:rsidP="00FF3977">
            <w:pPr>
              <w:rPr>
                <w:color w:val="000000"/>
              </w:rPr>
            </w:pPr>
            <w:r>
              <w:rPr>
                <w:color w:val="000000"/>
              </w:rPr>
              <w:t>CIPAC MT 75.3</w:t>
            </w:r>
          </w:p>
        </w:tc>
        <w:tc>
          <w:tcPr>
            <w:tcW w:w="436" w:type="pct"/>
            <w:vAlign w:val="center"/>
          </w:tcPr>
          <w:p w14:paraId="5FFBE5B8" w14:textId="77777777" w:rsidR="000228FA" w:rsidRDefault="000228FA" w:rsidP="00FF3977">
            <w:r>
              <w:t>Batch 5118225</w:t>
            </w:r>
          </w:p>
          <w:p w14:paraId="5DA8A9BF" w14:textId="77777777" w:rsidR="000228FA" w:rsidRDefault="000228FA" w:rsidP="00FF3977">
            <w:pPr>
              <w:rPr>
                <w:color w:val="000000"/>
              </w:rPr>
            </w:pPr>
            <w:r>
              <w:rPr>
                <w:rFonts w:eastAsia="Calibri"/>
              </w:rPr>
              <w:lastRenderedPageBreak/>
              <w:t xml:space="preserve">Test item: </w:t>
            </w:r>
            <w:r w:rsidRPr="003A5D51">
              <w:rPr>
                <w:rFonts w:eastAsia="Calibri"/>
              </w:rPr>
              <w:t>218255-P1</w:t>
            </w:r>
          </w:p>
        </w:tc>
        <w:tc>
          <w:tcPr>
            <w:tcW w:w="1948" w:type="pct"/>
            <w:vAlign w:val="center"/>
          </w:tcPr>
          <w:p w14:paraId="2A84DF6D" w14:textId="77777777" w:rsidR="000228FA" w:rsidRDefault="000228FA" w:rsidP="00FF3977">
            <w:pPr>
              <w:rPr>
                <w:color w:val="000000"/>
              </w:rPr>
            </w:pPr>
            <w:r>
              <w:rPr>
                <w:color w:val="000000"/>
              </w:rPr>
              <w:lastRenderedPageBreak/>
              <w:t>Before accelerated storage: pH=2.55 at 19°C</w:t>
            </w:r>
          </w:p>
          <w:p w14:paraId="467C26AC" w14:textId="77777777" w:rsidR="000228FA" w:rsidRDefault="000228FA" w:rsidP="00FF3977">
            <w:r>
              <w:rPr>
                <w:color w:val="000000"/>
              </w:rPr>
              <w:t>After accelerated storage: pH=2.61 at 19.6°C</w:t>
            </w:r>
          </w:p>
        </w:tc>
        <w:tc>
          <w:tcPr>
            <w:tcW w:w="434" w:type="pct"/>
            <w:vAlign w:val="center"/>
          </w:tcPr>
          <w:p w14:paraId="23E478AA" w14:textId="77777777" w:rsidR="000228FA" w:rsidRDefault="000228FA" w:rsidP="00FF3977">
            <w:pPr>
              <w:rPr>
                <w:color w:val="000000"/>
              </w:rPr>
            </w:pPr>
            <w:r>
              <w:rPr>
                <w:color w:val="000000"/>
              </w:rPr>
              <w:t xml:space="preserve">Demangel B. and Ricau H., </w:t>
            </w:r>
            <w:r>
              <w:rPr>
                <w:color w:val="000000"/>
              </w:rPr>
              <w:lastRenderedPageBreak/>
              <w:t>2019, Report No 18-901011-057</w:t>
            </w:r>
          </w:p>
        </w:tc>
        <w:tc>
          <w:tcPr>
            <w:tcW w:w="464" w:type="pct"/>
          </w:tcPr>
          <w:p w14:paraId="0EF5E5FB" w14:textId="77777777" w:rsidR="000228FA" w:rsidRDefault="000228FA" w:rsidP="00FF3977">
            <w:pPr>
              <w:rPr>
                <w:color w:val="000000"/>
              </w:rPr>
            </w:pPr>
            <w:r>
              <w:rPr>
                <w:color w:val="000000"/>
              </w:rPr>
              <w:lastRenderedPageBreak/>
              <w:t>Acceptable</w:t>
            </w:r>
          </w:p>
        </w:tc>
      </w:tr>
      <w:tr w:rsidR="000228FA" w14:paraId="654F9EEE" w14:textId="77777777" w:rsidTr="00FF3977">
        <w:tc>
          <w:tcPr>
            <w:tcW w:w="1190" w:type="pct"/>
            <w:tcBorders>
              <w:top w:val="single" w:sz="4" w:space="0" w:color="auto"/>
              <w:left w:val="single" w:sz="4" w:space="0" w:color="auto"/>
              <w:bottom w:val="single" w:sz="4" w:space="0" w:color="auto"/>
              <w:right w:val="single" w:sz="4" w:space="0" w:color="auto"/>
            </w:tcBorders>
          </w:tcPr>
          <w:p w14:paraId="19607735" w14:textId="77777777" w:rsidR="000228FA" w:rsidRPr="00A411E7" w:rsidRDefault="000228FA" w:rsidP="00FF3977">
            <w:pPr>
              <w:rPr>
                <w:rFonts w:eastAsia="Calibri"/>
              </w:rPr>
            </w:pPr>
            <w:r w:rsidRPr="00A411E7">
              <w:rPr>
                <w:rFonts w:eastAsia="Calibri"/>
              </w:rPr>
              <w:t>Relative density / bulk density</w:t>
            </w:r>
          </w:p>
        </w:tc>
        <w:tc>
          <w:tcPr>
            <w:tcW w:w="528" w:type="pct"/>
            <w:tcBorders>
              <w:top w:val="single" w:sz="4" w:space="0" w:color="auto"/>
              <w:left w:val="single" w:sz="4" w:space="0" w:color="auto"/>
              <w:bottom w:val="single" w:sz="4" w:space="0" w:color="auto"/>
              <w:right w:val="single" w:sz="4" w:space="0" w:color="auto"/>
            </w:tcBorders>
            <w:vAlign w:val="center"/>
          </w:tcPr>
          <w:p w14:paraId="24C9DE62" w14:textId="77777777" w:rsidR="000228FA" w:rsidRPr="00A411E7" w:rsidRDefault="000228FA" w:rsidP="00FF3977">
            <w:pPr>
              <w:rPr>
                <w:rFonts w:eastAsia="Calibri"/>
              </w:rPr>
            </w:pPr>
            <w:r>
              <w:rPr>
                <w:color w:val="000000"/>
              </w:rPr>
              <w:t>EC A.3. method (2008) and OECD Guideline No. 109 (2012)</w:t>
            </w:r>
          </w:p>
        </w:tc>
        <w:tc>
          <w:tcPr>
            <w:tcW w:w="436" w:type="pct"/>
            <w:tcBorders>
              <w:top w:val="single" w:sz="4" w:space="0" w:color="auto"/>
              <w:left w:val="single" w:sz="4" w:space="0" w:color="auto"/>
              <w:bottom w:val="single" w:sz="4" w:space="0" w:color="auto"/>
              <w:right w:val="single" w:sz="4" w:space="0" w:color="auto"/>
            </w:tcBorders>
            <w:vAlign w:val="center"/>
          </w:tcPr>
          <w:p w14:paraId="6F651CEE" w14:textId="77777777" w:rsidR="000228FA" w:rsidRDefault="000228FA" w:rsidP="00FF3977">
            <w:pPr>
              <w:rPr>
                <w:color w:val="000000"/>
              </w:rPr>
            </w:pPr>
            <w:r>
              <w:rPr>
                <w:color w:val="000000"/>
              </w:rPr>
              <w:t>Batch 5118225</w:t>
            </w:r>
          </w:p>
          <w:p w14:paraId="1513D3AB"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tcBorders>
              <w:top w:val="single" w:sz="4" w:space="0" w:color="auto"/>
              <w:left w:val="single" w:sz="4" w:space="0" w:color="auto"/>
              <w:bottom w:val="single" w:sz="4" w:space="0" w:color="auto"/>
              <w:right w:val="single" w:sz="4" w:space="0" w:color="auto"/>
            </w:tcBorders>
            <w:vAlign w:val="center"/>
          </w:tcPr>
          <w:p w14:paraId="34AC0EAE" w14:textId="77777777" w:rsidR="000228FA" w:rsidRPr="00A411E7" w:rsidRDefault="000228FA" w:rsidP="00FF3977">
            <w:pPr>
              <w:rPr>
                <w:rFonts w:eastAsia="Calibri"/>
              </w:rPr>
            </w:pPr>
            <w:r>
              <w:rPr>
                <w:color w:val="000000"/>
              </w:rPr>
              <w:t>The mean relative density of the test item was D204 = 1.057 ± 0.001 at 20.0 °C.</w:t>
            </w:r>
          </w:p>
        </w:tc>
        <w:tc>
          <w:tcPr>
            <w:tcW w:w="434" w:type="pct"/>
            <w:tcBorders>
              <w:top w:val="single" w:sz="4" w:space="0" w:color="auto"/>
              <w:left w:val="single" w:sz="4" w:space="0" w:color="auto"/>
              <w:bottom w:val="single" w:sz="4" w:space="0" w:color="auto"/>
              <w:right w:val="single" w:sz="4" w:space="0" w:color="auto"/>
            </w:tcBorders>
            <w:vAlign w:val="center"/>
          </w:tcPr>
          <w:p w14:paraId="47BBEE98" w14:textId="77777777" w:rsidR="000228FA" w:rsidRPr="00A411E7" w:rsidRDefault="000228FA" w:rsidP="00FF3977">
            <w:pPr>
              <w:rPr>
                <w:rFonts w:eastAsia="Calibri"/>
              </w:rPr>
            </w:pPr>
            <w:r>
              <w:rPr>
                <w:color w:val="000000"/>
              </w:rPr>
              <w:t>Demangel B., 2019, Report No 18-901011-056</w:t>
            </w:r>
          </w:p>
        </w:tc>
        <w:tc>
          <w:tcPr>
            <w:tcW w:w="464" w:type="pct"/>
            <w:tcBorders>
              <w:top w:val="single" w:sz="4" w:space="0" w:color="auto"/>
              <w:left w:val="single" w:sz="4" w:space="0" w:color="auto"/>
              <w:bottom w:val="single" w:sz="4" w:space="0" w:color="auto"/>
              <w:right w:val="single" w:sz="4" w:space="0" w:color="auto"/>
            </w:tcBorders>
          </w:tcPr>
          <w:p w14:paraId="0FBD1EB4" w14:textId="77777777" w:rsidR="000228FA" w:rsidRDefault="000228FA" w:rsidP="00FF3977">
            <w:pPr>
              <w:rPr>
                <w:color w:val="000000"/>
              </w:rPr>
            </w:pPr>
            <w:r>
              <w:rPr>
                <w:color w:val="000000"/>
              </w:rPr>
              <w:t>Acceptable</w:t>
            </w:r>
          </w:p>
        </w:tc>
      </w:tr>
      <w:tr w:rsidR="000228FA" w14:paraId="341473F9" w14:textId="77777777" w:rsidTr="00FF3977">
        <w:tc>
          <w:tcPr>
            <w:tcW w:w="1190" w:type="pct"/>
          </w:tcPr>
          <w:p w14:paraId="3A90EB80" w14:textId="77777777" w:rsidR="000228FA" w:rsidRPr="00A411E7" w:rsidRDefault="000228FA" w:rsidP="00FF3977">
            <w:pPr>
              <w:rPr>
                <w:rFonts w:eastAsia="Calibri"/>
              </w:rPr>
            </w:pPr>
            <w:r w:rsidRPr="00A411E7">
              <w:rPr>
                <w:rFonts w:eastAsia="Calibri"/>
              </w:rPr>
              <w:t xml:space="preserve">Storage stability test – </w:t>
            </w:r>
            <w:r w:rsidRPr="00A411E7">
              <w:rPr>
                <w:rFonts w:eastAsia="Calibri"/>
                <w:b/>
              </w:rPr>
              <w:t>accelerated storage</w:t>
            </w:r>
          </w:p>
        </w:tc>
        <w:tc>
          <w:tcPr>
            <w:tcW w:w="528" w:type="pct"/>
            <w:vAlign w:val="center"/>
          </w:tcPr>
          <w:p w14:paraId="64A75B93" w14:textId="77777777" w:rsidR="000228FA" w:rsidRDefault="000228FA" w:rsidP="00FF3977">
            <w:pPr>
              <w:rPr>
                <w:color w:val="000000"/>
              </w:rPr>
            </w:pPr>
            <w:r>
              <w:rPr>
                <w:color w:val="000000"/>
              </w:rPr>
              <w:t>CIPAC Handbook J - MT 46.3 method (2000)</w:t>
            </w:r>
            <w:r>
              <w:rPr>
                <w:color w:val="000000"/>
              </w:rPr>
              <w:br/>
            </w:r>
          </w:p>
          <w:p w14:paraId="0370FA96" w14:textId="77777777" w:rsidR="000228FA" w:rsidRDefault="000228FA" w:rsidP="00FF3977">
            <w:pPr>
              <w:rPr>
                <w:color w:val="000000"/>
              </w:rPr>
            </w:pPr>
            <w:r>
              <w:rPr>
                <w:color w:val="000000"/>
              </w:rPr>
              <w:t>Content of AS:</w:t>
            </w:r>
          </w:p>
          <w:p w14:paraId="2049FA5A" w14:textId="77777777" w:rsidR="000228FA" w:rsidRPr="003E6A10" w:rsidRDefault="000228FA" w:rsidP="00FF3977">
            <w:pPr>
              <w:rPr>
                <w:color w:val="000000"/>
                <w:lang w:val="en-US"/>
              </w:rPr>
            </w:pPr>
            <w:r>
              <w:rPr>
                <w:color w:val="000000"/>
              </w:rPr>
              <w:t xml:space="preserve">Validated method in studies </w:t>
            </w:r>
            <w:r w:rsidRPr="0026219A">
              <w:rPr>
                <w:color w:val="000000"/>
              </w:rPr>
              <w:t>No. 17-901011-001</w:t>
            </w:r>
            <w:r>
              <w:rPr>
                <w:color w:val="000000"/>
              </w:rPr>
              <w:t xml:space="preserve"> and No. 18-901011-059</w:t>
            </w:r>
          </w:p>
          <w:p w14:paraId="51160877" w14:textId="77777777" w:rsidR="000228FA" w:rsidRDefault="000228FA" w:rsidP="00FF3977">
            <w:pPr>
              <w:rPr>
                <w:color w:val="000000"/>
              </w:rPr>
            </w:pPr>
          </w:p>
          <w:p w14:paraId="554F98CB" w14:textId="77777777" w:rsidR="000228FA" w:rsidRDefault="000228FA" w:rsidP="00FF3977">
            <w:pPr>
              <w:rPr>
                <w:bCs/>
              </w:rPr>
            </w:pPr>
            <w:r>
              <w:rPr>
                <w:color w:val="000000"/>
              </w:rPr>
              <w:t xml:space="preserve">Content of </w:t>
            </w:r>
            <w:r>
              <w:t xml:space="preserve">Potassium </w:t>
            </w:r>
            <w:r>
              <w:lastRenderedPageBreak/>
              <w:t xml:space="preserve">sorbate and </w:t>
            </w:r>
            <w:r w:rsidRPr="00DA352C">
              <w:rPr>
                <w:bCs/>
              </w:rPr>
              <w:t>Amines, coco alkyldimethyl, N-oxides</w:t>
            </w:r>
            <w:r>
              <w:rPr>
                <w:bCs/>
              </w:rPr>
              <w:t>:</w:t>
            </w:r>
          </w:p>
          <w:p w14:paraId="69A57C3C" w14:textId="77777777" w:rsidR="000228FA" w:rsidRPr="00A411E7" w:rsidRDefault="000228FA" w:rsidP="00FF3977">
            <w:pPr>
              <w:rPr>
                <w:rFonts w:eastAsia="Calibri"/>
              </w:rPr>
            </w:pPr>
            <w:r>
              <w:rPr>
                <w:bCs/>
              </w:rPr>
              <w:t xml:space="preserve">Validated methods in studies </w:t>
            </w:r>
            <w:r w:rsidRPr="00D308D3">
              <w:rPr>
                <w:bCs/>
              </w:rPr>
              <w:t>No. 18-901011-060</w:t>
            </w:r>
            <w:r>
              <w:rPr>
                <w:bCs/>
              </w:rPr>
              <w:t xml:space="preserve"> and </w:t>
            </w:r>
            <w:r w:rsidRPr="00D308D3">
              <w:rPr>
                <w:bCs/>
              </w:rPr>
              <w:t>No. 18-901011-066</w:t>
            </w:r>
            <w:r>
              <w:rPr>
                <w:bCs/>
              </w:rPr>
              <w:t xml:space="preserve"> respectively </w:t>
            </w:r>
            <w:r>
              <w:rPr>
                <w:color w:val="000000"/>
              </w:rPr>
              <w:br/>
            </w:r>
            <w:r>
              <w:rPr>
                <w:color w:val="000000"/>
              </w:rPr>
              <w:br/>
            </w:r>
            <w:r>
              <w:rPr>
                <w:color w:val="000000"/>
              </w:rPr>
              <w:br/>
              <w:t>pH : CIPAC Handbook J - MT 75.3 method (2000)</w:t>
            </w:r>
          </w:p>
        </w:tc>
        <w:tc>
          <w:tcPr>
            <w:tcW w:w="436" w:type="pct"/>
            <w:vAlign w:val="center"/>
          </w:tcPr>
          <w:p w14:paraId="0C9BF77F" w14:textId="77777777" w:rsidR="000228FA" w:rsidRDefault="000228FA" w:rsidP="00FF3977">
            <w:pPr>
              <w:rPr>
                <w:color w:val="000000"/>
              </w:rPr>
            </w:pPr>
            <w:r>
              <w:rPr>
                <w:color w:val="000000"/>
              </w:rPr>
              <w:lastRenderedPageBreak/>
              <w:t>Batch 5118225</w:t>
            </w:r>
          </w:p>
          <w:p w14:paraId="5672739D"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7FCA3BE0" w14:textId="77777777" w:rsidR="000228FA" w:rsidRDefault="000228FA" w:rsidP="00FF3977">
            <w:pPr>
              <w:rPr>
                <w:color w:val="FF0000"/>
              </w:rPr>
            </w:pPr>
            <w:r>
              <w:t>Test item characteristics before the accelerated storage procedure was: homogeneous slightly yellow limpid liquid with a characteristic odour and after the accelerated storage procedure was: homogeneous yellow limpid liquid with a characteristic odour.</w:t>
            </w:r>
            <w:r>
              <w:br/>
              <w:t>Packaging: Transparent HDPE flask.</w:t>
            </w:r>
            <w:r w:rsidDel="00D308D3">
              <w:t xml:space="preserve"> </w:t>
            </w:r>
            <w:r>
              <w:br/>
            </w:r>
            <w:r>
              <w:br/>
              <w:t xml:space="preserve">The appearance of the test item has changed slightly (slightly yellow to yellow) however the test item and the packaging material were considered to be stable after an accelerated storage procedure at 54 °C ± 2 °C for 14 days. </w:t>
            </w:r>
            <w:r>
              <w:br/>
              <w:t>No significant change of weight was observed (-0.1%).</w:t>
            </w:r>
            <w:r>
              <w:br/>
            </w:r>
            <w:r>
              <w:br/>
            </w:r>
            <w:r>
              <w:rPr>
                <w:b/>
                <w:bCs/>
              </w:rPr>
              <w:t xml:space="preserve">ANALYTICAL QUANTIFICATION OF THE </w:t>
            </w:r>
            <w:r>
              <w:rPr>
                <w:b/>
                <w:bCs/>
              </w:rPr>
              <w:lastRenderedPageBreak/>
              <w:t>ACTIVE SUBSTANCE</w:t>
            </w:r>
            <w:r>
              <w:rPr>
                <w:b/>
                <w:bCs/>
              </w:rPr>
              <w:br/>
            </w:r>
            <w:r w:rsidRPr="001D704F">
              <w:t>Content of AS and SoC: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048"/>
              <w:gridCol w:w="1224"/>
              <w:gridCol w:w="1224"/>
            </w:tblGrid>
            <w:tr w:rsidR="000228FA" w14:paraId="0E7105FD" w14:textId="77777777" w:rsidTr="00FF3977">
              <w:tc>
                <w:tcPr>
                  <w:tcW w:w="43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680B85" w14:textId="77777777" w:rsidR="000228FA" w:rsidRDefault="000228FA" w:rsidP="00FF3977">
                  <w:pPr>
                    <w:jc w:val="center"/>
                  </w:pPr>
                  <w:r>
                    <w:t>Active substances</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14:paraId="0E8EACA2" w14:textId="77777777" w:rsidR="000228FA" w:rsidRDefault="000228FA" w:rsidP="00FF3977">
                  <w:pPr>
                    <w:jc w:val="center"/>
                  </w:pPr>
                  <w:r>
                    <w:t>Before the accelerated storage procedure</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128188FD" w14:textId="77777777" w:rsidR="000228FA" w:rsidRDefault="000228FA" w:rsidP="00FF3977">
                  <w:pPr>
                    <w:jc w:val="center"/>
                  </w:pPr>
                  <w:r>
                    <w:t>After the accelerated storage procedure</w:t>
                  </w:r>
                </w:p>
              </w:tc>
            </w:tr>
            <w:tr w:rsidR="000228FA" w14:paraId="4B6EBCE8"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FF779B" w14:textId="77777777" w:rsidR="000228FA" w:rsidRDefault="000228FA" w:rsidP="00FF3977">
                  <w:r>
                    <w:t>Lactic acid</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39C2DBC" w14:textId="77777777" w:rsidR="000228FA" w:rsidRDefault="000228FA"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9933029" w14:textId="77777777" w:rsidR="000228FA" w:rsidRDefault="000228FA" w:rsidP="00FF3977">
                  <w:pPr>
                    <w:jc w:val="center"/>
                  </w:pPr>
                  <w:r>
                    <w:t>24.0</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3EAB4479" w14:textId="77777777" w:rsidR="000228FA" w:rsidRDefault="000228FA" w:rsidP="00FF3977">
                  <w:pPr>
                    <w:jc w:val="center"/>
                  </w:pPr>
                  <w:r>
                    <w:t>23.9</w:t>
                  </w:r>
                </w:p>
              </w:tc>
            </w:tr>
            <w:tr w:rsidR="000228FA" w14:paraId="70889676"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20025" w14:textId="77777777" w:rsidR="000228FA" w:rsidRDefault="000228FA"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EDC92E9" w14:textId="77777777" w:rsidR="000228FA" w:rsidRDefault="000228FA"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EFCDE11" w14:textId="77777777" w:rsidR="000228FA" w:rsidRDefault="000228FA" w:rsidP="00FF3977">
                  <w:pPr>
                    <w:jc w:val="center"/>
                  </w:pPr>
                  <w:r>
                    <w:t>From the nominal value</w:t>
                  </w:r>
                </w:p>
                <w:p w14:paraId="45E021D2" w14:textId="77777777" w:rsidR="000228FA" w:rsidRDefault="000228FA" w:rsidP="00FF3977">
                  <w:pPr>
                    <w:jc w:val="center"/>
                  </w:pPr>
                  <w:r>
                    <w:t>0.0</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427E41A4" w14:textId="77777777" w:rsidR="000228FA" w:rsidRDefault="000228FA" w:rsidP="00FF3977">
                  <w:pPr>
                    <w:jc w:val="center"/>
                  </w:pPr>
                  <w:r>
                    <w:t>From the T = 0 value</w:t>
                  </w:r>
                </w:p>
                <w:p w14:paraId="00A90DF1" w14:textId="77777777" w:rsidR="000228FA" w:rsidRDefault="000228FA" w:rsidP="00FF3977">
                  <w:pPr>
                    <w:jc w:val="center"/>
                  </w:pPr>
                  <w:r>
                    <w:t>-0.4</w:t>
                  </w:r>
                </w:p>
              </w:tc>
            </w:tr>
            <w:tr w:rsidR="000228FA" w14:paraId="571A8341" w14:textId="77777777" w:rsidTr="00FF3977">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012ABF" w14:textId="77777777" w:rsidR="000228FA" w:rsidRDefault="000228FA" w:rsidP="00FF3977">
                  <w:r>
                    <w:t>Potassium sorbate (SOC)</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ED1CCC3" w14:textId="77777777" w:rsidR="000228FA" w:rsidRDefault="000228FA"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A9137A" w14:textId="77777777" w:rsidR="000228FA" w:rsidRDefault="000228FA" w:rsidP="00FF3977">
                  <w:pPr>
                    <w:jc w:val="center"/>
                  </w:pPr>
                  <w:r>
                    <w:t>0.884</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7E5D29D3" w14:textId="77777777" w:rsidR="000228FA" w:rsidRDefault="000228FA" w:rsidP="00FF3977">
                  <w:pPr>
                    <w:jc w:val="center"/>
                  </w:pPr>
                  <w:r>
                    <w:t>0.815</w:t>
                  </w:r>
                </w:p>
              </w:tc>
            </w:tr>
            <w:tr w:rsidR="000228FA" w14:paraId="018D775D" w14:textId="77777777" w:rsidTr="00FF397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A3B57" w14:textId="77777777" w:rsidR="000228FA" w:rsidRDefault="000228FA" w:rsidP="00FF3977"/>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2335393" w14:textId="77777777" w:rsidR="000228FA" w:rsidRDefault="000228FA" w:rsidP="00FF3977">
                  <w:r>
                    <w:t>Deviation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619CF26" w14:textId="77777777" w:rsidR="000228FA" w:rsidRDefault="000228FA" w:rsidP="00FF3977">
                  <w:pPr>
                    <w:jc w:val="center"/>
                  </w:pPr>
                  <w:r>
                    <w:t>From the nominal value</w:t>
                  </w:r>
                </w:p>
                <w:p w14:paraId="272CA6BF" w14:textId="77777777" w:rsidR="000228FA" w:rsidRDefault="000228FA" w:rsidP="00FF3977">
                  <w:pPr>
                    <w:jc w:val="center"/>
                  </w:pPr>
                  <w:r>
                    <w:t>-11.6</w:t>
                  </w:r>
                </w:p>
              </w:tc>
              <w:tc>
                <w:tcPr>
                  <w:tcW w:w="2883" w:type="dxa"/>
                  <w:tcBorders>
                    <w:top w:val="single" w:sz="4" w:space="0" w:color="auto"/>
                    <w:left w:val="single" w:sz="4" w:space="0" w:color="auto"/>
                    <w:bottom w:val="single" w:sz="4" w:space="0" w:color="auto"/>
                    <w:right w:val="single" w:sz="4" w:space="0" w:color="auto"/>
                  </w:tcBorders>
                  <w:shd w:val="clear" w:color="auto" w:fill="auto"/>
                  <w:hideMark/>
                </w:tcPr>
                <w:p w14:paraId="7705B1DC" w14:textId="77777777" w:rsidR="000228FA" w:rsidRDefault="000228FA" w:rsidP="00FF3977">
                  <w:pPr>
                    <w:jc w:val="center"/>
                  </w:pPr>
                  <w:r>
                    <w:t>From the T = 0 value</w:t>
                  </w:r>
                </w:p>
                <w:p w14:paraId="308536A0" w14:textId="77777777" w:rsidR="000228FA" w:rsidRDefault="000228FA" w:rsidP="00FF3977">
                  <w:pPr>
                    <w:jc w:val="center"/>
                  </w:pPr>
                  <w:r>
                    <w:t>-7.8</w:t>
                  </w:r>
                </w:p>
              </w:tc>
            </w:tr>
            <w:tr w:rsidR="000228FA" w14:paraId="55DBBA37" w14:textId="77777777" w:rsidTr="00FF3977">
              <w:tc>
                <w:tcPr>
                  <w:tcW w:w="0" w:type="auto"/>
                  <w:vMerge w:val="restart"/>
                  <w:tcBorders>
                    <w:top w:val="single" w:sz="4" w:space="0" w:color="auto"/>
                    <w:left w:val="single" w:sz="4" w:space="0" w:color="auto"/>
                    <w:right w:val="single" w:sz="4" w:space="0" w:color="auto"/>
                  </w:tcBorders>
                  <w:shd w:val="clear" w:color="auto" w:fill="auto"/>
                  <w:vAlign w:val="center"/>
                </w:tcPr>
                <w:p w14:paraId="2B28D918" w14:textId="77777777" w:rsidR="000228FA" w:rsidRPr="0014550E" w:rsidRDefault="000228FA" w:rsidP="00FF3977">
                  <w:r w:rsidRPr="00DA352C">
                    <w:rPr>
                      <w:bCs/>
                    </w:rPr>
                    <w:t>Amines, coco alkyldimethyl, N-oxides</w:t>
                  </w:r>
                  <w:r>
                    <w:rPr>
                      <w:bCs/>
                    </w:rPr>
                    <w:t xml:space="preserve"> (SOC)</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1D2AEF" w14:textId="77777777" w:rsidR="000228FA" w:rsidRDefault="000228FA" w:rsidP="00FF3977">
                  <w:r>
                    <w:t>Content (% w/w)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050786" w14:textId="77777777" w:rsidR="000228FA" w:rsidRDefault="000228FA" w:rsidP="00FF3977">
                  <w:pPr>
                    <w:jc w:val="center"/>
                  </w:pPr>
                  <w:r>
                    <w:t>5.36</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FE8908" w14:textId="77777777" w:rsidR="000228FA" w:rsidRDefault="000228FA" w:rsidP="00FF3977">
                  <w:pPr>
                    <w:jc w:val="center"/>
                  </w:pPr>
                  <w:r>
                    <w:t>5.68</w:t>
                  </w:r>
                </w:p>
              </w:tc>
            </w:tr>
            <w:tr w:rsidR="000228FA" w14:paraId="2690D9A0" w14:textId="77777777" w:rsidTr="00FF3977">
              <w:tc>
                <w:tcPr>
                  <w:tcW w:w="0" w:type="auto"/>
                  <w:vMerge/>
                  <w:tcBorders>
                    <w:left w:val="single" w:sz="4" w:space="0" w:color="auto"/>
                    <w:bottom w:val="single" w:sz="4" w:space="0" w:color="auto"/>
                    <w:right w:val="single" w:sz="4" w:space="0" w:color="auto"/>
                  </w:tcBorders>
                  <w:shd w:val="clear" w:color="auto" w:fill="auto"/>
                  <w:vAlign w:val="center"/>
                </w:tcPr>
                <w:p w14:paraId="6983C6AA" w14:textId="77777777" w:rsidR="000228FA" w:rsidRDefault="000228FA" w:rsidP="00FF3977"/>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695D2B" w14:textId="77777777" w:rsidR="000228FA" w:rsidRDefault="000228FA" w:rsidP="00FF3977">
                  <w:r>
                    <w:t>Deviation (%)</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8282CAA" w14:textId="77777777" w:rsidR="000228FA" w:rsidRDefault="000228FA" w:rsidP="00FF3977">
                  <w:pPr>
                    <w:jc w:val="center"/>
                  </w:pPr>
                  <w:r>
                    <w:t>From the nominal value</w:t>
                  </w:r>
                </w:p>
                <w:p w14:paraId="08463AEC" w14:textId="77777777" w:rsidR="000228FA" w:rsidRDefault="000228FA" w:rsidP="00FF3977">
                  <w:pPr>
                    <w:jc w:val="center"/>
                  </w:pPr>
                  <w:r>
                    <w:t>+7.0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94F15F4" w14:textId="77777777" w:rsidR="000228FA" w:rsidRDefault="000228FA" w:rsidP="00FF3977">
                  <w:pPr>
                    <w:jc w:val="center"/>
                  </w:pPr>
                  <w:r>
                    <w:t>From the T = 0 value</w:t>
                  </w:r>
                </w:p>
                <w:p w14:paraId="3A09D72E" w14:textId="77777777" w:rsidR="000228FA" w:rsidRDefault="000228FA" w:rsidP="00FF3977">
                  <w:pPr>
                    <w:jc w:val="center"/>
                  </w:pPr>
                  <w:r>
                    <w:t>+6.0</w:t>
                  </w:r>
                </w:p>
              </w:tc>
            </w:tr>
          </w:tbl>
          <w:p w14:paraId="1DF9A7C4" w14:textId="77777777" w:rsidR="000228FA" w:rsidRDefault="000228FA" w:rsidP="00FF3977">
            <w:r>
              <w:lastRenderedPageBreak/>
              <w:t>.</w:t>
            </w:r>
            <w:r>
              <w:rPr>
                <w:color w:val="FF0000"/>
              </w:rPr>
              <w:br/>
            </w:r>
            <w:r>
              <w:rPr>
                <w:b/>
                <w:bCs/>
              </w:rPr>
              <w:t>DETERMINATION OF pH VALUES</w:t>
            </w:r>
            <w:r>
              <w:br/>
              <w:t>Before the accelerated storage procedure, the mean pH value of the pure test item was: 2.55 at 19.0 °C after 1 min and 2.55 at 19.2 °C after 2 min. After the accelerated storage procedure,The mean pH value of the pure test item was: 2.61 at 19.6 °C after 1 min and 2.55 at 19.7 °C after 2 min.</w:t>
            </w:r>
          </w:p>
          <w:p w14:paraId="0DA5DF7A" w14:textId="77777777" w:rsidR="000228FA" w:rsidRDefault="000228FA" w:rsidP="00FF3977">
            <w:pPr>
              <w:rPr>
                <w:b/>
                <w:bCs/>
              </w:rPr>
            </w:pPr>
            <w:r>
              <w:rPr>
                <w:color w:val="FF0000"/>
              </w:rPr>
              <w:br/>
            </w:r>
            <w:r w:rsidRPr="00841966">
              <w:rPr>
                <w:b/>
                <w:bCs/>
              </w:rPr>
              <w:t>DILUTION STABILITY OF AQUEOUS SOLUTIONS</w:t>
            </w:r>
          </w:p>
          <w:p w14:paraId="2F7AF38F" w14:textId="77777777" w:rsidR="000228FA" w:rsidRDefault="000228FA" w:rsidP="00FF3977">
            <w:pPr>
              <w:rPr>
                <w:color w:val="000000"/>
              </w:rPr>
            </w:pPr>
            <w:r>
              <w:rPr>
                <w:color w:val="000000"/>
              </w:rPr>
              <w:t>Before and after the accelerated storage procedure, no separated material was noted on the test item solution at 2% w/w in standard water D after standing for 24 h at 30 °C ± 2 °C. The test item solution remained stable.</w:t>
            </w:r>
          </w:p>
          <w:p w14:paraId="1ADE7D2F" w14:textId="77777777" w:rsidR="000228FA" w:rsidRPr="00A411E7" w:rsidRDefault="000228FA" w:rsidP="00FF3977">
            <w:pPr>
              <w:rPr>
                <w:rFonts w:eastAsia="Calibri"/>
              </w:rPr>
            </w:pPr>
            <w:r>
              <w:rPr>
                <w:color w:val="FF0000"/>
              </w:rPr>
              <w:br/>
            </w:r>
            <w:r>
              <w:t>These results can be extrapolated to the other packagings in HDPE, PET and COEXTRUDE (</w:t>
            </w:r>
            <w:r w:rsidRPr="00C10F92">
              <w:rPr>
                <w:lang w:val="en-US"/>
              </w:rPr>
              <w:t>HDPE/PA and HDPE/EVAL</w:t>
            </w:r>
            <w:r>
              <w:rPr>
                <w:lang w:val="en-US"/>
              </w:rPr>
              <w:t>)</w:t>
            </w:r>
            <w:r>
              <w:t xml:space="preserve"> according to </w:t>
            </w:r>
            <w:r w:rsidRPr="001D704F">
              <w:t>ECHA Guidance Vol. I, Parts A+B+C</w:t>
            </w:r>
            <w:r>
              <w:t xml:space="preserve"> </w:t>
            </w:r>
            <w:r>
              <w:rPr>
                <w:color w:val="000000"/>
              </w:rPr>
              <w:fldChar w:fldCharType="begin"/>
            </w:r>
            <w:r>
              <w:rPr>
                <w:color w:val="000000"/>
              </w:rPr>
              <w:instrText xml:space="preserve"> ADDIN ZOTERO_ITEM CSL_CITATION {"citationID":"MRhXRsLt","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color w:val="000000"/>
              </w:rPr>
              <w:fldChar w:fldCharType="separate"/>
            </w:r>
            <w:r w:rsidRPr="005D0005">
              <w:t>(3)</w:t>
            </w:r>
            <w:r>
              <w:rPr>
                <w:color w:val="000000"/>
              </w:rPr>
              <w:fldChar w:fldCharType="end"/>
            </w:r>
            <w:r>
              <w:rPr>
                <w:color w:val="000000"/>
              </w:rPr>
              <w:t>, 3.6.4.2 Point 3.4.2 Table 7.</w:t>
            </w:r>
          </w:p>
        </w:tc>
        <w:tc>
          <w:tcPr>
            <w:tcW w:w="434" w:type="pct"/>
            <w:vAlign w:val="center"/>
          </w:tcPr>
          <w:p w14:paraId="64752B72" w14:textId="77777777" w:rsidR="000228FA" w:rsidRPr="00A411E7" w:rsidRDefault="000228FA" w:rsidP="00FF3977">
            <w:pPr>
              <w:rPr>
                <w:rFonts w:eastAsia="Calibri"/>
              </w:rPr>
            </w:pPr>
            <w:r>
              <w:rPr>
                <w:color w:val="000000"/>
              </w:rPr>
              <w:lastRenderedPageBreak/>
              <w:t>Demangel B. and Ricau H., 2019, Report No 18-901011-057</w:t>
            </w:r>
          </w:p>
        </w:tc>
        <w:tc>
          <w:tcPr>
            <w:tcW w:w="464" w:type="pct"/>
          </w:tcPr>
          <w:p w14:paraId="7E10972B" w14:textId="77777777" w:rsidR="000228FA" w:rsidRDefault="000228FA" w:rsidP="00FF3977">
            <w:pPr>
              <w:rPr>
                <w:color w:val="000000"/>
              </w:rPr>
            </w:pPr>
            <w:r>
              <w:rPr>
                <w:color w:val="000000"/>
              </w:rPr>
              <w:t>Acceptable</w:t>
            </w:r>
          </w:p>
          <w:p w14:paraId="5D8435E5" w14:textId="77777777" w:rsidR="000228FA" w:rsidRDefault="000228FA" w:rsidP="00FF3977">
            <w:pPr>
              <w:rPr>
                <w:color w:val="000000"/>
              </w:rPr>
            </w:pPr>
            <w:r>
              <w:rPr>
                <w:color w:val="000000"/>
              </w:rPr>
              <w:t>The product is stable after 14 days at 54°C.</w:t>
            </w:r>
          </w:p>
        </w:tc>
      </w:tr>
      <w:tr w:rsidR="000228FA" w14:paraId="07489C07" w14:textId="77777777" w:rsidTr="00FF3977">
        <w:tc>
          <w:tcPr>
            <w:tcW w:w="1190" w:type="pct"/>
          </w:tcPr>
          <w:p w14:paraId="0FB1F2DF"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long term storage at ambient temperature</w:t>
            </w:r>
          </w:p>
        </w:tc>
        <w:tc>
          <w:tcPr>
            <w:tcW w:w="528" w:type="pct"/>
            <w:vAlign w:val="center"/>
          </w:tcPr>
          <w:p w14:paraId="38BF1F91" w14:textId="77777777" w:rsidR="000228FA" w:rsidRPr="00A12904" w:rsidRDefault="000228FA" w:rsidP="00FF3977">
            <w:pPr>
              <w:rPr>
                <w:color w:val="000000"/>
              </w:rPr>
            </w:pPr>
            <w:r>
              <w:rPr>
                <w:color w:val="000000"/>
              </w:rPr>
              <w:t> </w:t>
            </w:r>
            <w:r w:rsidRPr="00A12904">
              <w:rPr>
                <w:color w:val="000000"/>
              </w:rPr>
              <w:t>Technical</w:t>
            </w:r>
          </w:p>
          <w:p w14:paraId="172ACD41" w14:textId="77777777" w:rsidR="000228FA" w:rsidRPr="00A411E7" w:rsidRDefault="000228FA" w:rsidP="00FF3977">
            <w:pPr>
              <w:rPr>
                <w:rFonts w:eastAsia="Calibri"/>
              </w:rPr>
            </w:pPr>
            <w:r w:rsidRPr="00A12904">
              <w:rPr>
                <w:color w:val="000000"/>
              </w:rPr>
              <w:t>Monograph No. 17</w:t>
            </w:r>
          </w:p>
        </w:tc>
        <w:tc>
          <w:tcPr>
            <w:tcW w:w="436" w:type="pct"/>
            <w:vAlign w:val="center"/>
          </w:tcPr>
          <w:p w14:paraId="6010E657"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03618C7F" w14:textId="77777777" w:rsidR="000228FA" w:rsidRPr="00A411E7" w:rsidRDefault="000228FA" w:rsidP="00FF3977">
            <w:pPr>
              <w:rPr>
                <w:rFonts w:eastAsia="Calibri"/>
              </w:rPr>
            </w:pPr>
            <w:r>
              <w:rPr>
                <w:color w:val="000000"/>
              </w:rPr>
              <w:t>Ongoing study - the results of this study will be submitted once this study will be finalised (November 2020).</w:t>
            </w:r>
          </w:p>
        </w:tc>
        <w:tc>
          <w:tcPr>
            <w:tcW w:w="434" w:type="pct"/>
            <w:vAlign w:val="center"/>
          </w:tcPr>
          <w:p w14:paraId="5057A566" w14:textId="77777777" w:rsidR="000228FA" w:rsidRPr="00A411E7" w:rsidRDefault="000228FA" w:rsidP="00FF3977">
            <w:pPr>
              <w:rPr>
                <w:rFonts w:eastAsia="Calibri"/>
              </w:rPr>
            </w:pPr>
            <w:r>
              <w:rPr>
                <w:color w:val="000000"/>
              </w:rPr>
              <w:t> Demangel B., 2018, Report No 18-901011-058</w:t>
            </w:r>
          </w:p>
        </w:tc>
        <w:tc>
          <w:tcPr>
            <w:tcW w:w="464" w:type="pct"/>
          </w:tcPr>
          <w:p w14:paraId="4D711BE9" w14:textId="77777777" w:rsidR="000228FA" w:rsidRDefault="000228FA" w:rsidP="00FF3977">
            <w:pPr>
              <w:rPr>
                <w:color w:val="000000"/>
              </w:rPr>
            </w:pPr>
            <w:r>
              <w:rPr>
                <w:color w:val="000000"/>
              </w:rPr>
              <w:t xml:space="preserve">Study required in post authorisation </w:t>
            </w:r>
          </w:p>
        </w:tc>
      </w:tr>
      <w:tr w:rsidR="000228FA" w14:paraId="629A7A5C" w14:textId="77777777" w:rsidTr="00FF3977">
        <w:tc>
          <w:tcPr>
            <w:tcW w:w="1190" w:type="pct"/>
          </w:tcPr>
          <w:p w14:paraId="07967EFB" w14:textId="77777777" w:rsidR="000228FA" w:rsidRPr="00A411E7" w:rsidRDefault="000228FA" w:rsidP="00FF3977">
            <w:pPr>
              <w:rPr>
                <w:rFonts w:eastAsia="Calibri"/>
              </w:rPr>
            </w:pPr>
            <w:r w:rsidRPr="00A411E7">
              <w:rPr>
                <w:rFonts w:eastAsia="Calibri"/>
              </w:rPr>
              <w:lastRenderedPageBreak/>
              <w:t xml:space="preserve">Storage stability test – </w:t>
            </w:r>
            <w:r w:rsidRPr="00A411E7">
              <w:rPr>
                <w:rFonts w:eastAsia="Calibri"/>
                <w:b/>
              </w:rPr>
              <w:t>low temperature stability test for liquids</w:t>
            </w:r>
          </w:p>
        </w:tc>
        <w:tc>
          <w:tcPr>
            <w:tcW w:w="528" w:type="pct"/>
            <w:vAlign w:val="center"/>
          </w:tcPr>
          <w:p w14:paraId="33920CC5" w14:textId="77777777" w:rsidR="000228FA" w:rsidRPr="00A411E7" w:rsidRDefault="000228FA" w:rsidP="00FF3977">
            <w:pPr>
              <w:rPr>
                <w:rFonts w:eastAsia="Calibri"/>
              </w:rPr>
            </w:pPr>
            <w:r>
              <w:rPr>
                <w:color w:val="000000"/>
              </w:rPr>
              <w:t>CIPAC Handbook J - MT 39.3 method (2000)</w:t>
            </w:r>
          </w:p>
        </w:tc>
        <w:tc>
          <w:tcPr>
            <w:tcW w:w="436" w:type="pct"/>
            <w:vAlign w:val="center"/>
          </w:tcPr>
          <w:p w14:paraId="0500B424" w14:textId="77777777" w:rsidR="000228FA" w:rsidRDefault="000228FA" w:rsidP="00FF3977">
            <w:pPr>
              <w:rPr>
                <w:color w:val="000000"/>
              </w:rPr>
            </w:pPr>
            <w:r>
              <w:rPr>
                <w:color w:val="000000"/>
              </w:rPr>
              <w:t>Batch 5118225</w:t>
            </w:r>
          </w:p>
          <w:p w14:paraId="070B8300"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5FAD5A22" w14:textId="77777777" w:rsidR="000228FA" w:rsidRPr="00A411E7" w:rsidRDefault="000228FA" w:rsidP="00FF3977">
            <w:pPr>
              <w:rPr>
                <w:rFonts w:eastAsia="Calibri"/>
              </w:rPr>
            </w:pPr>
            <w:r>
              <w:t>At the start of the test, the test item was a homogeneous yellow limpid liquid. The aspect of the test item was considered to be stable after a low temperature stability for 7 days at 0 ± 2 °C, no change was observed in the test item aspect.</w:t>
            </w:r>
          </w:p>
        </w:tc>
        <w:tc>
          <w:tcPr>
            <w:tcW w:w="434" w:type="pct"/>
            <w:vAlign w:val="center"/>
          </w:tcPr>
          <w:p w14:paraId="1867C0F7" w14:textId="77777777" w:rsidR="000228FA" w:rsidRPr="00A411E7" w:rsidRDefault="000228FA" w:rsidP="00FF3977">
            <w:pPr>
              <w:rPr>
                <w:rFonts w:eastAsia="Calibri"/>
              </w:rPr>
            </w:pPr>
            <w:r>
              <w:rPr>
                <w:color w:val="000000"/>
              </w:rPr>
              <w:t>Demangel B., 2019, Report No 18-901011-056</w:t>
            </w:r>
          </w:p>
        </w:tc>
        <w:tc>
          <w:tcPr>
            <w:tcW w:w="464" w:type="pct"/>
          </w:tcPr>
          <w:p w14:paraId="5F628BCF" w14:textId="77777777" w:rsidR="000228FA" w:rsidRDefault="000228FA" w:rsidP="00FF3977">
            <w:pPr>
              <w:rPr>
                <w:color w:val="000000"/>
              </w:rPr>
            </w:pPr>
            <w:r>
              <w:rPr>
                <w:color w:val="000000"/>
              </w:rPr>
              <w:t>Acceptable</w:t>
            </w:r>
          </w:p>
        </w:tc>
      </w:tr>
      <w:tr w:rsidR="000228FA" w14:paraId="39CE1B44" w14:textId="77777777" w:rsidTr="00FF3977">
        <w:tc>
          <w:tcPr>
            <w:tcW w:w="1190" w:type="pct"/>
          </w:tcPr>
          <w:p w14:paraId="5B55066B" w14:textId="77777777" w:rsidR="000228FA" w:rsidRPr="00A411E7" w:rsidRDefault="000228FA" w:rsidP="00FF3977">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528" w:type="pct"/>
            <w:vAlign w:val="center"/>
          </w:tcPr>
          <w:p w14:paraId="67E41F65" w14:textId="77777777" w:rsidR="000228FA" w:rsidRPr="00A411E7" w:rsidRDefault="000228FA" w:rsidP="00FF3977">
            <w:pPr>
              <w:spacing w:line="260" w:lineRule="atLeast"/>
              <w:rPr>
                <w:rFonts w:eastAsia="Calibri"/>
                <w:lang w:eastAsia="en-US"/>
              </w:rPr>
            </w:pPr>
            <w:r>
              <w:rPr>
                <w:color w:val="000000"/>
              </w:rPr>
              <w:t xml:space="preserve"> -</w:t>
            </w:r>
          </w:p>
        </w:tc>
        <w:tc>
          <w:tcPr>
            <w:tcW w:w="436" w:type="pct"/>
            <w:vAlign w:val="center"/>
          </w:tcPr>
          <w:p w14:paraId="35954E71" w14:textId="77777777" w:rsidR="000228FA" w:rsidRPr="00A411E7" w:rsidRDefault="000228FA" w:rsidP="00FF3977">
            <w:pPr>
              <w:spacing w:line="260" w:lineRule="atLeast"/>
              <w:rPr>
                <w:rFonts w:eastAsia="Calibri"/>
                <w:lang w:eastAsia="en-US"/>
              </w:rPr>
            </w:pPr>
            <w:r>
              <w:rPr>
                <w:color w:val="000000"/>
              </w:rPr>
              <w:t xml:space="preserve"> -</w:t>
            </w:r>
          </w:p>
        </w:tc>
        <w:tc>
          <w:tcPr>
            <w:tcW w:w="1948" w:type="pct"/>
            <w:vAlign w:val="center"/>
          </w:tcPr>
          <w:p w14:paraId="3BEF1C58" w14:textId="77777777" w:rsidR="000228FA" w:rsidRPr="00A411E7" w:rsidRDefault="000228FA" w:rsidP="00FF3977">
            <w:pPr>
              <w:spacing w:line="260" w:lineRule="atLeast"/>
              <w:rPr>
                <w:rFonts w:eastAsia="Calibri"/>
                <w:lang w:eastAsia="en-US"/>
              </w:rPr>
            </w:pPr>
            <w:r>
              <w:rPr>
                <w:color w:val="000000"/>
              </w:rPr>
              <w:t>The biocidal product is packaged in opaque packaging (250 ml, 1 l, 5 l, 200 l, 220 l) and transparent packaging (1 l, 5 l, 10 l, 20 l). The test item is considered to be stable after 14 days at 54 ± 2°C (please refer above).</w:t>
            </w:r>
          </w:p>
        </w:tc>
        <w:tc>
          <w:tcPr>
            <w:tcW w:w="434" w:type="pct"/>
            <w:vAlign w:val="center"/>
          </w:tcPr>
          <w:p w14:paraId="5F1F26E5" w14:textId="77777777" w:rsidR="000228FA" w:rsidRPr="00A411E7" w:rsidRDefault="000228FA" w:rsidP="00FF3977">
            <w:pPr>
              <w:spacing w:line="260" w:lineRule="atLeast"/>
              <w:rPr>
                <w:rFonts w:eastAsia="Calibri"/>
                <w:lang w:eastAsia="en-US"/>
              </w:rPr>
            </w:pPr>
            <w:r>
              <w:rPr>
                <w:color w:val="000000"/>
              </w:rPr>
              <w:t xml:space="preserve"> -</w:t>
            </w:r>
          </w:p>
        </w:tc>
        <w:tc>
          <w:tcPr>
            <w:tcW w:w="464" w:type="pct"/>
          </w:tcPr>
          <w:p w14:paraId="4924119B" w14:textId="77777777" w:rsidR="000228FA" w:rsidRDefault="000228FA" w:rsidP="00FF3977">
            <w:pPr>
              <w:spacing w:line="260" w:lineRule="atLeast"/>
              <w:rPr>
                <w:color w:val="000000"/>
              </w:rPr>
            </w:pPr>
            <w:r>
              <w:rPr>
                <w:color w:val="000000"/>
              </w:rPr>
              <w:t>Acceptable</w:t>
            </w:r>
          </w:p>
          <w:p w14:paraId="07C44F2A" w14:textId="77777777" w:rsidR="000228FA" w:rsidRDefault="000228FA" w:rsidP="00FF3977">
            <w:pPr>
              <w:spacing w:line="260" w:lineRule="atLeast"/>
              <w:rPr>
                <w:color w:val="000000"/>
              </w:rPr>
            </w:pPr>
          </w:p>
          <w:p w14:paraId="111DA84C" w14:textId="77777777" w:rsidR="000228FA" w:rsidRDefault="000228FA" w:rsidP="00FF3977">
            <w:pPr>
              <w:spacing w:line="260" w:lineRule="atLeast"/>
              <w:rPr>
                <w:color w:val="000000"/>
              </w:rPr>
            </w:pPr>
            <w:r w:rsidRPr="00C10F92">
              <w:rPr>
                <w:color w:val="000000"/>
              </w:rPr>
              <w:t xml:space="preserve">The active substance, lactic acid, is not light sensitive.  </w:t>
            </w:r>
          </w:p>
        </w:tc>
      </w:tr>
      <w:tr w:rsidR="000228FA" w14:paraId="5053F101" w14:textId="77777777" w:rsidTr="00FF3977">
        <w:tc>
          <w:tcPr>
            <w:tcW w:w="1190" w:type="pct"/>
          </w:tcPr>
          <w:p w14:paraId="32F8C743"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528" w:type="pct"/>
            <w:vAlign w:val="center"/>
          </w:tcPr>
          <w:p w14:paraId="0D011ABA" w14:textId="77777777" w:rsidR="000228FA" w:rsidRPr="00A411E7" w:rsidRDefault="000228FA" w:rsidP="00FF3977">
            <w:pPr>
              <w:rPr>
                <w:rFonts w:eastAsia="Calibri"/>
              </w:rPr>
            </w:pPr>
            <w:r>
              <w:rPr>
                <w:color w:val="000000"/>
              </w:rPr>
              <w:t xml:space="preserve"> -</w:t>
            </w:r>
          </w:p>
        </w:tc>
        <w:tc>
          <w:tcPr>
            <w:tcW w:w="436" w:type="pct"/>
            <w:vAlign w:val="center"/>
          </w:tcPr>
          <w:p w14:paraId="7E6B0CAF" w14:textId="77777777" w:rsidR="000228FA" w:rsidRPr="00A411E7" w:rsidRDefault="000228FA" w:rsidP="00FF3977">
            <w:pPr>
              <w:rPr>
                <w:rFonts w:eastAsia="Calibri"/>
              </w:rPr>
            </w:pPr>
            <w:r>
              <w:rPr>
                <w:color w:val="000000"/>
              </w:rPr>
              <w:t xml:space="preserve"> -</w:t>
            </w:r>
          </w:p>
        </w:tc>
        <w:tc>
          <w:tcPr>
            <w:tcW w:w="1948" w:type="pct"/>
            <w:vAlign w:val="center"/>
          </w:tcPr>
          <w:p w14:paraId="6BD2A1D6" w14:textId="77777777" w:rsidR="000228FA" w:rsidRPr="00A411E7" w:rsidRDefault="000228FA" w:rsidP="00FF3977">
            <w:pPr>
              <w:rPr>
                <w:rFonts w:eastAsia="Calibri"/>
              </w:rPr>
            </w:pPr>
            <w:r>
              <w:rPr>
                <w:color w:val="000000"/>
              </w:rPr>
              <w:t xml:space="preserve">With its cap, the packagings are leak-tight. The test item is considered to be stable after 14 days at 54 ± 2°C (please refer above). </w:t>
            </w:r>
          </w:p>
        </w:tc>
        <w:tc>
          <w:tcPr>
            <w:tcW w:w="434" w:type="pct"/>
            <w:vAlign w:val="center"/>
          </w:tcPr>
          <w:p w14:paraId="0A979026" w14:textId="77777777" w:rsidR="000228FA" w:rsidRPr="00A411E7" w:rsidRDefault="000228FA" w:rsidP="00FF3977">
            <w:pPr>
              <w:rPr>
                <w:rFonts w:eastAsia="Calibri"/>
              </w:rPr>
            </w:pPr>
            <w:r>
              <w:rPr>
                <w:color w:val="000000"/>
              </w:rPr>
              <w:t xml:space="preserve"> -</w:t>
            </w:r>
          </w:p>
        </w:tc>
        <w:tc>
          <w:tcPr>
            <w:tcW w:w="464" w:type="pct"/>
          </w:tcPr>
          <w:p w14:paraId="7381A997" w14:textId="77777777" w:rsidR="000228FA" w:rsidRDefault="000228FA" w:rsidP="00FF3977">
            <w:pPr>
              <w:rPr>
                <w:color w:val="000000"/>
              </w:rPr>
            </w:pPr>
            <w:r>
              <w:rPr>
                <w:color w:val="000000"/>
              </w:rPr>
              <w:t>Acceptable</w:t>
            </w:r>
          </w:p>
        </w:tc>
      </w:tr>
      <w:tr w:rsidR="000228FA" w14:paraId="5F2ADE7F" w14:textId="77777777" w:rsidTr="00FF3977">
        <w:tc>
          <w:tcPr>
            <w:tcW w:w="1190" w:type="pct"/>
          </w:tcPr>
          <w:p w14:paraId="3F51839D" w14:textId="77777777" w:rsidR="000228FA" w:rsidRPr="00A411E7" w:rsidRDefault="000228FA" w:rsidP="00FF3977">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528" w:type="pct"/>
            <w:vAlign w:val="center"/>
          </w:tcPr>
          <w:p w14:paraId="3532E61E" w14:textId="77777777" w:rsidR="000228FA" w:rsidRPr="00A411E7" w:rsidRDefault="000228FA" w:rsidP="00FF3977">
            <w:pPr>
              <w:rPr>
                <w:rFonts w:eastAsia="Calibri"/>
              </w:rPr>
            </w:pPr>
            <w:r>
              <w:rPr>
                <w:color w:val="000000"/>
              </w:rPr>
              <w:t xml:space="preserve"> -</w:t>
            </w:r>
          </w:p>
        </w:tc>
        <w:tc>
          <w:tcPr>
            <w:tcW w:w="436" w:type="pct"/>
            <w:vAlign w:val="center"/>
          </w:tcPr>
          <w:p w14:paraId="7CB2DCB2" w14:textId="77777777" w:rsidR="000228FA" w:rsidRPr="00A411E7" w:rsidRDefault="000228FA" w:rsidP="00FF3977">
            <w:pPr>
              <w:rPr>
                <w:rFonts w:eastAsia="Calibri"/>
              </w:rPr>
            </w:pPr>
            <w:r>
              <w:rPr>
                <w:color w:val="000000"/>
              </w:rPr>
              <w:t xml:space="preserve"> -</w:t>
            </w:r>
          </w:p>
        </w:tc>
        <w:tc>
          <w:tcPr>
            <w:tcW w:w="1948" w:type="pct"/>
            <w:vAlign w:val="center"/>
          </w:tcPr>
          <w:p w14:paraId="74C983A9" w14:textId="77777777" w:rsidR="000228FA" w:rsidRPr="00A411E7" w:rsidRDefault="000228FA" w:rsidP="00FF3977">
            <w:pPr>
              <w:rPr>
                <w:rFonts w:eastAsia="Calibri"/>
              </w:rPr>
            </w:pPr>
            <w:r>
              <w:rPr>
                <w:color w:val="000000"/>
              </w:rPr>
              <w:t xml:space="preserve">Experience on the product has proved that no reactivity is expected towards container materials. The test item is considered to be stable after 14 days at 54 ± 2°C (please refer above). </w:t>
            </w:r>
          </w:p>
        </w:tc>
        <w:tc>
          <w:tcPr>
            <w:tcW w:w="434" w:type="pct"/>
            <w:vAlign w:val="center"/>
          </w:tcPr>
          <w:p w14:paraId="71CCD2EB" w14:textId="77777777" w:rsidR="000228FA" w:rsidRPr="00A411E7" w:rsidRDefault="000228FA" w:rsidP="00FF3977">
            <w:pPr>
              <w:rPr>
                <w:rFonts w:eastAsia="Calibri"/>
              </w:rPr>
            </w:pPr>
            <w:r>
              <w:rPr>
                <w:color w:val="000000"/>
              </w:rPr>
              <w:t xml:space="preserve"> -</w:t>
            </w:r>
          </w:p>
        </w:tc>
        <w:tc>
          <w:tcPr>
            <w:tcW w:w="464" w:type="pct"/>
          </w:tcPr>
          <w:p w14:paraId="59C46A32" w14:textId="77777777" w:rsidR="000228FA" w:rsidRDefault="000228FA" w:rsidP="00FF3977">
            <w:pPr>
              <w:rPr>
                <w:color w:val="000000"/>
              </w:rPr>
            </w:pPr>
            <w:r>
              <w:rPr>
                <w:color w:val="000000"/>
              </w:rPr>
              <w:t>Acceptable</w:t>
            </w:r>
          </w:p>
        </w:tc>
      </w:tr>
      <w:tr w:rsidR="000228FA" w14:paraId="22ECA59E" w14:textId="77777777" w:rsidTr="00FF3977">
        <w:tc>
          <w:tcPr>
            <w:tcW w:w="1190" w:type="pct"/>
          </w:tcPr>
          <w:p w14:paraId="0AA6A247" w14:textId="77777777" w:rsidR="000228FA" w:rsidRPr="00A411E7" w:rsidRDefault="000228FA" w:rsidP="00FF3977">
            <w:pPr>
              <w:rPr>
                <w:rFonts w:eastAsia="Calibri"/>
              </w:rPr>
            </w:pPr>
            <w:r w:rsidRPr="00A411E7">
              <w:rPr>
                <w:rFonts w:eastAsia="Calibri"/>
              </w:rPr>
              <w:t>Wettability</w:t>
            </w:r>
          </w:p>
        </w:tc>
        <w:tc>
          <w:tcPr>
            <w:tcW w:w="528" w:type="pct"/>
            <w:vAlign w:val="center"/>
          </w:tcPr>
          <w:p w14:paraId="35AC461A" w14:textId="77777777" w:rsidR="000228FA" w:rsidRPr="00A411E7" w:rsidRDefault="000228FA" w:rsidP="00FF3977">
            <w:pPr>
              <w:rPr>
                <w:rFonts w:eastAsia="Calibri"/>
              </w:rPr>
            </w:pPr>
            <w:r>
              <w:rPr>
                <w:color w:val="000000"/>
              </w:rPr>
              <w:t xml:space="preserve"> -</w:t>
            </w:r>
          </w:p>
        </w:tc>
        <w:tc>
          <w:tcPr>
            <w:tcW w:w="436" w:type="pct"/>
            <w:vAlign w:val="center"/>
          </w:tcPr>
          <w:p w14:paraId="2D0A11CA" w14:textId="77777777" w:rsidR="000228FA" w:rsidRPr="00A411E7" w:rsidRDefault="000228FA" w:rsidP="00FF3977">
            <w:pPr>
              <w:rPr>
                <w:rFonts w:eastAsia="Calibri"/>
              </w:rPr>
            </w:pPr>
            <w:r>
              <w:rPr>
                <w:color w:val="000000"/>
              </w:rPr>
              <w:t xml:space="preserve"> -</w:t>
            </w:r>
          </w:p>
        </w:tc>
        <w:tc>
          <w:tcPr>
            <w:tcW w:w="1948" w:type="pct"/>
            <w:vAlign w:val="center"/>
          </w:tcPr>
          <w:p w14:paraId="76592AA7" w14:textId="77777777" w:rsidR="000228FA" w:rsidRPr="00A411E7" w:rsidRDefault="000228FA" w:rsidP="00FF3977">
            <w:pPr>
              <w:rPr>
                <w:rFonts w:eastAsia="Calibri"/>
              </w:rPr>
            </w:pPr>
            <w:r>
              <w:rPr>
                <w:color w:val="000000"/>
              </w:rPr>
              <w:t>Not required as the product is a soluble concentrate (SL).</w:t>
            </w:r>
          </w:p>
        </w:tc>
        <w:tc>
          <w:tcPr>
            <w:tcW w:w="434" w:type="pct"/>
            <w:vAlign w:val="center"/>
          </w:tcPr>
          <w:p w14:paraId="55C63251" w14:textId="77777777" w:rsidR="000228FA" w:rsidRPr="00A411E7" w:rsidRDefault="000228FA" w:rsidP="00FF3977">
            <w:pPr>
              <w:rPr>
                <w:rFonts w:eastAsia="Calibri"/>
              </w:rPr>
            </w:pPr>
            <w:r>
              <w:rPr>
                <w:color w:val="000000"/>
              </w:rPr>
              <w:t xml:space="preserve"> -</w:t>
            </w:r>
          </w:p>
        </w:tc>
        <w:tc>
          <w:tcPr>
            <w:tcW w:w="464" w:type="pct"/>
          </w:tcPr>
          <w:p w14:paraId="2F852BC3" w14:textId="77777777" w:rsidR="000228FA" w:rsidRDefault="000228FA" w:rsidP="00FF3977">
            <w:pPr>
              <w:rPr>
                <w:color w:val="000000"/>
              </w:rPr>
            </w:pPr>
            <w:r>
              <w:rPr>
                <w:color w:val="000000"/>
              </w:rPr>
              <w:t>Not relevant for a SL formulation.</w:t>
            </w:r>
          </w:p>
        </w:tc>
      </w:tr>
      <w:tr w:rsidR="000228FA" w14:paraId="1EE085FE" w14:textId="77777777" w:rsidTr="00FF3977">
        <w:tc>
          <w:tcPr>
            <w:tcW w:w="1190" w:type="pct"/>
          </w:tcPr>
          <w:p w14:paraId="6B9A66B4" w14:textId="77777777" w:rsidR="000228FA" w:rsidRPr="00A411E7" w:rsidRDefault="000228FA" w:rsidP="00FF3977">
            <w:pPr>
              <w:rPr>
                <w:rFonts w:eastAsia="Calibri"/>
              </w:rPr>
            </w:pPr>
            <w:r w:rsidRPr="00A411E7">
              <w:rPr>
                <w:rFonts w:eastAsia="Calibri"/>
              </w:rPr>
              <w:lastRenderedPageBreak/>
              <w:t>Suspensibility, spontaneity and dispersion stability</w:t>
            </w:r>
          </w:p>
        </w:tc>
        <w:tc>
          <w:tcPr>
            <w:tcW w:w="528" w:type="pct"/>
            <w:vAlign w:val="center"/>
          </w:tcPr>
          <w:p w14:paraId="1D62EC19" w14:textId="77777777" w:rsidR="000228FA" w:rsidRPr="00A411E7" w:rsidRDefault="000228FA" w:rsidP="00FF3977">
            <w:pPr>
              <w:rPr>
                <w:rFonts w:eastAsia="Calibri"/>
              </w:rPr>
            </w:pPr>
            <w:r>
              <w:rPr>
                <w:color w:val="000000"/>
              </w:rPr>
              <w:t xml:space="preserve"> -</w:t>
            </w:r>
          </w:p>
        </w:tc>
        <w:tc>
          <w:tcPr>
            <w:tcW w:w="436" w:type="pct"/>
            <w:vAlign w:val="center"/>
          </w:tcPr>
          <w:p w14:paraId="7708335A" w14:textId="77777777" w:rsidR="000228FA" w:rsidRPr="00A411E7" w:rsidRDefault="000228FA" w:rsidP="00FF3977">
            <w:pPr>
              <w:rPr>
                <w:rFonts w:eastAsia="Calibri"/>
              </w:rPr>
            </w:pPr>
            <w:r>
              <w:rPr>
                <w:color w:val="000000"/>
              </w:rPr>
              <w:t xml:space="preserve"> -</w:t>
            </w:r>
          </w:p>
        </w:tc>
        <w:tc>
          <w:tcPr>
            <w:tcW w:w="1948" w:type="pct"/>
            <w:vAlign w:val="center"/>
          </w:tcPr>
          <w:p w14:paraId="10A6ED59" w14:textId="77777777" w:rsidR="000228FA" w:rsidRPr="00A411E7" w:rsidRDefault="000228FA" w:rsidP="00FF3977">
            <w:pPr>
              <w:rPr>
                <w:rFonts w:eastAsia="Calibri"/>
              </w:rPr>
            </w:pPr>
            <w:r>
              <w:rPr>
                <w:color w:val="000000"/>
              </w:rPr>
              <w:t>Not required as the product is a soluble concentrate (SL).</w:t>
            </w:r>
          </w:p>
        </w:tc>
        <w:tc>
          <w:tcPr>
            <w:tcW w:w="434" w:type="pct"/>
            <w:vAlign w:val="center"/>
          </w:tcPr>
          <w:p w14:paraId="6EEC274D" w14:textId="77777777" w:rsidR="000228FA" w:rsidRPr="00A411E7" w:rsidRDefault="000228FA" w:rsidP="00FF3977">
            <w:pPr>
              <w:rPr>
                <w:rFonts w:eastAsia="Calibri"/>
              </w:rPr>
            </w:pPr>
            <w:r>
              <w:rPr>
                <w:color w:val="000000"/>
              </w:rPr>
              <w:t xml:space="preserve"> -</w:t>
            </w:r>
          </w:p>
        </w:tc>
        <w:tc>
          <w:tcPr>
            <w:tcW w:w="464" w:type="pct"/>
          </w:tcPr>
          <w:p w14:paraId="74ACA91C" w14:textId="77777777" w:rsidR="000228FA" w:rsidRDefault="000228FA" w:rsidP="00FF3977">
            <w:pPr>
              <w:rPr>
                <w:color w:val="000000"/>
              </w:rPr>
            </w:pPr>
            <w:r>
              <w:rPr>
                <w:color w:val="000000"/>
              </w:rPr>
              <w:t>Not relevant for a SL formulation.</w:t>
            </w:r>
          </w:p>
        </w:tc>
      </w:tr>
      <w:tr w:rsidR="000228FA" w14:paraId="35F34247" w14:textId="77777777" w:rsidTr="00FF3977">
        <w:tc>
          <w:tcPr>
            <w:tcW w:w="1190" w:type="pct"/>
          </w:tcPr>
          <w:p w14:paraId="26812DA1" w14:textId="77777777" w:rsidR="000228FA" w:rsidRPr="00F24D0D" w:rsidRDefault="000228FA" w:rsidP="00FF3977">
            <w:pPr>
              <w:rPr>
                <w:rFonts w:eastAsia="Calibri"/>
              </w:rPr>
            </w:pPr>
            <w:r w:rsidRPr="00A411E7">
              <w:rPr>
                <w:rFonts w:eastAsia="Calibri"/>
              </w:rPr>
              <w:t xml:space="preserve">Wet sieve analysis </w:t>
            </w:r>
            <w:r w:rsidRPr="00F24D0D">
              <w:rPr>
                <w:rFonts w:eastAsia="Calibri"/>
              </w:rPr>
              <w:t>and dry sieve test</w:t>
            </w:r>
          </w:p>
        </w:tc>
        <w:tc>
          <w:tcPr>
            <w:tcW w:w="528" w:type="pct"/>
            <w:vAlign w:val="center"/>
          </w:tcPr>
          <w:p w14:paraId="44C0307C" w14:textId="77777777" w:rsidR="000228FA" w:rsidRPr="00F24D0D" w:rsidRDefault="000228FA" w:rsidP="00FF3977">
            <w:pPr>
              <w:rPr>
                <w:rFonts w:eastAsia="Calibri"/>
              </w:rPr>
            </w:pPr>
            <w:r>
              <w:rPr>
                <w:color w:val="000000"/>
              </w:rPr>
              <w:t xml:space="preserve"> -</w:t>
            </w:r>
          </w:p>
        </w:tc>
        <w:tc>
          <w:tcPr>
            <w:tcW w:w="436" w:type="pct"/>
            <w:vAlign w:val="center"/>
          </w:tcPr>
          <w:p w14:paraId="1C10EB54" w14:textId="77777777" w:rsidR="000228FA" w:rsidRPr="00C746BC" w:rsidRDefault="000228FA" w:rsidP="00FF3977">
            <w:pPr>
              <w:rPr>
                <w:rFonts w:eastAsia="Calibri"/>
              </w:rPr>
            </w:pPr>
            <w:r>
              <w:rPr>
                <w:color w:val="000000"/>
              </w:rPr>
              <w:t xml:space="preserve"> -</w:t>
            </w:r>
          </w:p>
        </w:tc>
        <w:tc>
          <w:tcPr>
            <w:tcW w:w="1948" w:type="pct"/>
            <w:vAlign w:val="center"/>
          </w:tcPr>
          <w:p w14:paraId="5020A6AB" w14:textId="77777777" w:rsidR="000228FA" w:rsidRPr="00305B11" w:rsidRDefault="000228FA" w:rsidP="00FF3977">
            <w:pPr>
              <w:rPr>
                <w:rFonts w:eastAsia="Calibri"/>
              </w:rPr>
            </w:pPr>
            <w:r>
              <w:rPr>
                <w:color w:val="000000"/>
              </w:rPr>
              <w:t>Not required.</w:t>
            </w:r>
          </w:p>
        </w:tc>
        <w:tc>
          <w:tcPr>
            <w:tcW w:w="434" w:type="pct"/>
            <w:vAlign w:val="center"/>
          </w:tcPr>
          <w:p w14:paraId="0FA6CDF5" w14:textId="77777777" w:rsidR="000228FA" w:rsidRPr="00305B11" w:rsidRDefault="000228FA" w:rsidP="00FF3977">
            <w:pPr>
              <w:rPr>
                <w:rFonts w:eastAsia="Calibri"/>
              </w:rPr>
            </w:pPr>
            <w:r>
              <w:rPr>
                <w:color w:val="000000"/>
              </w:rPr>
              <w:t xml:space="preserve"> -</w:t>
            </w:r>
          </w:p>
        </w:tc>
        <w:tc>
          <w:tcPr>
            <w:tcW w:w="464" w:type="pct"/>
          </w:tcPr>
          <w:p w14:paraId="0D37EFB2" w14:textId="77777777" w:rsidR="000228FA" w:rsidRDefault="000228FA" w:rsidP="00FF3977">
            <w:pPr>
              <w:rPr>
                <w:color w:val="000000"/>
              </w:rPr>
            </w:pPr>
            <w:r>
              <w:rPr>
                <w:color w:val="000000"/>
              </w:rPr>
              <w:t>Acceptable</w:t>
            </w:r>
          </w:p>
        </w:tc>
      </w:tr>
      <w:tr w:rsidR="000228FA" w14:paraId="6409EDE6" w14:textId="77777777" w:rsidTr="00FF3977">
        <w:tc>
          <w:tcPr>
            <w:tcW w:w="1190" w:type="pct"/>
          </w:tcPr>
          <w:p w14:paraId="504263A0" w14:textId="77777777" w:rsidR="000228FA" w:rsidRPr="00017CF8" w:rsidRDefault="000228FA" w:rsidP="00FF3977">
            <w:pPr>
              <w:rPr>
                <w:rFonts w:eastAsia="Calibri"/>
              </w:rPr>
            </w:pPr>
            <w:r w:rsidRPr="00017CF8">
              <w:rPr>
                <w:rFonts w:eastAsia="Calibri"/>
              </w:rPr>
              <w:t>Emulsifiability, re-emulsifiability and emulsion stability</w:t>
            </w:r>
          </w:p>
        </w:tc>
        <w:tc>
          <w:tcPr>
            <w:tcW w:w="528" w:type="pct"/>
            <w:vAlign w:val="center"/>
          </w:tcPr>
          <w:p w14:paraId="1DF4D60E" w14:textId="77777777" w:rsidR="000228FA" w:rsidRPr="00017CF8" w:rsidRDefault="000228FA" w:rsidP="00FF3977">
            <w:pPr>
              <w:rPr>
                <w:rFonts w:eastAsia="Calibri"/>
              </w:rPr>
            </w:pPr>
            <w:r>
              <w:rPr>
                <w:color w:val="000000"/>
              </w:rPr>
              <w:t xml:space="preserve"> -</w:t>
            </w:r>
          </w:p>
        </w:tc>
        <w:tc>
          <w:tcPr>
            <w:tcW w:w="436" w:type="pct"/>
            <w:vAlign w:val="center"/>
          </w:tcPr>
          <w:p w14:paraId="54C4A443" w14:textId="77777777" w:rsidR="000228FA" w:rsidRPr="00017CF8" w:rsidRDefault="000228FA" w:rsidP="00FF3977">
            <w:pPr>
              <w:rPr>
                <w:rFonts w:eastAsia="Calibri"/>
              </w:rPr>
            </w:pPr>
            <w:r>
              <w:rPr>
                <w:color w:val="000000"/>
              </w:rPr>
              <w:t xml:space="preserve"> -</w:t>
            </w:r>
          </w:p>
        </w:tc>
        <w:tc>
          <w:tcPr>
            <w:tcW w:w="1948" w:type="pct"/>
            <w:vAlign w:val="center"/>
          </w:tcPr>
          <w:p w14:paraId="16DE7BA1" w14:textId="77777777" w:rsidR="000228FA" w:rsidRPr="00017CF8" w:rsidRDefault="000228FA" w:rsidP="00FF3977">
            <w:pPr>
              <w:rPr>
                <w:rFonts w:eastAsia="Calibri"/>
              </w:rPr>
            </w:pPr>
            <w:r>
              <w:rPr>
                <w:color w:val="000000"/>
              </w:rPr>
              <w:t>Not required as the product is a soluble concentrate (SL).</w:t>
            </w:r>
          </w:p>
        </w:tc>
        <w:tc>
          <w:tcPr>
            <w:tcW w:w="434" w:type="pct"/>
            <w:vAlign w:val="center"/>
          </w:tcPr>
          <w:p w14:paraId="7039886E" w14:textId="77777777" w:rsidR="000228FA" w:rsidRPr="00017CF8" w:rsidRDefault="000228FA" w:rsidP="00FF3977">
            <w:pPr>
              <w:rPr>
                <w:rFonts w:eastAsia="Calibri"/>
              </w:rPr>
            </w:pPr>
            <w:r>
              <w:rPr>
                <w:color w:val="000000"/>
              </w:rPr>
              <w:t xml:space="preserve"> -</w:t>
            </w:r>
          </w:p>
        </w:tc>
        <w:tc>
          <w:tcPr>
            <w:tcW w:w="464" w:type="pct"/>
          </w:tcPr>
          <w:p w14:paraId="6A33E5F6" w14:textId="77777777" w:rsidR="000228FA" w:rsidRDefault="000228FA" w:rsidP="00FF3977">
            <w:pPr>
              <w:rPr>
                <w:color w:val="000000"/>
              </w:rPr>
            </w:pPr>
            <w:r>
              <w:rPr>
                <w:color w:val="000000"/>
              </w:rPr>
              <w:t>Not relevant for a SL formulation.</w:t>
            </w:r>
          </w:p>
        </w:tc>
      </w:tr>
      <w:tr w:rsidR="000228FA" w14:paraId="0430C26F" w14:textId="77777777" w:rsidTr="00FF3977">
        <w:tc>
          <w:tcPr>
            <w:tcW w:w="1190" w:type="pct"/>
          </w:tcPr>
          <w:p w14:paraId="6BF88118" w14:textId="77777777" w:rsidR="000228FA" w:rsidRPr="00DF6CFE" w:rsidRDefault="000228FA" w:rsidP="00FF3977">
            <w:pPr>
              <w:rPr>
                <w:rFonts w:eastAsia="Calibri"/>
              </w:rPr>
            </w:pPr>
            <w:r w:rsidRPr="00DF6CFE">
              <w:rPr>
                <w:rFonts w:eastAsia="Calibri"/>
              </w:rPr>
              <w:t>Disintegration time</w:t>
            </w:r>
          </w:p>
        </w:tc>
        <w:tc>
          <w:tcPr>
            <w:tcW w:w="528" w:type="pct"/>
            <w:vAlign w:val="center"/>
          </w:tcPr>
          <w:p w14:paraId="377D6F2E" w14:textId="77777777" w:rsidR="000228FA" w:rsidRPr="00DF6CFE" w:rsidRDefault="000228FA" w:rsidP="00FF3977">
            <w:pPr>
              <w:rPr>
                <w:rFonts w:eastAsia="Calibri"/>
              </w:rPr>
            </w:pPr>
            <w:r>
              <w:rPr>
                <w:color w:val="000000"/>
              </w:rPr>
              <w:t xml:space="preserve"> -</w:t>
            </w:r>
          </w:p>
        </w:tc>
        <w:tc>
          <w:tcPr>
            <w:tcW w:w="436" w:type="pct"/>
            <w:vAlign w:val="center"/>
          </w:tcPr>
          <w:p w14:paraId="621EFC1E" w14:textId="77777777" w:rsidR="000228FA" w:rsidRPr="00DF6CFE" w:rsidRDefault="000228FA" w:rsidP="00FF3977">
            <w:pPr>
              <w:rPr>
                <w:rFonts w:eastAsia="Calibri"/>
              </w:rPr>
            </w:pPr>
            <w:r>
              <w:rPr>
                <w:color w:val="000000"/>
              </w:rPr>
              <w:t xml:space="preserve"> -</w:t>
            </w:r>
          </w:p>
        </w:tc>
        <w:tc>
          <w:tcPr>
            <w:tcW w:w="1948" w:type="pct"/>
            <w:vAlign w:val="center"/>
          </w:tcPr>
          <w:p w14:paraId="59BB04E1" w14:textId="77777777" w:rsidR="000228FA" w:rsidRPr="00DF6CFE" w:rsidRDefault="000228FA" w:rsidP="00FF3977">
            <w:pPr>
              <w:rPr>
                <w:rFonts w:eastAsia="Calibri"/>
              </w:rPr>
            </w:pPr>
            <w:r>
              <w:rPr>
                <w:color w:val="000000"/>
              </w:rPr>
              <w:t>Not required as the product is a soluble concentrate (SL).</w:t>
            </w:r>
          </w:p>
        </w:tc>
        <w:tc>
          <w:tcPr>
            <w:tcW w:w="434" w:type="pct"/>
            <w:vAlign w:val="center"/>
          </w:tcPr>
          <w:p w14:paraId="76B720D9" w14:textId="77777777" w:rsidR="000228FA" w:rsidRPr="00DF6CFE" w:rsidRDefault="000228FA" w:rsidP="00FF3977">
            <w:pPr>
              <w:rPr>
                <w:rFonts w:eastAsia="Calibri"/>
              </w:rPr>
            </w:pPr>
            <w:r>
              <w:rPr>
                <w:color w:val="000000"/>
              </w:rPr>
              <w:t xml:space="preserve"> -</w:t>
            </w:r>
          </w:p>
        </w:tc>
        <w:tc>
          <w:tcPr>
            <w:tcW w:w="464" w:type="pct"/>
          </w:tcPr>
          <w:p w14:paraId="6A74215C" w14:textId="77777777" w:rsidR="000228FA" w:rsidRDefault="000228FA" w:rsidP="00FF3977">
            <w:pPr>
              <w:rPr>
                <w:color w:val="000000"/>
              </w:rPr>
            </w:pPr>
            <w:r>
              <w:rPr>
                <w:color w:val="000000"/>
              </w:rPr>
              <w:t>Not relevant for a SL formulation.</w:t>
            </w:r>
          </w:p>
        </w:tc>
      </w:tr>
      <w:tr w:rsidR="000228FA" w14:paraId="43CE04D6" w14:textId="77777777" w:rsidTr="00FF3977">
        <w:tc>
          <w:tcPr>
            <w:tcW w:w="1190" w:type="pct"/>
          </w:tcPr>
          <w:p w14:paraId="5D9FC10A" w14:textId="77777777" w:rsidR="000228FA" w:rsidRPr="00A411E7" w:rsidRDefault="000228FA" w:rsidP="00FF3977">
            <w:pPr>
              <w:rPr>
                <w:rFonts w:eastAsia="Calibri"/>
              </w:rPr>
            </w:pPr>
            <w:r w:rsidRPr="00A411E7">
              <w:rPr>
                <w:rFonts w:eastAsia="Calibri"/>
              </w:rPr>
              <w:t>Particle size distribution, content of dust/fines, attrition, friability</w:t>
            </w:r>
          </w:p>
        </w:tc>
        <w:tc>
          <w:tcPr>
            <w:tcW w:w="528" w:type="pct"/>
            <w:vAlign w:val="center"/>
          </w:tcPr>
          <w:p w14:paraId="54BD769F" w14:textId="77777777" w:rsidR="000228FA" w:rsidRPr="00A411E7" w:rsidRDefault="000228FA" w:rsidP="00FF3977">
            <w:pPr>
              <w:rPr>
                <w:rFonts w:eastAsia="Calibri"/>
              </w:rPr>
            </w:pPr>
            <w:r>
              <w:rPr>
                <w:color w:val="000000"/>
              </w:rPr>
              <w:t xml:space="preserve"> -</w:t>
            </w:r>
          </w:p>
        </w:tc>
        <w:tc>
          <w:tcPr>
            <w:tcW w:w="436" w:type="pct"/>
            <w:vAlign w:val="center"/>
          </w:tcPr>
          <w:p w14:paraId="037C9160" w14:textId="77777777" w:rsidR="000228FA" w:rsidRPr="00A411E7" w:rsidRDefault="000228FA" w:rsidP="00FF3977">
            <w:pPr>
              <w:rPr>
                <w:rFonts w:eastAsia="Calibri"/>
              </w:rPr>
            </w:pPr>
            <w:r>
              <w:rPr>
                <w:color w:val="000000"/>
              </w:rPr>
              <w:t xml:space="preserve"> -</w:t>
            </w:r>
          </w:p>
        </w:tc>
        <w:tc>
          <w:tcPr>
            <w:tcW w:w="1948" w:type="pct"/>
            <w:vAlign w:val="center"/>
          </w:tcPr>
          <w:p w14:paraId="5CE1BAA8" w14:textId="77777777" w:rsidR="000228FA" w:rsidRPr="00A411E7" w:rsidRDefault="000228FA" w:rsidP="00FF3977">
            <w:pPr>
              <w:rPr>
                <w:rFonts w:eastAsia="Calibri"/>
              </w:rPr>
            </w:pPr>
            <w:r>
              <w:rPr>
                <w:color w:val="000000"/>
              </w:rPr>
              <w:t>Not required as the product is a soluble concentrate (SL).</w:t>
            </w:r>
          </w:p>
        </w:tc>
        <w:tc>
          <w:tcPr>
            <w:tcW w:w="434" w:type="pct"/>
            <w:vAlign w:val="center"/>
          </w:tcPr>
          <w:p w14:paraId="5AC2B45E" w14:textId="77777777" w:rsidR="000228FA" w:rsidRPr="00A411E7" w:rsidRDefault="000228FA" w:rsidP="00FF3977">
            <w:pPr>
              <w:rPr>
                <w:rFonts w:eastAsia="Calibri"/>
              </w:rPr>
            </w:pPr>
            <w:r>
              <w:rPr>
                <w:color w:val="000000"/>
              </w:rPr>
              <w:t xml:space="preserve"> -</w:t>
            </w:r>
          </w:p>
        </w:tc>
        <w:tc>
          <w:tcPr>
            <w:tcW w:w="464" w:type="pct"/>
          </w:tcPr>
          <w:p w14:paraId="7A8E6538" w14:textId="77777777" w:rsidR="000228FA" w:rsidRDefault="000228FA" w:rsidP="00FF3977">
            <w:pPr>
              <w:rPr>
                <w:color w:val="000000"/>
              </w:rPr>
            </w:pPr>
            <w:r>
              <w:rPr>
                <w:color w:val="000000"/>
              </w:rPr>
              <w:t>Not relevant for a SL formulation.</w:t>
            </w:r>
          </w:p>
        </w:tc>
      </w:tr>
      <w:tr w:rsidR="000228FA" w14:paraId="44668665" w14:textId="77777777" w:rsidTr="00FF3977">
        <w:tc>
          <w:tcPr>
            <w:tcW w:w="1190" w:type="pct"/>
          </w:tcPr>
          <w:p w14:paraId="519C6A5F" w14:textId="77777777" w:rsidR="000228FA" w:rsidRPr="00A411E7" w:rsidRDefault="000228FA" w:rsidP="00FF3977">
            <w:pPr>
              <w:rPr>
                <w:rFonts w:eastAsia="Calibri"/>
              </w:rPr>
            </w:pPr>
            <w:r w:rsidRPr="00A411E7">
              <w:rPr>
                <w:rFonts w:eastAsia="Calibri"/>
              </w:rPr>
              <w:t>Persistent foaming</w:t>
            </w:r>
          </w:p>
        </w:tc>
        <w:tc>
          <w:tcPr>
            <w:tcW w:w="528" w:type="pct"/>
            <w:vAlign w:val="center"/>
          </w:tcPr>
          <w:p w14:paraId="78A9962D" w14:textId="77777777" w:rsidR="000228FA" w:rsidRPr="00A411E7" w:rsidRDefault="000228FA" w:rsidP="00FF3977">
            <w:pPr>
              <w:rPr>
                <w:rFonts w:eastAsia="Calibri"/>
              </w:rPr>
            </w:pPr>
            <w:r>
              <w:rPr>
                <w:color w:val="000000"/>
              </w:rPr>
              <w:t>CIPAC Handbook O - MT 47.3 method (2017)</w:t>
            </w:r>
          </w:p>
        </w:tc>
        <w:tc>
          <w:tcPr>
            <w:tcW w:w="436" w:type="pct"/>
            <w:vAlign w:val="center"/>
          </w:tcPr>
          <w:p w14:paraId="1CF32A1F" w14:textId="77777777" w:rsidR="000228FA" w:rsidRDefault="000228FA" w:rsidP="00FF3977">
            <w:pPr>
              <w:rPr>
                <w:color w:val="000000"/>
              </w:rPr>
            </w:pPr>
            <w:r>
              <w:rPr>
                <w:color w:val="000000"/>
              </w:rPr>
              <w:t>Batch 5118225</w:t>
            </w:r>
          </w:p>
          <w:p w14:paraId="37A39EC9"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1B0F4F5A" w14:textId="77777777" w:rsidR="000228FA" w:rsidRDefault="000228FA" w:rsidP="00FF3977">
            <w:r>
              <w:t xml:space="preserve">Before the accelerated storage procedure,The mean volume of foam produced after several inversions of the test item diluted at 1% w/w in standard water D at 20 °C ± 2 °C was </w:t>
            </w:r>
            <w:r w:rsidRPr="005B2C43">
              <w:rPr>
                <w:b/>
              </w:rPr>
              <w:t>higher than 70 mL</w:t>
            </w:r>
            <w:r>
              <w:t xml:space="preserve"> after 1 min of standing. The mean volume of foam produced after several inversions of the test item diluted at 2% w/w in standard water D at 20 °C ± 2 °C was </w:t>
            </w:r>
            <w:r w:rsidRPr="005B2C43">
              <w:rPr>
                <w:b/>
              </w:rPr>
              <w:t>higher than 70 mL</w:t>
            </w:r>
            <w:r>
              <w:t xml:space="preserve"> after 1 min of standing.</w:t>
            </w:r>
            <w:r>
              <w:br/>
              <w:t xml:space="preserve">After the accelerated storage procedure. The mean volume of foam produced after several inversions of the test item diluted at 1% w/w in standard water D at 20 °C ± 2 °C was higher than 70 mL after 1 min of standing. The mean volume of foam produced after several inversions of the test item diluted at 2% w/w in </w:t>
            </w:r>
            <w:r>
              <w:lastRenderedPageBreak/>
              <w:t xml:space="preserve">standard water D at 20 °C ± 2 °C was higher than 70 mL after 1 min of standing. </w:t>
            </w:r>
          </w:p>
          <w:p w14:paraId="3563EA5D" w14:textId="77777777" w:rsidR="000228FA" w:rsidRDefault="000228FA" w:rsidP="00FF3977"/>
          <w:p w14:paraId="5522D43D" w14:textId="77777777" w:rsidR="000228FA" w:rsidRPr="00A411E7" w:rsidRDefault="000228FA" w:rsidP="00FF3977">
            <w:pPr>
              <w:rPr>
                <w:rFonts w:eastAsia="Calibri"/>
              </w:rPr>
            </w:pPr>
            <w:r w:rsidRPr="00F22A38">
              <w:t>One video of manual activity under real conditions of use at the maximum dilution concentration efficacy (1.5% v/v) of the product shows that the quantity of foam formed is not problematic. There is no overflow. The video is saved in IUCLID section 13.</w:t>
            </w:r>
          </w:p>
        </w:tc>
        <w:tc>
          <w:tcPr>
            <w:tcW w:w="434" w:type="pct"/>
            <w:vAlign w:val="center"/>
          </w:tcPr>
          <w:p w14:paraId="34351BED" w14:textId="77777777" w:rsidR="000228FA" w:rsidRPr="00A411E7" w:rsidRDefault="000228FA" w:rsidP="00FF3977">
            <w:pPr>
              <w:rPr>
                <w:rFonts w:eastAsia="Calibri"/>
              </w:rPr>
            </w:pPr>
            <w:r>
              <w:rPr>
                <w:color w:val="000000"/>
              </w:rPr>
              <w:lastRenderedPageBreak/>
              <w:t>Demangel B. and Ricau H., 2019, Report No 18-901011-057</w:t>
            </w:r>
          </w:p>
        </w:tc>
        <w:tc>
          <w:tcPr>
            <w:tcW w:w="464" w:type="pct"/>
          </w:tcPr>
          <w:p w14:paraId="747D1EEC" w14:textId="77777777" w:rsidR="000228FA" w:rsidRDefault="000228FA" w:rsidP="00FF3977">
            <w:pPr>
              <w:rPr>
                <w:lang w:eastAsia="en-US"/>
              </w:rPr>
            </w:pPr>
          </w:p>
          <w:p w14:paraId="7F183D0A" w14:textId="77777777" w:rsidR="000228FA" w:rsidRDefault="000228FA" w:rsidP="00FF3977">
            <w:pPr>
              <w:rPr>
                <w:lang w:eastAsia="en-US"/>
              </w:rPr>
            </w:pPr>
            <w:r>
              <w:rPr>
                <w:lang w:eastAsia="en-US"/>
              </w:rPr>
              <w:t xml:space="preserve">At both low and high dilution concentrations, the results are outside acceptable limits. </w:t>
            </w:r>
          </w:p>
          <w:p w14:paraId="5FEAABD5" w14:textId="77777777" w:rsidR="000228FA" w:rsidRDefault="000228FA" w:rsidP="00FF3977">
            <w:pPr>
              <w:rPr>
                <w:color w:val="000000"/>
              </w:rPr>
            </w:pPr>
          </w:p>
          <w:p w14:paraId="48CEE651" w14:textId="77777777" w:rsidR="000228FA" w:rsidRDefault="000228FA" w:rsidP="00FF3977">
            <w:pPr>
              <w:rPr>
                <w:color w:val="000000"/>
              </w:rPr>
            </w:pPr>
            <w:r>
              <w:rPr>
                <w:color w:val="000000"/>
              </w:rPr>
              <w:t xml:space="preserve">However, it has been demonstrated that the presence of </w:t>
            </w:r>
            <w:r>
              <w:rPr>
                <w:color w:val="000000"/>
              </w:rPr>
              <w:lastRenderedPageBreak/>
              <w:t>the foam will not affect the use of the product. No additional data are required.</w:t>
            </w:r>
          </w:p>
        </w:tc>
      </w:tr>
      <w:tr w:rsidR="000228FA" w14:paraId="03EE47F3" w14:textId="77777777" w:rsidTr="00FF3977">
        <w:tc>
          <w:tcPr>
            <w:tcW w:w="1190" w:type="pct"/>
          </w:tcPr>
          <w:p w14:paraId="2C3EA9C8" w14:textId="77777777" w:rsidR="000228FA" w:rsidRPr="00A411E7" w:rsidRDefault="000228FA" w:rsidP="00FF3977">
            <w:pPr>
              <w:rPr>
                <w:rFonts w:eastAsia="Calibri"/>
              </w:rPr>
            </w:pPr>
            <w:r w:rsidRPr="00A411E7">
              <w:rPr>
                <w:rFonts w:eastAsia="Calibri"/>
              </w:rPr>
              <w:lastRenderedPageBreak/>
              <w:t>Flowability/Pourability/Dustability</w:t>
            </w:r>
          </w:p>
        </w:tc>
        <w:tc>
          <w:tcPr>
            <w:tcW w:w="528" w:type="pct"/>
            <w:vAlign w:val="center"/>
          </w:tcPr>
          <w:p w14:paraId="7B04365E" w14:textId="77777777" w:rsidR="000228FA" w:rsidRPr="00A411E7" w:rsidRDefault="000228FA" w:rsidP="00FF3977">
            <w:pPr>
              <w:rPr>
                <w:rFonts w:eastAsia="Calibri"/>
              </w:rPr>
            </w:pPr>
            <w:r>
              <w:rPr>
                <w:color w:val="000000"/>
              </w:rPr>
              <w:t xml:space="preserve"> -</w:t>
            </w:r>
          </w:p>
        </w:tc>
        <w:tc>
          <w:tcPr>
            <w:tcW w:w="436" w:type="pct"/>
            <w:vAlign w:val="center"/>
          </w:tcPr>
          <w:p w14:paraId="6BA6B6BF" w14:textId="77777777" w:rsidR="000228FA" w:rsidRPr="00A411E7" w:rsidRDefault="000228FA" w:rsidP="00FF3977">
            <w:pPr>
              <w:rPr>
                <w:rFonts w:eastAsia="Calibri"/>
              </w:rPr>
            </w:pPr>
            <w:r>
              <w:rPr>
                <w:color w:val="000000"/>
              </w:rPr>
              <w:t xml:space="preserve"> -</w:t>
            </w:r>
          </w:p>
        </w:tc>
        <w:tc>
          <w:tcPr>
            <w:tcW w:w="1948" w:type="pct"/>
            <w:vAlign w:val="center"/>
          </w:tcPr>
          <w:p w14:paraId="75BDAE4D" w14:textId="77777777" w:rsidR="000228FA" w:rsidRPr="00A411E7" w:rsidRDefault="000228FA" w:rsidP="00FF3977">
            <w:pPr>
              <w:rPr>
                <w:rFonts w:eastAsia="Calibri"/>
              </w:rPr>
            </w:pPr>
            <w:r>
              <w:rPr>
                <w:color w:val="000000"/>
              </w:rPr>
              <w:t>Not required as the product is a soluble concentrate (SL).</w:t>
            </w:r>
          </w:p>
        </w:tc>
        <w:tc>
          <w:tcPr>
            <w:tcW w:w="434" w:type="pct"/>
            <w:vAlign w:val="center"/>
          </w:tcPr>
          <w:p w14:paraId="08D4B5FD" w14:textId="77777777" w:rsidR="000228FA" w:rsidRPr="00A411E7" w:rsidRDefault="000228FA" w:rsidP="00FF3977">
            <w:pPr>
              <w:rPr>
                <w:rFonts w:eastAsia="Calibri"/>
              </w:rPr>
            </w:pPr>
            <w:r>
              <w:rPr>
                <w:color w:val="000000"/>
              </w:rPr>
              <w:t xml:space="preserve"> -</w:t>
            </w:r>
          </w:p>
        </w:tc>
        <w:tc>
          <w:tcPr>
            <w:tcW w:w="464" w:type="pct"/>
          </w:tcPr>
          <w:p w14:paraId="635661AE" w14:textId="77777777" w:rsidR="000228FA" w:rsidRDefault="000228FA" w:rsidP="00FF3977">
            <w:pPr>
              <w:rPr>
                <w:color w:val="000000"/>
              </w:rPr>
            </w:pPr>
            <w:r>
              <w:rPr>
                <w:color w:val="000000"/>
              </w:rPr>
              <w:t>Not relevant for a SL formulation</w:t>
            </w:r>
          </w:p>
        </w:tc>
      </w:tr>
      <w:tr w:rsidR="000228FA" w14:paraId="446507A9" w14:textId="77777777" w:rsidTr="00FF3977">
        <w:tc>
          <w:tcPr>
            <w:tcW w:w="1190" w:type="pct"/>
          </w:tcPr>
          <w:p w14:paraId="674AF2CB" w14:textId="77777777" w:rsidR="000228FA" w:rsidRPr="00A411E7" w:rsidRDefault="000228FA" w:rsidP="00FF3977">
            <w:pPr>
              <w:rPr>
                <w:rFonts w:eastAsia="Calibri"/>
              </w:rPr>
            </w:pPr>
            <w:r w:rsidRPr="00A411E7">
              <w:rPr>
                <w:rFonts w:eastAsia="Calibri"/>
              </w:rPr>
              <w:t>Burning rate — smoke generators</w:t>
            </w:r>
          </w:p>
        </w:tc>
        <w:tc>
          <w:tcPr>
            <w:tcW w:w="528" w:type="pct"/>
            <w:vAlign w:val="center"/>
          </w:tcPr>
          <w:p w14:paraId="41513475" w14:textId="77777777" w:rsidR="000228FA" w:rsidRPr="00A411E7" w:rsidRDefault="000228FA" w:rsidP="00FF3977">
            <w:pPr>
              <w:rPr>
                <w:rFonts w:eastAsia="Calibri"/>
              </w:rPr>
            </w:pPr>
            <w:r>
              <w:rPr>
                <w:color w:val="000000"/>
              </w:rPr>
              <w:t xml:space="preserve"> -</w:t>
            </w:r>
          </w:p>
        </w:tc>
        <w:tc>
          <w:tcPr>
            <w:tcW w:w="436" w:type="pct"/>
            <w:vAlign w:val="center"/>
          </w:tcPr>
          <w:p w14:paraId="635636C2" w14:textId="77777777" w:rsidR="000228FA" w:rsidRPr="00A411E7" w:rsidRDefault="000228FA" w:rsidP="00FF3977">
            <w:pPr>
              <w:rPr>
                <w:rFonts w:eastAsia="Calibri"/>
              </w:rPr>
            </w:pPr>
            <w:r>
              <w:rPr>
                <w:color w:val="000000"/>
              </w:rPr>
              <w:t xml:space="preserve"> -</w:t>
            </w:r>
          </w:p>
        </w:tc>
        <w:tc>
          <w:tcPr>
            <w:tcW w:w="1948" w:type="pct"/>
            <w:vAlign w:val="center"/>
          </w:tcPr>
          <w:p w14:paraId="7D7F8A89"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4" w:type="pct"/>
            <w:vAlign w:val="center"/>
          </w:tcPr>
          <w:p w14:paraId="20F2B6B6" w14:textId="77777777" w:rsidR="000228FA" w:rsidRPr="00A411E7" w:rsidRDefault="000228FA" w:rsidP="00FF3977">
            <w:pPr>
              <w:rPr>
                <w:rFonts w:eastAsia="Calibri"/>
              </w:rPr>
            </w:pPr>
            <w:r>
              <w:rPr>
                <w:color w:val="000000"/>
              </w:rPr>
              <w:t xml:space="preserve"> -</w:t>
            </w:r>
          </w:p>
        </w:tc>
        <w:tc>
          <w:tcPr>
            <w:tcW w:w="464" w:type="pct"/>
          </w:tcPr>
          <w:p w14:paraId="1A583139" w14:textId="77777777" w:rsidR="000228FA" w:rsidRDefault="000228FA" w:rsidP="00FF3977">
            <w:pPr>
              <w:rPr>
                <w:color w:val="000000"/>
              </w:rPr>
            </w:pPr>
            <w:r>
              <w:rPr>
                <w:color w:val="000000"/>
              </w:rPr>
              <w:t>Not relevant</w:t>
            </w:r>
          </w:p>
        </w:tc>
      </w:tr>
      <w:tr w:rsidR="000228FA" w14:paraId="651B5C8B" w14:textId="77777777" w:rsidTr="00FF3977">
        <w:tc>
          <w:tcPr>
            <w:tcW w:w="1190" w:type="pct"/>
          </w:tcPr>
          <w:p w14:paraId="72E3C1D2" w14:textId="77777777" w:rsidR="000228FA" w:rsidRPr="00A411E7" w:rsidRDefault="000228FA" w:rsidP="00FF3977">
            <w:pPr>
              <w:rPr>
                <w:rFonts w:eastAsia="Calibri"/>
              </w:rPr>
            </w:pPr>
            <w:r w:rsidRPr="00A411E7">
              <w:rPr>
                <w:rFonts w:eastAsia="Calibri"/>
              </w:rPr>
              <w:t>Burning completeness — smoke generators</w:t>
            </w:r>
          </w:p>
        </w:tc>
        <w:tc>
          <w:tcPr>
            <w:tcW w:w="528" w:type="pct"/>
            <w:vAlign w:val="center"/>
          </w:tcPr>
          <w:p w14:paraId="268F96EB" w14:textId="77777777" w:rsidR="000228FA" w:rsidRPr="00A411E7" w:rsidRDefault="000228FA" w:rsidP="00FF3977">
            <w:pPr>
              <w:rPr>
                <w:rFonts w:eastAsia="Calibri"/>
              </w:rPr>
            </w:pPr>
            <w:r>
              <w:rPr>
                <w:color w:val="000000"/>
              </w:rPr>
              <w:t xml:space="preserve"> -</w:t>
            </w:r>
          </w:p>
        </w:tc>
        <w:tc>
          <w:tcPr>
            <w:tcW w:w="436" w:type="pct"/>
            <w:vAlign w:val="center"/>
          </w:tcPr>
          <w:p w14:paraId="6D9D7223" w14:textId="77777777" w:rsidR="000228FA" w:rsidRPr="00A411E7" w:rsidRDefault="000228FA" w:rsidP="00FF3977">
            <w:pPr>
              <w:rPr>
                <w:rFonts w:eastAsia="Calibri"/>
              </w:rPr>
            </w:pPr>
            <w:r>
              <w:rPr>
                <w:color w:val="000000"/>
              </w:rPr>
              <w:t xml:space="preserve"> -</w:t>
            </w:r>
          </w:p>
        </w:tc>
        <w:tc>
          <w:tcPr>
            <w:tcW w:w="1948" w:type="pct"/>
            <w:vAlign w:val="center"/>
          </w:tcPr>
          <w:p w14:paraId="4C308E78"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4" w:type="pct"/>
            <w:vAlign w:val="center"/>
          </w:tcPr>
          <w:p w14:paraId="7DD65ED7" w14:textId="77777777" w:rsidR="000228FA" w:rsidRPr="00A411E7" w:rsidRDefault="000228FA" w:rsidP="00FF3977">
            <w:pPr>
              <w:rPr>
                <w:rFonts w:eastAsia="Calibri"/>
              </w:rPr>
            </w:pPr>
            <w:r>
              <w:rPr>
                <w:color w:val="000000"/>
              </w:rPr>
              <w:t xml:space="preserve"> -</w:t>
            </w:r>
          </w:p>
        </w:tc>
        <w:tc>
          <w:tcPr>
            <w:tcW w:w="464" w:type="pct"/>
          </w:tcPr>
          <w:p w14:paraId="240168BA" w14:textId="77777777" w:rsidR="000228FA" w:rsidRDefault="000228FA" w:rsidP="00FF3977">
            <w:pPr>
              <w:rPr>
                <w:color w:val="000000"/>
              </w:rPr>
            </w:pPr>
            <w:r>
              <w:rPr>
                <w:color w:val="000000"/>
              </w:rPr>
              <w:t>Not relevant</w:t>
            </w:r>
          </w:p>
        </w:tc>
      </w:tr>
      <w:tr w:rsidR="000228FA" w14:paraId="6580DBDA" w14:textId="77777777" w:rsidTr="00FF3977">
        <w:tc>
          <w:tcPr>
            <w:tcW w:w="1190" w:type="pct"/>
          </w:tcPr>
          <w:p w14:paraId="65BA2A71" w14:textId="77777777" w:rsidR="000228FA" w:rsidRPr="00A411E7" w:rsidRDefault="000228FA" w:rsidP="00FF3977">
            <w:pPr>
              <w:rPr>
                <w:rFonts w:eastAsia="Calibri"/>
              </w:rPr>
            </w:pPr>
            <w:r w:rsidRPr="00A411E7">
              <w:rPr>
                <w:rFonts w:eastAsia="Calibri"/>
              </w:rPr>
              <w:t>Composition of smoke — smoke generators</w:t>
            </w:r>
          </w:p>
        </w:tc>
        <w:tc>
          <w:tcPr>
            <w:tcW w:w="528" w:type="pct"/>
            <w:vAlign w:val="center"/>
          </w:tcPr>
          <w:p w14:paraId="31FB2B1C" w14:textId="77777777" w:rsidR="000228FA" w:rsidRPr="00A411E7" w:rsidRDefault="000228FA" w:rsidP="00FF3977">
            <w:pPr>
              <w:rPr>
                <w:rFonts w:eastAsia="Calibri"/>
              </w:rPr>
            </w:pPr>
            <w:r>
              <w:rPr>
                <w:color w:val="000000"/>
              </w:rPr>
              <w:t xml:space="preserve"> -</w:t>
            </w:r>
          </w:p>
        </w:tc>
        <w:tc>
          <w:tcPr>
            <w:tcW w:w="436" w:type="pct"/>
            <w:vAlign w:val="center"/>
          </w:tcPr>
          <w:p w14:paraId="0BB1A6E5" w14:textId="77777777" w:rsidR="000228FA" w:rsidRPr="00A411E7" w:rsidRDefault="000228FA" w:rsidP="00FF3977">
            <w:pPr>
              <w:rPr>
                <w:rFonts w:eastAsia="Calibri"/>
              </w:rPr>
            </w:pPr>
            <w:r>
              <w:rPr>
                <w:color w:val="000000"/>
              </w:rPr>
              <w:t xml:space="preserve"> -</w:t>
            </w:r>
          </w:p>
        </w:tc>
        <w:tc>
          <w:tcPr>
            <w:tcW w:w="1948" w:type="pct"/>
            <w:vAlign w:val="center"/>
          </w:tcPr>
          <w:p w14:paraId="395C4AE0" w14:textId="77777777" w:rsidR="000228FA" w:rsidRPr="00A411E7" w:rsidRDefault="000228FA" w:rsidP="00FF3977">
            <w:pPr>
              <w:rPr>
                <w:rFonts w:eastAsia="Calibri"/>
              </w:rPr>
            </w:pPr>
            <w:r>
              <w:rPr>
                <w:color w:val="000000"/>
              </w:rPr>
              <w:t>Not applicable. The product is a soluble concentrate liquid and is not intended to be applied as a smoke.</w:t>
            </w:r>
          </w:p>
        </w:tc>
        <w:tc>
          <w:tcPr>
            <w:tcW w:w="434" w:type="pct"/>
            <w:vAlign w:val="center"/>
          </w:tcPr>
          <w:p w14:paraId="24B1493F" w14:textId="77777777" w:rsidR="000228FA" w:rsidRPr="00A411E7" w:rsidRDefault="000228FA" w:rsidP="00FF3977">
            <w:pPr>
              <w:rPr>
                <w:rFonts w:eastAsia="Calibri"/>
              </w:rPr>
            </w:pPr>
            <w:r>
              <w:rPr>
                <w:color w:val="000000"/>
              </w:rPr>
              <w:t xml:space="preserve"> -</w:t>
            </w:r>
          </w:p>
        </w:tc>
        <w:tc>
          <w:tcPr>
            <w:tcW w:w="464" w:type="pct"/>
          </w:tcPr>
          <w:p w14:paraId="4053AF82" w14:textId="77777777" w:rsidR="000228FA" w:rsidRDefault="000228FA" w:rsidP="00FF3977">
            <w:pPr>
              <w:rPr>
                <w:color w:val="000000"/>
              </w:rPr>
            </w:pPr>
            <w:r>
              <w:rPr>
                <w:color w:val="000000"/>
              </w:rPr>
              <w:t>Not relevant</w:t>
            </w:r>
          </w:p>
        </w:tc>
      </w:tr>
      <w:tr w:rsidR="000228FA" w14:paraId="5D38156D" w14:textId="77777777" w:rsidTr="00FF3977">
        <w:tc>
          <w:tcPr>
            <w:tcW w:w="1190" w:type="pct"/>
          </w:tcPr>
          <w:p w14:paraId="1B7F1AEE" w14:textId="77777777" w:rsidR="000228FA" w:rsidRPr="00A411E7" w:rsidRDefault="000228FA" w:rsidP="00FF3977">
            <w:pPr>
              <w:rPr>
                <w:rFonts w:eastAsia="Calibri"/>
              </w:rPr>
            </w:pPr>
            <w:r w:rsidRPr="00A411E7">
              <w:rPr>
                <w:rFonts w:eastAsia="Calibri"/>
              </w:rPr>
              <w:t>Spraying pattern — aerosols</w:t>
            </w:r>
          </w:p>
        </w:tc>
        <w:tc>
          <w:tcPr>
            <w:tcW w:w="528" w:type="pct"/>
            <w:vAlign w:val="center"/>
          </w:tcPr>
          <w:p w14:paraId="7638E30A" w14:textId="77777777" w:rsidR="000228FA" w:rsidRPr="00A411E7" w:rsidRDefault="000228FA" w:rsidP="00FF3977">
            <w:pPr>
              <w:rPr>
                <w:rFonts w:eastAsia="Calibri"/>
              </w:rPr>
            </w:pPr>
            <w:r>
              <w:rPr>
                <w:color w:val="000000"/>
              </w:rPr>
              <w:t xml:space="preserve"> -</w:t>
            </w:r>
          </w:p>
        </w:tc>
        <w:tc>
          <w:tcPr>
            <w:tcW w:w="436" w:type="pct"/>
            <w:vAlign w:val="center"/>
          </w:tcPr>
          <w:p w14:paraId="7F6AFAE1" w14:textId="77777777" w:rsidR="000228FA" w:rsidRPr="00A411E7" w:rsidRDefault="000228FA" w:rsidP="00FF3977">
            <w:pPr>
              <w:rPr>
                <w:rFonts w:eastAsia="Calibri"/>
              </w:rPr>
            </w:pPr>
            <w:r>
              <w:rPr>
                <w:color w:val="000000"/>
              </w:rPr>
              <w:t xml:space="preserve"> -</w:t>
            </w:r>
          </w:p>
        </w:tc>
        <w:tc>
          <w:tcPr>
            <w:tcW w:w="1948" w:type="pct"/>
            <w:vAlign w:val="center"/>
          </w:tcPr>
          <w:p w14:paraId="46277A81" w14:textId="77777777" w:rsidR="000228FA" w:rsidRPr="00A411E7" w:rsidRDefault="000228FA" w:rsidP="00FF3977">
            <w:pPr>
              <w:rPr>
                <w:rFonts w:eastAsia="Calibri"/>
              </w:rPr>
            </w:pPr>
            <w:r>
              <w:rPr>
                <w:color w:val="000000"/>
              </w:rPr>
              <w:t>Not applicable. The product is a soluble concentrate liquid and is not intended to be applied by spray with propellant gas under pressure.</w:t>
            </w:r>
          </w:p>
        </w:tc>
        <w:tc>
          <w:tcPr>
            <w:tcW w:w="434" w:type="pct"/>
            <w:vAlign w:val="center"/>
          </w:tcPr>
          <w:p w14:paraId="73938EF0" w14:textId="77777777" w:rsidR="000228FA" w:rsidRPr="00A411E7" w:rsidRDefault="000228FA" w:rsidP="00FF3977">
            <w:pPr>
              <w:rPr>
                <w:rFonts w:eastAsia="Calibri"/>
              </w:rPr>
            </w:pPr>
            <w:r>
              <w:rPr>
                <w:color w:val="000000"/>
              </w:rPr>
              <w:t xml:space="preserve"> -</w:t>
            </w:r>
          </w:p>
        </w:tc>
        <w:tc>
          <w:tcPr>
            <w:tcW w:w="464" w:type="pct"/>
          </w:tcPr>
          <w:p w14:paraId="7EDF727D" w14:textId="77777777" w:rsidR="000228FA" w:rsidRDefault="000228FA" w:rsidP="00FF3977">
            <w:pPr>
              <w:rPr>
                <w:color w:val="000000"/>
              </w:rPr>
            </w:pPr>
            <w:r>
              <w:rPr>
                <w:color w:val="000000"/>
              </w:rPr>
              <w:t>Not relevant</w:t>
            </w:r>
          </w:p>
        </w:tc>
      </w:tr>
      <w:tr w:rsidR="000228FA" w14:paraId="6C846EEB" w14:textId="77777777" w:rsidTr="00FF3977">
        <w:tc>
          <w:tcPr>
            <w:tcW w:w="1190" w:type="pct"/>
          </w:tcPr>
          <w:p w14:paraId="4B9AE5B7" w14:textId="77777777" w:rsidR="000228FA" w:rsidRPr="00A411E7" w:rsidRDefault="000228FA" w:rsidP="00FF3977">
            <w:pPr>
              <w:rPr>
                <w:rFonts w:eastAsia="Calibri"/>
              </w:rPr>
            </w:pPr>
            <w:r w:rsidRPr="00A411E7">
              <w:rPr>
                <w:rFonts w:eastAsia="Calibri"/>
              </w:rPr>
              <w:t>Physical compatibility</w:t>
            </w:r>
          </w:p>
        </w:tc>
        <w:tc>
          <w:tcPr>
            <w:tcW w:w="528" w:type="pct"/>
            <w:vAlign w:val="center"/>
          </w:tcPr>
          <w:p w14:paraId="106B85A2" w14:textId="77777777" w:rsidR="000228FA" w:rsidRPr="00A411E7" w:rsidRDefault="000228FA" w:rsidP="00FF3977">
            <w:pPr>
              <w:rPr>
                <w:rFonts w:eastAsia="Calibri"/>
              </w:rPr>
            </w:pPr>
            <w:r>
              <w:rPr>
                <w:color w:val="000000"/>
              </w:rPr>
              <w:t xml:space="preserve"> -</w:t>
            </w:r>
          </w:p>
        </w:tc>
        <w:tc>
          <w:tcPr>
            <w:tcW w:w="436" w:type="pct"/>
            <w:vAlign w:val="center"/>
          </w:tcPr>
          <w:p w14:paraId="07F25DC3" w14:textId="77777777" w:rsidR="000228FA" w:rsidRPr="00A411E7" w:rsidRDefault="000228FA" w:rsidP="00FF3977">
            <w:pPr>
              <w:rPr>
                <w:rFonts w:eastAsia="Calibri"/>
              </w:rPr>
            </w:pPr>
            <w:r>
              <w:rPr>
                <w:color w:val="000000"/>
              </w:rPr>
              <w:t xml:space="preserve"> -</w:t>
            </w:r>
          </w:p>
        </w:tc>
        <w:tc>
          <w:tcPr>
            <w:tcW w:w="1948" w:type="pct"/>
            <w:vAlign w:val="center"/>
          </w:tcPr>
          <w:p w14:paraId="7803C75F"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34" w:type="pct"/>
            <w:vAlign w:val="center"/>
          </w:tcPr>
          <w:p w14:paraId="440476EE" w14:textId="77777777" w:rsidR="000228FA" w:rsidRPr="00A411E7" w:rsidRDefault="000228FA" w:rsidP="00FF3977">
            <w:pPr>
              <w:rPr>
                <w:rFonts w:eastAsia="Calibri"/>
              </w:rPr>
            </w:pPr>
            <w:r>
              <w:rPr>
                <w:color w:val="000000"/>
              </w:rPr>
              <w:t xml:space="preserve"> -</w:t>
            </w:r>
          </w:p>
        </w:tc>
        <w:tc>
          <w:tcPr>
            <w:tcW w:w="464" w:type="pct"/>
          </w:tcPr>
          <w:p w14:paraId="7A536631" w14:textId="77777777" w:rsidR="000228FA" w:rsidRDefault="000228FA" w:rsidP="00FF3977">
            <w:pPr>
              <w:rPr>
                <w:color w:val="000000"/>
              </w:rPr>
            </w:pPr>
            <w:r>
              <w:rPr>
                <w:color w:val="000000"/>
              </w:rPr>
              <w:t>Not relevant</w:t>
            </w:r>
          </w:p>
        </w:tc>
      </w:tr>
      <w:tr w:rsidR="000228FA" w14:paraId="689FFF8D" w14:textId="77777777" w:rsidTr="00FF3977">
        <w:tc>
          <w:tcPr>
            <w:tcW w:w="1190" w:type="pct"/>
          </w:tcPr>
          <w:p w14:paraId="2FA016CC" w14:textId="77777777" w:rsidR="000228FA" w:rsidRPr="00A411E7" w:rsidRDefault="000228FA" w:rsidP="00FF3977">
            <w:pPr>
              <w:rPr>
                <w:rFonts w:eastAsia="Calibri"/>
              </w:rPr>
            </w:pPr>
            <w:r w:rsidRPr="00A411E7">
              <w:rPr>
                <w:rFonts w:eastAsia="Calibri"/>
              </w:rPr>
              <w:lastRenderedPageBreak/>
              <w:t>Chemical compatibility</w:t>
            </w:r>
          </w:p>
        </w:tc>
        <w:tc>
          <w:tcPr>
            <w:tcW w:w="528" w:type="pct"/>
            <w:vAlign w:val="center"/>
          </w:tcPr>
          <w:p w14:paraId="2B975977" w14:textId="77777777" w:rsidR="000228FA" w:rsidRPr="00A411E7" w:rsidRDefault="000228FA" w:rsidP="00FF3977">
            <w:pPr>
              <w:rPr>
                <w:rFonts w:eastAsia="Calibri"/>
              </w:rPr>
            </w:pPr>
            <w:r>
              <w:rPr>
                <w:color w:val="000000"/>
              </w:rPr>
              <w:t xml:space="preserve"> -</w:t>
            </w:r>
          </w:p>
        </w:tc>
        <w:tc>
          <w:tcPr>
            <w:tcW w:w="436" w:type="pct"/>
            <w:vAlign w:val="center"/>
          </w:tcPr>
          <w:p w14:paraId="684FFD66" w14:textId="77777777" w:rsidR="000228FA" w:rsidRPr="00A411E7" w:rsidRDefault="000228FA" w:rsidP="00FF3977">
            <w:pPr>
              <w:rPr>
                <w:rFonts w:eastAsia="Calibri"/>
              </w:rPr>
            </w:pPr>
            <w:r>
              <w:rPr>
                <w:color w:val="000000"/>
              </w:rPr>
              <w:t xml:space="preserve"> -</w:t>
            </w:r>
          </w:p>
        </w:tc>
        <w:tc>
          <w:tcPr>
            <w:tcW w:w="1948" w:type="pct"/>
            <w:vAlign w:val="center"/>
          </w:tcPr>
          <w:p w14:paraId="5FB923B8" w14:textId="77777777" w:rsidR="000228FA" w:rsidRPr="00A411E7" w:rsidRDefault="000228FA" w:rsidP="00FF3977">
            <w:pPr>
              <w:rPr>
                <w:rFonts w:eastAsia="Calibri"/>
              </w:rPr>
            </w:pPr>
            <w:r>
              <w:rPr>
                <w:color w:val="000000"/>
              </w:rPr>
              <w:t>Not applicable. The product is a concentrated liquid to dilute with water and is not intended to be added to any other product.</w:t>
            </w:r>
          </w:p>
        </w:tc>
        <w:tc>
          <w:tcPr>
            <w:tcW w:w="434" w:type="pct"/>
            <w:vAlign w:val="center"/>
          </w:tcPr>
          <w:p w14:paraId="5C9C38BC" w14:textId="77777777" w:rsidR="000228FA" w:rsidRPr="00A411E7" w:rsidRDefault="000228FA" w:rsidP="00FF3977">
            <w:pPr>
              <w:rPr>
                <w:rFonts w:eastAsia="Calibri"/>
              </w:rPr>
            </w:pPr>
            <w:r>
              <w:rPr>
                <w:color w:val="000000"/>
              </w:rPr>
              <w:t xml:space="preserve"> -</w:t>
            </w:r>
          </w:p>
        </w:tc>
        <w:tc>
          <w:tcPr>
            <w:tcW w:w="464" w:type="pct"/>
          </w:tcPr>
          <w:p w14:paraId="70397DE7" w14:textId="77777777" w:rsidR="000228FA" w:rsidRDefault="000228FA" w:rsidP="00FF3977">
            <w:pPr>
              <w:rPr>
                <w:color w:val="000000"/>
              </w:rPr>
            </w:pPr>
            <w:r>
              <w:rPr>
                <w:color w:val="000000"/>
              </w:rPr>
              <w:t>Not relevant</w:t>
            </w:r>
          </w:p>
        </w:tc>
      </w:tr>
      <w:tr w:rsidR="000228FA" w14:paraId="74F6D6ED" w14:textId="77777777" w:rsidTr="00FF3977">
        <w:tc>
          <w:tcPr>
            <w:tcW w:w="1190" w:type="pct"/>
          </w:tcPr>
          <w:p w14:paraId="5D1BAF25" w14:textId="77777777" w:rsidR="000228FA" w:rsidRPr="00A411E7" w:rsidRDefault="000228FA" w:rsidP="00FF3977">
            <w:pPr>
              <w:rPr>
                <w:rFonts w:eastAsia="Calibri"/>
              </w:rPr>
            </w:pPr>
            <w:r w:rsidRPr="00A411E7">
              <w:rPr>
                <w:rFonts w:eastAsia="Calibri"/>
              </w:rPr>
              <w:t>Degree of dissolution and dilution stability</w:t>
            </w:r>
          </w:p>
        </w:tc>
        <w:tc>
          <w:tcPr>
            <w:tcW w:w="528" w:type="pct"/>
            <w:vAlign w:val="center"/>
          </w:tcPr>
          <w:p w14:paraId="0A1B0000" w14:textId="77777777" w:rsidR="000228FA" w:rsidRPr="00A411E7" w:rsidRDefault="000228FA" w:rsidP="00FF3977">
            <w:pPr>
              <w:rPr>
                <w:rFonts w:eastAsia="Calibri"/>
              </w:rPr>
            </w:pPr>
            <w:r>
              <w:rPr>
                <w:color w:val="000000"/>
              </w:rPr>
              <w:t>CIPAC Handbook O - MT 41.1 method (2017)</w:t>
            </w:r>
          </w:p>
        </w:tc>
        <w:tc>
          <w:tcPr>
            <w:tcW w:w="436" w:type="pct"/>
            <w:vAlign w:val="center"/>
          </w:tcPr>
          <w:p w14:paraId="48DBC682" w14:textId="77777777" w:rsidR="000228FA" w:rsidRDefault="000228FA" w:rsidP="00FF3977">
            <w:pPr>
              <w:rPr>
                <w:color w:val="000000"/>
              </w:rPr>
            </w:pPr>
            <w:r>
              <w:rPr>
                <w:color w:val="000000"/>
              </w:rPr>
              <w:t>Batch 5118225</w:t>
            </w:r>
          </w:p>
          <w:p w14:paraId="325B4025"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71B899E3" w14:textId="77777777" w:rsidR="000228FA" w:rsidRPr="00A411E7" w:rsidRDefault="000228FA" w:rsidP="00FF3977">
            <w:pPr>
              <w:rPr>
                <w:rFonts w:eastAsia="Calibri"/>
              </w:rPr>
            </w:pPr>
            <w:r>
              <w:rPr>
                <w:color w:val="000000"/>
              </w:rPr>
              <w:t>Before the accelerated storage procedure, no separated material was noted on the test item solution at 2% w/w in standard water D after standing for 24 h at 30 °C ± 2 °C. The test item solution remained stable.</w:t>
            </w:r>
            <w:r>
              <w:rPr>
                <w:color w:val="000000"/>
              </w:rPr>
              <w:br/>
              <w:t>After the accelerated storage procedure, no separated material was noted on the test item solution at 2% w/w in standard water D after standing for 24 h at 30 °C ± 2 °C. The test item solution remained stable.</w:t>
            </w:r>
          </w:p>
        </w:tc>
        <w:tc>
          <w:tcPr>
            <w:tcW w:w="434" w:type="pct"/>
            <w:vAlign w:val="center"/>
          </w:tcPr>
          <w:p w14:paraId="51F4A07C" w14:textId="77777777" w:rsidR="000228FA" w:rsidRPr="00A411E7" w:rsidRDefault="000228FA" w:rsidP="00FF3977">
            <w:pPr>
              <w:rPr>
                <w:rFonts w:eastAsia="Calibri"/>
              </w:rPr>
            </w:pPr>
            <w:r>
              <w:rPr>
                <w:color w:val="000000"/>
              </w:rPr>
              <w:t>Demangel B. and Ricau H., 2019, Report No 18-901011-057</w:t>
            </w:r>
          </w:p>
        </w:tc>
        <w:tc>
          <w:tcPr>
            <w:tcW w:w="464" w:type="pct"/>
          </w:tcPr>
          <w:p w14:paraId="30BD9B2D" w14:textId="77777777" w:rsidR="000228FA" w:rsidRDefault="000228FA" w:rsidP="00FF3977">
            <w:pPr>
              <w:rPr>
                <w:color w:val="000000"/>
              </w:rPr>
            </w:pPr>
            <w:r>
              <w:rPr>
                <w:color w:val="000000"/>
              </w:rPr>
              <w:t>Acceptable</w:t>
            </w:r>
          </w:p>
        </w:tc>
      </w:tr>
      <w:tr w:rsidR="000228FA" w14:paraId="546B7F82" w14:textId="77777777" w:rsidTr="00FF3977">
        <w:tc>
          <w:tcPr>
            <w:tcW w:w="1190" w:type="pct"/>
          </w:tcPr>
          <w:p w14:paraId="3CA02A2C" w14:textId="77777777" w:rsidR="000228FA" w:rsidRPr="00A411E7" w:rsidRDefault="000228FA" w:rsidP="00FF3977">
            <w:pPr>
              <w:rPr>
                <w:rFonts w:eastAsia="Calibri"/>
              </w:rPr>
            </w:pPr>
            <w:r w:rsidRPr="00A411E7">
              <w:rPr>
                <w:rFonts w:eastAsia="Calibri"/>
              </w:rPr>
              <w:t>Surface tension</w:t>
            </w:r>
          </w:p>
        </w:tc>
        <w:tc>
          <w:tcPr>
            <w:tcW w:w="528" w:type="pct"/>
            <w:vAlign w:val="center"/>
          </w:tcPr>
          <w:p w14:paraId="677EBF5C" w14:textId="77777777" w:rsidR="000228FA" w:rsidRPr="00A411E7" w:rsidRDefault="000228FA" w:rsidP="00FF3977">
            <w:pPr>
              <w:rPr>
                <w:rFonts w:eastAsia="Calibri"/>
              </w:rPr>
            </w:pPr>
            <w:r>
              <w:rPr>
                <w:color w:val="000000"/>
              </w:rPr>
              <w:t>EC A.5. method (2008) and OECD Guideline No. 115 (1995)</w:t>
            </w:r>
          </w:p>
        </w:tc>
        <w:tc>
          <w:tcPr>
            <w:tcW w:w="436" w:type="pct"/>
            <w:vAlign w:val="center"/>
          </w:tcPr>
          <w:p w14:paraId="04802369" w14:textId="77777777" w:rsidR="000228FA" w:rsidRDefault="000228FA" w:rsidP="00FF3977">
            <w:pPr>
              <w:rPr>
                <w:color w:val="000000"/>
              </w:rPr>
            </w:pPr>
            <w:r>
              <w:rPr>
                <w:color w:val="000000"/>
              </w:rPr>
              <w:t>Batch 5118225</w:t>
            </w:r>
          </w:p>
          <w:p w14:paraId="42DB37B4"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6EF4D5F2" w14:textId="77777777" w:rsidR="000228FA" w:rsidRPr="00A411E7" w:rsidRDefault="000228FA" w:rsidP="00FF3977">
            <w:pPr>
              <w:rPr>
                <w:rFonts w:eastAsia="Calibri"/>
              </w:rPr>
            </w:pPr>
            <w:r>
              <w:rPr>
                <w:color w:val="000000"/>
              </w:rPr>
              <w:t>The mean surface tension of the test item diluted at 2% w/w in distilled water at 20.0 °C was 25.1 mN/m. The test item was considered as surface-active in the experimental conditions used.</w:t>
            </w:r>
          </w:p>
        </w:tc>
        <w:tc>
          <w:tcPr>
            <w:tcW w:w="434" w:type="pct"/>
            <w:vAlign w:val="center"/>
          </w:tcPr>
          <w:p w14:paraId="41C091C9" w14:textId="77777777" w:rsidR="000228FA" w:rsidRPr="00A411E7" w:rsidRDefault="000228FA" w:rsidP="00FF3977">
            <w:pPr>
              <w:rPr>
                <w:rFonts w:eastAsia="Calibri"/>
              </w:rPr>
            </w:pPr>
            <w:r>
              <w:rPr>
                <w:color w:val="000000"/>
              </w:rPr>
              <w:t>Demangel B., 2019, Report No 18-901011-056</w:t>
            </w:r>
          </w:p>
        </w:tc>
        <w:tc>
          <w:tcPr>
            <w:tcW w:w="464" w:type="pct"/>
          </w:tcPr>
          <w:p w14:paraId="13A5A304" w14:textId="77777777" w:rsidR="000228FA" w:rsidRDefault="000228FA" w:rsidP="00FF3977">
            <w:pPr>
              <w:rPr>
                <w:color w:val="000000"/>
              </w:rPr>
            </w:pPr>
            <w:r>
              <w:rPr>
                <w:color w:val="000000"/>
              </w:rPr>
              <w:t>Acceptable</w:t>
            </w:r>
          </w:p>
        </w:tc>
      </w:tr>
      <w:tr w:rsidR="000228FA" w14:paraId="4F4E9708" w14:textId="77777777" w:rsidTr="00FF3977">
        <w:tc>
          <w:tcPr>
            <w:tcW w:w="1190" w:type="pct"/>
          </w:tcPr>
          <w:p w14:paraId="3B077AC3" w14:textId="77777777" w:rsidR="000228FA" w:rsidRPr="00A411E7" w:rsidRDefault="000228FA" w:rsidP="00FF3977">
            <w:pPr>
              <w:rPr>
                <w:rFonts w:eastAsia="Calibri"/>
              </w:rPr>
            </w:pPr>
            <w:r w:rsidRPr="00A411E7">
              <w:rPr>
                <w:rFonts w:eastAsia="Calibri"/>
              </w:rPr>
              <w:t>Viscosity</w:t>
            </w:r>
          </w:p>
        </w:tc>
        <w:tc>
          <w:tcPr>
            <w:tcW w:w="528" w:type="pct"/>
            <w:vAlign w:val="center"/>
          </w:tcPr>
          <w:p w14:paraId="28FD7132" w14:textId="77777777" w:rsidR="000228FA" w:rsidRPr="00A411E7" w:rsidRDefault="000228FA" w:rsidP="00FF3977">
            <w:pPr>
              <w:rPr>
                <w:rFonts w:eastAsia="Calibri"/>
              </w:rPr>
            </w:pPr>
            <w:r>
              <w:rPr>
                <w:color w:val="000000"/>
              </w:rPr>
              <w:t>OECD Guideline No. 114 (2012) and ISO Standard 3219 (1993)</w:t>
            </w:r>
          </w:p>
        </w:tc>
        <w:tc>
          <w:tcPr>
            <w:tcW w:w="436" w:type="pct"/>
            <w:vAlign w:val="center"/>
          </w:tcPr>
          <w:p w14:paraId="1DEC434A" w14:textId="77777777" w:rsidR="000228FA" w:rsidRDefault="000228FA" w:rsidP="00FF3977">
            <w:pPr>
              <w:rPr>
                <w:color w:val="000000"/>
              </w:rPr>
            </w:pPr>
            <w:r>
              <w:rPr>
                <w:color w:val="000000"/>
              </w:rPr>
              <w:t>Batch 5118225</w:t>
            </w:r>
          </w:p>
          <w:p w14:paraId="0BDE233C" w14:textId="77777777" w:rsidR="000228FA" w:rsidRPr="00A411E7" w:rsidRDefault="000228FA" w:rsidP="00FF3977">
            <w:pPr>
              <w:rPr>
                <w:rFonts w:eastAsia="Calibri"/>
              </w:rPr>
            </w:pPr>
            <w:r>
              <w:rPr>
                <w:rFonts w:eastAsia="Calibri"/>
              </w:rPr>
              <w:t xml:space="preserve">Test item: </w:t>
            </w:r>
            <w:r w:rsidRPr="003A5D51">
              <w:rPr>
                <w:rFonts w:eastAsia="Calibri"/>
              </w:rPr>
              <w:t>218255-P1</w:t>
            </w:r>
          </w:p>
        </w:tc>
        <w:tc>
          <w:tcPr>
            <w:tcW w:w="1948" w:type="pct"/>
            <w:vAlign w:val="center"/>
          </w:tcPr>
          <w:p w14:paraId="63FA74DC" w14:textId="77777777" w:rsidR="000228FA" w:rsidRPr="00A411E7" w:rsidRDefault="000228FA" w:rsidP="00FF3977">
            <w:pPr>
              <w:rPr>
                <w:rFonts w:eastAsia="Calibri"/>
              </w:rPr>
            </w:pPr>
            <w:r>
              <w:rPr>
                <w:color w:val="000000"/>
              </w:rPr>
              <w:t>Taking into account the results obtained at 20.0 °C and 40.0 °C, the test item was considered to have newtonian properties in the experimental conditions used. The mean dynamic viscosity of the test item was 7.75 mPa.s at 20.0 °C ± 0.2 °C and 3.91 mPa.s at 40.0 °C ± 0.2 °C.</w:t>
            </w:r>
          </w:p>
        </w:tc>
        <w:tc>
          <w:tcPr>
            <w:tcW w:w="434" w:type="pct"/>
            <w:vAlign w:val="center"/>
          </w:tcPr>
          <w:p w14:paraId="1A620161" w14:textId="77777777" w:rsidR="000228FA" w:rsidRPr="00A411E7" w:rsidRDefault="000228FA" w:rsidP="00FF3977">
            <w:pPr>
              <w:rPr>
                <w:rFonts w:eastAsia="Calibri"/>
              </w:rPr>
            </w:pPr>
            <w:r>
              <w:rPr>
                <w:color w:val="000000"/>
              </w:rPr>
              <w:t>Demangel B., 2019, Report No 18-901011-056</w:t>
            </w:r>
          </w:p>
        </w:tc>
        <w:tc>
          <w:tcPr>
            <w:tcW w:w="464" w:type="pct"/>
          </w:tcPr>
          <w:p w14:paraId="3CDB9777" w14:textId="77777777" w:rsidR="000228FA" w:rsidRDefault="000228FA" w:rsidP="00FF3977">
            <w:pPr>
              <w:rPr>
                <w:color w:val="000000"/>
              </w:rPr>
            </w:pPr>
            <w:r>
              <w:rPr>
                <w:color w:val="000000"/>
              </w:rPr>
              <w:t>Acceptable</w:t>
            </w:r>
          </w:p>
        </w:tc>
      </w:tr>
    </w:tbl>
    <w:p w14:paraId="4617EB1E" w14:textId="02068A59" w:rsidR="000228FA" w:rsidRDefault="000228FA">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0228FA" w:rsidRPr="00A411E7" w14:paraId="59755FC5"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41C263A4" w14:textId="77777777" w:rsidR="000228FA" w:rsidRPr="00F24D0D" w:rsidRDefault="000228FA"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11</w:t>
            </w:r>
          </w:p>
        </w:tc>
      </w:tr>
      <w:tr w:rsidR="000228FA" w:rsidRPr="001D704F" w14:paraId="147E2E2E"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6E7F691" w14:textId="77777777" w:rsidR="000228FA" w:rsidRDefault="000228FA" w:rsidP="00FF3977">
            <w:pPr>
              <w:spacing w:line="276" w:lineRule="auto"/>
              <w:jc w:val="both"/>
              <w:rPr>
                <w:lang w:eastAsia="en-US"/>
              </w:rPr>
            </w:pPr>
            <w:r>
              <w:rPr>
                <w:lang w:eastAsia="en-US"/>
              </w:rPr>
              <w:lastRenderedPageBreak/>
              <w:t>The Meta-SPC 11 is a soluble concentrate (SL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color w:val="FF0000"/>
                <w:lang w:eastAsia="en-US"/>
              </w:rPr>
              <w:fldChar w:fldCharType="begin"/>
            </w:r>
            <w:r>
              <w:rPr>
                <w:color w:val="FF0000"/>
                <w:lang w:eastAsia="en-US"/>
              </w:rPr>
              <w:instrText xml:space="preserve"> ADDIN ZOTERO_ITEM CSL_CITATION {"citationID":"sN3sKrRw","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sidRPr="00134A8A">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1X6efgNe","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16338631" w14:textId="77777777" w:rsidR="001F28AC" w:rsidRDefault="000228FA" w:rsidP="001F28AC">
            <w:pPr>
              <w:spacing w:line="276" w:lineRule="auto"/>
              <w:jc w:val="both"/>
              <w:rPr>
                <w:lang w:eastAsia="en-US"/>
              </w:rPr>
            </w:pPr>
            <w:r>
              <w:rPr>
                <w:lang w:eastAsia="en-US"/>
              </w:rPr>
              <w:t xml:space="preserve">The appearance of the product is an </w:t>
            </w:r>
            <w:r>
              <w:t>homogeneous slightly yellow limpid liquid with a characteristic odour</w:t>
            </w:r>
            <w:r>
              <w:rPr>
                <w:lang w:eastAsia="en-US"/>
              </w:rPr>
              <w:t xml:space="preserve">. There is no effect of high temperature (14 days at 54°C) and low temperature (7 days at 0°C) on the stability of the formulation, neither the active substance and the SoC content nor the technical properties were changed. The stability data indicate a shelf life of at least 2 years at ambient temperature when stored in these commercial packagings in </w:t>
            </w:r>
            <w:r w:rsidRPr="004E0EF7">
              <w:rPr>
                <w:lang w:eastAsia="en-US"/>
              </w:rPr>
              <w:t>HDPE, PET and COEXTRUDE</w:t>
            </w:r>
            <w:r>
              <w:rPr>
                <w:lang w:eastAsia="en-US"/>
              </w:rPr>
              <w:t xml:space="preserve"> (HDPE/PA and HDPE/EVAL). </w:t>
            </w:r>
            <w:r w:rsidR="001F28AC">
              <w:rPr>
                <w:lang w:eastAsia="en-US"/>
              </w:rPr>
              <w:t>Results of the persistent foaming are outside acceptable limits, however it has been demonstrated that</w:t>
            </w:r>
            <w:r w:rsidR="001F28AC" w:rsidRPr="00C2001F">
              <w:rPr>
                <w:lang w:eastAsia="en-US"/>
              </w:rPr>
              <w:t xml:space="preserve"> the presence of the foam will not affect the use of the product.</w:t>
            </w:r>
          </w:p>
          <w:p w14:paraId="0BEABEAB" w14:textId="77777777" w:rsidR="000228FA" w:rsidRDefault="000228FA" w:rsidP="00FF3977">
            <w:pPr>
              <w:spacing w:line="276" w:lineRule="auto"/>
              <w:jc w:val="both"/>
              <w:rPr>
                <w:lang w:eastAsia="en-US"/>
              </w:rPr>
            </w:pPr>
            <w:r>
              <w:rPr>
                <w:lang w:eastAsia="en-US"/>
              </w:rPr>
              <w:t xml:space="preserve">The long term storage stability study is on-going and </w:t>
            </w:r>
            <w:r>
              <w:t>should be provided in post-authorisation.</w:t>
            </w:r>
          </w:p>
          <w:p w14:paraId="47A15D1E" w14:textId="77777777" w:rsidR="000228FA" w:rsidRPr="001D704F" w:rsidRDefault="000228FA" w:rsidP="00FF3977">
            <w:pPr>
              <w:spacing w:line="260" w:lineRule="atLeast"/>
              <w:rPr>
                <w:rFonts w:eastAsia="Calibri"/>
                <w:color w:val="FF0000"/>
                <w:lang w:val="en-US" w:eastAsia="en-US"/>
              </w:rPr>
            </w:pPr>
            <w:r>
              <w:rPr>
                <w:lang w:eastAsia="en-US"/>
              </w:rPr>
              <w:t>Its technical characteristics are acceptable for a SL formulation.</w:t>
            </w:r>
          </w:p>
        </w:tc>
      </w:tr>
    </w:tbl>
    <w:p w14:paraId="4FF61E78" w14:textId="56D24E62" w:rsidR="000228FA" w:rsidRDefault="000228FA">
      <w:pPr>
        <w:spacing w:line="260" w:lineRule="atLeast"/>
        <w:ind w:left="360"/>
        <w:contextualSpacing/>
        <w:rPr>
          <w:rFonts w:eastAsia="Calibri"/>
          <w:lang w:val="en-US" w:eastAsia="sv-SE"/>
        </w:rPr>
      </w:pPr>
    </w:p>
    <w:p w14:paraId="0AFEC2D1" w14:textId="77777777" w:rsidR="00FF3977" w:rsidRDefault="00FF3977" w:rsidP="00FF3977">
      <w:pPr>
        <w:spacing w:line="260" w:lineRule="atLeast"/>
        <w:ind w:left="360"/>
        <w:contextualSpacing/>
        <w:rPr>
          <w:rFonts w:eastAsia="Calibri"/>
          <w:lang w:eastAsia="sv-SE"/>
        </w:rPr>
      </w:pPr>
    </w:p>
    <w:p w14:paraId="6A848552" w14:textId="77777777" w:rsidR="00FF3977" w:rsidRDefault="00FF3977" w:rsidP="00FF3977">
      <w:pPr>
        <w:spacing w:line="260" w:lineRule="atLeast"/>
        <w:ind w:left="360"/>
        <w:contextualSpacing/>
        <w:rPr>
          <w:rFonts w:eastAsia="Calibri"/>
          <w:b/>
          <w:u w:val="single"/>
          <w:lang w:eastAsia="sv-SE"/>
        </w:rPr>
      </w:pPr>
      <w:r>
        <w:rPr>
          <w:rFonts w:eastAsia="Calibri"/>
          <w:b/>
          <w:u w:val="single"/>
          <w:lang w:eastAsia="sv-SE"/>
        </w:rPr>
        <w:t>META SPC 12 ( AL – ready to use)</w:t>
      </w:r>
    </w:p>
    <w:p w14:paraId="78FB79DF" w14:textId="77777777" w:rsidR="00FF3977" w:rsidRDefault="00FF3977" w:rsidP="00FF3977">
      <w:pPr>
        <w:spacing w:line="260" w:lineRule="atLeast"/>
        <w:ind w:left="360"/>
        <w:contextualSpacing/>
        <w:rPr>
          <w:rFonts w:eastAsia="Calibri"/>
          <w:b/>
          <w:u w:val="single"/>
          <w:lang w:eastAsia="sv-SE"/>
        </w:rPr>
      </w:pPr>
    </w:p>
    <w:p w14:paraId="627F4D1B" w14:textId="77777777" w:rsidR="00FF3977" w:rsidRPr="005B2C43" w:rsidRDefault="00FF3977" w:rsidP="00FF3977">
      <w:pPr>
        <w:spacing w:line="260" w:lineRule="atLeast"/>
        <w:ind w:left="360"/>
        <w:contextualSpacing/>
        <w:rPr>
          <w:rFonts w:eastAsia="Calibri"/>
          <w:b/>
          <w:u w:val="single"/>
          <w:lang w:eastAsia="sv-SE"/>
        </w:rPr>
      </w:pPr>
      <w:r w:rsidRPr="005B2C43">
        <w:rPr>
          <w:rFonts w:eastAsia="Calibri"/>
          <w:b/>
          <w:u w:val="single"/>
          <w:lang w:eastAsia="sv-SE"/>
        </w:rPr>
        <w:t xml:space="preserve">Read across: </w:t>
      </w:r>
    </w:p>
    <w:p w14:paraId="48BDF0A1" w14:textId="77777777" w:rsidR="00FF3977" w:rsidRDefault="00FF3977" w:rsidP="00FF3977">
      <w:pPr>
        <w:spacing w:line="260" w:lineRule="atLeast"/>
        <w:ind w:left="360"/>
        <w:contextualSpacing/>
        <w:rPr>
          <w:rFonts w:eastAsia="Calibri"/>
          <w:lang w:eastAsia="sv-SE"/>
        </w:rPr>
      </w:pPr>
    </w:p>
    <w:p w14:paraId="39C538F0" w14:textId="77777777" w:rsidR="00FF3977" w:rsidRDefault="00FF3977" w:rsidP="00FF3977">
      <w:pPr>
        <w:spacing w:line="260" w:lineRule="atLeast"/>
        <w:ind w:left="360"/>
        <w:contextualSpacing/>
        <w:rPr>
          <w:rFonts w:eastAsia="Calibri"/>
          <w:lang w:eastAsia="sv-SE"/>
        </w:rPr>
      </w:pPr>
      <w:r>
        <w:rPr>
          <w:rFonts w:eastAsia="Calibri"/>
          <w:lang w:eastAsia="sv-SE"/>
        </w:rPr>
        <w:t>The comparison of the composition between the individual product of META SPC 12 and the product (</w:t>
      </w:r>
      <w:r w:rsidRPr="001C7FA9">
        <w:rPr>
          <w:rFonts w:eastAsia="Calibri"/>
          <w:lang w:eastAsia="sv-SE"/>
        </w:rPr>
        <w:t>218282-P1</w:t>
      </w:r>
      <w:r>
        <w:rPr>
          <w:rFonts w:eastAsia="Calibri"/>
          <w:lang w:eastAsia="sv-SE"/>
        </w:rPr>
        <w:t xml:space="preserve">) assessed for the META SPC 8 demonstrates that all physico and chemical properties of META SPC 12 can be extrapolated from data obtained for META SPC 8. The justification of bridging is reported in the confidential annex. </w:t>
      </w:r>
    </w:p>
    <w:p w14:paraId="5E2630F8" w14:textId="77777777" w:rsidR="00FF3977" w:rsidRDefault="00FF3977" w:rsidP="00FF3977">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F3977" w:rsidRPr="00A411E7" w14:paraId="5675C6C7"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7A317581" w14:textId="77777777" w:rsidR="00FF3977" w:rsidRPr="00F24D0D" w:rsidRDefault="00FF3977"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12</w:t>
            </w:r>
          </w:p>
        </w:tc>
      </w:tr>
      <w:tr w:rsidR="00FF3977" w:rsidRPr="001D704F" w14:paraId="3D6F5A3F"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F57B64D" w14:textId="77777777" w:rsidR="00FF3977" w:rsidRDefault="00FF3977" w:rsidP="00FF3977">
            <w:pPr>
              <w:spacing w:line="276" w:lineRule="auto"/>
              <w:jc w:val="both"/>
              <w:rPr>
                <w:lang w:eastAsia="en-US"/>
              </w:rPr>
            </w:pPr>
            <w:r>
              <w:rPr>
                <w:lang w:eastAsia="en-US"/>
              </w:rPr>
              <w:t>The Meta-SPC 12 is an other liquid (AL</w:t>
            </w:r>
            <w:r w:rsidRPr="004E0EF7">
              <w:rPr>
                <w:lang w:eastAsia="en-US"/>
              </w:rPr>
              <w:t>)</w:t>
            </w:r>
            <w:r>
              <w:rPr>
                <w:lang w:eastAsia="en-US"/>
              </w:rPr>
              <w:t xml:space="preserve"> formulation. All studies above have been performed in accordance with the current requirements (</w:t>
            </w:r>
            <w:r w:rsidRPr="001D704F">
              <w:rPr>
                <w:lang w:eastAsia="en-US"/>
              </w:rPr>
              <w:t>Regulation (EU) No 528/2012</w:t>
            </w:r>
            <w:r>
              <w:rPr>
                <w:lang w:eastAsia="en-US"/>
              </w:rPr>
              <w:t xml:space="preserve"> </w:t>
            </w:r>
            <w:r>
              <w:rPr>
                <w:lang w:eastAsia="en-US"/>
              </w:rPr>
              <w:fldChar w:fldCharType="begin"/>
            </w:r>
            <w:r>
              <w:rPr>
                <w:lang w:eastAsia="en-US"/>
              </w:rPr>
              <w:instrText xml:space="preserve"> ADDIN ZOTERO_ITEM CSL_CITATION {"citationID":"zVs12HWl","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lang w:eastAsia="en-US"/>
              </w:rPr>
              <w:fldChar w:fldCharType="separate"/>
            </w:r>
            <w:r w:rsidRPr="005D0005">
              <w:t>(1)</w:t>
            </w:r>
            <w:r>
              <w:rPr>
                <w:lang w:eastAsia="en-US"/>
              </w:rPr>
              <w:fldChar w:fldCharType="end"/>
            </w:r>
            <w:r>
              <w:rPr>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URPft8m9","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05DAA28C" w14:textId="77777777" w:rsidR="00D14490" w:rsidRDefault="00FF3977" w:rsidP="00FF3977">
            <w:pPr>
              <w:spacing w:line="276" w:lineRule="auto"/>
              <w:jc w:val="both"/>
              <w:rPr>
                <w:lang w:eastAsia="en-US"/>
              </w:rPr>
            </w:pPr>
            <w:r>
              <w:rPr>
                <w:lang w:eastAsia="en-US"/>
              </w:rPr>
              <w:t xml:space="preserve">The appearance of the product is a </w:t>
            </w:r>
            <w:r>
              <w:rPr>
                <w:color w:val="000000"/>
              </w:rPr>
              <w:t>colourless limpid liquid</w:t>
            </w:r>
            <w:r>
              <w:t xml:space="preserve"> with a characteristic odour</w:t>
            </w:r>
            <w:r>
              <w:rPr>
                <w:lang w:eastAsia="en-US"/>
              </w:rPr>
              <w:t xml:space="preserve">. There is no effect of high temperature (14 days at 54°C) and low temperature (7 days at 0°C) on the stability of the formulation, neither the active substance content nor the technical properties were changed. The stability data indicate a shelf life of at least 2 years at ambient temperature when stored in this commercial packaging in </w:t>
            </w:r>
            <w:r w:rsidRPr="004E0EF7">
              <w:rPr>
                <w:lang w:eastAsia="en-US"/>
              </w:rPr>
              <w:t>HDPE</w:t>
            </w:r>
            <w:r>
              <w:rPr>
                <w:lang w:eastAsia="en-US"/>
              </w:rPr>
              <w:t xml:space="preserve">. </w:t>
            </w:r>
            <w:r w:rsidR="00D14490" w:rsidRPr="00D14490">
              <w:rPr>
                <w:lang w:eastAsia="en-US"/>
              </w:rPr>
              <w:t>Results of the persistent foaming are outside acceptable limits, however it has been demonstrated that the presence of the foam will not affect the use of the product.</w:t>
            </w:r>
            <w:r w:rsidR="00D14490">
              <w:rPr>
                <w:lang w:eastAsia="en-US"/>
              </w:rPr>
              <w:t xml:space="preserve"> </w:t>
            </w:r>
          </w:p>
          <w:p w14:paraId="62F9AB65" w14:textId="292B86AF" w:rsidR="00FF3977" w:rsidRDefault="00FF3977" w:rsidP="00FF3977">
            <w:pPr>
              <w:spacing w:line="276" w:lineRule="auto"/>
              <w:jc w:val="both"/>
              <w:rPr>
                <w:lang w:eastAsia="en-US"/>
              </w:rPr>
            </w:pPr>
            <w:r>
              <w:rPr>
                <w:lang w:eastAsia="en-US"/>
              </w:rPr>
              <w:t xml:space="preserve">The long term storage stability study is on-going and </w:t>
            </w:r>
            <w:r>
              <w:t>should be provided in post-authorisation.</w:t>
            </w:r>
          </w:p>
          <w:p w14:paraId="1F31329C" w14:textId="77777777" w:rsidR="00FF3977" w:rsidRPr="001D704F" w:rsidRDefault="00FF3977" w:rsidP="00FF3977">
            <w:pPr>
              <w:spacing w:line="260" w:lineRule="atLeast"/>
              <w:rPr>
                <w:rFonts w:eastAsia="Calibri"/>
                <w:color w:val="FF0000"/>
                <w:lang w:val="en-US" w:eastAsia="en-US"/>
              </w:rPr>
            </w:pPr>
            <w:r>
              <w:rPr>
                <w:lang w:eastAsia="en-US"/>
              </w:rPr>
              <w:t>Its technical characteristics are acceptable for an AL formulation.</w:t>
            </w:r>
          </w:p>
        </w:tc>
      </w:tr>
    </w:tbl>
    <w:p w14:paraId="73E5F8FA" w14:textId="77777777" w:rsidR="00FF3977" w:rsidRDefault="00FF3977" w:rsidP="00FF3977">
      <w:pPr>
        <w:spacing w:line="260" w:lineRule="atLeast"/>
        <w:ind w:left="360"/>
        <w:contextualSpacing/>
        <w:rPr>
          <w:rFonts w:eastAsia="Calibri"/>
          <w:lang w:eastAsia="sv-SE"/>
        </w:rPr>
      </w:pPr>
    </w:p>
    <w:p w14:paraId="7AD5BBF1" w14:textId="77777777" w:rsidR="00FF3977" w:rsidRDefault="00FF3977" w:rsidP="00FF3977">
      <w:pPr>
        <w:spacing w:line="260" w:lineRule="atLeast"/>
        <w:ind w:left="360"/>
        <w:contextualSpacing/>
        <w:rPr>
          <w:rFonts w:eastAsia="Calibri"/>
          <w:b/>
          <w:u w:val="single"/>
          <w:lang w:eastAsia="sv-SE"/>
        </w:rPr>
      </w:pPr>
    </w:p>
    <w:p w14:paraId="543B3F13" w14:textId="77777777" w:rsidR="00FF3977" w:rsidRDefault="00FF3977" w:rsidP="00FF3977">
      <w:pPr>
        <w:spacing w:line="260" w:lineRule="atLeast"/>
        <w:ind w:left="360"/>
        <w:contextualSpacing/>
        <w:rPr>
          <w:rFonts w:eastAsia="Calibri"/>
          <w:b/>
          <w:u w:val="single"/>
          <w:lang w:eastAsia="sv-SE"/>
        </w:rPr>
      </w:pPr>
    </w:p>
    <w:p w14:paraId="588D83B5" w14:textId="05B38D2A" w:rsidR="00FF3977" w:rsidRPr="007A4DA8" w:rsidRDefault="00FF3977" w:rsidP="00FF3977">
      <w:pPr>
        <w:spacing w:line="260" w:lineRule="atLeast"/>
        <w:ind w:left="360"/>
        <w:contextualSpacing/>
        <w:rPr>
          <w:rFonts w:eastAsia="Calibri"/>
          <w:b/>
          <w:u w:val="single"/>
          <w:lang w:val="en-US" w:eastAsia="sv-SE"/>
        </w:rPr>
      </w:pPr>
      <w:r w:rsidRPr="007A4DA8">
        <w:rPr>
          <w:rFonts w:eastAsia="Calibri"/>
          <w:b/>
          <w:u w:val="single"/>
          <w:lang w:val="en-US" w:eastAsia="sv-SE"/>
        </w:rPr>
        <w:t>META SPC 13 ( ME – dilution concentration : 8% v/v)</w:t>
      </w:r>
    </w:p>
    <w:p w14:paraId="5D15FB3D" w14:textId="6B99E495" w:rsidR="00FF3977" w:rsidRPr="00D016EC" w:rsidRDefault="00FF3977">
      <w:pPr>
        <w:spacing w:line="260" w:lineRule="atLeast"/>
        <w:ind w:left="360"/>
        <w:contextualSpacing/>
        <w:rPr>
          <w:rFonts w:eastAsia="Calibri"/>
          <w:lang w:val="en-US" w:eastAsia="sv-SE"/>
        </w:rPr>
      </w:pPr>
    </w:p>
    <w:p w14:paraId="715E84BE" w14:textId="77777777" w:rsidR="00FF3977" w:rsidRPr="007D009F" w:rsidRDefault="00FF3977" w:rsidP="00FF3977">
      <w:pPr>
        <w:spacing w:line="260" w:lineRule="atLeast"/>
        <w:ind w:left="360"/>
        <w:contextualSpacing/>
        <w:rPr>
          <w:rFonts w:eastAsia="Calibri"/>
          <w:b/>
          <w:u w:val="single"/>
          <w:lang w:eastAsia="sv-SE"/>
        </w:rPr>
      </w:pPr>
      <w:r w:rsidRPr="007D009F">
        <w:rPr>
          <w:rFonts w:eastAsia="Calibri"/>
          <w:b/>
          <w:u w:val="single"/>
          <w:lang w:eastAsia="sv-SE"/>
        </w:rPr>
        <w:t xml:space="preserve">Read across: </w:t>
      </w:r>
    </w:p>
    <w:p w14:paraId="52174F67" w14:textId="77777777" w:rsidR="00FF3977" w:rsidRDefault="00FF3977" w:rsidP="00FF3977">
      <w:pPr>
        <w:spacing w:line="260" w:lineRule="atLeast"/>
        <w:ind w:left="360"/>
        <w:contextualSpacing/>
        <w:rPr>
          <w:rFonts w:eastAsia="Calibri"/>
          <w:lang w:eastAsia="sv-SE"/>
        </w:rPr>
      </w:pPr>
    </w:p>
    <w:p w14:paraId="634E0F49" w14:textId="77777777" w:rsidR="00FF3977" w:rsidRDefault="00FF3977" w:rsidP="00FF3977">
      <w:pPr>
        <w:spacing w:line="260" w:lineRule="atLeast"/>
        <w:ind w:left="360"/>
        <w:contextualSpacing/>
        <w:rPr>
          <w:rFonts w:eastAsia="Calibri"/>
          <w:lang w:eastAsia="sv-SE"/>
        </w:rPr>
      </w:pPr>
      <w:r>
        <w:rPr>
          <w:rFonts w:eastAsia="Calibri"/>
          <w:lang w:eastAsia="sv-SE"/>
        </w:rPr>
        <w:t>The comparison of the composition between the individual product of META SPC 13 and the product (</w:t>
      </w:r>
      <w:r w:rsidRPr="000D758F">
        <w:rPr>
          <w:rFonts w:eastAsia="Calibri"/>
          <w:lang w:eastAsia="sv-SE"/>
        </w:rPr>
        <w:t>218291-V1</w:t>
      </w:r>
      <w:r>
        <w:rPr>
          <w:rFonts w:eastAsia="Calibri"/>
          <w:lang w:eastAsia="sv-SE"/>
        </w:rPr>
        <w:t xml:space="preserve">) assessed for the META SPC 10 demonstrates that all physico and chemical properties of META SPC 13 can be extrapolated from data obtained for META SPC 10. </w:t>
      </w:r>
    </w:p>
    <w:p w14:paraId="44AD60CD" w14:textId="77777777" w:rsidR="00FF3977" w:rsidRDefault="00FF3977" w:rsidP="00FF3977">
      <w:pPr>
        <w:spacing w:line="260" w:lineRule="atLeast"/>
        <w:ind w:left="360"/>
        <w:contextualSpacing/>
        <w:rPr>
          <w:rFonts w:eastAsia="Calibri"/>
          <w:lang w:eastAsia="sv-SE"/>
        </w:rPr>
      </w:pPr>
      <w:r>
        <w:rPr>
          <w:rFonts w:eastAsia="Calibri"/>
          <w:lang w:eastAsia="sv-SE"/>
        </w:rPr>
        <w:t>The dilution concentration of META SPC 13 (8% v/v) is covered by the dilution concentrations of META SPC 10 (6% v/v – 8% v/v).</w:t>
      </w:r>
    </w:p>
    <w:p w14:paraId="4A6766EC" w14:textId="77777777" w:rsidR="00FF3977" w:rsidRDefault="00FF3977" w:rsidP="00FF3977">
      <w:pPr>
        <w:spacing w:line="260" w:lineRule="atLeast"/>
        <w:ind w:left="360"/>
        <w:contextualSpacing/>
        <w:rPr>
          <w:rFonts w:eastAsia="Calibri"/>
          <w:lang w:eastAsia="sv-SE"/>
        </w:rPr>
      </w:pPr>
      <w:r>
        <w:rPr>
          <w:rFonts w:eastAsia="Calibri"/>
          <w:lang w:eastAsia="sv-SE"/>
        </w:rPr>
        <w:t xml:space="preserve">The justification of bridging is reported in the confidential annex. </w:t>
      </w:r>
    </w:p>
    <w:p w14:paraId="7BE44C63" w14:textId="77777777" w:rsidR="00FF3977" w:rsidRDefault="00FF3977" w:rsidP="00FF3977">
      <w:pPr>
        <w:spacing w:line="260" w:lineRule="atLeast"/>
        <w:ind w:left="360"/>
        <w:contextualSpacing/>
        <w:rPr>
          <w:rFonts w:eastAsia="Calibri"/>
          <w:lang w:eastAsia="sv-SE"/>
        </w:rPr>
      </w:pPr>
    </w:p>
    <w:p w14:paraId="2B024791" w14:textId="48062C9B" w:rsidR="00FF3977" w:rsidRPr="00B73849" w:rsidRDefault="00FF3977" w:rsidP="00E91F85">
      <w:pPr>
        <w:spacing w:line="260" w:lineRule="atLeast"/>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F3977" w:rsidRPr="00A411E7" w14:paraId="02D4E26C"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118051F5" w14:textId="77777777" w:rsidR="00FF3977" w:rsidRPr="00F24D0D" w:rsidRDefault="00FF3977" w:rsidP="00FF3977">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r>
              <w:rPr>
                <w:rFonts w:eastAsia="Calibri"/>
                <w:b/>
                <w:bCs/>
                <w:lang w:eastAsia="en-US"/>
              </w:rPr>
              <w:t>: Meta-SPC 13</w:t>
            </w:r>
          </w:p>
        </w:tc>
      </w:tr>
      <w:tr w:rsidR="00FF3977" w:rsidRPr="001D704F" w14:paraId="12D8034A"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BFF0879" w14:textId="77777777" w:rsidR="00FF3977" w:rsidRDefault="00FF3977" w:rsidP="00FF3977">
            <w:pPr>
              <w:spacing w:line="276" w:lineRule="auto"/>
              <w:jc w:val="both"/>
              <w:rPr>
                <w:lang w:eastAsia="en-US"/>
              </w:rPr>
            </w:pPr>
            <w:r>
              <w:rPr>
                <w:lang w:eastAsia="en-US"/>
              </w:rPr>
              <w:t xml:space="preserve">The Meta-SPC 13 is a </w:t>
            </w:r>
            <w:r w:rsidRPr="004E0EF7">
              <w:rPr>
                <w:lang w:eastAsia="en-US"/>
              </w:rPr>
              <w:t>micro-emulsion (ME)</w:t>
            </w:r>
            <w:r>
              <w:rPr>
                <w:lang w:eastAsia="en-US"/>
              </w:rPr>
              <w:t xml:space="preserve"> formulation. All studies above have been performed in accordance with the current requirements (</w:t>
            </w:r>
            <w:r w:rsidRPr="005D0005">
              <w:rPr>
                <w:lang w:eastAsia="en-US"/>
              </w:rPr>
              <w:t>Regulation (EU) No 528/2012</w:t>
            </w:r>
            <w:r w:rsidRPr="001D704F">
              <w:rPr>
                <w:color w:val="FF0000"/>
                <w:lang w:eastAsia="en-US"/>
              </w:rPr>
              <w:t xml:space="preserve"> </w:t>
            </w:r>
            <w:r>
              <w:rPr>
                <w:color w:val="FF0000"/>
                <w:lang w:eastAsia="en-US"/>
              </w:rPr>
              <w:fldChar w:fldCharType="begin"/>
            </w:r>
            <w:r>
              <w:rPr>
                <w:color w:val="FF0000"/>
                <w:lang w:eastAsia="en-US"/>
              </w:rPr>
              <w:instrText xml:space="preserve"> ADDIN ZOTERO_ITEM CSL_CITATION {"citationID":"fVYkiPtB","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Pr>
                <w:color w:val="FF0000"/>
                <w:lang w:eastAsia="en-US"/>
              </w:rPr>
              <w:t xml:space="preserve"> </w:t>
            </w:r>
            <w:r w:rsidRPr="005D0005">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aVO15dls","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41F4EF7D" w14:textId="77777777" w:rsidR="00FF3977" w:rsidRDefault="00FF3977" w:rsidP="00FF3977">
            <w:pPr>
              <w:spacing w:line="276" w:lineRule="auto"/>
              <w:jc w:val="both"/>
              <w:rPr>
                <w:lang w:eastAsia="en-US"/>
              </w:rPr>
            </w:pPr>
            <w:r>
              <w:rPr>
                <w:lang w:eastAsia="en-US"/>
              </w:rPr>
              <w:t xml:space="preserve">The appearance of the product is an </w:t>
            </w:r>
            <w:r>
              <w:t>homogeneous yellow limpid liquid with a characteristic odour</w:t>
            </w:r>
            <w:r>
              <w:rPr>
                <w:lang w:eastAsia="en-US"/>
              </w:rPr>
              <w:t xml:space="preserve">. There is no effect of high temperature (14 days at 54°C) and low temperature (7 days at 0°C) on the stability of the formulation, neither the active substance and the SoC content nor the technical properties were changed. The stability data indicate a shelf life of at least 2 years at ambient temperature when stored in these commercial packagings in </w:t>
            </w:r>
            <w:r w:rsidRPr="004E0EF7">
              <w:rPr>
                <w:lang w:eastAsia="en-US"/>
              </w:rPr>
              <w:t>HDPE, PET and COEXTRUDE</w:t>
            </w:r>
            <w:r>
              <w:rPr>
                <w:lang w:eastAsia="en-US"/>
              </w:rPr>
              <w:t xml:space="preserve"> (HDPE/PA and HDPE/EVAL). The long term storage stability study is on-going and </w:t>
            </w:r>
            <w:r>
              <w:t>should be provided in post-authorisation.</w:t>
            </w:r>
          </w:p>
          <w:p w14:paraId="6C945D9B" w14:textId="77777777" w:rsidR="00FF3977" w:rsidRPr="001D704F" w:rsidRDefault="00FF3977" w:rsidP="00FF3977">
            <w:pPr>
              <w:spacing w:line="260" w:lineRule="atLeast"/>
              <w:rPr>
                <w:rFonts w:eastAsia="Calibri"/>
                <w:color w:val="FF0000"/>
                <w:lang w:val="en-US" w:eastAsia="en-US"/>
              </w:rPr>
            </w:pPr>
            <w:r>
              <w:rPr>
                <w:lang w:eastAsia="en-US"/>
              </w:rPr>
              <w:t>Its technical characteristics are acceptable for a ME formulation.</w:t>
            </w:r>
          </w:p>
        </w:tc>
      </w:tr>
    </w:tbl>
    <w:p w14:paraId="09E3135B" w14:textId="60386790" w:rsidR="00FF3977" w:rsidRDefault="00FF3977">
      <w:pPr>
        <w:spacing w:line="260" w:lineRule="atLeast"/>
        <w:ind w:left="360"/>
        <w:contextualSpacing/>
        <w:rPr>
          <w:rFonts w:eastAsia="Calibri"/>
          <w:lang w:val="en-US" w:eastAsia="sv-SE"/>
        </w:rPr>
      </w:pPr>
    </w:p>
    <w:p w14:paraId="47400EA5" w14:textId="77777777" w:rsidR="009D0C0B" w:rsidRPr="00B27CB1" w:rsidRDefault="009D0C0B">
      <w:pPr>
        <w:spacing w:line="260" w:lineRule="atLeast"/>
        <w:ind w:left="360"/>
        <w:contextualSpacing/>
        <w:rPr>
          <w:rFonts w:eastAsia="Calibri"/>
          <w:lang w:eastAsia="sv-SE"/>
        </w:rPr>
      </w:pPr>
    </w:p>
    <w:p w14:paraId="7F7EA7E7" w14:textId="77777777" w:rsidR="009D0C0B" w:rsidRPr="00B27CB1" w:rsidRDefault="00FA480B">
      <w:pPr>
        <w:pStyle w:val="Titre3"/>
        <w:rPr>
          <w:rFonts w:eastAsia="Calibri"/>
          <w:lang w:val="en-GB" w:eastAsia="en-US"/>
        </w:rPr>
      </w:pPr>
      <w:bookmarkStart w:id="162" w:name="_Toc87361189"/>
      <w:r w:rsidRPr="00B27CB1">
        <w:rPr>
          <w:lang w:val="en-GB"/>
        </w:rPr>
        <w:t>Physical hazards and respective characteristics</w:t>
      </w:r>
      <w:bookmarkEnd w:id="162"/>
    </w:p>
    <w:p w14:paraId="7972D2FB" w14:textId="77777777" w:rsidR="00FF3977" w:rsidRPr="00CC3B6F" w:rsidRDefault="00FF3977" w:rsidP="00FF3977">
      <w:pPr>
        <w:pStyle w:val="Absatz"/>
        <w:ind w:left="0"/>
        <w:rPr>
          <w:rFonts w:ascii="Verdana" w:eastAsia="Calibri" w:hAnsi="Verdana"/>
        </w:rPr>
      </w:pPr>
      <w:r w:rsidRPr="00CC3B6F">
        <w:rPr>
          <w:rFonts w:ascii="Verdana" w:eastAsia="Calibri" w:hAnsi="Verdana"/>
        </w:rPr>
        <w:t xml:space="preserve">Information on </w:t>
      </w:r>
      <w:r>
        <w:rPr>
          <w:rFonts w:ascii="Verdana" w:eastAsia="Calibri" w:hAnsi="Verdana"/>
        </w:rPr>
        <w:t xml:space="preserve">physical hazards and respective characteristics data </w:t>
      </w:r>
      <w:r w:rsidRPr="00CC3B6F">
        <w:rPr>
          <w:rFonts w:ascii="Verdana" w:eastAsia="Calibri" w:hAnsi="Verdana"/>
        </w:rPr>
        <w:t>for the biocidal product</w:t>
      </w:r>
      <w:r>
        <w:rPr>
          <w:rFonts w:ascii="Verdana" w:eastAsia="Calibri" w:hAnsi="Verdana"/>
        </w:rPr>
        <w:t xml:space="preserve"> family were submitted in accordance with the technical document CA-Nov14-Doc.5.8 – Final.rev3 </w:t>
      </w:r>
      <w:r>
        <w:rPr>
          <w:rFonts w:ascii="Verdana" w:eastAsia="Calibri" w:hAnsi="Verdana"/>
        </w:rPr>
        <w:fldChar w:fldCharType="begin"/>
      </w:r>
      <w:r>
        <w:rPr>
          <w:rFonts w:ascii="Verdana" w:eastAsia="Calibri" w:hAnsi="Verdana"/>
        </w:rPr>
        <w:instrText xml:space="preserve"> ADDIN ZOTERO_ITEM CSL_CITATION {"citationID":"qncahgKh","properties":{"formattedCitation":"(2)","plainCitation":"(2)","noteIndex":0},"citationItems":[{"id":161,"uris":["http://zotero.org/users/5589992/items/VR4SS2Y7"],"uri":["http://zotero.org/users/5589992/items/VR4SS2Y7"],"itemData":{"id":161,"type":"article","title":"Note for guidance. Implementing the new concept of biocidal product families. (CA-Nov14-Doc.5.8-Final.rev3)","author":[{"literal":"European Commission (EC)"}],"issued":{"date-parts":[["2014"]]}}}],"schema":"https://github.com/citation-style-language/schema/raw/master/csl-citation.json"} </w:instrText>
      </w:r>
      <w:r>
        <w:rPr>
          <w:rFonts w:ascii="Verdana" w:eastAsia="Calibri" w:hAnsi="Verdana"/>
        </w:rPr>
        <w:fldChar w:fldCharType="separate"/>
      </w:r>
      <w:r w:rsidRPr="001D704F">
        <w:rPr>
          <w:rFonts w:ascii="Verdana" w:eastAsia="Calibri" w:hAnsi="Verdana"/>
        </w:rPr>
        <w:t>(2)</w:t>
      </w:r>
      <w:r>
        <w:rPr>
          <w:rFonts w:ascii="Verdana" w:eastAsia="Calibri" w:hAnsi="Verdana"/>
        </w:rPr>
        <w:fldChar w:fldCharType="end"/>
      </w:r>
      <w:r>
        <w:rPr>
          <w:rFonts w:ascii="Verdana" w:eastAsia="Calibri" w:hAnsi="Verdana"/>
        </w:rPr>
        <w:t>. The assessment and testing strategy are identicals to physicochemical part. They are based on the realistic parameters for each Meta-SPC, that means that testing formula is one of the marketing formula of the Meta-SPC or the testing formula is very close in terms of composition of the marketing formula. No studies have been realized for each Meta-SPC,</w:t>
      </w:r>
      <w:r w:rsidRPr="00D6013A">
        <w:t xml:space="preserve"> </w:t>
      </w:r>
      <w:r w:rsidRPr="00D6013A">
        <w:rPr>
          <w:rFonts w:ascii="Verdana" w:eastAsia="Calibri" w:hAnsi="Verdana"/>
        </w:rPr>
        <w:t>except for the property: Corrosive to metals</w:t>
      </w:r>
      <w:r>
        <w:rPr>
          <w:rFonts w:ascii="Verdana" w:eastAsia="Calibri" w:hAnsi="Verdana"/>
        </w:rPr>
        <w:t>, the results are based on t</w:t>
      </w:r>
      <w:r w:rsidRPr="00A11B9D">
        <w:rPr>
          <w:rFonts w:ascii="Verdana" w:eastAsia="Calibri" w:hAnsi="Verdana"/>
        </w:rPr>
        <w:t>he knowledge of components</w:t>
      </w:r>
      <w:r>
        <w:rPr>
          <w:rFonts w:ascii="Verdana" w:eastAsia="Calibri" w:hAnsi="Verdana"/>
        </w:rPr>
        <w:t xml:space="preserve"> and the products</w:t>
      </w:r>
      <w:r>
        <w:rPr>
          <w:rFonts w:ascii="Verdana" w:eastAsia="Calibri" w:hAnsi="Verdana"/>
          <w:lang w:val="en-US"/>
        </w:rPr>
        <w:t>.</w:t>
      </w:r>
      <w:r>
        <w:rPr>
          <w:rFonts w:ascii="Verdana" w:eastAsia="Calibri" w:hAnsi="Verdana"/>
        </w:rPr>
        <w:t xml:space="preserve">  </w:t>
      </w:r>
    </w:p>
    <w:p w14:paraId="4514E60A" w14:textId="77777777" w:rsidR="00FF3977" w:rsidRPr="007A4DA8" w:rsidRDefault="00FF3977" w:rsidP="00FF3977">
      <w:pPr>
        <w:pStyle w:val="Absatz"/>
        <w:ind w:left="0"/>
        <w:rPr>
          <w:rFonts w:eastAsia="Calibri"/>
          <w:lang w:val="en-US" w:eastAsia="en-US"/>
        </w:rPr>
      </w:pPr>
    </w:p>
    <w:p w14:paraId="4DC9D50A" w14:textId="77777777" w:rsidR="00FF3977" w:rsidRPr="007A4DA8" w:rsidRDefault="00FF3977" w:rsidP="00FF3977">
      <w:pPr>
        <w:pStyle w:val="Absatz"/>
        <w:ind w:left="0"/>
        <w:rPr>
          <w:rFonts w:eastAsia="Calibri"/>
          <w:lang w:val="en-US" w:eastAsia="en-US"/>
        </w:rPr>
      </w:pPr>
    </w:p>
    <w:p w14:paraId="52FEBE71" w14:textId="77777777" w:rsidR="00FF3977" w:rsidRDefault="00FF3977" w:rsidP="00FF3977">
      <w:pPr>
        <w:pStyle w:val="Absatz"/>
        <w:ind w:left="0"/>
        <w:rPr>
          <w:rFonts w:ascii="Verdana" w:eastAsia="Calibri" w:hAnsi="Verdana"/>
        </w:rPr>
      </w:pPr>
      <w:r w:rsidRPr="001D704F">
        <w:rPr>
          <w:rFonts w:ascii="Verdana" w:eastAsia="Calibri" w:hAnsi="Verdana"/>
        </w:rPr>
        <w:t>For Meta-SPC 1, 2,</w:t>
      </w:r>
      <w:r w:rsidRPr="00C7787F">
        <w:rPr>
          <w:rFonts w:ascii="Verdana" w:eastAsia="Calibri" w:hAnsi="Verdana"/>
        </w:rPr>
        <w:t xml:space="preserve"> 3, 4, 9, 12: </w:t>
      </w:r>
      <w:r>
        <w:rPr>
          <w:rFonts w:ascii="Verdana" w:eastAsia="Calibri" w:hAnsi="Verdana"/>
        </w:rPr>
        <w:t>L</w:t>
      </w:r>
      <w:r w:rsidRPr="00C7787F">
        <w:rPr>
          <w:rFonts w:ascii="Verdana" w:eastAsia="Calibri" w:hAnsi="Verdana"/>
        </w:rPr>
        <w:t>iquid</w:t>
      </w:r>
      <w:r w:rsidRPr="00083985">
        <w:rPr>
          <w:rFonts w:ascii="Verdana" w:eastAsia="Calibri" w:hAnsi="Verdana"/>
        </w:rPr>
        <w:t xml:space="preserve">, </w:t>
      </w:r>
      <w:r w:rsidRPr="001D704F">
        <w:rPr>
          <w:rFonts w:ascii="Verdana" w:eastAsia="Calibri" w:hAnsi="Verdana"/>
        </w:rPr>
        <w:t>Ready-To-Use</w:t>
      </w:r>
      <w:r>
        <w:rPr>
          <w:rFonts w:ascii="Verdana" w:eastAsia="Calibri" w:hAnsi="Verdana"/>
        </w:rPr>
        <w:t xml:space="preserve"> AL</w:t>
      </w:r>
    </w:p>
    <w:p w14:paraId="11DCDEC7" w14:textId="77777777" w:rsidR="00FF3977" w:rsidRDefault="00FF3977" w:rsidP="00FF3977">
      <w:pPr>
        <w:pStyle w:val="Absatz"/>
        <w:ind w:left="0"/>
        <w:rPr>
          <w:rFonts w:ascii="Verdana" w:eastAsia="Calibri" w:hAnsi="Verdana"/>
        </w:rPr>
      </w:pPr>
      <w:r w:rsidRPr="00D83AD8">
        <w:rPr>
          <w:rFonts w:ascii="Verdana" w:eastAsia="Calibri" w:hAnsi="Verdana"/>
        </w:rPr>
        <w:t>For Meta-SPC 6, 7, 8, 11: Liquid, Concentrate SL</w:t>
      </w:r>
    </w:p>
    <w:p w14:paraId="615B3715" w14:textId="77777777" w:rsidR="00FF3977" w:rsidRDefault="00FF3977" w:rsidP="00FF3977">
      <w:pPr>
        <w:rPr>
          <w:rFonts w:eastAsia="Calibri"/>
        </w:rPr>
      </w:pPr>
      <w:r>
        <w:rPr>
          <w:rFonts w:eastAsia="Calibri"/>
        </w:rPr>
        <w:t>For Meta-SPC 10, 13: Liquid, Concentrate ME</w:t>
      </w:r>
    </w:p>
    <w:p w14:paraId="38FC5290" w14:textId="154575B4" w:rsidR="009D0C0B" w:rsidRDefault="009D0C0B" w:rsidP="00E91F85">
      <w:pPr>
        <w:pStyle w:val="Absatz"/>
        <w:ind w:left="0"/>
        <w:rPr>
          <w:rFonts w:eastAsia="Calibri"/>
          <w:lang w:eastAsia="en-US"/>
        </w:rPr>
      </w:pPr>
    </w:p>
    <w:p w14:paraId="24C13908" w14:textId="3B8CF1B4" w:rsidR="00FF3977" w:rsidRDefault="00FF3977" w:rsidP="00E91F85">
      <w:pPr>
        <w:pStyle w:val="Absatz"/>
        <w:ind w:left="0"/>
        <w:rPr>
          <w:rFonts w:eastAsia="Calibri"/>
          <w:lang w:eastAsia="en-U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2"/>
        <w:gridCol w:w="1378"/>
        <w:gridCol w:w="1601"/>
        <w:gridCol w:w="3896"/>
        <w:gridCol w:w="2057"/>
        <w:gridCol w:w="2057"/>
      </w:tblGrid>
      <w:tr w:rsidR="00FF3977" w:rsidRPr="00DF6CFE" w14:paraId="3A8E5FCF" w14:textId="77777777" w:rsidTr="00FF3977">
        <w:trPr>
          <w:tblHeader/>
        </w:trPr>
        <w:tc>
          <w:tcPr>
            <w:tcW w:w="881" w:type="pct"/>
            <w:shd w:val="clear" w:color="auto" w:fill="E0E0E0"/>
            <w:vAlign w:val="center"/>
          </w:tcPr>
          <w:p w14:paraId="15F00B3D" w14:textId="77777777" w:rsidR="00FF3977" w:rsidRPr="00A84A7C" w:rsidRDefault="00FF3977" w:rsidP="00FF3977">
            <w:pPr>
              <w:rPr>
                <w:rFonts w:eastAsia="Calibri"/>
                <w:b/>
              </w:rPr>
            </w:pPr>
            <w:r w:rsidRPr="00A84A7C">
              <w:rPr>
                <w:rFonts w:eastAsia="Calibri"/>
                <w:b/>
              </w:rPr>
              <w:t>Property</w:t>
            </w:r>
          </w:p>
        </w:tc>
        <w:tc>
          <w:tcPr>
            <w:tcW w:w="516" w:type="pct"/>
            <w:shd w:val="clear" w:color="auto" w:fill="E0E0E0"/>
            <w:vAlign w:val="center"/>
          </w:tcPr>
          <w:p w14:paraId="34EBEB8B" w14:textId="77777777" w:rsidR="00FF3977" w:rsidRPr="00DF6CFE" w:rsidRDefault="00FF3977" w:rsidP="00FF3977">
            <w:pPr>
              <w:rPr>
                <w:rFonts w:eastAsia="Calibri"/>
                <w:b/>
              </w:rPr>
            </w:pPr>
            <w:r w:rsidRPr="00DF6CFE">
              <w:rPr>
                <w:rFonts w:eastAsia="Calibri"/>
                <w:b/>
              </w:rPr>
              <w:t>Guideline  and Method</w:t>
            </w:r>
          </w:p>
        </w:tc>
        <w:tc>
          <w:tcPr>
            <w:tcW w:w="600" w:type="pct"/>
            <w:shd w:val="clear" w:color="auto" w:fill="E0E0E0"/>
            <w:vAlign w:val="center"/>
          </w:tcPr>
          <w:p w14:paraId="59B7F8CE" w14:textId="77777777" w:rsidR="00FF3977" w:rsidRPr="00DF6CFE" w:rsidRDefault="00FF3977" w:rsidP="00FF3977">
            <w:pPr>
              <w:rPr>
                <w:rFonts w:eastAsia="Calibri"/>
                <w:b/>
              </w:rPr>
            </w:pPr>
            <w:r w:rsidRPr="00DF6CFE">
              <w:rPr>
                <w:rFonts w:eastAsia="Calibri"/>
                <w:b/>
              </w:rPr>
              <w:t>Purity of the test substance (% (w/w)</w:t>
            </w:r>
          </w:p>
        </w:tc>
        <w:tc>
          <w:tcPr>
            <w:tcW w:w="1460" w:type="pct"/>
            <w:shd w:val="clear" w:color="auto" w:fill="E0E0E0"/>
            <w:vAlign w:val="center"/>
          </w:tcPr>
          <w:p w14:paraId="01D0D15A" w14:textId="77777777" w:rsidR="00FF3977" w:rsidRPr="00DF6CFE" w:rsidRDefault="00FF3977" w:rsidP="00FF3977">
            <w:pPr>
              <w:rPr>
                <w:rFonts w:eastAsia="Calibri"/>
                <w:b/>
              </w:rPr>
            </w:pPr>
            <w:r w:rsidRPr="00DF6CFE">
              <w:rPr>
                <w:rFonts w:eastAsia="Calibri"/>
                <w:b/>
              </w:rPr>
              <w:t>Results</w:t>
            </w:r>
          </w:p>
        </w:tc>
        <w:tc>
          <w:tcPr>
            <w:tcW w:w="771" w:type="pct"/>
            <w:shd w:val="clear" w:color="auto" w:fill="E0E0E0"/>
            <w:vAlign w:val="center"/>
          </w:tcPr>
          <w:p w14:paraId="42FC2D5B" w14:textId="77777777" w:rsidR="00FF3977" w:rsidRPr="00DF6CFE" w:rsidRDefault="00FF3977" w:rsidP="00FF3977">
            <w:pPr>
              <w:rPr>
                <w:rFonts w:eastAsia="Calibri"/>
                <w:b/>
              </w:rPr>
            </w:pPr>
            <w:r w:rsidRPr="00DF6CFE">
              <w:rPr>
                <w:rFonts w:eastAsia="Calibri"/>
                <w:b/>
              </w:rPr>
              <w:t>Reference</w:t>
            </w:r>
          </w:p>
        </w:tc>
        <w:tc>
          <w:tcPr>
            <w:tcW w:w="771" w:type="pct"/>
            <w:shd w:val="clear" w:color="auto" w:fill="E0E0E0"/>
            <w:vAlign w:val="center"/>
          </w:tcPr>
          <w:p w14:paraId="5F64D6B9" w14:textId="77777777" w:rsidR="00FF3977" w:rsidRPr="00DF6CFE" w:rsidRDefault="00FF3977" w:rsidP="00FF3977">
            <w:pPr>
              <w:jc w:val="center"/>
              <w:rPr>
                <w:rFonts w:eastAsia="Calibri"/>
                <w:b/>
              </w:rPr>
            </w:pPr>
            <w:r>
              <w:rPr>
                <w:rFonts w:eastAsia="Calibri"/>
                <w:b/>
              </w:rPr>
              <w:t>FR evaluation</w:t>
            </w:r>
          </w:p>
        </w:tc>
      </w:tr>
      <w:tr w:rsidR="00FF3977" w14:paraId="297BD94C" w14:textId="77777777" w:rsidTr="00FF3977">
        <w:tc>
          <w:tcPr>
            <w:tcW w:w="881" w:type="pct"/>
          </w:tcPr>
          <w:p w14:paraId="02FE518F" w14:textId="77777777" w:rsidR="00FF3977" w:rsidRPr="00A411E7" w:rsidRDefault="00FF3977" w:rsidP="00FF3977">
            <w:pPr>
              <w:rPr>
                <w:rFonts w:eastAsia="Calibri"/>
              </w:rPr>
            </w:pPr>
            <w:r w:rsidRPr="00A411E7">
              <w:rPr>
                <w:rFonts w:eastAsia="Calibri"/>
              </w:rPr>
              <w:t>Explosives</w:t>
            </w:r>
          </w:p>
        </w:tc>
        <w:tc>
          <w:tcPr>
            <w:tcW w:w="516" w:type="pct"/>
          </w:tcPr>
          <w:p w14:paraId="718B87C1" w14:textId="77777777" w:rsidR="00FF3977" w:rsidRDefault="00FF3977" w:rsidP="00FF3977">
            <w:pPr>
              <w:rPr>
                <w:rFonts w:eastAsia="Calibri"/>
              </w:rPr>
            </w:pPr>
          </w:p>
          <w:p w14:paraId="10E3E8C9" w14:textId="77777777" w:rsidR="00FF3977" w:rsidRPr="00E1093F" w:rsidRDefault="00FF3977" w:rsidP="00FF3977">
            <w:pPr>
              <w:rPr>
                <w:rFonts w:eastAsia="Calibri"/>
              </w:rPr>
            </w:pPr>
            <w:r>
              <w:rPr>
                <w:rFonts w:eastAsia="Calibri"/>
              </w:rPr>
              <w:t xml:space="preserve">statement </w:t>
            </w:r>
          </w:p>
        </w:tc>
        <w:tc>
          <w:tcPr>
            <w:tcW w:w="600" w:type="pct"/>
          </w:tcPr>
          <w:p w14:paraId="12662031" w14:textId="77777777" w:rsidR="00FF3977" w:rsidRPr="00A411E7" w:rsidRDefault="00FF3977" w:rsidP="00FF3977">
            <w:pPr>
              <w:rPr>
                <w:rFonts w:eastAsia="Calibri"/>
              </w:rPr>
            </w:pPr>
            <w:r>
              <w:rPr>
                <w:rFonts w:eastAsia="Calibri"/>
              </w:rPr>
              <w:t>-</w:t>
            </w:r>
          </w:p>
        </w:tc>
        <w:tc>
          <w:tcPr>
            <w:tcW w:w="1460" w:type="pct"/>
            <w:vAlign w:val="center"/>
          </w:tcPr>
          <w:p w14:paraId="72EDC1FA" w14:textId="77777777" w:rsidR="00FF3977" w:rsidRPr="00A411E7" w:rsidRDefault="00FF3977" w:rsidP="00FF3977">
            <w:pPr>
              <w:rPr>
                <w:rFonts w:eastAsia="Calibri"/>
              </w:rPr>
            </w:pPr>
            <w:r>
              <w:t xml:space="preserve">Not required as none of the major components of the product does contain chemical groups which are assiocated with explosive properties. </w:t>
            </w:r>
          </w:p>
        </w:tc>
        <w:tc>
          <w:tcPr>
            <w:tcW w:w="771" w:type="pct"/>
          </w:tcPr>
          <w:p w14:paraId="26378D48" w14:textId="77777777" w:rsidR="00FF3977" w:rsidRPr="00A411E7" w:rsidRDefault="00FF3977" w:rsidP="00FF3977">
            <w:pPr>
              <w:rPr>
                <w:rFonts w:eastAsia="Calibri"/>
              </w:rPr>
            </w:pPr>
            <w:r>
              <w:rPr>
                <w:rFonts w:eastAsia="Calibri"/>
              </w:rPr>
              <w:t>-</w:t>
            </w:r>
          </w:p>
        </w:tc>
        <w:tc>
          <w:tcPr>
            <w:tcW w:w="771" w:type="pct"/>
          </w:tcPr>
          <w:p w14:paraId="3C33C791" w14:textId="77777777" w:rsidR="00FF3977" w:rsidRDefault="00FF3977" w:rsidP="00FF3977">
            <w:pPr>
              <w:rPr>
                <w:rFonts w:eastAsia="Calibri"/>
              </w:rPr>
            </w:pPr>
            <w:r>
              <w:rPr>
                <w:rFonts w:eastAsia="Calibri"/>
              </w:rPr>
              <w:t>Acceptable</w:t>
            </w:r>
          </w:p>
        </w:tc>
      </w:tr>
      <w:tr w:rsidR="00FF3977" w14:paraId="0E4A7ED3" w14:textId="77777777" w:rsidTr="00FF3977">
        <w:tc>
          <w:tcPr>
            <w:tcW w:w="881" w:type="pct"/>
          </w:tcPr>
          <w:p w14:paraId="0F4C075D" w14:textId="77777777" w:rsidR="00FF3977" w:rsidRPr="00A411E7" w:rsidRDefault="00FF3977" w:rsidP="00FF3977">
            <w:pPr>
              <w:rPr>
                <w:rFonts w:eastAsia="Calibri"/>
              </w:rPr>
            </w:pPr>
            <w:r w:rsidRPr="00A411E7">
              <w:rPr>
                <w:rFonts w:eastAsia="Calibri"/>
              </w:rPr>
              <w:t>Flammable gases</w:t>
            </w:r>
          </w:p>
        </w:tc>
        <w:tc>
          <w:tcPr>
            <w:tcW w:w="516" w:type="pct"/>
          </w:tcPr>
          <w:p w14:paraId="72C32A96" w14:textId="77777777" w:rsidR="00FF3977" w:rsidRPr="00A411E7" w:rsidRDefault="00FF3977" w:rsidP="00FF3977">
            <w:pPr>
              <w:rPr>
                <w:rFonts w:eastAsia="Calibri"/>
              </w:rPr>
            </w:pPr>
            <w:r>
              <w:rPr>
                <w:rFonts w:eastAsia="Calibri"/>
              </w:rPr>
              <w:t>-</w:t>
            </w:r>
          </w:p>
        </w:tc>
        <w:tc>
          <w:tcPr>
            <w:tcW w:w="600" w:type="pct"/>
          </w:tcPr>
          <w:p w14:paraId="4445B859" w14:textId="77777777" w:rsidR="00FF3977" w:rsidRPr="00A411E7" w:rsidRDefault="00FF3977" w:rsidP="00FF3977">
            <w:pPr>
              <w:rPr>
                <w:rFonts w:eastAsia="Calibri"/>
              </w:rPr>
            </w:pPr>
            <w:r>
              <w:rPr>
                <w:rFonts w:eastAsia="Calibri"/>
              </w:rPr>
              <w:t>-</w:t>
            </w:r>
          </w:p>
        </w:tc>
        <w:tc>
          <w:tcPr>
            <w:tcW w:w="1460" w:type="pct"/>
            <w:vAlign w:val="center"/>
          </w:tcPr>
          <w:p w14:paraId="41BE11E9" w14:textId="77777777" w:rsidR="00FF3977" w:rsidRPr="00A411E7" w:rsidRDefault="00FF3977" w:rsidP="00FF3977">
            <w:pPr>
              <w:rPr>
                <w:rFonts w:eastAsia="Calibri"/>
              </w:rPr>
            </w:pPr>
            <w:r>
              <w:rPr>
                <w:color w:val="000000"/>
              </w:rPr>
              <w:t>Not required as the product is a liquid.</w:t>
            </w:r>
          </w:p>
        </w:tc>
        <w:tc>
          <w:tcPr>
            <w:tcW w:w="771" w:type="pct"/>
          </w:tcPr>
          <w:p w14:paraId="33C200D8" w14:textId="77777777" w:rsidR="00FF3977" w:rsidRPr="00A411E7" w:rsidRDefault="00FF3977" w:rsidP="00FF3977">
            <w:pPr>
              <w:rPr>
                <w:rFonts w:eastAsia="Calibri"/>
              </w:rPr>
            </w:pPr>
            <w:r>
              <w:rPr>
                <w:rFonts w:eastAsia="Calibri"/>
              </w:rPr>
              <w:t>-</w:t>
            </w:r>
          </w:p>
        </w:tc>
        <w:tc>
          <w:tcPr>
            <w:tcW w:w="771" w:type="pct"/>
          </w:tcPr>
          <w:p w14:paraId="34A73935" w14:textId="77777777" w:rsidR="00FF3977" w:rsidRDefault="00FF3977" w:rsidP="00FF3977">
            <w:pPr>
              <w:rPr>
                <w:rFonts w:eastAsia="Calibri"/>
              </w:rPr>
            </w:pPr>
            <w:r>
              <w:rPr>
                <w:rFonts w:eastAsia="Calibri"/>
              </w:rPr>
              <w:t>Acceptable</w:t>
            </w:r>
          </w:p>
        </w:tc>
      </w:tr>
      <w:tr w:rsidR="00FF3977" w14:paraId="6B899BAE" w14:textId="77777777" w:rsidTr="00FF3977">
        <w:tc>
          <w:tcPr>
            <w:tcW w:w="881" w:type="pct"/>
          </w:tcPr>
          <w:p w14:paraId="5AF00C96" w14:textId="77777777" w:rsidR="00FF3977" w:rsidRPr="00A411E7" w:rsidRDefault="00FF3977" w:rsidP="00FF3977">
            <w:pPr>
              <w:rPr>
                <w:rFonts w:eastAsia="Calibri"/>
              </w:rPr>
            </w:pPr>
            <w:r w:rsidRPr="00A411E7">
              <w:rPr>
                <w:rFonts w:eastAsia="Calibri"/>
              </w:rPr>
              <w:t>Flammable aerosols</w:t>
            </w:r>
          </w:p>
        </w:tc>
        <w:tc>
          <w:tcPr>
            <w:tcW w:w="516" w:type="pct"/>
          </w:tcPr>
          <w:p w14:paraId="461FCF94" w14:textId="77777777" w:rsidR="00FF3977" w:rsidRPr="00A411E7" w:rsidRDefault="00FF3977" w:rsidP="00FF3977">
            <w:pPr>
              <w:rPr>
                <w:rFonts w:eastAsia="Calibri"/>
              </w:rPr>
            </w:pPr>
            <w:r>
              <w:rPr>
                <w:rFonts w:eastAsia="Calibri"/>
              </w:rPr>
              <w:t>-</w:t>
            </w:r>
          </w:p>
        </w:tc>
        <w:tc>
          <w:tcPr>
            <w:tcW w:w="600" w:type="pct"/>
          </w:tcPr>
          <w:p w14:paraId="4D6B289F" w14:textId="77777777" w:rsidR="00FF3977" w:rsidRPr="00A411E7" w:rsidRDefault="00FF3977" w:rsidP="00FF3977">
            <w:pPr>
              <w:rPr>
                <w:rFonts w:eastAsia="Calibri"/>
              </w:rPr>
            </w:pPr>
            <w:r>
              <w:rPr>
                <w:rFonts w:eastAsia="Calibri"/>
              </w:rPr>
              <w:t>-</w:t>
            </w:r>
          </w:p>
        </w:tc>
        <w:tc>
          <w:tcPr>
            <w:tcW w:w="1460" w:type="pct"/>
            <w:vAlign w:val="center"/>
          </w:tcPr>
          <w:p w14:paraId="23023D05" w14:textId="77777777" w:rsidR="00FF3977" w:rsidRPr="00A411E7" w:rsidRDefault="00FF3977" w:rsidP="00FF3977">
            <w:pPr>
              <w:rPr>
                <w:rFonts w:eastAsia="Calibri"/>
              </w:rPr>
            </w:pPr>
            <w:r>
              <w:rPr>
                <w:color w:val="000000"/>
              </w:rPr>
              <w:t>Not required as the product is a liquid.</w:t>
            </w:r>
          </w:p>
        </w:tc>
        <w:tc>
          <w:tcPr>
            <w:tcW w:w="771" w:type="pct"/>
          </w:tcPr>
          <w:p w14:paraId="27EBB9D1" w14:textId="77777777" w:rsidR="00FF3977" w:rsidRPr="00A411E7" w:rsidRDefault="00FF3977" w:rsidP="00FF3977">
            <w:pPr>
              <w:rPr>
                <w:rFonts w:eastAsia="Calibri"/>
              </w:rPr>
            </w:pPr>
            <w:r>
              <w:rPr>
                <w:rFonts w:eastAsia="Calibri"/>
              </w:rPr>
              <w:t>-</w:t>
            </w:r>
          </w:p>
        </w:tc>
        <w:tc>
          <w:tcPr>
            <w:tcW w:w="771" w:type="pct"/>
          </w:tcPr>
          <w:p w14:paraId="194447F7" w14:textId="77777777" w:rsidR="00FF3977" w:rsidRDefault="00FF3977" w:rsidP="00FF3977">
            <w:pPr>
              <w:rPr>
                <w:rFonts w:eastAsia="Calibri"/>
              </w:rPr>
            </w:pPr>
            <w:r>
              <w:rPr>
                <w:rFonts w:eastAsia="Calibri"/>
              </w:rPr>
              <w:t>Acceptable</w:t>
            </w:r>
          </w:p>
        </w:tc>
      </w:tr>
      <w:tr w:rsidR="00FF3977" w14:paraId="7B1D06D3" w14:textId="77777777" w:rsidTr="00FF3977">
        <w:tc>
          <w:tcPr>
            <w:tcW w:w="881" w:type="pct"/>
          </w:tcPr>
          <w:p w14:paraId="192650F5" w14:textId="77777777" w:rsidR="00FF3977" w:rsidRPr="00A411E7" w:rsidRDefault="00FF3977" w:rsidP="00FF3977">
            <w:pPr>
              <w:rPr>
                <w:rFonts w:eastAsia="Calibri"/>
              </w:rPr>
            </w:pPr>
            <w:r w:rsidRPr="00A411E7">
              <w:rPr>
                <w:rFonts w:eastAsia="Calibri"/>
              </w:rPr>
              <w:t>Oxidising gases</w:t>
            </w:r>
          </w:p>
        </w:tc>
        <w:tc>
          <w:tcPr>
            <w:tcW w:w="516" w:type="pct"/>
          </w:tcPr>
          <w:p w14:paraId="6DFC8C76" w14:textId="77777777" w:rsidR="00FF3977" w:rsidRPr="00A411E7" w:rsidRDefault="00FF3977" w:rsidP="00FF3977">
            <w:pPr>
              <w:rPr>
                <w:rFonts w:eastAsia="Calibri"/>
              </w:rPr>
            </w:pPr>
            <w:r>
              <w:rPr>
                <w:rFonts w:eastAsia="Calibri"/>
              </w:rPr>
              <w:t>-</w:t>
            </w:r>
          </w:p>
        </w:tc>
        <w:tc>
          <w:tcPr>
            <w:tcW w:w="600" w:type="pct"/>
          </w:tcPr>
          <w:p w14:paraId="0CA57352" w14:textId="77777777" w:rsidR="00FF3977" w:rsidRPr="00A411E7" w:rsidRDefault="00FF3977" w:rsidP="00FF3977">
            <w:pPr>
              <w:rPr>
                <w:rFonts w:eastAsia="Calibri"/>
              </w:rPr>
            </w:pPr>
            <w:r>
              <w:rPr>
                <w:rFonts w:eastAsia="Calibri"/>
              </w:rPr>
              <w:t>-</w:t>
            </w:r>
          </w:p>
        </w:tc>
        <w:tc>
          <w:tcPr>
            <w:tcW w:w="1460" w:type="pct"/>
            <w:vAlign w:val="center"/>
          </w:tcPr>
          <w:p w14:paraId="4245CC5B" w14:textId="77777777" w:rsidR="00FF3977" w:rsidRPr="00A411E7" w:rsidRDefault="00FF3977" w:rsidP="00FF3977">
            <w:pPr>
              <w:rPr>
                <w:rFonts w:eastAsia="Calibri"/>
              </w:rPr>
            </w:pPr>
            <w:r>
              <w:rPr>
                <w:color w:val="000000"/>
              </w:rPr>
              <w:t>Not required as the product is a liquid.</w:t>
            </w:r>
          </w:p>
        </w:tc>
        <w:tc>
          <w:tcPr>
            <w:tcW w:w="771" w:type="pct"/>
          </w:tcPr>
          <w:p w14:paraId="0ABDA869" w14:textId="77777777" w:rsidR="00FF3977" w:rsidRPr="00A411E7" w:rsidRDefault="00FF3977" w:rsidP="00FF3977">
            <w:pPr>
              <w:rPr>
                <w:rFonts w:eastAsia="Calibri"/>
              </w:rPr>
            </w:pPr>
            <w:r>
              <w:rPr>
                <w:rFonts w:eastAsia="Calibri"/>
              </w:rPr>
              <w:t>-</w:t>
            </w:r>
          </w:p>
        </w:tc>
        <w:tc>
          <w:tcPr>
            <w:tcW w:w="771" w:type="pct"/>
          </w:tcPr>
          <w:p w14:paraId="28F28675" w14:textId="77777777" w:rsidR="00FF3977" w:rsidRDefault="00FF3977" w:rsidP="00FF3977">
            <w:pPr>
              <w:rPr>
                <w:rFonts w:eastAsia="Calibri"/>
              </w:rPr>
            </w:pPr>
            <w:r>
              <w:rPr>
                <w:rFonts w:eastAsia="Calibri"/>
              </w:rPr>
              <w:t>Acceptable</w:t>
            </w:r>
          </w:p>
        </w:tc>
      </w:tr>
      <w:tr w:rsidR="00FF3977" w14:paraId="3AFD264C" w14:textId="77777777" w:rsidTr="00FF3977">
        <w:tc>
          <w:tcPr>
            <w:tcW w:w="881" w:type="pct"/>
          </w:tcPr>
          <w:p w14:paraId="239BC211" w14:textId="77777777" w:rsidR="00FF3977" w:rsidRPr="00A411E7" w:rsidRDefault="00FF3977" w:rsidP="00FF3977">
            <w:pPr>
              <w:rPr>
                <w:rFonts w:eastAsia="Calibri"/>
              </w:rPr>
            </w:pPr>
            <w:r w:rsidRPr="00A411E7">
              <w:rPr>
                <w:rFonts w:eastAsia="Calibri"/>
              </w:rPr>
              <w:t>Gases under pressure</w:t>
            </w:r>
          </w:p>
        </w:tc>
        <w:tc>
          <w:tcPr>
            <w:tcW w:w="516" w:type="pct"/>
          </w:tcPr>
          <w:p w14:paraId="2970D1EE" w14:textId="77777777" w:rsidR="00FF3977" w:rsidRPr="00A411E7" w:rsidRDefault="00FF3977" w:rsidP="00FF3977">
            <w:pPr>
              <w:rPr>
                <w:rFonts w:eastAsia="Calibri"/>
              </w:rPr>
            </w:pPr>
            <w:r>
              <w:rPr>
                <w:rFonts w:eastAsia="Calibri"/>
              </w:rPr>
              <w:t>-</w:t>
            </w:r>
          </w:p>
        </w:tc>
        <w:tc>
          <w:tcPr>
            <w:tcW w:w="600" w:type="pct"/>
          </w:tcPr>
          <w:p w14:paraId="68326370" w14:textId="77777777" w:rsidR="00FF3977" w:rsidRPr="00A411E7" w:rsidRDefault="00FF3977" w:rsidP="00FF3977">
            <w:pPr>
              <w:rPr>
                <w:rFonts w:eastAsia="Calibri"/>
              </w:rPr>
            </w:pPr>
            <w:r>
              <w:rPr>
                <w:rFonts w:eastAsia="Calibri"/>
              </w:rPr>
              <w:t>-</w:t>
            </w:r>
          </w:p>
        </w:tc>
        <w:tc>
          <w:tcPr>
            <w:tcW w:w="1460" w:type="pct"/>
            <w:vAlign w:val="center"/>
          </w:tcPr>
          <w:p w14:paraId="701DA091" w14:textId="77777777" w:rsidR="00FF3977" w:rsidRPr="00A411E7" w:rsidRDefault="00FF3977" w:rsidP="00FF3977">
            <w:pPr>
              <w:rPr>
                <w:rFonts w:eastAsia="Calibri"/>
              </w:rPr>
            </w:pPr>
            <w:r>
              <w:rPr>
                <w:color w:val="000000"/>
              </w:rPr>
              <w:t>Not required as the product is a liquid.</w:t>
            </w:r>
          </w:p>
        </w:tc>
        <w:tc>
          <w:tcPr>
            <w:tcW w:w="771" w:type="pct"/>
          </w:tcPr>
          <w:p w14:paraId="3BA5D58F" w14:textId="77777777" w:rsidR="00FF3977" w:rsidRPr="00A411E7" w:rsidRDefault="00FF3977" w:rsidP="00FF3977">
            <w:pPr>
              <w:rPr>
                <w:rFonts w:eastAsia="Calibri"/>
              </w:rPr>
            </w:pPr>
            <w:r>
              <w:rPr>
                <w:rFonts w:eastAsia="Calibri"/>
              </w:rPr>
              <w:t>-</w:t>
            </w:r>
          </w:p>
        </w:tc>
        <w:tc>
          <w:tcPr>
            <w:tcW w:w="771" w:type="pct"/>
          </w:tcPr>
          <w:p w14:paraId="63FEA497" w14:textId="77777777" w:rsidR="00FF3977" w:rsidRDefault="00FF3977" w:rsidP="00FF3977">
            <w:pPr>
              <w:rPr>
                <w:rFonts w:eastAsia="Calibri"/>
              </w:rPr>
            </w:pPr>
            <w:r>
              <w:rPr>
                <w:rFonts w:eastAsia="Calibri"/>
              </w:rPr>
              <w:t>Acceptable</w:t>
            </w:r>
          </w:p>
        </w:tc>
      </w:tr>
      <w:tr w:rsidR="00FF3977" w14:paraId="7F8516C8" w14:textId="77777777" w:rsidTr="00FF3977">
        <w:tc>
          <w:tcPr>
            <w:tcW w:w="881" w:type="pct"/>
          </w:tcPr>
          <w:p w14:paraId="1CB30B9A" w14:textId="77777777" w:rsidR="00FF3977" w:rsidRPr="00A411E7" w:rsidRDefault="00FF3977" w:rsidP="00FF3977">
            <w:pPr>
              <w:rPr>
                <w:rFonts w:eastAsia="Calibri"/>
              </w:rPr>
            </w:pPr>
            <w:r w:rsidRPr="00A411E7">
              <w:rPr>
                <w:rFonts w:eastAsia="Calibri"/>
              </w:rPr>
              <w:t>Flammable liquids</w:t>
            </w:r>
          </w:p>
        </w:tc>
        <w:tc>
          <w:tcPr>
            <w:tcW w:w="516" w:type="pct"/>
          </w:tcPr>
          <w:p w14:paraId="1BD0CC31" w14:textId="77777777" w:rsidR="00FF3977" w:rsidRPr="00A411E7" w:rsidRDefault="00FF3977" w:rsidP="00FF3977">
            <w:pPr>
              <w:rPr>
                <w:rFonts w:eastAsia="Calibri"/>
              </w:rPr>
            </w:pPr>
            <w:r>
              <w:rPr>
                <w:rFonts w:eastAsia="Calibri"/>
              </w:rPr>
              <w:t>statement</w:t>
            </w:r>
          </w:p>
        </w:tc>
        <w:tc>
          <w:tcPr>
            <w:tcW w:w="600" w:type="pct"/>
          </w:tcPr>
          <w:p w14:paraId="343644F3" w14:textId="77777777" w:rsidR="00FF3977" w:rsidRPr="00A411E7" w:rsidRDefault="00FF3977" w:rsidP="00FF3977">
            <w:pPr>
              <w:rPr>
                <w:rFonts w:eastAsia="Calibri"/>
              </w:rPr>
            </w:pPr>
            <w:r>
              <w:rPr>
                <w:rFonts w:eastAsia="Calibri"/>
              </w:rPr>
              <w:t>-</w:t>
            </w:r>
          </w:p>
        </w:tc>
        <w:tc>
          <w:tcPr>
            <w:tcW w:w="1460" w:type="pct"/>
            <w:vAlign w:val="center"/>
          </w:tcPr>
          <w:p w14:paraId="20FFED41" w14:textId="77777777" w:rsidR="00FF3977" w:rsidRPr="00A411E7" w:rsidRDefault="00FF3977" w:rsidP="00FF3977">
            <w:pPr>
              <w:rPr>
                <w:rFonts w:eastAsia="Calibri"/>
              </w:rPr>
            </w:pPr>
            <w:r>
              <w:t>T</w:t>
            </w:r>
            <w:r w:rsidRPr="008752D5">
              <w:t>he product</w:t>
            </w:r>
            <w:r>
              <w:t>s do</w:t>
            </w:r>
            <w:r w:rsidRPr="008752D5">
              <w:t xml:space="preserve"> not contain any flammable components in amounts that are significant enough to have any impact on the flammability of the final product</w:t>
            </w:r>
            <w:r>
              <w:t>s</w:t>
            </w:r>
          </w:p>
        </w:tc>
        <w:tc>
          <w:tcPr>
            <w:tcW w:w="771" w:type="pct"/>
          </w:tcPr>
          <w:p w14:paraId="153D9B53" w14:textId="77777777" w:rsidR="00FF3977" w:rsidRPr="00A411E7" w:rsidRDefault="00FF3977" w:rsidP="00FF3977">
            <w:pPr>
              <w:rPr>
                <w:rFonts w:eastAsia="Calibri"/>
              </w:rPr>
            </w:pPr>
            <w:r>
              <w:rPr>
                <w:rFonts w:eastAsia="Calibri"/>
              </w:rPr>
              <w:t>-</w:t>
            </w:r>
          </w:p>
        </w:tc>
        <w:tc>
          <w:tcPr>
            <w:tcW w:w="771" w:type="pct"/>
          </w:tcPr>
          <w:p w14:paraId="777C8848" w14:textId="77777777" w:rsidR="00FF3977" w:rsidRDefault="00FF3977" w:rsidP="00FF3977">
            <w:pPr>
              <w:rPr>
                <w:rFonts w:eastAsia="Calibri"/>
              </w:rPr>
            </w:pPr>
            <w:r>
              <w:rPr>
                <w:rFonts w:eastAsia="Calibri"/>
              </w:rPr>
              <w:t>Acceptable</w:t>
            </w:r>
          </w:p>
        </w:tc>
      </w:tr>
      <w:tr w:rsidR="00FF3977" w14:paraId="315A2250" w14:textId="77777777" w:rsidTr="00FF3977">
        <w:tc>
          <w:tcPr>
            <w:tcW w:w="881" w:type="pct"/>
          </w:tcPr>
          <w:p w14:paraId="2FC7F4C3" w14:textId="77777777" w:rsidR="00FF3977" w:rsidRPr="00A411E7" w:rsidRDefault="00FF3977" w:rsidP="00FF3977">
            <w:pPr>
              <w:rPr>
                <w:rFonts w:eastAsia="Calibri"/>
              </w:rPr>
            </w:pPr>
            <w:r w:rsidRPr="00A411E7">
              <w:rPr>
                <w:rFonts w:eastAsia="Calibri"/>
              </w:rPr>
              <w:t>Flammable solids</w:t>
            </w:r>
          </w:p>
        </w:tc>
        <w:tc>
          <w:tcPr>
            <w:tcW w:w="516" w:type="pct"/>
          </w:tcPr>
          <w:p w14:paraId="2505AB4B" w14:textId="77777777" w:rsidR="00FF3977" w:rsidRPr="00FD2055" w:rsidRDefault="00FF3977" w:rsidP="00FF3977">
            <w:pPr>
              <w:rPr>
                <w:rFonts w:eastAsia="Calibri"/>
              </w:rPr>
            </w:pPr>
            <w:r>
              <w:rPr>
                <w:rFonts w:eastAsia="Calibri"/>
              </w:rPr>
              <w:t>-</w:t>
            </w:r>
          </w:p>
        </w:tc>
        <w:tc>
          <w:tcPr>
            <w:tcW w:w="600" w:type="pct"/>
          </w:tcPr>
          <w:p w14:paraId="6589168A" w14:textId="77777777" w:rsidR="00FF3977" w:rsidRPr="00E342C3" w:rsidRDefault="00FF3977" w:rsidP="00FF3977">
            <w:pPr>
              <w:rPr>
                <w:rFonts w:eastAsia="Calibri"/>
              </w:rPr>
            </w:pPr>
            <w:r>
              <w:rPr>
                <w:rFonts w:eastAsia="Calibri"/>
              </w:rPr>
              <w:t>-</w:t>
            </w:r>
          </w:p>
        </w:tc>
        <w:tc>
          <w:tcPr>
            <w:tcW w:w="1460" w:type="pct"/>
            <w:vAlign w:val="center"/>
          </w:tcPr>
          <w:p w14:paraId="5732921C" w14:textId="77777777" w:rsidR="00FF3977" w:rsidRPr="00E342C3" w:rsidRDefault="00FF3977" w:rsidP="00FF3977">
            <w:pPr>
              <w:rPr>
                <w:rFonts w:eastAsia="Calibri"/>
              </w:rPr>
            </w:pPr>
            <w:r>
              <w:rPr>
                <w:color w:val="000000"/>
              </w:rPr>
              <w:t>Not required as the product is a liquid.</w:t>
            </w:r>
          </w:p>
        </w:tc>
        <w:tc>
          <w:tcPr>
            <w:tcW w:w="771" w:type="pct"/>
          </w:tcPr>
          <w:p w14:paraId="4A1C1E2E" w14:textId="77777777" w:rsidR="00FF3977" w:rsidRPr="00B874AD" w:rsidRDefault="00FF3977" w:rsidP="00FF3977">
            <w:pPr>
              <w:rPr>
                <w:rFonts w:eastAsia="Calibri"/>
              </w:rPr>
            </w:pPr>
            <w:r>
              <w:rPr>
                <w:rFonts w:eastAsia="Calibri"/>
              </w:rPr>
              <w:t>-</w:t>
            </w:r>
          </w:p>
        </w:tc>
        <w:tc>
          <w:tcPr>
            <w:tcW w:w="771" w:type="pct"/>
          </w:tcPr>
          <w:p w14:paraId="33BE94AB" w14:textId="77777777" w:rsidR="00FF3977" w:rsidRDefault="00FF3977" w:rsidP="00FF3977">
            <w:pPr>
              <w:rPr>
                <w:rFonts w:eastAsia="Calibri"/>
              </w:rPr>
            </w:pPr>
            <w:r>
              <w:rPr>
                <w:rFonts w:eastAsia="Calibri"/>
              </w:rPr>
              <w:t>Acceptable</w:t>
            </w:r>
          </w:p>
        </w:tc>
      </w:tr>
      <w:tr w:rsidR="00FF3977" w14:paraId="6EE0CBD4" w14:textId="77777777" w:rsidTr="00FF3977">
        <w:tc>
          <w:tcPr>
            <w:tcW w:w="881" w:type="pct"/>
          </w:tcPr>
          <w:p w14:paraId="69E327C2" w14:textId="77777777" w:rsidR="00FF3977" w:rsidRPr="00A411E7" w:rsidRDefault="00FF3977" w:rsidP="00FF3977">
            <w:pPr>
              <w:rPr>
                <w:rFonts w:eastAsia="Calibri"/>
              </w:rPr>
            </w:pPr>
            <w:r w:rsidRPr="00A411E7">
              <w:rPr>
                <w:rFonts w:eastAsia="Calibri"/>
              </w:rPr>
              <w:t>Self-reactive substances and mixtures</w:t>
            </w:r>
          </w:p>
        </w:tc>
        <w:tc>
          <w:tcPr>
            <w:tcW w:w="516" w:type="pct"/>
          </w:tcPr>
          <w:p w14:paraId="4A792F5E" w14:textId="77777777" w:rsidR="00FF3977" w:rsidRPr="00A411E7" w:rsidRDefault="00FF3977" w:rsidP="00FF3977">
            <w:pPr>
              <w:rPr>
                <w:rFonts w:eastAsia="Calibri"/>
              </w:rPr>
            </w:pPr>
            <w:r>
              <w:rPr>
                <w:rFonts w:eastAsia="Calibri"/>
              </w:rPr>
              <w:t>statement</w:t>
            </w:r>
          </w:p>
        </w:tc>
        <w:tc>
          <w:tcPr>
            <w:tcW w:w="600" w:type="pct"/>
          </w:tcPr>
          <w:p w14:paraId="261B0696" w14:textId="77777777" w:rsidR="00FF3977" w:rsidRPr="00A411E7" w:rsidRDefault="00FF3977" w:rsidP="00FF3977">
            <w:pPr>
              <w:rPr>
                <w:rFonts w:eastAsia="Calibri"/>
              </w:rPr>
            </w:pPr>
            <w:r>
              <w:rPr>
                <w:rFonts w:eastAsia="Calibri"/>
              </w:rPr>
              <w:t>-</w:t>
            </w:r>
          </w:p>
        </w:tc>
        <w:tc>
          <w:tcPr>
            <w:tcW w:w="1460" w:type="pct"/>
            <w:vAlign w:val="center"/>
          </w:tcPr>
          <w:p w14:paraId="02992362" w14:textId="77777777" w:rsidR="00BD008D" w:rsidRPr="00BD008D" w:rsidRDefault="00BD008D" w:rsidP="00BD008D">
            <w:pPr>
              <w:rPr>
                <w:color w:val="000000"/>
              </w:rPr>
            </w:pPr>
            <w:r w:rsidRPr="00BD008D">
              <w:rPr>
                <w:color w:val="000000"/>
              </w:rPr>
              <w:t xml:space="preserve">According to the Guidance on the application of the CLP criteria, “substances and mixtures must be considered for classification in hazard class self-reactive property unless there are no chemical groups present in the molecule associated </w:t>
            </w:r>
            <w:r w:rsidRPr="00BD008D">
              <w:rPr>
                <w:color w:val="000000"/>
              </w:rPr>
              <w:lastRenderedPageBreak/>
              <w:t xml:space="preserve">with explosive or self-reactive properties. Examples of such groups are given in Tables A6.1 and A6.2 in Appendix 6 of the UN RTDG, Manual of Tests and Criteria”. Based on the composition, we can expect that the products of the family do not have self-reactive properties. However, this need to be confirmed. </w:t>
            </w:r>
          </w:p>
          <w:p w14:paraId="47EF2757" w14:textId="77777777" w:rsidR="00BD008D" w:rsidRPr="00BD008D" w:rsidRDefault="00BD008D" w:rsidP="00BD008D">
            <w:pPr>
              <w:rPr>
                <w:color w:val="000000"/>
              </w:rPr>
            </w:pPr>
          </w:p>
          <w:p w14:paraId="75D86F5F" w14:textId="4B3A7D31" w:rsidR="00FF3977" w:rsidRPr="00A411E7" w:rsidRDefault="00BD008D" w:rsidP="00BD008D">
            <w:pPr>
              <w:rPr>
                <w:rFonts w:eastAsia="Calibri"/>
              </w:rPr>
            </w:pPr>
            <w:r w:rsidRPr="00BD008D">
              <w:rPr>
                <w:color w:val="000000"/>
              </w:rPr>
              <w:t>Therefore, DSC tests of representative products of all Meta SPCs s</w:t>
            </w:r>
            <w:r w:rsidR="002C24C2">
              <w:rPr>
                <w:color w:val="000000"/>
              </w:rPr>
              <w:t>hould be provided to confirm</w:t>
            </w:r>
            <w:r w:rsidRPr="00BD008D">
              <w:rPr>
                <w:color w:val="000000"/>
              </w:rPr>
              <w:t xml:space="preserve"> the non-classification in this hazard class. Moreover, if their heat of decomposition is higher than 300 J/g, the self-accelerating decomposition temperature (SADT) of the products should also be determined.</w:t>
            </w:r>
          </w:p>
        </w:tc>
        <w:tc>
          <w:tcPr>
            <w:tcW w:w="771" w:type="pct"/>
          </w:tcPr>
          <w:p w14:paraId="0B358946" w14:textId="77777777" w:rsidR="00FF3977" w:rsidRPr="00A411E7" w:rsidRDefault="00FF3977" w:rsidP="00FF3977">
            <w:pPr>
              <w:rPr>
                <w:rFonts w:eastAsia="Calibri"/>
              </w:rPr>
            </w:pPr>
            <w:r>
              <w:rPr>
                <w:rFonts w:eastAsia="Calibri"/>
              </w:rPr>
              <w:lastRenderedPageBreak/>
              <w:t>-</w:t>
            </w:r>
          </w:p>
        </w:tc>
        <w:tc>
          <w:tcPr>
            <w:tcW w:w="771" w:type="pct"/>
          </w:tcPr>
          <w:p w14:paraId="1FDFFC5A" w14:textId="22E3462C" w:rsidR="00FF3977" w:rsidRDefault="00BD008D" w:rsidP="00FF3977">
            <w:pPr>
              <w:rPr>
                <w:rFonts w:eastAsia="Calibri"/>
              </w:rPr>
            </w:pPr>
            <w:r w:rsidRPr="00BD008D">
              <w:rPr>
                <w:rFonts w:eastAsia="Calibri"/>
              </w:rPr>
              <w:t xml:space="preserve">DSC tests of representative products of all Meta SPCs should be provided </w:t>
            </w:r>
            <w:r>
              <w:rPr>
                <w:rFonts w:eastAsia="Calibri"/>
              </w:rPr>
              <w:t xml:space="preserve">in post authorisation </w:t>
            </w:r>
            <w:r w:rsidR="002C24C2">
              <w:rPr>
                <w:rFonts w:eastAsia="Calibri"/>
              </w:rPr>
              <w:t>to confirm</w:t>
            </w:r>
            <w:r w:rsidRPr="00BD008D">
              <w:rPr>
                <w:rFonts w:eastAsia="Calibri"/>
              </w:rPr>
              <w:t xml:space="preserve"> the </w:t>
            </w:r>
            <w:r w:rsidRPr="00BD008D">
              <w:rPr>
                <w:rFonts w:eastAsia="Calibri"/>
              </w:rPr>
              <w:lastRenderedPageBreak/>
              <w:t>non-classification in this hazard class.</w:t>
            </w:r>
          </w:p>
        </w:tc>
      </w:tr>
      <w:tr w:rsidR="00FF3977" w14:paraId="6CEA0ABD" w14:textId="77777777" w:rsidTr="00FF3977">
        <w:tc>
          <w:tcPr>
            <w:tcW w:w="881" w:type="pct"/>
          </w:tcPr>
          <w:p w14:paraId="40F87AA1" w14:textId="77777777" w:rsidR="00FF3977" w:rsidRPr="00A411E7" w:rsidRDefault="00FF3977" w:rsidP="00FF3977">
            <w:pPr>
              <w:rPr>
                <w:rFonts w:eastAsia="Calibri"/>
              </w:rPr>
            </w:pPr>
            <w:r w:rsidRPr="00A411E7">
              <w:rPr>
                <w:rFonts w:eastAsia="Calibri"/>
              </w:rPr>
              <w:lastRenderedPageBreak/>
              <w:t>Pyrophoric liquids</w:t>
            </w:r>
          </w:p>
        </w:tc>
        <w:tc>
          <w:tcPr>
            <w:tcW w:w="516" w:type="pct"/>
          </w:tcPr>
          <w:p w14:paraId="17853AA6" w14:textId="77777777" w:rsidR="00FF3977" w:rsidRPr="00A411E7" w:rsidRDefault="00FF3977" w:rsidP="00FF3977">
            <w:pPr>
              <w:rPr>
                <w:rFonts w:eastAsia="Calibri"/>
              </w:rPr>
            </w:pPr>
            <w:r>
              <w:rPr>
                <w:rFonts w:eastAsia="Calibri"/>
              </w:rPr>
              <w:t>statement</w:t>
            </w:r>
          </w:p>
        </w:tc>
        <w:tc>
          <w:tcPr>
            <w:tcW w:w="600" w:type="pct"/>
          </w:tcPr>
          <w:p w14:paraId="6D27A2B5" w14:textId="77777777" w:rsidR="00FF3977" w:rsidRPr="00A411E7" w:rsidRDefault="00FF3977" w:rsidP="00FF3977">
            <w:pPr>
              <w:rPr>
                <w:rFonts w:eastAsia="Calibri"/>
              </w:rPr>
            </w:pPr>
            <w:r>
              <w:rPr>
                <w:rFonts w:eastAsia="Calibri"/>
              </w:rPr>
              <w:t>-</w:t>
            </w:r>
          </w:p>
        </w:tc>
        <w:tc>
          <w:tcPr>
            <w:tcW w:w="1460" w:type="pct"/>
            <w:vAlign w:val="center"/>
          </w:tcPr>
          <w:p w14:paraId="2499E0A2" w14:textId="77777777" w:rsidR="00FF3977" w:rsidRPr="00A411E7" w:rsidRDefault="00FF3977" w:rsidP="00FF3977">
            <w:pPr>
              <w:rPr>
                <w:rFonts w:eastAsia="Calibri"/>
              </w:rPr>
            </w:pPr>
            <w:r>
              <w:rPr>
                <w:color w:val="000000"/>
              </w:rPr>
              <w:t>Not required as experience in manufacture and handling shows that the product does not ignite spontaneously on coming into contact with air at normal temperature.</w:t>
            </w:r>
          </w:p>
        </w:tc>
        <w:tc>
          <w:tcPr>
            <w:tcW w:w="771" w:type="pct"/>
          </w:tcPr>
          <w:p w14:paraId="3E4B6977" w14:textId="77777777" w:rsidR="00FF3977" w:rsidRPr="00A411E7" w:rsidRDefault="00FF3977" w:rsidP="00FF3977">
            <w:pPr>
              <w:rPr>
                <w:rFonts w:eastAsia="Calibri"/>
              </w:rPr>
            </w:pPr>
            <w:r>
              <w:rPr>
                <w:rFonts w:eastAsia="Calibri"/>
              </w:rPr>
              <w:t>-</w:t>
            </w:r>
          </w:p>
        </w:tc>
        <w:tc>
          <w:tcPr>
            <w:tcW w:w="771" w:type="pct"/>
          </w:tcPr>
          <w:p w14:paraId="6E19C010" w14:textId="77777777" w:rsidR="00FF3977" w:rsidRDefault="00FF3977" w:rsidP="00FF3977">
            <w:pPr>
              <w:rPr>
                <w:rFonts w:eastAsia="Calibri"/>
              </w:rPr>
            </w:pPr>
            <w:r>
              <w:rPr>
                <w:rFonts w:eastAsia="Calibri"/>
              </w:rPr>
              <w:t>Acceptable</w:t>
            </w:r>
          </w:p>
        </w:tc>
      </w:tr>
      <w:tr w:rsidR="00FF3977" w14:paraId="3A11AAC9" w14:textId="77777777" w:rsidTr="00FF3977">
        <w:tc>
          <w:tcPr>
            <w:tcW w:w="881" w:type="pct"/>
          </w:tcPr>
          <w:p w14:paraId="69AAE846" w14:textId="77777777" w:rsidR="00FF3977" w:rsidRPr="00A411E7" w:rsidRDefault="00FF3977" w:rsidP="00FF3977">
            <w:pPr>
              <w:rPr>
                <w:rFonts w:eastAsia="Calibri"/>
              </w:rPr>
            </w:pPr>
            <w:r w:rsidRPr="00A411E7">
              <w:rPr>
                <w:rFonts w:eastAsia="Calibri"/>
              </w:rPr>
              <w:t>Pyrophoric solids</w:t>
            </w:r>
          </w:p>
        </w:tc>
        <w:tc>
          <w:tcPr>
            <w:tcW w:w="516" w:type="pct"/>
          </w:tcPr>
          <w:p w14:paraId="5C9DA9C2" w14:textId="77777777" w:rsidR="00FF3977" w:rsidRPr="00A411E7" w:rsidRDefault="00FF3977" w:rsidP="00FF3977">
            <w:pPr>
              <w:rPr>
                <w:rFonts w:eastAsia="Calibri"/>
              </w:rPr>
            </w:pPr>
            <w:r>
              <w:rPr>
                <w:rFonts w:eastAsia="Calibri"/>
              </w:rPr>
              <w:t>-</w:t>
            </w:r>
          </w:p>
        </w:tc>
        <w:tc>
          <w:tcPr>
            <w:tcW w:w="600" w:type="pct"/>
          </w:tcPr>
          <w:p w14:paraId="278659A2" w14:textId="77777777" w:rsidR="00FF3977" w:rsidRPr="00A411E7" w:rsidRDefault="00FF3977" w:rsidP="00FF3977">
            <w:pPr>
              <w:rPr>
                <w:rFonts w:eastAsia="Calibri"/>
              </w:rPr>
            </w:pPr>
            <w:r>
              <w:rPr>
                <w:rFonts w:eastAsia="Calibri"/>
              </w:rPr>
              <w:t>-</w:t>
            </w:r>
          </w:p>
        </w:tc>
        <w:tc>
          <w:tcPr>
            <w:tcW w:w="1460" w:type="pct"/>
            <w:vAlign w:val="center"/>
          </w:tcPr>
          <w:p w14:paraId="682973BE" w14:textId="77777777" w:rsidR="00FF3977" w:rsidRPr="00A411E7" w:rsidRDefault="00FF3977" w:rsidP="00FF3977">
            <w:pPr>
              <w:rPr>
                <w:rFonts w:eastAsia="Calibri"/>
              </w:rPr>
            </w:pPr>
            <w:r>
              <w:rPr>
                <w:color w:val="000000"/>
              </w:rPr>
              <w:t>Not required as the product is a liquid.</w:t>
            </w:r>
          </w:p>
        </w:tc>
        <w:tc>
          <w:tcPr>
            <w:tcW w:w="771" w:type="pct"/>
          </w:tcPr>
          <w:p w14:paraId="194A1C56" w14:textId="77777777" w:rsidR="00FF3977" w:rsidRPr="00A411E7" w:rsidRDefault="00FF3977" w:rsidP="00FF3977">
            <w:pPr>
              <w:rPr>
                <w:rFonts w:eastAsia="Calibri"/>
              </w:rPr>
            </w:pPr>
            <w:r>
              <w:rPr>
                <w:rFonts w:eastAsia="Calibri"/>
              </w:rPr>
              <w:t>-</w:t>
            </w:r>
          </w:p>
        </w:tc>
        <w:tc>
          <w:tcPr>
            <w:tcW w:w="771" w:type="pct"/>
          </w:tcPr>
          <w:p w14:paraId="4B2DE0B0" w14:textId="77777777" w:rsidR="00FF3977" w:rsidRDefault="00FF3977" w:rsidP="00FF3977">
            <w:pPr>
              <w:rPr>
                <w:rFonts w:eastAsia="Calibri"/>
              </w:rPr>
            </w:pPr>
            <w:r>
              <w:rPr>
                <w:rFonts w:eastAsia="Calibri"/>
              </w:rPr>
              <w:t>Acceptable</w:t>
            </w:r>
          </w:p>
        </w:tc>
      </w:tr>
      <w:tr w:rsidR="00FF3977" w14:paraId="5D3C8946" w14:textId="77777777" w:rsidTr="00FF3977">
        <w:tc>
          <w:tcPr>
            <w:tcW w:w="881" w:type="pct"/>
          </w:tcPr>
          <w:p w14:paraId="52D1BB9B" w14:textId="77777777" w:rsidR="00FF3977" w:rsidRPr="00A411E7" w:rsidRDefault="00FF3977" w:rsidP="00FF3977">
            <w:pPr>
              <w:rPr>
                <w:rFonts w:eastAsia="Calibri"/>
              </w:rPr>
            </w:pPr>
            <w:r w:rsidRPr="00A411E7">
              <w:rPr>
                <w:rFonts w:eastAsia="Calibri"/>
              </w:rPr>
              <w:t>Self-heating substances and mixtures</w:t>
            </w:r>
          </w:p>
        </w:tc>
        <w:tc>
          <w:tcPr>
            <w:tcW w:w="516" w:type="pct"/>
          </w:tcPr>
          <w:p w14:paraId="53171A4D" w14:textId="77777777" w:rsidR="00FF3977" w:rsidRPr="00A411E7" w:rsidRDefault="00FF3977" w:rsidP="00FF3977">
            <w:pPr>
              <w:rPr>
                <w:rFonts w:eastAsia="Calibri"/>
              </w:rPr>
            </w:pPr>
            <w:r>
              <w:rPr>
                <w:rFonts w:eastAsia="Calibri"/>
              </w:rPr>
              <w:t>-</w:t>
            </w:r>
          </w:p>
        </w:tc>
        <w:tc>
          <w:tcPr>
            <w:tcW w:w="600" w:type="pct"/>
          </w:tcPr>
          <w:p w14:paraId="3858D284" w14:textId="77777777" w:rsidR="00FF3977" w:rsidRPr="00A411E7" w:rsidRDefault="00FF3977" w:rsidP="00FF3977">
            <w:pPr>
              <w:rPr>
                <w:rFonts w:eastAsia="Calibri"/>
              </w:rPr>
            </w:pPr>
            <w:r>
              <w:rPr>
                <w:rFonts w:eastAsia="Calibri"/>
              </w:rPr>
              <w:t>-</w:t>
            </w:r>
          </w:p>
        </w:tc>
        <w:tc>
          <w:tcPr>
            <w:tcW w:w="1460" w:type="pct"/>
            <w:vAlign w:val="center"/>
          </w:tcPr>
          <w:p w14:paraId="4290E3ED" w14:textId="77777777" w:rsidR="00FF3977" w:rsidRPr="00A411E7" w:rsidRDefault="00FF3977" w:rsidP="00FF3977">
            <w:pPr>
              <w:rPr>
                <w:rFonts w:eastAsia="Calibri"/>
              </w:rPr>
            </w:pPr>
            <w:r>
              <w:rPr>
                <w:color w:val="000000"/>
              </w:rPr>
              <w:t>Not required as the product is a liquid.</w:t>
            </w:r>
          </w:p>
        </w:tc>
        <w:tc>
          <w:tcPr>
            <w:tcW w:w="771" w:type="pct"/>
          </w:tcPr>
          <w:p w14:paraId="4B84C9FF" w14:textId="77777777" w:rsidR="00FF3977" w:rsidRPr="00A411E7" w:rsidRDefault="00FF3977" w:rsidP="00FF3977">
            <w:pPr>
              <w:rPr>
                <w:rFonts w:eastAsia="Calibri"/>
              </w:rPr>
            </w:pPr>
            <w:r>
              <w:rPr>
                <w:rFonts w:eastAsia="Calibri"/>
              </w:rPr>
              <w:t>-</w:t>
            </w:r>
          </w:p>
        </w:tc>
        <w:tc>
          <w:tcPr>
            <w:tcW w:w="771" w:type="pct"/>
          </w:tcPr>
          <w:p w14:paraId="40461FBE" w14:textId="77777777" w:rsidR="00FF3977" w:rsidRDefault="00FF3977" w:rsidP="00FF3977">
            <w:pPr>
              <w:rPr>
                <w:rFonts w:eastAsia="Calibri"/>
              </w:rPr>
            </w:pPr>
            <w:r>
              <w:rPr>
                <w:rFonts w:eastAsia="Calibri"/>
              </w:rPr>
              <w:t>Acceptable</w:t>
            </w:r>
          </w:p>
        </w:tc>
      </w:tr>
      <w:tr w:rsidR="00FF3977" w14:paraId="49FF07D2" w14:textId="77777777" w:rsidTr="00FF3977">
        <w:tc>
          <w:tcPr>
            <w:tcW w:w="881" w:type="pct"/>
          </w:tcPr>
          <w:p w14:paraId="766B26AE" w14:textId="77777777" w:rsidR="00FF3977" w:rsidRPr="00A411E7" w:rsidRDefault="00FF3977" w:rsidP="00FF3977">
            <w:pPr>
              <w:rPr>
                <w:rFonts w:eastAsia="Calibri"/>
              </w:rPr>
            </w:pPr>
            <w:r w:rsidRPr="00A411E7">
              <w:rPr>
                <w:rFonts w:eastAsia="Calibri"/>
              </w:rPr>
              <w:t>Substances and mixtures which in contact with</w:t>
            </w:r>
            <w:r>
              <w:rPr>
                <w:rFonts w:eastAsia="Calibri"/>
              </w:rPr>
              <w:t xml:space="preserve"> </w:t>
            </w:r>
            <w:r w:rsidRPr="00A411E7">
              <w:rPr>
                <w:rFonts w:eastAsia="Calibri"/>
              </w:rPr>
              <w:t>water emit flammable gases</w:t>
            </w:r>
          </w:p>
        </w:tc>
        <w:tc>
          <w:tcPr>
            <w:tcW w:w="516" w:type="pct"/>
          </w:tcPr>
          <w:p w14:paraId="07B7E2C4" w14:textId="77777777" w:rsidR="00FF3977" w:rsidRPr="00A411E7" w:rsidRDefault="00FF3977" w:rsidP="00FF3977">
            <w:pPr>
              <w:rPr>
                <w:rFonts w:eastAsia="Calibri"/>
              </w:rPr>
            </w:pPr>
            <w:r>
              <w:rPr>
                <w:rFonts w:eastAsia="Calibri"/>
              </w:rPr>
              <w:t>statement</w:t>
            </w:r>
          </w:p>
        </w:tc>
        <w:tc>
          <w:tcPr>
            <w:tcW w:w="600" w:type="pct"/>
          </w:tcPr>
          <w:p w14:paraId="34832EEE" w14:textId="77777777" w:rsidR="00FF3977" w:rsidRPr="00A411E7" w:rsidRDefault="00FF3977" w:rsidP="00FF3977">
            <w:pPr>
              <w:rPr>
                <w:rFonts w:eastAsia="Calibri"/>
              </w:rPr>
            </w:pPr>
            <w:r>
              <w:rPr>
                <w:rFonts w:eastAsia="Calibri"/>
              </w:rPr>
              <w:t>-</w:t>
            </w:r>
          </w:p>
        </w:tc>
        <w:tc>
          <w:tcPr>
            <w:tcW w:w="1460" w:type="pct"/>
            <w:vAlign w:val="center"/>
          </w:tcPr>
          <w:p w14:paraId="27AC1D01" w14:textId="77777777" w:rsidR="00FF3977" w:rsidRPr="00A411E7" w:rsidRDefault="00FF3977" w:rsidP="00FF3977">
            <w:pPr>
              <w:rPr>
                <w:rFonts w:eastAsia="Calibri"/>
              </w:rPr>
            </w:pPr>
            <w:r>
              <w:rPr>
                <w:color w:val="000000"/>
              </w:rPr>
              <w:t>Not required as experience in handling and use shows that the product does not react with water.</w:t>
            </w:r>
          </w:p>
        </w:tc>
        <w:tc>
          <w:tcPr>
            <w:tcW w:w="771" w:type="pct"/>
          </w:tcPr>
          <w:p w14:paraId="10E18037" w14:textId="77777777" w:rsidR="00FF3977" w:rsidRPr="00A411E7" w:rsidRDefault="00FF3977" w:rsidP="00FF3977">
            <w:pPr>
              <w:rPr>
                <w:rFonts w:eastAsia="Calibri"/>
              </w:rPr>
            </w:pPr>
            <w:r>
              <w:rPr>
                <w:rFonts w:eastAsia="Calibri"/>
              </w:rPr>
              <w:t>-</w:t>
            </w:r>
          </w:p>
        </w:tc>
        <w:tc>
          <w:tcPr>
            <w:tcW w:w="771" w:type="pct"/>
          </w:tcPr>
          <w:p w14:paraId="36007115" w14:textId="77777777" w:rsidR="00FF3977" w:rsidRDefault="00FF3977" w:rsidP="00FF3977">
            <w:pPr>
              <w:rPr>
                <w:rFonts w:eastAsia="Calibri"/>
              </w:rPr>
            </w:pPr>
            <w:r>
              <w:rPr>
                <w:rFonts w:eastAsia="Calibri"/>
              </w:rPr>
              <w:t>Acceptable</w:t>
            </w:r>
          </w:p>
        </w:tc>
      </w:tr>
      <w:tr w:rsidR="00FF3977" w14:paraId="66E95A04" w14:textId="77777777" w:rsidTr="00FF3977">
        <w:tc>
          <w:tcPr>
            <w:tcW w:w="881" w:type="pct"/>
          </w:tcPr>
          <w:p w14:paraId="57DBF148" w14:textId="77777777" w:rsidR="00FF3977" w:rsidRPr="00A411E7" w:rsidRDefault="00FF3977" w:rsidP="00FF3977">
            <w:pPr>
              <w:rPr>
                <w:rFonts w:eastAsia="Calibri"/>
              </w:rPr>
            </w:pPr>
            <w:r w:rsidRPr="00A411E7">
              <w:rPr>
                <w:rFonts w:eastAsia="Calibri"/>
              </w:rPr>
              <w:lastRenderedPageBreak/>
              <w:t>Oxidising liquids</w:t>
            </w:r>
          </w:p>
        </w:tc>
        <w:tc>
          <w:tcPr>
            <w:tcW w:w="516" w:type="pct"/>
          </w:tcPr>
          <w:p w14:paraId="2BC449DF" w14:textId="77777777" w:rsidR="00FF3977" w:rsidRPr="00A411E7" w:rsidRDefault="00FF3977" w:rsidP="00FF3977">
            <w:pPr>
              <w:rPr>
                <w:rFonts w:eastAsia="Calibri"/>
              </w:rPr>
            </w:pPr>
            <w:r>
              <w:rPr>
                <w:rFonts w:eastAsia="Calibri"/>
              </w:rPr>
              <w:t>statement</w:t>
            </w:r>
          </w:p>
        </w:tc>
        <w:tc>
          <w:tcPr>
            <w:tcW w:w="600" w:type="pct"/>
          </w:tcPr>
          <w:p w14:paraId="2452CD60" w14:textId="77777777" w:rsidR="00FF3977" w:rsidRPr="00A411E7" w:rsidRDefault="00FF3977" w:rsidP="00FF3977">
            <w:pPr>
              <w:rPr>
                <w:rFonts w:eastAsia="Calibri"/>
              </w:rPr>
            </w:pPr>
            <w:r>
              <w:rPr>
                <w:rFonts w:eastAsia="Calibri"/>
              </w:rPr>
              <w:t>-</w:t>
            </w:r>
          </w:p>
        </w:tc>
        <w:tc>
          <w:tcPr>
            <w:tcW w:w="1460" w:type="pct"/>
            <w:vAlign w:val="center"/>
          </w:tcPr>
          <w:p w14:paraId="179D9BCB" w14:textId="77777777" w:rsidR="00FF3977" w:rsidRPr="00A411E7" w:rsidRDefault="00FF3977" w:rsidP="00FF3977">
            <w:pPr>
              <w:rPr>
                <w:rFonts w:eastAsia="Calibri"/>
              </w:rPr>
            </w:pPr>
            <w:r>
              <w:rPr>
                <w:color w:val="000000"/>
              </w:rPr>
              <w:t xml:space="preserve">Not required as none of the major components of the product does contain chemical groups that act as an oxidising agent. </w:t>
            </w:r>
          </w:p>
        </w:tc>
        <w:tc>
          <w:tcPr>
            <w:tcW w:w="771" w:type="pct"/>
          </w:tcPr>
          <w:p w14:paraId="146E6BE7" w14:textId="77777777" w:rsidR="00FF3977" w:rsidRPr="00A411E7" w:rsidRDefault="00FF3977" w:rsidP="00FF3977">
            <w:pPr>
              <w:rPr>
                <w:rFonts w:eastAsia="Calibri"/>
              </w:rPr>
            </w:pPr>
            <w:r>
              <w:rPr>
                <w:rFonts w:eastAsia="Calibri"/>
              </w:rPr>
              <w:t>-</w:t>
            </w:r>
          </w:p>
        </w:tc>
        <w:tc>
          <w:tcPr>
            <w:tcW w:w="771" w:type="pct"/>
          </w:tcPr>
          <w:p w14:paraId="6B2E3663" w14:textId="77777777" w:rsidR="00FF3977" w:rsidRDefault="00FF3977" w:rsidP="00FF3977">
            <w:pPr>
              <w:rPr>
                <w:rFonts w:eastAsia="Calibri"/>
              </w:rPr>
            </w:pPr>
            <w:r>
              <w:rPr>
                <w:rFonts w:eastAsia="Calibri"/>
              </w:rPr>
              <w:t>Acceptable</w:t>
            </w:r>
          </w:p>
        </w:tc>
      </w:tr>
      <w:tr w:rsidR="00FF3977" w14:paraId="703ABC14" w14:textId="77777777" w:rsidTr="00FF3977">
        <w:tc>
          <w:tcPr>
            <w:tcW w:w="881" w:type="pct"/>
          </w:tcPr>
          <w:p w14:paraId="212F3494" w14:textId="77777777" w:rsidR="00FF3977" w:rsidRPr="00A411E7" w:rsidRDefault="00FF3977" w:rsidP="00FF3977">
            <w:pPr>
              <w:rPr>
                <w:rFonts w:eastAsia="Calibri"/>
              </w:rPr>
            </w:pPr>
            <w:r w:rsidRPr="00A411E7">
              <w:rPr>
                <w:rFonts w:eastAsia="Calibri"/>
              </w:rPr>
              <w:t>Oxidising solids</w:t>
            </w:r>
          </w:p>
        </w:tc>
        <w:tc>
          <w:tcPr>
            <w:tcW w:w="516" w:type="pct"/>
          </w:tcPr>
          <w:p w14:paraId="2B00E589" w14:textId="77777777" w:rsidR="00FF3977" w:rsidRPr="00A411E7" w:rsidRDefault="00FF3977" w:rsidP="00FF3977">
            <w:pPr>
              <w:rPr>
                <w:rFonts w:eastAsia="Calibri"/>
              </w:rPr>
            </w:pPr>
            <w:r>
              <w:rPr>
                <w:rFonts w:eastAsia="Calibri"/>
              </w:rPr>
              <w:t>-</w:t>
            </w:r>
          </w:p>
        </w:tc>
        <w:tc>
          <w:tcPr>
            <w:tcW w:w="600" w:type="pct"/>
          </w:tcPr>
          <w:p w14:paraId="5C729574" w14:textId="77777777" w:rsidR="00FF3977" w:rsidRPr="00A411E7" w:rsidRDefault="00FF3977" w:rsidP="00FF3977">
            <w:pPr>
              <w:rPr>
                <w:rFonts w:eastAsia="Calibri"/>
              </w:rPr>
            </w:pPr>
            <w:r>
              <w:rPr>
                <w:rFonts w:eastAsia="Calibri"/>
              </w:rPr>
              <w:t>-</w:t>
            </w:r>
          </w:p>
        </w:tc>
        <w:tc>
          <w:tcPr>
            <w:tcW w:w="1460" w:type="pct"/>
            <w:vAlign w:val="center"/>
          </w:tcPr>
          <w:p w14:paraId="32DC776E" w14:textId="77777777" w:rsidR="00FF3977" w:rsidRPr="00A411E7" w:rsidRDefault="00FF3977" w:rsidP="00FF3977">
            <w:pPr>
              <w:rPr>
                <w:rFonts w:eastAsia="Calibri"/>
              </w:rPr>
            </w:pPr>
            <w:r>
              <w:rPr>
                <w:color w:val="000000"/>
              </w:rPr>
              <w:t>Not required as the product is a liquid.</w:t>
            </w:r>
          </w:p>
        </w:tc>
        <w:tc>
          <w:tcPr>
            <w:tcW w:w="771" w:type="pct"/>
          </w:tcPr>
          <w:p w14:paraId="4EDE8D34" w14:textId="77777777" w:rsidR="00FF3977" w:rsidRPr="00A411E7" w:rsidRDefault="00FF3977" w:rsidP="00FF3977">
            <w:pPr>
              <w:rPr>
                <w:rFonts w:eastAsia="Calibri"/>
              </w:rPr>
            </w:pPr>
            <w:r>
              <w:rPr>
                <w:rFonts w:eastAsia="Calibri"/>
              </w:rPr>
              <w:t>-</w:t>
            </w:r>
          </w:p>
        </w:tc>
        <w:tc>
          <w:tcPr>
            <w:tcW w:w="771" w:type="pct"/>
          </w:tcPr>
          <w:p w14:paraId="4ADBE05A" w14:textId="77777777" w:rsidR="00FF3977" w:rsidRDefault="00FF3977" w:rsidP="00FF3977">
            <w:pPr>
              <w:rPr>
                <w:rFonts w:eastAsia="Calibri"/>
              </w:rPr>
            </w:pPr>
            <w:r>
              <w:rPr>
                <w:rFonts w:eastAsia="Calibri"/>
              </w:rPr>
              <w:t>Acceptable</w:t>
            </w:r>
          </w:p>
        </w:tc>
      </w:tr>
      <w:tr w:rsidR="00FF3977" w14:paraId="151D69F5" w14:textId="77777777" w:rsidTr="00FF3977">
        <w:tc>
          <w:tcPr>
            <w:tcW w:w="881" w:type="pct"/>
          </w:tcPr>
          <w:p w14:paraId="184E2DE0" w14:textId="77777777" w:rsidR="00FF3977" w:rsidRPr="00A411E7" w:rsidRDefault="00FF3977" w:rsidP="00FF3977">
            <w:pPr>
              <w:rPr>
                <w:rFonts w:eastAsia="Calibri"/>
              </w:rPr>
            </w:pPr>
            <w:r w:rsidRPr="00A411E7">
              <w:rPr>
                <w:rFonts w:eastAsia="Calibri"/>
              </w:rPr>
              <w:t>Organic peroxides</w:t>
            </w:r>
          </w:p>
        </w:tc>
        <w:tc>
          <w:tcPr>
            <w:tcW w:w="516" w:type="pct"/>
          </w:tcPr>
          <w:p w14:paraId="0A429F5A" w14:textId="77777777" w:rsidR="00FF3977" w:rsidRPr="00A411E7" w:rsidRDefault="00FF3977" w:rsidP="00FF3977">
            <w:pPr>
              <w:rPr>
                <w:rFonts w:eastAsia="Calibri"/>
              </w:rPr>
            </w:pPr>
            <w:r>
              <w:rPr>
                <w:rFonts w:eastAsia="Calibri"/>
              </w:rPr>
              <w:t>statement</w:t>
            </w:r>
          </w:p>
        </w:tc>
        <w:tc>
          <w:tcPr>
            <w:tcW w:w="600" w:type="pct"/>
          </w:tcPr>
          <w:p w14:paraId="38E80348" w14:textId="77777777" w:rsidR="00FF3977" w:rsidRPr="00DF6CFE" w:rsidRDefault="00FF3977" w:rsidP="00FF3977">
            <w:pPr>
              <w:rPr>
                <w:rFonts w:eastAsia="Calibri"/>
              </w:rPr>
            </w:pPr>
            <w:r>
              <w:rPr>
                <w:rFonts w:eastAsia="Calibri"/>
              </w:rPr>
              <w:t>-</w:t>
            </w:r>
          </w:p>
        </w:tc>
        <w:tc>
          <w:tcPr>
            <w:tcW w:w="1460" w:type="pct"/>
            <w:vAlign w:val="center"/>
          </w:tcPr>
          <w:p w14:paraId="37D2B4DA" w14:textId="77777777" w:rsidR="00FF3977" w:rsidRPr="00DF6CFE" w:rsidRDefault="00FF3977" w:rsidP="00FF3977">
            <w:pPr>
              <w:rPr>
                <w:rFonts w:eastAsia="Calibri"/>
              </w:rPr>
            </w:pPr>
            <w:r>
              <w:rPr>
                <w:color w:val="000000"/>
              </w:rPr>
              <w:t>Not required as none of the major components of the product does contain organic peroxides.</w:t>
            </w:r>
          </w:p>
        </w:tc>
        <w:tc>
          <w:tcPr>
            <w:tcW w:w="771" w:type="pct"/>
          </w:tcPr>
          <w:p w14:paraId="2970E4EA" w14:textId="77777777" w:rsidR="00FF3977" w:rsidRPr="00DF6CFE" w:rsidRDefault="00FF3977" w:rsidP="00FF3977">
            <w:pPr>
              <w:rPr>
                <w:rFonts w:eastAsia="Calibri"/>
              </w:rPr>
            </w:pPr>
            <w:r>
              <w:rPr>
                <w:rFonts w:eastAsia="Calibri"/>
              </w:rPr>
              <w:t>-</w:t>
            </w:r>
          </w:p>
        </w:tc>
        <w:tc>
          <w:tcPr>
            <w:tcW w:w="771" w:type="pct"/>
          </w:tcPr>
          <w:p w14:paraId="6B0AB70D" w14:textId="77777777" w:rsidR="00FF3977" w:rsidRDefault="00FF3977" w:rsidP="00FF3977">
            <w:pPr>
              <w:rPr>
                <w:rFonts w:eastAsia="Calibri"/>
              </w:rPr>
            </w:pPr>
            <w:r>
              <w:rPr>
                <w:rFonts w:eastAsia="Calibri"/>
              </w:rPr>
              <w:t>Acceptable</w:t>
            </w:r>
          </w:p>
        </w:tc>
      </w:tr>
      <w:tr w:rsidR="00FF3977" w14:paraId="4D3C9407" w14:textId="77777777" w:rsidTr="00FF3977">
        <w:tc>
          <w:tcPr>
            <w:tcW w:w="881" w:type="pct"/>
            <w:vMerge w:val="restart"/>
          </w:tcPr>
          <w:p w14:paraId="247695C7" w14:textId="77777777" w:rsidR="00FF3977" w:rsidRPr="00A411E7" w:rsidRDefault="00FF3977" w:rsidP="00FF3977">
            <w:pPr>
              <w:rPr>
                <w:rFonts w:eastAsia="Calibri"/>
              </w:rPr>
            </w:pPr>
            <w:r w:rsidRPr="00A411E7">
              <w:rPr>
                <w:rFonts w:eastAsia="Calibri"/>
              </w:rPr>
              <w:t>Corrosive to metals</w:t>
            </w:r>
          </w:p>
        </w:tc>
        <w:tc>
          <w:tcPr>
            <w:tcW w:w="516" w:type="pct"/>
            <w:vMerge w:val="restart"/>
          </w:tcPr>
          <w:p w14:paraId="745CA87D" w14:textId="77777777" w:rsidR="00FF3977" w:rsidRPr="00A411E7" w:rsidRDefault="00FF3977" w:rsidP="00FF3977">
            <w:pPr>
              <w:rPr>
                <w:rFonts w:eastAsia="Calibri"/>
              </w:rPr>
            </w:pPr>
            <w:r w:rsidRPr="003F287D">
              <w:rPr>
                <w:rFonts w:eastAsia="Calibri"/>
              </w:rPr>
              <w:t>“Manual of tests and criteria” of the United Nations part 37</w:t>
            </w:r>
          </w:p>
        </w:tc>
        <w:tc>
          <w:tcPr>
            <w:tcW w:w="600" w:type="pct"/>
          </w:tcPr>
          <w:p w14:paraId="21B8C244" w14:textId="77777777" w:rsidR="00FF3977" w:rsidRDefault="00FF3977" w:rsidP="00FF3977">
            <w:pPr>
              <w:rPr>
                <w:rFonts w:eastAsia="Calibri"/>
              </w:rPr>
            </w:pPr>
            <w:r w:rsidRPr="006477F6">
              <w:rPr>
                <w:rFonts w:eastAsia="Calibri"/>
              </w:rPr>
              <w:t>Batch number of lactic acid: 5125352</w:t>
            </w:r>
          </w:p>
          <w:p w14:paraId="4801721C" w14:textId="77777777" w:rsidR="00FF3977" w:rsidRPr="006477F6" w:rsidRDefault="00FF3977" w:rsidP="00FF3977">
            <w:pPr>
              <w:rPr>
                <w:color w:val="404040"/>
              </w:rPr>
            </w:pPr>
            <w:r>
              <w:rPr>
                <w:rFonts w:eastAsia="Calibri"/>
              </w:rPr>
              <w:t>Meta SPC 1</w:t>
            </w:r>
          </w:p>
          <w:p w14:paraId="7A8379FB" w14:textId="77777777" w:rsidR="00FF3977" w:rsidRPr="00A411E7" w:rsidRDefault="00FF3977" w:rsidP="00FF3977">
            <w:pPr>
              <w:rPr>
                <w:rFonts w:eastAsia="Calibri"/>
              </w:rPr>
            </w:pPr>
          </w:p>
        </w:tc>
        <w:tc>
          <w:tcPr>
            <w:tcW w:w="1460" w:type="pct"/>
            <w:vAlign w:val="center"/>
          </w:tcPr>
          <w:p w14:paraId="20EB7BE9" w14:textId="77777777" w:rsidR="00FF3977" w:rsidRPr="00A411E7" w:rsidRDefault="00FF3977" w:rsidP="00FF3977">
            <w:pPr>
              <w:rPr>
                <w:rFonts w:eastAsia="Calibri"/>
              </w:rPr>
            </w:pPr>
            <w:r w:rsidRPr="006477F6">
              <w:rPr>
                <w:rFonts w:eastAsia="Calibri"/>
                <w:lang w:val="en-US"/>
              </w:rPr>
              <w:t xml:space="preserve">Following the 168 hours of testing the “AL-S1-2-0” solution with carbon steel and aluminum alloy samples, an intrusion of more than 120 </w:t>
            </w:r>
            <w:r w:rsidRPr="006477F6">
              <w:rPr>
                <w:rFonts w:eastAsia="Calibri"/>
                <w:lang w:val="fr-FR"/>
              </w:rPr>
              <w:t>μ</w:t>
            </w:r>
            <w:r w:rsidRPr="006477F6">
              <w:rPr>
                <w:rFonts w:eastAsia="Calibri"/>
                <w:lang w:val="en-US"/>
              </w:rPr>
              <w:t>m in depth was measured: the result is considered as positive. The product “AL-S1-2-0” is classified as a corrosive substance of class 8 according to the specification « Manual of tests and criteria » of the United Nations part 37.</w:t>
            </w:r>
          </w:p>
        </w:tc>
        <w:tc>
          <w:tcPr>
            <w:tcW w:w="771" w:type="pct"/>
          </w:tcPr>
          <w:p w14:paraId="04FD5883" w14:textId="77777777" w:rsidR="00FF3977" w:rsidRPr="00A411E7" w:rsidRDefault="00FF3977" w:rsidP="00FF3977">
            <w:pPr>
              <w:rPr>
                <w:rFonts w:eastAsia="Calibri"/>
              </w:rPr>
            </w:pPr>
            <w:r w:rsidRPr="006477F6">
              <w:rPr>
                <w:rFonts w:eastAsia="Calibri"/>
                <w:lang w:val="en-US"/>
              </w:rPr>
              <w:t>Bulidon N., 2020, Report No IC 860008-1</w:t>
            </w:r>
          </w:p>
        </w:tc>
        <w:tc>
          <w:tcPr>
            <w:tcW w:w="771" w:type="pct"/>
          </w:tcPr>
          <w:p w14:paraId="06395C48" w14:textId="77777777" w:rsidR="00FF3977" w:rsidRDefault="00FF3977" w:rsidP="00FF3977">
            <w:pPr>
              <w:rPr>
                <w:rFonts w:eastAsia="Calibri"/>
              </w:rPr>
            </w:pPr>
            <w:r w:rsidRPr="006477F6">
              <w:rPr>
                <w:rFonts w:eastAsia="Calibri"/>
              </w:rPr>
              <w:t>Acceptable</w:t>
            </w:r>
          </w:p>
          <w:p w14:paraId="6195DC98" w14:textId="77777777" w:rsidR="00FF3977" w:rsidRDefault="00FF3977" w:rsidP="00FF3977">
            <w:pPr>
              <w:rPr>
                <w:rFonts w:eastAsia="Calibri"/>
              </w:rPr>
            </w:pPr>
            <w:r>
              <w:rPr>
                <w:rFonts w:eastAsia="Calibri"/>
              </w:rPr>
              <w:t>T</w:t>
            </w:r>
            <w:r w:rsidRPr="004676CE">
              <w:rPr>
                <w:rFonts w:eastAsia="Calibri"/>
              </w:rPr>
              <w:t xml:space="preserve">he products of </w:t>
            </w:r>
            <w:r>
              <w:rPr>
                <w:rFonts w:eastAsia="Calibri"/>
              </w:rPr>
              <w:t xml:space="preserve">Meta SPC 1 are </w:t>
            </w:r>
            <w:r w:rsidRPr="004676CE">
              <w:rPr>
                <w:rFonts w:eastAsia="Calibri"/>
              </w:rPr>
              <w:t xml:space="preserve">classified as Met. Corr. 1 (H290: May be corrosive to metals) </w:t>
            </w:r>
          </w:p>
        </w:tc>
      </w:tr>
      <w:tr w:rsidR="00FF3977" w:rsidRPr="00C4054A" w:rsidDel="00355E5C" w14:paraId="3BEDB890" w14:textId="77777777" w:rsidTr="00FF3977">
        <w:tc>
          <w:tcPr>
            <w:tcW w:w="881" w:type="pct"/>
            <w:vMerge/>
          </w:tcPr>
          <w:p w14:paraId="28079E18" w14:textId="77777777" w:rsidR="00FF3977" w:rsidRPr="00A411E7" w:rsidRDefault="00FF3977" w:rsidP="00FF3977">
            <w:pPr>
              <w:rPr>
                <w:rFonts w:eastAsia="Calibri"/>
              </w:rPr>
            </w:pPr>
          </w:p>
        </w:tc>
        <w:tc>
          <w:tcPr>
            <w:tcW w:w="516" w:type="pct"/>
            <w:vMerge/>
          </w:tcPr>
          <w:p w14:paraId="4748D87C" w14:textId="77777777" w:rsidR="00FF3977" w:rsidRDefault="00FF3977" w:rsidP="00FF3977">
            <w:pPr>
              <w:rPr>
                <w:rFonts w:eastAsia="Calibri"/>
              </w:rPr>
            </w:pPr>
          </w:p>
        </w:tc>
        <w:tc>
          <w:tcPr>
            <w:tcW w:w="600" w:type="pct"/>
          </w:tcPr>
          <w:p w14:paraId="50A5D7C0" w14:textId="77777777" w:rsidR="00FF3977" w:rsidRDefault="00FF3977" w:rsidP="00FF3977">
            <w:pPr>
              <w:rPr>
                <w:rFonts w:eastAsia="Calibri"/>
              </w:rPr>
            </w:pPr>
            <w:r w:rsidRPr="006477F6">
              <w:rPr>
                <w:rFonts w:eastAsia="Calibri"/>
              </w:rPr>
              <w:t>Batch number of lactic acid: 5125352</w:t>
            </w:r>
          </w:p>
          <w:p w14:paraId="0552BE44" w14:textId="77777777" w:rsidR="00FF3977" w:rsidRPr="006477F6" w:rsidRDefault="00FF3977" w:rsidP="00FF3977">
            <w:pPr>
              <w:rPr>
                <w:color w:val="404040"/>
              </w:rPr>
            </w:pPr>
            <w:r>
              <w:rPr>
                <w:rFonts w:eastAsia="Calibri"/>
              </w:rPr>
              <w:t xml:space="preserve">Meta SPC 2 </w:t>
            </w:r>
          </w:p>
          <w:p w14:paraId="5259DE31" w14:textId="77777777" w:rsidR="00FF3977" w:rsidRPr="00C4054A" w:rsidRDefault="00FF3977" w:rsidP="00FF3977">
            <w:pPr>
              <w:rPr>
                <w:rFonts w:eastAsia="Calibri"/>
              </w:rPr>
            </w:pPr>
          </w:p>
        </w:tc>
        <w:tc>
          <w:tcPr>
            <w:tcW w:w="1460" w:type="pct"/>
            <w:vAlign w:val="center"/>
          </w:tcPr>
          <w:p w14:paraId="5CADCD13" w14:textId="77777777" w:rsidR="00FF3977" w:rsidRPr="00C4054A" w:rsidRDefault="00FF3977" w:rsidP="00FF3977">
            <w:r w:rsidRPr="006477F6">
              <w:rPr>
                <w:lang w:val="en-US"/>
              </w:rPr>
              <w:t xml:space="preserve">Following the 168 hours of testing the “AL-S2-2-0” solution with carbon steel and aluminum alloy samples, an intrusion of more than 120 </w:t>
            </w:r>
            <w:r w:rsidRPr="006477F6">
              <w:rPr>
                <w:lang w:val="fr-FR"/>
              </w:rPr>
              <w:t>μ</w:t>
            </w:r>
            <w:r w:rsidRPr="006477F6">
              <w:rPr>
                <w:lang w:val="en-US"/>
              </w:rPr>
              <w:t>m in depth was measured: the result is considered as positive. The product “AL-S2-2-0” is classified as a corrosive substance of class 8 according to the specification « Manual of tests and criteria » of the United Nations part 37.</w:t>
            </w:r>
          </w:p>
        </w:tc>
        <w:tc>
          <w:tcPr>
            <w:tcW w:w="771" w:type="pct"/>
          </w:tcPr>
          <w:p w14:paraId="12A1327D" w14:textId="77777777" w:rsidR="00FF3977" w:rsidRPr="00C4054A" w:rsidRDefault="00FF3977" w:rsidP="00FF3977">
            <w:pPr>
              <w:rPr>
                <w:rFonts w:eastAsia="Calibri"/>
              </w:rPr>
            </w:pPr>
            <w:r w:rsidRPr="006477F6">
              <w:rPr>
                <w:rFonts w:eastAsia="Calibri"/>
                <w:lang w:val="en-US"/>
              </w:rPr>
              <w:t>Bulidon N., 2020, Report No IC 860008-2</w:t>
            </w:r>
          </w:p>
        </w:tc>
        <w:tc>
          <w:tcPr>
            <w:tcW w:w="771" w:type="pct"/>
          </w:tcPr>
          <w:p w14:paraId="4D1A9E0E" w14:textId="77777777" w:rsidR="00FF3977" w:rsidRDefault="00FF3977" w:rsidP="00FF3977">
            <w:pPr>
              <w:rPr>
                <w:rFonts w:eastAsia="Calibri"/>
              </w:rPr>
            </w:pPr>
            <w:r w:rsidRPr="006477F6">
              <w:rPr>
                <w:rFonts w:eastAsia="Calibri"/>
              </w:rPr>
              <w:t>Acceptable</w:t>
            </w:r>
          </w:p>
          <w:p w14:paraId="112E6537" w14:textId="77777777" w:rsidR="00FF3977" w:rsidRPr="00C4054A" w:rsidDel="00355E5C" w:rsidRDefault="00FF3977" w:rsidP="00FF3977">
            <w:pPr>
              <w:rPr>
                <w:rFonts w:eastAsia="Calibri"/>
              </w:rPr>
            </w:pPr>
            <w:r>
              <w:rPr>
                <w:rFonts w:eastAsia="Calibri"/>
              </w:rPr>
              <w:t>T</w:t>
            </w:r>
            <w:r w:rsidRPr="004676CE">
              <w:rPr>
                <w:rFonts w:eastAsia="Calibri"/>
              </w:rPr>
              <w:t xml:space="preserve">he products of </w:t>
            </w:r>
            <w:r>
              <w:rPr>
                <w:rFonts w:eastAsia="Calibri"/>
              </w:rPr>
              <w:t xml:space="preserve">Meta SPC 2 are </w:t>
            </w:r>
            <w:r w:rsidRPr="004676CE">
              <w:rPr>
                <w:rFonts w:eastAsia="Calibri"/>
              </w:rPr>
              <w:t>classified as Met. Corr. 1 (H290: May be corrosive to metals)</w:t>
            </w:r>
          </w:p>
        </w:tc>
      </w:tr>
      <w:tr w:rsidR="00FF3977" w:rsidRPr="00C4054A" w:rsidDel="00355E5C" w14:paraId="46F38CA3" w14:textId="77777777" w:rsidTr="00FF3977">
        <w:tc>
          <w:tcPr>
            <w:tcW w:w="881" w:type="pct"/>
            <w:vMerge/>
          </w:tcPr>
          <w:p w14:paraId="29CE2E07" w14:textId="77777777" w:rsidR="00FF3977" w:rsidRPr="00A411E7" w:rsidRDefault="00FF3977" w:rsidP="00FF3977">
            <w:pPr>
              <w:rPr>
                <w:rFonts w:eastAsia="Calibri"/>
              </w:rPr>
            </w:pPr>
          </w:p>
        </w:tc>
        <w:tc>
          <w:tcPr>
            <w:tcW w:w="516" w:type="pct"/>
            <w:vMerge/>
          </w:tcPr>
          <w:p w14:paraId="65C8817B" w14:textId="77777777" w:rsidR="00FF3977" w:rsidRDefault="00FF3977" w:rsidP="00FF3977">
            <w:pPr>
              <w:rPr>
                <w:rFonts w:eastAsia="Calibri"/>
              </w:rPr>
            </w:pPr>
          </w:p>
        </w:tc>
        <w:tc>
          <w:tcPr>
            <w:tcW w:w="600" w:type="pct"/>
          </w:tcPr>
          <w:p w14:paraId="581C3BB3" w14:textId="77777777" w:rsidR="00FF3977" w:rsidRDefault="00FF3977" w:rsidP="00FF3977">
            <w:pPr>
              <w:rPr>
                <w:rFonts w:eastAsia="Calibri"/>
              </w:rPr>
            </w:pPr>
            <w:r w:rsidRPr="006477F6">
              <w:rPr>
                <w:rFonts w:eastAsia="Calibri"/>
              </w:rPr>
              <w:t>Batch number of lactic acid: 5125352</w:t>
            </w:r>
          </w:p>
          <w:p w14:paraId="4E2B3112" w14:textId="77777777" w:rsidR="00FF3977" w:rsidRPr="006477F6" w:rsidRDefault="00FF3977" w:rsidP="00FF3977">
            <w:pPr>
              <w:rPr>
                <w:color w:val="404040"/>
              </w:rPr>
            </w:pPr>
            <w:r>
              <w:rPr>
                <w:rFonts w:eastAsia="Calibri"/>
              </w:rPr>
              <w:t xml:space="preserve">Meta SPC 3 </w:t>
            </w:r>
          </w:p>
          <w:p w14:paraId="6A0660B8" w14:textId="77777777" w:rsidR="00FF3977" w:rsidRPr="00C4054A" w:rsidRDefault="00FF3977" w:rsidP="00FF3977">
            <w:pPr>
              <w:rPr>
                <w:rFonts w:eastAsia="Calibri"/>
              </w:rPr>
            </w:pPr>
          </w:p>
        </w:tc>
        <w:tc>
          <w:tcPr>
            <w:tcW w:w="1460" w:type="pct"/>
            <w:vAlign w:val="center"/>
          </w:tcPr>
          <w:p w14:paraId="11B9633D" w14:textId="77777777" w:rsidR="00FF3977" w:rsidRPr="00C4054A" w:rsidRDefault="00FF3977" w:rsidP="00FF3977">
            <w:r w:rsidRPr="006477F6">
              <w:rPr>
                <w:lang w:val="en-US"/>
              </w:rPr>
              <w:t xml:space="preserve">Following the 168 hours of testing the “AL-S3-2-0” solution with carbon steel and aluminum alloy samples, an intrusion of more than 120 </w:t>
            </w:r>
            <w:r w:rsidRPr="006477F6">
              <w:rPr>
                <w:lang w:val="fr-FR"/>
              </w:rPr>
              <w:t>μ</w:t>
            </w:r>
            <w:r w:rsidRPr="006477F6">
              <w:rPr>
                <w:lang w:val="en-US"/>
              </w:rPr>
              <w:t xml:space="preserve">m in depth was measured: the result is considered as positive. The product </w:t>
            </w:r>
            <w:r w:rsidRPr="006477F6">
              <w:rPr>
                <w:lang w:val="en-US"/>
              </w:rPr>
              <w:lastRenderedPageBreak/>
              <w:t>“AL-S3-2-0” is classified as a corrosive substance of class 8 according to the specification « Manual of tests and criteria » of the United Nations part 37.</w:t>
            </w:r>
          </w:p>
        </w:tc>
        <w:tc>
          <w:tcPr>
            <w:tcW w:w="771" w:type="pct"/>
          </w:tcPr>
          <w:p w14:paraId="1020E052" w14:textId="77777777" w:rsidR="00FF3977" w:rsidRPr="00C4054A" w:rsidRDefault="00FF3977" w:rsidP="00FF3977">
            <w:pPr>
              <w:rPr>
                <w:rFonts w:eastAsia="Calibri"/>
              </w:rPr>
            </w:pPr>
            <w:r w:rsidRPr="006477F6">
              <w:rPr>
                <w:rFonts w:eastAsia="Calibri"/>
                <w:lang w:val="en-US"/>
              </w:rPr>
              <w:lastRenderedPageBreak/>
              <w:t>Fourny P., 2020, Report No IC 860008-3</w:t>
            </w:r>
          </w:p>
        </w:tc>
        <w:tc>
          <w:tcPr>
            <w:tcW w:w="771" w:type="pct"/>
          </w:tcPr>
          <w:p w14:paraId="584A765D" w14:textId="77777777" w:rsidR="00FF3977" w:rsidRDefault="00FF3977" w:rsidP="00FF3977">
            <w:pPr>
              <w:rPr>
                <w:rFonts w:eastAsia="Calibri"/>
              </w:rPr>
            </w:pPr>
            <w:r w:rsidRPr="006477F6">
              <w:rPr>
                <w:rFonts w:eastAsia="Calibri"/>
              </w:rPr>
              <w:t>Acceptable</w:t>
            </w:r>
          </w:p>
          <w:p w14:paraId="3BABC00D" w14:textId="77777777" w:rsidR="00FF3977" w:rsidRPr="00C4054A" w:rsidDel="00355E5C" w:rsidRDefault="00FF3977" w:rsidP="00FF3977">
            <w:pPr>
              <w:rPr>
                <w:rFonts w:eastAsia="Calibri"/>
              </w:rPr>
            </w:pPr>
            <w:r>
              <w:rPr>
                <w:rFonts w:eastAsia="Calibri"/>
              </w:rPr>
              <w:t xml:space="preserve">The product is </w:t>
            </w:r>
            <w:r w:rsidRPr="004676CE">
              <w:rPr>
                <w:rFonts w:eastAsia="Calibri"/>
              </w:rPr>
              <w:t>classified as Met. Corr. 1 (H290: May be corrosive to metals)</w:t>
            </w:r>
          </w:p>
        </w:tc>
      </w:tr>
      <w:tr w:rsidR="00FF3977" w:rsidRPr="00C4054A" w:rsidDel="00355E5C" w14:paraId="60F18672" w14:textId="77777777" w:rsidTr="00FF3977">
        <w:tc>
          <w:tcPr>
            <w:tcW w:w="881" w:type="pct"/>
            <w:vMerge/>
          </w:tcPr>
          <w:p w14:paraId="086721DC" w14:textId="77777777" w:rsidR="00FF3977" w:rsidRPr="00A411E7" w:rsidRDefault="00FF3977" w:rsidP="00FF3977">
            <w:pPr>
              <w:rPr>
                <w:rFonts w:eastAsia="Calibri"/>
              </w:rPr>
            </w:pPr>
          </w:p>
        </w:tc>
        <w:tc>
          <w:tcPr>
            <w:tcW w:w="516" w:type="pct"/>
            <w:vMerge/>
          </w:tcPr>
          <w:p w14:paraId="778AA3D3" w14:textId="77777777" w:rsidR="00FF3977" w:rsidRDefault="00FF3977" w:rsidP="00FF3977">
            <w:pPr>
              <w:rPr>
                <w:rFonts w:eastAsia="Calibri"/>
              </w:rPr>
            </w:pPr>
          </w:p>
        </w:tc>
        <w:tc>
          <w:tcPr>
            <w:tcW w:w="600" w:type="pct"/>
          </w:tcPr>
          <w:p w14:paraId="1CBBCA9E" w14:textId="77777777" w:rsidR="00FF3977" w:rsidRPr="006477F6" w:rsidRDefault="00FF3977" w:rsidP="00FF3977">
            <w:pPr>
              <w:rPr>
                <w:color w:val="404040"/>
              </w:rPr>
            </w:pPr>
            <w:r w:rsidRPr="006477F6">
              <w:rPr>
                <w:rFonts w:eastAsia="Calibri"/>
              </w:rPr>
              <w:t xml:space="preserve">Batch number of lactic acid: </w:t>
            </w:r>
            <w:r w:rsidRPr="006477F6">
              <w:rPr>
                <w:rFonts w:eastAsia="Calibri"/>
                <w:bCs/>
              </w:rPr>
              <w:t>5124643</w:t>
            </w:r>
          </w:p>
          <w:p w14:paraId="6B58D7B4" w14:textId="77777777" w:rsidR="00FF3977" w:rsidRPr="00C4054A" w:rsidRDefault="00FF3977" w:rsidP="00FF3977">
            <w:pPr>
              <w:rPr>
                <w:rFonts w:eastAsia="Calibri"/>
              </w:rPr>
            </w:pPr>
            <w:r>
              <w:rPr>
                <w:rFonts w:eastAsia="Calibri"/>
              </w:rPr>
              <w:t>Meta SPC 4</w:t>
            </w:r>
          </w:p>
        </w:tc>
        <w:tc>
          <w:tcPr>
            <w:tcW w:w="1460" w:type="pct"/>
            <w:vAlign w:val="center"/>
          </w:tcPr>
          <w:p w14:paraId="4A57F918" w14:textId="77777777" w:rsidR="00FF3977" w:rsidRPr="00C4054A" w:rsidRDefault="00FF3977" w:rsidP="00FF3977">
            <w:r w:rsidRPr="006477F6">
              <w:rPr>
                <w:lang w:val="en-US"/>
              </w:rPr>
              <w:t xml:space="preserve">Following the 168 hours of testing the “AL-S4-2-0” solution with carbon steel and aluminum alloy samples, an intrusion of more than 120 </w:t>
            </w:r>
            <w:r w:rsidRPr="006477F6">
              <w:rPr>
                <w:lang w:val="fr-FR"/>
              </w:rPr>
              <w:t>μ</w:t>
            </w:r>
            <w:r w:rsidRPr="006477F6">
              <w:rPr>
                <w:lang w:val="en-US"/>
              </w:rPr>
              <w:t>m in depth was measured: the result is considered as positive. The product “AL-S4-2-0” is classified as a corrosive substance of class 8 according to the specification « Manual of tests and criteria » of the United Nations part 37.</w:t>
            </w:r>
          </w:p>
        </w:tc>
        <w:tc>
          <w:tcPr>
            <w:tcW w:w="771" w:type="pct"/>
          </w:tcPr>
          <w:p w14:paraId="2BFBEC5B" w14:textId="77777777" w:rsidR="00FF3977" w:rsidRPr="00C4054A" w:rsidRDefault="00FF3977" w:rsidP="00FF3977">
            <w:pPr>
              <w:rPr>
                <w:rFonts w:eastAsia="Calibri"/>
              </w:rPr>
            </w:pPr>
            <w:r w:rsidRPr="006477F6">
              <w:rPr>
                <w:rFonts w:eastAsia="Calibri"/>
                <w:lang w:val="en-US"/>
              </w:rPr>
              <w:t>Fourny P., 2020, Report No IC 860008-4</w:t>
            </w:r>
          </w:p>
        </w:tc>
        <w:tc>
          <w:tcPr>
            <w:tcW w:w="771" w:type="pct"/>
          </w:tcPr>
          <w:p w14:paraId="7AA72257" w14:textId="77777777" w:rsidR="00FF3977" w:rsidRDefault="00FF3977" w:rsidP="00FF3977">
            <w:pPr>
              <w:rPr>
                <w:rFonts w:eastAsia="Calibri"/>
              </w:rPr>
            </w:pPr>
            <w:r w:rsidRPr="006477F6">
              <w:rPr>
                <w:rFonts w:eastAsia="Calibri"/>
              </w:rPr>
              <w:t>Acceptable</w:t>
            </w:r>
          </w:p>
          <w:p w14:paraId="78DD6827" w14:textId="77777777" w:rsidR="00FF3977" w:rsidRPr="00C4054A" w:rsidDel="00355E5C" w:rsidRDefault="00FF3977" w:rsidP="00FF3977">
            <w:pPr>
              <w:rPr>
                <w:rFonts w:eastAsia="Calibri"/>
              </w:rPr>
            </w:pPr>
            <w:r>
              <w:rPr>
                <w:rFonts w:eastAsia="Calibri"/>
              </w:rPr>
              <w:t xml:space="preserve">The product is </w:t>
            </w:r>
            <w:r w:rsidRPr="004676CE">
              <w:rPr>
                <w:rFonts w:eastAsia="Calibri"/>
              </w:rPr>
              <w:t>classified as Met. Corr. 1 (H290: May be corrosive to metals)</w:t>
            </w:r>
          </w:p>
        </w:tc>
      </w:tr>
      <w:tr w:rsidR="00FF3977" w:rsidRPr="00C4054A" w:rsidDel="00355E5C" w14:paraId="43E915C1" w14:textId="77777777" w:rsidTr="00FF3977">
        <w:tc>
          <w:tcPr>
            <w:tcW w:w="881" w:type="pct"/>
            <w:vMerge/>
          </w:tcPr>
          <w:p w14:paraId="2CBF9B02" w14:textId="77777777" w:rsidR="00FF3977" w:rsidRPr="00A411E7" w:rsidRDefault="00FF3977" w:rsidP="00FF3977">
            <w:pPr>
              <w:rPr>
                <w:rFonts w:eastAsia="Calibri"/>
              </w:rPr>
            </w:pPr>
          </w:p>
        </w:tc>
        <w:tc>
          <w:tcPr>
            <w:tcW w:w="516" w:type="pct"/>
            <w:vMerge/>
          </w:tcPr>
          <w:p w14:paraId="4DAA5C2A" w14:textId="77777777" w:rsidR="00FF3977" w:rsidRDefault="00FF3977" w:rsidP="00FF3977">
            <w:pPr>
              <w:rPr>
                <w:rFonts w:eastAsia="Calibri"/>
              </w:rPr>
            </w:pPr>
          </w:p>
        </w:tc>
        <w:tc>
          <w:tcPr>
            <w:tcW w:w="600" w:type="pct"/>
          </w:tcPr>
          <w:p w14:paraId="1B9E9931" w14:textId="77777777" w:rsidR="00FF3977" w:rsidRDefault="00FF3977" w:rsidP="00FF3977">
            <w:pPr>
              <w:rPr>
                <w:rFonts w:eastAsia="Calibri"/>
              </w:rPr>
            </w:pPr>
            <w:r w:rsidRPr="006477F6">
              <w:rPr>
                <w:rFonts w:eastAsia="Calibri"/>
              </w:rPr>
              <w:t>Batch number of lactic acid: FR101127666</w:t>
            </w:r>
          </w:p>
          <w:p w14:paraId="2E67AFCA" w14:textId="77777777" w:rsidR="00FF3977" w:rsidRPr="006477F6" w:rsidRDefault="00FF3977" w:rsidP="00FF3977">
            <w:pPr>
              <w:rPr>
                <w:rFonts w:eastAsia="Calibri"/>
              </w:rPr>
            </w:pPr>
            <w:r>
              <w:rPr>
                <w:rFonts w:eastAsia="Calibri"/>
              </w:rPr>
              <w:t>Meta SPC 6</w:t>
            </w:r>
            <w:r w:rsidRPr="006477F6">
              <w:rPr>
                <w:rFonts w:eastAsia="Calibri"/>
              </w:rPr>
              <w:t xml:space="preserve">  </w:t>
            </w:r>
          </w:p>
          <w:p w14:paraId="5ACF9AB1" w14:textId="77777777" w:rsidR="00FF3977" w:rsidRPr="00C4054A" w:rsidRDefault="00FF3977" w:rsidP="00FF3977">
            <w:pPr>
              <w:rPr>
                <w:rFonts w:eastAsia="Calibri"/>
              </w:rPr>
            </w:pPr>
          </w:p>
        </w:tc>
        <w:tc>
          <w:tcPr>
            <w:tcW w:w="1460" w:type="pct"/>
            <w:vAlign w:val="center"/>
          </w:tcPr>
          <w:p w14:paraId="696E6EFC" w14:textId="77777777" w:rsidR="00FF3977" w:rsidRPr="006477F6" w:rsidRDefault="00FF3977" w:rsidP="00FF3977">
            <w:r w:rsidRPr="006477F6">
              <w:t xml:space="preserve">The comparison between AL-S6-2-0 and </w:t>
            </w:r>
            <w:r w:rsidRPr="006477F6">
              <w:rPr>
                <w:lang w:val="en-US"/>
              </w:rPr>
              <w:t>“Enzypin détartrant désinfectant sanitaires concentré”</w:t>
            </w:r>
            <w:r w:rsidRPr="006477F6">
              <w:t xml:space="preserve"> demonstrated that the corrosive classification of AL-S6-2-0 can be extrapolated from the data obtained with </w:t>
            </w:r>
            <w:r w:rsidRPr="006477F6">
              <w:rPr>
                <w:lang w:val="en-US"/>
              </w:rPr>
              <w:t>“Enzypin détartrant désinfectant sanitaires concentré”</w:t>
            </w:r>
            <w:r w:rsidRPr="006477F6">
              <w:t xml:space="preserve">.  </w:t>
            </w:r>
            <w:r>
              <w:t xml:space="preserve">The comparison between the two formulations is reported in the BPF file. </w:t>
            </w:r>
          </w:p>
          <w:p w14:paraId="4CA4AEF6" w14:textId="77777777" w:rsidR="00FF3977" w:rsidRPr="006477F6" w:rsidRDefault="00FF3977" w:rsidP="00FF3977">
            <w:pPr>
              <w:rPr>
                <w:lang w:val="en-US"/>
              </w:rPr>
            </w:pPr>
          </w:p>
          <w:p w14:paraId="64D8DF0B" w14:textId="77777777" w:rsidR="00FF3977" w:rsidRPr="006477F6" w:rsidRDefault="00FF3977" w:rsidP="00FF3977">
            <w:pPr>
              <w:rPr>
                <w:lang w:val="en-US"/>
              </w:rPr>
            </w:pPr>
          </w:p>
          <w:p w14:paraId="6EF1945E" w14:textId="77777777" w:rsidR="00FF3977" w:rsidRPr="00C4054A" w:rsidRDefault="00FF3977" w:rsidP="00FF3977">
            <w:r w:rsidRPr="006477F6">
              <w:rPr>
                <w:lang w:val="en-US"/>
              </w:rPr>
              <w:t xml:space="preserve">Following the 168 hours of test of “Enzypin détartrant désinfectant sanitaires concentré” solution with carbon steel and aluminum alloy specimens, a maximum depth of attack higher than 120 </w:t>
            </w:r>
            <w:r w:rsidRPr="006477F6">
              <w:rPr>
                <w:lang w:val="fr-FR"/>
              </w:rPr>
              <w:t>μ</w:t>
            </w:r>
            <w:r w:rsidRPr="006477F6">
              <w:rPr>
                <w:lang w:val="en-US"/>
              </w:rPr>
              <w:t xml:space="preserve">m was measured: the corrosiveness of the product “ Enzypin détartrant désinfectant sanitaires concentré” is </w:t>
            </w:r>
            <w:r w:rsidRPr="006477F6">
              <w:rPr>
                <w:lang w:val="en-US"/>
              </w:rPr>
              <w:lastRenderedPageBreak/>
              <w:t>grade 8 according to the specification « Manual of tests and criteria » of the United Nations part 37.</w:t>
            </w:r>
          </w:p>
        </w:tc>
        <w:tc>
          <w:tcPr>
            <w:tcW w:w="771" w:type="pct"/>
          </w:tcPr>
          <w:p w14:paraId="44D5BF27" w14:textId="77777777" w:rsidR="00FF3977" w:rsidRPr="00C4054A" w:rsidRDefault="00FF3977" w:rsidP="00FF3977">
            <w:pPr>
              <w:rPr>
                <w:rFonts w:eastAsia="Calibri"/>
              </w:rPr>
            </w:pPr>
            <w:r w:rsidRPr="006477F6">
              <w:rPr>
                <w:rFonts w:eastAsia="Calibri"/>
                <w:lang w:val="en-US"/>
              </w:rPr>
              <w:lastRenderedPageBreak/>
              <w:t>Fourny P., 2016, Report No PV/066/16/LC</w:t>
            </w:r>
          </w:p>
        </w:tc>
        <w:tc>
          <w:tcPr>
            <w:tcW w:w="771" w:type="pct"/>
          </w:tcPr>
          <w:p w14:paraId="57130F50" w14:textId="77777777" w:rsidR="00FF3977" w:rsidRDefault="00FF3977" w:rsidP="00FF3977">
            <w:pPr>
              <w:rPr>
                <w:rFonts w:eastAsia="Calibri"/>
              </w:rPr>
            </w:pPr>
            <w:r w:rsidRPr="006477F6">
              <w:rPr>
                <w:rFonts w:eastAsia="Calibri"/>
              </w:rPr>
              <w:t>Acceptable</w:t>
            </w:r>
          </w:p>
          <w:p w14:paraId="113F493B" w14:textId="77777777" w:rsidR="00FF3977" w:rsidRPr="00C4054A" w:rsidDel="00355E5C" w:rsidRDefault="00FF3977" w:rsidP="00FF3977">
            <w:pPr>
              <w:rPr>
                <w:rFonts w:eastAsia="Calibri"/>
              </w:rPr>
            </w:pPr>
            <w:r>
              <w:rPr>
                <w:rFonts w:eastAsia="Calibri"/>
              </w:rPr>
              <w:t>T</w:t>
            </w:r>
            <w:r w:rsidRPr="004676CE">
              <w:rPr>
                <w:rFonts w:eastAsia="Calibri"/>
              </w:rPr>
              <w:t xml:space="preserve">he products of </w:t>
            </w:r>
            <w:r>
              <w:rPr>
                <w:rFonts w:eastAsia="Calibri"/>
              </w:rPr>
              <w:t xml:space="preserve">Meta SPC 6 are </w:t>
            </w:r>
            <w:r w:rsidRPr="004676CE">
              <w:rPr>
                <w:rFonts w:eastAsia="Calibri"/>
              </w:rPr>
              <w:t>classified as Met. Corr. 1 (H290: May be corrosive to metals)</w:t>
            </w:r>
          </w:p>
        </w:tc>
      </w:tr>
      <w:tr w:rsidR="00FF3977" w:rsidRPr="00C4054A" w:rsidDel="00355E5C" w14:paraId="67A42AE6" w14:textId="77777777" w:rsidTr="00FF3977">
        <w:tc>
          <w:tcPr>
            <w:tcW w:w="881" w:type="pct"/>
            <w:vMerge/>
          </w:tcPr>
          <w:p w14:paraId="5FF4653A" w14:textId="77777777" w:rsidR="00FF3977" w:rsidRPr="00A411E7" w:rsidRDefault="00FF3977" w:rsidP="00FF3977">
            <w:pPr>
              <w:rPr>
                <w:rFonts w:eastAsia="Calibri"/>
              </w:rPr>
            </w:pPr>
          </w:p>
        </w:tc>
        <w:tc>
          <w:tcPr>
            <w:tcW w:w="516" w:type="pct"/>
            <w:vMerge/>
          </w:tcPr>
          <w:p w14:paraId="3DDC534A" w14:textId="77777777" w:rsidR="00FF3977" w:rsidRDefault="00FF3977" w:rsidP="00FF3977">
            <w:pPr>
              <w:rPr>
                <w:rFonts w:eastAsia="Calibri"/>
              </w:rPr>
            </w:pPr>
          </w:p>
        </w:tc>
        <w:tc>
          <w:tcPr>
            <w:tcW w:w="600" w:type="pct"/>
          </w:tcPr>
          <w:p w14:paraId="487402F7" w14:textId="77777777" w:rsidR="00FF3977" w:rsidRDefault="00FF3977" w:rsidP="00FF3977">
            <w:pPr>
              <w:rPr>
                <w:rFonts w:eastAsia="Calibri"/>
                <w:bCs/>
              </w:rPr>
            </w:pPr>
            <w:r w:rsidRPr="006477F6">
              <w:rPr>
                <w:rFonts w:eastAsia="Calibri"/>
              </w:rPr>
              <w:t xml:space="preserve">Batch number of lactic acid: </w:t>
            </w:r>
            <w:r w:rsidRPr="006477F6">
              <w:rPr>
                <w:rFonts w:eastAsia="Calibri"/>
                <w:bCs/>
              </w:rPr>
              <w:t>1811000446</w:t>
            </w:r>
          </w:p>
          <w:p w14:paraId="25A2A9B4" w14:textId="77777777" w:rsidR="00FF3977" w:rsidRPr="006477F6" w:rsidRDefault="00FF3977" w:rsidP="00FF3977">
            <w:pPr>
              <w:rPr>
                <w:color w:val="404040"/>
              </w:rPr>
            </w:pPr>
            <w:r>
              <w:rPr>
                <w:rFonts w:eastAsia="Calibri"/>
                <w:bCs/>
              </w:rPr>
              <w:t>Meta SPC 7</w:t>
            </w:r>
          </w:p>
          <w:p w14:paraId="6C552E69" w14:textId="77777777" w:rsidR="00FF3977" w:rsidRPr="00C4054A" w:rsidRDefault="00FF3977" w:rsidP="00FF3977">
            <w:pPr>
              <w:rPr>
                <w:rFonts w:eastAsia="Calibri"/>
              </w:rPr>
            </w:pPr>
          </w:p>
        </w:tc>
        <w:tc>
          <w:tcPr>
            <w:tcW w:w="1460" w:type="pct"/>
            <w:vAlign w:val="center"/>
          </w:tcPr>
          <w:p w14:paraId="1AE2720D" w14:textId="77777777" w:rsidR="00FF3977" w:rsidRPr="00C4054A" w:rsidRDefault="00FF3977" w:rsidP="00FF3977">
            <w:r w:rsidRPr="006477F6">
              <w:rPr>
                <w:lang w:val="en-US"/>
              </w:rPr>
              <w:t xml:space="preserve">Following the 168 hours of testing the “AL-S7-2-0” solution with carbon steel and aluminum alloy samples, an intrusion of more than 120 </w:t>
            </w:r>
            <w:r w:rsidRPr="006477F6">
              <w:rPr>
                <w:lang w:val="fr-FR"/>
              </w:rPr>
              <w:t>μ</w:t>
            </w:r>
            <w:r w:rsidRPr="006477F6">
              <w:rPr>
                <w:lang w:val="en-US"/>
              </w:rPr>
              <w:t>m in depth was measured: the result is considered as positive. The product “AL-S7-2-0” is classified as a corrosive substance of class 8 according to the specification « Manual of tests and criteria » of the United Nations part 37.</w:t>
            </w:r>
          </w:p>
        </w:tc>
        <w:tc>
          <w:tcPr>
            <w:tcW w:w="771" w:type="pct"/>
          </w:tcPr>
          <w:p w14:paraId="7C3E1298" w14:textId="77777777" w:rsidR="00FF3977" w:rsidRPr="00C4054A" w:rsidRDefault="00FF3977" w:rsidP="00FF3977">
            <w:pPr>
              <w:rPr>
                <w:rFonts w:eastAsia="Calibri"/>
              </w:rPr>
            </w:pPr>
            <w:r w:rsidRPr="006477F6">
              <w:rPr>
                <w:rFonts w:eastAsia="Calibri"/>
                <w:lang w:val="en-US"/>
              </w:rPr>
              <w:t>Fourny P., 2020, Report No IC 860008-5</w:t>
            </w:r>
          </w:p>
        </w:tc>
        <w:tc>
          <w:tcPr>
            <w:tcW w:w="771" w:type="pct"/>
          </w:tcPr>
          <w:p w14:paraId="745C420F" w14:textId="77777777" w:rsidR="00FF3977" w:rsidRDefault="00FF3977" w:rsidP="00FF3977">
            <w:pPr>
              <w:rPr>
                <w:rFonts w:eastAsia="Calibri"/>
              </w:rPr>
            </w:pPr>
            <w:r w:rsidRPr="006477F6">
              <w:rPr>
                <w:rFonts w:eastAsia="Calibri"/>
              </w:rPr>
              <w:t>Acceptable</w:t>
            </w:r>
          </w:p>
          <w:p w14:paraId="125F2892" w14:textId="77777777" w:rsidR="00FF3977" w:rsidRPr="00C4054A" w:rsidDel="00355E5C" w:rsidRDefault="00FF3977" w:rsidP="00FF3977">
            <w:pPr>
              <w:rPr>
                <w:rFonts w:eastAsia="Calibri"/>
              </w:rPr>
            </w:pPr>
            <w:r>
              <w:rPr>
                <w:rFonts w:eastAsia="Calibri"/>
              </w:rPr>
              <w:t>T</w:t>
            </w:r>
            <w:r w:rsidRPr="004676CE">
              <w:rPr>
                <w:rFonts w:eastAsia="Calibri"/>
              </w:rPr>
              <w:t xml:space="preserve">he products of </w:t>
            </w:r>
            <w:r>
              <w:rPr>
                <w:rFonts w:eastAsia="Calibri"/>
              </w:rPr>
              <w:t xml:space="preserve">Meta SPC 7 are </w:t>
            </w:r>
            <w:r w:rsidRPr="004676CE">
              <w:rPr>
                <w:rFonts w:eastAsia="Calibri"/>
              </w:rPr>
              <w:t>classified as Met. Corr. 1 (H290: May be corrosive to metals)</w:t>
            </w:r>
          </w:p>
        </w:tc>
      </w:tr>
      <w:tr w:rsidR="00FF3977" w:rsidRPr="00C4054A" w:rsidDel="00355E5C" w14:paraId="26525C8E" w14:textId="77777777" w:rsidTr="00FF3977">
        <w:tc>
          <w:tcPr>
            <w:tcW w:w="881" w:type="pct"/>
            <w:vMerge/>
          </w:tcPr>
          <w:p w14:paraId="200EACCC" w14:textId="77777777" w:rsidR="00FF3977" w:rsidRPr="00A411E7" w:rsidRDefault="00FF3977" w:rsidP="00FF3977">
            <w:pPr>
              <w:rPr>
                <w:rFonts w:eastAsia="Calibri"/>
              </w:rPr>
            </w:pPr>
          </w:p>
        </w:tc>
        <w:tc>
          <w:tcPr>
            <w:tcW w:w="516" w:type="pct"/>
            <w:vMerge/>
          </w:tcPr>
          <w:p w14:paraId="6E07CF85" w14:textId="77777777" w:rsidR="00FF3977" w:rsidRDefault="00FF3977" w:rsidP="00FF3977">
            <w:pPr>
              <w:rPr>
                <w:rFonts w:eastAsia="Calibri"/>
              </w:rPr>
            </w:pPr>
          </w:p>
        </w:tc>
        <w:tc>
          <w:tcPr>
            <w:tcW w:w="600" w:type="pct"/>
          </w:tcPr>
          <w:p w14:paraId="3CB1111C" w14:textId="77777777" w:rsidR="00FF3977" w:rsidRDefault="00FF3977" w:rsidP="00FF3977">
            <w:pPr>
              <w:rPr>
                <w:rFonts w:eastAsia="Calibri"/>
                <w:bCs/>
              </w:rPr>
            </w:pPr>
            <w:r w:rsidRPr="006477F6">
              <w:rPr>
                <w:rFonts w:eastAsia="Calibri"/>
              </w:rPr>
              <w:t xml:space="preserve">Batch number of lactic acid: </w:t>
            </w:r>
            <w:r w:rsidRPr="006477F6">
              <w:rPr>
                <w:rFonts w:eastAsia="Calibri"/>
                <w:bCs/>
              </w:rPr>
              <w:t>5125352</w:t>
            </w:r>
          </w:p>
          <w:p w14:paraId="6FEA394F" w14:textId="77777777" w:rsidR="00FF3977" w:rsidRPr="006477F6" w:rsidRDefault="00FF3977" w:rsidP="00FF3977">
            <w:pPr>
              <w:rPr>
                <w:color w:val="404040"/>
              </w:rPr>
            </w:pPr>
            <w:r>
              <w:rPr>
                <w:rFonts w:eastAsia="Calibri"/>
                <w:bCs/>
              </w:rPr>
              <w:t>Meta SPC 8</w:t>
            </w:r>
          </w:p>
          <w:p w14:paraId="07A57940" w14:textId="77777777" w:rsidR="00FF3977" w:rsidRPr="00C4054A" w:rsidRDefault="00FF3977" w:rsidP="00FF3977">
            <w:pPr>
              <w:rPr>
                <w:rFonts w:eastAsia="Calibri"/>
              </w:rPr>
            </w:pPr>
          </w:p>
        </w:tc>
        <w:tc>
          <w:tcPr>
            <w:tcW w:w="1460" w:type="pct"/>
            <w:vAlign w:val="center"/>
          </w:tcPr>
          <w:p w14:paraId="72292EF0" w14:textId="77777777" w:rsidR="00FF3977" w:rsidRPr="00C4054A" w:rsidRDefault="00FF3977" w:rsidP="00FF3977">
            <w:r w:rsidRPr="006477F6">
              <w:rPr>
                <w:lang w:val="en-US"/>
              </w:rPr>
              <w:t xml:space="preserve">Following the 168 hours of testing the “AL-S8-2-0” solution with carbon steel and aluminum alloy samples, the weight losses obtained were lower than 13.5%. The deepest intrusion measured was lower than 120 </w:t>
            </w:r>
            <w:r w:rsidRPr="006477F6">
              <w:rPr>
                <w:lang w:val="fr-FR"/>
              </w:rPr>
              <w:t>μ</w:t>
            </w:r>
            <w:r w:rsidRPr="006477F6">
              <w:rPr>
                <w:lang w:val="en-US"/>
              </w:rPr>
              <w:t>m. The result is therefore not considered as positive. The product “AL-S8-2-0” is not classified as a corrosive substance of class 8 according to the specification « Manual of tests and criteria » of the United Nations part 37.</w:t>
            </w:r>
          </w:p>
        </w:tc>
        <w:tc>
          <w:tcPr>
            <w:tcW w:w="771" w:type="pct"/>
          </w:tcPr>
          <w:p w14:paraId="30FAB136" w14:textId="77777777" w:rsidR="00FF3977" w:rsidRPr="00C4054A" w:rsidRDefault="00FF3977" w:rsidP="00FF3977">
            <w:pPr>
              <w:rPr>
                <w:rFonts w:eastAsia="Calibri"/>
              </w:rPr>
            </w:pPr>
            <w:r w:rsidRPr="006477F6">
              <w:rPr>
                <w:rFonts w:eastAsia="Calibri"/>
                <w:lang w:val="en-US"/>
              </w:rPr>
              <w:t>Bulidon N., 2020, Report No IC 860008-6</w:t>
            </w:r>
          </w:p>
        </w:tc>
        <w:tc>
          <w:tcPr>
            <w:tcW w:w="771" w:type="pct"/>
          </w:tcPr>
          <w:p w14:paraId="1C6D408F" w14:textId="77777777" w:rsidR="00FF3977" w:rsidRPr="00C4054A" w:rsidDel="00355E5C" w:rsidRDefault="00FF3977" w:rsidP="00FF3977">
            <w:pPr>
              <w:rPr>
                <w:rFonts w:eastAsia="Calibri"/>
              </w:rPr>
            </w:pPr>
            <w:r w:rsidRPr="006477F6">
              <w:rPr>
                <w:rFonts w:eastAsia="Calibri"/>
              </w:rPr>
              <w:t>Acceptable</w:t>
            </w:r>
          </w:p>
        </w:tc>
      </w:tr>
      <w:tr w:rsidR="00FF3977" w:rsidRPr="00C4054A" w:rsidDel="00355E5C" w14:paraId="3D1D0433" w14:textId="77777777" w:rsidTr="00FF3977">
        <w:tc>
          <w:tcPr>
            <w:tcW w:w="881" w:type="pct"/>
            <w:vMerge/>
          </w:tcPr>
          <w:p w14:paraId="40B58CAD" w14:textId="77777777" w:rsidR="00FF3977" w:rsidRPr="00A411E7" w:rsidRDefault="00FF3977" w:rsidP="00FF3977">
            <w:pPr>
              <w:rPr>
                <w:rFonts w:eastAsia="Calibri"/>
              </w:rPr>
            </w:pPr>
          </w:p>
        </w:tc>
        <w:tc>
          <w:tcPr>
            <w:tcW w:w="516" w:type="pct"/>
            <w:vMerge/>
          </w:tcPr>
          <w:p w14:paraId="0FE2A191" w14:textId="77777777" w:rsidR="00FF3977" w:rsidRDefault="00FF3977" w:rsidP="00FF3977">
            <w:pPr>
              <w:rPr>
                <w:rFonts w:eastAsia="Calibri"/>
              </w:rPr>
            </w:pPr>
          </w:p>
        </w:tc>
        <w:tc>
          <w:tcPr>
            <w:tcW w:w="600" w:type="pct"/>
          </w:tcPr>
          <w:p w14:paraId="045CED8E" w14:textId="77777777" w:rsidR="00FF3977" w:rsidRPr="006477F6" w:rsidRDefault="00FF3977" w:rsidP="00FF3977">
            <w:pPr>
              <w:rPr>
                <w:color w:val="404040"/>
              </w:rPr>
            </w:pPr>
            <w:r w:rsidRPr="006477F6">
              <w:rPr>
                <w:rFonts w:eastAsia="Calibri"/>
              </w:rPr>
              <w:t xml:space="preserve">Batch number of lactic acid: </w:t>
            </w:r>
            <w:r w:rsidRPr="006477F6">
              <w:rPr>
                <w:rFonts w:eastAsia="Calibri"/>
                <w:bCs/>
              </w:rPr>
              <w:t>5123479</w:t>
            </w:r>
          </w:p>
          <w:p w14:paraId="7C1204B3" w14:textId="77777777" w:rsidR="00FF3977" w:rsidRPr="00C4054A" w:rsidRDefault="00FF3977" w:rsidP="00FF3977">
            <w:pPr>
              <w:rPr>
                <w:rFonts w:eastAsia="Calibri"/>
              </w:rPr>
            </w:pPr>
            <w:r>
              <w:rPr>
                <w:rFonts w:eastAsia="Calibri"/>
              </w:rPr>
              <w:t xml:space="preserve">Meta SPC 9 </w:t>
            </w:r>
          </w:p>
        </w:tc>
        <w:tc>
          <w:tcPr>
            <w:tcW w:w="1460" w:type="pct"/>
            <w:vAlign w:val="center"/>
          </w:tcPr>
          <w:p w14:paraId="5A4B35FF" w14:textId="77777777" w:rsidR="00FF3977" w:rsidRPr="00C4054A" w:rsidRDefault="00FF3977" w:rsidP="00FF3977">
            <w:r w:rsidRPr="006477F6">
              <w:rPr>
                <w:lang w:val="en-US"/>
              </w:rPr>
              <w:t xml:space="preserve">Following the 168 hours of testing the “AL-S9-2-0” solution with carbon steel and aluminum alloy samples, an intrusion of more than 120 </w:t>
            </w:r>
            <w:r w:rsidRPr="006477F6">
              <w:rPr>
                <w:lang w:val="fr-FR"/>
              </w:rPr>
              <w:t>μ</w:t>
            </w:r>
            <w:r w:rsidRPr="006477F6">
              <w:rPr>
                <w:lang w:val="en-US"/>
              </w:rPr>
              <w:t xml:space="preserve">m in depth was measured: the result is considered as positive. The product “AL-S9-2-0” is classified as a corrosive substance of class 8 according to the specification « </w:t>
            </w:r>
            <w:r w:rsidRPr="006477F6">
              <w:rPr>
                <w:lang w:val="en-US"/>
              </w:rPr>
              <w:lastRenderedPageBreak/>
              <w:t>Manual of tests and criteria » of the United Nations part 37.</w:t>
            </w:r>
          </w:p>
        </w:tc>
        <w:tc>
          <w:tcPr>
            <w:tcW w:w="771" w:type="pct"/>
          </w:tcPr>
          <w:p w14:paraId="126351EE" w14:textId="77777777" w:rsidR="00FF3977" w:rsidRPr="00C4054A" w:rsidRDefault="00FF3977" w:rsidP="00FF3977">
            <w:pPr>
              <w:rPr>
                <w:rFonts w:eastAsia="Calibri"/>
              </w:rPr>
            </w:pPr>
            <w:r w:rsidRPr="006477F6">
              <w:rPr>
                <w:rFonts w:eastAsia="Calibri"/>
                <w:lang w:val="en-US"/>
              </w:rPr>
              <w:lastRenderedPageBreak/>
              <w:t>Bulidon N., 2020, Report No IC 860008-7</w:t>
            </w:r>
          </w:p>
        </w:tc>
        <w:tc>
          <w:tcPr>
            <w:tcW w:w="771" w:type="pct"/>
          </w:tcPr>
          <w:p w14:paraId="074AC638" w14:textId="77777777" w:rsidR="00FF3977" w:rsidRDefault="00FF3977" w:rsidP="00FF3977">
            <w:pPr>
              <w:rPr>
                <w:rFonts w:eastAsia="Calibri"/>
              </w:rPr>
            </w:pPr>
            <w:r w:rsidRPr="006477F6">
              <w:rPr>
                <w:rFonts w:eastAsia="Calibri"/>
              </w:rPr>
              <w:t>Acceptable</w:t>
            </w:r>
          </w:p>
          <w:p w14:paraId="5AA31301" w14:textId="77777777" w:rsidR="00FF3977" w:rsidRPr="00C4054A" w:rsidDel="00355E5C" w:rsidRDefault="00FF3977" w:rsidP="00FF3977">
            <w:pPr>
              <w:rPr>
                <w:rFonts w:eastAsia="Calibri"/>
              </w:rPr>
            </w:pPr>
            <w:r>
              <w:rPr>
                <w:rFonts w:eastAsia="Calibri"/>
              </w:rPr>
              <w:t xml:space="preserve">The product is </w:t>
            </w:r>
            <w:r w:rsidRPr="004676CE">
              <w:rPr>
                <w:rFonts w:eastAsia="Calibri"/>
              </w:rPr>
              <w:t>classified as Met. Corr. 1 (H290: May be corrosive to metals)</w:t>
            </w:r>
          </w:p>
        </w:tc>
      </w:tr>
      <w:tr w:rsidR="00FF3977" w:rsidRPr="00C4054A" w:rsidDel="00355E5C" w14:paraId="4E04350D" w14:textId="77777777" w:rsidTr="00FF3977">
        <w:tc>
          <w:tcPr>
            <w:tcW w:w="881" w:type="pct"/>
            <w:vMerge/>
          </w:tcPr>
          <w:p w14:paraId="1D36F584" w14:textId="77777777" w:rsidR="00FF3977" w:rsidRPr="00A411E7" w:rsidRDefault="00FF3977" w:rsidP="00FF3977">
            <w:pPr>
              <w:rPr>
                <w:rFonts w:eastAsia="Calibri"/>
              </w:rPr>
            </w:pPr>
          </w:p>
        </w:tc>
        <w:tc>
          <w:tcPr>
            <w:tcW w:w="516" w:type="pct"/>
            <w:vMerge/>
          </w:tcPr>
          <w:p w14:paraId="60758C63" w14:textId="77777777" w:rsidR="00FF3977" w:rsidRDefault="00FF3977" w:rsidP="00FF3977">
            <w:pPr>
              <w:rPr>
                <w:rFonts w:eastAsia="Calibri"/>
              </w:rPr>
            </w:pPr>
          </w:p>
        </w:tc>
        <w:tc>
          <w:tcPr>
            <w:tcW w:w="600" w:type="pct"/>
          </w:tcPr>
          <w:p w14:paraId="18979E17" w14:textId="77777777" w:rsidR="00FF3977" w:rsidRPr="006477F6" w:rsidRDefault="00FF3977" w:rsidP="00FF3977">
            <w:pPr>
              <w:rPr>
                <w:color w:val="404040"/>
              </w:rPr>
            </w:pPr>
            <w:r w:rsidRPr="006477F6">
              <w:rPr>
                <w:rFonts w:eastAsia="Calibri"/>
              </w:rPr>
              <w:t xml:space="preserve">Batch number of lactic acid: </w:t>
            </w:r>
            <w:r w:rsidRPr="006477F6">
              <w:rPr>
                <w:rFonts w:eastAsia="Calibri"/>
                <w:bCs/>
              </w:rPr>
              <w:t>1805000317</w:t>
            </w:r>
          </w:p>
          <w:p w14:paraId="0B988FF5" w14:textId="77777777" w:rsidR="00FF3977" w:rsidRDefault="00FF3977" w:rsidP="00FF3977">
            <w:pPr>
              <w:rPr>
                <w:rFonts w:eastAsia="Calibri"/>
                <w:lang w:val="fr-FR"/>
              </w:rPr>
            </w:pPr>
            <w:r w:rsidRPr="006477F6">
              <w:rPr>
                <w:rFonts w:eastAsia="Calibri"/>
                <w:lang w:val="fr-FR"/>
              </w:rPr>
              <w:t>%</w:t>
            </w:r>
          </w:p>
          <w:p w14:paraId="76D754EF" w14:textId="77777777" w:rsidR="00FF3977" w:rsidRPr="00C4054A" w:rsidRDefault="00FF3977" w:rsidP="00FF3977">
            <w:pPr>
              <w:rPr>
                <w:rFonts w:eastAsia="Calibri"/>
              </w:rPr>
            </w:pPr>
            <w:r>
              <w:rPr>
                <w:rFonts w:eastAsia="Calibri"/>
                <w:lang w:val="fr-FR"/>
              </w:rPr>
              <w:t xml:space="preserve">Meta SPC 10 </w:t>
            </w:r>
          </w:p>
        </w:tc>
        <w:tc>
          <w:tcPr>
            <w:tcW w:w="1460" w:type="pct"/>
            <w:vAlign w:val="center"/>
          </w:tcPr>
          <w:p w14:paraId="3DE25819" w14:textId="77777777" w:rsidR="00FF3977" w:rsidRPr="00C4054A" w:rsidRDefault="00FF3977" w:rsidP="00FF3977">
            <w:r w:rsidRPr="006477F6">
              <w:rPr>
                <w:lang w:val="en-US"/>
              </w:rPr>
              <w:t xml:space="preserve">Following the 168 hours of testing the “AL-S10-2-1” solution with carbon steel and aluminum alloy samples, the weight losses obtained were lower than 13.5%. The deepest intrusion measured was lower than 120 </w:t>
            </w:r>
            <w:r w:rsidRPr="006477F6">
              <w:rPr>
                <w:lang w:val="fr-FR"/>
              </w:rPr>
              <w:t>μ</w:t>
            </w:r>
            <w:r w:rsidRPr="006477F6">
              <w:rPr>
                <w:lang w:val="en-US"/>
              </w:rPr>
              <w:t>m. The result is therefore not considered as positive. The product “AL-S10-2-1” is not classified as a corrosive substance of class 8 according to the specification « Manual of tests and criteria » of the United Nations part 37.</w:t>
            </w:r>
          </w:p>
        </w:tc>
        <w:tc>
          <w:tcPr>
            <w:tcW w:w="771" w:type="pct"/>
          </w:tcPr>
          <w:p w14:paraId="2F5A99EA" w14:textId="77777777" w:rsidR="00FF3977" w:rsidRPr="00C4054A" w:rsidRDefault="00FF3977" w:rsidP="00FF3977">
            <w:pPr>
              <w:rPr>
                <w:rFonts w:eastAsia="Calibri"/>
              </w:rPr>
            </w:pPr>
            <w:r w:rsidRPr="006477F6">
              <w:rPr>
                <w:rFonts w:eastAsia="Calibri"/>
                <w:lang w:val="en-US"/>
              </w:rPr>
              <w:t>Bulidon N., 2020, Report No IC 860008-8</w:t>
            </w:r>
          </w:p>
        </w:tc>
        <w:tc>
          <w:tcPr>
            <w:tcW w:w="771" w:type="pct"/>
          </w:tcPr>
          <w:p w14:paraId="41CF6FE3" w14:textId="77777777" w:rsidR="00FF3977" w:rsidRPr="00C4054A" w:rsidDel="00355E5C" w:rsidRDefault="00FF3977" w:rsidP="00FF3977">
            <w:pPr>
              <w:rPr>
                <w:rFonts w:eastAsia="Calibri"/>
              </w:rPr>
            </w:pPr>
            <w:r w:rsidRPr="006477F6">
              <w:rPr>
                <w:rFonts w:eastAsia="Calibri"/>
              </w:rPr>
              <w:t>Acceptable</w:t>
            </w:r>
          </w:p>
        </w:tc>
      </w:tr>
      <w:tr w:rsidR="00FF3977" w:rsidRPr="00E52634" w:rsidDel="00355E5C" w14:paraId="7B109F27" w14:textId="77777777" w:rsidTr="00FF3977">
        <w:tc>
          <w:tcPr>
            <w:tcW w:w="881" w:type="pct"/>
            <w:vMerge/>
          </w:tcPr>
          <w:p w14:paraId="1274088B" w14:textId="77777777" w:rsidR="00FF3977" w:rsidRPr="00A411E7" w:rsidRDefault="00FF3977" w:rsidP="00FF3977">
            <w:pPr>
              <w:rPr>
                <w:rFonts w:eastAsia="Calibri"/>
              </w:rPr>
            </w:pPr>
          </w:p>
        </w:tc>
        <w:tc>
          <w:tcPr>
            <w:tcW w:w="516" w:type="pct"/>
            <w:vMerge/>
          </w:tcPr>
          <w:p w14:paraId="087887A7" w14:textId="77777777" w:rsidR="00FF3977" w:rsidRDefault="00FF3977" w:rsidP="00FF3977">
            <w:pPr>
              <w:rPr>
                <w:rFonts w:eastAsia="Calibri"/>
              </w:rPr>
            </w:pPr>
          </w:p>
        </w:tc>
        <w:tc>
          <w:tcPr>
            <w:tcW w:w="600" w:type="pct"/>
          </w:tcPr>
          <w:p w14:paraId="12F8CC44" w14:textId="77777777" w:rsidR="00FF3977" w:rsidRDefault="00FF3977" w:rsidP="00FF3977">
            <w:pPr>
              <w:rPr>
                <w:rFonts w:eastAsia="Calibri"/>
              </w:rPr>
            </w:pPr>
            <w:r>
              <w:rPr>
                <w:rFonts w:eastAsia="Calibri"/>
              </w:rPr>
              <w:t xml:space="preserve">Meta SPC 11 </w:t>
            </w:r>
          </w:p>
          <w:p w14:paraId="6DC101D3" w14:textId="77777777" w:rsidR="00FF3977" w:rsidRDefault="00FF3977" w:rsidP="00FF3977">
            <w:pPr>
              <w:rPr>
                <w:rFonts w:eastAsia="Calibri"/>
              </w:rPr>
            </w:pPr>
          </w:p>
          <w:p w14:paraId="206FF38A" w14:textId="77777777" w:rsidR="00FF3977" w:rsidRPr="006477F6" w:rsidRDefault="00FF3977" w:rsidP="00FF3977">
            <w:pPr>
              <w:rPr>
                <w:rFonts w:eastAsia="Calibri"/>
              </w:rPr>
            </w:pPr>
            <w:r w:rsidRPr="006477F6">
              <w:rPr>
                <w:rFonts w:eastAsia="Calibri"/>
              </w:rPr>
              <w:t>Batch number of lactic acid: FR101127666</w:t>
            </w:r>
          </w:p>
          <w:p w14:paraId="01DEC097" w14:textId="77777777" w:rsidR="00FF3977" w:rsidRPr="00C4054A" w:rsidRDefault="00FF3977" w:rsidP="00FF3977">
            <w:pPr>
              <w:rPr>
                <w:rFonts w:eastAsia="Calibri"/>
              </w:rPr>
            </w:pPr>
            <w:r w:rsidRPr="006477F6">
              <w:rPr>
                <w:rFonts w:eastAsia="Calibri"/>
              </w:rPr>
              <w:t xml:space="preserve"> </w:t>
            </w:r>
          </w:p>
        </w:tc>
        <w:tc>
          <w:tcPr>
            <w:tcW w:w="1460" w:type="pct"/>
            <w:vAlign w:val="center"/>
          </w:tcPr>
          <w:p w14:paraId="598F10F5" w14:textId="4227A813" w:rsidR="00FF3977" w:rsidRPr="006477F6" w:rsidRDefault="00FF3977" w:rsidP="00FF3977">
            <w:r w:rsidRPr="006477F6">
              <w:t xml:space="preserve">The comparison between AL-S11-2-0 and </w:t>
            </w:r>
            <w:r w:rsidRPr="006477F6">
              <w:rPr>
                <w:lang w:val="en-US"/>
              </w:rPr>
              <w:t>“Enzypin détartrant désinfectant sanitaires concentré”</w:t>
            </w:r>
            <w:r w:rsidRPr="006477F6">
              <w:t xml:space="preserve"> demonstrated that the corrosive classification of AL-S11-2-0 can be extrapolated from the data obtained with </w:t>
            </w:r>
            <w:r w:rsidRPr="006477F6">
              <w:rPr>
                <w:lang w:val="en-US"/>
              </w:rPr>
              <w:t>“Enzypin détartrant désinfectant sanitaires concentré”</w:t>
            </w:r>
            <w:r w:rsidR="00CD31D4">
              <w:rPr>
                <w:lang w:val="en-US"/>
              </w:rPr>
              <w:t xml:space="preserve"> based on the lactic acid content of the 2 formulations</w:t>
            </w:r>
            <w:r w:rsidRPr="006477F6">
              <w:t xml:space="preserve">.  </w:t>
            </w:r>
          </w:p>
          <w:p w14:paraId="608A785F" w14:textId="77777777" w:rsidR="00FF3977" w:rsidRPr="006477F6" w:rsidRDefault="00FF3977" w:rsidP="00FF3977">
            <w:pPr>
              <w:rPr>
                <w:lang w:val="en-US"/>
              </w:rPr>
            </w:pPr>
          </w:p>
          <w:p w14:paraId="3B38BE89" w14:textId="77777777" w:rsidR="00FF3977" w:rsidRPr="00C4054A" w:rsidRDefault="00FF3977" w:rsidP="00FF3977">
            <w:r w:rsidRPr="006477F6">
              <w:rPr>
                <w:lang w:val="en-US"/>
              </w:rPr>
              <w:t xml:space="preserve">Following the 168 hours of test of “Enzypin détartrant désinfectant sanitaires concentré” solution with carbon steel and aluminum alloy specimens, a maximum depth of attack higher than 120 </w:t>
            </w:r>
            <w:r w:rsidRPr="006477F6">
              <w:rPr>
                <w:lang w:val="fr-FR"/>
              </w:rPr>
              <w:t>μ</w:t>
            </w:r>
            <w:r w:rsidRPr="006477F6">
              <w:rPr>
                <w:lang w:val="en-US"/>
              </w:rPr>
              <w:t xml:space="preserve">m was measured: the corrosiveness of the product “ Enzypin détartrant désinfectant sanitaires concentré” is grade 8 according to the specification « Manual of tests and </w:t>
            </w:r>
            <w:r w:rsidRPr="006477F6">
              <w:rPr>
                <w:lang w:val="en-US"/>
              </w:rPr>
              <w:lastRenderedPageBreak/>
              <w:t>criteria » of the United Nations part 37.</w:t>
            </w:r>
          </w:p>
        </w:tc>
        <w:tc>
          <w:tcPr>
            <w:tcW w:w="771" w:type="pct"/>
          </w:tcPr>
          <w:p w14:paraId="0AF26870" w14:textId="77777777" w:rsidR="00FF3977" w:rsidRPr="00C4054A" w:rsidRDefault="00FF3977" w:rsidP="00FF3977">
            <w:pPr>
              <w:rPr>
                <w:rFonts w:eastAsia="Calibri"/>
              </w:rPr>
            </w:pPr>
            <w:r w:rsidRPr="006477F6">
              <w:rPr>
                <w:rFonts w:eastAsia="Calibri"/>
                <w:lang w:val="en-US"/>
              </w:rPr>
              <w:lastRenderedPageBreak/>
              <w:t>Fourny P., 2016, Report No PV/066/16/LC</w:t>
            </w:r>
          </w:p>
        </w:tc>
        <w:tc>
          <w:tcPr>
            <w:tcW w:w="771" w:type="pct"/>
          </w:tcPr>
          <w:p w14:paraId="04CF4EA6" w14:textId="77777777" w:rsidR="00CD31D4" w:rsidRDefault="00CD31D4" w:rsidP="00FF3977">
            <w:pPr>
              <w:rPr>
                <w:rFonts w:eastAsia="Calibri"/>
              </w:rPr>
            </w:pPr>
            <w:r>
              <w:rPr>
                <w:rFonts w:eastAsia="Calibri"/>
              </w:rPr>
              <w:t>Acceptable</w:t>
            </w:r>
          </w:p>
          <w:p w14:paraId="109D3BED" w14:textId="08924DE1" w:rsidR="00FF3977" w:rsidRPr="00E52634" w:rsidDel="00355E5C" w:rsidRDefault="00CD31D4" w:rsidP="00FF3977">
            <w:pPr>
              <w:rPr>
                <w:rFonts w:eastAsia="Calibri"/>
              </w:rPr>
            </w:pPr>
            <w:r>
              <w:rPr>
                <w:rFonts w:eastAsia="Calibri"/>
              </w:rPr>
              <w:t xml:space="preserve">The product is </w:t>
            </w:r>
            <w:r w:rsidRPr="004676CE">
              <w:rPr>
                <w:rFonts w:eastAsia="Calibri"/>
              </w:rPr>
              <w:t>classified as Met. Corr. 1 (H290: May be corrosive to metals)</w:t>
            </w:r>
          </w:p>
        </w:tc>
      </w:tr>
      <w:tr w:rsidR="00FF3977" w:rsidRPr="00C4054A" w:rsidDel="00355E5C" w14:paraId="3A427FD4" w14:textId="77777777" w:rsidTr="00FF3977">
        <w:tc>
          <w:tcPr>
            <w:tcW w:w="881" w:type="pct"/>
            <w:vMerge/>
          </w:tcPr>
          <w:p w14:paraId="47B693E1" w14:textId="77777777" w:rsidR="00FF3977" w:rsidRPr="00A411E7" w:rsidRDefault="00FF3977" w:rsidP="00FF3977">
            <w:pPr>
              <w:rPr>
                <w:rFonts w:eastAsia="Calibri"/>
              </w:rPr>
            </w:pPr>
          </w:p>
        </w:tc>
        <w:tc>
          <w:tcPr>
            <w:tcW w:w="516" w:type="pct"/>
            <w:vMerge/>
          </w:tcPr>
          <w:p w14:paraId="4253EA31" w14:textId="77777777" w:rsidR="00FF3977" w:rsidRDefault="00FF3977" w:rsidP="00FF3977">
            <w:pPr>
              <w:rPr>
                <w:rFonts w:eastAsia="Calibri"/>
              </w:rPr>
            </w:pPr>
          </w:p>
        </w:tc>
        <w:tc>
          <w:tcPr>
            <w:tcW w:w="600" w:type="pct"/>
          </w:tcPr>
          <w:p w14:paraId="284C3045" w14:textId="77777777" w:rsidR="00FF3977" w:rsidRDefault="00FF3977" w:rsidP="00FF3977">
            <w:pPr>
              <w:rPr>
                <w:rFonts w:eastAsia="Calibri"/>
              </w:rPr>
            </w:pPr>
            <w:r>
              <w:rPr>
                <w:rFonts w:eastAsia="Calibri"/>
              </w:rPr>
              <w:t>Meta SPC 12</w:t>
            </w:r>
          </w:p>
          <w:p w14:paraId="0DE49213" w14:textId="77777777" w:rsidR="00FF3977" w:rsidRDefault="00FF3977" w:rsidP="00FF3977">
            <w:pPr>
              <w:rPr>
                <w:rFonts w:eastAsia="Calibri"/>
              </w:rPr>
            </w:pPr>
          </w:p>
          <w:p w14:paraId="14C48F90" w14:textId="77777777" w:rsidR="00FF3977" w:rsidRDefault="00FF3977" w:rsidP="00FF3977">
            <w:pPr>
              <w:rPr>
                <w:rFonts w:eastAsia="Calibri"/>
              </w:rPr>
            </w:pPr>
          </w:p>
          <w:p w14:paraId="53C444AE" w14:textId="77777777" w:rsidR="00FF3977" w:rsidRPr="006477F6" w:rsidRDefault="00FF3977" w:rsidP="00FF3977">
            <w:pPr>
              <w:rPr>
                <w:color w:val="404040"/>
              </w:rPr>
            </w:pPr>
            <w:r w:rsidRPr="006477F6">
              <w:rPr>
                <w:rFonts w:eastAsia="Calibri"/>
              </w:rPr>
              <w:t xml:space="preserve">Batch number of lactic acid: </w:t>
            </w:r>
            <w:r w:rsidRPr="006477F6">
              <w:rPr>
                <w:rFonts w:eastAsia="Calibri"/>
                <w:bCs/>
              </w:rPr>
              <w:t>5125352</w:t>
            </w:r>
          </w:p>
          <w:p w14:paraId="2B8B97FC" w14:textId="77777777" w:rsidR="00FF3977" w:rsidRPr="00C4054A" w:rsidRDefault="00FF3977" w:rsidP="00FF3977">
            <w:pPr>
              <w:rPr>
                <w:rFonts w:eastAsia="Calibri"/>
              </w:rPr>
            </w:pPr>
          </w:p>
        </w:tc>
        <w:tc>
          <w:tcPr>
            <w:tcW w:w="1460" w:type="pct"/>
            <w:vAlign w:val="center"/>
          </w:tcPr>
          <w:p w14:paraId="2552710B" w14:textId="77777777" w:rsidR="00FF3977" w:rsidRPr="006477F6" w:rsidRDefault="00FF3977" w:rsidP="00FF3977">
            <w:r w:rsidRPr="006477F6">
              <w:t xml:space="preserve">The comparison between AL-S12-2-0 and AL-S8-2-0 demonstrated that the corrosive classification of AL-S12-2-0 can be extrapolated from the data obtained with AL-S8-2-0.  </w:t>
            </w:r>
          </w:p>
          <w:p w14:paraId="66C78C4F" w14:textId="77777777" w:rsidR="00FF3977" w:rsidRPr="006477F6" w:rsidRDefault="00FF3977" w:rsidP="00FF3977"/>
          <w:p w14:paraId="105EA053" w14:textId="77777777" w:rsidR="00FF3977" w:rsidRPr="00C4054A" w:rsidRDefault="00FF3977" w:rsidP="00FF3977">
            <w:r w:rsidRPr="006477F6">
              <w:rPr>
                <w:lang w:val="en-US"/>
              </w:rPr>
              <w:t xml:space="preserve">Following the 168 hours of testing the “AL-S8-2-0” solution with carbon steel and aluminum alloy samples, the weight losses obtained were lower than 13.5%. The deepest intrusion measured was lower than 120 </w:t>
            </w:r>
            <w:r w:rsidRPr="006477F6">
              <w:rPr>
                <w:lang w:val="fr-FR"/>
              </w:rPr>
              <w:t>μ</w:t>
            </w:r>
            <w:r w:rsidRPr="006477F6">
              <w:rPr>
                <w:lang w:val="en-US"/>
              </w:rPr>
              <w:t>m. The result is therefore not considered as positive. The product “AL-S8-2-0” is not classified as a corrosive substance of class 8 according to the specification « Manual of tests and criteria » of the United Nations part 37.</w:t>
            </w:r>
          </w:p>
        </w:tc>
        <w:tc>
          <w:tcPr>
            <w:tcW w:w="771" w:type="pct"/>
          </w:tcPr>
          <w:p w14:paraId="193939AA" w14:textId="77777777" w:rsidR="00FF3977" w:rsidRPr="00C4054A" w:rsidRDefault="00FF3977" w:rsidP="00FF3977">
            <w:pPr>
              <w:rPr>
                <w:rFonts w:eastAsia="Calibri"/>
              </w:rPr>
            </w:pPr>
            <w:r w:rsidRPr="006477F6">
              <w:rPr>
                <w:rFonts w:eastAsia="Calibri"/>
                <w:lang w:val="en-US"/>
              </w:rPr>
              <w:t>Bulidon N., 2020, Report No IC 860008-6</w:t>
            </w:r>
          </w:p>
        </w:tc>
        <w:tc>
          <w:tcPr>
            <w:tcW w:w="771" w:type="pct"/>
          </w:tcPr>
          <w:p w14:paraId="4365FA5C" w14:textId="77777777" w:rsidR="00FF3977" w:rsidRPr="00C4054A" w:rsidDel="00355E5C" w:rsidRDefault="00FF3977" w:rsidP="00FF3977">
            <w:pPr>
              <w:rPr>
                <w:rFonts w:eastAsia="Calibri"/>
              </w:rPr>
            </w:pPr>
            <w:r w:rsidRPr="006477F6">
              <w:rPr>
                <w:rFonts w:eastAsia="Calibri"/>
              </w:rPr>
              <w:t>Acceptable</w:t>
            </w:r>
          </w:p>
        </w:tc>
      </w:tr>
      <w:tr w:rsidR="00FF3977" w:rsidRPr="00C4054A" w:rsidDel="00355E5C" w14:paraId="6E881DB5" w14:textId="77777777" w:rsidTr="00FF3977">
        <w:tc>
          <w:tcPr>
            <w:tcW w:w="881" w:type="pct"/>
            <w:vMerge/>
          </w:tcPr>
          <w:p w14:paraId="242EAAC7" w14:textId="77777777" w:rsidR="00FF3977" w:rsidRPr="00A411E7" w:rsidRDefault="00FF3977" w:rsidP="00FF3977">
            <w:pPr>
              <w:rPr>
                <w:rFonts w:eastAsia="Calibri"/>
              </w:rPr>
            </w:pPr>
          </w:p>
        </w:tc>
        <w:tc>
          <w:tcPr>
            <w:tcW w:w="516" w:type="pct"/>
            <w:vMerge/>
          </w:tcPr>
          <w:p w14:paraId="2D5A6810" w14:textId="77777777" w:rsidR="00FF3977" w:rsidRDefault="00FF3977" w:rsidP="00FF3977">
            <w:pPr>
              <w:rPr>
                <w:rFonts w:eastAsia="Calibri"/>
              </w:rPr>
            </w:pPr>
          </w:p>
        </w:tc>
        <w:tc>
          <w:tcPr>
            <w:tcW w:w="600" w:type="pct"/>
          </w:tcPr>
          <w:p w14:paraId="00570A81" w14:textId="77777777" w:rsidR="00FF3977" w:rsidRDefault="00FF3977" w:rsidP="00FF3977">
            <w:pPr>
              <w:rPr>
                <w:rFonts w:eastAsia="Calibri"/>
              </w:rPr>
            </w:pPr>
            <w:r>
              <w:rPr>
                <w:rFonts w:eastAsia="Calibri"/>
              </w:rPr>
              <w:t xml:space="preserve">Meta SPC 13 </w:t>
            </w:r>
          </w:p>
          <w:p w14:paraId="263A9E6D" w14:textId="77777777" w:rsidR="00FF3977" w:rsidRDefault="00FF3977" w:rsidP="00FF3977">
            <w:pPr>
              <w:rPr>
                <w:rFonts w:eastAsia="Calibri"/>
              </w:rPr>
            </w:pPr>
          </w:p>
          <w:p w14:paraId="31DC91D8" w14:textId="77777777" w:rsidR="00FF3977" w:rsidRDefault="00FF3977" w:rsidP="00FF3977">
            <w:pPr>
              <w:rPr>
                <w:rFonts w:eastAsia="Calibri"/>
              </w:rPr>
            </w:pPr>
          </w:p>
          <w:p w14:paraId="75D3CFF3" w14:textId="77777777" w:rsidR="00FF3977" w:rsidRPr="006477F6" w:rsidRDefault="00FF3977" w:rsidP="00FF3977">
            <w:pPr>
              <w:rPr>
                <w:color w:val="404040"/>
              </w:rPr>
            </w:pPr>
            <w:r w:rsidRPr="006477F6">
              <w:rPr>
                <w:rFonts w:eastAsia="Calibri"/>
              </w:rPr>
              <w:t xml:space="preserve">Batch number of lactic acid: </w:t>
            </w:r>
            <w:r w:rsidRPr="006477F6">
              <w:rPr>
                <w:rFonts w:eastAsia="Calibri"/>
                <w:bCs/>
              </w:rPr>
              <w:t>1805000317</w:t>
            </w:r>
          </w:p>
          <w:p w14:paraId="59DD9E3A" w14:textId="77777777" w:rsidR="00FF3977" w:rsidRPr="00C4054A" w:rsidRDefault="00FF3977" w:rsidP="00FF3977">
            <w:pPr>
              <w:rPr>
                <w:rFonts w:eastAsia="Calibri"/>
              </w:rPr>
            </w:pPr>
          </w:p>
        </w:tc>
        <w:tc>
          <w:tcPr>
            <w:tcW w:w="1460" w:type="pct"/>
            <w:vAlign w:val="center"/>
          </w:tcPr>
          <w:p w14:paraId="260C0824" w14:textId="77777777" w:rsidR="00FF3977" w:rsidRPr="006477F6" w:rsidRDefault="00FF3977" w:rsidP="00FF3977">
            <w:r w:rsidRPr="006477F6">
              <w:t xml:space="preserve">The comparison between AL-S13-2-1 and AL-S10-2-1 demonstrated that the corrosive classification of AL-S13-2-1 can be extrapolated from the data obtained with AL-S10-2-1.  </w:t>
            </w:r>
          </w:p>
          <w:p w14:paraId="36A1043A" w14:textId="77777777" w:rsidR="00FF3977" w:rsidRPr="006477F6" w:rsidRDefault="00FF3977" w:rsidP="00FF3977"/>
          <w:p w14:paraId="5A2BF2EB" w14:textId="77777777" w:rsidR="00FF3977" w:rsidRPr="00C4054A" w:rsidRDefault="00FF3977" w:rsidP="00FF3977">
            <w:r w:rsidRPr="006477F6">
              <w:rPr>
                <w:lang w:val="en-US"/>
              </w:rPr>
              <w:t xml:space="preserve">Following the 168 hours of testing the “AL-S10-2-1” solution with carbon steel and aluminum alloy samples, the weight losses obtained were lower than 13.5%. The deepest intrusion measured was lower than 120 </w:t>
            </w:r>
            <w:r w:rsidRPr="006477F6">
              <w:rPr>
                <w:lang w:val="fr-FR"/>
              </w:rPr>
              <w:t>μ</w:t>
            </w:r>
            <w:r w:rsidRPr="006477F6">
              <w:rPr>
                <w:lang w:val="en-US"/>
              </w:rPr>
              <w:t xml:space="preserve">m. The result is therefore not considered as positive. The product “AL-S10-2-1” is not classified as a corrosive substance of class 8 </w:t>
            </w:r>
            <w:r w:rsidRPr="006477F6">
              <w:rPr>
                <w:lang w:val="en-US"/>
              </w:rPr>
              <w:lastRenderedPageBreak/>
              <w:t>according to the specification « Manual of tests and criteria » of the United Nations part 37.</w:t>
            </w:r>
          </w:p>
        </w:tc>
        <w:tc>
          <w:tcPr>
            <w:tcW w:w="771" w:type="pct"/>
          </w:tcPr>
          <w:p w14:paraId="63131702" w14:textId="77777777" w:rsidR="00FF3977" w:rsidRPr="00C4054A" w:rsidRDefault="00FF3977" w:rsidP="00FF3977">
            <w:pPr>
              <w:rPr>
                <w:rFonts w:eastAsia="Calibri"/>
              </w:rPr>
            </w:pPr>
            <w:r w:rsidRPr="006477F6">
              <w:rPr>
                <w:rFonts w:eastAsia="Calibri"/>
                <w:lang w:val="en-US"/>
              </w:rPr>
              <w:lastRenderedPageBreak/>
              <w:t>Bulidon N., 2020, Report No IC 860008-6</w:t>
            </w:r>
          </w:p>
        </w:tc>
        <w:tc>
          <w:tcPr>
            <w:tcW w:w="771" w:type="pct"/>
          </w:tcPr>
          <w:p w14:paraId="6E66884E" w14:textId="77777777" w:rsidR="00FF3977" w:rsidRPr="00C4054A" w:rsidDel="00355E5C" w:rsidRDefault="00FF3977" w:rsidP="00FF3977">
            <w:pPr>
              <w:rPr>
                <w:rFonts w:eastAsia="Calibri"/>
              </w:rPr>
            </w:pPr>
            <w:r w:rsidRPr="006477F6">
              <w:rPr>
                <w:rFonts w:eastAsia="Calibri"/>
              </w:rPr>
              <w:t>Acceptable</w:t>
            </w:r>
          </w:p>
        </w:tc>
      </w:tr>
      <w:tr w:rsidR="00FF3977" w14:paraId="53ED7CB2" w14:textId="77777777" w:rsidTr="00FF3977">
        <w:tc>
          <w:tcPr>
            <w:tcW w:w="881" w:type="pct"/>
          </w:tcPr>
          <w:p w14:paraId="76E88EE1" w14:textId="77777777" w:rsidR="00FF3977" w:rsidRPr="00A411E7" w:rsidRDefault="00FF3977" w:rsidP="00FF3977">
            <w:pPr>
              <w:rPr>
                <w:rFonts w:eastAsia="Calibri"/>
              </w:rPr>
            </w:pPr>
            <w:r w:rsidRPr="00A411E7">
              <w:rPr>
                <w:rFonts w:eastAsia="Calibri"/>
              </w:rPr>
              <w:t>Auto-ignition temperatures of products (liquids and gases)</w:t>
            </w:r>
          </w:p>
        </w:tc>
        <w:tc>
          <w:tcPr>
            <w:tcW w:w="516" w:type="pct"/>
          </w:tcPr>
          <w:p w14:paraId="52BE3DC1" w14:textId="77777777" w:rsidR="00FF3977" w:rsidRPr="00A411E7" w:rsidRDefault="00FF3977" w:rsidP="00FF3977">
            <w:pPr>
              <w:rPr>
                <w:rFonts w:eastAsia="Calibri"/>
              </w:rPr>
            </w:pPr>
            <w:r>
              <w:rPr>
                <w:rFonts w:eastAsia="Calibri"/>
              </w:rPr>
              <w:t>statement</w:t>
            </w:r>
          </w:p>
        </w:tc>
        <w:tc>
          <w:tcPr>
            <w:tcW w:w="600" w:type="pct"/>
          </w:tcPr>
          <w:p w14:paraId="6754043B" w14:textId="77777777" w:rsidR="00FF3977" w:rsidRPr="00A411E7" w:rsidRDefault="00FF3977" w:rsidP="00FF3977">
            <w:pPr>
              <w:rPr>
                <w:rFonts w:eastAsia="Calibri"/>
              </w:rPr>
            </w:pPr>
            <w:r>
              <w:rPr>
                <w:rFonts w:eastAsia="Calibri"/>
              </w:rPr>
              <w:t>-</w:t>
            </w:r>
          </w:p>
        </w:tc>
        <w:tc>
          <w:tcPr>
            <w:tcW w:w="1460" w:type="pct"/>
            <w:vAlign w:val="center"/>
          </w:tcPr>
          <w:p w14:paraId="1D333396" w14:textId="77777777" w:rsidR="00FF3977" w:rsidRPr="00A411E7" w:rsidRDefault="00FF3977" w:rsidP="00FF3977">
            <w:pPr>
              <w:rPr>
                <w:rFonts w:eastAsia="Calibri"/>
              </w:rPr>
            </w:pPr>
            <w:r>
              <w:rPr>
                <w:color w:val="000000"/>
              </w:rPr>
              <w:t xml:space="preserve">Not required as none of the major components in the product is auto-flammable. </w:t>
            </w:r>
          </w:p>
        </w:tc>
        <w:tc>
          <w:tcPr>
            <w:tcW w:w="771" w:type="pct"/>
          </w:tcPr>
          <w:p w14:paraId="504EC766" w14:textId="77777777" w:rsidR="00FF3977" w:rsidRPr="00A411E7" w:rsidRDefault="00FF3977" w:rsidP="00FF3977">
            <w:pPr>
              <w:rPr>
                <w:rFonts w:eastAsia="Calibri"/>
              </w:rPr>
            </w:pPr>
            <w:r>
              <w:rPr>
                <w:rFonts w:eastAsia="Calibri"/>
              </w:rPr>
              <w:t>-</w:t>
            </w:r>
          </w:p>
        </w:tc>
        <w:tc>
          <w:tcPr>
            <w:tcW w:w="771" w:type="pct"/>
          </w:tcPr>
          <w:p w14:paraId="79447FF3" w14:textId="77777777" w:rsidR="00FF3977" w:rsidRDefault="00FF3977" w:rsidP="00FF3977">
            <w:pPr>
              <w:rPr>
                <w:rFonts w:eastAsia="Calibri"/>
              </w:rPr>
            </w:pPr>
            <w:r>
              <w:rPr>
                <w:rFonts w:eastAsia="Calibri"/>
              </w:rPr>
              <w:t>Acceptable</w:t>
            </w:r>
          </w:p>
        </w:tc>
      </w:tr>
      <w:tr w:rsidR="00FF3977" w14:paraId="48F32EE0" w14:textId="77777777" w:rsidTr="00FF3977">
        <w:tc>
          <w:tcPr>
            <w:tcW w:w="881" w:type="pct"/>
          </w:tcPr>
          <w:p w14:paraId="58D59666" w14:textId="77777777" w:rsidR="00FF3977" w:rsidRPr="00A411E7" w:rsidRDefault="00FF3977" w:rsidP="00FF3977">
            <w:pPr>
              <w:rPr>
                <w:rFonts w:eastAsia="Calibri"/>
              </w:rPr>
            </w:pPr>
            <w:r w:rsidRPr="00A411E7">
              <w:rPr>
                <w:rFonts w:eastAsia="Calibri"/>
              </w:rPr>
              <w:t>Relative self-ignition temperature for solids</w:t>
            </w:r>
          </w:p>
        </w:tc>
        <w:tc>
          <w:tcPr>
            <w:tcW w:w="516" w:type="pct"/>
          </w:tcPr>
          <w:p w14:paraId="14F7A9D0" w14:textId="77777777" w:rsidR="00FF3977" w:rsidRPr="00A411E7" w:rsidRDefault="00FF3977" w:rsidP="00FF3977">
            <w:pPr>
              <w:rPr>
                <w:rFonts w:eastAsia="Calibri"/>
              </w:rPr>
            </w:pPr>
            <w:r>
              <w:rPr>
                <w:rFonts w:eastAsia="Calibri"/>
              </w:rPr>
              <w:t>-</w:t>
            </w:r>
          </w:p>
        </w:tc>
        <w:tc>
          <w:tcPr>
            <w:tcW w:w="600" w:type="pct"/>
          </w:tcPr>
          <w:p w14:paraId="7C3A5378" w14:textId="77777777" w:rsidR="00FF3977" w:rsidRPr="00A411E7" w:rsidRDefault="00FF3977" w:rsidP="00FF3977">
            <w:pPr>
              <w:rPr>
                <w:rFonts w:eastAsia="Calibri"/>
              </w:rPr>
            </w:pPr>
            <w:r>
              <w:rPr>
                <w:rFonts w:eastAsia="Calibri"/>
              </w:rPr>
              <w:t>-</w:t>
            </w:r>
          </w:p>
        </w:tc>
        <w:tc>
          <w:tcPr>
            <w:tcW w:w="1460" w:type="pct"/>
            <w:vAlign w:val="center"/>
          </w:tcPr>
          <w:p w14:paraId="64A12AA9" w14:textId="77777777" w:rsidR="00FF3977" w:rsidRPr="00A411E7" w:rsidRDefault="00FF3977" w:rsidP="00FF3977">
            <w:pPr>
              <w:rPr>
                <w:rFonts w:eastAsia="Calibri"/>
              </w:rPr>
            </w:pPr>
            <w:r>
              <w:rPr>
                <w:color w:val="000000"/>
              </w:rPr>
              <w:t>Not required as the product is a liquid.</w:t>
            </w:r>
          </w:p>
        </w:tc>
        <w:tc>
          <w:tcPr>
            <w:tcW w:w="771" w:type="pct"/>
          </w:tcPr>
          <w:p w14:paraId="15EE9034" w14:textId="77777777" w:rsidR="00FF3977" w:rsidRPr="00A411E7" w:rsidRDefault="00FF3977" w:rsidP="00FF3977">
            <w:pPr>
              <w:rPr>
                <w:rFonts w:eastAsia="Calibri"/>
              </w:rPr>
            </w:pPr>
            <w:r>
              <w:rPr>
                <w:rFonts w:eastAsia="Calibri"/>
              </w:rPr>
              <w:t>-</w:t>
            </w:r>
          </w:p>
        </w:tc>
        <w:tc>
          <w:tcPr>
            <w:tcW w:w="771" w:type="pct"/>
          </w:tcPr>
          <w:p w14:paraId="7C1EE990" w14:textId="77777777" w:rsidR="00FF3977" w:rsidRDefault="00FF3977" w:rsidP="00FF3977">
            <w:pPr>
              <w:rPr>
                <w:rFonts w:eastAsia="Calibri"/>
              </w:rPr>
            </w:pPr>
            <w:r>
              <w:rPr>
                <w:rFonts w:eastAsia="Calibri"/>
              </w:rPr>
              <w:t>Acceptable</w:t>
            </w:r>
          </w:p>
        </w:tc>
      </w:tr>
      <w:tr w:rsidR="00FF3977" w14:paraId="7962299E" w14:textId="77777777" w:rsidTr="00FF3977">
        <w:tc>
          <w:tcPr>
            <w:tcW w:w="881" w:type="pct"/>
          </w:tcPr>
          <w:p w14:paraId="345A2111" w14:textId="77777777" w:rsidR="00FF3977" w:rsidRPr="00A411E7" w:rsidRDefault="00FF3977" w:rsidP="00FF3977">
            <w:pPr>
              <w:rPr>
                <w:rFonts w:eastAsia="Calibri"/>
              </w:rPr>
            </w:pPr>
            <w:r w:rsidRPr="00A411E7">
              <w:rPr>
                <w:rFonts w:eastAsia="Calibri"/>
              </w:rPr>
              <w:t>Dust explosion hazard</w:t>
            </w:r>
          </w:p>
        </w:tc>
        <w:tc>
          <w:tcPr>
            <w:tcW w:w="516" w:type="pct"/>
          </w:tcPr>
          <w:p w14:paraId="00B34CEA" w14:textId="77777777" w:rsidR="00FF3977" w:rsidRPr="00A411E7" w:rsidRDefault="00FF3977" w:rsidP="00FF3977">
            <w:pPr>
              <w:rPr>
                <w:rFonts w:eastAsia="Calibri"/>
              </w:rPr>
            </w:pPr>
            <w:r>
              <w:rPr>
                <w:rFonts w:eastAsia="Calibri"/>
              </w:rPr>
              <w:t>-</w:t>
            </w:r>
          </w:p>
        </w:tc>
        <w:tc>
          <w:tcPr>
            <w:tcW w:w="600" w:type="pct"/>
          </w:tcPr>
          <w:p w14:paraId="799A6846" w14:textId="77777777" w:rsidR="00FF3977" w:rsidRPr="00A411E7" w:rsidRDefault="00FF3977" w:rsidP="00FF3977">
            <w:pPr>
              <w:rPr>
                <w:rFonts w:eastAsia="Calibri"/>
              </w:rPr>
            </w:pPr>
            <w:r>
              <w:rPr>
                <w:rFonts w:eastAsia="Calibri"/>
              </w:rPr>
              <w:t>-</w:t>
            </w:r>
          </w:p>
        </w:tc>
        <w:tc>
          <w:tcPr>
            <w:tcW w:w="1460" w:type="pct"/>
            <w:vAlign w:val="center"/>
          </w:tcPr>
          <w:p w14:paraId="339F3945" w14:textId="77777777" w:rsidR="00FF3977" w:rsidRPr="00A411E7" w:rsidRDefault="00FF3977" w:rsidP="00FF3977">
            <w:pPr>
              <w:rPr>
                <w:rFonts w:eastAsia="Calibri"/>
              </w:rPr>
            </w:pPr>
            <w:r>
              <w:rPr>
                <w:color w:val="000000"/>
              </w:rPr>
              <w:t>Not required as the product is a liquid.</w:t>
            </w:r>
          </w:p>
        </w:tc>
        <w:tc>
          <w:tcPr>
            <w:tcW w:w="771" w:type="pct"/>
          </w:tcPr>
          <w:p w14:paraId="7E64EA66" w14:textId="77777777" w:rsidR="00FF3977" w:rsidRPr="00A411E7" w:rsidRDefault="00FF3977" w:rsidP="00FF3977">
            <w:pPr>
              <w:rPr>
                <w:rFonts w:eastAsia="Calibri"/>
              </w:rPr>
            </w:pPr>
            <w:r>
              <w:rPr>
                <w:rFonts w:eastAsia="Calibri"/>
              </w:rPr>
              <w:t>-</w:t>
            </w:r>
          </w:p>
        </w:tc>
        <w:tc>
          <w:tcPr>
            <w:tcW w:w="771" w:type="pct"/>
          </w:tcPr>
          <w:p w14:paraId="00813F33" w14:textId="77777777" w:rsidR="00FF3977" w:rsidRDefault="00FF3977" w:rsidP="00FF3977">
            <w:pPr>
              <w:rPr>
                <w:rFonts w:eastAsia="Calibri"/>
              </w:rPr>
            </w:pPr>
            <w:r>
              <w:rPr>
                <w:rFonts w:eastAsia="Calibri"/>
              </w:rPr>
              <w:t>Acceptable</w:t>
            </w:r>
          </w:p>
        </w:tc>
      </w:tr>
    </w:tbl>
    <w:p w14:paraId="292150B9" w14:textId="77777777" w:rsidR="00FF3977" w:rsidRDefault="00FF3977" w:rsidP="00E91F85">
      <w:pPr>
        <w:pStyle w:val="Absatz"/>
        <w:ind w:left="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F3977" w:rsidRPr="008F04BD" w14:paraId="4956128D"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25084544" w14:textId="77777777" w:rsidR="00FF3977" w:rsidRPr="00F24D0D" w:rsidRDefault="00FF3977" w:rsidP="00FF3977">
            <w:pPr>
              <w:spacing w:line="260" w:lineRule="atLeast"/>
              <w:rPr>
                <w:rFonts w:eastAsia="Calibri"/>
                <w:b/>
                <w:bCs/>
                <w:lang w:eastAsia="en-US"/>
              </w:rPr>
            </w:pPr>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r>
              <w:rPr>
                <w:rFonts w:eastAsia="Calibri"/>
                <w:b/>
                <w:bCs/>
                <w:lang w:eastAsia="en-US"/>
              </w:rPr>
              <w:t>s: All Meta-SPC</w:t>
            </w:r>
          </w:p>
        </w:tc>
      </w:tr>
      <w:tr w:rsidR="00FF3977" w:rsidRPr="008F04BD" w14:paraId="4830C3E6"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61284B1" w14:textId="77777777" w:rsidR="00FF3977" w:rsidRDefault="00FF3977" w:rsidP="00FF3977">
            <w:pPr>
              <w:spacing w:line="276" w:lineRule="auto"/>
              <w:jc w:val="both"/>
              <w:rPr>
                <w:lang w:eastAsia="en-US"/>
              </w:rPr>
            </w:pPr>
            <w:r>
              <w:rPr>
                <w:lang w:eastAsia="en-US"/>
              </w:rPr>
              <w:t>All results above have been defined in accordance with the current requirements (</w:t>
            </w:r>
            <w:r w:rsidRPr="001D704F">
              <w:rPr>
                <w:lang w:eastAsia="en-US"/>
              </w:rPr>
              <w:t>Regulation (EU) No 528/2012</w:t>
            </w:r>
            <w:r>
              <w:rPr>
                <w:color w:val="FF0000"/>
                <w:lang w:eastAsia="en-US"/>
              </w:rPr>
              <w:t xml:space="preserve"> </w:t>
            </w:r>
            <w:r>
              <w:rPr>
                <w:color w:val="FF0000"/>
                <w:lang w:eastAsia="en-US"/>
              </w:rPr>
              <w:fldChar w:fldCharType="begin"/>
            </w:r>
            <w:r>
              <w:rPr>
                <w:color w:val="FF0000"/>
                <w:lang w:eastAsia="en-US"/>
              </w:rPr>
              <w:instrText xml:space="preserve"> ADDIN ZOTERO_ITEM CSL_CITATION {"citationID":"yASLKE3C","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rPr>
                <w:color w:val="FF0000"/>
                <w:lang w:eastAsia="en-US"/>
              </w:rPr>
              <w:fldChar w:fldCharType="separate"/>
            </w:r>
            <w:r w:rsidRPr="005D0005">
              <w:t>(1)</w:t>
            </w:r>
            <w:r>
              <w:rPr>
                <w:color w:val="FF0000"/>
                <w:lang w:eastAsia="en-US"/>
              </w:rPr>
              <w:fldChar w:fldCharType="end"/>
            </w:r>
            <w:r>
              <w:rPr>
                <w:color w:val="FF0000"/>
                <w:lang w:eastAsia="en-US"/>
              </w:rPr>
              <w:t xml:space="preserve"> </w:t>
            </w:r>
            <w:r w:rsidRPr="001D704F">
              <w:rPr>
                <w:lang w:eastAsia="en-US"/>
              </w:rPr>
              <w:t xml:space="preserve">and ECHA </w:t>
            </w:r>
            <w:r>
              <w:rPr>
                <w:lang w:eastAsia="en-US"/>
              </w:rPr>
              <w:t>G</w:t>
            </w:r>
            <w:r w:rsidRPr="001D704F">
              <w:rPr>
                <w:lang w:eastAsia="en-US"/>
              </w:rPr>
              <w:t>uidance Vol. I, Parts A+B+C</w:t>
            </w:r>
            <w:r>
              <w:rPr>
                <w:lang w:eastAsia="en-US"/>
              </w:rPr>
              <w:t xml:space="preserve"> </w:t>
            </w:r>
            <w:r>
              <w:rPr>
                <w:lang w:eastAsia="en-US"/>
              </w:rPr>
              <w:fldChar w:fldCharType="begin"/>
            </w:r>
            <w:r>
              <w:rPr>
                <w:lang w:eastAsia="en-US"/>
              </w:rPr>
              <w:instrText xml:space="preserve"> ADDIN ZOTERO_ITEM CSL_CITATION {"citationID":"o6PNRPa7","properties":{"formattedCitation":"(3)","plainCitation":"(3)","noteIndex":0},"citationItems":[{"id":171,"uris":["http://zotero.org/users/5589992/items/Y3Y8KR8K"],"uri":["http://zotero.org/users/5589992/items/Y3Y8KR8K"],"itemData":{"id":171,"type":"article","title":"Guidance on the Biocidal Products Regulation: Volume I: Identity of the active substance/physico-chemical properties/analytical methodology - Parts A+B+C: Information Requirements, Evaluation and Assessment (Version 2.0)","author":[{"literal":"European Chemicals Agency (ECHA)"}],"issued":{"date-parts":[["2018",5]]}}}],"schema":"https://github.com/citation-style-language/schema/raw/master/csl-citation.json"} </w:instrText>
            </w:r>
            <w:r>
              <w:rPr>
                <w:lang w:eastAsia="en-US"/>
              </w:rPr>
              <w:fldChar w:fldCharType="separate"/>
            </w:r>
            <w:r w:rsidRPr="005D0005">
              <w:t>(3)</w:t>
            </w:r>
            <w:r>
              <w:rPr>
                <w:lang w:eastAsia="en-US"/>
              </w:rPr>
              <w:fldChar w:fldCharType="end"/>
            </w:r>
            <w:r>
              <w:rPr>
                <w:lang w:eastAsia="en-US"/>
              </w:rPr>
              <w:t xml:space="preserve">) and the results are deemed to be acceptable. </w:t>
            </w:r>
          </w:p>
          <w:p w14:paraId="0F792922" w14:textId="77777777" w:rsidR="00FF3977" w:rsidRDefault="00FF3977" w:rsidP="00FF3977">
            <w:pPr>
              <w:spacing w:line="276" w:lineRule="auto"/>
              <w:jc w:val="both"/>
              <w:rPr>
                <w:lang w:eastAsia="en-US"/>
              </w:rPr>
            </w:pPr>
            <w:r w:rsidRPr="006F5ED3">
              <w:rPr>
                <w:lang w:eastAsia="en-US"/>
              </w:rPr>
              <w:t>The product</w:t>
            </w:r>
            <w:r>
              <w:rPr>
                <w:lang w:eastAsia="en-US"/>
              </w:rPr>
              <w:t>s are</w:t>
            </w:r>
            <w:r w:rsidRPr="006F5ED3">
              <w:rPr>
                <w:lang w:eastAsia="en-US"/>
              </w:rPr>
              <w:t xml:space="preserve"> not flammable or explosive and does not possess oxidizing properties.</w:t>
            </w:r>
            <w:r>
              <w:rPr>
                <w:lang w:eastAsia="en-US"/>
              </w:rPr>
              <w:t xml:space="preserve"> Products of Meta SPC 1, 2, 3, 4, 6, 7, 9 and 11 are considered corrosive to metals.</w:t>
            </w:r>
          </w:p>
          <w:p w14:paraId="362BC4FC" w14:textId="6E32CF13" w:rsidR="00FF3977" w:rsidRPr="00F24D0D" w:rsidRDefault="00BD008D" w:rsidP="00FF3977">
            <w:pPr>
              <w:spacing w:line="260" w:lineRule="atLeast"/>
              <w:rPr>
                <w:rFonts w:eastAsia="Calibri"/>
                <w:lang w:eastAsia="en-US"/>
              </w:rPr>
            </w:pPr>
            <w:r>
              <w:rPr>
                <w:rFonts w:eastAsia="Calibri"/>
                <w:lang w:eastAsia="en-US"/>
              </w:rPr>
              <w:t>For self-reactive properties,</w:t>
            </w:r>
            <w:r w:rsidRPr="00BD008D">
              <w:rPr>
                <w:rFonts w:eastAsia="Calibri"/>
                <w:lang w:eastAsia="en-US"/>
              </w:rPr>
              <w:t xml:space="preserve"> DSC tests of representative products of all Meta SPCs should be provided in post auth</w:t>
            </w:r>
            <w:r w:rsidR="002C24C2">
              <w:rPr>
                <w:rFonts w:eastAsia="Calibri"/>
                <w:lang w:eastAsia="en-US"/>
              </w:rPr>
              <w:t>orisation to confirm</w:t>
            </w:r>
            <w:r w:rsidRPr="00BD008D">
              <w:rPr>
                <w:rFonts w:eastAsia="Calibri"/>
                <w:lang w:eastAsia="en-US"/>
              </w:rPr>
              <w:t xml:space="preserve"> the non-classification in this hazard class.</w:t>
            </w:r>
          </w:p>
        </w:tc>
      </w:tr>
    </w:tbl>
    <w:p w14:paraId="2ACFE2D8" w14:textId="1CB23C4F" w:rsidR="00FF3977" w:rsidRDefault="00FF3977" w:rsidP="00E91F85">
      <w:pPr>
        <w:pStyle w:val="Absatz"/>
        <w:ind w:left="0"/>
        <w:rPr>
          <w:rFonts w:eastAsia="Calibri"/>
          <w:lang w:eastAsia="en-US"/>
        </w:rPr>
      </w:pPr>
    </w:p>
    <w:p w14:paraId="7CC063E2" w14:textId="77777777" w:rsidR="00FF3977" w:rsidRPr="00B27CB1" w:rsidRDefault="00FF3977">
      <w:pPr>
        <w:pStyle w:val="Absatz"/>
        <w:rPr>
          <w:rFonts w:eastAsia="Calibri"/>
          <w:lang w:eastAsia="en-US"/>
        </w:rPr>
      </w:pPr>
    </w:p>
    <w:p w14:paraId="17EB5EC2" w14:textId="77777777" w:rsidR="009D0C0B" w:rsidRPr="00B27CB1" w:rsidRDefault="009D0C0B" w:rsidP="00EC1BDB">
      <w:pPr>
        <w:rPr>
          <w:rFonts w:eastAsia="Calibri"/>
          <w:lang w:eastAsia="en-US"/>
        </w:rPr>
      </w:pPr>
    </w:p>
    <w:p w14:paraId="4BF9A341" w14:textId="77777777" w:rsidR="009D0C0B" w:rsidRPr="00B27CB1" w:rsidRDefault="009D0C0B">
      <w:pPr>
        <w:pStyle w:val="Absatz"/>
        <w:rPr>
          <w:rFonts w:eastAsia="Calibri"/>
          <w:lang w:eastAsia="en-US"/>
        </w:rPr>
      </w:pPr>
    </w:p>
    <w:p w14:paraId="42F8D5CC" w14:textId="77777777" w:rsidR="009D0C0B" w:rsidRPr="00B27CB1" w:rsidRDefault="00FA480B">
      <w:pPr>
        <w:pStyle w:val="Titre3"/>
        <w:rPr>
          <w:lang w:val="en-GB"/>
        </w:rPr>
      </w:pPr>
      <w:bookmarkStart w:id="163" w:name="_Toc87361190"/>
      <w:r w:rsidRPr="00B27CB1">
        <w:rPr>
          <w:lang w:val="en-GB"/>
        </w:rPr>
        <w:t>Methods for detection and identification</w:t>
      </w:r>
      <w:bookmarkEnd w:id="163"/>
    </w:p>
    <w:p w14:paraId="5AA530DC" w14:textId="17AF0F01" w:rsidR="00FF3977" w:rsidRDefault="00FF3977">
      <w:pPr>
        <w:spacing w:line="260" w:lineRule="atLeast"/>
        <w:jc w:val="both"/>
      </w:pPr>
      <w:r w:rsidRPr="00CC3B6F">
        <w:rPr>
          <w:rFonts w:eastAsia="Calibri"/>
        </w:rPr>
        <w:t xml:space="preserve">Information on </w:t>
      </w:r>
      <w:r>
        <w:rPr>
          <w:rFonts w:eastAsia="Calibri"/>
        </w:rPr>
        <w:t xml:space="preserve">analytical method data </w:t>
      </w:r>
      <w:r w:rsidRPr="00CC3B6F">
        <w:rPr>
          <w:rFonts w:eastAsia="Calibri"/>
        </w:rPr>
        <w:t>for the biocidal product</w:t>
      </w:r>
      <w:r>
        <w:rPr>
          <w:rFonts w:eastAsia="Calibri"/>
        </w:rPr>
        <w:t xml:space="preserve"> family were submitted in accordance with the technical document CA-Nov14-Doc.5.8 – Final.rev3</w:t>
      </w:r>
      <w:r>
        <w:rPr>
          <w:rFonts w:eastAsia="Calibri"/>
        </w:rPr>
        <w:fldChar w:fldCharType="begin"/>
      </w:r>
      <w:r>
        <w:rPr>
          <w:rFonts w:eastAsia="Calibri"/>
        </w:rPr>
        <w:instrText xml:space="preserve"> ADDIN ZOTERO_ITEM CSL_CITATION {"citationID":"jvY7wRSw","properties":{"formattedCitation":"(2)","plainCitation":"(2)","dontUpdate":true,"noteIndex":0},"citationItems":[{"id":161,"uris":["http://zotero.org/users/5589992/items/VR4SS2Y7"],"uri":["http://zotero.org/users/5589992/items/VR4SS2Y7"],"itemData":{"id":161,"type":"article","title":"Note for guidance. Implementing the new concept of biocidal product families. (CA-Nov14-Doc.5.8-Final.rev3)","author":[{"literal":"European Commission (EC)"}],"issued":{"date-parts":[["2014"]]}}}],"schema":"https://github.com/citation-style-language/schema/raw/master/csl-citation.json"} </w:instrText>
      </w:r>
      <w:r>
        <w:rPr>
          <w:rFonts w:eastAsia="Calibri"/>
        </w:rPr>
        <w:fldChar w:fldCharType="separate"/>
      </w:r>
      <w:r>
        <w:rPr>
          <w:rFonts w:eastAsia="Calibri"/>
        </w:rPr>
        <w:t xml:space="preserve"> </w:t>
      </w:r>
      <w:r w:rsidRPr="001D704F">
        <w:rPr>
          <w:rFonts w:eastAsia="Calibri"/>
        </w:rPr>
        <w:t>(2)</w:t>
      </w:r>
      <w:r>
        <w:rPr>
          <w:rFonts w:eastAsia="Calibri"/>
        </w:rPr>
        <w:fldChar w:fldCharType="end"/>
      </w:r>
      <w:r>
        <w:rPr>
          <w:rFonts w:eastAsia="Calibri"/>
        </w:rPr>
        <w:t>. The assessment and testing strategy are identicals to physicochemical part. They are based on the realistic parameters for each Meta-SPC, that means that testing formula is one of the marketing formula of the Meta-SPC or the testing formula is very close in terms of composition of the marketing formula. So studies have been realized for each Meta-SPC</w:t>
      </w:r>
      <w:r>
        <w:rPr>
          <w:rFonts w:eastAsia="Calibri"/>
          <w:lang w:val="en-US"/>
        </w:rPr>
        <w:t>.</w:t>
      </w:r>
    </w:p>
    <w:p w14:paraId="58EEF4AB" w14:textId="77777777" w:rsidR="00FF3977" w:rsidRDefault="00FF3977">
      <w:pPr>
        <w:spacing w:line="260" w:lineRule="atLeast"/>
        <w:jc w:val="both"/>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5"/>
        <w:gridCol w:w="2210"/>
        <w:gridCol w:w="1725"/>
        <w:gridCol w:w="1600"/>
        <w:gridCol w:w="1860"/>
        <w:gridCol w:w="1809"/>
        <w:gridCol w:w="1573"/>
        <w:gridCol w:w="1159"/>
      </w:tblGrid>
      <w:tr w:rsidR="00FF3977" w:rsidRPr="00FD2055" w14:paraId="05D3E087" w14:textId="77777777" w:rsidTr="00FF3977">
        <w:trPr>
          <w:cantSplit/>
          <w:trHeight w:val="439"/>
          <w:jc w:val="center"/>
        </w:trPr>
        <w:tc>
          <w:tcPr>
            <w:tcW w:w="524" w:type="pct"/>
            <w:vMerge w:val="restart"/>
            <w:shd w:val="clear" w:color="auto" w:fill="FFFFCC"/>
            <w:vAlign w:val="center"/>
          </w:tcPr>
          <w:p w14:paraId="1C7BD759" w14:textId="77777777" w:rsidR="00FF3977" w:rsidRPr="00FD2055" w:rsidRDefault="00FF3977" w:rsidP="00FF3977">
            <w:pPr>
              <w:keepNext/>
              <w:widowControl w:val="0"/>
              <w:autoSpaceDE w:val="0"/>
              <w:autoSpaceDN w:val="0"/>
              <w:adjustRightInd w:val="0"/>
              <w:spacing w:before="60" w:after="60"/>
              <w:jc w:val="center"/>
              <w:rPr>
                <w:rFonts w:eastAsia="Calibri"/>
                <w:b/>
              </w:rPr>
            </w:pPr>
            <w:r>
              <w:rPr>
                <w:rFonts w:eastAsia="Calibri"/>
                <w:b/>
              </w:rPr>
              <w:lastRenderedPageBreak/>
              <w:t>Meta-SPC</w:t>
            </w:r>
          </w:p>
        </w:tc>
        <w:tc>
          <w:tcPr>
            <w:tcW w:w="4476" w:type="pct"/>
            <w:gridSpan w:val="7"/>
            <w:shd w:val="clear" w:color="auto" w:fill="FFFFCC"/>
            <w:vAlign w:val="center"/>
          </w:tcPr>
          <w:p w14:paraId="56012ACD" w14:textId="77777777" w:rsidR="00FF3977" w:rsidRPr="00FD2055" w:rsidRDefault="00FF3977" w:rsidP="00FF3977">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FF3977" w:rsidRPr="00FD2055" w14:paraId="1565F437" w14:textId="77777777" w:rsidTr="00FF3977">
        <w:trPr>
          <w:cantSplit/>
          <w:trHeight w:val="1209"/>
          <w:jc w:val="center"/>
        </w:trPr>
        <w:tc>
          <w:tcPr>
            <w:tcW w:w="524" w:type="pct"/>
            <w:vMerge/>
            <w:tcBorders>
              <w:bottom w:val="single" w:sz="4" w:space="0" w:color="auto"/>
            </w:tcBorders>
            <w:shd w:val="clear" w:color="auto" w:fill="FFFFFF"/>
          </w:tcPr>
          <w:p w14:paraId="2C595DA8" w14:textId="77777777" w:rsidR="00FF3977" w:rsidRPr="00FD2055" w:rsidRDefault="00FF3977" w:rsidP="00FF3977">
            <w:pPr>
              <w:keepNext/>
              <w:widowControl w:val="0"/>
              <w:autoSpaceDE w:val="0"/>
              <w:autoSpaceDN w:val="0"/>
              <w:adjustRightInd w:val="0"/>
              <w:spacing w:before="60" w:after="60"/>
              <w:rPr>
                <w:b/>
                <w:bCs/>
                <w:sz w:val="18"/>
                <w:szCs w:val="18"/>
              </w:rPr>
            </w:pPr>
          </w:p>
        </w:tc>
        <w:tc>
          <w:tcPr>
            <w:tcW w:w="819" w:type="pct"/>
            <w:tcBorders>
              <w:bottom w:val="single" w:sz="4" w:space="0" w:color="auto"/>
            </w:tcBorders>
            <w:shd w:val="clear" w:color="auto" w:fill="FFFFFF"/>
          </w:tcPr>
          <w:p w14:paraId="7B6ABBDC" w14:textId="77777777" w:rsidR="00FF3977" w:rsidRPr="00FD2055" w:rsidRDefault="00FF3977" w:rsidP="00FF3977">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656" w:type="pct"/>
            <w:tcBorders>
              <w:bottom w:val="single" w:sz="4" w:space="0" w:color="auto"/>
            </w:tcBorders>
            <w:shd w:val="clear" w:color="auto" w:fill="FFFFFF"/>
          </w:tcPr>
          <w:p w14:paraId="48B5F237" w14:textId="77777777" w:rsidR="00FF3977" w:rsidRPr="00FD2055" w:rsidRDefault="00FF3977" w:rsidP="00FF3977">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09" w:type="pct"/>
            <w:tcBorders>
              <w:bottom w:val="single" w:sz="4" w:space="0" w:color="auto"/>
            </w:tcBorders>
            <w:shd w:val="clear" w:color="auto" w:fill="FFFFFF"/>
          </w:tcPr>
          <w:p w14:paraId="0719F53C" w14:textId="77777777" w:rsidR="00FF3977" w:rsidRPr="00FD2055" w:rsidRDefault="00FF3977" w:rsidP="00FF3977">
            <w:pPr>
              <w:keepNext/>
              <w:widowControl w:val="0"/>
              <w:autoSpaceDE w:val="0"/>
              <w:autoSpaceDN w:val="0"/>
              <w:adjustRightInd w:val="0"/>
              <w:spacing w:before="60" w:after="60"/>
              <w:rPr>
                <w:b/>
                <w:bCs/>
                <w:sz w:val="18"/>
                <w:szCs w:val="18"/>
              </w:rPr>
            </w:pPr>
            <w:r w:rsidRPr="00FD2055">
              <w:rPr>
                <w:b/>
                <w:bCs/>
                <w:sz w:val="18"/>
                <w:szCs w:val="18"/>
              </w:rPr>
              <w:t>Linearity</w:t>
            </w:r>
            <w:r w:rsidRPr="00FD2055" w:rsidDel="007A0829">
              <w:rPr>
                <w:b/>
                <w:bCs/>
                <w:sz w:val="18"/>
                <w:szCs w:val="18"/>
              </w:rPr>
              <w:t xml:space="preserve"> </w:t>
            </w:r>
          </w:p>
        </w:tc>
        <w:tc>
          <w:tcPr>
            <w:tcW w:w="689" w:type="pct"/>
            <w:tcBorders>
              <w:bottom w:val="single" w:sz="4" w:space="0" w:color="auto"/>
            </w:tcBorders>
            <w:shd w:val="clear" w:color="auto" w:fill="FFFFFF"/>
          </w:tcPr>
          <w:p w14:paraId="09E1BCB1" w14:textId="77777777" w:rsidR="00FF3977" w:rsidRPr="00FD2055" w:rsidRDefault="00FF3977" w:rsidP="00FF3977">
            <w:pPr>
              <w:keepNext/>
              <w:widowControl w:val="0"/>
              <w:autoSpaceDE w:val="0"/>
              <w:autoSpaceDN w:val="0"/>
              <w:adjustRightInd w:val="0"/>
              <w:spacing w:before="60" w:after="60"/>
              <w:rPr>
                <w:b/>
                <w:bCs/>
                <w:sz w:val="18"/>
                <w:szCs w:val="18"/>
              </w:rPr>
            </w:pPr>
            <w:r w:rsidRPr="007A0829">
              <w:rPr>
                <w:b/>
                <w:bCs/>
                <w:sz w:val="18"/>
                <w:szCs w:val="18"/>
              </w:rPr>
              <w:t>Accuracy</w:t>
            </w:r>
            <w:r w:rsidRPr="007A0829" w:rsidDel="007A0829">
              <w:rPr>
                <w:b/>
                <w:bCs/>
                <w:sz w:val="18"/>
                <w:szCs w:val="18"/>
              </w:rPr>
              <w:t xml:space="preserve"> </w:t>
            </w:r>
          </w:p>
        </w:tc>
        <w:tc>
          <w:tcPr>
            <w:tcW w:w="687" w:type="pct"/>
            <w:tcBorders>
              <w:bottom w:val="single" w:sz="4" w:space="0" w:color="auto"/>
            </w:tcBorders>
            <w:shd w:val="clear" w:color="auto" w:fill="FFFFFF"/>
          </w:tcPr>
          <w:p w14:paraId="34108720" w14:textId="77777777" w:rsidR="00FF3977" w:rsidRPr="00FD2055" w:rsidRDefault="00FF3977" w:rsidP="00FF3977">
            <w:pPr>
              <w:keepNext/>
              <w:widowControl w:val="0"/>
              <w:autoSpaceDE w:val="0"/>
              <w:autoSpaceDN w:val="0"/>
              <w:adjustRightInd w:val="0"/>
              <w:spacing w:before="60" w:after="60"/>
              <w:rPr>
                <w:b/>
                <w:bCs/>
                <w:sz w:val="18"/>
                <w:szCs w:val="18"/>
              </w:rPr>
            </w:pPr>
            <w:r w:rsidRPr="00FD2055">
              <w:rPr>
                <w:b/>
                <w:bCs/>
                <w:sz w:val="18"/>
                <w:szCs w:val="18"/>
              </w:rPr>
              <w:t>Specificity</w:t>
            </w:r>
          </w:p>
        </w:tc>
        <w:tc>
          <w:tcPr>
            <w:tcW w:w="585" w:type="pct"/>
            <w:tcBorders>
              <w:bottom w:val="single" w:sz="4" w:space="0" w:color="auto"/>
            </w:tcBorders>
            <w:shd w:val="clear" w:color="auto" w:fill="FFFFFF"/>
          </w:tcPr>
          <w:p w14:paraId="791CB2A2" w14:textId="77777777" w:rsidR="00FF3977" w:rsidRPr="00FD2055" w:rsidRDefault="00FF3977" w:rsidP="00FF3977">
            <w:pPr>
              <w:keepNext/>
              <w:widowControl w:val="0"/>
              <w:autoSpaceDE w:val="0"/>
              <w:autoSpaceDN w:val="0"/>
              <w:adjustRightInd w:val="0"/>
              <w:spacing w:before="60" w:after="60"/>
              <w:rPr>
                <w:b/>
                <w:bCs/>
                <w:sz w:val="18"/>
                <w:szCs w:val="18"/>
              </w:rPr>
            </w:pPr>
            <w:r w:rsidRPr="007A0829">
              <w:rPr>
                <w:b/>
                <w:bCs/>
                <w:sz w:val="18"/>
                <w:szCs w:val="18"/>
              </w:rPr>
              <w:t>Precision</w:t>
            </w:r>
          </w:p>
        </w:tc>
        <w:tc>
          <w:tcPr>
            <w:tcW w:w="429" w:type="pct"/>
            <w:tcBorders>
              <w:bottom w:val="single" w:sz="4" w:space="0" w:color="auto"/>
            </w:tcBorders>
            <w:shd w:val="clear" w:color="auto" w:fill="FFFFFF"/>
          </w:tcPr>
          <w:p w14:paraId="5CFDF327" w14:textId="77777777" w:rsidR="00FF3977" w:rsidRPr="00FD2055" w:rsidRDefault="00FF3977" w:rsidP="00FF3977">
            <w:pPr>
              <w:keepNext/>
              <w:widowControl w:val="0"/>
              <w:autoSpaceDE w:val="0"/>
              <w:autoSpaceDN w:val="0"/>
              <w:adjustRightInd w:val="0"/>
              <w:spacing w:before="60" w:after="60"/>
              <w:rPr>
                <w:b/>
                <w:bCs/>
                <w:sz w:val="18"/>
                <w:szCs w:val="18"/>
              </w:rPr>
            </w:pPr>
            <w:r w:rsidRPr="00FD2055">
              <w:rPr>
                <w:b/>
                <w:bCs/>
                <w:sz w:val="18"/>
                <w:szCs w:val="18"/>
              </w:rPr>
              <w:t>Reference</w:t>
            </w:r>
          </w:p>
        </w:tc>
      </w:tr>
      <w:tr w:rsidR="00FF3977" w:rsidRPr="00FD2055" w14:paraId="3193552C" w14:textId="77777777" w:rsidTr="00FF3977">
        <w:trPr>
          <w:jc w:val="center"/>
        </w:trPr>
        <w:tc>
          <w:tcPr>
            <w:tcW w:w="524" w:type="pct"/>
            <w:vAlign w:val="center"/>
          </w:tcPr>
          <w:p w14:paraId="03569BAE" w14:textId="77777777" w:rsidR="00FF3977" w:rsidRDefault="00FF3977" w:rsidP="00FF3977">
            <w:pPr>
              <w:spacing w:before="60" w:after="60"/>
              <w:rPr>
                <w:color w:val="000000"/>
                <w:sz w:val="18"/>
                <w:szCs w:val="18"/>
              </w:rPr>
            </w:pPr>
            <w:r>
              <w:rPr>
                <w:color w:val="000000"/>
                <w:sz w:val="18"/>
                <w:szCs w:val="18"/>
              </w:rPr>
              <w:t>Transversal method for determination of Lactic acid in all Meta-SPC</w:t>
            </w:r>
          </w:p>
          <w:p w14:paraId="2C9F1071" w14:textId="77777777" w:rsidR="00FF3977" w:rsidRDefault="00FF3977" w:rsidP="00FF3977">
            <w:pPr>
              <w:spacing w:before="60" w:after="60"/>
              <w:rPr>
                <w:color w:val="000000"/>
                <w:sz w:val="18"/>
                <w:szCs w:val="18"/>
              </w:rPr>
            </w:pPr>
            <w:r>
              <w:rPr>
                <w:color w:val="000000"/>
                <w:sz w:val="18"/>
                <w:szCs w:val="18"/>
              </w:rPr>
              <w:t>Test item: 214063-B1</w:t>
            </w:r>
          </w:p>
        </w:tc>
        <w:tc>
          <w:tcPr>
            <w:tcW w:w="819" w:type="pct"/>
            <w:shd w:val="clear" w:color="auto" w:fill="auto"/>
            <w:vAlign w:val="center"/>
          </w:tcPr>
          <w:p w14:paraId="6D469BA9"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48CE8FB7" w14:textId="77777777" w:rsidR="00FF3977" w:rsidRPr="00FD2055" w:rsidRDefault="00FF3977" w:rsidP="00FF3977">
            <w:pPr>
              <w:spacing w:before="60" w:after="60"/>
              <w:rPr>
                <w:color w:val="000000"/>
                <w:sz w:val="18"/>
                <w:szCs w:val="18"/>
              </w:rPr>
            </w:pPr>
            <w:r>
              <w:rPr>
                <w:color w:val="000000"/>
                <w:sz w:val="18"/>
                <w:szCs w:val="18"/>
              </w:rPr>
              <w:t>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Lactic acid was analyzed by liquid chromatography using an UV detector.</w:t>
            </w:r>
          </w:p>
        </w:tc>
        <w:tc>
          <w:tcPr>
            <w:tcW w:w="609" w:type="pct"/>
            <w:vAlign w:val="center"/>
          </w:tcPr>
          <w:p w14:paraId="376C39EB" w14:textId="77777777" w:rsidR="00FF3977" w:rsidRPr="00FD2055" w:rsidRDefault="00FF3977" w:rsidP="00FF3977">
            <w:pPr>
              <w:spacing w:before="60" w:after="60"/>
              <w:rPr>
                <w:color w:val="000000"/>
                <w:sz w:val="18"/>
                <w:szCs w:val="18"/>
              </w:rPr>
            </w:pPr>
            <w:r>
              <w:rPr>
                <w:color w:val="000000"/>
                <w:sz w:val="18"/>
                <w:szCs w:val="18"/>
              </w:rPr>
              <w:t>To define the linearity of the detector answer of lactic acid, five concentrations of</w:t>
            </w:r>
            <w:r>
              <w:rPr>
                <w:color w:val="000000"/>
                <w:sz w:val="18"/>
                <w:szCs w:val="18"/>
              </w:rPr>
              <w:br/>
              <w:t>the reference items were analysed.</w:t>
            </w:r>
            <w:r>
              <w:rPr>
                <w:color w:val="000000"/>
                <w:sz w:val="18"/>
                <w:szCs w:val="18"/>
              </w:rPr>
              <w:br/>
            </w:r>
            <w:r>
              <w:rPr>
                <w:b/>
                <w:bCs/>
                <w:color w:val="000000"/>
                <w:sz w:val="18"/>
                <w:szCs w:val="18"/>
              </w:rPr>
              <w:t>The response of the detector during the analysis of lactic acid was linear within the</w:t>
            </w:r>
            <w:r>
              <w:rPr>
                <w:b/>
                <w:bCs/>
                <w:color w:val="000000"/>
                <w:sz w:val="18"/>
                <w:szCs w:val="18"/>
              </w:rPr>
              <w:br/>
              <w:t>range of 1.128 g/L to 12.73 g/L (r = 1.0000).</w:t>
            </w:r>
          </w:p>
        </w:tc>
        <w:tc>
          <w:tcPr>
            <w:tcW w:w="689" w:type="pct"/>
            <w:vAlign w:val="center"/>
          </w:tcPr>
          <w:p w14:paraId="4DF6CF6D"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samplings.</w:t>
            </w:r>
            <w:r>
              <w:rPr>
                <w:color w:val="000000"/>
                <w:sz w:val="18"/>
                <w:szCs w:val="18"/>
              </w:rPr>
              <w:br/>
              <w:t>The accuracy results of lactic acid were in conformity with the Guidelines</w:t>
            </w:r>
            <w:r>
              <w:rPr>
                <w:color w:val="000000"/>
                <w:sz w:val="18"/>
                <w:szCs w:val="18"/>
              </w:rPr>
              <w:br/>
              <w:t>requirements for formulations containing more than 10% of an active substance. Indeed,</w:t>
            </w:r>
            <w:r>
              <w:rPr>
                <w:color w:val="000000"/>
                <w:sz w:val="18"/>
                <w:szCs w:val="18"/>
              </w:rPr>
              <w:br/>
              <w:t>the recovery results should be in the range 98% - 102% and they were experimentally</w:t>
            </w:r>
            <w:r>
              <w:rPr>
                <w:color w:val="000000"/>
                <w:sz w:val="18"/>
                <w:szCs w:val="18"/>
              </w:rPr>
              <w:br/>
              <w:t>equal to 100.3% and 100.8%.</w:t>
            </w:r>
            <w:r>
              <w:rPr>
                <w:color w:val="000000"/>
                <w:sz w:val="18"/>
                <w:szCs w:val="18"/>
              </w:rPr>
              <w:br/>
            </w:r>
            <w:r>
              <w:rPr>
                <w:b/>
                <w:bCs/>
                <w:color w:val="000000"/>
                <w:sz w:val="18"/>
                <w:szCs w:val="18"/>
              </w:rPr>
              <w:t>The accuracy results of lactic acid were in conformity with the Guidelines</w:t>
            </w:r>
            <w:r>
              <w:rPr>
                <w:b/>
                <w:bCs/>
                <w:color w:val="000000"/>
                <w:sz w:val="18"/>
                <w:szCs w:val="18"/>
              </w:rPr>
              <w:br/>
              <w:t xml:space="preserve">requirements for formulations </w:t>
            </w:r>
            <w:r>
              <w:rPr>
                <w:b/>
                <w:bCs/>
                <w:color w:val="000000"/>
                <w:sz w:val="18"/>
                <w:szCs w:val="18"/>
              </w:rPr>
              <w:lastRenderedPageBreak/>
              <w:t>containing more than 10% of an active substance. Indeed,</w:t>
            </w:r>
            <w:r>
              <w:rPr>
                <w:b/>
                <w:bCs/>
                <w:color w:val="000000"/>
                <w:sz w:val="18"/>
                <w:szCs w:val="18"/>
              </w:rPr>
              <w:br/>
              <w:t>the recovery results should be in the range 98% - 102% and they were experimentally</w:t>
            </w:r>
            <w:r>
              <w:rPr>
                <w:b/>
                <w:bCs/>
                <w:color w:val="000000"/>
                <w:sz w:val="18"/>
                <w:szCs w:val="18"/>
              </w:rPr>
              <w:br/>
              <w:t>equal to 100.3% and 100.8%.</w:t>
            </w:r>
          </w:p>
        </w:tc>
        <w:tc>
          <w:tcPr>
            <w:tcW w:w="687" w:type="pct"/>
            <w:vAlign w:val="center"/>
          </w:tcPr>
          <w:p w14:paraId="10806763"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blank, blank formulation, reference item and test item. </w:t>
            </w:r>
            <w:r>
              <w:rPr>
                <w:color w:val="000000"/>
                <w:sz w:val="18"/>
                <w:szCs w:val="18"/>
              </w:rPr>
              <w:br/>
              <w:t>No peak appeared in the solvent blank.</w:t>
            </w:r>
            <w:r>
              <w:rPr>
                <w:color w:val="000000"/>
                <w:sz w:val="18"/>
                <w:szCs w:val="18"/>
              </w:rPr>
              <w:br/>
              <w:t>In the formulation blank, the reference item and the test item, the peak at the retention time around 5.162 min represented lactic acid.</w:t>
            </w:r>
            <w:r>
              <w:rPr>
                <w:color w:val="000000"/>
                <w:sz w:val="18"/>
                <w:szCs w:val="18"/>
              </w:rPr>
              <w:br/>
              <w:t>No additional peak appeared in the reference item, the formulation blank and in the test item.</w:t>
            </w:r>
            <w:r>
              <w:rPr>
                <w:color w:val="000000"/>
                <w:sz w:val="18"/>
                <w:szCs w:val="18"/>
              </w:rPr>
              <w:br/>
              <w:t xml:space="preserve">As the peak area of lactic acid in the formulation </w:t>
            </w:r>
            <w:r>
              <w:rPr>
                <w:color w:val="000000"/>
                <w:sz w:val="18"/>
                <w:szCs w:val="18"/>
              </w:rPr>
              <w:lastRenderedPageBreak/>
              <w:t>blank was lower than 3% of the peak area of lactic acid in the test item, 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290AEBD3" w14:textId="77777777" w:rsidR="00FF3977" w:rsidRPr="00FD2055" w:rsidRDefault="00FF3977" w:rsidP="00FF3977">
            <w:pPr>
              <w:spacing w:before="60" w:after="60"/>
              <w:rPr>
                <w:color w:val="000000"/>
                <w:sz w:val="18"/>
                <w:szCs w:val="18"/>
              </w:rPr>
            </w:pPr>
            <w:r>
              <w:rPr>
                <w:color w:val="000000"/>
                <w:sz w:val="18"/>
                <w:szCs w:val="18"/>
              </w:rPr>
              <w:lastRenderedPageBreak/>
              <w:t>The precision was determined by analysing twice five test item solutions. The content of lactic acid for each analysis was calculated with the average value of the</w:t>
            </w:r>
            <w:r>
              <w:rPr>
                <w:color w:val="000000"/>
                <w:sz w:val="18"/>
                <w:szCs w:val="18"/>
              </w:rPr>
              <w:br/>
              <w:t>response factor of the two calibration solutions bracketing the test item. Then, the average value of the content, the standard deviation and the Relative Standard Deviation (R.S.D.) were calculated.</w:t>
            </w:r>
            <w:r>
              <w:rPr>
                <w:b/>
                <w:bCs/>
                <w:color w:val="000000"/>
                <w:sz w:val="18"/>
                <w:szCs w:val="18"/>
              </w:rPr>
              <w:br/>
              <w:t xml:space="preserve">The concentration of lactic acid in the test </w:t>
            </w:r>
            <w:r>
              <w:rPr>
                <w:b/>
                <w:bCs/>
                <w:color w:val="000000"/>
                <w:sz w:val="18"/>
                <w:szCs w:val="18"/>
              </w:rPr>
              <w:lastRenderedPageBreak/>
              <w:t>item was equal to 24.2% w/w or</w:t>
            </w:r>
            <w:r>
              <w:rPr>
                <w:b/>
                <w:bCs/>
                <w:color w:val="000000"/>
                <w:sz w:val="18"/>
                <w:szCs w:val="18"/>
              </w:rPr>
              <w:br/>
              <w:t>242 g/kg.</w:t>
            </w:r>
            <w:r>
              <w:rPr>
                <w:b/>
                <w:bCs/>
                <w:color w:val="000000"/>
                <w:sz w:val="18"/>
                <w:szCs w:val="18"/>
              </w:rPr>
              <w:br/>
              <w:t>In the case of lactic acid, the precision was acceptable as the R.S.D. was lower</w:t>
            </w:r>
            <w:r>
              <w:rPr>
                <w:b/>
                <w:bCs/>
                <w:color w:val="000000"/>
                <w:sz w:val="18"/>
                <w:szCs w:val="18"/>
              </w:rPr>
              <w:br/>
              <w:t>than the result of the modified Horwitz equation: 0.26 &lt; 1.66 (C = 0.242).</w:t>
            </w:r>
          </w:p>
        </w:tc>
        <w:tc>
          <w:tcPr>
            <w:tcW w:w="429" w:type="pct"/>
            <w:vAlign w:val="center"/>
          </w:tcPr>
          <w:p w14:paraId="2305D399" w14:textId="77777777" w:rsidR="00FF3977" w:rsidRPr="00FD2055" w:rsidRDefault="00FF3977" w:rsidP="00FF3977">
            <w:pPr>
              <w:spacing w:before="60" w:after="60"/>
              <w:rPr>
                <w:color w:val="000000"/>
                <w:sz w:val="18"/>
                <w:szCs w:val="18"/>
              </w:rPr>
            </w:pPr>
            <w:r>
              <w:rPr>
                <w:color w:val="000000"/>
                <w:sz w:val="18"/>
                <w:szCs w:val="18"/>
              </w:rPr>
              <w:lastRenderedPageBreak/>
              <w:t>Ricau H., 2019, Report No 17-901011-001</w:t>
            </w:r>
          </w:p>
        </w:tc>
      </w:tr>
      <w:tr w:rsidR="00FF3977" w:rsidRPr="00FD2055" w14:paraId="4888AE5E" w14:textId="77777777" w:rsidTr="00FF3977">
        <w:trPr>
          <w:trHeight w:val="300"/>
          <w:jc w:val="center"/>
        </w:trPr>
        <w:tc>
          <w:tcPr>
            <w:tcW w:w="524" w:type="pct"/>
            <w:vAlign w:val="center"/>
          </w:tcPr>
          <w:p w14:paraId="7C37427C" w14:textId="77777777" w:rsidR="00FF3977" w:rsidRDefault="00FF3977" w:rsidP="00FF3977">
            <w:pPr>
              <w:spacing w:before="60" w:after="60"/>
              <w:jc w:val="center"/>
              <w:rPr>
                <w:color w:val="000000"/>
                <w:sz w:val="18"/>
                <w:szCs w:val="18"/>
              </w:rPr>
            </w:pPr>
            <w:r w:rsidRPr="001D704F">
              <w:rPr>
                <w:color w:val="000000"/>
                <w:sz w:val="18"/>
                <w:szCs w:val="18"/>
              </w:rPr>
              <w:t>1</w:t>
            </w:r>
          </w:p>
          <w:p w14:paraId="6EFE9684" w14:textId="77777777" w:rsidR="00FF3977" w:rsidRPr="001D704F" w:rsidRDefault="00FF3977" w:rsidP="00FF3977">
            <w:pPr>
              <w:spacing w:before="60" w:after="60"/>
              <w:jc w:val="center"/>
              <w:rPr>
                <w:color w:val="000000"/>
                <w:sz w:val="18"/>
                <w:szCs w:val="18"/>
              </w:rPr>
            </w:pPr>
            <w:r>
              <w:rPr>
                <w:color w:val="000000"/>
                <w:sz w:val="18"/>
                <w:szCs w:val="18"/>
              </w:rPr>
              <w:t>Test item: 218087-P1</w:t>
            </w:r>
          </w:p>
        </w:tc>
        <w:tc>
          <w:tcPr>
            <w:tcW w:w="819" w:type="pct"/>
            <w:shd w:val="clear" w:color="auto" w:fill="auto"/>
            <w:vAlign w:val="center"/>
          </w:tcPr>
          <w:p w14:paraId="37E12F61" w14:textId="77777777" w:rsidR="00FF3977" w:rsidRPr="00FD2055" w:rsidRDefault="00FF3977" w:rsidP="00FF3977">
            <w:pPr>
              <w:spacing w:before="60" w:after="60"/>
              <w:rPr>
                <w:i/>
                <w:color w:val="000000"/>
                <w:sz w:val="18"/>
                <w:szCs w:val="18"/>
              </w:rPr>
            </w:pPr>
            <w:r>
              <w:rPr>
                <w:color w:val="000000"/>
                <w:sz w:val="18"/>
                <w:szCs w:val="18"/>
              </w:rPr>
              <w:t>Lactic acid</w:t>
            </w:r>
            <w:r>
              <w:rPr>
                <w:color w:val="000000"/>
                <w:sz w:val="18"/>
                <w:szCs w:val="18"/>
              </w:rPr>
              <w:br/>
            </w:r>
          </w:p>
        </w:tc>
        <w:tc>
          <w:tcPr>
            <w:tcW w:w="656" w:type="pct"/>
            <w:vAlign w:val="center"/>
          </w:tcPr>
          <w:p w14:paraId="54E36598"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w:t>
            </w:r>
            <w:r>
              <w:rPr>
                <w:color w:val="000000"/>
                <w:sz w:val="18"/>
                <w:szCs w:val="18"/>
              </w:rPr>
              <w:lastRenderedPageBreak/>
              <w:t>The solution was filtered on 0.45-µm filter. Lactic acid was analyzed by liquid chromatography using an UV detector.</w:t>
            </w:r>
          </w:p>
        </w:tc>
        <w:tc>
          <w:tcPr>
            <w:tcW w:w="609" w:type="pct"/>
            <w:vAlign w:val="center"/>
          </w:tcPr>
          <w:p w14:paraId="32BD4B64"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230206A2"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between 1% and 10% of an active substance. Indeed, the recovery results should be in the </w:t>
            </w:r>
            <w:r>
              <w:rPr>
                <w:b/>
                <w:bCs/>
                <w:color w:val="000000"/>
                <w:sz w:val="18"/>
                <w:szCs w:val="18"/>
              </w:rPr>
              <w:lastRenderedPageBreak/>
              <w:t>range 97% - 103% and they were experimentally equal to 99.8% and 100.2%.</w:t>
            </w:r>
          </w:p>
        </w:tc>
        <w:tc>
          <w:tcPr>
            <w:tcW w:w="687" w:type="pct"/>
            <w:vAlign w:val="center"/>
          </w:tcPr>
          <w:p w14:paraId="1FC53D62"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and test item. </w:t>
            </w:r>
            <w:r>
              <w:rPr>
                <w:color w:val="000000"/>
                <w:sz w:val="18"/>
                <w:szCs w:val="18"/>
              </w:rPr>
              <w:br/>
              <w:t>No peak appeared in the solvent blank and in the formulation blank.</w:t>
            </w:r>
            <w:r>
              <w:rPr>
                <w:color w:val="000000"/>
                <w:sz w:val="18"/>
                <w:szCs w:val="18"/>
              </w:rPr>
              <w:br/>
              <w:t xml:space="preserve">In the reference item and in the test item, the peak at the retention time at about 6.229 min represented lactic </w:t>
            </w:r>
            <w:r>
              <w:rPr>
                <w:color w:val="000000"/>
                <w:sz w:val="18"/>
                <w:szCs w:val="18"/>
              </w:rPr>
              <w:lastRenderedPageBreak/>
              <w:t>acid.</w:t>
            </w:r>
            <w:r>
              <w:rPr>
                <w:color w:val="000000"/>
                <w:sz w:val="18"/>
                <w:szCs w:val="18"/>
              </w:rPr>
              <w:br/>
              <w:t>No additional peak appeared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6CD0ABD8"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429" w:type="pct"/>
            <w:vAlign w:val="center"/>
          </w:tcPr>
          <w:p w14:paraId="1C5D761B" w14:textId="77777777" w:rsidR="00FF3977" w:rsidRPr="00FD2055" w:rsidRDefault="00FF3977" w:rsidP="00FF3977">
            <w:pPr>
              <w:spacing w:before="60" w:after="60"/>
              <w:rPr>
                <w:color w:val="000000"/>
                <w:sz w:val="18"/>
                <w:szCs w:val="18"/>
              </w:rPr>
            </w:pPr>
            <w:r>
              <w:rPr>
                <w:color w:val="000000"/>
                <w:sz w:val="18"/>
                <w:szCs w:val="18"/>
              </w:rPr>
              <w:t>Ricau H., 2019, Report No 18-901011-012</w:t>
            </w:r>
          </w:p>
        </w:tc>
      </w:tr>
      <w:tr w:rsidR="00FF3977" w:rsidRPr="00FD2055" w14:paraId="0E71A117" w14:textId="77777777" w:rsidTr="00FF3977">
        <w:trPr>
          <w:trHeight w:val="300"/>
          <w:jc w:val="center"/>
        </w:trPr>
        <w:tc>
          <w:tcPr>
            <w:tcW w:w="524" w:type="pct"/>
            <w:vAlign w:val="center"/>
          </w:tcPr>
          <w:p w14:paraId="3E962DB5" w14:textId="77777777" w:rsidR="00FF3977" w:rsidRDefault="00FF3977" w:rsidP="00FF3977">
            <w:pPr>
              <w:spacing w:before="60" w:after="60"/>
              <w:jc w:val="center"/>
              <w:rPr>
                <w:color w:val="000000"/>
                <w:sz w:val="18"/>
                <w:szCs w:val="18"/>
              </w:rPr>
            </w:pPr>
            <w:r w:rsidRPr="001D704F">
              <w:rPr>
                <w:color w:val="000000"/>
                <w:sz w:val="18"/>
                <w:szCs w:val="18"/>
              </w:rPr>
              <w:t>2</w:t>
            </w:r>
          </w:p>
          <w:p w14:paraId="22643F43" w14:textId="77777777" w:rsidR="00FF3977" w:rsidRPr="001D704F" w:rsidRDefault="00FF3977" w:rsidP="00FF3977">
            <w:pPr>
              <w:spacing w:before="60" w:after="60"/>
              <w:jc w:val="center"/>
              <w:rPr>
                <w:color w:val="000000"/>
                <w:sz w:val="18"/>
                <w:szCs w:val="18"/>
              </w:rPr>
            </w:pPr>
            <w:r>
              <w:rPr>
                <w:color w:val="000000"/>
                <w:sz w:val="18"/>
                <w:szCs w:val="18"/>
              </w:rPr>
              <w:t>Test item: 218221-P2</w:t>
            </w:r>
          </w:p>
        </w:tc>
        <w:tc>
          <w:tcPr>
            <w:tcW w:w="819" w:type="pct"/>
            <w:shd w:val="clear" w:color="auto" w:fill="auto"/>
            <w:vAlign w:val="center"/>
          </w:tcPr>
          <w:p w14:paraId="7ADBC441"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5C04E66D"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The solution was filtered on 0.45-µm filter. Lactic acid was analyzed by </w:t>
            </w:r>
            <w:r>
              <w:rPr>
                <w:color w:val="000000"/>
                <w:sz w:val="18"/>
                <w:szCs w:val="18"/>
              </w:rPr>
              <w:lastRenderedPageBreak/>
              <w:t>liquid chromatography using an UV detector.</w:t>
            </w:r>
          </w:p>
        </w:tc>
        <w:tc>
          <w:tcPr>
            <w:tcW w:w="609" w:type="pct"/>
            <w:vAlign w:val="center"/>
          </w:tcPr>
          <w:p w14:paraId="4308C455"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4260B776"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between 1% and 10% of an active substance. Indeed, the recovery results should be in the range 97% - 103% and they were experimentally </w:t>
            </w:r>
            <w:r>
              <w:rPr>
                <w:b/>
                <w:bCs/>
                <w:color w:val="000000"/>
                <w:sz w:val="18"/>
                <w:szCs w:val="18"/>
              </w:rPr>
              <w:lastRenderedPageBreak/>
              <w:t>equal to 99.8% and 100.2%.</w:t>
            </w:r>
          </w:p>
        </w:tc>
        <w:tc>
          <w:tcPr>
            <w:tcW w:w="687" w:type="pct"/>
            <w:vAlign w:val="center"/>
          </w:tcPr>
          <w:p w14:paraId="136B07C1"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and test item. </w:t>
            </w:r>
            <w:r>
              <w:rPr>
                <w:color w:val="000000"/>
                <w:sz w:val="18"/>
                <w:szCs w:val="18"/>
              </w:rPr>
              <w:br/>
              <w:t>No peak appeared in the solvent blank and in the formulation blank.</w:t>
            </w:r>
            <w:r>
              <w:rPr>
                <w:color w:val="000000"/>
                <w:sz w:val="18"/>
                <w:szCs w:val="18"/>
              </w:rPr>
              <w:br/>
              <w:t>In the reference item and in the test item, the peak at the retention time at about 6.138 min represented lactic acid.</w:t>
            </w:r>
            <w:r>
              <w:rPr>
                <w:color w:val="000000"/>
                <w:sz w:val="18"/>
                <w:szCs w:val="18"/>
              </w:rPr>
              <w:br/>
              <w:t xml:space="preserve">No additional peak appeared in the reference item and in the </w:t>
            </w:r>
            <w:r>
              <w:rPr>
                <w:color w:val="000000"/>
                <w:sz w:val="18"/>
                <w:szCs w:val="18"/>
              </w:rPr>
              <w:lastRenderedPageBreak/>
              <w:t>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0C154172"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429" w:type="pct"/>
            <w:vAlign w:val="center"/>
          </w:tcPr>
          <w:p w14:paraId="267C6D16" w14:textId="77777777" w:rsidR="00FF3977" w:rsidRPr="00FD2055" w:rsidRDefault="00FF3977" w:rsidP="00FF3977">
            <w:pPr>
              <w:spacing w:before="60" w:after="60"/>
              <w:rPr>
                <w:color w:val="000000"/>
                <w:sz w:val="18"/>
                <w:szCs w:val="18"/>
              </w:rPr>
            </w:pPr>
            <w:r>
              <w:rPr>
                <w:color w:val="000000"/>
                <w:sz w:val="18"/>
                <w:szCs w:val="18"/>
              </w:rPr>
              <w:t>Defitraces, Report No 18-901011-016</w:t>
            </w:r>
          </w:p>
        </w:tc>
      </w:tr>
      <w:tr w:rsidR="00FF3977" w:rsidRPr="00FD2055" w14:paraId="09FD83FA" w14:textId="77777777" w:rsidTr="00FF3977">
        <w:trPr>
          <w:trHeight w:val="300"/>
          <w:jc w:val="center"/>
        </w:trPr>
        <w:tc>
          <w:tcPr>
            <w:tcW w:w="524" w:type="pct"/>
            <w:vAlign w:val="center"/>
          </w:tcPr>
          <w:p w14:paraId="383D9665" w14:textId="77777777" w:rsidR="00FF3977" w:rsidRDefault="00FF3977" w:rsidP="00FF3977">
            <w:pPr>
              <w:spacing w:before="60" w:after="60"/>
              <w:jc w:val="center"/>
              <w:rPr>
                <w:color w:val="000000"/>
                <w:sz w:val="18"/>
                <w:szCs w:val="18"/>
              </w:rPr>
            </w:pPr>
            <w:r w:rsidRPr="001D704F">
              <w:rPr>
                <w:color w:val="000000"/>
                <w:sz w:val="18"/>
                <w:szCs w:val="18"/>
              </w:rPr>
              <w:t>3</w:t>
            </w:r>
          </w:p>
          <w:p w14:paraId="2DBF6C85" w14:textId="77777777" w:rsidR="00FF3977" w:rsidRPr="001D704F" w:rsidRDefault="00FF3977" w:rsidP="00FF3977">
            <w:pPr>
              <w:spacing w:before="60" w:after="60"/>
              <w:jc w:val="center"/>
              <w:rPr>
                <w:color w:val="000000"/>
                <w:sz w:val="18"/>
                <w:szCs w:val="18"/>
              </w:rPr>
            </w:pPr>
            <w:r>
              <w:rPr>
                <w:color w:val="000000"/>
                <w:sz w:val="18"/>
                <w:szCs w:val="18"/>
              </w:rPr>
              <w:t>Test item: 218242-P1</w:t>
            </w:r>
          </w:p>
        </w:tc>
        <w:tc>
          <w:tcPr>
            <w:tcW w:w="819" w:type="pct"/>
            <w:shd w:val="clear" w:color="auto" w:fill="auto"/>
            <w:vAlign w:val="center"/>
          </w:tcPr>
          <w:p w14:paraId="23B2FD44"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24AAD01A" w14:textId="77777777" w:rsidR="00FF3977" w:rsidRPr="00FD2055" w:rsidRDefault="00FF3977" w:rsidP="00FF3977">
            <w:pPr>
              <w:spacing w:before="60" w:after="60"/>
              <w:rPr>
                <w:color w:val="000000"/>
                <w:sz w:val="18"/>
                <w:szCs w:val="18"/>
              </w:rPr>
            </w:pPr>
            <w:r>
              <w:rPr>
                <w:color w:val="000000"/>
                <w:sz w:val="18"/>
                <w:szCs w:val="18"/>
              </w:rPr>
              <w:t>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Lactic acid was analyzed by liquid chromatography using an UV detector.</w:t>
            </w:r>
          </w:p>
        </w:tc>
        <w:tc>
          <w:tcPr>
            <w:tcW w:w="609" w:type="pct"/>
            <w:vAlign w:val="center"/>
          </w:tcPr>
          <w:p w14:paraId="47FE4A57" w14:textId="77777777" w:rsidR="00FF3977" w:rsidRPr="00FD2055" w:rsidRDefault="00FF3977" w:rsidP="00FF3977">
            <w:pPr>
              <w:spacing w:before="60" w:after="60"/>
              <w:rPr>
                <w:color w:val="000000"/>
                <w:sz w:val="18"/>
                <w:szCs w:val="18"/>
              </w:rPr>
            </w:pPr>
            <w:r>
              <w:rPr>
                <w:color w:val="000000"/>
                <w:sz w:val="18"/>
                <w:szCs w:val="18"/>
              </w:rPr>
              <w:t> </w:t>
            </w:r>
          </w:p>
        </w:tc>
        <w:tc>
          <w:tcPr>
            <w:tcW w:w="689" w:type="pct"/>
            <w:vAlign w:val="center"/>
          </w:tcPr>
          <w:p w14:paraId="0176BDBB"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The accuracy results of lactic acid were in conformity with the Guidelines requirements for formulations containing between 1% and 10% of an active substance. Indeed, the recovery results should be in the range 97% - 103% and they were experimentally equal to 98.8% and 99.2%.</w:t>
            </w:r>
          </w:p>
        </w:tc>
        <w:tc>
          <w:tcPr>
            <w:tcW w:w="687" w:type="pct"/>
            <w:vAlign w:val="center"/>
          </w:tcPr>
          <w:p w14:paraId="43596568" w14:textId="77777777" w:rsidR="00FF3977" w:rsidRPr="00FD2055" w:rsidRDefault="00FF3977" w:rsidP="00FF3977">
            <w:pPr>
              <w:spacing w:before="60" w:after="60"/>
              <w:rPr>
                <w:color w:val="000000"/>
                <w:sz w:val="18"/>
                <w:szCs w:val="18"/>
              </w:rPr>
            </w:pPr>
            <w:r>
              <w:rPr>
                <w:color w:val="000000"/>
                <w:sz w:val="18"/>
                <w:szCs w:val="18"/>
              </w:rPr>
              <w:t xml:space="preserve">To define the specificity of the analytical method, the following solutions were analysed: solvent blank, blank formulation, reference item and test item. </w:t>
            </w:r>
            <w:r>
              <w:rPr>
                <w:color w:val="000000"/>
                <w:sz w:val="18"/>
                <w:szCs w:val="18"/>
              </w:rPr>
              <w:br/>
              <w:t>No peak appeared in the solvent blank and in the formulation blank.</w:t>
            </w:r>
            <w:r>
              <w:rPr>
                <w:color w:val="000000"/>
                <w:sz w:val="18"/>
                <w:szCs w:val="18"/>
              </w:rPr>
              <w:br/>
              <w:t>In the reference item and in the test item, the peak at the retention time at about 6.212 min represented lactic acid.</w:t>
            </w:r>
            <w:r>
              <w:rPr>
                <w:color w:val="000000"/>
                <w:sz w:val="18"/>
                <w:szCs w:val="18"/>
              </w:rPr>
              <w:br/>
              <w:t>No additional peak appeared in the reference item and in the test item.</w:t>
            </w:r>
            <w:r>
              <w:rPr>
                <w:color w:val="000000"/>
                <w:sz w:val="18"/>
                <w:szCs w:val="18"/>
              </w:rPr>
              <w:br/>
              <w:t>The specificity is therefore defined.</w:t>
            </w:r>
            <w:r>
              <w:rPr>
                <w:color w:val="000000"/>
                <w:sz w:val="18"/>
                <w:szCs w:val="18"/>
              </w:rPr>
              <w:br/>
            </w:r>
            <w:r>
              <w:rPr>
                <w:b/>
                <w:bCs/>
                <w:color w:val="000000"/>
                <w:sz w:val="18"/>
                <w:szCs w:val="18"/>
              </w:rPr>
              <w:t xml:space="preserve">The analytical method showed </w:t>
            </w:r>
            <w:r>
              <w:rPr>
                <w:b/>
                <w:bCs/>
                <w:color w:val="000000"/>
                <w:sz w:val="18"/>
                <w:szCs w:val="18"/>
              </w:rPr>
              <w:lastRenderedPageBreak/>
              <w:t>a good specificity for analysis of lactic acid.</w:t>
            </w:r>
          </w:p>
        </w:tc>
        <w:tc>
          <w:tcPr>
            <w:tcW w:w="585" w:type="pct"/>
            <w:vAlign w:val="center"/>
          </w:tcPr>
          <w:p w14:paraId="579422A5"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429" w:type="pct"/>
            <w:vAlign w:val="center"/>
          </w:tcPr>
          <w:p w14:paraId="6901ED67" w14:textId="77777777" w:rsidR="00FF3977" w:rsidRPr="00FD2055" w:rsidRDefault="00FF3977" w:rsidP="00FF3977">
            <w:pPr>
              <w:spacing w:before="60" w:after="60"/>
              <w:rPr>
                <w:color w:val="000000"/>
                <w:sz w:val="18"/>
                <w:szCs w:val="18"/>
              </w:rPr>
            </w:pPr>
            <w:r>
              <w:rPr>
                <w:color w:val="000000"/>
                <w:sz w:val="18"/>
                <w:szCs w:val="18"/>
              </w:rPr>
              <w:t>Ricau H., 2019, Report No 18-901011-020</w:t>
            </w:r>
          </w:p>
        </w:tc>
      </w:tr>
      <w:tr w:rsidR="00FF3977" w:rsidRPr="00FD2055" w14:paraId="6A940E7C" w14:textId="77777777" w:rsidTr="00FF3977">
        <w:trPr>
          <w:trHeight w:val="300"/>
          <w:jc w:val="center"/>
        </w:trPr>
        <w:tc>
          <w:tcPr>
            <w:tcW w:w="524" w:type="pct"/>
            <w:vAlign w:val="center"/>
          </w:tcPr>
          <w:p w14:paraId="5DBCD573" w14:textId="77777777" w:rsidR="00FF3977" w:rsidRDefault="00FF3977" w:rsidP="00FF3977">
            <w:pPr>
              <w:spacing w:before="60" w:after="60"/>
              <w:jc w:val="center"/>
              <w:rPr>
                <w:color w:val="000000"/>
                <w:sz w:val="18"/>
                <w:szCs w:val="18"/>
              </w:rPr>
            </w:pPr>
            <w:r w:rsidRPr="001D704F">
              <w:rPr>
                <w:color w:val="000000"/>
                <w:sz w:val="18"/>
                <w:szCs w:val="18"/>
              </w:rPr>
              <w:t>3</w:t>
            </w:r>
          </w:p>
          <w:p w14:paraId="30558F7E" w14:textId="77777777" w:rsidR="00FF3977" w:rsidRPr="001D704F" w:rsidRDefault="00FF3977" w:rsidP="00FF3977">
            <w:pPr>
              <w:spacing w:before="60" w:after="60"/>
              <w:jc w:val="center"/>
              <w:rPr>
                <w:color w:val="000000"/>
                <w:sz w:val="18"/>
                <w:szCs w:val="18"/>
              </w:rPr>
            </w:pPr>
            <w:r>
              <w:rPr>
                <w:color w:val="000000"/>
                <w:sz w:val="18"/>
                <w:szCs w:val="18"/>
              </w:rPr>
              <w:t>Test item: 218242-P1</w:t>
            </w:r>
          </w:p>
        </w:tc>
        <w:tc>
          <w:tcPr>
            <w:tcW w:w="819" w:type="pct"/>
            <w:shd w:val="clear" w:color="auto" w:fill="auto"/>
            <w:vAlign w:val="center"/>
          </w:tcPr>
          <w:p w14:paraId="5D6EB222" w14:textId="77777777" w:rsidR="00FF3977" w:rsidRPr="00FD2055" w:rsidRDefault="00FF3977" w:rsidP="00FF3977">
            <w:pPr>
              <w:spacing w:before="60" w:after="60"/>
              <w:rPr>
                <w:i/>
                <w:color w:val="000000"/>
                <w:sz w:val="18"/>
                <w:szCs w:val="18"/>
              </w:rPr>
            </w:pPr>
            <w:r>
              <w:rPr>
                <w:color w:val="000000"/>
                <w:sz w:val="18"/>
                <w:szCs w:val="18"/>
              </w:rPr>
              <w:t>Citric acid</w:t>
            </w:r>
          </w:p>
        </w:tc>
        <w:tc>
          <w:tcPr>
            <w:tcW w:w="656" w:type="pct"/>
            <w:vAlign w:val="center"/>
          </w:tcPr>
          <w:p w14:paraId="7AB4A8A0" w14:textId="77777777" w:rsidR="00FF3977" w:rsidRPr="00FD2055" w:rsidRDefault="00FF3977" w:rsidP="00FF3977">
            <w:pPr>
              <w:spacing w:before="60" w:after="60"/>
              <w:rPr>
                <w:color w:val="000000"/>
                <w:sz w:val="18"/>
                <w:szCs w:val="18"/>
              </w:rPr>
            </w:pPr>
            <w:r>
              <w:rPr>
                <w:color w:val="000000"/>
                <w:sz w:val="18"/>
                <w:szCs w:val="18"/>
              </w:rPr>
              <w:t>A quantity of about 1.0 g (to the nearest 0.01 mg) of the test item was weighed into a 20-mL volumetric flask and the volume was made up with the dilution phase solution. Citric acid was analysed by liquid chromatography using a reverse phase column and an UV detector.</w:t>
            </w:r>
          </w:p>
        </w:tc>
        <w:tc>
          <w:tcPr>
            <w:tcW w:w="609" w:type="pct"/>
            <w:vAlign w:val="center"/>
          </w:tcPr>
          <w:p w14:paraId="7FB60000" w14:textId="77777777" w:rsidR="00FF3977" w:rsidRPr="00FD2055" w:rsidRDefault="00FF3977" w:rsidP="00FF3977">
            <w:pPr>
              <w:spacing w:before="60" w:after="60"/>
              <w:rPr>
                <w:color w:val="000000"/>
                <w:sz w:val="18"/>
                <w:szCs w:val="18"/>
              </w:rPr>
            </w:pPr>
            <w:r>
              <w:rPr>
                <w:color w:val="000000"/>
                <w:sz w:val="18"/>
                <w:szCs w:val="18"/>
              </w:rPr>
              <w:t>To define the linearity of the detector answer of citric acid, five concentrations of the reference items were analysed.</w:t>
            </w:r>
            <w:r>
              <w:rPr>
                <w:color w:val="000000"/>
                <w:sz w:val="18"/>
                <w:szCs w:val="18"/>
              </w:rPr>
              <w:br/>
            </w:r>
            <w:r>
              <w:rPr>
                <w:b/>
                <w:bCs/>
                <w:color w:val="000000"/>
                <w:sz w:val="18"/>
                <w:szCs w:val="18"/>
              </w:rPr>
              <w:t>The response of the detector during the analysis of citric acid was linear within the range of 250.14 mg/L to 755.92 mg/L (r = 0.9999).</w:t>
            </w:r>
          </w:p>
        </w:tc>
        <w:tc>
          <w:tcPr>
            <w:tcW w:w="689" w:type="pct"/>
            <w:vAlign w:val="center"/>
          </w:tcPr>
          <w:p w14:paraId="042B0633"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The accuracy results of citric acid were in conformity with the Guidelines requirements for formulations containing between 1% and 10% of an active substance. Indeed, the recovery results should be in the range 97% - 103% and they were experimentally equal to 101.0% and 101.3%.</w:t>
            </w:r>
          </w:p>
        </w:tc>
        <w:tc>
          <w:tcPr>
            <w:tcW w:w="687" w:type="pct"/>
            <w:vAlign w:val="center"/>
          </w:tcPr>
          <w:p w14:paraId="0199924C" w14:textId="77777777" w:rsidR="00FF3977" w:rsidRPr="00FD2055" w:rsidRDefault="00FF3977" w:rsidP="00FF3977">
            <w:pPr>
              <w:spacing w:before="60" w:after="60"/>
              <w:rPr>
                <w:color w:val="000000"/>
                <w:sz w:val="18"/>
                <w:szCs w:val="18"/>
              </w:rPr>
            </w:pPr>
            <w:r>
              <w:rPr>
                <w:color w:val="000000"/>
                <w:sz w:val="18"/>
                <w:szCs w:val="18"/>
              </w:rPr>
              <w:t xml:space="preserve">To define the specificity of the analytical method, the following solutions were analysed: solvent blank, blank formulation, reference item and test item. </w:t>
            </w:r>
            <w:r>
              <w:rPr>
                <w:color w:val="000000"/>
                <w:sz w:val="18"/>
                <w:szCs w:val="18"/>
              </w:rPr>
              <w:br/>
              <w:t>No peak appeared in the solvent blank.</w:t>
            </w:r>
            <w:r>
              <w:rPr>
                <w:color w:val="000000"/>
                <w:sz w:val="18"/>
                <w:szCs w:val="18"/>
              </w:rPr>
              <w:br/>
              <w:t>In the formulation blank, an unknown peak appeared at the retention time around 5.370 min.</w:t>
            </w:r>
            <w:r>
              <w:rPr>
                <w:color w:val="000000"/>
                <w:sz w:val="18"/>
                <w:szCs w:val="18"/>
              </w:rPr>
              <w:br/>
              <w:t>In the reference item and in the test item, the peak at the retention time at about 5.360 min represented citric acid.</w:t>
            </w:r>
            <w:r>
              <w:rPr>
                <w:color w:val="000000"/>
                <w:sz w:val="18"/>
                <w:szCs w:val="18"/>
              </w:rPr>
              <w:br/>
              <w:t xml:space="preserve">As the peak area of the unknown peak in the formulation blank was lower than 3% of the peak area of citric acid in the test item, </w:t>
            </w:r>
            <w:r>
              <w:rPr>
                <w:color w:val="000000"/>
                <w:sz w:val="18"/>
                <w:szCs w:val="18"/>
              </w:rPr>
              <w:lastRenderedPageBreak/>
              <w:t>the unknown peak was not considered to be interfering peak for the analysis.</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citric acid.</w:t>
            </w:r>
          </w:p>
        </w:tc>
        <w:tc>
          <w:tcPr>
            <w:tcW w:w="585" w:type="pct"/>
            <w:vAlign w:val="center"/>
          </w:tcPr>
          <w:p w14:paraId="7B8E10D3" w14:textId="77777777" w:rsidR="00FF3977" w:rsidRPr="00FD2055" w:rsidRDefault="00FF3977" w:rsidP="00FF3977">
            <w:pPr>
              <w:spacing w:before="60" w:after="60"/>
              <w:rPr>
                <w:color w:val="000000"/>
                <w:sz w:val="18"/>
                <w:szCs w:val="18"/>
              </w:rPr>
            </w:pPr>
            <w:r>
              <w:rPr>
                <w:color w:val="000000"/>
                <w:sz w:val="18"/>
                <w:szCs w:val="18"/>
              </w:rPr>
              <w:lastRenderedPageBreak/>
              <w:t>The precision was determined by analysing twice five test item solutions. The content of citric acid for each analysis was calculated with the average value of the response factor of the two calibration solutions bracketing the test item. Then, the average value of the content, the standard deviation and the Relative Standard Deviation (R.S.D.) were calculated.</w:t>
            </w:r>
            <w:r>
              <w:rPr>
                <w:color w:val="000000"/>
                <w:sz w:val="18"/>
                <w:szCs w:val="18"/>
              </w:rPr>
              <w:br/>
            </w:r>
            <w:r>
              <w:rPr>
                <w:b/>
                <w:bCs/>
                <w:color w:val="000000"/>
                <w:sz w:val="18"/>
                <w:szCs w:val="18"/>
              </w:rPr>
              <w:t xml:space="preserve">The concentration of citric acid in the test item was equal to 1.02% w/w or 10.2 g/kg. In the case of </w:t>
            </w:r>
            <w:r>
              <w:rPr>
                <w:b/>
                <w:bCs/>
                <w:color w:val="000000"/>
                <w:sz w:val="18"/>
                <w:szCs w:val="18"/>
              </w:rPr>
              <w:lastRenderedPageBreak/>
              <w:t>citric acid, the precision was acceptable as the R.S.D. was lower than the result of the modified Horwitz equation: 0.46 &lt; 2.67 (C = 0.0102).</w:t>
            </w:r>
          </w:p>
        </w:tc>
        <w:tc>
          <w:tcPr>
            <w:tcW w:w="429" w:type="pct"/>
            <w:vAlign w:val="center"/>
          </w:tcPr>
          <w:p w14:paraId="142856BB" w14:textId="77777777" w:rsidR="00FF3977" w:rsidRPr="00FD2055" w:rsidRDefault="00FF3977" w:rsidP="00FF3977">
            <w:pPr>
              <w:spacing w:before="60" w:after="60"/>
              <w:rPr>
                <w:color w:val="000000"/>
                <w:sz w:val="18"/>
                <w:szCs w:val="18"/>
              </w:rPr>
            </w:pPr>
            <w:r>
              <w:rPr>
                <w:color w:val="000000"/>
                <w:sz w:val="18"/>
                <w:szCs w:val="18"/>
              </w:rPr>
              <w:lastRenderedPageBreak/>
              <w:t>Ricau H., 2019, Report No 18-901011-021</w:t>
            </w:r>
          </w:p>
        </w:tc>
      </w:tr>
      <w:tr w:rsidR="00FF3977" w:rsidRPr="00FD2055" w14:paraId="264B85CC" w14:textId="77777777" w:rsidTr="00FF3977">
        <w:trPr>
          <w:trHeight w:val="300"/>
          <w:jc w:val="center"/>
        </w:trPr>
        <w:tc>
          <w:tcPr>
            <w:tcW w:w="524" w:type="pct"/>
            <w:vAlign w:val="center"/>
          </w:tcPr>
          <w:p w14:paraId="4CFCA0FC" w14:textId="77777777" w:rsidR="00FF3977" w:rsidRDefault="00FF3977" w:rsidP="00FF3977">
            <w:pPr>
              <w:spacing w:before="60" w:after="60"/>
              <w:jc w:val="center"/>
              <w:rPr>
                <w:color w:val="000000"/>
                <w:sz w:val="18"/>
                <w:szCs w:val="18"/>
              </w:rPr>
            </w:pPr>
            <w:r w:rsidRPr="001D704F">
              <w:rPr>
                <w:color w:val="000000"/>
                <w:sz w:val="18"/>
                <w:szCs w:val="18"/>
              </w:rPr>
              <w:t>4</w:t>
            </w:r>
          </w:p>
          <w:p w14:paraId="12B8B9A4" w14:textId="77777777" w:rsidR="00FF3977" w:rsidRPr="001D704F" w:rsidRDefault="00FF3977" w:rsidP="00FF3977">
            <w:pPr>
              <w:spacing w:before="60" w:after="60"/>
              <w:jc w:val="center"/>
              <w:rPr>
                <w:color w:val="000000"/>
                <w:sz w:val="18"/>
                <w:szCs w:val="18"/>
              </w:rPr>
            </w:pPr>
            <w:r>
              <w:rPr>
                <w:color w:val="000000"/>
                <w:sz w:val="18"/>
                <w:szCs w:val="18"/>
              </w:rPr>
              <w:t>Test item: 218114-B3</w:t>
            </w:r>
          </w:p>
        </w:tc>
        <w:tc>
          <w:tcPr>
            <w:tcW w:w="819" w:type="pct"/>
            <w:shd w:val="clear" w:color="auto" w:fill="auto"/>
            <w:vAlign w:val="center"/>
          </w:tcPr>
          <w:p w14:paraId="53B6971A"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1ECFA813"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w:t>
            </w:r>
            <w:r>
              <w:rPr>
                <w:color w:val="000000"/>
                <w:sz w:val="18"/>
                <w:szCs w:val="18"/>
              </w:rPr>
              <w:lastRenderedPageBreak/>
              <w:t>temperature. Lactic acid was analyzed by liquid chromatography using an UV detector.</w:t>
            </w:r>
          </w:p>
        </w:tc>
        <w:tc>
          <w:tcPr>
            <w:tcW w:w="609" w:type="pct"/>
            <w:vAlign w:val="center"/>
          </w:tcPr>
          <w:p w14:paraId="1F6F9C66"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17CFB113"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between 1% and 10% of an active substance. Indeed, the recovery results </w:t>
            </w:r>
            <w:r>
              <w:rPr>
                <w:b/>
                <w:bCs/>
                <w:color w:val="000000"/>
                <w:sz w:val="18"/>
                <w:szCs w:val="18"/>
              </w:rPr>
              <w:lastRenderedPageBreak/>
              <w:t>should be in the range 97% - 103% and they were experimentally equal to 98.3% and 99.1%.</w:t>
            </w:r>
          </w:p>
        </w:tc>
        <w:tc>
          <w:tcPr>
            <w:tcW w:w="687" w:type="pct"/>
            <w:vAlign w:val="center"/>
          </w:tcPr>
          <w:p w14:paraId="15C8EC56"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and test item. </w:t>
            </w:r>
            <w:r>
              <w:rPr>
                <w:color w:val="000000"/>
                <w:sz w:val="18"/>
                <w:szCs w:val="18"/>
              </w:rPr>
              <w:br/>
              <w:t>No peak appeared in the solvent blank and in the formulation blank.</w:t>
            </w:r>
            <w:r>
              <w:rPr>
                <w:color w:val="000000"/>
                <w:sz w:val="18"/>
                <w:szCs w:val="18"/>
              </w:rPr>
              <w:br/>
              <w:t xml:space="preserve">In the reference item and in the test item, the peak at the retention time at about 6.232 min </w:t>
            </w:r>
            <w:r>
              <w:rPr>
                <w:color w:val="000000"/>
                <w:sz w:val="18"/>
                <w:szCs w:val="18"/>
              </w:rPr>
              <w:lastRenderedPageBreak/>
              <w:t>represented lactic acid.</w:t>
            </w:r>
            <w:r>
              <w:rPr>
                <w:color w:val="000000"/>
                <w:sz w:val="18"/>
                <w:szCs w:val="18"/>
              </w:rPr>
              <w:br/>
              <w:t>No additional peak appeared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581F6F31"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429" w:type="pct"/>
            <w:vAlign w:val="center"/>
          </w:tcPr>
          <w:p w14:paraId="48F97D5F" w14:textId="77777777" w:rsidR="00FF3977" w:rsidRPr="00FD2055" w:rsidRDefault="00FF3977" w:rsidP="00FF3977">
            <w:pPr>
              <w:spacing w:before="60" w:after="60"/>
              <w:rPr>
                <w:color w:val="000000"/>
                <w:sz w:val="18"/>
                <w:szCs w:val="18"/>
              </w:rPr>
            </w:pPr>
            <w:r>
              <w:rPr>
                <w:color w:val="000000"/>
                <w:sz w:val="18"/>
                <w:szCs w:val="18"/>
              </w:rPr>
              <w:t>Ricau H., 2019, Report No 18-901011-026</w:t>
            </w:r>
          </w:p>
        </w:tc>
      </w:tr>
      <w:tr w:rsidR="00FF3977" w:rsidRPr="00FD2055" w14:paraId="067FBC7E" w14:textId="77777777" w:rsidTr="00FF3977">
        <w:trPr>
          <w:jc w:val="center"/>
        </w:trPr>
        <w:tc>
          <w:tcPr>
            <w:tcW w:w="524" w:type="pct"/>
            <w:vAlign w:val="center"/>
          </w:tcPr>
          <w:p w14:paraId="3A58A63F" w14:textId="77777777" w:rsidR="00FF3977" w:rsidRDefault="00FF3977" w:rsidP="00FF3977">
            <w:pPr>
              <w:spacing w:before="60" w:after="60"/>
              <w:jc w:val="center"/>
              <w:rPr>
                <w:color w:val="000000"/>
                <w:sz w:val="18"/>
                <w:szCs w:val="18"/>
              </w:rPr>
            </w:pPr>
            <w:r w:rsidRPr="001D704F">
              <w:rPr>
                <w:color w:val="000000"/>
                <w:sz w:val="18"/>
                <w:szCs w:val="18"/>
              </w:rPr>
              <w:t>6</w:t>
            </w:r>
          </w:p>
          <w:p w14:paraId="75EE8F22" w14:textId="77777777" w:rsidR="00FF3977" w:rsidRPr="001D704F" w:rsidRDefault="00FF3977" w:rsidP="00FF3977">
            <w:pPr>
              <w:spacing w:before="60" w:after="60"/>
              <w:jc w:val="center"/>
              <w:rPr>
                <w:color w:val="000000"/>
                <w:sz w:val="18"/>
                <w:szCs w:val="18"/>
              </w:rPr>
            </w:pPr>
            <w:r>
              <w:rPr>
                <w:color w:val="000000"/>
                <w:sz w:val="18"/>
                <w:szCs w:val="18"/>
              </w:rPr>
              <w:t>Test item: 218228-P1</w:t>
            </w:r>
          </w:p>
        </w:tc>
        <w:tc>
          <w:tcPr>
            <w:tcW w:w="819" w:type="pct"/>
            <w:shd w:val="clear" w:color="auto" w:fill="auto"/>
            <w:vAlign w:val="center"/>
          </w:tcPr>
          <w:p w14:paraId="5BF5F9CB"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067CD710" w14:textId="77777777" w:rsidR="00FF3977" w:rsidRPr="00FD2055" w:rsidRDefault="00FF3977" w:rsidP="00FF3977">
            <w:pPr>
              <w:spacing w:before="60" w:after="60"/>
              <w:rPr>
                <w:color w:val="000000"/>
                <w:sz w:val="18"/>
                <w:szCs w:val="18"/>
              </w:rPr>
            </w:pPr>
            <w:r w:rsidRPr="006F5ED3">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and a vial was taken for analysis. Lactic acid was analyzed by </w:t>
            </w:r>
            <w:r w:rsidRPr="006F5ED3">
              <w:rPr>
                <w:color w:val="000000"/>
                <w:sz w:val="18"/>
                <w:szCs w:val="18"/>
              </w:rPr>
              <w:lastRenderedPageBreak/>
              <w:t>liquid chromatography using an UV detector.</w:t>
            </w:r>
          </w:p>
        </w:tc>
        <w:tc>
          <w:tcPr>
            <w:tcW w:w="609" w:type="pct"/>
            <w:vAlign w:val="center"/>
          </w:tcPr>
          <w:p w14:paraId="7E532D04"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57F2F919" w14:textId="77777777" w:rsidR="00FF3977" w:rsidRPr="006F5ED3" w:rsidRDefault="00FF3977" w:rsidP="00FF3977">
            <w:pPr>
              <w:spacing w:before="60" w:after="60"/>
              <w:rPr>
                <w:color w:val="000000"/>
                <w:sz w:val="18"/>
                <w:szCs w:val="18"/>
              </w:rPr>
            </w:pPr>
            <w:r w:rsidRPr="006F5ED3">
              <w:rPr>
                <w:color w:val="000000"/>
                <w:sz w:val="18"/>
                <w:szCs w:val="18"/>
              </w:rPr>
              <w:t>The accuracy was determined by comparison of the reference items and two reconstituted test item.</w:t>
            </w:r>
          </w:p>
          <w:p w14:paraId="1F4B1DA9" w14:textId="77777777" w:rsidR="00FF3977" w:rsidRPr="005B2C43" w:rsidRDefault="00FF3977" w:rsidP="00FF3977">
            <w:pPr>
              <w:spacing w:before="60" w:after="60"/>
              <w:rPr>
                <w:b/>
                <w:color w:val="000000"/>
                <w:sz w:val="18"/>
                <w:szCs w:val="18"/>
              </w:rPr>
            </w:pPr>
            <w:r w:rsidRPr="005B2C43">
              <w:rPr>
                <w:b/>
                <w:color w:val="000000"/>
                <w:sz w:val="18"/>
                <w:szCs w:val="18"/>
              </w:rPr>
              <w:t xml:space="preserve">The accuracy results of lactic acid were in conformity with the SANCO/3030/99 rev.5 requirements for formulations containing equal or more than 10% of an active substance. Indeed, the recovery results should be in the range 97% - </w:t>
            </w:r>
            <w:r w:rsidRPr="005B2C43">
              <w:rPr>
                <w:b/>
                <w:color w:val="000000"/>
                <w:sz w:val="18"/>
                <w:szCs w:val="18"/>
              </w:rPr>
              <w:lastRenderedPageBreak/>
              <w:t>103% and they were experimentally equal to 100.2% and 100.4%.</w:t>
            </w:r>
          </w:p>
        </w:tc>
        <w:tc>
          <w:tcPr>
            <w:tcW w:w="687" w:type="pct"/>
            <w:vAlign w:val="center"/>
          </w:tcPr>
          <w:p w14:paraId="1FBD8D40" w14:textId="77777777" w:rsidR="00FF3977" w:rsidRPr="006F5ED3" w:rsidRDefault="00FF3977" w:rsidP="00FF3977">
            <w:pPr>
              <w:spacing w:before="60" w:after="60"/>
              <w:rPr>
                <w:color w:val="000000"/>
                <w:sz w:val="18"/>
                <w:szCs w:val="18"/>
              </w:rPr>
            </w:pPr>
            <w:r w:rsidRPr="006F5ED3">
              <w:rPr>
                <w:color w:val="000000"/>
                <w:sz w:val="18"/>
                <w:szCs w:val="18"/>
              </w:rPr>
              <w:lastRenderedPageBreak/>
              <w:t xml:space="preserve">To define the specificity of the analytical method, the following solutions were analysed: solvent blank, blank formulation, reference item and test item. </w:t>
            </w:r>
          </w:p>
          <w:p w14:paraId="45E09436" w14:textId="77777777" w:rsidR="00FF3977" w:rsidRPr="006F5ED3" w:rsidRDefault="00FF3977" w:rsidP="00FF3977">
            <w:pPr>
              <w:spacing w:before="60" w:after="60"/>
              <w:rPr>
                <w:color w:val="000000"/>
                <w:sz w:val="18"/>
                <w:szCs w:val="18"/>
              </w:rPr>
            </w:pPr>
            <w:r w:rsidRPr="006F5ED3">
              <w:rPr>
                <w:color w:val="000000"/>
                <w:sz w:val="18"/>
                <w:szCs w:val="18"/>
              </w:rPr>
              <w:t>No peak appears in the solvent blank and in the formulation blank near the peak of lactic acid.</w:t>
            </w:r>
          </w:p>
          <w:p w14:paraId="53A2ABCA" w14:textId="77777777" w:rsidR="00FF3977" w:rsidRPr="006F5ED3" w:rsidRDefault="00FF3977" w:rsidP="00FF3977">
            <w:pPr>
              <w:spacing w:before="60" w:after="60"/>
              <w:rPr>
                <w:color w:val="000000"/>
                <w:sz w:val="18"/>
                <w:szCs w:val="18"/>
              </w:rPr>
            </w:pPr>
            <w:r w:rsidRPr="006F5ED3">
              <w:rPr>
                <w:color w:val="000000"/>
                <w:sz w:val="18"/>
                <w:szCs w:val="18"/>
              </w:rPr>
              <w:t>In the reference item and in the test item, the peak at the retention time at about 5.645 min represents lactic acid.</w:t>
            </w:r>
          </w:p>
          <w:p w14:paraId="22A54BDC" w14:textId="77777777" w:rsidR="00FF3977" w:rsidRPr="006F5ED3" w:rsidRDefault="00FF3977" w:rsidP="00FF3977">
            <w:pPr>
              <w:spacing w:before="60" w:after="60"/>
              <w:rPr>
                <w:color w:val="000000"/>
                <w:sz w:val="18"/>
                <w:szCs w:val="18"/>
              </w:rPr>
            </w:pPr>
            <w:r w:rsidRPr="006F5ED3">
              <w:rPr>
                <w:color w:val="000000"/>
                <w:sz w:val="18"/>
                <w:szCs w:val="18"/>
              </w:rPr>
              <w:lastRenderedPageBreak/>
              <w:t>No additional peak appears in the reference item and in the test item near the peak of lactic acid.</w:t>
            </w:r>
          </w:p>
          <w:p w14:paraId="3A5C0AD8" w14:textId="77777777" w:rsidR="00FF3977" w:rsidRPr="006F5ED3" w:rsidRDefault="00FF3977" w:rsidP="00FF3977">
            <w:pPr>
              <w:spacing w:before="60" w:after="60"/>
              <w:rPr>
                <w:color w:val="000000"/>
                <w:sz w:val="18"/>
                <w:szCs w:val="18"/>
              </w:rPr>
            </w:pPr>
            <w:r w:rsidRPr="006F5ED3">
              <w:rPr>
                <w:color w:val="000000"/>
                <w:sz w:val="18"/>
                <w:szCs w:val="18"/>
              </w:rPr>
              <w:t>The specificity is therefore defined.</w:t>
            </w:r>
          </w:p>
          <w:p w14:paraId="7818C4BA" w14:textId="77777777" w:rsidR="00FF3977" w:rsidRPr="005B2C43" w:rsidRDefault="00FF3977" w:rsidP="00FF3977">
            <w:pPr>
              <w:spacing w:before="60" w:after="60"/>
              <w:rPr>
                <w:b/>
                <w:color w:val="000000"/>
                <w:sz w:val="18"/>
                <w:szCs w:val="18"/>
              </w:rPr>
            </w:pPr>
            <w:r w:rsidRPr="005B2C43">
              <w:rPr>
                <w:b/>
                <w:color w:val="000000"/>
                <w:sz w:val="18"/>
                <w:szCs w:val="18"/>
              </w:rPr>
              <w:t>The analytical method showed a good specificity for the analysis of lactic acid in AL-S6-2-0.</w:t>
            </w:r>
          </w:p>
        </w:tc>
        <w:tc>
          <w:tcPr>
            <w:tcW w:w="585" w:type="pct"/>
            <w:vAlign w:val="center"/>
          </w:tcPr>
          <w:p w14:paraId="693FFF9D"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429" w:type="pct"/>
            <w:vAlign w:val="center"/>
          </w:tcPr>
          <w:p w14:paraId="573E278A" w14:textId="77777777" w:rsidR="00FF3977" w:rsidRPr="00FD2055" w:rsidRDefault="00FF3977" w:rsidP="00FF3977">
            <w:pPr>
              <w:spacing w:before="60" w:after="60"/>
              <w:rPr>
                <w:color w:val="000000"/>
                <w:sz w:val="18"/>
                <w:szCs w:val="18"/>
              </w:rPr>
            </w:pPr>
            <w:r w:rsidRPr="006F5ED3">
              <w:rPr>
                <w:color w:val="000000"/>
                <w:sz w:val="18"/>
                <w:szCs w:val="18"/>
              </w:rPr>
              <w:t>Ricau H., 2020, Report No 19-901011-018</w:t>
            </w:r>
          </w:p>
        </w:tc>
      </w:tr>
      <w:tr w:rsidR="00FF3977" w:rsidRPr="00FD2055" w14:paraId="733735BE" w14:textId="77777777" w:rsidTr="00FF3977">
        <w:trPr>
          <w:jc w:val="center"/>
        </w:trPr>
        <w:tc>
          <w:tcPr>
            <w:tcW w:w="524" w:type="pct"/>
            <w:vAlign w:val="center"/>
          </w:tcPr>
          <w:p w14:paraId="6D6EDBB4" w14:textId="77777777" w:rsidR="00FF3977" w:rsidRDefault="00FF3977" w:rsidP="00FF3977">
            <w:pPr>
              <w:spacing w:before="60" w:after="60"/>
              <w:jc w:val="center"/>
              <w:rPr>
                <w:color w:val="000000"/>
                <w:sz w:val="18"/>
                <w:szCs w:val="18"/>
              </w:rPr>
            </w:pPr>
            <w:r w:rsidRPr="001D704F">
              <w:rPr>
                <w:color w:val="000000"/>
                <w:sz w:val="18"/>
                <w:szCs w:val="18"/>
              </w:rPr>
              <w:t>7</w:t>
            </w:r>
          </w:p>
          <w:p w14:paraId="50EF6F7E" w14:textId="77777777" w:rsidR="00FF3977" w:rsidRPr="001D704F" w:rsidRDefault="00FF3977" w:rsidP="00FF3977">
            <w:pPr>
              <w:spacing w:before="60" w:after="60"/>
              <w:jc w:val="center"/>
              <w:rPr>
                <w:color w:val="000000"/>
                <w:sz w:val="18"/>
                <w:szCs w:val="18"/>
              </w:rPr>
            </w:pPr>
            <w:r>
              <w:rPr>
                <w:color w:val="000000"/>
                <w:sz w:val="18"/>
                <w:szCs w:val="18"/>
              </w:rPr>
              <w:t>Test item: 218291-P3</w:t>
            </w:r>
          </w:p>
        </w:tc>
        <w:tc>
          <w:tcPr>
            <w:tcW w:w="819" w:type="pct"/>
            <w:shd w:val="clear" w:color="auto" w:fill="auto"/>
            <w:vAlign w:val="center"/>
          </w:tcPr>
          <w:p w14:paraId="0C950C38"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4D0272D8" w14:textId="77777777" w:rsidR="00FF3977" w:rsidRPr="00FD2055" w:rsidRDefault="00FF3977" w:rsidP="00FF3977">
            <w:pPr>
              <w:spacing w:before="60" w:after="60"/>
              <w:rPr>
                <w:color w:val="000000"/>
                <w:sz w:val="18"/>
                <w:szCs w:val="18"/>
              </w:rPr>
            </w:pPr>
            <w:r>
              <w:rPr>
                <w:color w:val="000000"/>
                <w:sz w:val="18"/>
                <w:szCs w:val="18"/>
              </w:rPr>
              <w:t>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The solution was filtered on 0.45-</w:t>
            </w:r>
            <w:r>
              <w:rPr>
                <w:color w:val="000000"/>
                <w:sz w:val="18"/>
                <w:szCs w:val="18"/>
              </w:rPr>
              <w:lastRenderedPageBreak/>
              <w:t>µm filter. Lactic acid was analyzed by liquid chromatography using an UV detector.</w:t>
            </w:r>
          </w:p>
        </w:tc>
        <w:tc>
          <w:tcPr>
            <w:tcW w:w="609" w:type="pct"/>
            <w:vAlign w:val="center"/>
          </w:tcPr>
          <w:p w14:paraId="71FCB2A4"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065E262F"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more than 10% of an active substance. Indeed, the recovery results should be in the range 98% - 102% and they were </w:t>
            </w:r>
            <w:r>
              <w:rPr>
                <w:b/>
                <w:bCs/>
                <w:color w:val="000000"/>
                <w:sz w:val="18"/>
                <w:szCs w:val="18"/>
              </w:rPr>
              <w:lastRenderedPageBreak/>
              <w:t>experimentally equal to 99.6% and 99.7%.</w:t>
            </w:r>
          </w:p>
        </w:tc>
        <w:tc>
          <w:tcPr>
            <w:tcW w:w="687" w:type="pct"/>
            <w:vAlign w:val="center"/>
          </w:tcPr>
          <w:p w14:paraId="64EB7C10" w14:textId="77777777" w:rsidR="00FF3977" w:rsidRPr="00FD2055" w:rsidRDefault="00FF3977" w:rsidP="00FF3977">
            <w:pPr>
              <w:spacing w:before="60" w:after="60"/>
              <w:rPr>
                <w:color w:val="000000"/>
                <w:sz w:val="18"/>
                <w:szCs w:val="18"/>
              </w:rPr>
            </w:pPr>
            <w:r>
              <w:rPr>
                <w:color w:val="000000"/>
                <w:sz w:val="18"/>
                <w:szCs w:val="18"/>
              </w:rPr>
              <w:lastRenderedPageBreak/>
              <w:br/>
              <w:t xml:space="preserve">To define the specificity of the analytical method, the following solutions were analyzed: solvent blank, blank formulation, reference item and test item. </w:t>
            </w:r>
            <w:r>
              <w:rPr>
                <w:color w:val="000000"/>
                <w:sz w:val="18"/>
                <w:szCs w:val="18"/>
              </w:rPr>
              <w:br/>
              <w:t>In the solvent blank and in the formulation blank, no peak appeared and in the reference item and in the test item, the peak at the retention time at about 6.078 min represented lactic acid.</w:t>
            </w:r>
            <w:r>
              <w:rPr>
                <w:color w:val="000000"/>
                <w:sz w:val="18"/>
                <w:szCs w:val="18"/>
              </w:rPr>
              <w:br/>
            </w:r>
            <w:r>
              <w:rPr>
                <w:color w:val="000000"/>
                <w:sz w:val="18"/>
                <w:szCs w:val="18"/>
              </w:rPr>
              <w:lastRenderedPageBreak/>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39036B59"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533A00A2" w14:textId="77777777" w:rsidR="00FF3977" w:rsidRPr="00FD2055" w:rsidRDefault="00FF3977" w:rsidP="00FF3977">
            <w:pPr>
              <w:spacing w:before="60" w:after="60"/>
              <w:rPr>
                <w:i/>
                <w:color w:val="000000"/>
                <w:sz w:val="18"/>
                <w:szCs w:val="18"/>
              </w:rPr>
            </w:pPr>
            <w:r>
              <w:rPr>
                <w:color w:val="000000"/>
                <w:sz w:val="18"/>
                <w:szCs w:val="18"/>
              </w:rPr>
              <w:t>Ricau H., 2018, Report No 18-901011-038</w:t>
            </w:r>
          </w:p>
        </w:tc>
      </w:tr>
      <w:tr w:rsidR="00FF3977" w:rsidRPr="00FD2055" w14:paraId="02194EF6" w14:textId="77777777" w:rsidTr="00FF3977">
        <w:trPr>
          <w:jc w:val="center"/>
        </w:trPr>
        <w:tc>
          <w:tcPr>
            <w:tcW w:w="524" w:type="pct"/>
            <w:vAlign w:val="center"/>
          </w:tcPr>
          <w:p w14:paraId="2815B3A2" w14:textId="77777777" w:rsidR="00FF3977" w:rsidRDefault="00FF3977" w:rsidP="00FF3977">
            <w:pPr>
              <w:spacing w:before="60" w:after="60"/>
              <w:jc w:val="center"/>
              <w:rPr>
                <w:color w:val="000000"/>
                <w:sz w:val="18"/>
                <w:szCs w:val="18"/>
              </w:rPr>
            </w:pPr>
            <w:r w:rsidRPr="001D704F">
              <w:rPr>
                <w:color w:val="000000"/>
                <w:sz w:val="18"/>
                <w:szCs w:val="18"/>
              </w:rPr>
              <w:t>8</w:t>
            </w:r>
          </w:p>
          <w:p w14:paraId="63992032" w14:textId="77777777" w:rsidR="00FF3977" w:rsidRPr="001D704F" w:rsidRDefault="00FF3977" w:rsidP="00FF3977">
            <w:pPr>
              <w:spacing w:before="60" w:after="60"/>
              <w:jc w:val="center"/>
              <w:rPr>
                <w:color w:val="000000"/>
                <w:sz w:val="18"/>
                <w:szCs w:val="18"/>
              </w:rPr>
            </w:pPr>
            <w:r>
              <w:rPr>
                <w:color w:val="000000"/>
                <w:sz w:val="18"/>
                <w:szCs w:val="18"/>
              </w:rPr>
              <w:t>Test item: 218282-P1</w:t>
            </w:r>
          </w:p>
        </w:tc>
        <w:tc>
          <w:tcPr>
            <w:tcW w:w="819" w:type="pct"/>
            <w:shd w:val="clear" w:color="auto" w:fill="auto"/>
            <w:vAlign w:val="center"/>
          </w:tcPr>
          <w:p w14:paraId="04750FE9"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19F006C8"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to stand at room temperature. The solution was filtered on 0.45-µm filter. Lactic acid was </w:t>
            </w:r>
            <w:r>
              <w:rPr>
                <w:color w:val="000000"/>
                <w:sz w:val="18"/>
                <w:szCs w:val="18"/>
              </w:rPr>
              <w:lastRenderedPageBreak/>
              <w:t>analyzed by liquid chromatography using an UV detector.</w:t>
            </w:r>
          </w:p>
        </w:tc>
        <w:tc>
          <w:tcPr>
            <w:tcW w:w="609" w:type="pct"/>
            <w:vAlign w:val="center"/>
          </w:tcPr>
          <w:p w14:paraId="2840F5C8"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5F21CC4D"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more than 10% of an active substance. Indeed, the recovery results should be in the range 98% - 102% and they were experimentally </w:t>
            </w:r>
            <w:r>
              <w:rPr>
                <w:b/>
                <w:bCs/>
                <w:color w:val="000000"/>
                <w:sz w:val="18"/>
                <w:szCs w:val="18"/>
              </w:rPr>
              <w:lastRenderedPageBreak/>
              <w:t>equal to 99.2% and 99.6%.</w:t>
            </w:r>
          </w:p>
        </w:tc>
        <w:tc>
          <w:tcPr>
            <w:tcW w:w="687" w:type="pct"/>
            <w:vAlign w:val="center"/>
          </w:tcPr>
          <w:p w14:paraId="2EA78D3A"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blank, blank formulation, reference item and test item. </w:t>
            </w:r>
            <w:r>
              <w:rPr>
                <w:color w:val="000000"/>
                <w:sz w:val="18"/>
                <w:szCs w:val="18"/>
              </w:rPr>
              <w:br/>
              <w:t>No peak appeared in the solvent blank.</w:t>
            </w:r>
            <w:r>
              <w:rPr>
                <w:color w:val="000000"/>
                <w:sz w:val="18"/>
                <w:szCs w:val="18"/>
              </w:rPr>
              <w:br/>
              <w:t>In the reference item and in the test item, the peak at the retention time at about 6.053 min represented lactic acid.</w:t>
            </w:r>
            <w:r>
              <w:rPr>
                <w:color w:val="000000"/>
                <w:sz w:val="18"/>
                <w:szCs w:val="18"/>
              </w:rPr>
              <w:br/>
              <w:t xml:space="preserve">An unknown peak appeared in the formulation blank near the peak of </w:t>
            </w:r>
            <w:r>
              <w:rPr>
                <w:color w:val="000000"/>
                <w:sz w:val="18"/>
                <w:szCs w:val="18"/>
              </w:rPr>
              <w:lastRenderedPageBreak/>
              <w:t>lactic acid at the retention time at about 5.947 min.</w:t>
            </w:r>
            <w:r>
              <w:rPr>
                <w:color w:val="000000"/>
                <w:sz w:val="18"/>
                <w:szCs w:val="18"/>
              </w:rPr>
              <w:br/>
              <w:t>As the area of the unknown peak was less than 3% of the area of the lactic acid peak, the unknown peak was not considered to be interfering for the calculation.</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6CE1A915"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2820819E" w14:textId="77777777" w:rsidR="00FF3977" w:rsidRPr="00FD2055" w:rsidRDefault="00FF3977" w:rsidP="00FF3977">
            <w:pPr>
              <w:spacing w:before="60" w:after="60"/>
              <w:rPr>
                <w:i/>
                <w:color w:val="000000"/>
                <w:sz w:val="18"/>
                <w:szCs w:val="18"/>
              </w:rPr>
            </w:pPr>
            <w:r>
              <w:rPr>
                <w:color w:val="000000"/>
                <w:sz w:val="18"/>
                <w:szCs w:val="18"/>
              </w:rPr>
              <w:t>Ricau H., 2018, Report No 18-901011-043</w:t>
            </w:r>
          </w:p>
        </w:tc>
      </w:tr>
      <w:tr w:rsidR="00FF3977" w:rsidRPr="00FD2055" w14:paraId="7946B03E" w14:textId="77777777" w:rsidTr="00FF3977">
        <w:trPr>
          <w:jc w:val="center"/>
        </w:trPr>
        <w:tc>
          <w:tcPr>
            <w:tcW w:w="524" w:type="pct"/>
            <w:vAlign w:val="center"/>
          </w:tcPr>
          <w:p w14:paraId="1FF6EE90" w14:textId="77777777" w:rsidR="00FF3977" w:rsidRDefault="00FF3977" w:rsidP="00FF3977">
            <w:pPr>
              <w:spacing w:before="60" w:after="60"/>
              <w:jc w:val="center"/>
              <w:rPr>
                <w:color w:val="000000"/>
                <w:sz w:val="18"/>
                <w:szCs w:val="18"/>
              </w:rPr>
            </w:pPr>
            <w:r w:rsidRPr="001D704F">
              <w:rPr>
                <w:color w:val="000000"/>
                <w:sz w:val="18"/>
                <w:szCs w:val="18"/>
              </w:rPr>
              <w:t>9</w:t>
            </w:r>
          </w:p>
          <w:p w14:paraId="5F2AD0D2" w14:textId="77777777" w:rsidR="00FF3977" w:rsidRPr="001D704F" w:rsidRDefault="00FF3977" w:rsidP="00FF3977">
            <w:pPr>
              <w:spacing w:before="60" w:after="60"/>
              <w:jc w:val="center"/>
              <w:rPr>
                <w:color w:val="000000"/>
                <w:sz w:val="18"/>
                <w:szCs w:val="18"/>
              </w:rPr>
            </w:pPr>
            <w:r>
              <w:rPr>
                <w:color w:val="000000"/>
                <w:sz w:val="18"/>
                <w:szCs w:val="18"/>
              </w:rPr>
              <w:t>Test item: 218284-V1</w:t>
            </w:r>
          </w:p>
        </w:tc>
        <w:tc>
          <w:tcPr>
            <w:tcW w:w="819" w:type="pct"/>
            <w:shd w:val="clear" w:color="auto" w:fill="auto"/>
            <w:vAlign w:val="center"/>
          </w:tcPr>
          <w:p w14:paraId="0899F636"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15873B01"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w:t>
            </w:r>
            <w:r>
              <w:rPr>
                <w:color w:val="000000"/>
                <w:sz w:val="18"/>
                <w:szCs w:val="18"/>
              </w:rPr>
              <w:lastRenderedPageBreak/>
              <w:t>0.01 mg). The flask was put in a water-bath between 85 °C and 90 °C during 1 hour then the solution was left to stand at room temperature. The solution was filtered on 0.45-µm filter. Lactic acid was analyzed by liquid chromatography using an UV detector.</w:t>
            </w:r>
          </w:p>
        </w:tc>
        <w:tc>
          <w:tcPr>
            <w:tcW w:w="609" w:type="pct"/>
            <w:vAlign w:val="center"/>
          </w:tcPr>
          <w:p w14:paraId="7FEF507A"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1AEF6497"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w:t>
            </w:r>
            <w:r>
              <w:rPr>
                <w:b/>
                <w:bCs/>
                <w:color w:val="000000"/>
                <w:sz w:val="18"/>
                <w:szCs w:val="18"/>
              </w:rPr>
              <w:lastRenderedPageBreak/>
              <w:t>formulations containing more than 10% of an active substance. Indeed, the</w:t>
            </w:r>
            <w:r>
              <w:rPr>
                <w:b/>
                <w:bCs/>
                <w:color w:val="000000"/>
                <w:sz w:val="18"/>
                <w:szCs w:val="18"/>
              </w:rPr>
              <w:br/>
              <w:t>recovery results should be in the range 98% - 102% and they were experimentally equal to</w:t>
            </w:r>
            <w:r>
              <w:rPr>
                <w:b/>
                <w:bCs/>
                <w:color w:val="000000"/>
                <w:sz w:val="18"/>
                <w:szCs w:val="18"/>
              </w:rPr>
              <w:br/>
              <w:t>99.0%.</w:t>
            </w:r>
          </w:p>
        </w:tc>
        <w:tc>
          <w:tcPr>
            <w:tcW w:w="687" w:type="pct"/>
            <w:vAlign w:val="center"/>
          </w:tcPr>
          <w:p w14:paraId="6CF2A987"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blank, blank formulation, reference item and test item. </w:t>
            </w:r>
            <w:r>
              <w:rPr>
                <w:color w:val="000000"/>
                <w:sz w:val="18"/>
                <w:szCs w:val="18"/>
              </w:rPr>
              <w:br/>
              <w:t xml:space="preserve">No peak appeared in the solvent </w:t>
            </w:r>
            <w:r>
              <w:rPr>
                <w:color w:val="000000"/>
                <w:sz w:val="18"/>
                <w:szCs w:val="18"/>
              </w:rPr>
              <w:lastRenderedPageBreak/>
              <w:t>blank and in the formulation blank.</w:t>
            </w:r>
            <w:r>
              <w:rPr>
                <w:color w:val="000000"/>
                <w:sz w:val="18"/>
                <w:szCs w:val="18"/>
              </w:rPr>
              <w:br/>
              <w:t>In the reference item and in the test item, the peak at the retention time at about 6.070 min represented lactic acid.</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345E947C"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2B731704" w14:textId="77777777" w:rsidR="00FF3977" w:rsidRPr="00FD2055" w:rsidRDefault="00FF3977" w:rsidP="00FF3977">
            <w:pPr>
              <w:spacing w:before="60" w:after="60"/>
              <w:rPr>
                <w:i/>
                <w:color w:val="000000"/>
                <w:sz w:val="18"/>
                <w:szCs w:val="18"/>
              </w:rPr>
            </w:pPr>
            <w:r>
              <w:rPr>
                <w:color w:val="000000"/>
                <w:sz w:val="18"/>
                <w:szCs w:val="18"/>
              </w:rPr>
              <w:t>Ricau H., 2018, Report No 18-901011-048</w:t>
            </w:r>
          </w:p>
        </w:tc>
      </w:tr>
      <w:tr w:rsidR="00FF3977" w:rsidRPr="00FD2055" w14:paraId="030ADC35" w14:textId="77777777" w:rsidTr="00FF3977">
        <w:trPr>
          <w:jc w:val="center"/>
        </w:trPr>
        <w:tc>
          <w:tcPr>
            <w:tcW w:w="524" w:type="pct"/>
            <w:vAlign w:val="center"/>
          </w:tcPr>
          <w:p w14:paraId="27E438C8" w14:textId="77777777" w:rsidR="00FF3977" w:rsidRDefault="00FF3977" w:rsidP="00FF3977">
            <w:pPr>
              <w:spacing w:before="60" w:after="60"/>
              <w:jc w:val="center"/>
              <w:rPr>
                <w:color w:val="000000"/>
                <w:sz w:val="18"/>
                <w:szCs w:val="18"/>
              </w:rPr>
            </w:pPr>
            <w:r w:rsidRPr="001D704F">
              <w:rPr>
                <w:color w:val="000000"/>
                <w:sz w:val="18"/>
                <w:szCs w:val="18"/>
              </w:rPr>
              <w:t>10</w:t>
            </w:r>
          </w:p>
          <w:p w14:paraId="796306AD" w14:textId="77777777" w:rsidR="00FF3977" w:rsidRPr="001D704F" w:rsidRDefault="00FF3977" w:rsidP="00FF3977">
            <w:pPr>
              <w:spacing w:before="60" w:after="60"/>
              <w:jc w:val="center"/>
              <w:rPr>
                <w:color w:val="000000"/>
                <w:sz w:val="18"/>
                <w:szCs w:val="18"/>
              </w:rPr>
            </w:pPr>
            <w:r>
              <w:rPr>
                <w:color w:val="000000"/>
                <w:sz w:val="18"/>
                <w:szCs w:val="18"/>
              </w:rPr>
              <w:t>Test item: 218291-V1</w:t>
            </w:r>
          </w:p>
        </w:tc>
        <w:tc>
          <w:tcPr>
            <w:tcW w:w="819" w:type="pct"/>
            <w:shd w:val="clear" w:color="auto" w:fill="auto"/>
            <w:vAlign w:val="center"/>
          </w:tcPr>
          <w:p w14:paraId="670419A0"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2357F5DB"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w:t>
            </w:r>
            <w:r>
              <w:rPr>
                <w:color w:val="000000"/>
                <w:sz w:val="18"/>
                <w:szCs w:val="18"/>
              </w:rPr>
              <w:lastRenderedPageBreak/>
              <w:t>between 85 °C and 90 °C during 1 hour then the solution was left to stand at room temperature. The solution was filtered on 0.45-µm filter. Lactic acid was analyzed by liquid chromatography using an UV detector.</w:t>
            </w:r>
          </w:p>
        </w:tc>
        <w:tc>
          <w:tcPr>
            <w:tcW w:w="609" w:type="pct"/>
            <w:vAlign w:val="center"/>
          </w:tcPr>
          <w:p w14:paraId="007F872A"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3770F701"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 xml:space="preserve">The accuracy results of lactic acid were in conformity with the Guidelines requirements for formulations containing more than 10% of an </w:t>
            </w:r>
            <w:r>
              <w:rPr>
                <w:b/>
                <w:bCs/>
                <w:color w:val="000000"/>
                <w:sz w:val="18"/>
                <w:szCs w:val="18"/>
              </w:rPr>
              <w:lastRenderedPageBreak/>
              <w:t>active substance. Indeed, the</w:t>
            </w:r>
            <w:r>
              <w:rPr>
                <w:b/>
                <w:bCs/>
                <w:color w:val="000000"/>
                <w:sz w:val="18"/>
                <w:szCs w:val="18"/>
              </w:rPr>
              <w:br/>
              <w:t>recovery results should be in the range 98% - 102% and they were experimentally equal to</w:t>
            </w:r>
            <w:r>
              <w:rPr>
                <w:b/>
                <w:bCs/>
                <w:color w:val="000000"/>
                <w:sz w:val="18"/>
                <w:szCs w:val="18"/>
              </w:rPr>
              <w:br/>
              <w:t>99.1 and 99.7%.</w:t>
            </w:r>
          </w:p>
        </w:tc>
        <w:tc>
          <w:tcPr>
            <w:tcW w:w="687" w:type="pct"/>
            <w:vAlign w:val="center"/>
          </w:tcPr>
          <w:p w14:paraId="03C0A34E"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blank, blank formulation, reference item and test item. </w:t>
            </w:r>
            <w:r>
              <w:rPr>
                <w:color w:val="000000"/>
                <w:sz w:val="18"/>
                <w:szCs w:val="18"/>
              </w:rPr>
              <w:br/>
              <w:t>No peak appeared in the solvent blank and in the formulation blank.</w:t>
            </w:r>
            <w:r>
              <w:rPr>
                <w:color w:val="000000"/>
                <w:sz w:val="18"/>
                <w:szCs w:val="18"/>
              </w:rPr>
              <w:br/>
              <w:t xml:space="preserve">In the reference </w:t>
            </w:r>
            <w:r>
              <w:rPr>
                <w:color w:val="000000"/>
                <w:sz w:val="18"/>
                <w:szCs w:val="18"/>
              </w:rPr>
              <w:lastRenderedPageBreak/>
              <w:t>item and in the test item, the peak at the retention time at about 6.045 min represented lactic acid.</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1045A049"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5A22C5CB" w14:textId="77777777" w:rsidR="00FF3977" w:rsidRPr="00FD2055" w:rsidRDefault="00FF3977" w:rsidP="00FF3977">
            <w:pPr>
              <w:spacing w:before="60" w:after="60"/>
              <w:rPr>
                <w:i/>
                <w:color w:val="000000"/>
                <w:sz w:val="18"/>
                <w:szCs w:val="18"/>
              </w:rPr>
            </w:pPr>
            <w:r>
              <w:rPr>
                <w:color w:val="000000"/>
                <w:sz w:val="18"/>
                <w:szCs w:val="18"/>
              </w:rPr>
              <w:t>Ricau H., 2018, Report No 18-901011-054</w:t>
            </w:r>
          </w:p>
        </w:tc>
      </w:tr>
      <w:tr w:rsidR="00FF3977" w:rsidRPr="00FD2055" w14:paraId="752CBFC2" w14:textId="77777777" w:rsidTr="00FF3977">
        <w:trPr>
          <w:jc w:val="center"/>
        </w:trPr>
        <w:tc>
          <w:tcPr>
            <w:tcW w:w="524" w:type="pct"/>
            <w:vAlign w:val="center"/>
          </w:tcPr>
          <w:p w14:paraId="52AEA077" w14:textId="77777777" w:rsidR="00FF3977" w:rsidRDefault="00FF3977" w:rsidP="00FF3977">
            <w:pPr>
              <w:spacing w:before="60" w:after="60"/>
              <w:jc w:val="center"/>
              <w:rPr>
                <w:color w:val="000000"/>
                <w:sz w:val="18"/>
                <w:szCs w:val="18"/>
              </w:rPr>
            </w:pPr>
            <w:r w:rsidRPr="001D704F">
              <w:rPr>
                <w:color w:val="000000"/>
                <w:sz w:val="18"/>
                <w:szCs w:val="18"/>
              </w:rPr>
              <w:t>10</w:t>
            </w:r>
          </w:p>
          <w:p w14:paraId="104ECC74" w14:textId="77777777" w:rsidR="00FF3977" w:rsidRPr="001D704F" w:rsidRDefault="00FF3977" w:rsidP="00FF3977">
            <w:pPr>
              <w:spacing w:before="60" w:after="60"/>
              <w:jc w:val="center"/>
              <w:rPr>
                <w:color w:val="000000"/>
                <w:sz w:val="18"/>
                <w:szCs w:val="18"/>
              </w:rPr>
            </w:pPr>
            <w:r>
              <w:rPr>
                <w:color w:val="000000"/>
                <w:sz w:val="18"/>
                <w:szCs w:val="18"/>
              </w:rPr>
              <w:t>Test item: 218291-V1</w:t>
            </w:r>
          </w:p>
        </w:tc>
        <w:tc>
          <w:tcPr>
            <w:tcW w:w="819" w:type="pct"/>
            <w:shd w:val="clear" w:color="auto" w:fill="auto"/>
            <w:vAlign w:val="center"/>
          </w:tcPr>
          <w:p w14:paraId="3A0632BE" w14:textId="77777777" w:rsidR="00FF3977" w:rsidRPr="004976FE" w:rsidRDefault="00FF3977" w:rsidP="00FF3977">
            <w:pPr>
              <w:spacing w:before="60" w:after="60"/>
              <w:rPr>
                <w:color w:val="000000"/>
                <w:sz w:val="18"/>
                <w:szCs w:val="18"/>
              </w:rPr>
            </w:pPr>
            <w:r w:rsidRPr="00DB7503">
              <w:rPr>
                <w:color w:val="000000"/>
                <w:sz w:val="18"/>
                <w:szCs w:val="18"/>
              </w:rPr>
              <w:t>Butyldiglycol</w:t>
            </w:r>
          </w:p>
          <w:p w14:paraId="1AD56A22" w14:textId="77777777" w:rsidR="00FF3977" w:rsidRPr="00DB7503" w:rsidRDefault="00FF3977" w:rsidP="00FF3977">
            <w:pPr>
              <w:spacing w:before="60" w:after="60"/>
              <w:rPr>
                <w:i/>
                <w:color w:val="000000"/>
                <w:sz w:val="18"/>
                <w:szCs w:val="18"/>
              </w:rPr>
            </w:pPr>
            <w:r w:rsidRPr="001D704F">
              <w:rPr>
                <w:sz w:val="18"/>
                <w:szCs w:val="18"/>
              </w:rPr>
              <w:t>(2-(2-butoxyethoxy)ethanol)</w:t>
            </w:r>
          </w:p>
        </w:tc>
        <w:tc>
          <w:tcPr>
            <w:tcW w:w="656" w:type="pct"/>
            <w:vAlign w:val="center"/>
          </w:tcPr>
          <w:p w14:paraId="08555C4B" w14:textId="77777777" w:rsidR="00FF3977" w:rsidRPr="00FD2055" w:rsidRDefault="00FF3977" w:rsidP="00FF3977">
            <w:pPr>
              <w:spacing w:before="60" w:after="60"/>
              <w:rPr>
                <w:color w:val="000000"/>
                <w:sz w:val="18"/>
                <w:szCs w:val="18"/>
              </w:rPr>
            </w:pPr>
            <w:r>
              <w:rPr>
                <w:color w:val="000000"/>
                <w:sz w:val="18"/>
                <w:szCs w:val="18"/>
              </w:rPr>
              <w:t xml:space="preserve">A quantity of about 500 mg of the test item was weighed (to the nearest 0.01 mg) into a 100-mL volumetric flask and the volume was made up with methanol. The solution was homogenised before analysis. Butyldiglycol was analysed by gas chromatography using a flame </w:t>
            </w:r>
            <w:r>
              <w:rPr>
                <w:color w:val="000000"/>
                <w:sz w:val="18"/>
                <w:szCs w:val="18"/>
              </w:rPr>
              <w:lastRenderedPageBreak/>
              <w:t>ionisation detector.</w:t>
            </w:r>
          </w:p>
        </w:tc>
        <w:tc>
          <w:tcPr>
            <w:tcW w:w="609" w:type="pct"/>
            <w:vAlign w:val="center"/>
          </w:tcPr>
          <w:p w14:paraId="4DC256BA" w14:textId="77777777" w:rsidR="00FF3977" w:rsidRPr="00FD2055" w:rsidRDefault="00FF3977" w:rsidP="00FF3977">
            <w:pPr>
              <w:spacing w:before="60" w:after="60"/>
              <w:rPr>
                <w:color w:val="000000"/>
                <w:sz w:val="18"/>
                <w:szCs w:val="18"/>
              </w:rPr>
            </w:pPr>
            <w:r>
              <w:rPr>
                <w:color w:val="000000"/>
                <w:sz w:val="18"/>
                <w:szCs w:val="18"/>
              </w:rPr>
              <w:lastRenderedPageBreak/>
              <w:t>To define the linearity of the detector answer of butyldiglycol, five concentrations of the reference items were analysed.</w:t>
            </w:r>
            <w:r>
              <w:rPr>
                <w:color w:val="000000"/>
                <w:sz w:val="18"/>
                <w:szCs w:val="18"/>
              </w:rPr>
              <w:br/>
            </w:r>
            <w:r>
              <w:rPr>
                <w:b/>
                <w:bCs/>
                <w:color w:val="000000"/>
                <w:sz w:val="18"/>
                <w:szCs w:val="18"/>
              </w:rPr>
              <w:t xml:space="preserve">The response of the detector during the analysis of butyldiglycol was linear within the range of 132.03 mg/L </w:t>
            </w:r>
            <w:r>
              <w:rPr>
                <w:b/>
                <w:bCs/>
                <w:color w:val="000000"/>
                <w:sz w:val="18"/>
                <w:szCs w:val="18"/>
              </w:rPr>
              <w:lastRenderedPageBreak/>
              <w:t>to 408.47 mg/L (r = 0.9996).</w:t>
            </w:r>
          </w:p>
        </w:tc>
        <w:tc>
          <w:tcPr>
            <w:tcW w:w="689" w:type="pct"/>
            <w:vAlign w:val="center"/>
          </w:tcPr>
          <w:p w14:paraId="3386013A" w14:textId="77777777" w:rsidR="00FF3977" w:rsidRPr="00FD2055" w:rsidRDefault="00FF3977" w:rsidP="00FF3977">
            <w:pPr>
              <w:spacing w:before="60" w:after="60"/>
              <w:rPr>
                <w:color w:val="000000"/>
                <w:sz w:val="18"/>
                <w:szCs w:val="18"/>
              </w:rPr>
            </w:pPr>
            <w:r>
              <w:rPr>
                <w:color w:val="000000"/>
                <w:sz w:val="18"/>
                <w:szCs w:val="18"/>
              </w:rPr>
              <w:lastRenderedPageBreak/>
              <w:t>The accuracy was determined by comparison of the reference items and two reconstituted test item.</w:t>
            </w:r>
            <w:r>
              <w:rPr>
                <w:color w:val="000000"/>
                <w:sz w:val="18"/>
                <w:szCs w:val="18"/>
              </w:rPr>
              <w:br/>
            </w:r>
            <w:r>
              <w:rPr>
                <w:b/>
                <w:bCs/>
                <w:color w:val="000000"/>
                <w:sz w:val="18"/>
                <w:szCs w:val="18"/>
              </w:rPr>
              <w:t xml:space="preserve">The accuracy results of butyldiglycol were in conformity with the Guidelines requirements for formulations containing between 1% and 10% of an active </w:t>
            </w:r>
            <w:r>
              <w:rPr>
                <w:b/>
                <w:bCs/>
                <w:color w:val="000000"/>
                <w:sz w:val="18"/>
                <w:szCs w:val="18"/>
              </w:rPr>
              <w:lastRenderedPageBreak/>
              <w:t>substance.  Indeed, the recovery results should be in the range 97% - 103% and they were experimentally equal to 98.2% and 100.8%.</w:t>
            </w:r>
          </w:p>
        </w:tc>
        <w:tc>
          <w:tcPr>
            <w:tcW w:w="687" w:type="pct"/>
            <w:vAlign w:val="center"/>
          </w:tcPr>
          <w:p w14:paraId="36E9D7E0"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and test item. </w:t>
            </w:r>
            <w:r>
              <w:rPr>
                <w:color w:val="000000"/>
                <w:sz w:val="18"/>
                <w:szCs w:val="18"/>
              </w:rPr>
              <w:br/>
              <w:t>No peak appears in the solvent blank and in the formulation blank.</w:t>
            </w:r>
            <w:r>
              <w:rPr>
                <w:color w:val="000000"/>
                <w:sz w:val="18"/>
                <w:szCs w:val="18"/>
              </w:rPr>
              <w:br/>
              <w:t xml:space="preserve">In the reference item and in the test item, the peak at the </w:t>
            </w:r>
            <w:r>
              <w:rPr>
                <w:color w:val="000000"/>
                <w:sz w:val="18"/>
                <w:szCs w:val="18"/>
              </w:rPr>
              <w:lastRenderedPageBreak/>
              <w:t>retention time around 8.24 min represents butyldiglycol.</w:t>
            </w:r>
            <w:r>
              <w:rPr>
                <w:color w:val="000000"/>
                <w:sz w:val="18"/>
                <w:szCs w:val="18"/>
              </w:rPr>
              <w:br/>
              <w:t>No additional peak appears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butyldiglycol.</w:t>
            </w:r>
          </w:p>
        </w:tc>
        <w:tc>
          <w:tcPr>
            <w:tcW w:w="585" w:type="pct"/>
            <w:vAlign w:val="center"/>
          </w:tcPr>
          <w:p w14:paraId="440B82FE" w14:textId="77777777" w:rsidR="00FF3977" w:rsidRPr="00FD2055" w:rsidRDefault="00FF3977" w:rsidP="00FF3977">
            <w:pPr>
              <w:spacing w:before="60" w:after="60"/>
              <w:rPr>
                <w:i/>
                <w:color w:val="000000"/>
                <w:sz w:val="18"/>
                <w:szCs w:val="18"/>
              </w:rPr>
            </w:pPr>
            <w:r>
              <w:rPr>
                <w:color w:val="000000"/>
                <w:sz w:val="18"/>
                <w:szCs w:val="18"/>
              </w:rPr>
              <w:lastRenderedPageBreak/>
              <w:t xml:space="preserve">The precision was determined by analysing twice five test item solutions. The content of butyldiglycol for each analysis was calculated with the average value of the response factor of the two calibration solutions bracketing the test item. </w:t>
            </w:r>
            <w:r>
              <w:rPr>
                <w:color w:val="000000"/>
                <w:sz w:val="18"/>
                <w:szCs w:val="18"/>
              </w:rPr>
              <w:lastRenderedPageBreak/>
              <w:t>Then, the average value of the content, the standard deviation and the Relative Standard Deviation (R.S.D.) were calculated.</w:t>
            </w:r>
            <w:r>
              <w:rPr>
                <w:color w:val="000000"/>
                <w:sz w:val="18"/>
                <w:szCs w:val="18"/>
              </w:rPr>
              <w:br/>
            </w:r>
            <w:r>
              <w:rPr>
                <w:b/>
                <w:bCs/>
                <w:color w:val="000000"/>
                <w:sz w:val="18"/>
                <w:szCs w:val="18"/>
              </w:rPr>
              <w:t>The concentration of butyldiglycol in the test item was equal to 5.40% w/w or 54.0 g/kg. In the case of butyldiglycol, the precision was acceptable as the R.S.D. was lower than the result of the modified Horwitz equation: 0.49 &lt; 2.08 (C = 0.0540).</w:t>
            </w:r>
          </w:p>
        </w:tc>
        <w:tc>
          <w:tcPr>
            <w:tcW w:w="429" w:type="pct"/>
            <w:vAlign w:val="center"/>
          </w:tcPr>
          <w:p w14:paraId="08AD2338" w14:textId="77777777" w:rsidR="00FF3977" w:rsidRPr="00FD2055" w:rsidRDefault="00FF3977" w:rsidP="00FF3977">
            <w:pPr>
              <w:spacing w:before="60" w:after="60"/>
              <w:rPr>
                <w:i/>
                <w:color w:val="000000"/>
                <w:sz w:val="18"/>
                <w:szCs w:val="18"/>
              </w:rPr>
            </w:pPr>
            <w:r>
              <w:rPr>
                <w:color w:val="000000"/>
                <w:sz w:val="18"/>
                <w:szCs w:val="18"/>
              </w:rPr>
              <w:lastRenderedPageBreak/>
              <w:t>Ricau H., 2019, Report No 18-901011-055</w:t>
            </w:r>
          </w:p>
        </w:tc>
      </w:tr>
      <w:tr w:rsidR="00FF3977" w:rsidRPr="00FD2055" w14:paraId="3D532745" w14:textId="77777777" w:rsidTr="00FF3977">
        <w:trPr>
          <w:jc w:val="center"/>
        </w:trPr>
        <w:tc>
          <w:tcPr>
            <w:tcW w:w="524" w:type="pct"/>
            <w:vAlign w:val="center"/>
          </w:tcPr>
          <w:p w14:paraId="50C559F4" w14:textId="77777777" w:rsidR="00FF3977" w:rsidRDefault="00FF3977" w:rsidP="00FF3977">
            <w:pPr>
              <w:spacing w:before="60" w:after="60"/>
              <w:jc w:val="center"/>
              <w:rPr>
                <w:color w:val="000000"/>
                <w:sz w:val="18"/>
                <w:szCs w:val="18"/>
              </w:rPr>
            </w:pPr>
            <w:r w:rsidRPr="001D704F">
              <w:rPr>
                <w:color w:val="000000"/>
                <w:sz w:val="18"/>
                <w:szCs w:val="18"/>
              </w:rPr>
              <w:t>11</w:t>
            </w:r>
          </w:p>
          <w:p w14:paraId="3E18D5CF" w14:textId="77777777" w:rsidR="00FF3977" w:rsidRPr="001D704F" w:rsidRDefault="00FF3977" w:rsidP="00FF3977">
            <w:pPr>
              <w:spacing w:before="60" w:after="60"/>
              <w:jc w:val="center"/>
              <w:rPr>
                <w:color w:val="000000"/>
                <w:sz w:val="18"/>
                <w:szCs w:val="18"/>
              </w:rPr>
            </w:pPr>
            <w:r>
              <w:rPr>
                <w:color w:val="000000"/>
                <w:sz w:val="18"/>
                <w:szCs w:val="18"/>
              </w:rPr>
              <w:t>Test item: 218248-P1</w:t>
            </w:r>
          </w:p>
        </w:tc>
        <w:tc>
          <w:tcPr>
            <w:tcW w:w="819" w:type="pct"/>
            <w:shd w:val="clear" w:color="auto" w:fill="auto"/>
            <w:vAlign w:val="center"/>
          </w:tcPr>
          <w:p w14:paraId="59CF3CD1"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7E5CF6DD"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t>
            </w:r>
            <w:r>
              <w:rPr>
                <w:color w:val="000000"/>
                <w:sz w:val="18"/>
                <w:szCs w:val="18"/>
              </w:rPr>
              <w:lastRenderedPageBreak/>
              <w:t>weight was adjusted with the sulphuric acid 1N solution until 10 g (to the nearest 0.01 mg). The flask was put in a water-bath between 85 °C and 90 °C during 1 hour then the solution was left to stand at room temperature. The solution was filtered on 0.45-µm filter. Lactic acid was analyzed by liquid chromatography using an UV detector.</w:t>
            </w:r>
          </w:p>
        </w:tc>
        <w:tc>
          <w:tcPr>
            <w:tcW w:w="609" w:type="pct"/>
            <w:vAlign w:val="center"/>
          </w:tcPr>
          <w:p w14:paraId="4F776D6D"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33ADD33A" w14:textId="77777777" w:rsidR="00FF3977" w:rsidRPr="00FD2055" w:rsidRDefault="00FF3977" w:rsidP="00FF3977">
            <w:pPr>
              <w:spacing w:before="60" w:after="60"/>
              <w:rPr>
                <w:color w:val="000000"/>
                <w:sz w:val="18"/>
                <w:szCs w:val="18"/>
              </w:rPr>
            </w:pPr>
            <w:r>
              <w:rPr>
                <w:color w:val="000000"/>
                <w:sz w:val="18"/>
                <w:szCs w:val="18"/>
              </w:rPr>
              <w:t xml:space="preserve">The accuracy was determined by comparison of the reference items and two reconstituted test item. </w:t>
            </w:r>
            <w:r>
              <w:rPr>
                <w:color w:val="000000"/>
                <w:sz w:val="18"/>
                <w:szCs w:val="18"/>
              </w:rPr>
              <w:br/>
            </w:r>
            <w:r>
              <w:rPr>
                <w:b/>
                <w:bCs/>
                <w:color w:val="000000"/>
                <w:sz w:val="18"/>
                <w:szCs w:val="18"/>
              </w:rPr>
              <w:t xml:space="preserve">The accuracy </w:t>
            </w:r>
            <w:r>
              <w:rPr>
                <w:b/>
                <w:bCs/>
                <w:color w:val="000000"/>
                <w:sz w:val="18"/>
                <w:szCs w:val="18"/>
              </w:rPr>
              <w:lastRenderedPageBreak/>
              <w:t>results of lactic acid were in conformity with the Guidelines requirements for formulations containing more than 10% of an active substance. Indeed, the recovery results should be in the range 98% - 102% and they were experimentally equal to 99.0%.</w:t>
            </w:r>
          </w:p>
        </w:tc>
        <w:tc>
          <w:tcPr>
            <w:tcW w:w="687" w:type="pct"/>
            <w:vAlign w:val="center"/>
          </w:tcPr>
          <w:p w14:paraId="2E8D2FBD"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w:t>
            </w:r>
            <w:r>
              <w:rPr>
                <w:color w:val="000000"/>
                <w:sz w:val="18"/>
                <w:szCs w:val="18"/>
              </w:rPr>
              <w:lastRenderedPageBreak/>
              <w:t xml:space="preserve">formulation, reference item and test item. </w:t>
            </w:r>
            <w:r>
              <w:rPr>
                <w:color w:val="000000"/>
                <w:sz w:val="18"/>
                <w:szCs w:val="18"/>
              </w:rPr>
              <w:br/>
              <w:t>No peak appeared in the solvent blank and in the formulation blank.</w:t>
            </w:r>
            <w:r>
              <w:rPr>
                <w:color w:val="000000"/>
                <w:sz w:val="18"/>
                <w:szCs w:val="18"/>
              </w:rPr>
              <w:br/>
              <w:t>In the reference item and in the test item, the peak at the retention time at about 6.110 min represented lactic acid.</w:t>
            </w:r>
            <w:r>
              <w:rPr>
                <w:color w:val="000000"/>
                <w:sz w:val="18"/>
                <w:szCs w:val="18"/>
              </w:rPr>
              <w:br/>
              <w:t>No additional peak appeared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796D2D10"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6C66C2FC" w14:textId="77777777" w:rsidR="00FF3977" w:rsidRPr="00FD2055" w:rsidRDefault="00FF3977" w:rsidP="00FF3977">
            <w:pPr>
              <w:spacing w:before="60" w:after="60"/>
              <w:rPr>
                <w:i/>
                <w:color w:val="000000"/>
                <w:sz w:val="18"/>
                <w:szCs w:val="18"/>
              </w:rPr>
            </w:pPr>
            <w:r>
              <w:rPr>
                <w:color w:val="000000"/>
                <w:sz w:val="18"/>
                <w:szCs w:val="18"/>
              </w:rPr>
              <w:t>Ricau H., 2019, Report No 18-901011-059</w:t>
            </w:r>
          </w:p>
        </w:tc>
      </w:tr>
      <w:tr w:rsidR="00FF3977" w:rsidRPr="00FD2055" w14:paraId="1C955E22" w14:textId="77777777" w:rsidTr="00FF3977">
        <w:trPr>
          <w:jc w:val="center"/>
        </w:trPr>
        <w:tc>
          <w:tcPr>
            <w:tcW w:w="524" w:type="pct"/>
            <w:vAlign w:val="center"/>
          </w:tcPr>
          <w:p w14:paraId="3A16674C" w14:textId="77777777" w:rsidR="00FF3977" w:rsidRDefault="00FF3977" w:rsidP="00FF3977">
            <w:pPr>
              <w:spacing w:before="60" w:after="60"/>
              <w:jc w:val="center"/>
              <w:rPr>
                <w:color w:val="000000"/>
                <w:sz w:val="18"/>
                <w:szCs w:val="18"/>
              </w:rPr>
            </w:pPr>
            <w:r w:rsidRPr="001D704F">
              <w:rPr>
                <w:color w:val="000000"/>
                <w:sz w:val="18"/>
                <w:szCs w:val="18"/>
              </w:rPr>
              <w:t>11</w:t>
            </w:r>
          </w:p>
          <w:p w14:paraId="0885914D" w14:textId="77777777" w:rsidR="00FF3977" w:rsidRDefault="00FF3977" w:rsidP="00FF3977">
            <w:pPr>
              <w:spacing w:before="60" w:after="60"/>
              <w:jc w:val="center"/>
              <w:rPr>
                <w:color w:val="000000"/>
                <w:sz w:val="18"/>
                <w:szCs w:val="18"/>
              </w:rPr>
            </w:pPr>
            <w:r>
              <w:rPr>
                <w:color w:val="000000"/>
                <w:sz w:val="18"/>
                <w:szCs w:val="18"/>
              </w:rPr>
              <w:t>Test item: 218248-P1</w:t>
            </w:r>
          </w:p>
          <w:p w14:paraId="0723DD6A" w14:textId="77777777" w:rsidR="00FF3977" w:rsidRPr="001D704F" w:rsidRDefault="00FF3977" w:rsidP="00FF3977">
            <w:pPr>
              <w:spacing w:before="60" w:after="60"/>
              <w:jc w:val="center"/>
              <w:rPr>
                <w:color w:val="000000"/>
                <w:sz w:val="18"/>
                <w:szCs w:val="18"/>
              </w:rPr>
            </w:pPr>
          </w:p>
        </w:tc>
        <w:tc>
          <w:tcPr>
            <w:tcW w:w="819" w:type="pct"/>
            <w:shd w:val="clear" w:color="auto" w:fill="auto"/>
            <w:vAlign w:val="center"/>
          </w:tcPr>
          <w:p w14:paraId="05F1E5F5" w14:textId="77777777" w:rsidR="00FF3977" w:rsidRPr="00FD2055" w:rsidRDefault="00FF3977" w:rsidP="00FF3977">
            <w:pPr>
              <w:spacing w:before="60" w:after="60"/>
              <w:rPr>
                <w:i/>
                <w:color w:val="000000"/>
                <w:sz w:val="18"/>
                <w:szCs w:val="18"/>
              </w:rPr>
            </w:pPr>
            <w:r>
              <w:rPr>
                <w:color w:val="000000"/>
                <w:sz w:val="18"/>
                <w:szCs w:val="18"/>
              </w:rPr>
              <w:t>Potassium sorbate</w:t>
            </w:r>
          </w:p>
        </w:tc>
        <w:tc>
          <w:tcPr>
            <w:tcW w:w="656" w:type="pct"/>
            <w:vAlign w:val="center"/>
          </w:tcPr>
          <w:p w14:paraId="2C0F8F31" w14:textId="77777777" w:rsidR="00FF3977" w:rsidRPr="00FD2055" w:rsidRDefault="00FF3977" w:rsidP="00FF3977">
            <w:pPr>
              <w:spacing w:before="60" w:after="60"/>
              <w:rPr>
                <w:color w:val="000000"/>
                <w:sz w:val="18"/>
                <w:szCs w:val="18"/>
              </w:rPr>
            </w:pPr>
            <w:r>
              <w:rPr>
                <w:color w:val="000000"/>
                <w:sz w:val="18"/>
                <w:szCs w:val="18"/>
              </w:rPr>
              <w:t xml:space="preserve">A quantity of about 1.0 g of the test item was weighed (to the nearest 0.01 mg) into a 100-mL volumetric flask and the volume was slowly made up with water to avoid the bubbles. The solution was </w:t>
            </w:r>
            <w:r>
              <w:rPr>
                <w:color w:val="000000"/>
                <w:sz w:val="18"/>
                <w:szCs w:val="18"/>
              </w:rPr>
              <w:lastRenderedPageBreak/>
              <w:t>diluted 4 times with water before analysis.</w:t>
            </w:r>
            <w:r>
              <w:rPr>
                <w:color w:val="000000"/>
                <w:sz w:val="18"/>
                <w:szCs w:val="18"/>
              </w:rPr>
              <w:br/>
              <w:t>Potassium sorbate was analysed by liquid chromatography using a reverse phase column and an UV detector.</w:t>
            </w:r>
          </w:p>
        </w:tc>
        <w:tc>
          <w:tcPr>
            <w:tcW w:w="609" w:type="pct"/>
            <w:vAlign w:val="center"/>
          </w:tcPr>
          <w:p w14:paraId="6BF52490" w14:textId="77777777" w:rsidR="00FF3977" w:rsidRPr="00FD2055" w:rsidRDefault="00FF3977" w:rsidP="00FF3977">
            <w:pPr>
              <w:spacing w:before="60" w:after="60"/>
              <w:rPr>
                <w:color w:val="000000"/>
                <w:sz w:val="18"/>
                <w:szCs w:val="18"/>
              </w:rPr>
            </w:pPr>
            <w:r>
              <w:rPr>
                <w:color w:val="000000"/>
                <w:sz w:val="18"/>
                <w:szCs w:val="18"/>
              </w:rPr>
              <w:lastRenderedPageBreak/>
              <w:t>To define the linearity of the detector response of potassium sorbate, five concentrations taken between 50% and 150% of the reference items were analysed.</w:t>
            </w:r>
            <w:r>
              <w:rPr>
                <w:color w:val="000000"/>
                <w:sz w:val="18"/>
                <w:szCs w:val="18"/>
              </w:rPr>
              <w:br/>
            </w:r>
            <w:r>
              <w:rPr>
                <w:b/>
                <w:bCs/>
                <w:color w:val="000000"/>
                <w:sz w:val="18"/>
                <w:szCs w:val="18"/>
              </w:rPr>
              <w:t xml:space="preserve">The response </w:t>
            </w:r>
            <w:r>
              <w:rPr>
                <w:b/>
                <w:bCs/>
                <w:color w:val="000000"/>
                <w:sz w:val="18"/>
                <w:szCs w:val="18"/>
              </w:rPr>
              <w:lastRenderedPageBreak/>
              <w:t>of the detector during the analysis of potassium sorbate was linear within the range of 12.75 mg/L to 38.51 mg/L (r = 0.9983).</w:t>
            </w:r>
          </w:p>
        </w:tc>
        <w:tc>
          <w:tcPr>
            <w:tcW w:w="689" w:type="pct"/>
            <w:vAlign w:val="center"/>
          </w:tcPr>
          <w:p w14:paraId="36889961" w14:textId="77777777" w:rsidR="00FF3977" w:rsidRPr="00FD2055" w:rsidRDefault="00FF3977" w:rsidP="00FF3977">
            <w:pPr>
              <w:spacing w:before="60" w:after="60"/>
              <w:rPr>
                <w:color w:val="000000"/>
                <w:sz w:val="18"/>
                <w:szCs w:val="18"/>
              </w:rPr>
            </w:pPr>
            <w:r>
              <w:rPr>
                <w:color w:val="000000"/>
                <w:sz w:val="18"/>
                <w:szCs w:val="18"/>
              </w:rPr>
              <w:lastRenderedPageBreak/>
              <w:t>The accuracy was determined by comparison of the reference items and two reconstituted test item.</w:t>
            </w:r>
            <w:r>
              <w:rPr>
                <w:color w:val="000000"/>
                <w:sz w:val="18"/>
                <w:szCs w:val="18"/>
              </w:rPr>
              <w:br/>
            </w:r>
            <w:r>
              <w:rPr>
                <w:b/>
                <w:bCs/>
                <w:color w:val="000000"/>
                <w:sz w:val="18"/>
                <w:szCs w:val="18"/>
              </w:rPr>
              <w:t xml:space="preserve">The accuracy results of potassium sorbate were in conformity with the </w:t>
            </w:r>
            <w:r>
              <w:rPr>
                <w:b/>
                <w:bCs/>
                <w:color w:val="000000"/>
                <w:sz w:val="18"/>
                <w:szCs w:val="18"/>
              </w:rPr>
              <w:lastRenderedPageBreak/>
              <w:t xml:space="preserve">SANCO/3030/99 rev. 4 requirements for formulations containing between 1% and 10% of an active substance. </w:t>
            </w:r>
            <w:r>
              <w:rPr>
                <w:b/>
                <w:bCs/>
                <w:color w:val="000000"/>
                <w:sz w:val="18"/>
                <w:szCs w:val="18"/>
              </w:rPr>
              <w:br/>
              <w:t>Indeed, the recovery results should be in the range 97% - 103% and they were experimentally equal to 101.4% and 100.7%.</w:t>
            </w:r>
          </w:p>
        </w:tc>
        <w:tc>
          <w:tcPr>
            <w:tcW w:w="687" w:type="pct"/>
            <w:vAlign w:val="center"/>
          </w:tcPr>
          <w:p w14:paraId="3170FBD3"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and test item. </w:t>
            </w:r>
            <w:r>
              <w:rPr>
                <w:color w:val="000000"/>
                <w:sz w:val="18"/>
                <w:szCs w:val="18"/>
              </w:rPr>
              <w:br/>
              <w:t xml:space="preserve">No peak appears in the solvent </w:t>
            </w:r>
            <w:r>
              <w:rPr>
                <w:color w:val="000000"/>
                <w:sz w:val="18"/>
                <w:szCs w:val="18"/>
              </w:rPr>
              <w:lastRenderedPageBreak/>
              <w:t>blank and in the formulation blank.</w:t>
            </w:r>
            <w:r>
              <w:rPr>
                <w:color w:val="000000"/>
                <w:sz w:val="18"/>
                <w:szCs w:val="18"/>
              </w:rPr>
              <w:br/>
              <w:t>In the reference item and in the test item, the peak at the retention time at about 3.151 min represents potassium sorbate.</w:t>
            </w:r>
            <w:r>
              <w:rPr>
                <w:color w:val="000000"/>
                <w:sz w:val="18"/>
                <w:szCs w:val="18"/>
              </w:rPr>
              <w:br/>
              <w:t>No additional peak appears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the analysis of potassium sorbate in AL-S11-2-0.</w:t>
            </w:r>
          </w:p>
        </w:tc>
        <w:tc>
          <w:tcPr>
            <w:tcW w:w="585" w:type="pct"/>
            <w:vAlign w:val="center"/>
          </w:tcPr>
          <w:p w14:paraId="5679A278" w14:textId="77777777" w:rsidR="00FF3977" w:rsidRPr="00FD2055" w:rsidRDefault="00FF3977" w:rsidP="00FF3977">
            <w:pPr>
              <w:spacing w:before="60" w:after="60"/>
              <w:rPr>
                <w:i/>
                <w:color w:val="000000"/>
                <w:sz w:val="18"/>
                <w:szCs w:val="18"/>
              </w:rPr>
            </w:pPr>
            <w:r>
              <w:rPr>
                <w:color w:val="000000"/>
                <w:sz w:val="18"/>
                <w:szCs w:val="18"/>
              </w:rPr>
              <w:lastRenderedPageBreak/>
              <w:t xml:space="preserve">The precision was determined by analysing twice five test item solutions. The content of potassium sorbate for each analysis was calculated with the average value </w:t>
            </w:r>
            <w:r>
              <w:rPr>
                <w:color w:val="000000"/>
                <w:sz w:val="18"/>
                <w:szCs w:val="18"/>
              </w:rPr>
              <w:lastRenderedPageBreak/>
              <w:t>of the response factor of the two calibration solutions bracketing the test item. Then, the average value of the content, the standard deviation and the Relative Standard Deviation (R.S.D.) were calculated.</w:t>
            </w:r>
            <w:r>
              <w:rPr>
                <w:color w:val="000000"/>
                <w:sz w:val="18"/>
                <w:szCs w:val="18"/>
              </w:rPr>
              <w:br/>
            </w:r>
            <w:r>
              <w:rPr>
                <w:b/>
                <w:bCs/>
                <w:color w:val="000000"/>
                <w:sz w:val="18"/>
                <w:szCs w:val="18"/>
              </w:rPr>
              <w:t>The concentration of potassium sorbate in the test item was equal to 0.890% w/w or 8.90 g/kg.</w:t>
            </w:r>
            <w:r>
              <w:rPr>
                <w:b/>
                <w:bCs/>
                <w:color w:val="000000"/>
                <w:sz w:val="18"/>
                <w:szCs w:val="18"/>
              </w:rPr>
              <w:br/>
              <w:t xml:space="preserve"> In the case of potassium sorbate, the precision was acceptable as the R.S.D. was lower than the result of the modified Horwitz equation: 0.59 &lt; 2.73 (C = 0.00890).</w:t>
            </w:r>
          </w:p>
        </w:tc>
        <w:tc>
          <w:tcPr>
            <w:tcW w:w="429" w:type="pct"/>
            <w:vAlign w:val="center"/>
          </w:tcPr>
          <w:p w14:paraId="135AC71D" w14:textId="77777777" w:rsidR="00FF3977" w:rsidRPr="00FD2055" w:rsidRDefault="00FF3977" w:rsidP="00FF3977">
            <w:pPr>
              <w:spacing w:before="60" w:after="60"/>
              <w:rPr>
                <w:i/>
                <w:color w:val="000000"/>
                <w:sz w:val="18"/>
                <w:szCs w:val="18"/>
              </w:rPr>
            </w:pPr>
            <w:r>
              <w:rPr>
                <w:color w:val="000000"/>
                <w:sz w:val="18"/>
                <w:szCs w:val="18"/>
              </w:rPr>
              <w:lastRenderedPageBreak/>
              <w:t>Ricau H., 2019, Report No 18-901011-060</w:t>
            </w:r>
          </w:p>
        </w:tc>
      </w:tr>
      <w:tr w:rsidR="00FF3977" w:rsidRPr="00FD2055" w14:paraId="73AC8810" w14:textId="77777777" w:rsidTr="00FF3977">
        <w:trPr>
          <w:jc w:val="center"/>
        </w:trPr>
        <w:tc>
          <w:tcPr>
            <w:tcW w:w="524" w:type="pct"/>
            <w:vAlign w:val="center"/>
          </w:tcPr>
          <w:p w14:paraId="2948F37A" w14:textId="77777777" w:rsidR="00FF3977" w:rsidRDefault="00FF3977" w:rsidP="00FF3977">
            <w:pPr>
              <w:spacing w:before="60" w:after="60"/>
              <w:jc w:val="center"/>
              <w:rPr>
                <w:color w:val="000000"/>
                <w:sz w:val="18"/>
                <w:szCs w:val="18"/>
              </w:rPr>
            </w:pPr>
            <w:r w:rsidRPr="001D704F">
              <w:rPr>
                <w:color w:val="000000"/>
                <w:sz w:val="18"/>
                <w:szCs w:val="18"/>
              </w:rPr>
              <w:lastRenderedPageBreak/>
              <w:t>11</w:t>
            </w:r>
          </w:p>
          <w:p w14:paraId="6EB160D7" w14:textId="77777777" w:rsidR="00FF3977" w:rsidRDefault="00FF3977" w:rsidP="00FF3977">
            <w:pPr>
              <w:spacing w:before="60" w:after="60"/>
              <w:jc w:val="center"/>
              <w:rPr>
                <w:color w:val="000000"/>
                <w:sz w:val="18"/>
                <w:szCs w:val="18"/>
              </w:rPr>
            </w:pPr>
            <w:r>
              <w:rPr>
                <w:color w:val="000000"/>
                <w:sz w:val="18"/>
                <w:szCs w:val="18"/>
              </w:rPr>
              <w:t>Test item: 218248-P1</w:t>
            </w:r>
          </w:p>
          <w:p w14:paraId="25DD09EC" w14:textId="77777777" w:rsidR="00FF3977" w:rsidRPr="001D704F" w:rsidRDefault="00FF3977" w:rsidP="00FF3977">
            <w:pPr>
              <w:spacing w:before="60" w:after="60"/>
              <w:jc w:val="center"/>
              <w:rPr>
                <w:color w:val="000000"/>
                <w:sz w:val="18"/>
                <w:szCs w:val="18"/>
              </w:rPr>
            </w:pPr>
          </w:p>
        </w:tc>
        <w:tc>
          <w:tcPr>
            <w:tcW w:w="819" w:type="pct"/>
            <w:shd w:val="clear" w:color="auto" w:fill="auto"/>
            <w:vAlign w:val="center"/>
          </w:tcPr>
          <w:p w14:paraId="2BD27947" w14:textId="77777777" w:rsidR="00FF3977" w:rsidRPr="00FD2055" w:rsidRDefault="00FF3977" w:rsidP="00FF3977">
            <w:pPr>
              <w:spacing w:before="60" w:after="60"/>
              <w:rPr>
                <w:i/>
                <w:color w:val="000000"/>
                <w:sz w:val="18"/>
                <w:szCs w:val="18"/>
              </w:rPr>
            </w:pPr>
            <w:r>
              <w:rPr>
                <w:color w:val="000000"/>
                <w:sz w:val="18"/>
                <w:szCs w:val="18"/>
              </w:rPr>
              <w:t>Amines, coco alkyldimethyl, N-oxides</w:t>
            </w:r>
          </w:p>
        </w:tc>
        <w:tc>
          <w:tcPr>
            <w:tcW w:w="656" w:type="pct"/>
            <w:vAlign w:val="center"/>
          </w:tcPr>
          <w:p w14:paraId="44836AC4" w14:textId="77777777" w:rsidR="00FF3977" w:rsidRPr="00FD2055" w:rsidRDefault="00FF3977" w:rsidP="00FF3977">
            <w:pPr>
              <w:spacing w:before="60" w:after="60"/>
              <w:rPr>
                <w:color w:val="000000"/>
                <w:sz w:val="18"/>
                <w:szCs w:val="18"/>
              </w:rPr>
            </w:pPr>
            <w:r>
              <w:rPr>
                <w:color w:val="000000"/>
                <w:sz w:val="18"/>
                <w:szCs w:val="18"/>
              </w:rPr>
              <w:t>A quantity of about 0.5 g of the test item was weighed (to the nearest 0.01 mg) into a 50-mL volumetric flask and the volume was made up with propan-2-ol. The solution was homogenised before analysis.</w:t>
            </w:r>
            <w:r>
              <w:rPr>
                <w:color w:val="000000"/>
                <w:sz w:val="18"/>
                <w:szCs w:val="18"/>
              </w:rPr>
              <w:br/>
              <w:t>Amines, coco alkyldimethyl, N-oxides was analysed by gas chromatography using a flame ionisation detector.</w:t>
            </w:r>
          </w:p>
        </w:tc>
        <w:tc>
          <w:tcPr>
            <w:tcW w:w="609" w:type="pct"/>
            <w:vAlign w:val="center"/>
          </w:tcPr>
          <w:p w14:paraId="00A3B01B" w14:textId="77777777" w:rsidR="00FF3977" w:rsidRPr="00FD2055" w:rsidRDefault="00FF3977" w:rsidP="00FF3977">
            <w:pPr>
              <w:spacing w:before="60" w:after="60"/>
              <w:rPr>
                <w:color w:val="000000"/>
                <w:sz w:val="18"/>
                <w:szCs w:val="18"/>
              </w:rPr>
            </w:pPr>
            <w:r>
              <w:rPr>
                <w:color w:val="000000"/>
                <w:sz w:val="18"/>
                <w:szCs w:val="18"/>
              </w:rPr>
              <w:t>To define the linearity of the detector response of amines, coco alkyldimethyl, N-oxides, five concentrations taken between 50% and 150% of the reference items were analysed.</w:t>
            </w:r>
            <w:r>
              <w:rPr>
                <w:color w:val="000000"/>
                <w:sz w:val="18"/>
                <w:szCs w:val="18"/>
              </w:rPr>
              <w:br/>
            </w:r>
            <w:r>
              <w:rPr>
                <w:b/>
                <w:bCs/>
                <w:color w:val="000000"/>
                <w:sz w:val="18"/>
                <w:szCs w:val="18"/>
              </w:rPr>
              <w:t>The response of the detector during the analysis of amines, coco alkyldimethyl, N-oxides was linear within the range of 242.11 mg/L to 755.55 mg/L (r = 0.9987).</w:t>
            </w:r>
          </w:p>
        </w:tc>
        <w:tc>
          <w:tcPr>
            <w:tcW w:w="689" w:type="pct"/>
            <w:vAlign w:val="center"/>
          </w:tcPr>
          <w:p w14:paraId="22A7B98D" w14:textId="77777777" w:rsidR="00FF3977" w:rsidRPr="00FD2055" w:rsidRDefault="00FF3977" w:rsidP="00FF3977">
            <w:pPr>
              <w:spacing w:before="60" w:after="60"/>
              <w:rPr>
                <w:color w:val="000000"/>
                <w:sz w:val="18"/>
                <w:szCs w:val="18"/>
              </w:rPr>
            </w:pPr>
            <w:r>
              <w:rPr>
                <w:color w:val="000000"/>
                <w:sz w:val="18"/>
                <w:szCs w:val="18"/>
              </w:rPr>
              <w:t xml:space="preserve">The accuracy was determined by comparison of the reference items and two reconstituted test item.  </w:t>
            </w:r>
            <w:r>
              <w:rPr>
                <w:color w:val="000000"/>
                <w:sz w:val="18"/>
                <w:szCs w:val="18"/>
              </w:rPr>
              <w:br/>
            </w:r>
            <w:r>
              <w:rPr>
                <w:b/>
                <w:bCs/>
                <w:color w:val="000000"/>
                <w:sz w:val="18"/>
                <w:szCs w:val="18"/>
              </w:rPr>
              <w:t xml:space="preserve">The accuracy results of amines, coco alkyldimethyl, N-oxides were in conformity with the SANCO/3030/99 rev. 4 requirements for formulations containing between 1% and 10% of an active substance. </w:t>
            </w:r>
            <w:r>
              <w:rPr>
                <w:b/>
                <w:bCs/>
                <w:color w:val="000000"/>
                <w:sz w:val="18"/>
                <w:szCs w:val="18"/>
              </w:rPr>
              <w:br/>
              <w:t>Indeed, the recovery results should be in the range 97% - 103% and they were experimentally equal to 101.3% and 101.9%.</w:t>
            </w:r>
          </w:p>
        </w:tc>
        <w:tc>
          <w:tcPr>
            <w:tcW w:w="687" w:type="pct"/>
            <w:vAlign w:val="center"/>
          </w:tcPr>
          <w:p w14:paraId="1786237A" w14:textId="77777777" w:rsidR="00FF3977" w:rsidRPr="00FD2055" w:rsidRDefault="00FF3977" w:rsidP="00FF3977">
            <w:pPr>
              <w:spacing w:before="60" w:after="60"/>
              <w:rPr>
                <w:color w:val="000000"/>
                <w:sz w:val="18"/>
                <w:szCs w:val="18"/>
              </w:rPr>
            </w:pPr>
            <w:r>
              <w:rPr>
                <w:color w:val="000000"/>
                <w:sz w:val="18"/>
                <w:szCs w:val="18"/>
              </w:rPr>
              <w:t xml:space="preserve">To define the specificity of the analytical method, the following solutions were analysed: solvent blank, blank formulation, reference item and test item. </w:t>
            </w:r>
            <w:r>
              <w:rPr>
                <w:color w:val="000000"/>
                <w:sz w:val="18"/>
                <w:szCs w:val="18"/>
              </w:rPr>
              <w:br/>
              <w:t>No peak appears in the solvent blank and in the formulation blank.</w:t>
            </w:r>
            <w:r>
              <w:rPr>
                <w:color w:val="000000"/>
                <w:sz w:val="18"/>
                <w:szCs w:val="18"/>
              </w:rPr>
              <w:br/>
              <w:t>In the reference item and in the test item, an unknown peak (A) appears near the peak of amines C12 at the retention time at about 18.18 min.</w:t>
            </w:r>
            <w:r>
              <w:rPr>
                <w:color w:val="000000"/>
                <w:sz w:val="18"/>
                <w:szCs w:val="18"/>
              </w:rPr>
              <w:br/>
              <w:t>As the area of the unknown peak (A) was less than 3% of the area of the amines C12, this unknown peak (A) was not considered to be interfering peak for the analysis.</w:t>
            </w:r>
            <w:r>
              <w:rPr>
                <w:color w:val="000000"/>
                <w:sz w:val="18"/>
                <w:szCs w:val="18"/>
              </w:rPr>
              <w:br/>
              <w:t xml:space="preserve">In, the reference item and in the test item, the peaks at the retention times at about 17.68 min and 42.79 min </w:t>
            </w:r>
            <w:r>
              <w:rPr>
                <w:color w:val="000000"/>
                <w:sz w:val="18"/>
                <w:szCs w:val="18"/>
              </w:rPr>
              <w:lastRenderedPageBreak/>
              <w:t>represent respectively amine C12 and amine C14.</w:t>
            </w:r>
            <w:r>
              <w:rPr>
                <w:color w:val="000000"/>
                <w:sz w:val="18"/>
                <w:szCs w:val="18"/>
              </w:rPr>
              <w:br/>
              <w:t>No additional peak appears in the reference item and in the test item near the peaks of amines.</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the analysis of amines, coco alkyldimethyl, N-oxides in AL-S11-2-0.</w:t>
            </w:r>
          </w:p>
        </w:tc>
        <w:tc>
          <w:tcPr>
            <w:tcW w:w="585" w:type="pct"/>
            <w:vAlign w:val="center"/>
          </w:tcPr>
          <w:p w14:paraId="100BC8B7" w14:textId="77777777" w:rsidR="00FF3977" w:rsidRPr="00FD2055" w:rsidRDefault="00FF3977" w:rsidP="00FF3977">
            <w:pPr>
              <w:spacing w:before="60" w:after="60"/>
              <w:rPr>
                <w:i/>
                <w:color w:val="000000"/>
                <w:sz w:val="18"/>
                <w:szCs w:val="18"/>
              </w:rPr>
            </w:pPr>
            <w:r>
              <w:rPr>
                <w:color w:val="000000"/>
                <w:sz w:val="18"/>
                <w:szCs w:val="18"/>
              </w:rPr>
              <w:lastRenderedPageBreak/>
              <w:t>The precision was determined by analysing twice five test item solutions. The content of amines, coco alkyldimethyl, N-oxides for each analysis was calculated with the average value of the response factor of the two calibration solutions bracketing the test item. Then, the average value of the content, the standard deviation and the Relative Standard Deviation (R.S.D.) were calculated.</w:t>
            </w:r>
            <w:r>
              <w:rPr>
                <w:color w:val="000000"/>
                <w:sz w:val="18"/>
                <w:szCs w:val="18"/>
              </w:rPr>
              <w:br/>
            </w:r>
            <w:r>
              <w:rPr>
                <w:b/>
                <w:bCs/>
                <w:color w:val="000000"/>
                <w:sz w:val="18"/>
                <w:szCs w:val="18"/>
              </w:rPr>
              <w:t xml:space="preserve">The concentration of amines, coco alkyldimethyl, N-oxides in the test item was equal to 5.30% w/w or 53.0 g/kg. In the case of </w:t>
            </w:r>
            <w:r>
              <w:rPr>
                <w:b/>
                <w:bCs/>
                <w:color w:val="000000"/>
                <w:sz w:val="18"/>
                <w:szCs w:val="18"/>
              </w:rPr>
              <w:lastRenderedPageBreak/>
              <w:t>amines, coco alkyldimethyl, N-oxides, the precision was acceptable as the R.S.D. was lower than the result of the modified Horwitz equation: 1.39 &lt; 2.09 (C = 0.0530).</w:t>
            </w:r>
          </w:p>
        </w:tc>
        <w:tc>
          <w:tcPr>
            <w:tcW w:w="429" w:type="pct"/>
            <w:vAlign w:val="center"/>
          </w:tcPr>
          <w:p w14:paraId="2F1FD7F4" w14:textId="77777777" w:rsidR="00FF3977" w:rsidRPr="00FD2055" w:rsidRDefault="00FF3977" w:rsidP="00FF3977">
            <w:pPr>
              <w:spacing w:before="60" w:after="60"/>
              <w:rPr>
                <w:i/>
                <w:color w:val="000000"/>
                <w:sz w:val="18"/>
                <w:szCs w:val="18"/>
              </w:rPr>
            </w:pPr>
            <w:r>
              <w:rPr>
                <w:color w:val="000000"/>
                <w:sz w:val="18"/>
                <w:szCs w:val="18"/>
              </w:rPr>
              <w:lastRenderedPageBreak/>
              <w:t>Ricau H., 2019, Report No 18-901011-066</w:t>
            </w:r>
          </w:p>
        </w:tc>
      </w:tr>
      <w:tr w:rsidR="00FF3977" w:rsidRPr="00FD2055" w14:paraId="395A516F" w14:textId="77777777" w:rsidTr="00FF3977">
        <w:trPr>
          <w:jc w:val="center"/>
        </w:trPr>
        <w:tc>
          <w:tcPr>
            <w:tcW w:w="524" w:type="pct"/>
            <w:vAlign w:val="center"/>
          </w:tcPr>
          <w:p w14:paraId="3CECBCE5" w14:textId="77777777" w:rsidR="00FF3977" w:rsidRDefault="00FF3977" w:rsidP="00FF3977">
            <w:pPr>
              <w:spacing w:before="60" w:after="60"/>
              <w:jc w:val="center"/>
              <w:rPr>
                <w:color w:val="000000"/>
                <w:sz w:val="18"/>
                <w:szCs w:val="18"/>
              </w:rPr>
            </w:pPr>
            <w:r w:rsidRPr="001D704F">
              <w:rPr>
                <w:color w:val="000000"/>
                <w:sz w:val="18"/>
                <w:szCs w:val="18"/>
              </w:rPr>
              <w:t>12</w:t>
            </w:r>
          </w:p>
          <w:p w14:paraId="61176EC9" w14:textId="77777777" w:rsidR="00FF3977" w:rsidRPr="001D704F" w:rsidRDefault="00FF3977" w:rsidP="00FF3977">
            <w:pPr>
              <w:spacing w:before="60" w:after="60"/>
              <w:jc w:val="center"/>
              <w:rPr>
                <w:color w:val="000000"/>
                <w:sz w:val="18"/>
                <w:szCs w:val="18"/>
              </w:rPr>
            </w:pPr>
            <w:r>
              <w:rPr>
                <w:color w:val="000000"/>
                <w:sz w:val="18"/>
                <w:szCs w:val="18"/>
              </w:rPr>
              <w:t>Test item: 818292-P1</w:t>
            </w:r>
          </w:p>
        </w:tc>
        <w:tc>
          <w:tcPr>
            <w:tcW w:w="819" w:type="pct"/>
            <w:shd w:val="clear" w:color="auto" w:fill="auto"/>
            <w:vAlign w:val="center"/>
          </w:tcPr>
          <w:p w14:paraId="5B020DCD"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78D86A2E"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flask and the weight was adjusted with the sulphuric acid 1N solution until 10 g (to the nearest 0.01 mg). The flask was put in a water-bath between 85 °C and 90 °C during 1 hour then the solution was left </w:t>
            </w:r>
            <w:r>
              <w:rPr>
                <w:color w:val="000000"/>
                <w:sz w:val="18"/>
                <w:szCs w:val="18"/>
              </w:rPr>
              <w:lastRenderedPageBreak/>
              <w:t>to stand at room temperature. The solution was filtered on 0.45-µm filter. Lactic acid was analyzed by liquid chromatography using an UV detector.</w:t>
            </w:r>
          </w:p>
        </w:tc>
        <w:tc>
          <w:tcPr>
            <w:tcW w:w="609" w:type="pct"/>
            <w:vAlign w:val="center"/>
          </w:tcPr>
          <w:p w14:paraId="216E5874"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214429CB"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t>The accuracy results of lactic acid were in conformity with the Guidelines requirements for formulations containing more than 10% of an active substance. Indeed, the</w:t>
            </w:r>
            <w:r>
              <w:rPr>
                <w:b/>
                <w:bCs/>
                <w:color w:val="000000"/>
                <w:sz w:val="18"/>
                <w:szCs w:val="18"/>
              </w:rPr>
              <w:br/>
              <w:t xml:space="preserve">recovery results </w:t>
            </w:r>
            <w:r>
              <w:rPr>
                <w:b/>
                <w:bCs/>
                <w:color w:val="000000"/>
                <w:sz w:val="18"/>
                <w:szCs w:val="18"/>
              </w:rPr>
              <w:lastRenderedPageBreak/>
              <w:t>should be in the range 98% - 102% and they were experimentally equal to</w:t>
            </w:r>
            <w:r>
              <w:rPr>
                <w:b/>
                <w:bCs/>
                <w:color w:val="000000"/>
                <w:sz w:val="18"/>
                <w:szCs w:val="18"/>
              </w:rPr>
              <w:br/>
              <w:t>99.2% and 99.7%.</w:t>
            </w:r>
          </w:p>
        </w:tc>
        <w:tc>
          <w:tcPr>
            <w:tcW w:w="687" w:type="pct"/>
            <w:vAlign w:val="center"/>
          </w:tcPr>
          <w:p w14:paraId="4F040771"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blank, blank formulation, reference item and test item. </w:t>
            </w:r>
            <w:r>
              <w:rPr>
                <w:color w:val="000000"/>
                <w:sz w:val="18"/>
                <w:szCs w:val="18"/>
              </w:rPr>
              <w:br/>
              <w:t>No peak appeared in the solvent blank.</w:t>
            </w:r>
            <w:r>
              <w:rPr>
                <w:color w:val="000000"/>
                <w:sz w:val="18"/>
                <w:szCs w:val="18"/>
              </w:rPr>
              <w:br/>
              <w:t xml:space="preserve">In the reference item and in the test item, the peak at the retention time at about 6.045 min </w:t>
            </w:r>
            <w:r>
              <w:rPr>
                <w:color w:val="000000"/>
                <w:sz w:val="18"/>
                <w:szCs w:val="18"/>
              </w:rPr>
              <w:lastRenderedPageBreak/>
              <w:t>represented lactic acid.</w:t>
            </w:r>
            <w:r>
              <w:rPr>
                <w:color w:val="000000"/>
                <w:sz w:val="18"/>
                <w:szCs w:val="18"/>
              </w:rPr>
              <w:br/>
              <w:t>An unknown peak appears in the formulation blank near the peak of lactic acid at the retention time at about 6.040 min.</w:t>
            </w:r>
            <w:r>
              <w:rPr>
                <w:color w:val="000000"/>
                <w:sz w:val="18"/>
                <w:szCs w:val="18"/>
              </w:rPr>
              <w:br/>
              <w:t>As the area of the unknown peak was less than 3% of the area of the lactic acid peak, the unknown peak was not considered to be interfering for the calculation.</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689E6AD1"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2074BBEE" w14:textId="77777777" w:rsidR="00FF3977" w:rsidRPr="00FD2055" w:rsidRDefault="00FF3977" w:rsidP="00FF3977">
            <w:pPr>
              <w:spacing w:before="60" w:after="60"/>
              <w:rPr>
                <w:i/>
                <w:color w:val="000000"/>
                <w:sz w:val="18"/>
                <w:szCs w:val="18"/>
              </w:rPr>
            </w:pPr>
            <w:r>
              <w:rPr>
                <w:color w:val="000000"/>
                <w:sz w:val="18"/>
                <w:szCs w:val="18"/>
              </w:rPr>
              <w:t>Ricau H., 2018, Report No 18-901011-062</w:t>
            </w:r>
          </w:p>
        </w:tc>
      </w:tr>
      <w:tr w:rsidR="00FF3977" w:rsidRPr="00FD2055" w14:paraId="5A90F01F" w14:textId="77777777" w:rsidTr="00FF3977">
        <w:trPr>
          <w:jc w:val="center"/>
        </w:trPr>
        <w:tc>
          <w:tcPr>
            <w:tcW w:w="524" w:type="pct"/>
            <w:vAlign w:val="center"/>
          </w:tcPr>
          <w:p w14:paraId="58F2DD19" w14:textId="77777777" w:rsidR="00FF3977" w:rsidRDefault="00FF3977" w:rsidP="00FF3977">
            <w:pPr>
              <w:spacing w:before="60" w:after="60"/>
              <w:jc w:val="center"/>
              <w:rPr>
                <w:color w:val="000000"/>
                <w:sz w:val="18"/>
                <w:szCs w:val="18"/>
              </w:rPr>
            </w:pPr>
            <w:r w:rsidRPr="001D704F">
              <w:rPr>
                <w:color w:val="000000"/>
                <w:sz w:val="18"/>
                <w:szCs w:val="18"/>
              </w:rPr>
              <w:t>13</w:t>
            </w:r>
          </w:p>
          <w:p w14:paraId="7818F6BF" w14:textId="77777777" w:rsidR="00FF3977" w:rsidRPr="001D704F" w:rsidRDefault="00FF3977" w:rsidP="00FF3977">
            <w:pPr>
              <w:spacing w:before="60" w:after="60"/>
              <w:jc w:val="center"/>
              <w:rPr>
                <w:color w:val="000000"/>
                <w:sz w:val="18"/>
                <w:szCs w:val="18"/>
              </w:rPr>
            </w:pPr>
            <w:r>
              <w:rPr>
                <w:color w:val="000000"/>
                <w:sz w:val="18"/>
                <w:szCs w:val="18"/>
              </w:rPr>
              <w:t>Test item: 218285-V1</w:t>
            </w:r>
          </w:p>
        </w:tc>
        <w:tc>
          <w:tcPr>
            <w:tcW w:w="819" w:type="pct"/>
            <w:shd w:val="clear" w:color="auto" w:fill="auto"/>
            <w:vAlign w:val="center"/>
          </w:tcPr>
          <w:p w14:paraId="70BF0873" w14:textId="77777777" w:rsidR="00FF3977" w:rsidRPr="00FD2055" w:rsidRDefault="00FF3977" w:rsidP="00FF3977">
            <w:pPr>
              <w:spacing w:before="60" w:after="60"/>
              <w:rPr>
                <w:i/>
                <w:color w:val="000000"/>
                <w:sz w:val="18"/>
                <w:szCs w:val="18"/>
              </w:rPr>
            </w:pPr>
            <w:r>
              <w:rPr>
                <w:color w:val="000000"/>
                <w:sz w:val="18"/>
                <w:szCs w:val="18"/>
              </w:rPr>
              <w:t>Lactic acid</w:t>
            </w:r>
          </w:p>
        </w:tc>
        <w:tc>
          <w:tcPr>
            <w:tcW w:w="656" w:type="pct"/>
            <w:vAlign w:val="center"/>
          </w:tcPr>
          <w:p w14:paraId="6BB428C6" w14:textId="77777777" w:rsidR="00FF3977" w:rsidRPr="00FD2055" w:rsidRDefault="00FF3977" w:rsidP="00FF3977">
            <w:pPr>
              <w:spacing w:before="60" w:after="60"/>
              <w:rPr>
                <w:color w:val="000000"/>
                <w:sz w:val="18"/>
                <w:szCs w:val="18"/>
              </w:rPr>
            </w:pPr>
            <w:r>
              <w:rPr>
                <w:color w:val="000000"/>
                <w:sz w:val="18"/>
                <w:szCs w:val="18"/>
              </w:rPr>
              <w:t xml:space="preserve">A quantity of about 0.5 g (to the nearest 0.01 mg) of the test item was weighed into a 30-mL glass </w:t>
            </w:r>
            <w:r>
              <w:rPr>
                <w:color w:val="000000"/>
                <w:sz w:val="18"/>
                <w:szCs w:val="18"/>
              </w:rPr>
              <w:lastRenderedPageBreak/>
              <w:t>flask and the weight was adjusted with the sulphuric acid 1N solution until 10 g (to the nearest 0.01 mg). The flask was put in a water-bath between 85 °C and 90 °C during 1 hour then the solution was left to stand at room temperature. The solution was filtered on 0.45-µm filter. Lactic acid was analyzed by liquid chromatography using an UV detector.</w:t>
            </w:r>
          </w:p>
        </w:tc>
        <w:tc>
          <w:tcPr>
            <w:tcW w:w="609" w:type="pct"/>
            <w:vAlign w:val="center"/>
          </w:tcPr>
          <w:p w14:paraId="798D1DA6"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35B774E6" w14:textId="77777777" w:rsidR="00FF3977" w:rsidRPr="00FD2055" w:rsidRDefault="00FF3977" w:rsidP="00FF3977">
            <w:pPr>
              <w:spacing w:before="60" w:after="60"/>
              <w:rPr>
                <w:color w:val="000000"/>
                <w:sz w:val="18"/>
                <w:szCs w:val="18"/>
              </w:rPr>
            </w:pPr>
            <w:r>
              <w:rPr>
                <w:color w:val="000000"/>
                <w:sz w:val="18"/>
                <w:szCs w:val="18"/>
              </w:rPr>
              <w:t>The accuracy was determined by comparison of the reference items and two reconstituted test item.</w:t>
            </w:r>
            <w:r>
              <w:rPr>
                <w:color w:val="000000"/>
                <w:sz w:val="18"/>
                <w:szCs w:val="18"/>
              </w:rPr>
              <w:br/>
            </w:r>
            <w:r>
              <w:rPr>
                <w:b/>
                <w:bCs/>
                <w:color w:val="000000"/>
                <w:sz w:val="18"/>
                <w:szCs w:val="18"/>
              </w:rPr>
              <w:lastRenderedPageBreak/>
              <w:t>The accuracy results of lactic acid were in conformity with the Guidelines requirements for formulations containing more than 10% of an active substance. Indeed, the</w:t>
            </w:r>
            <w:r>
              <w:rPr>
                <w:b/>
                <w:bCs/>
                <w:color w:val="000000"/>
                <w:sz w:val="18"/>
                <w:szCs w:val="18"/>
              </w:rPr>
              <w:br/>
              <w:t>recovery results should be in the range 98% - 102% and they were experimentally equal to</w:t>
            </w:r>
            <w:r>
              <w:rPr>
                <w:b/>
                <w:bCs/>
                <w:color w:val="000000"/>
                <w:sz w:val="18"/>
                <w:szCs w:val="18"/>
              </w:rPr>
              <w:br/>
              <w:t>98.9 and 99.3%.</w:t>
            </w:r>
          </w:p>
        </w:tc>
        <w:tc>
          <w:tcPr>
            <w:tcW w:w="687" w:type="pct"/>
            <w:vAlign w:val="center"/>
          </w:tcPr>
          <w:p w14:paraId="5A0C5E51"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analyzed: solvent </w:t>
            </w:r>
            <w:r>
              <w:rPr>
                <w:color w:val="000000"/>
                <w:sz w:val="18"/>
                <w:szCs w:val="18"/>
              </w:rPr>
              <w:lastRenderedPageBreak/>
              <w:t xml:space="preserve">blank, blank formulation, reference item and test item. </w:t>
            </w:r>
            <w:r>
              <w:rPr>
                <w:color w:val="000000"/>
                <w:sz w:val="18"/>
                <w:szCs w:val="18"/>
              </w:rPr>
              <w:br/>
              <w:t>No peak appeared in the solvent blank and in the formulation blank.</w:t>
            </w:r>
            <w:r>
              <w:rPr>
                <w:color w:val="000000"/>
                <w:sz w:val="18"/>
                <w:szCs w:val="18"/>
              </w:rPr>
              <w:br/>
              <w:t>In the reference item and in the test item, the peak at the retention time at about 6.033 min represented lactic acid.</w:t>
            </w:r>
            <w:r>
              <w:rPr>
                <w:color w:val="000000"/>
                <w:sz w:val="18"/>
                <w:szCs w:val="18"/>
              </w:rPr>
              <w:br/>
              <w:t>No additional peak appeared in the reference item, the formulation blank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lactic acid.</w:t>
            </w:r>
          </w:p>
        </w:tc>
        <w:tc>
          <w:tcPr>
            <w:tcW w:w="585" w:type="pct"/>
            <w:vAlign w:val="center"/>
          </w:tcPr>
          <w:p w14:paraId="278B1D33"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1EEBE3DA" w14:textId="77777777" w:rsidR="00FF3977" w:rsidRPr="00FD2055" w:rsidRDefault="00FF3977" w:rsidP="00FF3977">
            <w:pPr>
              <w:spacing w:before="60" w:after="60"/>
              <w:rPr>
                <w:i/>
                <w:color w:val="000000"/>
                <w:sz w:val="18"/>
                <w:szCs w:val="18"/>
              </w:rPr>
            </w:pPr>
            <w:r>
              <w:rPr>
                <w:color w:val="000000"/>
                <w:sz w:val="18"/>
                <w:szCs w:val="18"/>
              </w:rPr>
              <w:t>Ricau H., 2018, Report No 18-901011-064</w:t>
            </w:r>
          </w:p>
        </w:tc>
      </w:tr>
      <w:tr w:rsidR="00FF3977" w:rsidRPr="00FD2055" w14:paraId="73546A68" w14:textId="77777777" w:rsidTr="00FF3977">
        <w:trPr>
          <w:jc w:val="center"/>
        </w:trPr>
        <w:tc>
          <w:tcPr>
            <w:tcW w:w="524" w:type="pct"/>
            <w:vAlign w:val="center"/>
          </w:tcPr>
          <w:p w14:paraId="0558AB82" w14:textId="77777777" w:rsidR="00FF3977" w:rsidRDefault="00FF3977" w:rsidP="00FF3977">
            <w:pPr>
              <w:spacing w:before="60" w:after="60"/>
              <w:jc w:val="center"/>
              <w:rPr>
                <w:color w:val="000000"/>
                <w:sz w:val="18"/>
                <w:szCs w:val="18"/>
              </w:rPr>
            </w:pPr>
            <w:r w:rsidRPr="001D704F">
              <w:rPr>
                <w:color w:val="000000"/>
                <w:sz w:val="18"/>
                <w:szCs w:val="18"/>
              </w:rPr>
              <w:t>13</w:t>
            </w:r>
          </w:p>
          <w:p w14:paraId="35B85053" w14:textId="77777777" w:rsidR="00FF3977" w:rsidRPr="001D704F" w:rsidRDefault="00FF3977" w:rsidP="00FF3977">
            <w:pPr>
              <w:spacing w:before="60" w:after="60"/>
              <w:jc w:val="center"/>
              <w:rPr>
                <w:color w:val="000000"/>
                <w:sz w:val="18"/>
                <w:szCs w:val="18"/>
              </w:rPr>
            </w:pPr>
            <w:r>
              <w:rPr>
                <w:color w:val="000000"/>
                <w:sz w:val="18"/>
                <w:szCs w:val="18"/>
              </w:rPr>
              <w:t>Test item: 218285-V1</w:t>
            </w:r>
          </w:p>
        </w:tc>
        <w:tc>
          <w:tcPr>
            <w:tcW w:w="819" w:type="pct"/>
            <w:shd w:val="clear" w:color="auto" w:fill="auto"/>
            <w:vAlign w:val="center"/>
          </w:tcPr>
          <w:p w14:paraId="7AEE5F88" w14:textId="77777777" w:rsidR="00FF3977" w:rsidRPr="004B37A0" w:rsidRDefault="00FF3977" w:rsidP="00FF3977">
            <w:pPr>
              <w:spacing w:before="60" w:after="60"/>
              <w:rPr>
                <w:color w:val="000000"/>
                <w:sz w:val="18"/>
                <w:szCs w:val="18"/>
              </w:rPr>
            </w:pPr>
            <w:r w:rsidRPr="004B37A0">
              <w:rPr>
                <w:color w:val="000000"/>
                <w:sz w:val="18"/>
                <w:szCs w:val="18"/>
              </w:rPr>
              <w:t>Butyldiglycol</w:t>
            </w:r>
          </w:p>
          <w:p w14:paraId="25D3ED61" w14:textId="77777777" w:rsidR="00FF3977" w:rsidRPr="00FD2055" w:rsidRDefault="00FF3977" w:rsidP="00FF3977">
            <w:pPr>
              <w:spacing w:before="60" w:after="60"/>
              <w:rPr>
                <w:i/>
                <w:color w:val="000000"/>
                <w:sz w:val="18"/>
                <w:szCs w:val="18"/>
              </w:rPr>
            </w:pPr>
            <w:r w:rsidRPr="004B37A0">
              <w:rPr>
                <w:sz w:val="18"/>
                <w:szCs w:val="18"/>
              </w:rPr>
              <w:t>(2-(2-butoxyethoxy)ethanol)</w:t>
            </w:r>
          </w:p>
        </w:tc>
        <w:tc>
          <w:tcPr>
            <w:tcW w:w="656" w:type="pct"/>
            <w:vAlign w:val="center"/>
          </w:tcPr>
          <w:p w14:paraId="4E465736" w14:textId="77777777" w:rsidR="00FF3977" w:rsidRPr="00FD2055" w:rsidRDefault="00FF3977" w:rsidP="00FF3977">
            <w:pPr>
              <w:spacing w:before="60" w:after="60"/>
              <w:rPr>
                <w:color w:val="000000"/>
                <w:sz w:val="18"/>
                <w:szCs w:val="18"/>
              </w:rPr>
            </w:pPr>
            <w:r>
              <w:rPr>
                <w:color w:val="000000"/>
                <w:sz w:val="18"/>
                <w:szCs w:val="18"/>
              </w:rPr>
              <w:t xml:space="preserve">A quantity of about 50 mg of the test item was weighed (to the nearest 0.01 mg) into a 50-mL volumetric flask and the volume was made up with methanol </w:t>
            </w:r>
            <w:r>
              <w:rPr>
                <w:color w:val="000000"/>
                <w:sz w:val="18"/>
                <w:szCs w:val="18"/>
              </w:rPr>
              <w:lastRenderedPageBreak/>
              <w:t>(REF01 BDG).</w:t>
            </w:r>
            <w:r>
              <w:rPr>
                <w:color w:val="000000"/>
                <w:sz w:val="18"/>
                <w:szCs w:val="18"/>
              </w:rPr>
              <w:br/>
              <w:t>The solution was diluted 3.6 times (2.75 mL into 10 mL) with methanol (REF01 BDG dil). Butyldiglycol was analysed by gas chromatography using a flame ionisation detector.</w:t>
            </w:r>
          </w:p>
        </w:tc>
        <w:tc>
          <w:tcPr>
            <w:tcW w:w="609" w:type="pct"/>
            <w:vAlign w:val="center"/>
          </w:tcPr>
          <w:p w14:paraId="7B8C9C90" w14:textId="77777777" w:rsidR="00FF3977" w:rsidRPr="00FD2055" w:rsidRDefault="00FF3977" w:rsidP="00FF3977">
            <w:pPr>
              <w:spacing w:before="60" w:after="60"/>
              <w:rPr>
                <w:color w:val="000000"/>
                <w:sz w:val="18"/>
                <w:szCs w:val="18"/>
              </w:rPr>
            </w:pPr>
            <w:r>
              <w:rPr>
                <w:color w:val="000000"/>
                <w:sz w:val="18"/>
                <w:szCs w:val="18"/>
              </w:rPr>
              <w:lastRenderedPageBreak/>
              <w:t> </w:t>
            </w:r>
          </w:p>
        </w:tc>
        <w:tc>
          <w:tcPr>
            <w:tcW w:w="689" w:type="pct"/>
            <w:vAlign w:val="center"/>
          </w:tcPr>
          <w:p w14:paraId="5C5F3A5F" w14:textId="77777777" w:rsidR="00FF3977" w:rsidRPr="00FD2055" w:rsidRDefault="00FF3977" w:rsidP="00FF3977">
            <w:pPr>
              <w:spacing w:before="60" w:after="60"/>
              <w:rPr>
                <w:color w:val="000000"/>
                <w:sz w:val="18"/>
                <w:szCs w:val="18"/>
              </w:rPr>
            </w:pPr>
            <w:r>
              <w:rPr>
                <w:color w:val="000000"/>
                <w:sz w:val="18"/>
                <w:szCs w:val="18"/>
              </w:rPr>
              <w:t xml:space="preserve">The accuracy was determined by comparison of the reference items and two reconstituted test item.  </w:t>
            </w:r>
            <w:r>
              <w:rPr>
                <w:color w:val="000000"/>
                <w:sz w:val="18"/>
                <w:szCs w:val="18"/>
              </w:rPr>
              <w:br/>
            </w:r>
            <w:r>
              <w:rPr>
                <w:b/>
                <w:bCs/>
                <w:color w:val="000000"/>
                <w:sz w:val="18"/>
                <w:szCs w:val="18"/>
              </w:rPr>
              <w:t xml:space="preserve">The accuracy results of butyldiglycol </w:t>
            </w:r>
            <w:r>
              <w:rPr>
                <w:b/>
                <w:bCs/>
                <w:color w:val="000000"/>
                <w:sz w:val="18"/>
                <w:szCs w:val="18"/>
              </w:rPr>
              <w:lastRenderedPageBreak/>
              <w:t>were in conformity with the Guidelines requirements for formulations containing between 1% and 10% of an active substance.</w:t>
            </w:r>
            <w:r>
              <w:rPr>
                <w:b/>
                <w:bCs/>
                <w:color w:val="000000"/>
                <w:sz w:val="18"/>
                <w:szCs w:val="18"/>
              </w:rPr>
              <w:br/>
              <w:t>Indeed, the recovery results should be in the range 97% - 103% and they were experimentally equal to 100.0% and 101.1%.</w:t>
            </w:r>
          </w:p>
        </w:tc>
        <w:tc>
          <w:tcPr>
            <w:tcW w:w="687" w:type="pct"/>
            <w:vAlign w:val="center"/>
          </w:tcPr>
          <w:p w14:paraId="4C4F244E" w14:textId="77777777" w:rsidR="00FF3977" w:rsidRPr="00FD2055" w:rsidRDefault="00FF3977" w:rsidP="00FF3977">
            <w:pPr>
              <w:spacing w:before="60" w:after="60"/>
              <w:rPr>
                <w:color w:val="000000"/>
                <w:sz w:val="18"/>
                <w:szCs w:val="18"/>
              </w:rPr>
            </w:pPr>
            <w:r>
              <w:rPr>
                <w:color w:val="000000"/>
                <w:sz w:val="18"/>
                <w:szCs w:val="18"/>
              </w:rPr>
              <w:lastRenderedPageBreak/>
              <w:t xml:space="preserve">To define the specificity of the analytical method, the following solutions were analysed: solvent blank, blank formulation, reference item </w:t>
            </w:r>
            <w:r>
              <w:rPr>
                <w:color w:val="000000"/>
                <w:sz w:val="18"/>
                <w:szCs w:val="18"/>
              </w:rPr>
              <w:lastRenderedPageBreak/>
              <w:t xml:space="preserve">and test item. </w:t>
            </w:r>
            <w:r>
              <w:rPr>
                <w:color w:val="000000"/>
                <w:sz w:val="18"/>
                <w:szCs w:val="18"/>
              </w:rPr>
              <w:br/>
              <w:t>No peak appears in the solvent blank and in the formulation blank.</w:t>
            </w:r>
            <w:r>
              <w:rPr>
                <w:color w:val="000000"/>
                <w:sz w:val="18"/>
                <w:szCs w:val="18"/>
              </w:rPr>
              <w:br/>
              <w:t>In the reference item and in the test item, the peak at the retention time around 8.19 min represents butyldiglycol.</w:t>
            </w:r>
            <w:r>
              <w:rPr>
                <w:color w:val="000000"/>
                <w:sz w:val="18"/>
                <w:szCs w:val="18"/>
              </w:rPr>
              <w:br/>
              <w:t>No additional peak appears in the reference item and in the test item.</w:t>
            </w:r>
            <w:r>
              <w:rPr>
                <w:color w:val="000000"/>
                <w:sz w:val="18"/>
                <w:szCs w:val="18"/>
              </w:rPr>
              <w:br/>
              <w:t>The specificity is therefore defined.</w:t>
            </w:r>
            <w:r>
              <w:rPr>
                <w:color w:val="000000"/>
                <w:sz w:val="18"/>
                <w:szCs w:val="18"/>
              </w:rPr>
              <w:br/>
            </w:r>
            <w:r>
              <w:rPr>
                <w:b/>
                <w:bCs/>
                <w:color w:val="000000"/>
                <w:sz w:val="18"/>
                <w:szCs w:val="18"/>
              </w:rPr>
              <w:t>The analytical method showed a good specificity for analysis of butyldiglycol.</w:t>
            </w:r>
          </w:p>
        </w:tc>
        <w:tc>
          <w:tcPr>
            <w:tcW w:w="585" w:type="pct"/>
            <w:vAlign w:val="center"/>
          </w:tcPr>
          <w:p w14:paraId="13309D5B" w14:textId="77777777" w:rsidR="00FF3977" w:rsidRPr="00FD2055" w:rsidRDefault="00FF3977" w:rsidP="00FF3977">
            <w:pPr>
              <w:spacing w:before="60" w:after="60"/>
              <w:rPr>
                <w:i/>
                <w:color w:val="000000"/>
                <w:sz w:val="18"/>
                <w:szCs w:val="18"/>
              </w:rPr>
            </w:pPr>
            <w:r>
              <w:rPr>
                <w:color w:val="000000"/>
                <w:sz w:val="18"/>
                <w:szCs w:val="18"/>
              </w:rPr>
              <w:lastRenderedPageBreak/>
              <w:t> </w:t>
            </w:r>
          </w:p>
        </w:tc>
        <w:tc>
          <w:tcPr>
            <w:tcW w:w="429" w:type="pct"/>
            <w:vAlign w:val="center"/>
          </w:tcPr>
          <w:p w14:paraId="4B115771" w14:textId="77777777" w:rsidR="00FF3977" w:rsidRPr="00FD2055" w:rsidRDefault="00FF3977" w:rsidP="00FF3977">
            <w:pPr>
              <w:spacing w:before="60" w:after="60"/>
              <w:rPr>
                <w:i/>
                <w:color w:val="000000"/>
                <w:sz w:val="18"/>
                <w:szCs w:val="18"/>
              </w:rPr>
            </w:pPr>
            <w:r>
              <w:rPr>
                <w:color w:val="000000"/>
                <w:sz w:val="18"/>
                <w:szCs w:val="18"/>
              </w:rPr>
              <w:t>Ricau H., 2019, Report No 18-901011-065</w:t>
            </w:r>
          </w:p>
        </w:tc>
      </w:tr>
    </w:tbl>
    <w:p w14:paraId="2BA4D821" w14:textId="77777777" w:rsidR="00FF3977" w:rsidRDefault="00FF3977">
      <w:pPr>
        <w:spacing w:line="260" w:lineRule="atLeast"/>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F3977" w:rsidRPr="008F04BD" w14:paraId="0E85B98D" w14:textId="77777777" w:rsidTr="00FF3977">
        <w:tc>
          <w:tcPr>
            <w:tcW w:w="5000" w:type="pct"/>
            <w:tcBorders>
              <w:top w:val="single" w:sz="4" w:space="0" w:color="auto"/>
              <w:left w:val="single" w:sz="4" w:space="0" w:color="auto"/>
              <w:bottom w:val="single" w:sz="6" w:space="0" w:color="auto"/>
              <w:right w:val="single" w:sz="6" w:space="0" w:color="auto"/>
            </w:tcBorders>
            <w:shd w:val="clear" w:color="auto" w:fill="CCFFCC"/>
          </w:tcPr>
          <w:p w14:paraId="2FA95745" w14:textId="77777777" w:rsidR="00FF3977" w:rsidRPr="00F24D0D" w:rsidRDefault="00FF3977" w:rsidP="00FF3977">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r>
              <w:rPr>
                <w:rFonts w:eastAsia="Calibri"/>
                <w:b/>
                <w:bCs/>
                <w:lang w:eastAsia="en-US"/>
              </w:rPr>
              <w:t>s</w:t>
            </w:r>
          </w:p>
        </w:tc>
      </w:tr>
      <w:tr w:rsidR="00FF3977" w:rsidRPr="008F04BD" w14:paraId="252096D2" w14:textId="77777777" w:rsidTr="00FF397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B2C14A3" w14:textId="77777777" w:rsidR="00FF3977" w:rsidRPr="00F24D0D" w:rsidRDefault="00FF3977" w:rsidP="00FF3977">
            <w:pPr>
              <w:spacing w:line="260" w:lineRule="atLeast"/>
              <w:rPr>
                <w:rFonts w:eastAsia="Calibri"/>
                <w:lang w:eastAsia="en-US"/>
              </w:rPr>
            </w:pPr>
            <w:r>
              <w:rPr>
                <w:rFonts w:eastAsia="Calibri"/>
                <w:lang w:eastAsia="en-US"/>
              </w:rPr>
              <w:t xml:space="preserve">Analytical methods for the determination of Lactic acid, </w:t>
            </w:r>
            <w:r w:rsidRPr="00476AED">
              <w:t>2-(2-butoxyethoxy)ethanol</w:t>
            </w:r>
            <w:r>
              <w:t>, citric acid, potassium sorbate and</w:t>
            </w:r>
            <w:r>
              <w:rPr>
                <w:rFonts w:eastAsia="Calibri"/>
                <w:lang w:eastAsia="en-US"/>
              </w:rPr>
              <w:t xml:space="preserve"> “</w:t>
            </w:r>
            <w:r w:rsidRPr="008F4EA4">
              <w:t>Amines, coco alkyldimethyl, N-oxides</w:t>
            </w:r>
            <w:r>
              <w:t xml:space="preserve">” in all Meta-SPC of the biocidal product family have been performed and validated in accordance to the Regulation (EU) No 528/2012 </w:t>
            </w:r>
            <w:r>
              <w:fldChar w:fldCharType="begin"/>
            </w:r>
            <w:r>
              <w:instrText xml:space="preserve"> ADDIN ZOTERO_ITEM CSL_CITATION {"citationID":"vd8xmOat","properties":{"formattedCitation":"(1)","plainCitation":"(1)","noteIndex":0},"citationItems":[{"id":159,"uris":["http://zotero.org/users/5589992/items/ZPMWKK4Z"],"uri":["http://zotero.org/users/5589992/items/ZPMWKK4Z"],"itemData":{"id":159,"type":"legislation","title":"Regulation (EU) No 528/2012 of the european parliament and of the council of 22 May 2012 concerning the making available on the market and use of biocidal products","author":[{"literal":"European Union"}]}}],"schema":"https://github.com/citation-style-language/schema/raw/master/csl-citation.json"} </w:instrText>
            </w:r>
            <w:r>
              <w:fldChar w:fldCharType="separate"/>
            </w:r>
            <w:r w:rsidRPr="00DB7503">
              <w:t>(1)</w:t>
            </w:r>
            <w:r>
              <w:fldChar w:fldCharType="end"/>
            </w:r>
            <w:r>
              <w:t>.</w:t>
            </w:r>
          </w:p>
        </w:tc>
      </w:tr>
    </w:tbl>
    <w:p w14:paraId="6E46B573" w14:textId="77777777" w:rsidR="00FF3977" w:rsidRPr="007A4DA8" w:rsidRDefault="00FF3977" w:rsidP="00FF3977">
      <w:pPr>
        <w:pStyle w:val="Absatz"/>
        <w:rPr>
          <w:lang w:val="en-US"/>
        </w:rPr>
      </w:pPr>
    </w:p>
    <w:p w14:paraId="29AC01B4" w14:textId="77777777" w:rsidR="00FF3977" w:rsidRPr="007A4DA8" w:rsidRDefault="00FF3977" w:rsidP="00FF3977">
      <w:pPr>
        <w:pStyle w:val="Absatz"/>
        <w:ind w:left="0"/>
        <w:rPr>
          <w:lang w:val="en-US"/>
        </w:rPr>
      </w:pPr>
    </w:p>
    <w:p w14:paraId="46CA12DC" w14:textId="77777777" w:rsidR="00FF3977" w:rsidRPr="001D704F" w:rsidRDefault="00FF3977" w:rsidP="00FF3977">
      <w:pPr>
        <w:pStyle w:val="Absatz"/>
        <w:ind w:left="0"/>
        <w:rPr>
          <w:rFonts w:ascii="Verdana" w:eastAsia="Calibri" w:hAnsi="Verdana"/>
          <w:b/>
        </w:rPr>
      </w:pPr>
      <w:r w:rsidRPr="001D704F">
        <w:rPr>
          <w:rFonts w:ascii="Verdana" w:eastAsia="Calibri" w:hAnsi="Verdana"/>
          <w:b/>
        </w:rPr>
        <w:t>ANALYTICAL METHODS FOR DETERMINATION RELEVANT COMPONENTS AND/OR RESIDUES IN DIFFERENT MATRICES</w:t>
      </w:r>
    </w:p>
    <w:p w14:paraId="51424BCD" w14:textId="77777777" w:rsidR="00FF3977" w:rsidRDefault="00FF3977" w:rsidP="00FF3977">
      <w:pPr>
        <w:pStyle w:val="Absatz"/>
        <w:ind w:left="0"/>
        <w:rPr>
          <w:rFonts w:ascii="Verdana" w:eastAsia="Calibri" w:hAnsi="Verdana"/>
        </w:rPr>
      </w:pPr>
    </w:p>
    <w:p w14:paraId="2651DD3F" w14:textId="680691C3" w:rsidR="009D0C0B" w:rsidRPr="00B27CB1" w:rsidRDefault="00FF3977" w:rsidP="00735EE4">
      <w:pPr>
        <w:spacing w:line="260" w:lineRule="atLeast"/>
        <w:jc w:val="both"/>
        <w:rPr>
          <w:rFonts w:eastAsia="Calibri"/>
          <w:lang w:eastAsia="en-US"/>
        </w:rPr>
      </w:pPr>
      <w:r w:rsidRPr="00713049">
        <w:rPr>
          <w:rFonts w:eastAsia="Calibri"/>
        </w:rPr>
        <w:t>Relevant residues in food of plant and animal origin and in the environmental compartments arising from the application of L(+) lactic acid are not expected.  Therefore, residue analytical methods for L(+) lactic acid in food of plant and animal origin, in soil, air, drinking and surface  water are  not  required. Since L(+)lactic acid is not classified as toxic or very toxic, analytical methods in body fluids and tissues are not required.</w:t>
      </w:r>
      <w:r w:rsidRPr="00B27CB1" w:rsidDel="00FF3977">
        <w:t xml:space="preserve"> </w:t>
      </w:r>
    </w:p>
    <w:p w14:paraId="5A132351" w14:textId="77777777" w:rsidR="00FF3977" w:rsidRDefault="00FF3977">
      <w:pPr>
        <w:rPr>
          <w:rFonts w:eastAsia="Calibri"/>
          <w:lang w:eastAsia="en-US"/>
        </w:rPr>
        <w:sectPr w:rsidR="00FF3977" w:rsidSect="000837A9">
          <w:pgSz w:w="16838" w:h="11906" w:orient="landscape"/>
          <w:pgMar w:top="1446" w:right="1474" w:bottom="1247" w:left="2013" w:header="851" w:footer="851" w:gutter="0"/>
          <w:cols w:space="720"/>
          <w:docGrid w:linePitch="272"/>
        </w:sectPr>
      </w:pPr>
    </w:p>
    <w:p w14:paraId="1EC8627F" w14:textId="7DF5CF00" w:rsidR="009D0C0B" w:rsidRPr="00B27CB1" w:rsidRDefault="009D0C0B">
      <w:pPr>
        <w:rPr>
          <w:rFonts w:eastAsia="Calibri"/>
          <w:lang w:eastAsia="en-US"/>
        </w:rPr>
      </w:pPr>
    </w:p>
    <w:p w14:paraId="7197302E" w14:textId="77777777" w:rsidR="009D0C0B" w:rsidRPr="00B27CB1" w:rsidRDefault="009D0C0B" w:rsidP="00EC1BDB">
      <w:pPr>
        <w:rPr>
          <w:rFonts w:eastAsia="Calibri"/>
          <w:lang w:eastAsia="en-US"/>
        </w:rPr>
      </w:pPr>
    </w:p>
    <w:p w14:paraId="219DD5A6" w14:textId="77777777" w:rsidR="009D0C0B" w:rsidRPr="00B27CB1" w:rsidRDefault="009D0C0B" w:rsidP="00EC1BDB"/>
    <w:p w14:paraId="3F1A0D82" w14:textId="2E9C2D28" w:rsidR="009D0C0B" w:rsidRDefault="00FA480B">
      <w:pPr>
        <w:pStyle w:val="Titre3"/>
        <w:rPr>
          <w:lang w:val="en-GB"/>
        </w:rPr>
      </w:pPr>
      <w:bookmarkStart w:id="164" w:name="_Toc87361191"/>
      <w:r w:rsidRPr="00B27CB1">
        <w:rPr>
          <w:lang w:val="en-GB"/>
        </w:rPr>
        <w:t>Efficacy against target organisms</w:t>
      </w:r>
      <w:bookmarkEnd w:id="164"/>
    </w:p>
    <w:p w14:paraId="387D1725" w14:textId="5CC0CE99" w:rsidR="00DE0BD6" w:rsidRDefault="00DE0BD6" w:rsidP="007A4DA8">
      <w:pPr>
        <w:pStyle w:val="Absatz"/>
      </w:pPr>
    </w:p>
    <w:p w14:paraId="62A13948" w14:textId="7D611CCF" w:rsidR="00791036" w:rsidRPr="009D0AAA" w:rsidRDefault="00791036" w:rsidP="00791036">
      <w:pPr>
        <w:pStyle w:val="Absatz"/>
        <w:ind w:left="0"/>
        <w:jc w:val="both"/>
        <w:rPr>
          <w:rFonts w:ascii="Verdana" w:hAnsi="Verdana"/>
          <w:b/>
          <w:color w:val="00B0F0"/>
        </w:rPr>
      </w:pPr>
      <w:r w:rsidRPr="009D0AAA">
        <w:rPr>
          <w:rFonts w:ascii="Verdana" w:hAnsi="Verdana"/>
          <w:b/>
          <w:color w:val="00B0F0"/>
        </w:rPr>
        <w:t>The application methods claimed were revised by the applicant during the evaluation of the</w:t>
      </w:r>
      <w:r>
        <w:rPr>
          <w:rFonts w:ascii="Verdana" w:hAnsi="Verdana"/>
          <w:b/>
          <w:color w:val="00B0F0"/>
        </w:rPr>
        <w:t xml:space="preserve"> </w:t>
      </w:r>
      <w:r w:rsidRPr="009D0AAA">
        <w:rPr>
          <w:rFonts w:ascii="Verdana" w:hAnsi="Verdana"/>
          <w:b/>
          <w:color w:val="00B0F0"/>
        </w:rPr>
        <w:t xml:space="preserve">dossier. These updated claims correspond to deletion of some application methods in various meta SPCs. These modification are </w:t>
      </w:r>
      <w:r>
        <w:rPr>
          <w:rFonts w:ascii="Verdana" w:hAnsi="Verdana"/>
          <w:b/>
          <w:color w:val="00B0F0"/>
        </w:rPr>
        <w:t xml:space="preserve">included and </w:t>
      </w:r>
      <w:r w:rsidRPr="009D0AAA">
        <w:rPr>
          <w:rFonts w:ascii="Verdana" w:hAnsi="Verdana"/>
          <w:b/>
          <w:color w:val="00B0F0"/>
        </w:rPr>
        <w:t xml:space="preserve">materialized as strikethrough text </w:t>
      </w:r>
      <w:r w:rsidR="007A4DA8">
        <w:rPr>
          <w:rFonts w:ascii="Verdana" w:hAnsi="Verdana"/>
          <w:b/>
          <w:color w:val="00B0F0"/>
        </w:rPr>
        <w:t>in the Intented uses part (see 2.2.1)</w:t>
      </w:r>
      <w:r w:rsidRPr="009D0AAA">
        <w:rPr>
          <w:rFonts w:ascii="Verdana" w:hAnsi="Verdana"/>
          <w:b/>
          <w:color w:val="00B0F0"/>
        </w:rPr>
        <w:t xml:space="preserve">. </w:t>
      </w:r>
    </w:p>
    <w:p w14:paraId="5E1F7B6C" w14:textId="77777777" w:rsidR="00791036" w:rsidRPr="009D0AAA" w:rsidRDefault="00791036" w:rsidP="00791036">
      <w:pPr>
        <w:pStyle w:val="Absatz"/>
        <w:ind w:left="0"/>
        <w:jc w:val="both"/>
        <w:rPr>
          <w:rFonts w:ascii="Verdana" w:hAnsi="Verdana"/>
          <w:b/>
          <w:color w:val="00B0F0"/>
        </w:rPr>
      </w:pPr>
    </w:p>
    <w:p w14:paraId="06BC2477" w14:textId="52EA36F4" w:rsidR="00DE0BD6" w:rsidRPr="00FE2B16" w:rsidRDefault="00791036" w:rsidP="00DE0BD6">
      <w:pPr>
        <w:pStyle w:val="Absatz"/>
        <w:ind w:left="0"/>
        <w:jc w:val="both"/>
        <w:rPr>
          <w:rFonts w:ascii="Verdana" w:hAnsi="Verdana"/>
          <w:b/>
          <w:color w:val="00B0F0"/>
        </w:rPr>
      </w:pPr>
      <w:r w:rsidRPr="009D0AAA">
        <w:rPr>
          <w:rFonts w:ascii="Verdana" w:hAnsi="Verdana"/>
          <w:b/>
          <w:color w:val="00B0F0"/>
        </w:rPr>
        <w:t xml:space="preserve">These changes were considered in the efficacy section but not </w:t>
      </w:r>
      <w:r>
        <w:rPr>
          <w:rFonts w:ascii="Verdana" w:hAnsi="Verdana"/>
          <w:b/>
          <w:color w:val="00B0F0"/>
        </w:rPr>
        <w:t xml:space="preserve">systematically </w:t>
      </w:r>
      <w:r w:rsidRPr="009D0AAA">
        <w:rPr>
          <w:rFonts w:ascii="Verdana" w:hAnsi="Verdana"/>
          <w:b/>
          <w:color w:val="00B0F0"/>
        </w:rPr>
        <w:t>in human health and environment sections</w:t>
      </w:r>
      <w:r>
        <w:rPr>
          <w:rFonts w:ascii="Verdana" w:hAnsi="Verdana"/>
          <w:b/>
          <w:color w:val="00B0F0"/>
        </w:rPr>
        <w:t>, as a risk envelop approach was performed</w:t>
      </w:r>
      <w:r w:rsidRPr="009D0AAA">
        <w:rPr>
          <w:rFonts w:ascii="Verdana" w:hAnsi="Verdana"/>
          <w:b/>
          <w:color w:val="00B0F0"/>
        </w:rPr>
        <w:t>.  However, this has no impact on the overall conclusions which consider only the updated claims.</w:t>
      </w:r>
    </w:p>
    <w:p w14:paraId="6BC2A1C4" w14:textId="77777777" w:rsidR="00DE0BD6" w:rsidRPr="00874B51" w:rsidRDefault="00DE0BD6" w:rsidP="007A4DA8">
      <w:pPr>
        <w:pStyle w:val="Absatz"/>
      </w:pPr>
    </w:p>
    <w:p w14:paraId="658503A6" w14:textId="77777777" w:rsidR="009D0C0B" w:rsidRPr="00B27CB1" w:rsidRDefault="00FA480B">
      <w:pPr>
        <w:pStyle w:val="Titre4"/>
        <w:rPr>
          <w:rFonts w:ascii="Times New Roman" w:hAnsi="Times New Roman" w:cs="Times New Roman"/>
          <w:i/>
          <w:iCs/>
          <w:lang w:val="en-GB" w:eastAsia="en-US"/>
        </w:rPr>
      </w:pPr>
      <w:bookmarkStart w:id="165" w:name="_Toc87361192"/>
      <w:r w:rsidRPr="00B27CB1">
        <w:rPr>
          <w:lang w:val="en-GB"/>
        </w:rPr>
        <w:t>Function and field of use</w:t>
      </w:r>
      <w:bookmarkEnd w:id="165"/>
    </w:p>
    <w:p w14:paraId="06F6634D" w14:textId="77777777" w:rsidR="00CC62FC" w:rsidRPr="0029166B" w:rsidRDefault="00CC62FC" w:rsidP="00CC62FC">
      <w:pPr>
        <w:spacing w:line="260" w:lineRule="atLeast"/>
        <w:jc w:val="both"/>
        <w:rPr>
          <w:rFonts w:eastAsia="Calibri"/>
          <w:iCs/>
          <w:color w:val="000000"/>
          <w:lang w:eastAsia="en-US"/>
        </w:rPr>
      </w:pPr>
      <w:r w:rsidRPr="0029166B">
        <w:rPr>
          <w:rFonts w:eastAsia="Calibri"/>
          <w:iCs/>
          <w:color w:val="000000"/>
          <w:lang w:eastAsia="en-US"/>
        </w:rPr>
        <w:t>Main group 01: Disinfectants.</w:t>
      </w:r>
    </w:p>
    <w:p w14:paraId="354C34AD" w14:textId="77777777" w:rsidR="00CC62FC" w:rsidRDefault="00CC62FC" w:rsidP="00CC62FC">
      <w:pPr>
        <w:spacing w:line="260" w:lineRule="atLeast"/>
        <w:jc w:val="both"/>
        <w:rPr>
          <w:color w:val="000000"/>
          <w:shd w:val="clear" w:color="auto" w:fill="FFFFFF"/>
        </w:rPr>
      </w:pPr>
      <w:r w:rsidRPr="0029166B">
        <w:rPr>
          <w:rFonts w:eastAsia="Calibri"/>
          <w:iCs/>
          <w:color w:val="000000"/>
          <w:lang w:eastAsia="en-US"/>
        </w:rPr>
        <w:t xml:space="preserve">Product Type 02: </w:t>
      </w:r>
      <w:r w:rsidRPr="0029166B">
        <w:rPr>
          <w:color w:val="000000"/>
          <w:shd w:val="clear" w:color="auto" w:fill="FFFFFF"/>
        </w:rPr>
        <w:t>Disinfectants and algaecides not intended for direct application to humans or animals.</w:t>
      </w:r>
    </w:p>
    <w:p w14:paraId="478D9110" w14:textId="77777777" w:rsidR="00CC62FC" w:rsidRPr="007061FF" w:rsidRDefault="00CC62FC" w:rsidP="00CC62FC">
      <w:pPr>
        <w:spacing w:line="260" w:lineRule="atLeast"/>
        <w:jc w:val="both"/>
        <w:rPr>
          <w:rFonts w:eastAsia="Calibri"/>
          <w:color w:val="000000"/>
        </w:rPr>
      </w:pPr>
      <w:r>
        <w:rPr>
          <w:rFonts w:eastAsia="Calibri"/>
          <w:color w:val="000000"/>
        </w:rPr>
        <w:t>Product type 03</w:t>
      </w:r>
      <w:r w:rsidRPr="007061FF">
        <w:rPr>
          <w:rFonts w:eastAsia="Calibri"/>
          <w:color w:val="000000"/>
        </w:rPr>
        <w:t>:</w:t>
      </w:r>
      <w:r>
        <w:rPr>
          <w:rFonts w:eastAsia="Calibri"/>
          <w:color w:val="000000"/>
        </w:rPr>
        <w:t xml:space="preserve"> Veterinary hygiene</w:t>
      </w:r>
    </w:p>
    <w:p w14:paraId="1D02DFD7" w14:textId="77777777" w:rsidR="00CC62FC" w:rsidRPr="00532D54" w:rsidRDefault="00CC62FC" w:rsidP="00CC62FC">
      <w:pPr>
        <w:spacing w:line="260" w:lineRule="atLeast"/>
        <w:rPr>
          <w:color w:val="000000"/>
          <w:shd w:val="clear" w:color="auto" w:fill="FFFFFF"/>
        </w:rPr>
      </w:pPr>
      <w:r w:rsidRPr="00532D54">
        <w:rPr>
          <w:rFonts w:eastAsia="Calibri"/>
          <w:iCs/>
          <w:lang w:eastAsia="en-US"/>
        </w:rPr>
        <w:t xml:space="preserve">Product type 04: </w:t>
      </w:r>
      <w:r w:rsidRPr="00532D54">
        <w:rPr>
          <w:color w:val="000000"/>
          <w:shd w:val="clear" w:color="auto" w:fill="FFFFFF"/>
        </w:rPr>
        <w:t>Food and feed area.</w:t>
      </w:r>
    </w:p>
    <w:p w14:paraId="12520A75" w14:textId="77777777" w:rsidR="00CC62FC" w:rsidRDefault="00CC62FC" w:rsidP="00CC62FC">
      <w:pPr>
        <w:spacing w:line="260" w:lineRule="atLeast"/>
        <w:rPr>
          <w:rFonts w:eastAsia="Calibri"/>
          <w:lang w:eastAsia="en-US"/>
        </w:rPr>
      </w:pPr>
    </w:p>
    <w:p w14:paraId="7067EBB0" w14:textId="77777777" w:rsidR="00CC62FC" w:rsidRDefault="00CC62FC" w:rsidP="00CC62FC">
      <w:pPr>
        <w:spacing w:line="260" w:lineRule="atLeast"/>
      </w:pPr>
      <w:r>
        <w:rPr>
          <w:rFonts w:eastAsia="Calibri"/>
          <w:lang w:eastAsia="en-US"/>
        </w:rPr>
        <w:t xml:space="preserve">The product </w:t>
      </w:r>
      <w:r>
        <w:t>LACTIC ACID BASED PRODUCTS family are ready-to-use products or products to be diluted, used for surface disinfection.</w:t>
      </w:r>
    </w:p>
    <w:p w14:paraId="5DC9C030" w14:textId="77777777" w:rsidR="00CC62FC" w:rsidRDefault="00CC62FC" w:rsidP="00CC62FC">
      <w:pPr>
        <w:spacing w:line="260" w:lineRule="atLeast"/>
      </w:pPr>
    </w:p>
    <w:p w14:paraId="1FDED804" w14:textId="1BB37083" w:rsidR="00CC62FC" w:rsidRDefault="00CC62FC" w:rsidP="00CC62FC">
      <w:pPr>
        <w:spacing w:line="260" w:lineRule="atLeast"/>
        <w:jc w:val="both"/>
        <w:rPr>
          <w:rFonts w:eastAsia="Calibri"/>
          <w:lang w:eastAsia="en-US"/>
        </w:rPr>
      </w:pPr>
      <w:r w:rsidRPr="0029166B">
        <w:rPr>
          <w:rFonts w:eastAsia="Calibri"/>
          <w:lang w:eastAsia="en-US"/>
        </w:rPr>
        <w:t xml:space="preserve">The family has </w:t>
      </w:r>
      <w:r w:rsidR="00D73134">
        <w:rPr>
          <w:rFonts w:eastAsia="Calibri"/>
          <w:lang w:eastAsia="en-US"/>
        </w:rPr>
        <w:t>12</w:t>
      </w:r>
      <w:r w:rsidR="00D73134" w:rsidRPr="0029166B">
        <w:rPr>
          <w:rFonts w:eastAsia="Calibri"/>
          <w:lang w:eastAsia="en-US"/>
        </w:rPr>
        <w:t xml:space="preserve"> </w:t>
      </w:r>
      <w:r w:rsidRPr="0029166B">
        <w:rPr>
          <w:rFonts w:eastAsia="Calibri"/>
          <w:lang w:eastAsia="en-US"/>
        </w:rPr>
        <w:t>META</w:t>
      </w:r>
      <w:r>
        <w:rPr>
          <w:rFonts w:eastAsia="Calibri"/>
          <w:lang w:eastAsia="en-US"/>
        </w:rPr>
        <w:t>-</w:t>
      </w:r>
      <w:r w:rsidRPr="0029166B">
        <w:rPr>
          <w:rFonts w:eastAsia="Calibri"/>
          <w:lang w:eastAsia="en-US"/>
        </w:rPr>
        <w:t>SPC</w:t>
      </w:r>
      <w:r w:rsidR="00D73134">
        <w:rPr>
          <w:rFonts w:eastAsia="Calibri"/>
          <w:lang w:eastAsia="en-US"/>
        </w:rPr>
        <w:t xml:space="preserve"> (Meta SPC5 has been withdrawn by the applicant during the evaluation phase)</w:t>
      </w:r>
      <w:r w:rsidRPr="0029166B">
        <w:rPr>
          <w:rFonts w:eastAsia="Calibri"/>
          <w:lang w:eastAsia="en-US"/>
        </w:rPr>
        <w:t>:</w:t>
      </w:r>
    </w:p>
    <w:p w14:paraId="4311DE7B" w14:textId="77777777" w:rsidR="00CC62FC" w:rsidRDefault="00CC62FC" w:rsidP="00CC62FC">
      <w:pPr>
        <w:spacing w:line="260" w:lineRule="atLeast"/>
        <w:rPr>
          <w:rFonts w:eastAsia="Calibri"/>
          <w:lang w:eastAsia="en-US"/>
        </w:rPr>
      </w:pPr>
    </w:p>
    <w:p w14:paraId="1F90E409" w14:textId="77777777" w:rsidR="00CC62FC" w:rsidRDefault="00CC62FC" w:rsidP="00CC62FC">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CC62FC" w:rsidRPr="000B687A" w14:paraId="6430D964" w14:textId="77777777" w:rsidTr="0015321A">
        <w:tc>
          <w:tcPr>
            <w:tcW w:w="9354" w:type="dxa"/>
            <w:shd w:val="clear" w:color="auto" w:fill="auto"/>
          </w:tcPr>
          <w:p w14:paraId="607E23B0" w14:textId="3375C7C3" w:rsidR="003B01FF" w:rsidRPr="00D73134" w:rsidRDefault="00CC62FC" w:rsidP="007A4DA8">
            <w:pPr>
              <w:spacing w:line="260" w:lineRule="atLeast"/>
              <w:jc w:val="both"/>
              <w:rPr>
                <w:rFonts w:eastAsia="Calibri"/>
                <w:lang w:eastAsia="en-US"/>
              </w:rPr>
            </w:pPr>
            <w:r w:rsidRPr="00D73134">
              <w:rPr>
                <w:rFonts w:eastAsia="Calibri"/>
                <w:lang w:eastAsia="en-US"/>
              </w:rPr>
              <w:t xml:space="preserve">Meta-SPC 1: Disinfectant for </w:t>
            </w:r>
            <w:r w:rsidR="008C0E41" w:rsidRPr="00D73134">
              <w:rPr>
                <w:rFonts w:eastAsia="Calibri"/>
                <w:lang w:eastAsia="en-US"/>
              </w:rPr>
              <w:t xml:space="preserve">hard surfaces </w:t>
            </w:r>
            <w:r w:rsidR="00733D14" w:rsidRPr="00D73134">
              <w:rPr>
                <w:rFonts w:eastAsia="Calibri"/>
                <w:lang w:eastAsia="en-US"/>
              </w:rPr>
              <w:t>in</w:t>
            </w:r>
            <w:r w:rsidR="008C0E41" w:rsidRPr="00D73134">
              <w:rPr>
                <w:rFonts w:eastAsia="Calibri"/>
                <w:lang w:eastAsia="en-US"/>
              </w:rPr>
              <w:t xml:space="preserve"> </w:t>
            </w:r>
            <w:r w:rsidRPr="00D73134">
              <w:rPr>
                <w:rFonts w:eastAsia="Calibri"/>
                <w:lang w:eastAsia="en-US"/>
              </w:rPr>
              <w:t xml:space="preserve">domestic area by </w:t>
            </w:r>
            <w:r w:rsidRPr="00D73134">
              <w:t>spraying</w:t>
            </w:r>
            <w:r w:rsidR="00FE67A2" w:rsidRPr="00D73134">
              <w:t>,</w:t>
            </w:r>
            <w:r w:rsidR="00532D54" w:rsidRPr="00D73134">
              <w:t xml:space="preserve"> </w:t>
            </w:r>
            <w:r w:rsidR="00634844" w:rsidRPr="00D73134">
              <w:t>w</w:t>
            </w:r>
            <w:r w:rsidRPr="00D73134">
              <w:t>iping (applying product onto wipe followed by wiping)</w:t>
            </w:r>
            <w:r w:rsidRPr="00D73134">
              <w:rPr>
                <w:rFonts w:eastAsia="Calibri"/>
                <w:lang w:eastAsia="en-US"/>
              </w:rPr>
              <w:t xml:space="preserve">. </w:t>
            </w:r>
          </w:p>
          <w:p w14:paraId="1488EE76" w14:textId="642AFECE" w:rsidR="00CC62FC" w:rsidRPr="00D73134" w:rsidRDefault="00CC62FC" w:rsidP="007A4DA8">
            <w:pPr>
              <w:spacing w:line="260" w:lineRule="atLeast"/>
              <w:jc w:val="both"/>
              <w:rPr>
                <w:rFonts w:eastAsia="Calibri"/>
                <w:lang w:eastAsia="en-US"/>
              </w:rPr>
            </w:pPr>
            <w:r w:rsidRPr="00D73134">
              <w:rPr>
                <w:rFonts w:eastAsia="Calibri"/>
                <w:lang w:eastAsia="en-US"/>
              </w:rPr>
              <w:t>Ready-To-Use. General public, PT02, Indoor.</w:t>
            </w:r>
          </w:p>
        </w:tc>
      </w:tr>
      <w:tr w:rsidR="00CC62FC" w:rsidRPr="000B687A" w14:paraId="39692C70" w14:textId="77777777" w:rsidTr="0015321A">
        <w:tc>
          <w:tcPr>
            <w:tcW w:w="9354" w:type="dxa"/>
            <w:shd w:val="clear" w:color="auto" w:fill="auto"/>
          </w:tcPr>
          <w:p w14:paraId="5127B0E0" w14:textId="300DE0FD" w:rsidR="003B01FF" w:rsidRPr="00D73134" w:rsidRDefault="00CC62FC" w:rsidP="007A4DA8">
            <w:pPr>
              <w:spacing w:line="260" w:lineRule="atLeast"/>
              <w:jc w:val="both"/>
              <w:rPr>
                <w:rFonts w:eastAsia="Calibri"/>
                <w:lang w:eastAsia="en-US"/>
              </w:rPr>
            </w:pPr>
            <w:r w:rsidRPr="00D73134">
              <w:rPr>
                <w:rFonts w:eastAsia="Calibri"/>
                <w:lang w:eastAsia="en-US"/>
              </w:rPr>
              <w:t xml:space="preserve">Meta-SPC 2: Disinfectant for </w:t>
            </w:r>
            <w:r w:rsidR="0098661C" w:rsidRPr="00D73134">
              <w:rPr>
                <w:rFonts w:eastAsia="Calibri"/>
                <w:lang w:eastAsia="en-US"/>
              </w:rPr>
              <w:t xml:space="preserve">hard surfaces </w:t>
            </w:r>
            <w:r w:rsidR="00733D14" w:rsidRPr="00D73134">
              <w:rPr>
                <w:rFonts w:eastAsia="Calibri"/>
                <w:lang w:eastAsia="en-US"/>
              </w:rPr>
              <w:t>in</w:t>
            </w:r>
            <w:r w:rsidR="0098661C" w:rsidRPr="00D73134">
              <w:rPr>
                <w:rFonts w:eastAsia="Calibri"/>
                <w:lang w:eastAsia="en-US"/>
              </w:rPr>
              <w:t xml:space="preserve"> </w:t>
            </w:r>
            <w:r w:rsidRPr="00D73134">
              <w:rPr>
                <w:rFonts w:eastAsia="Calibri"/>
                <w:lang w:eastAsia="en-US"/>
              </w:rPr>
              <w:t>domestic</w:t>
            </w:r>
            <w:r w:rsidR="003B01FF" w:rsidRPr="00D73134">
              <w:rPr>
                <w:rFonts w:eastAsia="Calibri"/>
                <w:lang w:eastAsia="en-US"/>
              </w:rPr>
              <w:t xml:space="preserve"> area</w:t>
            </w:r>
            <w:r w:rsidRPr="00D73134">
              <w:rPr>
                <w:rFonts w:eastAsia="Calibri"/>
                <w:lang w:eastAsia="en-US"/>
              </w:rPr>
              <w:t>, in</w:t>
            </w:r>
            <w:r w:rsidR="003B01FF" w:rsidRPr="00D73134">
              <w:rPr>
                <w:rFonts w:eastAsia="Calibri"/>
                <w:lang w:eastAsia="en-US"/>
              </w:rPr>
              <w:t>dustry</w:t>
            </w:r>
            <w:r w:rsidRPr="00D73134">
              <w:rPr>
                <w:rFonts w:eastAsia="Calibri"/>
                <w:lang w:eastAsia="en-US"/>
              </w:rPr>
              <w:t xml:space="preserve">, </w:t>
            </w:r>
            <w:r w:rsidR="003B01FF" w:rsidRPr="00D73134">
              <w:rPr>
                <w:rFonts w:eastAsia="Calibri"/>
                <w:lang w:eastAsia="en-US"/>
              </w:rPr>
              <w:t>institution,</w:t>
            </w:r>
            <w:r w:rsidRPr="00D73134">
              <w:rPr>
                <w:rFonts w:eastAsia="Calibri"/>
                <w:lang w:eastAsia="en-US"/>
              </w:rPr>
              <w:t xml:space="preserve"> healthcare facilities and</w:t>
            </w:r>
            <w:r w:rsidR="0098661C" w:rsidRPr="00D73134">
              <w:rPr>
                <w:rFonts w:eastAsia="Calibri"/>
                <w:lang w:eastAsia="en-US"/>
              </w:rPr>
              <w:t>,</w:t>
            </w:r>
            <w:r w:rsidRPr="00D73134">
              <w:rPr>
                <w:rFonts w:eastAsia="Calibri"/>
                <w:lang w:eastAsia="en-US"/>
              </w:rPr>
              <w:t xml:space="preserve"> food preparation and handling areas</w:t>
            </w:r>
            <w:r w:rsidR="0098661C" w:rsidRPr="00D73134">
              <w:rPr>
                <w:rFonts w:eastAsia="Calibri"/>
                <w:lang w:eastAsia="en-US"/>
              </w:rPr>
              <w:t>,</w:t>
            </w:r>
            <w:r w:rsidRPr="00D73134">
              <w:rPr>
                <w:rFonts w:eastAsia="Calibri"/>
                <w:lang w:eastAsia="en-US"/>
              </w:rPr>
              <w:t xml:space="preserve"> </w:t>
            </w:r>
            <w:r w:rsidR="0098661C" w:rsidRPr="00D73134">
              <w:rPr>
                <w:rFonts w:eastAsia="Calibri"/>
                <w:lang w:eastAsia="en-US"/>
              </w:rPr>
              <w:t xml:space="preserve">by </w:t>
            </w:r>
            <w:r w:rsidR="0098661C" w:rsidRPr="00D73134">
              <w:t xml:space="preserve">spraying, wiping (applying product onto wipe followed by wiping), </w:t>
            </w:r>
            <w:r w:rsidR="002547BB" w:rsidRPr="00D73134">
              <w:t>and mopping</w:t>
            </w:r>
            <w:r w:rsidR="003B01FF" w:rsidRPr="00D73134">
              <w:t xml:space="preserve"> (applying product onto mop followed by mopping)</w:t>
            </w:r>
            <w:r w:rsidRPr="00D73134">
              <w:rPr>
                <w:rFonts w:eastAsia="Calibri"/>
                <w:lang w:eastAsia="en-US"/>
              </w:rPr>
              <w:t xml:space="preserve">. </w:t>
            </w:r>
          </w:p>
          <w:p w14:paraId="4110B7D5" w14:textId="2BF7814A" w:rsidR="00CC62FC" w:rsidRPr="00D73134" w:rsidRDefault="00CC62FC" w:rsidP="007A4DA8">
            <w:pPr>
              <w:spacing w:line="260" w:lineRule="atLeast"/>
              <w:jc w:val="both"/>
              <w:rPr>
                <w:rFonts w:eastAsia="Calibri"/>
                <w:lang w:eastAsia="en-US"/>
              </w:rPr>
            </w:pPr>
            <w:r w:rsidRPr="00D73134">
              <w:rPr>
                <w:rFonts w:eastAsia="Calibri"/>
                <w:lang w:eastAsia="en-US"/>
              </w:rPr>
              <w:t xml:space="preserve">Ready-To-Use. General public, professional and industrial, PT02 and 04, Indoor. </w:t>
            </w:r>
          </w:p>
        </w:tc>
      </w:tr>
      <w:tr w:rsidR="00CC62FC" w:rsidRPr="000B687A" w14:paraId="670C1DB5" w14:textId="77777777" w:rsidTr="0015321A">
        <w:tc>
          <w:tcPr>
            <w:tcW w:w="9354" w:type="dxa"/>
            <w:shd w:val="clear" w:color="auto" w:fill="auto"/>
          </w:tcPr>
          <w:p w14:paraId="6FD1462C" w14:textId="50EDADC0" w:rsidR="003B01FF" w:rsidRPr="00D73134" w:rsidRDefault="00CC62FC" w:rsidP="007A4DA8">
            <w:pPr>
              <w:spacing w:line="260" w:lineRule="atLeast"/>
              <w:jc w:val="both"/>
              <w:rPr>
                <w:rFonts w:eastAsia="Calibri"/>
                <w:lang w:eastAsia="en-US"/>
              </w:rPr>
            </w:pPr>
            <w:r w:rsidRPr="00D73134">
              <w:rPr>
                <w:rFonts w:eastAsia="Calibri"/>
                <w:lang w:eastAsia="en-US"/>
              </w:rPr>
              <w:t xml:space="preserve">Meta-SPC 3: Disinfectant for </w:t>
            </w:r>
            <w:r w:rsidR="003370B9" w:rsidRPr="00D73134">
              <w:rPr>
                <w:rFonts w:eastAsia="Calibri"/>
                <w:lang w:eastAsia="en-US"/>
              </w:rPr>
              <w:t xml:space="preserve">hard surfaces </w:t>
            </w:r>
            <w:r w:rsidR="00733D14" w:rsidRPr="00D73134">
              <w:rPr>
                <w:rFonts w:eastAsia="Calibri"/>
                <w:lang w:eastAsia="en-US"/>
              </w:rPr>
              <w:t xml:space="preserve">in </w:t>
            </w:r>
            <w:r w:rsidRPr="00D73134">
              <w:rPr>
                <w:rFonts w:eastAsia="Calibri"/>
                <w:lang w:eastAsia="en-US"/>
              </w:rPr>
              <w:t>industr</w:t>
            </w:r>
            <w:r w:rsidR="003B01FF" w:rsidRPr="00D73134">
              <w:rPr>
                <w:rFonts w:eastAsia="Calibri"/>
                <w:lang w:eastAsia="en-US"/>
              </w:rPr>
              <w:t>y</w:t>
            </w:r>
            <w:r w:rsidRPr="00D73134">
              <w:rPr>
                <w:rFonts w:eastAsia="Calibri"/>
                <w:lang w:eastAsia="en-US"/>
              </w:rPr>
              <w:t xml:space="preserve">, </w:t>
            </w:r>
            <w:r w:rsidR="00B73E8D" w:rsidRPr="00D73134">
              <w:rPr>
                <w:rFonts w:eastAsia="Calibri"/>
                <w:lang w:eastAsia="en-US"/>
              </w:rPr>
              <w:t>institu</w:t>
            </w:r>
            <w:r w:rsidR="003B01FF" w:rsidRPr="00D73134">
              <w:rPr>
                <w:rFonts w:eastAsia="Calibri"/>
                <w:lang w:eastAsia="en-US"/>
              </w:rPr>
              <w:t xml:space="preserve">tion, </w:t>
            </w:r>
            <w:r w:rsidRPr="00D73134">
              <w:rPr>
                <w:rFonts w:eastAsia="Calibri"/>
                <w:lang w:eastAsia="en-US"/>
              </w:rPr>
              <w:t>healthcare facilities</w:t>
            </w:r>
            <w:r w:rsidR="001B3D89" w:rsidRPr="00D73134">
              <w:rPr>
                <w:rFonts w:eastAsia="Calibri"/>
                <w:lang w:eastAsia="en-US"/>
              </w:rPr>
              <w:t>,</w:t>
            </w:r>
            <w:r w:rsidR="00C20A61" w:rsidRPr="00D73134">
              <w:rPr>
                <w:rFonts w:eastAsia="Calibri"/>
                <w:lang w:eastAsia="en-US"/>
              </w:rPr>
              <w:t xml:space="preserve"> health</w:t>
            </w:r>
            <w:r w:rsidR="003B01FF" w:rsidRPr="00D73134">
              <w:rPr>
                <w:rFonts w:eastAsia="Calibri"/>
                <w:lang w:eastAsia="en-US"/>
              </w:rPr>
              <w:t>care and,</w:t>
            </w:r>
            <w:r w:rsidRPr="00D73134">
              <w:rPr>
                <w:rFonts w:eastAsia="Calibri"/>
                <w:lang w:eastAsia="en-US"/>
              </w:rPr>
              <w:t xml:space="preserve"> food preparation and handling areas</w:t>
            </w:r>
            <w:r w:rsidR="003B01FF" w:rsidRPr="00D73134">
              <w:rPr>
                <w:rFonts w:eastAsia="Calibri"/>
                <w:lang w:eastAsia="en-US"/>
              </w:rPr>
              <w:t>,</w:t>
            </w:r>
            <w:r w:rsidRPr="00D73134">
              <w:rPr>
                <w:rFonts w:eastAsia="Calibri"/>
                <w:lang w:eastAsia="en-US"/>
              </w:rPr>
              <w:t xml:space="preserve"> </w:t>
            </w:r>
            <w:r w:rsidR="001B3D89" w:rsidRPr="00D73134">
              <w:rPr>
                <w:rFonts w:eastAsia="Calibri"/>
                <w:lang w:eastAsia="en-US"/>
              </w:rPr>
              <w:t xml:space="preserve">by </w:t>
            </w:r>
            <w:r w:rsidR="001B3D89" w:rsidRPr="00D73134">
              <w:t>spraying, wiping (applying produc</w:t>
            </w:r>
            <w:r w:rsidR="00C20A61" w:rsidRPr="00D73134">
              <w:t>t onto wipe followed by wiping)</w:t>
            </w:r>
            <w:r w:rsidR="001B3D89" w:rsidRPr="00D73134">
              <w:t xml:space="preserve"> and mopping</w:t>
            </w:r>
            <w:r w:rsidR="003B01FF" w:rsidRPr="00D73134">
              <w:t xml:space="preserve"> (applying product onto mop followed by mopping)</w:t>
            </w:r>
            <w:r w:rsidRPr="00D73134">
              <w:rPr>
                <w:rFonts w:eastAsia="Calibri"/>
                <w:lang w:eastAsia="en-US"/>
              </w:rPr>
              <w:t xml:space="preserve">. </w:t>
            </w:r>
          </w:p>
          <w:p w14:paraId="12DA9829" w14:textId="72C7A351" w:rsidR="00CC62FC" w:rsidRPr="00D73134" w:rsidRDefault="00CC62FC" w:rsidP="007A4DA8">
            <w:pPr>
              <w:spacing w:line="260" w:lineRule="atLeast"/>
              <w:jc w:val="both"/>
              <w:rPr>
                <w:rFonts w:eastAsia="Calibri"/>
                <w:lang w:eastAsia="en-US"/>
              </w:rPr>
            </w:pPr>
            <w:r w:rsidRPr="00D73134">
              <w:rPr>
                <w:rFonts w:eastAsia="Calibri"/>
                <w:lang w:eastAsia="en-US"/>
              </w:rPr>
              <w:t>Ready-To-Use. Professional and industrial, PT02 and 04, Indoor.</w:t>
            </w:r>
          </w:p>
        </w:tc>
      </w:tr>
      <w:tr w:rsidR="00CC62FC" w:rsidRPr="000B687A" w14:paraId="653A2B00" w14:textId="77777777" w:rsidTr="0015321A">
        <w:tc>
          <w:tcPr>
            <w:tcW w:w="9354" w:type="dxa"/>
            <w:shd w:val="clear" w:color="auto" w:fill="auto"/>
          </w:tcPr>
          <w:p w14:paraId="2487D5F7" w14:textId="3BE77966" w:rsidR="00B73E8D" w:rsidRPr="00D73134" w:rsidRDefault="00CC62FC" w:rsidP="007A4DA8">
            <w:pPr>
              <w:spacing w:line="260" w:lineRule="atLeast"/>
              <w:jc w:val="both"/>
              <w:rPr>
                <w:rFonts w:eastAsia="Calibri"/>
                <w:lang w:eastAsia="en-US"/>
              </w:rPr>
            </w:pPr>
            <w:r w:rsidRPr="00D73134">
              <w:rPr>
                <w:rFonts w:eastAsia="Calibri"/>
                <w:lang w:eastAsia="en-US"/>
              </w:rPr>
              <w:t xml:space="preserve">Meta-SPC 4: Disinfectant for </w:t>
            </w:r>
            <w:r w:rsidR="003370B9" w:rsidRPr="00D73134">
              <w:rPr>
                <w:rFonts w:eastAsia="Calibri"/>
                <w:lang w:eastAsia="en-US"/>
              </w:rPr>
              <w:t xml:space="preserve">hard surfaces </w:t>
            </w:r>
            <w:r w:rsidR="00733D14" w:rsidRPr="00D73134">
              <w:rPr>
                <w:rFonts w:eastAsia="Calibri"/>
                <w:lang w:eastAsia="en-US"/>
              </w:rPr>
              <w:t>in</w:t>
            </w:r>
            <w:r w:rsidR="003370B9" w:rsidRPr="00D73134">
              <w:rPr>
                <w:rFonts w:eastAsia="Calibri"/>
                <w:lang w:eastAsia="en-US"/>
              </w:rPr>
              <w:t xml:space="preserve"> </w:t>
            </w:r>
            <w:r w:rsidR="00B73E8D" w:rsidRPr="00D73134">
              <w:rPr>
                <w:rFonts w:eastAsia="Calibri"/>
                <w:lang w:eastAsia="en-US"/>
              </w:rPr>
              <w:t xml:space="preserve">industry, </w:t>
            </w:r>
            <w:r w:rsidRPr="00D73134">
              <w:rPr>
                <w:rFonts w:eastAsia="Calibri"/>
                <w:lang w:eastAsia="en-US"/>
              </w:rPr>
              <w:t>institution, healthcare facilities and</w:t>
            </w:r>
            <w:r w:rsidR="00511583" w:rsidRPr="00D73134">
              <w:rPr>
                <w:rFonts w:eastAsia="Calibri"/>
                <w:lang w:eastAsia="en-US"/>
              </w:rPr>
              <w:t>,</w:t>
            </w:r>
            <w:r w:rsidRPr="00D73134">
              <w:rPr>
                <w:rFonts w:eastAsia="Calibri"/>
                <w:lang w:eastAsia="en-US"/>
              </w:rPr>
              <w:t xml:space="preserve"> food preparation and handling areas</w:t>
            </w:r>
            <w:r w:rsidR="00C20A61" w:rsidRPr="00D73134">
              <w:rPr>
                <w:rFonts w:eastAsia="Calibri"/>
                <w:lang w:eastAsia="en-US"/>
              </w:rPr>
              <w:t>,</w:t>
            </w:r>
            <w:r w:rsidRPr="00D73134">
              <w:rPr>
                <w:rFonts w:eastAsia="Calibri"/>
                <w:lang w:eastAsia="en-US"/>
              </w:rPr>
              <w:t xml:space="preserve"> </w:t>
            </w:r>
            <w:r w:rsidR="00511583" w:rsidRPr="00D73134">
              <w:rPr>
                <w:rFonts w:eastAsia="Calibri"/>
                <w:lang w:eastAsia="en-US"/>
              </w:rPr>
              <w:t xml:space="preserve">by </w:t>
            </w:r>
            <w:r w:rsidR="00511583" w:rsidRPr="00D73134">
              <w:t>spraying, wiping (applying product onto wipe followed by wiping), and mopping</w:t>
            </w:r>
            <w:r w:rsidR="00B73E8D" w:rsidRPr="00D73134">
              <w:t xml:space="preserve"> (applying product onto mop followed by mopping)</w:t>
            </w:r>
            <w:r w:rsidRPr="00D73134">
              <w:rPr>
                <w:rFonts w:eastAsia="Calibri"/>
                <w:lang w:eastAsia="en-US"/>
              </w:rPr>
              <w:t xml:space="preserve">. </w:t>
            </w:r>
          </w:p>
          <w:p w14:paraId="56DC872A" w14:textId="05944781" w:rsidR="00CC62FC" w:rsidRPr="00D73134" w:rsidRDefault="00CC62FC" w:rsidP="007A4DA8">
            <w:pPr>
              <w:spacing w:line="260" w:lineRule="atLeast"/>
              <w:jc w:val="both"/>
              <w:rPr>
                <w:rFonts w:eastAsia="Calibri"/>
                <w:lang w:eastAsia="en-US"/>
              </w:rPr>
            </w:pPr>
            <w:r w:rsidRPr="00D73134">
              <w:rPr>
                <w:rFonts w:eastAsia="Calibri"/>
                <w:lang w:eastAsia="en-US"/>
              </w:rPr>
              <w:t>Ready-To-Use. Professional and industrial, PT02 and 04, Indoor.</w:t>
            </w:r>
          </w:p>
        </w:tc>
      </w:tr>
      <w:tr w:rsidR="00CC62FC" w:rsidRPr="000B687A" w14:paraId="5AF9A4F0" w14:textId="77777777" w:rsidTr="0015321A">
        <w:tc>
          <w:tcPr>
            <w:tcW w:w="9354" w:type="dxa"/>
            <w:shd w:val="clear" w:color="auto" w:fill="auto"/>
          </w:tcPr>
          <w:p w14:paraId="0390898D" w14:textId="428F6E8F" w:rsidR="00CC62FC" w:rsidRPr="00D73134" w:rsidRDefault="00CC62FC" w:rsidP="007A4DA8">
            <w:pPr>
              <w:spacing w:line="260" w:lineRule="atLeast"/>
              <w:jc w:val="both"/>
              <w:rPr>
                <w:rFonts w:eastAsia="Calibri"/>
                <w:lang w:eastAsia="en-US"/>
              </w:rPr>
            </w:pPr>
            <w:r w:rsidRPr="00D73134">
              <w:rPr>
                <w:rFonts w:eastAsia="Calibri"/>
                <w:lang w:eastAsia="en-US"/>
              </w:rPr>
              <w:t xml:space="preserve">Meta-SPC 6: Disinfectant for </w:t>
            </w:r>
            <w:r w:rsidR="003370B9" w:rsidRPr="00D73134">
              <w:rPr>
                <w:rFonts w:eastAsia="Calibri"/>
                <w:lang w:eastAsia="en-US"/>
              </w:rPr>
              <w:t xml:space="preserve">hard surfaces </w:t>
            </w:r>
            <w:r w:rsidR="00733D14" w:rsidRPr="00D73134">
              <w:rPr>
                <w:rFonts w:eastAsia="Calibri"/>
                <w:lang w:eastAsia="en-US"/>
              </w:rPr>
              <w:t>in</w:t>
            </w:r>
            <w:r w:rsidR="003370B9" w:rsidRPr="00D73134">
              <w:rPr>
                <w:rFonts w:eastAsia="Calibri"/>
                <w:lang w:eastAsia="en-US"/>
              </w:rPr>
              <w:t xml:space="preserve"> </w:t>
            </w:r>
            <w:r w:rsidR="00357F13" w:rsidRPr="00D73134">
              <w:rPr>
                <w:rFonts w:eastAsia="Calibri"/>
                <w:lang w:eastAsia="en-US"/>
              </w:rPr>
              <w:t>industr</w:t>
            </w:r>
            <w:r w:rsidR="006D1C61" w:rsidRPr="00D73134">
              <w:rPr>
                <w:rFonts w:eastAsia="Calibri"/>
                <w:lang w:eastAsia="en-US"/>
              </w:rPr>
              <w:t>y</w:t>
            </w:r>
            <w:r w:rsidRPr="00D73134">
              <w:rPr>
                <w:rFonts w:eastAsia="Calibri"/>
                <w:lang w:eastAsia="en-US"/>
              </w:rPr>
              <w:t xml:space="preserve">, institution, healthcare facilities </w:t>
            </w:r>
            <w:r w:rsidR="00357F13" w:rsidRPr="00D73134">
              <w:rPr>
                <w:rFonts w:eastAsia="Calibri"/>
                <w:lang w:eastAsia="en-US"/>
              </w:rPr>
              <w:t xml:space="preserve">health care </w:t>
            </w:r>
            <w:r w:rsidRPr="00D73134">
              <w:rPr>
                <w:rFonts w:eastAsia="Calibri"/>
                <w:lang w:eastAsia="en-US"/>
              </w:rPr>
              <w:t>and</w:t>
            </w:r>
            <w:r w:rsidR="00FC3C8D" w:rsidRPr="00D73134">
              <w:rPr>
                <w:rFonts w:eastAsia="Calibri"/>
                <w:lang w:eastAsia="en-US"/>
              </w:rPr>
              <w:t>,</w:t>
            </w:r>
            <w:r w:rsidRPr="00D73134">
              <w:rPr>
                <w:rFonts w:eastAsia="Calibri"/>
                <w:lang w:eastAsia="en-US"/>
              </w:rPr>
              <w:t xml:space="preserve"> food preparation and handling areas</w:t>
            </w:r>
            <w:r w:rsidR="00C20A61" w:rsidRPr="00D73134">
              <w:rPr>
                <w:rFonts w:eastAsia="Calibri"/>
                <w:lang w:eastAsia="en-US"/>
              </w:rPr>
              <w:t>,</w:t>
            </w:r>
            <w:r w:rsidRPr="00D73134">
              <w:rPr>
                <w:rFonts w:eastAsia="Calibri"/>
                <w:lang w:eastAsia="en-US"/>
              </w:rPr>
              <w:t xml:space="preserve"> </w:t>
            </w:r>
            <w:r w:rsidR="00FC3C8D" w:rsidRPr="007A4DA8">
              <w:rPr>
                <w:rFonts w:eastAsia="Calibri"/>
                <w:lang w:eastAsia="en-US"/>
              </w:rPr>
              <w:t xml:space="preserve">by </w:t>
            </w:r>
            <w:r w:rsidR="00FC3C8D" w:rsidRPr="007A4DA8">
              <w:rPr>
                <w:rFonts w:eastAsia="Calibri"/>
                <w:iCs/>
                <w:szCs w:val="24"/>
                <w:lang w:eastAsia="en-US"/>
              </w:rPr>
              <w:t xml:space="preserve">spraying, wiping </w:t>
            </w:r>
            <w:r w:rsidR="00FC3C8D" w:rsidRPr="00D73134">
              <w:t>(applying product onto wipe followed by wiping)</w:t>
            </w:r>
            <w:r w:rsidR="00FC3C8D" w:rsidRPr="007A4DA8">
              <w:rPr>
                <w:rFonts w:eastAsia="Calibri"/>
                <w:iCs/>
                <w:szCs w:val="24"/>
                <w:lang w:eastAsia="en-US"/>
              </w:rPr>
              <w:t>, brushing</w:t>
            </w:r>
            <w:r w:rsidR="00357F13" w:rsidRPr="007A4DA8">
              <w:rPr>
                <w:rFonts w:eastAsia="Calibri"/>
                <w:iCs/>
                <w:szCs w:val="24"/>
                <w:lang w:eastAsia="en-US"/>
              </w:rPr>
              <w:t xml:space="preserve"> </w:t>
            </w:r>
            <w:r w:rsidR="00357F13" w:rsidRPr="00D73134">
              <w:t xml:space="preserve">(applying product onto brush followed by </w:t>
            </w:r>
            <w:r w:rsidR="00357F13" w:rsidRPr="00D73134">
              <w:lastRenderedPageBreak/>
              <w:t>brushing)</w:t>
            </w:r>
            <w:r w:rsidR="00FC3C8D" w:rsidRPr="007A4DA8">
              <w:rPr>
                <w:rFonts w:eastAsia="Calibri"/>
                <w:iCs/>
                <w:szCs w:val="24"/>
                <w:lang w:eastAsia="en-US"/>
              </w:rPr>
              <w:t xml:space="preserve">, mopping </w:t>
            </w:r>
            <w:r w:rsidR="00FC3C8D" w:rsidRPr="00D73134">
              <w:t xml:space="preserve">(applying product onto mop followed by mopping) </w:t>
            </w:r>
            <w:r w:rsidR="00FC3C8D" w:rsidRPr="007A4DA8">
              <w:rPr>
                <w:rFonts w:eastAsia="Calibri"/>
                <w:iCs/>
                <w:szCs w:val="24"/>
                <w:lang w:eastAsia="en-US"/>
              </w:rPr>
              <w:t>and scrubbing</w:t>
            </w:r>
            <w:r w:rsidRPr="00D73134">
              <w:rPr>
                <w:rFonts w:eastAsia="Calibri"/>
                <w:lang w:eastAsia="en-US"/>
              </w:rPr>
              <w:t xml:space="preserve">. </w:t>
            </w:r>
            <w:r w:rsidR="00FC3C8D" w:rsidRPr="00D73134">
              <w:rPr>
                <w:rFonts w:eastAsia="Calibri"/>
                <w:lang w:eastAsia="en-US"/>
              </w:rPr>
              <w:t xml:space="preserve">Concentrate </w:t>
            </w:r>
            <w:r w:rsidR="00E83890" w:rsidRPr="00D73134">
              <w:rPr>
                <w:rFonts w:eastAsia="Calibri"/>
                <w:lang w:eastAsia="en-US"/>
              </w:rPr>
              <w:t xml:space="preserve">products </w:t>
            </w:r>
            <w:r w:rsidR="00FC3C8D" w:rsidRPr="00D73134">
              <w:rPr>
                <w:rFonts w:eastAsia="Calibri"/>
                <w:lang w:eastAsia="en-US"/>
              </w:rPr>
              <w:t xml:space="preserve">to be diluted. </w:t>
            </w:r>
            <w:r w:rsidRPr="00D73134">
              <w:rPr>
                <w:rFonts w:eastAsia="Calibri"/>
                <w:lang w:eastAsia="en-US"/>
              </w:rPr>
              <w:t>Professional and industrial, PT02 and 04, Indoor.</w:t>
            </w:r>
          </w:p>
        </w:tc>
      </w:tr>
      <w:tr w:rsidR="00CC62FC" w:rsidRPr="000B687A" w14:paraId="53166D04" w14:textId="77777777" w:rsidTr="0015321A">
        <w:tc>
          <w:tcPr>
            <w:tcW w:w="9354" w:type="dxa"/>
            <w:shd w:val="clear" w:color="auto" w:fill="auto"/>
          </w:tcPr>
          <w:p w14:paraId="3639664D" w14:textId="4668C8A4" w:rsidR="00CC62FC" w:rsidRPr="00D73134" w:rsidRDefault="00CC62FC" w:rsidP="007A4DA8">
            <w:pPr>
              <w:spacing w:line="260" w:lineRule="atLeast"/>
              <w:jc w:val="both"/>
              <w:rPr>
                <w:rFonts w:eastAsia="Calibri"/>
                <w:lang w:eastAsia="en-US"/>
              </w:rPr>
            </w:pPr>
            <w:r w:rsidRPr="00D73134">
              <w:rPr>
                <w:rFonts w:eastAsia="Calibri"/>
                <w:lang w:eastAsia="en-US"/>
              </w:rPr>
              <w:lastRenderedPageBreak/>
              <w:t xml:space="preserve">Meta-SPC 7: Disinfectant for </w:t>
            </w:r>
            <w:r w:rsidR="003370B9" w:rsidRPr="00D73134">
              <w:rPr>
                <w:rFonts w:eastAsia="Calibri"/>
                <w:lang w:eastAsia="en-US"/>
              </w:rPr>
              <w:t xml:space="preserve">hard surfaces </w:t>
            </w:r>
            <w:r w:rsidR="00733D14" w:rsidRPr="00D73134">
              <w:rPr>
                <w:rFonts w:eastAsia="Calibri"/>
                <w:lang w:eastAsia="en-US"/>
              </w:rPr>
              <w:t>in</w:t>
            </w:r>
            <w:r w:rsidR="003370B9" w:rsidRPr="00D73134">
              <w:rPr>
                <w:rFonts w:eastAsia="Calibri"/>
                <w:lang w:eastAsia="en-US"/>
              </w:rPr>
              <w:t xml:space="preserve"> </w:t>
            </w:r>
            <w:r w:rsidR="00E72EBE" w:rsidRPr="00D73134">
              <w:rPr>
                <w:rFonts w:eastAsia="Calibri"/>
                <w:lang w:eastAsia="en-US"/>
              </w:rPr>
              <w:t xml:space="preserve">industry, </w:t>
            </w:r>
            <w:r w:rsidRPr="00D73134">
              <w:rPr>
                <w:rFonts w:eastAsia="Calibri"/>
                <w:lang w:eastAsia="en-US"/>
              </w:rPr>
              <w:t>institution, healthcare facilities</w:t>
            </w:r>
            <w:r w:rsidR="00E72EBE" w:rsidRPr="00D73134">
              <w:rPr>
                <w:rFonts w:eastAsia="Calibri"/>
                <w:lang w:eastAsia="en-US"/>
              </w:rPr>
              <w:t>, healthcare,</w:t>
            </w:r>
            <w:r w:rsidRPr="00D73134">
              <w:rPr>
                <w:rFonts w:eastAsia="Calibri"/>
                <w:lang w:eastAsia="en-US"/>
              </w:rPr>
              <w:t xml:space="preserve"> and food preparation and handling areas</w:t>
            </w:r>
            <w:r w:rsidR="00946BFD" w:rsidRPr="00D73134">
              <w:rPr>
                <w:rFonts w:eastAsia="Calibri"/>
                <w:lang w:eastAsia="en-US"/>
              </w:rPr>
              <w:t xml:space="preserve">, </w:t>
            </w:r>
            <w:r w:rsidR="00946BFD" w:rsidRPr="007A4DA8">
              <w:rPr>
                <w:rFonts w:eastAsia="Calibri"/>
                <w:lang w:eastAsia="en-US"/>
              </w:rPr>
              <w:t xml:space="preserve">by </w:t>
            </w:r>
            <w:r w:rsidR="00946BFD" w:rsidRPr="007A4DA8">
              <w:rPr>
                <w:rFonts w:eastAsia="Calibri"/>
                <w:iCs/>
                <w:szCs w:val="24"/>
                <w:lang w:eastAsia="en-US"/>
              </w:rPr>
              <w:t xml:space="preserve">spraying, wiping </w:t>
            </w:r>
            <w:r w:rsidR="00946BFD" w:rsidRPr="00D73134">
              <w:t>(applying product onto wipe followed by</w:t>
            </w:r>
            <w:r w:rsidR="00E72EBE" w:rsidRPr="00D73134">
              <w:t xml:space="preserve"> wiping</w:t>
            </w:r>
            <w:r w:rsidR="00946BFD" w:rsidRPr="00D73134">
              <w:t>)</w:t>
            </w:r>
            <w:r w:rsidR="00946BFD" w:rsidRPr="007A4DA8">
              <w:rPr>
                <w:rFonts w:eastAsia="Calibri"/>
                <w:iCs/>
                <w:szCs w:val="24"/>
                <w:lang w:eastAsia="en-US"/>
              </w:rPr>
              <w:t>, brushing</w:t>
            </w:r>
            <w:r w:rsidR="00E72EBE" w:rsidRPr="007A4DA8">
              <w:rPr>
                <w:rFonts w:eastAsia="Calibri"/>
                <w:iCs/>
                <w:szCs w:val="24"/>
                <w:lang w:eastAsia="en-US"/>
              </w:rPr>
              <w:t xml:space="preserve"> </w:t>
            </w:r>
            <w:r w:rsidR="00E72EBE" w:rsidRPr="00D73134">
              <w:t>(applying product onto brush followed by brushing)</w:t>
            </w:r>
            <w:r w:rsidR="00946BFD" w:rsidRPr="007A4DA8">
              <w:rPr>
                <w:rFonts w:eastAsia="Calibri"/>
                <w:iCs/>
                <w:szCs w:val="24"/>
                <w:lang w:eastAsia="en-US"/>
              </w:rPr>
              <w:t xml:space="preserve">, mopping </w:t>
            </w:r>
            <w:r w:rsidR="00946BFD" w:rsidRPr="00D73134">
              <w:t xml:space="preserve">(applying product onto mop followed by mopping) </w:t>
            </w:r>
            <w:r w:rsidR="00946BFD" w:rsidRPr="007A4DA8">
              <w:rPr>
                <w:rFonts w:eastAsia="Calibri"/>
                <w:iCs/>
                <w:szCs w:val="24"/>
                <w:lang w:eastAsia="en-US"/>
              </w:rPr>
              <w:t>and scrubbing</w:t>
            </w:r>
            <w:r w:rsidRPr="00D73134">
              <w:rPr>
                <w:rFonts w:eastAsia="Calibri"/>
                <w:lang w:eastAsia="en-US"/>
              </w:rPr>
              <w:t xml:space="preserve">. Concentrate </w:t>
            </w:r>
            <w:r w:rsidR="00E83890" w:rsidRPr="00D73134">
              <w:rPr>
                <w:rFonts w:eastAsia="Calibri"/>
                <w:lang w:eastAsia="en-US"/>
              </w:rPr>
              <w:t xml:space="preserve">products </w:t>
            </w:r>
            <w:r w:rsidR="00946BFD" w:rsidRPr="00D73134">
              <w:rPr>
                <w:rFonts w:eastAsia="Calibri"/>
                <w:lang w:eastAsia="en-US"/>
              </w:rPr>
              <w:t>to be diluted</w:t>
            </w:r>
            <w:r w:rsidRPr="00D73134">
              <w:rPr>
                <w:rFonts w:eastAsia="Calibri"/>
                <w:lang w:eastAsia="en-US"/>
              </w:rPr>
              <w:t>. Professional and industrial, PT02 and 04, Indoor.</w:t>
            </w:r>
          </w:p>
        </w:tc>
      </w:tr>
      <w:tr w:rsidR="00CC62FC" w:rsidRPr="000B687A" w14:paraId="0D100030" w14:textId="77777777" w:rsidTr="0015321A">
        <w:tc>
          <w:tcPr>
            <w:tcW w:w="9354" w:type="dxa"/>
            <w:shd w:val="clear" w:color="auto" w:fill="auto"/>
          </w:tcPr>
          <w:p w14:paraId="2DEABF6B" w14:textId="3726184B" w:rsidR="009E4041" w:rsidRPr="00D73134" w:rsidRDefault="00CC62FC" w:rsidP="007A4DA8">
            <w:pPr>
              <w:spacing w:line="260" w:lineRule="atLeast"/>
              <w:jc w:val="both"/>
              <w:rPr>
                <w:rFonts w:eastAsia="Calibri"/>
                <w:lang w:eastAsia="en-US"/>
              </w:rPr>
            </w:pPr>
            <w:r w:rsidRPr="00D73134">
              <w:rPr>
                <w:rFonts w:eastAsia="Calibri"/>
                <w:lang w:eastAsia="en-US"/>
              </w:rPr>
              <w:t xml:space="preserve">Meta-SPC 8: Disinfectant for </w:t>
            </w:r>
            <w:r w:rsidR="003370B9" w:rsidRPr="00D73134">
              <w:rPr>
                <w:rFonts w:eastAsia="Calibri"/>
                <w:lang w:eastAsia="en-US"/>
              </w:rPr>
              <w:t xml:space="preserve">hard surfaces </w:t>
            </w:r>
            <w:r w:rsidR="00733D14" w:rsidRPr="00D73134">
              <w:rPr>
                <w:rFonts w:eastAsia="Calibri"/>
                <w:lang w:eastAsia="en-US"/>
              </w:rPr>
              <w:t xml:space="preserve">in </w:t>
            </w:r>
            <w:r w:rsidRPr="00D73134">
              <w:rPr>
                <w:rFonts w:eastAsia="Calibri"/>
                <w:lang w:eastAsia="en-US"/>
              </w:rPr>
              <w:t>domestic area</w:t>
            </w:r>
            <w:r w:rsidR="00804514" w:rsidRPr="00D73134">
              <w:rPr>
                <w:rFonts w:eastAsia="Calibri"/>
                <w:lang w:eastAsia="en-US"/>
              </w:rPr>
              <w:t xml:space="preserve"> </w:t>
            </w:r>
            <w:r w:rsidR="00804514" w:rsidRPr="007A4DA8">
              <w:rPr>
                <w:rFonts w:eastAsia="Calibri"/>
                <w:lang w:eastAsia="en-US"/>
              </w:rPr>
              <w:t xml:space="preserve">by </w:t>
            </w:r>
            <w:r w:rsidR="00804514" w:rsidRPr="007A4DA8">
              <w:rPr>
                <w:rFonts w:eastAsia="Calibri"/>
                <w:iCs/>
                <w:szCs w:val="24"/>
                <w:lang w:eastAsia="en-US"/>
              </w:rPr>
              <w:t xml:space="preserve">wiping </w:t>
            </w:r>
            <w:r w:rsidR="00804514" w:rsidRPr="00D73134">
              <w:t>(applying product onto wipe followed by wiping)</w:t>
            </w:r>
            <w:r w:rsidR="00804514" w:rsidRPr="007A4DA8">
              <w:rPr>
                <w:rFonts w:eastAsia="Calibri"/>
                <w:iCs/>
                <w:szCs w:val="24"/>
                <w:lang w:eastAsia="en-US"/>
              </w:rPr>
              <w:t>, brushing</w:t>
            </w:r>
            <w:r w:rsidR="009E4041" w:rsidRPr="007A4DA8">
              <w:rPr>
                <w:rFonts w:eastAsia="Calibri"/>
                <w:iCs/>
                <w:szCs w:val="24"/>
                <w:lang w:eastAsia="en-US"/>
              </w:rPr>
              <w:t xml:space="preserve"> </w:t>
            </w:r>
            <w:r w:rsidR="009E4041" w:rsidRPr="00D73134">
              <w:t>(applying product onto brush followed by brushing)</w:t>
            </w:r>
            <w:r w:rsidR="00804514" w:rsidRPr="007A4DA8">
              <w:rPr>
                <w:rFonts w:eastAsia="Calibri"/>
                <w:iCs/>
                <w:szCs w:val="24"/>
                <w:lang w:eastAsia="en-US"/>
              </w:rPr>
              <w:t xml:space="preserve">, </w:t>
            </w:r>
            <w:r w:rsidR="00C20A61" w:rsidRPr="007A4DA8">
              <w:rPr>
                <w:rFonts w:eastAsia="Calibri"/>
                <w:iCs/>
                <w:szCs w:val="24"/>
                <w:lang w:eastAsia="en-US"/>
              </w:rPr>
              <w:t xml:space="preserve">and </w:t>
            </w:r>
            <w:r w:rsidR="00804514" w:rsidRPr="007A4DA8">
              <w:rPr>
                <w:rFonts w:eastAsia="Calibri"/>
                <w:iCs/>
                <w:szCs w:val="24"/>
                <w:lang w:eastAsia="en-US"/>
              </w:rPr>
              <w:t xml:space="preserve">mopping </w:t>
            </w:r>
            <w:r w:rsidR="00804514" w:rsidRPr="00D73134">
              <w:t>(applying product onto mop followed by mopping)</w:t>
            </w:r>
            <w:r w:rsidRPr="00D73134">
              <w:rPr>
                <w:rFonts w:eastAsia="Calibri"/>
                <w:lang w:eastAsia="en-US"/>
              </w:rPr>
              <w:t xml:space="preserve">. </w:t>
            </w:r>
          </w:p>
          <w:p w14:paraId="1E611283" w14:textId="7FBA6CBE" w:rsidR="00CC62FC" w:rsidRPr="00D73134" w:rsidRDefault="00CC62FC" w:rsidP="007A4DA8">
            <w:pPr>
              <w:spacing w:line="260" w:lineRule="atLeast"/>
              <w:jc w:val="both"/>
              <w:rPr>
                <w:rFonts w:eastAsia="Calibri"/>
                <w:lang w:eastAsia="en-US"/>
              </w:rPr>
            </w:pPr>
            <w:r w:rsidRPr="00D73134">
              <w:rPr>
                <w:rFonts w:eastAsia="Calibri"/>
                <w:lang w:eastAsia="en-US"/>
              </w:rPr>
              <w:t>Concentrate</w:t>
            </w:r>
            <w:r w:rsidR="00804514" w:rsidRPr="00D73134">
              <w:rPr>
                <w:rFonts w:eastAsia="Calibri"/>
                <w:lang w:eastAsia="en-US"/>
              </w:rPr>
              <w:t xml:space="preserve"> </w:t>
            </w:r>
            <w:r w:rsidR="00E83890" w:rsidRPr="00D73134">
              <w:rPr>
                <w:rFonts w:eastAsia="Calibri"/>
                <w:lang w:eastAsia="en-US"/>
              </w:rPr>
              <w:t xml:space="preserve">products </w:t>
            </w:r>
            <w:r w:rsidR="006C3EFF" w:rsidRPr="00D73134">
              <w:rPr>
                <w:rFonts w:eastAsia="Calibri"/>
                <w:lang w:eastAsia="en-US"/>
              </w:rPr>
              <w:t>to be diluted</w:t>
            </w:r>
            <w:r w:rsidRPr="00D73134">
              <w:rPr>
                <w:rFonts w:eastAsia="Calibri"/>
                <w:lang w:eastAsia="en-US"/>
              </w:rPr>
              <w:t>. General public, PT02, Indoor.</w:t>
            </w:r>
          </w:p>
        </w:tc>
      </w:tr>
      <w:tr w:rsidR="00CC62FC" w:rsidRPr="000B687A" w14:paraId="773C11E4" w14:textId="77777777" w:rsidTr="0015321A">
        <w:tc>
          <w:tcPr>
            <w:tcW w:w="9354" w:type="dxa"/>
            <w:shd w:val="clear" w:color="auto" w:fill="auto"/>
          </w:tcPr>
          <w:p w14:paraId="624D0E65" w14:textId="2B9DA639" w:rsidR="005812E0" w:rsidRPr="00D73134" w:rsidRDefault="00CC62FC" w:rsidP="007A4DA8">
            <w:pPr>
              <w:spacing w:line="260" w:lineRule="atLeast"/>
              <w:jc w:val="both"/>
              <w:rPr>
                <w:rFonts w:eastAsia="Calibri"/>
                <w:lang w:eastAsia="en-US"/>
              </w:rPr>
            </w:pPr>
            <w:r w:rsidRPr="00D73134">
              <w:rPr>
                <w:rFonts w:eastAsia="Calibri"/>
                <w:lang w:eastAsia="en-US"/>
              </w:rPr>
              <w:t xml:space="preserve">Meta-SPC 9: Disinfectant for </w:t>
            </w:r>
            <w:r w:rsidR="00773D2D" w:rsidRPr="00D73134">
              <w:rPr>
                <w:rFonts w:eastAsia="Calibri"/>
                <w:lang w:eastAsia="en-US"/>
              </w:rPr>
              <w:t xml:space="preserve">hard surfaces </w:t>
            </w:r>
            <w:r w:rsidR="00733D14" w:rsidRPr="00D73134">
              <w:rPr>
                <w:rFonts w:eastAsia="Calibri"/>
                <w:lang w:eastAsia="en-US"/>
              </w:rPr>
              <w:t>in</w:t>
            </w:r>
            <w:r w:rsidR="00773D2D" w:rsidRPr="00D73134">
              <w:rPr>
                <w:rFonts w:eastAsia="Calibri"/>
                <w:lang w:eastAsia="en-US"/>
              </w:rPr>
              <w:t xml:space="preserve"> </w:t>
            </w:r>
            <w:r w:rsidRPr="00D73134">
              <w:rPr>
                <w:rFonts w:eastAsia="Calibri"/>
                <w:lang w:eastAsia="en-US"/>
              </w:rPr>
              <w:t xml:space="preserve">domestic area and companion </w:t>
            </w:r>
            <w:r w:rsidR="00622E82" w:rsidRPr="00D73134">
              <w:rPr>
                <w:rFonts w:eastAsia="Calibri"/>
                <w:lang w:eastAsia="en-US"/>
              </w:rPr>
              <w:t>animal’s</w:t>
            </w:r>
            <w:r w:rsidRPr="00D73134">
              <w:rPr>
                <w:rFonts w:eastAsia="Calibri"/>
                <w:lang w:eastAsia="en-US"/>
              </w:rPr>
              <w:t xml:space="preserve"> environment</w:t>
            </w:r>
            <w:r w:rsidR="00773D2D" w:rsidRPr="00D73134">
              <w:rPr>
                <w:rFonts w:eastAsia="Calibri"/>
                <w:lang w:eastAsia="en-US"/>
              </w:rPr>
              <w:t xml:space="preserve">, </w:t>
            </w:r>
            <w:r w:rsidR="00A67859" w:rsidRPr="00D73134">
              <w:rPr>
                <w:rFonts w:eastAsia="Calibri"/>
                <w:lang w:eastAsia="en-US"/>
              </w:rPr>
              <w:t xml:space="preserve">by </w:t>
            </w:r>
            <w:r w:rsidR="00F20D2F" w:rsidRPr="00D73134">
              <w:rPr>
                <w:rFonts w:eastAsia="Calibri"/>
                <w:lang w:eastAsia="en-US"/>
              </w:rPr>
              <w:t>spraying</w:t>
            </w:r>
            <w:r w:rsidR="00C20A61" w:rsidRPr="00D73134">
              <w:rPr>
                <w:rFonts w:eastAsia="Calibri"/>
                <w:lang w:eastAsia="en-US"/>
              </w:rPr>
              <w:t xml:space="preserve"> and pouring</w:t>
            </w:r>
            <w:r w:rsidRPr="00D73134">
              <w:rPr>
                <w:rFonts w:eastAsia="Calibri"/>
                <w:lang w:eastAsia="en-US"/>
              </w:rPr>
              <w:t xml:space="preserve">. </w:t>
            </w:r>
          </w:p>
          <w:p w14:paraId="39E3E7B0" w14:textId="56E67616" w:rsidR="00CC62FC" w:rsidRPr="00D73134" w:rsidRDefault="00CC62FC" w:rsidP="007A4DA8">
            <w:pPr>
              <w:spacing w:line="260" w:lineRule="atLeast"/>
              <w:jc w:val="both"/>
              <w:rPr>
                <w:rFonts w:eastAsia="Calibri"/>
                <w:lang w:eastAsia="en-US"/>
              </w:rPr>
            </w:pPr>
            <w:r w:rsidRPr="00D73134">
              <w:rPr>
                <w:rFonts w:eastAsia="Calibri"/>
                <w:lang w:eastAsia="en-US"/>
              </w:rPr>
              <w:t>Ready-To-Use. General public, PT02 and 03, Indoor.</w:t>
            </w:r>
          </w:p>
        </w:tc>
      </w:tr>
      <w:tr w:rsidR="00CC62FC" w:rsidRPr="000B687A" w14:paraId="215D1BD3" w14:textId="77777777" w:rsidTr="0015321A">
        <w:tc>
          <w:tcPr>
            <w:tcW w:w="9354" w:type="dxa"/>
            <w:shd w:val="clear" w:color="auto" w:fill="auto"/>
          </w:tcPr>
          <w:p w14:paraId="1D38B50F" w14:textId="19FEB4BA" w:rsidR="0005077E" w:rsidRPr="00D73134" w:rsidRDefault="00CC62FC" w:rsidP="007A4DA8">
            <w:pPr>
              <w:spacing w:line="260" w:lineRule="atLeast"/>
              <w:jc w:val="both"/>
              <w:rPr>
                <w:rFonts w:eastAsia="Calibri"/>
                <w:lang w:eastAsia="en-US"/>
              </w:rPr>
            </w:pPr>
            <w:r w:rsidRPr="00D73134">
              <w:rPr>
                <w:rFonts w:eastAsia="Calibri"/>
                <w:lang w:eastAsia="en-US"/>
              </w:rPr>
              <w:t xml:space="preserve">Meta-SPC 10: Disinfectant for </w:t>
            </w:r>
            <w:r w:rsidR="003D46CF" w:rsidRPr="00D73134">
              <w:rPr>
                <w:rFonts w:eastAsia="Calibri"/>
                <w:lang w:eastAsia="en-US"/>
              </w:rPr>
              <w:t xml:space="preserve">hard surfaces </w:t>
            </w:r>
            <w:r w:rsidR="00733D14" w:rsidRPr="00D73134">
              <w:rPr>
                <w:rFonts w:eastAsia="Calibri"/>
                <w:lang w:eastAsia="en-US"/>
              </w:rPr>
              <w:t>in</w:t>
            </w:r>
            <w:r w:rsidR="003D46CF" w:rsidRPr="00D73134">
              <w:rPr>
                <w:rFonts w:eastAsia="Calibri"/>
                <w:lang w:eastAsia="en-US"/>
              </w:rPr>
              <w:t xml:space="preserve"> </w:t>
            </w:r>
            <w:r w:rsidRPr="00D73134">
              <w:rPr>
                <w:rFonts w:eastAsia="Calibri"/>
                <w:lang w:eastAsia="en-US"/>
              </w:rPr>
              <w:t xml:space="preserve">domestic area and companion </w:t>
            </w:r>
            <w:r w:rsidR="00622E82" w:rsidRPr="00D73134">
              <w:rPr>
                <w:rFonts w:eastAsia="Calibri"/>
                <w:lang w:eastAsia="en-US"/>
              </w:rPr>
              <w:t>animal’s</w:t>
            </w:r>
            <w:r w:rsidRPr="00D73134">
              <w:rPr>
                <w:rFonts w:eastAsia="Calibri"/>
                <w:lang w:eastAsia="en-US"/>
              </w:rPr>
              <w:t xml:space="preserve"> environment</w:t>
            </w:r>
            <w:r w:rsidR="003D46CF" w:rsidRPr="00D73134">
              <w:rPr>
                <w:rFonts w:eastAsia="Calibri"/>
                <w:lang w:eastAsia="en-US"/>
              </w:rPr>
              <w:t xml:space="preserve">, </w:t>
            </w:r>
            <w:r w:rsidR="003D46CF" w:rsidRPr="007A4DA8">
              <w:rPr>
                <w:rFonts w:eastAsia="Calibri"/>
                <w:lang w:eastAsia="en-US"/>
              </w:rPr>
              <w:t>by spraying</w:t>
            </w:r>
            <w:r w:rsidR="0005077E" w:rsidRPr="007A4DA8">
              <w:rPr>
                <w:rFonts w:eastAsia="Calibri"/>
                <w:lang w:eastAsia="en-US"/>
              </w:rPr>
              <w:t xml:space="preserve"> </w:t>
            </w:r>
            <w:r w:rsidR="003D46CF" w:rsidRPr="007A4DA8">
              <w:rPr>
                <w:rFonts w:eastAsia="Calibri"/>
                <w:iCs/>
                <w:szCs w:val="24"/>
                <w:lang w:eastAsia="en-US"/>
              </w:rPr>
              <w:t xml:space="preserve">and </w:t>
            </w:r>
            <w:r w:rsidR="0005077E" w:rsidRPr="007A4DA8">
              <w:rPr>
                <w:rFonts w:eastAsia="Calibri"/>
                <w:iCs/>
                <w:szCs w:val="24"/>
                <w:lang w:eastAsia="en-US"/>
              </w:rPr>
              <w:t>pouring</w:t>
            </w:r>
            <w:r w:rsidRPr="00D73134">
              <w:rPr>
                <w:rFonts w:eastAsia="Calibri"/>
                <w:lang w:eastAsia="en-US"/>
              </w:rPr>
              <w:t xml:space="preserve">. </w:t>
            </w:r>
          </w:p>
          <w:p w14:paraId="5687588E" w14:textId="7048357B" w:rsidR="00CC62FC" w:rsidRPr="00D73134" w:rsidRDefault="00CC62FC" w:rsidP="007A4DA8">
            <w:pPr>
              <w:spacing w:line="260" w:lineRule="atLeast"/>
              <w:jc w:val="both"/>
              <w:rPr>
                <w:rFonts w:eastAsia="Calibri"/>
                <w:lang w:eastAsia="en-US"/>
              </w:rPr>
            </w:pPr>
            <w:r w:rsidRPr="00D73134">
              <w:rPr>
                <w:rFonts w:eastAsia="Calibri"/>
                <w:lang w:eastAsia="en-US"/>
              </w:rPr>
              <w:t>Concentrate</w:t>
            </w:r>
            <w:r w:rsidR="003D46CF" w:rsidRPr="00D73134">
              <w:rPr>
                <w:rFonts w:eastAsia="Calibri"/>
                <w:lang w:eastAsia="en-US"/>
              </w:rPr>
              <w:t xml:space="preserve"> </w:t>
            </w:r>
            <w:r w:rsidR="00E83890" w:rsidRPr="00D73134">
              <w:rPr>
                <w:rFonts w:eastAsia="Calibri"/>
                <w:lang w:eastAsia="en-US"/>
              </w:rPr>
              <w:t xml:space="preserve">products </w:t>
            </w:r>
            <w:r w:rsidR="003D46CF" w:rsidRPr="00D73134">
              <w:rPr>
                <w:rFonts w:eastAsia="Calibri"/>
                <w:lang w:eastAsia="en-US"/>
              </w:rPr>
              <w:t>to be diluted</w:t>
            </w:r>
            <w:r w:rsidRPr="00D73134">
              <w:rPr>
                <w:rFonts w:eastAsia="Calibri"/>
                <w:lang w:eastAsia="en-US"/>
              </w:rPr>
              <w:t>. General public, PT02 and 03, Indoor.</w:t>
            </w:r>
          </w:p>
        </w:tc>
      </w:tr>
      <w:tr w:rsidR="00CC62FC" w:rsidRPr="000B687A" w14:paraId="25D338F6" w14:textId="77777777" w:rsidTr="0015321A">
        <w:tc>
          <w:tcPr>
            <w:tcW w:w="9354" w:type="dxa"/>
            <w:shd w:val="clear" w:color="auto" w:fill="auto"/>
          </w:tcPr>
          <w:p w14:paraId="0C013822" w14:textId="1A737DC7" w:rsidR="00CC62FC" w:rsidRPr="00D73134" w:rsidRDefault="00CC62FC" w:rsidP="007A4DA8">
            <w:pPr>
              <w:spacing w:line="260" w:lineRule="atLeast"/>
              <w:jc w:val="both"/>
              <w:rPr>
                <w:rFonts w:eastAsia="Calibri"/>
                <w:lang w:eastAsia="en-US"/>
              </w:rPr>
            </w:pPr>
            <w:r w:rsidRPr="00D73134">
              <w:rPr>
                <w:rFonts w:eastAsia="Calibri"/>
                <w:lang w:eastAsia="en-US"/>
              </w:rPr>
              <w:t>Meta-SPC 11: Disinfectant for</w:t>
            </w:r>
            <w:r w:rsidR="001F5863" w:rsidRPr="00D73134">
              <w:rPr>
                <w:rFonts w:eastAsia="Calibri"/>
                <w:lang w:eastAsia="en-US"/>
              </w:rPr>
              <w:t xml:space="preserve"> hard surfaces </w:t>
            </w:r>
            <w:r w:rsidR="00733D14" w:rsidRPr="00D73134">
              <w:rPr>
                <w:rFonts w:eastAsia="Calibri"/>
                <w:lang w:eastAsia="en-US"/>
              </w:rPr>
              <w:t>in</w:t>
            </w:r>
            <w:r w:rsidRPr="00D73134">
              <w:rPr>
                <w:rFonts w:eastAsia="Calibri"/>
                <w:lang w:eastAsia="en-US"/>
              </w:rPr>
              <w:t xml:space="preserve"> </w:t>
            </w:r>
            <w:r w:rsidR="005A6D00" w:rsidRPr="00D73134">
              <w:rPr>
                <w:rFonts w:eastAsia="Calibri"/>
                <w:lang w:eastAsia="en-US"/>
              </w:rPr>
              <w:t xml:space="preserve">industry, </w:t>
            </w:r>
            <w:r w:rsidR="001F5863" w:rsidRPr="00D73134">
              <w:rPr>
                <w:rFonts w:eastAsia="Calibri"/>
                <w:lang w:eastAsia="en-US"/>
              </w:rPr>
              <w:t>i</w:t>
            </w:r>
            <w:r w:rsidRPr="00D73134">
              <w:rPr>
                <w:rFonts w:eastAsia="Calibri"/>
                <w:lang w:eastAsia="en-US"/>
              </w:rPr>
              <w:t>nstitution, healthcare facilities, and</w:t>
            </w:r>
            <w:r w:rsidR="001F5863" w:rsidRPr="00D73134">
              <w:rPr>
                <w:rFonts w:eastAsia="Calibri"/>
                <w:lang w:eastAsia="en-US"/>
              </w:rPr>
              <w:t>,</w:t>
            </w:r>
            <w:r w:rsidRPr="00D73134">
              <w:rPr>
                <w:rFonts w:eastAsia="Calibri"/>
                <w:lang w:eastAsia="en-US"/>
              </w:rPr>
              <w:t xml:space="preserve"> food preparation and handling areas</w:t>
            </w:r>
            <w:r w:rsidR="00EE6FD1" w:rsidRPr="00D73134">
              <w:rPr>
                <w:rFonts w:eastAsia="Calibri"/>
                <w:lang w:eastAsia="en-US"/>
              </w:rPr>
              <w:t xml:space="preserve">, </w:t>
            </w:r>
            <w:r w:rsidR="00622E82" w:rsidRPr="007A4DA8">
              <w:rPr>
                <w:rFonts w:eastAsia="Calibri"/>
                <w:lang w:eastAsia="en-US"/>
              </w:rPr>
              <w:t>by spraying</w:t>
            </w:r>
            <w:r w:rsidR="00EE6FD1" w:rsidRPr="007A4DA8">
              <w:rPr>
                <w:rFonts w:eastAsia="Calibri"/>
                <w:lang w:eastAsia="en-US"/>
              </w:rPr>
              <w:t xml:space="preserve">, </w:t>
            </w:r>
            <w:r w:rsidR="005A6D00" w:rsidRPr="007A4DA8">
              <w:rPr>
                <w:rFonts w:eastAsia="Calibri"/>
                <w:lang w:eastAsia="en-US"/>
              </w:rPr>
              <w:t>pouring</w:t>
            </w:r>
            <w:r w:rsidR="00EE6FD1" w:rsidRPr="00D73134">
              <w:t xml:space="preserve"> </w:t>
            </w:r>
            <w:r w:rsidR="00EE6FD1" w:rsidRPr="007A4DA8">
              <w:rPr>
                <w:rFonts w:eastAsia="Calibri"/>
                <w:lang w:eastAsia="en-US"/>
              </w:rPr>
              <w:t>and scrubbing</w:t>
            </w:r>
            <w:r w:rsidRPr="00D73134">
              <w:rPr>
                <w:rFonts w:eastAsia="Calibri"/>
                <w:lang w:eastAsia="en-US"/>
              </w:rPr>
              <w:t>. Concentrate</w:t>
            </w:r>
            <w:r w:rsidR="001F5863" w:rsidRPr="00D73134">
              <w:rPr>
                <w:rFonts w:eastAsia="Calibri"/>
                <w:lang w:eastAsia="en-US"/>
              </w:rPr>
              <w:t xml:space="preserve"> </w:t>
            </w:r>
            <w:r w:rsidR="00E83890" w:rsidRPr="00D73134">
              <w:rPr>
                <w:rFonts w:eastAsia="Calibri"/>
                <w:lang w:eastAsia="en-US"/>
              </w:rPr>
              <w:t xml:space="preserve">products </w:t>
            </w:r>
            <w:r w:rsidR="001F5863" w:rsidRPr="00D73134">
              <w:rPr>
                <w:rFonts w:eastAsia="Calibri"/>
                <w:lang w:eastAsia="en-US"/>
              </w:rPr>
              <w:t>to be diluted</w:t>
            </w:r>
            <w:r w:rsidRPr="00D73134">
              <w:rPr>
                <w:rFonts w:eastAsia="Calibri"/>
                <w:lang w:eastAsia="en-US"/>
              </w:rPr>
              <w:t>. Professional and industrial, PT02 and 04, Indoor.</w:t>
            </w:r>
          </w:p>
        </w:tc>
      </w:tr>
      <w:tr w:rsidR="00CC62FC" w:rsidRPr="000B687A" w14:paraId="42CBD77E" w14:textId="77777777" w:rsidTr="0015321A">
        <w:tc>
          <w:tcPr>
            <w:tcW w:w="9354" w:type="dxa"/>
            <w:shd w:val="clear" w:color="auto" w:fill="auto"/>
          </w:tcPr>
          <w:p w14:paraId="00DBF551" w14:textId="77777777" w:rsidR="00DC6AB3" w:rsidRPr="00D73134" w:rsidRDefault="00CC62FC" w:rsidP="007A4DA8">
            <w:pPr>
              <w:spacing w:line="260" w:lineRule="atLeast"/>
              <w:jc w:val="both"/>
              <w:rPr>
                <w:rFonts w:eastAsia="Calibri"/>
                <w:lang w:eastAsia="en-US"/>
              </w:rPr>
            </w:pPr>
            <w:r w:rsidRPr="00D73134">
              <w:rPr>
                <w:rFonts w:eastAsia="Calibri"/>
                <w:lang w:eastAsia="en-US"/>
              </w:rPr>
              <w:t xml:space="preserve">Meta-SPC 12: Disinfectant for </w:t>
            </w:r>
            <w:r w:rsidR="00E83890" w:rsidRPr="00D73134">
              <w:rPr>
                <w:rFonts w:eastAsia="Calibri"/>
                <w:lang w:eastAsia="en-US"/>
              </w:rPr>
              <w:t>toilet bowls</w:t>
            </w:r>
            <w:r w:rsidR="00E71862" w:rsidRPr="00D73134">
              <w:rPr>
                <w:rFonts w:eastAsia="Calibri"/>
                <w:lang w:eastAsia="en-US"/>
              </w:rPr>
              <w:t xml:space="preserve"> in industry, institution, </w:t>
            </w:r>
            <w:r w:rsidRPr="00D73134">
              <w:rPr>
                <w:rFonts w:eastAsia="Calibri"/>
                <w:lang w:eastAsia="en-US"/>
              </w:rPr>
              <w:t xml:space="preserve">healthcare facilities, and </w:t>
            </w:r>
            <w:r w:rsidR="00E71862" w:rsidRPr="00D73134">
              <w:rPr>
                <w:rFonts w:eastAsia="Calibri"/>
                <w:lang w:eastAsia="en-US"/>
              </w:rPr>
              <w:t>healthcare</w:t>
            </w:r>
            <w:r w:rsidR="00E83890" w:rsidRPr="00D73134">
              <w:rPr>
                <w:rFonts w:eastAsia="Calibri"/>
                <w:lang w:eastAsia="en-US"/>
              </w:rPr>
              <w:t xml:space="preserve">, by </w:t>
            </w:r>
            <w:r w:rsidR="00DC6AB3" w:rsidRPr="00D73134">
              <w:rPr>
                <w:rFonts w:eastAsia="Calibri"/>
                <w:lang w:eastAsia="en-US"/>
              </w:rPr>
              <w:t>pouring</w:t>
            </w:r>
            <w:r w:rsidRPr="00D73134">
              <w:rPr>
                <w:rFonts w:eastAsia="Calibri"/>
                <w:lang w:eastAsia="en-US"/>
              </w:rPr>
              <w:t>.</w:t>
            </w:r>
          </w:p>
          <w:p w14:paraId="333CE938" w14:textId="5BACEEEB" w:rsidR="00CC62FC" w:rsidRPr="00D73134" w:rsidRDefault="00CC62FC" w:rsidP="007A4DA8">
            <w:pPr>
              <w:spacing w:line="260" w:lineRule="atLeast"/>
              <w:jc w:val="both"/>
              <w:rPr>
                <w:rFonts w:eastAsia="Calibri"/>
                <w:lang w:eastAsia="en-US"/>
              </w:rPr>
            </w:pPr>
            <w:r w:rsidRPr="00D73134">
              <w:rPr>
                <w:rFonts w:eastAsia="Calibri"/>
                <w:lang w:eastAsia="en-US"/>
              </w:rPr>
              <w:t>Ready-To-Use. Professional and industrial, PT02, Indoor.</w:t>
            </w:r>
          </w:p>
        </w:tc>
      </w:tr>
      <w:tr w:rsidR="00CC62FC" w:rsidRPr="000B687A" w14:paraId="06CC18D6" w14:textId="77777777" w:rsidTr="0015321A">
        <w:tc>
          <w:tcPr>
            <w:tcW w:w="9354" w:type="dxa"/>
            <w:shd w:val="clear" w:color="auto" w:fill="auto"/>
          </w:tcPr>
          <w:p w14:paraId="2333C6D9" w14:textId="77777777" w:rsidR="00DC6AB3" w:rsidRPr="00D73134" w:rsidRDefault="00CC62FC" w:rsidP="007A4DA8">
            <w:pPr>
              <w:spacing w:line="260" w:lineRule="atLeast"/>
              <w:jc w:val="both"/>
            </w:pPr>
            <w:r w:rsidRPr="00D73134">
              <w:rPr>
                <w:rFonts w:eastAsia="Calibri"/>
                <w:lang w:eastAsia="en-US"/>
              </w:rPr>
              <w:t xml:space="preserve">Meta-SPC 13: Disinfectant for </w:t>
            </w:r>
            <w:r w:rsidR="00DC6AB3" w:rsidRPr="00D73134">
              <w:rPr>
                <w:rFonts w:eastAsia="Calibri"/>
                <w:lang w:eastAsia="en-US"/>
              </w:rPr>
              <w:t>hard surfaces in</w:t>
            </w:r>
            <w:r w:rsidR="00E83890" w:rsidRPr="00D73134">
              <w:rPr>
                <w:rFonts w:eastAsia="Calibri"/>
                <w:lang w:eastAsia="en-US"/>
              </w:rPr>
              <w:t xml:space="preserve"> industry, institution and</w:t>
            </w:r>
            <w:r w:rsidRPr="00D73134">
              <w:rPr>
                <w:rFonts w:eastAsia="Calibri"/>
                <w:lang w:eastAsia="en-US"/>
              </w:rPr>
              <w:t xml:space="preserve"> healthcare facilities</w:t>
            </w:r>
            <w:r w:rsidR="00E83890" w:rsidRPr="00D73134">
              <w:rPr>
                <w:rFonts w:eastAsia="Calibri"/>
                <w:lang w:eastAsia="en-US"/>
              </w:rPr>
              <w:t xml:space="preserve">, by </w:t>
            </w:r>
            <w:r w:rsidR="00E83890" w:rsidRPr="00D73134">
              <w:t xml:space="preserve">spraying, </w:t>
            </w:r>
            <w:r w:rsidR="00DC6AB3" w:rsidRPr="00D73134">
              <w:t>pouring</w:t>
            </w:r>
            <w:r w:rsidR="00E83890" w:rsidRPr="00D73134">
              <w:t xml:space="preserve"> </w:t>
            </w:r>
            <w:r w:rsidR="00DC6AB3" w:rsidRPr="00D73134">
              <w:t xml:space="preserve">and </w:t>
            </w:r>
            <w:r w:rsidR="00E83890" w:rsidRPr="00D73134">
              <w:t>scrubbing</w:t>
            </w:r>
            <w:r w:rsidR="00DC6AB3" w:rsidRPr="00D73134">
              <w:t>.</w:t>
            </w:r>
          </w:p>
          <w:p w14:paraId="2116E7EC" w14:textId="576B4A54" w:rsidR="00CC62FC" w:rsidRPr="00D73134" w:rsidRDefault="00CC62FC" w:rsidP="007A4DA8">
            <w:pPr>
              <w:spacing w:line="260" w:lineRule="atLeast"/>
              <w:jc w:val="both"/>
              <w:rPr>
                <w:rFonts w:eastAsia="Calibri"/>
                <w:lang w:eastAsia="en-US"/>
              </w:rPr>
            </w:pPr>
            <w:r w:rsidRPr="00D73134">
              <w:rPr>
                <w:rFonts w:eastAsia="Calibri"/>
                <w:lang w:eastAsia="en-US"/>
              </w:rPr>
              <w:t>Concentrate</w:t>
            </w:r>
            <w:r w:rsidR="00E83890" w:rsidRPr="00D73134">
              <w:rPr>
                <w:rFonts w:eastAsia="Calibri"/>
                <w:lang w:eastAsia="en-US"/>
              </w:rPr>
              <w:t xml:space="preserve"> products to be diluted</w:t>
            </w:r>
            <w:r w:rsidRPr="00D73134">
              <w:rPr>
                <w:rFonts w:eastAsia="Calibri"/>
                <w:lang w:eastAsia="en-US"/>
              </w:rPr>
              <w:t>. Professional and industrial, PT02, Indoor and outdoor.</w:t>
            </w:r>
          </w:p>
        </w:tc>
      </w:tr>
    </w:tbl>
    <w:p w14:paraId="3A22A66C" w14:textId="77777777" w:rsidR="009D0C0B" w:rsidRPr="00B27CB1" w:rsidRDefault="009D0C0B">
      <w:pPr>
        <w:spacing w:line="260" w:lineRule="atLeast"/>
        <w:rPr>
          <w:rFonts w:ascii="Times New Roman" w:eastAsia="Calibri" w:hAnsi="Times New Roman" w:cs="Times New Roman"/>
          <w:i/>
          <w:iCs/>
          <w:lang w:eastAsia="en-US"/>
        </w:rPr>
      </w:pPr>
    </w:p>
    <w:p w14:paraId="5E573DBF" w14:textId="77777777" w:rsidR="009D0C0B" w:rsidRPr="00B27CB1" w:rsidRDefault="00FA480B">
      <w:pPr>
        <w:pStyle w:val="Titre4"/>
        <w:rPr>
          <w:rFonts w:ascii="Times New Roman" w:hAnsi="Times New Roman" w:cs="Times New Roman"/>
          <w:i/>
          <w:iCs/>
          <w:lang w:val="en-GB" w:eastAsia="en-US"/>
        </w:rPr>
      </w:pPr>
      <w:bookmarkStart w:id="166" w:name="_Toc87361193"/>
      <w:r w:rsidRPr="00B27CB1">
        <w:rPr>
          <w:lang w:val="en-GB"/>
        </w:rPr>
        <w:t>Organisms to be controlled and products, organisms or objects to be protected</w:t>
      </w:r>
      <w:bookmarkEnd w:id="166"/>
    </w:p>
    <w:p w14:paraId="2DB16F87" w14:textId="77777777" w:rsidR="00CC62FC" w:rsidRDefault="00CC62FC" w:rsidP="00CC62FC">
      <w:pPr>
        <w:spacing w:line="260" w:lineRule="atLeast"/>
        <w:jc w:val="both"/>
        <w:rPr>
          <w:rFonts w:ascii="Times New Roman" w:eastAsia="Calibri" w:hAnsi="Times New Roman"/>
          <w:i/>
          <w:iCs/>
          <w:szCs w:val="24"/>
          <w:lang w:eastAsia="en-US"/>
        </w:rPr>
      </w:pPr>
      <w:r w:rsidRPr="0029166B">
        <w:t xml:space="preserve">The products of </w:t>
      </w:r>
      <w:r>
        <w:t>LACTIC ACID BASED PRODUCTS</w:t>
      </w:r>
      <w:r w:rsidRPr="0029166B">
        <w:t xml:space="preserve"> family are </w:t>
      </w:r>
      <w:r>
        <w:t xml:space="preserve">intended to be </w:t>
      </w:r>
      <w:r w:rsidRPr="0029166B">
        <w:t xml:space="preserve">used </w:t>
      </w:r>
      <w:r>
        <w:t>for PT02, PT03 and PT04</w:t>
      </w:r>
      <w:r w:rsidRPr="0029166B">
        <w:t xml:space="preserve"> </w:t>
      </w:r>
      <w:r>
        <w:t xml:space="preserve">hard </w:t>
      </w:r>
      <w:r w:rsidRPr="0029166B">
        <w:t>surfaces</w:t>
      </w:r>
      <w:r>
        <w:t xml:space="preserve"> disinfection</w:t>
      </w:r>
      <w:r w:rsidRPr="0029166B">
        <w:t xml:space="preserve">. </w:t>
      </w:r>
      <w:r w:rsidRPr="00DE5A4D">
        <w:t>Products family irreversibly inactivates vegetative bacteria</w:t>
      </w:r>
      <w:r>
        <w:t xml:space="preserve"> and</w:t>
      </w:r>
      <w:r w:rsidRPr="00DE5A4D">
        <w:t xml:space="preserve"> yeasts</w:t>
      </w:r>
      <w:r>
        <w:t>.</w:t>
      </w:r>
    </w:p>
    <w:p w14:paraId="0B106A5C" w14:textId="77777777" w:rsidR="00CC62FC" w:rsidRPr="0029166B" w:rsidRDefault="00CC62FC" w:rsidP="00CC62FC">
      <w:pPr>
        <w:spacing w:line="260" w:lineRule="atLeast"/>
        <w:jc w:val="both"/>
        <w:rPr>
          <w:rFonts w:eastAsia="Calibri"/>
          <w:lang w:eastAsia="en-US"/>
        </w:rPr>
      </w:pPr>
      <w:r w:rsidRPr="00755C27">
        <w:rPr>
          <w:lang w:eastAsia="en-US"/>
        </w:rPr>
        <w:t>Surfaces to be disinfected</w:t>
      </w:r>
      <w:r>
        <w:rPr>
          <w:lang w:eastAsia="en-US"/>
        </w:rPr>
        <w:t xml:space="preserve"> </w:t>
      </w:r>
      <w:r w:rsidRPr="00755C27">
        <w:rPr>
          <w:lang w:eastAsia="en-US"/>
        </w:rPr>
        <w:t>include</w:t>
      </w:r>
      <w:r w:rsidRPr="00C42050" w:rsidDel="00D737D8">
        <w:t xml:space="preserve"> </w:t>
      </w:r>
      <w:r w:rsidRPr="00C42050">
        <w:t>those found in industrial, domestic</w:t>
      </w:r>
      <w:r>
        <w:t>,</w:t>
      </w:r>
      <w:r w:rsidRPr="00C42050">
        <w:t xml:space="preserve"> institutional</w:t>
      </w:r>
      <w:r>
        <w:t>, healthcare facilities, food preparation and handling areas.</w:t>
      </w:r>
    </w:p>
    <w:p w14:paraId="0FCCF682" w14:textId="77777777" w:rsidR="00CC62FC" w:rsidRDefault="00CC62FC" w:rsidP="00CC62FC">
      <w:pPr>
        <w:jc w:val="both"/>
        <w:rPr>
          <w:lang w:eastAsia="en-US"/>
        </w:rPr>
      </w:pPr>
    </w:p>
    <w:p w14:paraId="45199DB6" w14:textId="77777777" w:rsidR="00CC62FC" w:rsidRPr="00FB4D74" w:rsidRDefault="00CC62FC" w:rsidP="00CC62FC">
      <w:pPr>
        <w:jc w:val="both"/>
        <w:rPr>
          <w:lang w:eastAsia="en-US"/>
        </w:rPr>
      </w:pPr>
      <w:r>
        <w:rPr>
          <w:lang w:eastAsia="en-US"/>
        </w:rPr>
        <w:t xml:space="preserve">The product is used for the purpose of the protection of human health </w:t>
      </w:r>
      <w:r w:rsidRPr="002E56B2">
        <w:rPr>
          <w:lang w:eastAsia="en-US"/>
        </w:rPr>
        <w:t>(in order to prevent the transmission of disease causing microorganisms)</w:t>
      </w:r>
      <w:r>
        <w:rPr>
          <w:lang w:eastAsia="en-US"/>
        </w:rPr>
        <w:t>.</w:t>
      </w:r>
    </w:p>
    <w:p w14:paraId="20E622C0" w14:textId="77777777" w:rsidR="009D0C0B" w:rsidRPr="00B27CB1" w:rsidRDefault="009D0C0B">
      <w:pPr>
        <w:spacing w:line="260" w:lineRule="atLeast"/>
        <w:rPr>
          <w:rFonts w:ascii="Times New Roman" w:eastAsia="Calibri" w:hAnsi="Times New Roman" w:cs="Times New Roman"/>
          <w:i/>
          <w:iCs/>
          <w:szCs w:val="24"/>
          <w:lang w:eastAsia="en-US"/>
        </w:rPr>
      </w:pPr>
    </w:p>
    <w:p w14:paraId="37CFE270" w14:textId="77777777" w:rsidR="009D0C0B" w:rsidRPr="00B27CB1" w:rsidRDefault="00FA480B">
      <w:pPr>
        <w:pStyle w:val="Titre4"/>
        <w:rPr>
          <w:rFonts w:ascii="Times New Roman" w:hAnsi="Times New Roman" w:cs="Times New Roman"/>
          <w:i/>
          <w:iCs/>
          <w:lang w:val="en-GB" w:eastAsia="en-US"/>
        </w:rPr>
      </w:pPr>
      <w:bookmarkStart w:id="167" w:name="_Toc87361194"/>
      <w:r w:rsidRPr="00B27CB1">
        <w:rPr>
          <w:lang w:val="en-GB"/>
        </w:rPr>
        <w:t>Effects on target organisms, including unacceptable suffering</w:t>
      </w:r>
      <w:bookmarkEnd w:id="167"/>
    </w:p>
    <w:p w14:paraId="1A9F81DB" w14:textId="77777777" w:rsidR="00CC62FC" w:rsidRDefault="00CC62FC" w:rsidP="00E91F85">
      <w:pPr>
        <w:spacing w:line="260" w:lineRule="atLeast"/>
        <w:jc w:val="both"/>
        <w:rPr>
          <w:rFonts w:eastAsia="Calibri"/>
          <w:lang w:eastAsia="en-US"/>
        </w:rPr>
      </w:pPr>
      <w:r w:rsidRPr="002E56B2">
        <w:rPr>
          <w:rFonts w:eastAsia="Calibri"/>
          <w:iCs/>
          <w:szCs w:val="24"/>
          <w:lang w:eastAsia="en-US"/>
        </w:rPr>
        <w:t>The</w:t>
      </w:r>
      <w:r w:rsidRPr="0029166B">
        <w:rPr>
          <w:rFonts w:eastAsia="Calibri"/>
          <w:iCs/>
          <w:szCs w:val="24"/>
          <w:lang w:eastAsia="en-US"/>
        </w:rPr>
        <w:t xml:space="preserve"> products of </w:t>
      </w:r>
      <w:r>
        <w:t>LACTIC ACID BASED PRODUCTS</w:t>
      </w:r>
      <w:r w:rsidRPr="0029166B">
        <w:t xml:space="preserve"> </w:t>
      </w:r>
      <w:r w:rsidRPr="0029166B">
        <w:rPr>
          <w:rFonts w:eastAsia="Calibri"/>
          <w:iCs/>
          <w:szCs w:val="24"/>
          <w:lang w:eastAsia="en-US"/>
        </w:rPr>
        <w:t>family are able to produce</w:t>
      </w:r>
      <w:r>
        <w:rPr>
          <w:rFonts w:eastAsia="Calibri"/>
          <w:iCs/>
          <w:szCs w:val="24"/>
          <w:lang w:eastAsia="en-US"/>
        </w:rPr>
        <w:t xml:space="preserve"> </w:t>
      </w:r>
      <w:r w:rsidRPr="0029166B">
        <w:rPr>
          <w:rFonts w:eastAsia="Calibri"/>
          <w:iCs/>
          <w:szCs w:val="24"/>
          <w:lang w:eastAsia="en-US"/>
        </w:rPr>
        <w:t xml:space="preserve">a reduction in the number of </w:t>
      </w:r>
      <w:r>
        <w:rPr>
          <w:rFonts w:eastAsia="Calibri"/>
          <w:iCs/>
          <w:szCs w:val="24"/>
          <w:lang w:eastAsia="en-US"/>
        </w:rPr>
        <w:t>viable bacterial cells (bacteri</w:t>
      </w:r>
      <w:r w:rsidRPr="0029166B">
        <w:rPr>
          <w:rFonts w:eastAsia="Calibri"/>
          <w:iCs/>
          <w:szCs w:val="24"/>
          <w:lang w:eastAsia="en-US"/>
        </w:rPr>
        <w:t>cidal activity) and yeast cells (yeasticidal activity) of relevant test organisms under defined conditions</w:t>
      </w:r>
      <w:r>
        <w:rPr>
          <w:rFonts w:eastAsia="Calibri"/>
          <w:iCs/>
          <w:szCs w:val="24"/>
          <w:lang w:eastAsia="en-US"/>
        </w:rPr>
        <w:t>.</w:t>
      </w:r>
    </w:p>
    <w:p w14:paraId="430F2F38" w14:textId="77777777" w:rsidR="009D0C0B" w:rsidRPr="00B27CB1" w:rsidRDefault="009D0C0B">
      <w:pPr>
        <w:spacing w:line="260" w:lineRule="atLeast"/>
        <w:rPr>
          <w:rFonts w:ascii="Times New Roman" w:eastAsia="Calibri" w:hAnsi="Times New Roman" w:cs="Times New Roman"/>
          <w:i/>
          <w:iCs/>
          <w:szCs w:val="24"/>
          <w:lang w:eastAsia="en-US"/>
        </w:rPr>
      </w:pPr>
    </w:p>
    <w:p w14:paraId="389344E5" w14:textId="77777777" w:rsidR="009D0C0B" w:rsidRPr="00B27CB1" w:rsidRDefault="00FA480B">
      <w:pPr>
        <w:pStyle w:val="Titre4"/>
        <w:rPr>
          <w:rFonts w:ascii="Times New Roman" w:hAnsi="Times New Roman" w:cs="Times New Roman"/>
          <w:i/>
          <w:iCs/>
          <w:lang w:val="en-GB" w:eastAsia="en-US"/>
        </w:rPr>
      </w:pPr>
      <w:bookmarkStart w:id="168" w:name="_Toc87361195"/>
      <w:r w:rsidRPr="00B27CB1">
        <w:rPr>
          <w:lang w:val="en-GB"/>
        </w:rPr>
        <w:t>Mode of action, including time delay</w:t>
      </w:r>
      <w:bookmarkEnd w:id="168"/>
    </w:p>
    <w:p w14:paraId="7E7DC549" w14:textId="260F2A1E" w:rsidR="00CC62FC" w:rsidRDefault="00CC62FC" w:rsidP="00CC62FC">
      <w:pPr>
        <w:jc w:val="both"/>
        <w:rPr>
          <w:rFonts w:eastAsia="Calibri"/>
          <w:lang w:eastAsia="en-US"/>
        </w:rPr>
      </w:pPr>
      <w:r>
        <w:rPr>
          <w:rFonts w:eastAsia="Calibri"/>
          <w:lang w:eastAsia="en-US"/>
        </w:rPr>
        <w:t xml:space="preserve">According to the </w:t>
      </w:r>
      <w:r w:rsidRPr="007C0E98">
        <w:rPr>
          <w:rFonts w:eastAsia="Calibri"/>
          <w:iCs/>
          <w:lang w:eastAsia="en-US"/>
        </w:rPr>
        <w:t xml:space="preserve">Assessment Report </w:t>
      </w:r>
      <w:r>
        <w:rPr>
          <w:rFonts w:eastAsia="Calibri"/>
          <w:iCs/>
          <w:lang w:eastAsia="en-US"/>
        </w:rPr>
        <w:t>of L(+) lactic acid for PTs 2, 3 and 4</w:t>
      </w:r>
      <w:r>
        <w:rPr>
          <w:rFonts w:eastAsia="Calibri"/>
          <w:lang w:eastAsia="en-US"/>
        </w:rPr>
        <w:t xml:space="preserve">: </w:t>
      </w:r>
    </w:p>
    <w:p w14:paraId="3A068A7D" w14:textId="56A158E5" w:rsidR="00CC62FC" w:rsidRDefault="00CC62FC" w:rsidP="00CC62FC">
      <w:pPr>
        <w:jc w:val="both"/>
        <w:rPr>
          <w:lang w:val="en-US" w:eastAsia="fr-FR"/>
        </w:rPr>
      </w:pPr>
      <w:r>
        <w:rPr>
          <w:rFonts w:eastAsia="Calibri"/>
          <w:lang w:eastAsia="en-US"/>
        </w:rPr>
        <w:t>“</w:t>
      </w:r>
      <w:r w:rsidRPr="005D3939">
        <w:rPr>
          <w:lang w:val="en-US" w:eastAsia="fr-FR"/>
        </w:rPr>
        <w:t xml:space="preserve">In solution, </w:t>
      </w:r>
      <w:r w:rsidR="00622E82" w:rsidRPr="005D3939">
        <w:rPr>
          <w:lang w:val="en-US" w:eastAsia="fr-FR"/>
        </w:rPr>
        <w:t>L (</w:t>
      </w:r>
      <w:r w:rsidRPr="005D3939">
        <w:rPr>
          <w:lang w:val="en-US" w:eastAsia="fr-FR"/>
        </w:rPr>
        <w:t>+) lactic acid exists in a pH-dependent equilibrium between the undissociated</w:t>
      </w:r>
      <w:r>
        <w:rPr>
          <w:lang w:val="en-US" w:eastAsia="fr-FR"/>
        </w:rPr>
        <w:t xml:space="preserve"> </w:t>
      </w:r>
      <w:r w:rsidRPr="005D3939">
        <w:rPr>
          <w:lang w:val="en-US" w:eastAsia="fr-FR"/>
        </w:rPr>
        <w:t>and dissociated form. Only in its undissociated state, the acid is able to pass the cell</w:t>
      </w:r>
      <w:r>
        <w:rPr>
          <w:lang w:val="en-US" w:eastAsia="fr-FR"/>
        </w:rPr>
        <w:t xml:space="preserve"> </w:t>
      </w:r>
      <w:r w:rsidRPr="005D3939">
        <w:rPr>
          <w:lang w:val="en-US" w:eastAsia="fr-FR"/>
        </w:rPr>
        <w:lastRenderedPageBreak/>
        <w:t>membrane. At a relatively low pH, the uncharged acid enters the cell. Inside the cell, the</w:t>
      </w:r>
      <w:r>
        <w:rPr>
          <w:lang w:val="en-US" w:eastAsia="fr-FR"/>
        </w:rPr>
        <w:t xml:space="preserve"> </w:t>
      </w:r>
      <w:r w:rsidR="00622E82" w:rsidRPr="005D3939">
        <w:rPr>
          <w:lang w:val="en-US" w:eastAsia="fr-FR"/>
        </w:rPr>
        <w:t>L (</w:t>
      </w:r>
      <w:r w:rsidRPr="005D3939">
        <w:rPr>
          <w:lang w:val="en-US" w:eastAsia="fr-FR"/>
        </w:rPr>
        <w:t>+) lactic acid dissociates due to the higher pH. The molecules remain inside the cell,</w:t>
      </w:r>
      <w:r>
        <w:rPr>
          <w:lang w:val="en-US" w:eastAsia="fr-FR"/>
        </w:rPr>
        <w:t xml:space="preserve"> </w:t>
      </w:r>
      <w:r w:rsidRPr="005D3939">
        <w:rPr>
          <w:lang w:val="en-US" w:eastAsia="fr-FR"/>
        </w:rPr>
        <w:t>because the resulting ions cannot pass the membrane. The pH</w:t>
      </w:r>
      <w:r w:rsidRPr="003D1FF6">
        <w:rPr>
          <w:lang w:val="en-US" w:eastAsia="fr-FR"/>
        </w:rPr>
        <w:t xml:space="preserve"> inside the cell is lowered and</w:t>
      </w:r>
      <w:r>
        <w:rPr>
          <w:lang w:val="en-US" w:eastAsia="fr-FR"/>
        </w:rPr>
        <w:t xml:space="preserve"> </w:t>
      </w:r>
      <w:r w:rsidRPr="005D3939">
        <w:rPr>
          <w:lang w:val="en-US" w:eastAsia="fr-FR"/>
        </w:rPr>
        <w:t>metabolic reactions are inhibited. Further effects are also reported. Decrease of the</w:t>
      </w:r>
      <w:r>
        <w:rPr>
          <w:lang w:val="en-US" w:eastAsia="fr-FR"/>
        </w:rPr>
        <w:t xml:space="preserve"> </w:t>
      </w:r>
      <w:r w:rsidRPr="005D3939">
        <w:rPr>
          <w:lang w:val="en-US" w:eastAsia="fr-FR"/>
        </w:rPr>
        <w:t>membrane permeability for amino acids, organic acids, phosphates resulting in uncoupling</w:t>
      </w:r>
      <w:r>
        <w:rPr>
          <w:lang w:val="en-US" w:eastAsia="fr-FR"/>
        </w:rPr>
        <w:t xml:space="preserve"> </w:t>
      </w:r>
      <w:r w:rsidRPr="005D3939">
        <w:rPr>
          <w:lang w:val="en-US" w:eastAsia="fr-FR"/>
        </w:rPr>
        <w:t>of both substrate transport and oxidative phosphorylation from the electr</w:t>
      </w:r>
      <w:r>
        <w:rPr>
          <w:lang w:val="en-US" w:eastAsia="fr-FR"/>
        </w:rPr>
        <w:t>o</w:t>
      </w:r>
      <w:r w:rsidRPr="005D3939">
        <w:rPr>
          <w:lang w:val="en-US" w:eastAsia="fr-FR"/>
        </w:rPr>
        <w:t>n transport</w:t>
      </w:r>
      <w:r>
        <w:rPr>
          <w:lang w:val="en-US" w:eastAsia="fr-FR"/>
        </w:rPr>
        <w:t xml:space="preserve"> </w:t>
      </w:r>
      <w:r w:rsidRPr="005D3939">
        <w:rPr>
          <w:lang w:val="en-US" w:eastAsia="fr-FR"/>
        </w:rPr>
        <w:t>system. Furthermore, an inhibition of the glycolysis by the lactate ion is observed.</w:t>
      </w:r>
      <w:r>
        <w:rPr>
          <w:lang w:val="en-US" w:eastAsia="fr-FR"/>
        </w:rPr>
        <w:t>”</w:t>
      </w:r>
    </w:p>
    <w:p w14:paraId="27FBB8C0" w14:textId="77777777" w:rsidR="00CC62FC" w:rsidRDefault="00CC62FC" w:rsidP="00CC62FC">
      <w:pPr>
        <w:jc w:val="both"/>
        <w:rPr>
          <w:lang w:val="en-US" w:eastAsia="fr-FR"/>
        </w:rPr>
      </w:pPr>
      <w:r>
        <w:rPr>
          <w:lang w:val="en-US" w:eastAsia="fr-FR"/>
        </w:rPr>
        <w:t>Therefore the mode of action for this product family is inhibition of cells grows and biomass producing and finally cells are destroyed.</w:t>
      </w:r>
    </w:p>
    <w:p w14:paraId="7EEB6155" w14:textId="77777777" w:rsidR="00CC62FC" w:rsidRDefault="00CC62FC" w:rsidP="00CC62FC">
      <w:pPr>
        <w:jc w:val="both"/>
        <w:rPr>
          <w:lang w:val="en-US" w:eastAsia="fr-FR"/>
        </w:rPr>
      </w:pPr>
    </w:p>
    <w:p w14:paraId="2701F3F0" w14:textId="6AE41D49" w:rsidR="00CC62FC" w:rsidRPr="005D3939" w:rsidRDefault="00CC62FC" w:rsidP="00CC62FC">
      <w:pPr>
        <w:jc w:val="both"/>
        <w:rPr>
          <w:lang w:val="en-US" w:eastAsia="fr-FR"/>
        </w:rPr>
      </w:pPr>
      <w:r>
        <w:rPr>
          <w:lang w:val="en-US" w:eastAsia="fr-FR"/>
        </w:rPr>
        <w:t xml:space="preserve">According to Sofwjournal of Corbion on L-Lactic Acid: “During short exposures that lead directly to inactivation of bacteria, some of these mechanisms are more relevant than others. In standardized testing of the antimicrobial quality of cleaning products, exposures can be as brief as 30 seconds. In this time frame, bacteria cannot respond by adapting their structure or their metabolism for survival. The sudden severe acid stress leads to an unmitigated shock of oxidative stress, while any survival mechanisms are suppressed by the low intracellular pH.”  </w:t>
      </w:r>
    </w:p>
    <w:p w14:paraId="5C6427B5" w14:textId="77777777" w:rsidR="009D0C0B" w:rsidRPr="00B27CB1" w:rsidRDefault="009D0C0B">
      <w:pPr>
        <w:spacing w:line="260" w:lineRule="atLeast"/>
        <w:ind w:left="360"/>
        <w:rPr>
          <w:rFonts w:ascii="Times New Roman" w:eastAsia="Calibri" w:hAnsi="Times New Roman" w:cs="Times New Roman"/>
          <w:i/>
          <w:iCs/>
          <w:szCs w:val="24"/>
          <w:lang w:eastAsia="en-US"/>
        </w:rPr>
      </w:pPr>
    </w:p>
    <w:p w14:paraId="09542845" w14:textId="77777777" w:rsidR="009D0C0B" w:rsidRPr="00B27CB1" w:rsidRDefault="00FA480B">
      <w:pPr>
        <w:pStyle w:val="Titre4"/>
        <w:rPr>
          <w:rFonts w:ascii="Times New Roman" w:hAnsi="Times New Roman" w:cs="Times New Roman"/>
          <w:i/>
          <w:iCs/>
          <w:lang w:val="en-GB" w:eastAsia="en-US"/>
        </w:rPr>
      </w:pPr>
      <w:bookmarkStart w:id="169" w:name="_Toc87361196"/>
      <w:r w:rsidRPr="00B27CB1">
        <w:rPr>
          <w:lang w:val="en-GB"/>
        </w:rPr>
        <w:t>Efficacy data</w:t>
      </w:r>
      <w:bookmarkEnd w:id="169"/>
      <w:r w:rsidRPr="00B27CB1">
        <w:rPr>
          <w:lang w:val="en-GB"/>
        </w:rPr>
        <w:t xml:space="preserve"> </w:t>
      </w:r>
    </w:p>
    <w:p w14:paraId="66032ADC" w14:textId="77777777" w:rsidR="00CC62FC" w:rsidRPr="00B47212" w:rsidRDefault="00CC62FC" w:rsidP="00CC62FC">
      <w:pPr>
        <w:jc w:val="both"/>
        <w:rPr>
          <w:lang w:eastAsia="en-US"/>
        </w:rPr>
      </w:pPr>
      <w:r>
        <w:rPr>
          <w:lang w:eastAsia="en-US"/>
        </w:rPr>
        <w:t>Laborato</w:t>
      </w:r>
      <w:r w:rsidRPr="00A16BEC">
        <w:rPr>
          <w:lang w:eastAsia="en-US"/>
        </w:rPr>
        <w:t>ry</w:t>
      </w:r>
      <w:r>
        <w:rPr>
          <w:lang w:eastAsia="en-US"/>
        </w:rPr>
        <w:t xml:space="preserve"> studies were conducted with the product </w:t>
      </w:r>
      <w:r>
        <w:t>LACTIC ACID BASED PRODUCTS</w:t>
      </w:r>
      <w:r w:rsidRPr="0029166B">
        <w:t xml:space="preserve"> family </w:t>
      </w:r>
      <w:r>
        <w:rPr>
          <w:lang w:eastAsia="en-US"/>
        </w:rPr>
        <w:t xml:space="preserve">according to the </w:t>
      </w:r>
      <w:r w:rsidRPr="00FF2A22">
        <w:rPr>
          <w:color w:val="000000"/>
        </w:rPr>
        <w:t xml:space="preserve">Guidance </w:t>
      </w:r>
      <w:r>
        <w:rPr>
          <w:rFonts w:eastAsia="Calibri"/>
          <w:lang w:eastAsia="en-US"/>
        </w:rPr>
        <w:t>on BPR, Volume II Efficacy – Assessment and Evaluation (Parts B+C)</w:t>
      </w:r>
      <w:r>
        <w:rPr>
          <w:lang w:eastAsia="en-US"/>
        </w:rPr>
        <w:t xml:space="preserve">. </w:t>
      </w:r>
      <w:r w:rsidRPr="00B47212">
        <w:rPr>
          <w:lang w:eastAsia="en-US"/>
        </w:rPr>
        <w:t>The results are summarized in Section 6.7 of the IUCLID file and the main points are summarized in the table below.</w:t>
      </w:r>
    </w:p>
    <w:p w14:paraId="229028D1" w14:textId="77777777" w:rsidR="00CC62FC" w:rsidRDefault="00CC62FC" w:rsidP="00CC62FC">
      <w:pPr>
        <w:spacing w:line="260" w:lineRule="atLeast"/>
        <w:jc w:val="both"/>
        <w:rPr>
          <w:rFonts w:ascii="Times New Roman" w:eastAsia="Calibri" w:hAnsi="Times New Roman" w:cs="Arial"/>
          <w:bCs/>
          <w:i/>
          <w:caps/>
          <w:szCs w:val="28"/>
          <w:lang w:eastAsia="en-US"/>
        </w:rPr>
      </w:pPr>
    </w:p>
    <w:p w14:paraId="70524341" w14:textId="5A2D7168" w:rsidR="00CC62FC" w:rsidRDefault="00CC62FC" w:rsidP="00CC62FC">
      <w:pPr>
        <w:snapToGrid w:val="0"/>
        <w:jc w:val="both"/>
        <w:rPr>
          <w:bCs/>
          <w:lang w:eastAsia="en-US"/>
        </w:rPr>
      </w:pPr>
      <w:r w:rsidRPr="004051F5">
        <w:rPr>
          <w:bCs/>
          <w:lang w:eastAsia="en-US"/>
        </w:rPr>
        <w:t>Following results have been obtained in the studies submitted:</w:t>
      </w:r>
    </w:p>
    <w:p w14:paraId="1EEAFF63" w14:textId="77777777" w:rsidR="00CC62FC" w:rsidRDefault="00CC62FC" w:rsidP="00CC62FC">
      <w:pPr>
        <w:spacing w:line="260" w:lineRule="atLeast"/>
        <w:jc w:val="both"/>
        <w:rPr>
          <w:rFonts w:ascii="Times New Roman" w:eastAsia="Calibri" w:hAnsi="Times New Roman" w:cs="Arial"/>
          <w:bCs/>
          <w:caps/>
          <w:szCs w:val="28"/>
          <w:lang w:eastAsia="en-US"/>
        </w:rPr>
      </w:pPr>
    </w:p>
    <w:p w14:paraId="38544CA9" w14:textId="2038E9CC" w:rsidR="00CC62FC" w:rsidRPr="007A4DA8" w:rsidRDefault="00CC62FC" w:rsidP="00CC62FC">
      <w:pPr>
        <w:pStyle w:val="Paragraphedeliste"/>
        <w:numPr>
          <w:ilvl w:val="0"/>
          <w:numId w:val="23"/>
        </w:numPr>
        <w:spacing w:line="260" w:lineRule="atLeast"/>
        <w:jc w:val="both"/>
        <w:rPr>
          <w:rFonts w:eastAsia="Calibri"/>
          <w:b/>
          <w:iCs/>
          <w:szCs w:val="24"/>
          <w:lang w:eastAsia="en-US"/>
        </w:rPr>
      </w:pPr>
      <w:r w:rsidRPr="007A4DA8">
        <w:rPr>
          <w:rFonts w:eastAsia="Calibri"/>
          <w:b/>
          <w:iCs/>
          <w:szCs w:val="24"/>
          <w:lang w:eastAsia="en-US"/>
        </w:rPr>
        <w:t xml:space="preserve">Meta SPC 1: Disinfectant for </w:t>
      </w:r>
      <w:r w:rsidR="008C0E41" w:rsidRPr="007A4DA8">
        <w:rPr>
          <w:rFonts w:eastAsia="Calibri"/>
          <w:b/>
          <w:iCs/>
          <w:szCs w:val="24"/>
          <w:lang w:eastAsia="en-US"/>
        </w:rPr>
        <w:t xml:space="preserve">hard surfaces </w:t>
      </w:r>
      <w:r w:rsidR="00733D14" w:rsidRPr="007A4DA8">
        <w:rPr>
          <w:rFonts w:eastAsia="Calibri"/>
          <w:b/>
          <w:iCs/>
          <w:szCs w:val="24"/>
          <w:lang w:eastAsia="en-US"/>
        </w:rPr>
        <w:t>in</w:t>
      </w:r>
      <w:r w:rsidR="008C0E41" w:rsidRPr="007A4DA8">
        <w:rPr>
          <w:rFonts w:eastAsia="Calibri"/>
          <w:b/>
          <w:iCs/>
          <w:szCs w:val="24"/>
          <w:lang w:eastAsia="en-US"/>
        </w:rPr>
        <w:t xml:space="preserve"> </w:t>
      </w:r>
      <w:r w:rsidRPr="007A4DA8">
        <w:rPr>
          <w:rFonts w:eastAsia="Calibri"/>
          <w:b/>
          <w:iCs/>
          <w:szCs w:val="24"/>
          <w:lang w:eastAsia="en-US"/>
        </w:rPr>
        <w:t xml:space="preserve">domestic area </w:t>
      </w:r>
      <w:r w:rsidR="0098661C" w:rsidRPr="007A4DA8">
        <w:rPr>
          <w:rFonts w:eastAsia="Calibri"/>
          <w:b/>
          <w:lang w:eastAsia="en-US"/>
        </w:rPr>
        <w:t xml:space="preserve">by </w:t>
      </w:r>
      <w:r w:rsidR="0098661C" w:rsidRPr="007A4DA8">
        <w:rPr>
          <w:b/>
        </w:rPr>
        <w:t>spraying, wiping (applying product onto wipe followed by wiping</w:t>
      </w:r>
      <w:r w:rsidR="003B6AF8" w:rsidRPr="007A4DA8">
        <w:rPr>
          <w:b/>
        </w:rPr>
        <w:t>)</w:t>
      </w:r>
      <w:r w:rsidR="00FE67A2" w:rsidRPr="007A4DA8">
        <w:rPr>
          <w:b/>
        </w:rPr>
        <w:t xml:space="preserve"> </w:t>
      </w:r>
      <w:r w:rsidR="00453B14" w:rsidRPr="007A4DA8">
        <w:rPr>
          <w:rFonts w:eastAsia="Calibri"/>
          <w:b/>
          <w:iCs/>
          <w:szCs w:val="24"/>
          <w:lang w:eastAsia="en-US"/>
        </w:rPr>
        <w:t>-</w:t>
      </w:r>
      <w:r w:rsidR="00FE67A2" w:rsidRPr="007A4DA8">
        <w:rPr>
          <w:rFonts w:eastAsia="Calibri"/>
          <w:b/>
          <w:iCs/>
          <w:szCs w:val="24"/>
          <w:lang w:eastAsia="en-US"/>
        </w:rPr>
        <w:t xml:space="preserve"> </w:t>
      </w:r>
      <w:r w:rsidR="00453B14" w:rsidRPr="007A4DA8">
        <w:rPr>
          <w:rFonts w:eastAsia="Calibri"/>
          <w:b/>
          <w:iCs/>
          <w:szCs w:val="24"/>
          <w:lang w:eastAsia="en-US"/>
        </w:rPr>
        <w:t>PT2</w:t>
      </w:r>
    </w:p>
    <w:p w14:paraId="150DC51E" w14:textId="77777777" w:rsidR="00CC62FC" w:rsidRDefault="00CC62FC" w:rsidP="00CC62FC">
      <w:pPr>
        <w:spacing w:line="260" w:lineRule="atLeast"/>
        <w:jc w:val="both"/>
        <w:rPr>
          <w:rFonts w:eastAsia="Calibri"/>
          <w:iCs/>
          <w:szCs w:val="24"/>
          <w:u w:val="single"/>
          <w:lang w:eastAsia="en-US"/>
        </w:rPr>
      </w:pPr>
    </w:p>
    <w:p w14:paraId="4C4FBB95" w14:textId="796DF93A" w:rsidR="00CC62FC" w:rsidRDefault="00CC62FC" w:rsidP="00CC62FC">
      <w:pPr>
        <w:spacing w:line="260" w:lineRule="atLeast"/>
        <w:jc w:val="both"/>
        <w:rPr>
          <w:lang w:eastAsia="en-US"/>
        </w:rPr>
      </w:pPr>
      <w:r w:rsidRPr="005C303E">
        <w:rPr>
          <w:lang w:eastAsia="en-US"/>
        </w:rPr>
        <w:t xml:space="preserve">META-SPC1 contains </w:t>
      </w:r>
      <w:r>
        <w:rPr>
          <w:lang w:eastAsia="en-US"/>
        </w:rPr>
        <w:t xml:space="preserve">ready-to-use </w:t>
      </w:r>
      <w:r w:rsidRPr="005C303E">
        <w:rPr>
          <w:lang w:eastAsia="en-US"/>
        </w:rPr>
        <w:t xml:space="preserve">products </w:t>
      </w:r>
      <w:r>
        <w:rPr>
          <w:lang w:eastAsia="en-US"/>
        </w:rPr>
        <w:t xml:space="preserve">containing </w:t>
      </w:r>
      <w:r w:rsidR="00EB7FE1">
        <w:rPr>
          <w:lang w:eastAsia="en-US"/>
        </w:rPr>
        <w:t>2.4</w:t>
      </w:r>
      <w:r>
        <w:rPr>
          <w:lang w:eastAsia="en-US"/>
        </w:rPr>
        <w:t xml:space="preserve">% w/w lactic acid, and minor variations of coformulants, in low concentrations without biocidal activity. </w:t>
      </w:r>
    </w:p>
    <w:p w14:paraId="29DC1900" w14:textId="4F56E764" w:rsidR="00CC62FC" w:rsidRPr="00C914AE" w:rsidRDefault="00CC62FC" w:rsidP="00CC62FC">
      <w:pPr>
        <w:spacing w:line="260" w:lineRule="atLeast"/>
        <w:jc w:val="both"/>
        <w:rPr>
          <w:rFonts w:eastAsia="Calibri"/>
          <w:iCs/>
          <w:szCs w:val="24"/>
          <w:lang w:eastAsia="en-US"/>
        </w:rPr>
      </w:pPr>
      <w:r>
        <w:rPr>
          <w:lang w:eastAsia="en-US"/>
        </w:rPr>
        <w:t xml:space="preserve">Efficacy studies have been performed with representative product </w:t>
      </w:r>
      <w:r w:rsidRPr="00C914AE">
        <w:rPr>
          <w:rFonts w:eastAsia="Calibri"/>
          <w:iCs/>
          <w:szCs w:val="24"/>
          <w:lang w:eastAsia="en-US"/>
        </w:rPr>
        <w:t>AL-S1-1-0 (</w:t>
      </w:r>
      <w:r w:rsidR="00CE3037">
        <w:rPr>
          <w:rFonts w:eastAsia="Calibri"/>
          <w:iCs/>
          <w:szCs w:val="24"/>
          <w:lang w:eastAsia="en-US"/>
        </w:rPr>
        <w:t>2.4</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7A7C60">
        <w:rPr>
          <w:rFonts w:cs="Arial"/>
          <w:lang w:eastAsia="en-US"/>
        </w:rPr>
        <w:t xml:space="preserve">Taking into account the minor variations of the co-formulants presented in the META-SPC1, it can be assumed that they have no impact on efficacy and the efficacy results of the representative products </w:t>
      </w:r>
      <w:r w:rsidRPr="00C914AE">
        <w:rPr>
          <w:rFonts w:eastAsia="Calibri"/>
          <w:iCs/>
          <w:szCs w:val="24"/>
          <w:lang w:eastAsia="en-US"/>
        </w:rPr>
        <w:t xml:space="preserve">AL-S1-1-0 </w:t>
      </w:r>
      <w:r w:rsidRPr="007A7C60">
        <w:rPr>
          <w:rFonts w:cs="Arial"/>
          <w:lang w:eastAsia="en-US"/>
        </w:rPr>
        <w:t>cover the whole META-SPC1 claims.</w:t>
      </w:r>
    </w:p>
    <w:p w14:paraId="7BB7CE9E" w14:textId="77777777" w:rsidR="00CC62FC" w:rsidRDefault="00CC62FC" w:rsidP="00CC62FC">
      <w:pPr>
        <w:spacing w:line="260" w:lineRule="atLeast"/>
        <w:jc w:val="both"/>
        <w:rPr>
          <w:rFonts w:eastAsia="Calibri"/>
          <w:iCs/>
          <w:szCs w:val="24"/>
          <w:u w:val="single"/>
          <w:lang w:eastAsia="en-US"/>
        </w:rPr>
      </w:pPr>
    </w:p>
    <w:p w14:paraId="557E7763" w14:textId="77777777" w:rsidR="00CC62FC" w:rsidRDefault="00CC62FC" w:rsidP="00CC62FC">
      <w:pPr>
        <w:spacing w:line="260" w:lineRule="atLeast"/>
        <w:contextualSpacing/>
        <w:jc w:val="both"/>
        <w:rPr>
          <w:lang w:eastAsia="en-US"/>
        </w:rPr>
      </w:pPr>
      <w:r>
        <w:rPr>
          <w:lang w:eastAsia="en-US"/>
        </w:rPr>
        <w:t>B</w:t>
      </w:r>
      <w:r w:rsidRPr="003D493E">
        <w:rPr>
          <w:lang w:eastAsia="en-US"/>
        </w:rPr>
        <w:t>actericidal activity</w:t>
      </w:r>
      <w:r>
        <w:rPr>
          <w:lang w:eastAsia="en-US"/>
        </w:rPr>
        <w:t xml:space="preserve"> </w:t>
      </w:r>
      <w:r w:rsidRPr="003D493E">
        <w:rPr>
          <w:lang w:eastAsia="en-US"/>
        </w:rPr>
        <w:t>is demonstrated</w:t>
      </w:r>
      <w:r>
        <w:rPr>
          <w:lang w:eastAsia="en-US"/>
        </w:rPr>
        <w:t xml:space="preserve"> both</w:t>
      </w:r>
      <w:r w:rsidRPr="003D493E">
        <w:rPr>
          <w:lang w:eastAsia="en-US"/>
        </w:rPr>
        <w:t xml:space="preserve"> </w:t>
      </w:r>
      <w:r>
        <w:rPr>
          <w:lang w:eastAsia="en-US"/>
        </w:rPr>
        <w:t>in phase 2, steps 1 and</w:t>
      </w:r>
      <w:r w:rsidRPr="003D493E">
        <w:rPr>
          <w:lang w:eastAsia="en-US"/>
        </w:rPr>
        <w:t xml:space="preserve"> </w:t>
      </w:r>
      <w:r>
        <w:rPr>
          <w:lang w:eastAsia="en-US"/>
        </w:rPr>
        <w:t xml:space="preserve">2 tests (EN 1276 and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in dirty conditions (3.0 g/L BSA).</w:t>
      </w:r>
      <w:r>
        <w:rPr>
          <w:lang w:eastAsia="en-US"/>
        </w:rPr>
        <w:t xml:space="preserve"> </w:t>
      </w:r>
      <w:r w:rsidRPr="003D493E">
        <w:rPr>
          <w:lang w:eastAsia="en-US"/>
        </w:rPr>
        <w:t xml:space="preserve">In these conditions, bactericidal activity is shown at the in-use concentration of </w:t>
      </w:r>
      <w:r>
        <w:rPr>
          <w:lang w:eastAsia="en-US"/>
        </w:rPr>
        <w:t>100 % v/v.</w:t>
      </w:r>
    </w:p>
    <w:p w14:paraId="6FB6F1B2" w14:textId="614F4EE3" w:rsidR="00CC62FC" w:rsidRDefault="00CC62FC" w:rsidP="00CC62FC">
      <w:pPr>
        <w:spacing w:line="260" w:lineRule="atLeast"/>
        <w:contextualSpacing/>
        <w:jc w:val="both"/>
        <w:rPr>
          <w:color w:val="000000"/>
          <w:sz w:val="18"/>
          <w:szCs w:val="18"/>
        </w:rPr>
      </w:pPr>
      <w:r>
        <w:rPr>
          <w:lang w:eastAsia="en-US"/>
        </w:rPr>
        <w:t xml:space="preserve">An activity against the additional strain </w:t>
      </w:r>
      <w:r w:rsidRPr="00560A44">
        <w:rPr>
          <w:i/>
          <w:lang w:eastAsia="en-US"/>
        </w:rPr>
        <w:t>Bartonella henselae</w:t>
      </w:r>
      <w:r>
        <w:rPr>
          <w:lang w:eastAsia="en-US"/>
        </w:rPr>
        <w:t xml:space="preserve"> is also </w:t>
      </w:r>
      <w:r w:rsidRPr="003D493E">
        <w:rPr>
          <w:lang w:eastAsia="en-US"/>
        </w:rPr>
        <w:t>demonstrated</w:t>
      </w:r>
      <w:r>
        <w:rPr>
          <w:lang w:eastAsia="en-US"/>
        </w:rPr>
        <w:t xml:space="preserve"> in phase 2, step 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 xml:space="preserve">in conditions </w:t>
      </w:r>
      <w:r w:rsidR="00634844">
        <w:rPr>
          <w:lang w:eastAsia="en-US"/>
        </w:rPr>
        <w:t xml:space="preserve">simulating dirty conditions </w:t>
      </w:r>
      <w:r w:rsidRPr="00B63AC7">
        <w:rPr>
          <w:lang w:eastAsia="en-US"/>
        </w:rPr>
        <w:t>(</w:t>
      </w:r>
      <w:r w:rsidRPr="008907CB">
        <w:rPr>
          <w:lang w:eastAsia="en-US"/>
        </w:rPr>
        <w:t xml:space="preserve">2.7 g/L BSA </w:t>
      </w:r>
      <w:r w:rsidR="00634844">
        <w:rPr>
          <w:lang w:eastAsia="en-US"/>
        </w:rPr>
        <w:t xml:space="preserve">+ </w:t>
      </w:r>
      <w:r w:rsidRPr="008907CB">
        <w:rPr>
          <w:lang w:eastAsia="en-US"/>
        </w:rPr>
        <w:t>8,5 g/L skimmed milk) at</w:t>
      </w:r>
      <w:r>
        <w:rPr>
          <w:color w:val="000000"/>
          <w:sz w:val="18"/>
          <w:szCs w:val="18"/>
        </w:rPr>
        <w:t xml:space="preserve"> 50% v/v.</w:t>
      </w:r>
    </w:p>
    <w:p w14:paraId="5863269C" w14:textId="77777777" w:rsidR="00CC62FC" w:rsidRDefault="00CC62FC" w:rsidP="00CC62FC">
      <w:pPr>
        <w:spacing w:line="260" w:lineRule="atLeast"/>
        <w:contextualSpacing/>
        <w:jc w:val="both"/>
        <w:rPr>
          <w:lang w:eastAsia="en-US"/>
        </w:rPr>
      </w:pPr>
    </w:p>
    <w:p w14:paraId="6ECD0CB4" w14:textId="77777777" w:rsidR="00CC62FC" w:rsidRDefault="00CC62FC" w:rsidP="00CC62FC">
      <w:pPr>
        <w:spacing w:line="260" w:lineRule="atLeast"/>
        <w:contextualSpacing/>
        <w:jc w:val="both"/>
        <w:rPr>
          <w:lang w:eastAsia="en-US"/>
        </w:rPr>
      </w:pPr>
      <w:r>
        <w:rPr>
          <w:lang w:eastAsia="en-US"/>
        </w:rPr>
        <w:t xml:space="preserve">Bactericidal </w:t>
      </w:r>
      <w:r w:rsidRPr="003D493E">
        <w:rPr>
          <w:lang w:eastAsia="en-US"/>
        </w:rPr>
        <w:t>activity</w:t>
      </w:r>
      <w:r>
        <w:rPr>
          <w:lang w:eastAsia="en-US"/>
        </w:rPr>
        <w:t xml:space="preserve"> are</w:t>
      </w:r>
      <w:r w:rsidRPr="003D493E">
        <w:rPr>
          <w:lang w:eastAsia="en-US"/>
        </w:rPr>
        <w:t xml:space="preserve"> demonstrated </w:t>
      </w:r>
      <w:r>
        <w:rPr>
          <w:lang w:eastAsia="en-US"/>
        </w:rPr>
        <w:t>in phase 2, step</w:t>
      </w:r>
      <w:r w:rsidRPr="003D493E">
        <w:rPr>
          <w:lang w:eastAsia="en-US"/>
        </w:rPr>
        <w:t xml:space="preserve"> </w:t>
      </w:r>
      <w:r>
        <w:rPr>
          <w:lang w:eastAsia="en-US"/>
        </w:rPr>
        <w:t>2 test (EN 16615)</w:t>
      </w:r>
      <w:r w:rsidRPr="003D493E">
        <w:rPr>
          <w:lang w:eastAsia="en-US"/>
        </w:rPr>
        <w:t xml:space="preserve">, at </w:t>
      </w:r>
      <w:r>
        <w:rPr>
          <w:lang w:eastAsia="en-US"/>
        </w:rPr>
        <w:t>20</w:t>
      </w:r>
      <w:r w:rsidRPr="003D493E">
        <w:rPr>
          <w:lang w:eastAsia="en-US"/>
        </w:rPr>
        <w:t xml:space="preserve">°C, </w:t>
      </w:r>
      <w:r>
        <w:rPr>
          <w:lang w:eastAsia="en-US"/>
        </w:rPr>
        <w:t xml:space="preserve">with a </w:t>
      </w:r>
      <w:r w:rsidRPr="003D493E">
        <w:rPr>
          <w:lang w:eastAsia="en-US"/>
        </w:rPr>
        <w:t xml:space="preserve">contact time of </w:t>
      </w:r>
      <w:r>
        <w:rPr>
          <w:lang w:eastAsia="en-US"/>
        </w:rPr>
        <w:t>5</w:t>
      </w:r>
      <w:r w:rsidRPr="003D493E">
        <w:rPr>
          <w:lang w:eastAsia="en-US"/>
        </w:rPr>
        <w:t xml:space="preserve"> minutes</w:t>
      </w:r>
      <w:r>
        <w:rPr>
          <w:lang w:eastAsia="en-US"/>
        </w:rPr>
        <w:t xml:space="preserve">, </w:t>
      </w:r>
      <w:r w:rsidRPr="00B63AC7">
        <w:rPr>
          <w:lang w:eastAsia="en-US"/>
        </w:rPr>
        <w:t>in dirty conditions (3.0 g/L BSA).</w:t>
      </w:r>
      <w:r>
        <w:rPr>
          <w:lang w:eastAsia="en-US"/>
        </w:rPr>
        <w:t xml:space="preserve"> </w:t>
      </w:r>
      <w:r w:rsidRPr="003D493E">
        <w:rPr>
          <w:lang w:eastAsia="en-US"/>
        </w:rPr>
        <w:t>In these conditions, bactericidal activit</w:t>
      </w:r>
      <w:r>
        <w:rPr>
          <w:lang w:eastAsia="en-US"/>
        </w:rPr>
        <w:t>y are</w:t>
      </w:r>
      <w:r w:rsidRPr="003D493E">
        <w:rPr>
          <w:lang w:eastAsia="en-US"/>
        </w:rPr>
        <w:t xml:space="preserve"> shown at the in-use concentration of </w:t>
      </w:r>
      <w:r>
        <w:rPr>
          <w:lang w:eastAsia="en-US"/>
        </w:rPr>
        <w:t>100 % v/v.</w:t>
      </w:r>
    </w:p>
    <w:p w14:paraId="4B6D5405" w14:textId="2966D389" w:rsidR="00CC62FC" w:rsidRDefault="00CC62FC" w:rsidP="00CC62FC">
      <w:pPr>
        <w:spacing w:line="260" w:lineRule="atLeast"/>
        <w:contextualSpacing/>
        <w:jc w:val="both"/>
        <w:rPr>
          <w:rFonts w:eastAsia="Calibri"/>
          <w:lang w:eastAsia="en-US"/>
        </w:rPr>
      </w:pPr>
      <w:r>
        <w:rPr>
          <w:lang w:eastAsia="en-US"/>
        </w:rPr>
        <w:t xml:space="preserve">The additional strain </w:t>
      </w:r>
      <w:r w:rsidRPr="001D704F">
        <w:rPr>
          <w:rFonts w:eastAsia="Calibri"/>
          <w:i/>
          <w:lang w:eastAsia="en-US"/>
        </w:rPr>
        <w:t>Bartonella henselae</w:t>
      </w:r>
      <w:r>
        <w:rPr>
          <w:rFonts w:eastAsia="Calibri"/>
          <w:i/>
          <w:lang w:eastAsia="en-US"/>
        </w:rPr>
        <w:t xml:space="preserve"> </w:t>
      </w:r>
      <w:r w:rsidRPr="00E33E6A">
        <w:rPr>
          <w:rFonts w:eastAsia="Calibri"/>
          <w:lang w:eastAsia="en-US"/>
        </w:rPr>
        <w:t xml:space="preserve">has been also tested </w:t>
      </w:r>
      <w:r>
        <w:rPr>
          <w:rFonts w:eastAsia="Calibri"/>
          <w:lang w:eastAsia="en-US"/>
        </w:rPr>
        <w:t xml:space="preserve">according to EN 16615 </w:t>
      </w:r>
      <w:r w:rsidRPr="00E33E6A">
        <w:rPr>
          <w:rFonts w:eastAsia="Calibri"/>
          <w:lang w:eastAsia="en-US"/>
        </w:rPr>
        <w:t xml:space="preserve">but despite adaptations to limit the drying loss, efficacy criteria cannot not be </w:t>
      </w:r>
      <w:r w:rsidR="006C3EFF">
        <w:rPr>
          <w:rFonts w:eastAsia="Calibri"/>
          <w:lang w:eastAsia="en-US"/>
        </w:rPr>
        <w:t>achieved</w:t>
      </w:r>
      <w:r w:rsidRPr="00E33E6A">
        <w:rPr>
          <w:rFonts w:eastAsia="Calibri"/>
          <w:lang w:eastAsia="en-US"/>
        </w:rPr>
        <w:t xml:space="preserve"> with this methodology. Nevertheless considering that efficacy is demonstrated </w:t>
      </w:r>
      <w:r>
        <w:rPr>
          <w:rFonts w:eastAsia="Calibri"/>
          <w:lang w:eastAsia="en-US"/>
        </w:rPr>
        <w:t>in EN</w:t>
      </w:r>
      <w:r w:rsidR="00634844">
        <w:rPr>
          <w:rFonts w:eastAsia="Calibri"/>
          <w:lang w:eastAsia="en-US"/>
        </w:rPr>
        <w:t xml:space="preserve"> </w:t>
      </w:r>
      <w:r w:rsidRPr="00E33E6A">
        <w:rPr>
          <w:rFonts w:eastAsia="Calibri"/>
          <w:lang w:eastAsia="en-US"/>
        </w:rPr>
        <w:t xml:space="preserve">13697, and methodology of EN 16615 is not </w:t>
      </w:r>
      <w:r w:rsidRPr="00E33E6A">
        <w:rPr>
          <w:lang w:eastAsia="en-US"/>
        </w:rPr>
        <w:t xml:space="preserve">adapted to this strain, eCA agree to consider that efficacy is demonstrated against </w:t>
      </w:r>
      <w:r w:rsidRPr="002E01EC">
        <w:rPr>
          <w:rFonts w:eastAsia="Calibri"/>
          <w:i/>
          <w:lang w:eastAsia="en-US"/>
        </w:rPr>
        <w:t>Bartonella henselae</w:t>
      </w:r>
      <w:r w:rsidRPr="00560A44">
        <w:rPr>
          <w:rFonts w:eastAsia="Calibri"/>
          <w:lang w:eastAsia="en-US"/>
        </w:rPr>
        <w:t>, for wiping</w:t>
      </w:r>
      <w:r w:rsidRPr="00E33E6A">
        <w:rPr>
          <w:rFonts w:eastAsia="Calibri"/>
          <w:lang w:eastAsia="en-US"/>
        </w:rPr>
        <w:t>.</w:t>
      </w:r>
    </w:p>
    <w:p w14:paraId="3C3D1CC2" w14:textId="77777777" w:rsidR="00CC62FC" w:rsidRDefault="00CC62FC" w:rsidP="00CC62FC">
      <w:pPr>
        <w:spacing w:line="260" w:lineRule="atLeast"/>
        <w:rPr>
          <w:rFonts w:eastAsia="Calibri"/>
          <w:b/>
          <w:highlight w:val="yellow"/>
          <w:lang w:eastAsia="en-US"/>
        </w:rPr>
      </w:pPr>
    </w:p>
    <w:p w14:paraId="0F850942" w14:textId="77777777" w:rsidR="00CC62FC" w:rsidRPr="006038F1" w:rsidRDefault="00CC62FC" w:rsidP="00CC62FC">
      <w:pPr>
        <w:spacing w:line="260" w:lineRule="atLeast"/>
        <w:jc w:val="both"/>
        <w:rPr>
          <w:rFonts w:eastAsia="Calibri"/>
          <w:lang w:eastAsia="en-US"/>
        </w:rPr>
      </w:pPr>
      <w:r w:rsidRPr="006038F1">
        <w:rPr>
          <w:rFonts w:eastAsia="Calibri"/>
          <w:b/>
          <w:lang w:eastAsia="en-US"/>
        </w:rPr>
        <w:t>Justification of this additional strain</w:t>
      </w:r>
      <w:r>
        <w:rPr>
          <w:rFonts w:eastAsia="Calibri"/>
          <w:b/>
          <w:lang w:eastAsia="en-US"/>
        </w:rPr>
        <w:t xml:space="preserve"> (</w:t>
      </w:r>
      <w:r w:rsidRPr="001D704F">
        <w:rPr>
          <w:rFonts w:eastAsia="Calibri"/>
          <w:i/>
          <w:lang w:eastAsia="en-US"/>
        </w:rPr>
        <w:t>Bartonella henselae</w:t>
      </w:r>
      <w:r>
        <w:rPr>
          <w:rFonts w:eastAsia="Calibri"/>
          <w:i/>
          <w:lang w:eastAsia="en-US"/>
        </w:rPr>
        <w:t>)</w:t>
      </w:r>
      <w:r w:rsidRPr="006038F1">
        <w:rPr>
          <w:rFonts w:eastAsia="Calibri"/>
          <w:b/>
          <w:lang w:eastAsia="en-US"/>
        </w:rPr>
        <w:t>:</w:t>
      </w:r>
      <w:r w:rsidRPr="006038F1">
        <w:rPr>
          <w:rFonts w:eastAsia="Calibri"/>
          <w:lang w:eastAsia="en-US"/>
        </w:rPr>
        <w:t xml:space="preserve"> </w:t>
      </w:r>
    </w:p>
    <w:p w14:paraId="7DC0E717" w14:textId="77777777" w:rsidR="00CC62FC" w:rsidRPr="006038F1" w:rsidRDefault="00CC62FC" w:rsidP="00CC62FC">
      <w:pPr>
        <w:spacing w:line="260" w:lineRule="atLeast"/>
        <w:jc w:val="both"/>
        <w:rPr>
          <w:rFonts w:eastAsia="Calibri"/>
          <w:lang w:eastAsia="en-US"/>
        </w:rPr>
      </w:pPr>
      <w:r w:rsidRPr="006038F1">
        <w:rPr>
          <w:rFonts w:eastAsia="Calibri"/>
          <w:i/>
          <w:lang w:eastAsia="en-US"/>
        </w:rPr>
        <w:t xml:space="preserve">Bartonella henselae </w:t>
      </w:r>
      <w:r w:rsidRPr="006038F1">
        <w:rPr>
          <w:rFonts w:eastAsia="Calibri"/>
          <w:lang w:eastAsia="en-US"/>
        </w:rPr>
        <w:t xml:space="preserve">is a bacteria which is frequently carried by cats. </w:t>
      </w:r>
      <w:r w:rsidRPr="006038F1">
        <w:rPr>
          <w:rFonts w:eastAsia="Calibri"/>
          <w:lang w:val="en" w:eastAsia="en-US"/>
        </w:rPr>
        <w:t>Transmission between animals is most often done via fleas, more specifically their excrement deposited on the animal hair or in the cat's living environment. The disease is spread to humans by scratching or biting or through the eye by rubbing their eyes with contaminated hands.</w:t>
      </w:r>
      <w:r w:rsidRPr="006038F1">
        <w:rPr>
          <w:rFonts w:eastAsia="Calibri"/>
          <w:lang w:eastAsia="en-US"/>
        </w:rPr>
        <w:t xml:space="preserve"> </w:t>
      </w:r>
    </w:p>
    <w:p w14:paraId="62DC8076" w14:textId="0147EAFF" w:rsidR="00CC62FC" w:rsidRDefault="00CC62FC" w:rsidP="00FE67A2">
      <w:pPr>
        <w:spacing w:line="260" w:lineRule="atLeast"/>
        <w:jc w:val="both"/>
        <w:rPr>
          <w:b/>
          <w:color w:val="000000"/>
          <w:sz w:val="18"/>
          <w:szCs w:val="18"/>
        </w:rPr>
        <w:sectPr w:rsidR="00CC62FC" w:rsidSect="0073642B">
          <w:pgSz w:w="11906" w:h="16838"/>
          <w:pgMar w:top="1474" w:right="1247" w:bottom="2013" w:left="1446" w:header="851" w:footer="851" w:gutter="0"/>
          <w:cols w:space="720"/>
          <w:docGrid w:linePitch="272"/>
        </w:sectPr>
      </w:pPr>
      <w:r w:rsidRPr="006038F1">
        <w:rPr>
          <w:rFonts w:eastAsia="Calibri"/>
          <w:lang w:eastAsia="en-US"/>
        </w:rPr>
        <w:t xml:space="preserve">In addition to the anti-flea treatment of the animal, the </w:t>
      </w:r>
      <w:r w:rsidRPr="006038F1">
        <w:rPr>
          <w:rFonts w:eastAsia="Calibri"/>
          <w:lang w:val="en" w:eastAsia="en-US"/>
        </w:rPr>
        <w:t xml:space="preserve">disinfection of soiled surfaces by flea droppings is an effective way to fight </w:t>
      </w:r>
      <w:r w:rsidR="00412ADF">
        <w:rPr>
          <w:rFonts w:eastAsia="Calibri"/>
          <w:lang w:val="en" w:eastAsia="en-US"/>
        </w:rPr>
        <w:t xml:space="preserve">against </w:t>
      </w:r>
      <w:r w:rsidR="00D337F7" w:rsidRPr="006038F1">
        <w:rPr>
          <w:rFonts w:eastAsia="Calibri"/>
          <w:lang w:val="en" w:eastAsia="en-US"/>
        </w:rPr>
        <w:t>th</w:t>
      </w:r>
      <w:r w:rsidR="00D337F7">
        <w:rPr>
          <w:rFonts w:eastAsia="Calibri"/>
          <w:lang w:val="en" w:eastAsia="en-US"/>
        </w:rPr>
        <w:t>is</w:t>
      </w:r>
      <w:r w:rsidR="00D337F7" w:rsidRPr="006038F1">
        <w:rPr>
          <w:rFonts w:eastAsia="Calibri"/>
          <w:lang w:val="en" w:eastAsia="en-US"/>
        </w:rPr>
        <w:t xml:space="preserve"> </w:t>
      </w:r>
      <w:r w:rsidRPr="006038F1">
        <w:rPr>
          <w:rFonts w:eastAsia="Calibri"/>
          <w:lang w:val="en" w:eastAsia="en-US"/>
        </w:rPr>
        <w:t>bacteria.</w:t>
      </w:r>
      <w:r w:rsidRPr="006038F1">
        <w:rPr>
          <w:rFonts w:eastAsia="Calibri"/>
          <w:lang w:eastAsia="en-US"/>
        </w:rPr>
        <w:t xml:space="preserve"> </w:t>
      </w:r>
    </w:p>
    <w:tbl>
      <w:tblPr>
        <w:tblW w:w="14460" w:type="dxa"/>
        <w:tblInd w:w="-356" w:type="dxa"/>
        <w:tblLayout w:type="fixed"/>
        <w:tblCellMar>
          <w:left w:w="70" w:type="dxa"/>
          <w:right w:w="70" w:type="dxa"/>
        </w:tblCellMar>
        <w:tblLook w:val="0000" w:firstRow="0" w:lastRow="0" w:firstColumn="0" w:lastColumn="0" w:noHBand="0" w:noVBand="0"/>
      </w:tblPr>
      <w:tblGrid>
        <w:gridCol w:w="1365"/>
        <w:gridCol w:w="1165"/>
        <w:gridCol w:w="1164"/>
        <w:gridCol w:w="1552"/>
        <w:gridCol w:w="1417"/>
        <w:gridCol w:w="3402"/>
        <w:gridCol w:w="2552"/>
        <w:gridCol w:w="1843"/>
      </w:tblGrid>
      <w:tr w:rsidR="009D0C0B" w:rsidRPr="00B27CB1" w14:paraId="7C8E4F9C" w14:textId="77777777" w:rsidTr="00453B14">
        <w:trPr>
          <w:cantSplit/>
          <w:trHeight w:val="303"/>
          <w:tblHeader/>
        </w:trPr>
        <w:tc>
          <w:tcPr>
            <w:tcW w:w="14460"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2C4C0CA8" w14:textId="5A29C0AA" w:rsidR="009D0C0B" w:rsidRPr="00B27CB1" w:rsidRDefault="00FA480B">
            <w:pPr>
              <w:jc w:val="center"/>
            </w:pPr>
            <w:r w:rsidRPr="00B27CB1">
              <w:rPr>
                <w:b/>
                <w:color w:val="000000"/>
                <w:sz w:val="18"/>
                <w:szCs w:val="18"/>
              </w:rPr>
              <w:lastRenderedPageBreak/>
              <w:t>Experimental data on the efficacy of the biocidal product against target organism(s)</w:t>
            </w:r>
            <w:r w:rsidR="00CC62FC">
              <w:rPr>
                <w:b/>
                <w:color w:val="000000"/>
                <w:sz w:val="18"/>
                <w:szCs w:val="18"/>
              </w:rPr>
              <w:t>: META SPC 1</w:t>
            </w:r>
          </w:p>
        </w:tc>
      </w:tr>
      <w:tr w:rsidR="009D0C0B" w:rsidRPr="00B27CB1" w14:paraId="5EAA2A75" w14:textId="77777777" w:rsidTr="00453B14">
        <w:trPr>
          <w:cantSplit/>
        </w:trPr>
        <w:tc>
          <w:tcPr>
            <w:tcW w:w="1365" w:type="dxa"/>
            <w:tcBorders>
              <w:top w:val="single" w:sz="6" w:space="0" w:color="000000"/>
              <w:left w:val="single" w:sz="4" w:space="0" w:color="000000"/>
              <w:bottom w:val="single" w:sz="6" w:space="0" w:color="000000"/>
            </w:tcBorders>
            <w:shd w:val="clear" w:color="auto" w:fill="FFFFFF"/>
          </w:tcPr>
          <w:p w14:paraId="7A9117EB" w14:textId="77777777" w:rsidR="009D0C0B" w:rsidRPr="00B27CB1" w:rsidRDefault="00FA480B">
            <w:pPr>
              <w:jc w:val="center"/>
              <w:rPr>
                <w:b/>
                <w:color w:val="000000"/>
                <w:sz w:val="18"/>
                <w:szCs w:val="18"/>
              </w:rPr>
            </w:pPr>
            <w:r w:rsidRPr="00B27CB1">
              <w:rPr>
                <w:b/>
                <w:color w:val="000000"/>
                <w:sz w:val="18"/>
                <w:szCs w:val="18"/>
              </w:rPr>
              <w:t>Function</w:t>
            </w:r>
          </w:p>
        </w:tc>
        <w:tc>
          <w:tcPr>
            <w:tcW w:w="1165" w:type="dxa"/>
            <w:tcBorders>
              <w:top w:val="single" w:sz="6" w:space="0" w:color="000000"/>
              <w:left w:val="single" w:sz="6" w:space="0" w:color="000000"/>
              <w:bottom w:val="single" w:sz="6" w:space="0" w:color="000000"/>
            </w:tcBorders>
            <w:shd w:val="clear" w:color="auto" w:fill="FFFFFF"/>
          </w:tcPr>
          <w:p w14:paraId="2B4F8324" w14:textId="77777777" w:rsidR="009D0C0B" w:rsidRPr="00B27CB1" w:rsidRDefault="00FA480B">
            <w:pPr>
              <w:rPr>
                <w:b/>
                <w:color w:val="000000"/>
                <w:sz w:val="18"/>
                <w:szCs w:val="18"/>
              </w:rPr>
            </w:pPr>
            <w:r w:rsidRPr="00B27CB1">
              <w:rPr>
                <w:b/>
                <w:color w:val="000000"/>
                <w:sz w:val="18"/>
                <w:szCs w:val="18"/>
              </w:rPr>
              <w:t>Field of use envisaged</w:t>
            </w:r>
          </w:p>
        </w:tc>
        <w:tc>
          <w:tcPr>
            <w:tcW w:w="1164" w:type="dxa"/>
            <w:tcBorders>
              <w:top w:val="single" w:sz="6" w:space="0" w:color="000000"/>
              <w:left w:val="single" w:sz="6" w:space="0" w:color="000000"/>
              <w:bottom w:val="single" w:sz="6" w:space="0" w:color="000000"/>
            </w:tcBorders>
            <w:shd w:val="clear" w:color="auto" w:fill="FFFFFF"/>
          </w:tcPr>
          <w:p w14:paraId="2466BDCB" w14:textId="77777777" w:rsidR="009D0C0B" w:rsidRPr="00B27CB1" w:rsidRDefault="00FA480B">
            <w:pPr>
              <w:rPr>
                <w:b/>
                <w:color w:val="000000"/>
                <w:sz w:val="18"/>
                <w:szCs w:val="18"/>
              </w:rPr>
            </w:pPr>
            <w:r w:rsidRPr="00B27CB1">
              <w:rPr>
                <w:b/>
                <w:color w:val="000000"/>
                <w:sz w:val="18"/>
                <w:szCs w:val="18"/>
              </w:rPr>
              <w:t>Test substance</w:t>
            </w:r>
          </w:p>
        </w:tc>
        <w:tc>
          <w:tcPr>
            <w:tcW w:w="1552" w:type="dxa"/>
            <w:tcBorders>
              <w:top w:val="single" w:sz="6" w:space="0" w:color="000000"/>
              <w:left w:val="single" w:sz="6" w:space="0" w:color="000000"/>
              <w:bottom w:val="single" w:sz="6" w:space="0" w:color="000000"/>
            </w:tcBorders>
            <w:shd w:val="clear" w:color="auto" w:fill="FFFFFF"/>
          </w:tcPr>
          <w:p w14:paraId="148BD3B0" w14:textId="77777777" w:rsidR="009D0C0B" w:rsidRPr="00B27CB1" w:rsidRDefault="00FA480B">
            <w:pPr>
              <w:rPr>
                <w:b/>
                <w:color w:val="000000"/>
                <w:sz w:val="18"/>
                <w:szCs w:val="18"/>
              </w:rPr>
            </w:pPr>
            <w:r w:rsidRPr="00B27CB1">
              <w:rPr>
                <w:b/>
                <w:color w:val="000000"/>
                <w:sz w:val="18"/>
                <w:szCs w:val="18"/>
              </w:rPr>
              <w:t>Test organism(s)</w:t>
            </w:r>
          </w:p>
        </w:tc>
        <w:tc>
          <w:tcPr>
            <w:tcW w:w="1417" w:type="dxa"/>
            <w:tcBorders>
              <w:top w:val="single" w:sz="6" w:space="0" w:color="000000"/>
              <w:left w:val="single" w:sz="6" w:space="0" w:color="000000"/>
              <w:bottom w:val="single" w:sz="6" w:space="0" w:color="000000"/>
            </w:tcBorders>
            <w:shd w:val="clear" w:color="auto" w:fill="FFFFFF"/>
          </w:tcPr>
          <w:p w14:paraId="5344D097" w14:textId="77777777" w:rsidR="009D0C0B" w:rsidRPr="00B27CB1" w:rsidRDefault="00FA480B">
            <w:pPr>
              <w:rPr>
                <w:b/>
                <w:color w:val="000000"/>
                <w:sz w:val="18"/>
                <w:szCs w:val="18"/>
              </w:rPr>
            </w:pPr>
            <w:r w:rsidRPr="00B27CB1">
              <w:rPr>
                <w:b/>
                <w:color w:val="000000"/>
                <w:sz w:val="18"/>
                <w:szCs w:val="18"/>
              </w:rPr>
              <w:t>Test method</w:t>
            </w:r>
          </w:p>
        </w:tc>
        <w:tc>
          <w:tcPr>
            <w:tcW w:w="3402" w:type="dxa"/>
            <w:tcBorders>
              <w:top w:val="single" w:sz="6" w:space="0" w:color="000000"/>
              <w:left w:val="single" w:sz="6" w:space="0" w:color="000000"/>
              <w:bottom w:val="single" w:sz="6" w:space="0" w:color="000000"/>
            </w:tcBorders>
            <w:shd w:val="clear" w:color="auto" w:fill="FFFFFF"/>
          </w:tcPr>
          <w:p w14:paraId="12031FE7" w14:textId="77777777" w:rsidR="009D0C0B" w:rsidRPr="00B27CB1" w:rsidRDefault="00FA480B">
            <w:pPr>
              <w:rPr>
                <w:b/>
                <w:color w:val="000000"/>
                <w:sz w:val="18"/>
                <w:szCs w:val="18"/>
              </w:rPr>
            </w:pPr>
            <w:r w:rsidRPr="00B27CB1">
              <w:rPr>
                <w:b/>
                <w:color w:val="000000"/>
                <w:sz w:val="18"/>
                <w:szCs w:val="18"/>
              </w:rPr>
              <w:t>Test system / concentrations applied / exposure time</w:t>
            </w:r>
          </w:p>
        </w:tc>
        <w:tc>
          <w:tcPr>
            <w:tcW w:w="2552" w:type="dxa"/>
            <w:tcBorders>
              <w:top w:val="single" w:sz="6" w:space="0" w:color="000000"/>
              <w:left w:val="single" w:sz="6" w:space="0" w:color="000000"/>
              <w:bottom w:val="single" w:sz="6" w:space="0" w:color="000000"/>
            </w:tcBorders>
            <w:shd w:val="clear" w:color="auto" w:fill="FFFFFF"/>
          </w:tcPr>
          <w:p w14:paraId="1CEB9BBD" w14:textId="77777777" w:rsidR="009D0C0B" w:rsidRPr="00B27CB1" w:rsidRDefault="00FA480B">
            <w:pPr>
              <w:rPr>
                <w:b/>
                <w:color w:val="000000"/>
                <w:sz w:val="18"/>
                <w:szCs w:val="18"/>
              </w:rPr>
            </w:pPr>
            <w:r w:rsidRPr="00B27CB1">
              <w:rPr>
                <w:b/>
                <w:color w:val="000000"/>
                <w:sz w:val="18"/>
                <w:szCs w:val="18"/>
              </w:rPr>
              <w:t>Test results: effects</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15C26BB1" w14:textId="77777777" w:rsidR="009D0C0B" w:rsidRPr="00B27CB1" w:rsidRDefault="00FA480B">
            <w:r w:rsidRPr="00B27CB1">
              <w:rPr>
                <w:b/>
                <w:color w:val="000000"/>
                <w:sz w:val="18"/>
                <w:szCs w:val="18"/>
              </w:rPr>
              <w:t>Reference</w:t>
            </w:r>
          </w:p>
        </w:tc>
      </w:tr>
      <w:tr w:rsidR="00CC62FC" w:rsidRPr="00B27CB1" w14:paraId="558BC9E0" w14:textId="77777777" w:rsidTr="00453B14">
        <w:trPr>
          <w:cantSplit/>
        </w:trPr>
        <w:tc>
          <w:tcPr>
            <w:tcW w:w="1365" w:type="dxa"/>
            <w:tcBorders>
              <w:top w:val="single" w:sz="6" w:space="0" w:color="000000"/>
              <w:left w:val="single" w:sz="4" w:space="0" w:color="000000"/>
              <w:bottom w:val="single" w:sz="6" w:space="0" w:color="000000"/>
            </w:tcBorders>
            <w:shd w:val="clear" w:color="auto" w:fill="auto"/>
            <w:vAlign w:val="center"/>
          </w:tcPr>
          <w:p w14:paraId="406A66E8" w14:textId="092CCAFB" w:rsidR="00CC62FC" w:rsidRPr="00B27CB1" w:rsidRDefault="00CC62FC" w:rsidP="00CC62FC">
            <w:pPr>
              <w:snapToGrid w:val="0"/>
              <w:rPr>
                <w:rFonts w:eastAsia="Calibri"/>
                <w:i/>
                <w:color w:val="000000"/>
                <w:sz w:val="18"/>
                <w:szCs w:val="18"/>
                <w:lang w:eastAsia="en-US"/>
              </w:rPr>
            </w:pPr>
            <w:r>
              <w:rPr>
                <w:color w:val="000000"/>
                <w:sz w:val="18"/>
                <w:szCs w:val="18"/>
              </w:rPr>
              <w:t>Disinfectant, bactericidal activity</w:t>
            </w:r>
          </w:p>
        </w:tc>
        <w:tc>
          <w:tcPr>
            <w:tcW w:w="1165" w:type="dxa"/>
            <w:tcBorders>
              <w:top w:val="single" w:sz="6" w:space="0" w:color="000000"/>
              <w:left w:val="single" w:sz="6" w:space="0" w:color="000000"/>
              <w:bottom w:val="single" w:sz="6" w:space="0" w:color="000000"/>
            </w:tcBorders>
            <w:shd w:val="clear" w:color="auto" w:fill="auto"/>
            <w:vAlign w:val="center"/>
          </w:tcPr>
          <w:p w14:paraId="4CFAB3FD" w14:textId="6DF06234" w:rsidR="00CC62FC" w:rsidRPr="00B27CB1" w:rsidRDefault="00CC62FC" w:rsidP="00CC62FC">
            <w:pPr>
              <w:snapToGrid w:val="0"/>
              <w:rPr>
                <w:i/>
                <w:color w:val="000000"/>
                <w:sz w:val="18"/>
                <w:szCs w:val="18"/>
              </w:rPr>
            </w:pPr>
            <w:r>
              <w:rPr>
                <w:color w:val="000000"/>
                <w:sz w:val="18"/>
                <w:szCs w:val="18"/>
              </w:rPr>
              <w:t>Domestic area</w:t>
            </w:r>
          </w:p>
        </w:tc>
        <w:tc>
          <w:tcPr>
            <w:tcW w:w="1164" w:type="dxa"/>
            <w:tcBorders>
              <w:top w:val="single" w:sz="6" w:space="0" w:color="000000"/>
              <w:left w:val="single" w:sz="6" w:space="0" w:color="000000"/>
              <w:bottom w:val="single" w:sz="6" w:space="0" w:color="000000"/>
            </w:tcBorders>
            <w:shd w:val="clear" w:color="auto" w:fill="auto"/>
            <w:vAlign w:val="center"/>
          </w:tcPr>
          <w:p w14:paraId="39F460BF" w14:textId="77777777" w:rsidR="00CC62FC" w:rsidRDefault="00CC62FC" w:rsidP="00CC62FC">
            <w:pPr>
              <w:rPr>
                <w:color w:val="000000"/>
                <w:sz w:val="18"/>
                <w:szCs w:val="18"/>
              </w:rPr>
            </w:pPr>
            <w:r>
              <w:rPr>
                <w:color w:val="000000"/>
                <w:sz w:val="18"/>
                <w:szCs w:val="18"/>
              </w:rPr>
              <w:t xml:space="preserve">AL-S1-1-0 </w:t>
            </w:r>
          </w:p>
          <w:p w14:paraId="48D7C55B" w14:textId="34CE0912" w:rsidR="00CC62FC" w:rsidRPr="00B27CB1" w:rsidRDefault="00CE3037" w:rsidP="00CC62FC">
            <w:pPr>
              <w:snapToGrid w:val="0"/>
              <w:rPr>
                <w:i/>
                <w:color w:val="000000"/>
                <w:sz w:val="18"/>
                <w:szCs w:val="18"/>
              </w:rPr>
            </w:pPr>
            <w:r>
              <w:rPr>
                <w:color w:val="000000"/>
                <w:sz w:val="18"/>
                <w:szCs w:val="18"/>
              </w:rPr>
              <w:t>2.4</w:t>
            </w:r>
            <w:r w:rsidR="00CC62FC">
              <w:rPr>
                <w:color w:val="000000"/>
                <w:sz w:val="18"/>
                <w:szCs w:val="18"/>
              </w:rPr>
              <w:t>% lactic acid</w:t>
            </w:r>
          </w:p>
        </w:tc>
        <w:tc>
          <w:tcPr>
            <w:tcW w:w="1552" w:type="dxa"/>
            <w:tcBorders>
              <w:top w:val="single" w:sz="6" w:space="0" w:color="000000"/>
              <w:left w:val="single" w:sz="6" w:space="0" w:color="000000"/>
              <w:bottom w:val="single" w:sz="6" w:space="0" w:color="000000"/>
            </w:tcBorders>
            <w:shd w:val="clear" w:color="auto" w:fill="auto"/>
            <w:vAlign w:val="center"/>
          </w:tcPr>
          <w:p w14:paraId="18BB02BC" w14:textId="2E5186EE" w:rsidR="00CC62FC" w:rsidRPr="00D016EC" w:rsidRDefault="00CC62FC" w:rsidP="00CC62FC">
            <w:pPr>
              <w:snapToGrid w:val="0"/>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1417" w:type="dxa"/>
            <w:tcBorders>
              <w:top w:val="single" w:sz="6" w:space="0" w:color="000000"/>
              <w:left w:val="single" w:sz="6" w:space="0" w:color="000000"/>
              <w:bottom w:val="single" w:sz="6" w:space="0" w:color="000000"/>
            </w:tcBorders>
            <w:shd w:val="clear" w:color="auto" w:fill="auto"/>
            <w:vAlign w:val="center"/>
          </w:tcPr>
          <w:p w14:paraId="5964B57F" w14:textId="08B23334" w:rsidR="00CC62FC" w:rsidRPr="00B27CB1" w:rsidRDefault="00CC62FC" w:rsidP="00CC62FC">
            <w:pPr>
              <w:snapToGrid w:val="0"/>
              <w:rPr>
                <w:i/>
                <w:color w:val="000000"/>
                <w:sz w:val="18"/>
                <w:szCs w:val="18"/>
              </w:rPr>
            </w:pPr>
            <w:r>
              <w:rPr>
                <w:color w:val="000000"/>
                <w:sz w:val="18"/>
                <w:szCs w:val="18"/>
              </w:rPr>
              <w:t>NF EN 1276 (March 2010)</w:t>
            </w:r>
          </w:p>
        </w:tc>
        <w:tc>
          <w:tcPr>
            <w:tcW w:w="3402" w:type="dxa"/>
            <w:tcBorders>
              <w:top w:val="single" w:sz="6" w:space="0" w:color="000000"/>
              <w:left w:val="single" w:sz="6" w:space="0" w:color="000000"/>
              <w:bottom w:val="single" w:sz="6" w:space="0" w:color="000000"/>
            </w:tcBorders>
            <w:shd w:val="clear" w:color="auto" w:fill="auto"/>
            <w:vAlign w:val="center"/>
          </w:tcPr>
          <w:p w14:paraId="37630418" w14:textId="77777777" w:rsidR="00CC62FC" w:rsidRDefault="00CC62FC" w:rsidP="00CC62FC">
            <w:pPr>
              <w:snapToGrid w:val="0"/>
              <w:rPr>
                <w:color w:val="000000"/>
                <w:sz w:val="18"/>
                <w:szCs w:val="18"/>
              </w:rPr>
            </w:pPr>
            <w:r>
              <w:rPr>
                <w:color w:val="000000"/>
                <w:sz w:val="18"/>
                <w:szCs w:val="18"/>
              </w:rPr>
              <w:t>Phase 2 step 1 (suspension test)</w:t>
            </w:r>
          </w:p>
          <w:p w14:paraId="6CA0DB04" w14:textId="77777777" w:rsidR="00CC62FC" w:rsidRDefault="00CC62FC" w:rsidP="00CC62FC">
            <w:pPr>
              <w:rPr>
                <w:color w:val="000000"/>
                <w:sz w:val="18"/>
                <w:szCs w:val="18"/>
              </w:rPr>
            </w:pPr>
          </w:p>
          <w:p w14:paraId="71FF2189" w14:textId="77777777" w:rsidR="00CC62FC" w:rsidRDefault="00CC62FC" w:rsidP="00CC62FC">
            <w:pPr>
              <w:rPr>
                <w:color w:val="000000"/>
                <w:sz w:val="18"/>
                <w:szCs w:val="18"/>
              </w:rPr>
            </w:pPr>
            <w:r>
              <w:rPr>
                <w:color w:val="000000"/>
                <w:sz w:val="18"/>
                <w:szCs w:val="18"/>
              </w:rPr>
              <w:t xml:space="preserve">Concentrations tested (v/v): 1%, 20%, 40%, 80%. </w:t>
            </w:r>
          </w:p>
          <w:p w14:paraId="63B672FD" w14:textId="77777777" w:rsidR="00CC62FC" w:rsidRDefault="00CC62FC" w:rsidP="00CC62FC">
            <w:pPr>
              <w:rPr>
                <w:color w:val="000000"/>
                <w:sz w:val="18"/>
                <w:szCs w:val="18"/>
              </w:rPr>
            </w:pPr>
            <w:r>
              <w:rPr>
                <w:color w:val="000000"/>
                <w:sz w:val="18"/>
                <w:szCs w:val="18"/>
              </w:rPr>
              <w:t>Temperature: 20°C</w:t>
            </w:r>
          </w:p>
          <w:p w14:paraId="6966353D" w14:textId="4B42D5D9" w:rsidR="00CC62FC" w:rsidRDefault="00CC62FC" w:rsidP="00CC62FC">
            <w:pPr>
              <w:rPr>
                <w:color w:val="000000"/>
                <w:sz w:val="18"/>
                <w:szCs w:val="18"/>
              </w:rPr>
            </w:pPr>
            <w:r>
              <w:rPr>
                <w:color w:val="000000"/>
                <w:sz w:val="18"/>
                <w:szCs w:val="18"/>
              </w:rPr>
              <w:t xml:space="preserve">Contact time:5 minutes </w:t>
            </w:r>
          </w:p>
          <w:p w14:paraId="1115637E" w14:textId="77777777" w:rsidR="00CC62FC" w:rsidRDefault="00CC62FC" w:rsidP="00CC62FC">
            <w:pPr>
              <w:rPr>
                <w:color w:val="000000"/>
                <w:sz w:val="18"/>
                <w:szCs w:val="18"/>
              </w:rPr>
            </w:pPr>
            <w:r>
              <w:rPr>
                <w:color w:val="000000"/>
                <w:sz w:val="18"/>
                <w:szCs w:val="18"/>
              </w:rPr>
              <w:t xml:space="preserve">Dirty conditions: 3 g/L BSA </w:t>
            </w:r>
          </w:p>
          <w:p w14:paraId="0793A2C1" w14:textId="6EE8CF9A" w:rsidR="00CC62FC" w:rsidRPr="00B27CB1" w:rsidRDefault="00CC62FC" w:rsidP="00CC62FC">
            <w:pPr>
              <w:snapToGrid w:val="0"/>
              <w:rPr>
                <w:color w:val="000000"/>
                <w:sz w:val="18"/>
                <w:szCs w:val="18"/>
              </w:rPr>
            </w:pPr>
            <w:r>
              <w:rPr>
                <w:color w:val="000000"/>
                <w:sz w:val="18"/>
                <w:szCs w:val="18"/>
              </w:rPr>
              <w:t xml:space="preserve">Criteria: </w:t>
            </w:r>
            <w:r w:rsidR="00D438D3">
              <w:rPr>
                <w:color w:val="000000"/>
                <w:sz w:val="18"/>
                <w:szCs w:val="18"/>
              </w:rPr>
              <w:t>≥</w:t>
            </w:r>
            <w:r>
              <w:rPr>
                <w:color w:val="000000"/>
                <w:sz w:val="18"/>
                <w:szCs w:val="18"/>
              </w:rPr>
              <w:t>5 log unit reduction</w:t>
            </w:r>
          </w:p>
        </w:tc>
        <w:tc>
          <w:tcPr>
            <w:tcW w:w="2552" w:type="dxa"/>
            <w:tcBorders>
              <w:top w:val="single" w:sz="6" w:space="0" w:color="000000"/>
              <w:left w:val="single" w:sz="6" w:space="0" w:color="000000"/>
              <w:bottom w:val="single" w:sz="6" w:space="0" w:color="000000"/>
            </w:tcBorders>
            <w:shd w:val="clear" w:color="auto" w:fill="auto"/>
            <w:vAlign w:val="center"/>
          </w:tcPr>
          <w:p w14:paraId="37F974A1" w14:textId="77777777" w:rsidR="00CC62FC" w:rsidRDefault="00CC62FC" w:rsidP="00CC62FC">
            <w:pPr>
              <w:rPr>
                <w:color w:val="000000"/>
                <w:sz w:val="18"/>
                <w:szCs w:val="18"/>
              </w:rPr>
            </w:pPr>
          </w:p>
          <w:p w14:paraId="77FC0958" w14:textId="77777777" w:rsidR="00CC62FC" w:rsidRDefault="00CC62FC" w:rsidP="00CC62FC">
            <w:pPr>
              <w:rPr>
                <w:color w:val="000000"/>
                <w:sz w:val="18"/>
                <w:szCs w:val="18"/>
              </w:rPr>
            </w:pPr>
          </w:p>
          <w:p w14:paraId="1AFF7267" w14:textId="77777777" w:rsidR="00CC62FC" w:rsidRDefault="00CC62FC" w:rsidP="00CC62FC">
            <w:pPr>
              <w:snapToGrid w:val="0"/>
              <w:rPr>
                <w:color w:val="000000"/>
                <w:sz w:val="18"/>
                <w:szCs w:val="18"/>
              </w:rPr>
            </w:pPr>
            <w:r>
              <w:rPr>
                <w:color w:val="000000"/>
                <w:sz w:val="18"/>
                <w:szCs w:val="18"/>
              </w:rPr>
              <w:t>Bactericidal activity demonstrated at 40 % v/v</w:t>
            </w:r>
          </w:p>
          <w:p w14:paraId="45D782E1" w14:textId="77777777" w:rsidR="00CC62FC" w:rsidRPr="00B27CB1" w:rsidRDefault="00CC62FC" w:rsidP="00CC62FC">
            <w:pPr>
              <w:snapToGrid w:val="0"/>
              <w:rPr>
                <w:color w:val="000000"/>
                <w:sz w:val="18"/>
                <w:szCs w:val="18"/>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4D48F97" w14:textId="77777777" w:rsidR="00CC62FC" w:rsidRDefault="00CC62FC" w:rsidP="00CC62FC">
            <w:pPr>
              <w:rPr>
                <w:color w:val="000000"/>
                <w:sz w:val="18"/>
                <w:szCs w:val="18"/>
              </w:rPr>
            </w:pPr>
            <w:r>
              <w:rPr>
                <w:color w:val="000000"/>
                <w:sz w:val="18"/>
                <w:szCs w:val="18"/>
              </w:rPr>
              <w:t>Huguet N., 2018, Report No 18.CM.18-091</w:t>
            </w:r>
          </w:p>
          <w:p w14:paraId="79957A34" w14:textId="77777777" w:rsidR="00CC62FC" w:rsidRDefault="00CC62FC" w:rsidP="00CC62FC">
            <w:pPr>
              <w:rPr>
                <w:color w:val="000000"/>
                <w:sz w:val="18"/>
                <w:szCs w:val="18"/>
              </w:rPr>
            </w:pPr>
          </w:p>
          <w:p w14:paraId="77C4D77D" w14:textId="767E21BC" w:rsidR="00CC62FC" w:rsidRPr="00B27CB1" w:rsidRDefault="00CC62FC" w:rsidP="00CC62FC">
            <w:pPr>
              <w:snapToGrid w:val="0"/>
              <w:rPr>
                <w:i/>
                <w:color w:val="000000"/>
                <w:sz w:val="18"/>
                <w:szCs w:val="18"/>
              </w:rPr>
            </w:pPr>
            <w:r>
              <w:rPr>
                <w:color w:val="000000"/>
                <w:sz w:val="18"/>
                <w:szCs w:val="18"/>
              </w:rPr>
              <w:t>R.I=1</w:t>
            </w:r>
          </w:p>
        </w:tc>
      </w:tr>
      <w:tr w:rsidR="00CC62FC" w:rsidRPr="00B27CB1" w14:paraId="369333AC" w14:textId="77777777" w:rsidTr="00453B14">
        <w:trPr>
          <w:cantSplit/>
        </w:trPr>
        <w:tc>
          <w:tcPr>
            <w:tcW w:w="1365" w:type="dxa"/>
            <w:tcBorders>
              <w:top w:val="single" w:sz="6" w:space="0" w:color="000000"/>
              <w:left w:val="single" w:sz="4" w:space="0" w:color="000000"/>
              <w:bottom w:val="single" w:sz="6" w:space="0" w:color="000000"/>
            </w:tcBorders>
            <w:shd w:val="clear" w:color="auto" w:fill="auto"/>
            <w:vAlign w:val="center"/>
          </w:tcPr>
          <w:p w14:paraId="73B009BC" w14:textId="25209782" w:rsidR="00CC62FC" w:rsidRPr="00B27CB1" w:rsidRDefault="00CC62FC" w:rsidP="00CC62FC">
            <w:pPr>
              <w:snapToGrid w:val="0"/>
              <w:rPr>
                <w:rFonts w:eastAsia="Calibri"/>
                <w:i/>
                <w:color w:val="000000"/>
                <w:sz w:val="18"/>
                <w:szCs w:val="18"/>
                <w:lang w:eastAsia="en-US"/>
              </w:rPr>
            </w:pPr>
            <w:r>
              <w:rPr>
                <w:color w:val="000000"/>
                <w:sz w:val="18"/>
                <w:szCs w:val="18"/>
              </w:rPr>
              <w:t>Disinfectant, bactericidal activity</w:t>
            </w:r>
          </w:p>
        </w:tc>
        <w:tc>
          <w:tcPr>
            <w:tcW w:w="1165" w:type="dxa"/>
            <w:tcBorders>
              <w:top w:val="single" w:sz="6" w:space="0" w:color="000000"/>
              <w:left w:val="single" w:sz="6" w:space="0" w:color="000000"/>
              <w:bottom w:val="single" w:sz="6" w:space="0" w:color="000000"/>
            </w:tcBorders>
            <w:shd w:val="clear" w:color="auto" w:fill="auto"/>
            <w:vAlign w:val="center"/>
          </w:tcPr>
          <w:p w14:paraId="437267FC" w14:textId="6649666D" w:rsidR="00CC62FC" w:rsidRPr="00B27CB1" w:rsidRDefault="00CC62FC" w:rsidP="00CC62FC">
            <w:pPr>
              <w:snapToGrid w:val="0"/>
              <w:rPr>
                <w:i/>
                <w:color w:val="000000"/>
                <w:sz w:val="18"/>
                <w:szCs w:val="18"/>
              </w:rPr>
            </w:pPr>
            <w:r>
              <w:rPr>
                <w:color w:val="000000"/>
                <w:sz w:val="18"/>
                <w:szCs w:val="18"/>
              </w:rPr>
              <w:t>Domestic area</w:t>
            </w:r>
          </w:p>
        </w:tc>
        <w:tc>
          <w:tcPr>
            <w:tcW w:w="1164" w:type="dxa"/>
            <w:tcBorders>
              <w:top w:val="single" w:sz="6" w:space="0" w:color="000000"/>
              <w:left w:val="single" w:sz="6" w:space="0" w:color="000000"/>
              <w:bottom w:val="single" w:sz="6" w:space="0" w:color="000000"/>
            </w:tcBorders>
            <w:shd w:val="clear" w:color="auto" w:fill="auto"/>
            <w:vAlign w:val="center"/>
          </w:tcPr>
          <w:p w14:paraId="28EB4348" w14:textId="77777777" w:rsidR="00CC62FC" w:rsidRDefault="00CC62FC" w:rsidP="00CC62FC">
            <w:pPr>
              <w:rPr>
                <w:color w:val="000000"/>
                <w:sz w:val="18"/>
                <w:szCs w:val="18"/>
              </w:rPr>
            </w:pPr>
            <w:r>
              <w:rPr>
                <w:color w:val="000000"/>
                <w:sz w:val="18"/>
                <w:szCs w:val="18"/>
              </w:rPr>
              <w:t>AL-S1-1-0</w:t>
            </w:r>
          </w:p>
          <w:p w14:paraId="170BFD99" w14:textId="416B91DC" w:rsidR="00CC62FC" w:rsidRPr="00B27CB1" w:rsidRDefault="00CE3037" w:rsidP="00CC62FC">
            <w:pPr>
              <w:snapToGrid w:val="0"/>
              <w:rPr>
                <w:i/>
                <w:color w:val="000000"/>
                <w:sz w:val="18"/>
                <w:szCs w:val="18"/>
              </w:rPr>
            </w:pPr>
            <w:r>
              <w:rPr>
                <w:color w:val="000000"/>
                <w:sz w:val="18"/>
                <w:szCs w:val="18"/>
              </w:rPr>
              <w:t>2.4</w:t>
            </w:r>
            <w:r w:rsidR="00CC62FC">
              <w:rPr>
                <w:color w:val="000000"/>
                <w:sz w:val="18"/>
                <w:szCs w:val="18"/>
              </w:rPr>
              <w:t>% lactic acid</w:t>
            </w:r>
          </w:p>
        </w:tc>
        <w:tc>
          <w:tcPr>
            <w:tcW w:w="1552" w:type="dxa"/>
            <w:tcBorders>
              <w:top w:val="single" w:sz="6" w:space="0" w:color="000000"/>
              <w:left w:val="single" w:sz="6" w:space="0" w:color="000000"/>
              <w:bottom w:val="single" w:sz="6" w:space="0" w:color="000000"/>
            </w:tcBorders>
            <w:shd w:val="clear" w:color="auto" w:fill="auto"/>
            <w:vAlign w:val="center"/>
          </w:tcPr>
          <w:p w14:paraId="420CA243" w14:textId="42E7BD48" w:rsidR="00CC62FC" w:rsidRPr="00D016EC" w:rsidRDefault="00CC62FC" w:rsidP="00CC62FC">
            <w:pPr>
              <w:snapToGrid w:val="0"/>
              <w:rPr>
                <w:i/>
                <w:color w:val="000000"/>
                <w:sz w:val="18"/>
                <w:szCs w:val="18"/>
                <w:lang w:val="fr-FR"/>
              </w:rPr>
            </w:pPr>
            <w:r w:rsidRPr="00D016EC">
              <w:rPr>
                <w:i/>
                <w:color w:val="000000"/>
                <w:sz w:val="18"/>
                <w:szCs w:val="18"/>
                <w:lang w:val="fr-FR"/>
              </w:rPr>
              <w:t xml:space="preserve">Pseudomonas </w:t>
            </w:r>
            <w:r w:rsidRPr="0060536D">
              <w:rPr>
                <w:i/>
                <w:color w:val="000000"/>
                <w:sz w:val="18"/>
                <w:szCs w:val="18"/>
                <w:lang w:val="fr-FR"/>
              </w:rPr>
              <w:t>aeruginosa</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1417" w:type="dxa"/>
            <w:tcBorders>
              <w:top w:val="single" w:sz="6" w:space="0" w:color="000000"/>
              <w:left w:val="single" w:sz="6" w:space="0" w:color="000000"/>
              <w:bottom w:val="single" w:sz="6" w:space="0" w:color="000000"/>
            </w:tcBorders>
            <w:shd w:val="clear" w:color="auto" w:fill="auto"/>
            <w:vAlign w:val="center"/>
          </w:tcPr>
          <w:p w14:paraId="79B9A958" w14:textId="4F555E9A" w:rsidR="00CC62FC" w:rsidRPr="00B27CB1" w:rsidRDefault="00CC62FC" w:rsidP="00CC62FC">
            <w:pPr>
              <w:snapToGrid w:val="0"/>
              <w:rPr>
                <w:i/>
                <w:color w:val="000000"/>
                <w:sz w:val="18"/>
                <w:szCs w:val="18"/>
              </w:rPr>
            </w:pPr>
            <w:r>
              <w:rPr>
                <w:color w:val="000000"/>
                <w:sz w:val="18"/>
                <w:szCs w:val="18"/>
              </w:rPr>
              <w:t>NF EN 13697 (June 2015)</w:t>
            </w:r>
          </w:p>
        </w:tc>
        <w:tc>
          <w:tcPr>
            <w:tcW w:w="3402" w:type="dxa"/>
            <w:tcBorders>
              <w:top w:val="single" w:sz="6" w:space="0" w:color="000000"/>
              <w:left w:val="single" w:sz="6" w:space="0" w:color="000000"/>
              <w:bottom w:val="single" w:sz="6" w:space="0" w:color="000000"/>
            </w:tcBorders>
            <w:shd w:val="clear" w:color="auto" w:fill="auto"/>
            <w:vAlign w:val="center"/>
          </w:tcPr>
          <w:p w14:paraId="191B25EB" w14:textId="60C8BCF8" w:rsidR="00CC62FC" w:rsidRDefault="00CC62FC" w:rsidP="00CC62FC">
            <w:pPr>
              <w:snapToGrid w:val="0"/>
              <w:rPr>
                <w:color w:val="000000"/>
                <w:sz w:val="18"/>
                <w:szCs w:val="18"/>
              </w:rPr>
            </w:pPr>
            <w:r>
              <w:rPr>
                <w:color w:val="000000"/>
                <w:sz w:val="18"/>
                <w:szCs w:val="18"/>
              </w:rPr>
              <w:t>Phase 2 step 2 (su</w:t>
            </w:r>
            <w:r w:rsidR="00D6010B">
              <w:rPr>
                <w:color w:val="000000"/>
                <w:sz w:val="18"/>
                <w:szCs w:val="18"/>
              </w:rPr>
              <w:t>rface</w:t>
            </w:r>
            <w:r>
              <w:rPr>
                <w:color w:val="000000"/>
                <w:sz w:val="18"/>
                <w:szCs w:val="18"/>
              </w:rPr>
              <w:t xml:space="preserve"> test)</w:t>
            </w:r>
          </w:p>
          <w:p w14:paraId="418A7865" w14:textId="77777777" w:rsidR="00CC62FC" w:rsidRDefault="00CC62FC" w:rsidP="00CC62FC">
            <w:pPr>
              <w:rPr>
                <w:color w:val="000000"/>
                <w:sz w:val="18"/>
                <w:szCs w:val="18"/>
              </w:rPr>
            </w:pPr>
          </w:p>
          <w:p w14:paraId="7839943A" w14:textId="77777777" w:rsidR="00CC62FC" w:rsidRDefault="00CC62FC" w:rsidP="00CC62FC">
            <w:pPr>
              <w:rPr>
                <w:color w:val="000000"/>
                <w:sz w:val="18"/>
                <w:szCs w:val="18"/>
              </w:rPr>
            </w:pPr>
            <w:r>
              <w:rPr>
                <w:color w:val="000000"/>
                <w:sz w:val="18"/>
                <w:szCs w:val="18"/>
              </w:rPr>
              <w:t>Concentrations of product tested (v/v): 1%, 20%, 50%, 100%</w:t>
            </w:r>
          </w:p>
          <w:p w14:paraId="7E10EC3D" w14:textId="77777777" w:rsidR="00CC62FC" w:rsidRDefault="00CC62FC" w:rsidP="00CC62FC">
            <w:pPr>
              <w:rPr>
                <w:color w:val="000000"/>
                <w:sz w:val="18"/>
                <w:szCs w:val="18"/>
              </w:rPr>
            </w:pPr>
            <w:r>
              <w:rPr>
                <w:color w:val="000000"/>
                <w:sz w:val="18"/>
                <w:szCs w:val="18"/>
              </w:rPr>
              <w:t>Temperature: 20°C</w:t>
            </w:r>
          </w:p>
          <w:p w14:paraId="6A43E12F" w14:textId="592398A4" w:rsidR="00CC62FC" w:rsidRDefault="00CC62FC" w:rsidP="00CC62FC">
            <w:pPr>
              <w:rPr>
                <w:color w:val="000000"/>
                <w:sz w:val="18"/>
                <w:szCs w:val="18"/>
              </w:rPr>
            </w:pPr>
            <w:r>
              <w:rPr>
                <w:color w:val="000000"/>
                <w:sz w:val="18"/>
                <w:szCs w:val="18"/>
              </w:rPr>
              <w:t xml:space="preserve">Contact time: 5 minutes </w:t>
            </w:r>
          </w:p>
          <w:p w14:paraId="4922C02F" w14:textId="77777777" w:rsidR="00CC62FC" w:rsidRDefault="00CC62FC" w:rsidP="00CC62FC">
            <w:pPr>
              <w:rPr>
                <w:color w:val="000000"/>
                <w:sz w:val="18"/>
                <w:szCs w:val="18"/>
              </w:rPr>
            </w:pPr>
            <w:r>
              <w:rPr>
                <w:color w:val="000000"/>
                <w:sz w:val="18"/>
                <w:szCs w:val="18"/>
              </w:rPr>
              <w:t>Dirty conditions: 3 g/L BSA</w:t>
            </w:r>
          </w:p>
          <w:p w14:paraId="62A2A055" w14:textId="7694F60D" w:rsidR="00CC62FC" w:rsidRPr="00B27CB1" w:rsidRDefault="00CC62FC" w:rsidP="00CC62FC">
            <w:pPr>
              <w:snapToGrid w:val="0"/>
              <w:rPr>
                <w:color w:val="000000"/>
                <w:sz w:val="18"/>
                <w:szCs w:val="18"/>
              </w:rPr>
            </w:pPr>
            <w:r>
              <w:rPr>
                <w:color w:val="000000"/>
                <w:sz w:val="18"/>
                <w:szCs w:val="18"/>
              </w:rPr>
              <w:t xml:space="preserve">Criteria: </w:t>
            </w:r>
            <w:r w:rsidR="00D438D3">
              <w:rPr>
                <w:color w:val="000000"/>
                <w:sz w:val="18"/>
                <w:szCs w:val="18"/>
              </w:rPr>
              <w:t>≥</w:t>
            </w:r>
            <w:r>
              <w:rPr>
                <w:color w:val="000000"/>
                <w:sz w:val="18"/>
                <w:szCs w:val="18"/>
              </w:rPr>
              <w:t xml:space="preserve"> 4 log unit reduction</w:t>
            </w:r>
          </w:p>
        </w:tc>
        <w:tc>
          <w:tcPr>
            <w:tcW w:w="2552" w:type="dxa"/>
            <w:tcBorders>
              <w:top w:val="single" w:sz="6" w:space="0" w:color="000000"/>
              <w:left w:val="single" w:sz="6" w:space="0" w:color="000000"/>
              <w:bottom w:val="single" w:sz="6" w:space="0" w:color="000000"/>
            </w:tcBorders>
            <w:shd w:val="clear" w:color="auto" w:fill="auto"/>
            <w:vAlign w:val="center"/>
          </w:tcPr>
          <w:p w14:paraId="3A448B6E" w14:textId="77777777" w:rsidR="00CC62FC" w:rsidRDefault="00CC62FC" w:rsidP="00CC62FC">
            <w:pPr>
              <w:rPr>
                <w:color w:val="000000"/>
                <w:sz w:val="18"/>
                <w:szCs w:val="18"/>
              </w:rPr>
            </w:pPr>
          </w:p>
          <w:p w14:paraId="72A5C716" w14:textId="77777777" w:rsidR="00CC62FC" w:rsidRDefault="00CC62FC" w:rsidP="00CC62FC">
            <w:pPr>
              <w:rPr>
                <w:color w:val="000000"/>
                <w:sz w:val="18"/>
                <w:szCs w:val="18"/>
              </w:rPr>
            </w:pPr>
          </w:p>
          <w:p w14:paraId="5CD385CF" w14:textId="77777777" w:rsidR="00CC62FC" w:rsidRDefault="00CC62FC" w:rsidP="00CC62FC">
            <w:pPr>
              <w:snapToGrid w:val="0"/>
              <w:rPr>
                <w:color w:val="000000"/>
                <w:sz w:val="18"/>
                <w:szCs w:val="18"/>
              </w:rPr>
            </w:pPr>
            <w:r>
              <w:rPr>
                <w:color w:val="000000"/>
                <w:sz w:val="18"/>
                <w:szCs w:val="18"/>
              </w:rPr>
              <w:t>Bactericidal activity demonstrated at 100 % v/v</w:t>
            </w:r>
          </w:p>
          <w:p w14:paraId="13EDD764" w14:textId="77777777" w:rsidR="00CC62FC" w:rsidRPr="00B27CB1" w:rsidRDefault="00CC62FC" w:rsidP="00CC62FC">
            <w:pPr>
              <w:snapToGrid w:val="0"/>
              <w:rPr>
                <w:color w:val="000000"/>
                <w:sz w:val="18"/>
                <w:szCs w:val="18"/>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9C148EA" w14:textId="77777777" w:rsidR="00CC62FC" w:rsidRDefault="00CC62FC" w:rsidP="00CC62FC">
            <w:pPr>
              <w:rPr>
                <w:color w:val="000000"/>
                <w:sz w:val="18"/>
                <w:szCs w:val="18"/>
              </w:rPr>
            </w:pPr>
            <w:r>
              <w:rPr>
                <w:color w:val="000000"/>
                <w:sz w:val="18"/>
                <w:szCs w:val="18"/>
              </w:rPr>
              <w:t>Huguet N., 2019, Report No 18.CM.18-030</w:t>
            </w:r>
          </w:p>
          <w:p w14:paraId="4717165E" w14:textId="77777777" w:rsidR="00CC62FC" w:rsidRDefault="00CC62FC" w:rsidP="00CC62FC">
            <w:pPr>
              <w:rPr>
                <w:color w:val="000000"/>
                <w:sz w:val="18"/>
                <w:szCs w:val="18"/>
              </w:rPr>
            </w:pPr>
          </w:p>
          <w:p w14:paraId="266CCA22" w14:textId="5E23F952" w:rsidR="00CC62FC" w:rsidRPr="00B27CB1" w:rsidRDefault="00CC62FC" w:rsidP="00CC62FC">
            <w:pPr>
              <w:snapToGrid w:val="0"/>
              <w:rPr>
                <w:i/>
                <w:color w:val="000000"/>
                <w:sz w:val="18"/>
                <w:szCs w:val="18"/>
              </w:rPr>
            </w:pPr>
            <w:r>
              <w:rPr>
                <w:color w:val="000000"/>
                <w:sz w:val="18"/>
                <w:szCs w:val="18"/>
              </w:rPr>
              <w:t>R.I=1</w:t>
            </w:r>
          </w:p>
        </w:tc>
      </w:tr>
      <w:tr w:rsidR="00CC62FC" w:rsidRPr="00B27CB1" w14:paraId="32B85A92" w14:textId="77777777" w:rsidTr="00453B14">
        <w:trPr>
          <w:cantSplit/>
        </w:trPr>
        <w:tc>
          <w:tcPr>
            <w:tcW w:w="1365" w:type="dxa"/>
            <w:tcBorders>
              <w:top w:val="single" w:sz="6" w:space="0" w:color="000000"/>
              <w:left w:val="single" w:sz="4" w:space="0" w:color="000000"/>
              <w:bottom w:val="single" w:sz="6" w:space="0" w:color="000000"/>
            </w:tcBorders>
            <w:shd w:val="clear" w:color="auto" w:fill="auto"/>
            <w:vAlign w:val="center"/>
          </w:tcPr>
          <w:p w14:paraId="4832259A" w14:textId="20CFC778" w:rsidR="00CC62FC" w:rsidRPr="00B27CB1" w:rsidRDefault="00CC62FC" w:rsidP="00CC62FC">
            <w:pPr>
              <w:snapToGrid w:val="0"/>
              <w:rPr>
                <w:rFonts w:eastAsia="Calibri"/>
                <w:i/>
                <w:color w:val="000000"/>
                <w:sz w:val="18"/>
                <w:szCs w:val="18"/>
                <w:lang w:eastAsia="en-US"/>
              </w:rPr>
            </w:pPr>
            <w:r>
              <w:rPr>
                <w:sz w:val="18"/>
                <w:szCs w:val="18"/>
              </w:rPr>
              <w:t>Disinfectant, bactericidal activity</w:t>
            </w:r>
          </w:p>
        </w:tc>
        <w:tc>
          <w:tcPr>
            <w:tcW w:w="1165" w:type="dxa"/>
            <w:tcBorders>
              <w:top w:val="single" w:sz="6" w:space="0" w:color="000000"/>
              <w:left w:val="single" w:sz="6" w:space="0" w:color="000000"/>
              <w:bottom w:val="single" w:sz="6" w:space="0" w:color="000000"/>
            </w:tcBorders>
            <w:shd w:val="clear" w:color="auto" w:fill="auto"/>
            <w:vAlign w:val="center"/>
          </w:tcPr>
          <w:p w14:paraId="46D94FCC" w14:textId="52D40C80" w:rsidR="00CC62FC" w:rsidRPr="00B27CB1" w:rsidRDefault="00CC62FC" w:rsidP="00CC62FC">
            <w:pPr>
              <w:snapToGrid w:val="0"/>
              <w:rPr>
                <w:i/>
                <w:color w:val="000000"/>
                <w:sz w:val="18"/>
                <w:szCs w:val="18"/>
              </w:rPr>
            </w:pPr>
            <w:r>
              <w:rPr>
                <w:sz w:val="18"/>
                <w:szCs w:val="18"/>
              </w:rPr>
              <w:t>Domestic area</w:t>
            </w:r>
          </w:p>
        </w:tc>
        <w:tc>
          <w:tcPr>
            <w:tcW w:w="1164" w:type="dxa"/>
            <w:tcBorders>
              <w:top w:val="single" w:sz="6" w:space="0" w:color="000000"/>
              <w:left w:val="single" w:sz="6" w:space="0" w:color="000000"/>
              <w:bottom w:val="single" w:sz="6" w:space="0" w:color="000000"/>
            </w:tcBorders>
            <w:shd w:val="clear" w:color="auto" w:fill="auto"/>
            <w:vAlign w:val="center"/>
          </w:tcPr>
          <w:p w14:paraId="2BF076B3" w14:textId="77777777" w:rsidR="00CC62FC" w:rsidRDefault="00CC62FC" w:rsidP="00CC62FC">
            <w:pPr>
              <w:rPr>
                <w:sz w:val="18"/>
                <w:szCs w:val="18"/>
              </w:rPr>
            </w:pPr>
            <w:r>
              <w:rPr>
                <w:sz w:val="18"/>
                <w:szCs w:val="18"/>
              </w:rPr>
              <w:t>AL-S1-1-0</w:t>
            </w:r>
          </w:p>
          <w:p w14:paraId="19D7308F" w14:textId="1CA1FC36" w:rsidR="00CC62FC" w:rsidRPr="00B27CB1" w:rsidRDefault="00CE3037" w:rsidP="00CC62FC">
            <w:pPr>
              <w:snapToGrid w:val="0"/>
              <w:rPr>
                <w:i/>
                <w:color w:val="000000"/>
                <w:sz w:val="18"/>
                <w:szCs w:val="18"/>
              </w:rPr>
            </w:pPr>
            <w:r>
              <w:rPr>
                <w:color w:val="000000"/>
                <w:sz w:val="18"/>
                <w:szCs w:val="18"/>
              </w:rPr>
              <w:t>2.4</w:t>
            </w:r>
            <w:r w:rsidR="00CC62FC">
              <w:rPr>
                <w:color w:val="000000"/>
                <w:sz w:val="18"/>
                <w:szCs w:val="18"/>
              </w:rPr>
              <w:t>% lactic acid</w:t>
            </w:r>
          </w:p>
        </w:tc>
        <w:tc>
          <w:tcPr>
            <w:tcW w:w="1552" w:type="dxa"/>
            <w:tcBorders>
              <w:top w:val="single" w:sz="6" w:space="0" w:color="000000"/>
              <w:left w:val="single" w:sz="6" w:space="0" w:color="000000"/>
              <w:bottom w:val="single" w:sz="6" w:space="0" w:color="000000"/>
            </w:tcBorders>
            <w:shd w:val="clear" w:color="auto" w:fill="auto"/>
            <w:vAlign w:val="center"/>
          </w:tcPr>
          <w:p w14:paraId="6F6EA38E" w14:textId="68F3E765" w:rsidR="00CC62FC" w:rsidRPr="00B27CB1" w:rsidRDefault="00CC62FC" w:rsidP="00CC62FC">
            <w:pPr>
              <w:snapToGrid w:val="0"/>
              <w:rPr>
                <w:i/>
                <w:color w:val="000000"/>
                <w:sz w:val="18"/>
                <w:szCs w:val="18"/>
              </w:rPr>
            </w:pPr>
            <w:r w:rsidRPr="005D3939">
              <w:rPr>
                <w:i/>
                <w:sz w:val="18"/>
                <w:szCs w:val="18"/>
              </w:rPr>
              <w:t>Bartonella henselae</w:t>
            </w:r>
            <w:r>
              <w:rPr>
                <w:sz w:val="18"/>
                <w:szCs w:val="18"/>
              </w:rPr>
              <w:t xml:space="preserve"> </w:t>
            </w:r>
          </w:p>
        </w:tc>
        <w:tc>
          <w:tcPr>
            <w:tcW w:w="1417" w:type="dxa"/>
            <w:tcBorders>
              <w:top w:val="single" w:sz="6" w:space="0" w:color="000000"/>
              <w:left w:val="single" w:sz="6" w:space="0" w:color="000000"/>
              <w:bottom w:val="single" w:sz="6" w:space="0" w:color="000000"/>
            </w:tcBorders>
            <w:shd w:val="clear" w:color="auto" w:fill="auto"/>
            <w:vAlign w:val="center"/>
          </w:tcPr>
          <w:p w14:paraId="028574FA" w14:textId="7000EAF9" w:rsidR="00CC62FC" w:rsidRPr="00B27CB1" w:rsidRDefault="00CC62FC" w:rsidP="00CC62FC">
            <w:pPr>
              <w:snapToGrid w:val="0"/>
              <w:rPr>
                <w:i/>
                <w:color w:val="000000"/>
                <w:sz w:val="18"/>
                <w:szCs w:val="18"/>
              </w:rPr>
            </w:pPr>
            <w:r>
              <w:rPr>
                <w:sz w:val="18"/>
                <w:szCs w:val="18"/>
              </w:rPr>
              <w:t>NF EN 13697 (June 2015)</w:t>
            </w:r>
          </w:p>
        </w:tc>
        <w:tc>
          <w:tcPr>
            <w:tcW w:w="3402" w:type="dxa"/>
            <w:tcBorders>
              <w:top w:val="single" w:sz="6" w:space="0" w:color="000000"/>
              <w:left w:val="single" w:sz="6" w:space="0" w:color="000000"/>
              <w:bottom w:val="single" w:sz="6" w:space="0" w:color="000000"/>
            </w:tcBorders>
            <w:shd w:val="clear" w:color="auto" w:fill="auto"/>
            <w:vAlign w:val="center"/>
          </w:tcPr>
          <w:p w14:paraId="6E435820" w14:textId="5288595B" w:rsidR="00CC62FC" w:rsidRDefault="00CC62FC" w:rsidP="00CC62FC">
            <w:pPr>
              <w:snapToGrid w:val="0"/>
              <w:rPr>
                <w:color w:val="000000"/>
                <w:sz w:val="18"/>
                <w:szCs w:val="18"/>
              </w:rPr>
            </w:pPr>
            <w:r>
              <w:rPr>
                <w:color w:val="000000"/>
                <w:sz w:val="18"/>
                <w:szCs w:val="18"/>
              </w:rPr>
              <w:t>Phase 2 step 2 (su</w:t>
            </w:r>
            <w:r w:rsidR="00D6010B">
              <w:rPr>
                <w:color w:val="000000"/>
                <w:sz w:val="18"/>
                <w:szCs w:val="18"/>
              </w:rPr>
              <w:t>rface</w:t>
            </w:r>
            <w:r>
              <w:rPr>
                <w:color w:val="000000"/>
                <w:sz w:val="18"/>
                <w:szCs w:val="18"/>
              </w:rPr>
              <w:t xml:space="preserve"> test)</w:t>
            </w:r>
          </w:p>
          <w:p w14:paraId="2898C5A1" w14:textId="77777777" w:rsidR="00CC62FC" w:rsidRDefault="00CC62FC" w:rsidP="00CC62FC">
            <w:pPr>
              <w:rPr>
                <w:color w:val="000000"/>
                <w:sz w:val="18"/>
                <w:szCs w:val="18"/>
              </w:rPr>
            </w:pPr>
            <w:r>
              <w:rPr>
                <w:color w:val="000000"/>
                <w:sz w:val="18"/>
                <w:szCs w:val="18"/>
              </w:rPr>
              <w:t>Concentrations of product tested (v/v): 1%, 50%, 100%</w:t>
            </w:r>
          </w:p>
          <w:p w14:paraId="07E26AAA" w14:textId="77777777" w:rsidR="00CC62FC" w:rsidRDefault="00CC62FC" w:rsidP="00CC62FC">
            <w:pPr>
              <w:rPr>
                <w:color w:val="000000"/>
                <w:sz w:val="18"/>
                <w:szCs w:val="18"/>
              </w:rPr>
            </w:pPr>
            <w:r>
              <w:rPr>
                <w:color w:val="000000"/>
                <w:sz w:val="18"/>
                <w:szCs w:val="18"/>
              </w:rPr>
              <w:t>Contact time: 5 minutes</w:t>
            </w:r>
          </w:p>
          <w:p w14:paraId="14229F94" w14:textId="77777777" w:rsidR="00CC62FC" w:rsidRDefault="00CC62FC" w:rsidP="00CC62FC">
            <w:pPr>
              <w:rPr>
                <w:color w:val="000000"/>
                <w:sz w:val="18"/>
                <w:szCs w:val="18"/>
              </w:rPr>
            </w:pPr>
            <w:r>
              <w:rPr>
                <w:color w:val="000000"/>
                <w:sz w:val="18"/>
                <w:szCs w:val="18"/>
              </w:rPr>
              <w:t>Temperature: 20°C</w:t>
            </w:r>
          </w:p>
          <w:p w14:paraId="0F509D80" w14:textId="731F547D" w:rsidR="00CC62FC" w:rsidRDefault="00CC62FC" w:rsidP="00CC62FC">
            <w:pPr>
              <w:rPr>
                <w:color w:val="000000"/>
                <w:sz w:val="18"/>
                <w:szCs w:val="18"/>
              </w:rPr>
            </w:pPr>
            <w:r>
              <w:rPr>
                <w:color w:val="000000"/>
                <w:sz w:val="18"/>
                <w:szCs w:val="18"/>
              </w:rPr>
              <w:t xml:space="preserve">Dirty conditions: 2.7 g/L BSA + 8,5 g/L skimmed milk </w:t>
            </w:r>
            <w:r w:rsidR="008C0E41">
              <w:rPr>
                <w:color w:val="000000"/>
                <w:sz w:val="18"/>
                <w:szCs w:val="18"/>
              </w:rPr>
              <w:t>(equivalent to 3 g/L BSA as 8,5 g/L skimmed milk simulates 0,3 g/L BSA for strains with drying loss)</w:t>
            </w:r>
          </w:p>
          <w:p w14:paraId="54E54DFF" w14:textId="70FDCAEA" w:rsidR="00CC62FC" w:rsidRPr="00B27CB1" w:rsidRDefault="00CC62FC" w:rsidP="00CC62FC">
            <w:pPr>
              <w:snapToGrid w:val="0"/>
              <w:rPr>
                <w:color w:val="000000"/>
                <w:sz w:val="18"/>
                <w:szCs w:val="18"/>
              </w:rPr>
            </w:pPr>
            <w:r>
              <w:rPr>
                <w:color w:val="000000"/>
                <w:sz w:val="18"/>
                <w:szCs w:val="18"/>
              </w:rPr>
              <w:t xml:space="preserve">Criteria: </w:t>
            </w:r>
            <w:r w:rsidR="00D438D3">
              <w:rPr>
                <w:color w:val="000000"/>
                <w:sz w:val="18"/>
                <w:szCs w:val="18"/>
              </w:rPr>
              <w:t>≥</w:t>
            </w:r>
            <w:r>
              <w:rPr>
                <w:color w:val="000000"/>
                <w:sz w:val="18"/>
                <w:szCs w:val="18"/>
              </w:rPr>
              <w:t xml:space="preserve"> 4 log unit reduction</w:t>
            </w:r>
          </w:p>
        </w:tc>
        <w:tc>
          <w:tcPr>
            <w:tcW w:w="2552" w:type="dxa"/>
            <w:tcBorders>
              <w:top w:val="single" w:sz="6" w:space="0" w:color="000000"/>
              <w:left w:val="single" w:sz="6" w:space="0" w:color="000000"/>
              <w:bottom w:val="single" w:sz="6" w:space="0" w:color="000000"/>
            </w:tcBorders>
            <w:shd w:val="clear" w:color="auto" w:fill="auto"/>
            <w:vAlign w:val="center"/>
          </w:tcPr>
          <w:p w14:paraId="60E80D64" w14:textId="77777777" w:rsidR="00CC62FC" w:rsidRDefault="00CC62FC" w:rsidP="00CC62FC">
            <w:pPr>
              <w:rPr>
                <w:color w:val="000000"/>
                <w:sz w:val="18"/>
                <w:szCs w:val="18"/>
              </w:rPr>
            </w:pPr>
          </w:p>
          <w:p w14:paraId="4156AE90" w14:textId="7AEAC94A" w:rsidR="00CC62FC" w:rsidRDefault="00436BAC" w:rsidP="00CC62FC">
            <w:pPr>
              <w:snapToGrid w:val="0"/>
              <w:rPr>
                <w:color w:val="000000"/>
                <w:sz w:val="18"/>
                <w:szCs w:val="18"/>
              </w:rPr>
            </w:pPr>
            <w:r>
              <w:rPr>
                <w:color w:val="000000"/>
                <w:sz w:val="18"/>
                <w:szCs w:val="18"/>
              </w:rPr>
              <w:t>A</w:t>
            </w:r>
            <w:r w:rsidR="00CC62FC">
              <w:rPr>
                <w:color w:val="000000"/>
                <w:sz w:val="18"/>
                <w:szCs w:val="18"/>
              </w:rPr>
              <w:t xml:space="preserve">ctivity </w:t>
            </w:r>
            <w:r w:rsidR="00D6010B">
              <w:rPr>
                <w:color w:val="000000"/>
                <w:sz w:val="18"/>
                <w:szCs w:val="18"/>
              </w:rPr>
              <w:t xml:space="preserve">against </w:t>
            </w:r>
            <w:r w:rsidR="00D6010B" w:rsidRPr="00453B14">
              <w:rPr>
                <w:i/>
                <w:color w:val="000000"/>
                <w:sz w:val="18"/>
                <w:szCs w:val="18"/>
              </w:rPr>
              <w:t>B.henselae</w:t>
            </w:r>
            <w:r w:rsidR="00D6010B">
              <w:rPr>
                <w:color w:val="000000"/>
                <w:sz w:val="18"/>
                <w:szCs w:val="18"/>
              </w:rPr>
              <w:t xml:space="preserve"> </w:t>
            </w:r>
            <w:r w:rsidR="00CC62FC">
              <w:rPr>
                <w:color w:val="000000"/>
                <w:sz w:val="18"/>
                <w:szCs w:val="18"/>
              </w:rPr>
              <w:t>demonstrated at 50 % v/v</w:t>
            </w:r>
          </w:p>
          <w:p w14:paraId="7BEE0BCC" w14:textId="77777777" w:rsidR="00CC62FC" w:rsidRPr="00B27CB1" w:rsidRDefault="00CC62FC" w:rsidP="00CC62FC">
            <w:pPr>
              <w:snapToGrid w:val="0"/>
              <w:rPr>
                <w:color w:val="000000"/>
                <w:sz w:val="18"/>
                <w:szCs w:val="18"/>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573A01B" w14:textId="77777777" w:rsidR="00CC62FC" w:rsidRDefault="00CC62FC" w:rsidP="00CC62FC">
            <w:pPr>
              <w:rPr>
                <w:color w:val="000000"/>
                <w:sz w:val="18"/>
                <w:szCs w:val="18"/>
              </w:rPr>
            </w:pPr>
            <w:r>
              <w:rPr>
                <w:color w:val="000000"/>
                <w:sz w:val="18"/>
                <w:szCs w:val="18"/>
              </w:rPr>
              <w:t>Pinon A., 2019, Report No 180228b</w:t>
            </w:r>
          </w:p>
          <w:p w14:paraId="764791FC" w14:textId="503695E2" w:rsidR="00CC62FC" w:rsidRPr="00B27CB1" w:rsidRDefault="00CC62FC" w:rsidP="008C0E41">
            <w:pPr>
              <w:snapToGrid w:val="0"/>
              <w:rPr>
                <w:i/>
                <w:color w:val="000000"/>
                <w:sz w:val="18"/>
                <w:szCs w:val="18"/>
              </w:rPr>
            </w:pPr>
            <w:r>
              <w:rPr>
                <w:color w:val="000000"/>
                <w:sz w:val="18"/>
                <w:szCs w:val="18"/>
              </w:rPr>
              <w:t>R=</w:t>
            </w:r>
            <w:r w:rsidR="008C0E41">
              <w:rPr>
                <w:color w:val="000000"/>
                <w:sz w:val="18"/>
                <w:szCs w:val="18"/>
              </w:rPr>
              <w:t>2</w:t>
            </w:r>
          </w:p>
        </w:tc>
      </w:tr>
      <w:tr w:rsidR="00CC62FC" w:rsidRPr="00B27CB1" w14:paraId="1C24AF49" w14:textId="77777777" w:rsidTr="00453B14">
        <w:trPr>
          <w:cantSplit/>
        </w:trPr>
        <w:tc>
          <w:tcPr>
            <w:tcW w:w="1365" w:type="dxa"/>
            <w:tcBorders>
              <w:top w:val="single" w:sz="6" w:space="0" w:color="000000"/>
              <w:left w:val="single" w:sz="4" w:space="0" w:color="000000"/>
              <w:bottom w:val="single" w:sz="6" w:space="0" w:color="000000"/>
            </w:tcBorders>
            <w:shd w:val="clear" w:color="auto" w:fill="auto"/>
            <w:vAlign w:val="center"/>
          </w:tcPr>
          <w:p w14:paraId="65776DC6" w14:textId="2F7B0557" w:rsidR="00CC62FC" w:rsidRPr="00B27CB1" w:rsidRDefault="00CC62FC" w:rsidP="00CC62FC">
            <w:pPr>
              <w:snapToGrid w:val="0"/>
              <w:rPr>
                <w:rFonts w:eastAsia="Calibri"/>
                <w:i/>
                <w:color w:val="000000"/>
                <w:sz w:val="18"/>
                <w:szCs w:val="18"/>
                <w:lang w:eastAsia="en-US"/>
              </w:rPr>
            </w:pPr>
            <w:r>
              <w:rPr>
                <w:color w:val="000000"/>
                <w:sz w:val="18"/>
                <w:szCs w:val="18"/>
              </w:rPr>
              <w:t>Disinfectant, bactericidal activity</w:t>
            </w:r>
          </w:p>
        </w:tc>
        <w:tc>
          <w:tcPr>
            <w:tcW w:w="1165" w:type="dxa"/>
            <w:tcBorders>
              <w:top w:val="single" w:sz="6" w:space="0" w:color="000000"/>
              <w:left w:val="single" w:sz="6" w:space="0" w:color="000000"/>
              <w:bottom w:val="single" w:sz="6" w:space="0" w:color="000000"/>
            </w:tcBorders>
            <w:shd w:val="clear" w:color="auto" w:fill="auto"/>
            <w:vAlign w:val="center"/>
          </w:tcPr>
          <w:p w14:paraId="31BB43DC" w14:textId="79E77429" w:rsidR="00CC62FC" w:rsidRPr="00B27CB1" w:rsidRDefault="00CC62FC" w:rsidP="00CC62FC">
            <w:pPr>
              <w:snapToGrid w:val="0"/>
              <w:rPr>
                <w:i/>
                <w:color w:val="000000"/>
                <w:sz w:val="18"/>
                <w:szCs w:val="18"/>
              </w:rPr>
            </w:pPr>
            <w:r>
              <w:rPr>
                <w:color w:val="000000"/>
                <w:sz w:val="18"/>
                <w:szCs w:val="18"/>
              </w:rPr>
              <w:t>Domestic area</w:t>
            </w:r>
          </w:p>
        </w:tc>
        <w:tc>
          <w:tcPr>
            <w:tcW w:w="1164" w:type="dxa"/>
            <w:tcBorders>
              <w:top w:val="single" w:sz="6" w:space="0" w:color="000000"/>
              <w:left w:val="single" w:sz="6" w:space="0" w:color="000000"/>
              <w:bottom w:val="single" w:sz="6" w:space="0" w:color="000000"/>
            </w:tcBorders>
            <w:shd w:val="clear" w:color="auto" w:fill="auto"/>
            <w:vAlign w:val="center"/>
          </w:tcPr>
          <w:p w14:paraId="3F6037B7" w14:textId="77777777" w:rsidR="00CC62FC" w:rsidRDefault="00CC62FC" w:rsidP="00CC62FC">
            <w:pPr>
              <w:rPr>
                <w:color w:val="000000"/>
                <w:sz w:val="18"/>
                <w:szCs w:val="18"/>
              </w:rPr>
            </w:pPr>
            <w:r>
              <w:rPr>
                <w:color w:val="000000"/>
                <w:sz w:val="18"/>
                <w:szCs w:val="18"/>
              </w:rPr>
              <w:t>AL-S1-1-0</w:t>
            </w:r>
          </w:p>
          <w:p w14:paraId="78271D38" w14:textId="0035CFC8" w:rsidR="00CC62FC" w:rsidRPr="00B27CB1" w:rsidRDefault="00CE3037" w:rsidP="00CC62FC">
            <w:pPr>
              <w:snapToGrid w:val="0"/>
              <w:rPr>
                <w:i/>
                <w:color w:val="000000"/>
                <w:sz w:val="18"/>
                <w:szCs w:val="18"/>
              </w:rPr>
            </w:pPr>
            <w:r>
              <w:rPr>
                <w:color w:val="000000"/>
                <w:sz w:val="18"/>
                <w:szCs w:val="18"/>
              </w:rPr>
              <w:t>2.4</w:t>
            </w:r>
            <w:r w:rsidR="00CC62FC">
              <w:rPr>
                <w:color w:val="000000"/>
                <w:sz w:val="18"/>
                <w:szCs w:val="18"/>
              </w:rPr>
              <w:t>% lactic acid</w:t>
            </w:r>
          </w:p>
        </w:tc>
        <w:tc>
          <w:tcPr>
            <w:tcW w:w="1552" w:type="dxa"/>
            <w:tcBorders>
              <w:top w:val="single" w:sz="6" w:space="0" w:color="000000"/>
              <w:left w:val="single" w:sz="6" w:space="0" w:color="000000"/>
              <w:bottom w:val="single" w:sz="6" w:space="0" w:color="000000"/>
            </w:tcBorders>
            <w:shd w:val="clear" w:color="auto" w:fill="auto"/>
            <w:vAlign w:val="center"/>
          </w:tcPr>
          <w:p w14:paraId="0F98E66E" w14:textId="453F4FBD" w:rsidR="00CC62FC" w:rsidRPr="00AC14FB" w:rsidRDefault="00CC62FC" w:rsidP="00CC62FC">
            <w:pPr>
              <w:snapToGrid w:val="0"/>
              <w:rPr>
                <w:i/>
                <w:color w:val="000000"/>
                <w:sz w:val="18"/>
                <w:szCs w:val="18"/>
                <w:lang w:val="fr-FR"/>
              </w:rPr>
            </w:pPr>
            <w:r w:rsidRPr="00AC14FB">
              <w:rPr>
                <w:i/>
                <w:color w:val="000000"/>
                <w:sz w:val="18"/>
                <w:szCs w:val="18"/>
                <w:lang w:val="fr-FR"/>
              </w:rPr>
              <w:t>Pseudomonas aeruginosa</w:t>
            </w:r>
            <w:r w:rsidRPr="00AC14FB">
              <w:rPr>
                <w:color w:val="000000"/>
                <w:sz w:val="18"/>
                <w:szCs w:val="18"/>
                <w:lang w:val="fr-FR"/>
              </w:rPr>
              <w:t xml:space="preserve"> </w:t>
            </w:r>
            <w:r w:rsidRPr="00AC14FB">
              <w:rPr>
                <w:color w:val="000000"/>
                <w:sz w:val="18"/>
                <w:szCs w:val="18"/>
                <w:lang w:val="fr-FR"/>
              </w:rPr>
              <w:br/>
            </w:r>
            <w:r w:rsidRPr="00AC14FB">
              <w:rPr>
                <w:i/>
                <w:color w:val="000000"/>
                <w:sz w:val="18"/>
                <w:szCs w:val="18"/>
                <w:lang w:val="fr-FR"/>
              </w:rPr>
              <w:t>Staphylococcus aureus</w:t>
            </w:r>
            <w:r w:rsidRPr="00AC14FB">
              <w:rPr>
                <w:color w:val="000000"/>
                <w:sz w:val="18"/>
                <w:szCs w:val="18"/>
                <w:lang w:val="fr-FR"/>
              </w:rPr>
              <w:br/>
            </w:r>
            <w:r w:rsidRPr="00AC14FB">
              <w:rPr>
                <w:i/>
                <w:color w:val="000000"/>
                <w:sz w:val="18"/>
                <w:szCs w:val="18"/>
                <w:lang w:val="fr-FR"/>
              </w:rPr>
              <w:t>Enterococcus hirae</w:t>
            </w:r>
            <w:r w:rsidRPr="00AC14FB">
              <w:rPr>
                <w:color w:val="000000"/>
                <w:sz w:val="18"/>
                <w:szCs w:val="18"/>
                <w:lang w:val="fr-FR"/>
              </w:rPr>
              <w:t xml:space="preserve"> </w:t>
            </w:r>
          </w:p>
        </w:tc>
        <w:tc>
          <w:tcPr>
            <w:tcW w:w="1417" w:type="dxa"/>
            <w:tcBorders>
              <w:top w:val="single" w:sz="6" w:space="0" w:color="000000"/>
              <w:left w:val="single" w:sz="6" w:space="0" w:color="000000"/>
              <w:bottom w:val="single" w:sz="6" w:space="0" w:color="000000"/>
            </w:tcBorders>
            <w:shd w:val="clear" w:color="auto" w:fill="auto"/>
            <w:vAlign w:val="center"/>
          </w:tcPr>
          <w:p w14:paraId="77CCD1D0" w14:textId="28E2EBF0" w:rsidR="00CC62FC" w:rsidRPr="00B27CB1" w:rsidRDefault="00CC62FC" w:rsidP="00CC62FC">
            <w:pPr>
              <w:snapToGrid w:val="0"/>
              <w:rPr>
                <w:i/>
                <w:color w:val="000000"/>
                <w:sz w:val="18"/>
                <w:szCs w:val="18"/>
              </w:rPr>
            </w:pPr>
            <w:r>
              <w:rPr>
                <w:color w:val="000000"/>
                <w:sz w:val="18"/>
                <w:szCs w:val="18"/>
              </w:rPr>
              <w:t>NF EN 16615 (May 2015)</w:t>
            </w:r>
          </w:p>
        </w:tc>
        <w:tc>
          <w:tcPr>
            <w:tcW w:w="3402" w:type="dxa"/>
            <w:tcBorders>
              <w:top w:val="single" w:sz="6" w:space="0" w:color="000000"/>
              <w:left w:val="single" w:sz="6" w:space="0" w:color="000000"/>
              <w:bottom w:val="single" w:sz="6" w:space="0" w:color="000000"/>
            </w:tcBorders>
            <w:shd w:val="clear" w:color="auto" w:fill="auto"/>
            <w:vAlign w:val="center"/>
          </w:tcPr>
          <w:p w14:paraId="24822DB5" w14:textId="3B527954" w:rsidR="00CC62FC" w:rsidRDefault="00CC62FC" w:rsidP="00CC62FC">
            <w:pPr>
              <w:snapToGrid w:val="0"/>
              <w:rPr>
                <w:color w:val="000000"/>
                <w:sz w:val="18"/>
                <w:szCs w:val="18"/>
              </w:rPr>
            </w:pPr>
            <w:r>
              <w:rPr>
                <w:color w:val="000000"/>
                <w:sz w:val="18"/>
                <w:szCs w:val="18"/>
              </w:rPr>
              <w:t>Phase 2 step 2</w:t>
            </w:r>
            <w:r w:rsidR="00D6010B">
              <w:rPr>
                <w:color w:val="000000"/>
                <w:sz w:val="18"/>
                <w:szCs w:val="18"/>
              </w:rPr>
              <w:t xml:space="preserve"> (surface test)</w:t>
            </w:r>
          </w:p>
          <w:p w14:paraId="3120323A" w14:textId="77777777" w:rsidR="00CC62FC" w:rsidRDefault="00CC62FC" w:rsidP="00CC62FC">
            <w:pPr>
              <w:rPr>
                <w:color w:val="000000"/>
                <w:sz w:val="18"/>
                <w:szCs w:val="18"/>
              </w:rPr>
            </w:pPr>
            <w:r>
              <w:rPr>
                <w:color w:val="000000"/>
                <w:sz w:val="18"/>
                <w:szCs w:val="18"/>
              </w:rPr>
              <w:t xml:space="preserve">Tested concentrations of 100% and 10% (v/v) of the product on the wipe required with an impregnation rate of 16 ml. </w:t>
            </w:r>
          </w:p>
          <w:p w14:paraId="3B339AC3" w14:textId="5739D3A3" w:rsidR="00CC62FC" w:rsidRDefault="00CC62FC" w:rsidP="00CC62FC">
            <w:pPr>
              <w:rPr>
                <w:color w:val="000000"/>
                <w:sz w:val="18"/>
                <w:szCs w:val="18"/>
              </w:rPr>
            </w:pPr>
            <w:r>
              <w:rPr>
                <w:color w:val="000000"/>
                <w:sz w:val="18"/>
                <w:szCs w:val="18"/>
              </w:rPr>
              <w:t>Temperature</w:t>
            </w:r>
            <w:r w:rsidR="00D6010B">
              <w:rPr>
                <w:color w:val="000000"/>
                <w:sz w:val="18"/>
                <w:szCs w:val="18"/>
              </w:rPr>
              <w:t xml:space="preserve">: </w:t>
            </w:r>
            <w:r>
              <w:rPr>
                <w:color w:val="000000"/>
                <w:sz w:val="18"/>
                <w:szCs w:val="18"/>
              </w:rPr>
              <w:t>20°C</w:t>
            </w:r>
          </w:p>
          <w:p w14:paraId="45C4ED73" w14:textId="77777777" w:rsidR="00CC62FC" w:rsidRDefault="00CC62FC" w:rsidP="00CC62FC">
            <w:pPr>
              <w:rPr>
                <w:color w:val="000000"/>
                <w:sz w:val="18"/>
                <w:szCs w:val="18"/>
              </w:rPr>
            </w:pPr>
            <w:r>
              <w:rPr>
                <w:color w:val="000000"/>
                <w:sz w:val="18"/>
                <w:szCs w:val="18"/>
              </w:rPr>
              <w:t>Contact time: 5 minutes</w:t>
            </w:r>
          </w:p>
          <w:p w14:paraId="2ED640FA" w14:textId="77777777" w:rsidR="00CC62FC" w:rsidRDefault="00CC62FC" w:rsidP="00CC62FC">
            <w:pPr>
              <w:rPr>
                <w:color w:val="000000"/>
                <w:sz w:val="18"/>
                <w:szCs w:val="18"/>
              </w:rPr>
            </w:pPr>
            <w:r>
              <w:rPr>
                <w:color w:val="000000"/>
                <w:sz w:val="18"/>
                <w:szCs w:val="18"/>
              </w:rPr>
              <w:t xml:space="preserve">Dirty conditions:  3 g/L BSA  </w:t>
            </w:r>
          </w:p>
          <w:p w14:paraId="079A2030" w14:textId="6C877562" w:rsidR="00CC62FC" w:rsidRPr="00B27CB1" w:rsidRDefault="00CC62FC" w:rsidP="00CC62FC">
            <w:pPr>
              <w:snapToGrid w:val="0"/>
              <w:rPr>
                <w:color w:val="000000"/>
                <w:sz w:val="18"/>
                <w:szCs w:val="18"/>
              </w:rPr>
            </w:pPr>
            <w:r>
              <w:rPr>
                <w:color w:val="000000"/>
                <w:sz w:val="18"/>
                <w:szCs w:val="18"/>
              </w:rPr>
              <w:t>Criteria: ≥ 5 log unit reduction</w:t>
            </w:r>
          </w:p>
        </w:tc>
        <w:tc>
          <w:tcPr>
            <w:tcW w:w="2552" w:type="dxa"/>
            <w:tcBorders>
              <w:top w:val="single" w:sz="6" w:space="0" w:color="000000"/>
              <w:left w:val="single" w:sz="6" w:space="0" w:color="000000"/>
              <w:bottom w:val="single" w:sz="6" w:space="0" w:color="000000"/>
            </w:tcBorders>
            <w:shd w:val="clear" w:color="auto" w:fill="auto"/>
            <w:vAlign w:val="center"/>
          </w:tcPr>
          <w:p w14:paraId="23AF2425" w14:textId="77777777" w:rsidR="00CC62FC" w:rsidRDefault="00CC62FC" w:rsidP="00CC62FC">
            <w:pPr>
              <w:snapToGrid w:val="0"/>
              <w:rPr>
                <w:color w:val="000000"/>
                <w:sz w:val="18"/>
                <w:szCs w:val="18"/>
              </w:rPr>
            </w:pPr>
            <w:r>
              <w:rPr>
                <w:color w:val="000000"/>
                <w:sz w:val="18"/>
                <w:szCs w:val="18"/>
              </w:rPr>
              <w:t>Bactericidal activity demonstrated at 100 % v/v</w:t>
            </w:r>
          </w:p>
          <w:p w14:paraId="110A5684" w14:textId="77777777" w:rsidR="00CC62FC" w:rsidRDefault="00CC62FC" w:rsidP="00CC62FC">
            <w:pPr>
              <w:rPr>
                <w:color w:val="000000"/>
                <w:sz w:val="18"/>
                <w:szCs w:val="18"/>
              </w:rPr>
            </w:pPr>
          </w:p>
          <w:p w14:paraId="54A5CCD6" w14:textId="77777777" w:rsidR="00CC62FC" w:rsidRDefault="00CC62FC" w:rsidP="00CC62FC">
            <w:pPr>
              <w:rPr>
                <w:color w:val="000000"/>
                <w:sz w:val="18"/>
                <w:szCs w:val="18"/>
              </w:rPr>
            </w:pPr>
          </w:p>
          <w:p w14:paraId="3ED17C39" w14:textId="77777777" w:rsidR="00CC62FC" w:rsidRPr="00B27CB1" w:rsidRDefault="00CC62FC" w:rsidP="00CC62FC">
            <w:pPr>
              <w:snapToGrid w:val="0"/>
              <w:rPr>
                <w:color w:val="000000"/>
                <w:sz w:val="18"/>
                <w:szCs w:val="18"/>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7B00122" w14:textId="77777777" w:rsidR="00CC62FC" w:rsidRDefault="00CC62FC" w:rsidP="00CC62FC">
            <w:pPr>
              <w:rPr>
                <w:color w:val="000000"/>
                <w:sz w:val="18"/>
                <w:szCs w:val="18"/>
              </w:rPr>
            </w:pPr>
            <w:r>
              <w:rPr>
                <w:color w:val="000000"/>
                <w:sz w:val="18"/>
                <w:szCs w:val="18"/>
              </w:rPr>
              <w:t>Carre A., 2019, Report No RE-2191/0818</w:t>
            </w:r>
          </w:p>
          <w:p w14:paraId="059765AF" w14:textId="6F9B2F85" w:rsidR="00CC62FC" w:rsidRPr="00B27CB1" w:rsidRDefault="00CC62FC" w:rsidP="00CC62FC">
            <w:pPr>
              <w:snapToGrid w:val="0"/>
              <w:rPr>
                <w:i/>
                <w:color w:val="000000"/>
                <w:sz w:val="18"/>
                <w:szCs w:val="18"/>
              </w:rPr>
            </w:pPr>
            <w:r>
              <w:rPr>
                <w:color w:val="000000"/>
                <w:sz w:val="18"/>
                <w:szCs w:val="18"/>
              </w:rPr>
              <w:t>R=1</w:t>
            </w:r>
          </w:p>
        </w:tc>
      </w:tr>
      <w:tr w:rsidR="00CC62FC" w:rsidRPr="00B27CB1" w14:paraId="1A9FEE5F" w14:textId="77777777" w:rsidTr="00453B14">
        <w:trPr>
          <w:cantSplit/>
        </w:trPr>
        <w:tc>
          <w:tcPr>
            <w:tcW w:w="1365" w:type="dxa"/>
            <w:tcBorders>
              <w:top w:val="single" w:sz="6" w:space="0" w:color="000000"/>
              <w:left w:val="single" w:sz="4" w:space="0" w:color="000000"/>
              <w:bottom w:val="single" w:sz="4" w:space="0" w:color="000000"/>
            </w:tcBorders>
            <w:shd w:val="clear" w:color="auto" w:fill="auto"/>
            <w:vAlign w:val="center"/>
          </w:tcPr>
          <w:p w14:paraId="46654CA6" w14:textId="5235A8D7" w:rsidR="00CC62FC" w:rsidRPr="00B27CB1" w:rsidRDefault="00CC62FC" w:rsidP="00CC62FC">
            <w:pPr>
              <w:snapToGrid w:val="0"/>
              <w:rPr>
                <w:rFonts w:eastAsia="Calibri"/>
                <w:i/>
                <w:color w:val="000000"/>
                <w:sz w:val="18"/>
                <w:szCs w:val="18"/>
                <w:lang w:eastAsia="en-US"/>
              </w:rPr>
            </w:pPr>
            <w:r w:rsidRPr="000D7D14">
              <w:rPr>
                <w:color w:val="000000"/>
                <w:sz w:val="18"/>
                <w:szCs w:val="18"/>
              </w:rPr>
              <w:lastRenderedPageBreak/>
              <w:t>Disinfectant, bactericidal activity</w:t>
            </w:r>
          </w:p>
        </w:tc>
        <w:tc>
          <w:tcPr>
            <w:tcW w:w="1165" w:type="dxa"/>
            <w:tcBorders>
              <w:top w:val="single" w:sz="6" w:space="0" w:color="000000"/>
              <w:left w:val="single" w:sz="6" w:space="0" w:color="000000"/>
              <w:bottom w:val="single" w:sz="4" w:space="0" w:color="000000"/>
            </w:tcBorders>
            <w:shd w:val="clear" w:color="auto" w:fill="auto"/>
            <w:vAlign w:val="center"/>
          </w:tcPr>
          <w:p w14:paraId="373A60EF" w14:textId="1ACFEBFF" w:rsidR="00CC62FC" w:rsidRPr="00B27CB1" w:rsidRDefault="00CC62FC" w:rsidP="00CC62FC">
            <w:pPr>
              <w:snapToGrid w:val="0"/>
              <w:rPr>
                <w:i/>
                <w:color w:val="000000"/>
                <w:sz w:val="18"/>
                <w:szCs w:val="18"/>
              </w:rPr>
            </w:pPr>
            <w:r w:rsidRPr="000D7D14">
              <w:rPr>
                <w:color w:val="000000"/>
                <w:sz w:val="18"/>
                <w:szCs w:val="18"/>
              </w:rPr>
              <w:t>Domestic area</w:t>
            </w:r>
          </w:p>
        </w:tc>
        <w:tc>
          <w:tcPr>
            <w:tcW w:w="1164" w:type="dxa"/>
            <w:tcBorders>
              <w:top w:val="single" w:sz="6" w:space="0" w:color="000000"/>
              <w:left w:val="single" w:sz="6" w:space="0" w:color="000000"/>
              <w:bottom w:val="single" w:sz="4" w:space="0" w:color="000000"/>
            </w:tcBorders>
            <w:shd w:val="clear" w:color="auto" w:fill="auto"/>
            <w:vAlign w:val="center"/>
          </w:tcPr>
          <w:p w14:paraId="359D4884" w14:textId="77777777" w:rsidR="00CC62FC" w:rsidRPr="000D7D14" w:rsidRDefault="00CC62FC" w:rsidP="00CC62FC">
            <w:pPr>
              <w:rPr>
                <w:color w:val="000000"/>
                <w:sz w:val="18"/>
                <w:szCs w:val="18"/>
              </w:rPr>
            </w:pPr>
            <w:r w:rsidRPr="000D7D14">
              <w:rPr>
                <w:color w:val="000000"/>
                <w:sz w:val="18"/>
                <w:szCs w:val="18"/>
              </w:rPr>
              <w:t>AL-S1-1-0</w:t>
            </w:r>
          </w:p>
          <w:p w14:paraId="55A5887D" w14:textId="634B21DD" w:rsidR="00CC62FC" w:rsidRPr="00B27CB1" w:rsidRDefault="00CE3037" w:rsidP="00CC62FC">
            <w:pPr>
              <w:snapToGrid w:val="0"/>
              <w:rPr>
                <w:i/>
                <w:color w:val="000000"/>
                <w:sz w:val="18"/>
                <w:szCs w:val="18"/>
              </w:rPr>
            </w:pPr>
            <w:r>
              <w:rPr>
                <w:color w:val="000000"/>
                <w:sz w:val="18"/>
                <w:szCs w:val="18"/>
              </w:rPr>
              <w:t>2.4</w:t>
            </w:r>
            <w:r w:rsidR="00CC62FC" w:rsidRPr="004D1209">
              <w:rPr>
                <w:color w:val="000000"/>
                <w:sz w:val="18"/>
                <w:szCs w:val="18"/>
              </w:rPr>
              <w:t>% lactic acid</w:t>
            </w:r>
          </w:p>
        </w:tc>
        <w:tc>
          <w:tcPr>
            <w:tcW w:w="1552" w:type="dxa"/>
            <w:tcBorders>
              <w:top w:val="single" w:sz="6" w:space="0" w:color="000000"/>
              <w:left w:val="single" w:sz="6" w:space="0" w:color="000000"/>
              <w:bottom w:val="single" w:sz="4" w:space="0" w:color="000000"/>
            </w:tcBorders>
            <w:shd w:val="clear" w:color="auto" w:fill="auto"/>
            <w:vAlign w:val="center"/>
          </w:tcPr>
          <w:p w14:paraId="38BD0E85" w14:textId="77777777" w:rsidR="00CC62FC" w:rsidRPr="000D7D14" w:rsidRDefault="00CC62FC" w:rsidP="00CC62FC">
            <w:pPr>
              <w:rPr>
                <w:i/>
                <w:sz w:val="18"/>
                <w:szCs w:val="18"/>
              </w:rPr>
            </w:pPr>
            <w:r w:rsidRPr="000D7D14">
              <w:rPr>
                <w:i/>
                <w:sz w:val="18"/>
                <w:szCs w:val="18"/>
              </w:rPr>
              <w:t xml:space="preserve">Bartonella henselae </w:t>
            </w:r>
          </w:p>
          <w:p w14:paraId="4A72112E" w14:textId="77777777" w:rsidR="00CC62FC" w:rsidRPr="00B27CB1" w:rsidRDefault="00CC62FC" w:rsidP="00CC62FC">
            <w:pPr>
              <w:snapToGrid w:val="0"/>
              <w:rPr>
                <w:i/>
                <w:color w:val="000000"/>
                <w:sz w:val="18"/>
                <w:szCs w:val="18"/>
              </w:rPr>
            </w:pPr>
          </w:p>
        </w:tc>
        <w:tc>
          <w:tcPr>
            <w:tcW w:w="1417" w:type="dxa"/>
            <w:tcBorders>
              <w:top w:val="single" w:sz="6" w:space="0" w:color="000000"/>
              <w:left w:val="single" w:sz="6" w:space="0" w:color="000000"/>
              <w:bottom w:val="single" w:sz="4" w:space="0" w:color="000000"/>
            </w:tcBorders>
            <w:shd w:val="clear" w:color="auto" w:fill="auto"/>
            <w:vAlign w:val="center"/>
          </w:tcPr>
          <w:p w14:paraId="1509EF86" w14:textId="47E2CF9F" w:rsidR="00CC62FC" w:rsidRPr="00B27CB1" w:rsidRDefault="00CC62FC" w:rsidP="00CC62FC">
            <w:pPr>
              <w:snapToGrid w:val="0"/>
              <w:rPr>
                <w:i/>
                <w:color w:val="000000"/>
                <w:sz w:val="18"/>
                <w:szCs w:val="18"/>
              </w:rPr>
            </w:pPr>
            <w:r w:rsidRPr="000D7D14">
              <w:rPr>
                <w:color w:val="000000"/>
                <w:sz w:val="18"/>
                <w:szCs w:val="18"/>
              </w:rPr>
              <w:t>NF EN 16615 (May 2015)</w:t>
            </w:r>
          </w:p>
        </w:tc>
        <w:tc>
          <w:tcPr>
            <w:tcW w:w="3402" w:type="dxa"/>
            <w:tcBorders>
              <w:top w:val="single" w:sz="6" w:space="0" w:color="000000"/>
              <w:left w:val="single" w:sz="6" w:space="0" w:color="000000"/>
              <w:bottom w:val="single" w:sz="4" w:space="0" w:color="000000"/>
            </w:tcBorders>
            <w:shd w:val="clear" w:color="auto" w:fill="auto"/>
            <w:vAlign w:val="center"/>
          </w:tcPr>
          <w:p w14:paraId="6343CF4A" w14:textId="10BD5BB0" w:rsidR="00CC62FC" w:rsidRPr="004D1209" w:rsidRDefault="00CC62FC" w:rsidP="00CC62FC">
            <w:pPr>
              <w:snapToGrid w:val="0"/>
              <w:rPr>
                <w:color w:val="000000"/>
                <w:sz w:val="18"/>
                <w:szCs w:val="18"/>
              </w:rPr>
            </w:pPr>
            <w:r w:rsidRPr="004D1209">
              <w:rPr>
                <w:color w:val="000000"/>
                <w:sz w:val="18"/>
                <w:szCs w:val="18"/>
              </w:rPr>
              <w:t>Phase 2 step 2 (su</w:t>
            </w:r>
            <w:r w:rsidR="00D6010B">
              <w:rPr>
                <w:color w:val="000000"/>
                <w:sz w:val="18"/>
                <w:szCs w:val="18"/>
              </w:rPr>
              <w:t>rface</w:t>
            </w:r>
            <w:r w:rsidRPr="004D1209">
              <w:rPr>
                <w:color w:val="000000"/>
                <w:sz w:val="18"/>
                <w:szCs w:val="18"/>
              </w:rPr>
              <w:t xml:space="preserve"> test)</w:t>
            </w:r>
          </w:p>
          <w:p w14:paraId="764E0B0B" w14:textId="77777777" w:rsidR="00CC62FC" w:rsidRPr="000D7D14" w:rsidRDefault="00CC62FC" w:rsidP="00CC62FC">
            <w:pPr>
              <w:rPr>
                <w:color w:val="000000"/>
                <w:sz w:val="18"/>
                <w:szCs w:val="18"/>
              </w:rPr>
            </w:pPr>
            <w:r w:rsidRPr="000D7D14">
              <w:rPr>
                <w:color w:val="000000"/>
                <w:sz w:val="18"/>
                <w:szCs w:val="18"/>
              </w:rPr>
              <w:t>Tested concentrations of 100% and 10% (v/v) of the product on the wipe required with an impregnation rate of 16 ml.</w:t>
            </w:r>
          </w:p>
          <w:p w14:paraId="2B0A8FC5" w14:textId="77777777" w:rsidR="00CC62FC" w:rsidRPr="000D7D14" w:rsidRDefault="00CC62FC" w:rsidP="00CC62FC">
            <w:pPr>
              <w:rPr>
                <w:color w:val="000000"/>
                <w:sz w:val="18"/>
                <w:szCs w:val="18"/>
              </w:rPr>
            </w:pPr>
            <w:r w:rsidRPr="000D7D14">
              <w:rPr>
                <w:color w:val="000000"/>
                <w:sz w:val="18"/>
                <w:szCs w:val="18"/>
              </w:rPr>
              <w:t>Contact time: 5 minutes</w:t>
            </w:r>
          </w:p>
          <w:p w14:paraId="4F3A4C43" w14:textId="77777777" w:rsidR="00CC62FC" w:rsidRPr="000D7D14" w:rsidRDefault="00CC62FC" w:rsidP="00CC62FC">
            <w:pPr>
              <w:rPr>
                <w:color w:val="000000"/>
                <w:sz w:val="18"/>
                <w:szCs w:val="18"/>
              </w:rPr>
            </w:pPr>
            <w:r w:rsidRPr="000D7D14">
              <w:rPr>
                <w:color w:val="000000"/>
                <w:sz w:val="18"/>
                <w:szCs w:val="18"/>
              </w:rPr>
              <w:t xml:space="preserve">Temperature: 20°C </w:t>
            </w:r>
          </w:p>
          <w:p w14:paraId="0A8C7C10" w14:textId="02532F91" w:rsidR="00CC62FC" w:rsidRPr="000D7D14" w:rsidRDefault="00CC62FC" w:rsidP="00CC62FC">
            <w:pPr>
              <w:rPr>
                <w:color w:val="000000"/>
                <w:sz w:val="18"/>
                <w:szCs w:val="18"/>
              </w:rPr>
            </w:pPr>
            <w:r w:rsidRPr="000D7D14">
              <w:rPr>
                <w:color w:val="000000"/>
                <w:sz w:val="18"/>
                <w:szCs w:val="18"/>
              </w:rPr>
              <w:t>Dirty conditions: 2.7 g/L BSA and skimmed milk at 8.5 g/L</w:t>
            </w:r>
            <w:r w:rsidR="00D6010B">
              <w:rPr>
                <w:color w:val="000000"/>
                <w:sz w:val="18"/>
                <w:szCs w:val="18"/>
              </w:rPr>
              <w:t xml:space="preserve"> (equivalent to 3 g/L BSA as 8,5 g/L skimmed milk simulates 0,3 g/L BSA for strains with drying loss)</w:t>
            </w:r>
            <w:r w:rsidRPr="000D7D14">
              <w:rPr>
                <w:color w:val="000000"/>
                <w:sz w:val="18"/>
                <w:szCs w:val="18"/>
              </w:rPr>
              <w:t>.</w:t>
            </w:r>
          </w:p>
          <w:p w14:paraId="4A801D7F" w14:textId="77777777" w:rsidR="00CC62FC" w:rsidRPr="000D7D14" w:rsidRDefault="00CC62FC" w:rsidP="00CC62FC">
            <w:pPr>
              <w:autoSpaceDE w:val="0"/>
              <w:autoSpaceDN w:val="0"/>
              <w:adjustRightInd w:val="0"/>
              <w:rPr>
                <w:color w:val="000000"/>
                <w:sz w:val="18"/>
                <w:szCs w:val="18"/>
                <w:lang w:val="en-US"/>
              </w:rPr>
            </w:pPr>
          </w:p>
          <w:p w14:paraId="3936AB0A" w14:textId="2FF86701" w:rsidR="00CC62FC" w:rsidRPr="00B27CB1" w:rsidRDefault="00CC62FC" w:rsidP="00CC62FC">
            <w:pPr>
              <w:snapToGrid w:val="0"/>
              <w:rPr>
                <w:color w:val="000000"/>
                <w:sz w:val="18"/>
                <w:szCs w:val="18"/>
              </w:rPr>
            </w:pPr>
            <w:r w:rsidRPr="004D1209">
              <w:rPr>
                <w:color w:val="000000"/>
                <w:sz w:val="18"/>
                <w:szCs w:val="18"/>
              </w:rPr>
              <w:t>Criteria: ≥ 5 log unit reduction</w:t>
            </w:r>
          </w:p>
        </w:tc>
        <w:tc>
          <w:tcPr>
            <w:tcW w:w="2552" w:type="dxa"/>
            <w:tcBorders>
              <w:top w:val="single" w:sz="6" w:space="0" w:color="000000"/>
              <w:left w:val="single" w:sz="6" w:space="0" w:color="000000"/>
              <w:bottom w:val="single" w:sz="4" w:space="0" w:color="000000"/>
            </w:tcBorders>
            <w:shd w:val="clear" w:color="auto" w:fill="auto"/>
            <w:vAlign w:val="center"/>
          </w:tcPr>
          <w:p w14:paraId="67947158" w14:textId="60A02525" w:rsidR="00CC62FC" w:rsidRPr="00344BDC" w:rsidRDefault="000E677D" w:rsidP="00CC62FC">
            <w:pPr>
              <w:snapToGrid w:val="0"/>
              <w:rPr>
                <w:color w:val="000000"/>
                <w:sz w:val="18"/>
                <w:szCs w:val="18"/>
              </w:rPr>
            </w:pPr>
            <w:r w:rsidRPr="004D1209">
              <w:rPr>
                <w:color w:val="000000"/>
                <w:sz w:val="18"/>
                <w:szCs w:val="18"/>
              </w:rPr>
              <w:t>Activity</w:t>
            </w:r>
            <w:r w:rsidR="00CC62FC" w:rsidRPr="004D1209">
              <w:rPr>
                <w:color w:val="000000"/>
                <w:sz w:val="18"/>
                <w:szCs w:val="18"/>
              </w:rPr>
              <w:t xml:space="preserve"> </w:t>
            </w:r>
            <w:r w:rsidR="00D6010B">
              <w:rPr>
                <w:color w:val="000000"/>
                <w:sz w:val="18"/>
                <w:szCs w:val="18"/>
              </w:rPr>
              <w:t xml:space="preserve">against </w:t>
            </w:r>
            <w:r w:rsidR="00D6010B" w:rsidRPr="00453B14">
              <w:rPr>
                <w:i/>
                <w:color w:val="000000"/>
                <w:sz w:val="18"/>
                <w:szCs w:val="18"/>
              </w:rPr>
              <w:t>B.henselae</w:t>
            </w:r>
            <w:r w:rsidR="00D6010B">
              <w:rPr>
                <w:color w:val="000000"/>
                <w:sz w:val="18"/>
                <w:szCs w:val="18"/>
              </w:rPr>
              <w:t xml:space="preserve"> </w:t>
            </w:r>
            <w:r w:rsidR="00CC62FC" w:rsidRPr="004D1209">
              <w:rPr>
                <w:color w:val="000000"/>
                <w:sz w:val="18"/>
                <w:szCs w:val="18"/>
              </w:rPr>
              <w:t>is not demonstrated at 10 % v/v and 100% v/v (</w:t>
            </w:r>
            <w:r w:rsidR="00D438D3">
              <w:rPr>
                <w:color w:val="000000"/>
                <w:sz w:val="18"/>
                <w:szCs w:val="18"/>
              </w:rPr>
              <w:t>red log</w:t>
            </w:r>
            <w:r w:rsidR="00CC62FC" w:rsidRPr="004D1209">
              <w:rPr>
                <w:color w:val="000000"/>
                <w:sz w:val="18"/>
                <w:szCs w:val="18"/>
              </w:rPr>
              <w:t xml:space="preserve"> &gt; 3</w:t>
            </w:r>
            <w:r w:rsidRPr="004D1209">
              <w:rPr>
                <w:color w:val="000000"/>
                <w:sz w:val="18"/>
                <w:szCs w:val="18"/>
              </w:rPr>
              <w:t>, 91</w:t>
            </w:r>
            <w:r w:rsidR="00CC62FC" w:rsidRPr="004D1209">
              <w:rPr>
                <w:color w:val="000000"/>
                <w:sz w:val="18"/>
                <w:szCs w:val="18"/>
              </w:rPr>
              <w:t>)</w:t>
            </w:r>
            <w:r w:rsidR="00CC62FC" w:rsidRPr="00344BDC">
              <w:rPr>
                <w:color w:val="000000"/>
                <w:sz w:val="18"/>
                <w:szCs w:val="18"/>
              </w:rPr>
              <w:t>.</w:t>
            </w:r>
          </w:p>
          <w:p w14:paraId="44CD30F5" w14:textId="77777777" w:rsidR="00CC62FC" w:rsidRPr="000D7D14" w:rsidRDefault="00CC62FC" w:rsidP="00CC62FC">
            <w:pPr>
              <w:rPr>
                <w:color w:val="000000"/>
                <w:sz w:val="18"/>
                <w:szCs w:val="18"/>
              </w:rPr>
            </w:pPr>
          </w:p>
          <w:p w14:paraId="014C83CA" w14:textId="0EDC07BD" w:rsidR="00CC62FC" w:rsidRPr="00B27CB1" w:rsidRDefault="00CC62FC" w:rsidP="00CC62FC">
            <w:pPr>
              <w:snapToGrid w:val="0"/>
              <w:rPr>
                <w:color w:val="000000"/>
                <w:sz w:val="18"/>
                <w:szCs w:val="18"/>
              </w:rPr>
            </w:pPr>
            <w:r w:rsidRPr="004D1209">
              <w:rPr>
                <w:color w:val="000000"/>
                <w:sz w:val="18"/>
                <w:szCs w:val="18"/>
                <w:lang w:val="en-US"/>
              </w:rPr>
              <w:t>Not possible to observe 5 log of reduction as the method is not adapted to this strain: not sufficient recovery of bacteria on the test surface</w:t>
            </w:r>
            <w:r w:rsidRPr="00344BDC">
              <w:rPr>
                <w:color w:val="000000"/>
                <w:sz w:val="18"/>
                <w:szCs w:val="18"/>
                <w:lang w:val="en-US"/>
              </w:rPr>
              <w:t xml:space="preserve"> (natural drying loss)</w:t>
            </w:r>
          </w:p>
        </w:tc>
        <w:tc>
          <w:tcPr>
            <w:tcW w:w="1843" w:type="dxa"/>
            <w:tcBorders>
              <w:top w:val="single" w:sz="6" w:space="0" w:color="000000"/>
              <w:left w:val="single" w:sz="6" w:space="0" w:color="000000"/>
              <w:bottom w:val="single" w:sz="4" w:space="0" w:color="000000"/>
              <w:right w:val="single" w:sz="4" w:space="0" w:color="000000"/>
            </w:tcBorders>
            <w:shd w:val="clear" w:color="auto" w:fill="auto"/>
            <w:vAlign w:val="center"/>
          </w:tcPr>
          <w:p w14:paraId="2A21A43F" w14:textId="77777777" w:rsidR="00CC62FC" w:rsidRPr="000D7D14" w:rsidRDefault="00CC62FC" w:rsidP="00CC62FC">
            <w:pPr>
              <w:rPr>
                <w:color w:val="000000"/>
                <w:sz w:val="18"/>
                <w:szCs w:val="18"/>
              </w:rPr>
            </w:pPr>
            <w:r w:rsidRPr="000D7D14">
              <w:rPr>
                <w:color w:val="000000"/>
                <w:sz w:val="18"/>
                <w:szCs w:val="18"/>
              </w:rPr>
              <w:t>Pinon A., 2020, Report No 190287</w:t>
            </w:r>
          </w:p>
          <w:p w14:paraId="6F689819" w14:textId="370F29DF" w:rsidR="00CC62FC" w:rsidRPr="00B27CB1" w:rsidRDefault="00CC62FC" w:rsidP="00CC62FC">
            <w:pPr>
              <w:snapToGrid w:val="0"/>
              <w:rPr>
                <w:i/>
                <w:color w:val="000000"/>
                <w:sz w:val="18"/>
                <w:szCs w:val="18"/>
              </w:rPr>
            </w:pPr>
            <w:r w:rsidRPr="000D7D14">
              <w:rPr>
                <w:color w:val="000000"/>
                <w:sz w:val="18"/>
                <w:szCs w:val="18"/>
              </w:rPr>
              <w:t>RI=2</w:t>
            </w:r>
          </w:p>
        </w:tc>
      </w:tr>
    </w:tbl>
    <w:p w14:paraId="1F88A771" w14:textId="77777777" w:rsidR="00CC62FC" w:rsidRDefault="00CC62FC">
      <w:pPr>
        <w:spacing w:line="260" w:lineRule="atLeast"/>
        <w:rPr>
          <w:rFonts w:eastAsia="Calibri"/>
          <w:b/>
          <w:bCs/>
          <w:lang w:eastAsia="en-US"/>
        </w:rPr>
        <w:sectPr w:rsidR="00CC62FC" w:rsidSect="00634844">
          <w:pgSz w:w="16838" w:h="11906" w:orient="landscape"/>
          <w:pgMar w:top="1446" w:right="1474" w:bottom="1247" w:left="2013" w:header="851" w:footer="851" w:gutter="0"/>
          <w:cols w:space="720"/>
          <w:docGrid w:linePitch="272"/>
        </w:sectPr>
      </w:pPr>
    </w:p>
    <w:p w14:paraId="27850B81" w14:textId="37D0AD55" w:rsidR="00CC62FC" w:rsidRPr="007A4DA8" w:rsidRDefault="00CC62FC" w:rsidP="00CC62FC">
      <w:pPr>
        <w:pStyle w:val="Paragraphedeliste"/>
        <w:numPr>
          <w:ilvl w:val="0"/>
          <w:numId w:val="23"/>
        </w:numPr>
        <w:spacing w:line="260" w:lineRule="atLeast"/>
        <w:jc w:val="both"/>
        <w:rPr>
          <w:rFonts w:eastAsia="Calibri"/>
          <w:b/>
          <w:iCs/>
          <w:szCs w:val="24"/>
          <w:lang w:eastAsia="en-US"/>
        </w:rPr>
      </w:pPr>
      <w:r w:rsidRPr="007A4DA8">
        <w:rPr>
          <w:rFonts w:eastAsia="Calibri"/>
          <w:b/>
          <w:iCs/>
          <w:szCs w:val="24"/>
          <w:lang w:eastAsia="en-US"/>
        </w:rPr>
        <w:lastRenderedPageBreak/>
        <w:t>Meta SPC 2:</w:t>
      </w:r>
      <w:r w:rsidRPr="007A4DA8">
        <w:rPr>
          <w:b/>
        </w:rPr>
        <w:t xml:space="preserve"> </w:t>
      </w:r>
      <w:r w:rsidR="00B73E8D" w:rsidRPr="007A4DA8">
        <w:rPr>
          <w:rFonts w:eastAsia="Calibri"/>
          <w:b/>
          <w:lang w:eastAsia="en-US"/>
        </w:rPr>
        <w:t xml:space="preserve">Disinfectant for hard surfaces </w:t>
      </w:r>
      <w:r w:rsidR="00733D14" w:rsidRPr="007A4DA8">
        <w:rPr>
          <w:rFonts w:eastAsia="Calibri"/>
          <w:b/>
          <w:lang w:eastAsia="en-US"/>
        </w:rPr>
        <w:t>in</w:t>
      </w:r>
      <w:r w:rsidR="00B73E8D" w:rsidRPr="007A4DA8">
        <w:rPr>
          <w:rFonts w:eastAsia="Calibri"/>
          <w:b/>
          <w:lang w:eastAsia="en-US"/>
        </w:rPr>
        <w:t xml:space="preserve"> domestic area, industry, institution, healthcare facilities and, food preparation and handling areas</w:t>
      </w:r>
      <w:r w:rsidR="0098661C" w:rsidRPr="007A4DA8">
        <w:rPr>
          <w:rFonts w:eastAsia="Calibri"/>
          <w:b/>
          <w:iCs/>
          <w:szCs w:val="24"/>
          <w:lang w:eastAsia="en-US"/>
        </w:rPr>
        <w:t>,</w:t>
      </w:r>
      <w:r w:rsidRPr="007A4DA8">
        <w:rPr>
          <w:rFonts w:eastAsia="Calibri"/>
          <w:b/>
          <w:iCs/>
          <w:szCs w:val="24"/>
          <w:lang w:eastAsia="en-US"/>
        </w:rPr>
        <w:t xml:space="preserve"> </w:t>
      </w:r>
      <w:r w:rsidR="0098661C" w:rsidRPr="007A4DA8">
        <w:rPr>
          <w:rFonts w:eastAsia="Calibri"/>
          <w:b/>
          <w:lang w:eastAsia="en-US"/>
        </w:rPr>
        <w:t xml:space="preserve">by </w:t>
      </w:r>
      <w:r w:rsidR="0098661C" w:rsidRPr="007A4DA8">
        <w:rPr>
          <w:b/>
        </w:rPr>
        <w:t>spraying, wiping (applying product onto wipe followed by wiping</w:t>
      </w:r>
      <w:r w:rsidR="003B6AF8" w:rsidRPr="007A4DA8">
        <w:rPr>
          <w:b/>
        </w:rPr>
        <w:t>) and mopping</w:t>
      </w:r>
      <w:r w:rsidR="00B73E8D" w:rsidRPr="007A4DA8">
        <w:rPr>
          <w:b/>
        </w:rPr>
        <w:t xml:space="preserve"> (applying product onto mop followed by mopping)</w:t>
      </w:r>
      <w:r w:rsidR="00453B14" w:rsidRPr="007A4DA8">
        <w:rPr>
          <w:b/>
        </w:rPr>
        <w:t xml:space="preserve"> –</w:t>
      </w:r>
      <w:r w:rsidR="00FE67A2" w:rsidRPr="007A4DA8">
        <w:rPr>
          <w:b/>
        </w:rPr>
        <w:t xml:space="preserve"> </w:t>
      </w:r>
      <w:r w:rsidR="00453B14" w:rsidRPr="007A4DA8">
        <w:rPr>
          <w:b/>
        </w:rPr>
        <w:t>PT2/4</w:t>
      </w:r>
    </w:p>
    <w:p w14:paraId="361723D0" w14:textId="77777777" w:rsidR="00CC62FC" w:rsidRDefault="00CC62FC" w:rsidP="00CC62FC">
      <w:pPr>
        <w:spacing w:line="260" w:lineRule="atLeast"/>
        <w:contextualSpacing/>
        <w:jc w:val="both"/>
        <w:rPr>
          <w:lang w:eastAsia="en-US"/>
        </w:rPr>
      </w:pPr>
    </w:p>
    <w:p w14:paraId="30C5B522" w14:textId="0602B6E4" w:rsidR="00CC62FC" w:rsidRDefault="00CC62FC" w:rsidP="00CC62FC">
      <w:pPr>
        <w:spacing w:line="260" w:lineRule="atLeast"/>
        <w:jc w:val="both"/>
        <w:rPr>
          <w:lang w:eastAsia="en-US"/>
        </w:rPr>
      </w:pPr>
      <w:r w:rsidRPr="005C303E">
        <w:rPr>
          <w:lang w:eastAsia="en-US"/>
        </w:rPr>
        <w:t>META-SPC</w:t>
      </w:r>
      <w:r>
        <w:rPr>
          <w:lang w:eastAsia="en-US"/>
        </w:rPr>
        <w:t>2</w:t>
      </w:r>
      <w:r w:rsidRPr="005C303E">
        <w:rPr>
          <w:lang w:eastAsia="en-US"/>
        </w:rPr>
        <w:t xml:space="preserve"> contains </w:t>
      </w:r>
      <w:r>
        <w:rPr>
          <w:lang w:eastAsia="en-US"/>
        </w:rPr>
        <w:t xml:space="preserve">ready-to-use </w:t>
      </w:r>
      <w:r w:rsidRPr="005C303E">
        <w:rPr>
          <w:lang w:eastAsia="en-US"/>
        </w:rPr>
        <w:t xml:space="preserve">products </w:t>
      </w:r>
      <w:r>
        <w:rPr>
          <w:lang w:eastAsia="en-US"/>
        </w:rPr>
        <w:t xml:space="preserve">containing 3% w/w lactic acid, and minor variations of coformulants, in low concentrations without biocidal activity. </w:t>
      </w:r>
    </w:p>
    <w:p w14:paraId="2BC2B9A3" w14:textId="0B66A3B5" w:rsidR="00CC62FC" w:rsidRDefault="00CC62FC" w:rsidP="00CC62FC">
      <w:pPr>
        <w:spacing w:line="260" w:lineRule="atLeast"/>
        <w:jc w:val="both"/>
        <w:rPr>
          <w:rFonts w:cs="Arial"/>
          <w:lang w:eastAsia="en-US"/>
        </w:rPr>
      </w:pPr>
      <w:r>
        <w:rPr>
          <w:lang w:eastAsia="en-US"/>
        </w:rPr>
        <w:t>Efficacy studies have been performed with representative product</w:t>
      </w:r>
      <w:r w:rsidR="0098661C">
        <w:rPr>
          <w:lang w:eastAsia="en-US"/>
        </w:rPr>
        <w:t>s</w:t>
      </w:r>
      <w:r>
        <w:rPr>
          <w:lang w:eastAsia="en-US"/>
        </w:rPr>
        <w:t xml:space="preserve"> </w:t>
      </w:r>
      <w:r w:rsidRPr="002E01EC">
        <w:rPr>
          <w:rFonts w:eastAsia="Calibri"/>
          <w:iCs/>
          <w:szCs w:val="24"/>
          <w:lang w:eastAsia="en-US"/>
        </w:rPr>
        <w:t>AL-S2-1-0 (3% w/w lactic acid</w:t>
      </w:r>
      <w:r w:rsidR="00511583">
        <w:rPr>
          <w:rFonts w:eastAsia="Calibri"/>
          <w:iCs/>
          <w:szCs w:val="24"/>
          <w:lang w:eastAsia="en-US"/>
        </w:rPr>
        <w:t>)</w:t>
      </w:r>
      <w:r w:rsidRPr="002E01EC">
        <w:rPr>
          <w:rFonts w:eastAsia="Calibri"/>
          <w:iCs/>
          <w:szCs w:val="24"/>
          <w:lang w:eastAsia="en-US"/>
        </w:rPr>
        <w:t xml:space="preserve"> and AL-S1-1-0 (</w:t>
      </w:r>
      <w:r w:rsidR="00BC667C">
        <w:rPr>
          <w:rFonts w:eastAsia="Calibri"/>
          <w:iCs/>
          <w:szCs w:val="24"/>
          <w:lang w:eastAsia="en-US"/>
        </w:rPr>
        <w:t>2.4</w:t>
      </w:r>
      <w:r w:rsidRPr="002E01EC">
        <w:rPr>
          <w:rFonts w:eastAsia="Calibri"/>
          <w:iCs/>
          <w:szCs w:val="24"/>
          <w:lang w:eastAsia="en-US"/>
        </w:rPr>
        <w:t xml:space="preserve">% w/w lactic acid) from META-SPC1. </w:t>
      </w:r>
      <w:r>
        <w:rPr>
          <w:rFonts w:cs="Arial"/>
          <w:lang w:eastAsia="en-US"/>
        </w:rPr>
        <w:t>T</w:t>
      </w:r>
      <w:r w:rsidRPr="00BC532C">
        <w:rPr>
          <w:rFonts w:cs="Arial"/>
          <w:lang w:eastAsia="en-US"/>
        </w:rPr>
        <w:t xml:space="preserve">aking into account </w:t>
      </w:r>
      <w:r>
        <w:rPr>
          <w:rFonts w:cs="Arial"/>
          <w:lang w:eastAsia="en-US"/>
        </w:rPr>
        <w:t xml:space="preserve">that </w:t>
      </w:r>
      <w:r w:rsidR="0098661C">
        <w:rPr>
          <w:rFonts w:cs="Arial"/>
          <w:lang w:eastAsia="en-US"/>
        </w:rPr>
        <w:t xml:space="preserve">products from </w:t>
      </w:r>
      <w:r>
        <w:rPr>
          <w:rFonts w:cs="Arial"/>
          <w:lang w:eastAsia="en-US"/>
        </w:rPr>
        <w:t>META-SPC 1 ha</w:t>
      </w:r>
      <w:r w:rsidR="0098661C">
        <w:rPr>
          <w:rFonts w:cs="Arial"/>
          <w:lang w:eastAsia="en-US"/>
        </w:rPr>
        <w:t>ve</w:t>
      </w:r>
      <w:r>
        <w:rPr>
          <w:rFonts w:cs="Arial"/>
          <w:lang w:eastAsia="en-US"/>
        </w:rPr>
        <w:t xml:space="preserve"> a lower AS concentration, that the compositions of META SPC1 and META-SPC2 are relatively similar and t</w:t>
      </w:r>
      <w:r w:rsidRPr="00BC532C">
        <w:rPr>
          <w:rFonts w:cs="Arial"/>
          <w:lang w:eastAsia="en-US"/>
        </w:rPr>
        <w:t xml:space="preserve">he </w:t>
      </w:r>
      <w:r>
        <w:rPr>
          <w:rFonts w:cs="Arial"/>
          <w:lang w:eastAsia="en-US"/>
        </w:rPr>
        <w:t xml:space="preserve">minor </w:t>
      </w:r>
      <w:r w:rsidRPr="00BC532C">
        <w:rPr>
          <w:rFonts w:cs="Arial"/>
          <w:lang w:eastAsia="en-US"/>
        </w:rPr>
        <w:t>variations of the co-formulants presented in the META-SPC</w:t>
      </w:r>
      <w:r>
        <w:rPr>
          <w:rFonts w:cs="Arial"/>
          <w:lang w:eastAsia="en-US"/>
        </w:rPr>
        <w:t>2</w:t>
      </w:r>
      <w:r w:rsidRPr="00BC532C">
        <w:rPr>
          <w:rFonts w:cs="Arial"/>
          <w:lang w:eastAsia="en-US"/>
        </w:rPr>
        <w:t>, it can be assumed that they have no impact on efficacy and the efficacy results of the representative product</w:t>
      </w:r>
      <w:r>
        <w:rPr>
          <w:rFonts w:cs="Arial"/>
          <w:lang w:eastAsia="en-US"/>
        </w:rPr>
        <w:t>s</w:t>
      </w:r>
      <w:r w:rsidRPr="00BC532C">
        <w:rPr>
          <w:rFonts w:cs="Arial"/>
          <w:lang w:eastAsia="en-US"/>
        </w:rPr>
        <w:t xml:space="preserve"> </w:t>
      </w:r>
      <w:r w:rsidRPr="00C914AE">
        <w:rPr>
          <w:rFonts w:eastAsia="Calibri"/>
          <w:iCs/>
          <w:szCs w:val="24"/>
          <w:lang w:eastAsia="en-US"/>
        </w:rPr>
        <w:t xml:space="preserve">AL-S2-1-0 and AL-S1-1-0 </w:t>
      </w:r>
      <w:r>
        <w:rPr>
          <w:rFonts w:cs="Arial"/>
          <w:lang w:eastAsia="en-US"/>
        </w:rPr>
        <w:t>cover the whole META-SPC2</w:t>
      </w:r>
      <w:r w:rsidRPr="00BC532C">
        <w:rPr>
          <w:rFonts w:cs="Arial"/>
          <w:lang w:eastAsia="en-US"/>
        </w:rPr>
        <w:t xml:space="preserve"> claims</w:t>
      </w:r>
      <w:r>
        <w:rPr>
          <w:rFonts w:cs="Arial"/>
          <w:lang w:eastAsia="en-US"/>
        </w:rPr>
        <w:t>.</w:t>
      </w:r>
    </w:p>
    <w:p w14:paraId="68586559" w14:textId="77777777" w:rsidR="00CC62FC" w:rsidRDefault="00CC62FC" w:rsidP="00CC62FC">
      <w:pPr>
        <w:spacing w:line="260" w:lineRule="atLeast"/>
        <w:jc w:val="both"/>
        <w:rPr>
          <w:rFonts w:eastAsia="Calibri"/>
          <w:iCs/>
          <w:szCs w:val="24"/>
          <w:u w:val="single"/>
          <w:lang w:eastAsia="en-US"/>
        </w:rPr>
      </w:pPr>
    </w:p>
    <w:p w14:paraId="2234FDF2" w14:textId="77777777" w:rsidR="00CC62FC" w:rsidRPr="00287C20" w:rsidRDefault="00CC62FC" w:rsidP="00CC62FC">
      <w:pPr>
        <w:spacing w:line="260" w:lineRule="atLeast"/>
        <w:jc w:val="both"/>
        <w:rPr>
          <w:rFonts w:eastAsia="Calibri"/>
          <w:iCs/>
          <w:szCs w:val="24"/>
          <w:u w:val="single"/>
          <w:lang w:eastAsia="en-US"/>
        </w:rPr>
      </w:pPr>
      <w:r>
        <w:rPr>
          <w:lang w:eastAsia="en-US"/>
        </w:rPr>
        <w:t>B</w:t>
      </w:r>
      <w:r w:rsidRPr="003D493E">
        <w:rPr>
          <w:lang w:eastAsia="en-US"/>
        </w:rPr>
        <w:t xml:space="preserve">actericidal activity is demonstrated both in phase 2, steps 1 </w:t>
      </w:r>
      <w:r>
        <w:rPr>
          <w:lang w:eastAsia="en-US"/>
        </w:rPr>
        <w:t xml:space="preserve">and 2 </w:t>
      </w:r>
      <w:r w:rsidRPr="003D493E">
        <w:rPr>
          <w:lang w:eastAsia="en-US"/>
        </w:rPr>
        <w:t>tests</w:t>
      </w:r>
      <w:r>
        <w:rPr>
          <w:lang w:eastAsia="en-US"/>
        </w:rPr>
        <w:t xml:space="preserve"> (EN 1276 and EN 13697), </w:t>
      </w:r>
      <w:r w:rsidRPr="003D493E">
        <w:rPr>
          <w:lang w:eastAsia="en-US"/>
        </w:rPr>
        <w:t xml:space="preserve">at </w:t>
      </w:r>
      <w:r>
        <w:rPr>
          <w:lang w:eastAsia="en-US"/>
        </w:rPr>
        <w:t xml:space="preserve">20 </w:t>
      </w:r>
      <w:r w:rsidRPr="003D493E">
        <w:rPr>
          <w:lang w:eastAsia="en-US"/>
        </w:rPr>
        <w:t xml:space="preserve">°C, with a contact time of </w:t>
      </w:r>
      <w:r>
        <w:rPr>
          <w:lang w:eastAsia="en-US"/>
        </w:rPr>
        <w:t xml:space="preserve">5 </w:t>
      </w:r>
      <w:r w:rsidRPr="003D493E">
        <w:rPr>
          <w:lang w:eastAsia="en-US"/>
        </w:rPr>
        <w:t xml:space="preserve">minutes, </w:t>
      </w:r>
      <w:r>
        <w:rPr>
          <w:lang w:eastAsia="en-US"/>
        </w:rPr>
        <w:t xml:space="preserve">in </w:t>
      </w:r>
      <w:r w:rsidRPr="00AB27D1">
        <w:rPr>
          <w:lang w:eastAsia="en-US"/>
        </w:rPr>
        <w:t>dirty conditions (3.0 g/L BSA)</w:t>
      </w:r>
      <w:r w:rsidRPr="001337FD">
        <w:rPr>
          <w:lang w:eastAsia="en-US"/>
        </w:rPr>
        <w:t>.</w:t>
      </w:r>
      <w:r w:rsidRPr="00545F86">
        <w:rPr>
          <w:lang w:eastAsia="en-US"/>
        </w:rPr>
        <w:t xml:space="preserve"> </w:t>
      </w:r>
      <w:r w:rsidRPr="003D493E">
        <w:rPr>
          <w:lang w:eastAsia="en-US"/>
        </w:rPr>
        <w:t xml:space="preserve">In these conditions, bactericidal activity is shown at the in-use concentration of </w:t>
      </w:r>
      <w:r>
        <w:rPr>
          <w:lang w:eastAsia="en-US"/>
        </w:rPr>
        <w:t>50 % v/v.</w:t>
      </w:r>
    </w:p>
    <w:p w14:paraId="65FEF4FE" w14:textId="77777777" w:rsidR="00CC62FC" w:rsidRDefault="00CC62FC" w:rsidP="00CC62FC">
      <w:pPr>
        <w:spacing w:line="260" w:lineRule="atLeast"/>
        <w:contextualSpacing/>
        <w:jc w:val="both"/>
        <w:rPr>
          <w:lang w:eastAsia="en-US"/>
        </w:rPr>
      </w:pPr>
      <w:r>
        <w:rPr>
          <w:lang w:eastAsia="en-US"/>
        </w:rPr>
        <w:t xml:space="preserve">An </w:t>
      </w:r>
      <w:r w:rsidRPr="003D493E">
        <w:rPr>
          <w:lang w:eastAsia="en-US"/>
        </w:rPr>
        <w:t>activity</w:t>
      </w:r>
      <w:r>
        <w:rPr>
          <w:lang w:eastAsia="en-US"/>
        </w:rPr>
        <w:t xml:space="preserve"> </w:t>
      </w:r>
      <w:r>
        <w:rPr>
          <w:rFonts w:eastAsia="Calibri"/>
          <w:lang w:eastAsia="en-US"/>
        </w:rPr>
        <w:t>against</w:t>
      </w:r>
      <w:r w:rsidRPr="00766B91">
        <w:rPr>
          <w:rFonts w:eastAsia="Calibri"/>
          <w:lang w:eastAsia="en-US"/>
        </w:rPr>
        <w:t xml:space="preserve"> additional strain</w:t>
      </w:r>
      <w:r>
        <w:rPr>
          <w:rFonts w:eastAsia="Calibri"/>
          <w:lang w:eastAsia="en-US"/>
        </w:rPr>
        <w:t>s</w:t>
      </w:r>
      <w:r w:rsidRPr="00766B91">
        <w:rPr>
          <w:rFonts w:eastAsia="Calibri"/>
          <w:lang w:eastAsia="en-US"/>
        </w:rPr>
        <w:t xml:space="preserve"> </w:t>
      </w:r>
      <w:r w:rsidRPr="001D704F">
        <w:rPr>
          <w:rFonts w:eastAsia="Calibri"/>
          <w:i/>
          <w:lang w:eastAsia="en-US"/>
        </w:rPr>
        <w:t xml:space="preserve">Salmonella </w:t>
      </w:r>
      <w:r w:rsidRPr="00C055F6">
        <w:rPr>
          <w:rFonts w:eastAsia="Calibri"/>
          <w:lang w:eastAsia="en-US"/>
        </w:rPr>
        <w:t>Typhimurium</w:t>
      </w:r>
      <w:r w:rsidRPr="003A20D6">
        <w:rPr>
          <w:rFonts w:eastAsia="Calibri"/>
          <w:lang w:eastAsia="en-US"/>
        </w:rPr>
        <w:t xml:space="preserve"> </w:t>
      </w:r>
      <w:r w:rsidRPr="00766B91">
        <w:rPr>
          <w:rFonts w:eastAsia="Calibri"/>
          <w:lang w:eastAsia="en-US"/>
        </w:rPr>
        <w:t xml:space="preserve">and </w:t>
      </w:r>
      <w:r w:rsidRPr="001D704F">
        <w:rPr>
          <w:rFonts w:eastAsia="Calibri"/>
          <w:i/>
          <w:lang w:eastAsia="en-US"/>
        </w:rPr>
        <w:t>Listeria monocytogenes</w:t>
      </w:r>
      <w:r w:rsidRPr="003D493E">
        <w:rPr>
          <w:lang w:eastAsia="en-US"/>
        </w:rPr>
        <w:t xml:space="preserve"> is demonstrated </w:t>
      </w:r>
      <w:r>
        <w:rPr>
          <w:lang w:eastAsia="en-US"/>
        </w:rPr>
        <w:t>in phase 2, step</w:t>
      </w:r>
      <w:r w:rsidRPr="003D493E">
        <w:rPr>
          <w:lang w:eastAsia="en-US"/>
        </w:rPr>
        <w:t xml:space="preserve"> </w:t>
      </w:r>
      <w:r>
        <w:rPr>
          <w:lang w:eastAsia="en-US"/>
        </w:rPr>
        <w:t xml:space="preserve">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in dirty conditions (3.0 g/L BSA)</w:t>
      </w:r>
      <w:r>
        <w:rPr>
          <w:lang w:eastAsia="en-US"/>
        </w:rPr>
        <w:t>, at 50% v/v</w:t>
      </w:r>
      <w:r w:rsidRPr="00B63AC7">
        <w:rPr>
          <w:lang w:eastAsia="en-US"/>
        </w:rPr>
        <w:t>.</w:t>
      </w:r>
      <w:r>
        <w:rPr>
          <w:lang w:eastAsia="en-US"/>
        </w:rPr>
        <w:t xml:space="preserve"> </w:t>
      </w:r>
    </w:p>
    <w:p w14:paraId="0109AA71" w14:textId="77777777" w:rsidR="00CC62FC" w:rsidRDefault="00CC62FC" w:rsidP="00CC62FC">
      <w:pPr>
        <w:spacing w:line="260" w:lineRule="atLeast"/>
        <w:contextualSpacing/>
        <w:jc w:val="both"/>
        <w:rPr>
          <w:lang w:eastAsia="en-US"/>
        </w:rPr>
      </w:pPr>
    </w:p>
    <w:p w14:paraId="6ADC4F52" w14:textId="77777777" w:rsidR="00CC62FC" w:rsidRDefault="00CC62FC" w:rsidP="00CC62FC">
      <w:pPr>
        <w:spacing w:line="260" w:lineRule="atLeast"/>
        <w:contextualSpacing/>
        <w:jc w:val="both"/>
        <w:rPr>
          <w:lang w:eastAsia="en-US"/>
        </w:rPr>
      </w:pPr>
      <w:r>
        <w:rPr>
          <w:lang w:eastAsia="en-US"/>
        </w:rPr>
        <w:t>Yeasticidal</w:t>
      </w:r>
      <w:r w:rsidRPr="003D493E">
        <w:rPr>
          <w:lang w:eastAsia="en-US"/>
        </w:rPr>
        <w:t xml:space="preserve"> activity</w:t>
      </w:r>
      <w:r>
        <w:rPr>
          <w:lang w:eastAsia="en-US"/>
        </w:rPr>
        <w:t xml:space="preserve"> </w:t>
      </w:r>
      <w:r w:rsidRPr="003D493E">
        <w:rPr>
          <w:lang w:eastAsia="en-US"/>
        </w:rPr>
        <w:t xml:space="preserve">is demonstrated </w:t>
      </w:r>
      <w:r>
        <w:rPr>
          <w:lang w:eastAsia="en-US"/>
        </w:rPr>
        <w:t>in phase 2, steps</w:t>
      </w:r>
      <w:r w:rsidRPr="003D493E">
        <w:rPr>
          <w:lang w:eastAsia="en-US"/>
        </w:rPr>
        <w:t xml:space="preserve"> </w:t>
      </w:r>
      <w:r>
        <w:rPr>
          <w:lang w:eastAsia="en-US"/>
        </w:rPr>
        <w:t>1 and 2 tests (EN 1650 and 13697)</w:t>
      </w:r>
      <w:r w:rsidRPr="003D493E">
        <w:rPr>
          <w:lang w:eastAsia="en-US"/>
        </w:rPr>
        <w:t xml:space="preserve">, at </w:t>
      </w:r>
      <w:r>
        <w:rPr>
          <w:lang w:eastAsia="en-US"/>
        </w:rPr>
        <w:t xml:space="preserve">20 </w:t>
      </w:r>
      <w:r w:rsidRPr="003D493E">
        <w:rPr>
          <w:lang w:eastAsia="en-US"/>
        </w:rPr>
        <w:t xml:space="preserve">°C, </w:t>
      </w:r>
      <w:r>
        <w:rPr>
          <w:lang w:eastAsia="en-US"/>
        </w:rPr>
        <w:t xml:space="preserve">with a </w:t>
      </w:r>
      <w:r w:rsidRPr="003D493E">
        <w:rPr>
          <w:lang w:eastAsia="en-US"/>
        </w:rPr>
        <w:t xml:space="preserve">contact time of </w:t>
      </w:r>
      <w:r>
        <w:rPr>
          <w:lang w:eastAsia="en-US"/>
        </w:rPr>
        <w:t xml:space="preserve">15 </w:t>
      </w:r>
      <w:r w:rsidRPr="003D493E">
        <w:rPr>
          <w:lang w:eastAsia="en-US"/>
        </w:rPr>
        <w:t>minutes</w:t>
      </w:r>
      <w:r>
        <w:rPr>
          <w:lang w:eastAsia="en-US"/>
        </w:rPr>
        <w:t xml:space="preserve">, </w:t>
      </w:r>
      <w:r w:rsidRPr="00B63AC7">
        <w:rPr>
          <w:lang w:eastAsia="en-US"/>
        </w:rPr>
        <w:t>in dirty conditions (3.0 g/L BSA).</w:t>
      </w:r>
      <w:r>
        <w:rPr>
          <w:lang w:eastAsia="en-US"/>
        </w:rPr>
        <w:t xml:space="preserve"> </w:t>
      </w:r>
      <w:r w:rsidRPr="003D493E">
        <w:rPr>
          <w:lang w:eastAsia="en-US"/>
        </w:rPr>
        <w:t xml:space="preserve">In these conditions, </w:t>
      </w:r>
      <w:r>
        <w:rPr>
          <w:lang w:eastAsia="en-US"/>
        </w:rPr>
        <w:t>yeasticidal</w:t>
      </w:r>
      <w:r w:rsidRPr="003D493E">
        <w:rPr>
          <w:lang w:eastAsia="en-US"/>
        </w:rPr>
        <w:t xml:space="preserve"> activity is shown at the in-use concentration of </w:t>
      </w:r>
      <w:r>
        <w:rPr>
          <w:lang w:eastAsia="en-US"/>
        </w:rPr>
        <w:t>50% v/v.</w:t>
      </w:r>
    </w:p>
    <w:p w14:paraId="20DBE551" w14:textId="77777777" w:rsidR="00CC62FC" w:rsidRDefault="00CC62FC" w:rsidP="00CC62FC">
      <w:pPr>
        <w:spacing w:line="260" w:lineRule="atLeast"/>
        <w:jc w:val="both"/>
        <w:rPr>
          <w:rFonts w:ascii="Times New Roman" w:eastAsia="Calibri" w:hAnsi="Times New Roman" w:cs="Arial"/>
          <w:bCs/>
          <w:caps/>
          <w:szCs w:val="28"/>
          <w:lang w:eastAsia="en-US"/>
        </w:rPr>
      </w:pPr>
    </w:p>
    <w:p w14:paraId="2EF9226D" w14:textId="77777777" w:rsidR="00CC62FC" w:rsidRDefault="00CC62FC" w:rsidP="00CC62FC">
      <w:pPr>
        <w:spacing w:line="260" w:lineRule="atLeast"/>
        <w:contextualSpacing/>
        <w:jc w:val="both"/>
        <w:rPr>
          <w:lang w:eastAsia="en-US"/>
        </w:rPr>
      </w:pPr>
      <w:r>
        <w:rPr>
          <w:lang w:eastAsia="en-US"/>
        </w:rPr>
        <w:t>B</w:t>
      </w:r>
      <w:r w:rsidRPr="003D493E">
        <w:rPr>
          <w:lang w:eastAsia="en-US"/>
        </w:rPr>
        <w:t xml:space="preserve">actericidal </w:t>
      </w:r>
      <w:r>
        <w:rPr>
          <w:lang w:eastAsia="en-US"/>
        </w:rPr>
        <w:t xml:space="preserve">and yeasticidal </w:t>
      </w:r>
      <w:r w:rsidRPr="003D493E">
        <w:rPr>
          <w:lang w:eastAsia="en-US"/>
        </w:rPr>
        <w:t>activit</w:t>
      </w:r>
      <w:r>
        <w:rPr>
          <w:lang w:eastAsia="en-US"/>
        </w:rPr>
        <w:t>ies are</w:t>
      </w:r>
      <w:r w:rsidRPr="003D493E">
        <w:rPr>
          <w:lang w:eastAsia="en-US"/>
        </w:rPr>
        <w:t xml:space="preserve"> </w:t>
      </w:r>
      <w:r>
        <w:rPr>
          <w:lang w:eastAsia="en-US"/>
        </w:rPr>
        <w:t xml:space="preserve">also </w:t>
      </w:r>
      <w:r w:rsidRPr="003D493E">
        <w:rPr>
          <w:lang w:eastAsia="en-US"/>
        </w:rPr>
        <w:t xml:space="preserve">demonstrated </w:t>
      </w:r>
      <w:r>
        <w:rPr>
          <w:lang w:eastAsia="en-US"/>
        </w:rPr>
        <w:t>in phase 2, step</w:t>
      </w:r>
      <w:r w:rsidRPr="003D493E">
        <w:rPr>
          <w:lang w:eastAsia="en-US"/>
        </w:rPr>
        <w:t xml:space="preserve"> </w:t>
      </w:r>
      <w:r>
        <w:rPr>
          <w:lang w:eastAsia="en-US"/>
        </w:rPr>
        <w:t>2 test (EN 16615)</w:t>
      </w:r>
      <w:r w:rsidRPr="003D493E">
        <w:rPr>
          <w:lang w:eastAsia="en-US"/>
        </w:rPr>
        <w:t xml:space="preserve">, at </w:t>
      </w:r>
      <w:r>
        <w:rPr>
          <w:lang w:eastAsia="en-US"/>
        </w:rPr>
        <w:t>20</w:t>
      </w:r>
      <w:r w:rsidRPr="003D493E">
        <w:rPr>
          <w:lang w:eastAsia="en-US"/>
        </w:rPr>
        <w:t xml:space="preserve">°C, </w:t>
      </w:r>
      <w:r>
        <w:rPr>
          <w:lang w:eastAsia="en-US"/>
        </w:rPr>
        <w:t xml:space="preserve">with a </w:t>
      </w:r>
      <w:r w:rsidRPr="003D493E">
        <w:rPr>
          <w:lang w:eastAsia="en-US"/>
        </w:rPr>
        <w:t xml:space="preserve">contact time of </w:t>
      </w:r>
      <w:r>
        <w:rPr>
          <w:lang w:eastAsia="en-US"/>
        </w:rPr>
        <w:t>5</w:t>
      </w:r>
      <w:r w:rsidRPr="003D493E">
        <w:rPr>
          <w:lang w:eastAsia="en-US"/>
        </w:rPr>
        <w:t xml:space="preserve"> minutes</w:t>
      </w:r>
      <w:r>
        <w:rPr>
          <w:lang w:eastAsia="en-US"/>
        </w:rPr>
        <w:t xml:space="preserve">, </w:t>
      </w:r>
      <w:r w:rsidRPr="00B63AC7">
        <w:rPr>
          <w:lang w:eastAsia="en-US"/>
        </w:rPr>
        <w:t>in dirty conditions (3.0 g/L BSA).</w:t>
      </w:r>
      <w:r>
        <w:rPr>
          <w:lang w:eastAsia="en-US"/>
        </w:rPr>
        <w:t xml:space="preserve"> </w:t>
      </w:r>
      <w:r w:rsidRPr="003D493E">
        <w:rPr>
          <w:lang w:eastAsia="en-US"/>
        </w:rPr>
        <w:t xml:space="preserve">In these conditions, bactericidal </w:t>
      </w:r>
      <w:r>
        <w:rPr>
          <w:lang w:eastAsia="en-US"/>
        </w:rPr>
        <w:t>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100 % v/v.</w:t>
      </w:r>
    </w:p>
    <w:p w14:paraId="26AA8CCF" w14:textId="77777777" w:rsidR="00CC62FC" w:rsidRDefault="00CC62FC" w:rsidP="00CC62FC">
      <w:pPr>
        <w:spacing w:line="260" w:lineRule="atLeast"/>
        <w:jc w:val="both"/>
        <w:rPr>
          <w:rFonts w:ascii="Times New Roman" w:eastAsia="Calibri" w:hAnsi="Times New Roman" w:cs="Arial"/>
          <w:bCs/>
          <w:i/>
          <w:caps/>
          <w:szCs w:val="28"/>
          <w:lang w:eastAsia="en-US"/>
        </w:rPr>
      </w:pPr>
    </w:p>
    <w:p w14:paraId="77E8B989" w14:textId="77777777" w:rsidR="00CC62FC" w:rsidRDefault="00CC62FC" w:rsidP="00CC62FC">
      <w:pPr>
        <w:spacing w:line="260" w:lineRule="atLeast"/>
        <w:jc w:val="both"/>
        <w:rPr>
          <w:rFonts w:eastAsia="Calibri"/>
          <w:b/>
          <w:lang w:eastAsia="en-US"/>
        </w:rPr>
      </w:pPr>
      <w:r w:rsidRPr="00F81A9A">
        <w:rPr>
          <w:rFonts w:eastAsia="Calibri"/>
          <w:b/>
          <w:lang w:eastAsia="en-US"/>
        </w:rPr>
        <w:t>Justification of additional strains</w:t>
      </w:r>
      <w:r>
        <w:rPr>
          <w:rFonts w:eastAsia="Calibri"/>
          <w:b/>
          <w:lang w:eastAsia="en-US"/>
        </w:rPr>
        <w:t xml:space="preserve"> (</w:t>
      </w:r>
      <w:r w:rsidRPr="00F81A9A">
        <w:rPr>
          <w:rFonts w:eastAsia="Calibri"/>
          <w:i/>
          <w:lang w:eastAsia="en-US"/>
        </w:rPr>
        <w:t xml:space="preserve">Salmonella </w:t>
      </w:r>
      <w:r w:rsidRPr="009E1F7F">
        <w:rPr>
          <w:rFonts w:eastAsia="Calibri"/>
          <w:lang w:eastAsia="en-US"/>
        </w:rPr>
        <w:t>Typhimurium</w:t>
      </w:r>
      <w:r>
        <w:rPr>
          <w:rFonts w:eastAsia="Calibri"/>
          <w:lang w:eastAsia="en-US"/>
        </w:rPr>
        <w:t xml:space="preserve"> and </w:t>
      </w:r>
      <w:r w:rsidRPr="00F81A9A">
        <w:rPr>
          <w:rFonts w:eastAsia="Calibri"/>
          <w:i/>
          <w:lang w:eastAsia="en-US"/>
        </w:rPr>
        <w:t>Listeria monocytogenes</w:t>
      </w:r>
      <w:r>
        <w:rPr>
          <w:rFonts w:eastAsia="Calibri"/>
          <w:i/>
          <w:lang w:eastAsia="en-US"/>
        </w:rPr>
        <w:t>)</w:t>
      </w:r>
      <w:r w:rsidRPr="00F81A9A">
        <w:rPr>
          <w:rFonts w:eastAsia="Calibri"/>
          <w:b/>
          <w:lang w:eastAsia="en-US"/>
        </w:rPr>
        <w:t>:</w:t>
      </w:r>
    </w:p>
    <w:p w14:paraId="3622C2E4" w14:textId="77777777" w:rsidR="00CC62FC" w:rsidRPr="00F81A9A" w:rsidRDefault="00CC62FC" w:rsidP="00CC62FC">
      <w:pPr>
        <w:spacing w:line="260" w:lineRule="atLeast"/>
        <w:jc w:val="both"/>
        <w:rPr>
          <w:rFonts w:eastAsia="Calibri"/>
          <w:lang w:eastAsia="en-US"/>
        </w:rPr>
      </w:pPr>
      <w:r w:rsidRPr="00F81A9A">
        <w:rPr>
          <w:rFonts w:eastAsia="Calibri"/>
          <w:i/>
          <w:lang w:eastAsia="en-US"/>
        </w:rPr>
        <w:t xml:space="preserve">Salmonella </w:t>
      </w:r>
      <w:r w:rsidRPr="00C914AE">
        <w:rPr>
          <w:rFonts w:eastAsia="Calibri"/>
          <w:lang w:eastAsia="en-US"/>
        </w:rPr>
        <w:t>Typhimurium</w:t>
      </w:r>
      <w:r w:rsidRPr="00F81A9A">
        <w:rPr>
          <w:rFonts w:eastAsia="Calibri"/>
          <w:lang w:eastAsia="en-US"/>
        </w:rPr>
        <w:t xml:space="preserve"> causes generalized infections with fever, this bacteria is the cause of the majority of collective food poisoning, hence the importance of respecting good hygiene practices at all stages of the food chain.</w:t>
      </w:r>
    </w:p>
    <w:p w14:paraId="6E9B840F" w14:textId="77777777" w:rsidR="00CC62FC" w:rsidRPr="00F81A9A" w:rsidRDefault="00CC62FC" w:rsidP="00CC62FC">
      <w:pPr>
        <w:spacing w:line="260" w:lineRule="atLeast"/>
        <w:jc w:val="both"/>
        <w:rPr>
          <w:rFonts w:eastAsia="Calibri"/>
          <w:lang w:val="en" w:eastAsia="en-US"/>
        </w:rPr>
      </w:pPr>
      <w:r w:rsidRPr="00F81A9A">
        <w:rPr>
          <w:rFonts w:eastAsia="Calibri"/>
          <w:lang w:val="en" w:eastAsia="en-US"/>
        </w:rPr>
        <w:t>In addition, this strain is cited in standard NF EN 14885 as an additional possible strain for the food industry, industrial and collectivity sectors in PT4.</w:t>
      </w:r>
    </w:p>
    <w:p w14:paraId="5F262E7B" w14:textId="77777777" w:rsidR="00CC62FC" w:rsidRPr="00F81A9A" w:rsidRDefault="00CC62FC" w:rsidP="00CC62FC">
      <w:pPr>
        <w:spacing w:line="260" w:lineRule="atLeast"/>
        <w:jc w:val="both"/>
        <w:rPr>
          <w:rFonts w:eastAsia="Calibri"/>
          <w:i/>
          <w:lang w:eastAsia="en-US"/>
        </w:rPr>
      </w:pPr>
    </w:p>
    <w:p w14:paraId="56D20869" w14:textId="77777777" w:rsidR="00CC62FC" w:rsidRDefault="00CC62FC" w:rsidP="00CC62FC">
      <w:pPr>
        <w:spacing w:line="260" w:lineRule="atLeast"/>
        <w:jc w:val="both"/>
        <w:rPr>
          <w:rFonts w:ascii="Times New Roman" w:eastAsia="Calibri" w:hAnsi="Times New Roman" w:cs="Arial"/>
          <w:bCs/>
          <w:i/>
          <w:caps/>
          <w:szCs w:val="28"/>
          <w:lang w:eastAsia="en-US"/>
        </w:rPr>
      </w:pPr>
      <w:r w:rsidRPr="00F81A9A">
        <w:rPr>
          <w:rFonts w:eastAsia="Calibri"/>
          <w:i/>
          <w:lang w:eastAsia="en-US"/>
        </w:rPr>
        <w:t>Listeria monocytogenes</w:t>
      </w:r>
      <w:r w:rsidRPr="00F81A9A">
        <w:rPr>
          <w:rFonts w:eastAsia="Calibri"/>
          <w:lang w:val="en" w:eastAsia="en-US"/>
        </w:rPr>
        <w:t xml:space="preserve"> is a bacteria which is very widespread in the environment and resistant in the outside environment. It causes in infected people a disease which can be very severe with a high fatality rate. The transmission takes place mainly through food and can affect all stages of the food preparation chain. It is therefore important to ensure effective cleaning-disinfection of surfaces and premises in this area of </w:t>
      </w:r>
      <w:r w:rsidRPr="00F81A9A">
        <w:rPr>
          <w:rFonts w:ascii="Arial" w:eastAsia="Calibri" w:hAnsi="Arial" w:cs="Arial"/>
          <w:lang w:val="en" w:eastAsia="en-US"/>
        </w:rPr>
        <w:t>​​</w:t>
      </w:r>
      <w:r w:rsidRPr="00F81A9A">
        <w:rPr>
          <w:rFonts w:eastAsia="Calibri"/>
          <w:lang w:val="en" w:eastAsia="en-US"/>
        </w:rPr>
        <w:t>surfaces in contact with food (PT4).</w:t>
      </w:r>
    </w:p>
    <w:p w14:paraId="52999B48" w14:textId="1705A3DB" w:rsidR="00CC62FC" w:rsidRDefault="00CC62FC" w:rsidP="00CC62FC">
      <w:pPr>
        <w:spacing w:line="260" w:lineRule="atLeast"/>
        <w:jc w:val="both"/>
        <w:rPr>
          <w:rFonts w:ascii="Times New Roman" w:eastAsia="Calibri" w:hAnsi="Times New Roman" w:cs="Arial"/>
          <w:bCs/>
          <w:i/>
          <w:caps/>
          <w:szCs w:val="28"/>
          <w:lang w:eastAsia="en-US"/>
        </w:rPr>
      </w:pPr>
    </w:p>
    <w:p w14:paraId="4E6BC374" w14:textId="67759B69" w:rsidR="00CC62FC" w:rsidRDefault="00CC62FC" w:rsidP="00CC62FC">
      <w:pPr>
        <w:spacing w:line="260" w:lineRule="atLeast"/>
        <w:jc w:val="both"/>
        <w:rPr>
          <w:rFonts w:ascii="Times New Roman" w:eastAsia="Calibri" w:hAnsi="Times New Roman" w:cs="Arial"/>
          <w:bCs/>
          <w:i/>
          <w:caps/>
          <w:szCs w:val="28"/>
          <w:lang w:eastAsia="en-US"/>
        </w:rPr>
      </w:pPr>
    </w:p>
    <w:p w14:paraId="25D7FFE2" w14:textId="00861A4F" w:rsidR="00CC62FC" w:rsidRDefault="00CC62FC" w:rsidP="00CC62FC">
      <w:pPr>
        <w:spacing w:line="260" w:lineRule="atLeast"/>
        <w:jc w:val="both"/>
        <w:rPr>
          <w:rFonts w:ascii="Times New Roman" w:eastAsia="Calibri" w:hAnsi="Times New Roman" w:cs="Arial"/>
          <w:bCs/>
          <w:i/>
          <w:caps/>
          <w:szCs w:val="28"/>
          <w:lang w:eastAsia="en-US"/>
        </w:rPr>
      </w:pPr>
    </w:p>
    <w:p w14:paraId="33ABFE93" w14:textId="76A7762D" w:rsidR="00CC62FC" w:rsidRDefault="00CC62FC" w:rsidP="00CC62FC">
      <w:pPr>
        <w:spacing w:line="260" w:lineRule="atLeast"/>
        <w:jc w:val="both"/>
        <w:rPr>
          <w:rFonts w:ascii="Times New Roman" w:eastAsia="Calibri" w:hAnsi="Times New Roman" w:cs="Arial"/>
          <w:bCs/>
          <w:i/>
          <w:caps/>
          <w:szCs w:val="28"/>
          <w:lang w:eastAsia="en-US"/>
        </w:rPr>
      </w:pPr>
    </w:p>
    <w:p w14:paraId="116D9715" w14:textId="77777777" w:rsidR="00CC62FC" w:rsidRDefault="00CC62FC" w:rsidP="00CC62FC">
      <w:pPr>
        <w:spacing w:line="260" w:lineRule="atLeast"/>
        <w:jc w:val="both"/>
        <w:rPr>
          <w:rFonts w:ascii="Times New Roman" w:eastAsia="Calibri" w:hAnsi="Times New Roman" w:cs="Arial"/>
          <w:bCs/>
          <w:i/>
          <w:caps/>
          <w:szCs w:val="28"/>
          <w:lang w:eastAsia="en-US"/>
        </w:rPr>
      </w:pPr>
    </w:p>
    <w:p w14:paraId="13974128" w14:textId="77777777" w:rsidR="00CC62FC" w:rsidRDefault="00CC62FC" w:rsidP="0015321A">
      <w:pPr>
        <w:jc w:val="center"/>
        <w:rPr>
          <w:b/>
          <w:color w:val="000000"/>
          <w:sz w:val="18"/>
          <w:szCs w:val="18"/>
        </w:rPr>
        <w:sectPr w:rsidR="00CC62FC" w:rsidSect="0073642B">
          <w:pgSz w:w="11906" w:h="16838"/>
          <w:pgMar w:top="1474" w:right="1247" w:bottom="2013" w:left="1446" w:header="851" w:footer="851" w:gutter="0"/>
          <w:cols w:space="720"/>
          <w:docGrid w:linePitch="272"/>
        </w:sectPr>
      </w:pPr>
    </w:p>
    <w:tbl>
      <w:tblPr>
        <w:tblW w:w="5132" w:type="pct"/>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74"/>
        <w:gridCol w:w="1269"/>
        <w:gridCol w:w="1005"/>
        <w:gridCol w:w="1562"/>
        <w:gridCol w:w="1460"/>
        <w:gridCol w:w="3761"/>
        <w:gridCol w:w="2076"/>
        <w:gridCol w:w="1186"/>
      </w:tblGrid>
      <w:tr w:rsidR="002547BB" w:rsidRPr="00FD2055" w14:paraId="68E0CFD4" w14:textId="77777777" w:rsidTr="00FE67A2">
        <w:trPr>
          <w:cantSplit/>
          <w:trHeight w:val="274"/>
          <w:tblHeader/>
        </w:trPr>
        <w:tc>
          <w:tcPr>
            <w:tcW w:w="5000" w:type="pct"/>
            <w:gridSpan w:val="8"/>
            <w:shd w:val="clear" w:color="auto" w:fill="FFFFFF"/>
          </w:tcPr>
          <w:p w14:paraId="18149690" w14:textId="35C4AFFE" w:rsidR="002547BB" w:rsidRPr="00FD2055" w:rsidRDefault="002547BB" w:rsidP="00B73E8D">
            <w:pPr>
              <w:tabs>
                <w:tab w:val="center" w:pos="6853"/>
                <w:tab w:val="left" w:pos="7309"/>
              </w:tabs>
              <w:rPr>
                <w:b/>
                <w:color w:val="000000"/>
                <w:sz w:val="18"/>
                <w:szCs w:val="18"/>
              </w:rPr>
            </w:pPr>
            <w:r>
              <w:rPr>
                <w:b/>
                <w:color w:val="000000"/>
                <w:sz w:val="18"/>
                <w:szCs w:val="18"/>
              </w:rPr>
              <w:lastRenderedPageBreak/>
              <w:tab/>
            </w:r>
            <w:r w:rsidRPr="00B27CB1">
              <w:rPr>
                <w:b/>
                <w:color w:val="000000"/>
                <w:sz w:val="18"/>
                <w:szCs w:val="18"/>
              </w:rPr>
              <w:t>Experimental data on the efficacy of the biocidal product against target organism(s)</w:t>
            </w:r>
            <w:r>
              <w:rPr>
                <w:b/>
                <w:color w:val="000000"/>
                <w:sz w:val="18"/>
                <w:szCs w:val="18"/>
              </w:rPr>
              <w:t xml:space="preserve"> : META SPC 2</w:t>
            </w:r>
          </w:p>
        </w:tc>
      </w:tr>
      <w:tr w:rsidR="0098661C" w:rsidRPr="00FD2055" w14:paraId="752E7845" w14:textId="77777777" w:rsidTr="00FE67A2">
        <w:trPr>
          <w:cantSplit/>
        </w:trPr>
        <w:tc>
          <w:tcPr>
            <w:tcW w:w="504" w:type="pct"/>
            <w:shd w:val="clear" w:color="auto" w:fill="FFFFFF"/>
          </w:tcPr>
          <w:p w14:paraId="11FBE22E" w14:textId="7E72C25C" w:rsidR="00CC62FC" w:rsidRPr="00FD2055" w:rsidRDefault="00CC62FC" w:rsidP="0015321A">
            <w:pPr>
              <w:jc w:val="center"/>
              <w:rPr>
                <w:b/>
                <w:color w:val="000000"/>
                <w:sz w:val="18"/>
                <w:szCs w:val="18"/>
              </w:rPr>
            </w:pPr>
            <w:r w:rsidRPr="00FD2055">
              <w:rPr>
                <w:b/>
                <w:color w:val="000000"/>
                <w:sz w:val="18"/>
                <w:szCs w:val="18"/>
              </w:rPr>
              <w:t>Function</w:t>
            </w:r>
          </w:p>
        </w:tc>
        <w:tc>
          <w:tcPr>
            <w:tcW w:w="458" w:type="pct"/>
            <w:shd w:val="clear" w:color="auto" w:fill="FFFFFF"/>
          </w:tcPr>
          <w:p w14:paraId="0720C7B2" w14:textId="77777777" w:rsidR="00CC62FC" w:rsidRPr="00FD2055" w:rsidRDefault="00CC62FC" w:rsidP="0015321A">
            <w:pPr>
              <w:rPr>
                <w:b/>
                <w:color w:val="000000"/>
                <w:sz w:val="18"/>
                <w:szCs w:val="18"/>
              </w:rPr>
            </w:pPr>
            <w:r w:rsidRPr="00FD2055">
              <w:rPr>
                <w:b/>
                <w:color w:val="000000"/>
                <w:sz w:val="18"/>
                <w:szCs w:val="18"/>
              </w:rPr>
              <w:t>Field of use envisaged</w:t>
            </w:r>
          </w:p>
        </w:tc>
        <w:tc>
          <w:tcPr>
            <w:tcW w:w="369" w:type="pct"/>
            <w:shd w:val="clear" w:color="auto" w:fill="FFFFFF"/>
          </w:tcPr>
          <w:p w14:paraId="0F99A7FF" w14:textId="77777777" w:rsidR="00CC62FC" w:rsidRPr="00FD2055" w:rsidRDefault="00CC62FC"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564" w:type="pct"/>
            <w:shd w:val="clear" w:color="auto" w:fill="FFFFFF"/>
          </w:tcPr>
          <w:p w14:paraId="14CE9B2F" w14:textId="77777777" w:rsidR="00CC62FC" w:rsidRPr="00FD2055" w:rsidRDefault="00CC62FC" w:rsidP="0015321A">
            <w:pPr>
              <w:rPr>
                <w:b/>
                <w:i/>
                <w:color w:val="000000"/>
                <w:sz w:val="18"/>
                <w:szCs w:val="18"/>
              </w:rPr>
            </w:pPr>
            <w:r w:rsidRPr="00FD2055">
              <w:rPr>
                <w:b/>
                <w:color w:val="000000"/>
                <w:sz w:val="18"/>
                <w:szCs w:val="18"/>
              </w:rPr>
              <w:t>Test organism(s)</w:t>
            </w:r>
          </w:p>
        </w:tc>
        <w:tc>
          <w:tcPr>
            <w:tcW w:w="535" w:type="pct"/>
            <w:shd w:val="clear" w:color="auto" w:fill="FFFFFF"/>
          </w:tcPr>
          <w:p w14:paraId="552420BB" w14:textId="77777777" w:rsidR="00CC62FC" w:rsidRPr="00FD2055" w:rsidRDefault="00CC62FC" w:rsidP="0015321A">
            <w:pPr>
              <w:rPr>
                <w:b/>
                <w:color w:val="000000"/>
                <w:sz w:val="18"/>
                <w:szCs w:val="18"/>
              </w:rPr>
            </w:pPr>
            <w:r w:rsidRPr="00FD2055">
              <w:rPr>
                <w:b/>
                <w:color w:val="000000"/>
                <w:sz w:val="18"/>
                <w:szCs w:val="18"/>
              </w:rPr>
              <w:t>Test method</w:t>
            </w:r>
          </w:p>
        </w:tc>
        <w:tc>
          <w:tcPr>
            <w:tcW w:w="1375" w:type="pct"/>
            <w:shd w:val="clear" w:color="auto" w:fill="FFFFFF"/>
          </w:tcPr>
          <w:p w14:paraId="66088AC9" w14:textId="77777777" w:rsidR="00CC62FC" w:rsidRPr="00FD2055" w:rsidRDefault="00CC62FC" w:rsidP="0015321A">
            <w:pPr>
              <w:rPr>
                <w:b/>
                <w:color w:val="000000"/>
                <w:sz w:val="18"/>
                <w:szCs w:val="18"/>
              </w:rPr>
            </w:pPr>
            <w:r w:rsidRPr="00FD2055">
              <w:rPr>
                <w:b/>
                <w:color w:val="000000"/>
                <w:sz w:val="18"/>
                <w:szCs w:val="18"/>
              </w:rPr>
              <w:t>Test system / concentrations applied / exposure time</w:t>
            </w:r>
          </w:p>
        </w:tc>
        <w:tc>
          <w:tcPr>
            <w:tcW w:w="760" w:type="pct"/>
            <w:shd w:val="clear" w:color="auto" w:fill="FFFFFF"/>
          </w:tcPr>
          <w:p w14:paraId="70C12D97" w14:textId="77777777" w:rsidR="00CC62FC" w:rsidRPr="00FD2055" w:rsidRDefault="00CC62FC" w:rsidP="0015321A">
            <w:pPr>
              <w:rPr>
                <w:b/>
                <w:color w:val="000000"/>
                <w:sz w:val="18"/>
                <w:szCs w:val="18"/>
              </w:rPr>
            </w:pPr>
            <w:r w:rsidRPr="00FD2055">
              <w:rPr>
                <w:b/>
                <w:color w:val="000000"/>
                <w:sz w:val="18"/>
                <w:szCs w:val="18"/>
              </w:rPr>
              <w:t>Test results: effects</w:t>
            </w:r>
          </w:p>
        </w:tc>
        <w:tc>
          <w:tcPr>
            <w:tcW w:w="435" w:type="pct"/>
            <w:shd w:val="clear" w:color="auto" w:fill="FFFFFF"/>
          </w:tcPr>
          <w:p w14:paraId="3DFEDB43" w14:textId="77777777" w:rsidR="00CC62FC" w:rsidRPr="00FD2055" w:rsidRDefault="00CC62FC" w:rsidP="0015321A">
            <w:pPr>
              <w:rPr>
                <w:b/>
                <w:color w:val="000000"/>
                <w:sz w:val="18"/>
                <w:szCs w:val="18"/>
              </w:rPr>
            </w:pPr>
            <w:r w:rsidRPr="00FD2055">
              <w:rPr>
                <w:b/>
                <w:color w:val="000000"/>
                <w:sz w:val="18"/>
                <w:szCs w:val="18"/>
              </w:rPr>
              <w:t>Reference</w:t>
            </w:r>
          </w:p>
        </w:tc>
      </w:tr>
      <w:tr w:rsidR="0098661C" w14:paraId="4A143BF7" w14:textId="77777777" w:rsidTr="00FE67A2">
        <w:trPr>
          <w:cantSplit/>
        </w:trPr>
        <w:tc>
          <w:tcPr>
            <w:tcW w:w="504" w:type="pct"/>
            <w:vAlign w:val="center"/>
          </w:tcPr>
          <w:p w14:paraId="12C8F497" w14:textId="77777777" w:rsidR="00CC62FC" w:rsidRDefault="00CC62FC" w:rsidP="0015321A">
            <w:pPr>
              <w:rPr>
                <w:color w:val="000000"/>
                <w:sz w:val="18"/>
                <w:szCs w:val="18"/>
              </w:rPr>
            </w:pPr>
            <w:r>
              <w:rPr>
                <w:color w:val="000000"/>
                <w:sz w:val="18"/>
                <w:szCs w:val="18"/>
              </w:rPr>
              <w:t>Disinfectant, bactericidal activity</w:t>
            </w:r>
          </w:p>
        </w:tc>
        <w:tc>
          <w:tcPr>
            <w:tcW w:w="458" w:type="pct"/>
            <w:vAlign w:val="center"/>
          </w:tcPr>
          <w:p w14:paraId="425C12B5" w14:textId="36CCC60F" w:rsidR="00CC62FC" w:rsidRDefault="00FE67A2" w:rsidP="0015321A">
            <w:pPr>
              <w:rPr>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61467907" w14:textId="77777777" w:rsidR="00CC62FC" w:rsidRDefault="00CC62FC" w:rsidP="0015321A">
            <w:pPr>
              <w:rPr>
                <w:color w:val="000000"/>
                <w:sz w:val="18"/>
                <w:szCs w:val="18"/>
              </w:rPr>
            </w:pPr>
            <w:r>
              <w:rPr>
                <w:color w:val="000000"/>
                <w:sz w:val="18"/>
                <w:szCs w:val="18"/>
              </w:rPr>
              <w:t>AL-S1-1-0</w:t>
            </w:r>
          </w:p>
          <w:p w14:paraId="679DE220" w14:textId="07792273" w:rsidR="00CC62FC" w:rsidRDefault="00BC667C" w:rsidP="0015321A">
            <w:pPr>
              <w:rPr>
                <w:color w:val="000000"/>
                <w:sz w:val="18"/>
                <w:szCs w:val="18"/>
              </w:rPr>
            </w:pPr>
            <w:r>
              <w:rPr>
                <w:color w:val="000000"/>
                <w:sz w:val="18"/>
                <w:szCs w:val="18"/>
              </w:rPr>
              <w:t>2.4</w:t>
            </w:r>
            <w:r w:rsidR="00CC62FC">
              <w:rPr>
                <w:color w:val="000000"/>
                <w:sz w:val="18"/>
                <w:szCs w:val="18"/>
              </w:rPr>
              <w:t>% lactic acid</w:t>
            </w:r>
          </w:p>
        </w:tc>
        <w:tc>
          <w:tcPr>
            <w:tcW w:w="564" w:type="pct"/>
            <w:vAlign w:val="center"/>
          </w:tcPr>
          <w:p w14:paraId="2EF8C4A3" w14:textId="77777777" w:rsidR="00CC62FC" w:rsidRPr="00D016EC" w:rsidRDefault="00CC62FC"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535" w:type="pct"/>
            <w:vAlign w:val="center"/>
          </w:tcPr>
          <w:p w14:paraId="189C60FB" w14:textId="77777777" w:rsidR="00CC62FC" w:rsidRDefault="00CC62FC" w:rsidP="0015321A">
            <w:pPr>
              <w:rPr>
                <w:color w:val="000000"/>
                <w:sz w:val="18"/>
                <w:szCs w:val="18"/>
              </w:rPr>
            </w:pPr>
            <w:r>
              <w:rPr>
                <w:color w:val="000000"/>
                <w:sz w:val="18"/>
                <w:szCs w:val="18"/>
              </w:rPr>
              <w:t>NF EN 1276 (March 2010)</w:t>
            </w:r>
          </w:p>
        </w:tc>
        <w:tc>
          <w:tcPr>
            <w:tcW w:w="1375" w:type="pct"/>
            <w:vAlign w:val="center"/>
          </w:tcPr>
          <w:p w14:paraId="424146C3" w14:textId="77777777" w:rsidR="00CC62FC" w:rsidRDefault="00CC62FC" w:rsidP="0015321A">
            <w:pPr>
              <w:rPr>
                <w:color w:val="000000"/>
                <w:sz w:val="18"/>
                <w:szCs w:val="18"/>
              </w:rPr>
            </w:pPr>
            <w:r>
              <w:rPr>
                <w:color w:val="000000"/>
                <w:sz w:val="18"/>
                <w:szCs w:val="18"/>
              </w:rPr>
              <w:t>Phase 2 step 1 (suspension test)</w:t>
            </w:r>
          </w:p>
          <w:p w14:paraId="5D448EEA" w14:textId="77777777" w:rsidR="00CC62FC" w:rsidRDefault="00CC62FC" w:rsidP="0015321A">
            <w:pPr>
              <w:rPr>
                <w:color w:val="000000"/>
                <w:sz w:val="18"/>
                <w:szCs w:val="18"/>
              </w:rPr>
            </w:pPr>
            <w:r>
              <w:rPr>
                <w:color w:val="000000"/>
                <w:sz w:val="18"/>
                <w:szCs w:val="18"/>
              </w:rPr>
              <w:t>Concentrations of product tested (v/v): 1%, 20%, 40%, 80%.</w:t>
            </w:r>
          </w:p>
          <w:p w14:paraId="0FCBE802" w14:textId="77777777" w:rsidR="00D438D3" w:rsidRDefault="00CC62FC" w:rsidP="0015321A">
            <w:pPr>
              <w:rPr>
                <w:color w:val="000000"/>
                <w:sz w:val="18"/>
                <w:szCs w:val="18"/>
              </w:rPr>
            </w:pPr>
            <w:r>
              <w:rPr>
                <w:color w:val="000000"/>
                <w:sz w:val="18"/>
                <w:szCs w:val="18"/>
              </w:rPr>
              <w:t xml:space="preserve">Contact time: 5 minutes </w:t>
            </w:r>
          </w:p>
          <w:p w14:paraId="2A2B8C50" w14:textId="44BFDE9C" w:rsidR="00CC62FC" w:rsidRDefault="00CC62FC" w:rsidP="0015321A">
            <w:pPr>
              <w:rPr>
                <w:color w:val="000000"/>
                <w:sz w:val="18"/>
                <w:szCs w:val="18"/>
              </w:rPr>
            </w:pPr>
            <w:r>
              <w:rPr>
                <w:color w:val="000000"/>
                <w:sz w:val="18"/>
                <w:szCs w:val="18"/>
              </w:rPr>
              <w:t xml:space="preserve">Temperature: 20°C </w:t>
            </w:r>
          </w:p>
          <w:p w14:paraId="63B2A2B7" w14:textId="77777777" w:rsidR="00CC62FC" w:rsidRDefault="00CC62FC" w:rsidP="0015321A">
            <w:pPr>
              <w:rPr>
                <w:color w:val="000000"/>
                <w:sz w:val="18"/>
                <w:szCs w:val="18"/>
              </w:rPr>
            </w:pPr>
            <w:r>
              <w:rPr>
                <w:color w:val="000000"/>
                <w:sz w:val="18"/>
                <w:szCs w:val="18"/>
              </w:rPr>
              <w:t>Dirty conditions: 3 g/L BSA</w:t>
            </w:r>
          </w:p>
          <w:p w14:paraId="57193586" w14:textId="77777777" w:rsidR="00CC62FC" w:rsidRDefault="00CC62FC" w:rsidP="0015321A">
            <w:pPr>
              <w:rPr>
                <w:color w:val="000000"/>
                <w:sz w:val="18"/>
                <w:szCs w:val="18"/>
              </w:rPr>
            </w:pPr>
            <w:r>
              <w:rPr>
                <w:color w:val="000000"/>
                <w:sz w:val="18"/>
                <w:szCs w:val="18"/>
              </w:rPr>
              <w:t>Criteria: ≥ 5 log unit reduction</w:t>
            </w:r>
          </w:p>
        </w:tc>
        <w:tc>
          <w:tcPr>
            <w:tcW w:w="760" w:type="pct"/>
            <w:vAlign w:val="center"/>
          </w:tcPr>
          <w:p w14:paraId="7D2736DC" w14:textId="77777777" w:rsidR="00CC62FC" w:rsidRDefault="00CC62FC" w:rsidP="0015321A">
            <w:pPr>
              <w:rPr>
                <w:color w:val="000000"/>
                <w:sz w:val="18"/>
                <w:szCs w:val="18"/>
              </w:rPr>
            </w:pPr>
            <w:r>
              <w:rPr>
                <w:color w:val="000000"/>
                <w:sz w:val="18"/>
                <w:szCs w:val="18"/>
              </w:rPr>
              <w:br/>
            </w:r>
          </w:p>
          <w:p w14:paraId="64708650" w14:textId="77777777" w:rsidR="00CC62FC" w:rsidRDefault="00CC62FC" w:rsidP="0015321A">
            <w:pPr>
              <w:snapToGrid w:val="0"/>
              <w:rPr>
                <w:color w:val="000000"/>
                <w:sz w:val="18"/>
                <w:szCs w:val="18"/>
              </w:rPr>
            </w:pPr>
            <w:r>
              <w:rPr>
                <w:color w:val="000000"/>
                <w:sz w:val="18"/>
                <w:szCs w:val="18"/>
              </w:rPr>
              <w:t>Bactericidal activity demonstrated at 50 % v/v</w:t>
            </w:r>
          </w:p>
          <w:p w14:paraId="4BDD9696" w14:textId="77777777" w:rsidR="00CC62FC" w:rsidRDefault="00CC62FC" w:rsidP="0015321A">
            <w:pPr>
              <w:rPr>
                <w:color w:val="000000"/>
                <w:sz w:val="18"/>
                <w:szCs w:val="18"/>
              </w:rPr>
            </w:pPr>
          </w:p>
        </w:tc>
        <w:tc>
          <w:tcPr>
            <w:tcW w:w="435" w:type="pct"/>
            <w:vAlign w:val="center"/>
          </w:tcPr>
          <w:p w14:paraId="0EE6C512" w14:textId="77777777" w:rsidR="00CC62FC" w:rsidRDefault="00CC62FC" w:rsidP="0015321A">
            <w:pPr>
              <w:rPr>
                <w:color w:val="000000"/>
                <w:sz w:val="18"/>
                <w:szCs w:val="18"/>
              </w:rPr>
            </w:pPr>
            <w:r>
              <w:rPr>
                <w:color w:val="000000"/>
                <w:sz w:val="18"/>
                <w:szCs w:val="18"/>
              </w:rPr>
              <w:t>Huguet N., 2018, Report No 18.CM.18-091</w:t>
            </w:r>
          </w:p>
          <w:p w14:paraId="46230F71" w14:textId="77777777" w:rsidR="00CC62FC" w:rsidRDefault="00CC62FC" w:rsidP="0015321A">
            <w:pPr>
              <w:rPr>
                <w:color w:val="000000"/>
                <w:sz w:val="18"/>
                <w:szCs w:val="18"/>
              </w:rPr>
            </w:pPr>
            <w:r w:rsidRPr="00C055F6">
              <w:rPr>
                <w:color w:val="000000"/>
                <w:sz w:val="18"/>
                <w:szCs w:val="18"/>
              </w:rPr>
              <w:t>RI=1</w:t>
            </w:r>
          </w:p>
        </w:tc>
      </w:tr>
      <w:tr w:rsidR="0098661C" w14:paraId="40615758" w14:textId="77777777" w:rsidTr="00FE67A2">
        <w:trPr>
          <w:cantSplit/>
        </w:trPr>
        <w:tc>
          <w:tcPr>
            <w:tcW w:w="504" w:type="pct"/>
            <w:vAlign w:val="center"/>
          </w:tcPr>
          <w:p w14:paraId="054D4B60" w14:textId="77777777" w:rsidR="00CC62FC" w:rsidRDefault="00CC62FC" w:rsidP="0015321A">
            <w:pPr>
              <w:rPr>
                <w:color w:val="000000"/>
                <w:sz w:val="18"/>
                <w:szCs w:val="18"/>
              </w:rPr>
            </w:pPr>
            <w:r>
              <w:rPr>
                <w:color w:val="000000"/>
                <w:sz w:val="18"/>
                <w:szCs w:val="18"/>
              </w:rPr>
              <w:t>Disinfectant, yeasticidal activity</w:t>
            </w:r>
          </w:p>
        </w:tc>
        <w:tc>
          <w:tcPr>
            <w:tcW w:w="458" w:type="pct"/>
            <w:vAlign w:val="center"/>
          </w:tcPr>
          <w:p w14:paraId="015150C9" w14:textId="77777777" w:rsidR="00CC62FC" w:rsidRDefault="00CC62FC" w:rsidP="0015321A">
            <w:pPr>
              <w:rPr>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2794D742" w14:textId="77777777" w:rsidR="00CC62FC" w:rsidRDefault="00CC62FC" w:rsidP="0015321A">
            <w:pPr>
              <w:rPr>
                <w:color w:val="000000"/>
                <w:sz w:val="18"/>
                <w:szCs w:val="18"/>
              </w:rPr>
            </w:pPr>
            <w:r>
              <w:rPr>
                <w:color w:val="000000"/>
                <w:sz w:val="18"/>
                <w:szCs w:val="18"/>
              </w:rPr>
              <w:t>AL-S2-1-0</w:t>
            </w:r>
          </w:p>
          <w:p w14:paraId="1412C736" w14:textId="1406CCF5" w:rsidR="00CC62FC" w:rsidRDefault="00CC62FC" w:rsidP="00FD60FF">
            <w:pPr>
              <w:rPr>
                <w:color w:val="000000"/>
                <w:sz w:val="18"/>
                <w:szCs w:val="18"/>
              </w:rPr>
            </w:pPr>
            <w:r>
              <w:rPr>
                <w:color w:val="000000"/>
                <w:sz w:val="18"/>
                <w:szCs w:val="18"/>
              </w:rPr>
              <w:t>3% lactic acid</w:t>
            </w:r>
          </w:p>
        </w:tc>
        <w:tc>
          <w:tcPr>
            <w:tcW w:w="564" w:type="pct"/>
            <w:vAlign w:val="center"/>
          </w:tcPr>
          <w:p w14:paraId="2F71257E" w14:textId="77777777" w:rsidR="00CC62FC" w:rsidRPr="005D3939" w:rsidRDefault="00CC62FC"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35" w:type="pct"/>
            <w:vAlign w:val="center"/>
          </w:tcPr>
          <w:p w14:paraId="22B81DD1" w14:textId="77777777" w:rsidR="00CC62FC" w:rsidRDefault="00CC62FC" w:rsidP="0015321A">
            <w:pPr>
              <w:rPr>
                <w:color w:val="000000"/>
                <w:sz w:val="18"/>
                <w:szCs w:val="18"/>
              </w:rPr>
            </w:pPr>
            <w:r>
              <w:rPr>
                <w:color w:val="000000"/>
                <w:sz w:val="18"/>
                <w:szCs w:val="18"/>
              </w:rPr>
              <w:t>NF EN 1650 (2008) + A1 (July 2013)</w:t>
            </w:r>
          </w:p>
        </w:tc>
        <w:tc>
          <w:tcPr>
            <w:tcW w:w="1375" w:type="pct"/>
            <w:vAlign w:val="center"/>
          </w:tcPr>
          <w:p w14:paraId="0C5C9E41" w14:textId="77777777" w:rsidR="00CC62FC" w:rsidRDefault="00CC62FC" w:rsidP="0015321A">
            <w:pPr>
              <w:rPr>
                <w:color w:val="000000"/>
                <w:sz w:val="18"/>
                <w:szCs w:val="18"/>
              </w:rPr>
            </w:pPr>
            <w:r>
              <w:rPr>
                <w:color w:val="000000"/>
                <w:sz w:val="18"/>
                <w:szCs w:val="18"/>
              </w:rPr>
              <w:t>Phase 2 step 1 (suspension test)</w:t>
            </w:r>
          </w:p>
          <w:p w14:paraId="582FCBBC" w14:textId="77777777" w:rsidR="00CC62FC" w:rsidRDefault="00CC62FC" w:rsidP="0015321A">
            <w:pPr>
              <w:rPr>
                <w:color w:val="000000"/>
                <w:sz w:val="18"/>
                <w:szCs w:val="18"/>
              </w:rPr>
            </w:pPr>
            <w:r>
              <w:rPr>
                <w:color w:val="000000"/>
                <w:sz w:val="18"/>
                <w:szCs w:val="18"/>
              </w:rPr>
              <w:t>Concentrations of product tested (v/v): 20%, 40%, 80 %</w:t>
            </w:r>
          </w:p>
          <w:p w14:paraId="2AD8C37E" w14:textId="77777777" w:rsidR="00D438D3" w:rsidRDefault="00CC62FC" w:rsidP="0015321A">
            <w:pPr>
              <w:rPr>
                <w:color w:val="000000"/>
                <w:sz w:val="18"/>
                <w:szCs w:val="18"/>
              </w:rPr>
            </w:pPr>
            <w:r>
              <w:rPr>
                <w:color w:val="000000"/>
                <w:sz w:val="18"/>
                <w:szCs w:val="18"/>
              </w:rPr>
              <w:t xml:space="preserve">Contact time: 15 min  </w:t>
            </w:r>
          </w:p>
          <w:p w14:paraId="3CA7E29F" w14:textId="3717E5D4" w:rsidR="00CC62FC" w:rsidRDefault="00CC62FC" w:rsidP="0015321A">
            <w:pPr>
              <w:rPr>
                <w:color w:val="000000"/>
                <w:sz w:val="18"/>
                <w:szCs w:val="18"/>
              </w:rPr>
            </w:pPr>
            <w:r>
              <w:rPr>
                <w:color w:val="000000"/>
                <w:sz w:val="18"/>
                <w:szCs w:val="18"/>
              </w:rPr>
              <w:t xml:space="preserve">Temperature: 20°C </w:t>
            </w:r>
          </w:p>
          <w:p w14:paraId="0FADBE8A" w14:textId="77777777" w:rsidR="00CC62FC" w:rsidRDefault="00CC62FC" w:rsidP="0015321A">
            <w:pPr>
              <w:rPr>
                <w:color w:val="000000"/>
                <w:sz w:val="18"/>
                <w:szCs w:val="18"/>
              </w:rPr>
            </w:pPr>
            <w:r>
              <w:rPr>
                <w:color w:val="000000"/>
                <w:sz w:val="18"/>
                <w:szCs w:val="18"/>
              </w:rPr>
              <w:t xml:space="preserve">Dirty conditions:3 g/L BSA </w:t>
            </w:r>
          </w:p>
          <w:p w14:paraId="17736045" w14:textId="77777777" w:rsidR="00CC62FC" w:rsidRDefault="00CC62FC" w:rsidP="0015321A">
            <w:pPr>
              <w:rPr>
                <w:color w:val="000000"/>
                <w:sz w:val="18"/>
                <w:szCs w:val="18"/>
              </w:rPr>
            </w:pPr>
            <w:r>
              <w:rPr>
                <w:color w:val="000000"/>
                <w:sz w:val="18"/>
                <w:szCs w:val="18"/>
              </w:rPr>
              <w:t>Criteria: ≥ 4 log unit reduction</w:t>
            </w:r>
          </w:p>
        </w:tc>
        <w:tc>
          <w:tcPr>
            <w:tcW w:w="760" w:type="pct"/>
            <w:vAlign w:val="center"/>
          </w:tcPr>
          <w:p w14:paraId="4040EA05" w14:textId="77777777" w:rsidR="00CC62FC" w:rsidRDefault="00CC62FC" w:rsidP="0015321A">
            <w:pPr>
              <w:rPr>
                <w:color w:val="000000"/>
                <w:sz w:val="18"/>
                <w:szCs w:val="18"/>
              </w:rPr>
            </w:pPr>
          </w:p>
          <w:p w14:paraId="155E8913" w14:textId="77777777" w:rsidR="00CC62FC" w:rsidRDefault="00CC62FC" w:rsidP="0015321A">
            <w:pPr>
              <w:snapToGrid w:val="0"/>
              <w:rPr>
                <w:color w:val="000000"/>
                <w:sz w:val="18"/>
                <w:szCs w:val="18"/>
              </w:rPr>
            </w:pPr>
            <w:r>
              <w:rPr>
                <w:color w:val="000000"/>
                <w:sz w:val="18"/>
                <w:szCs w:val="18"/>
              </w:rPr>
              <w:t>Yeasticidal activity demonstrated at 40 % v/v</w:t>
            </w:r>
          </w:p>
          <w:p w14:paraId="66BD6DC6" w14:textId="77777777" w:rsidR="00CC62FC" w:rsidDel="00AB7962" w:rsidRDefault="00CC62FC" w:rsidP="0015321A">
            <w:pPr>
              <w:rPr>
                <w:color w:val="000000"/>
                <w:sz w:val="18"/>
                <w:szCs w:val="18"/>
              </w:rPr>
            </w:pPr>
          </w:p>
        </w:tc>
        <w:tc>
          <w:tcPr>
            <w:tcW w:w="435" w:type="pct"/>
            <w:vAlign w:val="center"/>
          </w:tcPr>
          <w:p w14:paraId="0C2936E6" w14:textId="77777777" w:rsidR="00CC62FC" w:rsidRDefault="00CC62FC" w:rsidP="0015321A">
            <w:pPr>
              <w:rPr>
                <w:color w:val="000000"/>
                <w:sz w:val="18"/>
                <w:szCs w:val="18"/>
              </w:rPr>
            </w:pPr>
            <w:r>
              <w:rPr>
                <w:color w:val="000000"/>
                <w:sz w:val="18"/>
                <w:szCs w:val="18"/>
              </w:rPr>
              <w:t>Huguet N., 2019, Report No 18.CM.18-015</w:t>
            </w:r>
          </w:p>
          <w:p w14:paraId="242BD399" w14:textId="77777777" w:rsidR="00CC62FC" w:rsidRDefault="00CC62FC" w:rsidP="0015321A">
            <w:pPr>
              <w:rPr>
                <w:color w:val="000000"/>
                <w:sz w:val="18"/>
                <w:szCs w:val="18"/>
              </w:rPr>
            </w:pPr>
            <w:r w:rsidRPr="00C055F6">
              <w:rPr>
                <w:color w:val="000000"/>
                <w:sz w:val="18"/>
                <w:szCs w:val="18"/>
              </w:rPr>
              <w:t>RI=1</w:t>
            </w:r>
          </w:p>
        </w:tc>
      </w:tr>
      <w:tr w:rsidR="0098661C" w:rsidRPr="00FD2055" w14:paraId="3BA91FF4" w14:textId="77777777" w:rsidTr="00FE67A2">
        <w:trPr>
          <w:cantSplit/>
        </w:trPr>
        <w:tc>
          <w:tcPr>
            <w:tcW w:w="504" w:type="pct"/>
            <w:vAlign w:val="center"/>
          </w:tcPr>
          <w:p w14:paraId="71609EBC" w14:textId="77777777" w:rsidR="00CC62FC" w:rsidRPr="00FD2055" w:rsidRDefault="00CC62FC" w:rsidP="0015321A">
            <w:pPr>
              <w:rPr>
                <w:i/>
                <w:color w:val="000000"/>
                <w:sz w:val="18"/>
                <w:szCs w:val="18"/>
              </w:rPr>
            </w:pPr>
            <w:r>
              <w:rPr>
                <w:color w:val="000000"/>
                <w:sz w:val="18"/>
                <w:szCs w:val="18"/>
              </w:rPr>
              <w:t>Disinfectant, bactericidal activity</w:t>
            </w:r>
          </w:p>
        </w:tc>
        <w:tc>
          <w:tcPr>
            <w:tcW w:w="458" w:type="pct"/>
            <w:vAlign w:val="center"/>
          </w:tcPr>
          <w:p w14:paraId="22B69559" w14:textId="77777777" w:rsidR="00CC62FC" w:rsidRPr="00FD2055" w:rsidRDefault="00CC62FC" w:rsidP="0015321A">
            <w:pPr>
              <w:rPr>
                <w:i/>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518C4555" w14:textId="77777777" w:rsidR="00CC62FC" w:rsidRDefault="00CC62FC" w:rsidP="0015321A">
            <w:pPr>
              <w:rPr>
                <w:color w:val="000000"/>
                <w:sz w:val="18"/>
                <w:szCs w:val="18"/>
              </w:rPr>
            </w:pPr>
            <w:r>
              <w:rPr>
                <w:color w:val="000000"/>
                <w:sz w:val="18"/>
                <w:szCs w:val="18"/>
              </w:rPr>
              <w:t>AL-S2-1-0</w:t>
            </w:r>
          </w:p>
          <w:p w14:paraId="0D4CAB18" w14:textId="13B7C928" w:rsidR="00CC62FC" w:rsidRPr="00FD2055" w:rsidRDefault="00CC62FC">
            <w:pPr>
              <w:rPr>
                <w:i/>
                <w:color w:val="000000"/>
                <w:sz w:val="18"/>
                <w:szCs w:val="18"/>
              </w:rPr>
            </w:pPr>
            <w:r>
              <w:rPr>
                <w:color w:val="000000"/>
                <w:sz w:val="18"/>
                <w:szCs w:val="18"/>
              </w:rPr>
              <w:t>3% lactic acid</w:t>
            </w:r>
          </w:p>
        </w:tc>
        <w:tc>
          <w:tcPr>
            <w:tcW w:w="564" w:type="pct"/>
            <w:vAlign w:val="center"/>
          </w:tcPr>
          <w:p w14:paraId="514C69B2" w14:textId="77777777" w:rsidR="00CC62FC" w:rsidRPr="00FD2055" w:rsidRDefault="00CC62FC" w:rsidP="0015321A">
            <w:pPr>
              <w:rPr>
                <w:i/>
                <w:color w:val="000000"/>
                <w:sz w:val="18"/>
                <w:szCs w:val="18"/>
              </w:rPr>
            </w:pPr>
            <w:r w:rsidRPr="005D3939">
              <w:rPr>
                <w:i/>
                <w:color w:val="000000"/>
                <w:sz w:val="18"/>
                <w:szCs w:val="18"/>
              </w:rPr>
              <w:t xml:space="preserve">Salmonella </w:t>
            </w:r>
            <w:r w:rsidRPr="00E12B02">
              <w:rPr>
                <w:color w:val="000000"/>
                <w:sz w:val="18"/>
                <w:szCs w:val="18"/>
              </w:rPr>
              <w:t>Typhimurium</w:t>
            </w:r>
            <w:r>
              <w:rPr>
                <w:color w:val="000000"/>
                <w:sz w:val="18"/>
                <w:szCs w:val="18"/>
              </w:rPr>
              <w:t xml:space="preserve"> </w:t>
            </w:r>
            <w:r>
              <w:rPr>
                <w:color w:val="000000"/>
                <w:sz w:val="18"/>
                <w:szCs w:val="18"/>
              </w:rPr>
              <w:br/>
            </w:r>
            <w:r w:rsidRPr="005D3939">
              <w:rPr>
                <w:i/>
                <w:color w:val="000000"/>
                <w:sz w:val="18"/>
                <w:szCs w:val="18"/>
              </w:rPr>
              <w:t>Listeria monocytogenes</w:t>
            </w:r>
            <w:r>
              <w:rPr>
                <w:color w:val="000000"/>
                <w:sz w:val="18"/>
                <w:szCs w:val="18"/>
              </w:rPr>
              <w:t xml:space="preserve"> </w:t>
            </w:r>
          </w:p>
        </w:tc>
        <w:tc>
          <w:tcPr>
            <w:tcW w:w="535" w:type="pct"/>
            <w:vAlign w:val="center"/>
          </w:tcPr>
          <w:p w14:paraId="7B7FB16B" w14:textId="77777777" w:rsidR="00CC62FC" w:rsidRPr="00FD2055" w:rsidRDefault="00CC62FC" w:rsidP="0015321A">
            <w:pPr>
              <w:rPr>
                <w:color w:val="000000"/>
                <w:sz w:val="18"/>
                <w:szCs w:val="18"/>
              </w:rPr>
            </w:pPr>
            <w:r>
              <w:rPr>
                <w:color w:val="000000"/>
                <w:sz w:val="18"/>
                <w:szCs w:val="18"/>
              </w:rPr>
              <w:t>NF EN 13697 (June 2015)</w:t>
            </w:r>
          </w:p>
        </w:tc>
        <w:tc>
          <w:tcPr>
            <w:tcW w:w="1375" w:type="pct"/>
            <w:vAlign w:val="center"/>
          </w:tcPr>
          <w:p w14:paraId="6CC65B51" w14:textId="77777777" w:rsidR="00CC62FC" w:rsidRDefault="00CC62FC" w:rsidP="0015321A">
            <w:pPr>
              <w:rPr>
                <w:color w:val="000000"/>
                <w:sz w:val="18"/>
                <w:szCs w:val="18"/>
              </w:rPr>
            </w:pPr>
            <w:r>
              <w:rPr>
                <w:color w:val="000000"/>
                <w:sz w:val="18"/>
                <w:szCs w:val="18"/>
              </w:rPr>
              <w:t>Phase 2 step 2 (suspension test)</w:t>
            </w:r>
          </w:p>
          <w:p w14:paraId="10AA1F99" w14:textId="77777777" w:rsidR="00CC62FC" w:rsidRDefault="00CC62FC" w:rsidP="0015321A">
            <w:pPr>
              <w:rPr>
                <w:color w:val="000000"/>
                <w:sz w:val="18"/>
                <w:szCs w:val="18"/>
              </w:rPr>
            </w:pPr>
            <w:r>
              <w:rPr>
                <w:color w:val="000000"/>
                <w:sz w:val="18"/>
                <w:szCs w:val="18"/>
              </w:rPr>
              <w:t xml:space="preserve">Concentrations of product tested (v/v): 1%, 50%, 100%. </w:t>
            </w:r>
          </w:p>
          <w:p w14:paraId="698AFD15" w14:textId="77777777" w:rsidR="00CC62FC" w:rsidRDefault="00CC62FC" w:rsidP="0015321A">
            <w:pPr>
              <w:rPr>
                <w:color w:val="000000"/>
                <w:sz w:val="18"/>
                <w:szCs w:val="18"/>
              </w:rPr>
            </w:pPr>
            <w:r>
              <w:rPr>
                <w:color w:val="000000"/>
                <w:sz w:val="18"/>
                <w:szCs w:val="18"/>
              </w:rPr>
              <w:t>Contact time: 5 min Temperature:20°C Dirty conditions:3 g/L BSA</w:t>
            </w:r>
          </w:p>
          <w:p w14:paraId="141BF9EE" w14:textId="77777777" w:rsidR="00CC62FC" w:rsidRPr="00FD2055" w:rsidRDefault="00CC62FC" w:rsidP="0015321A">
            <w:pPr>
              <w:rPr>
                <w:color w:val="000000"/>
                <w:sz w:val="18"/>
                <w:szCs w:val="18"/>
              </w:rPr>
            </w:pPr>
            <w:r>
              <w:rPr>
                <w:color w:val="000000"/>
                <w:sz w:val="18"/>
                <w:szCs w:val="18"/>
              </w:rPr>
              <w:t>Criteria: ≥ 4 log unit reduction</w:t>
            </w:r>
          </w:p>
        </w:tc>
        <w:tc>
          <w:tcPr>
            <w:tcW w:w="760" w:type="pct"/>
            <w:vAlign w:val="center"/>
          </w:tcPr>
          <w:p w14:paraId="104FD723" w14:textId="77777777" w:rsidR="00CC62FC" w:rsidRDefault="00CC62FC" w:rsidP="0015321A">
            <w:pPr>
              <w:rPr>
                <w:color w:val="000000"/>
                <w:sz w:val="18"/>
                <w:szCs w:val="18"/>
              </w:rPr>
            </w:pPr>
          </w:p>
          <w:p w14:paraId="61FD0B9E" w14:textId="194B7592" w:rsidR="00CC62FC" w:rsidRDefault="00FE67A2" w:rsidP="0015321A">
            <w:pPr>
              <w:snapToGrid w:val="0"/>
              <w:rPr>
                <w:color w:val="000000"/>
                <w:sz w:val="18"/>
                <w:szCs w:val="18"/>
              </w:rPr>
            </w:pPr>
            <w:r>
              <w:rPr>
                <w:color w:val="000000"/>
                <w:sz w:val="18"/>
                <w:szCs w:val="18"/>
              </w:rPr>
              <w:t>A</w:t>
            </w:r>
            <w:r w:rsidR="00CC62FC">
              <w:rPr>
                <w:color w:val="000000"/>
                <w:sz w:val="18"/>
                <w:szCs w:val="18"/>
              </w:rPr>
              <w:t>ctivity demonstrated at 50 % v/v</w:t>
            </w:r>
          </w:p>
          <w:p w14:paraId="43B38530" w14:textId="77777777" w:rsidR="00CC62FC" w:rsidRPr="00FD2055" w:rsidRDefault="00CC62FC" w:rsidP="0015321A">
            <w:pPr>
              <w:rPr>
                <w:color w:val="000000"/>
                <w:sz w:val="18"/>
                <w:szCs w:val="18"/>
              </w:rPr>
            </w:pPr>
          </w:p>
        </w:tc>
        <w:tc>
          <w:tcPr>
            <w:tcW w:w="435" w:type="pct"/>
            <w:vAlign w:val="center"/>
          </w:tcPr>
          <w:p w14:paraId="590965A4" w14:textId="77777777" w:rsidR="00CC62FC" w:rsidRDefault="00CC62FC" w:rsidP="0015321A">
            <w:pPr>
              <w:rPr>
                <w:color w:val="000000"/>
                <w:sz w:val="18"/>
                <w:szCs w:val="18"/>
              </w:rPr>
            </w:pPr>
            <w:r>
              <w:rPr>
                <w:color w:val="000000"/>
                <w:sz w:val="18"/>
                <w:szCs w:val="18"/>
              </w:rPr>
              <w:t>Teulier M., 2018, Report No 5107-1</w:t>
            </w:r>
          </w:p>
          <w:p w14:paraId="588D314C" w14:textId="77777777" w:rsidR="00CC62FC" w:rsidRPr="00FD2055" w:rsidRDefault="00CC62FC" w:rsidP="0015321A">
            <w:pPr>
              <w:rPr>
                <w:i/>
                <w:color w:val="000000"/>
                <w:sz w:val="18"/>
                <w:szCs w:val="18"/>
              </w:rPr>
            </w:pPr>
            <w:r w:rsidRPr="00C055F6">
              <w:rPr>
                <w:color w:val="000000"/>
                <w:sz w:val="18"/>
                <w:szCs w:val="18"/>
              </w:rPr>
              <w:t>RI=1</w:t>
            </w:r>
          </w:p>
        </w:tc>
      </w:tr>
      <w:tr w:rsidR="0098661C" w:rsidRPr="00FD2055" w14:paraId="29E4E3BA" w14:textId="77777777" w:rsidTr="00FE67A2">
        <w:trPr>
          <w:cantSplit/>
        </w:trPr>
        <w:tc>
          <w:tcPr>
            <w:tcW w:w="504" w:type="pct"/>
            <w:vAlign w:val="center"/>
          </w:tcPr>
          <w:p w14:paraId="623BAA55" w14:textId="77777777" w:rsidR="00CC62FC" w:rsidRPr="00FD2055" w:rsidRDefault="00CC62FC" w:rsidP="0015321A">
            <w:pPr>
              <w:rPr>
                <w:i/>
                <w:color w:val="000000"/>
                <w:sz w:val="18"/>
                <w:szCs w:val="18"/>
              </w:rPr>
            </w:pPr>
            <w:r>
              <w:rPr>
                <w:color w:val="000000"/>
                <w:sz w:val="18"/>
                <w:szCs w:val="18"/>
              </w:rPr>
              <w:lastRenderedPageBreak/>
              <w:t>Disinfectant, bactericidal activity</w:t>
            </w:r>
          </w:p>
        </w:tc>
        <w:tc>
          <w:tcPr>
            <w:tcW w:w="458" w:type="pct"/>
            <w:vAlign w:val="center"/>
          </w:tcPr>
          <w:p w14:paraId="26025ECA" w14:textId="7EEA1EBA" w:rsidR="00CC62FC" w:rsidRPr="00FD2055" w:rsidRDefault="00FE67A2" w:rsidP="0015321A">
            <w:pPr>
              <w:rPr>
                <w:i/>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43FB320A" w14:textId="77777777" w:rsidR="00CC62FC" w:rsidRDefault="00CC62FC" w:rsidP="0015321A">
            <w:pPr>
              <w:rPr>
                <w:color w:val="000000"/>
                <w:sz w:val="18"/>
                <w:szCs w:val="18"/>
              </w:rPr>
            </w:pPr>
            <w:r>
              <w:rPr>
                <w:color w:val="000000"/>
                <w:sz w:val="18"/>
                <w:szCs w:val="18"/>
              </w:rPr>
              <w:t>AL-S1-1-0</w:t>
            </w:r>
          </w:p>
          <w:p w14:paraId="16BB8E7D" w14:textId="1AA2E8CD" w:rsidR="00CC62FC" w:rsidRPr="00FD2055" w:rsidRDefault="00BC667C" w:rsidP="0015321A">
            <w:pPr>
              <w:rPr>
                <w:i/>
                <w:color w:val="000000"/>
                <w:sz w:val="18"/>
                <w:szCs w:val="18"/>
              </w:rPr>
            </w:pPr>
            <w:r>
              <w:rPr>
                <w:color w:val="000000"/>
                <w:sz w:val="18"/>
                <w:szCs w:val="18"/>
              </w:rPr>
              <w:t>2.4</w:t>
            </w:r>
            <w:r w:rsidR="00CC62FC">
              <w:rPr>
                <w:color w:val="000000"/>
                <w:sz w:val="18"/>
                <w:szCs w:val="18"/>
              </w:rPr>
              <w:t>% lactic acid</w:t>
            </w:r>
          </w:p>
        </w:tc>
        <w:tc>
          <w:tcPr>
            <w:tcW w:w="564" w:type="pct"/>
            <w:vAlign w:val="center"/>
          </w:tcPr>
          <w:p w14:paraId="3456179E" w14:textId="77777777" w:rsidR="00CC62FC" w:rsidRPr="00D016EC" w:rsidRDefault="00CC62FC"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535" w:type="pct"/>
            <w:vAlign w:val="center"/>
          </w:tcPr>
          <w:p w14:paraId="65D4E9CE" w14:textId="77777777" w:rsidR="00CC62FC" w:rsidRPr="00FD2055" w:rsidRDefault="00CC62FC" w:rsidP="0015321A">
            <w:pPr>
              <w:rPr>
                <w:color w:val="000000"/>
                <w:sz w:val="18"/>
                <w:szCs w:val="18"/>
              </w:rPr>
            </w:pPr>
            <w:r>
              <w:rPr>
                <w:color w:val="000000"/>
                <w:sz w:val="18"/>
                <w:szCs w:val="18"/>
              </w:rPr>
              <w:t>NF EN 13697 (June 2015)</w:t>
            </w:r>
          </w:p>
        </w:tc>
        <w:tc>
          <w:tcPr>
            <w:tcW w:w="1375" w:type="pct"/>
            <w:vAlign w:val="center"/>
          </w:tcPr>
          <w:p w14:paraId="341A62C5" w14:textId="77777777" w:rsidR="00CC62FC" w:rsidRDefault="00CC62FC" w:rsidP="0015321A">
            <w:pPr>
              <w:rPr>
                <w:color w:val="000000"/>
                <w:sz w:val="18"/>
                <w:szCs w:val="18"/>
              </w:rPr>
            </w:pPr>
            <w:r>
              <w:rPr>
                <w:color w:val="000000"/>
                <w:sz w:val="18"/>
                <w:szCs w:val="18"/>
              </w:rPr>
              <w:t>Phase 2 step 2 (suspension test)</w:t>
            </w:r>
          </w:p>
          <w:p w14:paraId="6335BE45" w14:textId="77777777" w:rsidR="00D438D3" w:rsidRDefault="00CC62FC" w:rsidP="0015321A">
            <w:pPr>
              <w:rPr>
                <w:color w:val="000000"/>
                <w:sz w:val="18"/>
                <w:szCs w:val="18"/>
              </w:rPr>
            </w:pPr>
            <w:r>
              <w:rPr>
                <w:color w:val="000000"/>
                <w:sz w:val="18"/>
                <w:szCs w:val="18"/>
              </w:rPr>
              <w:t xml:space="preserve">Concentrations of product tested (v/v): 1%, 20%, 50%, 100%. </w:t>
            </w:r>
          </w:p>
          <w:p w14:paraId="734BFEB9" w14:textId="7BED9CAA" w:rsidR="00CC62FC" w:rsidRDefault="00CC62FC" w:rsidP="0015321A">
            <w:pPr>
              <w:rPr>
                <w:color w:val="000000"/>
                <w:sz w:val="18"/>
                <w:szCs w:val="18"/>
              </w:rPr>
            </w:pPr>
            <w:r>
              <w:rPr>
                <w:color w:val="000000"/>
                <w:sz w:val="18"/>
                <w:szCs w:val="18"/>
              </w:rPr>
              <w:t>Contact time:5 minutes</w:t>
            </w:r>
          </w:p>
          <w:p w14:paraId="4577F345" w14:textId="77777777" w:rsidR="00CC62FC" w:rsidRDefault="00CC62FC" w:rsidP="0015321A">
            <w:pPr>
              <w:rPr>
                <w:color w:val="000000"/>
                <w:sz w:val="18"/>
                <w:szCs w:val="18"/>
              </w:rPr>
            </w:pPr>
            <w:r>
              <w:rPr>
                <w:color w:val="000000"/>
                <w:sz w:val="18"/>
                <w:szCs w:val="18"/>
              </w:rPr>
              <w:t xml:space="preserve">Temperature: 20°C </w:t>
            </w:r>
          </w:p>
          <w:p w14:paraId="25BC85D8" w14:textId="77777777" w:rsidR="00CC62FC" w:rsidRDefault="00CC62FC" w:rsidP="0015321A">
            <w:pPr>
              <w:rPr>
                <w:color w:val="000000"/>
                <w:sz w:val="18"/>
                <w:szCs w:val="18"/>
              </w:rPr>
            </w:pPr>
            <w:r>
              <w:rPr>
                <w:color w:val="000000"/>
                <w:sz w:val="18"/>
                <w:szCs w:val="18"/>
              </w:rPr>
              <w:t>Dirty conditions: 3 g/L BSA</w:t>
            </w:r>
          </w:p>
          <w:p w14:paraId="4C6778E6" w14:textId="77777777" w:rsidR="00CC62FC" w:rsidRPr="00FD2055" w:rsidRDefault="00CC62FC" w:rsidP="0015321A">
            <w:pPr>
              <w:rPr>
                <w:color w:val="000000"/>
                <w:sz w:val="18"/>
                <w:szCs w:val="18"/>
              </w:rPr>
            </w:pPr>
            <w:r>
              <w:rPr>
                <w:color w:val="000000"/>
                <w:sz w:val="18"/>
                <w:szCs w:val="18"/>
              </w:rPr>
              <w:t>Criteria: ≥ 4 log unit reduction</w:t>
            </w:r>
          </w:p>
        </w:tc>
        <w:tc>
          <w:tcPr>
            <w:tcW w:w="760" w:type="pct"/>
            <w:vAlign w:val="center"/>
          </w:tcPr>
          <w:p w14:paraId="3895E9B2" w14:textId="77777777" w:rsidR="00CC62FC" w:rsidRDefault="00CC62FC" w:rsidP="0015321A">
            <w:pPr>
              <w:rPr>
                <w:color w:val="000000"/>
                <w:sz w:val="18"/>
                <w:szCs w:val="18"/>
              </w:rPr>
            </w:pPr>
          </w:p>
          <w:p w14:paraId="6A3318D8" w14:textId="77777777" w:rsidR="00CC62FC" w:rsidRDefault="00CC62FC" w:rsidP="0015321A">
            <w:pPr>
              <w:snapToGrid w:val="0"/>
              <w:rPr>
                <w:color w:val="000000"/>
                <w:sz w:val="18"/>
                <w:szCs w:val="18"/>
              </w:rPr>
            </w:pPr>
            <w:r>
              <w:rPr>
                <w:color w:val="000000"/>
                <w:sz w:val="18"/>
                <w:szCs w:val="18"/>
              </w:rPr>
              <w:t>Bactericidal activity demonstrated at 50 % v/v</w:t>
            </w:r>
          </w:p>
          <w:p w14:paraId="454D05BD" w14:textId="77777777" w:rsidR="00CC62FC" w:rsidRPr="00FD2055" w:rsidRDefault="00CC62FC" w:rsidP="0015321A">
            <w:pPr>
              <w:rPr>
                <w:color w:val="000000"/>
                <w:sz w:val="18"/>
                <w:szCs w:val="18"/>
              </w:rPr>
            </w:pPr>
          </w:p>
        </w:tc>
        <w:tc>
          <w:tcPr>
            <w:tcW w:w="435" w:type="pct"/>
            <w:vAlign w:val="center"/>
          </w:tcPr>
          <w:p w14:paraId="36E1F362" w14:textId="77777777" w:rsidR="00CC62FC" w:rsidRDefault="00CC62FC" w:rsidP="0015321A">
            <w:pPr>
              <w:rPr>
                <w:color w:val="000000"/>
                <w:sz w:val="18"/>
                <w:szCs w:val="18"/>
              </w:rPr>
            </w:pPr>
            <w:r>
              <w:rPr>
                <w:color w:val="000000"/>
                <w:sz w:val="18"/>
                <w:szCs w:val="18"/>
              </w:rPr>
              <w:t>Huguet N., 2019, Report No 18.CM.18-030</w:t>
            </w:r>
          </w:p>
          <w:p w14:paraId="1542DAA2" w14:textId="77777777" w:rsidR="00CC62FC" w:rsidRDefault="00CC62FC" w:rsidP="0015321A">
            <w:pPr>
              <w:rPr>
                <w:color w:val="000000"/>
                <w:sz w:val="18"/>
                <w:szCs w:val="18"/>
              </w:rPr>
            </w:pPr>
          </w:p>
          <w:p w14:paraId="40CA3F22" w14:textId="77777777" w:rsidR="00CC62FC" w:rsidRPr="00FD2055" w:rsidRDefault="00CC62FC" w:rsidP="0015321A">
            <w:pPr>
              <w:rPr>
                <w:i/>
                <w:color w:val="000000"/>
                <w:sz w:val="18"/>
                <w:szCs w:val="18"/>
              </w:rPr>
            </w:pPr>
            <w:r>
              <w:rPr>
                <w:color w:val="000000"/>
                <w:sz w:val="18"/>
                <w:szCs w:val="18"/>
              </w:rPr>
              <w:t>RI=1</w:t>
            </w:r>
          </w:p>
        </w:tc>
      </w:tr>
      <w:tr w:rsidR="0098661C" w:rsidRPr="00FD2055" w14:paraId="5C0AA132" w14:textId="77777777" w:rsidTr="00FE67A2">
        <w:trPr>
          <w:cantSplit/>
        </w:trPr>
        <w:tc>
          <w:tcPr>
            <w:tcW w:w="504" w:type="pct"/>
            <w:vAlign w:val="center"/>
          </w:tcPr>
          <w:p w14:paraId="4D013162" w14:textId="77777777" w:rsidR="00CC62FC" w:rsidRPr="00FD2055" w:rsidRDefault="00CC62FC" w:rsidP="0015321A">
            <w:pPr>
              <w:rPr>
                <w:i/>
                <w:color w:val="000000"/>
                <w:sz w:val="18"/>
                <w:szCs w:val="18"/>
              </w:rPr>
            </w:pPr>
            <w:r>
              <w:rPr>
                <w:color w:val="000000"/>
                <w:sz w:val="18"/>
                <w:szCs w:val="18"/>
              </w:rPr>
              <w:t>Disinfectant, bactericidal activity</w:t>
            </w:r>
          </w:p>
        </w:tc>
        <w:tc>
          <w:tcPr>
            <w:tcW w:w="458" w:type="pct"/>
            <w:vAlign w:val="center"/>
          </w:tcPr>
          <w:p w14:paraId="41D05C23" w14:textId="76A9CAB7" w:rsidR="00CC62FC" w:rsidRPr="00FD2055" w:rsidRDefault="00FE67A2" w:rsidP="0015321A">
            <w:pPr>
              <w:rPr>
                <w:i/>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716B74E4" w14:textId="77777777" w:rsidR="00CC62FC" w:rsidRDefault="00CC62FC" w:rsidP="0015321A">
            <w:pPr>
              <w:rPr>
                <w:color w:val="000000"/>
                <w:sz w:val="18"/>
                <w:szCs w:val="18"/>
              </w:rPr>
            </w:pPr>
            <w:r>
              <w:rPr>
                <w:color w:val="000000"/>
                <w:sz w:val="18"/>
                <w:szCs w:val="18"/>
              </w:rPr>
              <w:t>AL-S1-1-0</w:t>
            </w:r>
          </w:p>
          <w:p w14:paraId="42704849" w14:textId="4463A0A5" w:rsidR="00CC62FC" w:rsidRPr="00FD2055" w:rsidRDefault="00BC667C" w:rsidP="0015321A">
            <w:pPr>
              <w:rPr>
                <w:i/>
                <w:color w:val="000000"/>
                <w:sz w:val="18"/>
                <w:szCs w:val="18"/>
              </w:rPr>
            </w:pPr>
            <w:r>
              <w:rPr>
                <w:color w:val="000000"/>
                <w:sz w:val="18"/>
                <w:szCs w:val="18"/>
              </w:rPr>
              <w:t>2.4</w:t>
            </w:r>
            <w:r w:rsidR="00CC62FC">
              <w:rPr>
                <w:color w:val="000000"/>
                <w:sz w:val="18"/>
                <w:szCs w:val="18"/>
              </w:rPr>
              <w:t>% lactic acid</w:t>
            </w:r>
          </w:p>
        </w:tc>
        <w:tc>
          <w:tcPr>
            <w:tcW w:w="564" w:type="pct"/>
            <w:vAlign w:val="center"/>
          </w:tcPr>
          <w:p w14:paraId="6892034A" w14:textId="77777777" w:rsidR="00CC62FC" w:rsidRPr="00AB27D1" w:rsidRDefault="00CC62FC" w:rsidP="0015321A">
            <w:pPr>
              <w:rPr>
                <w:i/>
                <w:color w:val="000000"/>
                <w:sz w:val="18"/>
                <w:szCs w:val="18"/>
                <w:lang w:val="fr-FR"/>
              </w:rPr>
            </w:pPr>
            <w:r w:rsidRPr="00AB27D1">
              <w:rPr>
                <w:i/>
                <w:color w:val="000000"/>
                <w:sz w:val="18"/>
                <w:szCs w:val="18"/>
                <w:lang w:val="fr-FR"/>
              </w:rPr>
              <w:t>Pseudomonas aeruginosa</w:t>
            </w:r>
            <w:r w:rsidRPr="00AB27D1">
              <w:rPr>
                <w:color w:val="000000"/>
                <w:sz w:val="18"/>
                <w:szCs w:val="18"/>
                <w:lang w:val="fr-FR"/>
              </w:rPr>
              <w:t xml:space="preserve"> </w:t>
            </w:r>
            <w:r w:rsidRPr="00AB27D1">
              <w:rPr>
                <w:color w:val="000000"/>
                <w:sz w:val="18"/>
                <w:szCs w:val="18"/>
                <w:lang w:val="fr-FR"/>
              </w:rPr>
              <w:br/>
            </w:r>
            <w:r w:rsidRPr="00AB27D1">
              <w:rPr>
                <w:i/>
                <w:color w:val="000000"/>
                <w:sz w:val="18"/>
                <w:szCs w:val="18"/>
                <w:lang w:val="fr-FR"/>
              </w:rPr>
              <w:t>Staphylococcus aureus</w:t>
            </w:r>
            <w:r w:rsidRPr="00AB27D1">
              <w:rPr>
                <w:color w:val="000000"/>
                <w:sz w:val="18"/>
                <w:szCs w:val="18"/>
                <w:lang w:val="fr-FR"/>
              </w:rPr>
              <w:t xml:space="preserve"> </w:t>
            </w:r>
            <w:r w:rsidRPr="00AB27D1">
              <w:rPr>
                <w:color w:val="000000"/>
                <w:sz w:val="18"/>
                <w:szCs w:val="18"/>
                <w:lang w:val="fr-FR"/>
              </w:rPr>
              <w:br/>
            </w:r>
            <w:r w:rsidRPr="00AB27D1">
              <w:rPr>
                <w:i/>
                <w:color w:val="000000"/>
                <w:sz w:val="18"/>
                <w:szCs w:val="18"/>
                <w:lang w:val="fr-FR"/>
              </w:rPr>
              <w:t>Enterococcus hirae</w:t>
            </w:r>
            <w:r w:rsidRPr="00AB27D1">
              <w:rPr>
                <w:color w:val="000000"/>
                <w:sz w:val="18"/>
                <w:szCs w:val="18"/>
                <w:lang w:val="fr-FR"/>
              </w:rPr>
              <w:t xml:space="preserve"> </w:t>
            </w:r>
          </w:p>
        </w:tc>
        <w:tc>
          <w:tcPr>
            <w:tcW w:w="535" w:type="pct"/>
            <w:vAlign w:val="center"/>
          </w:tcPr>
          <w:p w14:paraId="449527DE" w14:textId="77777777" w:rsidR="00CC62FC" w:rsidRPr="00FD2055" w:rsidRDefault="00CC62FC" w:rsidP="0015321A">
            <w:pPr>
              <w:rPr>
                <w:color w:val="000000"/>
                <w:sz w:val="18"/>
                <w:szCs w:val="18"/>
              </w:rPr>
            </w:pPr>
            <w:r>
              <w:rPr>
                <w:color w:val="000000"/>
                <w:sz w:val="18"/>
                <w:szCs w:val="18"/>
              </w:rPr>
              <w:t>NF EN 16615 (May 2015)</w:t>
            </w:r>
          </w:p>
        </w:tc>
        <w:tc>
          <w:tcPr>
            <w:tcW w:w="1375" w:type="pct"/>
            <w:vAlign w:val="center"/>
          </w:tcPr>
          <w:p w14:paraId="29273E66" w14:textId="77777777" w:rsidR="00CC62FC" w:rsidRDefault="00CC62FC" w:rsidP="0015321A">
            <w:pPr>
              <w:rPr>
                <w:color w:val="000000"/>
                <w:sz w:val="18"/>
                <w:szCs w:val="18"/>
              </w:rPr>
            </w:pPr>
            <w:r>
              <w:rPr>
                <w:color w:val="000000"/>
                <w:sz w:val="18"/>
                <w:szCs w:val="18"/>
              </w:rPr>
              <w:t>Phase 2 step 2 (suspension test)</w:t>
            </w:r>
          </w:p>
          <w:p w14:paraId="6191A538" w14:textId="77777777" w:rsidR="00CC62FC" w:rsidRDefault="00CC62FC" w:rsidP="0015321A">
            <w:pPr>
              <w:rPr>
                <w:color w:val="000000"/>
                <w:sz w:val="18"/>
                <w:szCs w:val="18"/>
              </w:rPr>
            </w:pPr>
            <w:r>
              <w:rPr>
                <w:color w:val="000000"/>
                <w:sz w:val="18"/>
                <w:szCs w:val="18"/>
              </w:rPr>
              <w:t xml:space="preserve">Tested concentrations of 100% and 10% (v/v) </w:t>
            </w:r>
            <w:r w:rsidRPr="00F0256C">
              <w:rPr>
                <w:color w:val="000000"/>
                <w:sz w:val="18"/>
                <w:szCs w:val="18"/>
              </w:rPr>
              <w:t xml:space="preserve"> on the wipe required with an impregnation rate of 16 g</w:t>
            </w:r>
          </w:p>
          <w:p w14:paraId="43B7A879" w14:textId="77777777" w:rsidR="00D438D3" w:rsidRDefault="00CC62FC" w:rsidP="0015321A">
            <w:pPr>
              <w:rPr>
                <w:color w:val="000000"/>
                <w:sz w:val="18"/>
                <w:szCs w:val="18"/>
              </w:rPr>
            </w:pPr>
            <w:r>
              <w:rPr>
                <w:color w:val="000000"/>
                <w:sz w:val="18"/>
                <w:szCs w:val="18"/>
              </w:rPr>
              <w:t xml:space="preserve">Contact time: 5 minutes </w:t>
            </w:r>
          </w:p>
          <w:p w14:paraId="2B7C5134" w14:textId="4DFB7B57" w:rsidR="00CC62FC" w:rsidRDefault="00CC62FC" w:rsidP="0015321A">
            <w:pPr>
              <w:rPr>
                <w:color w:val="000000"/>
                <w:sz w:val="18"/>
                <w:szCs w:val="18"/>
              </w:rPr>
            </w:pPr>
            <w:r>
              <w:rPr>
                <w:color w:val="000000"/>
                <w:sz w:val="18"/>
                <w:szCs w:val="18"/>
              </w:rPr>
              <w:t xml:space="preserve">Temperature: 20°C </w:t>
            </w:r>
          </w:p>
          <w:p w14:paraId="30A7E64E" w14:textId="77777777" w:rsidR="00D438D3" w:rsidRDefault="00CC62FC" w:rsidP="0015321A">
            <w:pPr>
              <w:rPr>
                <w:color w:val="000000"/>
                <w:sz w:val="18"/>
                <w:szCs w:val="18"/>
              </w:rPr>
            </w:pPr>
            <w:r>
              <w:rPr>
                <w:color w:val="000000"/>
                <w:sz w:val="18"/>
                <w:szCs w:val="18"/>
              </w:rPr>
              <w:t xml:space="preserve">Dirty conditions: 3 g/L BSA  </w:t>
            </w:r>
          </w:p>
          <w:p w14:paraId="5B43F508" w14:textId="386C5FE7" w:rsidR="00CC62FC" w:rsidRPr="00FD2055" w:rsidRDefault="00CC62FC" w:rsidP="0015321A">
            <w:pPr>
              <w:rPr>
                <w:color w:val="000000"/>
                <w:sz w:val="18"/>
                <w:szCs w:val="18"/>
              </w:rPr>
            </w:pPr>
            <w:r>
              <w:rPr>
                <w:color w:val="000000"/>
                <w:sz w:val="18"/>
                <w:szCs w:val="18"/>
              </w:rPr>
              <w:t>Criteria: ≥ 5 log unit reduction</w:t>
            </w:r>
          </w:p>
        </w:tc>
        <w:tc>
          <w:tcPr>
            <w:tcW w:w="760" w:type="pct"/>
            <w:vAlign w:val="center"/>
          </w:tcPr>
          <w:p w14:paraId="591C1623" w14:textId="77777777" w:rsidR="00CC62FC" w:rsidRDefault="00CC62FC" w:rsidP="0015321A">
            <w:pPr>
              <w:rPr>
                <w:color w:val="000000"/>
                <w:sz w:val="18"/>
                <w:szCs w:val="18"/>
              </w:rPr>
            </w:pPr>
          </w:p>
          <w:p w14:paraId="258A1B93" w14:textId="77777777" w:rsidR="00CC62FC" w:rsidRDefault="00CC62FC" w:rsidP="0015321A">
            <w:pPr>
              <w:snapToGrid w:val="0"/>
              <w:rPr>
                <w:color w:val="000000"/>
                <w:sz w:val="18"/>
                <w:szCs w:val="18"/>
              </w:rPr>
            </w:pPr>
            <w:r>
              <w:rPr>
                <w:color w:val="000000"/>
                <w:sz w:val="18"/>
                <w:szCs w:val="18"/>
              </w:rPr>
              <w:t>Bactericidal activity demonstrated at 100 % v/v</w:t>
            </w:r>
          </w:p>
          <w:p w14:paraId="3E50AE98" w14:textId="77777777" w:rsidR="00CC62FC" w:rsidRPr="00FD2055" w:rsidRDefault="00CC62FC" w:rsidP="0015321A">
            <w:pPr>
              <w:rPr>
                <w:color w:val="000000"/>
                <w:sz w:val="18"/>
                <w:szCs w:val="18"/>
              </w:rPr>
            </w:pPr>
          </w:p>
        </w:tc>
        <w:tc>
          <w:tcPr>
            <w:tcW w:w="435" w:type="pct"/>
            <w:vAlign w:val="center"/>
          </w:tcPr>
          <w:p w14:paraId="3846CF0B" w14:textId="77777777" w:rsidR="00CC62FC" w:rsidRDefault="00CC62FC" w:rsidP="0015321A">
            <w:pPr>
              <w:rPr>
                <w:color w:val="000000"/>
                <w:sz w:val="18"/>
                <w:szCs w:val="18"/>
              </w:rPr>
            </w:pPr>
            <w:r>
              <w:rPr>
                <w:color w:val="000000"/>
                <w:sz w:val="18"/>
                <w:szCs w:val="18"/>
              </w:rPr>
              <w:t>Carre A., 2019, Report No RE-2191/0818</w:t>
            </w:r>
          </w:p>
          <w:p w14:paraId="0F8199F6" w14:textId="77777777" w:rsidR="00CC62FC" w:rsidRDefault="00CC62FC" w:rsidP="0015321A">
            <w:pPr>
              <w:rPr>
                <w:color w:val="000000"/>
                <w:sz w:val="18"/>
                <w:szCs w:val="18"/>
              </w:rPr>
            </w:pPr>
          </w:p>
          <w:p w14:paraId="79FC3859" w14:textId="77777777" w:rsidR="00CC62FC" w:rsidRPr="00FD2055" w:rsidRDefault="00CC62FC" w:rsidP="0015321A">
            <w:pPr>
              <w:rPr>
                <w:i/>
                <w:color w:val="000000"/>
                <w:sz w:val="18"/>
                <w:szCs w:val="18"/>
              </w:rPr>
            </w:pPr>
            <w:r>
              <w:rPr>
                <w:color w:val="000000"/>
                <w:sz w:val="18"/>
                <w:szCs w:val="18"/>
              </w:rPr>
              <w:t>RI=1</w:t>
            </w:r>
          </w:p>
        </w:tc>
      </w:tr>
      <w:tr w:rsidR="0098661C" w:rsidRPr="00FD2055" w14:paraId="6683A916" w14:textId="77777777" w:rsidTr="00FE67A2">
        <w:trPr>
          <w:cantSplit/>
        </w:trPr>
        <w:tc>
          <w:tcPr>
            <w:tcW w:w="504" w:type="pct"/>
            <w:vAlign w:val="center"/>
          </w:tcPr>
          <w:p w14:paraId="1ED6E68A" w14:textId="77777777" w:rsidR="00CC62FC" w:rsidRPr="00FD2055" w:rsidRDefault="00CC62FC" w:rsidP="0015321A">
            <w:pPr>
              <w:rPr>
                <w:i/>
                <w:color w:val="000000"/>
                <w:sz w:val="18"/>
                <w:szCs w:val="18"/>
              </w:rPr>
            </w:pPr>
            <w:r>
              <w:rPr>
                <w:color w:val="000000"/>
                <w:sz w:val="18"/>
                <w:szCs w:val="18"/>
              </w:rPr>
              <w:t>Disinfectant, yeasticidal activity</w:t>
            </w:r>
          </w:p>
        </w:tc>
        <w:tc>
          <w:tcPr>
            <w:tcW w:w="458" w:type="pct"/>
            <w:vAlign w:val="center"/>
          </w:tcPr>
          <w:p w14:paraId="3556FAC6" w14:textId="77777777" w:rsidR="00CC62FC" w:rsidRPr="00FD2055" w:rsidRDefault="00CC62FC" w:rsidP="0015321A">
            <w:pPr>
              <w:rPr>
                <w:i/>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64DF5212" w14:textId="77777777" w:rsidR="00CC62FC" w:rsidRDefault="00CC62FC" w:rsidP="0015321A">
            <w:pPr>
              <w:rPr>
                <w:color w:val="000000"/>
                <w:sz w:val="18"/>
                <w:szCs w:val="18"/>
              </w:rPr>
            </w:pPr>
            <w:r>
              <w:rPr>
                <w:color w:val="000000"/>
                <w:sz w:val="18"/>
                <w:szCs w:val="18"/>
              </w:rPr>
              <w:t>AL-S2-1-0</w:t>
            </w:r>
          </w:p>
          <w:p w14:paraId="665C7C11" w14:textId="5B00722D" w:rsidR="00CC62FC" w:rsidRPr="00FD2055" w:rsidRDefault="00CC62FC" w:rsidP="009226F8">
            <w:pPr>
              <w:rPr>
                <w:i/>
                <w:color w:val="000000"/>
                <w:sz w:val="18"/>
                <w:szCs w:val="18"/>
              </w:rPr>
            </w:pPr>
            <w:r>
              <w:rPr>
                <w:color w:val="000000"/>
                <w:sz w:val="18"/>
                <w:szCs w:val="18"/>
              </w:rPr>
              <w:t>3% lactic acid</w:t>
            </w:r>
          </w:p>
        </w:tc>
        <w:tc>
          <w:tcPr>
            <w:tcW w:w="564" w:type="pct"/>
            <w:vAlign w:val="center"/>
          </w:tcPr>
          <w:p w14:paraId="051077DD" w14:textId="77777777" w:rsidR="00CC62FC" w:rsidRPr="00FD2055" w:rsidRDefault="00CC62FC"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35" w:type="pct"/>
            <w:vAlign w:val="center"/>
          </w:tcPr>
          <w:p w14:paraId="63D30B09" w14:textId="77777777" w:rsidR="00CC62FC" w:rsidRPr="00FD2055" w:rsidRDefault="00CC62FC" w:rsidP="0015321A">
            <w:pPr>
              <w:rPr>
                <w:color w:val="000000"/>
                <w:sz w:val="18"/>
                <w:szCs w:val="18"/>
              </w:rPr>
            </w:pPr>
            <w:r>
              <w:rPr>
                <w:color w:val="000000"/>
                <w:sz w:val="18"/>
                <w:szCs w:val="18"/>
              </w:rPr>
              <w:t>NF EN 16615 (May 2015)</w:t>
            </w:r>
          </w:p>
        </w:tc>
        <w:tc>
          <w:tcPr>
            <w:tcW w:w="1375" w:type="pct"/>
            <w:vAlign w:val="center"/>
          </w:tcPr>
          <w:p w14:paraId="325B497D" w14:textId="77777777" w:rsidR="00CC62FC" w:rsidRDefault="00CC62FC" w:rsidP="0015321A">
            <w:pPr>
              <w:rPr>
                <w:color w:val="000000"/>
                <w:sz w:val="18"/>
                <w:szCs w:val="18"/>
              </w:rPr>
            </w:pPr>
            <w:r>
              <w:rPr>
                <w:color w:val="000000"/>
                <w:sz w:val="18"/>
                <w:szCs w:val="18"/>
              </w:rPr>
              <w:t>Phase 2 step 2 (surface test)</w:t>
            </w:r>
          </w:p>
          <w:p w14:paraId="731F057E" w14:textId="77777777" w:rsidR="00CC62FC" w:rsidRPr="0095205F" w:rsidRDefault="00CC62FC" w:rsidP="0015321A">
            <w:pPr>
              <w:rPr>
                <w:color w:val="000000"/>
                <w:sz w:val="18"/>
                <w:szCs w:val="18"/>
              </w:rPr>
            </w:pPr>
            <w:r>
              <w:rPr>
                <w:color w:val="000000"/>
                <w:sz w:val="18"/>
                <w:szCs w:val="18"/>
              </w:rPr>
              <w:t>Tested concentrations of 100</w:t>
            </w:r>
            <w:r w:rsidRPr="0095205F">
              <w:rPr>
                <w:color w:val="000000"/>
                <w:sz w:val="18"/>
                <w:szCs w:val="18"/>
              </w:rPr>
              <w:t xml:space="preserve">% and 10% (v/v) </w:t>
            </w:r>
            <w:r w:rsidRPr="00F0256C">
              <w:rPr>
                <w:color w:val="000000"/>
                <w:sz w:val="18"/>
                <w:szCs w:val="18"/>
              </w:rPr>
              <w:t>on the wipe required with an impregnation rate of 16 g</w:t>
            </w:r>
          </w:p>
          <w:p w14:paraId="08229EC0" w14:textId="77777777" w:rsidR="00CC62FC" w:rsidRDefault="00CC62FC" w:rsidP="0015321A">
            <w:pPr>
              <w:rPr>
                <w:color w:val="000000"/>
                <w:sz w:val="18"/>
                <w:szCs w:val="18"/>
              </w:rPr>
            </w:pPr>
            <w:r w:rsidRPr="0095205F">
              <w:rPr>
                <w:color w:val="000000"/>
                <w:sz w:val="18"/>
                <w:szCs w:val="18"/>
              </w:rPr>
              <w:t>Contact time</w:t>
            </w:r>
            <w:r>
              <w:rPr>
                <w:color w:val="000000"/>
                <w:sz w:val="18"/>
                <w:szCs w:val="18"/>
              </w:rPr>
              <w:t>: 5 minutes</w:t>
            </w:r>
          </w:p>
          <w:p w14:paraId="3330D57C" w14:textId="77777777" w:rsidR="00CC62FC" w:rsidRDefault="00CC62FC" w:rsidP="0015321A">
            <w:pPr>
              <w:rPr>
                <w:color w:val="000000"/>
                <w:sz w:val="18"/>
                <w:szCs w:val="18"/>
              </w:rPr>
            </w:pPr>
            <w:r>
              <w:rPr>
                <w:color w:val="000000"/>
                <w:sz w:val="18"/>
                <w:szCs w:val="18"/>
              </w:rPr>
              <w:t>Temperature: 20°C</w:t>
            </w:r>
          </w:p>
          <w:p w14:paraId="737AD68D" w14:textId="77777777" w:rsidR="00CC62FC" w:rsidRDefault="00CC62FC" w:rsidP="0015321A">
            <w:pPr>
              <w:rPr>
                <w:color w:val="000000"/>
                <w:sz w:val="18"/>
                <w:szCs w:val="18"/>
              </w:rPr>
            </w:pPr>
            <w:r>
              <w:rPr>
                <w:color w:val="000000"/>
                <w:sz w:val="18"/>
                <w:szCs w:val="18"/>
              </w:rPr>
              <w:t xml:space="preserve">Dirty conditions: 3.0 g/l BSA </w:t>
            </w:r>
          </w:p>
          <w:p w14:paraId="4A85DDA0" w14:textId="77777777" w:rsidR="00CC62FC" w:rsidRPr="00FD2055" w:rsidRDefault="00CC62FC" w:rsidP="0015321A">
            <w:pPr>
              <w:rPr>
                <w:color w:val="000000"/>
                <w:sz w:val="18"/>
                <w:szCs w:val="18"/>
              </w:rPr>
            </w:pPr>
            <w:r>
              <w:rPr>
                <w:color w:val="000000"/>
                <w:sz w:val="18"/>
                <w:szCs w:val="18"/>
              </w:rPr>
              <w:t>Criteria: ≥ 4 log unit reduction</w:t>
            </w:r>
          </w:p>
        </w:tc>
        <w:tc>
          <w:tcPr>
            <w:tcW w:w="760" w:type="pct"/>
            <w:vAlign w:val="center"/>
          </w:tcPr>
          <w:p w14:paraId="0C942D74" w14:textId="77777777" w:rsidR="00CC62FC" w:rsidRDefault="00CC62FC" w:rsidP="0015321A">
            <w:pPr>
              <w:rPr>
                <w:color w:val="000000"/>
                <w:sz w:val="18"/>
                <w:szCs w:val="18"/>
              </w:rPr>
            </w:pPr>
          </w:p>
          <w:p w14:paraId="2BA064F4" w14:textId="77777777" w:rsidR="00CC62FC" w:rsidRDefault="00CC62FC" w:rsidP="0015321A">
            <w:pPr>
              <w:snapToGrid w:val="0"/>
              <w:rPr>
                <w:color w:val="000000"/>
                <w:sz w:val="18"/>
                <w:szCs w:val="18"/>
              </w:rPr>
            </w:pPr>
            <w:r>
              <w:rPr>
                <w:color w:val="000000"/>
                <w:sz w:val="18"/>
                <w:szCs w:val="18"/>
              </w:rPr>
              <w:t>Yeasticidal activity demonstrated at 10 % v/v and 100 % v/v</w:t>
            </w:r>
          </w:p>
          <w:p w14:paraId="434DA5C1" w14:textId="77777777" w:rsidR="00CC62FC" w:rsidRPr="00FD2055" w:rsidRDefault="00CC62FC" w:rsidP="0015321A">
            <w:pPr>
              <w:rPr>
                <w:color w:val="000000"/>
                <w:sz w:val="18"/>
                <w:szCs w:val="18"/>
              </w:rPr>
            </w:pPr>
          </w:p>
        </w:tc>
        <w:tc>
          <w:tcPr>
            <w:tcW w:w="435" w:type="pct"/>
            <w:vAlign w:val="center"/>
          </w:tcPr>
          <w:p w14:paraId="14DCB109" w14:textId="77777777" w:rsidR="00CC62FC" w:rsidRDefault="00CC62FC" w:rsidP="0015321A">
            <w:pPr>
              <w:rPr>
                <w:color w:val="000000"/>
                <w:sz w:val="18"/>
                <w:szCs w:val="18"/>
              </w:rPr>
            </w:pPr>
            <w:r>
              <w:rPr>
                <w:color w:val="000000"/>
                <w:sz w:val="18"/>
                <w:szCs w:val="18"/>
              </w:rPr>
              <w:t>Carre A., 2019, Report No RE-2192/0818</w:t>
            </w:r>
          </w:p>
          <w:p w14:paraId="71806A87" w14:textId="77777777" w:rsidR="00CC62FC" w:rsidRPr="00FD2055" w:rsidRDefault="00CC62FC" w:rsidP="0015321A">
            <w:pPr>
              <w:rPr>
                <w:i/>
                <w:color w:val="000000"/>
                <w:sz w:val="18"/>
                <w:szCs w:val="18"/>
              </w:rPr>
            </w:pPr>
            <w:r>
              <w:rPr>
                <w:color w:val="000000"/>
                <w:sz w:val="18"/>
                <w:szCs w:val="18"/>
              </w:rPr>
              <w:t>RI=1</w:t>
            </w:r>
          </w:p>
        </w:tc>
      </w:tr>
      <w:tr w:rsidR="0098661C" w14:paraId="1FEACF56" w14:textId="77777777" w:rsidTr="00FE67A2">
        <w:trPr>
          <w:cantSplit/>
        </w:trPr>
        <w:tc>
          <w:tcPr>
            <w:tcW w:w="504" w:type="pct"/>
            <w:vAlign w:val="center"/>
          </w:tcPr>
          <w:p w14:paraId="63FAAE7F" w14:textId="77777777" w:rsidR="00CC62FC" w:rsidRDefault="00CC62FC" w:rsidP="0015321A">
            <w:pPr>
              <w:rPr>
                <w:color w:val="000000"/>
                <w:sz w:val="18"/>
                <w:szCs w:val="18"/>
              </w:rPr>
            </w:pPr>
            <w:r>
              <w:rPr>
                <w:color w:val="000000"/>
                <w:sz w:val="18"/>
                <w:szCs w:val="18"/>
              </w:rPr>
              <w:t>Disinfectant, yeasticidal activity</w:t>
            </w:r>
          </w:p>
        </w:tc>
        <w:tc>
          <w:tcPr>
            <w:tcW w:w="458" w:type="pct"/>
            <w:vAlign w:val="center"/>
          </w:tcPr>
          <w:p w14:paraId="2305217E" w14:textId="77777777" w:rsidR="00CC62FC" w:rsidRDefault="00CC62FC" w:rsidP="0015321A">
            <w:pPr>
              <w:rPr>
                <w:color w:val="000000"/>
                <w:sz w:val="18"/>
                <w:szCs w:val="18"/>
              </w:rPr>
            </w:pPr>
            <w:r>
              <w:rPr>
                <w:color w:val="000000"/>
                <w:sz w:val="18"/>
                <w:szCs w:val="18"/>
              </w:rPr>
              <w:t>Domestic, institutional, industrial, healthcare facilities and food preparation and handling areas</w:t>
            </w:r>
          </w:p>
        </w:tc>
        <w:tc>
          <w:tcPr>
            <w:tcW w:w="369" w:type="pct"/>
            <w:vAlign w:val="center"/>
          </w:tcPr>
          <w:p w14:paraId="16E2B312" w14:textId="77777777" w:rsidR="00CC62FC" w:rsidRDefault="00CC62FC" w:rsidP="0015321A">
            <w:pPr>
              <w:rPr>
                <w:color w:val="000000"/>
                <w:sz w:val="18"/>
                <w:szCs w:val="18"/>
              </w:rPr>
            </w:pPr>
            <w:r>
              <w:rPr>
                <w:color w:val="000000"/>
                <w:sz w:val="18"/>
                <w:szCs w:val="18"/>
              </w:rPr>
              <w:t>AL-S2-1-0</w:t>
            </w:r>
          </w:p>
          <w:p w14:paraId="11FC7A48" w14:textId="0CFDCE08" w:rsidR="00CC62FC" w:rsidRDefault="00CC62FC" w:rsidP="00FD60FF">
            <w:pPr>
              <w:rPr>
                <w:color w:val="000000"/>
                <w:sz w:val="18"/>
                <w:szCs w:val="18"/>
              </w:rPr>
            </w:pPr>
            <w:r>
              <w:rPr>
                <w:color w:val="000000"/>
                <w:sz w:val="18"/>
                <w:szCs w:val="18"/>
              </w:rPr>
              <w:t>3% lactic acid</w:t>
            </w:r>
          </w:p>
        </w:tc>
        <w:tc>
          <w:tcPr>
            <w:tcW w:w="564" w:type="pct"/>
            <w:vAlign w:val="center"/>
          </w:tcPr>
          <w:p w14:paraId="1DEBCD3D" w14:textId="77777777" w:rsidR="00CC62FC" w:rsidRPr="005D3939" w:rsidRDefault="00CC62FC" w:rsidP="0015321A">
            <w:pPr>
              <w:rPr>
                <w:i/>
                <w:color w:val="000000"/>
                <w:sz w:val="18"/>
                <w:szCs w:val="18"/>
              </w:rPr>
            </w:pPr>
            <w:r w:rsidRPr="005D3939">
              <w:rPr>
                <w:i/>
                <w:color w:val="000000"/>
                <w:sz w:val="18"/>
                <w:szCs w:val="18"/>
              </w:rPr>
              <w:t>Candida albicans</w:t>
            </w:r>
          </w:p>
        </w:tc>
        <w:tc>
          <w:tcPr>
            <w:tcW w:w="535" w:type="pct"/>
            <w:vAlign w:val="center"/>
          </w:tcPr>
          <w:p w14:paraId="7A2D4FA9" w14:textId="77777777" w:rsidR="00CC62FC" w:rsidRDefault="00CC62FC" w:rsidP="0015321A">
            <w:pPr>
              <w:rPr>
                <w:color w:val="000000"/>
                <w:sz w:val="18"/>
                <w:szCs w:val="18"/>
              </w:rPr>
            </w:pPr>
            <w:r>
              <w:rPr>
                <w:color w:val="000000"/>
                <w:sz w:val="18"/>
                <w:szCs w:val="18"/>
              </w:rPr>
              <w:t>NF EN 13697 (June 2015)</w:t>
            </w:r>
          </w:p>
        </w:tc>
        <w:tc>
          <w:tcPr>
            <w:tcW w:w="1375" w:type="pct"/>
            <w:vAlign w:val="center"/>
          </w:tcPr>
          <w:p w14:paraId="3755F092" w14:textId="77777777" w:rsidR="00CC62FC" w:rsidRDefault="00CC62FC" w:rsidP="0015321A">
            <w:pPr>
              <w:rPr>
                <w:color w:val="000000"/>
                <w:sz w:val="18"/>
                <w:szCs w:val="18"/>
              </w:rPr>
            </w:pPr>
            <w:r>
              <w:rPr>
                <w:color w:val="000000"/>
                <w:sz w:val="18"/>
                <w:szCs w:val="18"/>
              </w:rPr>
              <w:t>Phase 2 step 2 (suspension test)</w:t>
            </w:r>
          </w:p>
          <w:p w14:paraId="76FAD359" w14:textId="77777777" w:rsidR="00CC62FC" w:rsidRDefault="00CC62FC" w:rsidP="0015321A">
            <w:pPr>
              <w:rPr>
                <w:color w:val="000000"/>
                <w:sz w:val="18"/>
                <w:szCs w:val="18"/>
              </w:rPr>
            </w:pPr>
            <w:r>
              <w:rPr>
                <w:color w:val="000000"/>
                <w:sz w:val="18"/>
                <w:szCs w:val="18"/>
              </w:rPr>
              <w:t>Concentrations of product tested (v/v): 1%, 50%, 100%</w:t>
            </w:r>
          </w:p>
          <w:p w14:paraId="4DC73F89" w14:textId="77777777" w:rsidR="00D438D3" w:rsidRDefault="00CC62FC" w:rsidP="0015321A">
            <w:pPr>
              <w:rPr>
                <w:color w:val="000000"/>
                <w:sz w:val="18"/>
                <w:szCs w:val="18"/>
              </w:rPr>
            </w:pPr>
            <w:r>
              <w:rPr>
                <w:color w:val="000000"/>
                <w:sz w:val="18"/>
                <w:szCs w:val="18"/>
              </w:rPr>
              <w:t xml:space="preserve">Contact time: 15 minutes </w:t>
            </w:r>
          </w:p>
          <w:p w14:paraId="0F8AF406" w14:textId="4DFBBE7A" w:rsidR="00CC62FC" w:rsidRDefault="00CC62FC" w:rsidP="0015321A">
            <w:pPr>
              <w:rPr>
                <w:color w:val="000000"/>
                <w:sz w:val="18"/>
                <w:szCs w:val="18"/>
              </w:rPr>
            </w:pPr>
            <w:r>
              <w:rPr>
                <w:color w:val="000000"/>
                <w:sz w:val="18"/>
                <w:szCs w:val="18"/>
              </w:rPr>
              <w:t>Temperature: 20°C</w:t>
            </w:r>
          </w:p>
          <w:p w14:paraId="60C032DD" w14:textId="77777777" w:rsidR="00CC62FC" w:rsidRDefault="00CC62FC" w:rsidP="0015321A">
            <w:pPr>
              <w:rPr>
                <w:color w:val="000000"/>
                <w:sz w:val="18"/>
                <w:szCs w:val="18"/>
              </w:rPr>
            </w:pPr>
            <w:r>
              <w:rPr>
                <w:color w:val="000000"/>
                <w:sz w:val="18"/>
                <w:szCs w:val="18"/>
              </w:rPr>
              <w:t xml:space="preserve">Dirty conditions:  3 g/L BSA </w:t>
            </w:r>
          </w:p>
          <w:p w14:paraId="486C3A53" w14:textId="77777777" w:rsidR="00CC62FC" w:rsidRDefault="00CC62FC" w:rsidP="0015321A">
            <w:pPr>
              <w:rPr>
                <w:color w:val="000000"/>
                <w:sz w:val="18"/>
                <w:szCs w:val="18"/>
              </w:rPr>
            </w:pPr>
            <w:r>
              <w:rPr>
                <w:color w:val="000000"/>
                <w:sz w:val="18"/>
                <w:szCs w:val="18"/>
              </w:rPr>
              <w:t>Criteria: ≥ 3 log unit reduction</w:t>
            </w:r>
          </w:p>
        </w:tc>
        <w:tc>
          <w:tcPr>
            <w:tcW w:w="760" w:type="pct"/>
            <w:vAlign w:val="center"/>
          </w:tcPr>
          <w:p w14:paraId="7B066D85" w14:textId="77777777" w:rsidR="00CC62FC" w:rsidRDefault="00CC62FC" w:rsidP="0015321A">
            <w:pPr>
              <w:rPr>
                <w:color w:val="000000"/>
                <w:sz w:val="18"/>
                <w:szCs w:val="18"/>
              </w:rPr>
            </w:pPr>
          </w:p>
          <w:p w14:paraId="049C17B9" w14:textId="6A32086C" w:rsidR="00CC62FC" w:rsidRDefault="00CC62FC" w:rsidP="00B73E8D">
            <w:pPr>
              <w:snapToGrid w:val="0"/>
              <w:rPr>
                <w:color w:val="000000"/>
                <w:sz w:val="18"/>
                <w:szCs w:val="18"/>
              </w:rPr>
            </w:pPr>
            <w:r>
              <w:rPr>
                <w:color w:val="000000"/>
                <w:sz w:val="18"/>
                <w:szCs w:val="18"/>
              </w:rPr>
              <w:t>Yeasticidal activity demonstrated at 50 % v/v</w:t>
            </w:r>
          </w:p>
        </w:tc>
        <w:tc>
          <w:tcPr>
            <w:tcW w:w="435" w:type="pct"/>
            <w:vAlign w:val="center"/>
          </w:tcPr>
          <w:p w14:paraId="7346C701" w14:textId="77777777" w:rsidR="00CC62FC" w:rsidRDefault="00CC62FC" w:rsidP="0015321A">
            <w:pPr>
              <w:rPr>
                <w:color w:val="000000"/>
                <w:sz w:val="18"/>
                <w:szCs w:val="18"/>
              </w:rPr>
            </w:pPr>
            <w:r>
              <w:rPr>
                <w:color w:val="000000"/>
                <w:sz w:val="18"/>
                <w:szCs w:val="18"/>
              </w:rPr>
              <w:t>Huguet N., 2019, Report No 18.CM.18-024</w:t>
            </w:r>
          </w:p>
          <w:p w14:paraId="7D4D7768" w14:textId="77777777" w:rsidR="00CC62FC" w:rsidRDefault="00CC62FC" w:rsidP="0015321A">
            <w:pPr>
              <w:rPr>
                <w:color w:val="000000"/>
                <w:sz w:val="18"/>
                <w:szCs w:val="18"/>
              </w:rPr>
            </w:pPr>
            <w:r w:rsidRPr="00E12B02">
              <w:rPr>
                <w:color w:val="000000"/>
                <w:sz w:val="18"/>
                <w:szCs w:val="18"/>
              </w:rPr>
              <w:t>RI=1</w:t>
            </w:r>
          </w:p>
        </w:tc>
      </w:tr>
    </w:tbl>
    <w:p w14:paraId="6C6F2D7F" w14:textId="77777777" w:rsidR="00CC62FC" w:rsidRDefault="00CC62FC">
      <w:pPr>
        <w:spacing w:line="260" w:lineRule="atLeast"/>
        <w:rPr>
          <w:rFonts w:ascii="Times New Roman" w:eastAsia="Calibri" w:hAnsi="Times New Roman" w:cs="Times New Roman"/>
          <w:i/>
          <w:iCs/>
          <w:lang w:eastAsia="en-US"/>
        </w:rPr>
        <w:sectPr w:rsidR="00CC62FC" w:rsidSect="0098661C">
          <w:pgSz w:w="16838" w:h="11906" w:orient="landscape"/>
          <w:pgMar w:top="1446" w:right="1474" w:bottom="1247" w:left="2013" w:header="851" w:footer="851" w:gutter="0"/>
          <w:cols w:space="720"/>
          <w:docGrid w:linePitch="272"/>
        </w:sectPr>
      </w:pPr>
    </w:p>
    <w:p w14:paraId="67269E80" w14:textId="370BF001" w:rsidR="00CC62FC" w:rsidRPr="007A4DA8" w:rsidRDefault="00CC62FC" w:rsidP="00CC62FC">
      <w:pPr>
        <w:pStyle w:val="Paragraphedeliste"/>
        <w:numPr>
          <w:ilvl w:val="0"/>
          <w:numId w:val="23"/>
        </w:numPr>
        <w:spacing w:line="260" w:lineRule="atLeast"/>
        <w:jc w:val="both"/>
        <w:rPr>
          <w:rFonts w:eastAsia="Calibri"/>
          <w:b/>
          <w:iCs/>
          <w:szCs w:val="24"/>
          <w:lang w:eastAsia="en-US"/>
        </w:rPr>
      </w:pPr>
      <w:r w:rsidRPr="007A4DA8">
        <w:rPr>
          <w:rFonts w:eastAsia="Calibri"/>
          <w:b/>
          <w:iCs/>
          <w:szCs w:val="24"/>
          <w:lang w:eastAsia="en-US"/>
        </w:rPr>
        <w:lastRenderedPageBreak/>
        <w:t>Meta SPC 3:</w:t>
      </w:r>
      <w:r w:rsidRPr="007A4DA8">
        <w:rPr>
          <w:b/>
        </w:rPr>
        <w:t xml:space="preserve"> </w:t>
      </w:r>
      <w:r w:rsidR="00B73E8D" w:rsidRPr="007A4DA8">
        <w:rPr>
          <w:rFonts w:eastAsia="Calibri"/>
          <w:b/>
          <w:lang w:eastAsia="en-US"/>
        </w:rPr>
        <w:t xml:space="preserve">Disinfectant for hard surfaces </w:t>
      </w:r>
      <w:r w:rsidR="00733D14" w:rsidRPr="007A4DA8">
        <w:rPr>
          <w:rFonts w:eastAsia="Calibri"/>
          <w:b/>
          <w:lang w:eastAsia="en-US"/>
        </w:rPr>
        <w:t>in</w:t>
      </w:r>
      <w:r w:rsidR="00B73E8D" w:rsidRPr="007A4DA8">
        <w:rPr>
          <w:rFonts w:eastAsia="Calibri"/>
          <w:b/>
          <w:lang w:eastAsia="en-US"/>
        </w:rPr>
        <w:t xml:space="preserve"> industry, institution, healthcare facilities</w:t>
      </w:r>
      <w:r w:rsidR="001F534D" w:rsidRPr="007A4DA8">
        <w:rPr>
          <w:rFonts w:eastAsia="Calibri"/>
          <w:b/>
          <w:lang w:eastAsia="en-US"/>
        </w:rPr>
        <w:t>, health</w:t>
      </w:r>
      <w:r w:rsidR="00B73E8D" w:rsidRPr="007A4DA8">
        <w:rPr>
          <w:rFonts w:eastAsia="Calibri"/>
          <w:b/>
          <w:lang w:eastAsia="en-US"/>
        </w:rPr>
        <w:t>care and, food preparation and handling areas</w:t>
      </w:r>
      <w:r w:rsidR="001B3D89" w:rsidRPr="007A4DA8">
        <w:rPr>
          <w:rFonts w:eastAsia="Calibri"/>
          <w:b/>
          <w:iCs/>
          <w:szCs w:val="24"/>
          <w:lang w:eastAsia="en-US"/>
        </w:rPr>
        <w:t>,</w:t>
      </w:r>
      <w:r w:rsidRPr="007A4DA8">
        <w:rPr>
          <w:rFonts w:eastAsia="Calibri"/>
          <w:b/>
          <w:iCs/>
          <w:szCs w:val="24"/>
          <w:lang w:eastAsia="en-US"/>
        </w:rPr>
        <w:t xml:space="preserve"> </w:t>
      </w:r>
      <w:r w:rsidR="001B3D89" w:rsidRPr="007A4DA8">
        <w:rPr>
          <w:rFonts w:eastAsia="Calibri"/>
          <w:b/>
          <w:lang w:eastAsia="en-US"/>
        </w:rPr>
        <w:t xml:space="preserve">by </w:t>
      </w:r>
      <w:r w:rsidR="001B3D89" w:rsidRPr="007A4DA8">
        <w:rPr>
          <w:b/>
        </w:rPr>
        <w:t>spraying, wiping (applying product onto wipe followed by wiping</w:t>
      </w:r>
      <w:r w:rsidR="003B6AF8" w:rsidRPr="007A4DA8">
        <w:rPr>
          <w:b/>
        </w:rPr>
        <w:t>)</w:t>
      </w:r>
      <w:r w:rsidR="001B3D89" w:rsidRPr="007A4DA8">
        <w:rPr>
          <w:rFonts w:eastAsia="Calibri"/>
          <w:b/>
          <w:iCs/>
          <w:szCs w:val="24"/>
          <w:lang w:eastAsia="en-US"/>
        </w:rPr>
        <w:t xml:space="preserve"> and mopping</w:t>
      </w:r>
      <w:r w:rsidR="00B73E8D" w:rsidRPr="007A4DA8">
        <w:rPr>
          <w:rFonts w:eastAsia="Calibri"/>
          <w:b/>
          <w:iCs/>
          <w:szCs w:val="24"/>
          <w:lang w:eastAsia="en-US"/>
        </w:rPr>
        <w:t xml:space="preserve"> </w:t>
      </w:r>
      <w:r w:rsidR="00B73E8D" w:rsidRPr="007A4DA8">
        <w:rPr>
          <w:b/>
        </w:rPr>
        <w:t>(applying product onto mop followed by mopping)</w:t>
      </w:r>
      <w:r w:rsidR="001F534D" w:rsidRPr="007A4DA8">
        <w:rPr>
          <w:b/>
        </w:rPr>
        <w:t xml:space="preserve"> – PT2/4</w:t>
      </w:r>
    </w:p>
    <w:p w14:paraId="4F9B827E" w14:textId="77777777" w:rsidR="00CC62FC" w:rsidRDefault="00CC62FC" w:rsidP="00CC62FC">
      <w:pPr>
        <w:pStyle w:val="Paragraphedeliste"/>
        <w:spacing w:line="260" w:lineRule="atLeast"/>
        <w:ind w:left="0"/>
        <w:jc w:val="both"/>
        <w:rPr>
          <w:rFonts w:eastAsia="Calibri"/>
          <w:iCs/>
          <w:szCs w:val="24"/>
          <w:u w:val="single"/>
          <w:lang w:eastAsia="en-US"/>
        </w:rPr>
      </w:pPr>
    </w:p>
    <w:p w14:paraId="1BEA0E7E" w14:textId="0F4698CA" w:rsidR="00CC62FC" w:rsidRDefault="00CC62FC" w:rsidP="00CC62FC">
      <w:pPr>
        <w:spacing w:line="260" w:lineRule="atLeast"/>
        <w:jc w:val="both"/>
        <w:rPr>
          <w:lang w:eastAsia="en-US"/>
        </w:rPr>
      </w:pPr>
      <w:r w:rsidRPr="005C303E">
        <w:rPr>
          <w:lang w:eastAsia="en-US"/>
        </w:rPr>
        <w:t>META-SPC</w:t>
      </w:r>
      <w:r>
        <w:rPr>
          <w:lang w:eastAsia="en-US"/>
        </w:rPr>
        <w:t>3</w:t>
      </w:r>
      <w:r w:rsidRPr="005C303E">
        <w:rPr>
          <w:lang w:eastAsia="en-US"/>
        </w:rPr>
        <w:t xml:space="preserve"> contains </w:t>
      </w:r>
      <w:r>
        <w:rPr>
          <w:lang w:eastAsia="en-US"/>
        </w:rPr>
        <w:t xml:space="preserve">ready-to-use </w:t>
      </w:r>
      <w:r w:rsidRPr="005C303E">
        <w:rPr>
          <w:lang w:eastAsia="en-US"/>
        </w:rPr>
        <w:t xml:space="preserve">products </w:t>
      </w:r>
      <w:r>
        <w:rPr>
          <w:lang w:eastAsia="en-US"/>
        </w:rPr>
        <w:t xml:space="preserve">containing </w:t>
      </w:r>
      <w:r w:rsidR="003E375C">
        <w:rPr>
          <w:lang w:eastAsia="en-US"/>
        </w:rPr>
        <w:t>4</w:t>
      </w:r>
      <w:r>
        <w:rPr>
          <w:lang w:eastAsia="en-US"/>
        </w:rPr>
        <w:t xml:space="preserve">% w/w lactic acid, and minor variations of coformulants. </w:t>
      </w:r>
    </w:p>
    <w:p w14:paraId="7D3AAEC4" w14:textId="77777777" w:rsidR="00CC62FC" w:rsidRPr="00277479" w:rsidRDefault="00CC62FC" w:rsidP="00CC62FC">
      <w:pPr>
        <w:spacing w:line="260" w:lineRule="atLeast"/>
        <w:jc w:val="both"/>
        <w:rPr>
          <w:rFonts w:eastAsia="Calibri"/>
          <w:lang w:val="en-US" w:eastAsia="en-US"/>
        </w:rPr>
      </w:pPr>
      <w:r>
        <w:rPr>
          <w:rFonts w:eastAsia="Calibri"/>
          <w:lang w:val="en-US" w:eastAsia="en-US"/>
        </w:rPr>
        <w:t>One of the coformulants (described as buffering/descaling agent)</w:t>
      </w:r>
      <w:r w:rsidRPr="00277479">
        <w:rPr>
          <w:rFonts w:eastAsia="Calibri"/>
          <w:lang w:val="en-US" w:eastAsia="en-US"/>
        </w:rPr>
        <w:t xml:space="preserve"> </w:t>
      </w:r>
      <w:r>
        <w:rPr>
          <w:rFonts w:eastAsia="Calibri"/>
          <w:lang w:val="en-US" w:eastAsia="en-US"/>
        </w:rPr>
        <w:t>is also an active substance</w:t>
      </w:r>
      <w:r w:rsidRPr="00277479">
        <w:rPr>
          <w:rFonts w:eastAsia="Calibri"/>
          <w:lang w:val="en-US" w:eastAsia="en-US"/>
        </w:rPr>
        <w:t xml:space="preserve"> included in the review program of the BPR</w:t>
      </w:r>
      <w:r>
        <w:rPr>
          <w:rFonts w:eastAsia="Calibri"/>
          <w:lang w:val="en-US" w:eastAsia="en-US"/>
        </w:rPr>
        <w:t xml:space="preserve"> and test has been performed according to the requirements of the TAB in order to demonstrate that it has no biocidal activity in the formulations (see confidential part).</w:t>
      </w:r>
      <w:r w:rsidRPr="00277479">
        <w:rPr>
          <w:rFonts w:eastAsia="Calibri"/>
          <w:lang w:val="en-US" w:eastAsia="en-US"/>
        </w:rPr>
        <w:t xml:space="preserve"> </w:t>
      </w:r>
    </w:p>
    <w:p w14:paraId="4F4FA1D8" w14:textId="77777777" w:rsidR="00CC62FC" w:rsidRDefault="00CC62FC" w:rsidP="00CC62FC">
      <w:pPr>
        <w:spacing w:line="260" w:lineRule="atLeast"/>
        <w:jc w:val="both"/>
        <w:rPr>
          <w:lang w:eastAsia="en-US"/>
        </w:rPr>
      </w:pPr>
    </w:p>
    <w:p w14:paraId="3D00B30F" w14:textId="75946783" w:rsidR="00CC62FC" w:rsidRDefault="00CC62FC" w:rsidP="00CC62FC">
      <w:pPr>
        <w:spacing w:line="260" w:lineRule="atLeast"/>
        <w:jc w:val="both"/>
        <w:rPr>
          <w:rFonts w:cs="Arial"/>
          <w:lang w:eastAsia="en-US"/>
        </w:rPr>
      </w:pPr>
      <w:r>
        <w:rPr>
          <w:lang w:eastAsia="en-US"/>
        </w:rPr>
        <w:t xml:space="preserve">Efficacy studies have been performed with </w:t>
      </w:r>
      <w:r w:rsidR="001B3D89">
        <w:rPr>
          <w:lang w:eastAsia="en-US"/>
        </w:rPr>
        <w:t xml:space="preserve">the </w:t>
      </w:r>
      <w:r>
        <w:rPr>
          <w:lang w:eastAsia="en-US"/>
        </w:rPr>
        <w:t xml:space="preserve">representative </w:t>
      </w:r>
      <w:r w:rsidRPr="000E555F">
        <w:rPr>
          <w:lang w:eastAsia="en-US"/>
        </w:rPr>
        <w:t xml:space="preserve">product </w:t>
      </w:r>
      <w:r w:rsidRPr="00C914AE">
        <w:rPr>
          <w:rFonts w:eastAsia="Calibri"/>
          <w:iCs/>
          <w:szCs w:val="24"/>
          <w:lang w:eastAsia="en-US"/>
        </w:rPr>
        <w:t>AL-S3-1-0 (</w:t>
      </w:r>
      <w:r w:rsidR="009226F8">
        <w:rPr>
          <w:rFonts w:eastAsia="Calibri"/>
          <w:iCs/>
          <w:szCs w:val="24"/>
          <w:lang w:eastAsia="en-US"/>
        </w:rPr>
        <w:t>4</w:t>
      </w:r>
      <w:r w:rsidRPr="00C914AE">
        <w:rPr>
          <w:rFonts w:eastAsia="Calibri"/>
          <w:iCs/>
          <w:szCs w:val="24"/>
          <w:lang w:eastAsia="en-US"/>
        </w:rPr>
        <w:t xml:space="preserve">% w/w lactic acid). </w:t>
      </w:r>
      <w:r w:rsidRPr="00BC532C">
        <w:rPr>
          <w:rFonts w:cs="Arial"/>
          <w:lang w:eastAsia="en-US"/>
        </w:rPr>
        <w:t xml:space="preserve">Taking into account the </w:t>
      </w:r>
      <w:r>
        <w:rPr>
          <w:rFonts w:cs="Arial"/>
          <w:lang w:eastAsia="en-US"/>
        </w:rPr>
        <w:t xml:space="preserve">minor </w:t>
      </w:r>
      <w:r w:rsidRPr="00BC532C">
        <w:rPr>
          <w:rFonts w:cs="Arial"/>
          <w:lang w:eastAsia="en-US"/>
        </w:rPr>
        <w:t>variations of the co-formulants presented in the META-SPC</w:t>
      </w:r>
      <w:r>
        <w:rPr>
          <w:rFonts w:cs="Arial"/>
          <w:lang w:eastAsia="en-US"/>
        </w:rPr>
        <w:t>3</w:t>
      </w:r>
      <w:r w:rsidRPr="00BC532C">
        <w:rPr>
          <w:rFonts w:cs="Arial"/>
          <w:lang w:eastAsia="en-US"/>
        </w:rPr>
        <w:t xml:space="preserve">, it can be assumed that they have no impact on efficacy and the efficacy results of the representative </w:t>
      </w:r>
      <w:r w:rsidRPr="000E555F">
        <w:rPr>
          <w:rFonts w:cs="Arial"/>
          <w:lang w:eastAsia="en-US"/>
        </w:rPr>
        <w:t xml:space="preserve">products </w:t>
      </w:r>
      <w:r w:rsidRPr="00C914AE">
        <w:rPr>
          <w:rFonts w:eastAsia="Calibri"/>
          <w:iCs/>
          <w:szCs w:val="24"/>
          <w:lang w:eastAsia="en-US"/>
        </w:rPr>
        <w:t>AL-S3-1-0</w:t>
      </w:r>
      <w:r>
        <w:rPr>
          <w:rFonts w:eastAsia="Calibri"/>
          <w:iCs/>
          <w:szCs w:val="24"/>
          <w:u w:val="single"/>
          <w:lang w:eastAsia="en-US"/>
        </w:rPr>
        <w:t xml:space="preserve"> </w:t>
      </w:r>
      <w:r>
        <w:rPr>
          <w:rFonts w:cs="Arial"/>
          <w:lang w:eastAsia="en-US"/>
        </w:rPr>
        <w:t>cover the whole META-SPC3</w:t>
      </w:r>
      <w:r w:rsidRPr="00BC532C">
        <w:rPr>
          <w:rFonts w:cs="Arial"/>
          <w:lang w:eastAsia="en-US"/>
        </w:rPr>
        <w:t xml:space="preserve"> claims</w:t>
      </w:r>
      <w:r>
        <w:rPr>
          <w:rFonts w:cs="Arial"/>
          <w:lang w:eastAsia="en-US"/>
        </w:rPr>
        <w:t>.</w:t>
      </w:r>
    </w:p>
    <w:p w14:paraId="5EE22D40" w14:textId="77777777" w:rsidR="00CC62FC" w:rsidRDefault="00CC62FC" w:rsidP="00CC62FC">
      <w:pPr>
        <w:pStyle w:val="Paragraphedeliste"/>
        <w:spacing w:line="260" w:lineRule="atLeast"/>
        <w:ind w:left="0"/>
        <w:jc w:val="both"/>
        <w:rPr>
          <w:rFonts w:eastAsia="Calibri"/>
          <w:iCs/>
          <w:szCs w:val="24"/>
          <w:u w:val="single"/>
          <w:lang w:eastAsia="en-US"/>
        </w:rPr>
      </w:pPr>
    </w:p>
    <w:p w14:paraId="25EED22F" w14:textId="77777777" w:rsidR="00CC62FC" w:rsidRDefault="00CC62FC" w:rsidP="00CC62FC">
      <w:pPr>
        <w:spacing w:line="260" w:lineRule="atLeast"/>
        <w:contextualSpacing/>
        <w:jc w:val="both"/>
        <w:rPr>
          <w:lang w:eastAsia="en-US"/>
        </w:rPr>
      </w:pPr>
      <w:r>
        <w:rPr>
          <w:lang w:eastAsia="en-US"/>
        </w:rPr>
        <w:t>B</w:t>
      </w:r>
      <w:r w:rsidRPr="003D493E">
        <w:rPr>
          <w:lang w:eastAsia="en-US"/>
        </w:rPr>
        <w:t>actericidal activity</w:t>
      </w:r>
      <w:r>
        <w:rPr>
          <w:lang w:eastAsia="en-US"/>
        </w:rPr>
        <w:t xml:space="preserve"> </w:t>
      </w:r>
      <w:r w:rsidRPr="003D493E">
        <w:rPr>
          <w:lang w:eastAsia="en-US"/>
        </w:rPr>
        <w:t xml:space="preserve">is demonstrated </w:t>
      </w:r>
      <w:r>
        <w:rPr>
          <w:lang w:eastAsia="en-US"/>
        </w:rPr>
        <w:t>both in phase 2, steps 1 and</w:t>
      </w:r>
      <w:r w:rsidRPr="003D493E">
        <w:rPr>
          <w:lang w:eastAsia="en-US"/>
        </w:rPr>
        <w:t xml:space="preserve"> </w:t>
      </w:r>
      <w:r>
        <w:rPr>
          <w:lang w:eastAsia="en-US"/>
        </w:rPr>
        <w:t xml:space="preserve">2 tests (EN 13727 and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in dirty conditions (</w:t>
      </w:r>
      <w:r w:rsidRPr="00AF1A0E">
        <w:rPr>
          <w:lang w:eastAsia="en-US"/>
        </w:rPr>
        <w:t>3 g/L BSA + 3 ml/l sheep erythrocytes</w:t>
      </w:r>
      <w:r w:rsidRPr="00B63AC7">
        <w:rPr>
          <w:lang w:eastAsia="en-US"/>
        </w:rPr>
        <w:t>).</w:t>
      </w:r>
      <w:r>
        <w:rPr>
          <w:lang w:eastAsia="en-US"/>
        </w:rPr>
        <w:t xml:space="preserve"> </w:t>
      </w:r>
      <w:r w:rsidRPr="003D493E">
        <w:rPr>
          <w:lang w:eastAsia="en-US"/>
        </w:rPr>
        <w:t xml:space="preserve">In these conditions, bactericidal activity is shown at the in-use concentration of </w:t>
      </w:r>
      <w:r>
        <w:rPr>
          <w:lang w:eastAsia="en-US"/>
        </w:rPr>
        <w:t>40 % v/v.</w:t>
      </w:r>
    </w:p>
    <w:p w14:paraId="5602180F" w14:textId="77777777" w:rsidR="00CC62FC" w:rsidRDefault="00CC62FC" w:rsidP="00CC62FC">
      <w:pPr>
        <w:spacing w:line="260" w:lineRule="atLeast"/>
        <w:contextualSpacing/>
        <w:jc w:val="both"/>
        <w:rPr>
          <w:lang w:eastAsia="en-US"/>
        </w:rPr>
      </w:pPr>
    </w:p>
    <w:p w14:paraId="2961E020" w14:textId="77777777" w:rsidR="00CC62FC" w:rsidRDefault="00CC62FC" w:rsidP="00CC62FC">
      <w:pPr>
        <w:spacing w:line="260" w:lineRule="atLeast"/>
        <w:contextualSpacing/>
        <w:jc w:val="both"/>
        <w:rPr>
          <w:lang w:eastAsia="en-US"/>
        </w:rPr>
      </w:pPr>
      <w:r>
        <w:rPr>
          <w:lang w:eastAsia="en-US"/>
        </w:rPr>
        <w:t>Yeasticidal</w:t>
      </w:r>
      <w:r w:rsidRPr="003D493E">
        <w:rPr>
          <w:lang w:eastAsia="en-US"/>
        </w:rPr>
        <w:t xml:space="preserve"> activity</w:t>
      </w:r>
      <w:r>
        <w:rPr>
          <w:lang w:eastAsia="en-US"/>
        </w:rPr>
        <w:t xml:space="preserve"> </w:t>
      </w:r>
      <w:r w:rsidRPr="003D493E">
        <w:rPr>
          <w:lang w:eastAsia="en-US"/>
        </w:rPr>
        <w:t xml:space="preserve">is demonstrated </w:t>
      </w:r>
      <w:r>
        <w:rPr>
          <w:lang w:eastAsia="en-US"/>
        </w:rPr>
        <w:t>both in phase 2, steps</w:t>
      </w:r>
      <w:r w:rsidRPr="003D493E">
        <w:rPr>
          <w:lang w:eastAsia="en-US"/>
        </w:rPr>
        <w:t xml:space="preserve"> </w:t>
      </w:r>
      <w:r>
        <w:rPr>
          <w:lang w:eastAsia="en-US"/>
        </w:rPr>
        <w:t>1 and 2 tests (EN 13624 and EN 13697)</w:t>
      </w:r>
      <w:r w:rsidRPr="003D493E">
        <w:rPr>
          <w:lang w:eastAsia="en-US"/>
        </w:rPr>
        <w:t xml:space="preserve">, at </w:t>
      </w:r>
      <w:r>
        <w:rPr>
          <w:lang w:eastAsia="en-US"/>
        </w:rPr>
        <w:t xml:space="preserve">20 </w:t>
      </w:r>
      <w:r w:rsidRPr="003D493E">
        <w:rPr>
          <w:lang w:eastAsia="en-US"/>
        </w:rPr>
        <w:t xml:space="preserve">°C, </w:t>
      </w:r>
      <w:r>
        <w:rPr>
          <w:lang w:eastAsia="en-US"/>
        </w:rPr>
        <w:t xml:space="preserve">with a </w:t>
      </w:r>
      <w:r w:rsidRPr="003D493E">
        <w:rPr>
          <w:lang w:eastAsia="en-US"/>
        </w:rPr>
        <w:t xml:space="preserve">contact time of </w:t>
      </w:r>
      <w:r>
        <w:rPr>
          <w:lang w:eastAsia="en-US"/>
        </w:rPr>
        <w:t xml:space="preserve">5 </w:t>
      </w:r>
      <w:r w:rsidRPr="003D493E">
        <w:rPr>
          <w:lang w:eastAsia="en-US"/>
        </w:rPr>
        <w:t>minutes</w:t>
      </w:r>
      <w:r>
        <w:rPr>
          <w:lang w:eastAsia="en-US"/>
        </w:rPr>
        <w:t xml:space="preserve">, </w:t>
      </w:r>
      <w:r w:rsidRPr="00B63AC7">
        <w:rPr>
          <w:lang w:eastAsia="en-US"/>
        </w:rPr>
        <w:t>in dirty conditions (</w:t>
      </w:r>
      <w:r w:rsidRPr="006157E4">
        <w:rPr>
          <w:lang w:eastAsia="en-US"/>
        </w:rPr>
        <w:t>3 g/L BSA + 3 ml/l sheep erythrocytes</w:t>
      </w:r>
      <w:r w:rsidRPr="00B63AC7">
        <w:rPr>
          <w:lang w:eastAsia="en-US"/>
        </w:rPr>
        <w:t>).</w:t>
      </w:r>
      <w:r>
        <w:rPr>
          <w:lang w:eastAsia="en-US"/>
        </w:rPr>
        <w:t xml:space="preserve"> </w:t>
      </w:r>
      <w:r w:rsidRPr="003D493E">
        <w:rPr>
          <w:lang w:eastAsia="en-US"/>
        </w:rPr>
        <w:t xml:space="preserve">In these conditions, </w:t>
      </w:r>
      <w:r>
        <w:rPr>
          <w:lang w:eastAsia="en-US"/>
        </w:rPr>
        <w:t>yeasticidal</w:t>
      </w:r>
      <w:r w:rsidRPr="003D493E">
        <w:rPr>
          <w:lang w:eastAsia="en-US"/>
        </w:rPr>
        <w:t xml:space="preserve"> activity is shown at the in-use concentration of </w:t>
      </w:r>
      <w:r>
        <w:rPr>
          <w:lang w:eastAsia="en-US"/>
        </w:rPr>
        <w:t>40% v/v.</w:t>
      </w:r>
    </w:p>
    <w:p w14:paraId="2ADFFBF3" w14:textId="77777777" w:rsidR="00CC62FC" w:rsidRDefault="00CC62FC" w:rsidP="00CC62FC">
      <w:pPr>
        <w:spacing w:line="260" w:lineRule="atLeast"/>
        <w:jc w:val="both"/>
        <w:rPr>
          <w:rFonts w:ascii="Times New Roman" w:eastAsia="Calibri" w:hAnsi="Times New Roman" w:cs="Arial"/>
          <w:bCs/>
          <w:caps/>
          <w:szCs w:val="28"/>
          <w:lang w:eastAsia="en-US"/>
        </w:rPr>
      </w:pPr>
    </w:p>
    <w:p w14:paraId="6DD16853" w14:textId="339F3FDE" w:rsidR="00CC62FC" w:rsidRDefault="00CC62FC" w:rsidP="00CC62FC">
      <w:pPr>
        <w:spacing w:line="260" w:lineRule="atLeast"/>
        <w:contextualSpacing/>
        <w:jc w:val="both"/>
        <w:rPr>
          <w:lang w:eastAsia="en-US"/>
        </w:rPr>
      </w:pPr>
      <w:r>
        <w:rPr>
          <w:lang w:eastAsia="en-US"/>
        </w:rPr>
        <w:t>B</w:t>
      </w:r>
      <w:r w:rsidRPr="003D493E">
        <w:rPr>
          <w:lang w:eastAsia="en-US"/>
        </w:rPr>
        <w:t xml:space="preserve">actericidal </w:t>
      </w:r>
      <w:r>
        <w:rPr>
          <w:lang w:eastAsia="en-US"/>
        </w:rPr>
        <w:t xml:space="preserve">and yeasticidal </w:t>
      </w:r>
      <w:r w:rsidRPr="003D493E">
        <w:rPr>
          <w:lang w:eastAsia="en-US"/>
        </w:rPr>
        <w:t>activit</w:t>
      </w:r>
      <w:r>
        <w:rPr>
          <w:lang w:eastAsia="en-US"/>
        </w:rPr>
        <w:t>ies are</w:t>
      </w:r>
      <w:r w:rsidRPr="003D493E">
        <w:rPr>
          <w:lang w:eastAsia="en-US"/>
        </w:rPr>
        <w:t xml:space="preserve"> </w:t>
      </w:r>
      <w:r w:rsidR="001B3D89">
        <w:rPr>
          <w:lang w:eastAsia="en-US"/>
        </w:rPr>
        <w:t xml:space="preserve">also </w:t>
      </w:r>
      <w:r w:rsidRPr="003D493E">
        <w:rPr>
          <w:lang w:eastAsia="en-US"/>
        </w:rPr>
        <w:t xml:space="preserve">demonstrated </w:t>
      </w:r>
      <w:r>
        <w:rPr>
          <w:lang w:eastAsia="en-US"/>
        </w:rPr>
        <w:t>in phase 2, step</w:t>
      </w:r>
      <w:r w:rsidRPr="003D493E">
        <w:rPr>
          <w:lang w:eastAsia="en-US"/>
        </w:rPr>
        <w:t xml:space="preserve"> </w:t>
      </w:r>
      <w:r>
        <w:rPr>
          <w:lang w:eastAsia="en-US"/>
        </w:rPr>
        <w:t>2 test (EN 16615)</w:t>
      </w:r>
      <w:r w:rsidRPr="003D493E">
        <w:rPr>
          <w:lang w:eastAsia="en-US"/>
        </w:rPr>
        <w:t xml:space="preserve">, at </w:t>
      </w:r>
      <w:r>
        <w:rPr>
          <w:lang w:eastAsia="en-US"/>
        </w:rPr>
        <w:t>20</w:t>
      </w:r>
      <w:r w:rsidRPr="003D493E">
        <w:rPr>
          <w:lang w:eastAsia="en-US"/>
        </w:rPr>
        <w:t xml:space="preserve">°C, </w:t>
      </w:r>
      <w:r>
        <w:rPr>
          <w:lang w:eastAsia="en-US"/>
        </w:rPr>
        <w:t xml:space="preserve">with a </w:t>
      </w:r>
      <w:r w:rsidRPr="003D493E">
        <w:rPr>
          <w:lang w:eastAsia="en-US"/>
        </w:rPr>
        <w:t xml:space="preserve">contact time of </w:t>
      </w:r>
      <w:r>
        <w:rPr>
          <w:lang w:eastAsia="en-US"/>
        </w:rPr>
        <w:t>5</w:t>
      </w:r>
      <w:r w:rsidRPr="003D493E">
        <w:rPr>
          <w:lang w:eastAsia="en-US"/>
        </w:rPr>
        <w:t xml:space="preserve"> minutes</w:t>
      </w:r>
      <w:r>
        <w:rPr>
          <w:lang w:eastAsia="en-US"/>
        </w:rPr>
        <w:t xml:space="preserve">, </w:t>
      </w:r>
      <w:r w:rsidRPr="00B63AC7">
        <w:rPr>
          <w:lang w:eastAsia="en-US"/>
        </w:rPr>
        <w:t>in dirty conditions (</w:t>
      </w:r>
      <w:r w:rsidRPr="006157E4">
        <w:rPr>
          <w:lang w:eastAsia="en-US"/>
        </w:rPr>
        <w:t>3 g/L BSA + 3 ml/l sheep erythrocytes</w:t>
      </w:r>
      <w:r w:rsidRPr="00B63AC7">
        <w:rPr>
          <w:lang w:eastAsia="en-US"/>
        </w:rPr>
        <w:t>).</w:t>
      </w:r>
      <w:r>
        <w:rPr>
          <w:lang w:eastAsia="en-US"/>
        </w:rPr>
        <w:t xml:space="preserve"> </w:t>
      </w:r>
      <w:r w:rsidRPr="003D493E">
        <w:rPr>
          <w:lang w:eastAsia="en-US"/>
        </w:rPr>
        <w:t>In these conditions, bactericidal</w:t>
      </w:r>
      <w:r>
        <w:rPr>
          <w:lang w:eastAsia="en-US"/>
        </w:rPr>
        <w:t xml:space="preserve"> 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10 % v/v.</w:t>
      </w:r>
    </w:p>
    <w:p w14:paraId="159C2A32" w14:textId="77777777" w:rsidR="00CC62FC" w:rsidRDefault="00CC62FC" w:rsidP="00CC62FC">
      <w:pPr>
        <w:spacing w:line="260" w:lineRule="atLeast"/>
        <w:contextualSpacing/>
        <w:jc w:val="both"/>
        <w:rPr>
          <w:lang w:eastAsia="en-US"/>
        </w:rPr>
      </w:pPr>
    </w:p>
    <w:p w14:paraId="230B8553" w14:textId="1CC32E72" w:rsidR="00CC62FC" w:rsidRDefault="00CC62FC" w:rsidP="00CC62FC">
      <w:pPr>
        <w:spacing w:line="260" w:lineRule="atLeast"/>
        <w:jc w:val="both"/>
        <w:rPr>
          <w:lang w:eastAsia="en-US"/>
        </w:rPr>
      </w:pPr>
      <w:r>
        <w:rPr>
          <w:lang w:eastAsia="en-US"/>
        </w:rPr>
        <w:t>The applicant has also submitted studies according to EN 1276 and EN 1650 from META-SPC1</w:t>
      </w:r>
      <w:r w:rsidR="002B7590">
        <w:rPr>
          <w:lang w:eastAsia="en-US"/>
        </w:rPr>
        <w:t xml:space="preserve"> and META-SPC2</w:t>
      </w:r>
      <w:r>
        <w:rPr>
          <w:lang w:eastAsia="en-US"/>
        </w:rPr>
        <w:t>, assuming that representative product</w:t>
      </w:r>
      <w:r w:rsidR="002B7590">
        <w:rPr>
          <w:lang w:eastAsia="en-US"/>
        </w:rPr>
        <w:t>s tested</w:t>
      </w:r>
      <w:r>
        <w:rPr>
          <w:lang w:eastAsia="en-US"/>
        </w:rPr>
        <w:t xml:space="preserve"> ha</w:t>
      </w:r>
      <w:r w:rsidR="002B7590">
        <w:rPr>
          <w:lang w:eastAsia="en-US"/>
        </w:rPr>
        <w:t>ve</w:t>
      </w:r>
      <w:r>
        <w:rPr>
          <w:lang w:eastAsia="en-US"/>
        </w:rPr>
        <w:t xml:space="preserve"> </w:t>
      </w:r>
      <w:r w:rsidR="001B3D89">
        <w:rPr>
          <w:lang w:eastAsia="en-US"/>
        </w:rPr>
        <w:t xml:space="preserve">a </w:t>
      </w:r>
      <w:r>
        <w:rPr>
          <w:lang w:eastAsia="en-US"/>
        </w:rPr>
        <w:t xml:space="preserve">lower AS concentration and minor variations between the other ingredients. </w:t>
      </w:r>
    </w:p>
    <w:p w14:paraId="0C068DBC" w14:textId="77777777" w:rsidR="00CC62FC" w:rsidRPr="002016CA" w:rsidRDefault="00CC62FC" w:rsidP="00CC62FC">
      <w:pPr>
        <w:spacing w:line="260" w:lineRule="atLeast"/>
        <w:jc w:val="both"/>
        <w:rPr>
          <w:lang w:eastAsia="en-US"/>
        </w:rPr>
      </w:pPr>
      <w:r>
        <w:rPr>
          <w:lang w:eastAsia="en-US"/>
        </w:rPr>
        <w:t>Nevertheless, since dirty conditions from medical area are a worst case related to those of food, industry, domestic, institutional areas, results from medical areas conditions cover the efficacy of all the uses claimed for this META-SPC.</w:t>
      </w:r>
    </w:p>
    <w:p w14:paraId="72780AD5" w14:textId="77777777" w:rsidR="00CC62FC" w:rsidRDefault="00CC62FC" w:rsidP="00CC62FC">
      <w:pPr>
        <w:spacing w:line="260" w:lineRule="atLeast"/>
        <w:rPr>
          <w:rFonts w:eastAsia="Calibri"/>
          <w:lang w:eastAsia="en-US"/>
        </w:rPr>
      </w:pPr>
    </w:p>
    <w:p w14:paraId="02448DA9" w14:textId="77777777" w:rsidR="00CC62FC" w:rsidRDefault="00CC62FC" w:rsidP="00CC62FC">
      <w:pPr>
        <w:spacing w:line="260" w:lineRule="atLeast"/>
        <w:jc w:val="both"/>
        <w:rPr>
          <w:rFonts w:ascii="Times New Roman" w:eastAsia="Calibri" w:hAnsi="Times New Roman" w:cs="Arial"/>
          <w:bCs/>
          <w:i/>
          <w:caps/>
          <w:szCs w:val="28"/>
          <w:lang w:eastAsia="en-US"/>
        </w:rPr>
      </w:pPr>
    </w:p>
    <w:p w14:paraId="2496BE89" w14:textId="2F8F210F" w:rsidR="00CC62FC" w:rsidRDefault="00CC62FC" w:rsidP="00FE67A2">
      <w:pPr>
        <w:spacing w:line="260" w:lineRule="atLeast"/>
        <w:rPr>
          <w:rFonts w:ascii="Times New Roman" w:eastAsia="Calibri" w:hAnsi="Times New Roman" w:cs="Times New Roman"/>
          <w:i/>
          <w:iCs/>
          <w:lang w:eastAsia="en-US"/>
        </w:rPr>
        <w:sectPr w:rsidR="00CC62FC" w:rsidSect="0073642B">
          <w:pgSz w:w="11906" w:h="16838"/>
          <w:pgMar w:top="1474" w:right="1247" w:bottom="2013" w:left="1446" w:header="851" w:footer="851" w:gutter="0"/>
          <w:cols w:space="720"/>
          <w:docGrid w:linePitch="272"/>
        </w:sectPr>
      </w:pPr>
    </w:p>
    <w:tbl>
      <w:tblPr>
        <w:tblW w:w="530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9"/>
        <w:gridCol w:w="1269"/>
        <w:gridCol w:w="1434"/>
        <w:gridCol w:w="1532"/>
        <w:gridCol w:w="1434"/>
        <w:gridCol w:w="3663"/>
        <w:gridCol w:w="1988"/>
        <w:gridCol w:w="1545"/>
      </w:tblGrid>
      <w:tr w:rsidR="002547BB" w:rsidRPr="00FD2055" w14:paraId="7EA39806" w14:textId="77777777" w:rsidTr="00FE67A2">
        <w:trPr>
          <w:cantSplit/>
          <w:tblHeader/>
          <w:jc w:val="center"/>
        </w:trPr>
        <w:tc>
          <w:tcPr>
            <w:tcW w:w="5000" w:type="pct"/>
            <w:gridSpan w:val="8"/>
            <w:shd w:val="clear" w:color="auto" w:fill="FFFFFF"/>
          </w:tcPr>
          <w:p w14:paraId="2DCBCDD1" w14:textId="0A629A74" w:rsidR="002547BB" w:rsidRPr="00FD2055" w:rsidRDefault="002547BB" w:rsidP="001B3D89">
            <w:pPr>
              <w:jc w:val="center"/>
              <w:rPr>
                <w:b/>
                <w:color w:val="000000"/>
                <w:sz w:val="18"/>
                <w:szCs w:val="18"/>
              </w:rPr>
            </w:pPr>
            <w:r w:rsidRPr="00B27CB1">
              <w:rPr>
                <w:b/>
                <w:color w:val="000000"/>
                <w:sz w:val="18"/>
                <w:szCs w:val="18"/>
              </w:rPr>
              <w:lastRenderedPageBreak/>
              <w:t>Experimental data on the efficacy of the biocidal product against target organism(s)</w:t>
            </w:r>
            <w:r>
              <w:rPr>
                <w:b/>
                <w:color w:val="000000"/>
                <w:sz w:val="18"/>
                <w:szCs w:val="18"/>
              </w:rPr>
              <w:t xml:space="preserve"> : META SPC 3</w:t>
            </w:r>
          </w:p>
        </w:tc>
      </w:tr>
      <w:tr w:rsidR="002547BB" w:rsidRPr="00FD2055" w14:paraId="1DB82E16" w14:textId="77777777" w:rsidTr="00FE67A2">
        <w:trPr>
          <w:cantSplit/>
          <w:jc w:val="center"/>
        </w:trPr>
        <w:tc>
          <w:tcPr>
            <w:tcW w:w="447" w:type="pct"/>
            <w:shd w:val="clear" w:color="auto" w:fill="FFFFFF"/>
          </w:tcPr>
          <w:p w14:paraId="53F33491" w14:textId="1BE112B1" w:rsidR="00CC62FC" w:rsidRPr="00FD2055" w:rsidRDefault="00CC62FC" w:rsidP="0015321A">
            <w:pPr>
              <w:jc w:val="center"/>
              <w:rPr>
                <w:b/>
                <w:color w:val="000000"/>
                <w:sz w:val="18"/>
                <w:szCs w:val="18"/>
              </w:rPr>
            </w:pPr>
            <w:r w:rsidRPr="00FD2055">
              <w:rPr>
                <w:b/>
                <w:color w:val="000000"/>
                <w:sz w:val="18"/>
                <w:szCs w:val="18"/>
              </w:rPr>
              <w:t>Function</w:t>
            </w:r>
          </w:p>
        </w:tc>
        <w:tc>
          <w:tcPr>
            <w:tcW w:w="444" w:type="pct"/>
            <w:shd w:val="clear" w:color="auto" w:fill="FFFFFF"/>
          </w:tcPr>
          <w:p w14:paraId="3434816F" w14:textId="77777777" w:rsidR="00CC62FC" w:rsidRPr="00FD2055" w:rsidRDefault="00CC62FC" w:rsidP="0015321A">
            <w:pPr>
              <w:rPr>
                <w:b/>
                <w:color w:val="000000"/>
                <w:sz w:val="18"/>
                <w:szCs w:val="18"/>
              </w:rPr>
            </w:pPr>
            <w:r w:rsidRPr="00FD2055">
              <w:rPr>
                <w:b/>
                <w:color w:val="000000"/>
                <w:sz w:val="18"/>
                <w:szCs w:val="18"/>
              </w:rPr>
              <w:t>Field of use envisaged</w:t>
            </w:r>
          </w:p>
        </w:tc>
        <w:tc>
          <w:tcPr>
            <w:tcW w:w="510" w:type="pct"/>
            <w:shd w:val="clear" w:color="auto" w:fill="FFFFFF"/>
          </w:tcPr>
          <w:p w14:paraId="5D56423C" w14:textId="77777777" w:rsidR="00CC62FC" w:rsidRPr="00FD2055" w:rsidRDefault="00CC62FC"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536" w:type="pct"/>
            <w:shd w:val="clear" w:color="auto" w:fill="FFFFFF"/>
          </w:tcPr>
          <w:p w14:paraId="5137D981" w14:textId="77777777" w:rsidR="00CC62FC" w:rsidRPr="00FD2055" w:rsidRDefault="00CC62FC" w:rsidP="0015321A">
            <w:pPr>
              <w:rPr>
                <w:b/>
                <w:i/>
                <w:color w:val="000000"/>
                <w:sz w:val="18"/>
                <w:szCs w:val="18"/>
              </w:rPr>
            </w:pPr>
            <w:r w:rsidRPr="00FD2055">
              <w:rPr>
                <w:b/>
                <w:color w:val="000000"/>
                <w:sz w:val="18"/>
                <w:szCs w:val="18"/>
              </w:rPr>
              <w:t>Test organism(s)</w:t>
            </w:r>
          </w:p>
        </w:tc>
        <w:tc>
          <w:tcPr>
            <w:tcW w:w="510" w:type="pct"/>
            <w:shd w:val="clear" w:color="auto" w:fill="FFFFFF"/>
          </w:tcPr>
          <w:p w14:paraId="669FFE4E" w14:textId="77777777" w:rsidR="00CC62FC" w:rsidRPr="00FD2055" w:rsidRDefault="00CC62FC" w:rsidP="0015321A">
            <w:pPr>
              <w:rPr>
                <w:b/>
                <w:color w:val="000000"/>
                <w:sz w:val="18"/>
                <w:szCs w:val="18"/>
              </w:rPr>
            </w:pPr>
            <w:r w:rsidRPr="00FD2055">
              <w:rPr>
                <w:b/>
                <w:color w:val="000000"/>
                <w:sz w:val="18"/>
                <w:szCs w:val="18"/>
              </w:rPr>
              <w:t>Test method</w:t>
            </w:r>
          </w:p>
        </w:tc>
        <w:tc>
          <w:tcPr>
            <w:tcW w:w="1298" w:type="pct"/>
            <w:shd w:val="clear" w:color="auto" w:fill="FFFFFF"/>
          </w:tcPr>
          <w:p w14:paraId="22EBEB60" w14:textId="77777777" w:rsidR="00CC62FC" w:rsidRPr="00FD2055" w:rsidRDefault="00CC62FC" w:rsidP="0015321A">
            <w:pPr>
              <w:rPr>
                <w:b/>
                <w:color w:val="000000"/>
                <w:sz w:val="18"/>
                <w:szCs w:val="18"/>
              </w:rPr>
            </w:pPr>
            <w:r w:rsidRPr="00FD2055">
              <w:rPr>
                <w:b/>
                <w:color w:val="000000"/>
                <w:sz w:val="18"/>
                <w:szCs w:val="18"/>
              </w:rPr>
              <w:t>Test system / concentrations applied / exposure time</w:t>
            </w:r>
          </w:p>
        </w:tc>
        <w:tc>
          <w:tcPr>
            <w:tcW w:w="706" w:type="pct"/>
            <w:shd w:val="clear" w:color="auto" w:fill="FFFFFF"/>
          </w:tcPr>
          <w:p w14:paraId="4FB19113" w14:textId="77777777" w:rsidR="00CC62FC" w:rsidRPr="00FD2055" w:rsidRDefault="00CC62FC" w:rsidP="0015321A">
            <w:pPr>
              <w:rPr>
                <w:b/>
                <w:color w:val="000000"/>
                <w:sz w:val="18"/>
                <w:szCs w:val="18"/>
              </w:rPr>
            </w:pPr>
            <w:r w:rsidRPr="00FD2055">
              <w:rPr>
                <w:b/>
                <w:color w:val="000000"/>
                <w:sz w:val="18"/>
                <w:szCs w:val="18"/>
              </w:rPr>
              <w:t>Test results: effects</w:t>
            </w:r>
          </w:p>
        </w:tc>
        <w:tc>
          <w:tcPr>
            <w:tcW w:w="547" w:type="pct"/>
            <w:shd w:val="clear" w:color="auto" w:fill="FFFFFF"/>
          </w:tcPr>
          <w:p w14:paraId="6A175F84" w14:textId="77777777" w:rsidR="00CC62FC" w:rsidRPr="00FD2055" w:rsidRDefault="00CC62FC" w:rsidP="0015321A">
            <w:pPr>
              <w:rPr>
                <w:b/>
                <w:color w:val="000000"/>
                <w:sz w:val="18"/>
                <w:szCs w:val="18"/>
              </w:rPr>
            </w:pPr>
            <w:r w:rsidRPr="00FD2055">
              <w:rPr>
                <w:b/>
                <w:color w:val="000000"/>
                <w:sz w:val="18"/>
                <w:szCs w:val="18"/>
              </w:rPr>
              <w:t>Reference</w:t>
            </w:r>
          </w:p>
        </w:tc>
      </w:tr>
      <w:tr w:rsidR="002547BB" w:rsidDel="00633492" w14:paraId="46A3DB5A" w14:textId="77777777" w:rsidTr="00FE67A2">
        <w:trPr>
          <w:cantSplit/>
          <w:jc w:val="center"/>
        </w:trPr>
        <w:tc>
          <w:tcPr>
            <w:tcW w:w="447" w:type="pct"/>
            <w:vAlign w:val="center"/>
          </w:tcPr>
          <w:p w14:paraId="3DCCC162" w14:textId="77777777" w:rsidR="00CC62FC" w:rsidRDefault="00CC62FC" w:rsidP="0015321A">
            <w:pPr>
              <w:rPr>
                <w:color w:val="000000"/>
                <w:sz w:val="18"/>
                <w:szCs w:val="18"/>
              </w:rPr>
            </w:pPr>
            <w:r>
              <w:rPr>
                <w:color w:val="000000"/>
                <w:sz w:val="18"/>
                <w:szCs w:val="18"/>
              </w:rPr>
              <w:t>Disinfectant, bactericidal activity</w:t>
            </w:r>
          </w:p>
        </w:tc>
        <w:tc>
          <w:tcPr>
            <w:tcW w:w="444" w:type="pct"/>
            <w:vAlign w:val="center"/>
          </w:tcPr>
          <w:p w14:paraId="732399B3" w14:textId="60032496" w:rsidR="00CC62FC" w:rsidRDefault="00FE67A2" w:rsidP="0015321A">
            <w:pPr>
              <w:rPr>
                <w:color w:val="000000"/>
                <w:sz w:val="18"/>
                <w:szCs w:val="18"/>
              </w:rPr>
            </w:pPr>
            <w:r>
              <w:rPr>
                <w:color w:val="000000"/>
                <w:sz w:val="18"/>
                <w:szCs w:val="18"/>
              </w:rPr>
              <w:t>Domestic, institutional, industrial, healthcare facilities and food preparation and handling areas</w:t>
            </w:r>
          </w:p>
        </w:tc>
        <w:tc>
          <w:tcPr>
            <w:tcW w:w="510" w:type="pct"/>
            <w:vAlign w:val="center"/>
          </w:tcPr>
          <w:p w14:paraId="37CC64B5" w14:textId="77777777" w:rsidR="00CC62FC" w:rsidRDefault="00CC62FC" w:rsidP="0015321A">
            <w:pPr>
              <w:rPr>
                <w:color w:val="000000"/>
                <w:sz w:val="18"/>
                <w:szCs w:val="18"/>
              </w:rPr>
            </w:pPr>
            <w:r>
              <w:rPr>
                <w:color w:val="000000"/>
                <w:sz w:val="18"/>
                <w:szCs w:val="18"/>
              </w:rPr>
              <w:t>AL-S1-1-0</w:t>
            </w:r>
          </w:p>
          <w:p w14:paraId="3740572F" w14:textId="33FD1A80" w:rsidR="00CC62FC" w:rsidRDefault="00BC667C" w:rsidP="0015321A">
            <w:pPr>
              <w:rPr>
                <w:color w:val="000000"/>
                <w:sz w:val="18"/>
                <w:szCs w:val="18"/>
              </w:rPr>
            </w:pPr>
            <w:r>
              <w:rPr>
                <w:color w:val="000000"/>
                <w:sz w:val="18"/>
                <w:szCs w:val="18"/>
              </w:rPr>
              <w:t>2.4</w:t>
            </w:r>
            <w:r w:rsidR="00CC62FC">
              <w:rPr>
                <w:color w:val="000000"/>
                <w:sz w:val="18"/>
                <w:szCs w:val="18"/>
              </w:rPr>
              <w:t>% lactic acid</w:t>
            </w:r>
          </w:p>
        </w:tc>
        <w:tc>
          <w:tcPr>
            <w:tcW w:w="536" w:type="pct"/>
            <w:vAlign w:val="center"/>
          </w:tcPr>
          <w:p w14:paraId="3A5D8156" w14:textId="77777777" w:rsidR="00CC62FC" w:rsidRPr="00D016EC" w:rsidRDefault="00CC62FC"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510" w:type="pct"/>
            <w:vAlign w:val="center"/>
          </w:tcPr>
          <w:p w14:paraId="3037A339" w14:textId="77777777" w:rsidR="00CC62FC" w:rsidRDefault="00CC62FC" w:rsidP="0015321A">
            <w:pPr>
              <w:rPr>
                <w:color w:val="000000"/>
                <w:sz w:val="18"/>
                <w:szCs w:val="18"/>
              </w:rPr>
            </w:pPr>
            <w:r>
              <w:rPr>
                <w:color w:val="000000"/>
                <w:sz w:val="18"/>
                <w:szCs w:val="18"/>
              </w:rPr>
              <w:t>NF EN 1276 (March 2010)</w:t>
            </w:r>
          </w:p>
        </w:tc>
        <w:tc>
          <w:tcPr>
            <w:tcW w:w="1298" w:type="pct"/>
            <w:vAlign w:val="center"/>
          </w:tcPr>
          <w:p w14:paraId="617D9985" w14:textId="77777777" w:rsidR="00CC62FC" w:rsidRDefault="00CC62FC" w:rsidP="0015321A">
            <w:pPr>
              <w:rPr>
                <w:color w:val="000000"/>
                <w:sz w:val="18"/>
                <w:szCs w:val="18"/>
              </w:rPr>
            </w:pPr>
            <w:r>
              <w:rPr>
                <w:color w:val="000000"/>
                <w:sz w:val="18"/>
                <w:szCs w:val="18"/>
              </w:rPr>
              <w:t>Phase 2 step 1 (suspension test)</w:t>
            </w:r>
          </w:p>
          <w:p w14:paraId="2A777F06" w14:textId="77777777" w:rsidR="00CC62FC" w:rsidRDefault="00CC62FC" w:rsidP="0015321A">
            <w:pPr>
              <w:rPr>
                <w:color w:val="000000"/>
                <w:sz w:val="18"/>
                <w:szCs w:val="18"/>
              </w:rPr>
            </w:pPr>
            <w:r>
              <w:rPr>
                <w:color w:val="000000"/>
                <w:sz w:val="18"/>
                <w:szCs w:val="18"/>
              </w:rPr>
              <w:t>Concentrations of product tested (v/v): 1%, 20%, 40%, 80%.</w:t>
            </w:r>
          </w:p>
          <w:p w14:paraId="4550DEBF" w14:textId="77777777" w:rsidR="00CC62FC" w:rsidRDefault="00CC62FC" w:rsidP="0015321A">
            <w:pPr>
              <w:rPr>
                <w:color w:val="000000"/>
                <w:sz w:val="18"/>
                <w:szCs w:val="18"/>
              </w:rPr>
            </w:pPr>
            <w:r>
              <w:rPr>
                <w:color w:val="000000"/>
                <w:sz w:val="18"/>
                <w:szCs w:val="18"/>
              </w:rPr>
              <w:t xml:space="preserve">Contact time: 5 minutes </w:t>
            </w:r>
          </w:p>
          <w:p w14:paraId="4A7E2FDC" w14:textId="77777777" w:rsidR="00CC62FC" w:rsidRDefault="00CC62FC" w:rsidP="0015321A">
            <w:pPr>
              <w:rPr>
                <w:color w:val="000000"/>
                <w:sz w:val="18"/>
                <w:szCs w:val="18"/>
              </w:rPr>
            </w:pPr>
            <w:r>
              <w:rPr>
                <w:color w:val="000000"/>
                <w:sz w:val="18"/>
                <w:szCs w:val="18"/>
              </w:rPr>
              <w:t xml:space="preserve">Temperature: 20°C </w:t>
            </w:r>
          </w:p>
          <w:p w14:paraId="65FEE908" w14:textId="77777777" w:rsidR="00CC62FC" w:rsidRDefault="00CC62FC" w:rsidP="0015321A">
            <w:pPr>
              <w:rPr>
                <w:color w:val="000000"/>
                <w:sz w:val="18"/>
                <w:szCs w:val="18"/>
              </w:rPr>
            </w:pPr>
            <w:r>
              <w:rPr>
                <w:color w:val="000000"/>
                <w:sz w:val="18"/>
                <w:szCs w:val="18"/>
              </w:rPr>
              <w:t>Dirty conditions: 3 g/L BSA.</w:t>
            </w:r>
          </w:p>
          <w:p w14:paraId="7F3EB723" w14:textId="77777777" w:rsidR="00CC62FC" w:rsidRDefault="00CC62FC" w:rsidP="0015321A">
            <w:pPr>
              <w:rPr>
                <w:color w:val="000000"/>
                <w:sz w:val="18"/>
                <w:szCs w:val="18"/>
              </w:rPr>
            </w:pPr>
            <w:r>
              <w:rPr>
                <w:color w:val="000000"/>
                <w:sz w:val="18"/>
                <w:szCs w:val="18"/>
              </w:rPr>
              <w:t>Criteria: ≥ 5 log unit reduction</w:t>
            </w:r>
          </w:p>
        </w:tc>
        <w:tc>
          <w:tcPr>
            <w:tcW w:w="706" w:type="pct"/>
            <w:vAlign w:val="center"/>
          </w:tcPr>
          <w:p w14:paraId="2404B4C0" w14:textId="77777777" w:rsidR="00CC62FC" w:rsidRDefault="00CC62FC" w:rsidP="0015321A">
            <w:pPr>
              <w:snapToGrid w:val="0"/>
              <w:rPr>
                <w:color w:val="000000"/>
                <w:sz w:val="18"/>
                <w:szCs w:val="18"/>
              </w:rPr>
            </w:pPr>
            <w:r>
              <w:rPr>
                <w:color w:val="000000"/>
                <w:sz w:val="18"/>
                <w:szCs w:val="18"/>
              </w:rPr>
              <w:t>Bactericidal activity demonstrated at 40 % v/v</w:t>
            </w:r>
          </w:p>
          <w:p w14:paraId="6396E71D" w14:textId="77777777" w:rsidR="00CC62FC" w:rsidRDefault="00CC62FC" w:rsidP="0015321A">
            <w:pPr>
              <w:rPr>
                <w:color w:val="000000"/>
                <w:sz w:val="18"/>
                <w:szCs w:val="18"/>
              </w:rPr>
            </w:pPr>
          </w:p>
        </w:tc>
        <w:tc>
          <w:tcPr>
            <w:tcW w:w="547" w:type="pct"/>
            <w:vAlign w:val="center"/>
          </w:tcPr>
          <w:p w14:paraId="2F2D3AAC" w14:textId="77777777" w:rsidR="00CC62FC" w:rsidRDefault="00CC62FC" w:rsidP="0015321A">
            <w:pPr>
              <w:rPr>
                <w:color w:val="000000"/>
                <w:sz w:val="18"/>
                <w:szCs w:val="18"/>
              </w:rPr>
            </w:pPr>
            <w:r>
              <w:rPr>
                <w:color w:val="000000"/>
                <w:sz w:val="18"/>
                <w:szCs w:val="18"/>
              </w:rPr>
              <w:t>Huguet N., 2018, Report No 18.CM.18-091</w:t>
            </w:r>
          </w:p>
          <w:p w14:paraId="7530AAFA" w14:textId="77777777" w:rsidR="00CC62FC" w:rsidRDefault="00CC62FC" w:rsidP="0015321A">
            <w:pPr>
              <w:rPr>
                <w:color w:val="000000"/>
                <w:sz w:val="18"/>
                <w:szCs w:val="18"/>
              </w:rPr>
            </w:pPr>
          </w:p>
          <w:p w14:paraId="671C387F" w14:textId="77777777" w:rsidR="00CC62FC" w:rsidRDefault="00CC62FC" w:rsidP="0015321A">
            <w:pPr>
              <w:rPr>
                <w:color w:val="000000"/>
                <w:sz w:val="18"/>
                <w:szCs w:val="18"/>
              </w:rPr>
            </w:pPr>
            <w:r>
              <w:rPr>
                <w:color w:val="000000"/>
                <w:sz w:val="18"/>
                <w:szCs w:val="18"/>
              </w:rPr>
              <w:t>R=1</w:t>
            </w:r>
          </w:p>
          <w:p w14:paraId="40B04DC2" w14:textId="77777777" w:rsidR="00CC62FC" w:rsidRDefault="00CC62FC" w:rsidP="0015321A">
            <w:pPr>
              <w:rPr>
                <w:color w:val="000000"/>
                <w:sz w:val="18"/>
                <w:szCs w:val="18"/>
              </w:rPr>
            </w:pPr>
            <w:r>
              <w:rPr>
                <w:color w:val="000000"/>
                <w:sz w:val="18"/>
                <w:szCs w:val="18"/>
              </w:rPr>
              <w:t>Supportive data</w:t>
            </w:r>
          </w:p>
        </w:tc>
      </w:tr>
      <w:tr w:rsidR="002547BB" w:rsidDel="00633492" w14:paraId="377DCDC2" w14:textId="77777777" w:rsidTr="00FE67A2">
        <w:trPr>
          <w:cantSplit/>
          <w:jc w:val="center"/>
        </w:trPr>
        <w:tc>
          <w:tcPr>
            <w:tcW w:w="447" w:type="pct"/>
            <w:vAlign w:val="center"/>
          </w:tcPr>
          <w:p w14:paraId="1722D74D" w14:textId="77777777" w:rsidR="00CC62FC" w:rsidRDefault="00CC62FC" w:rsidP="0015321A">
            <w:pPr>
              <w:rPr>
                <w:color w:val="000000"/>
                <w:sz w:val="18"/>
                <w:szCs w:val="18"/>
              </w:rPr>
            </w:pPr>
            <w:r>
              <w:rPr>
                <w:color w:val="000000"/>
                <w:sz w:val="18"/>
                <w:szCs w:val="18"/>
              </w:rPr>
              <w:t>Disinfectant, bactericidal activity</w:t>
            </w:r>
          </w:p>
        </w:tc>
        <w:tc>
          <w:tcPr>
            <w:tcW w:w="444" w:type="pct"/>
            <w:vAlign w:val="center"/>
          </w:tcPr>
          <w:p w14:paraId="2EAA6304" w14:textId="77777777" w:rsidR="00CC62FC" w:rsidRDefault="00CC62FC" w:rsidP="0015321A">
            <w:pPr>
              <w:rPr>
                <w:color w:val="000000"/>
                <w:sz w:val="18"/>
                <w:szCs w:val="18"/>
              </w:rPr>
            </w:pPr>
            <w:r>
              <w:rPr>
                <w:color w:val="000000"/>
                <w:sz w:val="18"/>
                <w:szCs w:val="18"/>
              </w:rPr>
              <w:t>Medical, institutional, industrial, healthcare facilities and food preparation and handling areas</w:t>
            </w:r>
          </w:p>
        </w:tc>
        <w:tc>
          <w:tcPr>
            <w:tcW w:w="510" w:type="pct"/>
            <w:vAlign w:val="center"/>
          </w:tcPr>
          <w:p w14:paraId="59A55337" w14:textId="77777777" w:rsidR="00CC62FC" w:rsidRDefault="00CC62FC" w:rsidP="0015321A">
            <w:pPr>
              <w:rPr>
                <w:color w:val="000000"/>
                <w:sz w:val="18"/>
                <w:szCs w:val="18"/>
              </w:rPr>
            </w:pPr>
            <w:r>
              <w:rPr>
                <w:color w:val="000000"/>
                <w:sz w:val="18"/>
                <w:szCs w:val="18"/>
              </w:rPr>
              <w:t>AL-S3-1-0</w:t>
            </w:r>
          </w:p>
          <w:p w14:paraId="367638C0" w14:textId="47987BC3" w:rsidR="00CC62FC" w:rsidRDefault="009226F8" w:rsidP="0015321A">
            <w:pPr>
              <w:rPr>
                <w:color w:val="000000"/>
                <w:sz w:val="18"/>
                <w:szCs w:val="18"/>
              </w:rPr>
            </w:pPr>
            <w:r>
              <w:rPr>
                <w:color w:val="000000"/>
                <w:sz w:val="18"/>
                <w:szCs w:val="18"/>
              </w:rPr>
              <w:t>4</w:t>
            </w:r>
            <w:r w:rsidR="00CC62FC">
              <w:rPr>
                <w:color w:val="000000"/>
                <w:sz w:val="18"/>
                <w:szCs w:val="18"/>
              </w:rPr>
              <w:t>% lactic acid</w:t>
            </w:r>
          </w:p>
        </w:tc>
        <w:tc>
          <w:tcPr>
            <w:tcW w:w="536" w:type="pct"/>
            <w:vAlign w:val="center"/>
          </w:tcPr>
          <w:p w14:paraId="706BFA6F" w14:textId="77777777" w:rsidR="00CC62FC" w:rsidRPr="00880384" w:rsidRDefault="00CC62FC" w:rsidP="0015321A">
            <w:pPr>
              <w:rPr>
                <w:i/>
                <w:color w:val="000000"/>
                <w:sz w:val="18"/>
                <w:szCs w:val="18"/>
                <w:lang w:val="fr-FR"/>
              </w:rPr>
            </w:pPr>
            <w:r w:rsidRPr="00880384">
              <w:rPr>
                <w:i/>
                <w:color w:val="000000"/>
                <w:sz w:val="18"/>
                <w:szCs w:val="18"/>
                <w:lang w:val="fr-FR"/>
              </w:rPr>
              <w:t>Pseudomonas aeruginosa</w:t>
            </w:r>
            <w:r w:rsidRPr="00880384">
              <w:rPr>
                <w:color w:val="000000"/>
                <w:sz w:val="18"/>
                <w:szCs w:val="18"/>
                <w:lang w:val="fr-FR"/>
              </w:rPr>
              <w:t xml:space="preserve"> </w:t>
            </w:r>
            <w:r w:rsidRPr="00880384">
              <w:rPr>
                <w:color w:val="000000"/>
                <w:sz w:val="18"/>
                <w:szCs w:val="18"/>
                <w:lang w:val="fr-FR"/>
              </w:rPr>
              <w:br/>
            </w:r>
            <w:r w:rsidRPr="00880384">
              <w:rPr>
                <w:i/>
                <w:color w:val="000000"/>
                <w:sz w:val="18"/>
                <w:szCs w:val="18"/>
                <w:lang w:val="fr-FR"/>
              </w:rPr>
              <w:t>Staphylococcus aureus</w:t>
            </w:r>
            <w:r w:rsidRPr="00880384">
              <w:rPr>
                <w:color w:val="000000"/>
                <w:sz w:val="18"/>
                <w:szCs w:val="18"/>
                <w:lang w:val="fr-FR"/>
              </w:rPr>
              <w:t xml:space="preserve"> </w:t>
            </w:r>
            <w:r w:rsidRPr="00880384">
              <w:rPr>
                <w:color w:val="000000"/>
                <w:sz w:val="18"/>
                <w:szCs w:val="18"/>
                <w:lang w:val="fr-FR"/>
              </w:rPr>
              <w:br/>
            </w:r>
            <w:r w:rsidRPr="00880384">
              <w:rPr>
                <w:i/>
                <w:color w:val="000000"/>
                <w:sz w:val="18"/>
                <w:szCs w:val="18"/>
                <w:lang w:val="fr-FR"/>
              </w:rPr>
              <w:t>Enterococcus hirae</w:t>
            </w:r>
            <w:r w:rsidRPr="00880384">
              <w:rPr>
                <w:color w:val="000000"/>
                <w:sz w:val="18"/>
                <w:szCs w:val="18"/>
                <w:lang w:val="fr-FR"/>
              </w:rPr>
              <w:t xml:space="preserve"> </w:t>
            </w:r>
          </w:p>
        </w:tc>
        <w:tc>
          <w:tcPr>
            <w:tcW w:w="510" w:type="pct"/>
            <w:vAlign w:val="center"/>
          </w:tcPr>
          <w:p w14:paraId="7973689C" w14:textId="77777777" w:rsidR="00CC62FC" w:rsidRDefault="00CC62FC" w:rsidP="0015321A">
            <w:pPr>
              <w:rPr>
                <w:color w:val="000000"/>
                <w:sz w:val="18"/>
                <w:szCs w:val="18"/>
              </w:rPr>
            </w:pPr>
            <w:r>
              <w:rPr>
                <w:color w:val="000000"/>
                <w:sz w:val="18"/>
                <w:szCs w:val="18"/>
              </w:rPr>
              <w:t>NF EN 13727 (2012) + A2 (December 2015)</w:t>
            </w:r>
          </w:p>
        </w:tc>
        <w:tc>
          <w:tcPr>
            <w:tcW w:w="1298" w:type="pct"/>
            <w:vAlign w:val="center"/>
          </w:tcPr>
          <w:p w14:paraId="5B812547" w14:textId="77777777" w:rsidR="00CC62FC" w:rsidRDefault="00CC62FC" w:rsidP="0015321A">
            <w:pPr>
              <w:rPr>
                <w:color w:val="000000"/>
                <w:sz w:val="18"/>
                <w:szCs w:val="18"/>
              </w:rPr>
            </w:pPr>
          </w:p>
          <w:p w14:paraId="047FF155" w14:textId="77777777" w:rsidR="00CC62FC" w:rsidRDefault="00CC62FC" w:rsidP="0015321A">
            <w:pPr>
              <w:rPr>
                <w:color w:val="000000"/>
                <w:sz w:val="18"/>
                <w:szCs w:val="18"/>
              </w:rPr>
            </w:pPr>
            <w:r>
              <w:rPr>
                <w:color w:val="000000"/>
                <w:sz w:val="18"/>
                <w:szCs w:val="18"/>
              </w:rPr>
              <w:t>Phase 2 step 1 (suspension test)</w:t>
            </w:r>
          </w:p>
          <w:p w14:paraId="3B5A09DE" w14:textId="77777777" w:rsidR="00CC62FC" w:rsidRDefault="00CC62FC" w:rsidP="0015321A">
            <w:pPr>
              <w:rPr>
                <w:color w:val="000000"/>
                <w:sz w:val="18"/>
                <w:szCs w:val="18"/>
              </w:rPr>
            </w:pPr>
            <w:r>
              <w:rPr>
                <w:color w:val="000000"/>
                <w:sz w:val="18"/>
                <w:szCs w:val="18"/>
              </w:rPr>
              <w:t>Concentrations of product tested (v/v): 1%, 20%, 40%, 80%.</w:t>
            </w:r>
          </w:p>
          <w:p w14:paraId="08396823" w14:textId="77777777" w:rsidR="00CC62FC" w:rsidRDefault="00CC62FC" w:rsidP="0015321A">
            <w:pPr>
              <w:rPr>
                <w:color w:val="000000"/>
                <w:sz w:val="18"/>
                <w:szCs w:val="18"/>
              </w:rPr>
            </w:pPr>
            <w:r>
              <w:rPr>
                <w:color w:val="000000"/>
                <w:sz w:val="18"/>
                <w:szCs w:val="18"/>
              </w:rPr>
              <w:t xml:space="preserve">Contact time: 5 minutes </w:t>
            </w:r>
          </w:p>
          <w:p w14:paraId="1D5CBC11" w14:textId="77777777" w:rsidR="00CC62FC" w:rsidRDefault="00CC62FC" w:rsidP="0015321A">
            <w:pPr>
              <w:rPr>
                <w:color w:val="000000"/>
                <w:sz w:val="18"/>
                <w:szCs w:val="18"/>
              </w:rPr>
            </w:pPr>
            <w:r>
              <w:rPr>
                <w:color w:val="000000"/>
                <w:sz w:val="18"/>
                <w:szCs w:val="18"/>
              </w:rPr>
              <w:t xml:space="preserve">Temperature: 20°C </w:t>
            </w:r>
          </w:p>
          <w:p w14:paraId="09A7983E" w14:textId="77777777" w:rsidR="00CC62FC" w:rsidRDefault="00CC62FC" w:rsidP="0015321A">
            <w:pPr>
              <w:rPr>
                <w:color w:val="000000"/>
                <w:sz w:val="18"/>
                <w:szCs w:val="18"/>
              </w:rPr>
            </w:pPr>
            <w:r>
              <w:rPr>
                <w:color w:val="000000"/>
                <w:sz w:val="18"/>
                <w:szCs w:val="18"/>
              </w:rPr>
              <w:t xml:space="preserve">Dirty conditions: 3 g/L BSA + 3 ml/l sheep erythrocytes. </w:t>
            </w:r>
          </w:p>
          <w:p w14:paraId="7D88419C" w14:textId="77777777" w:rsidR="00CC62FC" w:rsidRDefault="00CC62FC" w:rsidP="0015321A">
            <w:pPr>
              <w:rPr>
                <w:color w:val="000000"/>
                <w:sz w:val="18"/>
                <w:szCs w:val="18"/>
              </w:rPr>
            </w:pPr>
            <w:r>
              <w:rPr>
                <w:color w:val="000000"/>
                <w:sz w:val="18"/>
                <w:szCs w:val="18"/>
              </w:rPr>
              <w:t>Criteria: ≥ 5 log unit reduction</w:t>
            </w:r>
          </w:p>
        </w:tc>
        <w:tc>
          <w:tcPr>
            <w:tcW w:w="706" w:type="pct"/>
            <w:vAlign w:val="center"/>
          </w:tcPr>
          <w:p w14:paraId="6F49FBA0" w14:textId="77777777" w:rsidR="00CC62FC" w:rsidRDefault="00CC62FC" w:rsidP="0015321A">
            <w:pPr>
              <w:snapToGrid w:val="0"/>
              <w:rPr>
                <w:color w:val="000000"/>
                <w:sz w:val="18"/>
                <w:szCs w:val="18"/>
              </w:rPr>
            </w:pPr>
            <w:r>
              <w:rPr>
                <w:color w:val="000000"/>
                <w:sz w:val="18"/>
                <w:szCs w:val="18"/>
              </w:rPr>
              <w:t>Bactericidal activity demonstrated at 40 % v/v</w:t>
            </w:r>
          </w:p>
          <w:p w14:paraId="04471001" w14:textId="77777777" w:rsidR="00CC62FC" w:rsidRDefault="00CC62FC" w:rsidP="0015321A">
            <w:pPr>
              <w:rPr>
                <w:color w:val="000000"/>
                <w:sz w:val="18"/>
                <w:szCs w:val="18"/>
              </w:rPr>
            </w:pPr>
          </w:p>
        </w:tc>
        <w:tc>
          <w:tcPr>
            <w:tcW w:w="547" w:type="pct"/>
            <w:vAlign w:val="center"/>
          </w:tcPr>
          <w:p w14:paraId="353DB8FA" w14:textId="77777777" w:rsidR="00CC62FC" w:rsidRDefault="00CC62FC" w:rsidP="0015321A">
            <w:pPr>
              <w:rPr>
                <w:color w:val="000000"/>
                <w:sz w:val="18"/>
                <w:szCs w:val="18"/>
              </w:rPr>
            </w:pPr>
            <w:r>
              <w:rPr>
                <w:color w:val="000000"/>
                <w:sz w:val="18"/>
                <w:szCs w:val="18"/>
              </w:rPr>
              <w:t>Huguet N., 2018, Report No 18.CM.18-120</w:t>
            </w:r>
          </w:p>
          <w:p w14:paraId="1BEE14A8" w14:textId="77777777" w:rsidR="00CC62FC" w:rsidRDefault="00CC62FC" w:rsidP="0015321A">
            <w:pPr>
              <w:rPr>
                <w:color w:val="000000"/>
                <w:sz w:val="18"/>
                <w:szCs w:val="18"/>
              </w:rPr>
            </w:pPr>
          </w:p>
          <w:p w14:paraId="179B2F99" w14:textId="77777777" w:rsidR="00CC62FC" w:rsidRDefault="00CC62FC" w:rsidP="0015321A">
            <w:pPr>
              <w:rPr>
                <w:color w:val="000000"/>
                <w:sz w:val="18"/>
                <w:szCs w:val="18"/>
              </w:rPr>
            </w:pPr>
            <w:r>
              <w:rPr>
                <w:color w:val="000000"/>
                <w:sz w:val="18"/>
                <w:szCs w:val="18"/>
              </w:rPr>
              <w:t>R=1</w:t>
            </w:r>
          </w:p>
        </w:tc>
      </w:tr>
      <w:tr w:rsidR="002547BB" w:rsidDel="00633492" w14:paraId="3E5B745C" w14:textId="77777777" w:rsidTr="00FE67A2">
        <w:trPr>
          <w:cantSplit/>
          <w:jc w:val="center"/>
        </w:trPr>
        <w:tc>
          <w:tcPr>
            <w:tcW w:w="447" w:type="pct"/>
            <w:vAlign w:val="center"/>
          </w:tcPr>
          <w:p w14:paraId="704B68C2" w14:textId="77777777" w:rsidR="00CC62FC" w:rsidRDefault="00CC62FC" w:rsidP="0015321A">
            <w:pPr>
              <w:rPr>
                <w:color w:val="000000"/>
                <w:sz w:val="18"/>
                <w:szCs w:val="18"/>
              </w:rPr>
            </w:pPr>
            <w:r>
              <w:rPr>
                <w:color w:val="000000"/>
                <w:sz w:val="18"/>
                <w:szCs w:val="18"/>
              </w:rPr>
              <w:t>Disinfectant, yeasticidal activity</w:t>
            </w:r>
          </w:p>
        </w:tc>
        <w:tc>
          <w:tcPr>
            <w:tcW w:w="444" w:type="pct"/>
            <w:vAlign w:val="center"/>
          </w:tcPr>
          <w:p w14:paraId="17FEE027" w14:textId="77777777" w:rsidR="00CC62FC" w:rsidRDefault="00CC62FC" w:rsidP="0015321A">
            <w:pPr>
              <w:rPr>
                <w:color w:val="000000"/>
                <w:sz w:val="18"/>
                <w:szCs w:val="18"/>
              </w:rPr>
            </w:pPr>
            <w:r>
              <w:rPr>
                <w:color w:val="000000"/>
                <w:sz w:val="18"/>
                <w:szCs w:val="18"/>
              </w:rPr>
              <w:t>Domestic, institutional, industrial, healthcare facilities and food preparation and handling areas</w:t>
            </w:r>
          </w:p>
        </w:tc>
        <w:tc>
          <w:tcPr>
            <w:tcW w:w="510" w:type="pct"/>
            <w:vAlign w:val="center"/>
          </w:tcPr>
          <w:p w14:paraId="27E9ED72" w14:textId="77777777" w:rsidR="00CC62FC" w:rsidRDefault="00CC62FC" w:rsidP="0015321A">
            <w:pPr>
              <w:rPr>
                <w:color w:val="000000"/>
                <w:sz w:val="18"/>
                <w:szCs w:val="18"/>
              </w:rPr>
            </w:pPr>
            <w:r>
              <w:rPr>
                <w:color w:val="000000"/>
                <w:sz w:val="18"/>
                <w:szCs w:val="18"/>
              </w:rPr>
              <w:t>AL-S2-1-0</w:t>
            </w:r>
          </w:p>
          <w:p w14:paraId="5446E782" w14:textId="444C4F1D" w:rsidR="00CC62FC" w:rsidRDefault="002B7590" w:rsidP="00FD60FF">
            <w:pPr>
              <w:rPr>
                <w:color w:val="000000"/>
                <w:sz w:val="18"/>
                <w:szCs w:val="18"/>
              </w:rPr>
            </w:pPr>
            <w:r>
              <w:rPr>
                <w:color w:val="000000"/>
                <w:sz w:val="18"/>
                <w:szCs w:val="18"/>
              </w:rPr>
              <w:t>3</w:t>
            </w:r>
            <w:r w:rsidR="00CC62FC">
              <w:rPr>
                <w:color w:val="000000"/>
                <w:sz w:val="18"/>
                <w:szCs w:val="18"/>
              </w:rPr>
              <w:t>% lactic acid</w:t>
            </w:r>
          </w:p>
        </w:tc>
        <w:tc>
          <w:tcPr>
            <w:tcW w:w="536" w:type="pct"/>
            <w:vAlign w:val="center"/>
          </w:tcPr>
          <w:p w14:paraId="3F2C4FCD" w14:textId="77777777" w:rsidR="00CC62FC" w:rsidRPr="005D3939" w:rsidRDefault="00CC62FC"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10" w:type="pct"/>
            <w:vAlign w:val="center"/>
          </w:tcPr>
          <w:p w14:paraId="21FE42B1" w14:textId="77777777" w:rsidR="00CC62FC" w:rsidRDefault="00CC62FC" w:rsidP="0015321A">
            <w:pPr>
              <w:rPr>
                <w:color w:val="000000"/>
                <w:sz w:val="18"/>
                <w:szCs w:val="18"/>
              </w:rPr>
            </w:pPr>
            <w:r>
              <w:rPr>
                <w:color w:val="000000"/>
                <w:sz w:val="18"/>
                <w:szCs w:val="18"/>
              </w:rPr>
              <w:t>NF EN 1650 (2008) + A1 (July 2013)</w:t>
            </w:r>
          </w:p>
        </w:tc>
        <w:tc>
          <w:tcPr>
            <w:tcW w:w="1298" w:type="pct"/>
            <w:vAlign w:val="center"/>
          </w:tcPr>
          <w:p w14:paraId="32514443" w14:textId="77777777" w:rsidR="00CC62FC" w:rsidRDefault="00CC62FC" w:rsidP="0015321A">
            <w:pPr>
              <w:rPr>
                <w:color w:val="000000"/>
                <w:sz w:val="18"/>
                <w:szCs w:val="18"/>
              </w:rPr>
            </w:pPr>
            <w:r>
              <w:rPr>
                <w:color w:val="000000"/>
                <w:sz w:val="18"/>
                <w:szCs w:val="18"/>
              </w:rPr>
              <w:t>Phase 2 step 1 (suspension test)</w:t>
            </w:r>
          </w:p>
          <w:p w14:paraId="72B48E83" w14:textId="77777777" w:rsidR="00CC62FC" w:rsidRDefault="00CC62FC" w:rsidP="0015321A">
            <w:pPr>
              <w:rPr>
                <w:color w:val="000000"/>
                <w:sz w:val="18"/>
                <w:szCs w:val="18"/>
              </w:rPr>
            </w:pPr>
            <w:r>
              <w:rPr>
                <w:color w:val="000000"/>
                <w:sz w:val="18"/>
                <w:szCs w:val="18"/>
              </w:rPr>
              <w:t>Concentrations of product tested (v/v): 20%, 40%, 80%</w:t>
            </w:r>
          </w:p>
          <w:p w14:paraId="13CC1F12" w14:textId="343DAC67" w:rsidR="00CC62FC" w:rsidRDefault="00CC62FC" w:rsidP="0015321A">
            <w:pPr>
              <w:rPr>
                <w:color w:val="000000"/>
                <w:sz w:val="18"/>
                <w:szCs w:val="18"/>
              </w:rPr>
            </w:pPr>
            <w:r>
              <w:rPr>
                <w:color w:val="000000"/>
                <w:sz w:val="18"/>
                <w:szCs w:val="18"/>
              </w:rPr>
              <w:t xml:space="preserve">Contact time:15 min </w:t>
            </w:r>
          </w:p>
          <w:p w14:paraId="18D0A32C" w14:textId="77777777" w:rsidR="00CC62FC" w:rsidRDefault="00CC62FC" w:rsidP="0015321A">
            <w:pPr>
              <w:rPr>
                <w:color w:val="000000"/>
                <w:sz w:val="18"/>
                <w:szCs w:val="18"/>
              </w:rPr>
            </w:pPr>
            <w:r>
              <w:rPr>
                <w:color w:val="000000"/>
                <w:sz w:val="18"/>
                <w:szCs w:val="18"/>
              </w:rPr>
              <w:t xml:space="preserve">Temperature: 20°C </w:t>
            </w:r>
          </w:p>
          <w:p w14:paraId="17109A37" w14:textId="77777777" w:rsidR="00CC62FC" w:rsidRDefault="00CC62FC" w:rsidP="0015321A">
            <w:pPr>
              <w:rPr>
                <w:color w:val="000000"/>
                <w:sz w:val="18"/>
                <w:szCs w:val="18"/>
              </w:rPr>
            </w:pPr>
            <w:r>
              <w:rPr>
                <w:color w:val="000000"/>
                <w:sz w:val="18"/>
                <w:szCs w:val="18"/>
              </w:rPr>
              <w:t>Dirty conditions: 3 g/L BSA.</w:t>
            </w:r>
          </w:p>
          <w:p w14:paraId="72F8F18A" w14:textId="77777777" w:rsidR="00CC62FC" w:rsidRDefault="00CC62FC" w:rsidP="0015321A">
            <w:pPr>
              <w:rPr>
                <w:color w:val="000000"/>
                <w:sz w:val="18"/>
                <w:szCs w:val="18"/>
              </w:rPr>
            </w:pPr>
            <w:r>
              <w:rPr>
                <w:color w:val="000000"/>
                <w:sz w:val="18"/>
                <w:szCs w:val="18"/>
              </w:rPr>
              <w:t>Criteria: ≥ 4 log unit reduction</w:t>
            </w:r>
          </w:p>
        </w:tc>
        <w:tc>
          <w:tcPr>
            <w:tcW w:w="706" w:type="pct"/>
            <w:vAlign w:val="center"/>
          </w:tcPr>
          <w:p w14:paraId="535738DD" w14:textId="77777777" w:rsidR="00CC62FC" w:rsidRDefault="00CC62FC" w:rsidP="0015321A">
            <w:pPr>
              <w:snapToGrid w:val="0"/>
              <w:rPr>
                <w:color w:val="000000"/>
                <w:sz w:val="18"/>
                <w:szCs w:val="18"/>
              </w:rPr>
            </w:pPr>
            <w:r>
              <w:rPr>
                <w:color w:val="000000"/>
                <w:sz w:val="18"/>
                <w:szCs w:val="18"/>
              </w:rPr>
              <w:t>Yeasticidal activity demonstrated at 40 % v/v</w:t>
            </w:r>
          </w:p>
          <w:p w14:paraId="542D4855" w14:textId="77777777" w:rsidR="00CC62FC" w:rsidRDefault="00CC62FC" w:rsidP="0015321A">
            <w:pPr>
              <w:rPr>
                <w:color w:val="000000"/>
                <w:sz w:val="18"/>
                <w:szCs w:val="18"/>
              </w:rPr>
            </w:pPr>
          </w:p>
        </w:tc>
        <w:tc>
          <w:tcPr>
            <w:tcW w:w="547" w:type="pct"/>
            <w:vAlign w:val="center"/>
          </w:tcPr>
          <w:p w14:paraId="683CBABF" w14:textId="77777777" w:rsidR="00CC62FC" w:rsidRDefault="00CC62FC" w:rsidP="0015321A">
            <w:pPr>
              <w:rPr>
                <w:color w:val="000000"/>
                <w:sz w:val="18"/>
                <w:szCs w:val="18"/>
              </w:rPr>
            </w:pPr>
            <w:r>
              <w:rPr>
                <w:color w:val="000000"/>
                <w:sz w:val="18"/>
                <w:szCs w:val="18"/>
              </w:rPr>
              <w:t>Huguet N., 2019, Report No 18.CM.18-015</w:t>
            </w:r>
          </w:p>
          <w:p w14:paraId="7CD5115E" w14:textId="77777777" w:rsidR="00CC62FC" w:rsidRDefault="00CC62FC" w:rsidP="0015321A">
            <w:pPr>
              <w:rPr>
                <w:color w:val="000000"/>
                <w:sz w:val="18"/>
                <w:szCs w:val="18"/>
              </w:rPr>
            </w:pPr>
          </w:p>
          <w:p w14:paraId="15083724" w14:textId="77777777" w:rsidR="00CC62FC" w:rsidRDefault="00CC62FC" w:rsidP="0015321A">
            <w:pPr>
              <w:rPr>
                <w:color w:val="000000"/>
                <w:sz w:val="18"/>
                <w:szCs w:val="18"/>
              </w:rPr>
            </w:pPr>
            <w:r>
              <w:rPr>
                <w:color w:val="000000"/>
                <w:sz w:val="18"/>
                <w:szCs w:val="18"/>
              </w:rPr>
              <w:t>R=1</w:t>
            </w:r>
          </w:p>
          <w:p w14:paraId="77381A72" w14:textId="77777777" w:rsidR="00CC62FC" w:rsidRDefault="00CC62FC" w:rsidP="0015321A">
            <w:pPr>
              <w:rPr>
                <w:color w:val="000000"/>
                <w:sz w:val="18"/>
                <w:szCs w:val="18"/>
              </w:rPr>
            </w:pPr>
            <w:r>
              <w:rPr>
                <w:color w:val="000000"/>
                <w:sz w:val="18"/>
                <w:szCs w:val="18"/>
              </w:rPr>
              <w:t>Supportive data</w:t>
            </w:r>
          </w:p>
        </w:tc>
      </w:tr>
      <w:tr w:rsidR="002547BB" w:rsidDel="00633492" w14:paraId="14563B1A" w14:textId="77777777" w:rsidTr="00FE67A2">
        <w:trPr>
          <w:cantSplit/>
          <w:jc w:val="center"/>
        </w:trPr>
        <w:tc>
          <w:tcPr>
            <w:tcW w:w="447" w:type="pct"/>
            <w:vAlign w:val="center"/>
          </w:tcPr>
          <w:p w14:paraId="558BCB75" w14:textId="77777777" w:rsidR="00CC62FC" w:rsidRDefault="00CC62FC" w:rsidP="0015321A">
            <w:pPr>
              <w:rPr>
                <w:color w:val="000000"/>
                <w:sz w:val="18"/>
                <w:szCs w:val="18"/>
              </w:rPr>
            </w:pPr>
            <w:r>
              <w:rPr>
                <w:color w:val="000000"/>
                <w:sz w:val="18"/>
                <w:szCs w:val="18"/>
              </w:rPr>
              <w:lastRenderedPageBreak/>
              <w:t>Disinfectant, yeasticidal activity</w:t>
            </w:r>
          </w:p>
        </w:tc>
        <w:tc>
          <w:tcPr>
            <w:tcW w:w="444" w:type="pct"/>
            <w:vAlign w:val="center"/>
          </w:tcPr>
          <w:p w14:paraId="6F091FC4" w14:textId="77777777" w:rsidR="00CC62FC" w:rsidRDefault="00CC62FC" w:rsidP="0015321A">
            <w:pPr>
              <w:rPr>
                <w:color w:val="000000"/>
                <w:sz w:val="18"/>
                <w:szCs w:val="18"/>
              </w:rPr>
            </w:pPr>
            <w:r>
              <w:rPr>
                <w:color w:val="000000"/>
                <w:sz w:val="18"/>
                <w:szCs w:val="18"/>
              </w:rPr>
              <w:t>Medical, institutional, industrial, healthcare facilities and food preparation and handling areas</w:t>
            </w:r>
          </w:p>
        </w:tc>
        <w:tc>
          <w:tcPr>
            <w:tcW w:w="510" w:type="pct"/>
            <w:vAlign w:val="center"/>
          </w:tcPr>
          <w:p w14:paraId="4C14A15B" w14:textId="77777777" w:rsidR="00CC62FC" w:rsidRDefault="00CC62FC" w:rsidP="0015321A">
            <w:pPr>
              <w:rPr>
                <w:color w:val="000000"/>
                <w:sz w:val="18"/>
                <w:szCs w:val="18"/>
              </w:rPr>
            </w:pPr>
            <w:r>
              <w:rPr>
                <w:color w:val="000000"/>
                <w:sz w:val="18"/>
                <w:szCs w:val="18"/>
              </w:rPr>
              <w:t>AL-S3-1-0</w:t>
            </w:r>
          </w:p>
          <w:p w14:paraId="4E7F0357" w14:textId="7C3D85F1" w:rsidR="00CC62FC" w:rsidRDefault="003E375C" w:rsidP="0015321A">
            <w:pPr>
              <w:rPr>
                <w:color w:val="000000"/>
                <w:sz w:val="18"/>
                <w:szCs w:val="18"/>
              </w:rPr>
            </w:pPr>
            <w:r>
              <w:rPr>
                <w:color w:val="000000"/>
                <w:sz w:val="18"/>
                <w:szCs w:val="18"/>
              </w:rPr>
              <w:t>4</w:t>
            </w:r>
            <w:r w:rsidR="00CC62FC">
              <w:rPr>
                <w:color w:val="000000"/>
                <w:sz w:val="18"/>
                <w:szCs w:val="18"/>
              </w:rPr>
              <w:t>% lactic acid</w:t>
            </w:r>
          </w:p>
        </w:tc>
        <w:tc>
          <w:tcPr>
            <w:tcW w:w="536" w:type="pct"/>
            <w:vAlign w:val="center"/>
          </w:tcPr>
          <w:p w14:paraId="79AFEDEE" w14:textId="77777777" w:rsidR="00CC62FC" w:rsidRPr="005D3939" w:rsidRDefault="00CC62FC"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10" w:type="pct"/>
            <w:vAlign w:val="center"/>
          </w:tcPr>
          <w:p w14:paraId="6D47AEAE" w14:textId="77777777" w:rsidR="00CC62FC" w:rsidRDefault="00CC62FC" w:rsidP="0015321A">
            <w:pPr>
              <w:rPr>
                <w:color w:val="000000"/>
                <w:sz w:val="18"/>
                <w:szCs w:val="18"/>
              </w:rPr>
            </w:pPr>
            <w:r>
              <w:rPr>
                <w:color w:val="000000"/>
                <w:sz w:val="18"/>
                <w:szCs w:val="18"/>
              </w:rPr>
              <w:t>NF EN 13624 (November 2013)</w:t>
            </w:r>
          </w:p>
        </w:tc>
        <w:tc>
          <w:tcPr>
            <w:tcW w:w="1298" w:type="pct"/>
            <w:vAlign w:val="center"/>
          </w:tcPr>
          <w:p w14:paraId="720546B7" w14:textId="77777777" w:rsidR="00CC62FC" w:rsidRDefault="00CC62FC" w:rsidP="0015321A">
            <w:pPr>
              <w:rPr>
                <w:color w:val="000000"/>
                <w:sz w:val="18"/>
                <w:szCs w:val="18"/>
              </w:rPr>
            </w:pPr>
            <w:r>
              <w:rPr>
                <w:color w:val="000000"/>
                <w:sz w:val="18"/>
                <w:szCs w:val="18"/>
              </w:rPr>
              <w:t>Phase 2 step 1 (suspension test)</w:t>
            </w:r>
          </w:p>
          <w:p w14:paraId="4F76BDE9" w14:textId="77777777" w:rsidR="00CC62FC" w:rsidRDefault="00CC62FC" w:rsidP="0015321A">
            <w:pPr>
              <w:rPr>
                <w:color w:val="000000"/>
                <w:sz w:val="18"/>
                <w:szCs w:val="18"/>
              </w:rPr>
            </w:pPr>
            <w:r>
              <w:rPr>
                <w:color w:val="000000"/>
                <w:sz w:val="18"/>
                <w:szCs w:val="18"/>
              </w:rPr>
              <w:t xml:space="preserve">Concentrations of product tested (v/v): 1%, 40%, 80%. </w:t>
            </w:r>
          </w:p>
          <w:p w14:paraId="19606EFC" w14:textId="5F2B0465" w:rsidR="00CC62FC" w:rsidRDefault="00CC62FC" w:rsidP="0015321A">
            <w:pPr>
              <w:rPr>
                <w:color w:val="000000"/>
                <w:sz w:val="18"/>
                <w:szCs w:val="18"/>
              </w:rPr>
            </w:pPr>
            <w:r>
              <w:rPr>
                <w:color w:val="000000"/>
                <w:sz w:val="18"/>
                <w:szCs w:val="18"/>
              </w:rPr>
              <w:t xml:space="preserve">Contact time: 5 minutes </w:t>
            </w:r>
          </w:p>
          <w:p w14:paraId="238E7D22" w14:textId="77777777" w:rsidR="00CC62FC" w:rsidRDefault="00CC62FC" w:rsidP="0015321A">
            <w:pPr>
              <w:rPr>
                <w:color w:val="000000"/>
                <w:sz w:val="18"/>
                <w:szCs w:val="18"/>
              </w:rPr>
            </w:pPr>
            <w:r>
              <w:rPr>
                <w:color w:val="000000"/>
                <w:sz w:val="18"/>
                <w:szCs w:val="18"/>
              </w:rPr>
              <w:t>Temperature: 20°C</w:t>
            </w:r>
          </w:p>
          <w:p w14:paraId="2C63550C" w14:textId="77777777" w:rsidR="00CC62FC" w:rsidRDefault="00CC62FC" w:rsidP="0015321A">
            <w:pPr>
              <w:rPr>
                <w:color w:val="000000"/>
                <w:sz w:val="18"/>
                <w:szCs w:val="18"/>
              </w:rPr>
            </w:pPr>
            <w:r>
              <w:rPr>
                <w:color w:val="000000"/>
                <w:sz w:val="18"/>
                <w:szCs w:val="18"/>
              </w:rPr>
              <w:t xml:space="preserve">Dirty conditions: 3 g/L + 3 ml/l sheep erythrocytes </w:t>
            </w:r>
          </w:p>
          <w:p w14:paraId="79C28313" w14:textId="77777777" w:rsidR="00CC62FC" w:rsidRDefault="00CC62FC" w:rsidP="0015321A">
            <w:pPr>
              <w:rPr>
                <w:color w:val="000000"/>
                <w:sz w:val="18"/>
                <w:szCs w:val="18"/>
              </w:rPr>
            </w:pPr>
            <w:r>
              <w:rPr>
                <w:color w:val="000000"/>
                <w:sz w:val="18"/>
                <w:szCs w:val="18"/>
              </w:rPr>
              <w:t>Criteria: ≥ 4 log unit reduction</w:t>
            </w:r>
          </w:p>
        </w:tc>
        <w:tc>
          <w:tcPr>
            <w:tcW w:w="706" w:type="pct"/>
            <w:vAlign w:val="center"/>
          </w:tcPr>
          <w:p w14:paraId="362B6850" w14:textId="77777777" w:rsidR="00CC62FC" w:rsidRDefault="00CC62FC" w:rsidP="0015321A">
            <w:pPr>
              <w:snapToGrid w:val="0"/>
              <w:rPr>
                <w:color w:val="000000"/>
                <w:sz w:val="18"/>
                <w:szCs w:val="18"/>
              </w:rPr>
            </w:pPr>
            <w:r>
              <w:rPr>
                <w:color w:val="000000"/>
                <w:sz w:val="18"/>
                <w:szCs w:val="18"/>
              </w:rPr>
              <w:t>Yeasticidal activity demonstrated at 40 % v/v</w:t>
            </w:r>
          </w:p>
          <w:p w14:paraId="3A4D9B02" w14:textId="77777777" w:rsidR="00CC62FC" w:rsidRDefault="00CC62FC" w:rsidP="0015321A">
            <w:pPr>
              <w:rPr>
                <w:color w:val="000000"/>
                <w:sz w:val="18"/>
                <w:szCs w:val="18"/>
              </w:rPr>
            </w:pPr>
          </w:p>
        </w:tc>
        <w:tc>
          <w:tcPr>
            <w:tcW w:w="547" w:type="pct"/>
            <w:vAlign w:val="center"/>
          </w:tcPr>
          <w:p w14:paraId="4E405C50" w14:textId="77777777" w:rsidR="00CC62FC" w:rsidRDefault="00CC62FC" w:rsidP="0015321A">
            <w:pPr>
              <w:rPr>
                <w:color w:val="000000"/>
                <w:sz w:val="18"/>
                <w:szCs w:val="18"/>
              </w:rPr>
            </w:pPr>
            <w:r>
              <w:rPr>
                <w:color w:val="000000"/>
                <w:sz w:val="18"/>
                <w:szCs w:val="18"/>
              </w:rPr>
              <w:t>Huguet N., 2018, Report No 18.CM.18-137</w:t>
            </w:r>
          </w:p>
          <w:p w14:paraId="162258EF" w14:textId="77777777" w:rsidR="00CC62FC" w:rsidRDefault="00CC62FC" w:rsidP="0015321A">
            <w:pPr>
              <w:rPr>
                <w:color w:val="000000"/>
                <w:sz w:val="18"/>
                <w:szCs w:val="18"/>
              </w:rPr>
            </w:pPr>
          </w:p>
          <w:p w14:paraId="3EBA8392" w14:textId="77777777" w:rsidR="00CC62FC" w:rsidRDefault="00CC62FC" w:rsidP="0015321A">
            <w:pPr>
              <w:rPr>
                <w:color w:val="000000"/>
                <w:sz w:val="18"/>
                <w:szCs w:val="18"/>
              </w:rPr>
            </w:pPr>
            <w:r>
              <w:rPr>
                <w:color w:val="000000"/>
                <w:sz w:val="18"/>
                <w:szCs w:val="18"/>
              </w:rPr>
              <w:t>R=1</w:t>
            </w:r>
          </w:p>
        </w:tc>
      </w:tr>
      <w:tr w:rsidR="002547BB" w14:paraId="1FAA1941" w14:textId="77777777" w:rsidTr="00FE67A2">
        <w:trPr>
          <w:cantSplit/>
          <w:jc w:val="center"/>
        </w:trPr>
        <w:tc>
          <w:tcPr>
            <w:tcW w:w="447" w:type="pct"/>
            <w:vAlign w:val="center"/>
          </w:tcPr>
          <w:p w14:paraId="4B261DBA" w14:textId="77777777" w:rsidR="00CC62FC" w:rsidRPr="00FD2055" w:rsidRDefault="00CC62FC" w:rsidP="0015321A">
            <w:pPr>
              <w:rPr>
                <w:i/>
                <w:color w:val="000000"/>
                <w:sz w:val="18"/>
                <w:szCs w:val="18"/>
              </w:rPr>
            </w:pPr>
            <w:r>
              <w:rPr>
                <w:color w:val="000000"/>
                <w:sz w:val="18"/>
                <w:szCs w:val="18"/>
              </w:rPr>
              <w:t>Disinfectant, bactericidal and yeasticidal activities</w:t>
            </w:r>
          </w:p>
        </w:tc>
        <w:tc>
          <w:tcPr>
            <w:tcW w:w="444" w:type="pct"/>
            <w:vAlign w:val="center"/>
          </w:tcPr>
          <w:p w14:paraId="104F34C7" w14:textId="77777777" w:rsidR="00CC62FC" w:rsidRPr="00FD2055" w:rsidRDefault="00CC62FC" w:rsidP="0015321A">
            <w:pPr>
              <w:rPr>
                <w:i/>
                <w:color w:val="000000"/>
                <w:sz w:val="18"/>
                <w:szCs w:val="18"/>
              </w:rPr>
            </w:pPr>
            <w:r>
              <w:rPr>
                <w:color w:val="000000"/>
                <w:sz w:val="18"/>
                <w:szCs w:val="18"/>
              </w:rPr>
              <w:t>Medical, institutional, industrial, healthcare facilities and food preparation and handling areas</w:t>
            </w:r>
          </w:p>
        </w:tc>
        <w:tc>
          <w:tcPr>
            <w:tcW w:w="510" w:type="pct"/>
            <w:vAlign w:val="center"/>
          </w:tcPr>
          <w:p w14:paraId="49A85F5A" w14:textId="77777777" w:rsidR="00CC62FC" w:rsidRDefault="00CC62FC" w:rsidP="0015321A">
            <w:pPr>
              <w:rPr>
                <w:color w:val="000000"/>
                <w:sz w:val="18"/>
                <w:szCs w:val="18"/>
              </w:rPr>
            </w:pPr>
            <w:r>
              <w:rPr>
                <w:color w:val="000000"/>
                <w:sz w:val="18"/>
                <w:szCs w:val="18"/>
              </w:rPr>
              <w:t>AL-S3-1-0</w:t>
            </w:r>
          </w:p>
          <w:p w14:paraId="5B5EEE37" w14:textId="219B2C1D" w:rsidR="00CC62FC" w:rsidRPr="00FD2055" w:rsidRDefault="009226F8" w:rsidP="0015321A">
            <w:pPr>
              <w:rPr>
                <w:i/>
                <w:color w:val="000000"/>
                <w:sz w:val="18"/>
                <w:szCs w:val="18"/>
              </w:rPr>
            </w:pPr>
            <w:r>
              <w:rPr>
                <w:color w:val="000000"/>
                <w:sz w:val="18"/>
                <w:szCs w:val="18"/>
              </w:rPr>
              <w:t>4</w:t>
            </w:r>
            <w:r w:rsidR="00CC62FC">
              <w:rPr>
                <w:color w:val="000000"/>
                <w:sz w:val="18"/>
                <w:szCs w:val="18"/>
              </w:rPr>
              <w:t>% lactic acid</w:t>
            </w:r>
          </w:p>
        </w:tc>
        <w:tc>
          <w:tcPr>
            <w:tcW w:w="536" w:type="pct"/>
            <w:vAlign w:val="center"/>
          </w:tcPr>
          <w:p w14:paraId="63E58ABF" w14:textId="77777777" w:rsidR="00CC62FC" w:rsidRPr="00AF1A0E" w:rsidRDefault="00CC62FC" w:rsidP="0015321A">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Staphylococcus aureus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Candida albicans</w:t>
            </w:r>
            <w:r w:rsidRPr="00AF1A0E">
              <w:rPr>
                <w:color w:val="000000"/>
                <w:sz w:val="18"/>
                <w:szCs w:val="18"/>
                <w:lang w:val="fr-FR"/>
              </w:rPr>
              <w:t xml:space="preserve"> </w:t>
            </w:r>
          </w:p>
        </w:tc>
        <w:tc>
          <w:tcPr>
            <w:tcW w:w="510" w:type="pct"/>
            <w:vAlign w:val="center"/>
          </w:tcPr>
          <w:p w14:paraId="7808A843" w14:textId="77777777" w:rsidR="00CC62FC" w:rsidRPr="00FD2055" w:rsidRDefault="00CC62FC" w:rsidP="0015321A">
            <w:pPr>
              <w:rPr>
                <w:color w:val="000000"/>
                <w:sz w:val="18"/>
                <w:szCs w:val="18"/>
              </w:rPr>
            </w:pPr>
            <w:r>
              <w:rPr>
                <w:color w:val="000000"/>
                <w:sz w:val="18"/>
                <w:szCs w:val="18"/>
              </w:rPr>
              <w:t>NF EN 16615 (May 2015)</w:t>
            </w:r>
          </w:p>
        </w:tc>
        <w:tc>
          <w:tcPr>
            <w:tcW w:w="1298" w:type="pct"/>
            <w:vAlign w:val="center"/>
          </w:tcPr>
          <w:p w14:paraId="7F2BFB3C" w14:textId="77777777" w:rsidR="00CC62FC" w:rsidRDefault="00CC62FC" w:rsidP="0015321A">
            <w:pPr>
              <w:rPr>
                <w:color w:val="000000"/>
                <w:sz w:val="18"/>
                <w:szCs w:val="18"/>
              </w:rPr>
            </w:pPr>
          </w:p>
          <w:p w14:paraId="55523863" w14:textId="77777777" w:rsidR="00CC62FC" w:rsidRDefault="00CC62FC" w:rsidP="0015321A">
            <w:pPr>
              <w:rPr>
                <w:color w:val="000000"/>
                <w:sz w:val="18"/>
                <w:szCs w:val="18"/>
              </w:rPr>
            </w:pPr>
            <w:r>
              <w:rPr>
                <w:color w:val="000000"/>
                <w:sz w:val="18"/>
                <w:szCs w:val="18"/>
              </w:rPr>
              <w:t>Phase 2 step 2 (surface test)</w:t>
            </w:r>
          </w:p>
          <w:p w14:paraId="4E4A1717" w14:textId="77777777" w:rsidR="00CC62FC" w:rsidRDefault="00CC62FC" w:rsidP="0015321A">
            <w:pPr>
              <w:rPr>
                <w:color w:val="000000"/>
                <w:sz w:val="18"/>
                <w:szCs w:val="18"/>
              </w:rPr>
            </w:pPr>
            <w:r>
              <w:rPr>
                <w:color w:val="000000"/>
                <w:sz w:val="18"/>
                <w:szCs w:val="18"/>
              </w:rPr>
              <w:t xml:space="preserve">Concentrations of product tested (v/v): 100%, 10% </w:t>
            </w:r>
            <w:r w:rsidRPr="00F0256C">
              <w:rPr>
                <w:color w:val="000000"/>
                <w:sz w:val="18"/>
                <w:szCs w:val="18"/>
              </w:rPr>
              <w:t>on the wipe required with an impregnation rate of 16 g</w:t>
            </w:r>
            <w:r w:rsidRPr="0095205F">
              <w:rPr>
                <w:color w:val="000000"/>
                <w:sz w:val="18"/>
                <w:szCs w:val="18"/>
              </w:rPr>
              <w:t>.</w:t>
            </w:r>
          </w:p>
          <w:p w14:paraId="0B64A121" w14:textId="52EDDABD" w:rsidR="00CC62FC" w:rsidRDefault="00CC62FC" w:rsidP="0015321A">
            <w:pPr>
              <w:rPr>
                <w:color w:val="000000"/>
                <w:sz w:val="18"/>
                <w:szCs w:val="18"/>
              </w:rPr>
            </w:pPr>
            <w:r>
              <w:rPr>
                <w:color w:val="000000"/>
                <w:sz w:val="18"/>
                <w:szCs w:val="18"/>
              </w:rPr>
              <w:t xml:space="preserve">Contact time: 5 minutes </w:t>
            </w:r>
          </w:p>
          <w:p w14:paraId="2E862550" w14:textId="77777777" w:rsidR="00CC62FC" w:rsidRDefault="00CC62FC" w:rsidP="0015321A">
            <w:pPr>
              <w:rPr>
                <w:color w:val="000000"/>
                <w:sz w:val="18"/>
                <w:szCs w:val="18"/>
              </w:rPr>
            </w:pPr>
            <w:r>
              <w:rPr>
                <w:color w:val="000000"/>
                <w:sz w:val="18"/>
                <w:szCs w:val="18"/>
              </w:rPr>
              <w:t>Temperature: 20°C</w:t>
            </w:r>
          </w:p>
          <w:p w14:paraId="6B523BFC" w14:textId="77777777" w:rsidR="00CC62FC" w:rsidRDefault="00CC62FC" w:rsidP="0015321A">
            <w:pPr>
              <w:rPr>
                <w:color w:val="000000"/>
                <w:sz w:val="18"/>
                <w:szCs w:val="18"/>
              </w:rPr>
            </w:pPr>
            <w:r>
              <w:rPr>
                <w:color w:val="000000"/>
                <w:sz w:val="18"/>
                <w:szCs w:val="18"/>
              </w:rPr>
              <w:t xml:space="preserve">Dirty conditions: 3 g/L BSA + 3 ml/l sheep erythrocytes </w:t>
            </w:r>
          </w:p>
          <w:p w14:paraId="4CD42F27" w14:textId="17004DEA" w:rsidR="00CC62FC" w:rsidRPr="00FD2055" w:rsidRDefault="00CC62FC" w:rsidP="0015321A">
            <w:pPr>
              <w:rPr>
                <w:color w:val="000000"/>
                <w:sz w:val="18"/>
                <w:szCs w:val="18"/>
              </w:rPr>
            </w:pPr>
            <w:r>
              <w:rPr>
                <w:color w:val="000000"/>
                <w:sz w:val="18"/>
                <w:szCs w:val="18"/>
              </w:rPr>
              <w:t>Criteria: ≥ 5 log unit reduction for bacteria and &gt;</w:t>
            </w:r>
            <w:r w:rsidR="001B3D89">
              <w:rPr>
                <w:color w:val="000000"/>
                <w:sz w:val="18"/>
                <w:szCs w:val="18"/>
              </w:rPr>
              <w:t xml:space="preserve"> </w:t>
            </w:r>
            <w:r>
              <w:rPr>
                <w:color w:val="000000"/>
                <w:sz w:val="18"/>
                <w:szCs w:val="18"/>
              </w:rPr>
              <w:t>4log reduction for yeast</w:t>
            </w:r>
          </w:p>
        </w:tc>
        <w:tc>
          <w:tcPr>
            <w:tcW w:w="706" w:type="pct"/>
            <w:vAlign w:val="center"/>
          </w:tcPr>
          <w:p w14:paraId="0321C7B5" w14:textId="77777777" w:rsidR="00CC62FC" w:rsidRDefault="00CC62FC" w:rsidP="0015321A">
            <w:pPr>
              <w:rPr>
                <w:color w:val="000000"/>
                <w:sz w:val="18"/>
                <w:szCs w:val="18"/>
              </w:rPr>
            </w:pPr>
          </w:p>
          <w:p w14:paraId="41F72ABE" w14:textId="77777777" w:rsidR="00CC62FC" w:rsidRDefault="00CC62FC" w:rsidP="0015321A">
            <w:pPr>
              <w:snapToGrid w:val="0"/>
              <w:rPr>
                <w:color w:val="000000"/>
                <w:sz w:val="18"/>
                <w:szCs w:val="18"/>
              </w:rPr>
            </w:pPr>
            <w:r>
              <w:rPr>
                <w:color w:val="000000"/>
                <w:sz w:val="18"/>
                <w:szCs w:val="18"/>
              </w:rPr>
              <w:t>Bactericidal and yeasticidal activity demonstrated at 10 % v/v and 100% v/v</w:t>
            </w:r>
          </w:p>
          <w:p w14:paraId="422F9983" w14:textId="77777777" w:rsidR="00CC62FC" w:rsidRPr="00FD2055" w:rsidRDefault="00CC62FC" w:rsidP="0015321A">
            <w:pPr>
              <w:rPr>
                <w:color w:val="000000"/>
                <w:sz w:val="18"/>
                <w:szCs w:val="18"/>
              </w:rPr>
            </w:pPr>
          </w:p>
        </w:tc>
        <w:tc>
          <w:tcPr>
            <w:tcW w:w="547" w:type="pct"/>
            <w:vAlign w:val="center"/>
          </w:tcPr>
          <w:p w14:paraId="372102F1" w14:textId="77777777" w:rsidR="00CC62FC" w:rsidRDefault="00CC62FC" w:rsidP="0015321A">
            <w:pPr>
              <w:rPr>
                <w:color w:val="000000"/>
                <w:sz w:val="18"/>
                <w:szCs w:val="18"/>
              </w:rPr>
            </w:pPr>
            <w:r>
              <w:rPr>
                <w:color w:val="000000"/>
                <w:sz w:val="18"/>
                <w:szCs w:val="18"/>
              </w:rPr>
              <w:t>Carre A., 2018, Report No RE-2193/0818</w:t>
            </w:r>
          </w:p>
          <w:p w14:paraId="087AB4EA" w14:textId="77777777" w:rsidR="00CC62FC" w:rsidRDefault="00CC62FC" w:rsidP="0015321A">
            <w:pPr>
              <w:rPr>
                <w:color w:val="000000"/>
                <w:sz w:val="18"/>
                <w:szCs w:val="18"/>
              </w:rPr>
            </w:pPr>
          </w:p>
          <w:p w14:paraId="667B34EB" w14:textId="77777777" w:rsidR="00CC62FC" w:rsidRPr="00FD2055" w:rsidRDefault="00CC62FC" w:rsidP="0015321A">
            <w:pPr>
              <w:rPr>
                <w:i/>
                <w:color w:val="000000"/>
                <w:sz w:val="18"/>
                <w:szCs w:val="18"/>
              </w:rPr>
            </w:pPr>
            <w:r>
              <w:rPr>
                <w:color w:val="000000"/>
                <w:sz w:val="18"/>
                <w:szCs w:val="18"/>
              </w:rPr>
              <w:t>RI=1</w:t>
            </w:r>
          </w:p>
        </w:tc>
      </w:tr>
      <w:tr w:rsidR="002547BB" w14:paraId="5D335C15" w14:textId="77777777" w:rsidTr="00FE67A2">
        <w:trPr>
          <w:cantSplit/>
          <w:jc w:val="center"/>
        </w:trPr>
        <w:tc>
          <w:tcPr>
            <w:tcW w:w="447" w:type="pct"/>
            <w:vAlign w:val="center"/>
          </w:tcPr>
          <w:p w14:paraId="5B978C15" w14:textId="77777777" w:rsidR="00CC62FC" w:rsidRPr="00FD2055" w:rsidRDefault="00CC62FC" w:rsidP="0015321A">
            <w:pPr>
              <w:rPr>
                <w:i/>
                <w:color w:val="000000"/>
                <w:sz w:val="18"/>
                <w:szCs w:val="18"/>
              </w:rPr>
            </w:pPr>
            <w:r>
              <w:rPr>
                <w:color w:val="000000"/>
                <w:sz w:val="18"/>
                <w:szCs w:val="18"/>
              </w:rPr>
              <w:t>Disinfectant, bactericidal activity</w:t>
            </w:r>
          </w:p>
        </w:tc>
        <w:tc>
          <w:tcPr>
            <w:tcW w:w="444" w:type="pct"/>
            <w:vAlign w:val="center"/>
          </w:tcPr>
          <w:p w14:paraId="5FE5E7AE" w14:textId="77777777" w:rsidR="00CC62FC" w:rsidRPr="00FD2055" w:rsidRDefault="00CC62FC" w:rsidP="0015321A">
            <w:pPr>
              <w:rPr>
                <w:i/>
                <w:color w:val="000000"/>
                <w:sz w:val="18"/>
                <w:szCs w:val="18"/>
              </w:rPr>
            </w:pPr>
            <w:r>
              <w:rPr>
                <w:color w:val="000000"/>
                <w:sz w:val="18"/>
                <w:szCs w:val="18"/>
              </w:rPr>
              <w:t>Medical, institutional, industrial, healthcare facilities and food preparation and handling areas</w:t>
            </w:r>
          </w:p>
        </w:tc>
        <w:tc>
          <w:tcPr>
            <w:tcW w:w="510" w:type="pct"/>
            <w:vAlign w:val="center"/>
          </w:tcPr>
          <w:p w14:paraId="11F5E730" w14:textId="77777777" w:rsidR="00CC62FC" w:rsidRDefault="00CC62FC" w:rsidP="0015321A">
            <w:pPr>
              <w:rPr>
                <w:color w:val="000000"/>
                <w:sz w:val="18"/>
                <w:szCs w:val="18"/>
              </w:rPr>
            </w:pPr>
            <w:r>
              <w:rPr>
                <w:color w:val="000000"/>
                <w:sz w:val="18"/>
                <w:szCs w:val="18"/>
              </w:rPr>
              <w:t>AL-S3-1-0</w:t>
            </w:r>
          </w:p>
          <w:p w14:paraId="21B2E246" w14:textId="52CFB934" w:rsidR="00CC62FC" w:rsidRPr="00FD2055" w:rsidRDefault="009226F8" w:rsidP="0015321A">
            <w:pPr>
              <w:rPr>
                <w:i/>
                <w:color w:val="000000"/>
                <w:sz w:val="18"/>
                <w:szCs w:val="18"/>
              </w:rPr>
            </w:pPr>
            <w:r>
              <w:rPr>
                <w:color w:val="000000"/>
                <w:sz w:val="18"/>
                <w:szCs w:val="18"/>
              </w:rPr>
              <w:t>4</w:t>
            </w:r>
            <w:r w:rsidR="00CC62FC">
              <w:rPr>
                <w:color w:val="000000"/>
                <w:sz w:val="18"/>
                <w:szCs w:val="18"/>
              </w:rPr>
              <w:t>% lactic acid</w:t>
            </w:r>
          </w:p>
        </w:tc>
        <w:tc>
          <w:tcPr>
            <w:tcW w:w="536" w:type="pct"/>
            <w:vAlign w:val="center"/>
          </w:tcPr>
          <w:p w14:paraId="669F55FE" w14:textId="77777777" w:rsidR="00CC62FC" w:rsidRPr="00D016EC" w:rsidRDefault="00CC62FC"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510" w:type="pct"/>
            <w:vAlign w:val="center"/>
          </w:tcPr>
          <w:p w14:paraId="09B2E4D1" w14:textId="77777777" w:rsidR="00CC62FC" w:rsidRPr="00FD2055" w:rsidRDefault="00CC62FC" w:rsidP="0015321A">
            <w:pPr>
              <w:rPr>
                <w:color w:val="000000"/>
                <w:sz w:val="18"/>
                <w:szCs w:val="18"/>
              </w:rPr>
            </w:pPr>
            <w:r>
              <w:rPr>
                <w:color w:val="000000"/>
                <w:sz w:val="18"/>
                <w:szCs w:val="18"/>
              </w:rPr>
              <w:t>NF EN 13697 (June 2015)</w:t>
            </w:r>
          </w:p>
        </w:tc>
        <w:tc>
          <w:tcPr>
            <w:tcW w:w="1298" w:type="pct"/>
            <w:vAlign w:val="center"/>
          </w:tcPr>
          <w:p w14:paraId="2F00DCD9" w14:textId="77777777" w:rsidR="00CC62FC" w:rsidRDefault="00CC62FC" w:rsidP="0015321A">
            <w:pPr>
              <w:rPr>
                <w:color w:val="000000"/>
                <w:sz w:val="18"/>
                <w:szCs w:val="18"/>
              </w:rPr>
            </w:pPr>
          </w:p>
          <w:p w14:paraId="4F255024" w14:textId="77777777" w:rsidR="00CC62FC" w:rsidRDefault="00CC62FC" w:rsidP="0015321A">
            <w:pPr>
              <w:rPr>
                <w:color w:val="000000"/>
                <w:sz w:val="18"/>
                <w:szCs w:val="18"/>
              </w:rPr>
            </w:pPr>
            <w:r>
              <w:rPr>
                <w:color w:val="000000"/>
                <w:sz w:val="18"/>
                <w:szCs w:val="18"/>
              </w:rPr>
              <w:t>Phase 2 step 2 (surface test)</w:t>
            </w:r>
          </w:p>
          <w:p w14:paraId="658050B7" w14:textId="224A12D4" w:rsidR="00CC62FC" w:rsidRPr="0095205F" w:rsidRDefault="00CC62FC" w:rsidP="0015321A">
            <w:pPr>
              <w:rPr>
                <w:color w:val="000000"/>
                <w:sz w:val="18"/>
                <w:szCs w:val="18"/>
              </w:rPr>
            </w:pPr>
            <w:r>
              <w:rPr>
                <w:color w:val="000000"/>
                <w:sz w:val="18"/>
                <w:szCs w:val="18"/>
              </w:rPr>
              <w:t xml:space="preserve">Concentrations of product tested (v/v): 10% - 50% and 100% </w:t>
            </w:r>
          </w:p>
          <w:p w14:paraId="06A55BF1" w14:textId="590F4512" w:rsidR="00CC62FC" w:rsidRDefault="00CC62FC" w:rsidP="0015321A">
            <w:pPr>
              <w:rPr>
                <w:color w:val="000000"/>
                <w:sz w:val="18"/>
                <w:szCs w:val="18"/>
              </w:rPr>
            </w:pPr>
            <w:r w:rsidRPr="0095205F">
              <w:rPr>
                <w:color w:val="000000"/>
                <w:sz w:val="18"/>
                <w:szCs w:val="18"/>
              </w:rPr>
              <w:t>Contact</w:t>
            </w:r>
            <w:r>
              <w:rPr>
                <w:color w:val="000000"/>
                <w:sz w:val="18"/>
                <w:szCs w:val="18"/>
              </w:rPr>
              <w:t xml:space="preserve"> time: 5 minutes </w:t>
            </w:r>
          </w:p>
          <w:p w14:paraId="10C4EFC4" w14:textId="77777777" w:rsidR="00CC62FC" w:rsidRDefault="00CC62FC" w:rsidP="0015321A">
            <w:pPr>
              <w:rPr>
                <w:color w:val="000000"/>
                <w:sz w:val="18"/>
                <w:szCs w:val="18"/>
              </w:rPr>
            </w:pPr>
            <w:r>
              <w:rPr>
                <w:color w:val="000000"/>
                <w:sz w:val="18"/>
                <w:szCs w:val="18"/>
              </w:rPr>
              <w:t>Temperature: 20°C</w:t>
            </w:r>
          </w:p>
          <w:p w14:paraId="6E2EE30E" w14:textId="77777777" w:rsidR="00CC62FC" w:rsidRDefault="00CC62FC" w:rsidP="0015321A">
            <w:pPr>
              <w:rPr>
                <w:color w:val="000000"/>
                <w:sz w:val="18"/>
                <w:szCs w:val="18"/>
              </w:rPr>
            </w:pPr>
            <w:r>
              <w:rPr>
                <w:color w:val="000000"/>
                <w:sz w:val="18"/>
                <w:szCs w:val="18"/>
              </w:rPr>
              <w:t xml:space="preserve">Dirty conditions: 3 g/L BSA + 3 ml/l sheep erythrocytes </w:t>
            </w:r>
          </w:p>
          <w:p w14:paraId="17C97A69" w14:textId="77777777" w:rsidR="00CC62FC" w:rsidRPr="00FD2055" w:rsidRDefault="00CC62FC" w:rsidP="0015321A">
            <w:pPr>
              <w:rPr>
                <w:color w:val="000000"/>
                <w:sz w:val="18"/>
                <w:szCs w:val="18"/>
              </w:rPr>
            </w:pPr>
            <w:r>
              <w:rPr>
                <w:color w:val="000000"/>
                <w:sz w:val="18"/>
                <w:szCs w:val="18"/>
              </w:rPr>
              <w:t>Criteria: ≥ 4 log unit reduction</w:t>
            </w:r>
          </w:p>
        </w:tc>
        <w:tc>
          <w:tcPr>
            <w:tcW w:w="706" w:type="pct"/>
            <w:vAlign w:val="center"/>
          </w:tcPr>
          <w:p w14:paraId="2769DE65" w14:textId="77777777" w:rsidR="00CC62FC" w:rsidRDefault="00CC62FC" w:rsidP="0015321A">
            <w:pPr>
              <w:rPr>
                <w:color w:val="000000"/>
                <w:sz w:val="18"/>
                <w:szCs w:val="18"/>
              </w:rPr>
            </w:pPr>
          </w:p>
          <w:p w14:paraId="238590C6" w14:textId="77777777" w:rsidR="00CC62FC" w:rsidRDefault="00CC62FC" w:rsidP="0015321A">
            <w:pPr>
              <w:snapToGrid w:val="0"/>
              <w:rPr>
                <w:color w:val="000000"/>
                <w:sz w:val="18"/>
                <w:szCs w:val="18"/>
              </w:rPr>
            </w:pPr>
            <w:r>
              <w:rPr>
                <w:color w:val="000000"/>
                <w:sz w:val="18"/>
                <w:szCs w:val="18"/>
              </w:rPr>
              <w:t>Bactericidal activity demonstrated at 40 % v/v</w:t>
            </w:r>
          </w:p>
          <w:p w14:paraId="560FCBBA" w14:textId="77777777" w:rsidR="00CC62FC" w:rsidRPr="00FD2055" w:rsidRDefault="00CC62FC" w:rsidP="0015321A">
            <w:pPr>
              <w:rPr>
                <w:color w:val="000000"/>
                <w:sz w:val="18"/>
                <w:szCs w:val="18"/>
              </w:rPr>
            </w:pPr>
          </w:p>
        </w:tc>
        <w:tc>
          <w:tcPr>
            <w:tcW w:w="547" w:type="pct"/>
            <w:vAlign w:val="center"/>
          </w:tcPr>
          <w:p w14:paraId="37078992" w14:textId="77777777" w:rsidR="00CC62FC" w:rsidRDefault="00CC62FC" w:rsidP="0015321A">
            <w:pPr>
              <w:rPr>
                <w:color w:val="000000"/>
                <w:sz w:val="18"/>
                <w:szCs w:val="18"/>
              </w:rPr>
            </w:pPr>
            <w:r>
              <w:rPr>
                <w:color w:val="000000"/>
                <w:sz w:val="18"/>
                <w:szCs w:val="18"/>
              </w:rPr>
              <w:t>Teulier M., 2018, Report No 5145-1</w:t>
            </w:r>
          </w:p>
          <w:p w14:paraId="37356834" w14:textId="77777777" w:rsidR="00CC62FC" w:rsidRDefault="00CC62FC" w:rsidP="0015321A">
            <w:pPr>
              <w:rPr>
                <w:color w:val="000000"/>
                <w:sz w:val="18"/>
                <w:szCs w:val="18"/>
              </w:rPr>
            </w:pPr>
          </w:p>
          <w:p w14:paraId="16EB5548" w14:textId="77777777" w:rsidR="00CC62FC" w:rsidRPr="00FD2055" w:rsidRDefault="00CC62FC" w:rsidP="0015321A">
            <w:pPr>
              <w:rPr>
                <w:i/>
                <w:color w:val="000000"/>
                <w:sz w:val="18"/>
                <w:szCs w:val="18"/>
              </w:rPr>
            </w:pPr>
            <w:r>
              <w:rPr>
                <w:color w:val="000000"/>
                <w:sz w:val="18"/>
                <w:szCs w:val="18"/>
              </w:rPr>
              <w:t>RI=1</w:t>
            </w:r>
          </w:p>
        </w:tc>
      </w:tr>
      <w:tr w:rsidR="002547BB" w14:paraId="4583A5BE" w14:textId="77777777" w:rsidTr="00FE67A2">
        <w:trPr>
          <w:cantSplit/>
          <w:jc w:val="center"/>
        </w:trPr>
        <w:tc>
          <w:tcPr>
            <w:tcW w:w="447" w:type="pct"/>
            <w:vAlign w:val="center"/>
          </w:tcPr>
          <w:p w14:paraId="166082EC" w14:textId="77777777" w:rsidR="00CC62FC" w:rsidRPr="00FD2055" w:rsidRDefault="00CC62FC" w:rsidP="0015321A">
            <w:pPr>
              <w:rPr>
                <w:i/>
                <w:color w:val="000000"/>
                <w:sz w:val="18"/>
                <w:szCs w:val="18"/>
              </w:rPr>
            </w:pPr>
            <w:r>
              <w:rPr>
                <w:color w:val="000000"/>
                <w:sz w:val="18"/>
                <w:szCs w:val="18"/>
              </w:rPr>
              <w:lastRenderedPageBreak/>
              <w:t>Disinfectant, yeasticidal activity</w:t>
            </w:r>
          </w:p>
        </w:tc>
        <w:tc>
          <w:tcPr>
            <w:tcW w:w="444" w:type="pct"/>
            <w:vAlign w:val="center"/>
          </w:tcPr>
          <w:p w14:paraId="0F8B63CA" w14:textId="77777777" w:rsidR="00CC62FC" w:rsidRPr="00FD2055" w:rsidRDefault="00CC62FC" w:rsidP="0015321A">
            <w:pPr>
              <w:rPr>
                <w:i/>
                <w:color w:val="000000"/>
                <w:sz w:val="18"/>
                <w:szCs w:val="18"/>
              </w:rPr>
            </w:pPr>
            <w:r>
              <w:rPr>
                <w:color w:val="000000"/>
                <w:sz w:val="18"/>
                <w:szCs w:val="18"/>
              </w:rPr>
              <w:t>Medical, institutional, industrial, healthcare facilities and food preparation and handling areas</w:t>
            </w:r>
          </w:p>
        </w:tc>
        <w:tc>
          <w:tcPr>
            <w:tcW w:w="510" w:type="pct"/>
            <w:vAlign w:val="center"/>
          </w:tcPr>
          <w:p w14:paraId="717FFDDE" w14:textId="77777777" w:rsidR="00CC62FC" w:rsidRDefault="00CC62FC" w:rsidP="0015321A">
            <w:pPr>
              <w:rPr>
                <w:color w:val="000000"/>
                <w:sz w:val="18"/>
                <w:szCs w:val="18"/>
              </w:rPr>
            </w:pPr>
            <w:r>
              <w:rPr>
                <w:color w:val="000000"/>
                <w:sz w:val="18"/>
                <w:szCs w:val="18"/>
              </w:rPr>
              <w:t>AL-S3-1-0</w:t>
            </w:r>
          </w:p>
          <w:p w14:paraId="563B2469" w14:textId="0A836197" w:rsidR="00CC62FC" w:rsidRPr="00FD2055" w:rsidRDefault="009226F8" w:rsidP="0015321A">
            <w:pPr>
              <w:rPr>
                <w:i/>
                <w:color w:val="000000"/>
                <w:sz w:val="18"/>
                <w:szCs w:val="18"/>
              </w:rPr>
            </w:pPr>
            <w:r>
              <w:rPr>
                <w:color w:val="000000"/>
                <w:sz w:val="18"/>
                <w:szCs w:val="18"/>
              </w:rPr>
              <w:t>4</w:t>
            </w:r>
            <w:r w:rsidR="00CC62FC">
              <w:rPr>
                <w:color w:val="000000"/>
                <w:sz w:val="18"/>
                <w:szCs w:val="18"/>
              </w:rPr>
              <w:t>% lactic acid</w:t>
            </w:r>
          </w:p>
        </w:tc>
        <w:tc>
          <w:tcPr>
            <w:tcW w:w="536" w:type="pct"/>
            <w:vAlign w:val="center"/>
          </w:tcPr>
          <w:p w14:paraId="35F0A63D" w14:textId="77777777" w:rsidR="00CC62FC" w:rsidRPr="00FD2055" w:rsidRDefault="00CC62FC"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10" w:type="pct"/>
            <w:vAlign w:val="center"/>
          </w:tcPr>
          <w:p w14:paraId="6C2640AF" w14:textId="77777777" w:rsidR="00CC62FC" w:rsidRPr="00FD2055" w:rsidRDefault="00CC62FC" w:rsidP="0015321A">
            <w:pPr>
              <w:rPr>
                <w:color w:val="000000"/>
                <w:sz w:val="18"/>
                <w:szCs w:val="18"/>
              </w:rPr>
            </w:pPr>
            <w:r>
              <w:rPr>
                <w:color w:val="000000"/>
                <w:sz w:val="18"/>
                <w:szCs w:val="18"/>
              </w:rPr>
              <w:t>NF EN 13697 (June 2015)</w:t>
            </w:r>
          </w:p>
        </w:tc>
        <w:tc>
          <w:tcPr>
            <w:tcW w:w="1298" w:type="pct"/>
            <w:vAlign w:val="center"/>
          </w:tcPr>
          <w:p w14:paraId="128C6134" w14:textId="77777777" w:rsidR="00CC62FC" w:rsidRDefault="00CC62FC" w:rsidP="0015321A">
            <w:pPr>
              <w:rPr>
                <w:color w:val="000000"/>
                <w:sz w:val="18"/>
                <w:szCs w:val="18"/>
              </w:rPr>
            </w:pPr>
          </w:p>
          <w:p w14:paraId="2E79C376" w14:textId="77777777" w:rsidR="00CC62FC" w:rsidRDefault="00CC62FC" w:rsidP="0015321A">
            <w:pPr>
              <w:rPr>
                <w:color w:val="000000"/>
                <w:sz w:val="18"/>
                <w:szCs w:val="18"/>
              </w:rPr>
            </w:pPr>
            <w:r>
              <w:rPr>
                <w:color w:val="000000"/>
                <w:sz w:val="18"/>
                <w:szCs w:val="18"/>
              </w:rPr>
              <w:t>Phase 2 step 2 (surface test)</w:t>
            </w:r>
          </w:p>
          <w:p w14:paraId="104C48DB" w14:textId="77777777" w:rsidR="00CC62FC" w:rsidRDefault="00CC62FC" w:rsidP="0015321A">
            <w:pPr>
              <w:rPr>
                <w:color w:val="000000"/>
                <w:sz w:val="18"/>
                <w:szCs w:val="18"/>
              </w:rPr>
            </w:pPr>
            <w:r>
              <w:rPr>
                <w:color w:val="000000"/>
                <w:sz w:val="18"/>
                <w:szCs w:val="18"/>
              </w:rPr>
              <w:t xml:space="preserve">Concentrations of product tested (v/v): 1% - 50% and 100%. </w:t>
            </w:r>
          </w:p>
          <w:p w14:paraId="5993BBDE" w14:textId="3E621585" w:rsidR="00CC62FC" w:rsidRDefault="00CC62FC" w:rsidP="0015321A">
            <w:pPr>
              <w:rPr>
                <w:color w:val="000000"/>
                <w:sz w:val="18"/>
                <w:szCs w:val="18"/>
              </w:rPr>
            </w:pPr>
            <w:r>
              <w:rPr>
                <w:color w:val="000000"/>
                <w:sz w:val="18"/>
                <w:szCs w:val="18"/>
              </w:rPr>
              <w:t xml:space="preserve">Contact time: 5 minutes </w:t>
            </w:r>
          </w:p>
          <w:p w14:paraId="139B2A56" w14:textId="77777777" w:rsidR="00CC62FC" w:rsidRDefault="00CC62FC" w:rsidP="0015321A">
            <w:pPr>
              <w:rPr>
                <w:color w:val="000000"/>
                <w:sz w:val="18"/>
                <w:szCs w:val="18"/>
              </w:rPr>
            </w:pPr>
            <w:r>
              <w:rPr>
                <w:color w:val="000000"/>
                <w:sz w:val="18"/>
                <w:szCs w:val="18"/>
              </w:rPr>
              <w:t>Temperature: 20°C</w:t>
            </w:r>
          </w:p>
          <w:p w14:paraId="42B3F44B" w14:textId="77777777" w:rsidR="00CC62FC" w:rsidRDefault="00CC62FC" w:rsidP="0015321A">
            <w:pPr>
              <w:rPr>
                <w:color w:val="000000"/>
                <w:sz w:val="18"/>
                <w:szCs w:val="18"/>
              </w:rPr>
            </w:pPr>
            <w:r>
              <w:rPr>
                <w:color w:val="000000"/>
                <w:sz w:val="18"/>
                <w:szCs w:val="18"/>
              </w:rPr>
              <w:t xml:space="preserve">Dirty conditions: 3 g/L BSA + 3 ml/l sheep erythrocytes </w:t>
            </w:r>
          </w:p>
          <w:p w14:paraId="0CAFACED" w14:textId="77777777" w:rsidR="00CC62FC" w:rsidRPr="00FD2055" w:rsidRDefault="00CC62FC" w:rsidP="0015321A">
            <w:pPr>
              <w:rPr>
                <w:color w:val="000000"/>
                <w:sz w:val="18"/>
                <w:szCs w:val="18"/>
              </w:rPr>
            </w:pPr>
            <w:r>
              <w:rPr>
                <w:color w:val="000000"/>
                <w:sz w:val="18"/>
                <w:szCs w:val="18"/>
              </w:rPr>
              <w:t>Criteria: ≥ 3 log unit reduction</w:t>
            </w:r>
          </w:p>
        </w:tc>
        <w:tc>
          <w:tcPr>
            <w:tcW w:w="706" w:type="pct"/>
            <w:vAlign w:val="center"/>
          </w:tcPr>
          <w:p w14:paraId="4A89C51B" w14:textId="77777777" w:rsidR="00CC62FC" w:rsidRDefault="00CC62FC" w:rsidP="0015321A">
            <w:pPr>
              <w:rPr>
                <w:color w:val="000000"/>
                <w:sz w:val="18"/>
                <w:szCs w:val="18"/>
              </w:rPr>
            </w:pPr>
          </w:p>
          <w:p w14:paraId="225B81D0" w14:textId="77777777" w:rsidR="00CC62FC" w:rsidRDefault="00CC62FC" w:rsidP="0015321A">
            <w:pPr>
              <w:snapToGrid w:val="0"/>
              <w:rPr>
                <w:color w:val="000000"/>
                <w:sz w:val="18"/>
                <w:szCs w:val="18"/>
              </w:rPr>
            </w:pPr>
            <w:r>
              <w:rPr>
                <w:color w:val="000000"/>
                <w:sz w:val="18"/>
                <w:szCs w:val="18"/>
              </w:rPr>
              <w:t>Yeasticidal activity demonstrated at 40 % v/v</w:t>
            </w:r>
          </w:p>
          <w:p w14:paraId="2B8FDCB5" w14:textId="5E5FF638" w:rsidR="00CC62FC" w:rsidRPr="00FD2055" w:rsidRDefault="00CC62FC" w:rsidP="0015321A">
            <w:pPr>
              <w:rPr>
                <w:color w:val="000000"/>
                <w:sz w:val="18"/>
                <w:szCs w:val="18"/>
              </w:rPr>
            </w:pPr>
          </w:p>
        </w:tc>
        <w:tc>
          <w:tcPr>
            <w:tcW w:w="547" w:type="pct"/>
            <w:vAlign w:val="center"/>
          </w:tcPr>
          <w:p w14:paraId="4912E4EB" w14:textId="77777777" w:rsidR="00CC62FC" w:rsidRDefault="00CC62FC" w:rsidP="0015321A">
            <w:pPr>
              <w:rPr>
                <w:color w:val="000000"/>
                <w:sz w:val="18"/>
                <w:szCs w:val="18"/>
              </w:rPr>
            </w:pPr>
            <w:r>
              <w:rPr>
                <w:color w:val="000000"/>
                <w:sz w:val="18"/>
                <w:szCs w:val="18"/>
              </w:rPr>
              <w:t>Huguet N., 2018, Report No 18.CM.18-155</w:t>
            </w:r>
          </w:p>
          <w:p w14:paraId="74E4EB0D" w14:textId="77777777" w:rsidR="00CC62FC" w:rsidRDefault="00CC62FC" w:rsidP="0015321A">
            <w:pPr>
              <w:rPr>
                <w:color w:val="000000"/>
                <w:sz w:val="18"/>
                <w:szCs w:val="18"/>
              </w:rPr>
            </w:pPr>
          </w:p>
          <w:p w14:paraId="0D1A5034" w14:textId="77777777" w:rsidR="00CC62FC" w:rsidRPr="00FD2055" w:rsidRDefault="00CC62FC" w:rsidP="0015321A">
            <w:pPr>
              <w:rPr>
                <w:i/>
                <w:color w:val="000000"/>
                <w:sz w:val="18"/>
                <w:szCs w:val="18"/>
              </w:rPr>
            </w:pPr>
            <w:r>
              <w:rPr>
                <w:color w:val="000000"/>
                <w:sz w:val="18"/>
                <w:szCs w:val="18"/>
              </w:rPr>
              <w:t>RI=1</w:t>
            </w:r>
          </w:p>
        </w:tc>
      </w:tr>
    </w:tbl>
    <w:p w14:paraId="2ACA8679" w14:textId="77777777" w:rsidR="00CC62FC" w:rsidRDefault="00CC62FC" w:rsidP="00CC62FC">
      <w:pPr>
        <w:spacing w:line="260" w:lineRule="atLeast"/>
        <w:jc w:val="both"/>
        <w:rPr>
          <w:rFonts w:ascii="Times New Roman" w:eastAsia="Calibri" w:hAnsi="Times New Roman" w:cs="Arial"/>
          <w:bCs/>
          <w:i/>
          <w:caps/>
          <w:szCs w:val="28"/>
          <w:lang w:eastAsia="en-US"/>
        </w:rPr>
        <w:sectPr w:rsidR="00CC62FC" w:rsidSect="002547BB">
          <w:pgSz w:w="16838" w:h="11906" w:orient="landscape"/>
          <w:pgMar w:top="1446" w:right="1474" w:bottom="1247" w:left="2013" w:header="851" w:footer="851" w:gutter="0"/>
          <w:cols w:space="720"/>
          <w:docGrid w:linePitch="272"/>
        </w:sectPr>
      </w:pPr>
    </w:p>
    <w:p w14:paraId="50B2643A" w14:textId="739F809B" w:rsidR="00CC62FC" w:rsidRPr="007A4DA8" w:rsidRDefault="00CC62FC" w:rsidP="00CC62FC">
      <w:pPr>
        <w:pStyle w:val="Paragraphedeliste"/>
        <w:numPr>
          <w:ilvl w:val="0"/>
          <w:numId w:val="24"/>
        </w:numPr>
        <w:spacing w:line="260" w:lineRule="atLeast"/>
        <w:jc w:val="both"/>
        <w:rPr>
          <w:rFonts w:ascii="Times New Roman" w:eastAsia="Calibri" w:hAnsi="Times New Roman" w:cs="Arial"/>
          <w:b/>
          <w:bCs/>
          <w:caps/>
          <w:szCs w:val="28"/>
          <w:lang w:eastAsia="en-US"/>
        </w:rPr>
      </w:pPr>
      <w:r w:rsidRPr="007A4DA8">
        <w:rPr>
          <w:rFonts w:eastAsia="Calibri"/>
          <w:b/>
          <w:lang w:eastAsia="en-US"/>
        </w:rPr>
        <w:lastRenderedPageBreak/>
        <w:t xml:space="preserve">Meta-SPC 4: Disinfectant for </w:t>
      </w:r>
      <w:r w:rsidR="00774730" w:rsidRPr="007A4DA8">
        <w:rPr>
          <w:rFonts w:eastAsia="Calibri"/>
          <w:b/>
          <w:lang w:eastAsia="en-US"/>
        </w:rPr>
        <w:t xml:space="preserve">hard surfaces </w:t>
      </w:r>
      <w:r w:rsidR="00733D14" w:rsidRPr="007A4DA8">
        <w:rPr>
          <w:rFonts w:eastAsia="Calibri"/>
          <w:b/>
          <w:lang w:eastAsia="en-US"/>
        </w:rPr>
        <w:t>in</w:t>
      </w:r>
      <w:r w:rsidR="00774730" w:rsidRPr="007A4DA8">
        <w:rPr>
          <w:rFonts w:eastAsia="Calibri"/>
          <w:b/>
          <w:lang w:eastAsia="en-US"/>
        </w:rPr>
        <w:t xml:space="preserve"> industry, </w:t>
      </w:r>
      <w:r w:rsidRPr="007A4DA8">
        <w:rPr>
          <w:rFonts w:eastAsia="Calibri"/>
          <w:b/>
          <w:lang w:eastAsia="en-US"/>
        </w:rPr>
        <w:t>institution, healthcare facilities and</w:t>
      </w:r>
      <w:r w:rsidR="00C20A61" w:rsidRPr="007A4DA8">
        <w:rPr>
          <w:rFonts w:eastAsia="Calibri"/>
          <w:b/>
          <w:lang w:eastAsia="en-US"/>
        </w:rPr>
        <w:t>,</w:t>
      </w:r>
      <w:r w:rsidRPr="007A4DA8">
        <w:rPr>
          <w:rFonts w:eastAsia="Calibri"/>
          <w:b/>
          <w:lang w:eastAsia="en-US"/>
        </w:rPr>
        <w:t xml:space="preserve"> food preparation and handling areas </w:t>
      </w:r>
      <w:r w:rsidR="00511583" w:rsidRPr="007A4DA8">
        <w:rPr>
          <w:rFonts w:eastAsia="Calibri"/>
          <w:b/>
          <w:lang w:eastAsia="en-US"/>
        </w:rPr>
        <w:t xml:space="preserve">by </w:t>
      </w:r>
      <w:r w:rsidR="00511583" w:rsidRPr="007A4DA8">
        <w:rPr>
          <w:rFonts w:eastAsia="Calibri"/>
          <w:b/>
          <w:iCs/>
          <w:szCs w:val="24"/>
          <w:lang w:eastAsia="en-US"/>
        </w:rPr>
        <w:t>s</w:t>
      </w:r>
      <w:r w:rsidRPr="007A4DA8">
        <w:rPr>
          <w:rFonts w:eastAsia="Calibri"/>
          <w:b/>
          <w:iCs/>
          <w:szCs w:val="24"/>
          <w:lang w:eastAsia="en-US"/>
        </w:rPr>
        <w:t xml:space="preserve">praying, </w:t>
      </w:r>
      <w:r w:rsidR="00511583" w:rsidRPr="007A4DA8">
        <w:rPr>
          <w:rFonts w:eastAsia="Calibri"/>
          <w:b/>
          <w:iCs/>
          <w:szCs w:val="24"/>
          <w:lang w:eastAsia="en-US"/>
        </w:rPr>
        <w:t>w</w:t>
      </w:r>
      <w:r w:rsidRPr="007A4DA8">
        <w:rPr>
          <w:rFonts w:eastAsia="Calibri"/>
          <w:b/>
          <w:iCs/>
          <w:szCs w:val="24"/>
          <w:lang w:eastAsia="en-US"/>
        </w:rPr>
        <w:t>iping</w:t>
      </w:r>
      <w:r w:rsidR="00511583" w:rsidRPr="007A4DA8">
        <w:rPr>
          <w:rFonts w:eastAsia="Calibri"/>
          <w:b/>
          <w:iCs/>
          <w:szCs w:val="24"/>
          <w:lang w:eastAsia="en-US"/>
        </w:rPr>
        <w:t xml:space="preserve"> (</w:t>
      </w:r>
      <w:r w:rsidR="00511583" w:rsidRPr="007A4DA8">
        <w:rPr>
          <w:b/>
        </w:rPr>
        <w:t>applying product onto wipe followed by wiping</w:t>
      </w:r>
      <w:r w:rsidR="003B6AF8" w:rsidRPr="007A4DA8">
        <w:rPr>
          <w:b/>
        </w:rPr>
        <w:t>)</w:t>
      </w:r>
      <w:r w:rsidR="003B6AF8" w:rsidRPr="007A4DA8">
        <w:rPr>
          <w:rFonts w:eastAsia="Calibri"/>
          <w:b/>
          <w:iCs/>
          <w:szCs w:val="24"/>
          <w:lang w:eastAsia="en-US"/>
        </w:rPr>
        <w:t xml:space="preserve"> and </w:t>
      </w:r>
      <w:r w:rsidR="00511583" w:rsidRPr="007A4DA8">
        <w:rPr>
          <w:rFonts w:eastAsia="Calibri"/>
          <w:b/>
          <w:iCs/>
          <w:szCs w:val="24"/>
          <w:lang w:eastAsia="en-US"/>
        </w:rPr>
        <w:t>m</w:t>
      </w:r>
      <w:r w:rsidRPr="007A4DA8">
        <w:rPr>
          <w:rFonts w:eastAsia="Calibri"/>
          <w:b/>
          <w:iCs/>
          <w:szCs w:val="24"/>
          <w:lang w:eastAsia="en-US"/>
        </w:rPr>
        <w:t xml:space="preserve">opping </w:t>
      </w:r>
      <w:r w:rsidR="00493EA0" w:rsidRPr="007A4DA8">
        <w:rPr>
          <w:b/>
        </w:rPr>
        <w:t>(applying product onto mop followed by mopping)</w:t>
      </w:r>
      <w:r w:rsidR="00774730" w:rsidRPr="007A4DA8">
        <w:rPr>
          <w:b/>
        </w:rPr>
        <w:t xml:space="preserve"> – PT2/4</w:t>
      </w:r>
    </w:p>
    <w:p w14:paraId="66BBF6E2" w14:textId="77777777" w:rsidR="00CC62FC" w:rsidRDefault="00CC62FC" w:rsidP="00CC62FC">
      <w:pPr>
        <w:spacing w:line="260" w:lineRule="atLeast"/>
        <w:jc w:val="both"/>
        <w:rPr>
          <w:rFonts w:ascii="Times New Roman" w:eastAsia="Calibri" w:hAnsi="Times New Roman" w:cs="Arial"/>
          <w:bCs/>
          <w:caps/>
          <w:szCs w:val="28"/>
          <w:lang w:eastAsia="en-US"/>
        </w:rPr>
      </w:pPr>
    </w:p>
    <w:p w14:paraId="53FB38EE" w14:textId="0D3DB346" w:rsidR="00CC62FC" w:rsidRDefault="00CC62FC" w:rsidP="00CC62FC">
      <w:pPr>
        <w:spacing w:line="260" w:lineRule="atLeast"/>
        <w:jc w:val="both"/>
        <w:rPr>
          <w:lang w:eastAsia="en-US"/>
        </w:rPr>
      </w:pPr>
      <w:r w:rsidRPr="005C303E">
        <w:rPr>
          <w:lang w:eastAsia="en-US"/>
        </w:rPr>
        <w:t>META-SPC</w:t>
      </w:r>
      <w:r>
        <w:rPr>
          <w:lang w:eastAsia="en-US"/>
        </w:rPr>
        <w:t>4</w:t>
      </w:r>
      <w:r w:rsidRPr="005C303E">
        <w:rPr>
          <w:lang w:eastAsia="en-US"/>
        </w:rPr>
        <w:t xml:space="preserve"> contains </w:t>
      </w:r>
      <w:r>
        <w:rPr>
          <w:lang w:eastAsia="en-US"/>
        </w:rPr>
        <w:t xml:space="preserve">ready-to-use </w:t>
      </w:r>
      <w:r w:rsidRPr="005C303E">
        <w:rPr>
          <w:lang w:eastAsia="en-US"/>
        </w:rPr>
        <w:t xml:space="preserve">products </w:t>
      </w:r>
      <w:r>
        <w:rPr>
          <w:lang w:eastAsia="en-US"/>
        </w:rPr>
        <w:t xml:space="preserve">containing </w:t>
      </w:r>
      <w:r w:rsidR="003E375C">
        <w:rPr>
          <w:lang w:eastAsia="en-US"/>
        </w:rPr>
        <w:t>3.2</w:t>
      </w:r>
      <w:r>
        <w:rPr>
          <w:lang w:eastAsia="en-US"/>
        </w:rPr>
        <w:t xml:space="preserve">% w/w lactic acid, and minor variations of coformulants, in low concentrations without biocidal activity. </w:t>
      </w:r>
    </w:p>
    <w:p w14:paraId="67C3F3D3" w14:textId="65363F75" w:rsidR="00CC62FC" w:rsidRPr="00AE3A1F" w:rsidRDefault="00CC62FC" w:rsidP="00CC62FC">
      <w:pPr>
        <w:spacing w:line="260" w:lineRule="atLeast"/>
        <w:jc w:val="both"/>
        <w:rPr>
          <w:rFonts w:cs="Arial"/>
          <w:lang w:eastAsia="en-US"/>
        </w:rPr>
      </w:pPr>
      <w:r>
        <w:rPr>
          <w:lang w:eastAsia="en-US"/>
        </w:rPr>
        <w:t xml:space="preserve">Efficacy studies have been performed with </w:t>
      </w:r>
      <w:r w:rsidR="00511583">
        <w:rPr>
          <w:lang w:eastAsia="en-US"/>
        </w:rPr>
        <w:t xml:space="preserve">the </w:t>
      </w:r>
      <w:r>
        <w:rPr>
          <w:lang w:eastAsia="en-US"/>
        </w:rPr>
        <w:t xml:space="preserve">representative product </w:t>
      </w:r>
      <w:r w:rsidRPr="00C914AE">
        <w:rPr>
          <w:rFonts w:eastAsia="Calibri"/>
          <w:iCs/>
          <w:szCs w:val="24"/>
          <w:lang w:eastAsia="en-US"/>
        </w:rPr>
        <w:t>AL-S4-1-0 (</w:t>
      </w:r>
      <w:r w:rsidR="00D63D86">
        <w:rPr>
          <w:rFonts w:eastAsia="Calibri"/>
          <w:iCs/>
          <w:szCs w:val="24"/>
          <w:lang w:eastAsia="en-US"/>
        </w:rPr>
        <w:t>3.2</w:t>
      </w:r>
      <w:r w:rsidRPr="00C914AE">
        <w:rPr>
          <w:rFonts w:eastAsia="Calibri"/>
          <w:iCs/>
          <w:szCs w:val="24"/>
          <w:lang w:eastAsia="en-US"/>
        </w:rPr>
        <w:t>% w/w lactic acid</w:t>
      </w:r>
      <w:r w:rsidR="00511583">
        <w:rPr>
          <w:rFonts w:eastAsia="Calibri"/>
          <w:iCs/>
          <w:szCs w:val="24"/>
          <w:lang w:eastAsia="en-US"/>
        </w:rPr>
        <w:t>)</w:t>
      </w:r>
      <w:r w:rsidRPr="00C914AE">
        <w:rPr>
          <w:rFonts w:eastAsia="Calibri"/>
          <w:iCs/>
          <w:szCs w:val="24"/>
          <w:lang w:eastAsia="en-US"/>
        </w:rPr>
        <w:t xml:space="preserve">. </w:t>
      </w:r>
      <w:r w:rsidRPr="00AE3A1F">
        <w:rPr>
          <w:rFonts w:cs="Arial"/>
          <w:lang w:eastAsia="en-US"/>
        </w:rPr>
        <w:t xml:space="preserve">Taking into account the minor variations of the co-formulants presented in the META-SPC4, it can be assumed that they have no impact on efficacy and the efficacy results of the representative products </w:t>
      </w:r>
      <w:r w:rsidRPr="00C914AE">
        <w:rPr>
          <w:rFonts w:eastAsia="Calibri"/>
          <w:iCs/>
          <w:szCs w:val="24"/>
          <w:lang w:eastAsia="en-US"/>
        </w:rPr>
        <w:t xml:space="preserve">AL-S4-1-0 </w:t>
      </w:r>
      <w:r w:rsidRPr="00AE3A1F">
        <w:rPr>
          <w:rFonts w:cs="Arial"/>
          <w:lang w:eastAsia="en-US"/>
        </w:rPr>
        <w:t>cover the whole META-SPC4 claims.</w:t>
      </w:r>
    </w:p>
    <w:p w14:paraId="636DDF09" w14:textId="77777777" w:rsidR="00CC62FC" w:rsidRDefault="00CC62FC" w:rsidP="00CC62FC">
      <w:pPr>
        <w:spacing w:line="260" w:lineRule="atLeast"/>
        <w:jc w:val="both"/>
        <w:rPr>
          <w:rFonts w:ascii="Times New Roman" w:eastAsia="Calibri" w:hAnsi="Times New Roman" w:cs="Arial"/>
          <w:bCs/>
          <w:caps/>
          <w:szCs w:val="28"/>
          <w:lang w:eastAsia="en-US"/>
        </w:rPr>
      </w:pPr>
    </w:p>
    <w:p w14:paraId="09124001" w14:textId="77777777" w:rsidR="00CC62FC" w:rsidRPr="00287C20" w:rsidRDefault="00CC62FC" w:rsidP="00CC62FC">
      <w:pPr>
        <w:spacing w:line="260" w:lineRule="atLeast"/>
        <w:jc w:val="both"/>
        <w:rPr>
          <w:rFonts w:eastAsia="Calibri"/>
          <w:iCs/>
          <w:szCs w:val="24"/>
          <w:u w:val="single"/>
          <w:lang w:eastAsia="en-US"/>
        </w:rPr>
      </w:pPr>
      <w:r>
        <w:rPr>
          <w:lang w:eastAsia="en-US"/>
        </w:rPr>
        <w:t>B</w:t>
      </w:r>
      <w:r w:rsidRPr="003D493E">
        <w:rPr>
          <w:lang w:eastAsia="en-US"/>
        </w:rPr>
        <w:t xml:space="preserve">actericidal activity is demonstrated both in phase 2, steps 1 </w:t>
      </w:r>
      <w:r>
        <w:rPr>
          <w:lang w:eastAsia="en-US"/>
        </w:rPr>
        <w:t xml:space="preserve">and 2 </w:t>
      </w:r>
      <w:r w:rsidRPr="003D493E">
        <w:rPr>
          <w:lang w:eastAsia="en-US"/>
        </w:rPr>
        <w:t>tests</w:t>
      </w:r>
      <w:r>
        <w:rPr>
          <w:lang w:eastAsia="en-US"/>
        </w:rPr>
        <w:t xml:space="preserve"> (EN 1276 and EN 13697) </w:t>
      </w:r>
      <w:r w:rsidRPr="003D493E">
        <w:rPr>
          <w:lang w:eastAsia="en-US"/>
        </w:rPr>
        <w:t xml:space="preserve">at </w:t>
      </w:r>
      <w:r>
        <w:rPr>
          <w:lang w:eastAsia="en-US"/>
        </w:rPr>
        <w:t xml:space="preserve">20 </w:t>
      </w:r>
      <w:r w:rsidRPr="003D493E">
        <w:rPr>
          <w:lang w:eastAsia="en-US"/>
        </w:rPr>
        <w:t xml:space="preserve">°C, with a contact time of </w:t>
      </w:r>
      <w:r>
        <w:rPr>
          <w:lang w:eastAsia="en-US"/>
        </w:rPr>
        <w:t xml:space="preserve">5 </w:t>
      </w:r>
      <w:r w:rsidRPr="003D493E">
        <w:rPr>
          <w:lang w:eastAsia="en-US"/>
        </w:rPr>
        <w:t xml:space="preserve">minutes, </w:t>
      </w:r>
      <w:r>
        <w:rPr>
          <w:lang w:eastAsia="en-US"/>
        </w:rPr>
        <w:t xml:space="preserve">in </w:t>
      </w:r>
      <w:r w:rsidRPr="00C055F6">
        <w:rPr>
          <w:lang w:eastAsia="en-US"/>
        </w:rPr>
        <w:t>dirty conditions (3.0 g/L BSA)</w:t>
      </w:r>
      <w:r w:rsidRPr="001337FD">
        <w:rPr>
          <w:lang w:eastAsia="en-US"/>
        </w:rPr>
        <w:t>.</w:t>
      </w:r>
      <w:r w:rsidRPr="00545F86">
        <w:rPr>
          <w:lang w:eastAsia="en-US"/>
        </w:rPr>
        <w:t xml:space="preserve"> </w:t>
      </w:r>
      <w:r w:rsidRPr="003D493E">
        <w:rPr>
          <w:lang w:eastAsia="en-US"/>
        </w:rPr>
        <w:t xml:space="preserve">In these conditions, bactericidal activity is shown at the in-use concentration of </w:t>
      </w:r>
      <w:r>
        <w:rPr>
          <w:lang w:eastAsia="en-US"/>
        </w:rPr>
        <w:t>100 % v/v.</w:t>
      </w:r>
    </w:p>
    <w:p w14:paraId="1C2E10C6" w14:textId="77777777" w:rsidR="00CC62FC" w:rsidRDefault="00CC62FC" w:rsidP="00CC62FC">
      <w:pPr>
        <w:spacing w:line="260" w:lineRule="atLeast"/>
        <w:contextualSpacing/>
        <w:jc w:val="both"/>
        <w:rPr>
          <w:lang w:eastAsia="en-US"/>
        </w:rPr>
      </w:pPr>
      <w:r>
        <w:rPr>
          <w:lang w:eastAsia="en-US"/>
        </w:rPr>
        <w:t>Activity against</w:t>
      </w:r>
      <w:r w:rsidRPr="00766B91">
        <w:rPr>
          <w:rFonts w:eastAsia="Calibri"/>
          <w:lang w:eastAsia="en-US"/>
        </w:rPr>
        <w:t xml:space="preserve"> additional strain</w:t>
      </w:r>
      <w:r>
        <w:rPr>
          <w:rFonts w:eastAsia="Calibri"/>
          <w:lang w:eastAsia="en-US"/>
        </w:rPr>
        <w:t>s</w:t>
      </w:r>
      <w:r w:rsidRPr="00766B91">
        <w:rPr>
          <w:rFonts w:eastAsia="Calibri"/>
          <w:lang w:eastAsia="en-US"/>
        </w:rPr>
        <w:t xml:space="preserve"> </w:t>
      </w:r>
      <w:r w:rsidRPr="001D704F">
        <w:rPr>
          <w:rFonts w:eastAsia="Calibri"/>
          <w:i/>
          <w:lang w:eastAsia="en-US"/>
        </w:rPr>
        <w:t xml:space="preserve">Salmonella </w:t>
      </w:r>
      <w:r w:rsidRPr="00C914AE">
        <w:rPr>
          <w:rFonts w:eastAsia="Calibri"/>
          <w:lang w:eastAsia="en-US"/>
        </w:rPr>
        <w:t>Typhimurium</w:t>
      </w:r>
      <w:r w:rsidRPr="00766B91">
        <w:rPr>
          <w:rFonts w:eastAsia="Calibri"/>
          <w:lang w:eastAsia="en-US"/>
        </w:rPr>
        <w:t xml:space="preserve"> and </w:t>
      </w:r>
      <w:r w:rsidRPr="001D704F">
        <w:rPr>
          <w:rFonts w:eastAsia="Calibri"/>
          <w:i/>
          <w:lang w:eastAsia="en-US"/>
        </w:rPr>
        <w:t>Listeria monocytogenes</w:t>
      </w:r>
      <w:r w:rsidRPr="003D493E">
        <w:rPr>
          <w:lang w:eastAsia="en-US"/>
        </w:rPr>
        <w:t xml:space="preserve"> is demonstrated </w:t>
      </w:r>
      <w:r>
        <w:rPr>
          <w:lang w:eastAsia="en-US"/>
        </w:rPr>
        <w:t>in phase 2, step</w:t>
      </w:r>
      <w:r w:rsidRPr="003D493E">
        <w:rPr>
          <w:lang w:eastAsia="en-US"/>
        </w:rPr>
        <w:t xml:space="preserve"> </w:t>
      </w:r>
      <w:r>
        <w:rPr>
          <w:lang w:eastAsia="en-US"/>
        </w:rPr>
        <w:t xml:space="preserve">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in dirty conditions (3.0 g/L BSA)</w:t>
      </w:r>
      <w:r>
        <w:rPr>
          <w:lang w:eastAsia="en-US"/>
        </w:rPr>
        <w:t>, at 100% v/v</w:t>
      </w:r>
      <w:r w:rsidRPr="00B63AC7">
        <w:rPr>
          <w:lang w:eastAsia="en-US"/>
        </w:rPr>
        <w:t>.</w:t>
      </w:r>
    </w:p>
    <w:p w14:paraId="2E464E6D" w14:textId="77777777" w:rsidR="00CC62FC" w:rsidRDefault="00CC62FC" w:rsidP="00CC62FC">
      <w:pPr>
        <w:spacing w:line="260" w:lineRule="atLeast"/>
        <w:jc w:val="both"/>
        <w:rPr>
          <w:rFonts w:ascii="Times New Roman" w:eastAsia="Calibri" w:hAnsi="Times New Roman" w:cs="Arial"/>
          <w:bCs/>
          <w:caps/>
          <w:szCs w:val="28"/>
          <w:lang w:eastAsia="en-US"/>
        </w:rPr>
      </w:pPr>
    </w:p>
    <w:p w14:paraId="5A3B84E9" w14:textId="77777777" w:rsidR="00CC62FC" w:rsidRDefault="00CC62FC" w:rsidP="00CC62FC">
      <w:pPr>
        <w:spacing w:line="260" w:lineRule="atLeast"/>
        <w:contextualSpacing/>
        <w:jc w:val="both"/>
        <w:rPr>
          <w:lang w:eastAsia="en-US"/>
        </w:rPr>
      </w:pPr>
      <w:r>
        <w:rPr>
          <w:lang w:eastAsia="en-US"/>
        </w:rPr>
        <w:t>Yeasticidal</w:t>
      </w:r>
      <w:r w:rsidRPr="003D493E">
        <w:rPr>
          <w:lang w:eastAsia="en-US"/>
        </w:rPr>
        <w:t xml:space="preserve"> activity</w:t>
      </w:r>
      <w:r>
        <w:rPr>
          <w:lang w:eastAsia="en-US"/>
        </w:rPr>
        <w:t xml:space="preserve"> </w:t>
      </w:r>
      <w:r w:rsidRPr="003D493E">
        <w:rPr>
          <w:lang w:eastAsia="en-US"/>
        </w:rPr>
        <w:t xml:space="preserve">is demonstrated </w:t>
      </w:r>
      <w:r>
        <w:rPr>
          <w:lang w:eastAsia="en-US"/>
        </w:rPr>
        <w:t>in phase 2, steps</w:t>
      </w:r>
      <w:r w:rsidRPr="003D493E">
        <w:rPr>
          <w:lang w:eastAsia="en-US"/>
        </w:rPr>
        <w:t xml:space="preserve"> </w:t>
      </w:r>
      <w:r>
        <w:rPr>
          <w:lang w:eastAsia="en-US"/>
        </w:rPr>
        <w:t>1 and 2 tests (EN 1650 and EN 13697)</w:t>
      </w:r>
      <w:r w:rsidRPr="003D493E">
        <w:rPr>
          <w:lang w:eastAsia="en-US"/>
        </w:rPr>
        <w:t xml:space="preserve">, at </w:t>
      </w:r>
      <w:r>
        <w:rPr>
          <w:lang w:eastAsia="en-US"/>
        </w:rPr>
        <w:t xml:space="preserve">20 </w:t>
      </w:r>
      <w:r w:rsidRPr="003D493E">
        <w:rPr>
          <w:lang w:eastAsia="en-US"/>
        </w:rPr>
        <w:t xml:space="preserve">°C, </w:t>
      </w:r>
      <w:r>
        <w:rPr>
          <w:lang w:eastAsia="en-US"/>
        </w:rPr>
        <w:t xml:space="preserve">with a </w:t>
      </w:r>
      <w:r w:rsidRPr="003D493E">
        <w:rPr>
          <w:lang w:eastAsia="en-US"/>
        </w:rPr>
        <w:t xml:space="preserve">contact time of </w:t>
      </w:r>
      <w:r>
        <w:rPr>
          <w:lang w:eastAsia="en-US"/>
        </w:rPr>
        <w:t xml:space="preserve">15 </w:t>
      </w:r>
      <w:r w:rsidRPr="003D493E">
        <w:rPr>
          <w:lang w:eastAsia="en-US"/>
        </w:rPr>
        <w:t>minutes</w:t>
      </w:r>
      <w:r>
        <w:rPr>
          <w:lang w:eastAsia="en-US"/>
        </w:rPr>
        <w:t xml:space="preserve">, </w:t>
      </w:r>
      <w:r w:rsidRPr="00B63AC7">
        <w:rPr>
          <w:lang w:eastAsia="en-US"/>
        </w:rPr>
        <w:t>in dirty conditions (3.0 g/L BSA).</w:t>
      </w:r>
      <w:r>
        <w:rPr>
          <w:lang w:eastAsia="en-US"/>
        </w:rPr>
        <w:t xml:space="preserve"> </w:t>
      </w:r>
      <w:r w:rsidRPr="003D493E">
        <w:rPr>
          <w:lang w:eastAsia="en-US"/>
        </w:rPr>
        <w:t xml:space="preserve">In these conditions, </w:t>
      </w:r>
      <w:r>
        <w:rPr>
          <w:lang w:eastAsia="en-US"/>
        </w:rPr>
        <w:t>yeasticidal</w:t>
      </w:r>
      <w:r w:rsidRPr="003D493E">
        <w:rPr>
          <w:lang w:eastAsia="en-US"/>
        </w:rPr>
        <w:t xml:space="preserve"> activity is shown at the in-use concentration of </w:t>
      </w:r>
      <w:r>
        <w:rPr>
          <w:lang w:eastAsia="en-US"/>
        </w:rPr>
        <w:t>100% v/v.</w:t>
      </w:r>
    </w:p>
    <w:p w14:paraId="3866CC44" w14:textId="77777777" w:rsidR="00CC62FC" w:rsidRDefault="00CC62FC" w:rsidP="00CC62FC">
      <w:pPr>
        <w:spacing w:line="260" w:lineRule="atLeast"/>
        <w:contextualSpacing/>
        <w:jc w:val="both"/>
        <w:rPr>
          <w:lang w:eastAsia="en-US"/>
        </w:rPr>
      </w:pPr>
    </w:p>
    <w:p w14:paraId="5AB71C93" w14:textId="77777777" w:rsidR="00CC62FC" w:rsidRDefault="00CC62FC" w:rsidP="00CC62FC">
      <w:pPr>
        <w:spacing w:line="260" w:lineRule="atLeast"/>
        <w:contextualSpacing/>
        <w:jc w:val="both"/>
        <w:rPr>
          <w:lang w:eastAsia="en-US"/>
        </w:rPr>
      </w:pPr>
      <w:r>
        <w:rPr>
          <w:lang w:eastAsia="en-US"/>
        </w:rPr>
        <w:t>B</w:t>
      </w:r>
      <w:r w:rsidRPr="003D493E">
        <w:rPr>
          <w:lang w:eastAsia="en-US"/>
        </w:rPr>
        <w:t xml:space="preserve">actericidal </w:t>
      </w:r>
      <w:r>
        <w:rPr>
          <w:lang w:eastAsia="en-US"/>
        </w:rPr>
        <w:t xml:space="preserve">and yeasticidal </w:t>
      </w:r>
      <w:r w:rsidRPr="003D493E">
        <w:rPr>
          <w:lang w:eastAsia="en-US"/>
        </w:rPr>
        <w:t>activit</w:t>
      </w:r>
      <w:r>
        <w:rPr>
          <w:lang w:eastAsia="en-US"/>
        </w:rPr>
        <w:t>ies are</w:t>
      </w:r>
      <w:r w:rsidRPr="003D493E">
        <w:rPr>
          <w:lang w:eastAsia="en-US"/>
        </w:rPr>
        <w:t xml:space="preserve"> </w:t>
      </w:r>
      <w:r>
        <w:rPr>
          <w:lang w:eastAsia="en-US"/>
        </w:rPr>
        <w:t xml:space="preserve">also </w:t>
      </w:r>
      <w:r w:rsidRPr="003D493E">
        <w:rPr>
          <w:lang w:eastAsia="en-US"/>
        </w:rPr>
        <w:t xml:space="preserve">demonstrated </w:t>
      </w:r>
      <w:r>
        <w:rPr>
          <w:lang w:eastAsia="en-US"/>
        </w:rPr>
        <w:t>in phase 2, step</w:t>
      </w:r>
      <w:r w:rsidRPr="003D493E">
        <w:rPr>
          <w:lang w:eastAsia="en-US"/>
        </w:rPr>
        <w:t xml:space="preserve"> </w:t>
      </w:r>
      <w:r>
        <w:rPr>
          <w:lang w:eastAsia="en-US"/>
        </w:rPr>
        <w:t>2 test (EN 16615)</w:t>
      </w:r>
      <w:r w:rsidRPr="003D493E">
        <w:rPr>
          <w:lang w:eastAsia="en-US"/>
        </w:rPr>
        <w:t xml:space="preserve">, at </w:t>
      </w:r>
      <w:r>
        <w:rPr>
          <w:lang w:eastAsia="en-US"/>
        </w:rPr>
        <w:t>20</w:t>
      </w:r>
      <w:r w:rsidRPr="003D493E">
        <w:rPr>
          <w:lang w:eastAsia="en-US"/>
        </w:rPr>
        <w:t xml:space="preserve">°C, </w:t>
      </w:r>
      <w:r>
        <w:rPr>
          <w:lang w:eastAsia="en-US"/>
        </w:rPr>
        <w:t xml:space="preserve">with a </w:t>
      </w:r>
      <w:r w:rsidRPr="003D493E">
        <w:rPr>
          <w:lang w:eastAsia="en-US"/>
        </w:rPr>
        <w:t xml:space="preserve">contact time of </w:t>
      </w:r>
      <w:r>
        <w:rPr>
          <w:lang w:eastAsia="en-US"/>
        </w:rPr>
        <w:t>5</w:t>
      </w:r>
      <w:r w:rsidRPr="003D493E">
        <w:rPr>
          <w:lang w:eastAsia="en-US"/>
        </w:rPr>
        <w:t xml:space="preserve"> minutes</w:t>
      </w:r>
      <w:r>
        <w:rPr>
          <w:lang w:eastAsia="en-US"/>
        </w:rPr>
        <w:t xml:space="preserve">, </w:t>
      </w:r>
      <w:r w:rsidRPr="00B63AC7">
        <w:rPr>
          <w:lang w:eastAsia="en-US"/>
        </w:rPr>
        <w:t>in dirty conditions (3.0 g/L BSA).</w:t>
      </w:r>
      <w:r>
        <w:rPr>
          <w:lang w:eastAsia="en-US"/>
        </w:rPr>
        <w:t xml:space="preserve"> </w:t>
      </w:r>
      <w:r w:rsidRPr="003D493E">
        <w:rPr>
          <w:lang w:eastAsia="en-US"/>
        </w:rPr>
        <w:t>In these conditions, bactericidal</w:t>
      </w:r>
      <w:r>
        <w:rPr>
          <w:lang w:eastAsia="en-US"/>
        </w:rPr>
        <w:t xml:space="preserve"> 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100 % and 10% v/v, respectively.</w:t>
      </w:r>
    </w:p>
    <w:p w14:paraId="3DD0255E" w14:textId="77777777" w:rsidR="00CC62FC" w:rsidRDefault="00CC62FC" w:rsidP="00CC62FC">
      <w:pPr>
        <w:spacing w:line="260" w:lineRule="atLeast"/>
        <w:jc w:val="both"/>
        <w:rPr>
          <w:rFonts w:ascii="Times New Roman" w:eastAsia="Calibri" w:hAnsi="Times New Roman" w:cs="Arial"/>
          <w:bCs/>
          <w:i/>
          <w:caps/>
          <w:szCs w:val="28"/>
          <w:lang w:eastAsia="en-US"/>
        </w:rPr>
      </w:pPr>
    </w:p>
    <w:p w14:paraId="75366B8D" w14:textId="77777777" w:rsidR="00CC62FC" w:rsidRDefault="00CC62FC" w:rsidP="00CC62FC">
      <w:pPr>
        <w:spacing w:line="260" w:lineRule="atLeast"/>
        <w:jc w:val="both"/>
        <w:rPr>
          <w:rFonts w:ascii="Times New Roman" w:eastAsia="Calibri" w:hAnsi="Times New Roman" w:cs="Arial"/>
          <w:bCs/>
          <w:i/>
          <w:caps/>
          <w:szCs w:val="28"/>
          <w:lang w:eastAsia="en-US"/>
        </w:rPr>
      </w:pPr>
    </w:p>
    <w:p w14:paraId="02146A38" w14:textId="4C3ED58A" w:rsidR="00CC62FC" w:rsidRDefault="00CC62FC" w:rsidP="00CC62FC">
      <w:pPr>
        <w:spacing w:line="260" w:lineRule="atLeast"/>
        <w:jc w:val="both"/>
        <w:rPr>
          <w:rFonts w:ascii="Times New Roman" w:eastAsia="Calibri" w:hAnsi="Times New Roman" w:cs="Arial"/>
          <w:bCs/>
          <w:i/>
          <w:caps/>
          <w:szCs w:val="28"/>
          <w:lang w:eastAsia="en-US"/>
        </w:rPr>
      </w:pPr>
    </w:p>
    <w:p w14:paraId="22FBEE44" w14:textId="23EDDBAC" w:rsidR="00CC62FC" w:rsidRDefault="00CC62FC" w:rsidP="00CC62FC">
      <w:pPr>
        <w:spacing w:line="260" w:lineRule="atLeast"/>
        <w:jc w:val="both"/>
        <w:rPr>
          <w:rFonts w:ascii="Times New Roman" w:eastAsia="Calibri" w:hAnsi="Times New Roman" w:cs="Arial"/>
          <w:bCs/>
          <w:i/>
          <w:caps/>
          <w:szCs w:val="28"/>
          <w:lang w:eastAsia="en-US"/>
        </w:rPr>
      </w:pPr>
    </w:p>
    <w:p w14:paraId="71B73168" w14:textId="5ADE0DE9" w:rsidR="00CC62FC" w:rsidRDefault="00CC62FC" w:rsidP="0015321A">
      <w:pPr>
        <w:jc w:val="center"/>
        <w:rPr>
          <w:b/>
          <w:color w:val="000000"/>
          <w:sz w:val="18"/>
          <w:szCs w:val="18"/>
        </w:rPr>
        <w:sectPr w:rsidR="00CC62FC" w:rsidSect="0073642B">
          <w:pgSz w:w="11906" w:h="16838"/>
          <w:pgMar w:top="1474" w:right="1247" w:bottom="2013" w:left="1446"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60"/>
        <w:gridCol w:w="1840"/>
        <w:gridCol w:w="709"/>
        <w:gridCol w:w="1666"/>
        <w:gridCol w:w="1126"/>
        <w:gridCol w:w="2971"/>
        <w:gridCol w:w="2070"/>
        <w:gridCol w:w="1399"/>
      </w:tblGrid>
      <w:tr w:rsidR="00CC62FC" w:rsidRPr="00FD2055" w14:paraId="38D22D1A" w14:textId="77777777" w:rsidTr="00FE67A2">
        <w:trPr>
          <w:trHeight w:val="303"/>
          <w:tblHeader/>
          <w:jc w:val="center"/>
        </w:trPr>
        <w:tc>
          <w:tcPr>
            <w:tcW w:w="0" w:type="auto"/>
            <w:gridSpan w:val="8"/>
            <w:shd w:val="clear" w:color="auto" w:fill="FFFFCC"/>
            <w:vAlign w:val="center"/>
          </w:tcPr>
          <w:p w14:paraId="120A8663" w14:textId="3413ABEB" w:rsidR="00CC62FC" w:rsidRPr="00FD2055" w:rsidRDefault="00CC62FC" w:rsidP="0015321A">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4</w:t>
            </w:r>
          </w:p>
        </w:tc>
      </w:tr>
      <w:tr w:rsidR="00CC62FC" w:rsidRPr="00FD2055" w14:paraId="03E20567" w14:textId="77777777" w:rsidTr="0015321A">
        <w:trPr>
          <w:jc w:val="center"/>
        </w:trPr>
        <w:tc>
          <w:tcPr>
            <w:tcW w:w="0" w:type="auto"/>
            <w:shd w:val="clear" w:color="auto" w:fill="FFFFFF"/>
          </w:tcPr>
          <w:p w14:paraId="72190D91" w14:textId="77777777" w:rsidR="00CC62FC" w:rsidRPr="00FD2055" w:rsidRDefault="00CC62FC" w:rsidP="0015321A">
            <w:pPr>
              <w:jc w:val="center"/>
              <w:rPr>
                <w:b/>
                <w:color w:val="000000"/>
                <w:sz w:val="18"/>
                <w:szCs w:val="18"/>
              </w:rPr>
            </w:pPr>
            <w:r w:rsidRPr="00FD2055">
              <w:rPr>
                <w:b/>
                <w:color w:val="000000"/>
                <w:sz w:val="18"/>
                <w:szCs w:val="18"/>
              </w:rPr>
              <w:t>Function</w:t>
            </w:r>
          </w:p>
        </w:tc>
        <w:tc>
          <w:tcPr>
            <w:tcW w:w="0" w:type="auto"/>
            <w:shd w:val="clear" w:color="auto" w:fill="FFFFFF"/>
          </w:tcPr>
          <w:p w14:paraId="462A6CAF" w14:textId="77777777" w:rsidR="00CC62FC" w:rsidRPr="00FD2055" w:rsidRDefault="00CC62FC" w:rsidP="0015321A">
            <w:pPr>
              <w:rPr>
                <w:b/>
                <w:color w:val="000000"/>
                <w:sz w:val="18"/>
                <w:szCs w:val="18"/>
              </w:rPr>
            </w:pPr>
            <w:r w:rsidRPr="00FD2055">
              <w:rPr>
                <w:b/>
                <w:color w:val="000000"/>
                <w:sz w:val="18"/>
                <w:szCs w:val="18"/>
              </w:rPr>
              <w:t>Field of use envisaged</w:t>
            </w:r>
          </w:p>
        </w:tc>
        <w:tc>
          <w:tcPr>
            <w:tcW w:w="0" w:type="auto"/>
            <w:shd w:val="clear" w:color="auto" w:fill="FFFFFF"/>
          </w:tcPr>
          <w:p w14:paraId="64985CE6" w14:textId="77777777" w:rsidR="00CC62FC" w:rsidRPr="00FD2055" w:rsidRDefault="00CC62FC"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0" w:type="auto"/>
            <w:shd w:val="clear" w:color="auto" w:fill="FFFFFF"/>
          </w:tcPr>
          <w:p w14:paraId="4430CFE7" w14:textId="77777777" w:rsidR="00CC62FC" w:rsidRPr="00FD2055" w:rsidRDefault="00CC62FC" w:rsidP="0015321A">
            <w:pPr>
              <w:rPr>
                <w:b/>
                <w:i/>
                <w:color w:val="000000"/>
                <w:sz w:val="18"/>
                <w:szCs w:val="18"/>
              </w:rPr>
            </w:pPr>
            <w:r w:rsidRPr="00FD2055">
              <w:rPr>
                <w:b/>
                <w:color w:val="000000"/>
                <w:sz w:val="18"/>
                <w:szCs w:val="18"/>
              </w:rPr>
              <w:t>Test organism(s)</w:t>
            </w:r>
          </w:p>
        </w:tc>
        <w:tc>
          <w:tcPr>
            <w:tcW w:w="0" w:type="auto"/>
            <w:shd w:val="clear" w:color="auto" w:fill="FFFFFF"/>
          </w:tcPr>
          <w:p w14:paraId="1FA49D6C" w14:textId="77777777" w:rsidR="00CC62FC" w:rsidRPr="00FD2055" w:rsidRDefault="00CC62FC" w:rsidP="0015321A">
            <w:pPr>
              <w:rPr>
                <w:b/>
                <w:color w:val="000000"/>
                <w:sz w:val="18"/>
                <w:szCs w:val="18"/>
              </w:rPr>
            </w:pPr>
            <w:r w:rsidRPr="00FD2055">
              <w:rPr>
                <w:b/>
                <w:color w:val="000000"/>
                <w:sz w:val="18"/>
                <w:szCs w:val="18"/>
              </w:rPr>
              <w:t>Test method</w:t>
            </w:r>
          </w:p>
        </w:tc>
        <w:tc>
          <w:tcPr>
            <w:tcW w:w="2971" w:type="dxa"/>
            <w:shd w:val="clear" w:color="auto" w:fill="FFFFFF"/>
          </w:tcPr>
          <w:p w14:paraId="0937FD2C" w14:textId="77777777" w:rsidR="00CC62FC" w:rsidRPr="00FD2055" w:rsidRDefault="00CC62FC" w:rsidP="0015321A">
            <w:pPr>
              <w:rPr>
                <w:b/>
                <w:color w:val="000000"/>
                <w:sz w:val="18"/>
                <w:szCs w:val="18"/>
              </w:rPr>
            </w:pPr>
            <w:r w:rsidRPr="00FD2055">
              <w:rPr>
                <w:b/>
                <w:color w:val="000000"/>
                <w:sz w:val="18"/>
                <w:szCs w:val="18"/>
              </w:rPr>
              <w:t>Test system / concentrations applied / exposure time</w:t>
            </w:r>
          </w:p>
        </w:tc>
        <w:tc>
          <w:tcPr>
            <w:tcW w:w="2070" w:type="dxa"/>
            <w:shd w:val="clear" w:color="auto" w:fill="FFFFFF"/>
          </w:tcPr>
          <w:p w14:paraId="43F838A8" w14:textId="77777777" w:rsidR="00CC62FC" w:rsidRPr="00FD2055" w:rsidRDefault="00CC62FC" w:rsidP="0015321A">
            <w:pPr>
              <w:rPr>
                <w:b/>
                <w:color w:val="000000"/>
                <w:sz w:val="18"/>
                <w:szCs w:val="18"/>
              </w:rPr>
            </w:pPr>
            <w:r w:rsidRPr="00FD2055">
              <w:rPr>
                <w:b/>
                <w:color w:val="000000"/>
                <w:sz w:val="18"/>
                <w:szCs w:val="18"/>
              </w:rPr>
              <w:t>Test results: effects</w:t>
            </w:r>
          </w:p>
        </w:tc>
        <w:tc>
          <w:tcPr>
            <w:tcW w:w="0" w:type="auto"/>
            <w:shd w:val="clear" w:color="auto" w:fill="FFFFFF"/>
          </w:tcPr>
          <w:p w14:paraId="24A25D4C" w14:textId="77777777" w:rsidR="00CC62FC" w:rsidRPr="00FD2055" w:rsidRDefault="00CC62FC" w:rsidP="0015321A">
            <w:pPr>
              <w:rPr>
                <w:b/>
                <w:color w:val="000000"/>
                <w:sz w:val="18"/>
                <w:szCs w:val="18"/>
              </w:rPr>
            </w:pPr>
            <w:r w:rsidRPr="00FD2055">
              <w:rPr>
                <w:b/>
                <w:color w:val="000000"/>
                <w:sz w:val="18"/>
                <w:szCs w:val="18"/>
              </w:rPr>
              <w:t>Reference</w:t>
            </w:r>
          </w:p>
        </w:tc>
      </w:tr>
      <w:tr w:rsidR="00CC62FC" w14:paraId="2802908B" w14:textId="77777777" w:rsidTr="0015321A">
        <w:trPr>
          <w:jc w:val="center"/>
        </w:trPr>
        <w:tc>
          <w:tcPr>
            <w:tcW w:w="0" w:type="auto"/>
            <w:vAlign w:val="center"/>
          </w:tcPr>
          <w:p w14:paraId="10F5FD43" w14:textId="77777777" w:rsidR="00CC62FC" w:rsidRDefault="00CC62FC" w:rsidP="0015321A">
            <w:pPr>
              <w:rPr>
                <w:color w:val="000000"/>
                <w:sz w:val="18"/>
                <w:szCs w:val="18"/>
              </w:rPr>
            </w:pPr>
            <w:r>
              <w:rPr>
                <w:color w:val="000000"/>
                <w:sz w:val="18"/>
                <w:szCs w:val="18"/>
              </w:rPr>
              <w:t>Disinfectant, bactericidal activity</w:t>
            </w:r>
          </w:p>
        </w:tc>
        <w:tc>
          <w:tcPr>
            <w:tcW w:w="0" w:type="auto"/>
            <w:vAlign w:val="center"/>
          </w:tcPr>
          <w:p w14:paraId="4801B9B3" w14:textId="77777777" w:rsidR="00CC62FC" w:rsidRDefault="00CC62FC" w:rsidP="0015321A">
            <w:pPr>
              <w:rPr>
                <w:color w:val="000000"/>
                <w:sz w:val="18"/>
                <w:szCs w:val="18"/>
              </w:rPr>
            </w:pPr>
            <w:r>
              <w:rPr>
                <w:color w:val="000000"/>
                <w:sz w:val="18"/>
                <w:szCs w:val="18"/>
              </w:rPr>
              <w:t>Institutional, industrial, healthcare facilities and food preparation and handling areas</w:t>
            </w:r>
          </w:p>
        </w:tc>
        <w:tc>
          <w:tcPr>
            <w:tcW w:w="0" w:type="auto"/>
            <w:vAlign w:val="center"/>
          </w:tcPr>
          <w:p w14:paraId="053DD103" w14:textId="77777777" w:rsidR="00CC62FC" w:rsidRDefault="00CC62FC" w:rsidP="0015321A">
            <w:pPr>
              <w:rPr>
                <w:color w:val="000000"/>
                <w:sz w:val="18"/>
                <w:szCs w:val="18"/>
              </w:rPr>
            </w:pPr>
            <w:r>
              <w:rPr>
                <w:color w:val="000000"/>
                <w:sz w:val="18"/>
                <w:szCs w:val="18"/>
              </w:rPr>
              <w:t>AL-S4-1-0</w:t>
            </w:r>
          </w:p>
          <w:p w14:paraId="2F88106C" w14:textId="1AD35115" w:rsidR="00CC62FC" w:rsidRDefault="003B05F7" w:rsidP="0015321A">
            <w:pPr>
              <w:rPr>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11EAB8C8" w14:textId="77777777" w:rsidR="00CC62FC" w:rsidRPr="00D016EC" w:rsidRDefault="00CC62FC"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0" w:type="auto"/>
            <w:vAlign w:val="center"/>
          </w:tcPr>
          <w:p w14:paraId="74BF9750" w14:textId="77777777" w:rsidR="00CC62FC" w:rsidRDefault="00CC62FC" w:rsidP="0015321A">
            <w:pPr>
              <w:rPr>
                <w:color w:val="000000"/>
                <w:sz w:val="18"/>
                <w:szCs w:val="18"/>
              </w:rPr>
            </w:pPr>
            <w:r>
              <w:rPr>
                <w:color w:val="000000"/>
                <w:sz w:val="18"/>
                <w:szCs w:val="18"/>
              </w:rPr>
              <w:t>NF EN 1276 (March 2010)</w:t>
            </w:r>
          </w:p>
        </w:tc>
        <w:tc>
          <w:tcPr>
            <w:tcW w:w="2971" w:type="dxa"/>
            <w:vAlign w:val="center"/>
          </w:tcPr>
          <w:p w14:paraId="751CBCEA" w14:textId="77777777" w:rsidR="00CC62FC" w:rsidRDefault="00CC62FC" w:rsidP="0015321A">
            <w:pPr>
              <w:rPr>
                <w:color w:val="000000"/>
                <w:sz w:val="18"/>
                <w:szCs w:val="18"/>
              </w:rPr>
            </w:pPr>
            <w:r>
              <w:rPr>
                <w:color w:val="000000"/>
                <w:sz w:val="18"/>
                <w:szCs w:val="18"/>
              </w:rPr>
              <w:t>Phase 2 step 1 (suspension test)</w:t>
            </w:r>
          </w:p>
          <w:p w14:paraId="6A8849BA" w14:textId="77777777" w:rsidR="00CC62FC" w:rsidRDefault="00CC62FC" w:rsidP="0015321A">
            <w:pPr>
              <w:rPr>
                <w:color w:val="000000"/>
                <w:sz w:val="18"/>
                <w:szCs w:val="18"/>
              </w:rPr>
            </w:pPr>
            <w:r>
              <w:rPr>
                <w:color w:val="000000"/>
                <w:sz w:val="18"/>
                <w:szCs w:val="18"/>
              </w:rPr>
              <w:t xml:space="preserve">Concentrations of product tested (v/v): 1%, 20%, 40%, 80% </w:t>
            </w:r>
          </w:p>
          <w:p w14:paraId="098153FE" w14:textId="4388C82C" w:rsidR="00CC62FC" w:rsidRDefault="00CC62FC" w:rsidP="0015321A">
            <w:pPr>
              <w:rPr>
                <w:color w:val="000000"/>
                <w:sz w:val="18"/>
                <w:szCs w:val="18"/>
              </w:rPr>
            </w:pPr>
            <w:r>
              <w:rPr>
                <w:color w:val="000000"/>
                <w:sz w:val="18"/>
                <w:szCs w:val="18"/>
              </w:rPr>
              <w:t xml:space="preserve">Contact time: 5 minutes </w:t>
            </w:r>
          </w:p>
          <w:p w14:paraId="417FEE92" w14:textId="77777777" w:rsidR="00CC62FC" w:rsidRDefault="00CC62FC" w:rsidP="0015321A">
            <w:pPr>
              <w:rPr>
                <w:color w:val="000000"/>
                <w:sz w:val="18"/>
                <w:szCs w:val="18"/>
              </w:rPr>
            </w:pPr>
            <w:r>
              <w:rPr>
                <w:color w:val="000000"/>
                <w:sz w:val="18"/>
                <w:szCs w:val="18"/>
              </w:rPr>
              <w:t>Temperature: 20°C</w:t>
            </w:r>
          </w:p>
          <w:p w14:paraId="63F032D3" w14:textId="77777777" w:rsidR="00CC62FC" w:rsidRDefault="00CC62FC" w:rsidP="0015321A">
            <w:pPr>
              <w:rPr>
                <w:color w:val="000000"/>
                <w:sz w:val="18"/>
                <w:szCs w:val="18"/>
              </w:rPr>
            </w:pPr>
            <w:r>
              <w:rPr>
                <w:color w:val="000000"/>
                <w:sz w:val="18"/>
                <w:szCs w:val="18"/>
              </w:rPr>
              <w:t xml:space="preserve">Dirty conditions: 3 g/L BSA </w:t>
            </w:r>
          </w:p>
          <w:p w14:paraId="10DAB60D" w14:textId="77777777" w:rsidR="00CC62FC" w:rsidRDefault="00CC62FC" w:rsidP="0015321A">
            <w:pPr>
              <w:rPr>
                <w:color w:val="000000"/>
                <w:sz w:val="18"/>
                <w:szCs w:val="18"/>
              </w:rPr>
            </w:pPr>
            <w:r>
              <w:rPr>
                <w:color w:val="000000"/>
                <w:sz w:val="18"/>
                <w:szCs w:val="18"/>
              </w:rPr>
              <w:t>Criteria: ≥ 5 log unit reduction</w:t>
            </w:r>
          </w:p>
        </w:tc>
        <w:tc>
          <w:tcPr>
            <w:tcW w:w="2070" w:type="dxa"/>
            <w:vAlign w:val="center"/>
          </w:tcPr>
          <w:p w14:paraId="3186CBB1" w14:textId="77777777" w:rsidR="00CC62FC" w:rsidRDefault="00CC62FC" w:rsidP="0015321A">
            <w:pPr>
              <w:rPr>
                <w:color w:val="000000"/>
                <w:sz w:val="18"/>
                <w:szCs w:val="18"/>
              </w:rPr>
            </w:pPr>
          </w:p>
          <w:p w14:paraId="1B411D45" w14:textId="77777777" w:rsidR="00CC62FC" w:rsidRDefault="00CC62FC" w:rsidP="0015321A">
            <w:pPr>
              <w:snapToGrid w:val="0"/>
              <w:rPr>
                <w:color w:val="000000"/>
                <w:sz w:val="18"/>
                <w:szCs w:val="18"/>
              </w:rPr>
            </w:pPr>
            <w:r>
              <w:rPr>
                <w:color w:val="000000"/>
                <w:sz w:val="18"/>
                <w:szCs w:val="18"/>
              </w:rPr>
              <w:t>Bactericidal activity demonstrated at 40 % v/v</w:t>
            </w:r>
          </w:p>
          <w:p w14:paraId="2C0C9CFC" w14:textId="77777777" w:rsidR="00CC62FC" w:rsidRDefault="00CC62FC" w:rsidP="0015321A">
            <w:pPr>
              <w:rPr>
                <w:color w:val="000000"/>
                <w:sz w:val="18"/>
                <w:szCs w:val="18"/>
              </w:rPr>
            </w:pPr>
          </w:p>
        </w:tc>
        <w:tc>
          <w:tcPr>
            <w:tcW w:w="0" w:type="auto"/>
            <w:vAlign w:val="center"/>
          </w:tcPr>
          <w:p w14:paraId="7AEF3CDF" w14:textId="77777777" w:rsidR="00CC62FC" w:rsidRDefault="00CC62FC" w:rsidP="0015321A">
            <w:pPr>
              <w:rPr>
                <w:color w:val="000000"/>
                <w:sz w:val="18"/>
                <w:szCs w:val="18"/>
              </w:rPr>
            </w:pPr>
            <w:r>
              <w:rPr>
                <w:color w:val="000000"/>
                <w:sz w:val="18"/>
                <w:szCs w:val="18"/>
              </w:rPr>
              <w:t>Huguet N., 2018, Report No 18.CM.18-081</w:t>
            </w:r>
          </w:p>
          <w:p w14:paraId="46FF223C" w14:textId="77777777" w:rsidR="00CC62FC" w:rsidRDefault="00CC62FC" w:rsidP="0015321A">
            <w:pPr>
              <w:rPr>
                <w:color w:val="000000"/>
                <w:sz w:val="18"/>
                <w:szCs w:val="18"/>
              </w:rPr>
            </w:pPr>
          </w:p>
          <w:p w14:paraId="44D12EF0" w14:textId="77777777" w:rsidR="00CC62FC" w:rsidRDefault="00CC62FC" w:rsidP="0015321A">
            <w:pPr>
              <w:rPr>
                <w:color w:val="000000"/>
                <w:sz w:val="18"/>
                <w:szCs w:val="18"/>
              </w:rPr>
            </w:pPr>
            <w:r>
              <w:rPr>
                <w:color w:val="000000"/>
                <w:sz w:val="18"/>
                <w:szCs w:val="18"/>
              </w:rPr>
              <w:t>RI=1</w:t>
            </w:r>
          </w:p>
        </w:tc>
      </w:tr>
      <w:tr w:rsidR="00CC62FC" w14:paraId="302C5771" w14:textId="77777777" w:rsidTr="0015321A">
        <w:trPr>
          <w:jc w:val="center"/>
        </w:trPr>
        <w:tc>
          <w:tcPr>
            <w:tcW w:w="0" w:type="auto"/>
            <w:vAlign w:val="center"/>
          </w:tcPr>
          <w:p w14:paraId="056FF8CB" w14:textId="77777777" w:rsidR="00CC62FC" w:rsidRDefault="00CC62FC" w:rsidP="0015321A">
            <w:pPr>
              <w:rPr>
                <w:color w:val="000000"/>
                <w:sz w:val="18"/>
                <w:szCs w:val="18"/>
              </w:rPr>
            </w:pPr>
            <w:r>
              <w:rPr>
                <w:color w:val="000000"/>
                <w:sz w:val="18"/>
                <w:szCs w:val="18"/>
              </w:rPr>
              <w:t>Disinfectant, yeasticidal activity</w:t>
            </w:r>
          </w:p>
        </w:tc>
        <w:tc>
          <w:tcPr>
            <w:tcW w:w="0" w:type="auto"/>
            <w:vAlign w:val="center"/>
          </w:tcPr>
          <w:p w14:paraId="33A8447C" w14:textId="77777777" w:rsidR="00CC62FC" w:rsidRDefault="00CC62FC" w:rsidP="0015321A">
            <w:pPr>
              <w:rPr>
                <w:color w:val="000000"/>
                <w:sz w:val="18"/>
                <w:szCs w:val="18"/>
              </w:rPr>
            </w:pPr>
            <w:r>
              <w:rPr>
                <w:color w:val="000000"/>
                <w:sz w:val="18"/>
                <w:szCs w:val="18"/>
              </w:rPr>
              <w:t>Institutional, industrial, healthcare facilities and food preparation and handling areas</w:t>
            </w:r>
          </w:p>
        </w:tc>
        <w:tc>
          <w:tcPr>
            <w:tcW w:w="0" w:type="auto"/>
            <w:vAlign w:val="center"/>
          </w:tcPr>
          <w:p w14:paraId="5958207D" w14:textId="77777777" w:rsidR="00CC62FC" w:rsidRDefault="00CC62FC" w:rsidP="0015321A">
            <w:pPr>
              <w:rPr>
                <w:color w:val="000000"/>
                <w:sz w:val="18"/>
                <w:szCs w:val="18"/>
              </w:rPr>
            </w:pPr>
            <w:r>
              <w:rPr>
                <w:color w:val="000000"/>
                <w:sz w:val="18"/>
                <w:szCs w:val="18"/>
              </w:rPr>
              <w:t>AL-S4-1-0</w:t>
            </w:r>
          </w:p>
          <w:p w14:paraId="24E33447" w14:textId="22C2F1AB" w:rsidR="00CC62FC" w:rsidRDefault="003B05F7" w:rsidP="0015321A">
            <w:pPr>
              <w:rPr>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3B594B9B" w14:textId="77777777" w:rsidR="00CC62FC" w:rsidRPr="00AF1A0E" w:rsidRDefault="00CC62FC" w:rsidP="0015321A">
            <w:pPr>
              <w:rPr>
                <w:i/>
                <w:color w:val="000000"/>
                <w:sz w:val="18"/>
                <w:szCs w:val="18"/>
                <w:lang w:val="fr-FR"/>
              </w:rPr>
            </w:pPr>
            <w:r w:rsidRPr="005D3939">
              <w:rPr>
                <w:i/>
                <w:color w:val="000000"/>
                <w:sz w:val="18"/>
                <w:szCs w:val="18"/>
              </w:rPr>
              <w:t>Candida albicans</w:t>
            </w:r>
            <w:r>
              <w:rPr>
                <w:color w:val="000000"/>
                <w:sz w:val="18"/>
                <w:szCs w:val="18"/>
              </w:rPr>
              <w:t xml:space="preserve"> </w:t>
            </w:r>
          </w:p>
        </w:tc>
        <w:tc>
          <w:tcPr>
            <w:tcW w:w="0" w:type="auto"/>
            <w:vAlign w:val="center"/>
          </w:tcPr>
          <w:p w14:paraId="6BB63B8B" w14:textId="77777777" w:rsidR="00CC62FC" w:rsidRDefault="00CC62FC" w:rsidP="0015321A">
            <w:pPr>
              <w:rPr>
                <w:color w:val="000000"/>
                <w:sz w:val="18"/>
                <w:szCs w:val="18"/>
              </w:rPr>
            </w:pPr>
            <w:r>
              <w:rPr>
                <w:color w:val="000000"/>
                <w:sz w:val="18"/>
                <w:szCs w:val="18"/>
              </w:rPr>
              <w:t>NF EN 1650 (2008) + A1 (July 2013)</w:t>
            </w:r>
          </w:p>
        </w:tc>
        <w:tc>
          <w:tcPr>
            <w:tcW w:w="2971" w:type="dxa"/>
            <w:vAlign w:val="center"/>
          </w:tcPr>
          <w:p w14:paraId="49173337" w14:textId="77777777" w:rsidR="00CC62FC" w:rsidRDefault="00CC62FC" w:rsidP="0015321A">
            <w:pPr>
              <w:rPr>
                <w:color w:val="000000"/>
                <w:sz w:val="18"/>
                <w:szCs w:val="18"/>
              </w:rPr>
            </w:pPr>
          </w:p>
          <w:p w14:paraId="1A14983A" w14:textId="77777777" w:rsidR="00CC62FC" w:rsidRDefault="00CC62FC" w:rsidP="0015321A">
            <w:pPr>
              <w:rPr>
                <w:color w:val="000000"/>
                <w:sz w:val="18"/>
                <w:szCs w:val="18"/>
              </w:rPr>
            </w:pPr>
            <w:r>
              <w:rPr>
                <w:color w:val="000000"/>
                <w:sz w:val="18"/>
                <w:szCs w:val="18"/>
              </w:rPr>
              <w:t>Phase 2 step 1 (suspension test)</w:t>
            </w:r>
          </w:p>
          <w:p w14:paraId="2320BB58" w14:textId="77777777" w:rsidR="00CC62FC" w:rsidRDefault="00CC62FC" w:rsidP="0015321A">
            <w:pPr>
              <w:rPr>
                <w:color w:val="000000"/>
                <w:sz w:val="18"/>
                <w:szCs w:val="18"/>
              </w:rPr>
            </w:pPr>
            <w:r>
              <w:rPr>
                <w:color w:val="000000"/>
                <w:sz w:val="18"/>
                <w:szCs w:val="18"/>
              </w:rPr>
              <w:t xml:space="preserve">Concentrations of product tested (v/v): 20%, 40%, 80%. </w:t>
            </w:r>
          </w:p>
          <w:p w14:paraId="39BFE361" w14:textId="5EA2E540" w:rsidR="00CC62FC" w:rsidRDefault="00CC62FC" w:rsidP="0015321A">
            <w:pPr>
              <w:rPr>
                <w:color w:val="000000"/>
                <w:sz w:val="18"/>
                <w:szCs w:val="18"/>
              </w:rPr>
            </w:pPr>
            <w:r>
              <w:rPr>
                <w:color w:val="000000"/>
                <w:sz w:val="18"/>
                <w:szCs w:val="18"/>
              </w:rPr>
              <w:t xml:space="preserve">Contact time: 15 minutes </w:t>
            </w:r>
          </w:p>
          <w:p w14:paraId="1182D3DD" w14:textId="77777777" w:rsidR="00CC62FC" w:rsidRDefault="00CC62FC" w:rsidP="0015321A">
            <w:pPr>
              <w:rPr>
                <w:color w:val="000000"/>
                <w:sz w:val="18"/>
                <w:szCs w:val="18"/>
              </w:rPr>
            </w:pPr>
            <w:r>
              <w:rPr>
                <w:color w:val="000000"/>
                <w:sz w:val="18"/>
                <w:szCs w:val="18"/>
              </w:rPr>
              <w:t>Temperature: 20°C</w:t>
            </w:r>
          </w:p>
          <w:p w14:paraId="63066DAB" w14:textId="77777777" w:rsidR="00CC62FC" w:rsidRDefault="00CC62FC" w:rsidP="0015321A">
            <w:pPr>
              <w:rPr>
                <w:color w:val="000000"/>
                <w:sz w:val="18"/>
                <w:szCs w:val="18"/>
              </w:rPr>
            </w:pPr>
            <w:r>
              <w:rPr>
                <w:color w:val="000000"/>
                <w:sz w:val="18"/>
                <w:szCs w:val="18"/>
              </w:rPr>
              <w:t xml:space="preserve">Dirty conditions: 3 g/L BSA </w:t>
            </w:r>
          </w:p>
          <w:p w14:paraId="08AA35A8" w14:textId="77777777" w:rsidR="00CC62FC" w:rsidRDefault="00CC62FC" w:rsidP="0015321A">
            <w:pPr>
              <w:rPr>
                <w:color w:val="000000"/>
                <w:sz w:val="18"/>
                <w:szCs w:val="18"/>
              </w:rPr>
            </w:pPr>
            <w:r>
              <w:rPr>
                <w:color w:val="000000"/>
                <w:sz w:val="18"/>
                <w:szCs w:val="18"/>
              </w:rPr>
              <w:t>Criteria: ≥ 4 log unit reduction</w:t>
            </w:r>
          </w:p>
        </w:tc>
        <w:tc>
          <w:tcPr>
            <w:tcW w:w="2070" w:type="dxa"/>
            <w:vAlign w:val="center"/>
          </w:tcPr>
          <w:p w14:paraId="04D91D2A" w14:textId="77777777" w:rsidR="00CC62FC" w:rsidRDefault="00CC62FC" w:rsidP="0015321A">
            <w:pPr>
              <w:snapToGrid w:val="0"/>
              <w:rPr>
                <w:color w:val="000000"/>
                <w:sz w:val="18"/>
                <w:szCs w:val="18"/>
              </w:rPr>
            </w:pPr>
            <w:r>
              <w:rPr>
                <w:color w:val="000000"/>
                <w:sz w:val="18"/>
                <w:szCs w:val="18"/>
              </w:rPr>
              <w:t>Yeasticidal activity demonstrated at 80 % v/v</w:t>
            </w:r>
          </w:p>
          <w:p w14:paraId="18409167" w14:textId="77777777" w:rsidR="00CC62FC" w:rsidRDefault="00CC62FC" w:rsidP="0015321A">
            <w:pPr>
              <w:rPr>
                <w:color w:val="000000"/>
                <w:sz w:val="18"/>
                <w:szCs w:val="18"/>
              </w:rPr>
            </w:pPr>
          </w:p>
        </w:tc>
        <w:tc>
          <w:tcPr>
            <w:tcW w:w="0" w:type="auto"/>
            <w:vAlign w:val="center"/>
          </w:tcPr>
          <w:p w14:paraId="0016D84A" w14:textId="77777777" w:rsidR="00CC62FC" w:rsidRDefault="00CC62FC" w:rsidP="0015321A">
            <w:pPr>
              <w:rPr>
                <w:color w:val="000000"/>
                <w:sz w:val="18"/>
                <w:szCs w:val="18"/>
              </w:rPr>
            </w:pPr>
            <w:r>
              <w:rPr>
                <w:color w:val="000000"/>
                <w:sz w:val="18"/>
                <w:szCs w:val="18"/>
              </w:rPr>
              <w:t>Huguet N., 2018, Report No 18.CM.18-099</w:t>
            </w:r>
          </w:p>
          <w:p w14:paraId="07744762" w14:textId="77777777" w:rsidR="00CC62FC" w:rsidRDefault="00CC62FC" w:rsidP="0015321A">
            <w:pPr>
              <w:rPr>
                <w:color w:val="000000"/>
                <w:sz w:val="18"/>
                <w:szCs w:val="18"/>
              </w:rPr>
            </w:pPr>
          </w:p>
          <w:p w14:paraId="12E32C6F" w14:textId="77777777" w:rsidR="00CC62FC" w:rsidRDefault="00CC62FC" w:rsidP="0015321A">
            <w:pPr>
              <w:rPr>
                <w:color w:val="000000"/>
                <w:sz w:val="18"/>
                <w:szCs w:val="18"/>
              </w:rPr>
            </w:pPr>
            <w:r>
              <w:rPr>
                <w:color w:val="000000"/>
                <w:sz w:val="18"/>
                <w:szCs w:val="18"/>
              </w:rPr>
              <w:t>RI=1</w:t>
            </w:r>
          </w:p>
        </w:tc>
      </w:tr>
      <w:tr w:rsidR="00CC62FC" w:rsidRPr="00FD2055" w14:paraId="2CE0B191" w14:textId="77777777" w:rsidTr="0015321A">
        <w:trPr>
          <w:jc w:val="center"/>
        </w:trPr>
        <w:tc>
          <w:tcPr>
            <w:tcW w:w="0" w:type="auto"/>
            <w:vAlign w:val="center"/>
          </w:tcPr>
          <w:p w14:paraId="3023456A" w14:textId="77777777" w:rsidR="00CC62FC" w:rsidRPr="00FD2055" w:rsidRDefault="00CC62FC" w:rsidP="0015321A">
            <w:pPr>
              <w:rPr>
                <w:i/>
                <w:color w:val="000000"/>
                <w:sz w:val="18"/>
                <w:szCs w:val="18"/>
              </w:rPr>
            </w:pPr>
            <w:r>
              <w:rPr>
                <w:color w:val="000000"/>
                <w:sz w:val="18"/>
                <w:szCs w:val="18"/>
              </w:rPr>
              <w:t>Disinfectant, bactericidal activity</w:t>
            </w:r>
          </w:p>
        </w:tc>
        <w:tc>
          <w:tcPr>
            <w:tcW w:w="0" w:type="auto"/>
            <w:vAlign w:val="center"/>
          </w:tcPr>
          <w:p w14:paraId="542AC015" w14:textId="77777777" w:rsidR="00CC62FC" w:rsidRPr="00FD2055" w:rsidRDefault="00CC62FC" w:rsidP="0015321A">
            <w:pPr>
              <w:rPr>
                <w:i/>
                <w:color w:val="000000"/>
                <w:sz w:val="18"/>
                <w:szCs w:val="18"/>
              </w:rPr>
            </w:pPr>
            <w:r>
              <w:rPr>
                <w:color w:val="000000"/>
                <w:sz w:val="18"/>
                <w:szCs w:val="18"/>
              </w:rPr>
              <w:t>Institutional, industrial, healthcare facilities and food preparation and handling areas</w:t>
            </w:r>
          </w:p>
        </w:tc>
        <w:tc>
          <w:tcPr>
            <w:tcW w:w="0" w:type="auto"/>
            <w:vAlign w:val="center"/>
          </w:tcPr>
          <w:p w14:paraId="0717D7E6" w14:textId="77777777" w:rsidR="00CC62FC" w:rsidRDefault="00CC62FC" w:rsidP="0015321A">
            <w:pPr>
              <w:rPr>
                <w:color w:val="000000"/>
                <w:sz w:val="18"/>
                <w:szCs w:val="18"/>
              </w:rPr>
            </w:pPr>
            <w:r>
              <w:rPr>
                <w:color w:val="000000"/>
                <w:sz w:val="18"/>
                <w:szCs w:val="18"/>
              </w:rPr>
              <w:t>AL-S4-1-0</w:t>
            </w:r>
          </w:p>
          <w:p w14:paraId="38C2461B" w14:textId="179C2539" w:rsidR="00CC62FC" w:rsidRPr="00FD2055" w:rsidRDefault="003B05F7" w:rsidP="0015321A">
            <w:pPr>
              <w:rPr>
                <w:i/>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10085274" w14:textId="77777777" w:rsidR="00CC62FC" w:rsidRPr="00FD2055" w:rsidRDefault="00CC62FC" w:rsidP="0015321A">
            <w:pPr>
              <w:rPr>
                <w:i/>
                <w:color w:val="000000"/>
                <w:sz w:val="18"/>
                <w:szCs w:val="18"/>
              </w:rPr>
            </w:pPr>
            <w:r w:rsidRPr="005D3939">
              <w:rPr>
                <w:i/>
                <w:color w:val="000000"/>
                <w:sz w:val="18"/>
                <w:szCs w:val="18"/>
              </w:rPr>
              <w:t>Pseudomonas aeruginosa</w:t>
            </w:r>
            <w:r>
              <w:rPr>
                <w:color w:val="000000"/>
                <w:sz w:val="18"/>
                <w:szCs w:val="18"/>
              </w:rPr>
              <w:t xml:space="preserve"> CIP </w:t>
            </w:r>
            <w:r>
              <w:rPr>
                <w:color w:val="000000"/>
                <w:sz w:val="18"/>
                <w:szCs w:val="18"/>
              </w:rPr>
              <w:br/>
            </w:r>
            <w:r w:rsidRPr="005D3939">
              <w:rPr>
                <w:i/>
                <w:color w:val="000000"/>
                <w:sz w:val="18"/>
                <w:szCs w:val="18"/>
              </w:rPr>
              <w:t>Escherichia coli</w:t>
            </w:r>
            <w:r>
              <w:rPr>
                <w:color w:val="000000"/>
                <w:sz w:val="18"/>
                <w:szCs w:val="18"/>
              </w:rPr>
              <w:t xml:space="preserve"> </w:t>
            </w:r>
            <w:r>
              <w:rPr>
                <w:color w:val="000000"/>
                <w:sz w:val="18"/>
                <w:szCs w:val="18"/>
              </w:rPr>
              <w:br/>
            </w:r>
            <w:r w:rsidRPr="005D3939">
              <w:rPr>
                <w:i/>
                <w:color w:val="000000"/>
                <w:sz w:val="18"/>
                <w:szCs w:val="18"/>
              </w:rPr>
              <w:t>Staphylococcus aureus</w:t>
            </w:r>
            <w:r>
              <w:rPr>
                <w:color w:val="000000"/>
                <w:sz w:val="18"/>
                <w:szCs w:val="18"/>
              </w:rPr>
              <w:t xml:space="preserve"> </w:t>
            </w:r>
            <w:r>
              <w:rPr>
                <w:color w:val="000000"/>
                <w:sz w:val="18"/>
                <w:szCs w:val="18"/>
              </w:rPr>
              <w:br/>
            </w:r>
            <w:r w:rsidRPr="005D3939">
              <w:rPr>
                <w:i/>
                <w:color w:val="000000"/>
                <w:sz w:val="18"/>
                <w:szCs w:val="18"/>
              </w:rPr>
              <w:t>Enterococcus hirae</w:t>
            </w:r>
            <w:r>
              <w:rPr>
                <w:color w:val="000000"/>
                <w:sz w:val="18"/>
                <w:szCs w:val="18"/>
              </w:rPr>
              <w:t xml:space="preserve"> </w:t>
            </w:r>
          </w:p>
        </w:tc>
        <w:tc>
          <w:tcPr>
            <w:tcW w:w="0" w:type="auto"/>
            <w:vAlign w:val="center"/>
          </w:tcPr>
          <w:p w14:paraId="2A4FDB0C" w14:textId="77777777" w:rsidR="00CC62FC" w:rsidRPr="00FD2055" w:rsidRDefault="00CC62FC" w:rsidP="0015321A">
            <w:pPr>
              <w:rPr>
                <w:color w:val="000000"/>
                <w:sz w:val="18"/>
                <w:szCs w:val="18"/>
              </w:rPr>
            </w:pPr>
            <w:r>
              <w:rPr>
                <w:color w:val="000000"/>
                <w:sz w:val="18"/>
                <w:szCs w:val="18"/>
              </w:rPr>
              <w:t>NF EN 13697 (June 2015)</w:t>
            </w:r>
          </w:p>
        </w:tc>
        <w:tc>
          <w:tcPr>
            <w:tcW w:w="2971" w:type="dxa"/>
            <w:vAlign w:val="center"/>
          </w:tcPr>
          <w:p w14:paraId="549329F5" w14:textId="77777777" w:rsidR="00CC62FC" w:rsidRDefault="00CC62FC" w:rsidP="0015321A">
            <w:pPr>
              <w:rPr>
                <w:color w:val="000000"/>
                <w:sz w:val="18"/>
                <w:szCs w:val="18"/>
              </w:rPr>
            </w:pPr>
          </w:p>
          <w:p w14:paraId="2CBD8A99" w14:textId="77777777" w:rsidR="00CC62FC" w:rsidRDefault="00CC62FC" w:rsidP="0015321A">
            <w:pPr>
              <w:rPr>
                <w:color w:val="000000"/>
                <w:sz w:val="18"/>
                <w:szCs w:val="18"/>
              </w:rPr>
            </w:pPr>
          </w:p>
          <w:p w14:paraId="7E7AED50" w14:textId="0C8B1F06" w:rsidR="00CC62FC" w:rsidRDefault="00CC62FC" w:rsidP="0015321A">
            <w:pPr>
              <w:rPr>
                <w:color w:val="000000"/>
                <w:sz w:val="18"/>
                <w:szCs w:val="18"/>
              </w:rPr>
            </w:pPr>
            <w:r>
              <w:rPr>
                <w:color w:val="000000"/>
                <w:sz w:val="18"/>
                <w:szCs w:val="18"/>
              </w:rPr>
              <w:t>Phase 2 step 2 (su</w:t>
            </w:r>
            <w:r w:rsidR="00511583">
              <w:rPr>
                <w:color w:val="000000"/>
                <w:sz w:val="18"/>
                <w:szCs w:val="18"/>
              </w:rPr>
              <w:t>rface</w:t>
            </w:r>
            <w:r>
              <w:rPr>
                <w:color w:val="000000"/>
                <w:sz w:val="18"/>
                <w:szCs w:val="18"/>
              </w:rPr>
              <w:t xml:space="preserve"> test)</w:t>
            </w:r>
          </w:p>
          <w:p w14:paraId="4CEF1F2E" w14:textId="77777777" w:rsidR="00CC62FC" w:rsidRDefault="00CC62FC" w:rsidP="0015321A">
            <w:pPr>
              <w:rPr>
                <w:color w:val="000000"/>
                <w:sz w:val="18"/>
                <w:szCs w:val="18"/>
              </w:rPr>
            </w:pPr>
            <w:r>
              <w:rPr>
                <w:color w:val="000000"/>
                <w:sz w:val="18"/>
                <w:szCs w:val="18"/>
              </w:rPr>
              <w:t>Concentrations of product tested (v/v): 1%, 20%, 50%, 100%.</w:t>
            </w:r>
          </w:p>
          <w:p w14:paraId="0C8C1123" w14:textId="31CE9449" w:rsidR="00CC62FC" w:rsidRDefault="00CC62FC" w:rsidP="0015321A">
            <w:pPr>
              <w:rPr>
                <w:color w:val="000000"/>
                <w:sz w:val="18"/>
                <w:szCs w:val="18"/>
              </w:rPr>
            </w:pPr>
            <w:r>
              <w:rPr>
                <w:color w:val="000000"/>
                <w:sz w:val="18"/>
                <w:szCs w:val="18"/>
              </w:rPr>
              <w:t xml:space="preserve">Contact time: 5 minutes </w:t>
            </w:r>
          </w:p>
          <w:p w14:paraId="747A34FE" w14:textId="77777777" w:rsidR="00CC62FC" w:rsidRDefault="00CC62FC" w:rsidP="0015321A">
            <w:pPr>
              <w:rPr>
                <w:color w:val="000000"/>
                <w:sz w:val="18"/>
                <w:szCs w:val="18"/>
              </w:rPr>
            </w:pPr>
            <w:r>
              <w:rPr>
                <w:color w:val="000000"/>
                <w:sz w:val="18"/>
                <w:szCs w:val="18"/>
              </w:rPr>
              <w:t>Temperature: 20°C</w:t>
            </w:r>
          </w:p>
          <w:p w14:paraId="0F4FE6D8" w14:textId="77777777" w:rsidR="00CC62FC" w:rsidRDefault="00CC62FC" w:rsidP="0015321A">
            <w:pPr>
              <w:rPr>
                <w:color w:val="000000"/>
                <w:sz w:val="18"/>
                <w:szCs w:val="18"/>
              </w:rPr>
            </w:pPr>
            <w:r>
              <w:rPr>
                <w:color w:val="000000"/>
                <w:sz w:val="18"/>
                <w:szCs w:val="18"/>
              </w:rPr>
              <w:t xml:space="preserve">Dirty conditions: 3 g/L BSA </w:t>
            </w:r>
          </w:p>
          <w:p w14:paraId="0757959C" w14:textId="77777777" w:rsidR="00CC62FC" w:rsidRPr="00FD2055" w:rsidRDefault="00CC62FC" w:rsidP="0015321A">
            <w:pPr>
              <w:rPr>
                <w:color w:val="000000"/>
                <w:sz w:val="18"/>
                <w:szCs w:val="18"/>
              </w:rPr>
            </w:pPr>
            <w:r>
              <w:rPr>
                <w:color w:val="000000"/>
                <w:sz w:val="18"/>
                <w:szCs w:val="18"/>
              </w:rPr>
              <w:t>Criteria: ≥ 4 log unit reduction</w:t>
            </w:r>
          </w:p>
        </w:tc>
        <w:tc>
          <w:tcPr>
            <w:tcW w:w="2070" w:type="dxa"/>
            <w:vAlign w:val="center"/>
          </w:tcPr>
          <w:p w14:paraId="46132A6F" w14:textId="77777777" w:rsidR="00CC62FC" w:rsidRDefault="00CC62FC" w:rsidP="0015321A">
            <w:pPr>
              <w:rPr>
                <w:color w:val="000000"/>
                <w:sz w:val="18"/>
                <w:szCs w:val="18"/>
              </w:rPr>
            </w:pPr>
          </w:p>
          <w:p w14:paraId="684FB6F8" w14:textId="77777777" w:rsidR="00CC62FC" w:rsidRDefault="00CC62FC" w:rsidP="0015321A">
            <w:pPr>
              <w:snapToGrid w:val="0"/>
              <w:rPr>
                <w:color w:val="000000"/>
                <w:sz w:val="18"/>
                <w:szCs w:val="18"/>
              </w:rPr>
            </w:pPr>
            <w:r>
              <w:rPr>
                <w:color w:val="000000"/>
                <w:sz w:val="18"/>
                <w:szCs w:val="18"/>
              </w:rPr>
              <w:t>Bactericidal activity demonstrated at 100 % v/v</w:t>
            </w:r>
          </w:p>
          <w:p w14:paraId="552B2F58" w14:textId="77777777" w:rsidR="00CC62FC" w:rsidRPr="00FD2055" w:rsidRDefault="00CC62FC" w:rsidP="0015321A">
            <w:pPr>
              <w:rPr>
                <w:color w:val="000000"/>
                <w:sz w:val="18"/>
                <w:szCs w:val="18"/>
              </w:rPr>
            </w:pPr>
          </w:p>
        </w:tc>
        <w:tc>
          <w:tcPr>
            <w:tcW w:w="0" w:type="auto"/>
            <w:vAlign w:val="center"/>
          </w:tcPr>
          <w:p w14:paraId="74C42858" w14:textId="77777777" w:rsidR="00CC62FC" w:rsidRDefault="00CC62FC" w:rsidP="0015321A">
            <w:pPr>
              <w:rPr>
                <w:color w:val="000000"/>
                <w:sz w:val="18"/>
                <w:szCs w:val="18"/>
              </w:rPr>
            </w:pPr>
            <w:r>
              <w:rPr>
                <w:color w:val="000000"/>
                <w:sz w:val="18"/>
                <w:szCs w:val="18"/>
              </w:rPr>
              <w:t>Huguet N., 2018, Report No 18.CM.18-073</w:t>
            </w:r>
          </w:p>
          <w:p w14:paraId="244CAEF5" w14:textId="77777777" w:rsidR="00CC62FC" w:rsidRPr="00FD2055" w:rsidRDefault="00CC62FC" w:rsidP="0015321A">
            <w:pPr>
              <w:rPr>
                <w:i/>
                <w:color w:val="000000"/>
                <w:sz w:val="18"/>
                <w:szCs w:val="18"/>
              </w:rPr>
            </w:pPr>
            <w:r>
              <w:rPr>
                <w:color w:val="000000"/>
                <w:sz w:val="18"/>
                <w:szCs w:val="18"/>
              </w:rPr>
              <w:t>RI=1</w:t>
            </w:r>
          </w:p>
        </w:tc>
      </w:tr>
      <w:tr w:rsidR="00CC62FC" w:rsidRPr="00FD2055" w14:paraId="14E4567A" w14:textId="77777777" w:rsidTr="0015321A">
        <w:trPr>
          <w:jc w:val="center"/>
        </w:trPr>
        <w:tc>
          <w:tcPr>
            <w:tcW w:w="0" w:type="auto"/>
            <w:vAlign w:val="center"/>
          </w:tcPr>
          <w:p w14:paraId="4308C2DF" w14:textId="77777777" w:rsidR="00CC62FC" w:rsidRPr="00FD2055" w:rsidRDefault="00CC62FC" w:rsidP="0015321A">
            <w:pPr>
              <w:rPr>
                <w:i/>
                <w:color w:val="000000"/>
                <w:sz w:val="18"/>
                <w:szCs w:val="18"/>
              </w:rPr>
            </w:pPr>
            <w:r>
              <w:rPr>
                <w:color w:val="000000"/>
                <w:sz w:val="18"/>
                <w:szCs w:val="18"/>
              </w:rPr>
              <w:t>Disinfectant, bactericidal activity</w:t>
            </w:r>
          </w:p>
        </w:tc>
        <w:tc>
          <w:tcPr>
            <w:tcW w:w="0" w:type="auto"/>
            <w:vAlign w:val="center"/>
          </w:tcPr>
          <w:p w14:paraId="4228AB85" w14:textId="77777777" w:rsidR="00CC62FC" w:rsidRPr="00FD2055" w:rsidRDefault="00CC62FC" w:rsidP="0015321A">
            <w:pPr>
              <w:rPr>
                <w:i/>
                <w:color w:val="000000"/>
                <w:sz w:val="18"/>
                <w:szCs w:val="18"/>
              </w:rPr>
            </w:pPr>
            <w:r>
              <w:rPr>
                <w:color w:val="000000"/>
                <w:sz w:val="18"/>
                <w:szCs w:val="18"/>
              </w:rPr>
              <w:t>Institutional, industrial, healthcare facilities and food preparation and handling areas</w:t>
            </w:r>
          </w:p>
        </w:tc>
        <w:tc>
          <w:tcPr>
            <w:tcW w:w="0" w:type="auto"/>
            <w:vAlign w:val="center"/>
          </w:tcPr>
          <w:p w14:paraId="2D48E43C" w14:textId="77777777" w:rsidR="00CC62FC" w:rsidRDefault="00CC62FC" w:rsidP="0015321A">
            <w:pPr>
              <w:rPr>
                <w:color w:val="000000"/>
                <w:sz w:val="18"/>
                <w:szCs w:val="18"/>
              </w:rPr>
            </w:pPr>
            <w:r>
              <w:rPr>
                <w:color w:val="000000"/>
                <w:sz w:val="18"/>
                <w:szCs w:val="18"/>
              </w:rPr>
              <w:t>AL-S4-1-0</w:t>
            </w:r>
          </w:p>
          <w:p w14:paraId="6068A03F" w14:textId="78683427" w:rsidR="00CC62FC" w:rsidRPr="00FD2055" w:rsidRDefault="003B05F7" w:rsidP="0015321A">
            <w:pPr>
              <w:rPr>
                <w:i/>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28D8718C" w14:textId="77777777" w:rsidR="00CC62FC" w:rsidRPr="00FD2055" w:rsidRDefault="00CC62FC" w:rsidP="0015321A">
            <w:pPr>
              <w:rPr>
                <w:i/>
                <w:color w:val="000000"/>
                <w:sz w:val="18"/>
                <w:szCs w:val="18"/>
              </w:rPr>
            </w:pPr>
            <w:r w:rsidRPr="005D3939">
              <w:rPr>
                <w:i/>
                <w:color w:val="000000"/>
                <w:sz w:val="18"/>
                <w:szCs w:val="18"/>
              </w:rPr>
              <w:t xml:space="preserve">Salmonella </w:t>
            </w:r>
            <w:r w:rsidRPr="00FE67A2">
              <w:rPr>
                <w:color w:val="000000"/>
                <w:sz w:val="18"/>
                <w:szCs w:val="18"/>
              </w:rPr>
              <w:t>Typhimurium</w:t>
            </w:r>
            <w:r w:rsidRPr="00FC3C8D">
              <w:rPr>
                <w:color w:val="000000"/>
                <w:sz w:val="18"/>
                <w:szCs w:val="18"/>
              </w:rPr>
              <w:t xml:space="preserve"> </w:t>
            </w:r>
            <w:r>
              <w:rPr>
                <w:color w:val="000000"/>
                <w:sz w:val="18"/>
                <w:szCs w:val="18"/>
              </w:rPr>
              <w:br/>
            </w:r>
            <w:r w:rsidRPr="005D3939">
              <w:rPr>
                <w:i/>
                <w:color w:val="000000"/>
                <w:sz w:val="18"/>
                <w:szCs w:val="18"/>
              </w:rPr>
              <w:t>Listeria monocytogenes</w:t>
            </w:r>
            <w:r>
              <w:rPr>
                <w:color w:val="000000"/>
                <w:sz w:val="18"/>
                <w:szCs w:val="18"/>
              </w:rPr>
              <w:t xml:space="preserve"> </w:t>
            </w:r>
          </w:p>
        </w:tc>
        <w:tc>
          <w:tcPr>
            <w:tcW w:w="0" w:type="auto"/>
            <w:vAlign w:val="center"/>
          </w:tcPr>
          <w:p w14:paraId="1288C77A" w14:textId="77777777" w:rsidR="00CC62FC" w:rsidRPr="00FD2055" w:rsidRDefault="00CC62FC" w:rsidP="0015321A">
            <w:pPr>
              <w:rPr>
                <w:color w:val="000000"/>
                <w:sz w:val="18"/>
                <w:szCs w:val="18"/>
              </w:rPr>
            </w:pPr>
            <w:r>
              <w:rPr>
                <w:color w:val="000000"/>
                <w:sz w:val="18"/>
                <w:szCs w:val="18"/>
              </w:rPr>
              <w:t>NF EN 13697 (June 2015)</w:t>
            </w:r>
          </w:p>
        </w:tc>
        <w:tc>
          <w:tcPr>
            <w:tcW w:w="2971" w:type="dxa"/>
            <w:vAlign w:val="center"/>
          </w:tcPr>
          <w:p w14:paraId="24594EF7" w14:textId="255F6B62" w:rsidR="00CC62FC" w:rsidRDefault="00CC62FC" w:rsidP="0015321A">
            <w:pPr>
              <w:rPr>
                <w:color w:val="000000"/>
                <w:sz w:val="18"/>
                <w:szCs w:val="18"/>
              </w:rPr>
            </w:pPr>
            <w:r>
              <w:rPr>
                <w:color w:val="000000"/>
                <w:sz w:val="18"/>
                <w:szCs w:val="18"/>
              </w:rPr>
              <w:t>Phase 2 step 2 (su</w:t>
            </w:r>
            <w:r w:rsidR="00511583">
              <w:rPr>
                <w:color w:val="000000"/>
                <w:sz w:val="18"/>
                <w:szCs w:val="18"/>
              </w:rPr>
              <w:t>rface</w:t>
            </w:r>
            <w:r>
              <w:rPr>
                <w:color w:val="000000"/>
                <w:sz w:val="18"/>
                <w:szCs w:val="18"/>
              </w:rPr>
              <w:t xml:space="preserve"> test)</w:t>
            </w:r>
          </w:p>
          <w:p w14:paraId="113723B0" w14:textId="77777777" w:rsidR="00CC62FC" w:rsidRDefault="00CC62FC" w:rsidP="0015321A">
            <w:pPr>
              <w:rPr>
                <w:color w:val="000000"/>
                <w:sz w:val="18"/>
                <w:szCs w:val="18"/>
              </w:rPr>
            </w:pPr>
            <w:r>
              <w:rPr>
                <w:color w:val="000000"/>
                <w:sz w:val="18"/>
                <w:szCs w:val="18"/>
              </w:rPr>
              <w:t>Concentrations of product tested (v/v): 1%, 50% and 100% (V/V).</w:t>
            </w:r>
          </w:p>
          <w:p w14:paraId="0B60D522" w14:textId="77777777" w:rsidR="00CC62FC" w:rsidRDefault="00CC62FC" w:rsidP="0015321A">
            <w:pPr>
              <w:rPr>
                <w:color w:val="000000"/>
                <w:sz w:val="18"/>
                <w:szCs w:val="18"/>
              </w:rPr>
            </w:pPr>
            <w:r>
              <w:rPr>
                <w:color w:val="000000"/>
                <w:sz w:val="18"/>
                <w:szCs w:val="18"/>
              </w:rPr>
              <w:t xml:space="preserve">Contact time: 5 min </w:t>
            </w:r>
          </w:p>
          <w:p w14:paraId="65B8E3C1" w14:textId="77777777" w:rsidR="00511583" w:rsidRDefault="00CC62FC" w:rsidP="0015321A">
            <w:pPr>
              <w:rPr>
                <w:color w:val="000000"/>
                <w:sz w:val="18"/>
                <w:szCs w:val="18"/>
              </w:rPr>
            </w:pPr>
            <w:r>
              <w:rPr>
                <w:color w:val="000000"/>
                <w:sz w:val="18"/>
                <w:szCs w:val="18"/>
              </w:rPr>
              <w:t xml:space="preserve">Temperature: 20°C </w:t>
            </w:r>
          </w:p>
          <w:p w14:paraId="1CDD23B0" w14:textId="0CB3B87A" w:rsidR="00CC62FC" w:rsidRDefault="00CC62FC" w:rsidP="0015321A">
            <w:pPr>
              <w:rPr>
                <w:color w:val="000000"/>
                <w:sz w:val="18"/>
                <w:szCs w:val="18"/>
              </w:rPr>
            </w:pPr>
            <w:r>
              <w:rPr>
                <w:color w:val="000000"/>
                <w:sz w:val="18"/>
                <w:szCs w:val="18"/>
              </w:rPr>
              <w:t xml:space="preserve">Dirty conditions:3 g/l </w:t>
            </w:r>
          </w:p>
          <w:p w14:paraId="6AAEE277" w14:textId="77777777" w:rsidR="00CC62FC" w:rsidRPr="00FD2055" w:rsidRDefault="00CC62FC" w:rsidP="0015321A">
            <w:pPr>
              <w:rPr>
                <w:color w:val="000000"/>
                <w:sz w:val="18"/>
                <w:szCs w:val="18"/>
              </w:rPr>
            </w:pPr>
            <w:r>
              <w:rPr>
                <w:color w:val="000000"/>
                <w:sz w:val="18"/>
                <w:szCs w:val="18"/>
              </w:rPr>
              <w:t>Criteria: ≥ 4 log unit reduction</w:t>
            </w:r>
          </w:p>
        </w:tc>
        <w:tc>
          <w:tcPr>
            <w:tcW w:w="2070" w:type="dxa"/>
            <w:vAlign w:val="center"/>
          </w:tcPr>
          <w:p w14:paraId="5232CCAA" w14:textId="77777777" w:rsidR="00CC62FC" w:rsidRDefault="00CC62FC" w:rsidP="0015321A">
            <w:pPr>
              <w:rPr>
                <w:color w:val="000000"/>
                <w:sz w:val="18"/>
                <w:szCs w:val="18"/>
              </w:rPr>
            </w:pPr>
          </w:p>
          <w:p w14:paraId="01E28302" w14:textId="751A3A13" w:rsidR="00CC62FC" w:rsidRDefault="00FE67A2" w:rsidP="0015321A">
            <w:pPr>
              <w:snapToGrid w:val="0"/>
              <w:rPr>
                <w:color w:val="000000"/>
                <w:sz w:val="18"/>
                <w:szCs w:val="18"/>
              </w:rPr>
            </w:pPr>
            <w:r>
              <w:rPr>
                <w:color w:val="000000"/>
                <w:sz w:val="18"/>
                <w:szCs w:val="18"/>
              </w:rPr>
              <w:t>A</w:t>
            </w:r>
            <w:r w:rsidR="00CC62FC">
              <w:rPr>
                <w:color w:val="000000"/>
                <w:sz w:val="18"/>
                <w:szCs w:val="18"/>
              </w:rPr>
              <w:t>ctivity demonstrated at 100 % v/v</w:t>
            </w:r>
          </w:p>
          <w:p w14:paraId="69C890C2" w14:textId="77777777" w:rsidR="00CC62FC" w:rsidRPr="00FD2055" w:rsidRDefault="00CC62FC" w:rsidP="0015321A">
            <w:pPr>
              <w:rPr>
                <w:color w:val="000000"/>
                <w:sz w:val="18"/>
                <w:szCs w:val="18"/>
              </w:rPr>
            </w:pPr>
          </w:p>
        </w:tc>
        <w:tc>
          <w:tcPr>
            <w:tcW w:w="0" w:type="auto"/>
            <w:vAlign w:val="center"/>
          </w:tcPr>
          <w:p w14:paraId="4E6642B0" w14:textId="77777777" w:rsidR="00CC62FC" w:rsidRDefault="00CC62FC" w:rsidP="0015321A">
            <w:pPr>
              <w:rPr>
                <w:color w:val="000000"/>
                <w:sz w:val="18"/>
                <w:szCs w:val="18"/>
              </w:rPr>
            </w:pPr>
            <w:r>
              <w:rPr>
                <w:color w:val="000000"/>
                <w:sz w:val="18"/>
                <w:szCs w:val="18"/>
              </w:rPr>
              <w:t>Teulier M., 2018, Report No 5108-1</w:t>
            </w:r>
          </w:p>
          <w:p w14:paraId="44192D1C" w14:textId="77777777" w:rsidR="00CC62FC" w:rsidRPr="00FD2055" w:rsidRDefault="00CC62FC" w:rsidP="0015321A">
            <w:pPr>
              <w:rPr>
                <w:i/>
                <w:color w:val="000000"/>
                <w:sz w:val="18"/>
                <w:szCs w:val="18"/>
              </w:rPr>
            </w:pPr>
            <w:r>
              <w:rPr>
                <w:color w:val="000000"/>
                <w:sz w:val="18"/>
                <w:szCs w:val="18"/>
              </w:rPr>
              <w:t>RI=1</w:t>
            </w:r>
          </w:p>
        </w:tc>
      </w:tr>
      <w:tr w:rsidR="00CC62FC" w:rsidRPr="00FD2055" w14:paraId="74835301" w14:textId="77777777" w:rsidTr="0015321A">
        <w:trPr>
          <w:jc w:val="center"/>
        </w:trPr>
        <w:tc>
          <w:tcPr>
            <w:tcW w:w="0" w:type="auto"/>
            <w:vAlign w:val="center"/>
          </w:tcPr>
          <w:p w14:paraId="16D64EDB" w14:textId="77777777" w:rsidR="00CC62FC" w:rsidRPr="00FD2055" w:rsidRDefault="00CC62FC" w:rsidP="0015321A">
            <w:pPr>
              <w:rPr>
                <w:i/>
                <w:color w:val="000000"/>
                <w:sz w:val="18"/>
                <w:szCs w:val="18"/>
              </w:rPr>
            </w:pPr>
            <w:r>
              <w:rPr>
                <w:color w:val="000000"/>
                <w:sz w:val="18"/>
                <w:szCs w:val="18"/>
              </w:rPr>
              <w:lastRenderedPageBreak/>
              <w:t>Disinfectant, bactericidal and yeasticidal activities</w:t>
            </w:r>
          </w:p>
        </w:tc>
        <w:tc>
          <w:tcPr>
            <w:tcW w:w="0" w:type="auto"/>
            <w:vAlign w:val="center"/>
          </w:tcPr>
          <w:p w14:paraId="369BD471" w14:textId="77777777" w:rsidR="00CC62FC" w:rsidRPr="00FD2055" w:rsidRDefault="00CC62FC" w:rsidP="0015321A">
            <w:pPr>
              <w:rPr>
                <w:i/>
                <w:color w:val="000000"/>
                <w:sz w:val="18"/>
                <w:szCs w:val="18"/>
              </w:rPr>
            </w:pPr>
            <w:r>
              <w:rPr>
                <w:color w:val="000000"/>
                <w:sz w:val="18"/>
                <w:szCs w:val="18"/>
              </w:rPr>
              <w:t>Institutional, industrial, healthcare facilities and food preparation and handling areas</w:t>
            </w:r>
          </w:p>
        </w:tc>
        <w:tc>
          <w:tcPr>
            <w:tcW w:w="0" w:type="auto"/>
            <w:vAlign w:val="center"/>
          </w:tcPr>
          <w:p w14:paraId="1331C553" w14:textId="77777777" w:rsidR="00CC62FC" w:rsidRDefault="00CC62FC" w:rsidP="0015321A">
            <w:pPr>
              <w:rPr>
                <w:color w:val="000000"/>
                <w:sz w:val="18"/>
                <w:szCs w:val="18"/>
              </w:rPr>
            </w:pPr>
            <w:r>
              <w:rPr>
                <w:color w:val="000000"/>
                <w:sz w:val="18"/>
                <w:szCs w:val="18"/>
              </w:rPr>
              <w:t>AL-S4-1-0</w:t>
            </w:r>
          </w:p>
          <w:p w14:paraId="776BC58F" w14:textId="06A7536C" w:rsidR="00CC62FC" w:rsidRPr="00FD2055" w:rsidRDefault="003B05F7" w:rsidP="0015321A">
            <w:pPr>
              <w:rPr>
                <w:i/>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7C86F8EE" w14:textId="77777777" w:rsidR="00CC62FC" w:rsidRPr="00AF1A0E" w:rsidRDefault="00CC62FC" w:rsidP="0015321A">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Staphylococcus aureus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r w:rsidRPr="00AF1A0E">
              <w:rPr>
                <w:color w:val="000000"/>
                <w:sz w:val="18"/>
                <w:szCs w:val="18"/>
                <w:lang w:val="fr-FR"/>
              </w:rPr>
              <w:br/>
            </w:r>
            <w:r w:rsidRPr="00AF1A0E">
              <w:rPr>
                <w:color w:val="000000"/>
                <w:sz w:val="18"/>
                <w:szCs w:val="18"/>
                <w:lang w:val="fr-FR"/>
              </w:rPr>
              <w:br/>
            </w:r>
            <w:r w:rsidRPr="00AF1A0E">
              <w:rPr>
                <w:i/>
                <w:color w:val="000000"/>
                <w:sz w:val="18"/>
                <w:szCs w:val="18"/>
                <w:lang w:val="fr-FR"/>
              </w:rPr>
              <w:t>Candida albicans</w:t>
            </w:r>
            <w:r w:rsidRPr="00AF1A0E">
              <w:rPr>
                <w:color w:val="000000"/>
                <w:sz w:val="18"/>
                <w:szCs w:val="18"/>
                <w:lang w:val="fr-FR"/>
              </w:rPr>
              <w:t xml:space="preserve"> </w:t>
            </w:r>
          </w:p>
        </w:tc>
        <w:tc>
          <w:tcPr>
            <w:tcW w:w="0" w:type="auto"/>
            <w:vAlign w:val="center"/>
          </w:tcPr>
          <w:p w14:paraId="6108B792" w14:textId="77777777" w:rsidR="00CC62FC" w:rsidRPr="00FD2055" w:rsidRDefault="00CC62FC" w:rsidP="0015321A">
            <w:pPr>
              <w:rPr>
                <w:color w:val="000000"/>
                <w:sz w:val="18"/>
                <w:szCs w:val="18"/>
              </w:rPr>
            </w:pPr>
            <w:r>
              <w:rPr>
                <w:color w:val="000000"/>
                <w:sz w:val="18"/>
                <w:szCs w:val="18"/>
              </w:rPr>
              <w:t>NF EN 16615 (May 2015)</w:t>
            </w:r>
          </w:p>
        </w:tc>
        <w:tc>
          <w:tcPr>
            <w:tcW w:w="2971" w:type="dxa"/>
            <w:vAlign w:val="center"/>
          </w:tcPr>
          <w:p w14:paraId="267758A6" w14:textId="77777777" w:rsidR="00CC62FC" w:rsidRDefault="00CC62FC" w:rsidP="0015321A">
            <w:pPr>
              <w:rPr>
                <w:color w:val="000000"/>
                <w:sz w:val="18"/>
                <w:szCs w:val="18"/>
              </w:rPr>
            </w:pPr>
          </w:p>
          <w:p w14:paraId="4B908E67" w14:textId="34E75626" w:rsidR="00CC62FC" w:rsidRDefault="00CC62FC" w:rsidP="0015321A">
            <w:pPr>
              <w:rPr>
                <w:color w:val="000000"/>
                <w:sz w:val="18"/>
                <w:szCs w:val="18"/>
              </w:rPr>
            </w:pPr>
            <w:r>
              <w:rPr>
                <w:color w:val="000000"/>
                <w:sz w:val="18"/>
                <w:szCs w:val="18"/>
              </w:rPr>
              <w:t>Phase 2 step 2 (su</w:t>
            </w:r>
            <w:r w:rsidR="00511583">
              <w:rPr>
                <w:color w:val="000000"/>
                <w:sz w:val="18"/>
                <w:szCs w:val="18"/>
              </w:rPr>
              <w:t>rface</w:t>
            </w:r>
            <w:r>
              <w:rPr>
                <w:color w:val="000000"/>
                <w:sz w:val="18"/>
                <w:szCs w:val="18"/>
              </w:rPr>
              <w:t xml:space="preserve"> test)</w:t>
            </w:r>
          </w:p>
          <w:p w14:paraId="03B3E4CE" w14:textId="26EAD082" w:rsidR="00CC62FC" w:rsidRDefault="00CC62FC" w:rsidP="0015321A">
            <w:pPr>
              <w:rPr>
                <w:color w:val="000000"/>
                <w:sz w:val="18"/>
                <w:szCs w:val="18"/>
              </w:rPr>
            </w:pPr>
            <w:r>
              <w:rPr>
                <w:color w:val="000000"/>
                <w:sz w:val="18"/>
                <w:szCs w:val="18"/>
              </w:rPr>
              <w:t xml:space="preserve">Tested </w:t>
            </w:r>
            <w:r w:rsidRPr="0095205F">
              <w:rPr>
                <w:color w:val="000000"/>
                <w:sz w:val="18"/>
                <w:szCs w:val="18"/>
              </w:rPr>
              <w:t>concentrations: 100% and 10% (v/v)</w:t>
            </w:r>
            <w:r w:rsidRPr="00F0256C">
              <w:rPr>
                <w:color w:val="000000"/>
                <w:sz w:val="18"/>
                <w:szCs w:val="18"/>
              </w:rPr>
              <w:t xml:space="preserve"> on the wipe required with an impregnation rate of 16 g</w:t>
            </w:r>
          </w:p>
          <w:p w14:paraId="275D6F15" w14:textId="77777777" w:rsidR="00CC62FC" w:rsidRDefault="00CC62FC" w:rsidP="0015321A">
            <w:pPr>
              <w:rPr>
                <w:color w:val="000000"/>
                <w:sz w:val="18"/>
                <w:szCs w:val="18"/>
              </w:rPr>
            </w:pPr>
            <w:r>
              <w:rPr>
                <w:color w:val="000000"/>
                <w:sz w:val="18"/>
                <w:szCs w:val="18"/>
              </w:rPr>
              <w:t xml:space="preserve">Contact time: 5 minutes </w:t>
            </w:r>
          </w:p>
          <w:p w14:paraId="467B2D9A" w14:textId="77777777" w:rsidR="00CC62FC" w:rsidRDefault="00CC62FC" w:rsidP="0015321A">
            <w:pPr>
              <w:rPr>
                <w:color w:val="000000"/>
                <w:sz w:val="18"/>
                <w:szCs w:val="18"/>
              </w:rPr>
            </w:pPr>
            <w:r>
              <w:rPr>
                <w:color w:val="000000"/>
                <w:sz w:val="18"/>
                <w:szCs w:val="18"/>
              </w:rPr>
              <w:t>Temperature: 20°C</w:t>
            </w:r>
          </w:p>
          <w:p w14:paraId="7E9156E4" w14:textId="11F075A7" w:rsidR="00CC62FC" w:rsidRDefault="00CC62FC" w:rsidP="0015321A">
            <w:pPr>
              <w:rPr>
                <w:color w:val="000000"/>
                <w:sz w:val="18"/>
                <w:szCs w:val="18"/>
              </w:rPr>
            </w:pPr>
            <w:r>
              <w:rPr>
                <w:color w:val="000000"/>
                <w:sz w:val="18"/>
                <w:szCs w:val="18"/>
              </w:rPr>
              <w:t>Dirty conditions:</w:t>
            </w:r>
            <w:r w:rsidR="00511583">
              <w:rPr>
                <w:color w:val="000000"/>
                <w:sz w:val="18"/>
                <w:szCs w:val="18"/>
              </w:rPr>
              <w:t xml:space="preserve"> </w:t>
            </w:r>
            <w:r>
              <w:rPr>
                <w:color w:val="000000"/>
                <w:sz w:val="18"/>
                <w:szCs w:val="18"/>
              </w:rPr>
              <w:t>3.0 g/l BSA.</w:t>
            </w:r>
          </w:p>
          <w:p w14:paraId="28BF62E3" w14:textId="77777777" w:rsidR="00CC62FC" w:rsidRPr="00FD2055" w:rsidRDefault="00CC62FC" w:rsidP="0015321A">
            <w:pPr>
              <w:rPr>
                <w:color w:val="000000"/>
                <w:sz w:val="18"/>
                <w:szCs w:val="18"/>
              </w:rPr>
            </w:pPr>
            <w:r>
              <w:rPr>
                <w:color w:val="000000"/>
                <w:sz w:val="18"/>
                <w:szCs w:val="18"/>
              </w:rPr>
              <w:t>Criteria: ≥ 5 log unit reduction for bacteria and 4 lg unit for yeast.</w:t>
            </w:r>
          </w:p>
        </w:tc>
        <w:tc>
          <w:tcPr>
            <w:tcW w:w="2070" w:type="dxa"/>
            <w:vAlign w:val="center"/>
          </w:tcPr>
          <w:p w14:paraId="51417442" w14:textId="77777777" w:rsidR="00CC62FC" w:rsidRDefault="00CC62FC" w:rsidP="0015321A">
            <w:pPr>
              <w:rPr>
                <w:color w:val="000000"/>
                <w:sz w:val="18"/>
                <w:szCs w:val="18"/>
              </w:rPr>
            </w:pPr>
          </w:p>
          <w:p w14:paraId="5715E0FE" w14:textId="77777777" w:rsidR="00CC62FC" w:rsidRDefault="00CC62FC" w:rsidP="0015321A">
            <w:pPr>
              <w:snapToGrid w:val="0"/>
              <w:rPr>
                <w:color w:val="000000"/>
                <w:sz w:val="18"/>
                <w:szCs w:val="18"/>
              </w:rPr>
            </w:pPr>
            <w:r>
              <w:rPr>
                <w:color w:val="000000"/>
                <w:sz w:val="18"/>
                <w:szCs w:val="18"/>
              </w:rPr>
              <w:t>Bactericidal and yeasticidal activities demonstrated at respectively 100 % v/v and 10% v/v.</w:t>
            </w:r>
          </w:p>
          <w:p w14:paraId="7D654204" w14:textId="77777777" w:rsidR="00CC62FC" w:rsidRDefault="00CC62FC" w:rsidP="0015321A">
            <w:pPr>
              <w:rPr>
                <w:color w:val="000000"/>
                <w:sz w:val="18"/>
                <w:szCs w:val="18"/>
              </w:rPr>
            </w:pPr>
          </w:p>
          <w:p w14:paraId="30A29A2D" w14:textId="77777777" w:rsidR="00CC62FC" w:rsidRDefault="00CC62FC" w:rsidP="0015321A">
            <w:pPr>
              <w:rPr>
                <w:color w:val="000000"/>
                <w:sz w:val="18"/>
                <w:szCs w:val="18"/>
              </w:rPr>
            </w:pPr>
          </w:p>
          <w:p w14:paraId="69017A99" w14:textId="77777777" w:rsidR="00CC62FC" w:rsidRPr="00FD2055" w:rsidRDefault="00CC62FC" w:rsidP="0015321A">
            <w:pPr>
              <w:rPr>
                <w:color w:val="000000"/>
                <w:sz w:val="18"/>
                <w:szCs w:val="18"/>
              </w:rPr>
            </w:pPr>
          </w:p>
        </w:tc>
        <w:tc>
          <w:tcPr>
            <w:tcW w:w="0" w:type="auto"/>
            <w:vAlign w:val="center"/>
          </w:tcPr>
          <w:p w14:paraId="78C94002" w14:textId="77777777" w:rsidR="00CC62FC" w:rsidRDefault="00CC62FC" w:rsidP="0015321A">
            <w:pPr>
              <w:rPr>
                <w:color w:val="000000"/>
                <w:sz w:val="18"/>
                <w:szCs w:val="18"/>
              </w:rPr>
            </w:pPr>
            <w:r>
              <w:rPr>
                <w:color w:val="000000"/>
                <w:sz w:val="18"/>
                <w:szCs w:val="18"/>
              </w:rPr>
              <w:t>Carre A., 2019, Report No RE-2194/0818</w:t>
            </w:r>
          </w:p>
          <w:p w14:paraId="5BA9734D" w14:textId="77777777" w:rsidR="00CC62FC" w:rsidRDefault="00CC62FC" w:rsidP="0015321A">
            <w:pPr>
              <w:rPr>
                <w:color w:val="000000"/>
                <w:sz w:val="18"/>
                <w:szCs w:val="18"/>
              </w:rPr>
            </w:pPr>
          </w:p>
          <w:p w14:paraId="0EB94471" w14:textId="77777777" w:rsidR="00CC62FC" w:rsidRPr="00FD2055" w:rsidRDefault="00CC62FC" w:rsidP="0015321A">
            <w:pPr>
              <w:rPr>
                <w:i/>
                <w:color w:val="000000"/>
                <w:sz w:val="18"/>
                <w:szCs w:val="18"/>
              </w:rPr>
            </w:pPr>
            <w:r>
              <w:rPr>
                <w:color w:val="000000"/>
                <w:sz w:val="18"/>
                <w:szCs w:val="18"/>
              </w:rPr>
              <w:t>RI=1</w:t>
            </w:r>
          </w:p>
        </w:tc>
      </w:tr>
      <w:tr w:rsidR="00CC62FC" w14:paraId="1132E0DF" w14:textId="77777777" w:rsidTr="0015321A">
        <w:trPr>
          <w:jc w:val="center"/>
        </w:trPr>
        <w:tc>
          <w:tcPr>
            <w:tcW w:w="0" w:type="auto"/>
            <w:vAlign w:val="center"/>
          </w:tcPr>
          <w:p w14:paraId="6D1430CA" w14:textId="77777777" w:rsidR="00CC62FC" w:rsidRDefault="00CC62FC" w:rsidP="0015321A">
            <w:pPr>
              <w:rPr>
                <w:color w:val="000000"/>
                <w:sz w:val="18"/>
                <w:szCs w:val="18"/>
              </w:rPr>
            </w:pPr>
            <w:r>
              <w:rPr>
                <w:color w:val="000000"/>
                <w:sz w:val="18"/>
                <w:szCs w:val="18"/>
              </w:rPr>
              <w:t>Disinfectant, yeasticidal activity</w:t>
            </w:r>
          </w:p>
        </w:tc>
        <w:tc>
          <w:tcPr>
            <w:tcW w:w="0" w:type="auto"/>
            <w:vAlign w:val="center"/>
          </w:tcPr>
          <w:p w14:paraId="3AA0B716" w14:textId="77777777" w:rsidR="00CC62FC" w:rsidRDefault="00CC62FC" w:rsidP="0015321A">
            <w:pPr>
              <w:rPr>
                <w:color w:val="000000"/>
                <w:sz w:val="18"/>
                <w:szCs w:val="18"/>
              </w:rPr>
            </w:pPr>
            <w:r>
              <w:rPr>
                <w:color w:val="000000"/>
                <w:sz w:val="18"/>
                <w:szCs w:val="18"/>
              </w:rPr>
              <w:t>Institutional, industrial, healthcare facilities and food preparation and handling areas</w:t>
            </w:r>
          </w:p>
        </w:tc>
        <w:tc>
          <w:tcPr>
            <w:tcW w:w="0" w:type="auto"/>
            <w:vAlign w:val="center"/>
          </w:tcPr>
          <w:p w14:paraId="429C8AA7" w14:textId="77777777" w:rsidR="00CC62FC" w:rsidRDefault="00CC62FC" w:rsidP="0015321A">
            <w:pPr>
              <w:rPr>
                <w:color w:val="000000"/>
                <w:sz w:val="18"/>
                <w:szCs w:val="18"/>
              </w:rPr>
            </w:pPr>
            <w:r>
              <w:rPr>
                <w:color w:val="000000"/>
                <w:sz w:val="18"/>
                <w:szCs w:val="18"/>
              </w:rPr>
              <w:t>AL-S4-1-0</w:t>
            </w:r>
          </w:p>
          <w:p w14:paraId="0A800356" w14:textId="737FFF40" w:rsidR="00CC62FC" w:rsidRDefault="003B05F7" w:rsidP="0015321A">
            <w:pPr>
              <w:rPr>
                <w:color w:val="000000"/>
                <w:sz w:val="18"/>
                <w:szCs w:val="18"/>
              </w:rPr>
            </w:pPr>
            <w:r>
              <w:rPr>
                <w:color w:val="000000"/>
                <w:sz w:val="18"/>
                <w:szCs w:val="18"/>
              </w:rPr>
              <w:t>3.2</w:t>
            </w:r>
            <w:r w:rsidR="00CC62FC">
              <w:rPr>
                <w:color w:val="000000"/>
                <w:sz w:val="18"/>
                <w:szCs w:val="18"/>
              </w:rPr>
              <w:t>% lactic acid</w:t>
            </w:r>
          </w:p>
        </w:tc>
        <w:tc>
          <w:tcPr>
            <w:tcW w:w="0" w:type="auto"/>
            <w:vAlign w:val="center"/>
          </w:tcPr>
          <w:p w14:paraId="6C0CA579" w14:textId="77777777" w:rsidR="00CC62FC" w:rsidRPr="00AF1A0E" w:rsidRDefault="00CC62FC" w:rsidP="0015321A">
            <w:pPr>
              <w:rPr>
                <w:i/>
                <w:color w:val="000000"/>
                <w:sz w:val="18"/>
                <w:szCs w:val="18"/>
                <w:lang w:val="fr-FR"/>
              </w:rPr>
            </w:pPr>
            <w:r w:rsidRPr="005D3939">
              <w:rPr>
                <w:i/>
                <w:color w:val="000000"/>
                <w:sz w:val="18"/>
                <w:szCs w:val="18"/>
              </w:rPr>
              <w:t>Candida albicans</w:t>
            </w:r>
            <w:r>
              <w:rPr>
                <w:color w:val="000000"/>
                <w:sz w:val="18"/>
                <w:szCs w:val="18"/>
              </w:rPr>
              <w:t xml:space="preserve"> </w:t>
            </w:r>
          </w:p>
        </w:tc>
        <w:tc>
          <w:tcPr>
            <w:tcW w:w="0" w:type="auto"/>
            <w:vAlign w:val="center"/>
          </w:tcPr>
          <w:p w14:paraId="3C350BBE" w14:textId="77777777" w:rsidR="00CC62FC" w:rsidRDefault="00CC62FC" w:rsidP="0015321A">
            <w:pPr>
              <w:rPr>
                <w:color w:val="000000"/>
                <w:sz w:val="18"/>
                <w:szCs w:val="18"/>
              </w:rPr>
            </w:pPr>
            <w:r>
              <w:rPr>
                <w:color w:val="000000"/>
                <w:sz w:val="18"/>
                <w:szCs w:val="18"/>
              </w:rPr>
              <w:t>NF EN 13697 (June 2015)</w:t>
            </w:r>
          </w:p>
        </w:tc>
        <w:tc>
          <w:tcPr>
            <w:tcW w:w="2971" w:type="dxa"/>
            <w:vAlign w:val="center"/>
          </w:tcPr>
          <w:p w14:paraId="5A104A5E" w14:textId="00698E62" w:rsidR="00CC62FC" w:rsidRDefault="00CC62FC" w:rsidP="0015321A">
            <w:pPr>
              <w:rPr>
                <w:color w:val="000000"/>
                <w:sz w:val="18"/>
                <w:szCs w:val="18"/>
              </w:rPr>
            </w:pPr>
            <w:r>
              <w:rPr>
                <w:color w:val="000000"/>
                <w:sz w:val="18"/>
                <w:szCs w:val="18"/>
              </w:rPr>
              <w:t>Phase 2 step 2 (su</w:t>
            </w:r>
            <w:r w:rsidR="00511583">
              <w:rPr>
                <w:color w:val="000000"/>
                <w:sz w:val="18"/>
                <w:szCs w:val="18"/>
              </w:rPr>
              <w:t>rface</w:t>
            </w:r>
            <w:r>
              <w:rPr>
                <w:color w:val="000000"/>
                <w:sz w:val="18"/>
                <w:szCs w:val="18"/>
              </w:rPr>
              <w:t xml:space="preserve"> test)</w:t>
            </w:r>
          </w:p>
          <w:p w14:paraId="3E01E9E4" w14:textId="77777777" w:rsidR="00CC62FC" w:rsidRDefault="00CC62FC" w:rsidP="0015321A">
            <w:pPr>
              <w:rPr>
                <w:color w:val="000000"/>
                <w:sz w:val="18"/>
                <w:szCs w:val="18"/>
              </w:rPr>
            </w:pPr>
            <w:r>
              <w:rPr>
                <w:color w:val="000000"/>
                <w:sz w:val="18"/>
                <w:szCs w:val="18"/>
              </w:rPr>
              <w:t xml:space="preserve">Concentrations of product tested (v/v): 20%, 50%, 100%. </w:t>
            </w:r>
          </w:p>
          <w:p w14:paraId="6A769F53" w14:textId="77777777" w:rsidR="00CC62FC" w:rsidRDefault="00CC62FC" w:rsidP="0015321A">
            <w:pPr>
              <w:rPr>
                <w:color w:val="000000"/>
                <w:sz w:val="18"/>
                <w:szCs w:val="18"/>
              </w:rPr>
            </w:pPr>
            <w:r>
              <w:rPr>
                <w:color w:val="000000"/>
                <w:sz w:val="18"/>
                <w:szCs w:val="18"/>
              </w:rPr>
              <w:t xml:space="preserve">Contact time: 15 minutes </w:t>
            </w:r>
          </w:p>
          <w:p w14:paraId="63CB28A3" w14:textId="668F13B2" w:rsidR="00CC62FC" w:rsidRDefault="00CC62FC" w:rsidP="0015321A">
            <w:pPr>
              <w:rPr>
                <w:color w:val="000000"/>
                <w:sz w:val="18"/>
                <w:szCs w:val="18"/>
              </w:rPr>
            </w:pPr>
            <w:r>
              <w:rPr>
                <w:color w:val="000000"/>
                <w:sz w:val="18"/>
                <w:szCs w:val="18"/>
              </w:rPr>
              <w:t>Temperature:</w:t>
            </w:r>
            <w:r w:rsidR="00511583">
              <w:rPr>
                <w:color w:val="000000"/>
                <w:sz w:val="18"/>
                <w:szCs w:val="18"/>
              </w:rPr>
              <w:t xml:space="preserve"> </w:t>
            </w:r>
            <w:r>
              <w:rPr>
                <w:color w:val="000000"/>
                <w:sz w:val="18"/>
                <w:szCs w:val="18"/>
              </w:rPr>
              <w:t>20°C</w:t>
            </w:r>
          </w:p>
          <w:p w14:paraId="03E2EE3A" w14:textId="77777777" w:rsidR="00CC62FC" w:rsidRDefault="00CC62FC" w:rsidP="0015321A">
            <w:pPr>
              <w:rPr>
                <w:color w:val="000000"/>
                <w:sz w:val="18"/>
                <w:szCs w:val="18"/>
              </w:rPr>
            </w:pPr>
            <w:r>
              <w:rPr>
                <w:color w:val="000000"/>
                <w:sz w:val="18"/>
                <w:szCs w:val="18"/>
              </w:rPr>
              <w:t>Dirty conditions: 3 g/L BSA.</w:t>
            </w:r>
          </w:p>
          <w:p w14:paraId="33D9E7F6" w14:textId="77777777" w:rsidR="00CC62FC" w:rsidRDefault="00CC62FC" w:rsidP="0015321A">
            <w:pPr>
              <w:rPr>
                <w:color w:val="000000"/>
                <w:sz w:val="18"/>
                <w:szCs w:val="18"/>
              </w:rPr>
            </w:pPr>
            <w:r>
              <w:rPr>
                <w:color w:val="000000"/>
                <w:sz w:val="18"/>
                <w:szCs w:val="18"/>
              </w:rPr>
              <w:t>Criteria: ≥ 3 log unit reduction</w:t>
            </w:r>
          </w:p>
        </w:tc>
        <w:tc>
          <w:tcPr>
            <w:tcW w:w="2070" w:type="dxa"/>
            <w:vAlign w:val="center"/>
          </w:tcPr>
          <w:p w14:paraId="49A48762" w14:textId="77777777" w:rsidR="00CC62FC" w:rsidRDefault="00CC62FC" w:rsidP="0015321A">
            <w:pPr>
              <w:snapToGrid w:val="0"/>
              <w:rPr>
                <w:color w:val="000000"/>
                <w:sz w:val="18"/>
                <w:szCs w:val="18"/>
              </w:rPr>
            </w:pPr>
            <w:r>
              <w:rPr>
                <w:color w:val="000000"/>
                <w:sz w:val="18"/>
                <w:szCs w:val="18"/>
              </w:rPr>
              <w:t>Yeasticidal activity demonstrated at 100 % v/v</w:t>
            </w:r>
          </w:p>
        </w:tc>
        <w:tc>
          <w:tcPr>
            <w:tcW w:w="0" w:type="auto"/>
            <w:vAlign w:val="center"/>
          </w:tcPr>
          <w:p w14:paraId="47EA8B39" w14:textId="77777777" w:rsidR="00CC62FC" w:rsidRDefault="00CC62FC" w:rsidP="0015321A">
            <w:pPr>
              <w:rPr>
                <w:color w:val="000000"/>
                <w:sz w:val="18"/>
                <w:szCs w:val="18"/>
              </w:rPr>
            </w:pPr>
            <w:r>
              <w:rPr>
                <w:color w:val="000000"/>
                <w:sz w:val="18"/>
                <w:szCs w:val="18"/>
              </w:rPr>
              <w:t>Huguet N., 2018, Report No 18.CM.18-087</w:t>
            </w:r>
          </w:p>
          <w:p w14:paraId="0BEBF4A2" w14:textId="77777777" w:rsidR="00CC62FC" w:rsidRDefault="00CC62FC" w:rsidP="0015321A">
            <w:pPr>
              <w:rPr>
                <w:color w:val="000000"/>
                <w:sz w:val="18"/>
                <w:szCs w:val="18"/>
              </w:rPr>
            </w:pPr>
          </w:p>
          <w:p w14:paraId="7614A60B" w14:textId="77777777" w:rsidR="00CC62FC" w:rsidRDefault="00CC62FC" w:rsidP="0015321A">
            <w:pPr>
              <w:rPr>
                <w:color w:val="000000"/>
                <w:sz w:val="18"/>
                <w:szCs w:val="18"/>
              </w:rPr>
            </w:pPr>
            <w:r>
              <w:rPr>
                <w:color w:val="000000"/>
                <w:sz w:val="18"/>
                <w:szCs w:val="18"/>
              </w:rPr>
              <w:t>RI=1</w:t>
            </w:r>
          </w:p>
        </w:tc>
      </w:tr>
    </w:tbl>
    <w:p w14:paraId="667A5578" w14:textId="0C22B6C6" w:rsidR="00CC62FC" w:rsidRDefault="00CC62FC" w:rsidP="00CC62FC">
      <w:pPr>
        <w:spacing w:line="260" w:lineRule="atLeast"/>
        <w:jc w:val="both"/>
        <w:rPr>
          <w:rFonts w:ascii="Times New Roman" w:eastAsia="Calibri" w:hAnsi="Times New Roman" w:cs="Arial"/>
          <w:bCs/>
          <w:i/>
          <w:caps/>
          <w:szCs w:val="28"/>
          <w:lang w:eastAsia="en-US"/>
        </w:rPr>
      </w:pPr>
    </w:p>
    <w:p w14:paraId="47F1E3AC" w14:textId="77777777" w:rsidR="00CC62FC" w:rsidRDefault="00CC62FC" w:rsidP="00CC62FC">
      <w:pPr>
        <w:spacing w:line="260" w:lineRule="atLeast"/>
        <w:jc w:val="both"/>
        <w:rPr>
          <w:rFonts w:ascii="Times New Roman" w:eastAsia="Calibri" w:hAnsi="Times New Roman" w:cs="Arial"/>
          <w:bCs/>
          <w:i/>
          <w:caps/>
          <w:szCs w:val="28"/>
          <w:lang w:eastAsia="en-US"/>
        </w:rPr>
        <w:sectPr w:rsidR="00CC62FC" w:rsidSect="00FE67A2">
          <w:pgSz w:w="16838" w:h="11906" w:orient="landscape"/>
          <w:pgMar w:top="1446" w:right="1474" w:bottom="1247" w:left="2013" w:header="851" w:footer="851" w:gutter="0"/>
          <w:cols w:space="720"/>
          <w:docGrid w:linePitch="272"/>
        </w:sectPr>
      </w:pPr>
    </w:p>
    <w:p w14:paraId="7A2DC364" w14:textId="77777777" w:rsidR="00CC62FC" w:rsidRDefault="00CC62FC" w:rsidP="00CC62FC">
      <w:pPr>
        <w:spacing w:line="260" w:lineRule="atLeast"/>
        <w:jc w:val="both"/>
        <w:rPr>
          <w:rFonts w:ascii="Times New Roman" w:eastAsia="Calibri" w:hAnsi="Times New Roman" w:cs="Arial"/>
          <w:bCs/>
          <w:i/>
          <w:caps/>
          <w:szCs w:val="28"/>
          <w:lang w:eastAsia="en-US"/>
        </w:rPr>
      </w:pPr>
      <w:r w:rsidRPr="003B1BF1">
        <w:rPr>
          <w:rFonts w:eastAsia="Calibri"/>
          <w:lang w:eastAsia="en-US"/>
        </w:rPr>
        <w:lastRenderedPageBreak/>
        <w:t>Note that META-SPC5 has been withdrawn by the applicant during the evaluation</w:t>
      </w:r>
    </w:p>
    <w:p w14:paraId="48ADDFBE" w14:textId="77777777" w:rsidR="00CC62FC" w:rsidRDefault="00CC62FC" w:rsidP="00CC62FC">
      <w:pPr>
        <w:spacing w:line="260" w:lineRule="atLeast"/>
        <w:jc w:val="both"/>
        <w:rPr>
          <w:rFonts w:ascii="Times New Roman" w:eastAsia="Calibri" w:hAnsi="Times New Roman" w:cs="Arial"/>
          <w:bCs/>
          <w:i/>
          <w:caps/>
          <w:szCs w:val="28"/>
          <w:lang w:eastAsia="en-US"/>
        </w:rPr>
      </w:pPr>
    </w:p>
    <w:p w14:paraId="516D6526" w14:textId="019C70B1" w:rsidR="00CC62FC" w:rsidRPr="007A4DA8" w:rsidRDefault="00CC62FC" w:rsidP="00BA57DA">
      <w:pPr>
        <w:pStyle w:val="Paragraphedeliste"/>
        <w:numPr>
          <w:ilvl w:val="0"/>
          <w:numId w:val="24"/>
        </w:numPr>
        <w:spacing w:line="260" w:lineRule="atLeast"/>
        <w:jc w:val="both"/>
        <w:rPr>
          <w:rFonts w:eastAsia="Calibri"/>
          <w:b/>
          <w:lang w:eastAsia="en-US"/>
        </w:rPr>
      </w:pPr>
      <w:r w:rsidRPr="007A4DA8">
        <w:rPr>
          <w:rFonts w:eastAsia="Calibri"/>
          <w:b/>
          <w:lang w:eastAsia="en-US"/>
        </w:rPr>
        <w:t>Meta-SPC 6: Disinfectant</w:t>
      </w:r>
      <w:r w:rsidR="00774730" w:rsidRPr="007A4DA8">
        <w:rPr>
          <w:rFonts w:eastAsia="Calibri"/>
          <w:b/>
          <w:lang w:eastAsia="en-US"/>
        </w:rPr>
        <w:t>s</w:t>
      </w:r>
      <w:r w:rsidRPr="007A4DA8">
        <w:rPr>
          <w:rFonts w:eastAsia="Calibri"/>
          <w:b/>
          <w:lang w:eastAsia="en-US"/>
        </w:rPr>
        <w:t xml:space="preserve"> for </w:t>
      </w:r>
      <w:r w:rsidR="00774730" w:rsidRPr="007A4DA8">
        <w:rPr>
          <w:rFonts w:eastAsia="Calibri"/>
          <w:b/>
          <w:lang w:eastAsia="en-US"/>
        </w:rPr>
        <w:t xml:space="preserve">hard surfaces </w:t>
      </w:r>
      <w:r w:rsidR="00733D14" w:rsidRPr="007A4DA8">
        <w:rPr>
          <w:rFonts w:eastAsia="Calibri"/>
          <w:b/>
          <w:lang w:eastAsia="en-US"/>
        </w:rPr>
        <w:t>in</w:t>
      </w:r>
      <w:r w:rsidR="00774730" w:rsidRPr="007A4DA8">
        <w:rPr>
          <w:rFonts w:eastAsia="Calibri"/>
          <w:b/>
          <w:lang w:eastAsia="en-US"/>
        </w:rPr>
        <w:t xml:space="preserve"> industry,</w:t>
      </w:r>
      <w:r w:rsidR="00774730" w:rsidRPr="007A4DA8" w:rsidDel="000C0F54">
        <w:rPr>
          <w:rFonts w:eastAsia="Calibri"/>
          <w:b/>
          <w:lang w:eastAsia="en-US"/>
        </w:rPr>
        <w:t xml:space="preserve"> </w:t>
      </w:r>
      <w:r w:rsidRPr="007A4DA8">
        <w:rPr>
          <w:rFonts w:eastAsia="Calibri"/>
          <w:b/>
          <w:lang w:eastAsia="en-US"/>
        </w:rPr>
        <w:t>institution, healthcare facilities</w:t>
      </w:r>
      <w:r w:rsidR="00774730" w:rsidRPr="007A4DA8">
        <w:rPr>
          <w:rFonts w:eastAsia="Calibri"/>
          <w:b/>
          <w:lang w:eastAsia="en-US"/>
        </w:rPr>
        <w:t>,</w:t>
      </w:r>
      <w:r w:rsidRPr="007A4DA8">
        <w:rPr>
          <w:rFonts w:eastAsia="Calibri"/>
          <w:b/>
          <w:lang w:eastAsia="en-US"/>
        </w:rPr>
        <w:t xml:space="preserve"> </w:t>
      </w:r>
      <w:r w:rsidR="00774730" w:rsidRPr="007A4DA8">
        <w:rPr>
          <w:rFonts w:eastAsia="Calibri"/>
          <w:b/>
          <w:lang w:eastAsia="en-US"/>
        </w:rPr>
        <w:t xml:space="preserve">healthcare </w:t>
      </w:r>
      <w:r w:rsidRPr="007A4DA8">
        <w:rPr>
          <w:rFonts w:eastAsia="Calibri"/>
          <w:b/>
          <w:lang w:eastAsia="en-US"/>
        </w:rPr>
        <w:t>and</w:t>
      </w:r>
      <w:r w:rsidR="000C0F54" w:rsidRPr="007A4DA8">
        <w:rPr>
          <w:rFonts w:eastAsia="Calibri"/>
          <w:b/>
          <w:lang w:eastAsia="en-US"/>
        </w:rPr>
        <w:t>,</w:t>
      </w:r>
      <w:r w:rsidRPr="007A4DA8">
        <w:rPr>
          <w:rFonts w:eastAsia="Calibri"/>
          <w:b/>
          <w:lang w:eastAsia="en-US"/>
        </w:rPr>
        <w:t xml:space="preserve"> food preparation and handling areas</w:t>
      </w:r>
      <w:r w:rsidR="00C20A61" w:rsidRPr="007A4DA8">
        <w:rPr>
          <w:rFonts w:eastAsia="Calibri"/>
          <w:b/>
          <w:lang w:eastAsia="en-US"/>
        </w:rPr>
        <w:t>,</w:t>
      </w:r>
      <w:r w:rsidR="000C0F54" w:rsidRPr="007A4DA8">
        <w:rPr>
          <w:rFonts w:eastAsia="Calibri"/>
          <w:b/>
          <w:lang w:eastAsia="en-US"/>
        </w:rPr>
        <w:t xml:space="preserve"> by </w:t>
      </w:r>
      <w:r w:rsidR="000C0F54" w:rsidRPr="007A4DA8">
        <w:rPr>
          <w:rFonts w:eastAsia="Calibri"/>
          <w:b/>
          <w:iCs/>
          <w:szCs w:val="24"/>
          <w:lang w:eastAsia="en-US"/>
        </w:rPr>
        <w:t>s</w:t>
      </w:r>
      <w:r w:rsidRPr="007A4DA8">
        <w:rPr>
          <w:rFonts w:eastAsia="Calibri"/>
          <w:b/>
          <w:iCs/>
          <w:szCs w:val="24"/>
          <w:lang w:eastAsia="en-US"/>
        </w:rPr>
        <w:t xml:space="preserve">praying, </w:t>
      </w:r>
      <w:r w:rsidR="00FC3C8D" w:rsidRPr="007A4DA8">
        <w:rPr>
          <w:rFonts w:eastAsia="Calibri"/>
          <w:b/>
          <w:iCs/>
          <w:szCs w:val="24"/>
          <w:lang w:eastAsia="en-US"/>
        </w:rPr>
        <w:t>w</w:t>
      </w:r>
      <w:r w:rsidRPr="007A4DA8">
        <w:rPr>
          <w:rFonts w:eastAsia="Calibri"/>
          <w:b/>
          <w:iCs/>
          <w:szCs w:val="24"/>
          <w:lang w:eastAsia="en-US"/>
        </w:rPr>
        <w:t>iping</w:t>
      </w:r>
      <w:r w:rsidR="00FC3C8D" w:rsidRPr="007A4DA8">
        <w:rPr>
          <w:rFonts w:eastAsia="Calibri"/>
          <w:b/>
          <w:iCs/>
          <w:szCs w:val="24"/>
          <w:lang w:eastAsia="en-US"/>
        </w:rPr>
        <w:t xml:space="preserve"> </w:t>
      </w:r>
      <w:r w:rsidR="00FC3C8D" w:rsidRPr="007A4DA8">
        <w:rPr>
          <w:b/>
        </w:rPr>
        <w:t>(applying product onto wipe followed by wiping)</w:t>
      </w:r>
      <w:r w:rsidRPr="007A4DA8">
        <w:rPr>
          <w:rFonts w:eastAsia="Calibri"/>
          <w:b/>
          <w:iCs/>
          <w:szCs w:val="24"/>
          <w:lang w:eastAsia="en-US"/>
        </w:rPr>
        <w:t xml:space="preserve">, </w:t>
      </w:r>
      <w:r w:rsidR="00FC3C8D" w:rsidRPr="007A4DA8">
        <w:rPr>
          <w:rFonts w:eastAsia="Calibri"/>
          <w:b/>
          <w:iCs/>
          <w:szCs w:val="24"/>
          <w:lang w:eastAsia="en-US"/>
        </w:rPr>
        <w:t>b</w:t>
      </w:r>
      <w:r w:rsidRPr="007A4DA8">
        <w:rPr>
          <w:rFonts w:eastAsia="Calibri"/>
          <w:b/>
          <w:iCs/>
          <w:szCs w:val="24"/>
          <w:lang w:eastAsia="en-US"/>
        </w:rPr>
        <w:t>rushing</w:t>
      </w:r>
      <w:r w:rsidR="00C32EB5" w:rsidRPr="007A4DA8">
        <w:rPr>
          <w:rFonts w:eastAsia="Calibri"/>
          <w:b/>
          <w:iCs/>
          <w:szCs w:val="24"/>
          <w:lang w:eastAsia="en-US"/>
        </w:rPr>
        <w:t xml:space="preserve"> </w:t>
      </w:r>
      <w:r w:rsidR="00C32EB5" w:rsidRPr="007A4DA8">
        <w:rPr>
          <w:b/>
        </w:rPr>
        <w:t>(applying product onto brush followed by mopping)</w:t>
      </w:r>
      <w:r w:rsidRPr="007A4DA8">
        <w:rPr>
          <w:rFonts w:eastAsia="Calibri"/>
          <w:b/>
          <w:iCs/>
          <w:szCs w:val="24"/>
          <w:lang w:eastAsia="en-US"/>
        </w:rPr>
        <w:t xml:space="preserve">, </w:t>
      </w:r>
      <w:r w:rsidR="00FC3C8D" w:rsidRPr="007A4DA8">
        <w:rPr>
          <w:rFonts w:eastAsia="Calibri"/>
          <w:b/>
          <w:iCs/>
          <w:szCs w:val="24"/>
          <w:lang w:eastAsia="en-US"/>
        </w:rPr>
        <w:t>m</w:t>
      </w:r>
      <w:r w:rsidRPr="007A4DA8">
        <w:rPr>
          <w:rFonts w:eastAsia="Calibri"/>
          <w:b/>
          <w:iCs/>
          <w:szCs w:val="24"/>
          <w:lang w:eastAsia="en-US"/>
        </w:rPr>
        <w:t xml:space="preserve">opping </w:t>
      </w:r>
      <w:r w:rsidR="00FC3C8D" w:rsidRPr="007A4DA8">
        <w:rPr>
          <w:b/>
        </w:rPr>
        <w:t xml:space="preserve">(applying product onto mop followed by mopping) </w:t>
      </w:r>
      <w:r w:rsidRPr="007A4DA8">
        <w:rPr>
          <w:rFonts w:eastAsia="Calibri"/>
          <w:b/>
          <w:iCs/>
          <w:szCs w:val="24"/>
          <w:lang w:eastAsia="en-US"/>
        </w:rPr>
        <w:t xml:space="preserve">and </w:t>
      </w:r>
      <w:r w:rsidR="00FC3C8D" w:rsidRPr="007A4DA8">
        <w:rPr>
          <w:rFonts w:eastAsia="Calibri"/>
          <w:b/>
          <w:iCs/>
          <w:szCs w:val="24"/>
          <w:lang w:eastAsia="en-US"/>
        </w:rPr>
        <w:t>s</w:t>
      </w:r>
      <w:r w:rsidRPr="007A4DA8">
        <w:rPr>
          <w:rFonts w:eastAsia="Calibri"/>
          <w:b/>
          <w:iCs/>
          <w:szCs w:val="24"/>
          <w:lang w:eastAsia="en-US"/>
        </w:rPr>
        <w:t>crubbing</w:t>
      </w:r>
      <w:r w:rsidR="00C20A61" w:rsidRPr="007A4DA8">
        <w:rPr>
          <w:rFonts w:eastAsia="Calibri"/>
          <w:b/>
          <w:iCs/>
          <w:szCs w:val="24"/>
          <w:lang w:eastAsia="en-US"/>
        </w:rPr>
        <w:t xml:space="preserve"> –PT2/4</w:t>
      </w:r>
    </w:p>
    <w:p w14:paraId="6CCE3692" w14:textId="77777777" w:rsidR="00CC62FC" w:rsidRPr="00F81A6F" w:rsidRDefault="00CC62FC" w:rsidP="00CC62FC">
      <w:pPr>
        <w:pStyle w:val="Paragraphedeliste"/>
        <w:spacing w:line="260" w:lineRule="atLeast"/>
        <w:rPr>
          <w:rFonts w:eastAsia="Calibri"/>
          <w:lang w:eastAsia="en-US"/>
        </w:rPr>
      </w:pPr>
    </w:p>
    <w:p w14:paraId="3E108217" w14:textId="06AF8C23" w:rsidR="00CC62FC" w:rsidRDefault="00CC62FC" w:rsidP="00CC62FC">
      <w:pPr>
        <w:spacing w:line="260" w:lineRule="atLeast"/>
        <w:jc w:val="both"/>
        <w:rPr>
          <w:lang w:eastAsia="en-US"/>
        </w:rPr>
      </w:pPr>
      <w:r w:rsidRPr="005C303E">
        <w:rPr>
          <w:lang w:eastAsia="en-US"/>
        </w:rPr>
        <w:t>META-SPC</w:t>
      </w:r>
      <w:r>
        <w:rPr>
          <w:lang w:eastAsia="en-US"/>
        </w:rPr>
        <w:t>6</w:t>
      </w:r>
      <w:r w:rsidRPr="005C303E">
        <w:rPr>
          <w:lang w:eastAsia="en-US"/>
        </w:rPr>
        <w:t xml:space="preserve"> contains </w:t>
      </w:r>
      <w:r>
        <w:rPr>
          <w:lang w:eastAsia="en-US"/>
        </w:rPr>
        <w:t xml:space="preserve">products to be diluted in water, containing </w:t>
      </w:r>
      <w:r w:rsidR="008A028D">
        <w:rPr>
          <w:lang w:eastAsia="en-US"/>
        </w:rPr>
        <w:t>24</w:t>
      </w:r>
      <w:r>
        <w:rPr>
          <w:lang w:eastAsia="en-US"/>
        </w:rPr>
        <w:t xml:space="preserve">% w/w lactic acid, and minor variations of coformulants, in low concentrations without biocidal activity. </w:t>
      </w:r>
    </w:p>
    <w:p w14:paraId="1A5B7A5C" w14:textId="059C3A77" w:rsidR="00CC62FC" w:rsidRDefault="00CC62FC" w:rsidP="00CC62FC">
      <w:pPr>
        <w:spacing w:line="260" w:lineRule="atLeast"/>
        <w:jc w:val="both"/>
        <w:rPr>
          <w:rFonts w:cs="Arial"/>
          <w:lang w:eastAsia="en-US"/>
        </w:rPr>
      </w:pPr>
      <w:r>
        <w:rPr>
          <w:lang w:eastAsia="en-US"/>
        </w:rPr>
        <w:t xml:space="preserve">Efficacy studies have been performed with representative product </w:t>
      </w:r>
      <w:r w:rsidRPr="00C914AE">
        <w:rPr>
          <w:rFonts w:eastAsia="Calibri"/>
          <w:iCs/>
          <w:szCs w:val="24"/>
          <w:lang w:eastAsia="en-US"/>
        </w:rPr>
        <w:t>AL-S6-1-0 (</w:t>
      </w:r>
      <w:r w:rsidR="003B05F7">
        <w:rPr>
          <w:rFonts w:eastAsia="Calibri"/>
          <w:iCs/>
          <w:szCs w:val="24"/>
          <w:lang w:eastAsia="en-US"/>
        </w:rPr>
        <w:t>24</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AE3A1F">
        <w:rPr>
          <w:rFonts w:cs="Arial"/>
          <w:lang w:eastAsia="en-US"/>
        </w:rPr>
        <w:t xml:space="preserve">Taking into account the minor variations of the co-formulants presented in the META-SPC6, it can be assumed that they have no impact on efficacy and the efficacy results of the representative products </w:t>
      </w:r>
      <w:r w:rsidRPr="00C914AE">
        <w:rPr>
          <w:rFonts w:eastAsia="Calibri"/>
          <w:iCs/>
          <w:szCs w:val="24"/>
          <w:lang w:eastAsia="en-US"/>
        </w:rPr>
        <w:t xml:space="preserve">AL-S6-1-0 </w:t>
      </w:r>
      <w:r w:rsidRPr="00AE3A1F">
        <w:rPr>
          <w:rFonts w:cs="Arial"/>
          <w:lang w:eastAsia="en-US"/>
        </w:rPr>
        <w:t>cover the whole META-SPC6 claims</w:t>
      </w:r>
      <w:r>
        <w:rPr>
          <w:rFonts w:cs="Arial"/>
          <w:lang w:eastAsia="en-US"/>
        </w:rPr>
        <w:t>.</w:t>
      </w:r>
    </w:p>
    <w:p w14:paraId="4271D245" w14:textId="77777777" w:rsidR="00CC62FC" w:rsidRDefault="00CC62FC" w:rsidP="00CC62FC">
      <w:pPr>
        <w:spacing w:line="260" w:lineRule="atLeast"/>
        <w:rPr>
          <w:rFonts w:cs="Arial"/>
          <w:lang w:eastAsia="en-US"/>
        </w:rPr>
      </w:pPr>
    </w:p>
    <w:p w14:paraId="239C7969" w14:textId="7BC2E091" w:rsidR="00CC62FC" w:rsidRDefault="00CC62FC" w:rsidP="00CC62FC">
      <w:pPr>
        <w:spacing w:line="260" w:lineRule="atLeast"/>
        <w:rPr>
          <w:rFonts w:eastAsia="Calibri"/>
          <w:lang w:eastAsia="en-US"/>
        </w:rPr>
      </w:pPr>
      <w:r>
        <w:rPr>
          <w:rFonts w:eastAsia="Calibri"/>
          <w:lang w:eastAsia="en-US"/>
        </w:rPr>
        <w:t>For i</w:t>
      </w:r>
      <w:r w:rsidRPr="00F81A6F">
        <w:rPr>
          <w:rFonts w:eastAsia="Calibri"/>
          <w:lang w:eastAsia="en-US"/>
        </w:rPr>
        <w:t>nstitutional, industrial and</w:t>
      </w:r>
      <w:r w:rsidR="00F45C99">
        <w:rPr>
          <w:rFonts w:eastAsia="Calibri"/>
          <w:lang w:eastAsia="en-US"/>
        </w:rPr>
        <w:t>,</w:t>
      </w:r>
      <w:r w:rsidRPr="00F81A6F">
        <w:rPr>
          <w:rFonts w:eastAsia="Calibri"/>
          <w:lang w:eastAsia="en-US"/>
        </w:rPr>
        <w:t xml:space="preserve"> food preparation and handling areas</w:t>
      </w:r>
      <w:r>
        <w:rPr>
          <w:rFonts w:eastAsia="Calibri"/>
          <w:lang w:eastAsia="en-US"/>
        </w:rPr>
        <w:t>:</w:t>
      </w:r>
    </w:p>
    <w:p w14:paraId="44EA6A8A" w14:textId="77777777" w:rsidR="00CC62FC" w:rsidRDefault="00CC62FC" w:rsidP="00CC62FC">
      <w:pPr>
        <w:spacing w:line="260" w:lineRule="atLeast"/>
        <w:jc w:val="both"/>
        <w:rPr>
          <w:rFonts w:eastAsia="Calibri"/>
          <w:lang w:eastAsia="en-US"/>
        </w:rPr>
      </w:pPr>
      <w:r>
        <w:rPr>
          <w:rFonts w:eastAsia="Calibri"/>
          <w:lang w:eastAsia="en-US"/>
        </w:rPr>
        <w:t>B</w:t>
      </w:r>
      <w:r w:rsidRPr="004143FC">
        <w:rPr>
          <w:rFonts w:eastAsia="Calibri"/>
          <w:lang w:eastAsia="en-US"/>
        </w:rPr>
        <w:t>actericidal activity</w:t>
      </w:r>
      <w:r>
        <w:rPr>
          <w:rFonts w:eastAsia="Calibri"/>
          <w:lang w:eastAsia="en-US"/>
        </w:rPr>
        <w:t xml:space="preserve"> is demonstrated in phase 2, steps 1 and 2 tests (EN 1276 and EN 13697)</w:t>
      </w:r>
      <w:r w:rsidRPr="004143FC">
        <w:rPr>
          <w:rFonts w:eastAsia="Calibri"/>
          <w:lang w:eastAsia="en-US"/>
        </w:rPr>
        <w:t>,</w:t>
      </w:r>
      <w:r w:rsidRPr="0046133A">
        <w:rPr>
          <w:rFonts w:eastAsia="Calibri"/>
          <w:lang w:eastAsia="en-US"/>
        </w:rPr>
        <w:t xml:space="preserve"> </w:t>
      </w:r>
      <w:r w:rsidRPr="004143FC">
        <w:rPr>
          <w:rFonts w:eastAsia="Calibri"/>
          <w:lang w:eastAsia="en-US"/>
        </w:rPr>
        <w:t xml:space="preserve">at </w:t>
      </w:r>
      <w:r>
        <w:rPr>
          <w:rFonts w:eastAsia="Calibri"/>
          <w:lang w:eastAsia="en-US"/>
        </w:rPr>
        <w:t>2</w:t>
      </w:r>
      <w:r w:rsidRPr="004143FC">
        <w:rPr>
          <w:rFonts w:eastAsia="Calibri"/>
          <w:lang w:eastAsia="en-US"/>
        </w:rPr>
        <w:t xml:space="preserve">0°C </w:t>
      </w:r>
      <w:r>
        <w:rPr>
          <w:rFonts w:eastAsia="Calibri"/>
          <w:lang w:eastAsia="en-US"/>
        </w:rPr>
        <w:t xml:space="preserve">with a contact time of </w:t>
      </w:r>
      <w:r w:rsidRPr="004143FC">
        <w:rPr>
          <w:rFonts w:eastAsia="Calibri"/>
          <w:lang w:eastAsia="en-US"/>
        </w:rPr>
        <w:t>5 minutes</w:t>
      </w:r>
      <w:r>
        <w:rPr>
          <w:rFonts w:eastAsia="Calibri"/>
          <w:lang w:eastAsia="en-US"/>
        </w:rPr>
        <w:t>,</w:t>
      </w:r>
      <w:r w:rsidRPr="004143FC">
        <w:rPr>
          <w:rFonts w:eastAsia="Calibri"/>
          <w:lang w:eastAsia="en-US"/>
        </w:rPr>
        <w:t xml:space="preserve"> in dirty conditions</w:t>
      </w:r>
      <w:r>
        <w:rPr>
          <w:rFonts w:eastAsia="Calibri"/>
          <w:lang w:eastAsia="en-US"/>
        </w:rPr>
        <w:t xml:space="preserve"> (3.0 g/L BSA). </w:t>
      </w:r>
      <w:r w:rsidRPr="003D493E">
        <w:rPr>
          <w:lang w:eastAsia="en-US"/>
        </w:rPr>
        <w:t xml:space="preserve">In these conditions, bactericidal activity is shown at the in-use concentration of </w:t>
      </w:r>
      <w:r>
        <w:rPr>
          <w:rFonts w:eastAsia="Calibri"/>
          <w:lang w:eastAsia="en-US"/>
        </w:rPr>
        <w:t xml:space="preserve">3 </w:t>
      </w:r>
      <w:r w:rsidRPr="00F81A6F">
        <w:rPr>
          <w:rFonts w:eastAsia="Calibri"/>
          <w:lang w:eastAsia="en-US"/>
        </w:rPr>
        <w:t>% (v/v)</w:t>
      </w:r>
      <w:r>
        <w:rPr>
          <w:rFonts w:eastAsia="Calibri"/>
          <w:lang w:eastAsia="en-US"/>
        </w:rPr>
        <w:t>.</w:t>
      </w:r>
    </w:p>
    <w:p w14:paraId="70060F37" w14:textId="20E2AA45" w:rsidR="00CC62FC" w:rsidRDefault="00CC62FC" w:rsidP="00CC62FC">
      <w:pPr>
        <w:spacing w:line="260" w:lineRule="atLeast"/>
        <w:jc w:val="both"/>
        <w:rPr>
          <w:rFonts w:eastAsia="Calibri"/>
          <w:lang w:eastAsia="en-US"/>
        </w:rPr>
      </w:pPr>
      <w:r>
        <w:rPr>
          <w:lang w:eastAsia="en-US"/>
        </w:rPr>
        <w:t>Activity against</w:t>
      </w:r>
      <w:r w:rsidRPr="00766B91">
        <w:rPr>
          <w:rFonts w:eastAsia="Calibri"/>
          <w:lang w:eastAsia="en-US"/>
        </w:rPr>
        <w:t xml:space="preserve"> additional strain</w:t>
      </w:r>
      <w:r>
        <w:rPr>
          <w:rFonts w:eastAsia="Calibri"/>
          <w:lang w:eastAsia="en-US"/>
        </w:rPr>
        <w:t>s</w:t>
      </w:r>
      <w:r w:rsidRPr="00766B91">
        <w:rPr>
          <w:rFonts w:eastAsia="Calibri"/>
          <w:lang w:eastAsia="en-US"/>
        </w:rPr>
        <w:t xml:space="preserve"> </w:t>
      </w:r>
      <w:r w:rsidRPr="001D704F">
        <w:rPr>
          <w:rFonts w:eastAsia="Calibri"/>
          <w:i/>
          <w:lang w:eastAsia="en-US"/>
        </w:rPr>
        <w:t xml:space="preserve">Salmonella </w:t>
      </w:r>
      <w:r w:rsidRPr="00C914AE">
        <w:rPr>
          <w:rFonts w:eastAsia="Calibri"/>
          <w:lang w:eastAsia="en-US"/>
        </w:rPr>
        <w:t>Typhimurium</w:t>
      </w:r>
      <w:r w:rsidRPr="00766B91">
        <w:rPr>
          <w:rFonts w:eastAsia="Calibri"/>
          <w:lang w:eastAsia="en-US"/>
        </w:rPr>
        <w:t xml:space="preserve"> and </w:t>
      </w:r>
      <w:r w:rsidRPr="001D704F">
        <w:rPr>
          <w:rFonts w:eastAsia="Calibri"/>
          <w:i/>
          <w:lang w:eastAsia="en-US"/>
        </w:rPr>
        <w:t>Listeria monocytogenes</w:t>
      </w:r>
      <w:r w:rsidRPr="003D493E">
        <w:rPr>
          <w:lang w:eastAsia="en-US"/>
        </w:rPr>
        <w:t xml:space="preserve"> is demonstrated </w:t>
      </w:r>
      <w:r>
        <w:rPr>
          <w:lang w:eastAsia="en-US"/>
        </w:rPr>
        <w:t>in phase 2, step</w:t>
      </w:r>
      <w:r w:rsidRPr="003D493E">
        <w:rPr>
          <w:lang w:eastAsia="en-US"/>
        </w:rPr>
        <w:t xml:space="preserve"> </w:t>
      </w:r>
      <w:r>
        <w:rPr>
          <w:lang w:eastAsia="en-US"/>
        </w:rPr>
        <w:t xml:space="preserve">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in dirty conditions (3.0 g/L BSA).</w:t>
      </w:r>
      <w:r>
        <w:rPr>
          <w:lang w:eastAsia="en-US"/>
        </w:rPr>
        <w:t xml:space="preserve"> </w:t>
      </w:r>
      <w:r w:rsidRPr="003D493E">
        <w:rPr>
          <w:lang w:eastAsia="en-US"/>
        </w:rPr>
        <w:t xml:space="preserve">In these conditions, activity </w:t>
      </w:r>
      <w:r>
        <w:rPr>
          <w:lang w:eastAsia="en-US"/>
        </w:rPr>
        <w:t xml:space="preserve">on these strains </w:t>
      </w:r>
      <w:r w:rsidRPr="003D493E">
        <w:rPr>
          <w:lang w:eastAsia="en-US"/>
        </w:rPr>
        <w:t xml:space="preserve">is shown at the in-use concentration of </w:t>
      </w:r>
      <w:r>
        <w:rPr>
          <w:lang w:eastAsia="en-US"/>
        </w:rPr>
        <w:t xml:space="preserve">3 % </w:t>
      </w:r>
      <w:r w:rsidR="00650FC6">
        <w:rPr>
          <w:lang w:eastAsia="en-US"/>
        </w:rPr>
        <w:t>(</w:t>
      </w:r>
      <w:r>
        <w:rPr>
          <w:lang w:eastAsia="en-US"/>
        </w:rPr>
        <w:t>v/v</w:t>
      </w:r>
      <w:r w:rsidR="00650FC6">
        <w:rPr>
          <w:lang w:eastAsia="en-US"/>
        </w:rPr>
        <w:t>)</w:t>
      </w:r>
      <w:r>
        <w:rPr>
          <w:lang w:eastAsia="en-US"/>
        </w:rPr>
        <w:t>.</w:t>
      </w:r>
    </w:p>
    <w:p w14:paraId="33829E14" w14:textId="334C3598" w:rsidR="00CC62FC" w:rsidRPr="004143FC" w:rsidRDefault="00CC62FC" w:rsidP="00CC62FC">
      <w:pPr>
        <w:spacing w:line="260" w:lineRule="atLeast"/>
        <w:jc w:val="both"/>
        <w:rPr>
          <w:rFonts w:eastAsia="Calibri"/>
          <w:lang w:eastAsia="en-US"/>
        </w:rPr>
      </w:pPr>
      <w:r>
        <w:rPr>
          <w:rFonts w:eastAsia="Calibri"/>
          <w:lang w:eastAsia="en-US"/>
        </w:rPr>
        <w:t>Y</w:t>
      </w:r>
      <w:r w:rsidRPr="004143FC">
        <w:rPr>
          <w:rFonts w:eastAsia="Calibri"/>
          <w:lang w:eastAsia="en-US"/>
        </w:rPr>
        <w:t>easticidal activity</w:t>
      </w:r>
      <w:r>
        <w:rPr>
          <w:rFonts w:eastAsia="Calibri"/>
          <w:lang w:eastAsia="en-US"/>
        </w:rPr>
        <w:t xml:space="preserve"> is demonstrated in phase 2, steps 1 and 2 tests (EN1650 and EN13697)</w:t>
      </w:r>
      <w:r w:rsidRPr="004143FC">
        <w:rPr>
          <w:rFonts w:eastAsia="Calibri"/>
          <w:lang w:eastAsia="en-US"/>
        </w:rPr>
        <w:t xml:space="preserve">, at </w:t>
      </w:r>
      <w:r>
        <w:rPr>
          <w:rFonts w:eastAsia="Calibri"/>
          <w:lang w:eastAsia="en-US"/>
        </w:rPr>
        <w:t>2</w:t>
      </w:r>
      <w:r w:rsidRPr="004143FC">
        <w:rPr>
          <w:rFonts w:eastAsia="Calibri"/>
          <w:lang w:eastAsia="en-US"/>
        </w:rPr>
        <w:t>0°C</w:t>
      </w:r>
      <w:r>
        <w:rPr>
          <w:rFonts w:eastAsia="Calibri"/>
          <w:lang w:eastAsia="en-US"/>
        </w:rPr>
        <w:t>,</w:t>
      </w:r>
      <w:r w:rsidRPr="004143FC">
        <w:rPr>
          <w:rFonts w:eastAsia="Calibri"/>
          <w:lang w:eastAsia="en-US"/>
        </w:rPr>
        <w:t xml:space="preserve"> with contact time of </w:t>
      </w:r>
      <w:r>
        <w:rPr>
          <w:rFonts w:eastAsia="Calibri"/>
          <w:lang w:eastAsia="en-US"/>
        </w:rPr>
        <w:t>15</w:t>
      </w:r>
      <w:r w:rsidRPr="004143FC">
        <w:rPr>
          <w:rFonts w:eastAsia="Calibri"/>
          <w:lang w:eastAsia="en-US"/>
        </w:rPr>
        <w:t xml:space="preserve"> minutes</w:t>
      </w:r>
      <w:r>
        <w:rPr>
          <w:rFonts w:eastAsia="Calibri"/>
          <w:lang w:eastAsia="en-US"/>
        </w:rPr>
        <w:t>,</w:t>
      </w:r>
      <w:r w:rsidRPr="005B346C">
        <w:rPr>
          <w:rFonts w:eastAsia="Calibri"/>
          <w:lang w:eastAsia="en-US"/>
        </w:rPr>
        <w:t xml:space="preserve"> </w:t>
      </w:r>
      <w:r w:rsidRPr="004143FC">
        <w:rPr>
          <w:rFonts w:eastAsia="Calibri"/>
          <w:lang w:eastAsia="en-US"/>
        </w:rPr>
        <w:t>in dirty conditions</w:t>
      </w:r>
      <w:r>
        <w:rPr>
          <w:rFonts w:eastAsia="Calibri"/>
          <w:lang w:eastAsia="en-US"/>
        </w:rPr>
        <w:t xml:space="preserve"> (3.0 g/L BSA). In these conditions,</w:t>
      </w:r>
      <w:r w:rsidRPr="004143FC">
        <w:rPr>
          <w:rFonts w:eastAsia="Calibri"/>
          <w:lang w:eastAsia="en-US"/>
        </w:rPr>
        <w:t xml:space="preserve"> </w:t>
      </w:r>
      <w:r>
        <w:rPr>
          <w:lang w:eastAsia="en-US"/>
        </w:rPr>
        <w:t>yeasticidal</w:t>
      </w:r>
      <w:r w:rsidRPr="003D493E">
        <w:rPr>
          <w:lang w:eastAsia="en-US"/>
        </w:rPr>
        <w:t xml:space="preserve"> activity </w:t>
      </w:r>
      <w:r>
        <w:rPr>
          <w:rFonts w:eastAsia="Calibri"/>
          <w:lang w:eastAsia="en-US"/>
        </w:rPr>
        <w:t xml:space="preserve">is demonstrated at the in-use concentration of </w:t>
      </w:r>
      <w:r w:rsidR="00A7086B">
        <w:rPr>
          <w:rFonts w:eastAsia="Calibri"/>
          <w:lang w:eastAsia="en-US"/>
        </w:rPr>
        <w:t>5</w:t>
      </w:r>
      <w:r>
        <w:rPr>
          <w:rFonts w:eastAsia="Calibri"/>
          <w:lang w:eastAsia="en-US"/>
        </w:rPr>
        <w:t>% (v/v).</w:t>
      </w:r>
    </w:p>
    <w:p w14:paraId="34F72ABA" w14:textId="77777777" w:rsidR="00CC62FC" w:rsidRDefault="00CC62FC" w:rsidP="00CC62FC">
      <w:pPr>
        <w:spacing w:line="260" w:lineRule="atLeast"/>
        <w:rPr>
          <w:rFonts w:eastAsia="Calibri"/>
          <w:lang w:eastAsia="en-US"/>
        </w:rPr>
      </w:pPr>
    </w:p>
    <w:p w14:paraId="092EE3A9" w14:textId="331FA6F4" w:rsidR="00CC62FC" w:rsidRDefault="00CC62FC" w:rsidP="00CC62FC">
      <w:pPr>
        <w:spacing w:line="260" w:lineRule="atLeast"/>
        <w:jc w:val="both"/>
        <w:rPr>
          <w:rFonts w:eastAsia="Calibri"/>
          <w:lang w:eastAsia="en-US"/>
        </w:rPr>
      </w:pPr>
      <w:r>
        <w:rPr>
          <w:rFonts w:eastAsia="Calibri"/>
          <w:lang w:eastAsia="en-US"/>
        </w:rPr>
        <w:t>B</w:t>
      </w:r>
      <w:r w:rsidRPr="004143FC">
        <w:rPr>
          <w:rFonts w:eastAsia="Calibri"/>
          <w:lang w:eastAsia="en-US"/>
        </w:rPr>
        <w:t>actericidal activity</w:t>
      </w:r>
      <w:r>
        <w:rPr>
          <w:rFonts w:eastAsia="Calibri"/>
          <w:lang w:eastAsia="en-US"/>
        </w:rPr>
        <w:t xml:space="preserve"> is demonstrated in phase 2, steps 1 and 2 tests (EN 1276 and EN 13697)</w:t>
      </w:r>
      <w:r w:rsidRPr="004143FC">
        <w:rPr>
          <w:rFonts w:eastAsia="Calibri"/>
          <w:lang w:eastAsia="en-US"/>
        </w:rPr>
        <w:t>,</w:t>
      </w:r>
      <w:r w:rsidRPr="0046133A">
        <w:rPr>
          <w:rFonts w:eastAsia="Calibri"/>
          <w:lang w:eastAsia="en-US"/>
        </w:rPr>
        <w:t xml:space="preserve"> </w:t>
      </w:r>
      <w:r w:rsidRPr="004143FC">
        <w:rPr>
          <w:rFonts w:eastAsia="Calibri"/>
          <w:lang w:eastAsia="en-US"/>
        </w:rPr>
        <w:t>at 40°C</w:t>
      </w:r>
      <w:r>
        <w:rPr>
          <w:rFonts w:eastAsia="Calibri"/>
          <w:lang w:eastAsia="en-US"/>
        </w:rPr>
        <w:t>,</w:t>
      </w:r>
      <w:r w:rsidRPr="004143FC">
        <w:rPr>
          <w:rFonts w:eastAsia="Calibri"/>
          <w:lang w:eastAsia="en-US"/>
        </w:rPr>
        <w:t xml:space="preserve"> </w:t>
      </w:r>
      <w:r>
        <w:rPr>
          <w:rFonts w:eastAsia="Calibri"/>
          <w:lang w:eastAsia="en-US"/>
        </w:rPr>
        <w:t xml:space="preserve">with a </w:t>
      </w:r>
      <w:r w:rsidRPr="004143FC">
        <w:rPr>
          <w:rFonts w:eastAsia="Calibri"/>
          <w:lang w:eastAsia="en-US"/>
        </w:rPr>
        <w:t>contact time of 15 minutes</w:t>
      </w:r>
      <w:r>
        <w:rPr>
          <w:rFonts w:eastAsia="Calibri"/>
          <w:lang w:eastAsia="en-US"/>
        </w:rPr>
        <w:t xml:space="preserve">, </w:t>
      </w:r>
      <w:r w:rsidRPr="004143FC">
        <w:rPr>
          <w:rFonts w:eastAsia="Calibri"/>
          <w:lang w:eastAsia="en-US"/>
        </w:rPr>
        <w:t>in dirty conditions</w:t>
      </w:r>
      <w:r>
        <w:rPr>
          <w:rFonts w:eastAsia="Calibri"/>
          <w:lang w:eastAsia="en-US"/>
        </w:rPr>
        <w:t xml:space="preserve"> (3.0 g/L BSA). </w:t>
      </w:r>
      <w:r w:rsidRPr="003D493E">
        <w:rPr>
          <w:lang w:eastAsia="en-US"/>
        </w:rPr>
        <w:t xml:space="preserve">In these conditions, bactericidal activity is shown at the in-use concentration of </w:t>
      </w:r>
      <w:r>
        <w:rPr>
          <w:rFonts w:eastAsia="Calibri"/>
          <w:lang w:eastAsia="en-US"/>
        </w:rPr>
        <w:t>2</w:t>
      </w:r>
      <w:r w:rsidRPr="00F81A6F">
        <w:rPr>
          <w:rFonts w:eastAsia="Calibri"/>
          <w:lang w:eastAsia="en-US"/>
        </w:rPr>
        <w:t>% (v/v)</w:t>
      </w:r>
      <w:r>
        <w:rPr>
          <w:rFonts w:eastAsia="Calibri"/>
          <w:lang w:eastAsia="en-US"/>
        </w:rPr>
        <w:t>.  Y</w:t>
      </w:r>
      <w:r w:rsidRPr="004143FC">
        <w:rPr>
          <w:rFonts w:eastAsia="Calibri"/>
          <w:lang w:eastAsia="en-US"/>
        </w:rPr>
        <w:t>easticidal activity</w:t>
      </w:r>
      <w:r>
        <w:rPr>
          <w:rFonts w:eastAsia="Calibri"/>
          <w:lang w:eastAsia="en-US"/>
        </w:rPr>
        <w:t xml:space="preserve"> is demonstrated in phase 2, steps 1 and 2 tests (EN 1650 and EN 13697)</w:t>
      </w:r>
      <w:r w:rsidRPr="004143FC">
        <w:rPr>
          <w:rFonts w:eastAsia="Calibri"/>
          <w:lang w:eastAsia="en-US"/>
        </w:rPr>
        <w:t>,</w:t>
      </w:r>
      <w:r w:rsidRPr="00CC0D4E">
        <w:rPr>
          <w:rFonts w:eastAsia="Calibri"/>
          <w:lang w:eastAsia="en-US"/>
        </w:rPr>
        <w:t xml:space="preserve"> </w:t>
      </w:r>
      <w:r w:rsidRPr="004143FC">
        <w:rPr>
          <w:rFonts w:eastAsia="Calibri"/>
          <w:lang w:eastAsia="en-US"/>
        </w:rPr>
        <w:t>at 40°C</w:t>
      </w:r>
      <w:r>
        <w:rPr>
          <w:rFonts w:eastAsia="Calibri"/>
          <w:lang w:eastAsia="en-US"/>
        </w:rPr>
        <w:t>,</w:t>
      </w:r>
      <w:r w:rsidRPr="004143FC">
        <w:rPr>
          <w:rFonts w:eastAsia="Calibri"/>
          <w:lang w:eastAsia="en-US"/>
        </w:rPr>
        <w:t xml:space="preserve"> with contact time of 30 minutes</w:t>
      </w:r>
      <w:r>
        <w:rPr>
          <w:rFonts w:eastAsia="Calibri"/>
          <w:lang w:eastAsia="en-US"/>
        </w:rPr>
        <w:t>,</w:t>
      </w:r>
      <w:r w:rsidRPr="00CC0D4E">
        <w:rPr>
          <w:rFonts w:eastAsia="Calibri"/>
          <w:lang w:eastAsia="en-US"/>
        </w:rPr>
        <w:t xml:space="preserve"> </w:t>
      </w:r>
      <w:r w:rsidRPr="004143FC">
        <w:rPr>
          <w:rFonts w:eastAsia="Calibri"/>
          <w:lang w:eastAsia="en-US"/>
        </w:rPr>
        <w:t>in dirty conditions</w:t>
      </w:r>
      <w:r>
        <w:rPr>
          <w:rFonts w:eastAsia="Calibri"/>
          <w:lang w:eastAsia="en-US"/>
        </w:rPr>
        <w:t xml:space="preserve"> (3.0 g/L BSA).</w:t>
      </w:r>
      <w:r w:rsidRPr="004143FC">
        <w:rPr>
          <w:rFonts w:eastAsia="Calibri"/>
          <w:lang w:eastAsia="en-US"/>
        </w:rPr>
        <w:t xml:space="preserve"> </w:t>
      </w:r>
      <w:r w:rsidRPr="003D493E">
        <w:rPr>
          <w:lang w:eastAsia="en-US"/>
        </w:rPr>
        <w:t>In these conditions,</w:t>
      </w:r>
      <w:r>
        <w:rPr>
          <w:lang w:eastAsia="en-US"/>
        </w:rPr>
        <w:t xml:space="preserve"> yeasticidal activity </w:t>
      </w:r>
      <w:r>
        <w:rPr>
          <w:rFonts w:eastAsia="Calibri"/>
          <w:lang w:eastAsia="en-US"/>
        </w:rPr>
        <w:t>is shown at the in-use concentration of 3% (v/v).</w:t>
      </w:r>
    </w:p>
    <w:p w14:paraId="66E085D0" w14:textId="77777777" w:rsidR="00CC62FC" w:rsidRPr="004143FC" w:rsidRDefault="00CC62FC" w:rsidP="00CC62FC">
      <w:pPr>
        <w:spacing w:line="260" w:lineRule="atLeast"/>
        <w:jc w:val="both"/>
        <w:rPr>
          <w:rFonts w:eastAsia="Calibri"/>
          <w:lang w:eastAsia="en-US"/>
        </w:rPr>
      </w:pPr>
    </w:p>
    <w:p w14:paraId="4E7A57F9" w14:textId="520F8292" w:rsidR="00CC62FC" w:rsidRPr="00F81A6F" w:rsidRDefault="00CC62FC" w:rsidP="00CC62FC">
      <w:pPr>
        <w:pStyle w:val="Paragraphedeliste"/>
        <w:spacing w:line="260" w:lineRule="atLeast"/>
        <w:ind w:left="0"/>
        <w:rPr>
          <w:rFonts w:eastAsia="Calibri"/>
          <w:lang w:eastAsia="en-US"/>
        </w:rPr>
      </w:pPr>
      <w:r>
        <w:rPr>
          <w:rFonts w:eastAsia="Calibri"/>
          <w:lang w:eastAsia="en-US"/>
        </w:rPr>
        <w:t xml:space="preserve">For </w:t>
      </w:r>
      <w:r w:rsidR="00357F13">
        <w:rPr>
          <w:rFonts w:eastAsia="Calibri"/>
          <w:lang w:eastAsia="en-US"/>
        </w:rPr>
        <w:t>healthcare</w:t>
      </w:r>
      <w:r>
        <w:rPr>
          <w:rFonts w:eastAsia="Calibri"/>
          <w:lang w:eastAsia="en-US"/>
        </w:rPr>
        <w:t xml:space="preserve"> area:</w:t>
      </w:r>
    </w:p>
    <w:p w14:paraId="468DDC60" w14:textId="45F0717A" w:rsidR="00CC62FC" w:rsidRDefault="00CC62FC" w:rsidP="00CC62FC">
      <w:pPr>
        <w:spacing w:line="260" w:lineRule="atLeast"/>
        <w:jc w:val="both"/>
        <w:rPr>
          <w:rFonts w:eastAsia="Calibri"/>
          <w:lang w:eastAsia="en-US"/>
        </w:rPr>
      </w:pPr>
      <w:r>
        <w:rPr>
          <w:rFonts w:eastAsia="Calibri"/>
          <w:lang w:eastAsia="en-US"/>
        </w:rPr>
        <w:t>B</w:t>
      </w:r>
      <w:r w:rsidRPr="00F81A6F">
        <w:rPr>
          <w:rFonts w:eastAsia="Calibri"/>
          <w:lang w:eastAsia="en-US"/>
        </w:rPr>
        <w:t>actericidal activity</w:t>
      </w:r>
      <w:r>
        <w:rPr>
          <w:rFonts w:eastAsia="Calibri"/>
          <w:lang w:eastAsia="en-US"/>
        </w:rPr>
        <w:t xml:space="preserve"> is demonstrated in phase 2, steps 1 and 2 tests (EN 13</w:t>
      </w:r>
      <w:r w:rsidR="00F45C99">
        <w:rPr>
          <w:rFonts w:eastAsia="Calibri"/>
          <w:lang w:eastAsia="en-US"/>
        </w:rPr>
        <w:t>7</w:t>
      </w:r>
      <w:r>
        <w:rPr>
          <w:rFonts w:eastAsia="Calibri"/>
          <w:lang w:eastAsia="en-US"/>
        </w:rPr>
        <w:t>27 and EN 13697)</w:t>
      </w:r>
      <w:r w:rsidRPr="00F81A6F">
        <w:rPr>
          <w:rFonts w:eastAsia="Calibri"/>
          <w:lang w:eastAsia="en-US"/>
        </w:rPr>
        <w:t>,</w:t>
      </w:r>
      <w:r w:rsidRPr="00023DE9">
        <w:rPr>
          <w:rFonts w:eastAsia="Calibri"/>
          <w:lang w:eastAsia="en-US"/>
        </w:rPr>
        <w:t xml:space="preserve"> </w:t>
      </w:r>
      <w:r w:rsidRPr="00F81A6F">
        <w:rPr>
          <w:rFonts w:eastAsia="Calibri"/>
          <w:lang w:eastAsia="en-US"/>
        </w:rPr>
        <w:t>at 20°C</w:t>
      </w:r>
      <w:r>
        <w:rPr>
          <w:rFonts w:eastAsia="Calibri"/>
          <w:lang w:eastAsia="en-US"/>
        </w:rPr>
        <w:t>,</w:t>
      </w:r>
      <w:r w:rsidRPr="00F81A6F">
        <w:rPr>
          <w:rFonts w:eastAsia="Calibri"/>
          <w:lang w:eastAsia="en-US"/>
        </w:rPr>
        <w:t xml:space="preserve"> </w:t>
      </w:r>
      <w:r>
        <w:rPr>
          <w:rFonts w:eastAsia="Calibri"/>
          <w:lang w:eastAsia="en-US"/>
        </w:rPr>
        <w:t xml:space="preserve">with a </w:t>
      </w:r>
      <w:r w:rsidRPr="00F81A6F">
        <w:rPr>
          <w:rFonts w:eastAsia="Calibri"/>
          <w:lang w:eastAsia="en-US"/>
        </w:rPr>
        <w:t>contact time of 5 minutes</w:t>
      </w:r>
      <w:r w:rsidR="00F45C99">
        <w:rPr>
          <w:rFonts w:eastAsia="Calibri"/>
          <w:lang w:eastAsia="en-US"/>
        </w:rPr>
        <w:t>,</w:t>
      </w:r>
      <w:r w:rsidRPr="00F81A6F">
        <w:rPr>
          <w:rFonts w:eastAsia="Calibri"/>
          <w:lang w:eastAsia="en-US"/>
        </w:rPr>
        <w:t xml:space="preserve"> in dirty conditions</w:t>
      </w:r>
      <w:r>
        <w:rPr>
          <w:rFonts w:eastAsia="Calibri"/>
          <w:lang w:eastAsia="en-US"/>
        </w:rPr>
        <w:t xml:space="preserve"> (3.0 g/L BSA + 3 mL/L </w:t>
      </w:r>
      <w:r w:rsidR="00F45C99">
        <w:rPr>
          <w:rFonts w:eastAsia="Calibri"/>
          <w:lang w:eastAsia="en-US"/>
        </w:rPr>
        <w:t xml:space="preserve">sheep </w:t>
      </w:r>
      <w:r>
        <w:rPr>
          <w:rFonts w:eastAsia="Calibri"/>
          <w:lang w:eastAsia="en-US"/>
        </w:rPr>
        <w:t xml:space="preserve">erythrocytes). </w:t>
      </w:r>
      <w:r w:rsidRPr="003D493E">
        <w:rPr>
          <w:lang w:eastAsia="en-US"/>
        </w:rPr>
        <w:t xml:space="preserve">In these conditions, bactericidal activity is shown at the in-use concentration of </w:t>
      </w:r>
      <w:r>
        <w:rPr>
          <w:rFonts w:eastAsia="Calibri"/>
          <w:lang w:eastAsia="en-US"/>
        </w:rPr>
        <w:t>4</w:t>
      </w:r>
      <w:r w:rsidRPr="00F81A6F">
        <w:rPr>
          <w:rFonts w:eastAsia="Calibri"/>
          <w:lang w:eastAsia="en-US"/>
        </w:rPr>
        <w:t>% (v/v)</w:t>
      </w:r>
      <w:r>
        <w:rPr>
          <w:rFonts w:eastAsia="Calibri"/>
          <w:lang w:eastAsia="en-US"/>
        </w:rPr>
        <w:t xml:space="preserve">. </w:t>
      </w:r>
    </w:p>
    <w:p w14:paraId="4B4C1E73" w14:textId="6645A84B" w:rsidR="00CC62FC" w:rsidRPr="00F81A6F" w:rsidRDefault="00CC62FC" w:rsidP="00CC62FC">
      <w:pPr>
        <w:spacing w:line="260" w:lineRule="atLeast"/>
        <w:jc w:val="both"/>
        <w:rPr>
          <w:rFonts w:eastAsia="Calibri"/>
          <w:lang w:eastAsia="en-US"/>
        </w:rPr>
      </w:pPr>
      <w:r>
        <w:rPr>
          <w:rFonts w:eastAsia="Calibri"/>
          <w:lang w:eastAsia="en-US"/>
        </w:rPr>
        <w:t>Y</w:t>
      </w:r>
      <w:r w:rsidRPr="00F81A6F">
        <w:rPr>
          <w:rFonts w:eastAsia="Calibri"/>
          <w:lang w:eastAsia="en-US"/>
        </w:rPr>
        <w:t>easticidal activity</w:t>
      </w:r>
      <w:r w:rsidRPr="00EB2205">
        <w:rPr>
          <w:rFonts w:eastAsia="Calibri"/>
          <w:lang w:eastAsia="en-US"/>
        </w:rPr>
        <w:t xml:space="preserve"> </w:t>
      </w:r>
      <w:r>
        <w:rPr>
          <w:rFonts w:eastAsia="Calibri"/>
          <w:lang w:eastAsia="en-US"/>
        </w:rPr>
        <w:t>is demonstrated in phase 2, steps 1 and 2 tests (EN 1</w:t>
      </w:r>
      <w:r w:rsidR="00F45C99">
        <w:rPr>
          <w:rFonts w:eastAsia="Calibri"/>
          <w:lang w:eastAsia="en-US"/>
        </w:rPr>
        <w:t>3624</w:t>
      </w:r>
      <w:r>
        <w:rPr>
          <w:rFonts w:eastAsia="Calibri"/>
          <w:lang w:eastAsia="en-US"/>
        </w:rPr>
        <w:t xml:space="preserve"> and EN 13697), </w:t>
      </w:r>
      <w:r w:rsidRPr="00F81A6F">
        <w:rPr>
          <w:rFonts w:eastAsia="Calibri"/>
          <w:lang w:eastAsia="en-US"/>
        </w:rPr>
        <w:t>at 20°C</w:t>
      </w:r>
      <w:r>
        <w:rPr>
          <w:rFonts w:eastAsia="Calibri"/>
          <w:lang w:eastAsia="en-US"/>
        </w:rPr>
        <w:t>,</w:t>
      </w:r>
      <w:r w:rsidRPr="00F81A6F">
        <w:rPr>
          <w:rFonts w:eastAsia="Calibri"/>
          <w:lang w:eastAsia="en-US"/>
        </w:rPr>
        <w:t xml:space="preserve"> with </w:t>
      </w:r>
      <w:r w:rsidR="00F45C99">
        <w:rPr>
          <w:rFonts w:eastAsia="Calibri"/>
          <w:lang w:eastAsia="en-US"/>
        </w:rPr>
        <w:t xml:space="preserve">a </w:t>
      </w:r>
      <w:r w:rsidRPr="00F81A6F">
        <w:rPr>
          <w:rFonts w:eastAsia="Calibri"/>
          <w:lang w:eastAsia="en-US"/>
        </w:rPr>
        <w:t>contact time of 5 minutes</w:t>
      </w:r>
      <w:r>
        <w:rPr>
          <w:rFonts w:eastAsia="Calibri"/>
          <w:lang w:eastAsia="en-US"/>
        </w:rPr>
        <w:t>,</w:t>
      </w:r>
      <w:r w:rsidRPr="00F81A6F">
        <w:rPr>
          <w:rFonts w:eastAsia="Calibri"/>
          <w:lang w:eastAsia="en-US"/>
        </w:rPr>
        <w:t xml:space="preserve"> </w:t>
      </w:r>
      <w:r>
        <w:rPr>
          <w:rFonts w:eastAsia="Calibri"/>
          <w:lang w:eastAsia="en-US"/>
        </w:rPr>
        <w:t>in dirty conditions (3.0</w:t>
      </w:r>
      <w:r w:rsidR="00F45C99">
        <w:rPr>
          <w:rFonts w:eastAsia="Calibri"/>
          <w:lang w:eastAsia="en-US"/>
        </w:rPr>
        <w:t xml:space="preserve"> </w:t>
      </w:r>
      <w:r>
        <w:rPr>
          <w:rFonts w:eastAsia="Calibri"/>
          <w:lang w:eastAsia="en-US"/>
        </w:rPr>
        <w:t xml:space="preserve">g/L + 3mL/L </w:t>
      </w:r>
      <w:r w:rsidR="00F45C99">
        <w:rPr>
          <w:rFonts w:eastAsia="Calibri"/>
          <w:lang w:eastAsia="en-US"/>
        </w:rPr>
        <w:t xml:space="preserve">sheep </w:t>
      </w:r>
      <w:r>
        <w:rPr>
          <w:rFonts w:eastAsia="Calibri"/>
          <w:lang w:eastAsia="en-US"/>
        </w:rPr>
        <w:t xml:space="preserve">erythrocytes). </w:t>
      </w:r>
      <w:r w:rsidRPr="003D493E">
        <w:rPr>
          <w:lang w:eastAsia="en-US"/>
        </w:rPr>
        <w:t>In these conditions,</w:t>
      </w:r>
      <w:r>
        <w:rPr>
          <w:lang w:eastAsia="en-US"/>
        </w:rPr>
        <w:t xml:space="preserve"> yeasticidal activity </w:t>
      </w:r>
      <w:r>
        <w:rPr>
          <w:rFonts w:eastAsia="Calibri"/>
          <w:lang w:eastAsia="en-US"/>
        </w:rPr>
        <w:t>is shown at the in-use concentration of 8% (v/v).</w:t>
      </w:r>
    </w:p>
    <w:p w14:paraId="4238F7DF" w14:textId="77777777" w:rsidR="00CC62FC" w:rsidRPr="00F81A6F" w:rsidRDefault="00CC62FC" w:rsidP="00CC62FC">
      <w:pPr>
        <w:pStyle w:val="Paragraphedeliste"/>
        <w:spacing w:line="260" w:lineRule="atLeast"/>
        <w:rPr>
          <w:rFonts w:eastAsia="Calibri"/>
          <w:lang w:eastAsia="en-US"/>
        </w:rPr>
      </w:pPr>
    </w:p>
    <w:p w14:paraId="1E89F48A" w14:textId="45297609" w:rsidR="00CC62FC" w:rsidRDefault="00CC62FC" w:rsidP="00CC62FC">
      <w:pPr>
        <w:spacing w:line="260" w:lineRule="atLeast"/>
        <w:jc w:val="both"/>
        <w:rPr>
          <w:rFonts w:ascii="Times New Roman" w:eastAsia="Calibri" w:hAnsi="Times New Roman" w:cs="Arial"/>
          <w:bCs/>
          <w:i/>
          <w:caps/>
          <w:szCs w:val="28"/>
          <w:lang w:eastAsia="en-US"/>
        </w:rPr>
      </w:pPr>
      <w:r>
        <w:rPr>
          <w:rFonts w:eastAsia="Calibri"/>
          <w:lang w:eastAsia="en-US"/>
        </w:rPr>
        <w:t xml:space="preserve">For </w:t>
      </w:r>
      <w:r w:rsidRPr="00F81A6F">
        <w:rPr>
          <w:rFonts w:eastAsia="Calibri"/>
          <w:lang w:eastAsia="en-US"/>
        </w:rPr>
        <w:t>institutional, industrial, healthcare facilities</w:t>
      </w:r>
      <w:r w:rsidR="00650FC6">
        <w:rPr>
          <w:rFonts w:eastAsia="Calibri"/>
          <w:lang w:eastAsia="en-US"/>
        </w:rPr>
        <w:t>,</w:t>
      </w:r>
      <w:r w:rsidRPr="00F81A6F">
        <w:rPr>
          <w:rFonts w:eastAsia="Calibri"/>
          <w:lang w:eastAsia="en-US"/>
        </w:rPr>
        <w:t xml:space="preserve"> </w:t>
      </w:r>
      <w:r w:rsidR="00650FC6">
        <w:rPr>
          <w:rFonts w:eastAsia="Calibri"/>
          <w:lang w:eastAsia="en-US"/>
        </w:rPr>
        <w:t xml:space="preserve">healthcare </w:t>
      </w:r>
      <w:r w:rsidRPr="00F81A6F">
        <w:rPr>
          <w:rFonts w:eastAsia="Calibri"/>
          <w:lang w:eastAsia="en-US"/>
        </w:rPr>
        <w:t>and</w:t>
      </w:r>
      <w:r w:rsidR="00650FC6">
        <w:rPr>
          <w:rFonts w:eastAsia="Calibri"/>
          <w:lang w:eastAsia="en-US"/>
        </w:rPr>
        <w:t>,</w:t>
      </w:r>
      <w:r w:rsidRPr="00F81A6F">
        <w:rPr>
          <w:rFonts w:eastAsia="Calibri"/>
          <w:lang w:eastAsia="en-US"/>
        </w:rPr>
        <w:t xml:space="preserve"> food preparation and handling areas, bactericidal and yeasticidal activities</w:t>
      </w:r>
      <w:r>
        <w:rPr>
          <w:rFonts w:eastAsia="Calibri"/>
          <w:lang w:eastAsia="en-US"/>
        </w:rPr>
        <w:t xml:space="preserve"> are </w:t>
      </w:r>
      <w:r w:rsidR="00F45C99">
        <w:rPr>
          <w:rFonts w:eastAsia="Calibri"/>
          <w:lang w:eastAsia="en-US"/>
        </w:rPr>
        <w:t xml:space="preserve">also </w:t>
      </w:r>
      <w:r>
        <w:rPr>
          <w:rFonts w:eastAsia="Calibri"/>
          <w:lang w:eastAsia="en-US"/>
        </w:rPr>
        <w:t>demonstrated in phase 2</w:t>
      </w:r>
      <w:r w:rsidR="00F45C99">
        <w:rPr>
          <w:rFonts w:eastAsia="Calibri"/>
          <w:lang w:eastAsia="en-US"/>
        </w:rPr>
        <w:t>,</w:t>
      </w:r>
      <w:r>
        <w:rPr>
          <w:rFonts w:eastAsia="Calibri"/>
          <w:lang w:eastAsia="en-US"/>
        </w:rPr>
        <w:t xml:space="preserve"> step 2 test (EN 16615)</w:t>
      </w:r>
      <w:r w:rsidRPr="00F81A6F">
        <w:rPr>
          <w:rFonts w:eastAsia="Calibri"/>
          <w:lang w:eastAsia="en-US"/>
        </w:rPr>
        <w:t xml:space="preserve">, </w:t>
      </w:r>
      <w:r>
        <w:rPr>
          <w:rFonts w:eastAsia="Calibri"/>
          <w:lang w:eastAsia="en-US"/>
        </w:rPr>
        <w:t xml:space="preserve">at 20°C, </w:t>
      </w:r>
      <w:r w:rsidRPr="00F81A6F">
        <w:rPr>
          <w:rFonts w:eastAsia="Calibri"/>
          <w:lang w:eastAsia="en-US"/>
        </w:rPr>
        <w:t>with</w:t>
      </w:r>
      <w:r>
        <w:rPr>
          <w:rFonts w:eastAsia="Calibri"/>
          <w:lang w:eastAsia="en-US"/>
        </w:rPr>
        <w:t xml:space="preserve"> a</w:t>
      </w:r>
      <w:r w:rsidRPr="00F81A6F">
        <w:rPr>
          <w:rFonts w:eastAsia="Calibri"/>
          <w:lang w:eastAsia="en-US"/>
        </w:rPr>
        <w:t xml:space="preserve"> contact time of 5 minu</w:t>
      </w:r>
      <w:r>
        <w:rPr>
          <w:rFonts w:eastAsia="Calibri"/>
          <w:lang w:eastAsia="en-US"/>
        </w:rPr>
        <w:t>tes, at 20°C</w:t>
      </w:r>
      <w:r w:rsidR="00F45C99">
        <w:rPr>
          <w:rFonts w:eastAsia="Calibri"/>
          <w:lang w:eastAsia="en-US"/>
        </w:rPr>
        <w:t>,</w:t>
      </w:r>
      <w:r>
        <w:rPr>
          <w:rFonts w:eastAsia="Calibri"/>
          <w:lang w:eastAsia="en-US"/>
        </w:rPr>
        <w:t xml:space="preserve"> in dirty conditions (3</w:t>
      </w:r>
      <w:r w:rsidR="00F45C99">
        <w:rPr>
          <w:rFonts w:eastAsia="Calibri"/>
          <w:lang w:eastAsia="en-US"/>
        </w:rPr>
        <w:t xml:space="preserve"> </w:t>
      </w:r>
      <w:r>
        <w:rPr>
          <w:rFonts w:eastAsia="Calibri"/>
          <w:lang w:eastAsia="en-US"/>
        </w:rPr>
        <w:t xml:space="preserve">g/L BSA + 3mL/L </w:t>
      </w:r>
      <w:r w:rsidR="00F45C99">
        <w:rPr>
          <w:rFonts w:eastAsia="Calibri"/>
          <w:lang w:eastAsia="en-US"/>
        </w:rPr>
        <w:t>sheep erythrocytes</w:t>
      </w:r>
      <w:r>
        <w:rPr>
          <w:rFonts w:eastAsia="Calibri"/>
          <w:lang w:eastAsia="en-US"/>
        </w:rPr>
        <w:t>)</w:t>
      </w:r>
      <w:r w:rsidRPr="00F81A6F">
        <w:rPr>
          <w:rFonts w:eastAsia="Calibri"/>
          <w:lang w:eastAsia="en-US"/>
        </w:rPr>
        <w:t xml:space="preserve"> for wiping application.</w:t>
      </w:r>
      <w:r>
        <w:rPr>
          <w:rFonts w:eastAsia="Calibri"/>
          <w:lang w:eastAsia="en-US"/>
        </w:rPr>
        <w:t xml:space="preserve"> </w:t>
      </w:r>
      <w:r w:rsidRPr="003D493E">
        <w:rPr>
          <w:lang w:eastAsia="en-US"/>
        </w:rPr>
        <w:t>In these conditions, bactericidal</w:t>
      </w:r>
      <w:r>
        <w:rPr>
          <w:lang w:eastAsia="en-US"/>
        </w:rPr>
        <w:t xml:space="preserve"> 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10 % v/v.</w:t>
      </w:r>
    </w:p>
    <w:p w14:paraId="2D771366" w14:textId="77777777" w:rsidR="00CC62FC" w:rsidRDefault="00CC62FC" w:rsidP="00CC62FC">
      <w:pPr>
        <w:spacing w:line="260" w:lineRule="atLeast"/>
        <w:jc w:val="both"/>
        <w:rPr>
          <w:rFonts w:ascii="Times New Roman" w:eastAsia="Calibri" w:hAnsi="Times New Roman" w:cs="Arial"/>
          <w:bCs/>
          <w:i/>
          <w:caps/>
          <w:szCs w:val="28"/>
          <w:lang w:eastAsia="en-US"/>
        </w:rPr>
      </w:pPr>
    </w:p>
    <w:p w14:paraId="4C2FEB8C" w14:textId="77777777" w:rsidR="00CC62FC" w:rsidRDefault="00CC62FC" w:rsidP="00CC62FC">
      <w:pPr>
        <w:jc w:val="center"/>
        <w:rPr>
          <w:b/>
          <w:color w:val="000000"/>
          <w:sz w:val="18"/>
          <w:szCs w:val="18"/>
        </w:rPr>
        <w:sectPr w:rsidR="00CC62FC" w:rsidSect="00DB43CD">
          <w:endnotePr>
            <w:numFmt w:val="decimal"/>
          </w:endnotePr>
          <w:pgSz w:w="11907" w:h="16840" w:code="9"/>
          <w:pgMar w:top="1474" w:right="1247" w:bottom="2013" w:left="1446" w:header="851" w:footer="851" w:gutter="0"/>
          <w:cols w:space="720"/>
          <w:docGrid w:linePitch="272"/>
        </w:sectPr>
      </w:pPr>
    </w:p>
    <w:tbl>
      <w:tblPr>
        <w:tblW w:w="141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71"/>
        <w:gridCol w:w="1825"/>
        <w:gridCol w:w="1134"/>
        <w:gridCol w:w="1630"/>
        <w:gridCol w:w="1504"/>
        <w:gridCol w:w="3103"/>
        <w:gridCol w:w="1701"/>
        <w:gridCol w:w="1536"/>
      </w:tblGrid>
      <w:tr w:rsidR="00D97E7C" w:rsidRPr="00FD2055" w14:paraId="6E99AD51" w14:textId="77777777" w:rsidTr="00BA57DA">
        <w:trPr>
          <w:cantSplit/>
          <w:tblHeader/>
          <w:jc w:val="center"/>
        </w:trPr>
        <w:tc>
          <w:tcPr>
            <w:tcW w:w="14104" w:type="dxa"/>
            <w:gridSpan w:val="8"/>
            <w:shd w:val="clear" w:color="auto" w:fill="FFFFFF"/>
            <w:vAlign w:val="center"/>
          </w:tcPr>
          <w:p w14:paraId="45768358" w14:textId="2482D453" w:rsidR="00D97E7C" w:rsidRPr="00FD2055" w:rsidRDefault="00D97E7C" w:rsidP="00BA57DA">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6</w:t>
            </w:r>
          </w:p>
        </w:tc>
      </w:tr>
      <w:tr w:rsidR="00D97E7C" w:rsidRPr="00FD2055" w14:paraId="05C1C13D" w14:textId="77777777" w:rsidTr="00BA57DA">
        <w:trPr>
          <w:cantSplit/>
          <w:jc w:val="center"/>
        </w:trPr>
        <w:tc>
          <w:tcPr>
            <w:tcW w:w="0" w:type="auto"/>
            <w:shd w:val="clear" w:color="auto" w:fill="FFFFFF"/>
          </w:tcPr>
          <w:p w14:paraId="656C3C3D" w14:textId="77777777" w:rsidR="00D97E7C" w:rsidRPr="00FD2055" w:rsidRDefault="00D97E7C" w:rsidP="00D97E7C">
            <w:pPr>
              <w:jc w:val="center"/>
              <w:rPr>
                <w:b/>
                <w:color w:val="000000"/>
                <w:sz w:val="18"/>
                <w:szCs w:val="18"/>
              </w:rPr>
            </w:pPr>
            <w:r w:rsidRPr="00FD2055">
              <w:rPr>
                <w:b/>
                <w:color w:val="000000"/>
                <w:sz w:val="18"/>
                <w:szCs w:val="18"/>
              </w:rPr>
              <w:t>Function</w:t>
            </w:r>
          </w:p>
        </w:tc>
        <w:tc>
          <w:tcPr>
            <w:tcW w:w="1825" w:type="dxa"/>
            <w:shd w:val="clear" w:color="auto" w:fill="FFFFFF"/>
          </w:tcPr>
          <w:p w14:paraId="044FDCF6" w14:textId="77777777" w:rsidR="00D97E7C" w:rsidRPr="00FD2055" w:rsidRDefault="00D97E7C" w:rsidP="00D97E7C">
            <w:pPr>
              <w:rPr>
                <w:b/>
                <w:color w:val="000000"/>
                <w:sz w:val="18"/>
                <w:szCs w:val="18"/>
              </w:rPr>
            </w:pPr>
            <w:r w:rsidRPr="00FD2055">
              <w:rPr>
                <w:b/>
                <w:color w:val="000000"/>
                <w:sz w:val="18"/>
                <w:szCs w:val="18"/>
              </w:rPr>
              <w:t>Field of use envisaged</w:t>
            </w:r>
          </w:p>
        </w:tc>
        <w:tc>
          <w:tcPr>
            <w:tcW w:w="1134" w:type="dxa"/>
            <w:shd w:val="clear" w:color="auto" w:fill="FFFFFF"/>
          </w:tcPr>
          <w:p w14:paraId="06DC72F5" w14:textId="77777777" w:rsidR="00D97E7C" w:rsidRPr="00FD2055" w:rsidRDefault="00D97E7C" w:rsidP="00D97E7C">
            <w:pPr>
              <w:rPr>
                <w:b/>
                <w:i/>
                <w:color w:val="000000"/>
                <w:sz w:val="18"/>
                <w:szCs w:val="18"/>
              </w:rPr>
            </w:pPr>
            <w:r w:rsidRPr="00FD2055">
              <w:rPr>
                <w:b/>
                <w:color w:val="000000"/>
                <w:sz w:val="18"/>
                <w:szCs w:val="18"/>
              </w:rPr>
              <w:t xml:space="preserve">Test </w:t>
            </w:r>
            <w:r>
              <w:rPr>
                <w:b/>
                <w:color w:val="000000"/>
                <w:sz w:val="18"/>
                <w:szCs w:val="18"/>
              </w:rPr>
              <w:t>item</w:t>
            </w:r>
          </w:p>
        </w:tc>
        <w:tc>
          <w:tcPr>
            <w:tcW w:w="1630" w:type="dxa"/>
            <w:shd w:val="clear" w:color="auto" w:fill="FFFFFF"/>
          </w:tcPr>
          <w:p w14:paraId="5232CD36" w14:textId="77777777" w:rsidR="00D97E7C" w:rsidRPr="00FD2055" w:rsidRDefault="00D97E7C" w:rsidP="00D97E7C">
            <w:pPr>
              <w:rPr>
                <w:b/>
                <w:i/>
                <w:color w:val="000000"/>
                <w:sz w:val="18"/>
                <w:szCs w:val="18"/>
              </w:rPr>
            </w:pPr>
            <w:r w:rsidRPr="00FD2055">
              <w:rPr>
                <w:b/>
                <w:color w:val="000000"/>
                <w:sz w:val="18"/>
                <w:szCs w:val="18"/>
              </w:rPr>
              <w:t>Test organism(s)</w:t>
            </w:r>
          </w:p>
        </w:tc>
        <w:tc>
          <w:tcPr>
            <w:tcW w:w="0" w:type="auto"/>
            <w:shd w:val="clear" w:color="auto" w:fill="FFFFFF"/>
          </w:tcPr>
          <w:p w14:paraId="01F770E7" w14:textId="77777777" w:rsidR="00D97E7C" w:rsidRPr="00FD2055" w:rsidRDefault="00D97E7C" w:rsidP="00D97E7C">
            <w:pPr>
              <w:rPr>
                <w:b/>
                <w:color w:val="000000"/>
                <w:sz w:val="18"/>
                <w:szCs w:val="18"/>
              </w:rPr>
            </w:pPr>
            <w:r w:rsidRPr="00FD2055">
              <w:rPr>
                <w:b/>
                <w:color w:val="000000"/>
                <w:sz w:val="18"/>
                <w:szCs w:val="18"/>
              </w:rPr>
              <w:t>Test method</w:t>
            </w:r>
          </w:p>
        </w:tc>
        <w:tc>
          <w:tcPr>
            <w:tcW w:w="3103" w:type="dxa"/>
            <w:shd w:val="clear" w:color="auto" w:fill="FFFFFF"/>
          </w:tcPr>
          <w:p w14:paraId="0CB3110F" w14:textId="77777777" w:rsidR="00D97E7C" w:rsidRPr="00FD2055" w:rsidRDefault="00D97E7C" w:rsidP="00D97E7C">
            <w:pPr>
              <w:rPr>
                <w:b/>
                <w:color w:val="000000"/>
                <w:sz w:val="18"/>
                <w:szCs w:val="18"/>
              </w:rPr>
            </w:pPr>
            <w:r w:rsidRPr="00FD2055">
              <w:rPr>
                <w:b/>
                <w:color w:val="000000"/>
                <w:sz w:val="18"/>
                <w:szCs w:val="18"/>
              </w:rPr>
              <w:t>Test system / concentrations applied / exposure time</w:t>
            </w:r>
          </w:p>
        </w:tc>
        <w:tc>
          <w:tcPr>
            <w:tcW w:w="1701" w:type="dxa"/>
            <w:shd w:val="clear" w:color="auto" w:fill="FFFFFF"/>
          </w:tcPr>
          <w:p w14:paraId="4CA21656" w14:textId="77777777" w:rsidR="00D97E7C" w:rsidRPr="00FD2055" w:rsidRDefault="00D97E7C" w:rsidP="00D97E7C">
            <w:pPr>
              <w:rPr>
                <w:b/>
                <w:color w:val="000000"/>
                <w:sz w:val="18"/>
                <w:szCs w:val="18"/>
              </w:rPr>
            </w:pPr>
            <w:r w:rsidRPr="00FD2055">
              <w:rPr>
                <w:b/>
                <w:color w:val="000000"/>
                <w:sz w:val="18"/>
                <w:szCs w:val="18"/>
              </w:rPr>
              <w:t>Test results: effects</w:t>
            </w:r>
          </w:p>
        </w:tc>
        <w:tc>
          <w:tcPr>
            <w:tcW w:w="1536" w:type="dxa"/>
            <w:shd w:val="clear" w:color="auto" w:fill="FFFFFF"/>
          </w:tcPr>
          <w:p w14:paraId="013FC052" w14:textId="77777777" w:rsidR="00D97E7C" w:rsidRPr="00FD2055" w:rsidRDefault="00D97E7C" w:rsidP="00D97E7C">
            <w:pPr>
              <w:rPr>
                <w:b/>
                <w:color w:val="000000"/>
                <w:sz w:val="18"/>
                <w:szCs w:val="18"/>
              </w:rPr>
            </w:pPr>
            <w:r w:rsidRPr="00FD2055">
              <w:rPr>
                <w:b/>
                <w:color w:val="000000"/>
                <w:sz w:val="18"/>
                <w:szCs w:val="18"/>
              </w:rPr>
              <w:t>Reference</w:t>
            </w:r>
          </w:p>
        </w:tc>
      </w:tr>
      <w:tr w:rsidR="00D97E7C" w14:paraId="21FA4CC7" w14:textId="77777777" w:rsidTr="00BA57DA">
        <w:trPr>
          <w:cantSplit/>
          <w:jc w:val="center"/>
        </w:trPr>
        <w:tc>
          <w:tcPr>
            <w:tcW w:w="0" w:type="auto"/>
            <w:vAlign w:val="center"/>
          </w:tcPr>
          <w:p w14:paraId="751F0485" w14:textId="77777777" w:rsidR="00D97E7C" w:rsidRPr="00FD2055" w:rsidRDefault="00D97E7C" w:rsidP="00D97E7C">
            <w:pPr>
              <w:rPr>
                <w:i/>
                <w:color w:val="000000"/>
                <w:sz w:val="18"/>
                <w:szCs w:val="18"/>
              </w:rPr>
            </w:pPr>
            <w:r>
              <w:rPr>
                <w:color w:val="000000"/>
                <w:sz w:val="18"/>
                <w:szCs w:val="18"/>
              </w:rPr>
              <w:t>Disinfectant, bactericidal activity</w:t>
            </w:r>
          </w:p>
        </w:tc>
        <w:tc>
          <w:tcPr>
            <w:tcW w:w="1825" w:type="dxa"/>
            <w:vAlign w:val="center"/>
          </w:tcPr>
          <w:p w14:paraId="41FD52F7"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2E64B6DB" w14:textId="77777777" w:rsidR="00D97E7C" w:rsidRDefault="00D97E7C" w:rsidP="00D97E7C">
            <w:pPr>
              <w:rPr>
                <w:color w:val="000000"/>
                <w:sz w:val="18"/>
                <w:szCs w:val="18"/>
              </w:rPr>
            </w:pPr>
            <w:r>
              <w:rPr>
                <w:color w:val="000000"/>
                <w:sz w:val="18"/>
                <w:szCs w:val="18"/>
              </w:rPr>
              <w:t>AL-S6-1-0</w:t>
            </w:r>
          </w:p>
          <w:p w14:paraId="68C7C354" w14:textId="1C032B86"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529D4A33" w14:textId="77777777" w:rsidR="00D97E7C" w:rsidRPr="00D016EC" w:rsidRDefault="00D97E7C" w:rsidP="00D97E7C">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 xml:space="preserve">Staphylococcus aureus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0" w:type="auto"/>
            <w:vAlign w:val="center"/>
          </w:tcPr>
          <w:p w14:paraId="77347AD0" w14:textId="77777777" w:rsidR="00D97E7C" w:rsidRPr="00FD2055" w:rsidRDefault="00D97E7C" w:rsidP="00D97E7C">
            <w:pPr>
              <w:rPr>
                <w:color w:val="000000"/>
                <w:sz w:val="18"/>
                <w:szCs w:val="18"/>
              </w:rPr>
            </w:pPr>
            <w:r>
              <w:rPr>
                <w:color w:val="000000"/>
                <w:sz w:val="18"/>
                <w:szCs w:val="18"/>
              </w:rPr>
              <w:t>NF EN 1276 (March 2010)</w:t>
            </w:r>
          </w:p>
        </w:tc>
        <w:tc>
          <w:tcPr>
            <w:tcW w:w="3103" w:type="dxa"/>
            <w:vAlign w:val="center"/>
          </w:tcPr>
          <w:p w14:paraId="33587A2B" w14:textId="77777777" w:rsidR="00D97E7C" w:rsidRDefault="00D97E7C" w:rsidP="00D97E7C">
            <w:pPr>
              <w:rPr>
                <w:color w:val="000000"/>
                <w:sz w:val="18"/>
                <w:szCs w:val="18"/>
              </w:rPr>
            </w:pPr>
            <w:r>
              <w:rPr>
                <w:color w:val="000000"/>
                <w:sz w:val="18"/>
                <w:szCs w:val="18"/>
              </w:rPr>
              <w:t>Phase 2 step 1 (suspension test)</w:t>
            </w:r>
          </w:p>
          <w:p w14:paraId="6453A028" w14:textId="77777777" w:rsidR="00D97E7C" w:rsidRDefault="00D97E7C" w:rsidP="00D97E7C">
            <w:pPr>
              <w:rPr>
                <w:color w:val="000000"/>
                <w:sz w:val="18"/>
                <w:szCs w:val="18"/>
              </w:rPr>
            </w:pPr>
            <w:r>
              <w:rPr>
                <w:color w:val="000000"/>
                <w:sz w:val="18"/>
                <w:szCs w:val="18"/>
              </w:rPr>
              <w:t xml:space="preserve">Concentrations of product tested (v/v): 0.2%, 0.5%, 1%, 2%, 3%, 4%, 5%. </w:t>
            </w:r>
          </w:p>
          <w:p w14:paraId="773404E1" w14:textId="77777777" w:rsidR="00D97E7C" w:rsidRDefault="00D97E7C" w:rsidP="00D97E7C">
            <w:pPr>
              <w:rPr>
                <w:color w:val="000000"/>
                <w:sz w:val="18"/>
                <w:szCs w:val="18"/>
              </w:rPr>
            </w:pPr>
            <w:r>
              <w:rPr>
                <w:color w:val="000000"/>
                <w:sz w:val="18"/>
                <w:szCs w:val="18"/>
              </w:rPr>
              <w:t xml:space="preserve">Contact time : 5 minutes </w:t>
            </w:r>
          </w:p>
          <w:p w14:paraId="21AC3097" w14:textId="77777777" w:rsidR="00D97E7C" w:rsidRDefault="00D97E7C" w:rsidP="00D97E7C">
            <w:pPr>
              <w:rPr>
                <w:color w:val="000000"/>
                <w:sz w:val="18"/>
                <w:szCs w:val="18"/>
              </w:rPr>
            </w:pPr>
            <w:r>
              <w:rPr>
                <w:color w:val="000000"/>
                <w:sz w:val="18"/>
                <w:szCs w:val="18"/>
              </w:rPr>
              <w:t>Temperature: 20°C</w:t>
            </w:r>
          </w:p>
          <w:p w14:paraId="65D0C647" w14:textId="77777777" w:rsidR="00D97E7C" w:rsidRDefault="00D97E7C" w:rsidP="00D97E7C">
            <w:pPr>
              <w:rPr>
                <w:color w:val="000000"/>
                <w:sz w:val="18"/>
                <w:szCs w:val="18"/>
              </w:rPr>
            </w:pPr>
            <w:r>
              <w:rPr>
                <w:color w:val="000000"/>
                <w:sz w:val="18"/>
                <w:szCs w:val="18"/>
              </w:rPr>
              <w:t xml:space="preserve">Dirty conditions: 3 g/L BSA </w:t>
            </w:r>
          </w:p>
          <w:p w14:paraId="15537F31"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3F4335C5" w14:textId="77777777" w:rsidR="00D97E7C" w:rsidRDefault="00D97E7C" w:rsidP="00D97E7C">
            <w:pPr>
              <w:snapToGrid w:val="0"/>
              <w:rPr>
                <w:color w:val="000000"/>
                <w:sz w:val="18"/>
                <w:szCs w:val="18"/>
              </w:rPr>
            </w:pPr>
            <w:r>
              <w:rPr>
                <w:color w:val="000000"/>
                <w:sz w:val="18"/>
                <w:szCs w:val="18"/>
              </w:rPr>
              <w:t>Bactericidal activity demonstrated at 3% v/v.</w:t>
            </w:r>
          </w:p>
          <w:p w14:paraId="10729E89" w14:textId="77777777" w:rsidR="00D97E7C" w:rsidRDefault="00D97E7C" w:rsidP="00D97E7C">
            <w:pPr>
              <w:rPr>
                <w:color w:val="000000"/>
                <w:sz w:val="18"/>
                <w:szCs w:val="18"/>
              </w:rPr>
            </w:pPr>
          </w:p>
          <w:p w14:paraId="1838AAB0" w14:textId="77777777" w:rsidR="00D97E7C" w:rsidRPr="00FD2055" w:rsidRDefault="00D97E7C" w:rsidP="00D97E7C">
            <w:pPr>
              <w:rPr>
                <w:color w:val="000000"/>
                <w:sz w:val="18"/>
                <w:szCs w:val="18"/>
              </w:rPr>
            </w:pPr>
          </w:p>
        </w:tc>
        <w:tc>
          <w:tcPr>
            <w:tcW w:w="1536" w:type="dxa"/>
            <w:vAlign w:val="center"/>
          </w:tcPr>
          <w:p w14:paraId="50F8EF43" w14:textId="77777777" w:rsidR="00D97E7C" w:rsidRDefault="00D97E7C" w:rsidP="00D97E7C">
            <w:pPr>
              <w:rPr>
                <w:color w:val="000000"/>
                <w:sz w:val="18"/>
                <w:szCs w:val="18"/>
              </w:rPr>
            </w:pPr>
            <w:r>
              <w:rPr>
                <w:color w:val="000000"/>
                <w:sz w:val="18"/>
                <w:szCs w:val="18"/>
              </w:rPr>
              <w:t>Huguet N., 2018, Report No 18.CM.18-106</w:t>
            </w:r>
          </w:p>
          <w:p w14:paraId="78FFC88F" w14:textId="77777777" w:rsidR="00D97E7C" w:rsidRDefault="00D97E7C" w:rsidP="00D97E7C">
            <w:pPr>
              <w:rPr>
                <w:color w:val="000000"/>
                <w:sz w:val="18"/>
                <w:szCs w:val="18"/>
              </w:rPr>
            </w:pPr>
          </w:p>
          <w:p w14:paraId="07BE1362" w14:textId="77777777" w:rsidR="00D97E7C" w:rsidRPr="00FD2055" w:rsidRDefault="00D97E7C" w:rsidP="00D97E7C">
            <w:pPr>
              <w:rPr>
                <w:i/>
                <w:color w:val="000000"/>
                <w:sz w:val="18"/>
                <w:szCs w:val="18"/>
              </w:rPr>
            </w:pPr>
            <w:r>
              <w:rPr>
                <w:color w:val="000000"/>
                <w:sz w:val="18"/>
                <w:szCs w:val="18"/>
              </w:rPr>
              <w:t>RI=1</w:t>
            </w:r>
          </w:p>
        </w:tc>
      </w:tr>
      <w:tr w:rsidR="00D97E7C" w14:paraId="24D09742" w14:textId="77777777" w:rsidTr="00BA57DA">
        <w:trPr>
          <w:cantSplit/>
          <w:jc w:val="center"/>
        </w:trPr>
        <w:tc>
          <w:tcPr>
            <w:tcW w:w="0" w:type="auto"/>
            <w:vAlign w:val="center"/>
          </w:tcPr>
          <w:p w14:paraId="1A602E49" w14:textId="77777777" w:rsidR="00D97E7C" w:rsidRDefault="00D97E7C" w:rsidP="00D97E7C">
            <w:pPr>
              <w:rPr>
                <w:color w:val="000000"/>
                <w:sz w:val="18"/>
                <w:szCs w:val="18"/>
              </w:rPr>
            </w:pPr>
            <w:r>
              <w:rPr>
                <w:rFonts w:cs="Calibri"/>
                <w:color w:val="000000"/>
                <w:sz w:val="18"/>
                <w:szCs w:val="18"/>
              </w:rPr>
              <w:t>Disinfectant, bactericidal activity</w:t>
            </w:r>
          </w:p>
        </w:tc>
        <w:tc>
          <w:tcPr>
            <w:tcW w:w="1825" w:type="dxa"/>
            <w:vAlign w:val="center"/>
          </w:tcPr>
          <w:p w14:paraId="76DC5EA3" w14:textId="77777777" w:rsidR="00D97E7C" w:rsidRDefault="00D97E7C" w:rsidP="00D97E7C">
            <w:pPr>
              <w:rPr>
                <w:color w:val="000000"/>
                <w:sz w:val="18"/>
                <w:szCs w:val="18"/>
              </w:rPr>
            </w:pPr>
            <w:r>
              <w:rPr>
                <w:rFonts w:cs="Calibri"/>
                <w:color w:val="000000"/>
                <w:sz w:val="18"/>
                <w:szCs w:val="18"/>
              </w:rPr>
              <w:t>Medical, institutional, industrial healthcare facilities and food preparation and handling areas</w:t>
            </w:r>
          </w:p>
        </w:tc>
        <w:tc>
          <w:tcPr>
            <w:tcW w:w="1134" w:type="dxa"/>
            <w:vAlign w:val="center"/>
          </w:tcPr>
          <w:p w14:paraId="7F279549" w14:textId="77777777" w:rsidR="00D97E7C" w:rsidRDefault="00D97E7C" w:rsidP="00D97E7C">
            <w:pPr>
              <w:rPr>
                <w:rFonts w:cs="Calibri"/>
                <w:color w:val="000000"/>
                <w:sz w:val="18"/>
                <w:szCs w:val="18"/>
              </w:rPr>
            </w:pPr>
            <w:r>
              <w:rPr>
                <w:rFonts w:cs="Calibri"/>
                <w:color w:val="000000"/>
                <w:sz w:val="18"/>
                <w:szCs w:val="18"/>
              </w:rPr>
              <w:t>AL-S6-1-0</w:t>
            </w:r>
          </w:p>
          <w:p w14:paraId="2C971E50" w14:textId="7826ED3A" w:rsidR="00D97E7C" w:rsidRDefault="003B05F7" w:rsidP="00D97E7C">
            <w:pPr>
              <w:rPr>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3C72A23A" w14:textId="77777777" w:rsidR="00D97E7C" w:rsidRPr="00D016EC" w:rsidRDefault="00D97E7C" w:rsidP="00D97E7C">
            <w:pPr>
              <w:rPr>
                <w:i/>
                <w:color w:val="000000"/>
                <w:sz w:val="18"/>
                <w:szCs w:val="18"/>
                <w:lang w:val="fr-FR"/>
              </w:rPr>
            </w:pPr>
            <w:r w:rsidRPr="00D016EC">
              <w:rPr>
                <w:rFonts w:cs="Calibri"/>
                <w:i/>
                <w:color w:val="000000"/>
                <w:sz w:val="18"/>
                <w:szCs w:val="18"/>
                <w:lang w:val="fr-FR"/>
              </w:rPr>
              <w:t>Staphylococcus aureus</w:t>
            </w:r>
            <w:r w:rsidRPr="0060536D">
              <w:rPr>
                <w:rFonts w:cs="Calibri"/>
                <w:color w:val="000000"/>
                <w:sz w:val="18"/>
                <w:szCs w:val="18"/>
                <w:lang w:val="fr-FR"/>
              </w:rPr>
              <w:t xml:space="preserve"> </w:t>
            </w:r>
            <w:r w:rsidRPr="0060536D">
              <w:rPr>
                <w:rFonts w:cs="Calibri"/>
                <w:color w:val="000000"/>
                <w:sz w:val="18"/>
                <w:szCs w:val="18"/>
                <w:lang w:val="fr-FR"/>
              </w:rPr>
              <w:br/>
            </w:r>
            <w:r w:rsidRPr="00D016EC">
              <w:rPr>
                <w:rFonts w:cs="Calibri"/>
                <w:i/>
                <w:color w:val="000000"/>
                <w:sz w:val="18"/>
                <w:szCs w:val="18"/>
                <w:lang w:val="fr-FR"/>
              </w:rPr>
              <w:t>Enterococcus hirae</w:t>
            </w:r>
            <w:r w:rsidRPr="00D016EC">
              <w:rPr>
                <w:rFonts w:cs="Calibri"/>
                <w:color w:val="000000"/>
                <w:sz w:val="18"/>
                <w:szCs w:val="18"/>
                <w:lang w:val="fr-FR"/>
              </w:rPr>
              <w:t xml:space="preserve"> </w:t>
            </w:r>
            <w:r w:rsidRPr="00D016EC">
              <w:rPr>
                <w:rFonts w:cs="Calibri"/>
                <w:i/>
                <w:color w:val="000000"/>
                <w:sz w:val="18"/>
                <w:szCs w:val="18"/>
                <w:lang w:val="fr-FR"/>
              </w:rPr>
              <w:t>Escherichia coli</w:t>
            </w:r>
            <w:r w:rsidRPr="00D016EC">
              <w:rPr>
                <w:rFonts w:cs="Calibri"/>
                <w:color w:val="000000"/>
                <w:sz w:val="18"/>
                <w:szCs w:val="18"/>
                <w:lang w:val="fr-FR"/>
              </w:rPr>
              <w:t xml:space="preserve"> </w:t>
            </w:r>
            <w:r w:rsidRPr="00D016EC">
              <w:rPr>
                <w:rFonts w:cs="Calibri"/>
                <w:color w:val="000000"/>
                <w:sz w:val="18"/>
                <w:szCs w:val="18"/>
                <w:lang w:val="fr-FR"/>
              </w:rPr>
              <w:br/>
            </w:r>
            <w:r w:rsidRPr="00D016EC">
              <w:rPr>
                <w:rFonts w:cs="Calibri"/>
                <w:i/>
                <w:color w:val="000000"/>
                <w:sz w:val="18"/>
                <w:szCs w:val="18"/>
                <w:lang w:val="fr-FR"/>
              </w:rPr>
              <w:t>Pseudomonas aeruginosa</w:t>
            </w:r>
            <w:r w:rsidRPr="00D016EC">
              <w:rPr>
                <w:rFonts w:cs="Calibri"/>
                <w:color w:val="000000"/>
                <w:sz w:val="18"/>
                <w:szCs w:val="18"/>
                <w:lang w:val="fr-FR"/>
              </w:rPr>
              <w:t xml:space="preserve"> </w:t>
            </w:r>
          </w:p>
        </w:tc>
        <w:tc>
          <w:tcPr>
            <w:tcW w:w="0" w:type="auto"/>
            <w:vAlign w:val="center"/>
          </w:tcPr>
          <w:p w14:paraId="14C669A2" w14:textId="77777777" w:rsidR="00D97E7C" w:rsidRDefault="00D97E7C" w:rsidP="00D97E7C">
            <w:pPr>
              <w:rPr>
                <w:color w:val="000000"/>
                <w:sz w:val="18"/>
                <w:szCs w:val="18"/>
              </w:rPr>
            </w:pPr>
            <w:r>
              <w:rPr>
                <w:rFonts w:cs="Calibri"/>
                <w:color w:val="000000"/>
                <w:sz w:val="18"/>
                <w:szCs w:val="18"/>
              </w:rPr>
              <w:t>NF EN 1276 (March 2010)</w:t>
            </w:r>
          </w:p>
        </w:tc>
        <w:tc>
          <w:tcPr>
            <w:tcW w:w="3103" w:type="dxa"/>
            <w:vAlign w:val="center"/>
          </w:tcPr>
          <w:p w14:paraId="1ACF282C" w14:textId="77777777" w:rsidR="00D97E7C" w:rsidRDefault="00D97E7C" w:rsidP="00D97E7C">
            <w:pPr>
              <w:rPr>
                <w:rFonts w:cs="Calibri"/>
                <w:color w:val="000000"/>
                <w:sz w:val="18"/>
                <w:szCs w:val="18"/>
              </w:rPr>
            </w:pPr>
          </w:p>
          <w:p w14:paraId="1844DBEE" w14:textId="77777777" w:rsidR="00D97E7C" w:rsidRDefault="00D97E7C" w:rsidP="00D97E7C">
            <w:pPr>
              <w:rPr>
                <w:color w:val="000000"/>
                <w:sz w:val="18"/>
                <w:szCs w:val="18"/>
              </w:rPr>
            </w:pPr>
            <w:r>
              <w:rPr>
                <w:color w:val="000000"/>
                <w:sz w:val="18"/>
                <w:szCs w:val="18"/>
              </w:rPr>
              <w:t>Phase 2 step 1 (suspension test)</w:t>
            </w:r>
          </w:p>
          <w:p w14:paraId="24B5F8ED" w14:textId="26FF6EDB" w:rsidR="00D97E7C" w:rsidRDefault="00D97E7C" w:rsidP="00D97E7C">
            <w:pPr>
              <w:rPr>
                <w:color w:val="000000"/>
                <w:sz w:val="18"/>
                <w:szCs w:val="18"/>
              </w:rPr>
            </w:pPr>
            <w:r>
              <w:rPr>
                <w:color w:val="000000"/>
                <w:sz w:val="18"/>
                <w:szCs w:val="18"/>
              </w:rPr>
              <w:t>Concentrations of product tested (v/v) were: 2%, 1%, 0</w:t>
            </w:r>
            <w:r w:rsidR="00BA57DA">
              <w:rPr>
                <w:color w:val="000000"/>
                <w:sz w:val="18"/>
                <w:szCs w:val="18"/>
              </w:rPr>
              <w:t>.</w:t>
            </w:r>
            <w:r>
              <w:rPr>
                <w:color w:val="000000"/>
                <w:sz w:val="18"/>
                <w:szCs w:val="18"/>
              </w:rPr>
              <w:t xml:space="preserve">25%. </w:t>
            </w:r>
          </w:p>
          <w:p w14:paraId="741B702A" w14:textId="77777777" w:rsidR="00D97E7C" w:rsidRDefault="00D97E7C" w:rsidP="00D97E7C">
            <w:pPr>
              <w:rPr>
                <w:color w:val="000000"/>
                <w:sz w:val="18"/>
                <w:szCs w:val="18"/>
              </w:rPr>
            </w:pPr>
            <w:r>
              <w:rPr>
                <w:color w:val="000000"/>
                <w:sz w:val="18"/>
                <w:szCs w:val="18"/>
              </w:rPr>
              <w:t xml:space="preserve">Contact time: 15 minutes </w:t>
            </w:r>
          </w:p>
          <w:p w14:paraId="5BAAF3D1" w14:textId="77777777" w:rsidR="00D97E7C" w:rsidRDefault="00D97E7C" w:rsidP="00D97E7C">
            <w:pPr>
              <w:rPr>
                <w:color w:val="000000"/>
                <w:sz w:val="18"/>
                <w:szCs w:val="18"/>
              </w:rPr>
            </w:pPr>
            <w:r>
              <w:rPr>
                <w:color w:val="000000"/>
                <w:sz w:val="18"/>
                <w:szCs w:val="18"/>
              </w:rPr>
              <w:t>Temperature: 40°C</w:t>
            </w:r>
          </w:p>
          <w:p w14:paraId="48587CCE" w14:textId="77777777" w:rsidR="00D97E7C" w:rsidRDefault="00D97E7C" w:rsidP="00D97E7C">
            <w:pPr>
              <w:rPr>
                <w:color w:val="000000"/>
                <w:sz w:val="18"/>
                <w:szCs w:val="18"/>
              </w:rPr>
            </w:pPr>
            <w:r>
              <w:rPr>
                <w:color w:val="000000"/>
                <w:sz w:val="18"/>
                <w:szCs w:val="18"/>
              </w:rPr>
              <w:t xml:space="preserve">Dirty conditions: 3 g/L BSA </w:t>
            </w:r>
          </w:p>
          <w:p w14:paraId="05B8C98D" w14:textId="77777777" w:rsidR="00D97E7C" w:rsidRDefault="00D97E7C" w:rsidP="00D97E7C">
            <w:pPr>
              <w:rPr>
                <w:color w:val="000000"/>
                <w:sz w:val="18"/>
                <w:szCs w:val="18"/>
              </w:rPr>
            </w:pPr>
            <w:r>
              <w:rPr>
                <w:color w:val="000000"/>
                <w:sz w:val="18"/>
                <w:szCs w:val="18"/>
              </w:rPr>
              <w:t>Criteria: ≥ 5 log unit reduction</w:t>
            </w:r>
          </w:p>
        </w:tc>
        <w:tc>
          <w:tcPr>
            <w:tcW w:w="1701" w:type="dxa"/>
            <w:vAlign w:val="center"/>
          </w:tcPr>
          <w:p w14:paraId="1D18CA1E" w14:textId="77777777" w:rsidR="00D97E7C" w:rsidRDefault="00D97E7C" w:rsidP="00D97E7C">
            <w:pPr>
              <w:snapToGrid w:val="0"/>
              <w:rPr>
                <w:color w:val="000000"/>
                <w:sz w:val="18"/>
                <w:szCs w:val="18"/>
              </w:rPr>
            </w:pPr>
            <w:r>
              <w:rPr>
                <w:color w:val="000000"/>
                <w:sz w:val="18"/>
                <w:szCs w:val="18"/>
              </w:rPr>
              <w:t>Bactericidal activity demonstrated at 1% v/v.</w:t>
            </w:r>
          </w:p>
          <w:p w14:paraId="5B0E9499" w14:textId="77777777" w:rsidR="00D97E7C" w:rsidRDefault="00D97E7C" w:rsidP="00D97E7C">
            <w:pPr>
              <w:snapToGrid w:val="0"/>
              <w:rPr>
                <w:color w:val="000000"/>
                <w:sz w:val="18"/>
                <w:szCs w:val="18"/>
              </w:rPr>
            </w:pPr>
          </w:p>
        </w:tc>
        <w:tc>
          <w:tcPr>
            <w:tcW w:w="1536" w:type="dxa"/>
            <w:vAlign w:val="center"/>
          </w:tcPr>
          <w:p w14:paraId="59679828" w14:textId="77777777" w:rsidR="00D97E7C" w:rsidRDefault="00D97E7C" w:rsidP="00D97E7C">
            <w:pPr>
              <w:rPr>
                <w:rFonts w:cs="Calibri"/>
                <w:sz w:val="18"/>
                <w:szCs w:val="18"/>
              </w:rPr>
            </w:pPr>
            <w:r>
              <w:rPr>
                <w:rFonts w:cs="Calibri"/>
                <w:sz w:val="18"/>
                <w:szCs w:val="18"/>
              </w:rPr>
              <w:t>Feuillolay C., 2019, Report No 19-1354</w:t>
            </w:r>
          </w:p>
          <w:p w14:paraId="764529EB" w14:textId="77777777" w:rsidR="00D97E7C" w:rsidRDefault="00D97E7C" w:rsidP="00D97E7C">
            <w:pPr>
              <w:rPr>
                <w:rFonts w:cs="Calibri"/>
                <w:sz w:val="18"/>
                <w:szCs w:val="18"/>
              </w:rPr>
            </w:pPr>
          </w:p>
          <w:p w14:paraId="56661215" w14:textId="77777777" w:rsidR="00D97E7C" w:rsidRDefault="00D97E7C" w:rsidP="00D97E7C">
            <w:pPr>
              <w:rPr>
                <w:color w:val="000000"/>
                <w:sz w:val="18"/>
                <w:szCs w:val="18"/>
              </w:rPr>
            </w:pPr>
            <w:r>
              <w:rPr>
                <w:rFonts w:cs="Calibri"/>
                <w:sz w:val="18"/>
                <w:szCs w:val="18"/>
              </w:rPr>
              <w:t>RI=1</w:t>
            </w:r>
          </w:p>
        </w:tc>
      </w:tr>
      <w:tr w:rsidR="00D97E7C" w14:paraId="46C0DFB2" w14:textId="77777777" w:rsidTr="00BA57DA">
        <w:trPr>
          <w:cantSplit/>
          <w:jc w:val="center"/>
        </w:trPr>
        <w:tc>
          <w:tcPr>
            <w:tcW w:w="0" w:type="auto"/>
            <w:vAlign w:val="center"/>
          </w:tcPr>
          <w:p w14:paraId="71477A78" w14:textId="77777777" w:rsidR="00D97E7C" w:rsidRPr="00FD2055" w:rsidRDefault="00D97E7C" w:rsidP="00D97E7C">
            <w:pPr>
              <w:rPr>
                <w:i/>
                <w:color w:val="000000"/>
                <w:sz w:val="18"/>
                <w:szCs w:val="18"/>
              </w:rPr>
            </w:pPr>
            <w:r>
              <w:rPr>
                <w:color w:val="000000"/>
                <w:sz w:val="18"/>
                <w:szCs w:val="18"/>
              </w:rPr>
              <w:t>Disinfectant, yeasticidal activity</w:t>
            </w:r>
          </w:p>
        </w:tc>
        <w:tc>
          <w:tcPr>
            <w:tcW w:w="1825" w:type="dxa"/>
            <w:vAlign w:val="center"/>
          </w:tcPr>
          <w:p w14:paraId="5E322FF9"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46675054" w14:textId="77777777" w:rsidR="00D97E7C" w:rsidRDefault="00D97E7C" w:rsidP="00D97E7C">
            <w:pPr>
              <w:rPr>
                <w:color w:val="000000"/>
                <w:sz w:val="18"/>
                <w:szCs w:val="18"/>
              </w:rPr>
            </w:pPr>
            <w:r>
              <w:rPr>
                <w:color w:val="000000"/>
                <w:sz w:val="18"/>
                <w:szCs w:val="18"/>
              </w:rPr>
              <w:t>AL-S6-1-0</w:t>
            </w:r>
          </w:p>
          <w:p w14:paraId="04817D70" w14:textId="1693FDFC"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76B5D9C5" w14:textId="77777777" w:rsidR="00D97E7C" w:rsidRPr="00FD2055" w:rsidRDefault="00D97E7C" w:rsidP="00D97E7C">
            <w:pPr>
              <w:rPr>
                <w:i/>
                <w:color w:val="000000"/>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39706197" w14:textId="77777777" w:rsidR="00D97E7C" w:rsidRPr="00FD2055" w:rsidRDefault="00D97E7C" w:rsidP="00D97E7C">
            <w:pPr>
              <w:rPr>
                <w:color w:val="000000"/>
                <w:sz w:val="18"/>
                <w:szCs w:val="18"/>
              </w:rPr>
            </w:pPr>
            <w:r>
              <w:rPr>
                <w:color w:val="000000"/>
                <w:sz w:val="18"/>
                <w:szCs w:val="18"/>
              </w:rPr>
              <w:t>NF EN 1650 (2008) + A1 (July 2013)</w:t>
            </w:r>
          </w:p>
        </w:tc>
        <w:tc>
          <w:tcPr>
            <w:tcW w:w="3103" w:type="dxa"/>
            <w:vAlign w:val="center"/>
          </w:tcPr>
          <w:p w14:paraId="275C9D9F" w14:textId="77777777" w:rsidR="00D97E7C" w:rsidRDefault="00D97E7C" w:rsidP="00D97E7C">
            <w:pPr>
              <w:rPr>
                <w:color w:val="000000"/>
                <w:sz w:val="18"/>
                <w:szCs w:val="18"/>
              </w:rPr>
            </w:pPr>
            <w:r>
              <w:rPr>
                <w:color w:val="000000"/>
                <w:sz w:val="18"/>
                <w:szCs w:val="18"/>
              </w:rPr>
              <w:t>Phase 2 step 1 (suspension test)</w:t>
            </w:r>
          </w:p>
          <w:p w14:paraId="2717A658" w14:textId="77777777" w:rsidR="00D97E7C" w:rsidRDefault="00D97E7C" w:rsidP="00D97E7C">
            <w:pPr>
              <w:rPr>
                <w:color w:val="000000"/>
                <w:sz w:val="18"/>
                <w:szCs w:val="18"/>
              </w:rPr>
            </w:pPr>
            <w:r>
              <w:rPr>
                <w:color w:val="000000"/>
                <w:sz w:val="18"/>
                <w:szCs w:val="18"/>
              </w:rPr>
              <w:t xml:space="preserve">Concentrations of product tested (v/v): 1%, 2%, 3%. </w:t>
            </w:r>
          </w:p>
          <w:p w14:paraId="51553FAE" w14:textId="77777777" w:rsidR="00D97E7C" w:rsidRDefault="00D97E7C" w:rsidP="00D97E7C">
            <w:pPr>
              <w:rPr>
                <w:color w:val="000000"/>
                <w:sz w:val="18"/>
                <w:szCs w:val="18"/>
              </w:rPr>
            </w:pPr>
            <w:r>
              <w:rPr>
                <w:color w:val="000000"/>
                <w:sz w:val="18"/>
                <w:szCs w:val="18"/>
              </w:rPr>
              <w:t xml:space="preserve">Contact time : 15 minutes </w:t>
            </w:r>
          </w:p>
          <w:p w14:paraId="4E78DB83" w14:textId="77777777" w:rsidR="00D97E7C" w:rsidRDefault="00D97E7C" w:rsidP="00D97E7C">
            <w:pPr>
              <w:rPr>
                <w:color w:val="000000"/>
                <w:sz w:val="18"/>
                <w:szCs w:val="18"/>
              </w:rPr>
            </w:pPr>
            <w:r>
              <w:rPr>
                <w:color w:val="000000"/>
                <w:sz w:val="18"/>
                <w:szCs w:val="18"/>
              </w:rPr>
              <w:t>Temperature: 20°C</w:t>
            </w:r>
          </w:p>
          <w:p w14:paraId="0D8A209C" w14:textId="77777777" w:rsidR="00D97E7C" w:rsidRDefault="00D97E7C" w:rsidP="00D97E7C">
            <w:pPr>
              <w:rPr>
                <w:color w:val="000000"/>
                <w:sz w:val="18"/>
                <w:szCs w:val="18"/>
              </w:rPr>
            </w:pPr>
            <w:r>
              <w:rPr>
                <w:color w:val="000000"/>
                <w:sz w:val="18"/>
                <w:szCs w:val="18"/>
              </w:rPr>
              <w:t xml:space="preserve">Dirty conditions: 3 g/L BSA </w:t>
            </w:r>
          </w:p>
          <w:p w14:paraId="0711C95B"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506662E0" w14:textId="77777777" w:rsidR="00D97E7C" w:rsidRDefault="00D97E7C" w:rsidP="00D97E7C">
            <w:pPr>
              <w:snapToGrid w:val="0"/>
              <w:rPr>
                <w:color w:val="000000"/>
                <w:sz w:val="18"/>
                <w:szCs w:val="18"/>
              </w:rPr>
            </w:pPr>
            <w:r>
              <w:rPr>
                <w:color w:val="000000"/>
                <w:sz w:val="18"/>
                <w:szCs w:val="18"/>
              </w:rPr>
              <w:t>Yeasticidal activity demonstrated at 2% v/v.</w:t>
            </w:r>
          </w:p>
          <w:p w14:paraId="02EC1BC6" w14:textId="77777777" w:rsidR="00D97E7C" w:rsidRDefault="00D97E7C" w:rsidP="00D97E7C">
            <w:pPr>
              <w:rPr>
                <w:color w:val="000000"/>
                <w:sz w:val="18"/>
                <w:szCs w:val="18"/>
              </w:rPr>
            </w:pPr>
          </w:p>
          <w:p w14:paraId="36F219BA" w14:textId="77777777" w:rsidR="00D97E7C" w:rsidRPr="00FD2055" w:rsidRDefault="00D97E7C" w:rsidP="00D97E7C">
            <w:pPr>
              <w:rPr>
                <w:color w:val="000000"/>
                <w:sz w:val="18"/>
                <w:szCs w:val="18"/>
              </w:rPr>
            </w:pPr>
          </w:p>
        </w:tc>
        <w:tc>
          <w:tcPr>
            <w:tcW w:w="1536" w:type="dxa"/>
            <w:vAlign w:val="center"/>
          </w:tcPr>
          <w:p w14:paraId="00D1C127" w14:textId="77777777" w:rsidR="00D97E7C" w:rsidRDefault="00D97E7C" w:rsidP="00D97E7C">
            <w:pPr>
              <w:rPr>
                <w:color w:val="000000"/>
                <w:sz w:val="18"/>
                <w:szCs w:val="18"/>
              </w:rPr>
            </w:pPr>
            <w:r>
              <w:rPr>
                <w:color w:val="000000"/>
                <w:sz w:val="18"/>
                <w:szCs w:val="18"/>
              </w:rPr>
              <w:t>Huguet N., 2018, Report No 18.CM.18-12410</w:t>
            </w:r>
          </w:p>
          <w:p w14:paraId="09EBB1B7" w14:textId="77777777" w:rsidR="00D97E7C" w:rsidRDefault="00D97E7C" w:rsidP="00D97E7C">
            <w:pPr>
              <w:rPr>
                <w:color w:val="000000"/>
                <w:sz w:val="18"/>
                <w:szCs w:val="18"/>
              </w:rPr>
            </w:pPr>
          </w:p>
          <w:p w14:paraId="320D63F8" w14:textId="77777777" w:rsidR="00D97E7C" w:rsidRPr="00FD2055" w:rsidRDefault="00D97E7C" w:rsidP="00D97E7C">
            <w:pPr>
              <w:rPr>
                <w:i/>
                <w:color w:val="000000"/>
                <w:sz w:val="18"/>
                <w:szCs w:val="18"/>
              </w:rPr>
            </w:pPr>
            <w:r>
              <w:rPr>
                <w:color w:val="000000"/>
                <w:sz w:val="18"/>
                <w:szCs w:val="18"/>
              </w:rPr>
              <w:t>RI=1</w:t>
            </w:r>
          </w:p>
        </w:tc>
      </w:tr>
      <w:tr w:rsidR="00D97E7C" w14:paraId="114621B6" w14:textId="77777777" w:rsidTr="00BA57DA">
        <w:trPr>
          <w:cantSplit/>
          <w:jc w:val="center"/>
        </w:trPr>
        <w:tc>
          <w:tcPr>
            <w:tcW w:w="0" w:type="auto"/>
            <w:vAlign w:val="center"/>
          </w:tcPr>
          <w:p w14:paraId="70529381" w14:textId="77777777" w:rsidR="00D97E7C" w:rsidRPr="00FD2055" w:rsidRDefault="00D97E7C" w:rsidP="00D97E7C">
            <w:pPr>
              <w:rPr>
                <w:i/>
                <w:color w:val="000000"/>
                <w:sz w:val="18"/>
                <w:szCs w:val="18"/>
              </w:rPr>
            </w:pPr>
            <w:r>
              <w:rPr>
                <w:color w:val="000000"/>
                <w:sz w:val="18"/>
                <w:szCs w:val="18"/>
              </w:rPr>
              <w:t>Disinfectant, yeasticidal activity</w:t>
            </w:r>
          </w:p>
        </w:tc>
        <w:tc>
          <w:tcPr>
            <w:tcW w:w="1825" w:type="dxa"/>
            <w:vAlign w:val="center"/>
          </w:tcPr>
          <w:p w14:paraId="2AF1AA4F"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141F68A7" w14:textId="77777777" w:rsidR="00D97E7C" w:rsidRDefault="00D97E7C" w:rsidP="00D97E7C">
            <w:pPr>
              <w:rPr>
                <w:color w:val="000000"/>
                <w:sz w:val="18"/>
                <w:szCs w:val="18"/>
              </w:rPr>
            </w:pPr>
            <w:r>
              <w:rPr>
                <w:color w:val="000000"/>
                <w:sz w:val="18"/>
                <w:szCs w:val="18"/>
              </w:rPr>
              <w:t>AL-S6-1-0</w:t>
            </w:r>
          </w:p>
          <w:p w14:paraId="13FE7AE1" w14:textId="36130872"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24BCC3A9" w14:textId="77777777" w:rsidR="00D97E7C" w:rsidRPr="00FD2055" w:rsidRDefault="00D97E7C" w:rsidP="00D97E7C">
            <w:pPr>
              <w:rPr>
                <w:i/>
                <w:color w:val="000000"/>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78AAED87" w14:textId="77777777" w:rsidR="00D97E7C" w:rsidRPr="00FD2055" w:rsidRDefault="00D97E7C" w:rsidP="00D97E7C">
            <w:pPr>
              <w:rPr>
                <w:color w:val="000000"/>
                <w:sz w:val="18"/>
                <w:szCs w:val="18"/>
              </w:rPr>
            </w:pPr>
            <w:r>
              <w:rPr>
                <w:color w:val="000000"/>
                <w:sz w:val="18"/>
                <w:szCs w:val="18"/>
              </w:rPr>
              <w:t>NF EN 13624 (November 2013)</w:t>
            </w:r>
          </w:p>
        </w:tc>
        <w:tc>
          <w:tcPr>
            <w:tcW w:w="3103" w:type="dxa"/>
            <w:vAlign w:val="center"/>
          </w:tcPr>
          <w:p w14:paraId="50674AA7" w14:textId="77777777" w:rsidR="00D97E7C" w:rsidRDefault="00D97E7C" w:rsidP="00D97E7C">
            <w:pPr>
              <w:rPr>
                <w:color w:val="000000"/>
                <w:sz w:val="18"/>
                <w:szCs w:val="18"/>
              </w:rPr>
            </w:pPr>
            <w:r>
              <w:rPr>
                <w:color w:val="000000"/>
                <w:sz w:val="18"/>
                <w:szCs w:val="18"/>
              </w:rPr>
              <w:t>Phase 2 step 1 (suspension test)</w:t>
            </w:r>
          </w:p>
          <w:p w14:paraId="25A7D730" w14:textId="6339A223" w:rsidR="00D97E7C" w:rsidRDefault="00D97E7C" w:rsidP="00D97E7C">
            <w:pPr>
              <w:rPr>
                <w:color w:val="000000"/>
                <w:sz w:val="18"/>
                <w:szCs w:val="18"/>
              </w:rPr>
            </w:pPr>
            <w:r>
              <w:rPr>
                <w:color w:val="000000"/>
                <w:sz w:val="18"/>
                <w:szCs w:val="18"/>
              </w:rPr>
              <w:t>Concentrations of product tested (v/v</w:t>
            </w:r>
            <w:r w:rsidR="009027DD">
              <w:rPr>
                <w:color w:val="000000"/>
                <w:sz w:val="18"/>
                <w:szCs w:val="18"/>
              </w:rPr>
              <w:t>):</w:t>
            </w:r>
            <w:r>
              <w:rPr>
                <w:color w:val="000000"/>
                <w:sz w:val="18"/>
                <w:szCs w:val="18"/>
              </w:rPr>
              <w:t xml:space="preserve"> 2%, 6%, 8%. </w:t>
            </w:r>
          </w:p>
          <w:p w14:paraId="32F72335" w14:textId="77777777" w:rsidR="00D97E7C" w:rsidRDefault="00D97E7C" w:rsidP="00D97E7C">
            <w:pPr>
              <w:rPr>
                <w:color w:val="000000"/>
                <w:sz w:val="18"/>
                <w:szCs w:val="18"/>
              </w:rPr>
            </w:pPr>
            <w:r>
              <w:rPr>
                <w:color w:val="000000"/>
                <w:sz w:val="18"/>
                <w:szCs w:val="18"/>
              </w:rPr>
              <w:t xml:space="preserve">Contact time : 5 minutes </w:t>
            </w:r>
          </w:p>
          <w:p w14:paraId="4E0E68C4" w14:textId="77777777" w:rsidR="00D97E7C" w:rsidRDefault="00D97E7C" w:rsidP="00D97E7C">
            <w:pPr>
              <w:rPr>
                <w:color w:val="000000"/>
                <w:sz w:val="18"/>
                <w:szCs w:val="18"/>
              </w:rPr>
            </w:pPr>
            <w:r>
              <w:rPr>
                <w:color w:val="000000"/>
                <w:sz w:val="18"/>
                <w:szCs w:val="18"/>
              </w:rPr>
              <w:t>Temperature: 20°C</w:t>
            </w:r>
          </w:p>
          <w:p w14:paraId="19D6101B" w14:textId="77777777" w:rsidR="00D97E7C" w:rsidRDefault="00D97E7C" w:rsidP="00D97E7C">
            <w:pPr>
              <w:rPr>
                <w:color w:val="000000"/>
                <w:sz w:val="18"/>
                <w:szCs w:val="18"/>
              </w:rPr>
            </w:pPr>
            <w:r>
              <w:rPr>
                <w:color w:val="000000"/>
                <w:sz w:val="18"/>
                <w:szCs w:val="18"/>
              </w:rPr>
              <w:t>Dirty conditions: 3 g/L BSA + 3ml/l sheep erythrocytes</w:t>
            </w:r>
          </w:p>
          <w:p w14:paraId="44349AAC"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311EA189" w14:textId="77777777" w:rsidR="00D97E7C" w:rsidRDefault="00D97E7C" w:rsidP="00D97E7C">
            <w:pPr>
              <w:snapToGrid w:val="0"/>
              <w:rPr>
                <w:color w:val="000000"/>
                <w:sz w:val="18"/>
                <w:szCs w:val="18"/>
              </w:rPr>
            </w:pPr>
            <w:r>
              <w:rPr>
                <w:color w:val="000000"/>
                <w:sz w:val="18"/>
                <w:szCs w:val="18"/>
              </w:rPr>
              <w:t>Yeasticidal activity demonstrated at 6% v/v.</w:t>
            </w:r>
          </w:p>
          <w:p w14:paraId="7F27D191" w14:textId="77777777" w:rsidR="00D97E7C" w:rsidRDefault="00D97E7C" w:rsidP="00D97E7C">
            <w:pPr>
              <w:rPr>
                <w:color w:val="000000"/>
                <w:sz w:val="18"/>
                <w:szCs w:val="18"/>
              </w:rPr>
            </w:pPr>
          </w:p>
          <w:p w14:paraId="359FAED9" w14:textId="77777777" w:rsidR="00D97E7C" w:rsidRPr="00FD2055" w:rsidRDefault="00D97E7C" w:rsidP="00D97E7C">
            <w:pPr>
              <w:rPr>
                <w:color w:val="000000"/>
                <w:sz w:val="18"/>
                <w:szCs w:val="18"/>
              </w:rPr>
            </w:pPr>
          </w:p>
        </w:tc>
        <w:tc>
          <w:tcPr>
            <w:tcW w:w="1536" w:type="dxa"/>
            <w:vAlign w:val="center"/>
          </w:tcPr>
          <w:p w14:paraId="4A038862" w14:textId="77777777" w:rsidR="00D97E7C" w:rsidRDefault="00D97E7C" w:rsidP="00D97E7C">
            <w:pPr>
              <w:rPr>
                <w:color w:val="000000"/>
                <w:sz w:val="18"/>
                <w:szCs w:val="18"/>
              </w:rPr>
            </w:pPr>
            <w:r>
              <w:rPr>
                <w:color w:val="000000"/>
                <w:sz w:val="18"/>
                <w:szCs w:val="18"/>
              </w:rPr>
              <w:t>Huguet N., 2019, Report No 19.CM.19-007</w:t>
            </w:r>
          </w:p>
          <w:p w14:paraId="0493F15F" w14:textId="77777777" w:rsidR="00D97E7C" w:rsidRDefault="00D97E7C" w:rsidP="00D97E7C">
            <w:pPr>
              <w:rPr>
                <w:color w:val="000000"/>
                <w:sz w:val="18"/>
                <w:szCs w:val="18"/>
              </w:rPr>
            </w:pPr>
          </w:p>
          <w:p w14:paraId="3A9F6DDA" w14:textId="77777777" w:rsidR="00D97E7C" w:rsidRPr="00FD2055" w:rsidRDefault="00D97E7C" w:rsidP="00D97E7C">
            <w:pPr>
              <w:rPr>
                <w:i/>
                <w:color w:val="000000"/>
                <w:sz w:val="18"/>
                <w:szCs w:val="18"/>
              </w:rPr>
            </w:pPr>
            <w:r>
              <w:rPr>
                <w:color w:val="000000"/>
                <w:sz w:val="18"/>
                <w:szCs w:val="18"/>
              </w:rPr>
              <w:t>RI=1</w:t>
            </w:r>
          </w:p>
        </w:tc>
      </w:tr>
      <w:tr w:rsidR="00D97E7C" w14:paraId="7776466B" w14:textId="77777777" w:rsidTr="00BA57DA">
        <w:trPr>
          <w:cantSplit/>
          <w:jc w:val="center"/>
        </w:trPr>
        <w:tc>
          <w:tcPr>
            <w:tcW w:w="0" w:type="auto"/>
            <w:vAlign w:val="center"/>
          </w:tcPr>
          <w:p w14:paraId="4A87EA9B" w14:textId="77777777" w:rsidR="00D97E7C" w:rsidRDefault="00D97E7C" w:rsidP="00D97E7C">
            <w:pPr>
              <w:rPr>
                <w:color w:val="000000"/>
                <w:sz w:val="18"/>
                <w:szCs w:val="18"/>
              </w:rPr>
            </w:pPr>
            <w:r>
              <w:rPr>
                <w:sz w:val="18"/>
                <w:szCs w:val="18"/>
              </w:rPr>
              <w:lastRenderedPageBreak/>
              <w:t>Disinfectant, yeasticidal activity</w:t>
            </w:r>
          </w:p>
        </w:tc>
        <w:tc>
          <w:tcPr>
            <w:tcW w:w="1825" w:type="dxa"/>
            <w:vAlign w:val="center"/>
          </w:tcPr>
          <w:p w14:paraId="5B400B95" w14:textId="77777777" w:rsidR="00D97E7C" w:rsidRDefault="00D97E7C" w:rsidP="00D97E7C">
            <w:pPr>
              <w:rPr>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430933B6" w14:textId="77777777" w:rsidR="00D97E7C" w:rsidRDefault="00D97E7C" w:rsidP="00D97E7C">
            <w:pPr>
              <w:rPr>
                <w:sz w:val="18"/>
                <w:szCs w:val="18"/>
              </w:rPr>
            </w:pPr>
            <w:r>
              <w:rPr>
                <w:sz w:val="18"/>
                <w:szCs w:val="18"/>
              </w:rPr>
              <w:t>AL-S6-1-0</w:t>
            </w:r>
          </w:p>
          <w:p w14:paraId="5311AC20" w14:textId="1414C64C" w:rsidR="00D97E7C" w:rsidRDefault="003B05F7" w:rsidP="00D97E7C">
            <w:pPr>
              <w:rPr>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68052DC0" w14:textId="77777777" w:rsidR="00D97E7C" w:rsidRPr="005D3939" w:rsidRDefault="00D97E7C" w:rsidP="00D97E7C">
            <w:pPr>
              <w:rPr>
                <w:i/>
                <w:color w:val="000000"/>
                <w:sz w:val="18"/>
                <w:szCs w:val="18"/>
              </w:rPr>
            </w:pPr>
            <w:r w:rsidRPr="005D3939">
              <w:rPr>
                <w:i/>
                <w:sz w:val="18"/>
                <w:szCs w:val="18"/>
              </w:rPr>
              <w:t>Candida albicans</w:t>
            </w:r>
            <w:r>
              <w:rPr>
                <w:sz w:val="18"/>
                <w:szCs w:val="18"/>
              </w:rPr>
              <w:t xml:space="preserve"> </w:t>
            </w:r>
          </w:p>
        </w:tc>
        <w:tc>
          <w:tcPr>
            <w:tcW w:w="0" w:type="auto"/>
            <w:vAlign w:val="center"/>
          </w:tcPr>
          <w:p w14:paraId="29B90EB2" w14:textId="77777777" w:rsidR="00D97E7C" w:rsidRDefault="00D97E7C" w:rsidP="00D97E7C">
            <w:pPr>
              <w:rPr>
                <w:color w:val="000000"/>
                <w:sz w:val="18"/>
                <w:szCs w:val="18"/>
              </w:rPr>
            </w:pPr>
            <w:r>
              <w:rPr>
                <w:sz w:val="18"/>
                <w:szCs w:val="18"/>
              </w:rPr>
              <w:t>NF EN 1650 + A1 (July 2013)</w:t>
            </w:r>
          </w:p>
        </w:tc>
        <w:tc>
          <w:tcPr>
            <w:tcW w:w="3103" w:type="dxa"/>
            <w:vAlign w:val="center"/>
          </w:tcPr>
          <w:p w14:paraId="3B758460" w14:textId="77777777" w:rsidR="00D97E7C" w:rsidRDefault="00D97E7C" w:rsidP="00D97E7C">
            <w:pPr>
              <w:rPr>
                <w:color w:val="000000"/>
                <w:sz w:val="18"/>
                <w:szCs w:val="18"/>
              </w:rPr>
            </w:pPr>
            <w:r>
              <w:rPr>
                <w:color w:val="000000"/>
                <w:sz w:val="18"/>
                <w:szCs w:val="18"/>
              </w:rPr>
              <w:t>Phase 2 step 1 (suspension test)</w:t>
            </w:r>
          </w:p>
          <w:p w14:paraId="26643C2E" w14:textId="77777777" w:rsidR="00D97E7C" w:rsidRDefault="00D97E7C" w:rsidP="00D97E7C">
            <w:pPr>
              <w:rPr>
                <w:color w:val="000000"/>
                <w:sz w:val="18"/>
                <w:szCs w:val="18"/>
              </w:rPr>
            </w:pPr>
            <w:r>
              <w:rPr>
                <w:color w:val="000000"/>
                <w:sz w:val="18"/>
                <w:szCs w:val="18"/>
              </w:rPr>
              <w:t xml:space="preserve">Concentrations of product tested (v/v): 2%, 1%, 0.25%. </w:t>
            </w:r>
          </w:p>
          <w:p w14:paraId="6E657A5D" w14:textId="77777777" w:rsidR="00D97E7C" w:rsidRDefault="00D97E7C" w:rsidP="00D97E7C">
            <w:pPr>
              <w:rPr>
                <w:color w:val="000000"/>
                <w:sz w:val="18"/>
                <w:szCs w:val="18"/>
              </w:rPr>
            </w:pPr>
            <w:r>
              <w:rPr>
                <w:color w:val="000000"/>
                <w:sz w:val="18"/>
                <w:szCs w:val="18"/>
              </w:rPr>
              <w:t xml:space="preserve">Contact time: 30 minutes </w:t>
            </w:r>
          </w:p>
          <w:p w14:paraId="461430D4" w14:textId="77777777" w:rsidR="00D97E7C" w:rsidRDefault="00D97E7C" w:rsidP="00D97E7C">
            <w:pPr>
              <w:rPr>
                <w:color w:val="000000"/>
                <w:sz w:val="18"/>
                <w:szCs w:val="18"/>
              </w:rPr>
            </w:pPr>
            <w:r>
              <w:rPr>
                <w:color w:val="000000"/>
                <w:sz w:val="18"/>
                <w:szCs w:val="18"/>
              </w:rPr>
              <w:t>Temperature: 40°C</w:t>
            </w:r>
          </w:p>
          <w:p w14:paraId="0FA2165A" w14:textId="77777777" w:rsidR="00D97E7C" w:rsidRDefault="00D97E7C" w:rsidP="00D97E7C">
            <w:pPr>
              <w:rPr>
                <w:color w:val="000000"/>
                <w:sz w:val="18"/>
                <w:szCs w:val="18"/>
              </w:rPr>
            </w:pPr>
            <w:r>
              <w:rPr>
                <w:color w:val="000000"/>
                <w:sz w:val="18"/>
                <w:szCs w:val="18"/>
              </w:rPr>
              <w:t xml:space="preserve">Dirty conditions: 3 g/L BSA </w:t>
            </w:r>
          </w:p>
          <w:p w14:paraId="58402C4C" w14:textId="77777777" w:rsidR="00D97E7C" w:rsidRDefault="00D97E7C" w:rsidP="00D97E7C">
            <w:pPr>
              <w:rPr>
                <w:color w:val="000000"/>
                <w:sz w:val="18"/>
                <w:szCs w:val="18"/>
              </w:rPr>
            </w:pPr>
            <w:r>
              <w:rPr>
                <w:color w:val="000000"/>
                <w:sz w:val="18"/>
                <w:szCs w:val="18"/>
              </w:rPr>
              <w:t>Criteria: ≥ 4 log unit reduction</w:t>
            </w:r>
          </w:p>
        </w:tc>
        <w:tc>
          <w:tcPr>
            <w:tcW w:w="1701" w:type="dxa"/>
            <w:vAlign w:val="center"/>
          </w:tcPr>
          <w:p w14:paraId="30F042E4" w14:textId="77777777" w:rsidR="00D97E7C" w:rsidRDefault="00D97E7C" w:rsidP="00D97E7C">
            <w:pPr>
              <w:snapToGrid w:val="0"/>
              <w:rPr>
                <w:color w:val="000000"/>
                <w:sz w:val="18"/>
                <w:szCs w:val="18"/>
              </w:rPr>
            </w:pPr>
            <w:r>
              <w:rPr>
                <w:color w:val="000000"/>
                <w:sz w:val="18"/>
                <w:szCs w:val="18"/>
              </w:rPr>
              <w:t>Yeasticidal activity demonstrated at 2% v/v.</w:t>
            </w:r>
          </w:p>
          <w:p w14:paraId="0C42F228" w14:textId="77777777" w:rsidR="00D97E7C" w:rsidRDefault="00D97E7C" w:rsidP="00D97E7C">
            <w:pPr>
              <w:rPr>
                <w:color w:val="000000"/>
                <w:sz w:val="18"/>
                <w:szCs w:val="18"/>
              </w:rPr>
            </w:pPr>
          </w:p>
        </w:tc>
        <w:tc>
          <w:tcPr>
            <w:tcW w:w="1536" w:type="dxa"/>
            <w:vAlign w:val="center"/>
          </w:tcPr>
          <w:p w14:paraId="7F50AD63" w14:textId="77777777" w:rsidR="00D97E7C" w:rsidRDefault="00D97E7C" w:rsidP="00D97E7C">
            <w:pPr>
              <w:rPr>
                <w:sz w:val="18"/>
                <w:szCs w:val="18"/>
              </w:rPr>
            </w:pPr>
            <w:r>
              <w:rPr>
                <w:sz w:val="18"/>
                <w:szCs w:val="18"/>
              </w:rPr>
              <w:t>Feuillolay C., 2019, Report No 19-1373</w:t>
            </w:r>
          </w:p>
          <w:p w14:paraId="5518AC65" w14:textId="77777777" w:rsidR="00D97E7C" w:rsidRDefault="00D97E7C" w:rsidP="00D97E7C">
            <w:pPr>
              <w:rPr>
                <w:sz w:val="18"/>
                <w:szCs w:val="18"/>
              </w:rPr>
            </w:pPr>
          </w:p>
          <w:p w14:paraId="2E9A7B3B" w14:textId="77777777" w:rsidR="00D97E7C" w:rsidRDefault="00D97E7C" w:rsidP="00D97E7C">
            <w:pPr>
              <w:rPr>
                <w:color w:val="000000"/>
                <w:sz w:val="18"/>
                <w:szCs w:val="18"/>
              </w:rPr>
            </w:pPr>
            <w:r>
              <w:rPr>
                <w:sz w:val="18"/>
                <w:szCs w:val="18"/>
              </w:rPr>
              <w:t>RI=1</w:t>
            </w:r>
          </w:p>
        </w:tc>
      </w:tr>
      <w:tr w:rsidR="00D97E7C" w14:paraId="1ACAE6F5" w14:textId="77777777" w:rsidTr="00BA57DA">
        <w:trPr>
          <w:cantSplit/>
          <w:jc w:val="center"/>
        </w:trPr>
        <w:tc>
          <w:tcPr>
            <w:tcW w:w="0" w:type="auto"/>
            <w:vAlign w:val="center"/>
          </w:tcPr>
          <w:p w14:paraId="0F787BB9" w14:textId="77777777" w:rsidR="00D97E7C" w:rsidRPr="00FD2055" w:rsidRDefault="00D97E7C" w:rsidP="00D97E7C">
            <w:pPr>
              <w:rPr>
                <w:i/>
                <w:color w:val="000000"/>
                <w:sz w:val="18"/>
                <w:szCs w:val="18"/>
              </w:rPr>
            </w:pPr>
            <w:r>
              <w:rPr>
                <w:color w:val="000000"/>
                <w:sz w:val="18"/>
                <w:szCs w:val="18"/>
              </w:rPr>
              <w:t>Disinfectant, bactericidal activity</w:t>
            </w:r>
          </w:p>
        </w:tc>
        <w:tc>
          <w:tcPr>
            <w:tcW w:w="1825" w:type="dxa"/>
            <w:vAlign w:val="center"/>
          </w:tcPr>
          <w:p w14:paraId="1C2F1DA2"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569096E2" w14:textId="77777777" w:rsidR="00D97E7C" w:rsidRDefault="00D97E7C" w:rsidP="00D97E7C">
            <w:pPr>
              <w:rPr>
                <w:color w:val="000000"/>
                <w:sz w:val="18"/>
                <w:szCs w:val="18"/>
              </w:rPr>
            </w:pPr>
            <w:r>
              <w:rPr>
                <w:color w:val="000000"/>
                <w:sz w:val="18"/>
                <w:szCs w:val="18"/>
              </w:rPr>
              <w:t>AL-S6-1-0</w:t>
            </w:r>
          </w:p>
          <w:p w14:paraId="03F93D70" w14:textId="51AA7CE8"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0BB6A34B" w14:textId="77777777" w:rsidR="00D97E7C" w:rsidRPr="00D016EC" w:rsidRDefault="00D97E7C" w:rsidP="00D97E7C">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 xml:space="preserve">Enterococcus hirae </w:t>
            </w:r>
          </w:p>
        </w:tc>
        <w:tc>
          <w:tcPr>
            <w:tcW w:w="0" w:type="auto"/>
            <w:vAlign w:val="center"/>
          </w:tcPr>
          <w:p w14:paraId="78A33129" w14:textId="77777777" w:rsidR="00D97E7C" w:rsidRPr="00FD2055" w:rsidRDefault="00D97E7C" w:rsidP="00D97E7C">
            <w:pPr>
              <w:rPr>
                <w:color w:val="000000"/>
                <w:sz w:val="18"/>
                <w:szCs w:val="18"/>
              </w:rPr>
            </w:pPr>
            <w:r>
              <w:rPr>
                <w:color w:val="000000"/>
                <w:sz w:val="18"/>
                <w:szCs w:val="18"/>
              </w:rPr>
              <w:t>NF EN 13697 (June 2015)</w:t>
            </w:r>
          </w:p>
        </w:tc>
        <w:tc>
          <w:tcPr>
            <w:tcW w:w="3103" w:type="dxa"/>
            <w:vAlign w:val="center"/>
          </w:tcPr>
          <w:p w14:paraId="27A1E596" w14:textId="03D1D24E" w:rsidR="00D97E7C" w:rsidRDefault="00D97E7C" w:rsidP="00D97E7C">
            <w:pPr>
              <w:rPr>
                <w:color w:val="000000"/>
                <w:sz w:val="18"/>
                <w:szCs w:val="18"/>
              </w:rPr>
            </w:pPr>
            <w:r>
              <w:rPr>
                <w:color w:val="000000"/>
                <w:sz w:val="18"/>
                <w:szCs w:val="18"/>
              </w:rPr>
              <w:t>Phase 2 step 2 (surface test)</w:t>
            </w:r>
          </w:p>
          <w:p w14:paraId="08F1705B" w14:textId="77777777" w:rsidR="00D97E7C" w:rsidRDefault="00D97E7C" w:rsidP="00D97E7C">
            <w:pPr>
              <w:rPr>
                <w:color w:val="000000"/>
                <w:sz w:val="18"/>
                <w:szCs w:val="18"/>
              </w:rPr>
            </w:pPr>
            <w:r>
              <w:rPr>
                <w:color w:val="000000"/>
                <w:sz w:val="18"/>
                <w:szCs w:val="18"/>
              </w:rPr>
              <w:t xml:space="preserve">Concentrations of product tested (v/v): 0.5%, 1%, 2%, 3%, 4%. </w:t>
            </w:r>
          </w:p>
          <w:p w14:paraId="317003C3" w14:textId="77777777" w:rsidR="00D97E7C" w:rsidRDefault="00D97E7C" w:rsidP="00D97E7C">
            <w:pPr>
              <w:rPr>
                <w:color w:val="000000"/>
                <w:sz w:val="18"/>
                <w:szCs w:val="18"/>
              </w:rPr>
            </w:pPr>
            <w:r>
              <w:rPr>
                <w:color w:val="000000"/>
                <w:sz w:val="18"/>
                <w:szCs w:val="18"/>
              </w:rPr>
              <w:t xml:space="preserve">Contact time: 5 minutes </w:t>
            </w:r>
          </w:p>
          <w:p w14:paraId="314D2C3A" w14:textId="77777777" w:rsidR="00D97E7C" w:rsidRDefault="00D97E7C" w:rsidP="00D97E7C">
            <w:pPr>
              <w:rPr>
                <w:color w:val="000000"/>
                <w:sz w:val="18"/>
                <w:szCs w:val="18"/>
              </w:rPr>
            </w:pPr>
            <w:r>
              <w:rPr>
                <w:color w:val="000000"/>
                <w:sz w:val="18"/>
                <w:szCs w:val="18"/>
              </w:rPr>
              <w:t>Temperature: 20°C</w:t>
            </w:r>
          </w:p>
          <w:p w14:paraId="78A6857C" w14:textId="77777777" w:rsidR="00D97E7C" w:rsidRDefault="00D97E7C" w:rsidP="00D97E7C">
            <w:pPr>
              <w:rPr>
                <w:color w:val="000000"/>
                <w:sz w:val="18"/>
                <w:szCs w:val="18"/>
              </w:rPr>
            </w:pPr>
            <w:r>
              <w:rPr>
                <w:color w:val="000000"/>
                <w:sz w:val="18"/>
                <w:szCs w:val="18"/>
              </w:rPr>
              <w:t xml:space="preserve">Dirty conditions: 3 g/L BSA </w:t>
            </w:r>
          </w:p>
          <w:p w14:paraId="275BCCC7"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07CBA2F9" w14:textId="77777777" w:rsidR="00D97E7C" w:rsidRDefault="00D97E7C" w:rsidP="00D97E7C">
            <w:pPr>
              <w:rPr>
                <w:color w:val="000000"/>
                <w:sz w:val="18"/>
                <w:szCs w:val="18"/>
              </w:rPr>
            </w:pPr>
          </w:p>
          <w:p w14:paraId="2A37D22C" w14:textId="77777777" w:rsidR="00D97E7C" w:rsidRDefault="00D97E7C" w:rsidP="00D97E7C">
            <w:pPr>
              <w:snapToGrid w:val="0"/>
              <w:rPr>
                <w:color w:val="000000"/>
                <w:sz w:val="18"/>
                <w:szCs w:val="18"/>
              </w:rPr>
            </w:pPr>
            <w:r>
              <w:rPr>
                <w:color w:val="000000"/>
                <w:sz w:val="18"/>
                <w:szCs w:val="18"/>
              </w:rPr>
              <w:t>Bactericidal activity demonstrated at 3% v/v.</w:t>
            </w:r>
          </w:p>
          <w:p w14:paraId="3A869FCD" w14:textId="77777777" w:rsidR="00D97E7C" w:rsidRPr="00FD2055" w:rsidRDefault="00D97E7C" w:rsidP="00D97E7C">
            <w:pPr>
              <w:rPr>
                <w:color w:val="000000"/>
                <w:sz w:val="18"/>
                <w:szCs w:val="18"/>
              </w:rPr>
            </w:pPr>
          </w:p>
        </w:tc>
        <w:tc>
          <w:tcPr>
            <w:tcW w:w="1536" w:type="dxa"/>
            <w:vAlign w:val="center"/>
          </w:tcPr>
          <w:p w14:paraId="59AD4FB1" w14:textId="77777777" w:rsidR="00D97E7C" w:rsidRDefault="00D97E7C" w:rsidP="00D97E7C">
            <w:pPr>
              <w:rPr>
                <w:color w:val="000000"/>
                <w:sz w:val="18"/>
                <w:szCs w:val="18"/>
              </w:rPr>
            </w:pPr>
            <w:r>
              <w:rPr>
                <w:color w:val="000000"/>
                <w:sz w:val="18"/>
                <w:szCs w:val="18"/>
              </w:rPr>
              <w:t>Huguet N., 2019, Report No 18.CM.18-135</w:t>
            </w:r>
          </w:p>
          <w:p w14:paraId="68D7196E" w14:textId="77777777" w:rsidR="00D97E7C" w:rsidRDefault="00D97E7C" w:rsidP="00D97E7C">
            <w:pPr>
              <w:rPr>
                <w:color w:val="000000"/>
                <w:sz w:val="18"/>
                <w:szCs w:val="18"/>
              </w:rPr>
            </w:pPr>
          </w:p>
          <w:p w14:paraId="1EF792E4" w14:textId="77777777" w:rsidR="00D97E7C" w:rsidRPr="00FD2055" w:rsidRDefault="00D97E7C" w:rsidP="00D97E7C">
            <w:pPr>
              <w:rPr>
                <w:i/>
                <w:color w:val="000000"/>
                <w:sz w:val="18"/>
                <w:szCs w:val="18"/>
              </w:rPr>
            </w:pPr>
            <w:r>
              <w:rPr>
                <w:color w:val="000000"/>
                <w:sz w:val="18"/>
                <w:szCs w:val="18"/>
              </w:rPr>
              <w:t>RI=1</w:t>
            </w:r>
          </w:p>
        </w:tc>
      </w:tr>
      <w:tr w:rsidR="00D97E7C" w14:paraId="5A5AAEBC" w14:textId="77777777" w:rsidTr="00BA57DA">
        <w:trPr>
          <w:cantSplit/>
          <w:jc w:val="center"/>
        </w:trPr>
        <w:tc>
          <w:tcPr>
            <w:tcW w:w="0" w:type="auto"/>
            <w:vAlign w:val="center"/>
          </w:tcPr>
          <w:p w14:paraId="750B0C55" w14:textId="77777777" w:rsidR="00D97E7C" w:rsidRPr="00FD2055" w:rsidRDefault="00D97E7C" w:rsidP="00D97E7C">
            <w:pPr>
              <w:rPr>
                <w:i/>
                <w:color w:val="000000"/>
                <w:sz w:val="18"/>
                <w:szCs w:val="18"/>
              </w:rPr>
            </w:pPr>
            <w:r>
              <w:rPr>
                <w:color w:val="000000"/>
                <w:sz w:val="18"/>
                <w:szCs w:val="18"/>
              </w:rPr>
              <w:t>Disinfectant, bactericidal activity</w:t>
            </w:r>
          </w:p>
        </w:tc>
        <w:tc>
          <w:tcPr>
            <w:tcW w:w="1825" w:type="dxa"/>
            <w:vAlign w:val="center"/>
          </w:tcPr>
          <w:p w14:paraId="43E51616"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468D118C" w14:textId="77777777" w:rsidR="00D97E7C" w:rsidRDefault="00D97E7C" w:rsidP="00D97E7C">
            <w:pPr>
              <w:rPr>
                <w:color w:val="000000"/>
                <w:sz w:val="18"/>
                <w:szCs w:val="18"/>
              </w:rPr>
            </w:pPr>
            <w:r>
              <w:rPr>
                <w:color w:val="000000"/>
                <w:sz w:val="18"/>
                <w:szCs w:val="18"/>
              </w:rPr>
              <w:t>AL-S6-1-0</w:t>
            </w:r>
          </w:p>
          <w:p w14:paraId="2CE7139C" w14:textId="06D86E80"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37E802CB" w14:textId="77777777" w:rsidR="00D97E7C" w:rsidRPr="00E12B02" w:rsidRDefault="00D97E7C" w:rsidP="00D97E7C">
            <w:pPr>
              <w:rPr>
                <w:i/>
                <w:color w:val="000000"/>
                <w:sz w:val="18"/>
                <w:szCs w:val="18"/>
                <w:lang w:val="fr-FR"/>
              </w:rPr>
            </w:pPr>
            <w:r w:rsidRPr="00E12B02">
              <w:rPr>
                <w:i/>
                <w:color w:val="000000"/>
                <w:sz w:val="18"/>
                <w:szCs w:val="18"/>
                <w:lang w:val="fr-FR"/>
              </w:rPr>
              <w:t>Pseudomonas aeruginosa</w:t>
            </w:r>
            <w:r w:rsidRPr="00E12B02">
              <w:rPr>
                <w:color w:val="000000"/>
                <w:sz w:val="18"/>
                <w:szCs w:val="18"/>
                <w:lang w:val="fr-FR"/>
              </w:rPr>
              <w:br/>
            </w:r>
            <w:r w:rsidRPr="00E12B02">
              <w:rPr>
                <w:i/>
                <w:color w:val="000000"/>
                <w:sz w:val="18"/>
                <w:szCs w:val="18"/>
                <w:lang w:val="fr-FR"/>
              </w:rPr>
              <w:t>Staphylococcus aureus</w:t>
            </w:r>
            <w:r w:rsidRPr="00E12B02">
              <w:rPr>
                <w:color w:val="000000"/>
                <w:sz w:val="18"/>
                <w:szCs w:val="18"/>
                <w:lang w:val="fr-FR"/>
              </w:rPr>
              <w:t xml:space="preserve"> </w:t>
            </w:r>
            <w:r w:rsidRPr="00E12B02">
              <w:rPr>
                <w:color w:val="000000"/>
                <w:sz w:val="18"/>
                <w:szCs w:val="18"/>
                <w:lang w:val="fr-FR"/>
              </w:rPr>
              <w:br/>
            </w:r>
            <w:r w:rsidRPr="00E12B02">
              <w:rPr>
                <w:i/>
                <w:color w:val="000000"/>
                <w:sz w:val="18"/>
                <w:szCs w:val="18"/>
                <w:lang w:val="fr-FR"/>
              </w:rPr>
              <w:t>Enterococcus hirae</w:t>
            </w:r>
            <w:r w:rsidRPr="00E12B02">
              <w:rPr>
                <w:color w:val="000000"/>
                <w:sz w:val="18"/>
                <w:szCs w:val="18"/>
                <w:lang w:val="fr-FR"/>
              </w:rPr>
              <w:t xml:space="preserve"> </w:t>
            </w:r>
          </w:p>
        </w:tc>
        <w:tc>
          <w:tcPr>
            <w:tcW w:w="0" w:type="auto"/>
            <w:vAlign w:val="center"/>
          </w:tcPr>
          <w:p w14:paraId="5ABFE549" w14:textId="77777777" w:rsidR="00D97E7C" w:rsidRPr="00FD2055" w:rsidRDefault="00D97E7C" w:rsidP="00D97E7C">
            <w:pPr>
              <w:rPr>
                <w:color w:val="000000"/>
                <w:sz w:val="18"/>
                <w:szCs w:val="18"/>
              </w:rPr>
            </w:pPr>
            <w:r>
              <w:rPr>
                <w:color w:val="000000"/>
                <w:sz w:val="18"/>
                <w:szCs w:val="18"/>
              </w:rPr>
              <w:t>NF EN 13727 (2012) + A2 (December 2015)</w:t>
            </w:r>
          </w:p>
        </w:tc>
        <w:tc>
          <w:tcPr>
            <w:tcW w:w="3103" w:type="dxa"/>
            <w:vAlign w:val="center"/>
          </w:tcPr>
          <w:p w14:paraId="0ECBFC90" w14:textId="058A054D" w:rsidR="00D97E7C" w:rsidRDefault="00D97E7C" w:rsidP="00D97E7C">
            <w:pPr>
              <w:rPr>
                <w:color w:val="000000"/>
                <w:sz w:val="18"/>
                <w:szCs w:val="18"/>
              </w:rPr>
            </w:pPr>
            <w:r>
              <w:rPr>
                <w:color w:val="000000"/>
                <w:sz w:val="18"/>
                <w:szCs w:val="18"/>
              </w:rPr>
              <w:t>Phase 2 step 2 (surface test)</w:t>
            </w:r>
          </w:p>
          <w:p w14:paraId="42A4C806" w14:textId="3944F082" w:rsidR="00D97E7C" w:rsidRDefault="00D97E7C" w:rsidP="00D97E7C">
            <w:pPr>
              <w:rPr>
                <w:color w:val="000000"/>
                <w:sz w:val="18"/>
                <w:szCs w:val="18"/>
              </w:rPr>
            </w:pPr>
            <w:r>
              <w:rPr>
                <w:color w:val="000000"/>
                <w:sz w:val="18"/>
                <w:szCs w:val="18"/>
              </w:rPr>
              <w:t xml:space="preserve">Concentrations of product tested (v/v): 0.5%, 1%, 2%, 3%. </w:t>
            </w:r>
          </w:p>
          <w:p w14:paraId="469A725C" w14:textId="77777777" w:rsidR="00D97E7C" w:rsidRDefault="00D97E7C" w:rsidP="00D97E7C">
            <w:pPr>
              <w:rPr>
                <w:color w:val="000000"/>
                <w:sz w:val="18"/>
                <w:szCs w:val="18"/>
              </w:rPr>
            </w:pPr>
            <w:r>
              <w:rPr>
                <w:color w:val="000000"/>
                <w:sz w:val="18"/>
                <w:szCs w:val="18"/>
              </w:rPr>
              <w:t xml:space="preserve">Contact time: 5 minutes </w:t>
            </w:r>
          </w:p>
          <w:p w14:paraId="2E2207A5" w14:textId="77777777" w:rsidR="00D97E7C" w:rsidRDefault="00D97E7C" w:rsidP="00D97E7C">
            <w:pPr>
              <w:rPr>
                <w:color w:val="000000"/>
                <w:sz w:val="18"/>
                <w:szCs w:val="18"/>
              </w:rPr>
            </w:pPr>
            <w:r>
              <w:rPr>
                <w:color w:val="000000"/>
                <w:sz w:val="18"/>
                <w:szCs w:val="18"/>
              </w:rPr>
              <w:t>Temperature: 20°C</w:t>
            </w:r>
          </w:p>
          <w:p w14:paraId="6A8BFEB5" w14:textId="77777777" w:rsidR="00D97E7C" w:rsidRDefault="00D97E7C" w:rsidP="00D97E7C">
            <w:pPr>
              <w:rPr>
                <w:color w:val="000000"/>
                <w:sz w:val="18"/>
                <w:szCs w:val="18"/>
              </w:rPr>
            </w:pPr>
            <w:r>
              <w:rPr>
                <w:color w:val="000000"/>
                <w:sz w:val="18"/>
                <w:szCs w:val="18"/>
              </w:rPr>
              <w:t>Dirty conditions: 3 g/L BSA + 3ml/l sheep erythrocytes</w:t>
            </w:r>
          </w:p>
          <w:p w14:paraId="17B767AF" w14:textId="77777777" w:rsidR="00D97E7C" w:rsidRPr="00FD2055" w:rsidRDefault="00D97E7C" w:rsidP="00D97E7C">
            <w:pPr>
              <w:rPr>
                <w:color w:val="000000"/>
                <w:sz w:val="18"/>
                <w:szCs w:val="18"/>
              </w:rPr>
            </w:pPr>
            <w:r>
              <w:rPr>
                <w:color w:val="000000"/>
                <w:sz w:val="18"/>
                <w:szCs w:val="18"/>
              </w:rPr>
              <w:t>Criteria: ≥ 5 log unit reduction</w:t>
            </w:r>
          </w:p>
        </w:tc>
        <w:tc>
          <w:tcPr>
            <w:tcW w:w="1701" w:type="dxa"/>
            <w:vAlign w:val="center"/>
          </w:tcPr>
          <w:p w14:paraId="721156B3" w14:textId="77777777" w:rsidR="00D97E7C" w:rsidRDefault="00D97E7C" w:rsidP="00D97E7C">
            <w:pPr>
              <w:rPr>
                <w:color w:val="000000"/>
                <w:sz w:val="18"/>
                <w:szCs w:val="18"/>
              </w:rPr>
            </w:pPr>
          </w:p>
          <w:p w14:paraId="1E37FEBA" w14:textId="77777777" w:rsidR="00D97E7C" w:rsidRDefault="00D97E7C" w:rsidP="00D97E7C">
            <w:pPr>
              <w:snapToGrid w:val="0"/>
              <w:rPr>
                <w:color w:val="000000"/>
                <w:sz w:val="18"/>
                <w:szCs w:val="18"/>
              </w:rPr>
            </w:pPr>
            <w:r>
              <w:rPr>
                <w:color w:val="000000"/>
                <w:sz w:val="18"/>
                <w:szCs w:val="18"/>
              </w:rPr>
              <w:t>Bactericidal activity demonstrated at 3% v/v.</w:t>
            </w:r>
          </w:p>
          <w:p w14:paraId="6533D60C" w14:textId="58468F93" w:rsidR="00D97E7C" w:rsidRPr="00FD2055" w:rsidRDefault="00D97E7C" w:rsidP="00D97E7C">
            <w:pPr>
              <w:rPr>
                <w:color w:val="000000"/>
                <w:sz w:val="18"/>
                <w:szCs w:val="18"/>
              </w:rPr>
            </w:pPr>
          </w:p>
        </w:tc>
        <w:tc>
          <w:tcPr>
            <w:tcW w:w="1536" w:type="dxa"/>
            <w:vAlign w:val="center"/>
          </w:tcPr>
          <w:p w14:paraId="10A77835" w14:textId="77777777" w:rsidR="00D97E7C" w:rsidRDefault="00D97E7C" w:rsidP="00D97E7C">
            <w:pPr>
              <w:rPr>
                <w:color w:val="000000"/>
                <w:sz w:val="18"/>
                <w:szCs w:val="18"/>
              </w:rPr>
            </w:pPr>
            <w:r>
              <w:rPr>
                <w:color w:val="000000"/>
                <w:sz w:val="18"/>
                <w:szCs w:val="18"/>
              </w:rPr>
              <w:t>Huguet N., 2018, Report No 18.CM.18-140</w:t>
            </w:r>
          </w:p>
          <w:p w14:paraId="03BB47AC" w14:textId="77777777" w:rsidR="00D97E7C" w:rsidRDefault="00D97E7C" w:rsidP="00D97E7C">
            <w:pPr>
              <w:rPr>
                <w:color w:val="000000"/>
                <w:sz w:val="18"/>
                <w:szCs w:val="18"/>
              </w:rPr>
            </w:pPr>
          </w:p>
          <w:p w14:paraId="42B950B9" w14:textId="77777777" w:rsidR="00D97E7C" w:rsidRPr="00FD2055" w:rsidRDefault="00D97E7C" w:rsidP="00D97E7C">
            <w:pPr>
              <w:rPr>
                <w:i/>
                <w:color w:val="000000"/>
                <w:sz w:val="18"/>
                <w:szCs w:val="18"/>
              </w:rPr>
            </w:pPr>
            <w:r>
              <w:rPr>
                <w:color w:val="000000"/>
                <w:sz w:val="18"/>
                <w:szCs w:val="18"/>
              </w:rPr>
              <w:t>RI=1</w:t>
            </w:r>
          </w:p>
        </w:tc>
      </w:tr>
      <w:tr w:rsidR="00D97E7C" w14:paraId="111E1FB0" w14:textId="77777777" w:rsidTr="00BA57DA">
        <w:trPr>
          <w:cantSplit/>
          <w:jc w:val="center"/>
        </w:trPr>
        <w:tc>
          <w:tcPr>
            <w:tcW w:w="0" w:type="auto"/>
            <w:vAlign w:val="center"/>
          </w:tcPr>
          <w:p w14:paraId="63EE40DB" w14:textId="77777777" w:rsidR="00D97E7C" w:rsidRPr="00FD2055" w:rsidRDefault="00D97E7C" w:rsidP="00D97E7C">
            <w:pPr>
              <w:rPr>
                <w:i/>
                <w:color w:val="000000"/>
                <w:sz w:val="18"/>
                <w:szCs w:val="18"/>
              </w:rPr>
            </w:pPr>
            <w:r>
              <w:rPr>
                <w:color w:val="000000"/>
                <w:sz w:val="18"/>
                <w:szCs w:val="18"/>
              </w:rPr>
              <w:t>Disinfectant, bactericidal and yeasticidal activities</w:t>
            </w:r>
          </w:p>
        </w:tc>
        <w:tc>
          <w:tcPr>
            <w:tcW w:w="1825" w:type="dxa"/>
            <w:vAlign w:val="center"/>
          </w:tcPr>
          <w:p w14:paraId="463AF43D"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5EB8AA77" w14:textId="77777777" w:rsidR="00D97E7C" w:rsidRDefault="00D97E7C" w:rsidP="00D97E7C">
            <w:pPr>
              <w:rPr>
                <w:color w:val="000000"/>
                <w:sz w:val="18"/>
                <w:szCs w:val="18"/>
              </w:rPr>
            </w:pPr>
            <w:r>
              <w:rPr>
                <w:color w:val="000000"/>
                <w:sz w:val="18"/>
                <w:szCs w:val="18"/>
              </w:rPr>
              <w:t>AL-S6-1-0</w:t>
            </w:r>
          </w:p>
          <w:p w14:paraId="6D707D0E" w14:textId="243CB5E4"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0F7A7C86" w14:textId="77777777" w:rsidR="00D97E7C" w:rsidRPr="00AF1A0E" w:rsidRDefault="00D97E7C" w:rsidP="00D97E7C">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Staphylococcus aureus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r w:rsidRPr="00AF1A0E">
              <w:rPr>
                <w:color w:val="000000"/>
                <w:sz w:val="18"/>
                <w:szCs w:val="18"/>
                <w:lang w:val="fr-FR"/>
              </w:rPr>
              <w:br/>
            </w:r>
            <w:r w:rsidRPr="00AF1A0E">
              <w:rPr>
                <w:color w:val="000000"/>
                <w:sz w:val="18"/>
                <w:szCs w:val="18"/>
                <w:lang w:val="fr-FR"/>
              </w:rPr>
              <w:br/>
            </w:r>
            <w:r w:rsidRPr="00AF1A0E">
              <w:rPr>
                <w:i/>
                <w:color w:val="000000"/>
                <w:sz w:val="18"/>
                <w:szCs w:val="18"/>
                <w:lang w:val="fr-FR"/>
              </w:rPr>
              <w:t>Candida albicans</w:t>
            </w:r>
            <w:r w:rsidRPr="00AF1A0E">
              <w:rPr>
                <w:color w:val="000000"/>
                <w:sz w:val="18"/>
                <w:szCs w:val="18"/>
                <w:lang w:val="fr-FR"/>
              </w:rPr>
              <w:t xml:space="preserve"> </w:t>
            </w:r>
          </w:p>
        </w:tc>
        <w:tc>
          <w:tcPr>
            <w:tcW w:w="0" w:type="auto"/>
            <w:vAlign w:val="center"/>
          </w:tcPr>
          <w:p w14:paraId="6907CCA9" w14:textId="77777777" w:rsidR="00D97E7C" w:rsidRPr="00FD2055" w:rsidRDefault="00D97E7C" w:rsidP="00D97E7C">
            <w:pPr>
              <w:rPr>
                <w:color w:val="000000"/>
                <w:sz w:val="18"/>
                <w:szCs w:val="18"/>
              </w:rPr>
            </w:pPr>
            <w:r>
              <w:rPr>
                <w:color w:val="000000"/>
                <w:sz w:val="18"/>
                <w:szCs w:val="18"/>
              </w:rPr>
              <w:t>NF EN 16615 (2015)</w:t>
            </w:r>
          </w:p>
        </w:tc>
        <w:tc>
          <w:tcPr>
            <w:tcW w:w="3103" w:type="dxa"/>
            <w:vAlign w:val="center"/>
          </w:tcPr>
          <w:p w14:paraId="6B436122" w14:textId="74D77C6F" w:rsidR="00D97E7C" w:rsidRDefault="00D97E7C" w:rsidP="00D97E7C">
            <w:pPr>
              <w:rPr>
                <w:color w:val="000000"/>
                <w:sz w:val="18"/>
                <w:szCs w:val="18"/>
              </w:rPr>
            </w:pPr>
            <w:r>
              <w:rPr>
                <w:color w:val="000000"/>
                <w:sz w:val="18"/>
                <w:szCs w:val="18"/>
              </w:rPr>
              <w:t>Phase 2 step 2 (surface test)</w:t>
            </w:r>
          </w:p>
          <w:p w14:paraId="12F24B38" w14:textId="77777777" w:rsidR="00D97E7C" w:rsidRDefault="00D97E7C" w:rsidP="00D97E7C">
            <w:pPr>
              <w:rPr>
                <w:color w:val="000000"/>
                <w:sz w:val="18"/>
                <w:szCs w:val="18"/>
              </w:rPr>
            </w:pPr>
            <w:r>
              <w:rPr>
                <w:color w:val="000000"/>
                <w:sz w:val="18"/>
                <w:szCs w:val="18"/>
              </w:rPr>
              <w:t>Concentrations of product tested (v/v): 10% and 1%</w:t>
            </w:r>
          </w:p>
          <w:p w14:paraId="743C4C2D" w14:textId="7BE08E09" w:rsidR="00D97E7C" w:rsidRDefault="00D97E7C" w:rsidP="00D97E7C">
            <w:pPr>
              <w:rPr>
                <w:color w:val="000000"/>
                <w:sz w:val="18"/>
                <w:szCs w:val="18"/>
              </w:rPr>
            </w:pPr>
            <w:r>
              <w:rPr>
                <w:color w:val="000000"/>
                <w:sz w:val="18"/>
                <w:szCs w:val="18"/>
              </w:rPr>
              <w:t xml:space="preserve">Contact time: 5 minutes </w:t>
            </w:r>
          </w:p>
          <w:p w14:paraId="48435A53" w14:textId="77777777" w:rsidR="00D97E7C" w:rsidRDefault="00D97E7C" w:rsidP="00D97E7C">
            <w:pPr>
              <w:rPr>
                <w:color w:val="000000"/>
                <w:sz w:val="18"/>
                <w:szCs w:val="18"/>
              </w:rPr>
            </w:pPr>
            <w:r>
              <w:rPr>
                <w:color w:val="000000"/>
                <w:sz w:val="18"/>
                <w:szCs w:val="18"/>
              </w:rPr>
              <w:t>Temperature: 20°C</w:t>
            </w:r>
          </w:p>
          <w:p w14:paraId="5AED0548" w14:textId="77777777" w:rsidR="00D97E7C" w:rsidRDefault="00D97E7C" w:rsidP="00D97E7C">
            <w:pPr>
              <w:rPr>
                <w:color w:val="000000"/>
                <w:sz w:val="18"/>
                <w:szCs w:val="18"/>
              </w:rPr>
            </w:pPr>
            <w:r>
              <w:rPr>
                <w:color w:val="000000"/>
                <w:sz w:val="18"/>
                <w:szCs w:val="18"/>
              </w:rPr>
              <w:t>Dirty conditions: 3 g/L BSA + 3ml/l sheep erythrocytes</w:t>
            </w:r>
          </w:p>
          <w:p w14:paraId="51F080E8" w14:textId="77777777" w:rsidR="00D97E7C" w:rsidRPr="00FD2055" w:rsidRDefault="00D97E7C" w:rsidP="00D97E7C">
            <w:pPr>
              <w:rPr>
                <w:color w:val="000000"/>
                <w:sz w:val="18"/>
                <w:szCs w:val="18"/>
              </w:rPr>
            </w:pPr>
            <w:r>
              <w:rPr>
                <w:color w:val="000000"/>
                <w:sz w:val="18"/>
                <w:szCs w:val="18"/>
              </w:rPr>
              <w:t>Criteria: ≥ 5 log unit reduction for bacteria and 4 log for yeast.</w:t>
            </w:r>
          </w:p>
        </w:tc>
        <w:tc>
          <w:tcPr>
            <w:tcW w:w="1701" w:type="dxa"/>
            <w:vAlign w:val="center"/>
          </w:tcPr>
          <w:p w14:paraId="128E37C0" w14:textId="77777777" w:rsidR="00D97E7C" w:rsidRDefault="00D97E7C" w:rsidP="00D97E7C">
            <w:pPr>
              <w:snapToGrid w:val="0"/>
              <w:rPr>
                <w:color w:val="000000"/>
                <w:sz w:val="18"/>
                <w:szCs w:val="18"/>
              </w:rPr>
            </w:pPr>
            <w:r>
              <w:rPr>
                <w:color w:val="000000"/>
                <w:sz w:val="18"/>
                <w:szCs w:val="18"/>
              </w:rPr>
              <w:t>Bactericidal and yeasticidal activities demonstrated at 10% v/v.</w:t>
            </w:r>
          </w:p>
          <w:p w14:paraId="39D98CD2" w14:textId="77777777" w:rsidR="00D97E7C" w:rsidRDefault="00D97E7C" w:rsidP="00D97E7C">
            <w:pPr>
              <w:rPr>
                <w:color w:val="000000"/>
                <w:sz w:val="18"/>
                <w:szCs w:val="18"/>
              </w:rPr>
            </w:pPr>
          </w:p>
          <w:p w14:paraId="69FC2FA0" w14:textId="77777777" w:rsidR="00D97E7C" w:rsidRDefault="00D97E7C" w:rsidP="00D97E7C">
            <w:pPr>
              <w:rPr>
                <w:color w:val="000000"/>
                <w:sz w:val="18"/>
                <w:szCs w:val="18"/>
              </w:rPr>
            </w:pPr>
          </w:p>
          <w:p w14:paraId="0ABBF714" w14:textId="77777777" w:rsidR="00D97E7C" w:rsidRPr="00FD2055" w:rsidRDefault="00D97E7C" w:rsidP="00D97E7C">
            <w:pPr>
              <w:rPr>
                <w:color w:val="000000"/>
                <w:sz w:val="18"/>
                <w:szCs w:val="18"/>
              </w:rPr>
            </w:pPr>
          </w:p>
        </w:tc>
        <w:tc>
          <w:tcPr>
            <w:tcW w:w="1536" w:type="dxa"/>
            <w:vAlign w:val="center"/>
          </w:tcPr>
          <w:p w14:paraId="68026798" w14:textId="77777777" w:rsidR="00D97E7C" w:rsidRDefault="00D97E7C" w:rsidP="00D97E7C">
            <w:pPr>
              <w:rPr>
                <w:color w:val="000000"/>
                <w:sz w:val="18"/>
                <w:szCs w:val="18"/>
              </w:rPr>
            </w:pPr>
            <w:r>
              <w:rPr>
                <w:color w:val="000000"/>
                <w:sz w:val="18"/>
                <w:szCs w:val="18"/>
              </w:rPr>
              <w:t>Lemaitre P., 2018, Report No RE18-643-1</w:t>
            </w:r>
          </w:p>
          <w:p w14:paraId="3F4D2E4D" w14:textId="77777777" w:rsidR="00D97E7C" w:rsidRDefault="00D97E7C" w:rsidP="00D97E7C">
            <w:pPr>
              <w:rPr>
                <w:color w:val="000000"/>
                <w:sz w:val="18"/>
                <w:szCs w:val="18"/>
              </w:rPr>
            </w:pPr>
          </w:p>
          <w:p w14:paraId="0EF61206" w14:textId="77777777" w:rsidR="00D97E7C" w:rsidRPr="00FD2055" w:rsidRDefault="00D97E7C" w:rsidP="00D97E7C">
            <w:pPr>
              <w:rPr>
                <w:i/>
                <w:color w:val="000000"/>
                <w:sz w:val="18"/>
                <w:szCs w:val="18"/>
              </w:rPr>
            </w:pPr>
            <w:r>
              <w:rPr>
                <w:color w:val="000000"/>
                <w:sz w:val="18"/>
                <w:szCs w:val="18"/>
              </w:rPr>
              <w:t>RI=1</w:t>
            </w:r>
          </w:p>
        </w:tc>
      </w:tr>
      <w:tr w:rsidR="00D97E7C" w14:paraId="5E02AE94" w14:textId="77777777" w:rsidTr="00BA57DA">
        <w:trPr>
          <w:cantSplit/>
          <w:jc w:val="center"/>
        </w:trPr>
        <w:tc>
          <w:tcPr>
            <w:tcW w:w="0" w:type="auto"/>
            <w:vAlign w:val="center"/>
          </w:tcPr>
          <w:p w14:paraId="4BB25C8F" w14:textId="77777777" w:rsidR="00D97E7C" w:rsidRPr="00FD2055" w:rsidRDefault="00D97E7C" w:rsidP="00D97E7C">
            <w:pPr>
              <w:rPr>
                <w:i/>
                <w:color w:val="000000"/>
                <w:sz w:val="18"/>
                <w:szCs w:val="18"/>
              </w:rPr>
            </w:pPr>
            <w:r>
              <w:rPr>
                <w:color w:val="000000"/>
                <w:sz w:val="18"/>
                <w:szCs w:val="18"/>
              </w:rPr>
              <w:lastRenderedPageBreak/>
              <w:t>Disinfectant, bactericidal activity</w:t>
            </w:r>
          </w:p>
        </w:tc>
        <w:tc>
          <w:tcPr>
            <w:tcW w:w="1825" w:type="dxa"/>
            <w:vAlign w:val="center"/>
          </w:tcPr>
          <w:p w14:paraId="1495A794"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4C4A9322" w14:textId="77777777" w:rsidR="00D97E7C" w:rsidRDefault="00D97E7C" w:rsidP="00D97E7C">
            <w:pPr>
              <w:rPr>
                <w:color w:val="000000"/>
                <w:sz w:val="18"/>
                <w:szCs w:val="18"/>
              </w:rPr>
            </w:pPr>
            <w:r>
              <w:rPr>
                <w:color w:val="000000"/>
                <w:sz w:val="18"/>
                <w:szCs w:val="18"/>
              </w:rPr>
              <w:t>AL-S6-1-0</w:t>
            </w:r>
          </w:p>
          <w:p w14:paraId="63FB6C4C" w14:textId="4C1F8852"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3F767D7F" w14:textId="77777777" w:rsidR="00D97E7C" w:rsidRPr="00D016EC" w:rsidRDefault="00D97E7C" w:rsidP="00D97E7C">
            <w:pPr>
              <w:rPr>
                <w:i/>
                <w:color w:val="000000"/>
                <w:sz w:val="18"/>
                <w:szCs w:val="18"/>
                <w:lang w:val="fr-FR"/>
              </w:rPr>
            </w:pPr>
            <w:r w:rsidRPr="00D016EC">
              <w:rPr>
                <w:i/>
                <w:color w:val="000000"/>
                <w:sz w:val="18"/>
                <w:szCs w:val="18"/>
                <w:lang w:val="fr-FR"/>
              </w:rPr>
              <w:t>Staphylococcus</w:t>
            </w:r>
            <w:r w:rsidRPr="0060536D">
              <w:rPr>
                <w:i/>
                <w:color w:val="000000"/>
                <w:sz w:val="18"/>
                <w:szCs w:val="18"/>
                <w:lang w:val="fr-FR"/>
              </w:rPr>
              <w:t xml:space="preserve"> aureus</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0" w:type="auto"/>
            <w:vAlign w:val="center"/>
          </w:tcPr>
          <w:p w14:paraId="3FB93B77" w14:textId="77777777" w:rsidR="00D97E7C" w:rsidRPr="00FD2055" w:rsidRDefault="00D97E7C" w:rsidP="00D97E7C">
            <w:pPr>
              <w:rPr>
                <w:color w:val="000000"/>
                <w:sz w:val="18"/>
                <w:szCs w:val="18"/>
              </w:rPr>
            </w:pPr>
            <w:r>
              <w:rPr>
                <w:color w:val="000000"/>
                <w:sz w:val="18"/>
                <w:szCs w:val="18"/>
              </w:rPr>
              <w:t>NF EN 13697 (June 2015)</w:t>
            </w:r>
          </w:p>
        </w:tc>
        <w:tc>
          <w:tcPr>
            <w:tcW w:w="3103" w:type="dxa"/>
            <w:vAlign w:val="center"/>
          </w:tcPr>
          <w:p w14:paraId="402B2543" w14:textId="257F2500" w:rsidR="00D97E7C" w:rsidRDefault="00D97E7C" w:rsidP="00D97E7C">
            <w:pPr>
              <w:rPr>
                <w:color w:val="000000"/>
                <w:sz w:val="18"/>
                <w:szCs w:val="18"/>
              </w:rPr>
            </w:pPr>
            <w:r>
              <w:rPr>
                <w:color w:val="000000"/>
                <w:sz w:val="18"/>
                <w:szCs w:val="18"/>
              </w:rPr>
              <w:t>Phase 2 step 2 (surface</w:t>
            </w:r>
            <w:r w:rsidR="00E61B76">
              <w:rPr>
                <w:color w:val="000000"/>
                <w:sz w:val="18"/>
                <w:szCs w:val="18"/>
              </w:rPr>
              <w:t xml:space="preserve"> </w:t>
            </w:r>
            <w:r>
              <w:rPr>
                <w:color w:val="000000"/>
                <w:sz w:val="18"/>
                <w:szCs w:val="18"/>
              </w:rPr>
              <w:t>test)</w:t>
            </w:r>
          </w:p>
          <w:p w14:paraId="52415DCB" w14:textId="3E2E0242" w:rsidR="00D97E7C" w:rsidRDefault="00D97E7C" w:rsidP="00D97E7C">
            <w:pPr>
              <w:rPr>
                <w:color w:val="000000"/>
                <w:sz w:val="18"/>
                <w:szCs w:val="18"/>
              </w:rPr>
            </w:pPr>
            <w:r>
              <w:rPr>
                <w:color w:val="000000"/>
                <w:sz w:val="18"/>
                <w:szCs w:val="18"/>
              </w:rPr>
              <w:t>Concentrations of product tested (v/v</w:t>
            </w:r>
            <w:r w:rsidR="009027DD">
              <w:rPr>
                <w:color w:val="000000"/>
                <w:sz w:val="18"/>
                <w:szCs w:val="18"/>
              </w:rPr>
              <w:t>):</w:t>
            </w:r>
            <w:r>
              <w:rPr>
                <w:color w:val="000000"/>
                <w:sz w:val="18"/>
                <w:szCs w:val="18"/>
              </w:rPr>
              <w:t xml:space="preserve"> 2% - 4% and 8%. </w:t>
            </w:r>
          </w:p>
          <w:p w14:paraId="30B82883" w14:textId="77777777" w:rsidR="00D97E7C" w:rsidRDefault="00D97E7C" w:rsidP="00D97E7C">
            <w:pPr>
              <w:rPr>
                <w:color w:val="000000"/>
                <w:sz w:val="18"/>
                <w:szCs w:val="18"/>
              </w:rPr>
            </w:pPr>
            <w:r>
              <w:rPr>
                <w:color w:val="000000"/>
                <w:sz w:val="18"/>
                <w:szCs w:val="18"/>
              </w:rPr>
              <w:t xml:space="preserve">Contact time: 5 minutes </w:t>
            </w:r>
          </w:p>
          <w:p w14:paraId="23F6F56B" w14:textId="77777777" w:rsidR="00D97E7C" w:rsidRDefault="00D97E7C" w:rsidP="00D97E7C">
            <w:pPr>
              <w:rPr>
                <w:color w:val="000000"/>
                <w:sz w:val="18"/>
                <w:szCs w:val="18"/>
              </w:rPr>
            </w:pPr>
            <w:r>
              <w:rPr>
                <w:color w:val="000000"/>
                <w:sz w:val="18"/>
                <w:szCs w:val="18"/>
              </w:rPr>
              <w:t>Temperature: 20°C</w:t>
            </w:r>
          </w:p>
          <w:p w14:paraId="5431DCD1" w14:textId="77777777" w:rsidR="00D97E7C" w:rsidRDefault="00D97E7C" w:rsidP="00D97E7C">
            <w:pPr>
              <w:rPr>
                <w:color w:val="000000"/>
                <w:sz w:val="18"/>
                <w:szCs w:val="18"/>
              </w:rPr>
            </w:pPr>
            <w:r>
              <w:rPr>
                <w:color w:val="000000"/>
                <w:sz w:val="18"/>
                <w:szCs w:val="18"/>
              </w:rPr>
              <w:t>Dirty conditions: 3 g/L BSA + 3ml/l sheep erythrocytes</w:t>
            </w:r>
          </w:p>
          <w:p w14:paraId="17F11AB1"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1799A6D6" w14:textId="77777777" w:rsidR="00D97E7C" w:rsidRDefault="00D97E7C" w:rsidP="00D97E7C">
            <w:pPr>
              <w:snapToGrid w:val="0"/>
              <w:rPr>
                <w:color w:val="000000"/>
                <w:sz w:val="18"/>
                <w:szCs w:val="18"/>
              </w:rPr>
            </w:pPr>
            <w:r>
              <w:rPr>
                <w:color w:val="000000"/>
                <w:sz w:val="18"/>
                <w:szCs w:val="18"/>
              </w:rPr>
              <w:t>Bactericidal activity demonstrated at 4% v/v.</w:t>
            </w:r>
          </w:p>
          <w:p w14:paraId="7CA20B7F" w14:textId="77777777" w:rsidR="00D97E7C" w:rsidRDefault="00D97E7C" w:rsidP="00D97E7C">
            <w:pPr>
              <w:rPr>
                <w:color w:val="000000"/>
                <w:sz w:val="18"/>
                <w:szCs w:val="18"/>
              </w:rPr>
            </w:pPr>
            <w:r>
              <w:rPr>
                <w:color w:val="000000"/>
                <w:sz w:val="18"/>
                <w:szCs w:val="18"/>
              </w:rPr>
              <w:t xml:space="preserve">  </w:t>
            </w:r>
          </w:p>
          <w:p w14:paraId="6FA00A55" w14:textId="77777777" w:rsidR="00D97E7C" w:rsidRPr="00FD2055" w:rsidRDefault="00D97E7C" w:rsidP="00D97E7C">
            <w:pPr>
              <w:rPr>
                <w:color w:val="000000"/>
                <w:sz w:val="18"/>
                <w:szCs w:val="18"/>
              </w:rPr>
            </w:pPr>
          </w:p>
        </w:tc>
        <w:tc>
          <w:tcPr>
            <w:tcW w:w="1536" w:type="dxa"/>
            <w:vAlign w:val="center"/>
          </w:tcPr>
          <w:p w14:paraId="69B9612D" w14:textId="77777777" w:rsidR="00D97E7C" w:rsidRDefault="00D97E7C" w:rsidP="00D97E7C">
            <w:pPr>
              <w:rPr>
                <w:color w:val="000000"/>
                <w:sz w:val="18"/>
                <w:szCs w:val="18"/>
              </w:rPr>
            </w:pPr>
            <w:r>
              <w:rPr>
                <w:color w:val="000000"/>
                <w:sz w:val="18"/>
                <w:szCs w:val="18"/>
              </w:rPr>
              <w:t>Teulier M., 2018, Report No 5147-1</w:t>
            </w:r>
          </w:p>
          <w:p w14:paraId="07D1F6C2" w14:textId="77777777" w:rsidR="00D97E7C" w:rsidRDefault="00D97E7C" w:rsidP="00D97E7C">
            <w:pPr>
              <w:rPr>
                <w:color w:val="000000"/>
                <w:sz w:val="18"/>
                <w:szCs w:val="18"/>
              </w:rPr>
            </w:pPr>
          </w:p>
          <w:p w14:paraId="1CF42A2C" w14:textId="77777777" w:rsidR="00D97E7C" w:rsidRPr="00FD2055" w:rsidRDefault="00D97E7C" w:rsidP="00D97E7C">
            <w:pPr>
              <w:rPr>
                <w:i/>
                <w:color w:val="000000"/>
                <w:sz w:val="18"/>
                <w:szCs w:val="18"/>
              </w:rPr>
            </w:pPr>
            <w:r>
              <w:rPr>
                <w:color w:val="000000"/>
                <w:sz w:val="18"/>
                <w:szCs w:val="18"/>
              </w:rPr>
              <w:t>RI=1</w:t>
            </w:r>
          </w:p>
        </w:tc>
      </w:tr>
      <w:tr w:rsidR="00D97E7C" w14:paraId="5CE7C549" w14:textId="77777777" w:rsidTr="00BA57DA">
        <w:trPr>
          <w:cantSplit/>
          <w:jc w:val="center"/>
        </w:trPr>
        <w:tc>
          <w:tcPr>
            <w:tcW w:w="0" w:type="auto"/>
            <w:vAlign w:val="center"/>
          </w:tcPr>
          <w:p w14:paraId="27F04061" w14:textId="77777777" w:rsidR="00D97E7C" w:rsidRPr="00FD2055" w:rsidRDefault="00D97E7C" w:rsidP="00D97E7C">
            <w:pPr>
              <w:rPr>
                <w:i/>
                <w:color w:val="000000"/>
                <w:sz w:val="18"/>
                <w:szCs w:val="18"/>
              </w:rPr>
            </w:pPr>
            <w:r>
              <w:rPr>
                <w:color w:val="000000"/>
                <w:sz w:val="18"/>
                <w:szCs w:val="18"/>
              </w:rPr>
              <w:t>Disinfectant, bactericidal activity</w:t>
            </w:r>
          </w:p>
        </w:tc>
        <w:tc>
          <w:tcPr>
            <w:tcW w:w="1825" w:type="dxa"/>
            <w:vAlign w:val="center"/>
          </w:tcPr>
          <w:p w14:paraId="46E29032"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7CC2A886" w14:textId="77777777" w:rsidR="00D97E7C" w:rsidRDefault="00D97E7C" w:rsidP="00D97E7C">
            <w:pPr>
              <w:rPr>
                <w:color w:val="000000"/>
                <w:sz w:val="18"/>
                <w:szCs w:val="18"/>
              </w:rPr>
            </w:pPr>
            <w:r>
              <w:rPr>
                <w:color w:val="000000"/>
                <w:sz w:val="18"/>
                <w:szCs w:val="18"/>
              </w:rPr>
              <w:t>AL-S6-1-0</w:t>
            </w:r>
          </w:p>
          <w:p w14:paraId="52C81F21" w14:textId="6667CC18"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625F17F7" w14:textId="77777777" w:rsidR="00D97E7C" w:rsidRPr="00FD2055" w:rsidRDefault="00D97E7C" w:rsidP="00D97E7C">
            <w:pPr>
              <w:rPr>
                <w:i/>
                <w:color w:val="000000"/>
                <w:sz w:val="18"/>
                <w:szCs w:val="18"/>
              </w:rPr>
            </w:pPr>
            <w:r w:rsidRPr="005D3939">
              <w:rPr>
                <w:i/>
                <w:color w:val="000000"/>
                <w:sz w:val="18"/>
                <w:szCs w:val="18"/>
              </w:rPr>
              <w:t xml:space="preserve">Salmonella </w:t>
            </w:r>
            <w:r w:rsidRPr="00E91F85">
              <w:rPr>
                <w:color w:val="000000"/>
                <w:sz w:val="18"/>
                <w:szCs w:val="18"/>
              </w:rPr>
              <w:t>Typhimurium</w:t>
            </w:r>
            <w:r>
              <w:rPr>
                <w:color w:val="000000"/>
                <w:sz w:val="18"/>
                <w:szCs w:val="18"/>
              </w:rPr>
              <w:t xml:space="preserve"> </w:t>
            </w:r>
            <w:r>
              <w:rPr>
                <w:color w:val="000000"/>
                <w:sz w:val="18"/>
                <w:szCs w:val="18"/>
              </w:rPr>
              <w:br/>
            </w:r>
            <w:r w:rsidRPr="005D3939">
              <w:rPr>
                <w:i/>
                <w:color w:val="000000"/>
                <w:sz w:val="18"/>
                <w:szCs w:val="18"/>
              </w:rPr>
              <w:t>Listeria monocytogenes</w:t>
            </w:r>
            <w:r>
              <w:rPr>
                <w:color w:val="000000"/>
                <w:sz w:val="18"/>
                <w:szCs w:val="18"/>
              </w:rPr>
              <w:t xml:space="preserve"> </w:t>
            </w:r>
          </w:p>
        </w:tc>
        <w:tc>
          <w:tcPr>
            <w:tcW w:w="0" w:type="auto"/>
            <w:vAlign w:val="center"/>
          </w:tcPr>
          <w:p w14:paraId="75275CE8" w14:textId="77777777" w:rsidR="00D97E7C" w:rsidRPr="00FD2055" w:rsidRDefault="00D97E7C" w:rsidP="00D97E7C">
            <w:pPr>
              <w:rPr>
                <w:color w:val="000000"/>
                <w:sz w:val="18"/>
                <w:szCs w:val="18"/>
              </w:rPr>
            </w:pPr>
            <w:r>
              <w:rPr>
                <w:color w:val="000000"/>
                <w:sz w:val="18"/>
                <w:szCs w:val="18"/>
              </w:rPr>
              <w:t>NF EN 13697 (June 2015)</w:t>
            </w:r>
          </w:p>
        </w:tc>
        <w:tc>
          <w:tcPr>
            <w:tcW w:w="3103" w:type="dxa"/>
            <w:vAlign w:val="center"/>
          </w:tcPr>
          <w:p w14:paraId="02242BFE" w14:textId="1AC63D04" w:rsidR="00D97E7C" w:rsidRDefault="00D97E7C" w:rsidP="00D97E7C">
            <w:pPr>
              <w:rPr>
                <w:color w:val="000000"/>
                <w:sz w:val="18"/>
                <w:szCs w:val="18"/>
              </w:rPr>
            </w:pPr>
            <w:r>
              <w:rPr>
                <w:color w:val="000000"/>
                <w:sz w:val="18"/>
                <w:szCs w:val="18"/>
              </w:rPr>
              <w:t>Phase 2 step 2 (surface</w:t>
            </w:r>
            <w:r w:rsidR="00E61B76">
              <w:rPr>
                <w:color w:val="000000"/>
                <w:sz w:val="18"/>
                <w:szCs w:val="18"/>
              </w:rPr>
              <w:t xml:space="preserve"> </w:t>
            </w:r>
            <w:r>
              <w:rPr>
                <w:color w:val="000000"/>
                <w:sz w:val="18"/>
                <w:szCs w:val="18"/>
              </w:rPr>
              <w:t>test)</w:t>
            </w:r>
          </w:p>
          <w:p w14:paraId="40B85E8E" w14:textId="699BE20F" w:rsidR="00D97E7C" w:rsidRDefault="00D97E7C" w:rsidP="00D97E7C">
            <w:pPr>
              <w:rPr>
                <w:color w:val="000000"/>
                <w:sz w:val="18"/>
                <w:szCs w:val="18"/>
              </w:rPr>
            </w:pPr>
            <w:r>
              <w:rPr>
                <w:color w:val="000000"/>
                <w:sz w:val="18"/>
                <w:szCs w:val="18"/>
              </w:rPr>
              <w:t xml:space="preserve">Concentrations of product tested (v/v): 0.5%, 1.0% and 3.0%. </w:t>
            </w:r>
          </w:p>
          <w:p w14:paraId="7C1038AA" w14:textId="77777777" w:rsidR="00D97E7C" w:rsidRDefault="00D97E7C" w:rsidP="00D97E7C">
            <w:pPr>
              <w:rPr>
                <w:color w:val="000000"/>
                <w:sz w:val="18"/>
                <w:szCs w:val="18"/>
              </w:rPr>
            </w:pPr>
            <w:r>
              <w:rPr>
                <w:color w:val="000000"/>
                <w:sz w:val="18"/>
                <w:szCs w:val="18"/>
              </w:rPr>
              <w:t xml:space="preserve">Contact time: 5 minutes </w:t>
            </w:r>
          </w:p>
          <w:p w14:paraId="155AC2C1" w14:textId="77777777" w:rsidR="00D97E7C" w:rsidRDefault="00D97E7C" w:rsidP="00D97E7C">
            <w:pPr>
              <w:rPr>
                <w:color w:val="000000"/>
                <w:sz w:val="18"/>
                <w:szCs w:val="18"/>
              </w:rPr>
            </w:pPr>
            <w:r>
              <w:rPr>
                <w:color w:val="000000"/>
                <w:sz w:val="18"/>
                <w:szCs w:val="18"/>
              </w:rPr>
              <w:t>Temperature: 20°C</w:t>
            </w:r>
          </w:p>
          <w:p w14:paraId="55EE164B" w14:textId="77777777" w:rsidR="00D97E7C" w:rsidRDefault="00D97E7C" w:rsidP="00D97E7C">
            <w:pPr>
              <w:rPr>
                <w:color w:val="000000"/>
                <w:sz w:val="18"/>
                <w:szCs w:val="18"/>
              </w:rPr>
            </w:pPr>
            <w:r>
              <w:rPr>
                <w:color w:val="000000"/>
                <w:sz w:val="18"/>
                <w:szCs w:val="18"/>
              </w:rPr>
              <w:t xml:space="preserve">Dirty conditions: 3 g/L BSA </w:t>
            </w:r>
          </w:p>
          <w:p w14:paraId="29DA0D38" w14:textId="77777777" w:rsidR="00D97E7C" w:rsidRPr="00FD2055" w:rsidRDefault="00D97E7C" w:rsidP="00D97E7C">
            <w:pPr>
              <w:rPr>
                <w:color w:val="000000"/>
                <w:sz w:val="18"/>
                <w:szCs w:val="18"/>
              </w:rPr>
            </w:pPr>
            <w:r>
              <w:rPr>
                <w:color w:val="000000"/>
                <w:sz w:val="18"/>
                <w:szCs w:val="18"/>
              </w:rPr>
              <w:t>Criteria: ≥ 4 log unit reduction.</w:t>
            </w:r>
          </w:p>
        </w:tc>
        <w:tc>
          <w:tcPr>
            <w:tcW w:w="1701" w:type="dxa"/>
            <w:vAlign w:val="center"/>
          </w:tcPr>
          <w:p w14:paraId="2D39EC3F" w14:textId="77777777" w:rsidR="00D97E7C" w:rsidRDefault="00D97E7C" w:rsidP="00D97E7C">
            <w:pPr>
              <w:snapToGrid w:val="0"/>
              <w:rPr>
                <w:color w:val="000000"/>
                <w:sz w:val="18"/>
                <w:szCs w:val="18"/>
              </w:rPr>
            </w:pPr>
            <w:r>
              <w:rPr>
                <w:color w:val="000000"/>
                <w:sz w:val="18"/>
                <w:szCs w:val="18"/>
              </w:rPr>
              <w:t>Bactericidal activity demonstrated at 3% v/v.</w:t>
            </w:r>
          </w:p>
          <w:p w14:paraId="2228EAA1" w14:textId="77777777" w:rsidR="00D97E7C" w:rsidRDefault="00D97E7C" w:rsidP="00D97E7C">
            <w:pPr>
              <w:rPr>
                <w:color w:val="000000"/>
                <w:sz w:val="18"/>
                <w:szCs w:val="18"/>
              </w:rPr>
            </w:pPr>
          </w:p>
          <w:p w14:paraId="16BDEFBE" w14:textId="77777777" w:rsidR="00D97E7C" w:rsidRPr="00FD2055" w:rsidRDefault="00D97E7C" w:rsidP="00D97E7C">
            <w:pPr>
              <w:rPr>
                <w:color w:val="000000"/>
                <w:sz w:val="18"/>
                <w:szCs w:val="18"/>
              </w:rPr>
            </w:pPr>
          </w:p>
        </w:tc>
        <w:tc>
          <w:tcPr>
            <w:tcW w:w="1536" w:type="dxa"/>
            <w:vAlign w:val="center"/>
          </w:tcPr>
          <w:p w14:paraId="0FA309EB" w14:textId="77777777" w:rsidR="00D97E7C" w:rsidRDefault="00D97E7C" w:rsidP="00D97E7C">
            <w:pPr>
              <w:rPr>
                <w:color w:val="000000"/>
                <w:sz w:val="18"/>
                <w:szCs w:val="18"/>
              </w:rPr>
            </w:pPr>
            <w:r>
              <w:rPr>
                <w:color w:val="000000"/>
                <w:sz w:val="18"/>
                <w:szCs w:val="18"/>
              </w:rPr>
              <w:t>Teulier M., 2018, Report No 5270-1</w:t>
            </w:r>
          </w:p>
          <w:p w14:paraId="7CC03131" w14:textId="77777777" w:rsidR="00D97E7C" w:rsidRDefault="00D97E7C" w:rsidP="00D97E7C">
            <w:pPr>
              <w:rPr>
                <w:color w:val="000000"/>
                <w:sz w:val="18"/>
                <w:szCs w:val="18"/>
              </w:rPr>
            </w:pPr>
          </w:p>
          <w:p w14:paraId="742C272C" w14:textId="77777777" w:rsidR="00D97E7C" w:rsidRPr="00FD2055" w:rsidRDefault="00D97E7C" w:rsidP="00D97E7C">
            <w:pPr>
              <w:rPr>
                <w:i/>
                <w:color w:val="000000"/>
                <w:sz w:val="18"/>
                <w:szCs w:val="18"/>
              </w:rPr>
            </w:pPr>
            <w:r>
              <w:rPr>
                <w:color w:val="000000"/>
                <w:sz w:val="18"/>
                <w:szCs w:val="18"/>
              </w:rPr>
              <w:t>RI=1</w:t>
            </w:r>
          </w:p>
        </w:tc>
      </w:tr>
      <w:tr w:rsidR="00D97E7C" w14:paraId="3C19BDAE" w14:textId="77777777" w:rsidTr="00BA57DA">
        <w:trPr>
          <w:cantSplit/>
          <w:jc w:val="center"/>
        </w:trPr>
        <w:tc>
          <w:tcPr>
            <w:tcW w:w="0" w:type="auto"/>
            <w:vAlign w:val="center"/>
          </w:tcPr>
          <w:p w14:paraId="42885690" w14:textId="77777777" w:rsidR="00D97E7C" w:rsidRDefault="00D97E7C" w:rsidP="00D97E7C">
            <w:pPr>
              <w:rPr>
                <w:color w:val="000000"/>
                <w:sz w:val="18"/>
                <w:szCs w:val="18"/>
              </w:rPr>
            </w:pPr>
            <w:r>
              <w:rPr>
                <w:color w:val="000000"/>
                <w:sz w:val="18"/>
                <w:szCs w:val="18"/>
              </w:rPr>
              <w:t>Disinfectant, bactericidal activity</w:t>
            </w:r>
          </w:p>
        </w:tc>
        <w:tc>
          <w:tcPr>
            <w:tcW w:w="1825" w:type="dxa"/>
            <w:vAlign w:val="center"/>
          </w:tcPr>
          <w:p w14:paraId="036DB260" w14:textId="77777777" w:rsidR="00D97E7C" w:rsidRDefault="00D97E7C" w:rsidP="00D97E7C">
            <w:pPr>
              <w:rPr>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2260BB1C" w14:textId="77777777" w:rsidR="00D97E7C" w:rsidRDefault="00D97E7C" w:rsidP="00D97E7C">
            <w:pPr>
              <w:rPr>
                <w:color w:val="000000"/>
                <w:sz w:val="18"/>
                <w:szCs w:val="18"/>
              </w:rPr>
            </w:pPr>
            <w:r>
              <w:rPr>
                <w:color w:val="000000"/>
                <w:sz w:val="18"/>
                <w:szCs w:val="18"/>
              </w:rPr>
              <w:t>AL-S6-1-0</w:t>
            </w:r>
          </w:p>
          <w:p w14:paraId="73F6D76B" w14:textId="02B6FAB5" w:rsidR="00D97E7C" w:rsidRDefault="003B05F7" w:rsidP="00D97E7C">
            <w:pPr>
              <w:rPr>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5FB31131" w14:textId="77777777" w:rsidR="00D97E7C" w:rsidRPr="00D016EC" w:rsidRDefault="00D97E7C" w:rsidP="00D97E7C">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0" w:type="auto"/>
            <w:vAlign w:val="center"/>
          </w:tcPr>
          <w:p w14:paraId="73A75F3D" w14:textId="77777777" w:rsidR="00D97E7C" w:rsidRDefault="00D97E7C" w:rsidP="00D97E7C">
            <w:pPr>
              <w:rPr>
                <w:color w:val="000000"/>
                <w:sz w:val="18"/>
                <w:szCs w:val="18"/>
              </w:rPr>
            </w:pPr>
            <w:r>
              <w:rPr>
                <w:color w:val="000000"/>
                <w:sz w:val="18"/>
                <w:szCs w:val="18"/>
              </w:rPr>
              <w:t>NF EN 13697 (june 2015)</w:t>
            </w:r>
          </w:p>
        </w:tc>
        <w:tc>
          <w:tcPr>
            <w:tcW w:w="3103" w:type="dxa"/>
            <w:vAlign w:val="center"/>
          </w:tcPr>
          <w:p w14:paraId="76FD8A36" w14:textId="1F8FA48B" w:rsidR="00D97E7C" w:rsidRDefault="00D97E7C" w:rsidP="00D97E7C">
            <w:pPr>
              <w:rPr>
                <w:color w:val="000000"/>
                <w:sz w:val="18"/>
                <w:szCs w:val="18"/>
              </w:rPr>
            </w:pPr>
            <w:r>
              <w:rPr>
                <w:color w:val="000000"/>
                <w:sz w:val="18"/>
                <w:szCs w:val="18"/>
              </w:rPr>
              <w:t>Phase 2 step 2 (surface test)</w:t>
            </w:r>
          </w:p>
          <w:p w14:paraId="77AC3EE9" w14:textId="77777777" w:rsidR="00D97E7C" w:rsidRDefault="00D97E7C" w:rsidP="00D97E7C">
            <w:pPr>
              <w:rPr>
                <w:color w:val="000000"/>
                <w:sz w:val="18"/>
                <w:szCs w:val="18"/>
              </w:rPr>
            </w:pPr>
            <w:r>
              <w:rPr>
                <w:color w:val="000000"/>
                <w:sz w:val="18"/>
                <w:szCs w:val="18"/>
              </w:rPr>
              <w:t xml:space="preserve">Concentrations of product tested: 2% - 1% and 0.25%. </w:t>
            </w:r>
          </w:p>
          <w:p w14:paraId="25F6763E" w14:textId="77777777" w:rsidR="00D97E7C" w:rsidRDefault="00D97E7C" w:rsidP="00D97E7C">
            <w:pPr>
              <w:rPr>
                <w:color w:val="000000"/>
                <w:sz w:val="18"/>
                <w:szCs w:val="18"/>
              </w:rPr>
            </w:pPr>
            <w:r>
              <w:rPr>
                <w:color w:val="000000"/>
                <w:sz w:val="18"/>
                <w:szCs w:val="18"/>
              </w:rPr>
              <w:t xml:space="preserve">Contact time: 15 minutes </w:t>
            </w:r>
          </w:p>
          <w:p w14:paraId="7B22FD44" w14:textId="77777777" w:rsidR="00D97E7C" w:rsidRDefault="00D97E7C" w:rsidP="00D97E7C">
            <w:pPr>
              <w:rPr>
                <w:color w:val="000000"/>
                <w:sz w:val="18"/>
                <w:szCs w:val="18"/>
              </w:rPr>
            </w:pPr>
            <w:r>
              <w:rPr>
                <w:color w:val="000000"/>
                <w:sz w:val="18"/>
                <w:szCs w:val="18"/>
              </w:rPr>
              <w:t>Temperature: 40°C</w:t>
            </w:r>
          </w:p>
          <w:p w14:paraId="085B0441" w14:textId="77777777" w:rsidR="00D97E7C" w:rsidRDefault="00D97E7C" w:rsidP="00D97E7C">
            <w:pPr>
              <w:rPr>
                <w:color w:val="000000"/>
                <w:sz w:val="18"/>
                <w:szCs w:val="18"/>
              </w:rPr>
            </w:pPr>
            <w:r>
              <w:rPr>
                <w:color w:val="000000"/>
                <w:sz w:val="18"/>
                <w:szCs w:val="18"/>
              </w:rPr>
              <w:t xml:space="preserve">Dirty conditions: 3 g/L BSA </w:t>
            </w:r>
          </w:p>
          <w:p w14:paraId="26BEF07B" w14:textId="77777777" w:rsidR="00D97E7C" w:rsidRDefault="00D97E7C" w:rsidP="00D97E7C">
            <w:pPr>
              <w:rPr>
                <w:color w:val="000000"/>
                <w:sz w:val="18"/>
                <w:szCs w:val="18"/>
              </w:rPr>
            </w:pPr>
            <w:r>
              <w:rPr>
                <w:color w:val="000000"/>
                <w:sz w:val="18"/>
                <w:szCs w:val="18"/>
              </w:rPr>
              <w:t>Criteria: ≥ 4 log unit reduction.</w:t>
            </w:r>
          </w:p>
        </w:tc>
        <w:tc>
          <w:tcPr>
            <w:tcW w:w="1701" w:type="dxa"/>
            <w:vAlign w:val="center"/>
          </w:tcPr>
          <w:p w14:paraId="061C6160" w14:textId="77777777" w:rsidR="00D97E7C" w:rsidRDefault="00D97E7C" w:rsidP="00D97E7C">
            <w:pPr>
              <w:snapToGrid w:val="0"/>
              <w:rPr>
                <w:color w:val="000000"/>
                <w:sz w:val="18"/>
                <w:szCs w:val="18"/>
              </w:rPr>
            </w:pPr>
            <w:r>
              <w:rPr>
                <w:sz w:val="18"/>
                <w:szCs w:val="18"/>
              </w:rPr>
              <w:t xml:space="preserve">Bactericidal </w:t>
            </w:r>
            <w:r>
              <w:rPr>
                <w:color w:val="000000"/>
                <w:sz w:val="18"/>
                <w:szCs w:val="18"/>
              </w:rPr>
              <w:t>activity demonstrated at 2% v/v.</w:t>
            </w:r>
          </w:p>
          <w:p w14:paraId="09D04651" w14:textId="77777777" w:rsidR="00D97E7C" w:rsidRDefault="00D97E7C" w:rsidP="00D97E7C">
            <w:pPr>
              <w:rPr>
                <w:color w:val="000000"/>
                <w:sz w:val="18"/>
                <w:szCs w:val="18"/>
              </w:rPr>
            </w:pPr>
          </w:p>
          <w:p w14:paraId="16264BDF" w14:textId="77777777" w:rsidR="00D97E7C" w:rsidRDefault="00D97E7C" w:rsidP="00D97E7C">
            <w:pPr>
              <w:snapToGrid w:val="0"/>
              <w:rPr>
                <w:color w:val="000000"/>
                <w:sz w:val="18"/>
                <w:szCs w:val="18"/>
              </w:rPr>
            </w:pPr>
          </w:p>
        </w:tc>
        <w:tc>
          <w:tcPr>
            <w:tcW w:w="1536" w:type="dxa"/>
            <w:vAlign w:val="center"/>
          </w:tcPr>
          <w:p w14:paraId="56397790" w14:textId="77777777" w:rsidR="00D97E7C" w:rsidRDefault="00D97E7C" w:rsidP="00D97E7C">
            <w:pPr>
              <w:rPr>
                <w:sz w:val="18"/>
                <w:szCs w:val="18"/>
              </w:rPr>
            </w:pPr>
            <w:r>
              <w:rPr>
                <w:sz w:val="18"/>
                <w:szCs w:val="18"/>
              </w:rPr>
              <w:t>Feuillolay C., 2019, Report No 19-1368</w:t>
            </w:r>
          </w:p>
          <w:p w14:paraId="75ACA913" w14:textId="77777777" w:rsidR="00D97E7C" w:rsidRDefault="00D97E7C" w:rsidP="00D97E7C">
            <w:pPr>
              <w:rPr>
                <w:sz w:val="18"/>
                <w:szCs w:val="18"/>
              </w:rPr>
            </w:pPr>
          </w:p>
          <w:p w14:paraId="7BDF2EF7" w14:textId="77777777" w:rsidR="00D97E7C" w:rsidRDefault="00D97E7C" w:rsidP="00D97E7C">
            <w:pPr>
              <w:rPr>
                <w:color w:val="000000"/>
                <w:sz w:val="18"/>
                <w:szCs w:val="18"/>
              </w:rPr>
            </w:pPr>
            <w:r>
              <w:rPr>
                <w:sz w:val="18"/>
                <w:szCs w:val="18"/>
              </w:rPr>
              <w:t>RI=1</w:t>
            </w:r>
          </w:p>
        </w:tc>
      </w:tr>
      <w:tr w:rsidR="00D97E7C" w14:paraId="6AA9181C" w14:textId="77777777" w:rsidTr="00BA57DA">
        <w:trPr>
          <w:cantSplit/>
          <w:jc w:val="center"/>
        </w:trPr>
        <w:tc>
          <w:tcPr>
            <w:tcW w:w="0" w:type="auto"/>
            <w:vAlign w:val="center"/>
          </w:tcPr>
          <w:p w14:paraId="428E911B" w14:textId="77777777" w:rsidR="00D97E7C" w:rsidRPr="00FD2055" w:rsidRDefault="00D97E7C" w:rsidP="00D97E7C">
            <w:pPr>
              <w:rPr>
                <w:i/>
                <w:color w:val="000000"/>
                <w:sz w:val="18"/>
                <w:szCs w:val="18"/>
              </w:rPr>
            </w:pPr>
            <w:r>
              <w:rPr>
                <w:sz w:val="18"/>
                <w:szCs w:val="18"/>
              </w:rPr>
              <w:t>Disinfectant, yeasticidal activity</w:t>
            </w:r>
          </w:p>
        </w:tc>
        <w:tc>
          <w:tcPr>
            <w:tcW w:w="1825" w:type="dxa"/>
            <w:vAlign w:val="center"/>
          </w:tcPr>
          <w:p w14:paraId="72618AED"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231BA94D" w14:textId="77777777" w:rsidR="00D97E7C" w:rsidRDefault="00D97E7C" w:rsidP="00D97E7C">
            <w:pPr>
              <w:rPr>
                <w:sz w:val="18"/>
                <w:szCs w:val="18"/>
              </w:rPr>
            </w:pPr>
            <w:r>
              <w:rPr>
                <w:sz w:val="18"/>
                <w:szCs w:val="18"/>
              </w:rPr>
              <w:t>AL-S6-1-0</w:t>
            </w:r>
          </w:p>
          <w:p w14:paraId="773AA48B" w14:textId="1904700D"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1FC763D5" w14:textId="77777777" w:rsidR="00D97E7C" w:rsidRPr="00FD2055" w:rsidRDefault="00D97E7C" w:rsidP="00D97E7C">
            <w:pPr>
              <w:rPr>
                <w:i/>
                <w:color w:val="000000"/>
                <w:sz w:val="18"/>
                <w:szCs w:val="18"/>
              </w:rPr>
            </w:pPr>
            <w:r w:rsidRPr="005D3939">
              <w:rPr>
                <w:i/>
                <w:sz w:val="18"/>
                <w:szCs w:val="18"/>
              </w:rPr>
              <w:t>Candida albicans</w:t>
            </w:r>
            <w:r>
              <w:rPr>
                <w:sz w:val="18"/>
                <w:szCs w:val="18"/>
              </w:rPr>
              <w:t xml:space="preserve"> </w:t>
            </w:r>
          </w:p>
        </w:tc>
        <w:tc>
          <w:tcPr>
            <w:tcW w:w="0" w:type="auto"/>
            <w:vAlign w:val="center"/>
          </w:tcPr>
          <w:p w14:paraId="3F4D9541" w14:textId="77777777" w:rsidR="00D97E7C" w:rsidRPr="00FD2055" w:rsidRDefault="00D97E7C" w:rsidP="00D97E7C">
            <w:pPr>
              <w:rPr>
                <w:color w:val="000000"/>
                <w:sz w:val="18"/>
                <w:szCs w:val="18"/>
              </w:rPr>
            </w:pPr>
            <w:r>
              <w:rPr>
                <w:sz w:val="18"/>
                <w:szCs w:val="18"/>
              </w:rPr>
              <w:t>NF EN 13697 (June 2015)</w:t>
            </w:r>
          </w:p>
        </w:tc>
        <w:tc>
          <w:tcPr>
            <w:tcW w:w="3103" w:type="dxa"/>
            <w:vAlign w:val="center"/>
          </w:tcPr>
          <w:p w14:paraId="1E63C544" w14:textId="5D4E5D71" w:rsidR="00D97E7C" w:rsidRDefault="00D97E7C" w:rsidP="00D97E7C">
            <w:pPr>
              <w:rPr>
                <w:color w:val="000000"/>
                <w:sz w:val="18"/>
                <w:szCs w:val="18"/>
              </w:rPr>
            </w:pPr>
            <w:r>
              <w:rPr>
                <w:color w:val="000000"/>
                <w:sz w:val="18"/>
                <w:szCs w:val="18"/>
              </w:rPr>
              <w:t>Phase 2 step 2 (surface test)</w:t>
            </w:r>
          </w:p>
          <w:p w14:paraId="749395B2" w14:textId="1C3C364A" w:rsidR="00D97E7C" w:rsidRDefault="00D97E7C" w:rsidP="00D97E7C">
            <w:pPr>
              <w:rPr>
                <w:color w:val="000000"/>
                <w:sz w:val="18"/>
                <w:szCs w:val="18"/>
              </w:rPr>
            </w:pPr>
            <w:r>
              <w:rPr>
                <w:color w:val="000000"/>
                <w:sz w:val="18"/>
                <w:szCs w:val="18"/>
              </w:rPr>
              <w:t xml:space="preserve">Concentrations of product tested (v/v) were: 3%, 4% and 5%. </w:t>
            </w:r>
          </w:p>
          <w:p w14:paraId="5CE2BF41" w14:textId="77777777" w:rsidR="00D97E7C" w:rsidRDefault="00D97E7C" w:rsidP="00D97E7C">
            <w:pPr>
              <w:rPr>
                <w:color w:val="000000"/>
                <w:sz w:val="18"/>
                <w:szCs w:val="18"/>
              </w:rPr>
            </w:pPr>
            <w:r>
              <w:rPr>
                <w:color w:val="000000"/>
                <w:sz w:val="18"/>
                <w:szCs w:val="18"/>
              </w:rPr>
              <w:t xml:space="preserve">Contact time: 15 minutes </w:t>
            </w:r>
          </w:p>
          <w:p w14:paraId="01D0088B" w14:textId="77777777" w:rsidR="00D97E7C" w:rsidRDefault="00D97E7C" w:rsidP="00D97E7C">
            <w:pPr>
              <w:rPr>
                <w:color w:val="000000"/>
                <w:sz w:val="18"/>
                <w:szCs w:val="18"/>
              </w:rPr>
            </w:pPr>
            <w:r>
              <w:rPr>
                <w:color w:val="000000"/>
                <w:sz w:val="18"/>
                <w:szCs w:val="18"/>
              </w:rPr>
              <w:t>Temperature: 20°C</w:t>
            </w:r>
          </w:p>
          <w:p w14:paraId="24E46D80" w14:textId="77777777" w:rsidR="00D97E7C" w:rsidRDefault="00D97E7C" w:rsidP="00D97E7C">
            <w:pPr>
              <w:rPr>
                <w:color w:val="000000"/>
                <w:sz w:val="18"/>
                <w:szCs w:val="18"/>
              </w:rPr>
            </w:pPr>
            <w:r>
              <w:rPr>
                <w:color w:val="000000"/>
                <w:sz w:val="18"/>
                <w:szCs w:val="18"/>
              </w:rPr>
              <w:t xml:space="preserve">Dirty conditions: 3 g/L BSA </w:t>
            </w:r>
          </w:p>
          <w:p w14:paraId="6A499966" w14:textId="77777777" w:rsidR="00D97E7C" w:rsidRPr="00FD2055" w:rsidRDefault="00D97E7C" w:rsidP="00D97E7C">
            <w:pPr>
              <w:rPr>
                <w:color w:val="000000"/>
                <w:sz w:val="18"/>
                <w:szCs w:val="18"/>
              </w:rPr>
            </w:pPr>
            <w:r>
              <w:rPr>
                <w:color w:val="000000"/>
                <w:sz w:val="18"/>
                <w:szCs w:val="18"/>
              </w:rPr>
              <w:t>Criteria: ≥ 3 log unit reduction.</w:t>
            </w:r>
          </w:p>
        </w:tc>
        <w:tc>
          <w:tcPr>
            <w:tcW w:w="1701" w:type="dxa"/>
            <w:vAlign w:val="center"/>
          </w:tcPr>
          <w:p w14:paraId="248EBCFE" w14:textId="77777777" w:rsidR="00D97E7C" w:rsidRDefault="00D97E7C" w:rsidP="00D97E7C">
            <w:pPr>
              <w:snapToGrid w:val="0"/>
              <w:rPr>
                <w:color w:val="000000"/>
                <w:sz w:val="18"/>
                <w:szCs w:val="18"/>
              </w:rPr>
            </w:pPr>
            <w:r>
              <w:rPr>
                <w:sz w:val="18"/>
                <w:szCs w:val="18"/>
              </w:rPr>
              <w:t>Yeasticidal</w:t>
            </w:r>
            <w:r>
              <w:rPr>
                <w:color w:val="000000"/>
                <w:sz w:val="18"/>
                <w:szCs w:val="18"/>
              </w:rPr>
              <w:t xml:space="preserve"> activity demonstrated at 5% v/v.</w:t>
            </w:r>
          </w:p>
          <w:p w14:paraId="12F51512" w14:textId="77777777" w:rsidR="00D97E7C" w:rsidRDefault="00D97E7C" w:rsidP="00D97E7C">
            <w:pPr>
              <w:rPr>
                <w:sz w:val="18"/>
                <w:szCs w:val="18"/>
              </w:rPr>
            </w:pPr>
          </w:p>
          <w:p w14:paraId="5F36213D" w14:textId="77777777" w:rsidR="00D97E7C" w:rsidRPr="00FD2055" w:rsidRDefault="00D97E7C" w:rsidP="00D97E7C">
            <w:pPr>
              <w:rPr>
                <w:color w:val="000000"/>
                <w:sz w:val="18"/>
                <w:szCs w:val="18"/>
              </w:rPr>
            </w:pPr>
          </w:p>
        </w:tc>
        <w:tc>
          <w:tcPr>
            <w:tcW w:w="1536" w:type="dxa"/>
            <w:vAlign w:val="center"/>
          </w:tcPr>
          <w:p w14:paraId="3AA608DD" w14:textId="77777777" w:rsidR="00D97E7C" w:rsidRDefault="00D97E7C" w:rsidP="00D97E7C">
            <w:pPr>
              <w:rPr>
                <w:sz w:val="18"/>
                <w:szCs w:val="18"/>
              </w:rPr>
            </w:pPr>
            <w:r>
              <w:rPr>
                <w:sz w:val="18"/>
                <w:szCs w:val="18"/>
              </w:rPr>
              <w:t xml:space="preserve">Huguet N., 2019, Report No 19.CM.19-014 </w:t>
            </w:r>
          </w:p>
          <w:p w14:paraId="0EAEC8C0" w14:textId="77777777" w:rsidR="00D97E7C" w:rsidRDefault="00D97E7C" w:rsidP="00D97E7C">
            <w:pPr>
              <w:rPr>
                <w:sz w:val="18"/>
                <w:szCs w:val="18"/>
              </w:rPr>
            </w:pPr>
          </w:p>
          <w:p w14:paraId="625825A5" w14:textId="77777777" w:rsidR="00D97E7C" w:rsidRPr="00FD2055" w:rsidRDefault="00D97E7C" w:rsidP="00D97E7C">
            <w:pPr>
              <w:rPr>
                <w:i/>
                <w:color w:val="000000"/>
                <w:sz w:val="18"/>
                <w:szCs w:val="18"/>
              </w:rPr>
            </w:pPr>
            <w:r>
              <w:rPr>
                <w:sz w:val="18"/>
                <w:szCs w:val="18"/>
              </w:rPr>
              <w:t>RI=1</w:t>
            </w:r>
          </w:p>
        </w:tc>
      </w:tr>
      <w:tr w:rsidR="00D97E7C" w14:paraId="30D5B36B" w14:textId="77777777" w:rsidTr="00BA57DA">
        <w:trPr>
          <w:cantSplit/>
          <w:jc w:val="center"/>
        </w:trPr>
        <w:tc>
          <w:tcPr>
            <w:tcW w:w="0" w:type="auto"/>
            <w:vAlign w:val="center"/>
          </w:tcPr>
          <w:p w14:paraId="740EDCF6" w14:textId="77777777" w:rsidR="00D97E7C" w:rsidRDefault="00D97E7C" w:rsidP="00D97E7C">
            <w:pPr>
              <w:rPr>
                <w:sz w:val="18"/>
                <w:szCs w:val="18"/>
              </w:rPr>
            </w:pPr>
            <w:r>
              <w:rPr>
                <w:color w:val="000000"/>
                <w:sz w:val="18"/>
                <w:szCs w:val="18"/>
              </w:rPr>
              <w:t>Disinfectant, yeasticidal activity</w:t>
            </w:r>
          </w:p>
        </w:tc>
        <w:tc>
          <w:tcPr>
            <w:tcW w:w="1825" w:type="dxa"/>
            <w:vAlign w:val="center"/>
          </w:tcPr>
          <w:p w14:paraId="793FADB1" w14:textId="77777777" w:rsidR="00D97E7C" w:rsidRDefault="00D97E7C" w:rsidP="00D97E7C">
            <w:pPr>
              <w:rPr>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1AF767E6" w14:textId="77777777" w:rsidR="00D97E7C" w:rsidRDefault="00D97E7C" w:rsidP="00D97E7C">
            <w:pPr>
              <w:rPr>
                <w:color w:val="000000"/>
                <w:sz w:val="18"/>
                <w:szCs w:val="18"/>
              </w:rPr>
            </w:pPr>
            <w:r>
              <w:rPr>
                <w:color w:val="000000"/>
                <w:sz w:val="18"/>
                <w:szCs w:val="18"/>
              </w:rPr>
              <w:t>AL-S6-1-0</w:t>
            </w:r>
          </w:p>
          <w:p w14:paraId="20599B21" w14:textId="160A35FE" w:rsidR="00D97E7C" w:rsidRDefault="003B05F7" w:rsidP="00D97E7C">
            <w:pPr>
              <w:rPr>
                <w:sz w:val="18"/>
                <w:szCs w:val="18"/>
              </w:rPr>
            </w:pPr>
            <w:r>
              <w:rPr>
                <w:color w:val="000000"/>
                <w:sz w:val="18"/>
                <w:szCs w:val="18"/>
              </w:rPr>
              <w:t>24</w:t>
            </w:r>
            <w:r w:rsidR="00D97E7C">
              <w:rPr>
                <w:color w:val="000000"/>
                <w:sz w:val="18"/>
                <w:szCs w:val="18"/>
              </w:rPr>
              <w:t>% lactic acid</w:t>
            </w:r>
          </w:p>
        </w:tc>
        <w:tc>
          <w:tcPr>
            <w:tcW w:w="1630" w:type="dxa"/>
            <w:vAlign w:val="center"/>
          </w:tcPr>
          <w:p w14:paraId="28A0F9C9" w14:textId="77777777" w:rsidR="00D97E7C" w:rsidRPr="005D3939" w:rsidRDefault="00D97E7C" w:rsidP="00D97E7C">
            <w:pPr>
              <w:rPr>
                <w:i/>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429B61B8" w14:textId="77777777" w:rsidR="00D97E7C" w:rsidRDefault="00D97E7C" w:rsidP="00D97E7C">
            <w:pPr>
              <w:rPr>
                <w:sz w:val="18"/>
                <w:szCs w:val="18"/>
              </w:rPr>
            </w:pPr>
            <w:r>
              <w:rPr>
                <w:color w:val="000000"/>
                <w:sz w:val="18"/>
                <w:szCs w:val="18"/>
              </w:rPr>
              <w:t>NF EN 13697 (June 2015)</w:t>
            </w:r>
          </w:p>
        </w:tc>
        <w:tc>
          <w:tcPr>
            <w:tcW w:w="3103" w:type="dxa"/>
            <w:vAlign w:val="center"/>
          </w:tcPr>
          <w:p w14:paraId="5E00B78B" w14:textId="696DFF7B" w:rsidR="00D97E7C" w:rsidRDefault="00D97E7C" w:rsidP="00D97E7C">
            <w:pPr>
              <w:rPr>
                <w:color w:val="000000"/>
                <w:sz w:val="18"/>
                <w:szCs w:val="18"/>
              </w:rPr>
            </w:pPr>
            <w:r>
              <w:rPr>
                <w:color w:val="000000"/>
                <w:sz w:val="18"/>
                <w:szCs w:val="18"/>
              </w:rPr>
              <w:t>Phase 2 step 2 (surface test)</w:t>
            </w:r>
          </w:p>
          <w:p w14:paraId="5C8E3852" w14:textId="77777777" w:rsidR="00D97E7C" w:rsidRDefault="00D97E7C" w:rsidP="00D97E7C">
            <w:pPr>
              <w:rPr>
                <w:color w:val="000000"/>
                <w:sz w:val="18"/>
                <w:szCs w:val="18"/>
              </w:rPr>
            </w:pPr>
            <w:r>
              <w:rPr>
                <w:color w:val="000000"/>
                <w:sz w:val="18"/>
                <w:szCs w:val="18"/>
              </w:rPr>
              <w:t xml:space="preserve">Concentrations of product tested (v/v): 4%, 8%, 10%. </w:t>
            </w:r>
          </w:p>
          <w:p w14:paraId="5713800C" w14:textId="77777777" w:rsidR="00D97E7C" w:rsidRDefault="00D97E7C" w:rsidP="00D97E7C">
            <w:pPr>
              <w:rPr>
                <w:color w:val="000000"/>
                <w:sz w:val="18"/>
                <w:szCs w:val="18"/>
              </w:rPr>
            </w:pPr>
            <w:r>
              <w:rPr>
                <w:color w:val="000000"/>
                <w:sz w:val="18"/>
                <w:szCs w:val="18"/>
              </w:rPr>
              <w:t xml:space="preserve">Contact time: 5 minutes </w:t>
            </w:r>
          </w:p>
          <w:p w14:paraId="22243988" w14:textId="77777777" w:rsidR="00D97E7C" w:rsidRDefault="00D97E7C" w:rsidP="00D97E7C">
            <w:pPr>
              <w:rPr>
                <w:color w:val="000000"/>
                <w:sz w:val="18"/>
                <w:szCs w:val="18"/>
              </w:rPr>
            </w:pPr>
            <w:r>
              <w:rPr>
                <w:color w:val="000000"/>
                <w:sz w:val="18"/>
                <w:szCs w:val="18"/>
              </w:rPr>
              <w:t>Temperature: 20°C</w:t>
            </w:r>
          </w:p>
          <w:p w14:paraId="62BFE2D5" w14:textId="77777777" w:rsidR="00D97E7C" w:rsidRDefault="00D97E7C" w:rsidP="00D97E7C">
            <w:pPr>
              <w:rPr>
                <w:color w:val="000000"/>
                <w:sz w:val="18"/>
                <w:szCs w:val="18"/>
              </w:rPr>
            </w:pPr>
            <w:r>
              <w:rPr>
                <w:color w:val="000000"/>
                <w:sz w:val="18"/>
                <w:szCs w:val="18"/>
              </w:rPr>
              <w:t>Dirty conditions: 3 g/L BSA + 3ml/l sheep erythrocytes</w:t>
            </w:r>
          </w:p>
          <w:p w14:paraId="766DE9B4" w14:textId="77777777" w:rsidR="00D97E7C" w:rsidRDefault="00D97E7C" w:rsidP="00D97E7C">
            <w:pPr>
              <w:rPr>
                <w:sz w:val="18"/>
                <w:szCs w:val="18"/>
              </w:rPr>
            </w:pPr>
            <w:r>
              <w:rPr>
                <w:color w:val="000000"/>
                <w:sz w:val="18"/>
                <w:szCs w:val="18"/>
              </w:rPr>
              <w:t>Criteria: ≥ 3 log unit reduction</w:t>
            </w:r>
          </w:p>
        </w:tc>
        <w:tc>
          <w:tcPr>
            <w:tcW w:w="1701" w:type="dxa"/>
            <w:vAlign w:val="center"/>
          </w:tcPr>
          <w:p w14:paraId="71ABA6E8" w14:textId="77777777" w:rsidR="00D97E7C" w:rsidRDefault="00D97E7C" w:rsidP="00D97E7C">
            <w:pPr>
              <w:rPr>
                <w:color w:val="000000"/>
                <w:sz w:val="18"/>
                <w:szCs w:val="18"/>
              </w:rPr>
            </w:pPr>
          </w:p>
          <w:p w14:paraId="612F10AF" w14:textId="77777777" w:rsidR="00D97E7C" w:rsidRDefault="00D97E7C" w:rsidP="00D97E7C">
            <w:pPr>
              <w:snapToGrid w:val="0"/>
              <w:rPr>
                <w:color w:val="000000"/>
                <w:sz w:val="18"/>
                <w:szCs w:val="18"/>
              </w:rPr>
            </w:pPr>
            <w:r>
              <w:rPr>
                <w:color w:val="000000"/>
                <w:sz w:val="18"/>
                <w:szCs w:val="18"/>
              </w:rPr>
              <w:t>Yeasticidal activity demonstrated at 8% v/v.</w:t>
            </w:r>
          </w:p>
          <w:p w14:paraId="659FF3E5" w14:textId="4CFB75D8" w:rsidR="00D97E7C" w:rsidRDefault="00D97E7C" w:rsidP="00D97E7C">
            <w:pPr>
              <w:snapToGrid w:val="0"/>
              <w:rPr>
                <w:sz w:val="18"/>
                <w:szCs w:val="18"/>
              </w:rPr>
            </w:pPr>
          </w:p>
        </w:tc>
        <w:tc>
          <w:tcPr>
            <w:tcW w:w="1536" w:type="dxa"/>
            <w:vAlign w:val="center"/>
          </w:tcPr>
          <w:p w14:paraId="445C8EBA" w14:textId="77777777" w:rsidR="00D97E7C" w:rsidRDefault="00D97E7C" w:rsidP="00D97E7C">
            <w:pPr>
              <w:rPr>
                <w:color w:val="000000"/>
                <w:sz w:val="18"/>
                <w:szCs w:val="18"/>
              </w:rPr>
            </w:pPr>
            <w:r>
              <w:rPr>
                <w:color w:val="000000"/>
                <w:sz w:val="18"/>
                <w:szCs w:val="18"/>
              </w:rPr>
              <w:t>Huguet N., 2018, Report No 18.CM.18-150</w:t>
            </w:r>
          </w:p>
          <w:p w14:paraId="2DDC5D0C" w14:textId="77777777" w:rsidR="00D97E7C" w:rsidRDefault="00D97E7C" w:rsidP="00D97E7C">
            <w:pPr>
              <w:rPr>
                <w:color w:val="000000"/>
                <w:sz w:val="18"/>
                <w:szCs w:val="18"/>
              </w:rPr>
            </w:pPr>
          </w:p>
          <w:p w14:paraId="79EA6947" w14:textId="77777777" w:rsidR="00D97E7C" w:rsidRDefault="00D97E7C" w:rsidP="00D97E7C">
            <w:pPr>
              <w:rPr>
                <w:sz w:val="18"/>
                <w:szCs w:val="18"/>
              </w:rPr>
            </w:pPr>
            <w:r>
              <w:rPr>
                <w:color w:val="000000"/>
                <w:sz w:val="18"/>
                <w:szCs w:val="18"/>
              </w:rPr>
              <w:t>RI=1</w:t>
            </w:r>
          </w:p>
        </w:tc>
      </w:tr>
      <w:tr w:rsidR="00D97E7C" w14:paraId="1E139832" w14:textId="77777777" w:rsidTr="00BA57DA">
        <w:trPr>
          <w:cantSplit/>
          <w:jc w:val="center"/>
        </w:trPr>
        <w:tc>
          <w:tcPr>
            <w:tcW w:w="0" w:type="auto"/>
            <w:vAlign w:val="center"/>
          </w:tcPr>
          <w:p w14:paraId="1150D5A2" w14:textId="77777777" w:rsidR="00D97E7C" w:rsidRPr="00FD2055" w:rsidRDefault="00D97E7C" w:rsidP="00D97E7C">
            <w:pPr>
              <w:rPr>
                <w:i/>
                <w:color w:val="000000"/>
                <w:sz w:val="18"/>
                <w:szCs w:val="18"/>
              </w:rPr>
            </w:pPr>
            <w:r>
              <w:rPr>
                <w:sz w:val="18"/>
                <w:szCs w:val="18"/>
              </w:rPr>
              <w:lastRenderedPageBreak/>
              <w:t>Disinfectant, yeasticidal activity</w:t>
            </w:r>
          </w:p>
        </w:tc>
        <w:tc>
          <w:tcPr>
            <w:tcW w:w="1825" w:type="dxa"/>
            <w:vAlign w:val="center"/>
          </w:tcPr>
          <w:p w14:paraId="65205F72" w14:textId="77777777" w:rsidR="00D97E7C" w:rsidRPr="00FD2055" w:rsidRDefault="00D97E7C" w:rsidP="00D97E7C">
            <w:pPr>
              <w:rPr>
                <w:i/>
                <w:color w:val="000000"/>
                <w:sz w:val="18"/>
                <w:szCs w:val="18"/>
              </w:rPr>
            </w:pPr>
            <w:r>
              <w:rPr>
                <w:color w:val="000000"/>
                <w:sz w:val="18"/>
                <w:szCs w:val="18"/>
              </w:rPr>
              <w:t>Medical, institutional, industrial healthcare facilities and food preparation and handling areas</w:t>
            </w:r>
          </w:p>
        </w:tc>
        <w:tc>
          <w:tcPr>
            <w:tcW w:w="1134" w:type="dxa"/>
            <w:vAlign w:val="center"/>
          </w:tcPr>
          <w:p w14:paraId="25FA9014" w14:textId="77777777" w:rsidR="00D97E7C" w:rsidRDefault="00D97E7C" w:rsidP="00D97E7C">
            <w:pPr>
              <w:rPr>
                <w:sz w:val="18"/>
                <w:szCs w:val="18"/>
              </w:rPr>
            </w:pPr>
            <w:r>
              <w:rPr>
                <w:sz w:val="18"/>
                <w:szCs w:val="18"/>
              </w:rPr>
              <w:t>AL-S6-1-0</w:t>
            </w:r>
          </w:p>
          <w:p w14:paraId="187605D1" w14:textId="15A8D119" w:rsidR="00D97E7C" w:rsidRPr="00FD2055" w:rsidRDefault="003B05F7" w:rsidP="00D97E7C">
            <w:pPr>
              <w:rPr>
                <w:i/>
                <w:color w:val="000000"/>
                <w:sz w:val="18"/>
                <w:szCs w:val="18"/>
              </w:rPr>
            </w:pPr>
            <w:r>
              <w:rPr>
                <w:color w:val="000000"/>
                <w:sz w:val="18"/>
                <w:szCs w:val="18"/>
              </w:rPr>
              <w:t>24</w:t>
            </w:r>
            <w:r w:rsidR="00D97E7C">
              <w:rPr>
                <w:color w:val="000000"/>
                <w:sz w:val="18"/>
                <w:szCs w:val="18"/>
              </w:rPr>
              <w:t>% lactic acid</w:t>
            </w:r>
          </w:p>
        </w:tc>
        <w:tc>
          <w:tcPr>
            <w:tcW w:w="1630" w:type="dxa"/>
            <w:vAlign w:val="center"/>
          </w:tcPr>
          <w:p w14:paraId="02C9DF66" w14:textId="77777777" w:rsidR="00D97E7C" w:rsidRPr="00FD2055" w:rsidRDefault="00D97E7C" w:rsidP="00D97E7C">
            <w:pPr>
              <w:rPr>
                <w:i/>
                <w:color w:val="000000"/>
                <w:sz w:val="18"/>
                <w:szCs w:val="18"/>
              </w:rPr>
            </w:pPr>
            <w:r w:rsidRPr="005D3939">
              <w:rPr>
                <w:i/>
                <w:sz w:val="18"/>
                <w:szCs w:val="18"/>
              </w:rPr>
              <w:t>Candida albicans</w:t>
            </w:r>
            <w:r>
              <w:rPr>
                <w:sz w:val="18"/>
                <w:szCs w:val="18"/>
              </w:rPr>
              <w:t xml:space="preserve"> </w:t>
            </w:r>
          </w:p>
        </w:tc>
        <w:tc>
          <w:tcPr>
            <w:tcW w:w="0" w:type="auto"/>
            <w:vAlign w:val="center"/>
          </w:tcPr>
          <w:p w14:paraId="158BEF93" w14:textId="77777777" w:rsidR="00D97E7C" w:rsidRPr="00FD2055" w:rsidRDefault="00D97E7C" w:rsidP="00D97E7C">
            <w:pPr>
              <w:rPr>
                <w:color w:val="000000"/>
                <w:sz w:val="18"/>
                <w:szCs w:val="18"/>
              </w:rPr>
            </w:pPr>
            <w:r>
              <w:rPr>
                <w:sz w:val="18"/>
                <w:szCs w:val="18"/>
              </w:rPr>
              <w:t>NF EN 13697 (June 2015)</w:t>
            </w:r>
          </w:p>
        </w:tc>
        <w:tc>
          <w:tcPr>
            <w:tcW w:w="3103" w:type="dxa"/>
            <w:vAlign w:val="center"/>
          </w:tcPr>
          <w:p w14:paraId="347291A1" w14:textId="77777777" w:rsidR="00D97E7C" w:rsidRDefault="00D97E7C" w:rsidP="00D97E7C">
            <w:pPr>
              <w:rPr>
                <w:color w:val="000000"/>
                <w:sz w:val="18"/>
                <w:szCs w:val="18"/>
              </w:rPr>
            </w:pPr>
            <w:r>
              <w:rPr>
                <w:color w:val="000000"/>
                <w:sz w:val="18"/>
                <w:szCs w:val="18"/>
              </w:rPr>
              <w:t>Phase 2 step 2 (suspension test)</w:t>
            </w:r>
          </w:p>
          <w:p w14:paraId="2A4992F3" w14:textId="65E4CBD0" w:rsidR="00D97E7C" w:rsidRDefault="00D97E7C" w:rsidP="00D97E7C">
            <w:pPr>
              <w:rPr>
                <w:color w:val="000000"/>
                <w:sz w:val="18"/>
                <w:szCs w:val="18"/>
              </w:rPr>
            </w:pPr>
            <w:r>
              <w:rPr>
                <w:color w:val="000000"/>
                <w:sz w:val="18"/>
                <w:szCs w:val="18"/>
              </w:rPr>
              <w:t xml:space="preserve">Concentrations of product tested were: </w:t>
            </w:r>
            <w:r>
              <w:rPr>
                <w:sz w:val="18"/>
                <w:szCs w:val="18"/>
              </w:rPr>
              <w:t>3%, 2%, 1%</w:t>
            </w:r>
            <w:r>
              <w:rPr>
                <w:color w:val="000000"/>
                <w:sz w:val="18"/>
                <w:szCs w:val="18"/>
              </w:rPr>
              <w:t xml:space="preserve">. </w:t>
            </w:r>
          </w:p>
          <w:p w14:paraId="6397365D" w14:textId="77777777" w:rsidR="00D97E7C" w:rsidRDefault="00D97E7C" w:rsidP="00D97E7C">
            <w:pPr>
              <w:rPr>
                <w:color w:val="000000"/>
                <w:sz w:val="18"/>
                <w:szCs w:val="18"/>
              </w:rPr>
            </w:pPr>
            <w:r>
              <w:rPr>
                <w:color w:val="000000"/>
                <w:sz w:val="18"/>
                <w:szCs w:val="18"/>
              </w:rPr>
              <w:t xml:space="preserve">Contact time: 30 minutes </w:t>
            </w:r>
          </w:p>
          <w:p w14:paraId="3B0D6F91" w14:textId="77777777" w:rsidR="00D97E7C" w:rsidRDefault="00D97E7C" w:rsidP="00D97E7C">
            <w:pPr>
              <w:rPr>
                <w:color w:val="000000"/>
                <w:sz w:val="18"/>
                <w:szCs w:val="18"/>
              </w:rPr>
            </w:pPr>
            <w:r>
              <w:rPr>
                <w:color w:val="000000"/>
                <w:sz w:val="18"/>
                <w:szCs w:val="18"/>
              </w:rPr>
              <w:t>Temperature: 40°C</w:t>
            </w:r>
          </w:p>
          <w:p w14:paraId="0D7DE917" w14:textId="77777777" w:rsidR="00D97E7C" w:rsidRDefault="00D97E7C" w:rsidP="00D97E7C">
            <w:pPr>
              <w:rPr>
                <w:color w:val="000000"/>
                <w:sz w:val="18"/>
                <w:szCs w:val="18"/>
              </w:rPr>
            </w:pPr>
            <w:r>
              <w:rPr>
                <w:color w:val="000000"/>
                <w:sz w:val="18"/>
                <w:szCs w:val="18"/>
              </w:rPr>
              <w:t xml:space="preserve">Dirty conditions: 3 g/L BSA </w:t>
            </w:r>
          </w:p>
          <w:p w14:paraId="3263E1E9" w14:textId="77777777" w:rsidR="00D97E7C" w:rsidRPr="00FD2055" w:rsidRDefault="00D97E7C" w:rsidP="00D97E7C">
            <w:pPr>
              <w:rPr>
                <w:color w:val="000000"/>
                <w:sz w:val="18"/>
                <w:szCs w:val="18"/>
              </w:rPr>
            </w:pPr>
            <w:r>
              <w:rPr>
                <w:color w:val="000000"/>
                <w:sz w:val="18"/>
                <w:szCs w:val="18"/>
              </w:rPr>
              <w:t>Criteria: ≥ 3 log unit reduction</w:t>
            </w:r>
          </w:p>
        </w:tc>
        <w:tc>
          <w:tcPr>
            <w:tcW w:w="1701" w:type="dxa"/>
            <w:vAlign w:val="center"/>
          </w:tcPr>
          <w:p w14:paraId="3CDE7738" w14:textId="77777777" w:rsidR="00D97E7C" w:rsidRDefault="00D97E7C" w:rsidP="00D97E7C">
            <w:pPr>
              <w:snapToGrid w:val="0"/>
              <w:rPr>
                <w:color w:val="000000"/>
                <w:sz w:val="18"/>
                <w:szCs w:val="18"/>
              </w:rPr>
            </w:pPr>
            <w:r>
              <w:rPr>
                <w:sz w:val="18"/>
                <w:szCs w:val="18"/>
              </w:rPr>
              <w:t>Yeasticidal</w:t>
            </w:r>
            <w:r>
              <w:rPr>
                <w:color w:val="000000"/>
                <w:sz w:val="18"/>
                <w:szCs w:val="18"/>
              </w:rPr>
              <w:t xml:space="preserve"> activity demonstrated at 3% v/v.</w:t>
            </w:r>
          </w:p>
          <w:p w14:paraId="3D907570" w14:textId="77777777" w:rsidR="00D97E7C" w:rsidRDefault="00D97E7C" w:rsidP="00D97E7C">
            <w:pPr>
              <w:rPr>
                <w:sz w:val="18"/>
                <w:szCs w:val="18"/>
              </w:rPr>
            </w:pPr>
          </w:p>
          <w:p w14:paraId="69F61836" w14:textId="77777777" w:rsidR="00D97E7C" w:rsidRPr="00FD2055" w:rsidRDefault="00D97E7C" w:rsidP="00D97E7C">
            <w:pPr>
              <w:rPr>
                <w:color w:val="000000"/>
                <w:sz w:val="18"/>
                <w:szCs w:val="18"/>
              </w:rPr>
            </w:pPr>
          </w:p>
        </w:tc>
        <w:tc>
          <w:tcPr>
            <w:tcW w:w="1536" w:type="dxa"/>
            <w:vAlign w:val="center"/>
          </w:tcPr>
          <w:p w14:paraId="210BB73F" w14:textId="77777777" w:rsidR="00D97E7C" w:rsidRDefault="00D97E7C" w:rsidP="00D97E7C">
            <w:pPr>
              <w:rPr>
                <w:sz w:val="18"/>
                <w:szCs w:val="18"/>
              </w:rPr>
            </w:pPr>
            <w:r>
              <w:rPr>
                <w:sz w:val="18"/>
                <w:szCs w:val="18"/>
              </w:rPr>
              <w:t>Feuillolay C., 2019, Report No 19-1381</w:t>
            </w:r>
          </w:p>
          <w:p w14:paraId="5981A761" w14:textId="77777777" w:rsidR="00D97E7C" w:rsidRDefault="00D97E7C" w:rsidP="00D97E7C">
            <w:pPr>
              <w:rPr>
                <w:sz w:val="18"/>
                <w:szCs w:val="18"/>
              </w:rPr>
            </w:pPr>
          </w:p>
          <w:p w14:paraId="5DFF169E" w14:textId="77777777" w:rsidR="00D97E7C" w:rsidRPr="00FD2055" w:rsidRDefault="00D97E7C" w:rsidP="00D97E7C">
            <w:pPr>
              <w:rPr>
                <w:i/>
                <w:color w:val="000000"/>
                <w:sz w:val="18"/>
                <w:szCs w:val="18"/>
              </w:rPr>
            </w:pPr>
            <w:r>
              <w:rPr>
                <w:sz w:val="18"/>
                <w:szCs w:val="18"/>
              </w:rPr>
              <w:t>RI=1</w:t>
            </w:r>
          </w:p>
        </w:tc>
      </w:tr>
    </w:tbl>
    <w:p w14:paraId="7E2DC890" w14:textId="1BEF5739" w:rsidR="00CC62FC" w:rsidRDefault="00CC62FC" w:rsidP="00CC62FC">
      <w:pPr>
        <w:spacing w:line="260" w:lineRule="atLeast"/>
        <w:jc w:val="both"/>
        <w:rPr>
          <w:rFonts w:ascii="Times New Roman" w:eastAsia="Calibri" w:hAnsi="Times New Roman" w:cs="Arial"/>
          <w:bCs/>
          <w:i/>
          <w:caps/>
          <w:szCs w:val="28"/>
          <w:lang w:eastAsia="en-US"/>
        </w:rPr>
      </w:pPr>
    </w:p>
    <w:p w14:paraId="3D7432B3" w14:textId="77777777" w:rsidR="00CC62FC" w:rsidRDefault="00CC62FC" w:rsidP="00CC62FC">
      <w:pPr>
        <w:spacing w:line="260" w:lineRule="atLeast"/>
        <w:jc w:val="both"/>
        <w:rPr>
          <w:rFonts w:ascii="Times New Roman" w:eastAsia="Calibri" w:hAnsi="Times New Roman" w:cs="Arial"/>
          <w:bCs/>
          <w:i/>
          <w:caps/>
          <w:szCs w:val="28"/>
          <w:lang w:eastAsia="en-US"/>
        </w:rPr>
      </w:pPr>
    </w:p>
    <w:p w14:paraId="73904248" w14:textId="479EF1D4" w:rsidR="00CC62FC" w:rsidRDefault="00CC62FC">
      <w:pPr>
        <w:spacing w:line="260" w:lineRule="atLeast"/>
        <w:rPr>
          <w:rFonts w:ascii="Times New Roman" w:eastAsia="Calibri" w:hAnsi="Times New Roman" w:cs="Times New Roman"/>
          <w:i/>
          <w:iCs/>
          <w:lang w:eastAsia="en-US"/>
        </w:rPr>
      </w:pPr>
    </w:p>
    <w:p w14:paraId="30960906" w14:textId="77777777" w:rsidR="00CC62FC" w:rsidRDefault="00CC62FC">
      <w:pPr>
        <w:spacing w:line="260" w:lineRule="atLeast"/>
        <w:rPr>
          <w:rFonts w:ascii="Times New Roman" w:eastAsia="Calibri" w:hAnsi="Times New Roman" w:cs="Times New Roman"/>
          <w:i/>
          <w:iCs/>
          <w:lang w:eastAsia="en-US"/>
        </w:rPr>
        <w:sectPr w:rsidR="00CC62FC" w:rsidSect="00BA57DA">
          <w:pgSz w:w="16838" w:h="11906" w:orient="landscape"/>
          <w:pgMar w:top="1446" w:right="1474" w:bottom="1247" w:left="2013" w:header="851" w:footer="851" w:gutter="0"/>
          <w:cols w:space="720"/>
          <w:docGrid w:linePitch="272"/>
        </w:sectPr>
      </w:pPr>
    </w:p>
    <w:p w14:paraId="06C19553" w14:textId="2328F43A" w:rsidR="0015321A" w:rsidRPr="007A4DA8" w:rsidRDefault="0015321A" w:rsidP="00BA57DA">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Meta-SPC 7: Disinfectant for</w:t>
      </w:r>
      <w:r w:rsidR="00C32EB5" w:rsidRPr="007A4DA8">
        <w:rPr>
          <w:rFonts w:eastAsia="Calibri"/>
          <w:b/>
          <w:lang w:eastAsia="en-US"/>
        </w:rPr>
        <w:t xml:space="preserve"> hard surfaces in</w:t>
      </w:r>
      <w:r w:rsidRPr="007A4DA8">
        <w:rPr>
          <w:rFonts w:eastAsia="Calibri"/>
          <w:b/>
          <w:lang w:eastAsia="en-US"/>
        </w:rPr>
        <w:t xml:space="preserve"> </w:t>
      </w:r>
      <w:r w:rsidR="00C32EB5" w:rsidRPr="007A4DA8">
        <w:rPr>
          <w:rFonts w:eastAsia="Calibri"/>
          <w:b/>
          <w:lang w:eastAsia="en-US"/>
        </w:rPr>
        <w:t xml:space="preserve">industry, </w:t>
      </w:r>
      <w:r w:rsidRPr="007A4DA8">
        <w:rPr>
          <w:rFonts w:eastAsia="Calibri"/>
          <w:b/>
          <w:lang w:eastAsia="en-US"/>
        </w:rPr>
        <w:t>institution, healthcare facilities</w:t>
      </w:r>
      <w:r w:rsidR="00C32EB5" w:rsidRPr="007A4DA8">
        <w:rPr>
          <w:rFonts w:eastAsia="Calibri"/>
          <w:b/>
          <w:lang w:eastAsia="en-US"/>
        </w:rPr>
        <w:t>, healthcare</w:t>
      </w:r>
      <w:r w:rsidRPr="007A4DA8">
        <w:rPr>
          <w:rFonts w:eastAsia="Calibri"/>
          <w:b/>
          <w:lang w:eastAsia="en-US"/>
        </w:rPr>
        <w:t xml:space="preserve"> and</w:t>
      </w:r>
      <w:r w:rsidR="00C32EB5" w:rsidRPr="007A4DA8">
        <w:rPr>
          <w:rFonts w:eastAsia="Calibri"/>
          <w:b/>
          <w:lang w:eastAsia="en-US"/>
        </w:rPr>
        <w:t>,</w:t>
      </w:r>
      <w:r w:rsidRPr="007A4DA8">
        <w:rPr>
          <w:rFonts w:eastAsia="Calibri"/>
          <w:b/>
          <w:lang w:eastAsia="en-US"/>
        </w:rPr>
        <w:t xml:space="preserve"> food preparation and handling areas</w:t>
      </w:r>
      <w:r w:rsidR="00C32EB5" w:rsidRPr="007A4DA8">
        <w:rPr>
          <w:rFonts w:eastAsia="Calibri"/>
          <w:b/>
          <w:lang w:eastAsia="en-US"/>
        </w:rPr>
        <w:t xml:space="preserve">, by </w:t>
      </w:r>
      <w:r w:rsidR="00ED3C34" w:rsidRPr="007A4DA8">
        <w:rPr>
          <w:rFonts w:eastAsia="Calibri"/>
          <w:b/>
          <w:lang w:eastAsia="en-US"/>
        </w:rPr>
        <w:t>s</w:t>
      </w:r>
      <w:r w:rsidRPr="007A4DA8">
        <w:rPr>
          <w:rFonts w:eastAsia="Calibri"/>
          <w:b/>
          <w:lang w:eastAsia="en-US"/>
        </w:rPr>
        <w:t xml:space="preserve">praying, </w:t>
      </w:r>
      <w:r w:rsidR="006576EB" w:rsidRPr="007A4DA8">
        <w:rPr>
          <w:rFonts w:eastAsia="Calibri"/>
          <w:b/>
          <w:lang w:eastAsia="en-US"/>
        </w:rPr>
        <w:t>w</w:t>
      </w:r>
      <w:r w:rsidRPr="007A4DA8">
        <w:rPr>
          <w:rFonts w:eastAsia="Calibri"/>
          <w:b/>
          <w:lang w:eastAsia="en-US"/>
        </w:rPr>
        <w:t>iping</w:t>
      </w:r>
      <w:r w:rsidR="006576EB" w:rsidRPr="007A4DA8">
        <w:rPr>
          <w:rFonts w:eastAsia="Calibri"/>
          <w:b/>
          <w:lang w:eastAsia="en-US"/>
        </w:rPr>
        <w:t xml:space="preserve"> </w:t>
      </w:r>
      <w:r w:rsidR="006576EB" w:rsidRPr="007A4DA8">
        <w:rPr>
          <w:b/>
        </w:rPr>
        <w:t>(applying product onto wipe followed by wiping)</w:t>
      </w:r>
      <w:r w:rsidRPr="007A4DA8">
        <w:rPr>
          <w:rFonts w:eastAsia="Calibri"/>
          <w:b/>
          <w:lang w:eastAsia="en-US"/>
        </w:rPr>
        <w:t xml:space="preserve">, </w:t>
      </w:r>
      <w:r w:rsidR="006576EB" w:rsidRPr="007A4DA8">
        <w:rPr>
          <w:rFonts w:eastAsia="Calibri"/>
          <w:b/>
          <w:lang w:eastAsia="en-US"/>
        </w:rPr>
        <w:t>b</w:t>
      </w:r>
      <w:r w:rsidRPr="007A4DA8">
        <w:rPr>
          <w:rFonts w:eastAsia="Calibri"/>
          <w:b/>
          <w:lang w:eastAsia="en-US"/>
        </w:rPr>
        <w:t>rushing</w:t>
      </w:r>
      <w:r w:rsidR="00C32EB5" w:rsidRPr="007A4DA8">
        <w:rPr>
          <w:rFonts w:eastAsia="Calibri"/>
          <w:b/>
          <w:lang w:eastAsia="en-US"/>
        </w:rPr>
        <w:t xml:space="preserve"> </w:t>
      </w:r>
      <w:r w:rsidR="00C32EB5" w:rsidRPr="007A4DA8">
        <w:rPr>
          <w:b/>
        </w:rPr>
        <w:t>(applying product onto brush followed by mopping)</w:t>
      </w:r>
      <w:r w:rsidR="003B6AF8" w:rsidRPr="007A4DA8">
        <w:rPr>
          <w:rFonts w:eastAsia="Calibri"/>
          <w:b/>
          <w:lang w:eastAsia="en-US"/>
        </w:rPr>
        <w:t>,</w:t>
      </w:r>
      <w:r w:rsidRPr="007A4DA8">
        <w:rPr>
          <w:rFonts w:eastAsia="Calibri"/>
          <w:b/>
          <w:lang w:eastAsia="en-US"/>
        </w:rPr>
        <w:t xml:space="preserve"> </w:t>
      </w:r>
      <w:r w:rsidR="003B6AF8" w:rsidRPr="007A4DA8">
        <w:rPr>
          <w:rFonts w:eastAsia="Calibri"/>
          <w:b/>
          <w:lang w:eastAsia="en-US"/>
        </w:rPr>
        <w:t>mopping</w:t>
      </w:r>
      <w:r w:rsidR="003B6AF8" w:rsidRPr="007A4DA8">
        <w:rPr>
          <w:b/>
        </w:rPr>
        <w:t xml:space="preserve"> </w:t>
      </w:r>
      <w:r w:rsidR="006576EB" w:rsidRPr="007A4DA8">
        <w:rPr>
          <w:b/>
        </w:rPr>
        <w:t>(applying product onto mop followed by mopping)</w:t>
      </w:r>
      <w:r w:rsidR="00C32EB5" w:rsidRPr="007A4DA8">
        <w:rPr>
          <w:rFonts w:eastAsia="Calibri"/>
          <w:b/>
          <w:lang w:eastAsia="en-US"/>
        </w:rPr>
        <w:t xml:space="preserve"> and scrubbing – PT2/4</w:t>
      </w:r>
    </w:p>
    <w:p w14:paraId="4B8A344B" w14:textId="77777777" w:rsidR="0015321A" w:rsidRDefault="0015321A" w:rsidP="0015321A">
      <w:pPr>
        <w:spacing w:line="260" w:lineRule="atLeast"/>
        <w:rPr>
          <w:rFonts w:eastAsia="Calibri"/>
          <w:lang w:eastAsia="en-US"/>
        </w:rPr>
      </w:pPr>
    </w:p>
    <w:p w14:paraId="1005025B" w14:textId="4E419163" w:rsidR="0015321A" w:rsidRDefault="0015321A" w:rsidP="0015321A">
      <w:pPr>
        <w:spacing w:line="260" w:lineRule="atLeast"/>
        <w:jc w:val="both"/>
        <w:rPr>
          <w:lang w:eastAsia="en-US"/>
        </w:rPr>
      </w:pPr>
      <w:r w:rsidRPr="005C303E">
        <w:rPr>
          <w:lang w:eastAsia="en-US"/>
        </w:rPr>
        <w:t>META-SPC</w:t>
      </w:r>
      <w:r>
        <w:rPr>
          <w:lang w:eastAsia="en-US"/>
        </w:rPr>
        <w:t>7</w:t>
      </w:r>
      <w:r w:rsidRPr="005C303E">
        <w:rPr>
          <w:lang w:eastAsia="en-US"/>
        </w:rPr>
        <w:t xml:space="preserve"> contains </w:t>
      </w:r>
      <w:r w:rsidR="00C57FF4">
        <w:rPr>
          <w:lang w:eastAsia="en-US"/>
        </w:rPr>
        <w:t>products to be diluted in water</w:t>
      </w:r>
      <w:r w:rsidR="00C57FF4" w:rsidDel="00C57FF4">
        <w:rPr>
          <w:lang w:eastAsia="en-US"/>
        </w:rPr>
        <w:t xml:space="preserve"> </w:t>
      </w:r>
      <w:r>
        <w:rPr>
          <w:lang w:eastAsia="en-US"/>
        </w:rPr>
        <w:t xml:space="preserve">containing </w:t>
      </w:r>
      <w:r w:rsidR="008A028D">
        <w:rPr>
          <w:lang w:eastAsia="en-US"/>
        </w:rPr>
        <w:t>12</w:t>
      </w:r>
      <w:r>
        <w:rPr>
          <w:lang w:eastAsia="en-US"/>
        </w:rPr>
        <w:t xml:space="preserve">% w/w lactic acid, and minor variations of coformulants, in low concentrations without biocidal activity. </w:t>
      </w:r>
    </w:p>
    <w:p w14:paraId="2B38201F" w14:textId="1AD3B5D8" w:rsidR="0015321A" w:rsidRPr="008C22EB" w:rsidRDefault="0015321A" w:rsidP="0015321A">
      <w:pPr>
        <w:spacing w:line="260" w:lineRule="atLeast"/>
        <w:rPr>
          <w:rFonts w:cs="Arial"/>
          <w:lang w:eastAsia="en-US"/>
        </w:rPr>
      </w:pPr>
      <w:r>
        <w:rPr>
          <w:lang w:eastAsia="en-US"/>
        </w:rPr>
        <w:t xml:space="preserve">Efficacy studies have been performed with representative product </w:t>
      </w:r>
      <w:r w:rsidRPr="00C914AE">
        <w:rPr>
          <w:rFonts w:eastAsia="Calibri"/>
          <w:iCs/>
          <w:szCs w:val="24"/>
          <w:lang w:eastAsia="en-US"/>
        </w:rPr>
        <w:t>AL-S7-1-0 (</w:t>
      </w:r>
      <w:r w:rsidR="007325F4" w:rsidRPr="00C914AE">
        <w:rPr>
          <w:rFonts w:eastAsia="Calibri"/>
          <w:iCs/>
          <w:szCs w:val="24"/>
          <w:lang w:eastAsia="en-US"/>
        </w:rPr>
        <w:t>1</w:t>
      </w:r>
      <w:r w:rsidR="007325F4">
        <w:rPr>
          <w:rFonts w:eastAsia="Calibri"/>
          <w:iCs/>
          <w:szCs w:val="24"/>
          <w:lang w:eastAsia="en-US"/>
        </w:rPr>
        <w:t>2</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8C22EB">
        <w:rPr>
          <w:rFonts w:cs="Arial"/>
          <w:lang w:eastAsia="en-US"/>
        </w:rPr>
        <w:t xml:space="preserve">Taking into account the variations of the co-formulants presented in the META-SPC7, it can be assumed that they have no impact on efficacy and the efficacy results of the representative products </w:t>
      </w:r>
      <w:r w:rsidRPr="00C914AE">
        <w:rPr>
          <w:rFonts w:eastAsia="Calibri"/>
          <w:iCs/>
          <w:szCs w:val="24"/>
          <w:lang w:eastAsia="en-US"/>
        </w:rPr>
        <w:t xml:space="preserve">AL-S7-1-0 </w:t>
      </w:r>
      <w:r w:rsidRPr="008C22EB">
        <w:rPr>
          <w:rFonts w:cs="Arial"/>
          <w:lang w:eastAsia="en-US"/>
        </w:rPr>
        <w:t>cover the whole META-SPC7 claims.</w:t>
      </w:r>
    </w:p>
    <w:p w14:paraId="23350E8B" w14:textId="77777777" w:rsidR="0015321A" w:rsidRDefault="0015321A" w:rsidP="0015321A">
      <w:pPr>
        <w:spacing w:line="260" w:lineRule="atLeast"/>
        <w:rPr>
          <w:rFonts w:eastAsia="Calibri"/>
          <w:lang w:eastAsia="en-US"/>
        </w:rPr>
      </w:pPr>
    </w:p>
    <w:p w14:paraId="457BB6B3" w14:textId="77777777" w:rsidR="0015321A" w:rsidRDefault="0015321A" w:rsidP="0015321A">
      <w:pPr>
        <w:spacing w:line="260" w:lineRule="atLeast"/>
        <w:rPr>
          <w:rFonts w:eastAsia="Calibri"/>
          <w:lang w:eastAsia="en-US"/>
        </w:rPr>
      </w:pPr>
    </w:p>
    <w:p w14:paraId="361CC074" w14:textId="1276423E" w:rsidR="0015321A" w:rsidRDefault="0015321A" w:rsidP="0015321A">
      <w:pPr>
        <w:spacing w:line="260" w:lineRule="atLeast"/>
        <w:jc w:val="both"/>
        <w:rPr>
          <w:rFonts w:eastAsia="Calibri"/>
          <w:lang w:eastAsia="en-US"/>
        </w:rPr>
      </w:pPr>
      <w:r>
        <w:rPr>
          <w:rFonts w:eastAsia="Calibri"/>
          <w:lang w:eastAsia="en-US"/>
        </w:rPr>
        <w:t xml:space="preserve">For </w:t>
      </w:r>
      <w:r w:rsidRPr="000B2255">
        <w:rPr>
          <w:rFonts w:eastAsia="Calibri"/>
          <w:lang w:eastAsia="en-US"/>
        </w:rPr>
        <w:t>institutional, industrial, healthcare facilities and food preparation and handling areas</w:t>
      </w:r>
      <w:r>
        <w:rPr>
          <w:rFonts w:eastAsia="Calibri"/>
          <w:lang w:eastAsia="en-US"/>
        </w:rPr>
        <w:t xml:space="preserve">: </w:t>
      </w:r>
      <w:r w:rsidRPr="000B2255">
        <w:rPr>
          <w:rFonts w:eastAsia="Calibri"/>
          <w:lang w:eastAsia="en-US"/>
        </w:rPr>
        <w:t xml:space="preserve"> </w:t>
      </w:r>
      <w:r>
        <w:rPr>
          <w:rFonts w:eastAsia="Calibri"/>
          <w:lang w:eastAsia="en-US"/>
        </w:rPr>
        <w:t>B</w:t>
      </w:r>
      <w:r w:rsidRPr="000B2255">
        <w:rPr>
          <w:rFonts w:eastAsia="Calibri"/>
          <w:lang w:eastAsia="en-US"/>
        </w:rPr>
        <w:t>actericidal activity</w:t>
      </w:r>
      <w:r>
        <w:rPr>
          <w:rFonts w:eastAsia="Calibri"/>
          <w:lang w:eastAsia="en-US"/>
        </w:rPr>
        <w:t xml:space="preserve"> is demonstrated in phase 2, steps 1 and 2 tests (EN1276 and EN13697)</w:t>
      </w:r>
      <w:r w:rsidRPr="000B2255">
        <w:rPr>
          <w:rFonts w:eastAsia="Calibri"/>
          <w:lang w:eastAsia="en-US"/>
        </w:rPr>
        <w:t xml:space="preserve">, at 20°C </w:t>
      </w:r>
      <w:r>
        <w:rPr>
          <w:rFonts w:eastAsia="Calibri"/>
          <w:lang w:eastAsia="en-US"/>
        </w:rPr>
        <w:t xml:space="preserve">with a </w:t>
      </w:r>
      <w:r w:rsidRPr="000B2255">
        <w:rPr>
          <w:rFonts w:eastAsia="Calibri"/>
          <w:lang w:eastAsia="en-US"/>
        </w:rPr>
        <w:t>contact time of 5 minutes</w:t>
      </w:r>
      <w:r>
        <w:rPr>
          <w:rFonts w:eastAsia="Calibri"/>
          <w:lang w:eastAsia="en-US"/>
        </w:rPr>
        <w:t>,</w:t>
      </w:r>
      <w:r w:rsidRPr="000B2255">
        <w:rPr>
          <w:rFonts w:eastAsia="Calibri"/>
          <w:lang w:eastAsia="en-US"/>
        </w:rPr>
        <w:t xml:space="preserve"> in dirty conditions</w:t>
      </w:r>
      <w:r>
        <w:rPr>
          <w:rFonts w:eastAsia="Calibri"/>
          <w:lang w:eastAsia="en-US"/>
        </w:rPr>
        <w:t xml:space="preserve"> (3.0 g/L BSA). </w:t>
      </w:r>
      <w:r w:rsidRPr="003D493E">
        <w:rPr>
          <w:lang w:eastAsia="en-US"/>
        </w:rPr>
        <w:t xml:space="preserve">In these conditions, bactericidal activity is shown at the in-use concentration of </w:t>
      </w:r>
      <w:r>
        <w:rPr>
          <w:rFonts w:eastAsia="Calibri"/>
          <w:lang w:eastAsia="en-US"/>
        </w:rPr>
        <w:t>5</w:t>
      </w:r>
      <w:r w:rsidRPr="00F81A6F">
        <w:rPr>
          <w:rFonts w:eastAsia="Calibri"/>
          <w:lang w:eastAsia="en-US"/>
        </w:rPr>
        <w:t>% (v/v</w:t>
      </w:r>
      <w:r>
        <w:rPr>
          <w:rFonts w:eastAsia="Calibri"/>
          <w:lang w:eastAsia="en-US"/>
        </w:rPr>
        <w:t>)</w:t>
      </w:r>
      <w:r w:rsidRPr="000B2255">
        <w:rPr>
          <w:rFonts w:eastAsia="Calibri"/>
          <w:lang w:eastAsia="en-US"/>
        </w:rPr>
        <w:t xml:space="preserve"> </w:t>
      </w:r>
    </w:p>
    <w:p w14:paraId="080FEA4D" w14:textId="77777777" w:rsidR="0015321A" w:rsidRDefault="0015321A" w:rsidP="0015321A">
      <w:pPr>
        <w:spacing w:line="260" w:lineRule="atLeast"/>
        <w:jc w:val="both"/>
        <w:rPr>
          <w:rFonts w:eastAsia="Calibri"/>
          <w:lang w:eastAsia="en-US"/>
        </w:rPr>
      </w:pPr>
      <w:r>
        <w:rPr>
          <w:rFonts w:eastAsia="Calibri"/>
          <w:lang w:eastAsia="en-US"/>
        </w:rPr>
        <w:t>Y</w:t>
      </w:r>
      <w:r w:rsidRPr="000B2255">
        <w:rPr>
          <w:rFonts w:eastAsia="Calibri"/>
          <w:lang w:eastAsia="en-US"/>
        </w:rPr>
        <w:t>easticidal activity</w:t>
      </w:r>
      <w:r>
        <w:rPr>
          <w:rFonts w:eastAsia="Calibri"/>
          <w:lang w:eastAsia="en-US"/>
        </w:rPr>
        <w:t xml:space="preserve"> is demonstrated in phase 2, steps 1 and 2 tests (EN1650 and EN13697)</w:t>
      </w:r>
      <w:r w:rsidRPr="000B2255">
        <w:rPr>
          <w:rFonts w:eastAsia="Calibri"/>
          <w:lang w:eastAsia="en-US"/>
        </w:rPr>
        <w:t>, at 20°C with</w:t>
      </w:r>
      <w:r>
        <w:rPr>
          <w:rFonts w:eastAsia="Calibri"/>
          <w:lang w:eastAsia="en-US"/>
        </w:rPr>
        <w:t xml:space="preserve"> a</w:t>
      </w:r>
      <w:r w:rsidRPr="000B2255">
        <w:rPr>
          <w:rFonts w:eastAsia="Calibri"/>
          <w:lang w:eastAsia="en-US"/>
        </w:rPr>
        <w:t xml:space="preserve"> contact time of 15 minutes</w:t>
      </w:r>
      <w:r>
        <w:rPr>
          <w:rFonts w:eastAsia="Calibri"/>
          <w:lang w:eastAsia="en-US"/>
        </w:rPr>
        <w:t>,</w:t>
      </w:r>
      <w:r w:rsidRPr="008C22EB">
        <w:rPr>
          <w:rFonts w:eastAsia="Calibri"/>
          <w:lang w:eastAsia="en-US"/>
        </w:rPr>
        <w:t xml:space="preserve"> </w:t>
      </w:r>
      <w:r w:rsidRPr="000B2255">
        <w:rPr>
          <w:rFonts w:eastAsia="Calibri"/>
          <w:lang w:eastAsia="en-US"/>
        </w:rPr>
        <w:t>in dirty conditions</w:t>
      </w:r>
      <w:r>
        <w:rPr>
          <w:rFonts w:eastAsia="Calibri"/>
          <w:lang w:eastAsia="en-US"/>
        </w:rPr>
        <w:t xml:space="preserve"> (3.0 g/L BSA). </w:t>
      </w:r>
      <w:r w:rsidRPr="003D493E">
        <w:rPr>
          <w:lang w:eastAsia="en-US"/>
        </w:rPr>
        <w:t xml:space="preserve">In these conditions, </w:t>
      </w:r>
      <w:r>
        <w:rPr>
          <w:lang w:eastAsia="en-US"/>
        </w:rPr>
        <w:t>yeasticidal</w:t>
      </w:r>
      <w:r w:rsidRPr="003D493E">
        <w:rPr>
          <w:lang w:eastAsia="en-US"/>
        </w:rPr>
        <w:t xml:space="preserve"> activity </w:t>
      </w:r>
      <w:r>
        <w:rPr>
          <w:rFonts w:eastAsia="Calibri"/>
          <w:lang w:eastAsia="en-US"/>
        </w:rPr>
        <w:t>is shown</w:t>
      </w:r>
      <w:r w:rsidRPr="000B2255">
        <w:rPr>
          <w:rFonts w:eastAsia="Calibri"/>
          <w:lang w:eastAsia="en-US"/>
        </w:rPr>
        <w:t xml:space="preserve"> at </w:t>
      </w:r>
      <w:r w:rsidRPr="003D493E">
        <w:rPr>
          <w:lang w:eastAsia="en-US"/>
        </w:rPr>
        <w:t xml:space="preserve">the in-use concentration of </w:t>
      </w:r>
      <w:r>
        <w:rPr>
          <w:rFonts w:eastAsia="Calibri"/>
          <w:lang w:eastAsia="en-US"/>
        </w:rPr>
        <w:t>8</w:t>
      </w:r>
      <w:r w:rsidRPr="00F81A6F">
        <w:rPr>
          <w:rFonts w:eastAsia="Calibri"/>
          <w:lang w:eastAsia="en-US"/>
        </w:rPr>
        <w:t>% (v/v</w:t>
      </w:r>
      <w:r>
        <w:rPr>
          <w:rFonts w:eastAsia="Calibri"/>
          <w:lang w:eastAsia="en-US"/>
        </w:rPr>
        <w:t>).</w:t>
      </w:r>
    </w:p>
    <w:p w14:paraId="659C3C60" w14:textId="77777777" w:rsidR="0015321A" w:rsidRPr="000B2255" w:rsidRDefault="0015321A" w:rsidP="0015321A">
      <w:pPr>
        <w:spacing w:line="260" w:lineRule="atLeast"/>
        <w:jc w:val="both"/>
        <w:rPr>
          <w:rFonts w:eastAsia="Calibri"/>
          <w:lang w:eastAsia="en-US"/>
        </w:rPr>
      </w:pPr>
    </w:p>
    <w:p w14:paraId="35C515C1" w14:textId="63AFD2DF" w:rsidR="0015321A" w:rsidRPr="000B2255" w:rsidRDefault="0015321A" w:rsidP="0015321A">
      <w:pPr>
        <w:spacing w:line="260" w:lineRule="atLeast"/>
        <w:jc w:val="both"/>
        <w:rPr>
          <w:rFonts w:eastAsia="Calibri"/>
          <w:lang w:eastAsia="en-US"/>
        </w:rPr>
      </w:pPr>
      <w:r>
        <w:rPr>
          <w:rFonts w:eastAsia="Calibri"/>
          <w:lang w:eastAsia="en-US"/>
        </w:rPr>
        <w:t>B</w:t>
      </w:r>
      <w:r w:rsidRPr="000B2255">
        <w:rPr>
          <w:rFonts w:eastAsia="Calibri"/>
          <w:lang w:eastAsia="en-US"/>
        </w:rPr>
        <w:t>actericidal activity,</w:t>
      </w:r>
      <w:r w:rsidRPr="00023DE9">
        <w:rPr>
          <w:rFonts w:eastAsia="Calibri"/>
          <w:lang w:eastAsia="en-US"/>
        </w:rPr>
        <w:t xml:space="preserve"> </w:t>
      </w:r>
      <w:r>
        <w:rPr>
          <w:rFonts w:eastAsia="Calibri"/>
          <w:lang w:eastAsia="en-US"/>
        </w:rPr>
        <w:t>is demonstrated in phase 2, steps 1 and 2 tests (EN 1276 and EN 13697)</w:t>
      </w:r>
      <w:r w:rsidRPr="004143FC">
        <w:rPr>
          <w:rFonts w:eastAsia="Calibri"/>
          <w:lang w:eastAsia="en-US"/>
        </w:rPr>
        <w:t>,</w:t>
      </w:r>
      <w:r>
        <w:rPr>
          <w:rFonts w:eastAsia="Calibri"/>
          <w:lang w:eastAsia="en-US"/>
        </w:rPr>
        <w:t xml:space="preserve"> </w:t>
      </w:r>
      <w:r w:rsidRPr="000B2255">
        <w:rPr>
          <w:rFonts w:eastAsia="Calibri"/>
          <w:lang w:eastAsia="en-US"/>
        </w:rPr>
        <w:t xml:space="preserve">at 40°C </w:t>
      </w:r>
      <w:r>
        <w:rPr>
          <w:rFonts w:eastAsia="Calibri"/>
          <w:lang w:eastAsia="en-US"/>
        </w:rPr>
        <w:t xml:space="preserve">with a </w:t>
      </w:r>
      <w:r w:rsidRPr="000B2255">
        <w:rPr>
          <w:rFonts w:eastAsia="Calibri"/>
          <w:lang w:eastAsia="en-US"/>
        </w:rPr>
        <w:t>contact time of 15 minutes</w:t>
      </w:r>
      <w:r w:rsidR="00DF446C">
        <w:rPr>
          <w:rFonts w:eastAsia="Calibri"/>
          <w:lang w:eastAsia="en-US"/>
        </w:rPr>
        <w:t>,</w:t>
      </w:r>
      <w:r w:rsidRPr="000B2255">
        <w:rPr>
          <w:rFonts w:eastAsia="Calibri"/>
          <w:lang w:eastAsia="en-US"/>
        </w:rPr>
        <w:t xml:space="preserve"> in dirty conditions</w:t>
      </w:r>
      <w:r>
        <w:rPr>
          <w:rFonts w:eastAsia="Calibri"/>
          <w:lang w:eastAsia="en-US"/>
        </w:rPr>
        <w:t xml:space="preserve"> (3.0 g/L BSA). </w:t>
      </w:r>
      <w:r w:rsidRPr="003D493E">
        <w:rPr>
          <w:lang w:eastAsia="en-US"/>
        </w:rPr>
        <w:t xml:space="preserve">In these conditions, bactericidal activity is shown at the in-use concentration of </w:t>
      </w:r>
      <w:r>
        <w:rPr>
          <w:rFonts w:eastAsia="Calibri"/>
          <w:lang w:eastAsia="en-US"/>
        </w:rPr>
        <w:t>4</w:t>
      </w:r>
      <w:r w:rsidRPr="00F81A6F">
        <w:rPr>
          <w:rFonts w:eastAsia="Calibri"/>
          <w:lang w:eastAsia="en-US"/>
        </w:rPr>
        <w:t>% (v/v</w:t>
      </w:r>
      <w:r>
        <w:rPr>
          <w:rFonts w:eastAsia="Calibri"/>
          <w:lang w:eastAsia="en-US"/>
        </w:rPr>
        <w:t>). Yeasticidal activity is demonstrated in phase 2, steps 1 and 2 tests (EN 1650 and EN 13697)</w:t>
      </w:r>
      <w:r w:rsidRPr="004143FC">
        <w:rPr>
          <w:rFonts w:eastAsia="Calibri"/>
          <w:lang w:eastAsia="en-US"/>
        </w:rPr>
        <w:t>,</w:t>
      </w:r>
      <w:r w:rsidRPr="00CC0D4E">
        <w:rPr>
          <w:rFonts w:eastAsia="Calibri"/>
          <w:lang w:eastAsia="en-US"/>
        </w:rPr>
        <w:t xml:space="preserve"> </w:t>
      </w:r>
      <w:r w:rsidRPr="004143FC">
        <w:rPr>
          <w:rFonts w:eastAsia="Calibri"/>
          <w:lang w:eastAsia="en-US"/>
        </w:rPr>
        <w:t>at 40°C</w:t>
      </w:r>
      <w:r>
        <w:rPr>
          <w:rFonts w:eastAsia="Calibri"/>
          <w:lang w:eastAsia="en-US"/>
        </w:rPr>
        <w:t>,</w:t>
      </w:r>
      <w:r w:rsidRPr="004143FC">
        <w:rPr>
          <w:rFonts w:eastAsia="Calibri"/>
          <w:lang w:eastAsia="en-US"/>
        </w:rPr>
        <w:t xml:space="preserve"> </w:t>
      </w:r>
      <w:r w:rsidRPr="000B2255">
        <w:rPr>
          <w:rFonts w:eastAsia="Calibri"/>
          <w:lang w:eastAsia="en-US"/>
        </w:rPr>
        <w:t xml:space="preserve">with </w:t>
      </w:r>
      <w:r>
        <w:rPr>
          <w:rFonts w:eastAsia="Calibri"/>
          <w:lang w:eastAsia="en-US"/>
        </w:rPr>
        <w:t xml:space="preserve">a </w:t>
      </w:r>
      <w:r w:rsidRPr="000B2255">
        <w:rPr>
          <w:rFonts w:eastAsia="Calibri"/>
          <w:lang w:eastAsia="en-US"/>
        </w:rPr>
        <w:t>contact time of 30 minu</w:t>
      </w:r>
      <w:r>
        <w:rPr>
          <w:rFonts w:eastAsia="Calibri"/>
          <w:lang w:eastAsia="en-US"/>
        </w:rPr>
        <w:t>tes, in dirty conditions (3.0 g/L BSA).</w:t>
      </w:r>
      <w:r w:rsidRPr="008C22EB">
        <w:rPr>
          <w:lang w:eastAsia="en-US"/>
        </w:rPr>
        <w:t xml:space="preserve"> </w:t>
      </w:r>
      <w:r w:rsidRPr="003D493E">
        <w:rPr>
          <w:lang w:eastAsia="en-US"/>
        </w:rPr>
        <w:t>In these conditions,</w:t>
      </w:r>
      <w:r>
        <w:rPr>
          <w:lang w:eastAsia="en-US"/>
        </w:rPr>
        <w:t xml:space="preserve"> yeasticidal activity </w:t>
      </w:r>
      <w:r>
        <w:rPr>
          <w:rFonts w:eastAsia="Calibri"/>
          <w:lang w:eastAsia="en-US"/>
        </w:rPr>
        <w:t>is shown at the in-use concentration of 6% (v/v).</w:t>
      </w:r>
    </w:p>
    <w:p w14:paraId="64E04FA6" w14:textId="77777777" w:rsidR="0015321A" w:rsidRPr="000B2255" w:rsidRDefault="0015321A" w:rsidP="0015321A">
      <w:pPr>
        <w:spacing w:line="260" w:lineRule="atLeast"/>
        <w:jc w:val="both"/>
        <w:rPr>
          <w:rFonts w:eastAsia="Calibri"/>
          <w:lang w:eastAsia="en-US"/>
        </w:rPr>
      </w:pPr>
    </w:p>
    <w:p w14:paraId="0C5C7889" w14:textId="3C9246EC" w:rsidR="0015321A" w:rsidRDefault="0015321A" w:rsidP="0015321A">
      <w:pPr>
        <w:spacing w:line="260" w:lineRule="atLeast"/>
        <w:jc w:val="both"/>
        <w:rPr>
          <w:rFonts w:eastAsia="Calibri"/>
          <w:lang w:eastAsia="en-US"/>
        </w:rPr>
      </w:pPr>
      <w:r>
        <w:rPr>
          <w:rFonts w:eastAsia="Calibri"/>
          <w:lang w:eastAsia="en-US"/>
        </w:rPr>
        <w:t>For</w:t>
      </w:r>
      <w:r w:rsidRPr="000B2255">
        <w:rPr>
          <w:rFonts w:eastAsia="Calibri"/>
          <w:lang w:eastAsia="en-US"/>
        </w:rPr>
        <w:t xml:space="preserve"> </w:t>
      </w:r>
      <w:r w:rsidR="00C32EB5">
        <w:rPr>
          <w:rFonts w:eastAsia="Calibri"/>
          <w:lang w:eastAsia="en-US"/>
        </w:rPr>
        <w:t>healthcare</w:t>
      </w:r>
      <w:r w:rsidRPr="000B2255">
        <w:rPr>
          <w:rFonts w:eastAsia="Calibri"/>
          <w:lang w:eastAsia="en-US"/>
        </w:rPr>
        <w:t xml:space="preserve"> area</w:t>
      </w:r>
      <w:r>
        <w:rPr>
          <w:rFonts w:eastAsia="Calibri"/>
          <w:lang w:eastAsia="en-US"/>
        </w:rPr>
        <w:t>:</w:t>
      </w:r>
    </w:p>
    <w:p w14:paraId="5288E274" w14:textId="24F2F48D" w:rsidR="0015321A" w:rsidRDefault="0015321A" w:rsidP="0015321A">
      <w:pPr>
        <w:spacing w:line="260" w:lineRule="atLeast"/>
        <w:jc w:val="both"/>
        <w:rPr>
          <w:rFonts w:eastAsia="Calibri"/>
          <w:lang w:eastAsia="en-US"/>
        </w:rPr>
      </w:pPr>
      <w:r>
        <w:rPr>
          <w:rFonts w:eastAsia="Calibri"/>
          <w:lang w:eastAsia="en-US"/>
        </w:rPr>
        <w:t>B</w:t>
      </w:r>
      <w:r w:rsidRPr="000B2255">
        <w:rPr>
          <w:rFonts w:eastAsia="Calibri"/>
          <w:lang w:eastAsia="en-US"/>
        </w:rPr>
        <w:t>actericidal activity</w:t>
      </w:r>
      <w:r>
        <w:rPr>
          <w:rFonts w:eastAsia="Calibri"/>
          <w:lang w:eastAsia="en-US"/>
        </w:rPr>
        <w:t xml:space="preserve"> is demonstrated in phase 2, steps 1 and 2 tests (EN 13627 and EN 13697)</w:t>
      </w:r>
      <w:r w:rsidRPr="000B2255">
        <w:rPr>
          <w:rFonts w:eastAsia="Calibri"/>
          <w:lang w:eastAsia="en-US"/>
        </w:rPr>
        <w:t xml:space="preserve">, at 20°C </w:t>
      </w:r>
      <w:r>
        <w:rPr>
          <w:rFonts w:eastAsia="Calibri"/>
          <w:lang w:eastAsia="en-US"/>
        </w:rPr>
        <w:t xml:space="preserve">with a </w:t>
      </w:r>
      <w:r w:rsidRPr="000B2255">
        <w:rPr>
          <w:rFonts w:eastAsia="Calibri"/>
          <w:lang w:eastAsia="en-US"/>
        </w:rPr>
        <w:t>contact time of 5 minutes</w:t>
      </w:r>
      <w:r w:rsidR="00DF446C">
        <w:rPr>
          <w:rFonts w:eastAsia="Calibri"/>
          <w:lang w:eastAsia="en-US"/>
        </w:rPr>
        <w:t>,</w:t>
      </w:r>
      <w:r w:rsidRPr="000B2255">
        <w:rPr>
          <w:rFonts w:eastAsia="Calibri"/>
          <w:lang w:eastAsia="en-US"/>
        </w:rPr>
        <w:t xml:space="preserve"> in dirty conditions</w:t>
      </w:r>
      <w:r>
        <w:rPr>
          <w:rFonts w:eastAsia="Calibri"/>
          <w:lang w:eastAsia="en-US"/>
        </w:rPr>
        <w:t xml:space="preserve"> (3.0 g/L BSA + 3 mL/L </w:t>
      </w:r>
      <w:r w:rsidR="00DF446C">
        <w:rPr>
          <w:rFonts w:eastAsia="Calibri"/>
          <w:lang w:eastAsia="en-US"/>
        </w:rPr>
        <w:t xml:space="preserve">sheep </w:t>
      </w:r>
      <w:r>
        <w:rPr>
          <w:rFonts w:eastAsia="Calibri"/>
          <w:lang w:eastAsia="en-US"/>
        </w:rPr>
        <w:t xml:space="preserve">erythrocytes). </w:t>
      </w:r>
      <w:r w:rsidRPr="003D493E">
        <w:rPr>
          <w:lang w:eastAsia="en-US"/>
        </w:rPr>
        <w:t xml:space="preserve">In these conditions, bactericidal activity is shown at the in-use concentration of </w:t>
      </w:r>
      <w:r>
        <w:rPr>
          <w:rFonts w:eastAsia="Calibri"/>
          <w:lang w:eastAsia="en-US"/>
        </w:rPr>
        <w:t>6</w:t>
      </w:r>
      <w:r w:rsidRPr="00F81A6F">
        <w:rPr>
          <w:rFonts w:eastAsia="Calibri"/>
          <w:lang w:eastAsia="en-US"/>
        </w:rPr>
        <w:t>% (v/v</w:t>
      </w:r>
      <w:r>
        <w:rPr>
          <w:rFonts w:eastAsia="Calibri"/>
          <w:lang w:eastAsia="en-US"/>
        </w:rPr>
        <w:t>).</w:t>
      </w:r>
      <w:r w:rsidRPr="000B2255">
        <w:rPr>
          <w:rFonts w:eastAsia="Calibri"/>
          <w:lang w:eastAsia="en-US"/>
        </w:rPr>
        <w:t xml:space="preserve"> </w:t>
      </w:r>
    </w:p>
    <w:p w14:paraId="68646F4E" w14:textId="1CEE22D7" w:rsidR="0015321A" w:rsidRPr="000B2255" w:rsidRDefault="0015321A" w:rsidP="0015321A">
      <w:pPr>
        <w:spacing w:line="260" w:lineRule="atLeast"/>
        <w:jc w:val="both"/>
        <w:rPr>
          <w:rFonts w:eastAsia="Calibri"/>
          <w:lang w:eastAsia="en-US"/>
        </w:rPr>
      </w:pPr>
      <w:r>
        <w:rPr>
          <w:rFonts w:eastAsia="Calibri"/>
          <w:lang w:eastAsia="en-US"/>
        </w:rPr>
        <w:t xml:space="preserve">Yeasticidal activity is demonstrated in phase 2, steps 1 and 2 tests (EN 1650 and EN 13697), </w:t>
      </w:r>
      <w:r w:rsidRPr="00F81A6F">
        <w:rPr>
          <w:rFonts w:eastAsia="Calibri"/>
          <w:lang w:eastAsia="en-US"/>
        </w:rPr>
        <w:t>at 20°C</w:t>
      </w:r>
      <w:r>
        <w:rPr>
          <w:rFonts w:eastAsia="Calibri"/>
          <w:lang w:eastAsia="en-US"/>
        </w:rPr>
        <w:t>,</w:t>
      </w:r>
      <w:r w:rsidRPr="00F81A6F">
        <w:rPr>
          <w:rFonts w:eastAsia="Calibri"/>
          <w:lang w:eastAsia="en-US"/>
        </w:rPr>
        <w:t xml:space="preserve"> with contact time of 5 minutes</w:t>
      </w:r>
      <w:r>
        <w:rPr>
          <w:rFonts w:eastAsia="Calibri"/>
          <w:lang w:eastAsia="en-US"/>
        </w:rPr>
        <w:t>,</w:t>
      </w:r>
      <w:r w:rsidRPr="00F81A6F">
        <w:rPr>
          <w:rFonts w:eastAsia="Calibri"/>
          <w:lang w:eastAsia="en-US"/>
        </w:rPr>
        <w:t xml:space="preserve"> </w:t>
      </w:r>
      <w:r>
        <w:rPr>
          <w:rFonts w:eastAsia="Calibri"/>
          <w:lang w:eastAsia="en-US"/>
        </w:rPr>
        <w:t>in dirty conditions (3.0</w:t>
      </w:r>
      <w:r w:rsidR="00DF446C">
        <w:rPr>
          <w:rFonts w:eastAsia="Calibri"/>
          <w:lang w:eastAsia="en-US"/>
        </w:rPr>
        <w:t xml:space="preserve"> </w:t>
      </w:r>
      <w:r>
        <w:rPr>
          <w:rFonts w:eastAsia="Calibri"/>
          <w:lang w:eastAsia="en-US"/>
        </w:rPr>
        <w:t xml:space="preserve">g/L + 3mL/L </w:t>
      </w:r>
      <w:r w:rsidR="00DF446C">
        <w:rPr>
          <w:rFonts w:eastAsia="Calibri"/>
          <w:lang w:eastAsia="en-US"/>
        </w:rPr>
        <w:t xml:space="preserve">sheep </w:t>
      </w:r>
      <w:r>
        <w:rPr>
          <w:rFonts w:eastAsia="Calibri"/>
          <w:lang w:eastAsia="en-US"/>
        </w:rPr>
        <w:t xml:space="preserve">erythrocytes). </w:t>
      </w:r>
      <w:r w:rsidRPr="003D493E">
        <w:rPr>
          <w:lang w:eastAsia="en-US"/>
        </w:rPr>
        <w:t>In these conditions,</w:t>
      </w:r>
      <w:r>
        <w:rPr>
          <w:lang w:eastAsia="en-US"/>
        </w:rPr>
        <w:t xml:space="preserve"> yeasticidal activity</w:t>
      </w:r>
      <w:r>
        <w:rPr>
          <w:rFonts w:eastAsia="Calibri"/>
          <w:lang w:eastAsia="en-US"/>
        </w:rPr>
        <w:t xml:space="preserve"> is shown at the in-use concentration of 10% (v/v).</w:t>
      </w:r>
    </w:p>
    <w:p w14:paraId="700EE424" w14:textId="77777777" w:rsidR="0015321A" w:rsidRPr="000B2255" w:rsidRDefault="0015321A" w:rsidP="0015321A">
      <w:pPr>
        <w:spacing w:line="260" w:lineRule="atLeast"/>
        <w:jc w:val="both"/>
        <w:rPr>
          <w:rFonts w:eastAsia="Calibri"/>
          <w:lang w:eastAsia="en-US"/>
        </w:rPr>
      </w:pPr>
    </w:p>
    <w:p w14:paraId="06532CFF" w14:textId="77777777" w:rsidR="0015321A" w:rsidRPr="000B2255" w:rsidRDefault="0015321A" w:rsidP="0015321A">
      <w:pPr>
        <w:spacing w:line="260" w:lineRule="atLeast"/>
        <w:jc w:val="both"/>
        <w:rPr>
          <w:rFonts w:eastAsia="Calibri"/>
          <w:lang w:eastAsia="en-US"/>
        </w:rPr>
      </w:pPr>
    </w:p>
    <w:p w14:paraId="3FF1E61D" w14:textId="660C01BE" w:rsidR="0015321A" w:rsidRDefault="0015321A" w:rsidP="0015321A">
      <w:pPr>
        <w:spacing w:line="260" w:lineRule="atLeast"/>
        <w:jc w:val="both"/>
        <w:rPr>
          <w:rFonts w:eastAsia="Calibri"/>
          <w:lang w:eastAsia="en-US"/>
        </w:rPr>
      </w:pPr>
      <w:r>
        <w:rPr>
          <w:rFonts w:eastAsia="Calibri"/>
          <w:lang w:eastAsia="en-US"/>
        </w:rPr>
        <w:t xml:space="preserve">For </w:t>
      </w:r>
      <w:r w:rsidR="00ED3C34">
        <w:rPr>
          <w:rFonts w:eastAsia="Calibri"/>
          <w:lang w:eastAsia="en-US"/>
        </w:rPr>
        <w:t>healthcare</w:t>
      </w:r>
      <w:r w:rsidRPr="000B2255">
        <w:rPr>
          <w:rFonts w:eastAsia="Calibri"/>
          <w:lang w:eastAsia="en-US"/>
        </w:rPr>
        <w:t>, institutional, industrial, healthcare facilities and</w:t>
      </w:r>
      <w:r w:rsidR="00DF446C">
        <w:rPr>
          <w:rFonts w:eastAsia="Calibri"/>
          <w:lang w:eastAsia="en-US"/>
        </w:rPr>
        <w:t>,</w:t>
      </w:r>
      <w:r w:rsidRPr="000B2255">
        <w:rPr>
          <w:rFonts w:eastAsia="Calibri"/>
          <w:lang w:eastAsia="en-US"/>
        </w:rPr>
        <w:t xml:space="preserve"> food preparation and handling areas, bactericidal and yeasticidal activities</w:t>
      </w:r>
      <w:r>
        <w:rPr>
          <w:rFonts w:eastAsia="Calibri"/>
          <w:lang w:eastAsia="en-US"/>
        </w:rPr>
        <w:t xml:space="preserve"> are demonstrated in phase 2 step 2 </w:t>
      </w:r>
      <w:r w:rsidR="00DF446C">
        <w:rPr>
          <w:rFonts w:eastAsia="Calibri"/>
          <w:lang w:eastAsia="en-US"/>
        </w:rPr>
        <w:t xml:space="preserve">test </w:t>
      </w:r>
      <w:r>
        <w:rPr>
          <w:rFonts w:eastAsia="Calibri"/>
          <w:lang w:eastAsia="en-US"/>
        </w:rPr>
        <w:t>(EN16615)</w:t>
      </w:r>
      <w:r w:rsidRPr="000B2255">
        <w:rPr>
          <w:rFonts w:eastAsia="Calibri"/>
          <w:lang w:eastAsia="en-US"/>
        </w:rPr>
        <w:t>,</w:t>
      </w:r>
      <w:r w:rsidRPr="00E40200">
        <w:rPr>
          <w:rFonts w:eastAsia="Calibri"/>
          <w:lang w:eastAsia="en-US"/>
        </w:rPr>
        <w:t xml:space="preserve"> </w:t>
      </w:r>
      <w:r>
        <w:rPr>
          <w:rFonts w:eastAsia="Calibri"/>
          <w:lang w:eastAsia="en-US"/>
        </w:rPr>
        <w:t>at 20°C,</w:t>
      </w:r>
      <w:r w:rsidRPr="000B2255">
        <w:rPr>
          <w:rFonts w:eastAsia="Calibri"/>
          <w:lang w:eastAsia="en-US"/>
        </w:rPr>
        <w:t xml:space="preserve"> </w:t>
      </w:r>
      <w:r w:rsidRPr="00F81A6F">
        <w:rPr>
          <w:rFonts w:eastAsia="Calibri"/>
          <w:lang w:eastAsia="en-US"/>
        </w:rPr>
        <w:t xml:space="preserve">with </w:t>
      </w:r>
      <w:r>
        <w:rPr>
          <w:rFonts w:eastAsia="Calibri"/>
          <w:lang w:eastAsia="en-US"/>
        </w:rPr>
        <w:t xml:space="preserve">a </w:t>
      </w:r>
      <w:r w:rsidRPr="00F81A6F">
        <w:rPr>
          <w:rFonts w:eastAsia="Calibri"/>
          <w:lang w:eastAsia="en-US"/>
        </w:rPr>
        <w:t>contact time of 5 minu</w:t>
      </w:r>
      <w:r>
        <w:rPr>
          <w:rFonts w:eastAsia="Calibri"/>
          <w:lang w:eastAsia="en-US"/>
        </w:rPr>
        <w:t>tes</w:t>
      </w:r>
      <w:r w:rsidR="00DF446C">
        <w:rPr>
          <w:rFonts w:eastAsia="Calibri"/>
          <w:lang w:eastAsia="en-US"/>
        </w:rPr>
        <w:t>,</w:t>
      </w:r>
      <w:r>
        <w:rPr>
          <w:rFonts w:eastAsia="Calibri"/>
          <w:lang w:eastAsia="en-US"/>
        </w:rPr>
        <w:t xml:space="preserve"> in dirty conditions (3.0 g/L BSA + 3mL/L </w:t>
      </w:r>
      <w:r w:rsidR="00DF446C">
        <w:rPr>
          <w:rFonts w:eastAsia="Calibri"/>
          <w:lang w:eastAsia="en-US"/>
        </w:rPr>
        <w:t xml:space="preserve">sheep </w:t>
      </w:r>
      <w:r>
        <w:rPr>
          <w:rFonts w:eastAsia="Calibri"/>
          <w:lang w:eastAsia="en-US"/>
        </w:rPr>
        <w:t xml:space="preserve">erythrocytes) </w:t>
      </w:r>
      <w:r w:rsidRPr="000B2255">
        <w:rPr>
          <w:rFonts w:eastAsia="Calibri"/>
          <w:lang w:eastAsia="en-US"/>
        </w:rPr>
        <w:t>for wiping application.</w:t>
      </w:r>
      <w:r>
        <w:rPr>
          <w:rFonts w:eastAsia="Calibri"/>
          <w:lang w:eastAsia="en-US"/>
        </w:rPr>
        <w:t xml:space="preserve"> </w:t>
      </w:r>
      <w:r w:rsidRPr="003D493E">
        <w:rPr>
          <w:lang w:eastAsia="en-US"/>
        </w:rPr>
        <w:t>In these conditions, bactericidal</w:t>
      </w:r>
      <w:r>
        <w:rPr>
          <w:lang w:eastAsia="en-US"/>
        </w:rPr>
        <w:t xml:space="preserve"> 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10 % v/v.</w:t>
      </w:r>
    </w:p>
    <w:p w14:paraId="3E15B835" w14:textId="77777777" w:rsidR="0015321A" w:rsidRDefault="0015321A" w:rsidP="0015321A">
      <w:pPr>
        <w:spacing w:line="260" w:lineRule="atLeast"/>
        <w:jc w:val="both"/>
        <w:rPr>
          <w:rFonts w:ascii="Times New Roman" w:eastAsia="Calibri" w:hAnsi="Times New Roman" w:cs="Arial"/>
          <w:bCs/>
          <w:i/>
          <w:caps/>
          <w:szCs w:val="28"/>
          <w:lang w:eastAsia="en-US"/>
        </w:rPr>
      </w:pPr>
    </w:p>
    <w:p w14:paraId="6248A2A4" w14:textId="77777777" w:rsidR="0015321A" w:rsidRDefault="0015321A" w:rsidP="0015321A">
      <w:pPr>
        <w:spacing w:line="260" w:lineRule="atLeast"/>
        <w:jc w:val="both"/>
        <w:rPr>
          <w:rFonts w:ascii="Times New Roman" w:eastAsia="Calibri" w:hAnsi="Times New Roman" w:cs="Arial"/>
          <w:bCs/>
          <w:i/>
          <w:caps/>
          <w:szCs w:val="28"/>
          <w:lang w:eastAsia="en-US"/>
        </w:rPr>
      </w:pPr>
    </w:p>
    <w:p w14:paraId="1794622B" w14:textId="52AEA534" w:rsidR="0015321A" w:rsidRDefault="0015321A" w:rsidP="0015321A">
      <w:pPr>
        <w:spacing w:line="260" w:lineRule="atLeast"/>
        <w:jc w:val="both"/>
        <w:rPr>
          <w:rFonts w:ascii="Times New Roman" w:eastAsia="Calibri" w:hAnsi="Times New Roman" w:cs="Arial"/>
          <w:bCs/>
          <w:i/>
          <w:caps/>
          <w:szCs w:val="28"/>
          <w:lang w:eastAsia="en-US"/>
        </w:rPr>
      </w:pPr>
    </w:p>
    <w:p w14:paraId="1104B055" w14:textId="77777777" w:rsidR="0015321A" w:rsidRDefault="0015321A" w:rsidP="0015321A">
      <w:pPr>
        <w:spacing w:line="260" w:lineRule="atLeast"/>
        <w:jc w:val="both"/>
        <w:rPr>
          <w:rFonts w:ascii="Times New Roman" w:eastAsia="Calibri" w:hAnsi="Times New Roman" w:cs="Arial"/>
          <w:bCs/>
          <w:i/>
          <w:caps/>
          <w:szCs w:val="28"/>
          <w:lang w:eastAsia="en-US"/>
        </w:rPr>
      </w:pPr>
    </w:p>
    <w:p w14:paraId="0804A3CE" w14:textId="77777777" w:rsidR="0015321A" w:rsidRDefault="0015321A" w:rsidP="0015321A">
      <w:pPr>
        <w:jc w:val="center"/>
        <w:rPr>
          <w:b/>
          <w:color w:val="000000"/>
          <w:sz w:val="18"/>
          <w:szCs w:val="18"/>
        </w:rPr>
        <w:sectPr w:rsidR="0015321A" w:rsidSect="0073642B">
          <w:pgSz w:w="11906" w:h="16838"/>
          <w:pgMar w:top="1474" w:right="1247" w:bottom="2013" w:left="1446" w:header="851" w:footer="851"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9"/>
        <w:gridCol w:w="2003"/>
        <w:gridCol w:w="1284"/>
        <w:gridCol w:w="1596"/>
        <w:gridCol w:w="1492"/>
        <w:gridCol w:w="2957"/>
        <w:gridCol w:w="1398"/>
        <w:gridCol w:w="1332"/>
      </w:tblGrid>
      <w:tr w:rsidR="00946BFD" w:rsidRPr="00FD2055" w14:paraId="1CC13468" w14:textId="77777777" w:rsidTr="00946BFD">
        <w:trPr>
          <w:cantSplit/>
          <w:tblHeader/>
          <w:jc w:val="center"/>
        </w:trPr>
        <w:tc>
          <w:tcPr>
            <w:tcW w:w="5000" w:type="pct"/>
            <w:gridSpan w:val="8"/>
            <w:shd w:val="clear" w:color="auto" w:fill="FFFFFF"/>
          </w:tcPr>
          <w:p w14:paraId="195CEB72" w14:textId="28B74718" w:rsidR="00946BFD" w:rsidRPr="00FD2055" w:rsidRDefault="00946BFD" w:rsidP="00BA57DA">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7</w:t>
            </w:r>
          </w:p>
        </w:tc>
      </w:tr>
      <w:tr w:rsidR="0015321A" w:rsidRPr="00FD2055" w14:paraId="089D6F7C" w14:textId="77777777" w:rsidTr="00946BFD">
        <w:trPr>
          <w:cantSplit/>
          <w:tblHeader/>
          <w:jc w:val="center"/>
        </w:trPr>
        <w:tc>
          <w:tcPr>
            <w:tcW w:w="474" w:type="pct"/>
            <w:shd w:val="clear" w:color="auto" w:fill="FFFFFF"/>
          </w:tcPr>
          <w:p w14:paraId="7FD62E10" w14:textId="0ADAD406" w:rsidR="0015321A" w:rsidRPr="00FD2055" w:rsidRDefault="0015321A" w:rsidP="0015321A">
            <w:pPr>
              <w:jc w:val="center"/>
              <w:rPr>
                <w:b/>
                <w:color w:val="000000"/>
                <w:sz w:val="18"/>
                <w:szCs w:val="18"/>
              </w:rPr>
            </w:pPr>
            <w:r w:rsidRPr="00FD2055">
              <w:rPr>
                <w:b/>
                <w:color w:val="000000"/>
                <w:sz w:val="18"/>
                <w:szCs w:val="18"/>
              </w:rPr>
              <w:t>Function</w:t>
            </w:r>
          </w:p>
        </w:tc>
        <w:tc>
          <w:tcPr>
            <w:tcW w:w="753" w:type="pct"/>
            <w:shd w:val="clear" w:color="auto" w:fill="FFFFFF"/>
          </w:tcPr>
          <w:p w14:paraId="56B2296D" w14:textId="77777777" w:rsidR="0015321A" w:rsidRPr="00FD2055" w:rsidRDefault="0015321A" w:rsidP="0015321A">
            <w:pPr>
              <w:rPr>
                <w:b/>
                <w:color w:val="000000"/>
                <w:sz w:val="18"/>
                <w:szCs w:val="18"/>
              </w:rPr>
            </w:pPr>
            <w:r w:rsidRPr="00FD2055">
              <w:rPr>
                <w:b/>
                <w:color w:val="000000"/>
                <w:sz w:val="18"/>
                <w:szCs w:val="18"/>
              </w:rPr>
              <w:t>Field of use envisaged</w:t>
            </w:r>
          </w:p>
        </w:tc>
        <w:tc>
          <w:tcPr>
            <w:tcW w:w="483" w:type="pct"/>
            <w:shd w:val="clear" w:color="auto" w:fill="FFFFFF"/>
          </w:tcPr>
          <w:p w14:paraId="0BEC2021" w14:textId="77777777" w:rsidR="0015321A" w:rsidRPr="00FD2055" w:rsidRDefault="0015321A"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600" w:type="pct"/>
            <w:shd w:val="clear" w:color="auto" w:fill="FFFFFF"/>
          </w:tcPr>
          <w:p w14:paraId="7C994A2E" w14:textId="77777777" w:rsidR="0015321A" w:rsidRPr="00FD2055" w:rsidRDefault="0015321A" w:rsidP="0015321A">
            <w:pPr>
              <w:rPr>
                <w:b/>
                <w:i/>
                <w:color w:val="000000"/>
                <w:sz w:val="18"/>
                <w:szCs w:val="18"/>
              </w:rPr>
            </w:pPr>
            <w:r w:rsidRPr="00FD2055">
              <w:rPr>
                <w:b/>
                <w:color w:val="000000"/>
                <w:sz w:val="18"/>
                <w:szCs w:val="18"/>
              </w:rPr>
              <w:t>Test organism(s)</w:t>
            </w:r>
          </w:p>
        </w:tc>
        <w:tc>
          <w:tcPr>
            <w:tcW w:w="561" w:type="pct"/>
            <w:shd w:val="clear" w:color="auto" w:fill="FFFFFF"/>
          </w:tcPr>
          <w:p w14:paraId="1FBFCFC2" w14:textId="77777777" w:rsidR="0015321A" w:rsidRPr="00FD2055" w:rsidRDefault="0015321A" w:rsidP="0015321A">
            <w:pPr>
              <w:rPr>
                <w:b/>
                <w:color w:val="000000"/>
                <w:sz w:val="18"/>
                <w:szCs w:val="18"/>
              </w:rPr>
            </w:pPr>
            <w:r w:rsidRPr="00FD2055">
              <w:rPr>
                <w:b/>
                <w:color w:val="000000"/>
                <w:sz w:val="18"/>
                <w:szCs w:val="18"/>
              </w:rPr>
              <w:t>Test method</w:t>
            </w:r>
          </w:p>
        </w:tc>
        <w:tc>
          <w:tcPr>
            <w:tcW w:w="1110" w:type="pct"/>
            <w:shd w:val="clear" w:color="auto" w:fill="FFFFFF"/>
          </w:tcPr>
          <w:p w14:paraId="1C92017F" w14:textId="77777777" w:rsidR="0015321A" w:rsidRPr="00FD2055" w:rsidRDefault="0015321A" w:rsidP="0015321A">
            <w:pPr>
              <w:rPr>
                <w:b/>
                <w:color w:val="000000"/>
                <w:sz w:val="18"/>
                <w:szCs w:val="18"/>
              </w:rPr>
            </w:pPr>
            <w:r w:rsidRPr="00FD2055">
              <w:rPr>
                <w:b/>
                <w:color w:val="000000"/>
                <w:sz w:val="18"/>
                <w:szCs w:val="18"/>
              </w:rPr>
              <w:t>Test system / concentrations applied / exposure time</w:t>
            </w:r>
          </w:p>
        </w:tc>
        <w:tc>
          <w:tcPr>
            <w:tcW w:w="518" w:type="pct"/>
            <w:shd w:val="clear" w:color="auto" w:fill="FFFFFF"/>
          </w:tcPr>
          <w:p w14:paraId="28502B92" w14:textId="77777777" w:rsidR="0015321A" w:rsidRPr="00FD2055" w:rsidRDefault="0015321A" w:rsidP="0015321A">
            <w:pPr>
              <w:rPr>
                <w:b/>
                <w:color w:val="000000"/>
                <w:sz w:val="18"/>
                <w:szCs w:val="18"/>
              </w:rPr>
            </w:pPr>
            <w:r w:rsidRPr="00FD2055">
              <w:rPr>
                <w:b/>
                <w:color w:val="000000"/>
                <w:sz w:val="18"/>
                <w:szCs w:val="18"/>
              </w:rPr>
              <w:t>Test results: effects</w:t>
            </w:r>
          </w:p>
        </w:tc>
        <w:tc>
          <w:tcPr>
            <w:tcW w:w="502" w:type="pct"/>
            <w:shd w:val="clear" w:color="auto" w:fill="FFFFFF"/>
          </w:tcPr>
          <w:p w14:paraId="26A44FFD" w14:textId="77777777" w:rsidR="0015321A" w:rsidRPr="00FD2055" w:rsidRDefault="0015321A" w:rsidP="0015321A">
            <w:pPr>
              <w:rPr>
                <w:b/>
                <w:color w:val="000000"/>
                <w:sz w:val="18"/>
                <w:szCs w:val="18"/>
              </w:rPr>
            </w:pPr>
            <w:r w:rsidRPr="00FD2055">
              <w:rPr>
                <w:b/>
                <w:color w:val="000000"/>
                <w:sz w:val="18"/>
                <w:szCs w:val="18"/>
              </w:rPr>
              <w:t>Reference</w:t>
            </w:r>
          </w:p>
        </w:tc>
      </w:tr>
      <w:tr w:rsidR="0015321A" w:rsidRPr="00FD2055" w14:paraId="0FC70AA8" w14:textId="77777777" w:rsidTr="00946BFD">
        <w:trPr>
          <w:cantSplit/>
          <w:jc w:val="center"/>
        </w:trPr>
        <w:tc>
          <w:tcPr>
            <w:tcW w:w="474" w:type="pct"/>
            <w:vAlign w:val="center"/>
          </w:tcPr>
          <w:p w14:paraId="1ACAA1F8" w14:textId="77777777" w:rsidR="0015321A" w:rsidRPr="00FD2055" w:rsidRDefault="0015321A" w:rsidP="0015321A">
            <w:pPr>
              <w:rPr>
                <w:i/>
                <w:color w:val="000000"/>
                <w:sz w:val="18"/>
                <w:szCs w:val="18"/>
              </w:rPr>
            </w:pPr>
            <w:r>
              <w:rPr>
                <w:color w:val="000000"/>
                <w:sz w:val="18"/>
                <w:szCs w:val="18"/>
              </w:rPr>
              <w:t>Disinfectant, bactericidal activity</w:t>
            </w:r>
          </w:p>
        </w:tc>
        <w:tc>
          <w:tcPr>
            <w:tcW w:w="753" w:type="pct"/>
            <w:vAlign w:val="center"/>
          </w:tcPr>
          <w:p w14:paraId="6AB46A3A"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265C29AF" w14:textId="77777777" w:rsidR="0015321A" w:rsidRDefault="0015321A" w:rsidP="0015321A">
            <w:pPr>
              <w:rPr>
                <w:color w:val="000000"/>
                <w:sz w:val="18"/>
                <w:szCs w:val="18"/>
              </w:rPr>
            </w:pPr>
            <w:r>
              <w:rPr>
                <w:color w:val="000000"/>
                <w:sz w:val="18"/>
                <w:szCs w:val="18"/>
              </w:rPr>
              <w:t>AL-S7-1-0</w:t>
            </w:r>
          </w:p>
          <w:p w14:paraId="38B7E6A8" w14:textId="1E6A9615"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02188AD6" w14:textId="77777777" w:rsidR="0015321A" w:rsidRPr="00D016EC" w:rsidRDefault="0015321A"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561" w:type="pct"/>
            <w:vAlign w:val="center"/>
          </w:tcPr>
          <w:p w14:paraId="0292D204" w14:textId="77777777" w:rsidR="0015321A" w:rsidRPr="00FD2055" w:rsidRDefault="0015321A" w:rsidP="0015321A">
            <w:pPr>
              <w:rPr>
                <w:color w:val="000000"/>
                <w:sz w:val="18"/>
                <w:szCs w:val="18"/>
              </w:rPr>
            </w:pPr>
            <w:r>
              <w:rPr>
                <w:color w:val="000000"/>
                <w:sz w:val="18"/>
                <w:szCs w:val="18"/>
              </w:rPr>
              <w:t>NF EN 1276 (March 2010)</w:t>
            </w:r>
          </w:p>
        </w:tc>
        <w:tc>
          <w:tcPr>
            <w:tcW w:w="1110" w:type="pct"/>
            <w:vAlign w:val="center"/>
          </w:tcPr>
          <w:p w14:paraId="558FA59E" w14:textId="77777777" w:rsidR="0015321A" w:rsidRDefault="0015321A" w:rsidP="0015321A">
            <w:pPr>
              <w:rPr>
                <w:color w:val="000000"/>
                <w:sz w:val="18"/>
                <w:szCs w:val="18"/>
              </w:rPr>
            </w:pPr>
            <w:r>
              <w:rPr>
                <w:color w:val="000000"/>
                <w:sz w:val="18"/>
                <w:szCs w:val="18"/>
              </w:rPr>
              <w:t>Phase 2 step 1 (suspension test)</w:t>
            </w:r>
          </w:p>
          <w:p w14:paraId="02D177CA" w14:textId="121728C2" w:rsidR="0015321A" w:rsidRDefault="0015321A" w:rsidP="0015321A">
            <w:pPr>
              <w:rPr>
                <w:color w:val="000000"/>
                <w:sz w:val="18"/>
                <w:szCs w:val="18"/>
              </w:rPr>
            </w:pPr>
            <w:r>
              <w:rPr>
                <w:color w:val="000000"/>
                <w:sz w:val="18"/>
                <w:szCs w:val="18"/>
              </w:rPr>
              <w:t xml:space="preserve">Concentrations of product tested were: 0.5%, 3%, 4%, 5%. </w:t>
            </w:r>
          </w:p>
          <w:p w14:paraId="38ED209A" w14:textId="78E5CB65" w:rsidR="0015321A" w:rsidRDefault="0015321A" w:rsidP="0015321A">
            <w:pPr>
              <w:rPr>
                <w:color w:val="000000"/>
                <w:sz w:val="18"/>
                <w:szCs w:val="18"/>
              </w:rPr>
            </w:pPr>
            <w:r>
              <w:rPr>
                <w:color w:val="000000"/>
                <w:sz w:val="18"/>
                <w:szCs w:val="18"/>
              </w:rPr>
              <w:t xml:space="preserve">Contact time: 5 minutes </w:t>
            </w:r>
          </w:p>
          <w:p w14:paraId="7C0891D4" w14:textId="77777777" w:rsidR="0015321A" w:rsidRDefault="0015321A" w:rsidP="0015321A">
            <w:pPr>
              <w:rPr>
                <w:color w:val="000000"/>
                <w:sz w:val="18"/>
                <w:szCs w:val="18"/>
              </w:rPr>
            </w:pPr>
            <w:r>
              <w:rPr>
                <w:color w:val="000000"/>
                <w:sz w:val="18"/>
                <w:szCs w:val="18"/>
              </w:rPr>
              <w:t>Temperature: 20°C</w:t>
            </w:r>
          </w:p>
          <w:p w14:paraId="6FCF79B5" w14:textId="77777777" w:rsidR="0015321A" w:rsidRDefault="0015321A" w:rsidP="0015321A">
            <w:pPr>
              <w:rPr>
                <w:color w:val="000000"/>
                <w:sz w:val="18"/>
                <w:szCs w:val="18"/>
              </w:rPr>
            </w:pPr>
            <w:r>
              <w:rPr>
                <w:color w:val="000000"/>
                <w:sz w:val="18"/>
                <w:szCs w:val="18"/>
              </w:rPr>
              <w:t xml:space="preserve">Dirty conditions: 3 g/L BSA </w:t>
            </w:r>
          </w:p>
          <w:p w14:paraId="057D1329" w14:textId="77777777" w:rsidR="0015321A" w:rsidRPr="00FD2055" w:rsidRDefault="0015321A" w:rsidP="0015321A">
            <w:pPr>
              <w:rPr>
                <w:color w:val="000000"/>
                <w:sz w:val="18"/>
                <w:szCs w:val="18"/>
              </w:rPr>
            </w:pPr>
            <w:r>
              <w:rPr>
                <w:color w:val="000000"/>
                <w:sz w:val="18"/>
                <w:szCs w:val="18"/>
              </w:rPr>
              <w:t>Criteria: ≥ 5 log unit reduction</w:t>
            </w:r>
          </w:p>
        </w:tc>
        <w:tc>
          <w:tcPr>
            <w:tcW w:w="518" w:type="pct"/>
            <w:vAlign w:val="center"/>
          </w:tcPr>
          <w:p w14:paraId="2A54CFDB" w14:textId="77777777" w:rsidR="0015321A" w:rsidRDefault="0015321A" w:rsidP="0015321A">
            <w:pPr>
              <w:rPr>
                <w:color w:val="000000"/>
                <w:sz w:val="18"/>
                <w:szCs w:val="18"/>
              </w:rPr>
            </w:pPr>
          </w:p>
          <w:p w14:paraId="12B6D4BC"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5% v/v.</w:t>
            </w:r>
          </w:p>
          <w:p w14:paraId="0B0BF16A" w14:textId="77777777" w:rsidR="0015321A" w:rsidRPr="00FD2055" w:rsidRDefault="0015321A" w:rsidP="0015321A">
            <w:pPr>
              <w:rPr>
                <w:color w:val="000000"/>
                <w:sz w:val="18"/>
                <w:szCs w:val="18"/>
              </w:rPr>
            </w:pPr>
          </w:p>
        </w:tc>
        <w:tc>
          <w:tcPr>
            <w:tcW w:w="502" w:type="pct"/>
            <w:vAlign w:val="center"/>
          </w:tcPr>
          <w:p w14:paraId="64391D10" w14:textId="77777777" w:rsidR="0015321A" w:rsidRDefault="0015321A" w:rsidP="0015321A">
            <w:pPr>
              <w:rPr>
                <w:color w:val="000000"/>
                <w:sz w:val="18"/>
                <w:szCs w:val="18"/>
              </w:rPr>
            </w:pPr>
            <w:r>
              <w:rPr>
                <w:color w:val="000000"/>
                <w:sz w:val="18"/>
                <w:szCs w:val="18"/>
              </w:rPr>
              <w:t>Huguet N., 2018, Report No 18.CM.18-132</w:t>
            </w:r>
          </w:p>
          <w:p w14:paraId="7E1CD96F" w14:textId="77777777" w:rsidR="0015321A" w:rsidRDefault="0015321A" w:rsidP="0015321A">
            <w:pPr>
              <w:rPr>
                <w:color w:val="000000"/>
                <w:sz w:val="18"/>
                <w:szCs w:val="18"/>
              </w:rPr>
            </w:pPr>
          </w:p>
          <w:p w14:paraId="33CE635F" w14:textId="77777777" w:rsidR="0015321A" w:rsidRPr="00FD2055" w:rsidRDefault="0015321A" w:rsidP="0015321A">
            <w:pPr>
              <w:rPr>
                <w:i/>
                <w:color w:val="000000"/>
                <w:sz w:val="18"/>
                <w:szCs w:val="18"/>
              </w:rPr>
            </w:pPr>
            <w:r>
              <w:rPr>
                <w:color w:val="000000"/>
                <w:sz w:val="18"/>
                <w:szCs w:val="18"/>
              </w:rPr>
              <w:t>RI=1</w:t>
            </w:r>
          </w:p>
        </w:tc>
      </w:tr>
      <w:tr w:rsidR="0015321A" w14:paraId="6D6D5D55" w14:textId="77777777" w:rsidTr="00946BFD">
        <w:trPr>
          <w:cantSplit/>
          <w:jc w:val="center"/>
        </w:trPr>
        <w:tc>
          <w:tcPr>
            <w:tcW w:w="474" w:type="pct"/>
            <w:vAlign w:val="center"/>
          </w:tcPr>
          <w:p w14:paraId="61F08C05" w14:textId="77777777" w:rsidR="0015321A" w:rsidRDefault="0015321A" w:rsidP="0015321A">
            <w:pPr>
              <w:rPr>
                <w:color w:val="000000"/>
                <w:sz w:val="18"/>
                <w:szCs w:val="18"/>
              </w:rPr>
            </w:pPr>
            <w:r>
              <w:rPr>
                <w:color w:val="000000"/>
                <w:sz w:val="18"/>
                <w:szCs w:val="18"/>
              </w:rPr>
              <w:t>Disinfectant, bactericidal activity</w:t>
            </w:r>
          </w:p>
        </w:tc>
        <w:tc>
          <w:tcPr>
            <w:tcW w:w="753" w:type="pct"/>
            <w:vAlign w:val="center"/>
          </w:tcPr>
          <w:p w14:paraId="64389679" w14:textId="77777777" w:rsidR="0015321A" w:rsidRDefault="0015321A" w:rsidP="0015321A">
            <w:pPr>
              <w:rPr>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69F1870E" w14:textId="77777777" w:rsidR="0015321A" w:rsidRDefault="0015321A" w:rsidP="0015321A">
            <w:pPr>
              <w:rPr>
                <w:color w:val="000000"/>
                <w:sz w:val="18"/>
                <w:szCs w:val="18"/>
              </w:rPr>
            </w:pPr>
            <w:r>
              <w:rPr>
                <w:color w:val="000000"/>
                <w:sz w:val="18"/>
                <w:szCs w:val="18"/>
              </w:rPr>
              <w:t>AL-S7-1-0</w:t>
            </w:r>
          </w:p>
          <w:p w14:paraId="71D721E3" w14:textId="05DBFB83" w:rsidR="0015321A" w:rsidRDefault="007325F4" w:rsidP="007325F4">
            <w:pPr>
              <w:rPr>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653C00B1"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561" w:type="pct"/>
            <w:vAlign w:val="center"/>
          </w:tcPr>
          <w:p w14:paraId="49F370A0" w14:textId="77777777" w:rsidR="0015321A" w:rsidRDefault="0015321A" w:rsidP="0015321A">
            <w:pPr>
              <w:rPr>
                <w:color w:val="000000"/>
                <w:sz w:val="18"/>
                <w:szCs w:val="18"/>
              </w:rPr>
            </w:pPr>
            <w:r>
              <w:rPr>
                <w:color w:val="000000"/>
                <w:sz w:val="18"/>
                <w:szCs w:val="18"/>
              </w:rPr>
              <w:t>NF EN 1276 (March 2010)</w:t>
            </w:r>
          </w:p>
        </w:tc>
        <w:tc>
          <w:tcPr>
            <w:tcW w:w="1110" w:type="pct"/>
            <w:vAlign w:val="center"/>
          </w:tcPr>
          <w:p w14:paraId="1B347A4D" w14:textId="77777777" w:rsidR="0015321A" w:rsidRDefault="0015321A" w:rsidP="0015321A">
            <w:pPr>
              <w:rPr>
                <w:color w:val="000000"/>
                <w:sz w:val="18"/>
                <w:szCs w:val="18"/>
              </w:rPr>
            </w:pPr>
            <w:r>
              <w:rPr>
                <w:color w:val="000000"/>
                <w:sz w:val="18"/>
                <w:szCs w:val="18"/>
              </w:rPr>
              <w:t>Phase 2 step 1 (suspension test)</w:t>
            </w:r>
          </w:p>
          <w:p w14:paraId="47449D16" w14:textId="16F11D2A" w:rsidR="0015321A" w:rsidRDefault="0015321A" w:rsidP="0015321A">
            <w:pPr>
              <w:rPr>
                <w:color w:val="000000"/>
                <w:sz w:val="18"/>
                <w:szCs w:val="18"/>
              </w:rPr>
            </w:pPr>
            <w:r>
              <w:rPr>
                <w:color w:val="000000"/>
                <w:sz w:val="18"/>
                <w:szCs w:val="18"/>
              </w:rPr>
              <w:t xml:space="preserve">Concentrations of product tested were: </w:t>
            </w:r>
            <w:r>
              <w:rPr>
                <w:sz w:val="18"/>
                <w:szCs w:val="18"/>
              </w:rPr>
              <w:t>4%, 3%, 0</w:t>
            </w:r>
            <w:r w:rsidR="00BA57DA">
              <w:rPr>
                <w:sz w:val="18"/>
                <w:szCs w:val="18"/>
              </w:rPr>
              <w:t>.</w:t>
            </w:r>
            <w:r>
              <w:rPr>
                <w:sz w:val="18"/>
                <w:szCs w:val="18"/>
              </w:rPr>
              <w:t xml:space="preserve">5%. </w:t>
            </w:r>
          </w:p>
          <w:p w14:paraId="2E4B28EA" w14:textId="6F7B8BB2" w:rsidR="0015321A" w:rsidRDefault="0015321A" w:rsidP="0015321A">
            <w:pPr>
              <w:rPr>
                <w:color w:val="000000"/>
                <w:sz w:val="18"/>
                <w:szCs w:val="18"/>
              </w:rPr>
            </w:pPr>
            <w:r>
              <w:rPr>
                <w:color w:val="000000"/>
                <w:sz w:val="18"/>
                <w:szCs w:val="18"/>
              </w:rPr>
              <w:t xml:space="preserve">Contact time: 15 minutes </w:t>
            </w:r>
          </w:p>
          <w:p w14:paraId="146D5D45" w14:textId="77777777" w:rsidR="0015321A" w:rsidRDefault="0015321A" w:rsidP="0015321A">
            <w:pPr>
              <w:rPr>
                <w:color w:val="000000"/>
                <w:sz w:val="18"/>
                <w:szCs w:val="18"/>
              </w:rPr>
            </w:pPr>
            <w:r>
              <w:rPr>
                <w:color w:val="000000"/>
                <w:sz w:val="18"/>
                <w:szCs w:val="18"/>
              </w:rPr>
              <w:t>Temperature: 40°C</w:t>
            </w:r>
          </w:p>
          <w:p w14:paraId="429FE5C0" w14:textId="77777777" w:rsidR="0015321A" w:rsidRDefault="0015321A" w:rsidP="0015321A">
            <w:pPr>
              <w:rPr>
                <w:color w:val="000000"/>
                <w:sz w:val="18"/>
                <w:szCs w:val="18"/>
              </w:rPr>
            </w:pPr>
            <w:r>
              <w:rPr>
                <w:color w:val="000000"/>
                <w:sz w:val="18"/>
                <w:szCs w:val="18"/>
              </w:rPr>
              <w:t xml:space="preserve">Dirty conditions: 3 g/L BSA </w:t>
            </w:r>
          </w:p>
          <w:p w14:paraId="0B3DCDBF" w14:textId="77777777" w:rsidR="0015321A" w:rsidRDefault="0015321A" w:rsidP="0015321A">
            <w:pPr>
              <w:rPr>
                <w:color w:val="000000"/>
                <w:sz w:val="18"/>
                <w:szCs w:val="18"/>
              </w:rPr>
            </w:pPr>
            <w:r>
              <w:rPr>
                <w:color w:val="000000"/>
                <w:sz w:val="18"/>
                <w:szCs w:val="18"/>
              </w:rPr>
              <w:t>Criteria: ≥ 5 log unit reduction</w:t>
            </w:r>
          </w:p>
        </w:tc>
        <w:tc>
          <w:tcPr>
            <w:tcW w:w="518" w:type="pct"/>
            <w:vAlign w:val="center"/>
          </w:tcPr>
          <w:p w14:paraId="5D0AC771"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3% v/v.</w:t>
            </w:r>
          </w:p>
          <w:p w14:paraId="01921697" w14:textId="77777777" w:rsidR="0015321A" w:rsidRDefault="0015321A" w:rsidP="0015321A">
            <w:pPr>
              <w:rPr>
                <w:color w:val="000000"/>
                <w:sz w:val="18"/>
                <w:szCs w:val="18"/>
              </w:rPr>
            </w:pPr>
          </w:p>
        </w:tc>
        <w:tc>
          <w:tcPr>
            <w:tcW w:w="502" w:type="pct"/>
            <w:vAlign w:val="center"/>
          </w:tcPr>
          <w:p w14:paraId="5C795ED8" w14:textId="77777777" w:rsidR="0015321A" w:rsidRDefault="0015321A" w:rsidP="0015321A">
            <w:pPr>
              <w:rPr>
                <w:sz w:val="18"/>
                <w:szCs w:val="18"/>
              </w:rPr>
            </w:pPr>
            <w:r>
              <w:rPr>
                <w:sz w:val="18"/>
                <w:szCs w:val="18"/>
              </w:rPr>
              <w:t>Feuillolay C., 2019, Report No 19-1355</w:t>
            </w:r>
          </w:p>
          <w:p w14:paraId="373862F5" w14:textId="77777777" w:rsidR="0015321A" w:rsidRDefault="0015321A" w:rsidP="0015321A">
            <w:pPr>
              <w:rPr>
                <w:sz w:val="18"/>
                <w:szCs w:val="18"/>
              </w:rPr>
            </w:pPr>
          </w:p>
          <w:p w14:paraId="093911D2" w14:textId="77777777" w:rsidR="0015321A" w:rsidRDefault="0015321A" w:rsidP="0015321A">
            <w:pPr>
              <w:rPr>
                <w:color w:val="000000"/>
                <w:sz w:val="18"/>
                <w:szCs w:val="18"/>
              </w:rPr>
            </w:pPr>
            <w:r>
              <w:rPr>
                <w:sz w:val="18"/>
                <w:szCs w:val="18"/>
              </w:rPr>
              <w:t>RI=1</w:t>
            </w:r>
          </w:p>
        </w:tc>
      </w:tr>
      <w:tr w:rsidR="0015321A" w14:paraId="1DDDD27A" w14:textId="77777777" w:rsidTr="00946BFD">
        <w:trPr>
          <w:cantSplit/>
          <w:jc w:val="center"/>
        </w:trPr>
        <w:tc>
          <w:tcPr>
            <w:tcW w:w="474" w:type="pct"/>
            <w:vAlign w:val="center"/>
          </w:tcPr>
          <w:p w14:paraId="17A280FD" w14:textId="77777777" w:rsidR="0015321A" w:rsidRDefault="0015321A" w:rsidP="0015321A">
            <w:pPr>
              <w:rPr>
                <w:color w:val="000000"/>
                <w:sz w:val="18"/>
                <w:szCs w:val="18"/>
              </w:rPr>
            </w:pPr>
            <w:r>
              <w:rPr>
                <w:color w:val="000000"/>
                <w:sz w:val="18"/>
                <w:szCs w:val="18"/>
              </w:rPr>
              <w:t>Disinfectant, bactericidal activity</w:t>
            </w:r>
          </w:p>
        </w:tc>
        <w:tc>
          <w:tcPr>
            <w:tcW w:w="753" w:type="pct"/>
            <w:vAlign w:val="center"/>
          </w:tcPr>
          <w:p w14:paraId="503B2E2B" w14:textId="77777777" w:rsidR="0015321A" w:rsidRDefault="0015321A" w:rsidP="0015321A">
            <w:pPr>
              <w:rPr>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096713AC" w14:textId="77777777" w:rsidR="0015321A" w:rsidRDefault="0015321A" w:rsidP="0015321A">
            <w:pPr>
              <w:rPr>
                <w:color w:val="000000"/>
                <w:sz w:val="18"/>
                <w:szCs w:val="18"/>
              </w:rPr>
            </w:pPr>
            <w:r>
              <w:rPr>
                <w:color w:val="000000"/>
                <w:sz w:val="18"/>
                <w:szCs w:val="18"/>
              </w:rPr>
              <w:t>AL-S7-1-0</w:t>
            </w:r>
          </w:p>
          <w:p w14:paraId="526A5E1D" w14:textId="631DED12" w:rsidR="0015321A" w:rsidRDefault="007325F4" w:rsidP="007325F4">
            <w:pPr>
              <w:rPr>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55A953F4" w14:textId="77777777" w:rsidR="0015321A" w:rsidRPr="00AF1A0E" w:rsidRDefault="0015321A" w:rsidP="0015321A">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 xml:space="preserve">Staphylococcus aureus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p>
        </w:tc>
        <w:tc>
          <w:tcPr>
            <w:tcW w:w="561" w:type="pct"/>
            <w:vAlign w:val="center"/>
          </w:tcPr>
          <w:p w14:paraId="5C06942D" w14:textId="77777777" w:rsidR="0015321A" w:rsidRDefault="0015321A" w:rsidP="0015321A">
            <w:pPr>
              <w:rPr>
                <w:color w:val="000000"/>
                <w:sz w:val="18"/>
                <w:szCs w:val="18"/>
              </w:rPr>
            </w:pPr>
            <w:r>
              <w:rPr>
                <w:color w:val="000000"/>
                <w:sz w:val="18"/>
                <w:szCs w:val="18"/>
              </w:rPr>
              <w:t>NF EN 13727 (2012) + A2 (December 2015)</w:t>
            </w:r>
          </w:p>
        </w:tc>
        <w:tc>
          <w:tcPr>
            <w:tcW w:w="1110" w:type="pct"/>
            <w:vAlign w:val="center"/>
          </w:tcPr>
          <w:p w14:paraId="036F68B4" w14:textId="77777777" w:rsidR="0015321A" w:rsidRDefault="0015321A" w:rsidP="0015321A">
            <w:pPr>
              <w:rPr>
                <w:color w:val="000000"/>
                <w:sz w:val="18"/>
                <w:szCs w:val="18"/>
              </w:rPr>
            </w:pPr>
            <w:r>
              <w:rPr>
                <w:color w:val="000000"/>
                <w:sz w:val="18"/>
                <w:szCs w:val="18"/>
              </w:rPr>
              <w:t>Phase 2 step 1 (suspension test)</w:t>
            </w:r>
          </w:p>
          <w:p w14:paraId="64107983" w14:textId="77777777" w:rsidR="0015321A" w:rsidRDefault="0015321A" w:rsidP="0015321A">
            <w:pPr>
              <w:rPr>
                <w:color w:val="000000"/>
                <w:sz w:val="18"/>
                <w:szCs w:val="18"/>
              </w:rPr>
            </w:pPr>
            <w:r>
              <w:rPr>
                <w:color w:val="000000"/>
                <w:sz w:val="18"/>
                <w:szCs w:val="18"/>
              </w:rPr>
              <w:t xml:space="preserve">Concentrations of product tested were: 0.5%, 3%, 4%, 5%. </w:t>
            </w:r>
          </w:p>
          <w:p w14:paraId="6712724D" w14:textId="5D7E475F" w:rsidR="0015321A" w:rsidRDefault="0015321A" w:rsidP="0015321A">
            <w:pPr>
              <w:rPr>
                <w:color w:val="000000"/>
                <w:sz w:val="18"/>
                <w:szCs w:val="18"/>
              </w:rPr>
            </w:pPr>
            <w:r>
              <w:rPr>
                <w:color w:val="000000"/>
                <w:sz w:val="18"/>
                <w:szCs w:val="18"/>
              </w:rPr>
              <w:t xml:space="preserve">Contact time: 5 minutes </w:t>
            </w:r>
          </w:p>
          <w:p w14:paraId="49B7DA66" w14:textId="77777777" w:rsidR="0015321A" w:rsidRDefault="0015321A" w:rsidP="0015321A">
            <w:pPr>
              <w:rPr>
                <w:color w:val="000000"/>
                <w:sz w:val="18"/>
                <w:szCs w:val="18"/>
              </w:rPr>
            </w:pPr>
            <w:r>
              <w:rPr>
                <w:color w:val="000000"/>
                <w:sz w:val="18"/>
                <w:szCs w:val="18"/>
              </w:rPr>
              <w:t>Temperature: 20°C</w:t>
            </w:r>
          </w:p>
          <w:p w14:paraId="2D426082" w14:textId="77777777" w:rsidR="0015321A" w:rsidRDefault="0015321A" w:rsidP="0015321A">
            <w:pPr>
              <w:rPr>
                <w:color w:val="000000"/>
                <w:sz w:val="18"/>
                <w:szCs w:val="18"/>
              </w:rPr>
            </w:pPr>
            <w:r>
              <w:rPr>
                <w:color w:val="000000"/>
                <w:sz w:val="18"/>
                <w:szCs w:val="18"/>
              </w:rPr>
              <w:t>Dirty conditions: 3 g/L BSA + 3 ml/l sheep erythrocytes</w:t>
            </w:r>
          </w:p>
          <w:p w14:paraId="667D32D1" w14:textId="77777777" w:rsidR="0015321A" w:rsidRDefault="0015321A" w:rsidP="0015321A">
            <w:pPr>
              <w:rPr>
                <w:color w:val="000000"/>
                <w:sz w:val="18"/>
                <w:szCs w:val="18"/>
              </w:rPr>
            </w:pPr>
            <w:r>
              <w:rPr>
                <w:color w:val="000000"/>
                <w:sz w:val="18"/>
                <w:szCs w:val="18"/>
              </w:rPr>
              <w:t>Criteria: ≥ 5 log unit reduction</w:t>
            </w:r>
          </w:p>
        </w:tc>
        <w:tc>
          <w:tcPr>
            <w:tcW w:w="518" w:type="pct"/>
            <w:vAlign w:val="center"/>
          </w:tcPr>
          <w:p w14:paraId="6C1362BA"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5% v/v.</w:t>
            </w:r>
          </w:p>
          <w:p w14:paraId="3EBF5B81" w14:textId="77777777" w:rsidR="0015321A" w:rsidRDefault="0015321A" w:rsidP="0015321A">
            <w:pPr>
              <w:rPr>
                <w:color w:val="000000"/>
                <w:sz w:val="18"/>
                <w:szCs w:val="18"/>
              </w:rPr>
            </w:pPr>
          </w:p>
        </w:tc>
        <w:tc>
          <w:tcPr>
            <w:tcW w:w="502" w:type="pct"/>
            <w:vAlign w:val="center"/>
          </w:tcPr>
          <w:p w14:paraId="4E2626EC" w14:textId="77777777" w:rsidR="0015321A" w:rsidRDefault="0015321A" w:rsidP="0015321A">
            <w:pPr>
              <w:rPr>
                <w:color w:val="000000"/>
                <w:sz w:val="18"/>
                <w:szCs w:val="18"/>
              </w:rPr>
            </w:pPr>
            <w:r>
              <w:rPr>
                <w:color w:val="000000"/>
                <w:sz w:val="18"/>
                <w:szCs w:val="18"/>
              </w:rPr>
              <w:t>Huguet N., 2019, Report No 19.CM.19-008</w:t>
            </w:r>
          </w:p>
          <w:p w14:paraId="28B01B61" w14:textId="77777777" w:rsidR="0015321A" w:rsidRDefault="0015321A" w:rsidP="0015321A">
            <w:pPr>
              <w:rPr>
                <w:color w:val="000000"/>
                <w:sz w:val="18"/>
                <w:szCs w:val="18"/>
              </w:rPr>
            </w:pPr>
          </w:p>
          <w:p w14:paraId="07172472" w14:textId="77777777" w:rsidR="0015321A" w:rsidRDefault="0015321A" w:rsidP="0015321A">
            <w:pPr>
              <w:rPr>
                <w:color w:val="000000"/>
                <w:sz w:val="18"/>
                <w:szCs w:val="18"/>
              </w:rPr>
            </w:pPr>
            <w:r>
              <w:rPr>
                <w:color w:val="000000"/>
                <w:sz w:val="18"/>
                <w:szCs w:val="18"/>
              </w:rPr>
              <w:t>RI=1</w:t>
            </w:r>
          </w:p>
        </w:tc>
      </w:tr>
      <w:tr w:rsidR="0015321A" w:rsidRPr="00FD2055" w14:paraId="6A45D1AB" w14:textId="77777777" w:rsidTr="00946BFD">
        <w:trPr>
          <w:cantSplit/>
          <w:jc w:val="center"/>
        </w:trPr>
        <w:tc>
          <w:tcPr>
            <w:tcW w:w="474" w:type="pct"/>
            <w:vAlign w:val="center"/>
          </w:tcPr>
          <w:p w14:paraId="61E05A79" w14:textId="77777777" w:rsidR="0015321A" w:rsidRPr="00FD2055" w:rsidRDefault="0015321A" w:rsidP="0015321A">
            <w:pPr>
              <w:rPr>
                <w:i/>
                <w:color w:val="000000"/>
                <w:sz w:val="18"/>
                <w:szCs w:val="18"/>
              </w:rPr>
            </w:pPr>
            <w:r>
              <w:rPr>
                <w:color w:val="000000"/>
                <w:sz w:val="18"/>
                <w:szCs w:val="18"/>
              </w:rPr>
              <w:t>Disinfectant, yeasticidal activity</w:t>
            </w:r>
          </w:p>
        </w:tc>
        <w:tc>
          <w:tcPr>
            <w:tcW w:w="753" w:type="pct"/>
            <w:vAlign w:val="center"/>
          </w:tcPr>
          <w:p w14:paraId="76FBD116"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35911FDF" w14:textId="77777777" w:rsidR="0015321A" w:rsidRDefault="0015321A" w:rsidP="0015321A">
            <w:pPr>
              <w:rPr>
                <w:color w:val="000000"/>
                <w:sz w:val="18"/>
                <w:szCs w:val="18"/>
              </w:rPr>
            </w:pPr>
            <w:r>
              <w:rPr>
                <w:color w:val="000000"/>
                <w:sz w:val="18"/>
                <w:szCs w:val="18"/>
              </w:rPr>
              <w:t>AL-S7-1-0</w:t>
            </w:r>
          </w:p>
          <w:p w14:paraId="1B8070A0" w14:textId="1E398573"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296D6FF6" w14:textId="77777777" w:rsidR="0015321A" w:rsidRPr="00FD2055" w:rsidRDefault="0015321A" w:rsidP="0015321A">
            <w:pPr>
              <w:rPr>
                <w:i/>
                <w:color w:val="000000"/>
                <w:sz w:val="18"/>
                <w:szCs w:val="18"/>
              </w:rPr>
            </w:pPr>
            <w:r w:rsidRPr="005D3939">
              <w:rPr>
                <w:i/>
                <w:color w:val="000000"/>
                <w:sz w:val="18"/>
                <w:szCs w:val="18"/>
              </w:rPr>
              <w:t>Candida albicans</w:t>
            </w:r>
          </w:p>
        </w:tc>
        <w:tc>
          <w:tcPr>
            <w:tcW w:w="561" w:type="pct"/>
            <w:vAlign w:val="center"/>
          </w:tcPr>
          <w:p w14:paraId="666CEEEE" w14:textId="77777777" w:rsidR="0015321A" w:rsidRPr="00FD2055" w:rsidRDefault="0015321A" w:rsidP="0015321A">
            <w:pPr>
              <w:rPr>
                <w:color w:val="000000"/>
                <w:sz w:val="18"/>
                <w:szCs w:val="18"/>
              </w:rPr>
            </w:pPr>
            <w:r>
              <w:rPr>
                <w:color w:val="000000"/>
                <w:sz w:val="18"/>
                <w:szCs w:val="18"/>
              </w:rPr>
              <w:t>NF EN 1650 (2008) + A1 (July 2013)</w:t>
            </w:r>
          </w:p>
        </w:tc>
        <w:tc>
          <w:tcPr>
            <w:tcW w:w="1110" w:type="pct"/>
            <w:vAlign w:val="center"/>
          </w:tcPr>
          <w:p w14:paraId="7C1713FF" w14:textId="77777777" w:rsidR="0015321A" w:rsidRDefault="0015321A" w:rsidP="0015321A">
            <w:pPr>
              <w:rPr>
                <w:color w:val="000000"/>
                <w:sz w:val="18"/>
                <w:szCs w:val="18"/>
              </w:rPr>
            </w:pPr>
            <w:r>
              <w:rPr>
                <w:color w:val="000000"/>
                <w:sz w:val="18"/>
                <w:szCs w:val="18"/>
              </w:rPr>
              <w:t>Phase 2 step 1 (suspension test)</w:t>
            </w:r>
          </w:p>
          <w:p w14:paraId="1C67214A" w14:textId="03299C8C" w:rsidR="0015321A" w:rsidRDefault="0015321A" w:rsidP="0015321A">
            <w:pPr>
              <w:rPr>
                <w:color w:val="000000"/>
                <w:sz w:val="18"/>
                <w:szCs w:val="18"/>
              </w:rPr>
            </w:pPr>
            <w:r>
              <w:rPr>
                <w:color w:val="000000"/>
                <w:sz w:val="18"/>
                <w:szCs w:val="18"/>
              </w:rPr>
              <w:t xml:space="preserve">Concentrations of product tested were: 1%, 3%, 4%. </w:t>
            </w:r>
          </w:p>
          <w:p w14:paraId="3B74CCE7" w14:textId="77777777" w:rsidR="0015321A" w:rsidRDefault="0015321A" w:rsidP="0015321A">
            <w:pPr>
              <w:rPr>
                <w:color w:val="000000"/>
                <w:sz w:val="18"/>
                <w:szCs w:val="18"/>
              </w:rPr>
            </w:pPr>
            <w:r>
              <w:rPr>
                <w:color w:val="000000"/>
                <w:sz w:val="18"/>
                <w:szCs w:val="18"/>
              </w:rPr>
              <w:t xml:space="preserve">Contact time : 15 minutes </w:t>
            </w:r>
          </w:p>
          <w:p w14:paraId="0AE59C87" w14:textId="77777777" w:rsidR="0015321A" w:rsidRDefault="0015321A" w:rsidP="0015321A">
            <w:pPr>
              <w:rPr>
                <w:color w:val="000000"/>
                <w:sz w:val="18"/>
                <w:szCs w:val="18"/>
              </w:rPr>
            </w:pPr>
            <w:r>
              <w:rPr>
                <w:color w:val="000000"/>
                <w:sz w:val="18"/>
                <w:szCs w:val="18"/>
              </w:rPr>
              <w:t>Temperature: 20°C</w:t>
            </w:r>
          </w:p>
          <w:p w14:paraId="25B29C05" w14:textId="77777777" w:rsidR="0015321A" w:rsidRDefault="0015321A" w:rsidP="0015321A">
            <w:pPr>
              <w:rPr>
                <w:color w:val="000000"/>
                <w:sz w:val="18"/>
                <w:szCs w:val="18"/>
              </w:rPr>
            </w:pPr>
            <w:r>
              <w:rPr>
                <w:color w:val="000000"/>
                <w:sz w:val="18"/>
                <w:szCs w:val="18"/>
              </w:rPr>
              <w:t xml:space="preserve">Dirty conditions: 3 g/L BSA </w:t>
            </w:r>
          </w:p>
          <w:p w14:paraId="50182F67" w14:textId="77777777" w:rsidR="0015321A" w:rsidRPr="00FD2055" w:rsidRDefault="0015321A" w:rsidP="0015321A">
            <w:pPr>
              <w:rPr>
                <w:color w:val="000000"/>
                <w:sz w:val="18"/>
                <w:szCs w:val="18"/>
              </w:rPr>
            </w:pPr>
            <w:r>
              <w:rPr>
                <w:color w:val="000000"/>
                <w:sz w:val="18"/>
                <w:szCs w:val="18"/>
              </w:rPr>
              <w:t>Criteria: ≥ 4 log unit reduction</w:t>
            </w:r>
          </w:p>
        </w:tc>
        <w:tc>
          <w:tcPr>
            <w:tcW w:w="518" w:type="pct"/>
            <w:vAlign w:val="center"/>
          </w:tcPr>
          <w:p w14:paraId="4ADF561D"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3% v/v.</w:t>
            </w:r>
          </w:p>
          <w:p w14:paraId="74F76C40" w14:textId="77777777" w:rsidR="0015321A" w:rsidRPr="00FD2055" w:rsidRDefault="0015321A" w:rsidP="0015321A">
            <w:pPr>
              <w:rPr>
                <w:color w:val="000000"/>
                <w:sz w:val="18"/>
                <w:szCs w:val="18"/>
              </w:rPr>
            </w:pPr>
          </w:p>
        </w:tc>
        <w:tc>
          <w:tcPr>
            <w:tcW w:w="502" w:type="pct"/>
            <w:vAlign w:val="center"/>
          </w:tcPr>
          <w:p w14:paraId="5300CBA9" w14:textId="77777777" w:rsidR="0015321A" w:rsidRDefault="0015321A" w:rsidP="0015321A">
            <w:pPr>
              <w:rPr>
                <w:color w:val="000000"/>
                <w:sz w:val="18"/>
                <w:szCs w:val="18"/>
              </w:rPr>
            </w:pPr>
            <w:r>
              <w:rPr>
                <w:color w:val="000000"/>
                <w:sz w:val="18"/>
                <w:szCs w:val="18"/>
              </w:rPr>
              <w:t>Huguet N., 2018, Report No 18.CM.18-125</w:t>
            </w:r>
          </w:p>
          <w:p w14:paraId="6091E856" w14:textId="77777777" w:rsidR="0015321A" w:rsidRDefault="0015321A" w:rsidP="0015321A">
            <w:pPr>
              <w:rPr>
                <w:color w:val="000000"/>
                <w:sz w:val="18"/>
                <w:szCs w:val="18"/>
              </w:rPr>
            </w:pPr>
          </w:p>
          <w:p w14:paraId="588B1231" w14:textId="77777777" w:rsidR="0015321A" w:rsidRPr="00FD2055" w:rsidRDefault="0015321A" w:rsidP="0015321A">
            <w:pPr>
              <w:rPr>
                <w:i/>
                <w:color w:val="000000"/>
                <w:sz w:val="18"/>
                <w:szCs w:val="18"/>
              </w:rPr>
            </w:pPr>
            <w:r>
              <w:rPr>
                <w:color w:val="000000"/>
                <w:sz w:val="18"/>
                <w:szCs w:val="18"/>
              </w:rPr>
              <w:t>RI=1</w:t>
            </w:r>
          </w:p>
        </w:tc>
      </w:tr>
      <w:tr w:rsidR="0015321A" w:rsidRPr="00FD2055" w14:paraId="6E0A2742" w14:textId="77777777" w:rsidTr="00946BFD">
        <w:trPr>
          <w:cantSplit/>
          <w:jc w:val="center"/>
        </w:trPr>
        <w:tc>
          <w:tcPr>
            <w:tcW w:w="474" w:type="pct"/>
            <w:vAlign w:val="center"/>
          </w:tcPr>
          <w:p w14:paraId="13896E3B" w14:textId="77777777" w:rsidR="0015321A" w:rsidRPr="00FD2055" w:rsidRDefault="0015321A" w:rsidP="0015321A">
            <w:pPr>
              <w:rPr>
                <w:i/>
                <w:color w:val="000000"/>
                <w:sz w:val="18"/>
                <w:szCs w:val="18"/>
              </w:rPr>
            </w:pPr>
            <w:r>
              <w:rPr>
                <w:color w:val="000000"/>
                <w:sz w:val="18"/>
                <w:szCs w:val="18"/>
              </w:rPr>
              <w:lastRenderedPageBreak/>
              <w:t>Disinfectant, yeasticidal activity</w:t>
            </w:r>
          </w:p>
        </w:tc>
        <w:tc>
          <w:tcPr>
            <w:tcW w:w="753" w:type="pct"/>
            <w:vAlign w:val="center"/>
          </w:tcPr>
          <w:p w14:paraId="1A56907F"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05F2216C" w14:textId="77777777" w:rsidR="0015321A" w:rsidRDefault="0015321A" w:rsidP="0015321A">
            <w:pPr>
              <w:rPr>
                <w:color w:val="000000"/>
                <w:sz w:val="18"/>
                <w:szCs w:val="18"/>
              </w:rPr>
            </w:pPr>
            <w:r>
              <w:rPr>
                <w:color w:val="000000"/>
                <w:sz w:val="18"/>
                <w:szCs w:val="18"/>
              </w:rPr>
              <w:t>AL-S7-1-0</w:t>
            </w:r>
          </w:p>
          <w:p w14:paraId="34F8D213" w14:textId="6773BFA3"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489FF253" w14:textId="77777777" w:rsidR="0015321A" w:rsidRPr="00FD2055" w:rsidRDefault="0015321A"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561" w:type="pct"/>
            <w:vAlign w:val="center"/>
          </w:tcPr>
          <w:p w14:paraId="3B2048AC" w14:textId="77777777" w:rsidR="0015321A" w:rsidRPr="00FD2055" w:rsidRDefault="0015321A" w:rsidP="0015321A">
            <w:pPr>
              <w:rPr>
                <w:color w:val="000000"/>
                <w:sz w:val="18"/>
                <w:szCs w:val="18"/>
              </w:rPr>
            </w:pPr>
            <w:r>
              <w:rPr>
                <w:color w:val="000000"/>
                <w:sz w:val="18"/>
                <w:szCs w:val="18"/>
              </w:rPr>
              <w:t>NF EN 13624 (November 2013)</w:t>
            </w:r>
          </w:p>
        </w:tc>
        <w:tc>
          <w:tcPr>
            <w:tcW w:w="1110" w:type="pct"/>
            <w:vAlign w:val="center"/>
          </w:tcPr>
          <w:p w14:paraId="6090C540" w14:textId="77777777" w:rsidR="0015321A" w:rsidRDefault="0015321A" w:rsidP="0015321A">
            <w:pPr>
              <w:rPr>
                <w:color w:val="000000"/>
                <w:sz w:val="18"/>
                <w:szCs w:val="18"/>
              </w:rPr>
            </w:pPr>
            <w:r>
              <w:rPr>
                <w:color w:val="000000"/>
                <w:sz w:val="18"/>
                <w:szCs w:val="18"/>
              </w:rPr>
              <w:t>Phase 2 step 1 (suspension test)</w:t>
            </w:r>
          </w:p>
          <w:p w14:paraId="2CEC0F21" w14:textId="77777777" w:rsidR="0015321A" w:rsidRDefault="0015321A" w:rsidP="0015321A">
            <w:pPr>
              <w:rPr>
                <w:color w:val="000000"/>
                <w:sz w:val="18"/>
                <w:szCs w:val="18"/>
              </w:rPr>
            </w:pPr>
            <w:r>
              <w:rPr>
                <w:color w:val="000000"/>
                <w:sz w:val="18"/>
                <w:szCs w:val="18"/>
              </w:rPr>
              <w:t xml:space="preserve">Concentrations of product tested were: 4%, 8%, 10%. </w:t>
            </w:r>
          </w:p>
          <w:p w14:paraId="770D2786" w14:textId="5322007A" w:rsidR="0015321A" w:rsidRDefault="0015321A" w:rsidP="0015321A">
            <w:pPr>
              <w:rPr>
                <w:color w:val="000000"/>
                <w:sz w:val="18"/>
                <w:szCs w:val="18"/>
              </w:rPr>
            </w:pPr>
            <w:r>
              <w:rPr>
                <w:color w:val="000000"/>
                <w:sz w:val="18"/>
                <w:szCs w:val="18"/>
              </w:rPr>
              <w:t xml:space="preserve">Contact time: 5 minutes </w:t>
            </w:r>
          </w:p>
          <w:p w14:paraId="4EB224E8" w14:textId="77777777" w:rsidR="0015321A" w:rsidRDefault="0015321A" w:rsidP="0015321A">
            <w:pPr>
              <w:rPr>
                <w:color w:val="000000"/>
                <w:sz w:val="18"/>
                <w:szCs w:val="18"/>
              </w:rPr>
            </w:pPr>
            <w:r>
              <w:rPr>
                <w:color w:val="000000"/>
                <w:sz w:val="18"/>
                <w:szCs w:val="18"/>
              </w:rPr>
              <w:t>Temperature: 20°C</w:t>
            </w:r>
          </w:p>
          <w:p w14:paraId="233EC168" w14:textId="77777777" w:rsidR="0015321A" w:rsidRDefault="0015321A" w:rsidP="0015321A">
            <w:pPr>
              <w:rPr>
                <w:color w:val="000000"/>
                <w:sz w:val="18"/>
                <w:szCs w:val="18"/>
              </w:rPr>
            </w:pPr>
            <w:r>
              <w:rPr>
                <w:color w:val="000000"/>
                <w:sz w:val="18"/>
                <w:szCs w:val="18"/>
              </w:rPr>
              <w:t>Dirty conditions: 3 g/L BSA + 3 ml/l sheep erythrocytes</w:t>
            </w:r>
          </w:p>
          <w:p w14:paraId="398E868D" w14:textId="77777777" w:rsidR="0015321A" w:rsidRPr="00FD2055" w:rsidRDefault="0015321A" w:rsidP="0015321A">
            <w:pPr>
              <w:rPr>
                <w:color w:val="000000"/>
                <w:sz w:val="18"/>
                <w:szCs w:val="18"/>
              </w:rPr>
            </w:pPr>
            <w:r>
              <w:rPr>
                <w:color w:val="000000"/>
                <w:sz w:val="18"/>
                <w:szCs w:val="18"/>
              </w:rPr>
              <w:t>Criteria: ≥ 4 log unit reduction</w:t>
            </w:r>
          </w:p>
        </w:tc>
        <w:tc>
          <w:tcPr>
            <w:tcW w:w="518" w:type="pct"/>
            <w:vAlign w:val="center"/>
          </w:tcPr>
          <w:p w14:paraId="2BCCABE9"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10% v/v.</w:t>
            </w:r>
          </w:p>
          <w:p w14:paraId="65EBD791" w14:textId="77777777" w:rsidR="0015321A" w:rsidRPr="00FD2055" w:rsidRDefault="0015321A" w:rsidP="0015321A">
            <w:pPr>
              <w:rPr>
                <w:color w:val="000000"/>
                <w:sz w:val="18"/>
                <w:szCs w:val="18"/>
              </w:rPr>
            </w:pPr>
          </w:p>
        </w:tc>
        <w:tc>
          <w:tcPr>
            <w:tcW w:w="502" w:type="pct"/>
            <w:vAlign w:val="center"/>
          </w:tcPr>
          <w:p w14:paraId="23B9D249" w14:textId="77777777" w:rsidR="0015321A" w:rsidRDefault="0015321A" w:rsidP="0015321A">
            <w:pPr>
              <w:rPr>
                <w:color w:val="000000"/>
                <w:sz w:val="18"/>
                <w:szCs w:val="18"/>
              </w:rPr>
            </w:pPr>
            <w:r>
              <w:rPr>
                <w:color w:val="000000"/>
                <w:sz w:val="18"/>
                <w:szCs w:val="18"/>
              </w:rPr>
              <w:t>Huguet N., 2019, Report No 19.CM.19-006</w:t>
            </w:r>
          </w:p>
          <w:p w14:paraId="2AC4F09F" w14:textId="77777777" w:rsidR="0015321A" w:rsidRDefault="0015321A" w:rsidP="0015321A">
            <w:pPr>
              <w:rPr>
                <w:color w:val="000000"/>
                <w:sz w:val="18"/>
                <w:szCs w:val="18"/>
              </w:rPr>
            </w:pPr>
          </w:p>
          <w:p w14:paraId="604FBCC8" w14:textId="77777777" w:rsidR="0015321A" w:rsidRPr="00FD2055" w:rsidRDefault="0015321A" w:rsidP="0015321A">
            <w:pPr>
              <w:rPr>
                <w:i/>
                <w:color w:val="000000"/>
                <w:sz w:val="18"/>
                <w:szCs w:val="18"/>
              </w:rPr>
            </w:pPr>
            <w:r>
              <w:rPr>
                <w:color w:val="000000"/>
                <w:sz w:val="18"/>
                <w:szCs w:val="18"/>
              </w:rPr>
              <w:t>RI=1</w:t>
            </w:r>
          </w:p>
        </w:tc>
      </w:tr>
      <w:tr w:rsidR="0015321A" w14:paraId="5FDE8A38" w14:textId="77777777" w:rsidTr="00946BFD">
        <w:trPr>
          <w:cantSplit/>
          <w:jc w:val="center"/>
        </w:trPr>
        <w:tc>
          <w:tcPr>
            <w:tcW w:w="474" w:type="pct"/>
            <w:vAlign w:val="center"/>
          </w:tcPr>
          <w:p w14:paraId="169110AE" w14:textId="77777777" w:rsidR="0015321A" w:rsidRDefault="0015321A" w:rsidP="0015321A">
            <w:pPr>
              <w:rPr>
                <w:color w:val="000000"/>
                <w:sz w:val="18"/>
                <w:szCs w:val="18"/>
              </w:rPr>
            </w:pPr>
            <w:r>
              <w:rPr>
                <w:sz w:val="18"/>
                <w:szCs w:val="18"/>
              </w:rPr>
              <w:t>Disinfectant, yeasticidal activity</w:t>
            </w:r>
          </w:p>
        </w:tc>
        <w:tc>
          <w:tcPr>
            <w:tcW w:w="753" w:type="pct"/>
            <w:vAlign w:val="center"/>
          </w:tcPr>
          <w:p w14:paraId="5639A6DF" w14:textId="77777777" w:rsidR="0015321A" w:rsidRDefault="0015321A" w:rsidP="0015321A">
            <w:pPr>
              <w:rPr>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7CC393AC" w14:textId="77777777" w:rsidR="0015321A" w:rsidRDefault="0015321A" w:rsidP="0015321A">
            <w:pPr>
              <w:rPr>
                <w:sz w:val="18"/>
                <w:szCs w:val="18"/>
              </w:rPr>
            </w:pPr>
            <w:r>
              <w:rPr>
                <w:sz w:val="18"/>
                <w:szCs w:val="18"/>
              </w:rPr>
              <w:t>AL-S7-1-0</w:t>
            </w:r>
          </w:p>
          <w:p w14:paraId="76052571" w14:textId="736E4158" w:rsidR="0015321A" w:rsidRDefault="007325F4" w:rsidP="007325F4">
            <w:pPr>
              <w:rPr>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3E7A58E9" w14:textId="77777777" w:rsidR="0015321A" w:rsidRPr="005D3939" w:rsidRDefault="0015321A" w:rsidP="0015321A">
            <w:pPr>
              <w:rPr>
                <w:i/>
                <w:color w:val="000000"/>
                <w:sz w:val="18"/>
                <w:szCs w:val="18"/>
              </w:rPr>
            </w:pPr>
            <w:r w:rsidRPr="005D3939">
              <w:rPr>
                <w:i/>
                <w:sz w:val="18"/>
                <w:szCs w:val="18"/>
              </w:rPr>
              <w:t>Candida albicans</w:t>
            </w:r>
            <w:r>
              <w:rPr>
                <w:sz w:val="18"/>
                <w:szCs w:val="18"/>
              </w:rPr>
              <w:t xml:space="preserve"> </w:t>
            </w:r>
          </w:p>
        </w:tc>
        <w:tc>
          <w:tcPr>
            <w:tcW w:w="561" w:type="pct"/>
            <w:vAlign w:val="center"/>
          </w:tcPr>
          <w:p w14:paraId="76B1BC08" w14:textId="77777777" w:rsidR="0015321A" w:rsidRDefault="0015321A" w:rsidP="0015321A">
            <w:pPr>
              <w:rPr>
                <w:color w:val="000000"/>
                <w:sz w:val="18"/>
                <w:szCs w:val="18"/>
              </w:rPr>
            </w:pPr>
            <w:r>
              <w:rPr>
                <w:sz w:val="18"/>
                <w:szCs w:val="18"/>
              </w:rPr>
              <w:t>NF EN 1650 + A1 (July 2013)</w:t>
            </w:r>
          </w:p>
        </w:tc>
        <w:tc>
          <w:tcPr>
            <w:tcW w:w="1110" w:type="pct"/>
            <w:vAlign w:val="center"/>
          </w:tcPr>
          <w:p w14:paraId="1B87737F" w14:textId="77777777" w:rsidR="0015321A" w:rsidRDefault="0015321A" w:rsidP="0015321A">
            <w:pPr>
              <w:rPr>
                <w:color w:val="000000"/>
                <w:sz w:val="18"/>
                <w:szCs w:val="18"/>
              </w:rPr>
            </w:pPr>
            <w:r>
              <w:rPr>
                <w:color w:val="000000"/>
                <w:sz w:val="18"/>
                <w:szCs w:val="18"/>
              </w:rPr>
              <w:t>Phase 2 step 1 (suspension test)</w:t>
            </w:r>
          </w:p>
          <w:p w14:paraId="36669AE4" w14:textId="77777777" w:rsidR="0015321A" w:rsidRDefault="0015321A" w:rsidP="0015321A">
            <w:pPr>
              <w:rPr>
                <w:color w:val="000000"/>
                <w:sz w:val="18"/>
                <w:szCs w:val="18"/>
              </w:rPr>
            </w:pPr>
            <w:r>
              <w:rPr>
                <w:color w:val="000000"/>
                <w:sz w:val="18"/>
                <w:szCs w:val="18"/>
              </w:rPr>
              <w:t xml:space="preserve">Concentrations of product tested were: </w:t>
            </w:r>
            <w:r>
              <w:rPr>
                <w:sz w:val="18"/>
                <w:szCs w:val="18"/>
              </w:rPr>
              <w:t xml:space="preserve">4%, 3%, 0.5%. </w:t>
            </w:r>
          </w:p>
          <w:p w14:paraId="1950E8CF" w14:textId="047E6795" w:rsidR="0015321A" w:rsidRDefault="0015321A" w:rsidP="0015321A">
            <w:pPr>
              <w:rPr>
                <w:color w:val="000000"/>
                <w:sz w:val="18"/>
                <w:szCs w:val="18"/>
              </w:rPr>
            </w:pPr>
            <w:r>
              <w:rPr>
                <w:color w:val="000000"/>
                <w:sz w:val="18"/>
                <w:szCs w:val="18"/>
              </w:rPr>
              <w:t xml:space="preserve">Contact time: 15 minutes </w:t>
            </w:r>
          </w:p>
          <w:p w14:paraId="500007B8" w14:textId="77777777" w:rsidR="0015321A" w:rsidRDefault="0015321A" w:rsidP="0015321A">
            <w:pPr>
              <w:rPr>
                <w:color w:val="000000"/>
                <w:sz w:val="18"/>
                <w:szCs w:val="18"/>
              </w:rPr>
            </w:pPr>
            <w:r>
              <w:rPr>
                <w:color w:val="000000"/>
                <w:sz w:val="18"/>
                <w:szCs w:val="18"/>
              </w:rPr>
              <w:t>Temperature: 40°C</w:t>
            </w:r>
          </w:p>
          <w:p w14:paraId="2C34F25D" w14:textId="77777777" w:rsidR="0015321A" w:rsidRDefault="0015321A" w:rsidP="0015321A">
            <w:pPr>
              <w:rPr>
                <w:color w:val="000000"/>
                <w:sz w:val="18"/>
                <w:szCs w:val="18"/>
              </w:rPr>
            </w:pPr>
            <w:r>
              <w:rPr>
                <w:color w:val="000000"/>
                <w:sz w:val="18"/>
                <w:szCs w:val="18"/>
              </w:rPr>
              <w:t xml:space="preserve">Dirty conditions: 3 g/L BSA </w:t>
            </w:r>
          </w:p>
          <w:p w14:paraId="0642AF6F" w14:textId="77777777" w:rsidR="0015321A" w:rsidRDefault="0015321A" w:rsidP="0015321A">
            <w:pPr>
              <w:rPr>
                <w:color w:val="000000"/>
                <w:sz w:val="18"/>
                <w:szCs w:val="18"/>
              </w:rPr>
            </w:pPr>
            <w:r>
              <w:rPr>
                <w:color w:val="000000"/>
                <w:sz w:val="18"/>
                <w:szCs w:val="18"/>
              </w:rPr>
              <w:t>Criteria: ≥ 4 log unit reduction</w:t>
            </w:r>
          </w:p>
        </w:tc>
        <w:tc>
          <w:tcPr>
            <w:tcW w:w="518" w:type="pct"/>
            <w:vAlign w:val="center"/>
          </w:tcPr>
          <w:p w14:paraId="4750DA0A"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4% v/v.</w:t>
            </w:r>
          </w:p>
          <w:p w14:paraId="03C98BA0" w14:textId="77777777" w:rsidR="0015321A" w:rsidRDefault="0015321A" w:rsidP="0015321A">
            <w:pPr>
              <w:snapToGrid w:val="0"/>
              <w:rPr>
                <w:sz w:val="18"/>
                <w:szCs w:val="18"/>
              </w:rPr>
            </w:pPr>
          </w:p>
        </w:tc>
        <w:tc>
          <w:tcPr>
            <w:tcW w:w="502" w:type="pct"/>
            <w:vAlign w:val="center"/>
          </w:tcPr>
          <w:p w14:paraId="65FE325E" w14:textId="77777777" w:rsidR="0015321A" w:rsidRDefault="0015321A" w:rsidP="0015321A">
            <w:pPr>
              <w:rPr>
                <w:sz w:val="18"/>
                <w:szCs w:val="18"/>
              </w:rPr>
            </w:pPr>
            <w:r>
              <w:rPr>
                <w:sz w:val="18"/>
                <w:szCs w:val="18"/>
              </w:rPr>
              <w:t>Feuillolay C., 2019, Report No 19-1358</w:t>
            </w:r>
          </w:p>
          <w:p w14:paraId="63DF37A8" w14:textId="77777777" w:rsidR="0015321A" w:rsidRDefault="0015321A" w:rsidP="0015321A">
            <w:pPr>
              <w:rPr>
                <w:sz w:val="18"/>
                <w:szCs w:val="18"/>
              </w:rPr>
            </w:pPr>
          </w:p>
          <w:p w14:paraId="05671D5F" w14:textId="77777777" w:rsidR="0015321A" w:rsidRDefault="0015321A" w:rsidP="0015321A">
            <w:pPr>
              <w:rPr>
                <w:color w:val="000000"/>
                <w:sz w:val="18"/>
                <w:szCs w:val="18"/>
              </w:rPr>
            </w:pPr>
            <w:r>
              <w:rPr>
                <w:sz w:val="18"/>
                <w:szCs w:val="18"/>
              </w:rPr>
              <w:t>RI=1</w:t>
            </w:r>
          </w:p>
        </w:tc>
      </w:tr>
      <w:tr w:rsidR="0015321A" w:rsidRPr="00FD2055" w14:paraId="0BCDD37B" w14:textId="77777777" w:rsidTr="00946BFD">
        <w:trPr>
          <w:cantSplit/>
          <w:jc w:val="center"/>
        </w:trPr>
        <w:tc>
          <w:tcPr>
            <w:tcW w:w="474" w:type="pct"/>
            <w:vAlign w:val="center"/>
          </w:tcPr>
          <w:p w14:paraId="776975D6" w14:textId="77777777" w:rsidR="0015321A" w:rsidRPr="00FD2055" w:rsidRDefault="0015321A" w:rsidP="0015321A">
            <w:pPr>
              <w:rPr>
                <w:i/>
                <w:color w:val="000000"/>
                <w:sz w:val="18"/>
                <w:szCs w:val="18"/>
              </w:rPr>
            </w:pPr>
            <w:r>
              <w:rPr>
                <w:color w:val="000000"/>
                <w:sz w:val="18"/>
                <w:szCs w:val="18"/>
              </w:rPr>
              <w:t>Disinfectant, bactericidal activity</w:t>
            </w:r>
          </w:p>
        </w:tc>
        <w:tc>
          <w:tcPr>
            <w:tcW w:w="753" w:type="pct"/>
            <w:vAlign w:val="center"/>
          </w:tcPr>
          <w:p w14:paraId="23DA775F"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0F224F42" w14:textId="77777777" w:rsidR="0015321A" w:rsidRDefault="0015321A" w:rsidP="0015321A">
            <w:pPr>
              <w:rPr>
                <w:color w:val="000000"/>
                <w:sz w:val="18"/>
                <w:szCs w:val="18"/>
              </w:rPr>
            </w:pPr>
            <w:r>
              <w:rPr>
                <w:color w:val="000000"/>
                <w:sz w:val="18"/>
                <w:szCs w:val="18"/>
              </w:rPr>
              <w:t>AL-S7-1-0</w:t>
            </w:r>
          </w:p>
          <w:p w14:paraId="32473EFD" w14:textId="2E0CFDE4"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72484999"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561" w:type="pct"/>
            <w:vAlign w:val="center"/>
          </w:tcPr>
          <w:p w14:paraId="5A3C5CAE" w14:textId="612CBCC1" w:rsidR="0015321A" w:rsidRPr="00FD2055" w:rsidRDefault="0015321A" w:rsidP="0015321A">
            <w:pPr>
              <w:rPr>
                <w:color w:val="000000"/>
                <w:sz w:val="18"/>
                <w:szCs w:val="18"/>
              </w:rPr>
            </w:pPr>
            <w:r>
              <w:rPr>
                <w:color w:val="000000"/>
                <w:sz w:val="18"/>
                <w:szCs w:val="18"/>
              </w:rPr>
              <w:t>NF EN 13697 (</w:t>
            </w:r>
            <w:r w:rsidR="00946BFD">
              <w:rPr>
                <w:color w:val="000000"/>
                <w:sz w:val="18"/>
                <w:szCs w:val="18"/>
              </w:rPr>
              <w:t>J</w:t>
            </w:r>
            <w:r>
              <w:rPr>
                <w:color w:val="000000"/>
                <w:sz w:val="18"/>
                <w:szCs w:val="18"/>
              </w:rPr>
              <w:t>une 2015)</w:t>
            </w:r>
          </w:p>
        </w:tc>
        <w:tc>
          <w:tcPr>
            <w:tcW w:w="1110" w:type="pct"/>
            <w:vAlign w:val="center"/>
          </w:tcPr>
          <w:p w14:paraId="58BC60D7" w14:textId="0F278D97" w:rsidR="0015321A" w:rsidRDefault="0015321A" w:rsidP="0015321A">
            <w:pPr>
              <w:rPr>
                <w:color w:val="000000"/>
                <w:sz w:val="18"/>
                <w:szCs w:val="18"/>
              </w:rPr>
            </w:pPr>
            <w:r>
              <w:rPr>
                <w:color w:val="000000"/>
                <w:sz w:val="18"/>
                <w:szCs w:val="18"/>
              </w:rPr>
              <w:t>Phase 2 step 2 (su</w:t>
            </w:r>
            <w:r w:rsidR="00946BFD">
              <w:rPr>
                <w:color w:val="000000"/>
                <w:sz w:val="18"/>
                <w:szCs w:val="18"/>
              </w:rPr>
              <w:t>rface</w:t>
            </w:r>
            <w:r w:rsidR="00A67859">
              <w:rPr>
                <w:color w:val="000000"/>
                <w:sz w:val="18"/>
                <w:szCs w:val="18"/>
              </w:rPr>
              <w:t xml:space="preserve"> </w:t>
            </w:r>
            <w:r>
              <w:rPr>
                <w:color w:val="000000"/>
                <w:sz w:val="18"/>
                <w:szCs w:val="18"/>
              </w:rPr>
              <w:t>test)</w:t>
            </w:r>
          </w:p>
          <w:p w14:paraId="4DDC0BF2" w14:textId="77777777" w:rsidR="0015321A" w:rsidRDefault="0015321A" w:rsidP="0015321A">
            <w:pPr>
              <w:rPr>
                <w:color w:val="000000"/>
                <w:sz w:val="18"/>
                <w:szCs w:val="18"/>
              </w:rPr>
            </w:pPr>
            <w:r>
              <w:rPr>
                <w:color w:val="000000"/>
                <w:sz w:val="18"/>
                <w:szCs w:val="18"/>
              </w:rPr>
              <w:t xml:space="preserve">Concentrations of product tested were: 1% - 3% and 5%. </w:t>
            </w:r>
          </w:p>
          <w:p w14:paraId="0DC315B7" w14:textId="7DE373D3" w:rsidR="0015321A" w:rsidRDefault="0015321A" w:rsidP="0015321A">
            <w:pPr>
              <w:rPr>
                <w:color w:val="000000"/>
                <w:sz w:val="18"/>
                <w:szCs w:val="18"/>
              </w:rPr>
            </w:pPr>
            <w:r>
              <w:rPr>
                <w:color w:val="000000"/>
                <w:sz w:val="18"/>
                <w:szCs w:val="18"/>
              </w:rPr>
              <w:t xml:space="preserve">Contact time: 5 minutes </w:t>
            </w:r>
          </w:p>
          <w:p w14:paraId="1024B5F2" w14:textId="77777777" w:rsidR="0015321A" w:rsidRDefault="0015321A" w:rsidP="0015321A">
            <w:pPr>
              <w:rPr>
                <w:color w:val="000000"/>
                <w:sz w:val="18"/>
                <w:szCs w:val="18"/>
              </w:rPr>
            </w:pPr>
            <w:r>
              <w:rPr>
                <w:color w:val="000000"/>
                <w:sz w:val="18"/>
                <w:szCs w:val="18"/>
              </w:rPr>
              <w:t>Temperature: 20°C</w:t>
            </w:r>
          </w:p>
          <w:p w14:paraId="6B64BBAF" w14:textId="77777777" w:rsidR="0015321A" w:rsidRDefault="0015321A" w:rsidP="0015321A">
            <w:pPr>
              <w:rPr>
                <w:color w:val="000000"/>
                <w:sz w:val="18"/>
                <w:szCs w:val="18"/>
              </w:rPr>
            </w:pPr>
            <w:r>
              <w:rPr>
                <w:color w:val="000000"/>
                <w:sz w:val="18"/>
                <w:szCs w:val="18"/>
              </w:rPr>
              <w:t xml:space="preserve">Dirty conditions: 3 g/L BSA </w:t>
            </w:r>
          </w:p>
          <w:p w14:paraId="12812050" w14:textId="77777777" w:rsidR="0015321A" w:rsidRPr="00FD2055" w:rsidRDefault="0015321A" w:rsidP="0015321A">
            <w:pPr>
              <w:rPr>
                <w:color w:val="000000"/>
                <w:sz w:val="18"/>
                <w:szCs w:val="18"/>
              </w:rPr>
            </w:pPr>
            <w:r>
              <w:rPr>
                <w:color w:val="000000"/>
                <w:sz w:val="18"/>
                <w:szCs w:val="18"/>
              </w:rPr>
              <w:t>Criteria: ≥ 4 log unit reduction</w:t>
            </w:r>
          </w:p>
        </w:tc>
        <w:tc>
          <w:tcPr>
            <w:tcW w:w="518" w:type="pct"/>
            <w:vAlign w:val="center"/>
          </w:tcPr>
          <w:p w14:paraId="7EC15ABA"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5% v/v.</w:t>
            </w:r>
          </w:p>
          <w:p w14:paraId="5AC27E37" w14:textId="77777777" w:rsidR="0015321A" w:rsidRPr="00FD2055" w:rsidRDefault="0015321A" w:rsidP="0015321A">
            <w:pPr>
              <w:rPr>
                <w:color w:val="000000"/>
                <w:sz w:val="18"/>
                <w:szCs w:val="18"/>
              </w:rPr>
            </w:pPr>
          </w:p>
        </w:tc>
        <w:tc>
          <w:tcPr>
            <w:tcW w:w="502" w:type="pct"/>
            <w:vAlign w:val="center"/>
          </w:tcPr>
          <w:p w14:paraId="7270EC81" w14:textId="77777777" w:rsidR="0015321A" w:rsidRDefault="0015321A" w:rsidP="0015321A">
            <w:pPr>
              <w:rPr>
                <w:color w:val="000000"/>
                <w:sz w:val="18"/>
                <w:szCs w:val="18"/>
              </w:rPr>
            </w:pPr>
            <w:r>
              <w:rPr>
                <w:color w:val="000000"/>
                <w:sz w:val="18"/>
                <w:szCs w:val="18"/>
              </w:rPr>
              <w:t>Gabillet AF., 2018, Report No 5236-1</w:t>
            </w:r>
          </w:p>
          <w:p w14:paraId="712DF99C" w14:textId="77777777" w:rsidR="0015321A" w:rsidRPr="00FD2055" w:rsidRDefault="0015321A" w:rsidP="0015321A">
            <w:pPr>
              <w:rPr>
                <w:i/>
                <w:color w:val="000000"/>
                <w:sz w:val="18"/>
                <w:szCs w:val="18"/>
              </w:rPr>
            </w:pPr>
            <w:r>
              <w:rPr>
                <w:color w:val="000000"/>
                <w:sz w:val="18"/>
                <w:szCs w:val="18"/>
              </w:rPr>
              <w:t>RI=1</w:t>
            </w:r>
          </w:p>
        </w:tc>
      </w:tr>
      <w:tr w:rsidR="0015321A" w14:paraId="0E175F09" w14:textId="77777777" w:rsidTr="00946BFD">
        <w:trPr>
          <w:cantSplit/>
          <w:jc w:val="center"/>
        </w:trPr>
        <w:tc>
          <w:tcPr>
            <w:tcW w:w="474" w:type="pct"/>
            <w:vAlign w:val="center"/>
          </w:tcPr>
          <w:p w14:paraId="7236C842" w14:textId="77777777" w:rsidR="0015321A" w:rsidRDefault="0015321A" w:rsidP="0015321A">
            <w:pPr>
              <w:rPr>
                <w:color w:val="000000"/>
                <w:sz w:val="18"/>
                <w:szCs w:val="18"/>
              </w:rPr>
            </w:pPr>
            <w:r>
              <w:rPr>
                <w:color w:val="000000"/>
                <w:sz w:val="18"/>
                <w:szCs w:val="18"/>
              </w:rPr>
              <w:t>Disinfectant, bactericidal activity</w:t>
            </w:r>
          </w:p>
        </w:tc>
        <w:tc>
          <w:tcPr>
            <w:tcW w:w="753" w:type="pct"/>
            <w:vAlign w:val="center"/>
          </w:tcPr>
          <w:p w14:paraId="3AAD7D1E" w14:textId="77777777" w:rsidR="0015321A" w:rsidRDefault="0015321A" w:rsidP="0015321A">
            <w:pPr>
              <w:rPr>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2CA5CC87" w14:textId="77777777" w:rsidR="0015321A" w:rsidRDefault="0015321A" w:rsidP="0015321A">
            <w:pPr>
              <w:rPr>
                <w:color w:val="000000"/>
                <w:sz w:val="18"/>
                <w:szCs w:val="18"/>
              </w:rPr>
            </w:pPr>
            <w:r>
              <w:rPr>
                <w:color w:val="000000"/>
                <w:sz w:val="18"/>
                <w:szCs w:val="18"/>
              </w:rPr>
              <w:t>AL-S7-1-0</w:t>
            </w:r>
          </w:p>
          <w:p w14:paraId="6FA42EB5" w14:textId="7C66B776" w:rsidR="0015321A" w:rsidRDefault="007325F4" w:rsidP="007325F4">
            <w:pPr>
              <w:rPr>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08A0C387"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561" w:type="pct"/>
            <w:vAlign w:val="center"/>
          </w:tcPr>
          <w:p w14:paraId="1A79C991" w14:textId="77777777" w:rsidR="0015321A" w:rsidRDefault="0015321A" w:rsidP="0015321A">
            <w:pPr>
              <w:rPr>
                <w:color w:val="000000"/>
                <w:sz w:val="18"/>
                <w:szCs w:val="18"/>
              </w:rPr>
            </w:pPr>
            <w:r>
              <w:rPr>
                <w:color w:val="000000"/>
                <w:sz w:val="18"/>
                <w:szCs w:val="18"/>
              </w:rPr>
              <w:t>NF EN 13697 (June 2015)</w:t>
            </w:r>
          </w:p>
        </w:tc>
        <w:tc>
          <w:tcPr>
            <w:tcW w:w="1110" w:type="pct"/>
            <w:vAlign w:val="center"/>
          </w:tcPr>
          <w:p w14:paraId="4D368A01" w14:textId="630F5FBE" w:rsidR="0015321A" w:rsidRDefault="0015321A" w:rsidP="0015321A">
            <w:pPr>
              <w:rPr>
                <w:color w:val="000000"/>
                <w:sz w:val="18"/>
                <w:szCs w:val="18"/>
              </w:rPr>
            </w:pPr>
            <w:r>
              <w:rPr>
                <w:color w:val="000000"/>
                <w:sz w:val="18"/>
                <w:szCs w:val="18"/>
              </w:rPr>
              <w:t>Phase 2 step 2 (su</w:t>
            </w:r>
            <w:r w:rsidR="00946BFD">
              <w:rPr>
                <w:color w:val="000000"/>
                <w:sz w:val="18"/>
                <w:szCs w:val="18"/>
              </w:rPr>
              <w:t xml:space="preserve">rface </w:t>
            </w:r>
            <w:r>
              <w:rPr>
                <w:color w:val="000000"/>
                <w:sz w:val="18"/>
                <w:szCs w:val="18"/>
              </w:rPr>
              <w:t>test)</w:t>
            </w:r>
          </w:p>
          <w:p w14:paraId="40592965" w14:textId="77777777" w:rsidR="0015321A" w:rsidRDefault="0015321A" w:rsidP="0015321A">
            <w:pPr>
              <w:rPr>
                <w:color w:val="000000"/>
                <w:sz w:val="18"/>
                <w:szCs w:val="18"/>
              </w:rPr>
            </w:pPr>
            <w:r>
              <w:rPr>
                <w:color w:val="000000"/>
                <w:sz w:val="18"/>
                <w:szCs w:val="18"/>
              </w:rPr>
              <w:t xml:space="preserve">Concentrations of product tested were: 4% - 3% and 0.5%. </w:t>
            </w:r>
          </w:p>
          <w:p w14:paraId="3795EA26" w14:textId="77777777" w:rsidR="0015321A" w:rsidRDefault="0015321A" w:rsidP="0015321A">
            <w:pPr>
              <w:rPr>
                <w:color w:val="000000"/>
                <w:sz w:val="18"/>
                <w:szCs w:val="18"/>
              </w:rPr>
            </w:pPr>
            <w:r>
              <w:rPr>
                <w:color w:val="000000"/>
                <w:sz w:val="18"/>
                <w:szCs w:val="18"/>
              </w:rPr>
              <w:t xml:space="preserve">Contact time : 15 minutes </w:t>
            </w:r>
          </w:p>
          <w:p w14:paraId="0D448136" w14:textId="77777777" w:rsidR="0015321A" w:rsidRDefault="0015321A" w:rsidP="0015321A">
            <w:pPr>
              <w:rPr>
                <w:color w:val="000000"/>
                <w:sz w:val="18"/>
                <w:szCs w:val="18"/>
              </w:rPr>
            </w:pPr>
            <w:r>
              <w:rPr>
                <w:color w:val="000000"/>
                <w:sz w:val="18"/>
                <w:szCs w:val="18"/>
              </w:rPr>
              <w:t>Temperature: 40°C</w:t>
            </w:r>
          </w:p>
          <w:p w14:paraId="181D9A16" w14:textId="77777777" w:rsidR="0015321A" w:rsidRDefault="0015321A" w:rsidP="0015321A">
            <w:pPr>
              <w:rPr>
                <w:color w:val="000000"/>
                <w:sz w:val="18"/>
                <w:szCs w:val="18"/>
              </w:rPr>
            </w:pPr>
            <w:r>
              <w:rPr>
                <w:color w:val="000000"/>
                <w:sz w:val="18"/>
                <w:szCs w:val="18"/>
              </w:rPr>
              <w:t xml:space="preserve">Dirty conditions: 3 g/L BSA </w:t>
            </w:r>
          </w:p>
          <w:p w14:paraId="42ACEA93" w14:textId="77777777" w:rsidR="0015321A" w:rsidRDefault="0015321A" w:rsidP="0015321A">
            <w:pPr>
              <w:rPr>
                <w:color w:val="000000"/>
                <w:sz w:val="18"/>
                <w:szCs w:val="18"/>
              </w:rPr>
            </w:pPr>
            <w:r>
              <w:rPr>
                <w:color w:val="000000"/>
                <w:sz w:val="18"/>
                <w:szCs w:val="18"/>
              </w:rPr>
              <w:t>Criteria: ≥ 4 log unit reduction</w:t>
            </w:r>
          </w:p>
        </w:tc>
        <w:tc>
          <w:tcPr>
            <w:tcW w:w="518" w:type="pct"/>
            <w:vAlign w:val="center"/>
          </w:tcPr>
          <w:p w14:paraId="7EAFE629"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4% v/v.</w:t>
            </w:r>
          </w:p>
          <w:p w14:paraId="3D1DAE27" w14:textId="4A9DAD63" w:rsidR="0015321A" w:rsidRDefault="0015321A" w:rsidP="0015321A">
            <w:pPr>
              <w:snapToGrid w:val="0"/>
              <w:rPr>
                <w:sz w:val="18"/>
                <w:szCs w:val="18"/>
              </w:rPr>
            </w:pPr>
          </w:p>
        </w:tc>
        <w:tc>
          <w:tcPr>
            <w:tcW w:w="502" w:type="pct"/>
            <w:vAlign w:val="center"/>
          </w:tcPr>
          <w:p w14:paraId="36AEE05D" w14:textId="77777777" w:rsidR="0015321A" w:rsidRDefault="0015321A" w:rsidP="0015321A">
            <w:pPr>
              <w:rPr>
                <w:sz w:val="18"/>
                <w:szCs w:val="18"/>
              </w:rPr>
            </w:pPr>
            <w:r>
              <w:rPr>
                <w:sz w:val="18"/>
                <w:szCs w:val="18"/>
              </w:rPr>
              <w:t>Feuillolay C., 2019, Report No 19-1369</w:t>
            </w:r>
          </w:p>
          <w:p w14:paraId="6DE23396" w14:textId="77777777" w:rsidR="0015321A" w:rsidRDefault="0015321A" w:rsidP="0015321A">
            <w:pPr>
              <w:rPr>
                <w:sz w:val="18"/>
                <w:szCs w:val="18"/>
              </w:rPr>
            </w:pPr>
          </w:p>
          <w:p w14:paraId="19E1FF99" w14:textId="77777777" w:rsidR="0015321A" w:rsidRDefault="0015321A" w:rsidP="0015321A">
            <w:pPr>
              <w:rPr>
                <w:color w:val="000000"/>
                <w:sz w:val="18"/>
                <w:szCs w:val="18"/>
              </w:rPr>
            </w:pPr>
            <w:r>
              <w:rPr>
                <w:sz w:val="18"/>
                <w:szCs w:val="18"/>
              </w:rPr>
              <w:t>RI=1</w:t>
            </w:r>
          </w:p>
        </w:tc>
      </w:tr>
      <w:tr w:rsidR="0015321A" w:rsidRPr="00FD2055" w14:paraId="71D913BA" w14:textId="77777777" w:rsidTr="00946BFD">
        <w:trPr>
          <w:cantSplit/>
          <w:jc w:val="center"/>
        </w:trPr>
        <w:tc>
          <w:tcPr>
            <w:tcW w:w="474" w:type="pct"/>
            <w:vAlign w:val="center"/>
          </w:tcPr>
          <w:p w14:paraId="31A59691" w14:textId="77777777" w:rsidR="0015321A" w:rsidRPr="00FD2055" w:rsidRDefault="0015321A" w:rsidP="0015321A">
            <w:pPr>
              <w:rPr>
                <w:i/>
                <w:color w:val="000000"/>
                <w:sz w:val="18"/>
                <w:szCs w:val="18"/>
              </w:rPr>
            </w:pPr>
            <w:r>
              <w:rPr>
                <w:color w:val="000000"/>
                <w:sz w:val="18"/>
                <w:szCs w:val="18"/>
              </w:rPr>
              <w:lastRenderedPageBreak/>
              <w:t>Disinfectant, bactericidal activity</w:t>
            </w:r>
          </w:p>
        </w:tc>
        <w:tc>
          <w:tcPr>
            <w:tcW w:w="753" w:type="pct"/>
            <w:vAlign w:val="center"/>
          </w:tcPr>
          <w:p w14:paraId="388DF84A"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397B10E4" w14:textId="77777777" w:rsidR="0015321A" w:rsidRDefault="0015321A" w:rsidP="0015321A">
            <w:pPr>
              <w:rPr>
                <w:color w:val="000000"/>
                <w:sz w:val="18"/>
                <w:szCs w:val="18"/>
              </w:rPr>
            </w:pPr>
            <w:r>
              <w:rPr>
                <w:color w:val="000000"/>
                <w:sz w:val="18"/>
                <w:szCs w:val="18"/>
              </w:rPr>
              <w:t>AL-S7-1-0</w:t>
            </w:r>
          </w:p>
          <w:p w14:paraId="4143C4C8" w14:textId="467D217E"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5FE11135"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561" w:type="pct"/>
            <w:vAlign w:val="center"/>
          </w:tcPr>
          <w:p w14:paraId="585E1550" w14:textId="688F009A" w:rsidR="0015321A" w:rsidRPr="00FD2055" w:rsidRDefault="0015321A" w:rsidP="0015321A">
            <w:pPr>
              <w:rPr>
                <w:color w:val="000000"/>
                <w:sz w:val="18"/>
                <w:szCs w:val="18"/>
              </w:rPr>
            </w:pPr>
            <w:r>
              <w:rPr>
                <w:color w:val="000000"/>
                <w:sz w:val="18"/>
                <w:szCs w:val="18"/>
              </w:rPr>
              <w:t>NF EN 13697 (</w:t>
            </w:r>
            <w:r w:rsidR="00DF446C">
              <w:rPr>
                <w:color w:val="000000"/>
                <w:sz w:val="18"/>
                <w:szCs w:val="18"/>
              </w:rPr>
              <w:t>J</w:t>
            </w:r>
            <w:r>
              <w:rPr>
                <w:color w:val="000000"/>
                <w:sz w:val="18"/>
                <w:szCs w:val="18"/>
              </w:rPr>
              <w:t>une 2015)</w:t>
            </w:r>
          </w:p>
        </w:tc>
        <w:tc>
          <w:tcPr>
            <w:tcW w:w="1110" w:type="pct"/>
            <w:vAlign w:val="center"/>
          </w:tcPr>
          <w:p w14:paraId="2C648FF4" w14:textId="6B5B1235" w:rsidR="0015321A" w:rsidRDefault="0015321A" w:rsidP="0015321A">
            <w:pPr>
              <w:rPr>
                <w:color w:val="000000"/>
                <w:sz w:val="18"/>
                <w:szCs w:val="18"/>
              </w:rPr>
            </w:pPr>
            <w:r>
              <w:rPr>
                <w:color w:val="000000"/>
                <w:sz w:val="18"/>
                <w:szCs w:val="18"/>
              </w:rPr>
              <w:t>Phase 2 step 2 (su</w:t>
            </w:r>
            <w:r w:rsidR="00946BFD">
              <w:rPr>
                <w:color w:val="000000"/>
                <w:sz w:val="18"/>
                <w:szCs w:val="18"/>
              </w:rPr>
              <w:t xml:space="preserve">rface </w:t>
            </w:r>
            <w:r>
              <w:rPr>
                <w:color w:val="000000"/>
                <w:sz w:val="18"/>
                <w:szCs w:val="18"/>
              </w:rPr>
              <w:t>test)</w:t>
            </w:r>
          </w:p>
          <w:p w14:paraId="28F36114" w14:textId="77777777" w:rsidR="0015321A" w:rsidRDefault="0015321A" w:rsidP="0015321A">
            <w:pPr>
              <w:rPr>
                <w:color w:val="000000"/>
                <w:sz w:val="18"/>
                <w:szCs w:val="18"/>
              </w:rPr>
            </w:pPr>
            <w:r>
              <w:rPr>
                <w:color w:val="000000"/>
                <w:sz w:val="18"/>
                <w:szCs w:val="18"/>
              </w:rPr>
              <w:t xml:space="preserve">Concentrations of product tested were: 2% - 6% and 8%. </w:t>
            </w:r>
          </w:p>
          <w:p w14:paraId="1BE00326" w14:textId="594D3CA4" w:rsidR="0015321A" w:rsidRDefault="0015321A" w:rsidP="0015321A">
            <w:pPr>
              <w:rPr>
                <w:color w:val="000000"/>
                <w:sz w:val="18"/>
                <w:szCs w:val="18"/>
              </w:rPr>
            </w:pPr>
            <w:r>
              <w:rPr>
                <w:color w:val="000000"/>
                <w:sz w:val="18"/>
                <w:szCs w:val="18"/>
              </w:rPr>
              <w:t xml:space="preserve">Contact time: 5 minutes </w:t>
            </w:r>
          </w:p>
          <w:p w14:paraId="7BE59C32" w14:textId="77777777" w:rsidR="0015321A" w:rsidRDefault="0015321A" w:rsidP="0015321A">
            <w:pPr>
              <w:rPr>
                <w:color w:val="000000"/>
                <w:sz w:val="18"/>
                <w:szCs w:val="18"/>
              </w:rPr>
            </w:pPr>
            <w:r>
              <w:rPr>
                <w:color w:val="000000"/>
                <w:sz w:val="18"/>
                <w:szCs w:val="18"/>
              </w:rPr>
              <w:t>Temperature: 20°C</w:t>
            </w:r>
          </w:p>
          <w:p w14:paraId="32A630BD" w14:textId="77777777" w:rsidR="0015321A" w:rsidRDefault="0015321A" w:rsidP="0015321A">
            <w:pPr>
              <w:rPr>
                <w:color w:val="000000"/>
                <w:sz w:val="18"/>
                <w:szCs w:val="18"/>
              </w:rPr>
            </w:pPr>
            <w:r>
              <w:rPr>
                <w:color w:val="000000"/>
                <w:sz w:val="18"/>
                <w:szCs w:val="18"/>
              </w:rPr>
              <w:t>Dirty conditions: 3 g/L BSA + 3 ml/l sheep erythrocytes.</w:t>
            </w:r>
          </w:p>
          <w:p w14:paraId="2CA87ED4" w14:textId="77777777" w:rsidR="0015321A" w:rsidRPr="00FD2055" w:rsidRDefault="0015321A" w:rsidP="0015321A">
            <w:pPr>
              <w:rPr>
                <w:color w:val="000000"/>
                <w:sz w:val="18"/>
                <w:szCs w:val="18"/>
              </w:rPr>
            </w:pPr>
            <w:r>
              <w:rPr>
                <w:color w:val="000000"/>
                <w:sz w:val="18"/>
                <w:szCs w:val="18"/>
              </w:rPr>
              <w:t>Criteria: ≥ 4 log unit reduction</w:t>
            </w:r>
          </w:p>
        </w:tc>
        <w:tc>
          <w:tcPr>
            <w:tcW w:w="518" w:type="pct"/>
            <w:vAlign w:val="center"/>
          </w:tcPr>
          <w:p w14:paraId="57165F62" w14:textId="77777777" w:rsidR="0015321A" w:rsidRDefault="0015321A" w:rsidP="0015321A">
            <w:pPr>
              <w:snapToGrid w:val="0"/>
              <w:rPr>
                <w:color w:val="000000"/>
                <w:sz w:val="18"/>
                <w:szCs w:val="18"/>
              </w:rPr>
            </w:pPr>
            <w:r>
              <w:rPr>
                <w:sz w:val="18"/>
                <w:szCs w:val="18"/>
              </w:rPr>
              <w:t xml:space="preserve">Bactericidal </w:t>
            </w:r>
            <w:r>
              <w:rPr>
                <w:color w:val="000000"/>
                <w:sz w:val="18"/>
                <w:szCs w:val="18"/>
              </w:rPr>
              <w:t>activity demonstrated at 6% v/v.</w:t>
            </w:r>
          </w:p>
          <w:p w14:paraId="105620AD" w14:textId="77777777" w:rsidR="0015321A" w:rsidRPr="00FD2055" w:rsidRDefault="0015321A" w:rsidP="0015321A">
            <w:pPr>
              <w:rPr>
                <w:color w:val="000000"/>
                <w:sz w:val="18"/>
                <w:szCs w:val="18"/>
              </w:rPr>
            </w:pPr>
          </w:p>
        </w:tc>
        <w:tc>
          <w:tcPr>
            <w:tcW w:w="502" w:type="pct"/>
            <w:vAlign w:val="center"/>
          </w:tcPr>
          <w:p w14:paraId="533039CE" w14:textId="77777777" w:rsidR="0015321A" w:rsidRDefault="0015321A" w:rsidP="0015321A">
            <w:pPr>
              <w:rPr>
                <w:color w:val="000000"/>
                <w:sz w:val="18"/>
                <w:szCs w:val="18"/>
              </w:rPr>
            </w:pPr>
            <w:r>
              <w:rPr>
                <w:color w:val="000000"/>
                <w:sz w:val="18"/>
                <w:szCs w:val="18"/>
              </w:rPr>
              <w:t>Gabillet AF., 2019, Report No 5264-1</w:t>
            </w:r>
          </w:p>
          <w:p w14:paraId="7C266D12" w14:textId="77777777" w:rsidR="0015321A" w:rsidRDefault="0015321A" w:rsidP="0015321A">
            <w:pPr>
              <w:rPr>
                <w:color w:val="000000"/>
                <w:sz w:val="18"/>
                <w:szCs w:val="18"/>
              </w:rPr>
            </w:pPr>
          </w:p>
          <w:p w14:paraId="6933588D" w14:textId="77777777" w:rsidR="0015321A" w:rsidRPr="00FD2055" w:rsidRDefault="0015321A" w:rsidP="0015321A">
            <w:pPr>
              <w:rPr>
                <w:i/>
                <w:color w:val="000000"/>
                <w:sz w:val="18"/>
                <w:szCs w:val="18"/>
              </w:rPr>
            </w:pPr>
            <w:r>
              <w:rPr>
                <w:color w:val="000000"/>
                <w:sz w:val="18"/>
                <w:szCs w:val="18"/>
              </w:rPr>
              <w:t>RI=1</w:t>
            </w:r>
          </w:p>
        </w:tc>
      </w:tr>
      <w:tr w:rsidR="0015321A" w:rsidRPr="00FD2055" w14:paraId="3D59E873" w14:textId="77777777" w:rsidTr="00946BFD">
        <w:trPr>
          <w:cantSplit/>
          <w:jc w:val="center"/>
        </w:trPr>
        <w:tc>
          <w:tcPr>
            <w:tcW w:w="474" w:type="pct"/>
            <w:vAlign w:val="center"/>
          </w:tcPr>
          <w:p w14:paraId="2FD6C619" w14:textId="77777777" w:rsidR="0015321A" w:rsidRPr="00FD2055" w:rsidRDefault="0015321A" w:rsidP="0015321A">
            <w:pPr>
              <w:rPr>
                <w:i/>
                <w:color w:val="000000"/>
                <w:sz w:val="18"/>
                <w:szCs w:val="18"/>
              </w:rPr>
            </w:pPr>
            <w:r>
              <w:rPr>
                <w:color w:val="000000"/>
                <w:sz w:val="18"/>
                <w:szCs w:val="18"/>
              </w:rPr>
              <w:t>Disinfectant, bactericidal and yeasticidal activities</w:t>
            </w:r>
          </w:p>
        </w:tc>
        <w:tc>
          <w:tcPr>
            <w:tcW w:w="753" w:type="pct"/>
            <w:vAlign w:val="center"/>
          </w:tcPr>
          <w:p w14:paraId="5D7A8CEA"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417CD30F" w14:textId="77777777" w:rsidR="0015321A" w:rsidRDefault="0015321A" w:rsidP="0015321A">
            <w:pPr>
              <w:rPr>
                <w:color w:val="000000"/>
                <w:sz w:val="18"/>
                <w:szCs w:val="18"/>
              </w:rPr>
            </w:pPr>
            <w:r>
              <w:rPr>
                <w:color w:val="000000"/>
                <w:sz w:val="18"/>
                <w:szCs w:val="18"/>
              </w:rPr>
              <w:t>AL-S7-1-0</w:t>
            </w:r>
          </w:p>
          <w:p w14:paraId="6CB9CF6C" w14:textId="36D93FA7"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2F574E6F" w14:textId="77777777" w:rsidR="0015321A" w:rsidRPr="00AF1A0E" w:rsidRDefault="0015321A" w:rsidP="0015321A">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Staphylococcus aureus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r w:rsidRPr="00AF1A0E">
              <w:rPr>
                <w:color w:val="000000"/>
                <w:sz w:val="18"/>
                <w:szCs w:val="18"/>
                <w:lang w:val="fr-FR"/>
              </w:rPr>
              <w:br/>
            </w:r>
            <w:r w:rsidRPr="00AF1A0E">
              <w:rPr>
                <w:color w:val="000000"/>
                <w:sz w:val="18"/>
                <w:szCs w:val="18"/>
                <w:lang w:val="fr-FR"/>
              </w:rPr>
              <w:br/>
            </w:r>
            <w:r w:rsidRPr="00AF1A0E">
              <w:rPr>
                <w:i/>
                <w:color w:val="000000"/>
                <w:sz w:val="18"/>
                <w:szCs w:val="18"/>
                <w:lang w:val="fr-FR"/>
              </w:rPr>
              <w:t>Candida albicans</w:t>
            </w:r>
            <w:r w:rsidRPr="00AF1A0E">
              <w:rPr>
                <w:color w:val="000000"/>
                <w:sz w:val="18"/>
                <w:szCs w:val="18"/>
                <w:lang w:val="fr-FR"/>
              </w:rPr>
              <w:t xml:space="preserve"> </w:t>
            </w:r>
          </w:p>
        </w:tc>
        <w:tc>
          <w:tcPr>
            <w:tcW w:w="561" w:type="pct"/>
            <w:vAlign w:val="center"/>
          </w:tcPr>
          <w:p w14:paraId="4368B6E4" w14:textId="77777777" w:rsidR="0015321A" w:rsidRPr="00FD2055" w:rsidRDefault="0015321A" w:rsidP="0015321A">
            <w:pPr>
              <w:rPr>
                <w:color w:val="000000"/>
                <w:sz w:val="18"/>
                <w:szCs w:val="18"/>
              </w:rPr>
            </w:pPr>
            <w:r>
              <w:rPr>
                <w:color w:val="000000"/>
                <w:sz w:val="18"/>
                <w:szCs w:val="18"/>
              </w:rPr>
              <w:t>NF EN 16615 (2015)</w:t>
            </w:r>
          </w:p>
        </w:tc>
        <w:tc>
          <w:tcPr>
            <w:tcW w:w="1110" w:type="pct"/>
            <w:vAlign w:val="center"/>
          </w:tcPr>
          <w:p w14:paraId="233D1602" w14:textId="5E1B6D4E" w:rsidR="0015321A" w:rsidRDefault="0015321A" w:rsidP="0015321A">
            <w:pPr>
              <w:rPr>
                <w:color w:val="000000"/>
                <w:sz w:val="18"/>
                <w:szCs w:val="18"/>
              </w:rPr>
            </w:pPr>
            <w:r>
              <w:rPr>
                <w:color w:val="000000"/>
                <w:sz w:val="18"/>
                <w:szCs w:val="18"/>
              </w:rPr>
              <w:t>Phase 2 step 2 (su</w:t>
            </w:r>
            <w:r w:rsidR="00946BFD">
              <w:rPr>
                <w:color w:val="000000"/>
                <w:sz w:val="18"/>
                <w:szCs w:val="18"/>
              </w:rPr>
              <w:t xml:space="preserve">rface </w:t>
            </w:r>
            <w:r>
              <w:rPr>
                <w:color w:val="000000"/>
                <w:sz w:val="18"/>
                <w:szCs w:val="18"/>
              </w:rPr>
              <w:t>test)</w:t>
            </w:r>
          </w:p>
          <w:p w14:paraId="798201A5" w14:textId="77777777" w:rsidR="0015321A" w:rsidRDefault="0015321A" w:rsidP="0015321A">
            <w:pPr>
              <w:rPr>
                <w:color w:val="000000"/>
                <w:sz w:val="18"/>
                <w:szCs w:val="18"/>
              </w:rPr>
            </w:pPr>
            <w:r>
              <w:rPr>
                <w:color w:val="000000"/>
                <w:sz w:val="18"/>
                <w:szCs w:val="18"/>
              </w:rPr>
              <w:t xml:space="preserve">Concentrations of product tested were: </w:t>
            </w:r>
            <w:r>
              <w:rPr>
                <w:sz w:val="18"/>
                <w:szCs w:val="18"/>
              </w:rPr>
              <w:t xml:space="preserve">10% and 1% (v/v) </w:t>
            </w:r>
          </w:p>
          <w:p w14:paraId="0B861C9E" w14:textId="60CB635B" w:rsidR="0015321A" w:rsidRDefault="0015321A" w:rsidP="0015321A">
            <w:pPr>
              <w:rPr>
                <w:color w:val="000000"/>
                <w:sz w:val="18"/>
                <w:szCs w:val="18"/>
              </w:rPr>
            </w:pPr>
            <w:r>
              <w:rPr>
                <w:color w:val="000000"/>
                <w:sz w:val="18"/>
                <w:szCs w:val="18"/>
              </w:rPr>
              <w:t xml:space="preserve">Contact time: 5 minutes </w:t>
            </w:r>
          </w:p>
          <w:p w14:paraId="33048EAC" w14:textId="77777777" w:rsidR="0015321A" w:rsidRDefault="0015321A" w:rsidP="0015321A">
            <w:pPr>
              <w:rPr>
                <w:color w:val="000000"/>
                <w:sz w:val="18"/>
                <w:szCs w:val="18"/>
              </w:rPr>
            </w:pPr>
            <w:r>
              <w:rPr>
                <w:color w:val="000000"/>
                <w:sz w:val="18"/>
                <w:szCs w:val="18"/>
              </w:rPr>
              <w:t>Temperature: 20°C</w:t>
            </w:r>
          </w:p>
          <w:p w14:paraId="50E23BF1" w14:textId="77777777" w:rsidR="0015321A" w:rsidRDefault="0015321A" w:rsidP="0015321A">
            <w:pPr>
              <w:rPr>
                <w:color w:val="000000"/>
                <w:sz w:val="18"/>
                <w:szCs w:val="18"/>
              </w:rPr>
            </w:pPr>
            <w:r>
              <w:rPr>
                <w:color w:val="000000"/>
                <w:sz w:val="18"/>
                <w:szCs w:val="18"/>
              </w:rPr>
              <w:t>Dirty conditions: 3 g/L BSA + 3 ml/l sheep erythrocytes.</w:t>
            </w:r>
          </w:p>
          <w:p w14:paraId="12227621" w14:textId="77777777" w:rsidR="0015321A" w:rsidRPr="00FD2055" w:rsidRDefault="0015321A" w:rsidP="0015321A">
            <w:pPr>
              <w:rPr>
                <w:color w:val="000000"/>
                <w:sz w:val="18"/>
                <w:szCs w:val="18"/>
              </w:rPr>
            </w:pPr>
            <w:r>
              <w:rPr>
                <w:color w:val="000000"/>
                <w:sz w:val="18"/>
                <w:szCs w:val="18"/>
              </w:rPr>
              <w:t>Criteria: ≥ 5 log unit reduction</w:t>
            </w:r>
          </w:p>
        </w:tc>
        <w:tc>
          <w:tcPr>
            <w:tcW w:w="518" w:type="pct"/>
            <w:vAlign w:val="center"/>
          </w:tcPr>
          <w:p w14:paraId="4F1A80D7" w14:textId="77777777" w:rsidR="0015321A" w:rsidRDefault="0015321A" w:rsidP="0015321A">
            <w:pPr>
              <w:snapToGrid w:val="0"/>
              <w:rPr>
                <w:color w:val="000000"/>
                <w:sz w:val="18"/>
                <w:szCs w:val="18"/>
              </w:rPr>
            </w:pPr>
            <w:r>
              <w:rPr>
                <w:sz w:val="18"/>
                <w:szCs w:val="18"/>
              </w:rPr>
              <w:t xml:space="preserve">Bactericidal and yeasticidal </w:t>
            </w:r>
            <w:r>
              <w:rPr>
                <w:color w:val="000000"/>
                <w:sz w:val="18"/>
                <w:szCs w:val="18"/>
              </w:rPr>
              <w:t>activities demonstrated at 10% v/v.</w:t>
            </w:r>
          </w:p>
          <w:p w14:paraId="46CDA26E" w14:textId="77777777" w:rsidR="0015321A" w:rsidRPr="00FD2055" w:rsidRDefault="0015321A" w:rsidP="0015321A">
            <w:pPr>
              <w:rPr>
                <w:color w:val="000000"/>
                <w:sz w:val="18"/>
                <w:szCs w:val="18"/>
              </w:rPr>
            </w:pPr>
          </w:p>
        </w:tc>
        <w:tc>
          <w:tcPr>
            <w:tcW w:w="502" w:type="pct"/>
            <w:vAlign w:val="center"/>
          </w:tcPr>
          <w:p w14:paraId="59DD2622" w14:textId="77777777" w:rsidR="0015321A" w:rsidRDefault="0015321A" w:rsidP="0015321A">
            <w:pPr>
              <w:rPr>
                <w:sz w:val="18"/>
                <w:szCs w:val="18"/>
              </w:rPr>
            </w:pPr>
            <w:r>
              <w:rPr>
                <w:sz w:val="18"/>
                <w:szCs w:val="18"/>
              </w:rPr>
              <w:t>Lemaitre P., 2018, Report No RE18-645-1</w:t>
            </w:r>
          </w:p>
          <w:p w14:paraId="140CCDD5" w14:textId="77777777" w:rsidR="0015321A" w:rsidRDefault="0015321A" w:rsidP="0015321A">
            <w:pPr>
              <w:rPr>
                <w:sz w:val="18"/>
                <w:szCs w:val="18"/>
              </w:rPr>
            </w:pPr>
          </w:p>
          <w:p w14:paraId="4A4111EF" w14:textId="77777777" w:rsidR="0015321A" w:rsidRPr="00FD2055" w:rsidRDefault="0015321A" w:rsidP="0015321A">
            <w:pPr>
              <w:rPr>
                <w:i/>
                <w:color w:val="000000"/>
                <w:sz w:val="18"/>
                <w:szCs w:val="18"/>
              </w:rPr>
            </w:pPr>
            <w:r>
              <w:rPr>
                <w:sz w:val="18"/>
                <w:szCs w:val="18"/>
              </w:rPr>
              <w:t>RI=1</w:t>
            </w:r>
          </w:p>
        </w:tc>
      </w:tr>
      <w:tr w:rsidR="0015321A" w:rsidRPr="00FD2055" w14:paraId="2BCBDB6B" w14:textId="77777777" w:rsidTr="00946BFD">
        <w:trPr>
          <w:cantSplit/>
          <w:jc w:val="center"/>
        </w:trPr>
        <w:tc>
          <w:tcPr>
            <w:tcW w:w="474" w:type="pct"/>
            <w:vAlign w:val="center"/>
          </w:tcPr>
          <w:p w14:paraId="3D374976" w14:textId="77777777" w:rsidR="0015321A" w:rsidRPr="00FD2055" w:rsidRDefault="0015321A" w:rsidP="0015321A">
            <w:pPr>
              <w:rPr>
                <w:i/>
                <w:color w:val="000000"/>
                <w:sz w:val="18"/>
                <w:szCs w:val="18"/>
              </w:rPr>
            </w:pPr>
            <w:r>
              <w:rPr>
                <w:sz w:val="18"/>
                <w:szCs w:val="18"/>
              </w:rPr>
              <w:t>Disinfectant, yeasticidal activity</w:t>
            </w:r>
          </w:p>
        </w:tc>
        <w:tc>
          <w:tcPr>
            <w:tcW w:w="753" w:type="pct"/>
            <w:vAlign w:val="center"/>
          </w:tcPr>
          <w:p w14:paraId="0D0A0ADD"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554F6F57" w14:textId="77777777" w:rsidR="0015321A" w:rsidRDefault="0015321A" w:rsidP="0015321A">
            <w:pPr>
              <w:rPr>
                <w:sz w:val="18"/>
                <w:szCs w:val="18"/>
              </w:rPr>
            </w:pPr>
            <w:r>
              <w:rPr>
                <w:sz w:val="18"/>
                <w:szCs w:val="18"/>
              </w:rPr>
              <w:t>AL-S7-1-0</w:t>
            </w:r>
          </w:p>
          <w:p w14:paraId="636F3924" w14:textId="409EC131"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3CF0006E" w14:textId="77777777" w:rsidR="0015321A" w:rsidRPr="00FD2055" w:rsidRDefault="0015321A" w:rsidP="0015321A">
            <w:pPr>
              <w:rPr>
                <w:i/>
                <w:color w:val="000000"/>
                <w:sz w:val="18"/>
                <w:szCs w:val="18"/>
              </w:rPr>
            </w:pPr>
            <w:r w:rsidRPr="005D3939">
              <w:rPr>
                <w:i/>
                <w:sz w:val="18"/>
                <w:szCs w:val="18"/>
              </w:rPr>
              <w:t>Candida albicans</w:t>
            </w:r>
            <w:r>
              <w:rPr>
                <w:sz w:val="18"/>
                <w:szCs w:val="18"/>
              </w:rPr>
              <w:t xml:space="preserve"> </w:t>
            </w:r>
          </w:p>
        </w:tc>
        <w:tc>
          <w:tcPr>
            <w:tcW w:w="561" w:type="pct"/>
            <w:vAlign w:val="center"/>
          </w:tcPr>
          <w:p w14:paraId="5E4D5A72" w14:textId="77777777" w:rsidR="0015321A" w:rsidRPr="00FD2055" w:rsidRDefault="0015321A" w:rsidP="0015321A">
            <w:pPr>
              <w:rPr>
                <w:color w:val="000000"/>
                <w:sz w:val="18"/>
                <w:szCs w:val="18"/>
              </w:rPr>
            </w:pPr>
            <w:r>
              <w:rPr>
                <w:sz w:val="18"/>
                <w:szCs w:val="18"/>
              </w:rPr>
              <w:t>NF EN 13697 (June 2015)</w:t>
            </w:r>
          </w:p>
        </w:tc>
        <w:tc>
          <w:tcPr>
            <w:tcW w:w="1110" w:type="pct"/>
            <w:vAlign w:val="center"/>
          </w:tcPr>
          <w:p w14:paraId="5893A320" w14:textId="7C555337" w:rsidR="0015321A" w:rsidRDefault="0015321A" w:rsidP="0015321A">
            <w:pPr>
              <w:rPr>
                <w:color w:val="000000"/>
                <w:sz w:val="18"/>
                <w:szCs w:val="18"/>
              </w:rPr>
            </w:pPr>
            <w:r>
              <w:rPr>
                <w:color w:val="000000"/>
                <w:sz w:val="18"/>
                <w:szCs w:val="18"/>
              </w:rPr>
              <w:t>Phase 2 step 2 (su</w:t>
            </w:r>
            <w:r w:rsidR="00946BFD">
              <w:rPr>
                <w:color w:val="000000"/>
                <w:sz w:val="18"/>
                <w:szCs w:val="18"/>
              </w:rPr>
              <w:t xml:space="preserve">rface </w:t>
            </w:r>
            <w:r>
              <w:rPr>
                <w:color w:val="000000"/>
                <w:sz w:val="18"/>
                <w:szCs w:val="18"/>
              </w:rPr>
              <w:t>test)</w:t>
            </w:r>
          </w:p>
          <w:p w14:paraId="32E5E90E" w14:textId="77777777" w:rsidR="0015321A" w:rsidRDefault="0015321A" w:rsidP="0015321A">
            <w:pPr>
              <w:rPr>
                <w:color w:val="000000"/>
                <w:sz w:val="18"/>
                <w:szCs w:val="18"/>
              </w:rPr>
            </w:pPr>
            <w:r>
              <w:rPr>
                <w:color w:val="000000"/>
                <w:sz w:val="18"/>
                <w:szCs w:val="18"/>
              </w:rPr>
              <w:t xml:space="preserve">Concentrations of product tested were: </w:t>
            </w:r>
            <w:r>
              <w:rPr>
                <w:sz w:val="18"/>
                <w:szCs w:val="18"/>
              </w:rPr>
              <w:t xml:space="preserve">7%, 8%, 10%. </w:t>
            </w:r>
          </w:p>
          <w:p w14:paraId="392A7D2D" w14:textId="0A2C2B5B" w:rsidR="0015321A" w:rsidRDefault="0015321A" w:rsidP="0015321A">
            <w:pPr>
              <w:rPr>
                <w:color w:val="000000"/>
                <w:sz w:val="18"/>
                <w:szCs w:val="18"/>
              </w:rPr>
            </w:pPr>
            <w:r>
              <w:rPr>
                <w:color w:val="000000"/>
                <w:sz w:val="18"/>
                <w:szCs w:val="18"/>
              </w:rPr>
              <w:t xml:space="preserve">Contact time: 15 minutes </w:t>
            </w:r>
          </w:p>
          <w:p w14:paraId="2E10FEF1" w14:textId="77777777" w:rsidR="0015321A" w:rsidRDefault="0015321A" w:rsidP="0015321A">
            <w:pPr>
              <w:rPr>
                <w:color w:val="000000"/>
                <w:sz w:val="18"/>
                <w:szCs w:val="18"/>
              </w:rPr>
            </w:pPr>
            <w:r>
              <w:rPr>
                <w:color w:val="000000"/>
                <w:sz w:val="18"/>
                <w:szCs w:val="18"/>
              </w:rPr>
              <w:t>Temperature: 20°C</w:t>
            </w:r>
          </w:p>
          <w:p w14:paraId="5D1123FD" w14:textId="77777777" w:rsidR="0015321A" w:rsidRDefault="0015321A" w:rsidP="0015321A">
            <w:pPr>
              <w:rPr>
                <w:color w:val="000000"/>
                <w:sz w:val="18"/>
                <w:szCs w:val="18"/>
              </w:rPr>
            </w:pPr>
            <w:r>
              <w:rPr>
                <w:color w:val="000000"/>
                <w:sz w:val="18"/>
                <w:szCs w:val="18"/>
              </w:rPr>
              <w:t xml:space="preserve">Dirty conditions: 3 g/L BSA </w:t>
            </w:r>
          </w:p>
          <w:p w14:paraId="759E82D7" w14:textId="77777777" w:rsidR="0015321A" w:rsidRPr="00FD2055" w:rsidRDefault="0015321A" w:rsidP="0015321A">
            <w:pPr>
              <w:rPr>
                <w:color w:val="000000"/>
                <w:sz w:val="18"/>
                <w:szCs w:val="18"/>
              </w:rPr>
            </w:pPr>
            <w:r>
              <w:rPr>
                <w:color w:val="000000"/>
                <w:sz w:val="18"/>
                <w:szCs w:val="18"/>
              </w:rPr>
              <w:t>Criteria: ≥ 3 log unit reduction</w:t>
            </w:r>
          </w:p>
        </w:tc>
        <w:tc>
          <w:tcPr>
            <w:tcW w:w="518" w:type="pct"/>
            <w:vAlign w:val="center"/>
          </w:tcPr>
          <w:p w14:paraId="5D0E5B74"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8% v/v.</w:t>
            </w:r>
          </w:p>
          <w:p w14:paraId="0AD759F8" w14:textId="77777777" w:rsidR="0015321A" w:rsidRPr="00FD2055" w:rsidRDefault="0015321A" w:rsidP="0015321A">
            <w:pPr>
              <w:rPr>
                <w:color w:val="000000"/>
                <w:sz w:val="18"/>
                <w:szCs w:val="18"/>
              </w:rPr>
            </w:pPr>
          </w:p>
        </w:tc>
        <w:tc>
          <w:tcPr>
            <w:tcW w:w="502" w:type="pct"/>
            <w:vAlign w:val="center"/>
          </w:tcPr>
          <w:p w14:paraId="02A336FF" w14:textId="77777777" w:rsidR="0015321A" w:rsidRDefault="0015321A" w:rsidP="0015321A">
            <w:pPr>
              <w:rPr>
                <w:sz w:val="18"/>
                <w:szCs w:val="18"/>
              </w:rPr>
            </w:pPr>
            <w:r>
              <w:rPr>
                <w:sz w:val="18"/>
                <w:szCs w:val="18"/>
              </w:rPr>
              <w:t>Huguet N., 2019, Report No 19.CM.19-010</w:t>
            </w:r>
          </w:p>
          <w:p w14:paraId="4A817515" w14:textId="77777777" w:rsidR="0015321A" w:rsidRDefault="0015321A" w:rsidP="0015321A">
            <w:pPr>
              <w:rPr>
                <w:sz w:val="18"/>
                <w:szCs w:val="18"/>
              </w:rPr>
            </w:pPr>
          </w:p>
          <w:p w14:paraId="6375730E" w14:textId="77777777" w:rsidR="0015321A" w:rsidRPr="00FD2055" w:rsidRDefault="0015321A" w:rsidP="0015321A">
            <w:pPr>
              <w:rPr>
                <w:i/>
                <w:color w:val="000000"/>
                <w:sz w:val="18"/>
                <w:szCs w:val="18"/>
              </w:rPr>
            </w:pPr>
            <w:r>
              <w:rPr>
                <w:sz w:val="18"/>
                <w:szCs w:val="18"/>
              </w:rPr>
              <w:t>RI=1</w:t>
            </w:r>
          </w:p>
        </w:tc>
      </w:tr>
      <w:tr w:rsidR="0015321A" w14:paraId="2E21BB9B" w14:textId="77777777" w:rsidTr="00946BFD">
        <w:trPr>
          <w:cantSplit/>
          <w:jc w:val="center"/>
        </w:trPr>
        <w:tc>
          <w:tcPr>
            <w:tcW w:w="474" w:type="pct"/>
            <w:vAlign w:val="center"/>
          </w:tcPr>
          <w:p w14:paraId="46AD70F6" w14:textId="77777777" w:rsidR="0015321A" w:rsidRDefault="0015321A" w:rsidP="0015321A">
            <w:pPr>
              <w:rPr>
                <w:sz w:val="18"/>
                <w:szCs w:val="18"/>
              </w:rPr>
            </w:pPr>
            <w:r>
              <w:rPr>
                <w:color w:val="000000"/>
                <w:sz w:val="18"/>
                <w:szCs w:val="18"/>
              </w:rPr>
              <w:t>Disinfectant, yeasticidal activity</w:t>
            </w:r>
          </w:p>
        </w:tc>
        <w:tc>
          <w:tcPr>
            <w:tcW w:w="753" w:type="pct"/>
            <w:vAlign w:val="center"/>
          </w:tcPr>
          <w:p w14:paraId="06D36616" w14:textId="77777777" w:rsidR="0015321A" w:rsidRDefault="0015321A" w:rsidP="0015321A">
            <w:pPr>
              <w:rPr>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77000FDD" w14:textId="77777777" w:rsidR="0015321A" w:rsidRDefault="0015321A" w:rsidP="0015321A">
            <w:pPr>
              <w:rPr>
                <w:color w:val="000000"/>
                <w:sz w:val="18"/>
                <w:szCs w:val="18"/>
              </w:rPr>
            </w:pPr>
            <w:r>
              <w:rPr>
                <w:color w:val="000000"/>
                <w:sz w:val="18"/>
                <w:szCs w:val="18"/>
              </w:rPr>
              <w:t>AL-S7-1-0</w:t>
            </w:r>
          </w:p>
          <w:p w14:paraId="586D8220" w14:textId="1828379E" w:rsidR="0015321A" w:rsidRDefault="007325F4" w:rsidP="007325F4">
            <w:pPr>
              <w:rPr>
                <w:sz w:val="18"/>
                <w:szCs w:val="18"/>
              </w:rPr>
            </w:pPr>
            <w:r>
              <w:rPr>
                <w:color w:val="000000"/>
                <w:sz w:val="18"/>
                <w:szCs w:val="18"/>
              </w:rPr>
              <w:t>12</w:t>
            </w:r>
            <w:r w:rsidR="0015321A">
              <w:rPr>
                <w:color w:val="000000"/>
                <w:sz w:val="18"/>
                <w:szCs w:val="18"/>
              </w:rPr>
              <w:t>% lactic acid</w:t>
            </w:r>
          </w:p>
        </w:tc>
        <w:tc>
          <w:tcPr>
            <w:tcW w:w="600" w:type="pct"/>
            <w:vAlign w:val="center"/>
          </w:tcPr>
          <w:p w14:paraId="7C25F4BE" w14:textId="77777777" w:rsidR="0015321A" w:rsidRPr="005D3939" w:rsidRDefault="0015321A" w:rsidP="0015321A">
            <w:pPr>
              <w:rPr>
                <w:i/>
                <w:sz w:val="18"/>
                <w:szCs w:val="18"/>
              </w:rPr>
            </w:pPr>
            <w:r w:rsidRPr="005D3939">
              <w:rPr>
                <w:i/>
                <w:color w:val="000000"/>
                <w:sz w:val="18"/>
                <w:szCs w:val="18"/>
              </w:rPr>
              <w:t>Candida albicans</w:t>
            </w:r>
          </w:p>
        </w:tc>
        <w:tc>
          <w:tcPr>
            <w:tcW w:w="561" w:type="pct"/>
            <w:vAlign w:val="center"/>
          </w:tcPr>
          <w:p w14:paraId="572B052C" w14:textId="77777777" w:rsidR="0015321A" w:rsidRDefault="0015321A" w:rsidP="0015321A">
            <w:pPr>
              <w:rPr>
                <w:sz w:val="18"/>
                <w:szCs w:val="18"/>
              </w:rPr>
            </w:pPr>
            <w:r>
              <w:rPr>
                <w:color w:val="000000"/>
                <w:sz w:val="18"/>
                <w:szCs w:val="18"/>
              </w:rPr>
              <w:t>NF EN 13697 (June 2015)</w:t>
            </w:r>
          </w:p>
        </w:tc>
        <w:tc>
          <w:tcPr>
            <w:tcW w:w="1110" w:type="pct"/>
            <w:vAlign w:val="center"/>
          </w:tcPr>
          <w:p w14:paraId="28725568" w14:textId="257661B9" w:rsidR="0015321A" w:rsidRDefault="0015321A" w:rsidP="0015321A">
            <w:pPr>
              <w:rPr>
                <w:color w:val="000000"/>
                <w:sz w:val="18"/>
                <w:szCs w:val="18"/>
              </w:rPr>
            </w:pPr>
            <w:r>
              <w:rPr>
                <w:color w:val="000000"/>
                <w:sz w:val="18"/>
                <w:szCs w:val="18"/>
              </w:rPr>
              <w:t>Phase 2 step 2 (su</w:t>
            </w:r>
            <w:r w:rsidR="00946BFD">
              <w:rPr>
                <w:color w:val="000000"/>
                <w:sz w:val="18"/>
                <w:szCs w:val="18"/>
              </w:rPr>
              <w:t>rface</w:t>
            </w:r>
            <w:r>
              <w:rPr>
                <w:color w:val="000000"/>
                <w:sz w:val="18"/>
                <w:szCs w:val="18"/>
              </w:rPr>
              <w:t xml:space="preserve"> test)</w:t>
            </w:r>
          </w:p>
          <w:p w14:paraId="45434A40" w14:textId="77777777" w:rsidR="0015321A" w:rsidRDefault="0015321A" w:rsidP="0015321A">
            <w:pPr>
              <w:rPr>
                <w:color w:val="000000"/>
                <w:sz w:val="18"/>
                <w:szCs w:val="18"/>
              </w:rPr>
            </w:pPr>
            <w:r>
              <w:rPr>
                <w:color w:val="000000"/>
                <w:sz w:val="18"/>
                <w:szCs w:val="18"/>
              </w:rPr>
              <w:t xml:space="preserve">Concentrations of product tested were: 2%, 6%, 10%. </w:t>
            </w:r>
          </w:p>
          <w:p w14:paraId="4184606D" w14:textId="6F2337FD" w:rsidR="0015321A" w:rsidRDefault="0015321A" w:rsidP="0015321A">
            <w:pPr>
              <w:rPr>
                <w:color w:val="000000"/>
                <w:sz w:val="18"/>
                <w:szCs w:val="18"/>
              </w:rPr>
            </w:pPr>
            <w:r>
              <w:rPr>
                <w:color w:val="000000"/>
                <w:sz w:val="18"/>
                <w:szCs w:val="18"/>
              </w:rPr>
              <w:t xml:space="preserve">Contact time: 5 minutes </w:t>
            </w:r>
          </w:p>
          <w:p w14:paraId="0E741403" w14:textId="77777777" w:rsidR="0015321A" w:rsidRDefault="0015321A" w:rsidP="0015321A">
            <w:pPr>
              <w:rPr>
                <w:color w:val="000000"/>
                <w:sz w:val="18"/>
                <w:szCs w:val="18"/>
              </w:rPr>
            </w:pPr>
            <w:r>
              <w:rPr>
                <w:color w:val="000000"/>
                <w:sz w:val="18"/>
                <w:szCs w:val="18"/>
              </w:rPr>
              <w:t>Temperature: 20°C</w:t>
            </w:r>
          </w:p>
          <w:p w14:paraId="16306579" w14:textId="77777777" w:rsidR="0015321A" w:rsidRDefault="0015321A" w:rsidP="0015321A">
            <w:pPr>
              <w:rPr>
                <w:color w:val="000000"/>
                <w:sz w:val="18"/>
                <w:szCs w:val="18"/>
              </w:rPr>
            </w:pPr>
            <w:r>
              <w:rPr>
                <w:color w:val="000000"/>
                <w:sz w:val="18"/>
                <w:szCs w:val="18"/>
              </w:rPr>
              <w:t>Dirty conditions: 3 g/L BSA + 3 ml/l sheep erythrocytes</w:t>
            </w:r>
          </w:p>
          <w:p w14:paraId="59B19724" w14:textId="77777777" w:rsidR="0015321A" w:rsidRDefault="0015321A" w:rsidP="0015321A">
            <w:pPr>
              <w:rPr>
                <w:color w:val="000000"/>
                <w:sz w:val="18"/>
                <w:szCs w:val="18"/>
              </w:rPr>
            </w:pPr>
            <w:r>
              <w:rPr>
                <w:color w:val="000000"/>
                <w:sz w:val="18"/>
                <w:szCs w:val="18"/>
              </w:rPr>
              <w:t>Criteria: ≥ 3 log unit reduction</w:t>
            </w:r>
          </w:p>
        </w:tc>
        <w:tc>
          <w:tcPr>
            <w:tcW w:w="518" w:type="pct"/>
            <w:vAlign w:val="center"/>
          </w:tcPr>
          <w:p w14:paraId="0D002529"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10% v/v.</w:t>
            </w:r>
          </w:p>
          <w:p w14:paraId="599E4AA5" w14:textId="77777777" w:rsidR="0015321A" w:rsidRDefault="0015321A" w:rsidP="0015321A">
            <w:pPr>
              <w:snapToGrid w:val="0"/>
              <w:rPr>
                <w:sz w:val="18"/>
                <w:szCs w:val="18"/>
              </w:rPr>
            </w:pPr>
          </w:p>
        </w:tc>
        <w:tc>
          <w:tcPr>
            <w:tcW w:w="502" w:type="pct"/>
            <w:vAlign w:val="center"/>
          </w:tcPr>
          <w:p w14:paraId="28A270FD" w14:textId="77777777" w:rsidR="0015321A" w:rsidRDefault="0015321A" w:rsidP="0015321A">
            <w:pPr>
              <w:rPr>
                <w:color w:val="000000"/>
                <w:sz w:val="18"/>
                <w:szCs w:val="18"/>
              </w:rPr>
            </w:pPr>
            <w:r>
              <w:rPr>
                <w:color w:val="000000"/>
                <w:sz w:val="18"/>
                <w:szCs w:val="18"/>
              </w:rPr>
              <w:t>Huguet N., 2019, Report No 18.CM.18-151</w:t>
            </w:r>
          </w:p>
          <w:p w14:paraId="7AD5539A" w14:textId="77777777" w:rsidR="0015321A" w:rsidRDefault="0015321A" w:rsidP="0015321A">
            <w:pPr>
              <w:rPr>
                <w:color w:val="000000"/>
                <w:sz w:val="18"/>
                <w:szCs w:val="18"/>
              </w:rPr>
            </w:pPr>
          </w:p>
          <w:p w14:paraId="64F535E7" w14:textId="77777777" w:rsidR="0015321A" w:rsidRDefault="0015321A" w:rsidP="0015321A">
            <w:pPr>
              <w:rPr>
                <w:sz w:val="18"/>
                <w:szCs w:val="18"/>
              </w:rPr>
            </w:pPr>
            <w:r>
              <w:rPr>
                <w:color w:val="000000"/>
                <w:sz w:val="18"/>
                <w:szCs w:val="18"/>
              </w:rPr>
              <w:t>RI=1</w:t>
            </w:r>
          </w:p>
        </w:tc>
      </w:tr>
      <w:tr w:rsidR="0015321A" w:rsidRPr="00FD2055" w14:paraId="6FA9F9AF" w14:textId="77777777" w:rsidTr="00946BFD">
        <w:trPr>
          <w:cantSplit/>
          <w:jc w:val="center"/>
        </w:trPr>
        <w:tc>
          <w:tcPr>
            <w:tcW w:w="474" w:type="pct"/>
            <w:vAlign w:val="center"/>
          </w:tcPr>
          <w:p w14:paraId="5F26F73C" w14:textId="77777777" w:rsidR="0015321A" w:rsidRPr="00FD2055" w:rsidRDefault="0015321A" w:rsidP="0015321A">
            <w:pPr>
              <w:rPr>
                <w:i/>
                <w:color w:val="000000"/>
                <w:sz w:val="18"/>
                <w:szCs w:val="18"/>
              </w:rPr>
            </w:pPr>
            <w:r>
              <w:rPr>
                <w:sz w:val="18"/>
                <w:szCs w:val="18"/>
              </w:rPr>
              <w:lastRenderedPageBreak/>
              <w:t>Disinfectant, yeasticidal activity</w:t>
            </w:r>
          </w:p>
        </w:tc>
        <w:tc>
          <w:tcPr>
            <w:tcW w:w="753" w:type="pct"/>
            <w:vAlign w:val="center"/>
          </w:tcPr>
          <w:p w14:paraId="74E78F09" w14:textId="77777777" w:rsidR="0015321A" w:rsidRPr="00FD2055" w:rsidRDefault="0015321A" w:rsidP="0015321A">
            <w:pPr>
              <w:rPr>
                <w:i/>
                <w:color w:val="000000"/>
                <w:sz w:val="18"/>
                <w:szCs w:val="18"/>
              </w:rPr>
            </w:pPr>
            <w:r>
              <w:rPr>
                <w:color w:val="000000"/>
                <w:sz w:val="18"/>
                <w:szCs w:val="18"/>
              </w:rPr>
              <w:t>Medical, institutional, industrial healthcare facilities and food preparation and handling areas</w:t>
            </w:r>
          </w:p>
        </w:tc>
        <w:tc>
          <w:tcPr>
            <w:tcW w:w="483" w:type="pct"/>
            <w:vAlign w:val="center"/>
          </w:tcPr>
          <w:p w14:paraId="72674F17" w14:textId="77777777" w:rsidR="0015321A" w:rsidRDefault="0015321A" w:rsidP="0015321A">
            <w:pPr>
              <w:rPr>
                <w:sz w:val="18"/>
                <w:szCs w:val="18"/>
              </w:rPr>
            </w:pPr>
            <w:r>
              <w:rPr>
                <w:sz w:val="18"/>
                <w:szCs w:val="18"/>
              </w:rPr>
              <w:t>AL-S7-1-0</w:t>
            </w:r>
          </w:p>
          <w:p w14:paraId="00522B42" w14:textId="186019AF" w:rsidR="0015321A" w:rsidRPr="00FD2055" w:rsidRDefault="007325F4" w:rsidP="007325F4">
            <w:pPr>
              <w:rPr>
                <w:i/>
                <w:color w:val="000000"/>
                <w:sz w:val="18"/>
                <w:szCs w:val="18"/>
              </w:rPr>
            </w:pPr>
            <w:r>
              <w:rPr>
                <w:color w:val="000000"/>
                <w:sz w:val="18"/>
                <w:szCs w:val="18"/>
              </w:rPr>
              <w:t>12</w:t>
            </w:r>
            <w:r w:rsidR="0015321A">
              <w:rPr>
                <w:color w:val="000000"/>
                <w:sz w:val="18"/>
                <w:szCs w:val="18"/>
              </w:rPr>
              <w:t>% lactic acid</w:t>
            </w:r>
          </w:p>
        </w:tc>
        <w:tc>
          <w:tcPr>
            <w:tcW w:w="600" w:type="pct"/>
            <w:vAlign w:val="center"/>
          </w:tcPr>
          <w:p w14:paraId="6B5226DD" w14:textId="77777777" w:rsidR="0015321A" w:rsidRPr="00FD2055" w:rsidRDefault="0015321A" w:rsidP="0015321A">
            <w:pPr>
              <w:rPr>
                <w:i/>
                <w:color w:val="000000"/>
                <w:sz w:val="18"/>
                <w:szCs w:val="18"/>
              </w:rPr>
            </w:pPr>
            <w:r w:rsidRPr="005D3939">
              <w:rPr>
                <w:i/>
                <w:sz w:val="18"/>
                <w:szCs w:val="18"/>
              </w:rPr>
              <w:t>Candida albicans</w:t>
            </w:r>
            <w:r>
              <w:rPr>
                <w:sz w:val="18"/>
                <w:szCs w:val="18"/>
              </w:rPr>
              <w:t xml:space="preserve"> </w:t>
            </w:r>
          </w:p>
        </w:tc>
        <w:tc>
          <w:tcPr>
            <w:tcW w:w="561" w:type="pct"/>
            <w:vAlign w:val="center"/>
          </w:tcPr>
          <w:p w14:paraId="49A9ECB7" w14:textId="77777777" w:rsidR="0015321A" w:rsidRPr="00FD2055" w:rsidRDefault="0015321A" w:rsidP="0015321A">
            <w:pPr>
              <w:rPr>
                <w:color w:val="000000"/>
                <w:sz w:val="18"/>
                <w:szCs w:val="18"/>
              </w:rPr>
            </w:pPr>
            <w:r>
              <w:rPr>
                <w:sz w:val="18"/>
                <w:szCs w:val="18"/>
              </w:rPr>
              <w:t>NF EN 13697 (June 2015)</w:t>
            </w:r>
          </w:p>
        </w:tc>
        <w:tc>
          <w:tcPr>
            <w:tcW w:w="1110" w:type="pct"/>
            <w:vAlign w:val="center"/>
          </w:tcPr>
          <w:p w14:paraId="16EAF715" w14:textId="0C373BCE" w:rsidR="0015321A" w:rsidRDefault="0015321A" w:rsidP="0015321A">
            <w:pPr>
              <w:rPr>
                <w:color w:val="000000"/>
                <w:sz w:val="18"/>
                <w:szCs w:val="18"/>
              </w:rPr>
            </w:pPr>
            <w:r>
              <w:rPr>
                <w:color w:val="000000"/>
                <w:sz w:val="18"/>
                <w:szCs w:val="18"/>
              </w:rPr>
              <w:t>Phase 2 step 2 (su</w:t>
            </w:r>
            <w:r w:rsidR="00946BFD">
              <w:rPr>
                <w:color w:val="000000"/>
                <w:sz w:val="18"/>
                <w:szCs w:val="18"/>
              </w:rPr>
              <w:t>rface</w:t>
            </w:r>
            <w:r w:rsidR="00A67859">
              <w:rPr>
                <w:color w:val="000000"/>
                <w:sz w:val="18"/>
                <w:szCs w:val="18"/>
              </w:rPr>
              <w:t xml:space="preserve"> </w:t>
            </w:r>
            <w:r>
              <w:rPr>
                <w:color w:val="000000"/>
                <w:sz w:val="18"/>
                <w:szCs w:val="18"/>
              </w:rPr>
              <w:t>test)</w:t>
            </w:r>
          </w:p>
          <w:p w14:paraId="4F15A8DC" w14:textId="77777777" w:rsidR="0015321A" w:rsidRDefault="0015321A" w:rsidP="0015321A">
            <w:pPr>
              <w:rPr>
                <w:color w:val="000000"/>
                <w:sz w:val="18"/>
                <w:szCs w:val="18"/>
              </w:rPr>
            </w:pPr>
            <w:r>
              <w:rPr>
                <w:color w:val="000000"/>
                <w:sz w:val="18"/>
                <w:szCs w:val="18"/>
              </w:rPr>
              <w:t xml:space="preserve">Concentrations of product tested were: </w:t>
            </w:r>
            <w:r>
              <w:rPr>
                <w:sz w:val="18"/>
                <w:szCs w:val="18"/>
              </w:rPr>
              <w:t xml:space="preserve">6%, 4%, 2%. </w:t>
            </w:r>
          </w:p>
          <w:p w14:paraId="0CFBDDA9" w14:textId="2159D5AD" w:rsidR="0015321A" w:rsidRDefault="0015321A" w:rsidP="0015321A">
            <w:pPr>
              <w:rPr>
                <w:color w:val="000000"/>
                <w:sz w:val="18"/>
                <w:szCs w:val="18"/>
              </w:rPr>
            </w:pPr>
            <w:r>
              <w:rPr>
                <w:color w:val="000000"/>
                <w:sz w:val="18"/>
                <w:szCs w:val="18"/>
              </w:rPr>
              <w:t xml:space="preserve">Contact time: 30 minutes </w:t>
            </w:r>
          </w:p>
          <w:p w14:paraId="357358CA" w14:textId="77777777" w:rsidR="0015321A" w:rsidRDefault="0015321A" w:rsidP="0015321A">
            <w:pPr>
              <w:rPr>
                <w:color w:val="000000"/>
                <w:sz w:val="18"/>
                <w:szCs w:val="18"/>
              </w:rPr>
            </w:pPr>
            <w:r>
              <w:rPr>
                <w:color w:val="000000"/>
                <w:sz w:val="18"/>
                <w:szCs w:val="18"/>
              </w:rPr>
              <w:t>Temperature: 40°C</w:t>
            </w:r>
          </w:p>
          <w:p w14:paraId="2522004C" w14:textId="77777777" w:rsidR="0015321A" w:rsidRDefault="0015321A" w:rsidP="0015321A">
            <w:pPr>
              <w:rPr>
                <w:color w:val="000000"/>
                <w:sz w:val="18"/>
                <w:szCs w:val="18"/>
              </w:rPr>
            </w:pPr>
            <w:r>
              <w:rPr>
                <w:color w:val="000000"/>
                <w:sz w:val="18"/>
                <w:szCs w:val="18"/>
              </w:rPr>
              <w:t xml:space="preserve">Dirty conditions: 3 g/L BSA </w:t>
            </w:r>
          </w:p>
          <w:p w14:paraId="24721EF4" w14:textId="77777777" w:rsidR="0015321A" w:rsidRPr="00FD2055" w:rsidRDefault="0015321A" w:rsidP="0015321A">
            <w:pPr>
              <w:rPr>
                <w:color w:val="000000"/>
                <w:sz w:val="18"/>
                <w:szCs w:val="18"/>
              </w:rPr>
            </w:pPr>
            <w:r>
              <w:rPr>
                <w:color w:val="000000"/>
                <w:sz w:val="18"/>
                <w:szCs w:val="18"/>
              </w:rPr>
              <w:t>Criteria: ≥ 3 log unit reduction</w:t>
            </w:r>
          </w:p>
        </w:tc>
        <w:tc>
          <w:tcPr>
            <w:tcW w:w="518" w:type="pct"/>
            <w:vAlign w:val="center"/>
          </w:tcPr>
          <w:p w14:paraId="491A4B16" w14:textId="77777777" w:rsidR="0015321A" w:rsidRDefault="0015321A" w:rsidP="0015321A">
            <w:pPr>
              <w:snapToGrid w:val="0"/>
              <w:rPr>
                <w:color w:val="000000"/>
                <w:sz w:val="18"/>
                <w:szCs w:val="18"/>
              </w:rPr>
            </w:pPr>
            <w:r>
              <w:rPr>
                <w:sz w:val="18"/>
                <w:szCs w:val="18"/>
              </w:rPr>
              <w:t xml:space="preserve">Yeasticidal </w:t>
            </w:r>
            <w:r>
              <w:rPr>
                <w:color w:val="000000"/>
                <w:sz w:val="18"/>
                <w:szCs w:val="18"/>
              </w:rPr>
              <w:t>activity demonstrated at 6% v/v.</w:t>
            </w:r>
          </w:p>
          <w:p w14:paraId="10BF59AC" w14:textId="77777777" w:rsidR="0015321A" w:rsidRPr="00FD2055" w:rsidRDefault="0015321A" w:rsidP="0015321A">
            <w:pPr>
              <w:rPr>
                <w:color w:val="000000"/>
                <w:sz w:val="18"/>
                <w:szCs w:val="18"/>
              </w:rPr>
            </w:pPr>
          </w:p>
        </w:tc>
        <w:tc>
          <w:tcPr>
            <w:tcW w:w="502" w:type="pct"/>
            <w:vAlign w:val="center"/>
          </w:tcPr>
          <w:p w14:paraId="17DFC453" w14:textId="77777777" w:rsidR="0015321A" w:rsidRDefault="0015321A" w:rsidP="0015321A">
            <w:pPr>
              <w:rPr>
                <w:sz w:val="18"/>
                <w:szCs w:val="18"/>
              </w:rPr>
            </w:pPr>
            <w:r>
              <w:rPr>
                <w:sz w:val="18"/>
                <w:szCs w:val="18"/>
              </w:rPr>
              <w:t>Feuillolay C., 2019, Report No 19-1382</w:t>
            </w:r>
          </w:p>
          <w:p w14:paraId="7E7B5766" w14:textId="77777777" w:rsidR="0015321A" w:rsidRDefault="0015321A" w:rsidP="0015321A">
            <w:pPr>
              <w:rPr>
                <w:sz w:val="18"/>
                <w:szCs w:val="18"/>
              </w:rPr>
            </w:pPr>
          </w:p>
          <w:p w14:paraId="5CD4ED8C" w14:textId="77777777" w:rsidR="0015321A" w:rsidRPr="00FD2055" w:rsidRDefault="0015321A" w:rsidP="0015321A">
            <w:pPr>
              <w:rPr>
                <w:i/>
                <w:color w:val="000000"/>
                <w:sz w:val="18"/>
                <w:szCs w:val="18"/>
              </w:rPr>
            </w:pPr>
            <w:r>
              <w:rPr>
                <w:sz w:val="18"/>
                <w:szCs w:val="18"/>
              </w:rPr>
              <w:t>RI=1</w:t>
            </w:r>
          </w:p>
        </w:tc>
      </w:tr>
    </w:tbl>
    <w:p w14:paraId="3286D760" w14:textId="77777777" w:rsidR="0015321A" w:rsidRDefault="0015321A" w:rsidP="0015321A">
      <w:pPr>
        <w:spacing w:line="260" w:lineRule="atLeast"/>
        <w:jc w:val="both"/>
        <w:rPr>
          <w:rFonts w:ascii="Times New Roman" w:eastAsia="Calibri" w:hAnsi="Times New Roman" w:cs="Arial"/>
          <w:bCs/>
          <w:i/>
          <w:caps/>
          <w:szCs w:val="28"/>
          <w:lang w:eastAsia="en-US"/>
        </w:rPr>
      </w:pPr>
    </w:p>
    <w:p w14:paraId="44BF48D1" w14:textId="77777777" w:rsidR="0015321A" w:rsidRDefault="0015321A">
      <w:pPr>
        <w:spacing w:line="260" w:lineRule="atLeast"/>
        <w:rPr>
          <w:rFonts w:ascii="Times New Roman" w:eastAsia="Calibri" w:hAnsi="Times New Roman" w:cs="Times New Roman"/>
          <w:i/>
          <w:iCs/>
          <w:lang w:eastAsia="en-US"/>
        </w:rPr>
        <w:sectPr w:rsidR="0015321A" w:rsidSect="00BA57DA">
          <w:pgSz w:w="16838" w:h="11906" w:orient="landscape"/>
          <w:pgMar w:top="1446" w:right="1474" w:bottom="1247" w:left="2013" w:header="851" w:footer="851" w:gutter="0"/>
          <w:cols w:space="720"/>
          <w:docGrid w:linePitch="272"/>
        </w:sectPr>
      </w:pPr>
    </w:p>
    <w:p w14:paraId="3ED18A42" w14:textId="752E2D55" w:rsidR="0015321A" w:rsidRPr="007A4DA8" w:rsidRDefault="0015321A" w:rsidP="0015321A">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8: Disinfectant for </w:t>
      </w:r>
      <w:r w:rsidR="00EB2248" w:rsidRPr="007A4DA8">
        <w:rPr>
          <w:rFonts w:eastAsia="Calibri"/>
          <w:b/>
          <w:lang w:eastAsia="en-US"/>
        </w:rPr>
        <w:t xml:space="preserve">hard surfaces </w:t>
      </w:r>
      <w:r w:rsidR="00733D14" w:rsidRPr="007A4DA8">
        <w:rPr>
          <w:rFonts w:eastAsia="Calibri"/>
          <w:b/>
          <w:lang w:eastAsia="en-US"/>
        </w:rPr>
        <w:t>in</w:t>
      </w:r>
      <w:r w:rsidR="00EB2248" w:rsidRPr="007A4DA8">
        <w:rPr>
          <w:rFonts w:eastAsia="Calibri"/>
          <w:b/>
          <w:lang w:eastAsia="en-US"/>
        </w:rPr>
        <w:t xml:space="preserve"> </w:t>
      </w:r>
      <w:r w:rsidRPr="007A4DA8">
        <w:rPr>
          <w:rFonts w:eastAsia="Calibri"/>
          <w:b/>
          <w:lang w:eastAsia="en-US"/>
        </w:rPr>
        <w:t>domestic area</w:t>
      </w:r>
      <w:r w:rsidR="00EB2248" w:rsidRPr="007A4DA8">
        <w:rPr>
          <w:rFonts w:eastAsia="Calibri"/>
          <w:b/>
          <w:lang w:eastAsia="en-US"/>
        </w:rPr>
        <w:t xml:space="preserve"> by w</w:t>
      </w:r>
      <w:r w:rsidRPr="007A4DA8">
        <w:rPr>
          <w:rFonts w:eastAsia="Calibri"/>
          <w:b/>
          <w:lang w:eastAsia="en-US"/>
        </w:rPr>
        <w:t>iping</w:t>
      </w:r>
      <w:r w:rsidR="00804514" w:rsidRPr="007A4DA8">
        <w:rPr>
          <w:rFonts w:eastAsia="Calibri"/>
          <w:b/>
          <w:lang w:eastAsia="en-US"/>
        </w:rPr>
        <w:t xml:space="preserve"> </w:t>
      </w:r>
      <w:r w:rsidR="00804514" w:rsidRPr="007A4DA8">
        <w:rPr>
          <w:b/>
        </w:rPr>
        <w:t>(applying product onto wipe followed by wiping)</w:t>
      </w:r>
      <w:r w:rsidRPr="007A4DA8">
        <w:rPr>
          <w:rFonts w:eastAsia="Calibri"/>
          <w:b/>
          <w:lang w:eastAsia="en-US"/>
        </w:rPr>
        <w:t xml:space="preserve">, </w:t>
      </w:r>
      <w:r w:rsidR="00804514" w:rsidRPr="007A4DA8">
        <w:rPr>
          <w:rFonts w:eastAsia="Calibri"/>
          <w:b/>
          <w:lang w:eastAsia="en-US"/>
        </w:rPr>
        <w:t>b</w:t>
      </w:r>
      <w:r w:rsidRPr="007A4DA8">
        <w:rPr>
          <w:rFonts w:eastAsia="Calibri"/>
          <w:b/>
          <w:lang w:eastAsia="en-US"/>
        </w:rPr>
        <w:t>rushing</w:t>
      </w:r>
      <w:r w:rsidR="00EB2248" w:rsidRPr="007A4DA8">
        <w:rPr>
          <w:rFonts w:eastAsia="Calibri"/>
          <w:b/>
          <w:lang w:eastAsia="en-US"/>
        </w:rPr>
        <w:t xml:space="preserve"> </w:t>
      </w:r>
      <w:r w:rsidR="00EB2248" w:rsidRPr="007A4DA8">
        <w:rPr>
          <w:b/>
        </w:rPr>
        <w:t>(applying product onto brush followed by mopping)</w:t>
      </w:r>
      <w:r w:rsidRPr="007A4DA8">
        <w:rPr>
          <w:rFonts w:eastAsia="Calibri"/>
          <w:b/>
          <w:lang w:eastAsia="en-US"/>
        </w:rPr>
        <w:t>,</w:t>
      </w:r>
      <w:r w:rsidR="00EB2248" w:rsidRPr="007A4DA8">
        <w:rPr>
          <w:rFonts w:eastAsia="Calibri"/>
          <w:b/>
          <w:lang w:eastAsia="en-US"/>
        </w:rPr>
        <w:t xml:space="preserve"> and</w:t>
      </w:r>
      <w:r w:rsidRPr="007A4DA8">
        <w:rPr>
          <w:rFonts w:eastAsia="Calibri"/>
          <w:b/>
          <w:lang w:eastAsia="en-US"/>
        </w:rPr>
        <w:t xml:space="preserve"> </w:t>
      </w:r>
      <w:r w:rsidR="00804514" w:rsidRPr="007A4DA8">
        <w:rPr>
          <w:rFonts w:eastAsia="Calibri"/>
          <w:b/>
          <w:lang w:eastAsia="en-US"/>
        </w:rPr>
        <w:t>m</w:t>
      </w:r>
      <w:r w:rsidRPr="007A4DA8">
        <w:rPr>
          <w:rFonts w:eastAsia="Calibri"/>
          <w:b/>
          <w:lang w:eastAsia="en-US"/>
        </w:rPr>
        <w:t xml:space="preserve">opping </w:t>
      </w:r>
      <w:r w:rsidR="00804514" w:rsidRPr="007A4DA8">
        <w:rPr>
          <w:b/>
        </w:rPr>
        <w:t>(applying product onto mop followed by mopping)</w:t>
      </w:r>
      <w:r w:rsidR="00EB2248" w:rsidRPr="007A4DA8">
        <w:rPr>
          <w:b/>
        </w:rPr>
        <w:t xml:space="preserve"> – PT2</w:t>
      </w:r>
    </w:p>
    <w:p w14:paraId="07B1E151" w14:textId="77777777" w:rsidR="0015321A" w:rsidRDefault="0015321A" w:rsidP="0015321A">
      <w:pPr>
        <w:spacing w:line="260" w:lineRule="atLeast"/>
        <w:rPr>
          <w:rFonts w:eastAsia="Calibri"/>
          <w:lang w:eastAsia="en-US"/>
        </w:rPr>
      </w:pPr>
    </w:p>
    <w:p w14:paraId="4E1DA403" w14:textId="3E8F7B92" w:rsidR="0015321A" w:rsidRDefault="0015321A" w:rsidP="0015321A">
      <w:pPr>
        <w:spacing w:line="260" w:lineRule="atLeast"/>
        <w:jc w:val="both"/>
        <w:rPr>
          <w:lang w:eastAsia="en-US"/>
        </w:rPr>
      </w:pPr>
      <w:r w:rsidRPr="005C303E">
        <w:rPr>
          <w:lang w:eastAsia="en-US"/>
        </w:rPr>
        <w:t>META-SPC</w:t>
      </w:r>
      <w:r>
        <w:rPr>
          <w:lang w:eastAsia="en-US"/>
        </w:rPr>
        <w:t>8</w:t>
      </w:r>
      <w:r w:rsidRPr="005C303E">
        <w:rPr>
          <w:lang w:eastAsia="en-US"/>
        </w:rPr>
        <w:t xml:space="preserve"> contains </w:t>
      </w:r>
      <w:r w:rsidR="00BE6D03">
        <w:rPr>
          <w:lang w:eastAsia="en-US"/>
        </w:rPr>
        <w:t>products to be diluted in water</w:t>
      </w:r>
      <w:r w:rsidR="00BE6D03" w:rsidDel="00C57FF4">
        <w:rPr>
          <w:lang w:eastAsia="en-US"/>
        </w:rPr>
        <w:t xml:space="preserve"> </w:t>
      </w:r>
      <w:r>
        <w:rPr>
          <w:lang w:eastAsia="en-US"/>
        </w:rPr>
        <w:t xml:space="preserve">containing </w:t>
      </w:r>
      <w:r w:rsidR="00BE6D03">
        <w:rPr>
          <w:lang w:eastAsia="en-US"/>
        </w:rPr>
        <w:t>16</w:t>
      </w:r>
      <w:r>
        <w:rPr>
          <w:lang w:eastAsia="en-US"/>
        </w:rPr>
        <w:t xml:space="preserve">% w/w lactic acid, and minor variations of coformulants, in low concentrations without biocidal activity. </w:t>
      </w:r>
    </w:p>
    <w:p w14:paraId="6229DAC8" w14:textId="4CD07FA1" w:rsidR="0015321A" w:rsidRDefault="0015321A" w:rsidP="0015321A">
      <w:pPr>
        <w:spacing w:line="260" w:lineRule="atLeast"/>
        <w:rPr>
          <w:rFonts w:cs="Arial"/>
          <w:lang w:eastAsia="en-US"/>
        </w:rPr>
      </w:pPr>
      <w:r>
        <w:rPr>
          <w:lang w:eastAsia="en-US"/>
        </w:rPr>
        <w:t xml:space="preserve">Efficacy studies have been performed with representative product </w:t>
      </w:r>
      <w:r w:rsidRPr="00C914AE">
        <w:rPr>
          <w:rFonts w:eastAsia="Calibri"/>
          <w:iCs/>
          <w:szCs w:val="24"/>
          <w:lang w:eastAsia="en-US"/>
        </w:rPr>
        <w:t>AL-S8-1-0 (</w:t>
      </w:r>
      <w:r w:rsidR="00C41434">
        <w:rPr>
          <w:rFonts w:eastAsia="Calibri"/>
          <w:iCs/>
          <w:szCs w:val="24"/>
          <w:lang w:eastAsia="en-US"/>
        </w:rPr>
        <w:t>16</w:t>
      </w:r>
      <w:r w:rsidRPr="00C914AE">
        <w:rPr>
          <w:rFonts w:eastAsia="Calibri"/>
          <w:iCs/>
          <w:szCs w:val="24"/>
          <w:lang w:eastAsia="en-US"/>
        </w:rPr>
        <w:t xml:space="preserve">% w/w lactic acid). </w:t>
      </w:r>
      <w:r w:rsidRPr="00D73654">
        <w:rPr>
          <w:rFonts w:cs="Arial"/>
          <w:lang w:eastAsia="en-US"/>
        </w:rPr>
        <w:t xml:space="preserve">Taking into account the variations of the co-formulants presented in the META-SPC8, it can be assumed that they have no impact on efficacy and the efficacy results of the representative products </w:t>
      </w:r>
      <w:r w:rsidRPr="00C914AE">
        <w:rPr>
          <w:rFonts w:eastAsia="Calibri"/>
          <w:iCs/>
          <w:szCs w:val="24"/>
          <w:lang w:eastAsia="en-US"/>
        </w:rPr>
        <w:t xml:space="preserve">AL-S8-1-0 </w:t>
      </w:r>
      <w:r w:rsidRPr="00D73654">
        <w:rPr>
          <w:rFonts w:cs="Arial"/>
          <w:lang w:eastAsia="en-US"/>
        </w:rPr>
        <w:t>cover the whole META-SPC8 claims</w:t>
      </w:r>
      <w:r>
        <w:rPr>
          <w:rFonts w:cs="Arial"/>
          <w:lang w:eastAsia="en-US"/>
        </w:rPr>
        <w:t>.</w:t>
      </w:r>
    </w:p>
    <w:p w14:paraId="7ABB26BC" w14:textId="77777777" w:rsidR="0015321A" w:rsidRDefault="0015321A" w:rsidP="0015321A">
      <w:pPr>
        <w:spacing w:line="260" w:lineRule="atLeast"/>
        <w:rPr>
          <w:rFonts w:eastAsia="Calibri"/>
          <w:lang w:eastAsia="en-US"/>
        </w:rPr>
      </w:pPr>
    </w:p>
    <w:p w14:paraId="78C9F2B4" w14:textId="5F6955FF" w:rsidR="0015321A" w:rsidRDefault="0015321A" w:rsidP="00BA57DA">
      <w:pPr>
        <w:spacing w:line="260" w:lineRule="atLeast"/>
        <w:jc w:val="both"/>
        <w:rPr>
          <w:rFonts w:eastAsia="Calibri"/>
          <w:lang w:eastAsia="en-US"/>
        </w:rPr>
      </w:pPr>
      <w:r w:rsidRPr="00263CDA">
        <w:rPr>
          <w:rFonts w:eastAsia="Calibri"/>
          <w:lang w:eastAsia="en-US"/>
        </w:rPr>
        <w:t xml:space="preserve">Bactericidal activity </w:t>
      </w:r>
      <w:r w:rsidRPr="003D493E">
        <w:rPr>
          <w:lang w:eastAsia="en-US"/>
        </w:rPr>
        <w:t xml:space="preserve">is demonstrated </w:t>
      </w:r>
      <w:r>
        <w:rPr>
          <w:lang w:eastAsia="en-US"/>
        </w:rPr>
        <w:t>in phase 2, steps 1 and</w:t>
      </w:r>
      <w:r w:rsidRPr="003D493E">
        <w:rPr>
          <w:lang w:eastAsia="en-US"/>
        </w:rPr>
        <w:t xml:space="preserve"> </w:t>
      </w:r>
      <w:r>
        <w:rPr>
          <w:lang w:eastAsia="en-US"/>
        </w:rPr>
        <w:t>2 tests (EN 1276 and EN 13697)</w:t>
      </w:r>
      <w:r w:rsidRPr="00263CDA">
        <w:rPr>
          <w:rFonts w:eastAsia="Calibri"/>
          <w:lang w:eastAsia="en-US"/>
        </w:rPr>
        <w:t xml:space="preserve">, at 20°C </w:t>
      </w:r>
      <w:r>
        <w:rPr>
          <w:rFonts w:eastAsia="Calibri"/>
          <w:lang w:eastAsia="en-US"/>
        </w:rPr>
        <w:t xml:space="preserve">with a </w:t>
      </w:r>
      <w:r w:rsidRPr="00263CDA">
        <w:rPr>
          <w:rFonts w:eastAsia="Calibri"/>
          <w:lang w:eastAsia="en-US"/>
        </w:rPr>
        <w:t>contact time of 5 minutes</w:t>
      </w:r>
      <w:r>
        <w:rPr>
          <w:rFonts w:eastAsia="Calibri"/>
          <w:lang w:eastAsia="en-US"/>
        </w:rPr>
        <w:t>,</w:t>
      </w:r>
      <w:r w:rsidRPr="00263CDA">
        <w:rPr>
          <w:rFonts w:eastAsia="Calibri"/>
          <w:lang w:eastAsia="en-US"/>
        </w:rPr>
        <w:t xml:space="preserve"> in dirty conditions</w:t>
      </w:r>
      <w:r>
        <w:rPr>
          <w:rFonts w:eastAsia="Calibri"/>
          <w:lang w:eastAsia="en-US"/>
        </w:rPr>
        <w:t xml:space="preserve"> (3.0 g/L BSA).</w:t>
      </w:r>
      <w:r w:rsidRPr="00E40200">
        <w:rPr>
          <w:lang w:eastAsia="en-US"/>
        </w:rPr>
        <w:t xml:space="preserve"> </w:t>
      </w:r>
      <w:r w:rsidRPr="003D493E">
        <w:rPr>
          <w:lang w:eastAsia="en-US"/>
        </w:rPr>
        <w:t xml:space="preserve">In these conditions, bactericidal activity is shown at the in-use concentration of </w:t>
      </w:r>
      <w:r>
        <w:rPr>
          <w:rFonts w:eastAsia="Calibri"/>
          <w:lang w:eastAsia="en-US"/>
        </w:rPr>
        <w:t>6</w:t>
      </w:r>
      <w:r w:rsidRPr="00F81A6F">
        <w:rPr>
          <w:rFonts w:eastAsia="Calibri"/>
          <w:lang w:eastAsia="en-US"/>
        </w:rPr>
        <w:t>% (v/v</w:t>
      </w:r>
      <w:r>
        <w:rPr>
          <w:rFonts w:eastAsia="Calibri"/>
          <w:lang w:eastAsia="en-US"/>
        </w:rPr>
        <w:t>).</w:t>
      </w:r>
    </w:p>
    <w:p w14:paraId="7670DFB2" w14:textId="2A0D396C" w:rsidR="0015321A" w:rsidRDefault="006C3EFF" w:rsidP="00BA57DA">
      <w:pPr>
        <w:spacing w:line="260" w:lineRule="atLeast"/>
        <w:jc w:val="both"/>
        <w:rPr>
          <w:color w:val="000000"/>
          <w:sz w:val="18"/>
          <w:szCs w:val="18"/>
        </w:rPr>
      </w:pPr>
      <w:r>
        <w:rPr>
          <w:lang w:eastAsia="en-US"/>
        </w:rPr>
        <w:t xml:space="preserve">An activity against the additional strain </w:t>
      </w:r>
      <w:r w:rsidRPr="00560A44">
        <w:rPr>
          <w:i/>
          <w:lang w:eastAsia="en-US"/>
        </w:rPr>
        <w:t>Bartonella henselae</w:t>
      </w:r>
      <w:r>
        <w:rPr>
          <w:lang w:eastAsia="en-US"/>
        </w:rPr>
        <w:t xml:space="preserve"> is also </w:t>
      </w:r>
      <w:r w:rsidRPr="003D493E">
        <w:rPr>
          <w:lang w:eastAsia="en-US"/>
        </w:rPr>
        <w:t>demonstrated</w:t>
      </w:r>
      <w:r>
        <w:rPr>
          <w:lang w:eastAsia="en-US"/>
        </w:rPr>
        <w:t xml:space="preserve"> in phase 2, step 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 xml:space="preserve">in conditions </w:t>
      </w:r>
      <w:r>
        <w:rPr>
          <w:lang w:eastAsia="en-US"/>
        </w:rPr>
        <w:t xml:space="preserve">simulating dirty conditions </w:t>
      </w:r>
      <w:r w:rsidRPr="00B63AC7">
        <w:rPr>
          <w:lang w:eastAsia="en-US"/>
        </w:rPr>
        <w:t>(</w:t>
      </w:r>
      <w:r w:rsidRPr="008907CB">
        <w:rPr>
          <w:lang w:eastAsia="en-US"/>
        </w:rPr>
        <w:t xml:space="preserve">2.7 g/L BSA </w:t>
      </w:r>
      <w:r>
        <w:rPr>
          <w:lang w:eastAsia="en-US"/>
        </w:rPr>
        <w:t xml:space="preserve">+ </w:t>
      </w:r>
      <w:r w:rsidRPr="008907CB">
        <w:rPr>
          <w:lang w:eastAsia="en-US"/>
        </w:rPr>
        <w:t>8,5 g/L skimmed milk) at</w:t>
      </w:r>
      <w:r>
        <w:rPr>
          <w:color w:val="000000"/>
          <w:sz w:val="18"/>
          <w:szCs w:val="18"/>
        </w:rPr>
        <w:t xml:space="preserve"> 3% v/v.</w:t>
      </w:r>
    </w:p>
    <w:p w14:paraId="36DA0C17" w14:textId="410033FA" w:rsidR="006C3EFF" w:rsidRDefault="006C3EFF" w:rsidP="0015321A">
      <w:pPr>
        <w:spacing w:line="260" w:lineRule="atLeast"/>
        <w:rPr>
          <w:rFonts w:eastAsia="Calibri"/>
          <w:lang w:eastAsia="en-US"/>
        </w:rPr>
      </w:pPr>
    </w:p>
    <w:p w14:paraId="30447045" w14:textId="6232C012" w:rsidR="003B6AF8" w:rsidRDefault="003B6AF8" w:rsidP="003B6AF8">
      <w:pPr>
        <w:spacing w:line="260" w:lineRule="atLeast"/>
        <w:contextualSpacing/>
        <w:jc w:val="both"/>
        <w:rPr>
          <w:lang w:eastAsia="en-US"/>
        </w:rPr>
      </w:pPr>
      <w:r>
        <w:rPr>
          <w:lang w:eastAsia="en-US"/>
        </w:rPr>
        <w:t>B</w:t>
      </w:r>
      <w:r w:rsidRPr="003D493E">
        <w:rPr>
          <w:lang w:eastAsia="en-US"/>
        </w:rPr>
        <w:t xml:space="preserve">actericidal </w:t>
      </w:r>
      <w:r>
        <w:rPr>
          <w:lang w:eastAsia="en-US"/>
        </w:rPr>
        <w:t xml:space="preserve">and yeasticidal </w:t>
      </w:r>
      <w:r w:rsidRPr="003D493E">
        <w:rPr>
          <w:lang w:eastAsia="en-US"/>
        </w:rPr>
        <w:t>activit</w:t>
      </w:r>
      <w:r>
        <w:rPr>
          <w:lang w:eastAsia="en-US"/>
        </w:rPr>
        <w:t>ies are</w:t>
      </w:r>
      <w:r w:rsidRPr="003D493E">
        <w:rPr>
          <w:lang w:eastAsia="en-US"/>
        </w:rPr>
        <w:t xml:space="preserve"> </w:t>
      </w:r>
      <w:r>
        <w:rPr>
          <w:lang w:eastAsia="en-US"/>
        </w:rPr>
        <w:t xml:space="preserve">also </w:t>
      </w:r>
      <w:r w:rsidRPr="003D493E">
        <w:rPr>
          <w:lang w:eastAsia="en-US"/>
        </w:rPr>
        <w:t xml:space="preserve">demonstrated </w:t>
      </w:r>
      <w:r>
        <w:rPr>
          <w:lang w:eastAsia="en-US"/>
        </w:rPr>
        <w:t>in phase 2, step</w:t>
      </w:r>
      <w:r w:rsidRPr="003D493E">
        <w:rPr>
          <w:lang w:eastAsia="en-US"/>
        </w:rPr>
        <w:t xml:space="preserve"> </w:t>
      </w:r>
      <w:r>
        <w:rPr>
          <w:lang w:eastAsia="en-US"/>
        </w:rPr>
        <w:t>2 test (EN 16615)</w:t>
      </w:r>
      <w:r w:rsidRPr="003D493E">
        <w:rPr>
          <w:lang w:eastAsia="en-US"/>
        </w:rPr>
        <w:t xml:space="preserve">, at </w:t>
      </w:r>
      <w:r>
        <w:rPr>
          <w:lang w:eastAsia="en-US"/>
        </w:rPr>
        <w:t>20</w:t>
      </w:r>
      <w:r w:rsidRPr="003D493E">
        <w:rPr>
          <w:lang w:eastAsia="en-US"/>
        </w:rPr>
        <w:t xml:space="preserve">°C, </w:t>
      </w:r>
      <w:r>
        <w:rPr>
          <w:lang w:eastAsia="en-US"/>
        </w:rPr>
        <w:t xml:space="preserve">with a </w:t>
      </w:r>
      <w:r w:rsidRPr="003D493E">
        <w:rPr>
          <w:lang w:eastAsia="en-US"/>
        </w:rPr>
        <w:t xml:space="preserve">contact time of </w:t>
      </w:r>
      <w:r>
        <w:rPr>
          <w:lang w:eastAsia="en-US"/>
        </w:rPr>
        <w:t>5</w:t>
      </w:r>
      <w:r w:rsidRPr="003D493E">
        <w:rPr>
          <w:lang w:eastAsia="en-US"/>
        </w:rPr>
        <w:t xml:space="preserve"> minutes</w:t>
      </w:r>
      <w:r>
        <w:rPr>
          <w:lang w:eastAsia="en-US"/>
        </w:rPr>
        <w:t xml:space="preserve">, </w:t>
      </w:r>
      <w:r w:rsidRPr="00B63AC7">
        <w:rPr>
          <w:lang w:eastAsia="en-US"/>
        </w:rPr>
        <w:t>in dirty conditions (</w:t>
      </w:r>
      <w:r w:rsidRPr="006157E4">
        <w:rPr>
          <w:lang w:eastAsia="en-US"/>
        </w:rPr>
        <w:t>3 g/L BSA + 3 ml/l sheep erythrocytes</w:t>
      </w:r>
      <w:r w:rsidRPr="00B63AC7">
        <w:rPr>
          <w:lang w:eastAsia="en-US"/>
        </w:rPr>
        <w:t>).</w:t>
      </w:r>
      <w:r>
        <w:rPr>
          <w:lang w:eastAsia="en-US"/>
        </w:rPr>
        <w:t xml:space="preserve"> </w:t>
      </w:r>
      <w:r w:rsidRPr="003D493E">
        <w:rPr>
          <w:lang w:eastAsia="en-US"/>
        </w:rPr>
        <w:t>In these conditions, bactericidal</w:t>
      </w:r>
      <w:r>
        <w:rPr>
          <w:lang w:eastAsia="en-US"/>
        </w:rPr>
        <w:t xml:space="preserve"> and yeasticidal</w:t>
      </w:r>
      <w:r w:rsidRPr="003D493E">
        <w:rPr>
          <w:lang w:eastAsia="en-US"/>
        </w:rPr>
        <w:t xml:space="preserve"> activit</w:t>
      </w:r>
      <w:r>
        <w:rPr>
          <w:lang w:eastAsia="en-US"/>
        </w:rPr>
        <w:t>ies</w:t>
      </w:r>
      <w:r w:rsidRPr="003D493E">
        <w:rPr>
          <w:lang w:eastAsia="en-US"/>
        </w:rPr>
        <w:t xml:space="preserve"> </w:t>
      </w:r>
      <w:r>
        <w:rPr>
          <w:lang w:eastAsia="en-US"/>
        </w:rPr>
        <w:t>are</w:t>
      </w:r>
      <w:r w:rsidRPr="003D493E">
        <w:rPr>
          <w:lang w:eastAsia="en-US"/>
        </w:rPr>
        <w:t xml:space="preserve"> shown at the in-use concentration of </w:t>
      </w:r>
      <w:r>
        <w:rPr>
          <w:lang w:eastAsia="en-US"/>
        </w:rPr>
        <w:t>6 % v/v.</w:t>
      </w:r>
    </w:p>
    <w:p w14:paraId="3FD6E512" w14:textId="77777777" w:rsidR="003B6AF8" w:rsidRDefault="003B6AF8" w:rsidP="0015321A">
      <w:pPr>
        <w:spacing w:line="260" w:lineRule="atLeast"/>
        <w:rPr>
          <w:rFonts w:eastAsia="Calibri"/>
          <w:lang w:eastAsia="en-US"/>
        </w:rPr>
      </w:pPr>
    </w:p>
    <w:p w14:paraId="634296B0" w14:textId="66E7EF9F" w:rsidR="0015321A" w:rsidRDefault="0015321A" w:rsidP="0015321A">
      <w:pPr>
        <w:spacing w:line="260" w:lineRule="atLeast"/>
        <w:contextualSpacing/>
        <w:jc w:val="both"/>
        <w:rPr>
          <w:rFonts w:eastAsia="Calibri"/>
          <w:lang w:eastAsia="en-US"/>
        </w:rPr>
      </w:pPr>
      <w:r w:rsidRPr="004B7A16">
        <w:rPr>
          <w:lang w:eastAsia="en-US"/>
        </w:rPr>
        <w:t xml:space="preserve">The additional strain </w:t>
      </w:r>
      <w:r w:rsidRPr="0010136F">
        <w:rPr>
          <w:i/>
          <w:lang w:eastAsia="en-US"/>
        </w:rPr>
        <w:t>Bartonella henselae</w:t>
      </w:r>
      <w:r w:rsidRPr="004B7A16">
        <w:rPr>
          <w:lang w:eastAsia="en-US"/>
        </w:rPr>
        <w:t xml:space="preserve"> has not been tested according to EN 16615, as for META SPC 1, </w:t>
      </w:r>
      <w:r w:rsidR="006C3EFF">
        <w:rPr>
          <w:lang w:eastAsia="en-US"/>
        </w:rPr>
        <w:t xml:space="preserve">indeed </w:t>
      </w:r>
      <w:r w:rsidRPr="004B7A16">
        <w:rPr>
          <w:lang w:eastAsia="en-US"/>
        </w:rPr>
        <w:t xml:space="preserve">efficacy criteria cannot be </w:t>
      </w:r>
      <w:r w:rsidR="006C3EFF">
        <w:rPr>
          <w:lang w:eastAsia="en-US"/>
        </w:rPr>
        <w:t>achieved</w:t>
      </w:r>
      <w:r w:rsidRPr="004B7A16">
        <w:rPr>
          <w:lang w:eastAsia="en-US"/>
        </w:rPr>
        <w:t xml:space="preserve"> with this methodology. </w:t>
      </w:r>
      <w:r w:rsidRPr="00E33E6A">
        <w:rPr>
          <w:rFonts w:eastAsia="Calibri"/>
          <w:lang w:eastAsia="en-US"/>
        </w:rPr>
        <w:t xml:space="preserve">Nevertheless considering that efficacy is demonstrated both in EN 1276 and EN 13697, and methodology of EN 16615 is not </w:t>
      </w:r>
      <w:r w:rsidRPr="00E33E6A">
        <w:rPr>
          <w:lang w:eastAsia="en-US"/>
        </w:rPr>
        <w:t xml:space="preserve">adapted to this strain, eCA agree to consider that efficacy is demonstrated against </w:t>
      </w:r>
      <w:r w:rsidRPr="002E01EC">
        <w:rPr>
          <w:rFonts w:eastAsia="Calibri"/>
          <w:i/>
          <w:lang w:eastAsia="en-US"/>
        </w:rPr>
        <w:t>Bartonella henselae</w:t>
      </w:r>
      <w:r w:rsidRPr="00560A44">
        <w:rPr>
          <w:rFonts w:eastAsia="Calibri"/>
          <w:lang w:eastAsia="en-US"/>
        </w:rPr>
        <w:t>, for wiping</w:t>
      </w:r>
      <w:r w:rsidRPr="00E33E6A">
        <w:rPr>
          <w:rFonts w:eastAsia="Calibri"/>
          <w:lang w:eastAsia="en-US"/>
        </w:rPr>
        <w:t>.</w:t>
      </w:r>
    </w:p>
    <w:p w14:paraId="0C9BD4DA" w14:textId="4EDD4A89" w:rsidR="0015321A" w:rsidRDefault="0015321A" w:rsidP="0015321A">
      <w:pPr>
        <w:spacing w:line="260" w:lineRule="atLeast"/>
        <w:rPr>
          <w:rFonts w:eastAsia="Calibri"/>
          <w:lang w:eastAsia="en-US"/>
        </w:rPr>
      </w:pPr>
    </w:p>
    <w:p w14:paraId="1A81560B" w14:textId="6540D14D" w:rsidR="0015321A" w:rsidRDefault="0015321A" w:rsidP="0015321A">
      <w:pPr>
        <w:spacing w:line="260" w:lineRule="atLeast"/>
        <w:rPr>
          <w:rFonts w:eastAsia="Calibri"/>
          <w:lang w:eastAsia="en-US"/>
        </w:rPr>
      </w:pPr>
    </w:p>
    <w:p w14:paraId="26F3A3D4" w14:textId="2DA85282" w:rsidR="0015321A" w:rsidRDefault="0015321A" w:rsidP="0015321A">
      <w:pPr>
        <w:spacing w:line="260" w:lineRule="atLeast"/>
        <w:rPr>
          <w:rFonts w:eastAsia="Calibri"/>
          <w:lang w:eastAsia="en-US"/>
        </w:rPr>
      </w:pPr>
    </w:p>
    <w:p w14:paraId="1B148E23" w14:textId="2A9F9601" w:rsidR="0015321A" w:rsidRDefault="0015321A" w:rsidP="0015321A">
      <w:pPr>
        <w:spacing w:line="260" w:lineRule="atLeast"/>
        <w:rPr>
          <w:rFonts w:eastAsia="Calibri"/>
          <w:lang w:eastAsia="en-US"/>
        </w:rPr>
      </w:pPr>
    </w:p>
    <w:p w14:paraId="474A755C" w14:textId="585E53B5" w:rsidR="0015321A" w:rsidRDefault="0015321A" w:rsidP="0015321A">
      <w:pPr>
        <w:spacing w:line="260" w:lineRule="atLeast"/>
        <w:rPr>
          <w:rFonts w:eastAsia="Calibri"/>
          <w:lang w:eastAsia="en-US"/>
        </w:rPr>
      </w:pPr>
    </w:p>
    <w:p w14:paraId="112BF6F1" w14:textId="2E40DE4E" w:rsidR="0015321A" w:rsidRDefault="0015321A" w:rsidP="0015321A">
      <w:pPr>
        <w:spacing w:line="260" w:lineRule="atLeast"/>
        <w:rPr>
          <w:rFonts w:eastAsia="Calibri"/>
          <w:lang w:eastAsia="en-US"/>
        </w:rPr>
      </w:pPr>
    </w:p>
    <w:p w14:paraId="5F98483B" w14:textId="0441A20C" w:rsidR="0015321A" w:rsidRDefault="0015321A" w:rsidP="0015321A">
      <w:pPr>
        <w:spacing w:line="260" w:lineRule="atLeast"/>
        <w:rPr>
          <w:rFonts w:eastAsia="Calibri"/>
          <w:lang w:eastAsia="en-US"/>
        </w:rPr>
      </w:pPr>
    </w:p>
    <w:p w14:paraId="5ADC1E6D" w14:textId="3DE17142" w:rsidR="0015321A" w:rsidRDefault="0015321A" w:rsidP="00E91F85">
      <w:pPr>
        <w:rPr>
          <w:b/>
          <w:color w:val="000000"/>
          <w:sz w:val="18"/>
          <w:szCs w:val="18"/>
        </w:rPr>
        <w:sectPr w:rsidR="0015321A" w:rsidSect="0073642B">
          <w:pgSz w:w="11906" w:h="16838"/>
          <w:pgMar w:top="1474" w:right="1247" w:bottom="2013" w:left="1446"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1"/>
        <w:gridCol w:w="1543"/>
        <w:gridCol w:w="1521"/>
        <w:gridCol w:w="1967"/>
        <w:gridCol w:w="1533"/>
        <w:gridCol w:w="2739"/>
        <w:gridCol w:w="1398"/>
        <w:gridCol w:w="1159"/>
      </w:tblGrid>
      <w:tr w:rsidR="006C3EFF" w:rsidRPr="00FD2055" w14:paraId="471D0B58" w14:textId="77777777" w:rsidTr="0010136F">
        <w:trPr>
          <w:cantSplit/>
          <w:jc w:val="center"/>
        </w:trPr>
        <w:tc>
          <w:tcPr>
            <w:tcW w:w="13341" w:type="dxa"/>
            <w:gridSpan w:val="8"/>
            <w:shd w:val="clear" w:color="auto" w:fill="FFFFFF"/>
          </w:tcPr>
          <w:p w14:paraId="3235702C" w14:textId="53F8A313" w:rsidR="006C3EFF" w:rsidRPr="00FD2055" w:rsidRDefault="006C3EFF" w:rsidP="0010136F">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xml:space="preserve">: Meta-SPC </w:t>
            </w:r>
            <w:r w:rsidR="003370B9">
              <w:rPr>
                <w:b/>
                <w:color w:val="000000"/>
                <w:sz w:val="18"/>
                <w:szCs w:val="18"/>
              </w:rPr>
              <w:t>8</w:t>
            </w:r>
          </w:p>
        </w:tc>
      </w:tr>
      <w:tr w:rsidR="0015321A" w:rsidRPr="00FD2055" w14:paraId="03498244" w14:textId="77777777" w:rsidTr="0010136F">
        <w:trPr>
          <w:cantSplit/>
          <w:jc w:val="center"/>
        </w:trPr>
        <w:tc>
          <w:tcPr>
            <w:tcW w:w="1481" w:type="dxa"/>
            <w:shd w:val="clear" w:color="auto" w:fill="FFFFFF"/>
          </w:tcPr>
          <w:p w14:paraId="2D62EDC1" w14:textId="20182F52" w:rsidR="0015321A" w:rsidRPr="00FD2055" w:rsidRDefault="0015321A" w:rsidP="0015321A">
            <w:pPr>
              <w:jc w:val="center"/>
              <w:rPr>
                <w:b/>
                <w:color w:val="000000"/>
                <w:sz w:val="18"/>
                <w:szCs w:val="18"/>
              </w:rPr>
            </w:pPr>
            <w:r w:rsidRPr="00FD2055">
              <w:rPr>
                <w:b/>
                <w:color w:val="000000"/>
                <w:sz w:val="18"/>
                <w:szCs w:val="18"/>
              </w:rPr>
              <w:t>Function</w:t>
            </w:r>
          </w:p>
        </w:tc>
        <w:tc>
          <w:tcPr>
            <w:tcW w:w="1543" w:type="dxa"/>
            <w:shd w:val="clear" w:color="auto" w:fill="FFFFFF"/>
          </w:tcPr>
          <w:p w14:paraId="4747CE9E" w14:textId="77777777" w:rsidR="0015321A" w:rsidRPr="00FD2055" w:rsidRDefault="0015321A" w:rsidP="0015321A">
            <w:pPr>
              <w:rPr>
                <w:b/>
                <w:color w:val="000000"/>
                <w:sz w:val="18"/>
                <w:szCs w:val="18"/>
              </w:rPr>
            </w:pPr>
            <w:r w:rsidRPr="00FD2055">
              <w:rPr>
                <w:b/>
                <w:color w:val="000000"/>
                <w:sz w:val="18"/>
                <w:szCs w:val="18"/>
              </w:rPr>
              <w:t>Field of use envisaged</w:t>
            </w:r>
          </w:p>
        </w:tc>
        <w:tc>
          <w:tcPr>
            <w:tcW w:w="1521" w:type="dxa"/>
            <w:shd w:val="clear" w:color="auto" w:fill="FFFFFF"/>
          </w:tcPr>
          <w:p w14:paraId="28CE6482" w14:textId="77777777" w:rsidR="0015321A" w:rsidRPr="00FD2055" w:rsidRDefault="0015321A"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1967" w:type="dxa"/>
            <w:shd w:val="clear" w:color="auto" w:fill="FFFFFF"/>
          </w:tcPr>
          <w:p w14:paraId="10F2924A" w14:textId="77777777" w:rsidR="0015321A" w:rsidRPr="00FD2055" w:rsidRDefault="0015321A" w:rsidP="0015321A">
            <w:pPr>
              <w:rPr>
                <w:b/>
                <w:i/>
                <w:color w:val="000000"/>
                <w:sz w:val="18"/>
                <w:szCs w:val="18"/>
              </w:rPr>
            </w:pPr>
            <w:r w:rsidRPr="00FD2055">
              <w:rPr>
                <w:b/>
                <w:color w:val="000000"/>
                <w:sz w:val="18"/>
                <w:szCs w:val="18"/>
              </w:rPr>
              <w:t>Test organism(s)</w:t>
            </w:r>
          </w:p>
        </w:tc>
        <w:tc>
          <w:tcPr>
            <w:tcW w:w="1533" w:type="dxa"/>
            <w:shd w:val="clear" w:color="auto" w:fill="FFFFFF"/>
          </w:tcPr>
          <w:p w14:paraId="44E2EA2A" w14:textId="77777777" w:rsidR="0015321A" w:rsidRPr="00FD2055" w:rsidRDefault="0015321A" w:rsidP="0015321A">
            <w:pPr>
              <w:rPr>
                <w:b/>
                <w:color w:val="000000"/>
                <w:sz w:val="18"/>
                <w:szCs w:val="18"/>
              </w:rPr>
            </w:pPr>
            <w:r w:rsidRPr="00FD2055">
              <w:rPr>
                <w:b/>
                <w:color w:val="000000"/>
                <w:sz w:val="18"/>
                <w:szCs w:val="18"/>
              </w:rPr>
              <w:t>Test method</w:t>
            </w:r>
          </w:p>
        </w:tc>
        <w:tc>
          <w:tcPr>
            <w:tcW w:w="2739" w:type="dxa"/>
            <w:shd w:val="clear" w:color="auto" w:fill="FFFFFF"/>
          </w:tcPr>
          <w:p w14:paraId="503E1976" w14:textId="77777777" w:rsidR="0015321A" w:rsidRPr="00FD2055" w:rsidRDefault="0015321A" w:rsidP="0015321A">
            <w:pPr>
              <w:rPr>
                <w:b/>
                <w:color w:val="000000"/>
                <w:sz w:val="18"/>
                <w:szCs w:val="18"/>
              </w:rPr>
            </w:pPr>
            <w:r w:rsidRPr="00FD2055">
              <w:rPr>
                <w:b/>
                <w:color w:val="000000"/>
                <w:sz w:val="18"/>
                <w:szCs w:val="18"/>
              </w:rPr>
              <w:t>Test system / concentrations applied / exposure time</w:t>
            </w:r>
          </w:p>
        </w:tc>
        <w:tc>
          <w:tcPr>
            <w:tcW w:w="1398" w:type="dxa"/>
            <w:shd w:val="clear" w:color="auto" w:fill="FFFFFF"/>
          </w:tcPr>
          <w:p w14:paraId="7963934A" w14:textId="77777777" w:rsidR="0015321A" w:rsidRPr="00FD2055" w:rsidRDefault="0015321A" w:rsidP="0015321A">
            <w:pPr>
              <w:rPr>
                <w:b/>
                <w:color w:val="000000"/>
                <w:sz w:val="18"/>
                <w:szCs w:val="18"/>
              </w:rPr>
            </w:pPr>
            <w:r w:rsidRPr="00FD2055">
              <w:rPr>
                <w:b/>
                <w:color w:val="000000"/>
                <w:sz w:val="18"/>
                <w:szCs w:val="18"/>
              </w:rPr>
              <w:t>Test results: effects</w:t>
            </w:r>
          </w:p>
        </w:tc>
        <w:tc>
          <w:tcPr>
            <w:tcW w:w="1159" w:type="dxa"/>
            <w:shd w:val="clear" w:color="auto" w:fill="FFFFFF"/>
          </w:tcPr>
          <w:p w14:paraId="7C166C66" w14:textId="77777777" w:rsidR="0015321A" w:rsidRPr="00FD2055" w:rsidRDefault="0015321A" w:rsidP="0015321A">
            <w:pPr>
              <w:rPr>
                <w:b/>
                <w:color w:val="000000"/>
                <w:sz w:val="18"/>
                <w:szCs w:val="18"/>
              </w:rPr>
            </w:pPr>
            <w:r w:rsidRPr="00FD2055">
              <w:rPr>
                <w:b/>
                <w:color w:val="000000"/>
                <w:sz w:val="18"/>
                <w:szCs w:val="18"/>
              </w:rPr>
              <w:t>Reference</w:t>
            </w:r>
          </w:p>
        </w:tc>
      </w:tr>
      <w:tr w:rsidR="0015321A" w:rsidRPr="00625060" w14:paraId="5159972F" w14:textId="77777777" w:rsidTr="0010136F">
        <w:trPr>
          <w:cantSplit/>
          <w:jc w:val="center"/>
        </w:trPr>
        <w:tc>
          <w:tcPr>
            <w:tcW w:w="1481" w:type="dxa"/>
            <w:vAlign w:val="center"/>
          </w:tcPr>
          <w:p w14:paraId="36170BE6" w14:textId="77777777" w:rsidR="0015321A" w:rsidRPr="005D3939" w:rsidRDefault="0015321A" w:rsidP="0015321A">
            <w:pPr>
              <w:rPr>
                <w:color w:val="000000"/>
                <w:sz w:val="18"/>
                <w:szCs w:val="18"/>
                <w:highlight w:val="yellow"/>
              </w:rPr>
            </w:pPr>
            <w:r>
              <w:rPr>
                <w:color w:val="000000"/>
                <w:sz w:val="18"/>
                <w:szCs w:val="18"/>
              </w:rPr>
              <w:t>Disinfectant, bactericidal activity</w:t>
            </w:r>
          </w:p>
        </w:tc>
        <w:tc>
          <w:tcPr>
            <w:tcW w:w="1543" w:type="dxa"/>
            <w:vAlign w:val="center"/>
          </w:tcPr>
          <w:p w14:paraId="2D303BF1" w14:textId="77777777" w:rsidR="0015321A" w:rsidRPr="005D3939" w:rsidRDefault="0015321A" w:rsidP="0015321A">
            <w:pPr>
              <w:rPr>
                <w:color w:val="000000"/>
                <w:sz w:val="18"/>
                <w:szCs w:val="18"/>
                <w:highlight w:val="yellow"/>
              </w:rPr>
            </w:pPr>
            <w:r>
              <w:rPr>
                <w:color w:val="000000"/>
                <w:sz w:val="18"/>
                <w:szCs w:val="18"/>
              </w:rPr>
              <w:t>Domestic area</w:t>
            </w:r>
          </w:p>
        </w:tc>
        <w:tc>
          <w:tcPr>
            <w:tcW w:w="1521" w:type="dxa"/>
            <w:vAlign w:val="center"/>
          </w:tcPr>
          <w:p w14:paraId="2E785EAC" w14:textId="77777777" w:rsidR="0015321A" w:rsidRDefault="0015321A" w:rsidP="0015321A">
            <w:pPr>
              <w:rPr>
                <w:color w:val="000000"/>
                <w:sz w:val="18"/>
                <w:szCs w:val="18"/>
              </w:rPr>
            </w:pPr>
            <w:r>
              <w:rPr>
                <w:color w:val="000000"/>
                <w:sz w:val="18"/>
                <w:szCs w:val="18"/>
              </w:rPr>
              <w:t>AL-S8-1-0</w:t>
            </w:r>
          </w:p>
          <w:p w14:paraId="5AD4C952" w14:textId="1EA67E7F" w:rsidR="0015321A" w:rsidRPr="005D3939" w:rsidRDefault="00BE6D03" w:rsidP="0015321A">
            <w:pPr>
              <w:rPr>
                <w:color w:val="000000"/>
                <w:sz w:val="18"/>
                <w:szCs w:val="18"/>
                <w:highlight w:val="yellow"/>
              </w:rPr>
            </w:pPr>
            <w:r>
              <w:rPr>
                <w:color w:val="000000"/>
                <w:sz w:val="18"/>
                <w:szCs w:val="18"/>
              </w:rPr>
              <w:t>16</w:t>
            </w:r>
            <w:r w:rsidR="0015321A">
              <w:rPr>
                <w:color w:val="000000"/>
                <w:sz w:val="18"/>
                <w:szCs w:val="18"/>
              </w:rPr>
              <w:t>% lactic acid</w:t>
            </w:r>
          </w:p>
        </w:tc>
        <w:tc>
          <w:tcPr>
            <w:tcW w:w="1967" w:type="dxa"/>
            <w:vAlign w:val="center"/>
          </w:tcPr>
          <w:p w14:paraId="303C2AA7" w14:textId="77777777" w:rsidR="0015321A" w:rsidRPr="00D016EC" w:rsidRDefault="0015321A" w:rsidP="0015321A">
            <w:pPr>
              <w:rPr>
                <w:i/>
                <w:color w:val="000000"/>
                <w:sz w:val="18"/>
                <w:szCs w:val="18"/>
                <w:highlight w:val="yellow"/>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1533" w:type="dxa"/>
            <w:vAlign w:val="center"/>
          </w:tcPr>
          <w:p w14:paraId="0F3D16AC" w14:textId="77777777" w:rsidR="0015321A" w:rsidRPr="005D3939" w:rsidRDefault="0015321A" w:rsidP="0015321A">
            <w:pPr>
              <w:rPr>
                <w:color w:val="000000"/>
                <w:sz w:val="18"/>
                <w:szCs w:val="18"/>
                <w:highlight w:val="yellow"/>
              </w:rPr>
            </w:pPr>
            <w:r>
              <w:rPr>
                <w:color w:val="000000"/>
                <w:sz w:val="18"/>
                <w:szCs w:val="18"/>
              </w:rPr>
              <w:t>NF EN 1276 (March 2010)</w:t>
            </w:r>
          </w:p>
        </w:tc>
        <w:tc>
          <w:tcPr>
            <w:tcW w:w="2739" w:type="dxa"/>
            <w:vAlign w:val="center"/>
          </w:tcPr>
          <w:p w14:paraId="359B7B55" w14:textId="77777777" w:rsidR="0015321A" w:rsidRDefault="0015321A" w:rsidP="0015321A">
            <w:pPr>
              <w:rPr>
                <w:color w:val="000000"/>
                <w:sz w:val="18"/>
                <w:szCs w:val="18"/>
              </w:rPr>
            </w:pPr>
            <w:r>
              <w:rPr>
                <w:color w:val="000000"/>
                <w:sz w:val="18"/>
                <w:szCs w:val="18"/>
              </w:rPr>
              <w:t>Phase 2 step 1 (suspension test)</w:t>
            </w:r>
          </w:p>
          <w:p w14:paraId="28D74439" w14:textId="77777777" w:rsidR="0015321A" w:rsidRDefault="0015321A" w:rsidP="0015321A">
            <w:pPr>
              <w:rPr>
                <w:color w:val="000000"/>
                <w:sz w:val="18"/>
                <w:szCs w:val="18"/>
              </w:rPr>
            </w:pPr>
            <w:r>
              <w:rPr>
                <w:color w:val="000000"/>
                <w:sz w:val="18"/>
                <w:szCs w:val="18"/>
              </w:rPr>
              <w:t xml:space="preserve">Concentrations of product tested (v/v) were: 0.5%, 1%, 2%, 3%, 4%, 6%, 8%  </w:t>
            </w:r>
          </w:p>
          <w:p w14:paraId="6560F81A" w14:textId="7F33C4B2" w:rsidR="0015321A" w:rsidRDefault="0015321A" w:rsidP="0015321A">
            <w:pPr>
              <w:rPr>
                <w:color w:val="000000"/>
                <w:sz w:val="18"/>
                <w:szCs w:val="18"/>
              </w:rPr>
            </w:pPr>
            <w:r>
              <w:rPr>
                <w:color w:val="000000"/>
                <w:sz w:val="18"/>
                <w:szCs w:val="18"/>
              </w:rPr>
              <w:t xml:space="preserve">Contact time: 5 minutes </w:t>
            </w:r>
          </w:p>
          <w:p w14:paraId="541ADC87" w14:textId="77777777" w:rsidR="0015321A" w:rsidRDefault="0015321A" w:rsidP="0015321A">
            <w:pPr>
              <w:rPr>
                <w:color w:val="000000"/>
                <w:sz w:val="18"/>
                <w:szCs w:val="18"/>
              </w:rPr>
            </w:pPr>
            <w:r>
              <w:rPr>
                <w:color w:val="000000"/>
                <w:sz w:val="18"/>
                <w:szCs w:val="18"/>
              </w:rPr>
              <w:t>Temperature: 20°C</w:t>
            </w:r>
          </w:p>
          <w:p w14:paraId="258B1424" w14:textId="77777777" w:rsidR="0015321A" w:rsidRDefault="0015321A" w:rsidP="0015321A">
            <w:pPr>
              <w:rPr>
                <w:color w:val="000000"/>
                <w:sz w:val="18"/>
                <w:szCs w:val="18"/>
              </w:rPr>
            </w:pPr>
            <w:r>
              <w:rPr>
                <w:color w:val="000000"/>
                <w:sz w:val="18"/>
                <w:szCs w:val="18"/>
              </w:rPr>
              <w:t xml:space="preserve">Dirty conditions: 3 g/L BSA </w:t>
            </w:r>
          </w:p>
          <w:p w14:paraId="63906E89" w14:textId="77777777" w:rsidR="0015321A" w:rsidRPr="005D3939" w:rsidRDefault="0015321A" w:rsidP="0015321A">
            <w:pPr>
              <w:rPr>
                <w:color w:val="000000"/>
                <w:sz w:val="18"/>
                <w:szCs w:val="18"/>
                <w:highlight w:val="yellow"/>
              </w:rPr>
            </w:pPr>
            <w:r>
              <w:rPr>
                <w:color w:val="000000"/>
                <w:sz w:val="18"/>
                <w:szCs w:val="18"/>
              </w:rPr>
              <w:t>Criteria: ≥ 5 log unit reduction</w:t>
            </w:r>
          </w:p>
        </w:tc>
        <w:tc>
          <w:tcPr>
            <w:tcW w:w="1398" w:type="dxa"/>
            <w:vAlign w:val="center"/>
          </w:tcPr>
          <w:p w14:paraId="36ED6638" w14:textId="77777777" w:rsidR="0015321A" w:rsidRDefault="0015321A" w:rsidP="0015321A">
            <w:pPr>
              <w:snapToGrid w:val="0"/>
              <w:rPr>
                <w:color w:val="000000"/>
                <w:sz w:val="18"/>
                <w:szCs w:val="18"/>
              </w:rPr>
            </w:pPr>
            <w:r>
              <w:rPr>
                <w:color w:val="000000"/>
                <w:sz w:val="18"/>
                <w:szCs w:val="18"/>
              </w:rPr>
              <w:t>Bactericidal activity demonstrated at 4 % v/v</w:t>
            </w:r>
          </w:p>
          <w:p w14:paraId="4C775420" w14:textId="77777777" w:rsidR="0015321A" w:rsidRPr="005D3939" w:rsidRDefault="0015321A" w:rsidP="0015321A">
            <w:pPr>
              <w:rPr>
                <w:color w:val="000000"/>
                <w:sz w:val="18"/>
                <w:szCs w:val="18"/>
                <w:highlight w:val="yellow"/>
              </w:rPr>
            </w:pPr>
          </w:p>
        </w:tc>
        <w:tc>
          <w:tcPr>
            <w:tcW w:w="1159" w:type="dxa"/>
            <w:vAlign w:val="center"/>
          </w:tcPr>
          <w:p w14:paraId="18E32B0A" w14:textId="77777777" w:rsidR="0015321A" w:rsidRDefault="0015321A" w:rsidP="0015321A">
            <w:pPr>
              <w:rPr>
                <w:color w:val="000000"/>
                <w:sz w:val="18"/>
                <w:szCs w:val="18"/>
              </w:rPr>
            </w:pPr>
            <w:r>
              <w:rPr>
                <w:color w:val="000000"/>
                <w:sz w:val="18"/>
                <w:szCs w:val="18"/>
              </w:rPr>
              <w:t>Huguet N., 2018, Report No 18.CM.18-104</w:t>
            </w:r>
          </w:p>
          <w:p w14:paraId="5DF6E92F" w14:textId="77777777" w:rsidR="0015321A" w:rsidRDefault="0015321A" w:rsidP="0015321A">
            <w:pPr>
              <w:rPr>
                <w:color w:val="000000"/>
                <w:sz w:val="18"/>
                <w:szCs w:val="18"/>
              </w:rPr>
            </w:pPr>
          </w:p>
          <w:p w14:paraId="645CA602" w14:textId="77777777" w:rsidR="0015321A" w:rsidRPr="00625060" w:rsidRDefault="0015321A" w:rsidP="0015321A">
            <w:pPr>
              <w:rPr>
                <w:color w:val="000000"/>
                <w:sz w:val="18"/>
                <w:szCs w:val="18"/>
                <w:highlight w:val="yellow"/>
              </w:rPr>
            </w:pPr>
            <w:r>
              <w:rPr>
                <w:color w:val="000000"/>
                <w:sz w:val="18"/>
                <w:szCs w:val="18"/>
              </w:rPr>
              <w:t>RI=1</w:t>
            </w:r>
          </w:p>
        </w:tc>
      </w:tr>
      <w:tr w:rsidR="0010136F" w:rsidRPr="00625060" w14:paraId="47F77757" w14:textId="77777777" w:rsidTr="0010136F">
        <w:trPr>
          <w:cantSplit/>
          <w:jc w:val="center"/>
        </w:trPr>
        <w:tc>
          <w:tcPr>
            <w:tcW w:w="1481" w:type="dxa"/>
            <w:vAlign w:val="center"/>
          </w:tcPr>
          <w:p w14:paraId="57D62260" w14:textId="4639FBF0" w:rsidR="0010136F" w:rsidRDefault="0010136F" w:rsidP="0010136F">
            <w:pPr>
              <w:rPr>
                <w:color w:val="000000"/>
                <w:sz w:val="18"/>
                <w:szCs w:val="18"/>
              </w:rPr>
            </w:pPr>
            <w:r>
              <w:rPr>
                <w:color w:val="000000"/>
                <w:sz w:val="18"/>
                <w:szCs w:val="18"/>
              </w:rPr>
              <w:t>Disinfectant, bactericidal activity</w:t>
            </w:r>
          </w:p>
        </w:tc>
        <w:tc>
          <w:tcPr>
            <w:tcW w:w="1543" w:type="dxa"/>
            <w:vAlign w:val="center"/>
          </w:tcPr>
          <w:p w14:paraId="4CF1AB8B" w14:textId="4B569C89" w:rsidR="0010136F" w:rsidRDefault="0010136F" w:rsidP="0010136F">
            <w:pPr>
              <w:rPr>
                <w:color w:val="000000"/>
                <w:sz w:val="18"/>
                <w:szCs w:val="18"/>
              </w:rPr>
            </w:pPr>
            <w:r>
              <w:rPr>
                <w:color w:val="000000"/>
                <w:sz w:val="18"/>
                <w:szCs w:val="18"/>
              </w:rPr>
              <w:t>Domestic area</w:t>
            </w:r>
          </w:p>
        </w:tc>
        <w:tc>
          <w:tcPr>
            <w:tcW w:w="1521" w:type="dxa"/>
            <w:vAlign w:val="center"/>
          </w:tcPr>
          <w:p w14:paraId="54C0079D" w14:textId="77777777" w:rsidR="0010136F" w:rsidRDefault="0010136F" w:rsidP="0010136F">
            <w:pPr>
              <w:rPr>
                <w:color w:val="000000"/>
                <w:sz w:val="18"/>
                <w:szCs w:val="18"/>
              </w:rPr>
            </w:pPr>
            <w:r>
              <w:rPr>
                <w:color w:val="000000"/>
                <w:sz w:val="18"/>
                <w:szCs w:val="18"/>
              </w:rPr>
              <w:t>AL-S8-1-0</w:t>
            </w:r>
          </w:p>
          <w:p w14:paraId="6E4ED832" w14:textId="023479DA" w:rsidR="0010136F" w:rsidRDefault="00BE6D03" w:rsidP="0010136F">
            <w:pPr>
              <w:rPr>
                <w:color w:val="000000"/>
                <w:sz w:val="18"/>
                <w:szCs w:val="18"/>
              </w:rPr>
            </w:pPr>
            <w:r>
              <w:rPr>
                <w:color w:val="000000"/>
                <w:sz w:val="18"/>
                <w:szCs w:val="18"/>
              </w:rPr>
              <w:t>16</w:t>
            </w:r>
            <w:r w:rsidR="0010136F">
              <w:rPr>
                <w:color w:val="000000"/>
                <w:sz w:val="18"/>
                <w:szCs w:val="18"/>
              </w:rPr>
              <w:t>% lactic acid</w:t>
            </w:r>
          </w:p>
        </w:tc>
        <w:tc>
          <w:tcPr>
            <w:tcW w:w="1967" w:type="dxa"/>
            <w:vAlign w:val="center"/>
          </w:tcPr>
          <w:p w14:paraId="61C8FB29" w14:textId="680E511A" w:rsidR="0010136F" w:rsidRPr="00AF1A0E" w:rsidRDefault="0010136F" w:rsidP="0010136F">
            <w:pPr>
              <w:rPr>
                <w:i/>
                <w:color w:val="000000"/>
                <w:sz w:val="18"/>
                <w:szCs w:val="18"/>
                <w:lang w:val="fr-FR"/>
              </w:rPr>
            </w:pPr>
            <w:r w:rsidRPr="005D3939">
              <w:rPr>
                <w:i/>
                <w:color w:val="000000"/>
                <w:sz w:val="18"/>
                <w:szCs w:val="18"/>
              </w:rPr>
              <w:t>Bartonella henselae</w:t>
            </w:r>
            <w:r>
              <w:rPr>
                <w:color w:val="000000"/>
                <w:sz w:val="18"/>
                <w:szCs w:val="18"/>
              </w:rPr>
              <w:t xml:space="preserve"> </w:t>
            </w:r>
          </w:p>
        </w:tc>
        <w:tc>
          <w:tcPr>
            <w:tcW w:w="1533" w:type="dxa"/>
            <w:vAlign w:val="center"/>
          </w:tcPr>
          <w:p w14:paraId="76583D9E" w14:textId="084A4F6E" w:rsidR="0010136F" w:rsidRDefault="0010136F" w:rsidP="0010136F">
            <w:pPr>
              <w:rPr>
                <w:color w:val="000000"/>
                <w:sz w:val="18"/>
                <w:szCs w:val="18"/>
              </w:rPr>
            </w:pPr>
            <w:r>
              <w:rPr>
                <w:color w:val="000000"/>
                <w:sz w:val="18"/>
                <w:szCs w:val="18"/>
              </w:rPr>
              <w:t>NF EN 1276 (March 2010)</w:t>
            </w:r>
          </w:p>
        </w:tc>
        <w:tc>
          <w:tcPr>
            <w:tcW w:w="2739" w:type="dxa"/>
            <w:vAlign w:val="center"/>
          </w:tcPr>
          <w:p w14:paraId="25D5E18A" w14:textId="77777777" w:rsidR="0010136F" w:rsidRDefault="0010136F" w:rsidP="0010136F">
            <w:pPr>
              <w:rPr>
                <w:color w:val="000000"/>
                <w:sz w:val="18"/>
                <w:szCs w:val="18"/>
              </w:rPr>
            </w:pPr>
            <w:r>
              <w:rPr>
                <w:color w:val="000000"/>
                <w:sz w:val="18"/>
                <w:szCs w:val="18"/>
              </w:rPr>
              <w:t>Phase 2 step 1 (suspension test)</w:t>
            </w:r>
          </w:p>
          <w:p w14:paraId="193A35EA" w14:textId="77777777" w:rsidR="0010136F" w:rsidRDefault="0010136F" w:rsidP="0010136F">
            <w:pPr>
              <w:rPr>
                <w:color w:val="000000"/>
                <w:sz w:val="18"/>
                <w:szCs w:val="18"/>
              </w:rPr>
            </w:pPr>
            <w:r>
              <w:rPr>
                <w:color w:val="000000"/>
                <w:sz w:val="18"/>
                <w:szCs w:val="18"/>
              </w:rPr>
              <w:t xml:space="preserve">Concentrations of product tested (v/v) were: 0.5%, 2%, 4%. </w:t>
            </w:r>
          </w:p>
          <w:p w14:paraId="6933101F" w14:textId="77777777" w:rsidR="0010136F" w:rsidRDefault="0010136F" w:rsidP="0010136F">
            <w:pPr>
              <w:rPr>
                <w:color w:val="000000"/>
                <w:sz w:val="18"/>
                <w:szCs w:val="18"/>
              </w:rPr>
            </w:pPr>
            <w:r>
              <w:rPr>
                <w:color w:val="000000"/>
                <w:sz w:val="18"/>
                <w:szCs w:val="18"/>
              </w:rPr>
              <w:t xml:space="preserve">Contact time: 5 minutes </w:t>
            </w:r>
          </w:p>
          <w:p w14:paraId="66FE655A" w14:textId="77777777" w:rsidR="0010136F" w:rsidRDefault="0010136F" w:rsidP="0010136F">
            <w:pPr>
              <w:rPr>
                <w:color w:val="000000"/>
                <w:sz w:val="18"/>
                <w:szCs w:val="18"/>
              </w:rPr>
            </w:pPr>
            <w:r>
              <w:rPr>
                <w:color w:val="000000"/>
                <w:sz w:val="18"/>
                <w:szCs w:val="18"/>
              </w:rPr>
              <w:t>Temperature: 20°C</w:t>
            </w:r>
          </w:p>
          <w:p w14:paraId="488323B5" w14:textId="77777777" w:rsidR="0010136F" w:rsidRDefault="0010136F" w:rsidP="0010136F">
            <w:pPr>
              <w:rPr>
                <w:color w:val="000000"/>
                <w:sz w:val="18"/>
                <w:szCs w:val="18"/>
              </w:rPr>
            </w:pPr>
            <w:r>
              <w:rPr>
                <w:color w:val="000000"/>
                <w:sz w:val="18"/>
                <w:szCs w:val="18"/>
              </w:rPr>
              <w:t xml:space="preserve">Dirty conditions: 3 g/L BSA </w:t>
            </w:r>
          </w:p>
          <w:p w14:paraId="3240BB8E" w14:textId="69FDB3D0" w:rsidR="0010136F" w:rsidRDefault="0010136F" w:rsidP="0010136F">
            <w:pPr>
              <w:rPr>
                <w:color w:val="000000"/>
                <w:sz w:val="18"/>
                <w:szCs w:val="18"/>
              </w:rPr>
            </w:pPr>
            <w:r>
              <w:rPr>
                <w:color w:val="000000"/>
                <w:sz w:val="18"/>
                <w:szCs w:val="18"/>
              </w:rPr>
              <w:t>Criteria: ≥ 5 log unit reduction</w:t>
            </w:r>
          </w:p>
        </w:tc>
        <w:tc>
          <w:tcPr>
            <w:tcW w:w="1398" w:type="dxa"/>
            <w:vAlign w:val="center"/>
          </w:tcPr>
          <w:p w14:paraId="44E82354" w14:textId="77777777" w:rsidR="0010136F" w:rsidRDefault="0010136F" w:rsidP="0010136F">
            <w:pPr>
              <w:rPr>
                <w:color w:val="000000"/>
                <w:sz w:val="18"/>
                <w:szCs w:val="18"/>
              </w:rPr>
            </w:pPr>
          </w:p>
          <w:p w14:paraId="18A03585" w14:textId="77777777" w:rsidR="0010136F" w:rsidRDefault="0010136F" w:rsidP="0010136F">
            <w:pPr>
              <w:snapToGrid w:val="0"/>
              <w:rPr>
                <w:color w:val="000000"/>
                <w:sz w:val="18"/>
                <w:szCs w:val="18"/>
              </w:rPr>
            </w:pPr>
            <w:r>
              <w:rPr>
                <w:color w:val="000000"/>
                <w:sz w:val="18"/>
                <w:szCs w:val="18"/>
              </w:rPr>
              <w:t>Bactericidal activity demonstrated at 0.5 % v/v</w:t>
            </w:r>
          </w:p>
          <w:p w14:paraId="7867F273" w14:textId="77777777" w:rsidR="0010136F" w:rsidRDefault="0010136F" w:rsidP="0010136F">
            <w:pPr>
              <w:snapToGrid w:val="0"/>
              <w:rPr>
                <w:color w:val="000000"/>
                <w:sz w:val="18"/>
                <w:szCs w:val="18"/>
              </w:rPr>
            </w:pPr>
          </w:p>
        </w:tc>
        <w:tc>
          <w:tcPr>
            <w:tcW w:w="1159" w:type="dxa"/>
            <w:vAlign w:val="center"/>
          </w:tcPr>
          <w:p w14:paraId="5531E749" w14:textId="77777777" w:rsidR="0010136F" w:rsidRDefault="0010136F" w:rsidP="0010136F">
            <w:pPr>
              <w:rPr>
                <w:color w:val="000000"/>
                <w:sz w:val="18"/>
                <w:szCs w:val="18"/>
              </w:rPr>
            </w:pPr>
            <w:r>
              <w:rPr>
                <w:color w:val="000000"/>
                <w:sz w:val="18"/>
                <w:szCs w:val="18"/>
              </w:rPr>
              <w:t>Pinon A., 2019, Report No 180228a</w:t>
            </w:r>
          </w:p>
          <w:p w14:paraId="7682CFA8" w14:textId="77777777" w:rsidR="0010136F" w:rsidRDefault="0010136F" w:rsidP="0010136F">
            <w:pPr>
              <w:rPr>
                <w:color w:val="000000"/>
                <w:sz w:val="18"/>
                <w:szCs w:val="18"/>
              </w:rPr>
            </w:pPr>
          </w:p>
          <w:p w14:paraId="46CD2B00" w14:textId="589E268E" w:rsidR="0010136F" w:rsidRDefault="0010136F" w:rsidP="0010136F">
            <w:pPr>
              <w:rPr>
                <w:color w:val="000000"/>
                <w:sz w:val="18"/>
                <w:szCs w:val="18"/>
              </w:rPr>
            </w:pPr>
            <w:r>
              <w:rPr>
                <w:color w:val="000000"/>
                <w:sz w:val="18"/>
                <w:szCs w:val="18"/>
              </w:rPr>
              <w:t>RI=1</w:t>
            </w:r>
          </w:p>
        </w:tc>
      </w:tr>
      <w:tr w:rsidR="0010136F" w:rsidRPr="00625060" w14:paraId="2210E256" w14:textId="77777777" w:rsidTr="0010136F">
        <w:trPr>
          <w:cantSplit/>
          <w:jc w:val="center"/>
        </w:trPr>
        <w:tc>
          <w:tcPr>
            <w:tcW w:w="1481" w:type="dxa"/>
            <w:vAlign w:val="center"/>
          </w:tcPr>
          <w:p w14:paraId="495FADE5" w14:textId="065727CA" w:rsidR="0010136F" w:rsidRDefault="0010136F" w:rsidP="0010136F">
            <w:pPr>
              <w:rPr>
                <w:color w:val="000000"/>
                <w:sz w:val="18"/>
                <w:szCs w:val="18"/>
              </w:rPr>
            </w:pPr>
            <w:r w:rsidRPr="00AF1A0E">
              <w:rPr>
                <w:color w:val="000000"/>
                <w:sz w:val="18"/>
                <w:szCs w:val="18"/>
              </w:rPr>
              <w:t>Disinfectant, bactericidal activity</w:t>
            </w:r>
          </w:p>
        </w:tc>
        <w:tc>
          <w:tcPr>
            <w:tcW w:w="1543" w:type="dxa"/>
            <w:vAlign w:val="center"/>
          </w:tcPr>
          <w:p w14:paraId="769F01A1" w14:textId="79977789" w:rsidR="0010136F" w:rsidRDefault="0010136F" w:rsidP="0010136F">
            <w:pPr>
              <w:rPr>
                <w:color w:val="000000"/>
                <w:sz w:val="18"/>
                <w:szCs w:val="18"/>
              </w:rPr>
            </w:pPr>
            <w:r w:rsidRPr="00AF1A0E">
              <w:rPr>
                <w:color w:val="000000"/>
                <w:sz w:val="18"/>
                <w:szCs w:val="18"/>
              </w:rPr>
              <w:t>Domestic area</w:t>
            </w:r>
          </w:p>
        </w:tc>
        <w:tc>
          <w:tcPr>
            <w:tcW w:w="1521" w:type="dxa"/>
            <w:vAlign w:val="center"/>
          </w:tcPr>
          <w:p w14:paraId="42D1CBF7" w14:textId="77777777" w:rsidR="0010136F" w:rsidRDefault="0010136F" w:rsidP="0010136F">
            <w:pPr>
              <w:rPr>
                <w:color w:val="000000"/>
                <w:sz w:val="18"/>
                <w:szCs w:val="18"/>
              </w:rPr>
            </w:pPr>
            <w:r w:rsidRPr="00AF1A0E">
              <w:rPr>
                <w:color w:val="000000"/>
                <w:sz w:val="18"/>
                <w:szCs w:val="18"/>
              </w:rPr>
              <w:t>AL-S8-1-0</w:t>
            </w:r>
          </w:p>
          <w:p w14:paraId="4D0E7CB7" w14:textId="7C504032" w:rsidR="0010136F" w:rsidRDefault="00BE6D03" w:rsidP="0010136F">
            <w:pPr>
              <w:rPr>
                <w:color w:val="000000"/>
                <w:sz w:val="18"/>
                <w:szCs w:val="18"/>
              </w:rPr>
            </w:pPr>
            <w:r>
              <w:rPr>
                <w:color w:val="000000"/>
                <w:sz w:val="18"/>
                <w:szCs w:val="18"/>
              </w:rPr>
              <w:t>16</w:t>
            </w:r>
            <w:r w:rsidR="0010136F">
              <w:rPr>
                <w:color w:val="000000"/>
                <w:sz w:val="18"/>
                <w:szCs w:val="18"/>
              </w:rPr>
              <w:t>% lactic acid</w:t>
            </w:r>
          </w:p>
        </w:tc>
        <w:tc>
          <w:tcPr>
            <w:tcW w:w="1967" w:type="dxa"/>
            <w:vAlign w:val="center"/>
          </w:tcPr>
          <w:p w14:paraId="3FD362CE" w14:textId="2F43FA21" w:rsidR="0010136F" w:rsidRPr="00AF1A0E" w:rsidRDefault="0010136F" w:rsidP="0010136F">
            <w:pPr>
              <w:rPr>
                <w:i/>
                <w:color w:val="000000"/>
                <w:sz w:val="18"/>
                <w:szCs w:val="18"/>
                <w:lang w:val="fr-FR"/>
              </w:rPr>
            </w:pPr>
            <w:r w:rsidRPr="00AF1A0E">
              <w:rPr>
                <w:i/>
                <w:color w:val="000000"/>
                <w:sz w:val="18"/>
                <w:szCs w:val="18"/>
                <w:lang w:val="fr-FR"/>
              </w:rPr>
              <w:t>Pseudomonas aeruginosa</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Staphylococcus aureus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t xml:space="preserve"> </w:t>
            </w:r>
            <w:r w:rsidRPr="00AF1A0E">
              <w:rPr>
                <w:color w:val="000000"/>
                <w:sz w:val="18"/>
                <w:szCs w:val="18"/>
                <w:lang w:val="fr-FR"/>
              </w:rPr>
              <w:br/>
            </w:r>
          </w:p>
        </w:tc>
        <w:tc>
          <w:tcPr>
            <w:tcW w:w="1533" w:type="dxa"/>
            <w:vAlign w:val="center"/>
          </w:tcPr>
          <w:p w14:paraId="2B824903" w14:textId="5DDF94AF" w:rsidR="0010136F" w:rsidRDefault="0010136F" w:rsidP="0010136F">
            <w:pPr>
              <w:rPr>
                <w:color w:val="000000"/>
                <w:sz w:val="18"/>
                <w:szCs w:val="18"/>
              </w:rPr>
            </w:pPr>
            <w:r w:rsidRPr="00AF1A0E">
              <w:rPr>
                <w:color w:val="000000"/>
                <w:sz w:val="18"/>
                <w:szCs w:val="18"/>
              </w:rPr>
              <w:t>NF EN 16615 (2015)</w:t>
            </w:r>
          </w:p>
        </w:tc>
        <w:tc>
          <w:tcPr>
            <w:tcW w:w="2739" w:type="dxa"/>
            <w:vAlign w:val="center"/>
          </w:tcPr>
          <w:p w14:paraId="6557EF77" w14:textId="77777777" w:rsidR="0010136F" w:rsidRPr="00EF6EAE" w:rsidRDefault="0010136F" w:rsidP="0010136F">
            <w:pPr>
              <w:rPr>
                <w:color w:val="000000"/>
                <w:sz w:val="18"/>
                <w:szCs w:val="18"/>
              </w:rPr>
            </w:pPr>
            <w:r w:rsidRPr="00EF6EAE">
              <w:rPr>
                <w:color w:val="000000"/>
                <w:sz w:val="18"/>
                <w:szCs w:val="18"/>
              </w:rPr>
              <w:t>Phase 2 step 2 (su</w:t>
            </w:r>
            <w:r>
              <w:rPr>
                <w:color w:val="000000"/>
                <w:sz w:val="18"/>
                <w:szCs w:val="18"/>
              </w:rPr>
              <w:t>rface</w:t>
            </w:r>
            <w:r w:rsidRPr="00EF6EAE">
              <w:rPr>
                <w:color w:val="000000"/>
                <w:sz w:val="18"/>
                <w:szCs w:val="18"/>
              </w:rPr>
              <w:t xml:space="preserve"> test)</w:t>
            </w:r>
          </w:p>
          <w:p w14:paraId="798A85AA" w14:textId="77777777" w:rsidR="0010136F" w:rsidRPr="00D22F57" w:rsidRDefault="0010136F" w:rsidP="0010136F">
            <w:pPr>
              <w:rPr>
                <w:color w:val="000000"/>
                <w:sz w:val="18"/>
                <w:szCs w:val="18"/>
              </w:rPr>
            </w:pPr>
            <w:r w:rsidRPr="00D22F57">
              <w:rPr>
                <w:color w:val="000000"/>
                <w:sz w:val="18"/>
                <w:szCs w:val="18"/>
              </w:rPr>
              <w:t xml:space="preserve">Concentrations of product tested (v/v) were: 1%, 6%. </w:t>
            </w:r>
          </w:p>
          <w:p w14:paraId="5236B801" w14:textId="77777777" w:rsidR="0010136F" w:rsidRPr="00DE786A" w:rsidRDefault="0010136F" w:rsidP="0010136F">
            <w:pPr>
              <w:rPr>
                <w:color w:val="000000"/>
                <w:sz w:val="18"/>
                <w:szCs w:val="18"/>
              </w:rPr>
            </w:pPr>
            <w:r w:rsidRPr="001C307C">
              <w:rPr>
                <w:color w:val="000000"/>
                <w:sz w:val="18"/>
                <w:szCs w:val="18"/>
              </w:rPr>
              <w:t>Contact time</w:t>
            </w:r>
            <w:r w:rsidRPr="00DE786A">
              <w:rPr>
                <w:color w:val="000000"/>
                <w:sz w:val="18"/>
                <w:szCs w:val="18"/>
              </w:rPr>
              <w:t xml:space="preserve">: 5 minutes </w:t>
            </w:r>
          </w:p>
          <w:p w14:paraId="183DD1E9" w14:textId="77777777" w:rsidR="0010136F" w:rsidRPr="00DE786A" w:rsidRDefault="0010136F" w:rsidP="0010136F">
            <w:pPr>
              <w:rPr>
                <w:color w:val="000000"/>
                <w:sz w:val="18"/>
                <w:szCs w:val="18"/>
              </w:rPr>
            </w:pPr>
            <w:r w:rsidRPr="00DE786A">
              <w:rPr>
                <w:color w:val="000000"/>
                <w:sz w:val="18"/>
                <w:szCs w:val="18"/>
              </w:rPr>
              <w:t>Temperature: 20°C</w:t>
            </w:r>
          </w:p>
          <w:p w14:paraId="16AA9F6E" w14:textId="77777777" w:rsidR="0010136F" w:rsidRPr="00085C80" w:rsidRDefault="0010136F" w:rsidP="0010136F">
            <w:pPr>
              <w:rPr>
                <w:color w:val="000000"/>
                <w:sz w:val="18"/>
                <w:szCs w:val="18"/>
              </w:rPr>
            </w:pPr>
            <w:r w:rsidRPr="00085C80">
              <w:rPr>
                <w:color w:val="000000"/>
                <w:sz w:val="18"/>
                <w:szCs w:val="18"/>
              </w:rPr>
              <w:t xml:space="preserve">Dirty conditions: 3 g/L BSA </w:t>
            </w:r>
          </w:p>
          <w:p w14:paraId="4037B934" w14:textId="2AB2F2E3" w:rsidR="0010136F" w:rsidRDefault="0010136F" w:rsidP="0010136F">
            <w:pPr>
              <w:rPr>
                <w:color w:val="000000"/>
                <w:sz w:val="18"/>
                <w:szCs w:val="18"/>
              </w:rPr>
            </w:pPr>
            <w:r w:rsidRPr="00085C80">
              <w:rPr>
                <w:color w:val="000000"/>
                <w:sz w:val="18"/>
                <w:szCs w:val="18"/>
              </w:rPr>
              <w:t>Criteria: ≥ 5 log unit reduction</w:t>
            </w:r>
          </w:p>
        </w:tc>
        <w:tc>
          <w:tcPr>
            <w:tcW w:w="1398" w:type="dxa"/>
            <w:vAlign w:val="center"/>
          </w:tcPr>
          <w:p w14:paraId="2E1CC396" w14:textId="77777777" w:rsidR="0010136F" w:rsidRPr="00EF6EAE" w:rsidRDefault="0010136F" w:rsidP="0010136F">
            <w:pPr>
              <w:snapToGrid w:val="0"/>
              <w:rPr>
                <w:color w:val="000000"/>
                <w:sz w:val="18"/>
                <w:szCs w:val="18"/>
              </w:rPr>
            </w:pPr>
            <w:r w:rsidRPr="00EF6EAE">
              <w:rPr>
                <w:color w:val="000000"/>
                <w:sz w:val="18"/>
                <w:szCs w:val="18"/>
              </w:rPr>
              <w:t>Bactericidal activity demonstrated at 6 % v/v</w:t>
            </w:r>
          </w:p>
          <w:p w14:paraId="34C8D3D0" w14:textId="77777777" w:rsidR="0010136F" w:rsidRDefault="0010136F" w:rsidP="0010136F">
            <w:pPr>
              <w:snapToGrid w:val="0"/>
              <w:rPr>
                <w:color w:val="000000"/>
                <w:sz w:val="18"/>
                <w:szCs w:val="18"/>
              </w:rPr>
            </w:pPr>
          </w:p>
        </w:tc>
        <w:tc>
          <w:tcPr>
            <w:tcW w:w="1159" w:type="dxa"/>
            <w:vAlign w:val="center"/>
          </w:tcPr>
          <w:p w14:paraId="20881228" w14:textId="77777777" w:rsidR="0010136F" w:rsidRPr="00AF1A0E" w:rsidRDefault="0010136F" w:rsidP="0010136F">
            <w:pPr>
              <w:rPr>
                <w:color w:val="000000"/>
                <w:sz w:val="18"/>
                <w:szCs w:val="18"/>
              </w:rPr>
            </w:pPr>
            <w:r w:rsidRPr="00AF1A0E">
              <w:rPr>
                <w:color w:val="000000"/>
                <w:sz w:val="18"/>
                <w:szCs w:val="18"/>
              </w:rPr>
              <w:t>Lemaitre P., 2020, Report No RE20-175-1</w:t>
            </w:r>
          </w:p>
          <w:p w14:paraId="1F2D5902" w14:textId="77777777" w:rsidR="0010136F" w:rsidRPr="00AF1A0E" w:rsidRDefault="0010136F" w:rsidP="0010136F">
            <w:pPr>
              <w:rPr>
                <w:color w:val="000000"/>
                <w:sz w:val="18"/>
                <w:szCs w:val="18"/>
              </w:rPr>
            </w:pPr>
          </w:p>
          <w:p w14:paraId="177296D3" w14:textId="6F861817" w:rsidR="0010136F" w:rsidRDefault="0010136F" w:rsidP="0010136F">
            <w:pPr>
              <w:rPr>
                <w:color w:val="000000"/>
                <w:sz w:val="18"/>
                <w:szCs w:val="18"/>
              </w:rPr>
            </w:pPr>
            <w:r w:rsidRPr="00AF1A0E">
              <w:rPr>
                <w:color w:val="000000"/>
                <w:sz w:val="18"/>
                <w:szCs w:val="18"/>
              </w:rPr>
              <w:t>RI=1</w:t>
            </w:r>
          </w:p>
        </w:tc>
      </w:tr>
      <w:tr w:rsidR="0010136F" w:rsidRPr="00625060" w14:paraId="3A80C778" w14:textId="77777777" w:rsidTr="0010136F">
        <w:trPr>
          <w:cantSplit/>
          <w:jc w:val="center"/>
        </w:trPr>
        <w:tc>
          <w:tcPr>
            <w:tcW w:w="1481" w:type="dxa"/>
            <w:vAlign w:val="center"/>
          </w:tcPr>
          <w:p w14:paraId="19DDFB6B" w14:textId="30B3746C" w:rsidR="0010136F" w:rsidRDefault="0010136F" w:rsidP="0010136F">
            <w:pPr>
              <w:rPr>
                <w:color w:val="000000"/>
                <w:sz w:val="18"/>
                <w:szCs w:val="18"/>
              </w:rPr>
            </w:pPr>
            <w:r>
              <w:rPr>
                <w:color w:val="000000"/>
                <w:sz w:val="18"/>
                <w:szCs w:val="18"/>
              </w:rPr>
              <w:lastRenderedPageBreak/>
              <w:t>Disinfectant, bactericidal activity</w:t>
            </w:r>
          </w:p>
        </w:tc>
        <w:tc>
          <w:tcPr>
            <w:tcW w:w="1543" w:type="dxa"/>
            <w:vAlign w:val="center"/>
          </w:tcPr>
          <w:p w14:paraId="740309B1" w14:textId="30411FA6" w:rsidR="0010136F" w:rsidRDefault="0010136F" w:rsidP="0010136F">
            <w:pPr>
              <w:rPr>
                <w:color w:val="000000"/>
                <w:sz w:val="18"/>
                <w:szCs w:val="18"/>
              </w:rPr>
            </w:pPr>
            <w:r>
              <w:rPr>
                <w:color w:val="000000"/>
                <w:sz w:val="18"/>
                <w:szCs w:val="18"/>
              </w:rPr>
              <w:t>Domestic area</w:t>
            </w:r>
          </w:p>
        </w:tc>
        <w:tc>
          <w:tcPr>
            <w:tcW w:w="1521" w:type="dxa"/>
            <w:vAlign w:val="center"/>
          </w:tcPr>
          <w:p w14:paraId="4D68004A" w14:textId="77777777" w:rsidR="0010136F" w:rsidRDefault="0010136F" w:rsidP="0010136F">
            <w:pPr>
              <w:rPr>
                <w:color w:val="000000"/>
                <w:sz w:val="18"/>
                <w:szCs w:val="18"/>
              </w:rPr>
            </w:pPr>
            <w:r>
              <w:rPr>
                <w:color w:val="000000"/>
                <w:sz w:val="18"/>
                <w:szCs w:val="18"/>
              </w:rPr>
              <w:t>AL-S8-1-0</w:t>
            </w:r>
          </w:p>
          <w:p w14:paraId="3397B2A1" w14:textId="720A075F" w:rsidR="0010136F" w:rsidRDefault="00BE6D03" w:rsidP="0010136F">
            <w:pPr>
              <w:rPr>
                <w:color w:val="000000"/>
                <w:sz w:val="18"/>
                <w:szCs w:val="18"/>
              </w:rPr>
            </w:pPr>
            <w:r>
              <w:rPr>
                <w:color w:val="000000"/>
                <w:sz w:val="18"/>
                <w:szCs w:val="18"/>
              </w:rPr>
              <w:t>16</w:t>
            </w:r>
            <w:r w:rsidR="0010136F">
              <w:rPr>
                <w:color w:val="000000"/>
                <w:sz w:val="18"/>
                <w:szCs w:val="18"/>
              </w:rPr>
              <w:t>% lactic acid</w:t>
            </w:r>
          </w:p>
        </w:tc>
        <w:tc>
          <w:tcPr>
            <w:tcW w:w="1967" w:type="dxa"/>
            <w:vAlign w:val="center"/>
          </w:tcPr>
          <w:p w14:paraId="5DAC908B" w14:textId="1186FF56" w:rsidR="0010136F" w:rsidRPr="00D016EC" w:rsidRDefault="0010136F" w:rsidP="0010136F">
            <w:pPr>
              <w:rPr>
                <w:i/>
                <w:color w:val="000000"/>
                <w:sz w:val="18"/>
                <w:szCs w:val="18"/>
                <w:lang w:val="fr-FR"/>
              </w:rPr>
            </w:pPr>
            <w:r w:rsidRPr="00D016EC">
              <w:rPr>
                <w:i/>
                <w:color w:val="000000"/>
                <w:sz w:val="18"/>
                <w:szCs w:val="18"/>
                <w:lang w:val="fr-FR"/>
              </w:rPr>
              <w:t xml:space="preserve">Pseudomonas aeruginosa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1533" w:type="dxa"/>
            <w:vAlign w:val="center"/>
          </w:tcPr>
          <w:p w14:paraId="40321E54" w14:textId="02FE3DD8" w:rsidR="0010136F" w:rsidRDefault="0010136F" w:rsidP="0010136F">
            <w:pPr>
              <w:rPr>
                <w:color w:val="000000"/>
                <w:sz w:val="18"/>
                <w:szCs w:val="18"/>
              </w:rPr>
            </w:pPr>
            <w:r>
              <w:rPr>
                <w:color w:val="000000"/>
                <w:sz w:val="18"/>
                <w:szCs w:val="18"/>
              </w:rPr>
              <w:t>NF EN 13697 (June 2015)</w:t>
            </w:r>
          </w:p>
        </w:tc>
        <w:tc>
          <w:tcPr>
            <w:tcW w:w="2739" w:type="dxa"/>
            <w:vAlign w:val="center"/>
          </w:tcPr>
          <w:p w14:paraId="6E973266" w14:textId="77777777" w:rsidR="0010136F" w:rsidRDefault="0010136F" w:rsidP="0010136F">
            <w:pPr>
              <w:rPr>
                <w:color w:val="000000"/>
                <w:sz w:val="18"/>
                <w:szCs w:val="18"/>
              </w:rPr>
            </w:pPr>
            <w:r>
              <w:rPr>
                <w:color w:val="000000"/>
                <w:sz w:val="18"/>
                <w:szCs w:val="18"/>
              </w:rPr>
              <w:t>Phase 2 step 2 (surface test)</w:t>
            </w:r>
          </w:p>
          <w:p w14:paraId="39757655" w14:textId="77777777" w:rsidR="0010136F" w:rsidRDefault="0010136F" w:rsidP="0010136F">
            <w:pPr>
              <w:rPr>
                <w:color w:val="000000"/>
                <w:sz w:val="18"/>
                <w:szCs w:val="18"/>
              </w:rPr>
            </w:pPr>
            <w:r>
              <w:rPr>
                <w:color w:val="000000"/>
                <w:sz w:val="18"/>
                <w:szCs w:val="18"/>
              </w:rPr>
              <w:t xml:space="preserve">Concentrations of product tested (v/v) were: 0.5%, 2%, 4%, 5%, 6%, 8%, 10%. </w:t>
            </w:r>
          </w:p>
          <w:p w14:paraId="6A496E6C" w14:textId="77777777" w:rsidR="0010136F" w:rsidRDefault="0010136F" w:rsidP="0010136F">
            <w:pPr>
              <w:rPr>
                <w:color w:val="000000"/>
                <w:sz w:val="18"/>
                <w:szCs w:val="18"/>
              </w:rPr>
            </w:pPr>
            <w:r>
              <w:rPr>
                <w:color w:val="000000"/>
                <w:sz w:val="18"/>
                <w:szCs w:val="18"/>
              </w:rPr>
              <w:t xml:space="preserve">Contact time: 5 minutes </w:t>
            </w:r>
          </w:p>
          <w:p w14:paraId="1E1E1362" w14:textId="77777777" w:rsidR="0010136F" w:rsidRDefault="0010136F" w:rsidP="0010136F">
            <w:pPr>
              <w:rPr>
                <w:color w:val="000000"/>
                <w:sz w:val="18"/>
                <w:szCs w:val="18"/>
              </w:rPr>
            </w:pPr>
            <w:r>
              <w:rPr>
                <w:color w:val="000000"/>
                <w:sz w:val="18"/>
                <w:szCs w:val="18"/>
              </w:rPr>
              <w:t>Temperature: 20°C</w:t>
            </w:r>
          </w:p>
          <w:p w14:paraId="02DA4A88" w14:textId="77777777" w:rsidR="0010136F" w:rsidRDefault="0010136F" w:rsidP="0010136F">
            <w:pPr>
              <w:rPr>
                <w:color w:val="000000"/>
                <w:sz w:val="18"/>
                <w:szCs w:val="18"/>
              </w:rPr>
            </w:pPr>
            <w:r>
              <w:rPr>
                <w:color w:val="000000"/>
                <w:sz w:val="18"/>
                <w:szCs w:val="18"/>
              </w:rPr>
              <w:t xml:space="preserve">Dirty conditions: 3 g/L BSA </w:t>
            </w:r>
          </w:p>
          <w:p w14:paraId="5DC263B1" w14:textId="0B69F22A" w:rsidR="0010136F" w:rsidRDefault="0010136F" w:rsidP="0010136F">
            <w:pPr>
              <w:rPr>
                <w:color w:val="000000"/>
                <w:sz w:val="18"/>
                <w:szCs w:val="18"/>
              </w:rPr>
            </w:pPr>
            <w:r>
              <w:rPr>
                <w:color w:val="000000"/>
                <w:sz w:val="18"/>
                <w:szCs w:val="18"/>
              </w:rPr>
              <w:t>Criteria: ≥ 4 log unit reduction</w:t>
            </w:r>
          </w:p>
        </w:tc>
        <w:tc>
          <w:tcPr>
            <w:tcW w:w="1398" w:type="dxa"/>
            <w:vAlign w:val="center"/>
          </w:tcPr>
          <w:p w14:paraId="7A7BF5EC" w14:textId="77777777" w:rsidR="0010136F" w:rsidRDefault="0010136F" w:rsidP="0010136F">
            <w:pPr>
              <w:rPr>
                <w:color w:val="000000"/>
                <w:sz w:val="18"/>
                <w:szCs w:val="18"/>
              </w:rPr>
            </w:pPr>
          </w:p>
          <w:p w14:paraId="05775BB7" w14:textId="00964635" w:rsidR="0010136F" w:rsidRDefault="0010136F" w:rsidP="0010136F">
            <w:pPr>
              <w:snapToGrid w:val="0"/>
              <w:rPr>
                <w:color w:val="000000"/>
                <w:sz w:val="18"/>
                <w:szCs w:val="18"/>
              </w:rPr>
            </w:pPr>
            <w:r>
              <w:rPr>
                <w:color w:val="000000"/>
                <w:sz w:val="18"/>
                <w:szCs w:val="18"/>
              </w:rPr>
              <w:t>Bactericidal activity demonstrated at 6 % v/v</w:t>
            </w:r>
          </w:p>
        </w:tc>
        <w:tc>
          <w:tcPr>
            <w:tcW w:w="1159" w:type="dxa"/>
            <w:vAlign w:val="center"/>
          </w:tcPr>
          <w:p w14:paraId="200FFD9A" w14:textId="77777777" w:rsidR="0010136F" w:rsidRDefault="0010136F" w:rsidP="0010136F">
            <w:pPr>
              <w:rPr>
                <w:color w:val="000000"/>
                <w:sz w:val="18"/>
                <w:szCs w:val="18"/>
              </w:rPr>
            </w:pPr>
            <w:r>
              <w:rPr>
                <w:color w:val="000000"/>
                <w:sz w:val="18"/>
                <w:szCs w:val="18"/>
              </w:rPr>
              <w:t>Huguet N., 2019, Report No 18.CM.18-136</w:t>
            </w:r>
          </w:p>
          <w:p w14:paraId="2080C614" w14:textId="77777777" w:rsidR="0010136F" w:rsidRDefault="0010136F" w:rsidP="0010136F">
            <w:pPr>
              <w:rPr>
                <w:color w:val="000000"/>
                <w:sz w:val="18"/>
                <w:szCs w:val="18"/>
              </w:rPr>
            </w:pPr>
          </w:p>
          <w:p w14:paraId="4F0629DC" w14:textId="7481C019" w:rsidR="0010136F" w:rsidRDefault="0010136F" w:rsidP="0010136F">
            <w:pPr>
              <w:rPr>
                <w:color w:val="000000"/>
                <w:sz w:val="18"/>
                <w:szCs w:val="18"/>
              </w:rPr>
            </w:pPr>
            <w:r>
              <w:rPr>
                <w:color w:val="000000"/>
                <w:sz w:val="18"/>
                <w:szCs w:val="18"/>
              </w:rPr>
              <w:t>RI=1</w:t>
            </w:r>
          </w:p>
        </w:tc>
      </w:tr>
      <w:tr w:rsidR="0010136F" w:rsidRPr="00625060" w14:paraId="42DFC81C" w14:textId="77777777" w:rsidTr="0010136F">
        <w:trPr>
          <w:cantSplit/>
          <w:jc w:val="center"/>
        </w:trPr>
        <w:tc>
          <w:tcPr>
            <w:tcW w:w="1481" w:type="dxa"/>
            <w:vAlign w:val="center"/>
          </w:tcPr>
          <w:p w14:paraId="79712BAB" w14:textId="2FA55384" w:rsidR="0010136F" w:rsidRDefault="0010136F" w:rsidP="0010136F">
            <w:pPr>
              <w:rPr>
                <w:color w:val="000000"/>
                <w:sz w:val="18"/>
                <w:szCs w:val="18"/>
              </w:rPr>
            </w:pPr>
            <w:r>
              <w:rPr>
                <w:sz w:val="18"/>
                <w:szCs w:val="18"/>
              </w:rPr>
              <w:t>Disinfectant, bactericidal activity</w:t>
            </w:r>
          </w:p>
        </w:tc>
        <w:tc>
          <w:tcPr>
            <w:tcW w:w="1543" w:type="dxa"/>
            <w:vAlign w:val="center"/>
          </w:tcPr>
          <w:p w14:paraId="05A5409A" w14:textId="0059440F" w:rsidR="0010136F" w:rsidRDefault="0010136F" w:rsidP="0010136F">
            <w:pPr>
              <w:rPr>
                <w:color w:val="000000"/>
                <w:sz w:val="18"/>
                <w:szCs w:val="18"/>
              </w:rPr>
            </w:pPr>
            <w:r>
              <w:rPr>
                <w:sz w:val="18"/>
                <w:szCs w:val="18"/>
              </w:rPr>
              <w:t>Domestic area</w:t>
            </w:r>
          </w:p>
        </w:tc>
        <w:tc>
          <w:tcPr>
            <w:tcW w:w="1521" w:type="dxa"/>
            <w:vAlign w:val="center"/>
          </w:tcPr>
          <w:p w14:paraId="7B949DA1" w14:textId="77777777" w:rsidR="0010136F" w:rsidRDefault="0010136F" w:rsidP="0010136F">
            <w:pPr>
              <w:rPr>
                <w:sz w:val="18"/>
                <w:szCs w:val="18"/>
              </w:rPr>
            </w:pPr>
            <w:r>
              <w:rPr>
                <w:sz w:val="18"/>
                <w:szCs w:val="18"/>
              </w:rPr>
              <w:t>AL-S8-1-0</w:t>
            </w:r>
          </w:p>
          <w:p w14:paraId="2FAC02A1" w14:textId="7AAE4144" w:rsidR="0010136F" w:rsidRDefault="00BE6D03" w:rsidP="0010136F">
            <w:pPr>
              <w:rPr>
                <w:color w:val="000000"/>
                <w:sz w:val="18"/>
                <w:szCs w:val="18"/>
              </w:rPr>
            </w:pPr>
            <w:r>
              <w:rPr>
                <w:color w:val="000000"/>
                <w:sz w:val="18"/>
                <w:szCs w:val="18"/>
              </w:rPr>
              <w:t>16</w:t>
            </w:r>
            <w:r w:rsidR="0010136F">
              <w:rPr>
                <w:color w:val="000000"/>
                <w:sz w:val="18"/>
                <w:szCs w:val="18"/>
              </w:rPr>
              <w:t>% lactic acid</w:t>
            </w:r>
          </w:p>
        </w:tc>
        <w:tc>
          <w:tcPr>
            <w:tcW w:w="1967" w:type="dxa"/>
            <w:vAlign w:val="center"/>
          </w:tcPr>
          <w:p w14:paraId="74ED942E" w14:textId="5E8059E6" w:rsidR="0010136F" w:rsidRPr="00AF1A0E" w:rsidRDefault="0010136F" w:rsidP="0010136F">
            <w:pPr>
              <w:rPr>
                <w:i/>
                <w:color w:val="000000"/>
                <w:sz w:val="18"/>
                <w:szCs w:val="18"/>
                <w:lang w:val="fr-FR"/>
              </w:rPr>
            </w:pPr>
            <w:r w:rsidRPr="005D3939">
              <w:rPr>
                <w:i/>
                <w:sz w:val="18"/>
                <w:szCs w:val="18"/>
              </w:rPr>
              <w:t>Bartonella henselae</w:t>
            </w:r>
          </w:p>
        </w:tc>
        <w:tc>
          <w:tcPr>
            <w:tcW w:w="1533" w:type="dxa"/>
            <w:vAlign w:val="center"/>
          </w:tcPr>
          <w:p w14:paraId="595AA3AB" w14:textId="7D05B441" w:rsidR="0010136F" w:rsidRDefault="0010136F" w:rsidP="0010136F">
            <w:pPr>
              <w:rPr>
                <w:color w:val="000000"/>
                <w:sz w:val="18"/>
                <w:szCs w:val="18"/>
              </w:rPr>
            </w:pPr>
            <w:r>
              <w:rPr>
                <w:sz w:val="18"/>
                <w:szCs w:val="18"/>
              </w:rPr>
              <w:t>NF EN 13697 (June 2015)</w:t>
            </w:r>
          </w:p>
        </w:tc>
        <w:tc>
          <w:tcPr>
            <w:tcW w:w="2739" w:type="dxa"/>
            <w:vAlign w:val="center"/>
          </w:tcPr>
          <w:p w14:paraId="5EE10A70" w14:textId="77777777" w:rsidR="0010136F" w:rsidRDefault="0010136F" w:rsidP="0010136F">
            <w:pPr>
              <w:rPr>
                <w:color w:val="000000"/>
                <w:sz w:val="18"/>
                <w:szCs w:val="18"/>
              </w:rPr>
            </w:pPr>
            <w:r>
              <w:rPr>
                <w:color w:val="000000"/>
                <w:sz w:val="18"/>
                <w:szCs w:val="18"/>
              </w:rPr>
              <w:t>Phase 2 step 2 (surface test)</w:t>
            </w:r>
          </w:p>
          <w:p w14:paraId="7A5A4905" w14:textId="77777777" w:rsidR="0010136F" w:rsidRDefault="0010136F" w:rsidP="0010136F">
            <w:pPr>
              <w:rPr>
                <w:color w:val="000000"/>
                <w:sz w:val="18"/>
                <w:szCs w:val="18"/>
              </w:rPr>
            </w:pPr>
            <w:r>
              <w:rPr>
                <w:color w:val="000000"/>
                <w:sz w:val="18"/>
                <w:szCs w:val="18"/>
              </w:rPr>
              <w:t xml:space="preserve">Concentrations of product tested (v/v) were: 0.5%, 3%, 6%, </w:t>
            </w:r>
          </w:p>
          <w:p w14:paraId="74B038F4" w14:textId="77777777" w:rsidR="0010136F" w:rsidRDefault="0010136F" w:rsidP="0010136F">
            <w:pPr>
              <w:rPr>
                <w:color w:val="000000"/>
                <w:sz w:val="18"/>
                <w:szCs w:val="18"/>
              </w:rPr>
            </w:pPr>
            <w:r>
              <w:rPr>
                <w:color w:val="000000"/>
                <w:sz w:val="18"/>
                <w:szCs w:val="18"/>
              </w:rPr>
              <w:t xml:space="preserve">Contact time: 5 minutes </w:t>
            </w:r>
          </w:p>
          <w:p w14:paraId="2785D776" w14:textId="77777777" w:rsidR="0010136F" w:rsidRDefault="0010136F" w:rsidP="0010136F">
            <w:pPr>
              <w:rPr>
                <w:color w:val="000000"/>
                <w:sz w:val="18"/>
                <w:szCs w:val="18"/>
              </w:rPr>
            </w:pPr>
            <w:r>
              <w:rPr>
                <w:color w:val="000000"/>
                <w:sz w:val="18"/>
                <w:szCs w:val="18"/>
              </w:rPr>
              <w:t>Temperature: 20°C</w:t>
            </w:r>
          </w:p>
          <w:p w14:paraId="54A79638" w14:textId="77777777" w:rsidR="0010136F" w:rsidRDefault="0010136F" w:rsidP="0010136F">
            <w:pPr>
              <w:rPr>
                <w:color w:val="000000"/>
                <w:sz w:val="18"/>
                <w:szCs w:val="18"/>
              </w:rPr>
            </w:pPr>
            <w:r>
              <w:rPr>
                <w:color w:val="000000"/>
                <w:sz w:val="18"/>
                <w:szCs w:val="18"/>
              </w:rPr>
              <w:t>Dirty conditions: 3 g/L BSA + 8.5 g/L skimmed milk (equivalent to 3 g/L BSA as 8,5 g/L skimmed milk simulates 0,3 g/L BSA for strains with drying loss).</w:t>
            </w:r>
          </w:p>
          <w:p w14:paraId="0545B3D0" w14:textId="3C3ABFB4" w:rsidR="0010136F" w:rsidRDefault="0010136F" w:rsidP="0010136F">
            <w:pPr>
              <w:rPr>
                <w:color w:val="000000"/>
                <w:sz w:val="18"/>
                <w:szCs w:val="18"/>
              </w:rPr>
            </w:pPr>
            <w:r>
              <w:rPr>
                <w:color w:val="000000"/>
                <w:sz w:val="18"/>
                <w:szCs w:val="18"/>
              </w:rPr>
              <w:t>Criteria: ≥ 4 log unit reduction</w:t>
            </w:r>
          </w:p>
        </w:tc>
        <w:tc>
          <w:tcPr>
            <w:tcW w:w="1398" w:type="dxa"/>
            <w:vAlign w:val="center"/>
          </w:tcPr>
          <w:p w14:paraId="5E0FDA20" w14:textId="34D942AB" w:rsidR="0010136F" w:rsidRDefault="0010136F" w:rsidP="0010136F">
            <w:pPr>
              <w:snapToGrid w:val="0"/>
              <w:rPr>
                <w:color w:val="000000"/>
                <w:sz w:val="18"/>
                <w:szCs w:val="18"/>
              </w:rPr>
            </w:pPr>
            <w:r>
              <w:rPr>
                <w:color w:val="000000"/>
                <w:sz w:val="18"/>
                <w:szCs w:val="18"/>
              </w:rPr>
              <w:t>Bactericidal activity demonstrated at 3 % v/v</w:t>
            </w:r>
          </w:p>
        </w:tc>
        <w:tc>
          <w:tcPr>
            <w:tcW w:w="1159" w:type="dxa"/>
            <w:vAlign w:val="center"/>
          </w:tcPr>
          <w:p w14:paraId="0DDF71A4" w14:textId="77777777" w:rsidR="0010136F" w:rsidRDefault="0010136F" w:rsidP="0010136F">
            <w:pPr>
              <w:rPr>
                <w:color w:val="000000"/>
                <w:sz w:val="18"/>
                <w:szCs w:val="18"/>
              </w:rPr>
            </w:pPr>
            <w:r>
              <w:rPr>
                <w:color w:val="000000"/>
                <w:sz w:val="18"/>
                <w:szCs w:val="18"/>
              </w:rPr>
              <w:t>Pinon A., 2019, Report No 180228c</w:t>
            </w:r>
          </w:p>
          <w:p w14:paraId="212FD3DF" w14:textId="72E3FE72" w:rsidR="0010136F" w:rsidRDefault="0010136F" w:rsidP="0010136F">
            <w:pPr>
              <w:rPr>
                <w:color w:val="000000"/>
                <w:sz w:val="18"/>
                <w:szCs w:val="18"/>
              </w:rPr>
            </w:pPr>
            <w:r>
              <w:rPr>
                <w:color w:val="000000"/>
                <w:sz w:val="18"/>
                <w:szCs w:val="18"/>
              </w:rPr>
              <w:t>RI=1</w:t>
            </w:r>
          </w:p>
        </w:tc>
      </w:tr>
    </w:tbl>
    <w:p w14:paraId="1DFF159C" w14:textId="77777777" w:rsidR="0015321A" w:rsidRDefault="0015321A" w:rsidP="0015321A">
      <w:pPr>
        <w:rPr>
          <w:color w:val="000000"/>
          <w:sz w:val="18"/>
          <w:szCs w:val="18"/>
        </w:rPr>
        <w:sectPr w:rsidR="0015321A" w:rsidSect="0010136F">
          <w:pgSz w:w="16838" w:h="11906" w:orient="landscape"/>
          <w:pgMar w:top="1446" w:right="1474" w:bottom="1247" w:left="2013" w:header="851" w:footer="851" w:gutter="0"/>
          <w:cols w:space="720"/>
          <w:docGrid w:linePitch="272"/>
        </w:sectPr>
      </w:pPr>
    </w:p>
    <w:p w14:paraId="03CACA0E" w14:textId="1FE8103B" w:rsidR="0015321A" w:rsidRPr="007A4DA8" w:rsidRDefault="0015321A" w:rsidP="00E91F85">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9: Disinfectant for </w:t>
      </w:r>
      <w:r w:rsidR="00773D2D" w:rsidRPr="007A4DA8">
        <w:rPr>
          <w:rFonts w:eastAsia="Calibri"/>
          <w:b/>
          <w:lang w:eastAsia="en-US"/>
        </w:rPr>
        <w:t xml:space="preserve">hard surfaces </w:t>
      </w:r>
      <w:r w:rsidR="00733D14" w:rsidRPr="007A4DA8">
        <w:rPr>
          <w:rFonts w:eastAsia="Calibri"/>
          <w:b/>
          <w:lang w:eastAsia="en-US"/>
        </w:rPr>
        <w:t>in</w:t>
      </w:r>
      <w:r w:rsidR="00773D2D" w:rsidRPr="007A4DA8">
        <w:rPr>
          <w:rFonts w:eastAsia="Calibri"/>
          <w:b/>
          <w:lang w:eastAsia="en-US"/>
        </w:rPr>
        <w:t xml:space="preserve"> </w:t>
      </w:r>
      <w:r w:rsidRPr="007A4DA8">
        <w:rPr>
          <w:rFonts w:eastAsia="Calibri"/>
          <w:b/>
          <w:lang w:eastAsia="en-US"/>
        </w:rPr>
        <w:t xml:space="preserve">domestic area and companion </w:t>
      </w:r>
      <w:r w:rsidR="003B6AF8" w:rsidRPr="007A4DA8">
        <w:rPr>
          <w:rFonts w:eastAsia="Calibri"/>
          <w:b/>
          <w:lang w:eastAsia="en-US"/>
        </w:rPr>
        <w:t>animal’s</w:t>
      </w:r>
      <w:r w:rsidRPr="007A4DA8">
        <w:rPr>
          <w:rFonts w:eastAsia="Calibri"/>
          <w:b/>
          <w:lang w:eastAsia="en-US"/>
        </w:rPr>
        <w:t xml:space="preserve"> environment</w:t>
      </w:r>
      <w:r w:rsidR="00C20A61" w:rsidRPr="007A4DA8">
        <w:rPr>
          <w:rFonts w:eastAsia="Calibri"/>
          <w:b/>
          <w:lang w:eastAsia="en-US"/>
        </w:rPr>
        <w:t>,</w:t>
      </w:r>
      <w:r w:rsidRPr="007A4DA8">
        <w:rPr>
          <w:rFonts w:eastAsia="Calibri"/>
          <w:b/>
          <w:lang w:eastAsia="en-US"/>
        </w:rPr>
        <w:t xml:space="preserve"> </w:t>
      </w:r>
      <w:r w:rsidR="00773D2D" w:rsidRPr="007A4DA8">
        <w:rPr>
          <w:rFonts w:eastAsia="Calibri"/>
          <w:b/>
          <w:lang w:eastAsia="en-US"/>
        </w:rPr>
        <w:t xml:space="preserve">by </w:t>
      </w:r>
      <w:r w:rsidR="003B6AF8" w:rsidRPr="007A4DA8">
        <w:rPr>
          <w:rFonts w:eastAsia="Calibri"/>
          <w:b/>
          <w:lang w:eastAsia="en-US"/>
        </w:rPr>
        <w:t>spraying and pouring</w:t>
      </w:r>
      <w:r w:rsidR="0055250E" w:rsidRPr="007A4DA8">
        <w:rPr>
          <w:rFonts w:eastAsia="Calibri"/>
          <w:b/>
          <w:lang w:eastAsia="en-US"/>
        </w:rPr>
        <w:t xml:space="preserve"> – PT2/3</w:t>
      </w:r>
    </w:p>
    <w:p w14:paraId="15B6347C" w14:textId="77777777" w:rsidR="0015321A" w:rsidRDefault="0015321A" w:rsidP="0015321A">
      <w:pPr>
        <w:spacing w:line="260" w:lineRule="atLeast"/>
        <w:rPr>
          <w:rFonts w:eastAsia="Calibri"/>
          <w:lang w:eastAsia="en-US"/>
        </w:rPr>
      </w:pPr>
    </w:p>
    <w:p w14:paraId="0A0831C5" w14:textId="2041FDCB" w:rsidR="0015321A" w:rsidRDefault="0015321A" w:rsidP="0015321A">
      <w:pPr>
        <w:spacing w:line="260" w:lineRule="atLeast"/>
        <w:jc w:val="both"/>
        <w:rPr>
          <w:lang w:eastAsia="en-US"/>
        </w:rPr>
      </w:pPr>
      <w:r w:rsidRPr="005C303E">
        <w:rPr>
          <w:lang w:eastAsia="en-US"/>
        </w:rPr>
        <w:t>META-SPC</w:t>
      </w:r>
      <w:r>
        <w:rPr>
          <w:lang w:eastAsia="en-US"/>
        </w:rPr>
        <w:t>9</w:t>
      </w:r>
      <w:r w:rsidRPr="005C303E">
        <w:rPr>
          <w:lang w:eastAsia="en-US"/>
        </w:rPr>
        <w:t xml:space="preserve"> contains </w:t>
      </w:r>
      <w:r>
        <w:rPr>
          <w:lang w:eastAsia="en-US"/>
        </w:rPr>
        <w:t xml:space="preserve">ready-to-use </w:t>
      </w:r>
      <w:r w:rsidRPr="005C303E">
        <w:rPr>
          <w:lang w:eastAsia="en-US"/>
        </w:rPr>
        <w:t xml:space="preserve">products </w:t>
      </w:r>
      <w:r>
        <w:rPr>
          <w:lang w:eastAsia="en-US"/>
        </w:rPr>
        <w:t xml:space="preserve">containing </w:t>
      </w:r>
      <w:r w:rsidR="003A3948">
        <w:rPr>
          <w:lang w:eastAsia="en-US"/>
        </w:rPr>
        <w:t>2.4</w:t>
      </w:r>
      <w:r>
        <w:rPr>
          <w:lang w:eastAsia="en-US"/>
        </w:rPr>
        <w:t xml:space="preserve">% w/w lactic acid, and minor variations of coformulants, in low concentrations without biocidal activity. </w:t>
      </w:r>
    </w:p>
    <w:p w14:paraId="776A194C" w14:textId="2E13C3B0" w:rsidR="0015321A" w:rsidRPr="00094FC1" w:rsidRDefault="0015321A" w:rsidP="0015321A">
      <w:pPr>
        <w:spacing w:line="260" w:lineRule="atLeast"/>
        <w:jc w:val="both"/>
        <w:rPr>
          <w:rFonts w:cs="Arial"/>
          <w:lang w:eastAsia="en-US"/>
        </w:rPr>
      </w:pPr>
      <w:r w:rsidRPr="00094FC1">
        <w:rPr>
          <w:lang w:eastAsia="en-US"/>
        </w:rPr>
        <w:t xml:space="preserve">Efficacy studies have been performed with </w:t>
      </w:r>
      <w:r w:rsidR="00773D2D">
        <w:rPr>
          <w:lang w:eastAsia="en-US"/>
        </w:rPr>
        <w:t xml:space="preserve">the </w:t>
      </w:r>
      <w:r w:rsidRPr="00094FC1">
        <w:rPr>
          <w:lang w:eastAsia="en-US"/>
        </w:rPr>
        <w:t xml:space="preserve">representative product </w:t>
      </w:r>
      <w:r w:rsidRPr="00C914AE">
        <w:rPr>
          <w:rFonts w:eastAsia="Calibri"/>
          <w:iCs/>
          <w:szCs w:val="24"/>
          <w:lang w:eastAsia="en-US"/>
        </w:rPr>
        <w:t>AL-S9-1-1 (</w:t>
      </w:r>
      <w:r w:rsidR="003A3948">
        <w:rPr>
          <w:rFonts w:eastAsia="Calibri"/>
          <w:iCs/>
          <w:szCs w:val="24"/>
          <w:lang w:eastAsia="en-US"/>
        </w:rPr>
        <w:t>2.4</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00733CE3">
        <w:rPr>
          <w:rFonts w:cs="Arial"/>
          <w:lang w:eastAsia="en-US"/>
        </w:rPr>
        <w:t>T</w:t>
      </w:r>
      <w:r w:rsidR="00733CE3" w:rsidRPr="00BC532C">
        <w:rPr>
          <w:rFonts w:cs="Arial"/>
          <w:lang w:eastAsia="en-US"/>
        </w:rPr>
        <w:t xml:space="preserve">aking into account </w:t>
      </w:r>
      <w:r w:rsidR="00733CE3">
        <w:rPr>
          <w:rFonts w:cs="Arial"/>
          <w:lang w:eastAsia="en-US"/>
        </w:rPr>
        <w:t>that products from META-SPC 10 have a higher AS concentration, that the compositions of META SPC9 and META-SPC10 are relatively similar and t</w:t>
      </w:r>
      <w:r w:rsidR="00733CE3" w:rsidRPr="00BC532C">
        <w:rPr>
          <w:rFonts w:cs="Arial"/>
          <w:lang w:eastAsia="en-US"/>
        </w:rPr>
        <w:t xml:space="preserve">he </w:t>
      </w:r>
      <w:r w:rsidR="00733CE3">
        <w:rPr>
          <w:rFonts w:cs="Arial"/>
          <w:lang w:eastAsia="en-US"/>
        </w:rPr>
        <w:t xml:space="preserve">minor </w:t>
      </w:r>
      <w:r w:rsidR="00733CE3" w:rsidRPr="00BC532C">
        <w:rPr>
          <w:rFonts w:cs="Arial"/>
          <w:lang w:eastAsia="en-US"/>
        </w:rPr>
        <w:t>variations of the co-formulants presented in the META-SPC</w:t>
      </w:r>
      <w:r w:rsidR="00733CE3">
        <w:rPr>
          <w:rFonts w:cs="Arial"/>
          <w:lang w:eastAsia="en-US"/>
        </w:rPr>
        <w:t>9</w:t>
      </w:r>
      <w:r w:rsidR="00733CE3" w:rsidRPr="00BC532C">
        <w:rPr>
          <w:rFonts w:cs="Arial"/>
          <w:lang w:eastAsia="en-US"/>
        </w:rPr>
        <w:t>, it can be assumed that they have no impact on efficacy and the efficacy results of the representative product</w:t>
      </w:r>
      <w:r w:rsidR="00733CE3">
        <w:rPr>
          <w:rFonts w:cs="Arial"/>
          <w:lang w:eastAsia="en-US"/>
        </w:rPr>
        <w:t>s</w:t>
      </w:r>
      <w:r w:rsidR="00733CE3" w:rsidRPr="00BC532C">
        <w:rPr>
          <w:rFonts w:cs="Arial"/>
          <w:lang w:eastAsia="en-US"/>
        </w:rPr>
        <w:t xml:space="preserve"> </w:t>
      </w:r>
      <w:r w:rsidR="00733CE3" w:rsidRPr="00C914AE">
        <w:rPr>
          <w:rFonts w:eastAsia="Calibri"/>
          <w:iCs/>
          <w:szCs w:val="24"/>
          <w:lang w:eastAsia="en-US"/>
        </w:rPr>
        <w:t>AL-S</w:t>
      </w:r>
      <w:r w:rsidR="00733CE3">
        <w:rPr>
          <w:rFonts w:eastAsia="Calibri"/>
          <w:iCs/>
          <w:szCs w:val="24"/>
          <w:lang w:eastAsia="en-US"/>
        </w:rPr>
        <w:t>9</w:t>
      </w:r>
      <w:r w:rsidR="00733CE3" w:rsidRPr="00C914AE">
        <w:rPr>
          <w:rFonts w:eastAsia="Calibri"/>
          <w:iCs/>
          <w:szCs w:val="24"/>
          <w:lang w:eastAsia="en-US"/>
        </w:rPr>
        <w:t>-1-0 and AL-S1</w:t>
      </w:r>
      <w:r w:rsidR="00733CE3">
        <w:rPr>
          <w:rFonts w:eastAsia="Calibri"/>
          <w:iCs/>
          <w:szCs w:val="24"/>
          <w:lang w:eastAsia="en-US"/>
        </w:rPr>
        <w:t>0</w:t>
      </w:r>
      <w:r w:rsidR="00733CE3" w:rsidRPr="00C914AE">
        <w:rPr>
          <w:rFonts w:eastAsia="Calibri"/>
          <w:iCs/>
          <w:szCs w:val="24"/>
          <w:lang w:eastAsia="en-US"/>
        </w:rPr>
        <w:t xml:space="preserve">-1-0 </w:t>
      </w:r>
      <w:r w:rsidR="00733CE3">
        <w:rPr>
          <w:rFonts w:cs="Arial"/>
          <w:lang w:eastAsia="en-US"/>
        </w:rPr>
        <w:t>cover the whole META-SPC9</w:t>
      </w:r>
      <w:r w:rsidR="00733CE3" w:rsidRPr="00BC532C">
        <w:rPr>
          <w:rFonts w:cs="Arial"/>
          <w:lang w:eastAsia="en-US"/>
        </w:rPr>
        <w:t xml:space="preserve"> claims</w:t>
      </w:r>
      <w:r w:rsidR="00733CE3">
        <w:rPr>
          <w:rFonts w:cs="Arial"/>
          <w:lang w:eastAsia="en-US"/>
        </w:rPr>
        <w:t>.</w:t>
      </w:r>
    </w:p>
    <w:p w14:paraId="3C59646F" w14:textId="77777777" w:rsidR="0015321A" w:rsidRPr="00094FC1" w:rsidRDefault="0015321A" w:rsidP="0015321A">
      <w:pPr>
        <w:spacing w:line="260" w:lineRule="atLeast"/>
        <w:jc w:val="both"/>
        <w:rPr>
          <w:rFonts w:eastAsia="Calibri"/>
          <w:lang w:eastAsia="en-US"/>
        </w:rPr>
      </w:pPr>
    </w:p>
    <w:p w14:paraId="05F89222" w14:textId="77777777" w:rsidR="00773D2D" w:rsidRDefault="0015321A" w:rsidP="0015321A">
      <w:pPr>
        <w:spacing w:line="260" w:lineRule="atLeast"/>
        <w:jc w:val="both"/>
        <w:rPr>
          <w:rFonts w:eastAsia="Calibri"/>
          <w:lang w:eastAsia="en-US"/>
        </w:rPr>
      </w:pPr>
      <w:r>
        <w:rPr>
          <w:rFonts w:eastAsia="Calibri"/>
          <w:lang w:eastAsia="en-US"/>
        </w:rPr>
        <w:t>For</w:t>
      </w:r>
      <w:r w:rsidRPr="0076468B">
        <w:rPr>
          <w:rFonts w:eastAsia="Calibri"/>
          <w:lang w:eastAsia="en-US"/>
        </w:rPr>
        <w:t xml:space="preserve"> domestic area</w:t>
      </w:r>
      <w:r w:rsidR="00773D2D">
        <w:rPr>
          <w:rFonts w:eastAsia="Calibri"/>
          <w:lang w:eastAsia="en-US"/>
        </w:rPr>
        <w:t>:</w:t>
      </w:r>
    </w:p>
    <w:p w14:paraId="4C6EB87C" w14:textId="3D71A92F" w:rsidR="0015321A" w:rsidRDefault="00773D2D" w:rsidP="0015321A">
      <w:pPr>
        <w:spacing w:line="260" w:lineRule="atLeast"/>
        <w:jc w:val="both"/>
        <w:rPr>
          <w:rFonts w:eastAsia="Calibri"/>
          <w:lang w:eastAsia="en-US"/>
        </w:rPr>
      </w:pPr>
      <w:r>
        <w:rPr>
          <w:rFonts w:eastAsia="Calibri"/>
          <w:lang w:eastAsia="en-US"/>
        </w:rPr>
        <w:t>B</w:t>
      </w:r>
      <w:r w:rsidR="0015321A" w:rsidRPr="0076468B">
        <w:rPr>
          <w:rFonts w:eastAsia="Calibri"/>
          <w:lang w:eastAsia="en-US"/>
        </w:rPr>
        <w:t xml:space="preserve">actericidal activity </w:t>
      </w:r>
      <w:r w:rsidR="0015321A" w:rsidRPr="003D493E">
        <w:rPr>
          <w:lang w:eastAsia="en-US"/>
        </w:rPr>
        <w:t xml:space="preserve">is demonstrated </w:t>
      </w:r>
      <w:r w:rsidR="0015321A">
        <w:rPr>
          <w:lang w:eastAsia="en-US"/>
        </w:rPr>
        <w:t>in phase 2, steps 1 and 2 tests (EN 1276 and EN 13697)</w:t>
      </w:r>
      <w:r w:rsidR="0015321A" w:rsidRPr="0076468B">
        <w:rPr>
          <w:rFonts w:eastAsia="Calibri"/>
          <w:lang w:eastAsia="en-US"/>
        </w:rPr>
        <w:t>,</w:t>
      </w:r>
      <w:r w:rsidR="0015321A">
        <w:rPr>
          <w:rFonts w:eastAsia="Calibri"/>
          <w:lang w:eastAsia="en-US"/>
        </w:rPr>
        <w:t xml:space="preserve"> </w:t>
      </w:r>
      <w:r w:rsidR="0015321A" w:rsidRPr="0076468B">
        <w:rPr>
          <w:rFonts w:eastAsia="Calibri"/>
          <w:lang w:eastAsia="en-US"/>
        </w:rPr>
        <w:t xml:space="preserve">at 20°C </w:t>
      </w:r>
      <w:r w:rsidR="0015321A">
        <w:rPr>
          <w:rFonts w:eastAsia="Calibri"/>
          <w:lang w:eastAsia="en-US"/>
        </w:rPr>
        <w:t>with</w:t>
      </w:r>
      <w:r w:rsidR="0015321A" w:rsidRPr="0076468B">
        <w:rPr>
          <w:rFonts w:eastAsia="Calibri"/>
          <w:lang w:eastAsia="en-US"/>
        </w:rPr>
        <w:t xml:space="preserve"> </w:t>
      </w:r>
      <w:r w:rsidR="0015321A">
        <w:rPr>
          <w:rFonts w:eastAsia="Calibri"/>
          <w:lang w:eastAsia="en-US"/>
        </w:rPr>
        <w:t xml:space="preserve">a </w:t>
      </w:r>
      <w:r w:rsidR="0015321A" w:rsidRPr="0076468B">
        <w:rPr>
          <w:rFonts w:eastAsia="Calibri"/>
          <w:lang w:eastAsia="en-US"/>
        </w:rPr>
        <w:t>contact time of 5 minu</w:t>
      </w:r>
      <w:r w:rsidR="0015321A">
        <w:rPr>
          <w:rFonts w:eastAsia="Calibri"/>
          <w:lang w:eastAsia="en-US"/>
        </w:rPr>
        <w:t>tes, in dirty conditions (3.0 g/L BSA).</w:t>
      </w:r>
      <w:r w:rsidR="0015321A" w:rsidRPr="00E40200">
        <w:rPr>
          <w:lang w:eastAsia="en-US"/>
        </w:rPr>
        <w:t xml:space="preserve"> </w:t>
      </w:r>
      <w:r w:rsidR="0015321A" w:rsidRPr="003D493E">
        <w:rPr>
          <w:lang w:eastAsia="en-US"/>
        </w:rPr>
        <w:t xml:space="preserve">In these conditions, bactericidal activity is shown at the in-use concentration of </w:t>
      </w:r>
      <w:r w:rsidR="0015321A">
        <w:rPr>
          <w:rFonts w:eastAsia="Calibri"/>
          <w:lang w:eastAsia="en-US"/>
        </w:rPr>
        <w:t>50</w:t>
      </w:r>
      <w:r w:rsidR="0015321A" w:rsidRPr="00F81A6F">
        <w:rPr>
          <w:rFonts w:eastAsia="Calibri"/>
          <w:lang w:eastAsia="en-US"/>
        </w:rPr>
        <w:t>% (v/v</w:t>
      </w:r>
      <w:r w:rsidR="0015321A">
        <w:rPr>
          <w:rFonts w:eastAsia="Calibri"/>
          <w:lang w:eastAsia="en-US"/>
        </w:rPr>
        <w:t>).</w:t>
      </w:r>
    </w:p>
    <w:p w14:paraId="4EA855CC" w14:textId="5CCF69D0" w:rsidR="0015321A" w:rsidRDefault="00773D2D" w:rsidP="0015321A">
      <w:pPr>
        <w:spacing w:line="260" w:lineRule="atLeast"/>
        <w:jc w:val="both"/>
        <w:rPr>
          <w:color w:val="000000"/>
          <w:sz w:val="18"/>
          <w:szCs w:val="18"/>
        </w:rPr>
      </w:pPr>
      <w:r>
        <w:rPr>
          <w:lang w:eastAsia="en-US"/>
        </w:rPr>
        <w:t xml:space="preserve">An activity against the additional strain </w:t>
      </w:r>
      <w:r w:rsidRPr="00560A44">
        <w:rPr>
          <w:i/>
          <w:lang w:eastAsia="en-US"/>
        </w:rPr>
        <w:t>Bartonella henselae</w:t>
      </w:r>
      <w:r>
        <w:rPr>
          <w:lang w:eastAsia="en-US"/>
        </w:rPr>
        <w:t xml:space="preserve"> is also </w:t>
      </w:r>
      <w:r w:rsidRPr="003D493E">
        <w:rPr>
          <w:lang w:eastAsia="en-US"/>
        </w:rPr>
        <w:t>demonstrated</w:t>
      </w:r>
      <w:r>
        <w:rPr>
          <w:lang w:eastAsia="en-US"/>
        </w:rPr>
        <w:t xml:space="preserve"> in phase 2, step 2 test (EN 13697), </w:t>
      </w:r>
      <w:r w:rsidRPr="003D493E">
        <w:rPr>
          <w:lang w:eastAsia="en-US"/>
        </w:rPr>
        <w:t xml:space="preserve">at </w:t>
      </w:r>
      <w:r>
        <w:rPr>
          <w:lang w:eastAsia="en-US"/>
        </w:rPr>
        <w:t xml:space="preserve">20 </w:t>
      </w:r>
      <w:r w:rsidRPr="003D493E">
        <w:rPr>
          <w:lang w:eastAsia="en-US"/>
        </w:rPr>
        <w:t xml:space="preserve">°C, </w:t>
      </w:r>
      <w:r>
        <w:rPr>
          <w:lang w:eastAsia="en-US"/>
        </w:rPr>
        <w:t xml:space="preserve">with a </w:t>
      </w:r>
      <w:r w:rsidRPr="003D493E">
        <w:rPr>
          <w:lang w:eastAsia="en-US"/>
        </w:rPr>
        <w:t>contact time</w:t>
      </w:r>
      <w:r>
        <w:rPr>
          <w:lang w:eastAsia="en-US"/>
        </w:rPr>
        <w:t xml:space="preserve"> of 5</w:t>
      </w:r>
      <w:r w:rsidRPr="003D493E">
        <w:rPr>
          <w:lang w:eastAsia="en-US"/>
        </w:rPr>
        <w:t xml:space="preserve"> minutes</w:t>
      </w:r>
      <w:r>
        <w:rPr>
          <w:lang w:eastAsia="en-US"/>
        </w:rPr>
        <w:t xml:space="preserve">, </w:t>
      </w:r>
      <w:r w:rsidRPr="00B63AC7">
        <w:rPr>
          <w:lang w:eastAsia="en-US"/>
        </w:rPr>
        <w:t xml:space="preserve">in conditions </w:t>
      </w:r>
      <w:r>
        <w:rPr>
          <w:lang w:eastAsia="en-US"/>
        </w:rPr>
        <w:t xml:space="preserve">simulating dirty conditions </w:t>
      </w:r>
      <w:r w:rsidRPr="00B63AC7">
        <w:rPr>
          <w:lang w:eastAsia="en-US"/>
        </w:rPr>
        <w:t>(</w:t>
      </w:r>
      <w:r w:rsidRPr="008907CB">
        <w:rPr>
          <w:lang w:eastAsia="en-US"/>
        </w:rPr>
        <w:t xml:space="preserve">2.7 g/L BSA </w:t>
      </w:r>
      <w:r>
        <w:rPr>
          <w:lang w:eastAsia="en-US"/>
        </w:rPr>
        <w:t xml:space="preserve">+ </w:t>
      </w:r>
      <w:r w:rsidRPr="008907CB">
        <w:rPr>
          <w:lang w:eastAsia="en-US"/>
        </w:rPr>
        <w:t>8,5 g/L skimmed milk) at</w:t>
      </w:r>
      <w:r>
        <w:rPr>
          <w:color w:val="000000"/>
          <w:sz w:val="18"/>
          <w:szCs w:val="18"/>
        </w:rPr>
        <w:t xml:space="preserve"> 50% v/v.</w:t>
      </w:r>
    </w:p>
    <w:p w14:paraId="1C1B4959" w14:textId="77777777" w:rsidR="00773D2D" w:rsidRDefault="00773D2D" w:rsidP="0015321A">
      <w:pPr>
        <w:spacing w:line="260" w:lineRule="atLeast"/>
        <w:jc w:val="both"/>
        <w:rPr>
          <w:rFonts w:eastAsia="Calibri"/>
          <w:lang w:eastAsia="en-US"/>
        </w:rPr>
      </w:pPr>
    </w:p>
    <w:p w14:paraId="2AF04A67" w14:textId="31AD0809" w:rsidR="0015321A" w:rsidRDefault="0015321A" w:rsidP="0015321A">
      <w:pPr>
        <w:spacing w:line="260" w:lineRule="atLeast"/>
        <w:jc w:val="both"/>
        <w:rPr>
          <w:rFonts w:eastAsia="Calibri"/>
          <w:lang w:eastAsia="en-US"/>
        </w:rPr>
      </w:pPr>
      <w:r>
        <w:rPr>
          <w:rFonts w:eastAsia="Calibri"/>
          <w:lang w:eastAsia="en-US"/>
        </w:rPr>
        <w:t xml:space="preserve">For </w:t>
      </w:r>
      <w:r w:rsidRPr="0096123D">
        <w:rPr>
          <w:rFonts w:eastAsia="Calibri"/>
          <w:lang w:eastAsia="en-US"/>
        </w:rPr>
        <w:t xml:space="preserve">companion </w:t>
      </w:r>
      <w:r w:rsidR="009027DD" w:rsidRPr="0096123D">
        <w:rPr>
          <w:rFonts w:eastAsia="Calibri"/>
          <w:lang w:eastAsia="en-US"/>
        </w:rPr>
        <w:t>animal’s</w:t>
      </w:r>
      <w:r w:rsidRPr="0096123D">
        <w:rPr>
          <w:rFonts w:eastAsia="Calibri"/>
          <w:lang w:eastAsia="en-US"/>
        </w:rPr>
        <w:t xml:space="preserve"> environment</w:t>
      </w:r>
      <w:r>
        <w:rPr>
          <w:rFonts w:eastAsia="Calibri"/>
          <w:lang w:eastAsia="en-US"/>
        </w:rPr>
        <w:t>:</w:t>
      </w:r>
    </w:p>
    <w:p w14:paraId="5F631C58" w14:textId="565F5E9E" w:rsidR="0015321A" w:rsidRPr="00263CDA" w:rsidRDefault="00B146C9" w:rsidP="0015321A">
      <w:pPr>
        <w:spacing w:line="260" w:lineRule="atLeast"/>
        <w:jc w:val="both"/>
        <w:rPr>
          <w:rFonts w:eastAsia="Calibri"/>
          <w:lang w:eastAsia="en-US"/>
        </w:rPr>
      </w:pPr>
      <w:r>
        <w:rPr>
          <w:rFonts w:eastAsia="Calibri"/>
          <w:lang w:eastAsia="en-US"/>
        </w:rPr>
        <w:t>B</w:t>
      </w:r>
      <w:r w:rsidR="0015321A" w:rsidRPr="0096123D">
        <w:rPr>
          <w:rFonts w:eastAsia="Calibri"/>
          <w:lang w:eastAsia="en-US"/>
        </w:rPr>
        <w:t>actericidal activit</w:t>
      </w:r>
      <w:r w:rsidR="0015321A">
        <w:rPr>
          <w:rFonts w:eastAsia="Calibri"/>
          <w:lang w:eastAsia="en-US"/>
        </w:rPr>
        <w:t>y is</w:t>
      </w:r>
      <w:r w:rsidR="0015321A" w:rsidRPr="0096123D">
        <w:rPr>
          <w:rFonts w:eastAsia="Calibri"/>
          <w:lang w:eastAsia="en-US"/>
        </w:rPr>
        <w:t xml:space="preserve"> demonstrated in phase 2, step</w:t>
      </w:r>
      <w:r w:rsidR="0015321A">
        <w:rPr>
          <w:rFonts w:eastAsia="Calibri"/>
          <w:lang w:eastAsia="en-US"/>
        </w:rPr>
        <w:t>s</w:t>
      </w:r>
      <w:r w:rsidR="0015321A" w:rsidRPr="0096123D">
        <w:rPr>
          <w:rFonts w:eastAsia="Calibri"/>
          <w:lang w:eastAsia="en-US"/>
        </w:rPr>
        <w:t xml:space="preserve"> </w:t>
      </w:r>
      <w:r w:rsidR="0015321A">
        <w:rPr>
          <w:rFonts w:eastAsia="Calibri"/>
          <w:lang w:eastAsia="en-US"/>
        </w:rPr>
        <w:t>1 and 2</w:t>
      </w:r>
      <w:r w:rsidR="0015321A" w:rsidRPr="0096123D">
        <w:rPr>
          <w:rFonts w:eastAsia="Calibri"/>
          <w:lang w:eastAsia="en-US"/>
        </w:rPr>
        <w:t xml:space="preserve"> test</w:t>
      </w:r>
      <w:r w:rsidR="0015321A">
        <w:rPr>
          <w:rFonts w:eastAsia="Calibri"/>
          <w:lang w:eastAsia="en-US"/>
        </w:rPr>
        <w:t>s</w:t>
      </w:r>
      <w:r w:rsidR="0015321A" w:rsidRPr="0096123D">
        <w:rPr>
          <w:rFonts w:eastAsia="Calibri"/>
          <w:lang w:eastAsia="en-US"/>
        </w:rPr>
        <w:t xml:space="preserve"> (EN 1</w:t>
      </w:r>
      <w:r w:rsidR="0015321A">
        <w:rPr>
          <w:rFonts w:eastAsia="Calibri"/>
          <w:lang w:eastAsia="en-US"/>
        </w:rPr>
        <w:t>656 and EN14349</w:t>
      </w:r>
      <w:r w:rsidR="0015321A" w:rsidRPr="0096123D">
        <w:rPr>
          <w:rFonts w:eastAsia="Calibri"/>
          <w:lang w:eastAsia="en-US"/>
        </w:rPr>
        <w:t>),</w:t>
      </w:r>
      <w:r w:rsidR="0015321A" w:rsidRPr="00E40200">
        <w:rPr>
          <w:rFonts w:eastAsia="Calibri"/>
          <w:lang w:eastAsia="en-US"/>
        </w:rPr>
        <w:t xml:space="preserve"> </w:t>
      </w:r>
      <w:r w:rsidR="0015321A" w:rsidRPr="0096123D">
        <w:rPr>
          <w:rFonts w:eastAsia="Calibri"/>
          <w:lang w:eastAsia="en-US"/>
        </w:rPr>
        <w:t>at 10°C</w:t>
      </w:r>
      <w:r w:rsidR="00C174D4">
        <w:rPr>
          <w:rFonts w:eastAsia="Calibri"/>
          <w:lang w:eastAsia="en-US"/>
        </w:rPr>
        <w:t xml:space="preserve">, </w:t>
      </w:r>
      <w:r w:rsidR="0015321A">
        <w:rPr>
          <w:rFonts w:eastAsia="Calibri"/>
          <w:lang w:eastAsia="en-US"/>
        </w:rPr>
        <w:t xml:space="preserve">with a </w:t>
      </w:r>
      <w:r w:rsidR="0015321A" w:rsidRPr="0096123D">
        <w:rPr>
          <w:rFonts w:eastAsia="Calibri"/>
          <w:lang w:eastAsia="en-US"/>
        </w:rPr>
        <w:t>contact time of 30 minutes u</w:t>
      </w:r>
      <w:r w:rsidR="0015321A">
        <w:rPr>
          <w:rFonts w:eastAsia="Calibri"/>
          <w:lang w:eastAsia="en-US"/>
        </w:rPr>
        <w:t xml:space="preserve">nder low level soiling conditions (3.0 g/L BSA). </w:t>
      </w:r>
      <w:r w:rsidR="0015321A" w:rsidRPr="003D493E">
        <w:rPr>
          <w:lang w:eastAsia="en-US"/>
        </w:rPr>
        <w:t>In these conditions, bactericidal</w:t>
      </w:r>
      <w:r w:rsidR="0015321A">
        <w:rPr>
          <w:lang w:eastAsia="en-US"/>
        </w:rPr>
        <w:t xml:space="preserve"> </w:t>
      </w:r>
      <w:r w:rsidR="0015321A" w:rsidRPr="003D493E">
        <w:rPr>
          <w:lang w:eastAsia="en-US"/>
        </w:rPr>
        <w:t>activit</w:t>
      </w:r>
      <w:r w:rsidR="0015321A">
        <w:rPr>
          <w:lang w:eastAsia="en-US"/>
        </w:rPr>
        <w:t xml:space="preserve">y is </w:t>
      </w:r>
      <w:r w:rsidR="0015321A" w:rsidRPr="003D493E">
        <w:rPr>
          <w:lang w:eastAsia="en-US"/>
        </w:rPr>
        <w:t xml:space="preserve">shown at the in-use concentration of </w:t>
      </w:r>
      <w:r w:rsidR="0095110C">
        <w:rPr>
          <w:lang w:eastAsia="en-US"/>
        </w:rPr>
        <w:t>8</w:t>
      </w:r>
      <w:r w:rsidR="0015321A">
        <w:rPr>
          <w:lang w:eastAsia="en-US"/>
        </w:rPr>
        <w:t>0 % v/v for non porous surfaces.</w:t>
      </w:r>
      <w:r w:rsidR="0015321A" w:rsidRPr="0096123D">
        <w:rPr>
          <w:rFonts w:eastAsia="Calibri"/>
          <w:lang w:eastAsia="en-US"/>
        </w:rPr>
        <w:t xml:space="preserve"> </w:t>
      </w:r>
    </w:p>
    <w:p w14:paraId="78434E62" w14:textId="398E1B8E" w:rsidR="0015321A" w:rsidRDefault="0015321A" w:rsidP="0015321A">
      <w:pPr>
        <w:spacing w:line="260" w:lineRule="atLeast"/>
        <w:jc w:val="both"/>
        <w:rPr>
          <w:lang w:eastAsia="en-US"/>
        </w:rPr>
      </w:pPr>
      <w:r>
        <w:rPr>
          <w:rFonts w:eastAsia="Calibri"/>
          <w:lang w:eastAsia="en-US"/>
        </w:rPr>
        <w:t>Yeasticidal</w:t>
      </w:r>
      <w:r w:rsidRPr="0096123D">
        <w:rPr>
          <w:rFonts w:eastAsia="Calibri"/>
          <w:lang w:eastAsia="en-US"/>
        </w:rPr>
        <w:t xml:space="preserve"> activit</w:t>
      </w:r>
      <w:r>
        <w:rPr>
          <w:rFonts w:eastAsia="Calibri"/>
          <w:lang w:eastAsia="en-US"/>
        </w:rPr>
        <w:t>y is</w:t>
      </w:r>
      <w:r w:rsidRPr="0096123D">
        <w:rPr>
          <w:rFonts w:eastAsia="Calibri"/>
          <w:lang w:eastAsia="en-US"/>
        </w:rPr>
        <w:t xml:space="preserve"> demonstrated in phase 2, step</w:t>
      </w:r>
      <w:r>
        <w:rPr>
          <w:rFonts w:eastAsia="Calibri"/>
          <w:lang w:eastAsia="en-US"/>
        </w:rPr>
        <w:t>s</w:t>
      </w:r>
      <w:r w:rsidRPr="0096123D">
        <w:rPr>
          <w:rFonts w:eastAsia="Calibri"/>
          <w:lang w:eastAsia="en-US"/>
        </w:rPr>
        <w:t xml:space="preserve"> </w:t>
      </w:r>
      <w:r>
        <w:rPr>
          <w:rFonts w:eastAsia="Calibri"/>
          <w:lang w:eastAsia="en-US"/>
        </w:rPr>
        <w:t xml:space="preserve">1 and 2 tests </w:t>
      </w:r>
      <w:r w:rsidRPr="0096123D">
        <w:rPr>
          <w:rFonts w:eastAsia="Calibri"/>
          <w:lang w:eastAsia="en-US"/>
        </w:rPr>
        <w:t>(EN 1</w:t>
      </w:r>
      <w:r>
        <w:rPr>
          <w:rFonts w:eastAsia="Calibri"/>
          <w:lang w:eastAsia="en-US"/>
        </w:rPr>
        <w:t>657 and EN</w:t>
      </w:r>
      <w:r w:rsidR="0095110C">
        <w:rPr>
          <w:rFonts w:eastAsia="Calibri"/>
          <w:lang w:eastAsia="en-US"/>
        </w:rPr>
        <w:t xml:space="preserve"> </w:t>
      </w:r>
      <w:r>
        <w:rPr>
          <w:rFonts w:eastAsia="Calibri"/>
          <w:lang w:eastAsia="en-US"/>
        </w:rPr>
        <w:t>16438</w:t>
      </w:r>
      <w:r w:rsidRPr="0096123D">
        <w:rPr>
          <w:rFonts w:eastAsia="Calibri"/>
          <w:lang w:eastAsia="en-US"/>
        </w:rPr>
        <w:t>),</w:t>
      </w:r>
      <w:r w:rsidRPr="00E40200">
        <w:rPr>
          <w:rFonts w:eastAsia="Calibri"/>
          <w:lang w:eastAsia="en-US"/>
        </w:rPr>
        <w:t xml:space="preserve"> </w:t>
      </w:r>
      <w:r w:rsidR="00A94903">
        <w:rPr>
          <w:rFonts w:eastAsia="Calibri"/>
          <w:lang w:eastAsia="en-US"/>
        </w:rPr>
        <w:t xml:space="preserve">respectively </w:t>
      </w:r>
      <w:r w:rsidRPr="0096123D">
        <w:rPr>
          <w:rFonts w:eastAsia="Calibri"/>
          <w:lang w:eastAsia="en-US"/>
        </w:rPr>
        <w:t>at</w:t>
      </w:r>
      <w:r w:rsidR="00A94903">
        <w:rPr>
          <w:rFonts w:eastAsia="Calibri"/>
          <w:lang w:eastAsia="en-US"/>
        </w:rPr>
        <w:t xml:space="preserve"> 10°C and</w:t>
      </w:r>
      <w:r w:rsidRPr="0096123D">
        <w:rPr>
          <w:rFonts w:eastAsia="Calibri"/>
          <w:lang w:eastAsia="en-US"/>
        </w:rPr>
        <w:t xml:space="preserve"> </w:t>
      </w:r>
      <w:r>
        <w:rPr>
          <w:rFonts w:eastAsia="Calibri"/>
          <w:lang w:eastAsia="en-US"/>
        </w:rPr>
        <w:t>2</w:t>
      </w:r>
      <w:r w:rsidRPr="0096123D">
        <w:rPr>
          <w:rFonts w:eastAsia="Calibri"/>
          <w:lang w:eastAsia="en-US"/>
        </w:rPr>
        <w:t>0°C</w:t>
      </w:r>
      <w:r w:rsidR="00C174D4">
        <w:rPr>
          <w:rFonts w:eastAsia="Calibri"/>
          <w:lang w:eastAsia="en-US"/>
        </w:rPr>
        <w:t>,</w:t>
      </w:r>
      <w:r w:rsidRPr="0096123D">
        <w:rPr>
          <w:rFonts w:eastAsia="Calibri"/>
          <w:lang w:eastAsia="en-US"/>
        </w:rPr>
        <w:t xml:space="preserve"> </w:t>
      </w:r>
      <w:r>
        <w:rPr>
          <w:rFonts w:eastAsia="Calibri"/>
          <w:lang w:eastAsia="en-US"/>
        </w:rPr>
        <w:t xml:space="preserve">with a </w:t>
      </w:r>
      <w:r w:rsidRPr="0096123D">
        <w:rPr>
          <w:rFonts w:eastAsia="Calibri"/>
          <w:lang w:eastAsia="en-US"/>
        </w:rPr>
        <w:t xml:space="preserve">contact time of </w:t>
      </w:r>
      <w:r>
        <w:rPr>
          <w:rFonts w:eastAsia="Calibri"/>
          <w:lang w:eastAsia="en-US"/>
        </w:rPr>
        <w:t>120</w:t>
      </w:r>
      <w:r w:rsidRPr="0096123D">
        <w:rPr>
          <w:rFonts w:eastAsia="Calibri"/>
          <w:lang w:eastAsia="en-US"/>
        </w:rPr>
        <w:t xml:space="preserve"> minutes</w:t>
      </w:r>
      <w:r w:rsidR="0095110C">
        <w:rPr>
          <w:rFonts w:eastAsia="Calibri"/>
          <w:lang w:eastAsia="en-US"/>
        </w:rPr>
        <w:t>,</w:t>
      </w:r>
      <w:r w:rsidRPr="0096123D">
        <w:rPr>
          <w:rFonts w:eastAsia="Calibri"/>
          <w:lang w:eastAsia="en-US"/>
        </w:rPr>
        <w:t xml:space="preserve"> u</w:t>
      </w:r>
      <w:r>
        <w:rPr>
          <w:rFonts w:eastAsia="Calibri"/>
          <w:lang w:eastAsia="en-US"/>
        </w:rPr>
        <w:t xml:space="preserve">nder low level soiling conditions (3.0 g/L BSA). </w:t>
      </w:r>
      <w:r w:rsidRPr="003D493E">
        <w:rPr>
          <w:lang w:eastAsia="en-US"/>
        </w:rPr>
        <w:t xml:space="preserve">In these conditions, </w:t>
      </w:r>
      <w:r>
        <w:rPr>
          <w:lang w:eastAsia="en-US"/>
        </w:rPr>
        <w:t xml:space="preserve">yeasticidal </w:t>
      </w:r>
      <w:r w:rsidRPr="003D493E">
        <w:rPr>
          <w:lang w:eastAsia="en-US"/>
        </w:rPr>
        <w:t>activit</w:t>
      </w:r>
      <w:r>
        <w:rPr>
          <w:lang w:eastAsia="en-US"/>
        </w:rPr>
        <w:t xml:space="preserve">y is </w:t>
      </w:r>
      <w:r w:rsidRPr="003D493E">
        <w:rPr>
          <w:lang w:eastAsia="en-US"/>
        </w:rPr>
        <w:t xml:space="preserve">shown at the in-use concentration of </w:t>
      </w:r>
      <w:r>
        <w:rPr>
          <w:lang w:eastAsia="en-US"/>
        </w:rPr>
        <w:t>80 % v/v for non porous surfaces.</w:t>
      </w:r>
    </w:p>
    <w:p w14:paraId="4922ED74" w14:textId="2868BA71" w:rsidR="0015321A" w:rsidRDefault="0015321A" w:rsidP="0015321A">
      <w:pPr>
        <w:spacing w:line="260" w:lineRule="atLeast"/>
        <w:jc w:val="both"/>
        <w:rPr>
          <w:lang w:eastAsia="en-US"/>
        </w:rPr>
      </w:pPr>
    </w:p>
    <w:p w14:paraId="5BFC4BB0" w14:textId="1660B911" w:rsidR="0015321A" w:rsidRDefault="0015321A" w:rsidP="0015321A">
      <w:pPr>
        <w:spacing w:line="260" w:lineRule="atLeast"/>
        <w:jc w:val="both"/>
        <w:rPr>
          <w:rFonts w:ascii="Times New Roman" w:eastAsia="Calibri" w:hAnsi="Times New Roman" w:cs="Arial"/>
          <w:bCs/>
          <w:i/>
          <w:caps/>
          <w:szCs w:val="28"/>
          <w:lang w:eastAsia="en-US"/>
        </w:rPr>
      </w:pPr>
    </w:p>
    <w:p w14:paraId="17A88F8E" w14:textId="738D4803" w:rsidR="0015321A" w:rsidRDefault="0015321A" w:rsidP="0015321A">
      <w:pPr>
        <w:spacing w:line="260" w:lineRule="atLeast"/>
        <w:jc w:val="both"/>
        <w:rPr>
          <w:rFonts w:ascii="Times New Roman" w:eastAsia="Calibri" w:hAnsi="Times New Roman" w:cs="Arial"/>
          <w:bCs/>
          <w:i/>
          <w:caps/>
          <w:szCs w:val="28"/>
          <w:lang w:eastAsia="en-US"/>
        </w:rPr>
      </w:pPr>
    </w:p>
    <w:p w14:paraId="0E109CAF" w14:textId="4243FDFF" w:rsidR="0015321A" w:rsidRDefault="0015321A" w:rsidP="0015321A">
      <w:pPr>
        <w:spacing w:line="260" w:lineRule="atLeast"/>
        <w:jc w:val="both"/>
        <w:rPr>
          <w:rFonts w:ascii="Times New Roman" w:eastAsia="Calibri" w:hAnsi="Times New Roman" w:cs="Arial"/>
          <w:bCs/>
          <w:i/>
          <w:caps/>
          <w:szCs w:val="28"/>
          <w:lang w:eastAsia="en-US"/>
        </w:rPr>
      </w:pPr>
    </w:p>
    <w:p w14:paraId="457407F0" w14:textId="56DF90C8" w:rsidR="0015321A" w:rsidRDefault="0015321A" w:rsidP="0015321A">
      <w:pPr>
        <w:spacing w:line="260" w:lineRule="atLeast"/>
        <w:jc w:val="both"/>
        <w:rPr>
          <w:rFonts w:ascii="Times New Roman" w:eastAsia="Calibri" w:hAnsi="Times New Roman" w:cs="Arial"/>
          <w:bCs/>
          <w:i/>
          <w:caps/>
          <w:szCs w:val="28"/>
          <w:lang w:eastAsia="en-US"/>
        </w:rPr>
      </w:pPr>
    </w:p>
    <w:p w14:paraId="7465499E" w14:textId="618D6628" w:rsidR="0015321A" w:rsidRDefault="0015321A" w:rsidP="0015321A">
      <w:pPr>
        <w:spacing w:line="260" w:lineRule="atLeast"/>
        <w:jc w:val="both"/>
        <w:rPr>
          <w:rFonts w:ascii="Times New Roman" w:eastAsia="Calibri" w:hAnsi="Times New Roman" w:cs="Arial"/>
          <w:bCs/>
          <w:i/>
          <w:caps/>
          <w:szCs w:val="28"/>
          <w:lang w:eastAsia="en-US"/>
        </w:rPr>
      </w:pPr>
    </w:p>
    <w:p w14:paraId="08950A31" w14:textId="77777777" w:rsidR="0015321A" w:rsidRDefault="0015321A" w:rsidP="0015321A">
      <w:pPr>
        <w:spacing w:line="260" w:lineRule="atLeast"/>
        <w:jc w:val="both"/>
        <w:rPr>
          <w:rFonts w:ascii="Times New Roman" w:eastAsia="Calibri" w:hAnsi="Times New Roman" w:cs="Arial"/>
          <w:bCs/>
          <w:i/>
          <w:caps/>
          <w:szCs w:val="28"/>
          <w:lang w:eastAsia="en-US"/>
        </w:rPr>
      </w:pPr>
    </w:p>
    <w:p w14:paraId="4B7F6044" w14:textId="77777777" w:rsidR="0015321A" w:rsidRDefault="0015321A" w:rsidP="0015321A">
      <w:pPr>
        <w:jc w:val="center"/>
        <w:rPr>
          <w:b/>
          <w:color w:val="000000"/>
          <w:sz w:val="18"/>
          <w:szCs w:val="18"/>
        </w:rPr>
        <w:sectPr w:rsidR="0015321A" w:rsidSect="0073642B">
          <w:pgSz w:w="11906" w:h="16838"/>
          <w:pgMar w:top="1474" w:right="1247" w:bottom="2013" w:left="1446"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0"/>
        <w:gridCol w:w="1532"/>
        <w:gridCol w:w="1261"/>
        <w:gridCol w:w="2146"/>
        <w:gridCol w:w="1140"/>
        <w:gridCol w:w="2898"/>
        <w:gridCol w:w="1671"/>
        <w:gridCol w:w="1353"/>
      </w:tblGrid>
      <w:tr w:rsidR="0095110C" w:rsidRPr="00FD2055" w14:paraId="2990F509" w14:textId="77777777" w:rsidTr="00526D5D">
        <w:trPr>
          <w:cantSplit/>
          <w:tblHeader/>
          <w:jc w:val="center"/>
        </w:trPr>
        <w:tc>
          <w:tcPr>
            <w:tcW w:w="13491" w:type="dxa"/>
            <w:gridSpan w:val="8"/>
            <w:shd w:val="clear" w:color="auto" w:fill="FFFFFF"/>
          </w:tcPr>
          <w:p w14:paraId="2A521233" w14:textId="64067881" w:rsidR="0095110C" w:rsidRPr="00FD2055" w:rsidRDefault="0095110C" w:rsidP="0095110C">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9</w:t>
            </w:r>
          </w:p>
        </w:tc>
      </w:tr>
      <w:tr w:rsidR="0095110C" w:rsidRPr="00FD2055" w14:paraId="4D710BF8" w14:textId="77777777" w:rsidTr="00526D5D">
        <w:trPr>
          <w:cantSplit/>
          <w:jc w:val="center"/>
        </w:trPr>
        <w:tc>
          <w:tcPr>
            <w:tcW w:w="1346" w:type="dxa"/>
            <w:shd w:val="clear" w:color="auto" w:fill="FFFFFF"/>
          </w:tcPr>
          <w:p w14:paraId="34F69386" w14:textId="13E884F7" w:rsidR="0095110C" w:rsidRPr="00FD2055" w:rsidRDefault="0095110C" w:rsidP="0095110C">
            <w:pPr>
              <w:jc w:val="center"/>
              <w:rPr>
                <w:b/>
                <w:color w:val="000000"/>
                <w:sz w:val="18"/>
                <w:szCs w:val="18"/>
              </w:rPr>
            </w:pPr>
            <w:r w:rsidRPr="00FD2055">
              <w:rPr>
                <w:b/>
                <w:color w:val="000000"/>
                <w:sz w:val="18"/>
                <w:szCs w:val="18"/>
              </w:rPr>
              <w:t>Function</w:t>
            </w:r>
          </w:p>
        </w:tc>
        <w:tc>
          <w:tcPr>
            <w:tcW w:w="1559" w:type="dxa"/>
            <w:shd w:val="clear" w:color="auto" w:fill="FFFFFF"/>
          </w:tcPr>
          <w:p w14:paraId="72864422" w14:textId="77777777" w:rsidR="0095110C" w:rsidRPr="00FD2055" w:rsidRDefault="0095110C" w:rsidP="0095110C">
            <w:pPr>
              <w:rPr>
                <w:b/>
                <w:color w:val="000000"/>
                <w:sz w:val="18"/>
                <w:szCs w:val="18"/>
              </w:rPr>
            </w:pPr>
            <w:r w:rsidRPr="00FD2055">
              <w:rPr>
                <w:b/>
                <w:color w:val="000000"/>
                <w:sz w:val="18"/>
                <w:szCs w:val="18"/>
              </w:rPr>
              <w:t>Field of use envisaged</w:t>
            </w:r>
          </w:p>
        </w:tc>
        <w:tc>
          <w:tcPr>
            <w:tcW w:w="1329" w:type="dxa"/>
            <w:shd w:val="clear" w:color="auto" w:fill="FFFFFF"/>
          </w:tcPr>
          <w:p w14:paraId="23F0BEFE" w14:textId="77777777" w:rsidR="0095110C" w:rsidRPr="00FD2055" w:rsidRDefault="0095110C" w:rsidP="0095110C">
            <w:pPr>
              <w:rPr>
                <w:b/>
                <w:i/>
                <w:color w:val="000000"/>
                <w:sz w:val="18"/>
                <w:szCs w:val="18"/>
              </w:rPr>
            </w:pPr>
            <w:r w:rsidRPr="00FD2055">
              <w:rPr>
                <w:b/>
                <w:color w:val="000000"/>
                <w:sz w:val="18"/>
                <w:szCs w:val="18"/>
              </w:rPr>
              <w:t xml:space="preserve">Test </w:t>
            </w:r>
            <w:r>
              <w:rPr>
                <w:b/>
                <w:color w:val="000000"/>
                <w:sz w:val="18"/>
                <w:szCs w:val="18"/>
              </w:rPr>
              <w:t>item</w:t>
            </w:r>
          </w:p>
        </w:tc>
        <w:tc>
          <w:tcPr>
            <w:tcW w:w="0" w:type="auto"/>
            <w:shd w:val="clear" w:color="auto" w:fill="FFFFFF"/>
          </w:tcPr>
          <w:p w14:paraId="65DBECD0" w14:textId="77777777" w:rsidR="0095110C" w:rsidRPr="00FD2055" w:rsidRDefault="0095110C" w:rsidP="0095110C">
            <w:pPr>
              <w:rPr>
                <w:b/>
                <w:i/>
                <w:color w:val="000000"/>
                <w:sz w:val="18"/>
                <w:szCs w:val="18"/>
              </w:rPr>
            </w:pPr>
            <w:r w:rsidRPr="00FD2055">
              <w:rPr>
                <w:b/>
                <w:color w:val="000000"/>
                <w:sz w:val="18"/>
                <w:szCs w:val="18"/>
              </w:rPr>
              <w:t>Test organism(s)</w:t>
            </w:r>
          </w:p>
        </w:tc>
        <w:tc>
          <w:tcPr>
            <w:tcW w:w="0" w:type="auto"/>
            <w:shd w:val="clear" w:color="auto" w:fill="FFFFFF"/>
          </w:tcPr>
          <w:p w14:paraId="4118DFE6" w14:textId="77777777" w:rsidR="0095110C" w:rsidRPr="00FD2055" w:rsidRDefault="0095110C" w:rsidP="0095110C">
            <w:pPr>
              <w:rPr>
                <w:b/>
                <w:color w:val="000000"/>
                <w:sz w:val="18"/>
                <w:szCs w:val="18"/>
              </w:rPr>
            </w:pPr>
            <w:r w:rsidRPr="00FD2055">
              <w:rPr>
                <w:b/>
                <w:color w:val="000000"/>
                <w:sz w:val="18"/>
                <w:szCs w:val="18"/>
              </w:rPr>
              <w:t>Test method</w:t>
            </w:r>
          </w:p>
        </w:tc>
        <w:tc>
          <w:tcPr>
            <w:tcW w:w="3034" w:type="dxa"/>
            <w:shd w:val="clear" w:color="auto" w:fill="FFFFFF"/>
          </w:tcPr>
          <w:p w14:paraId="72524974" w14:textId="77777777" w:rsidR="0095110C" w:rsidRPr="00FD2055" w:rsidRDefault="0095110C" w:rsidP="0095110C">
            <w:pPr>
              <w:rPr>
                <w:b/>
                <w:color w:val="000000"/>
                <w:sz w:val="18"/>
                <w:szCs w:val="18"/>
              </w:rPr>
            </w:pPr>
            <w:r w:rsidRPr="00FD2055">
              <w:rPr>
                <w:b/>
                <w:color w:val="000000"/>
                <w:sz w:val="18"/>
                <w:szCs w:val="18"/>
              </w:rPr>
              <w:t>Test system / concentrations applied / exposure time</w:t>
            </w:r>
          </w:p>
        </w:tc>
        <w:tc>
          <w:tcPr>
            <w:tcW w:w="1701" w:type="dxa"/>
            <w:shd w:val="clear" w:color="auto" w:fill="FFFFFF"/>
          </w:tcPr>
          <w:p w14:paraId="59D8CB3E" w14:textId="77777777" w:rsidR="0095110C" w:rsidRPr="00FD2055" w:rsidRDefault="0095110C" w:rsidP="0095110C">
            <w:pPr>
              <w:rPr>
                <w:b/>
                <w:color w:val="000000"/>
                <w:sz w:val="18"/>
                <w:szCs w:val="18"/>
              </w:rPr>
            </w:pPr>
            <w:r w:rsidRPr="00FD2055">
              <w:rPr>
                <w:b/>
                <w:color w:val="000000"/>
                <w:sz w:val="18"/>
                <w:szCs w:val="18"/>
              </w:rPr>
              <w:t>Test results: effects</w:t>
            </w:r>
          </w:p>
        </w:tc>
        <w:tc>
          <w:tcPr>
            <w:tcW w:w="1374" w:type="dxa"/>
            <w:shd w:val="clear" w:color="auto" w:fill="FFFFFF"/>
          </w:tcPr>
          <w:p w14:paraId="6CF9FD23" w14:textId="07B3B30C" w:rsidR="0095110C" w:rsidRPr="00FD2055" w:rsidRDefault="0095110C" w:rsidP="0095110C">
            <w:pPr>
              <w:rPr>
                <w:b/>
                <w:color w:val="000000"/>
                <w:sz w:val="18"/>
                <w:szCs w:val="18"/>
              </w:rPr>
            </w:pPr>
            <w:r w:rsidRPr="00FD2055">
              <w:rPr>
                <w:b/>
                <w:color w:val="000000"/>
                <w:sz w:val="18"/>
                <w:szCs w:val="18"/>
              </w:rPr>
              <w:t>Reference</w:t>
            </w:r>
          </w:p>
        </w:tc>
      </w:tr>
      <w:tr w:rsidR="0095110C" w14:paraId="05E0CB20" w14:textId="77777777" w:rsidTr="00526D5D">
        <w:trPr>
          <w:cantSplit/>
          <w:jc w:val="center"/>
        </w:trPr>
        <w:tc>
          <w:tcPr>
            <w:tcW w:w="1346" w:type="dxa"/>
            <w:vAlign w:val="center"/>
          </w:tcPr>
          <w:p w14:paraId="04E5046F" w14:textId="51A6D12E" w:rsidR="0095110C" w:rsidRPr="00FD2055" w:rsidRDefault="0095110C" w:rsidP="0095110C">
            <w:pPr>
              <w:rPr>
                <w:i/>
                <w:color w:val="000000"/>
                <w:sz w:val="18"/>
                <w:szCs w:val="18"/>
              </w:rPr>
            </w:pPr>
            <w:r>
              <w:rPr>
                <w:color w:val="000000"/>
                <w:sz w:val="18"/>
                <w:szCs w:val="18"/>
              </w:rPr>
              <w:t>Disinfectant, bactericidal activity</w:t>
            </w:r>
          </w:p>
        </w:tc>
        <w:tc>
          <w:tcPr>
            <w:tcW w:w="1559" w:type="dxa"/>
            <w:vAlign w:val="center"/>
          </w:tcPr>
          <w:p w14:paraId="60E7D9E8" w14:textId="77777777" w:rsidR="0095110C" w:rsidRPr="00FD2055" w:rsidRDefault="0095110C" w:rsidP="0095110C">
            <w:pPr>
              <w:rPr>
                <w:i/>
                <w:color w:val="000000"/>
                <w:sz w:val="18"/>
                <w:szCs w:val="18"/>
              </w:rPr>
            </w:pPr>
            <w:r>
              <w:rPr>
                <w:color w:val="000000"/>
                <w:sz w:val="18"/>
                <w:szCs w:val="18"/>
              </w:rPr>
              <w:t>Domestic area and companion animals environment</w:t>
            </w:r>
          </w:p>
        </w:tc>
        <w:tc>
          <w:tcPr>
            <w:tcW w:w="1329" w:type="dxa"/>
            <w:vAlign w:val="center"/>
          </w:tcPr>
          <w:p w14:paraId="399F9357" w14:textId="77777777" w:rsidR="0095110C" w:rsidRDefault="0095110C" w:rsidP="0095110C">
            <w:pPr>
              <w:rPr>
                <w:color w:val="000000"/>
                <w:sz w:val="18"/>
                <w:szCs w:val="18"/>
              </w:rPr>
            </w:pPr>
            <w:r>
              <w:rPr>
                <w:color w:val="000000"/>
                <w:sz w:val="18"/>
                <w:szCs w:val="18"/>
              </w:rPr>
              <w:t>AL-S9-1-1</w:t>
            </w:r>
          </w:p>
          <w:p w14:paraId="39E44653" w14:textId="49ADD8A7" w:rsidR="0095110C" w:rsidRPr="00FD2055" w:rsidRDefault="003A3948" w:rsidP="0095110C">
            <w:pPr>
              <w:rPr>
                <w:i/>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056AB034" w14:textId="28F931BA" w:rsidR="0095110C" w:rsidRPr="007A4DA8" w:rsidRDefault="0095110C" w:rsidP="0095110C">
            <w:pPr>
              <w:rPr>
                <w:i/>
                <w:color w:val="000000"/>
                <w:sz w:val="18"/>
                <w:szCs w:val="18"/>
              </w:rPr>
            </w:pPr>
            <w:r w:rsidRPr="007A4DA8">
              <w:rPr>
                <w:i/>
                <w:color w:val="000000"/>
                <w:sz w:val="18"/>
                <w:szCs w:val="18"/>
              </w:rPr>
              <w:t>Pseudomonas aeruginosa</w:t>
            </w:r>
            <w:r w:rsidRPr="007A4DA8">
              <w:rPr>
                <w:color w:val="000000"/>
                <w:sz w:val="18"/>
                <w:szCs w:val="18"/>
              </w:rPr>
              <w:br/>
            </w:r>
            <w:r w:rsidRPr="007A4DA8">
              <w:rPr>
                <w:i/>
                <w:color w:val="000000"/>
                <w:sz w:val="18"/>
                <w:szCs w:val="18"/>
              </w:rPr>
              <w:t>Escherichia coli</w:t>
            </w:r>
            <w:r w:rsidRPr="007A4DA8">
              <w:rPr>
                <w:color w:val="000000"/>
                <w:sz w:val="18"/>
                <w:szCs w:val="18"/>
              </w:rPr>
              <w:t xml:space="preserve"> </w:t>
            </w:r>
            <w:r w:rsidRPr="007A4DA8">
              <w:rPr>
                <w:color w:val="000000"/>
                <w:sz w:val="18"/>
                <w:szCs w:val="18"/>
              </w:rPr>
              <w:br/>
            </w:r>
            <w:r w:rsidRPr="007A4DA8">
              <w:rPr>
                <w:i/>
                <w:color w:val="000000"/>
                <w:sz w:val="18"/>
                <w:szCs w:val="18"/>
              </w:rPr>
              <w:t>Staphylococcusaureus</w:t>
            </w:r>
            <w:r w:rsidRPr="007A4DA8">
              <w:rPr>
                <w:color w:val="000000"/>
                <w:sz w:val="18"/>
                <w:szCs w:val="18"/>
              </w:rPr>
              <w:br/>
            </w:r>
            <w:r w:rsidRPr="007A4DA8">
              <w:rPr>
                <w:i/>
                <w:color w:val="000000"/>
                <w:sz w:val="18"/>
                <w:szCs w:val="18"/>
              </w:rPr>
              <w:t>Enterococcus hirae</w:t>
            </w:r>
          </w:p>
        </w:tc>
        <w:tc>
          <w:tcPr>
            <w:tcW w:w="0" w:type="auto"/>
            <w:vAlign w:val="center"/>
          </w:tcPr>
          <w:p w14:paraId="68F66A65" w14:textId="77777777" w:rsidR="0095110C" w:rsidRPr="00FD2055" w:rsidRDefault="0095110C" w:rsidP="0095110C">
            <w:pPr>
              <w:rPr>
                <w:color w:val="000000"/>
                <w:sz w:val="18"/>
                <w:szCs w:val="18"/>
              </w:rPr>
            </w:pPr>
            <w:r>
              <w:rPr>
                <w:color w:val="000000"/>
                <w:sz w:val="18"/>
                <w:szCs w:val="18"/>
              </w:rPr>
              <w:t>NF EN 1276 (March 2010)</w:t>
            </w:r>
          </w:p>
        </w:tc>
        <w:tc>
          <w:tcPr>
            <w:tcW w:w="3034" w:type="dxa"/>
            <w:vAlign w:val="center"/>
          </w:tcPr>
          <w:p w14:paraId="505C84AD" w14:textId="77777777" w:rsidR="0095110C" w:rsidRDefault="0095110C" w:rsidP="0095110C">
            <w:pPr>
              <w:rPr>
                <w:color w:val="000000"/>
                <w:sz w:val="18"/>
                <w:szCs w:val="18"/>
              </w:rPr>
            </w:pPr>
            <w:r>
              <w:rPr>
                <w:color w:val="000000"/>
                <w:sz w:val="18"/>
                <w:szCs w:val="18"/>
              </w:rPr>
              <w:t>Phase 2 step 1 (suspension test)</w:t>
            </w:r>
          </w:p>
          <w:p w14:paraId="085AAE7A" w14:textId="77777777" w:rsidR="0095110C" w:rsidRDefault="0095110C" w:rsidP="0095110C">
            <w:pPr>
              <w:rPr>
                <w:color w:val="000000"/>
                <w:sz w:val="18"/>
                <w:szCs w:val="18"/>
              </w:rPr>
            </w:pPr>
            <w:r>
              <w:rPr>
                <w:color w:val="000000"/>
                <w:sz w:val="18"/>
                <w:szCs w:val="18"/>
              </w:rPr>
              <w:t xml:space="preserve">Concentrations of product tested (v/v) were: 1%, 40%, 80%. </w:t>
            </w:r>
          </w:p>
          <w:p w14:paraId="19E438B1" w14:textId="1578EC88" w:rsidR="0095110C" w:rsidRDefault="0095110C" w:rsidP="0095110C">
            <w:pPr>
              <w:rPr>
                <w:color w:val="000000"/>
                <w:sz w:val="18"/>
                <w:szCs w:val="18"/>
              </w:rPr>
            </w:pPr>
            <w:r>
              <w:rPr>
                <w:color w:val="000000"/>
                <w:sz w:val="18"/>
                <w:szCs w:val="18"/>
              </w:rPr>
              <w:t xml:space="preserve">Contact time: 5 minutes </w:t>
            </w:r>
          </w:p>
          <w:p w14:paraId="635FA4E2" w14:textId="77777777" w:rsidR="0095110C" w:rsidRDefault="0095110C" w:rsidP="0095110C">
            <w:pPr>
              <w:rPr>
                <w:color w:val="000000"/>
                <w:sz w:val="18"/>
                <w:szCs w:val="18"/>
              </w:rPr>
            </w:pPr>
            <w:r>
              <w:rPr>
                <w:color w:val="000000"/>
                <w:sz w:val="18"/>
                <w:szCs w:val="18"/>
              </w:rPr>
              <w:t>Temperature: 20°C</w:t>
            </w:r>
          </w:p>
          <w:p w14:paraId="67454FFC" w14:textId="77777777" w:rsidR="0095110C" w:rsidRDefault="0095110C" w:rsidP="0095110C">
            <w:pPr>
              <w:rPr>
                <w:color w:val="000000"/>
                <w:sz w:val="18"/>
                <w:szCs w:val="18"/>
              </w:rPr>
            </w:pPr>
            <w:r>
              <w:rPr>
                <w:color w:val="000000"/>
                <w:sz w:val="18"/>
                <w:szCs w:val="18"/>
              </w:rPr>
              <w:t xml:space="preserve">Dirty conditions: 3 g/L BSA </w:t>
            </w:r>
          </w:p>
          <w:p w14:paraId="691A673D" w14:textId="77777777" w:rsidR="0095110C" w:rsidRPr="00FD2055" w:rsidRDefault="0095110C" w:rsidP="0095110C">
            <w:pPr>
              <w:rPr>
                <w:color w:val="000000"/>
                <w:sz w:val="18"/>
                <w:szCs w:val="18"/>
              </w:rPr>
            </w:pPr>
            <w:r>
              <w:rPr>
                <w:color w:val="000000"/>
                <w:sz w:val="18"/>
                <w:szCs w:val="18"/>
              </w:rPr>
              <w:t>Criteria: ≥ 5 log unit reduction</w:t>
            </w:r>
          </w:p>
        </w:tc>
        <w:tc>
          <w:tcPr>
            <w:tcW w:w="1701" w:type="dxa"/>
            <w:vAlign w:val="center"/>
          </w:tcPr>
          <w:p w14:paraId="34F77031" w14:textId="77777777" w:rsidR="0095110C" w:rsidRDefault="0095110C" w:rsidP="0095110C">
            <w:pPr>
              <w:rPr>
                <w:color w:val="000000"/>
                <w:sz w:val="18"/>
                <w:szCs w:val="18"/>
              </w:rPr>
            </w:pPr>
            <w:r>
              <w:rPr>
                <w:color w:val="000000"/>
                <w:sz w:val="18"/>
                <w:szCs w:val="18"/>
              </w:rPr>
              <w:t>Bactericidal activity demonstrated at 40 % v/v</w:t>
            </w:r>
            <w:r w:rsidDel="00FD25E8">
              <w:rPr>
                <w:color w:val="000000"/>
                <w:sz w:val="18"/>
                <w:szCs w:val="18"/>
              </w:rPr>
              <w:t xml:space="preserve"> </w:t>
            </w:r>
          </w:p>
          <w:p w14:paraId="1397EA42" w14:textId="77777777" w:rsidR="0095110C" w:rsidRPr="00FD2055" w:rsidRDefault="0095110C" w:rsidP="0095110C">
            <w:pPr>
              <w:rPr>
                <w:color w:val="000000"/>
                <w:sz w:val="18"/>
                <w:szCs w:val="18"/>
              </w:rPr>
            </w:pPr>
          </w:p>
        </w:tc>
        <w:tc>
          <w:tcPr>
            <w:tcW w:w="1374" w:type="dxa"/>
            <w:vAlign w:val="center"/>
          </w:tcPr>
          <w:p w14:paraId="4602B361" w14:textId="77777777" w:rsidR="0095110C" w:rsidRDefault="0095110C" w:rsidP="0095110C">
            <w:pPr>
              <w:rPr>
                <w:color w:val="000000"/>
                <w:sz w:val="18"/>
                <w:szCs w:val="18"/>
              </w:rPr>
            </w:pPr>
            <w:r>
              <w:rPr>
                <w:color w:val="000000"/>
                <w:sz w:val="18"/>
                <w:szCs w:val="18"/>
              </w:rPr>
              <w:t>Huguet N., 2019, Report No 18.CM.18-147</w:t>
            </w:r>
          </w:p>
          <w:p w14:paraId="70A85C10" w14:textId="7994845D" w:rsidR="0095110C" w:rsidRPr="00FD2055" w:rsidRDefault="0095110C" w:rsidP="0095110C">
            <w:pPr>
              <w:rPr>
                <w:i/>
                <w:color w:val="000000"/>
                <w:sz w:val="18"/>
                <w:szCs w:val="18"/>
              </w:rPr>
            </w:pPr>
            <w:r>
              <w:rPr>
                <w:color w:val="000000"/>
                <w:sz w:val="18"/>
                <w:szCs w:val="18"/>
              </w:rPr>
              <w:t>RI=1</w:t>
            </w:r>
          </w:p>
        </w:tc>
      </w:tr>
      <w:tr w:rsidR="0095110C" w:rsidDel="007D74DB" w14:paraId="48450F27" w14:textId="77777777" w:rsidTr="00526D5D">
        <w:trPr>
          <w:cantSplit/>
          <w:jc w:val="center"/>
        </w:trPr>
        <w:tc>
          <w:tcPr>
            <w:tcW w:w="1346" w:type="dxa"/>
            <w:vAlign w:val="center"/>
          </w:tcPr>
          <w:p w14:paraId="1BDD411A" w14:textId="3A7019A4" w:rsidR="0095110C" w:rsidRDefault="0095110C" w:rsidP="0095110C">
            <w:pPr>
              <w:rPr>
                <w:color w:val="000000"/>
                <w:sz w:val="18"/>
                <w:szCs w:val="18"/>
              </w:rPr>
            </w:pPr>
            <w:r>
              <w:rPr>
                <w:color w:val="000000"/>
                <w:sz w:val="18"/>
                <w:szCs w:val="18"/>
              </w:rPr>
              <w:t>Disinfectant, bactericidal activity</w:t>
            </w:r>
          </w:p>
        </w:tc>
        <w:tc>
          <w:tcPr>
            <w:tcW w:w="1559" w:type="dxa"/>
            <w:vAlign w:val="center"/>
          </w:tcPr>
          <w:p w14:paraId="121737F2" w14:textId="77777777" w:rsidR="0095110C" w:rsidRDefault="0095110C" w:rsidP="0095110C">
            <w:pPr>
              <w:rPr>
                <w:color w:val="000000"/>
                <w:sz w:val="18"/>
                <w:szCs w:val="18"/>
              </w:rPr>
            </w:pPr>
            <w:r>
              <w:rPr>
                <w:color w:val="000000"/>
                <w:sz w:val="18"/>
                <w:szCs w:val="18"/>
              </w:rPr>
              <w:t>Domestic area and companion animals environment</w:t>
            </w:r>
          </w:p>
        </w:tc>
        <w:tc>
          <w:tcPr>
            <w:tcW w:w="1329" w:type="dxa"/>
            <w:vAlign w:val="center"/>
          </w:tcPr>
          <w:p w14:paraId="1FCA0CEB" w14:textId="77777777" w:rsidR="0095110C" w:rsidRDefault="0095110C" w:rsidP="0095110C">
            <w:pPr>
              <w:rPr>
                <w:color w:val="000000"/>
                <w:sz w:val="18"/>
                <w:szCs w:val="18"/>
              </w:rPr>
            </w:pPr>
            <w:r>
              <w:rPr>
                <w:color w:val="000000"/>
                <w:sz w:val="18"/>
                <w:szCs w:val="18"/>
              </w:rPr>
              <w:t>AL-S9-1-1</w:t>
            </w:r>
          </w:p>
          <w:p w14:paraId="255E4A38" w14:textId="133CB629" w:rsidR="0095110C" w:rsidRDefault="003A3948" w:rsidP="0095110C">
            <w:pPr>
              <w:rPr>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4B74CF10" w14:textId="15399DEA" w:rsidR="00526D5D" w:rsidRDefault="0095110C" w:rsidP="0095110C">
            <w:pPr>
              <w:rPr>
                <w:i/>
                <w:color w:val="000000"/>
                <w:sz w:val="18"/>
                <w:szCs w:val="18"/>
                <w:lang w:val="fr-FR"/>
              </w:rPr>
            </w:pPr>
            <w:r w:rsidRPr="00AF1A0E">
              <w:rPr>
                <w:i/>
                <w:color w:val="000000"/>
                <w:sz w:val="18"/>
                <w:szCs w:val="18"/>
                <w:lang w:val="fr-FR"/>
              </w:rPr>
              <w:t>Staphylococcus aureus</w:t>
            </w:r>
            <w:r w:rsidRPr="00AF1A0E">
              <w:rPr>
                <w:color w:val="000000"/>
                <w:sz w:val="18"/>
                <w:szCs w:val="18"/>
                <w:lang w:val="fr-FR"/>
              </w:rPr>
              <w:br/>
            </w:r>
            <w:r w:rsidRPr="00AF1A0E">
              <w:rPr>
                <w:i/>
                <w:color w:val="000000"/>
                <w:sz w:val="18"/>
                <w:szCs w:val="18"/>
                <w:lang w:val="fr-FR"/>
              </w:rPr>
              <w:t>Enterococcus hirae</w:t>
            </w:r>
            <w:r w:rsidRPr="00AF1A0E">
              <w:rPr>
                <w:color w:val="000000"/>
                <w:sz w:val="18"/>
                <w:szCs w:val="18"/>
                <w:lang w:val="fr-FR"/>
              </w:rPr>
              <w:br/>
            </w:r>
            <w:r w:rsidRPr="00AF1A0E">
              <w:rPr>
                <w:i/>
                <w:color w:val="000000"/>
                <w:sz w:val="18"/>
                <w:szCs w:val="18"/>
                <w:lang w:val="fr-FR"/>
              </w:rPr>
              <w:t>Proteus vulgaris</w:t>
            </w:r>
            <w:r w:rsidRPr="00AF1A0E">
              <w:rPr>
                <w:color w:val="000000"/>
                <w:sz w:val="18"/>
                <w:szCs w:val="18"/>
                <w:lang w:val="fr-FR"/>
              </w:rPr>
              <w:t xml:space="preserve"> </w:t>
            </w:r>
            <w:r w:rsidRPr="00AF1A0E">
              <w:rPr>
                <w:color w:val="000000"/>
                <w:sz w:val="18"/>
                <w:szCs w:val="18"/>
                <w:lang w:val="fr-FR"/>
              </w:rPr>
              <w:br/>
            </w:r>
            <w:r w:rsidRPr="00AF1A0E">
              <w:rPr>
                <w:i/>
                <w:color w:val="000000"/>
                <w:sz w:val="18"/>
                <w:szCs w:val="18"/>
                <w:lang w:val="fr-FR"/>
              </w:rPr>
              <w:t>Pseudomonas</w:t>
            </w:r>
          </w:p>
          <w:p w14:paraId="2D521EB0" w14:textId="6710D784" w:rsidR="0095110C" w:rsidRPr="00AF1A0E" w:rsidRDefault="0095110C" w:rsidP="0095110C">
            <w:pPr>
              <w:rPr>
                <w:i/>
                <w:color w:val="000000"/>
                <w:sz w:val="18"/>
                <w:szCs w:val="18"/>
                <w:lang w:val="fr-FR"/>
              </w:rPr>
            </w:pPr>
            <w:r w:rsidRPr="00AF1A0E">
              <w:rPr>
                <w:i/>
                <w:color w:val="000000"/>
                <w:sz w:val="18"/>
                <w:szCs w:val="18"/>
                <w:lang w:val="fr-FR"/>
              </w:rPr>
              <w:t>aeruginosa</w:t>
            </w:r>
          </w:p>
        </w:tc>
        <w:tc>
          <w:tcPr>
            <w:tcW w:w="0" w:type="auto"/>
            <w:vAlign w:val="center"/>
          </w:tcPr>
          <w:p w14:paraId="426FFF55" w14:textId="77777777" w:rsidR="0095110C" w:rsidRDefault="0095110C" w:rsidP="0095110C">
            <w:pPr>
              <w:rPr>
                <w:color w:val="000000"/>
                <w:sz w:val="18"/>
                <w:szCs w:val="18"/>
              </w:rPr>
            </w:pPr>
            <w:r>
              <w:rPr>
                <w:color w:val="000000"/>
                <w:sz w:val="18"/>
                <w:szCs w:val="18"/>
              </w:rPr>
              <w:t>NF EN 1656 (march 2010)</w:t>
            </w:r>
          </w:p>
        </w:tc>
        <w:tc>
          <w:tcPr>
            <w:tcW w:w="3034" w:type="dxa"/>
            <w:vAlign w:val="center"/>
          </w:tcPr>
          <w:p w14:paraId="5DA33EF6" w14:textId="77777777" w:rsidR="0095110C" w:rsidRDefault="0095110C" w:rsidP="0095110C">
            <w:pPr>
              <w:rPr>
                <w:color w:val="000000"/>
                <w:sz w:val="18"/>
                <w:szCs w:val="18"/>
              </w:rPr>
            </w:pPr>
            <w:r>
              <w:rPr>
                <w:color w:val="000000"/>
                <w:sz w:val="18"/>
                <w:szCs w:val="18"/>
              </w:rPr>
              <w:t>Phase 2 step 1 (suspension test)</w:t>
            </w:r>
          </w:p>
          <w:p w14:paraId="5AB35076" w14:textId="77777777" w:rsidR="0095110C" w:rsidRDefault="0095110C" w:rsidP="0095110C">
            <w:pPr>
              <w:rPr>
                <w:color w:val="000000"/>
                <w:sz w:val="18"/>
                <w:szCs w:val="18"/>
              </w:rPr>
            </w:pPr>
            <w:r>
              <w:rPr>
                <w:color w:val="000000"/>
                <w:sz w:val="18"/>
                <w:szCs w:val="18"/>
              </w:rPr>
              <w:t xml:space="preserve">Concentrations of product tested (v/v) were: 1%, 40%, 80%. </w:t>
            </w:r>
          </w:p>
          <w:p w14:paraId="2C22AAB1" w14:textId="62AC39CD" w:rsidR="0095110C" w:rsidRDefault="0095110C" w:rsidP="0095110C">
            <w:pPr>
              <w:rPr>
                <w:color w:val="000000"/>
                <w:sz w:val="18"/>
                <w:szCs w:val="18"/>
              </w:rPr>
            </w:pPr>
            <w:r>
              <w:rPr>
                <w:color w:val="000000"/>
                <w:sz w:val="18"/>
                <w:szCs w:val="18"/>
              </w:rPr>
              <w:t xml:space="preserve">Contact time: 30 minutes </w:t>
            </w:r>
          </w:p>
          <w:p w14:paraId="48FB0A63" w14:textId="77777777" w:rsidR="0095110C" w:rsidRDefault="0095110C" w:rsidP="0095110C">
            <w:pPr>
              <w:rPr>
                <w:color w:val="000000"/>
                <w:sz w:val="18"/>
                <w:szCs w:val="18"/>
              </w:rPr>
            </w:pPr>
            <w:r>
              <w:rPr>
                <w:color w:val="000000"/>
                <w:sz w:val="18"/>
                <w:szCs w:val="18"/>
              </w:rPr>
              <w:t>Temperature: 10°C</w:t>
            </w:r>
          </w:p>
          <w:p w14:paraId="61CA59BF" w14:textId="77777777" w:rsidR="0095110C" w:rsidRDefault="0095110C" w:rsidP="0095110C">
            <w:pPr>
              <w:rPr>
                <w:color w:val="000000"/>
                <w:sz w:val="18"/>
                <w:szCs w:val="18"/>
              </w:rPr>
            </w:pPr>
            <w:r>
              <w:rPr>
                <w:color w:val="000000"/>
                <w:sz w:val="18"/>
                <w:szCs w:val="18"/>
              </w:rPr>
              <w:t xml:space="preserve">Dirty conditions: 3 g/L BSA </w:t>
            </w:r>
          </w:p>
          <w:p w14:paraId="2AE1CFCD" w14:textId="77777777" w:rsidR="0095110C" w:rsidRDefault="0095110C" w:rsidP="0095110C">
            <w:pPr>
              <w:rPr>
                <w:color w:val="000000"/>
                <w:sz w:val="18"/>
                <w:szCs w:val="18"/>
              </w:rPr>
            </w:pPr>
            <w:r>
              <w:rPr>
                <w:color w:val="000000"/>
                <w:sz w:val="18"/>
                <w:szCs w:val="18"/>
              </w:rPr>
              <w:t>Criteria: ≥ 5 log unit reduction</w:t>
            </w:r>
          </w:p>
        </w:tc>
        <w:tc>
          <w:tcPr>
            <w:tcW w:w="1701" w:type="dxa"/>
            <w:vAlign w:val="center"/>
          </w:tcPr>
          <w:p w14:paraId="33EDB607" w14:textId="77777777" w:rsidR="0095110C" w:rsidRDefault="0095110C" w:rsidP="0095110C">
            <w:pPr>
              <w:rPr>
                <w:color w:val="000000"/>
                <w:sz w:val="18"/>
                <w:szCs w:val="18"/>
              </w:rPr>
            </w:pPr>
            <w:r>
              <w:rPr>
                <w:color w:val="000000"/>
                <w:sz w:val="18"/>
                <w:szCs w:val="18"/>
              </w:rPr>
              <w:t>Bactericidal activity demonstrated at 80 % v/v</w:t>
            </w:r>
            <w:r w:rsidDel="00FD25E8">
              <w:rPr>
                <w:color w:val="000000"/>
                <w:sz w:val="18"/>
                <w:szCs w:val="18"/>
              </w:rPr>
              <w:t xml:space="preserve"> </w:t>
            </w:r>
          </w:p>
          <w:p w14:paraId="416CFA1E" w14:textId="77777777" w:rsidR="0095110C" w:rsidRDefault="0095110C" w:rsidP="0095110C">
            <w:pPr>
              <w:rPr>
                <w:color w:val="000000"/>
                <w:sz w:val="18"/>
                <w:szCs w:val="18"/>
              </w:rPr>
            </w:pPr>
          </w:p>
        </w:tc>
        <w:tc>
          <w:tcPr>
            <w:tcW w:w="1374" w:type="dxa"/>
            <w:vAlign w:val="center"/>
          </w:tcPr>
          <w:p w14:paraId="0CC426FF" w14:textId="77777777" w:rsidR="0095110C" w:rsidRDefault="0095110C" w:rsidP="0095110C">
            <w:pPr>
              <w:rPr>
                <w:color w:val="000000"/>
                <w:sz w:val="18"/>
                <w:szCs w:val="18"/>
              </w:rPr>
            </w:pPr>
            <w:r>
              <w:rPr>
                <w:color w:val="000000"/>
                <w:sz w:val="18"/>
                <w:szCs w:val="18"/>
              </w:rPr>
              <w:t>Gabillet AF., 2018, Report No 5268-1</w:t>
            </w:r>
          </w:p>
          <w:p w14:paraId="5C18ACCC" w14:textId="77777777" w:rsidR="0095110C" w:rsidRDefault="0095110C" w:rsidP="0095110C">
            <w:pPr>
              <w:rPr>
                <w:color w:val="000000"/>
                <w:sz w:val="18"/>
                <w:szCs w:val="18"/>
              </w:rPr>
            </w:pPr>
          </w:p>
          <w:p w14:paraId="39A9F5BC" w14:textId="4D5B1637" w:rsidR="0095110C" w:rsidRDefault="0095110C" w:rsidP="0095110C">
            <w:pPr>
              <w:rPr>
                <w:color w:val="000000"/>
                <w:sz w:val="18"/>
                <w:szCs w:val="18"/>
              </w:rPr>
            </w:pPr>
            <w:r>
              <w:rPr>
                <w:color w:val="000000"/>
                <w:sz w:val="18"/>
                <w:szCs w:val="18"/>
              </w:rPr>
              <w:t>RI=1</w:t>
            </w:r>
          </w:p>
        </w:tc>
      </w:tr>
      <w:tr w:rsidR="0095110C" w:rsidDel="007D74DB" w14:paraId="7BCB1454" w14:textId="77777777" w:rsidTr="00526D5D">
        <w:trPr>
          <w:cantSplit/>
          <w:jc w:val="center"/>
        </w:trPr>
        <w:tc>
          <w:tcPr>
            <w:tcW w:w="1346" w:type="dxa"/>
            <w:vAlign w:val="center"/>
          </w:tcPr>
          <w:p w14:paraId="1C632D8D" w14:textId="59953D3C" w:rsidR="0095110C" w:rsidRDefault="0095110C" w:rsidP="0095110C">
            <w:pPr>
              <w:rPr>
                <w:color w:val="000000"/>
                <w:sz w:val="18"/>
                <w:szCs w:val="18"/>
              </w:rPr>
            </w:pPr>
            <w:r>
              <w:rPr>
                <w:color w:val="000000"/>
                <w:sz w:val="18"/>
                <w:szCs w:val="18"/>
              </w:rPr>
              <w:t>Disinfectant, yeasticidal activity</w:t>
            </w:r>
          </w:p>
        </w:tc>
        <w:tc>
          <w:tcPr>
            <w:tcW w:w="1559" w:type="dxa"/>
            <w:vAlign w:val="center"/>
          </w:tcPr>
          <w:p w14:paraId="23D740A8" w14:textId="77777777" w:rsidR="0095110C" w:rsidRDefault="0095110C" w:rsidP="0095110C">
            <w:pPr>
              <w:rPr>
                <w:color w:val="000000"/>
                <w:sz w:val="18"/>
                <w:szCs w:val="18"/>
              </w:rPr>
            </w:pPr>
            <w:r>
              <w:rPr>
                <w:color w:val="000000"/>
                <w:sz w:val="18"/>
                <w:szCs w:val="18"/>
              </w:rPr>
              <w:t>Domestic area and companion animals environment</w:t>
            </w:r>
          </w:p>
        </w:tc>
        <w:tc>
          <w:tcPr>
            <w:tcW w:w="1329" w:type="dxa"/>
            <w:vAlign w:val="center"/>
          </w:tcPr>
          <w:p w14:paraId="13D83CFC" w14:textId="77777777" w:rsidR="0095110C" w:rsidRDefault="0095110C" w:rsidP="0095110C">
            <w:pPr>
              <w:rPr>
                <w:color w:val="000000"/>
                <w:sz w:val="18"/>
                <w:szCs w:val="18"/>
              </w:rPr>
            </w:pPr>
            <w:r>
              <w:rPr>
                <w:color w:val="000000"/>
                <w:sz w:val="18"/>
                <w:szCs w:val="18"/>
              </w:rPr>
              <w:t>AL-S9-1-1</w:t>
            </w:r>
          </w:p>
          <w:p w14:paraId="69A83BC1" w14:textId="6CB47CE0" w:rsidR="0095110C" w:rsidRDefault="003A3948" w:rsidP="0095110C">
            <w:pPr>
              <w:rPr>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76093B65" w14:textId="4AAAEEB6" w:rsidR="0095110C" w:rsidRPr="007D74DB" w:rsidRDefault="0095110C" w:rsidP="0095110C">
            <w:pPr>
              <w:rPr>
                <w:i/>
                <w:color w:val="000000"/>
                <w:sz w:val="18"/>
                <w:szCs w:val="18"/>
              </w:rPr>
            </w:pPr>
            <w:r w:rsidRPr="00AB27D1">
              <w:rPr>
                <w:i/>
                <w:color w:val="000000"/>
                <w:sz w:val="18"/>
                <w:szCs w:val="18"/>
              </w:rPr>
              <w:t>Candida albicans</w:t>
            </w:r>
          </w:p>
        </w:tc>
        <w:tc>
          <w:tcPr>
            <w:tcW w:w="0" w:type="auto"/>
            <w:vAlign w:val="center"/>
          </w:tcPr>
          <w:p w14:paraId="5B387B30" w14:textId="77777777" w:rsidR="0095110C" w:rsidRPr="007D74DB" w:rsidRDefault="0095110C" w:rsidP="0095110C">
            <w:pPr>
              <w:rPr>
                <w:color w:val="000000"/>
                <w:sz w:val="18"/>
                <w:szCs w:val="18"/>
              </w:rPr>
            </w:pPr>
            <w:r w:rsidRPr="00AB27D1">
              <w:rPr>
                <w:color w:val="000000"/>
                <w:sz w:val="18"/>
                <w:szCs w:val="18"/>
              </w:rPr>
              <w:t>NF EN 1657 (April 2006)</w:t>
            </w:r>
          </w:p>
        </w:tc>
        <w:tc>
          <w:tcPr>
            <w:tcW w:w="3034" w:type="dxa"/>
            <w:vAlign w:val="center"/>
          </w:tcPr>
          <w:p w14:paraId="20DAD70D" w14:textId="77777777" w:rsidR="0095110C" w:rsidRDefault="0095110C" w:rsidP="0095110C">
            <w:pPr>
              <w:rPr>
                <w:color w:val="000000"/>
                <w:sz w:val="18"/>
                <w:szCs w:val="18"/>
              </w:rPr>
            </w:pPr>
            <w:r>
              <w:rPr>
                <w:color w:val="000000"/>
                <w:sz w:val="18"/>
                <w:szCs w:val="18"/>
              </w:rPr>
              <w:t>Phase 2 step 1 (suspension test)</w:t>
            </w:r>
          </w:p>
          <w:p w14:paraId="0678D5CF" w14:textId="77777777" w:rsidR="0095110C" w:rsidRDefault="0095110C" w:rsidP="0095110C">
            <w:pPr>
              <w:rPr>
                <w:color w:val="000000"/>
                <w:sz w:val="18"/>
                <w:szCs w:val="18"/>
              </w:rPr>
            </w:pPr>
            <w:r>
              <w:rPr>
                <w:color w:val="000000"/>
                <w:sz w:val="18"/>
                <w:szCs w:val="18"/>
              </w:rPr>
              <w:t xml:space="preserve">Concentrations of product tested (v/v) were: 1%, 40%, 80%. </w:t>
            </w:r>
          </w:p>
          <w:p w14:paraId="64AF0FA2" w14:textId="61BFE1E1" w:rsidR="0095110C" w:rsidRDefault="0095110C" w:rsidP="0095110C">
            <w:pPr>
              <w:rPr>
                <w:color w:val="000000"/>
                <w:sz w:val="18"/>
                <w:szCs w:val="18"/>
              </w:rPr>
            </w:pPr>
            <w:r>
              <w:rPr>
                <w:color w:val="000000"/>
                <w:sz w:val="18"/>
                <w:szCs w:val="18"/>
              </w:rPr>
              <w:t xml:space="preserve">Contact time: 120 minutes </w:t>
            </w:r>
          </w:p>
          <w:p w14:paraId="2AF7A4DA" w14:textId="78DFC79D" w:rsidR="0095110C" w:rsidRDefault="0095110C" w:rsidP="0095110C">
            <w:pPr>
              <w:rPr>
                <w:color w:val="000000"/>
                <w:sz w:val="18"/>
                <w:szCs w:val="18"/>
              </w:rPr>
            </w:pPr>
            <w:r>
              <w:rPr>
                <w:color w:val="000000"/>
                <w:sz w:val="18"/>
                <w:szCs w:val="18"/>
              </w:rPr>
              <w:t xml:space="preserve">Temperature: </w:t>
            </w:r>
            <w:r w:rsidR="00EB6EF4">
              <w:rPr>
                <w:color w:val="000000"/>
                <w:sz w:val="18"/>
                <w:szCs w:val="18"/>
              </w:rPr>
              <w:t>1</w:t>
            </w:r>
            <w:r>
              <w:rPr>
                <w:color w:val="000000"/>
                <w:sz w:val="18"/>
                <w:szCs w:val="18"/>
              </w:rPr>
              <w:t>0°C</w:t>
            </w:r>
          </w:p>
          <w:p w14:paraId="797C015B" w14:textId="77777777" w:rsidR="0095110C" w:rsidRDefault="0095110C" w:rsidP="0095110C">
            <w:pPr>
              <w:rPr>
                <w:color w:val="000000"/>
                <w:sz w:val="18"/>
                <w:szCs w:val="18"/>
              </w:rPr>
            </w:pPr>
            <w:r>
              <w:rPr>
                <w:color w:val="000000"/>
                <w:sz w:val="18"/>
                <w:szCs w:val="18"/>
              </w:rPr>
              <w:t xml:space="preserve">Dirty conditions: 3 g/L BSA </w:t>
            </w:r>
          </w:p>
          <w:p w14:paraId="254CE8CF" w14:textId="77777777" w:rsidR="0095110C" w:rsidRDefault="0095110C" w:rsidP="0095110C">
            <w:pPr>
              <w:rPr>
                <w:color w:val="000000"/>
                <w:sz w:val="18"/>
                <w:szCs w:val="18"/>
              </w:rPr>
            </w:pPr>
            <w:r>
              <w:rPr>
                <w:color w:val="000000"/>
                <w:sz w:val="18"/>
                <w:szCs w:val="18"/>
              </w:rPr>
              <w:t>Criteria: ≥ 4 log unit reduction</w:t>
            </w:r>
          </w:p>
        </w:tc>
        <w:tc>
          <w:tcPr>
            <w:tcW w:w="1701" w:type="dxa"/>
            <w:vAlign w:val="center"/>
          </w:tcPr>
          <w:p w14:paraId="128C24A5" w14:textId="77777777" w:rsidR="0095110C" w:rsidRDefault="0095110C" w:rsidP="0095110C">
            <w:pPr>
              <w:rPr>
                <w:color w:val="000000"/>
                <w:sz w:val="18"/>
                <w:szCs w:val="18"/>
              </w:rPr>
            </w:pPr>
            <w:r>
              <w:rPr>
                <w:color w:val="000000"/>
                <w:sz w:val="18"/>
                <w:szCs w:val="18"/>
              </w:rPr>
              <w:t>Yeasticidal activity demonstrated at 80 % v/v</w:t>
            </w:r>
            <w:r w:rsidDel="00FD25E8">
              <w:rPr>
                <w:color w:val="000000"/>
                <w:sz w:val="18"/>
                <w:szCs w:val="18"/>
              </w:rPr>
              <w:t xml:space="preserve"> </w:t>
            </w:r>
          </w:p>
          <w:p w14:paraId="25668072" w14:textId="77777777" w:rsidR="0095110C" w:rsidRDefault="0095110C" w:rsidP="0095110C">
            <w:pPr>
              <w:rPr>
                <w:color w:val="000000"/>
                <w:sz w:val="18"/>
                <w:szCs w:val="18"/>
              </w:rPr>
            </w:pPr>
          </w:p>
        </w:tc>
        <w:tc>
          <w:tcPr>
            <w:tcW w:w="1374" w:type="dxa"/>
            <w:vAlign w:val="center"/>
          </w:tcPr>
          <w:p w14:paraId="685A5939" w14:textId="77777777" w:rsidR="0095110C" w:rsidRDefault="0095110C" w:rsidP="0095110C">
            <w:pPr>
              <w:rPr>
                <w:color w:val="000000"/>
                <w:sz w:val="18"/>
                <w:szCs w:val="18"/>
              </w:rPr>
            </w:pPr>
            <w:r w:rsidRPr="00AB27D1">
              <w:rPr>
                <w:color w:val="000000"/>
                <w:sz w:val="18"/>
                <w:szCs w:val="18"/>
              </w:rPr>
              <w:t>Huguet N., 2020, Report No 19.CM.19-035</w:t>
            </w:r>
          </w:p>
          <w:p w14:paraId="6D1DC84E" w14:textId="77777777" w:rsidR="0095110C" w:rsidRDefault="0095110C" w:rsidP="0095110C">
            <w:pPr>
              <w:rPr>
                <w:color w:val="000000"/>
                <w:sz w:val="18"/>
                <w:szCs w:val="18"/>
              </w:rPr>
            </w:pPr>
          </w:p>
          <w:p w14:paraId="2A9A480E" w14:textId="3924F344" w:rsidR="0095110C" w:rsidRDefault="0095110C" w:rsidP="0095110C">
            <w:pPr>
              <w:rPr>
                <w:color w:val="000000"/>
                <w:sz w:val="18"/>
                <w:szCs w:val="18"/>
              </w:rPr>
            </w:pPr>
            <w:r>
              <w:rPr>
                <w:color w:val="000000"/>
                <w:sz w:val="18"/>
                <w:szCs w:val="18"/>
              </w:rPr>
              <w:t>RI=1</w:t>
            </w:r>
          </w:p>
        </w:tc>
      </w:tr>
      <w:tr w:rsidR="0095110C" w14:paraId="50BAA4C5" w14:textId="77777777" w:rsidTr="00526D5D">
        <w:trPr>
          <w:cantSplit/>
          <w:jc w:val="center"/>
        </w:trPr>
        <w:tc>
          <w:tcPr>
            <w:tcW w:w="1346" w:type="dxa"/>
            <w:vAlign w:val="center"/>
          </w:tcPr>
          <w:p w14:paraId="38D7D327" w14:textId="0A45F717" w:rsidR="0095110C" w:rsidRPr="00FD2055" w:rsidRDefault="0095110C" w:rsidP="0095110C">
            <w:pPr>
              <w:rPr>
                <w:i/>
                <w:color w:val="000000"/>
                <w:sz w:val="18"/>
                <w:szCs w:val="18"/>
              </w:rPr>
            </w:pPr>
            <w:r>
              <w:rPr>
                <w:color w:val="000000"/>
                <w:sz w:val="18"/>
                <w:szCs w:val="18"/>
              </w:rPr>
              <w:lastRenderedPageBreak/>
              <w:t>Disinfectant, bactericidal activity</w:t>
            </w:r>
          </w:p>
        </w:tc>
        <w:tc>
          <w:tcPr>
            <w:tcW w:w="1559" w:type="dxa"/>
            <w:vAlign w:val="center"/>
          </w:tcPr>
          <w:p w14:paraId="4ACC43BA" w14:textId="77777777" w:rsidR="0095110C" w:rsidRPr="00FD2055" w:rsidRDefault="0095110C" w:rsidP="0095110C">
            <w:pPr>
              <w:rPr>
                <w:i/>
                <w:color w:val="000000"/>
                <w:sz w:val="18"/>
                <w:szCs w:val="18"/>
              </w:rPr>
            </w:pPr>
            <w:r>
              <w:rPr>
                <w:color w:val="000000"/>
                <w:sz w:val="18"/>
                <w:szCs w:val="18"/>
              </w:rPr>
              <w:t>Domestic area and companion animals environment</w:t>
            </w:r>
          </w:p>
        </w:tc>
        <w:tc>
          <w:tcPr>
            <w:tcW w:w="1329" w:type="dxa"/>
            <w:vAlign w:val="center"/>
          </w:tcPr>
          <w:p w14:paraId="194F1821" w14:textId="77777777" w:rsidR="0095110C" w:rsidRDefault="0095110C" w:rsidP="0095110C">
            <w:pPr>
              <w:rPr>
                <w:color w:val="000000"/>
                <w:sz w:val="18"/>
                <w:szCs w:val="18"/>
              </w:rPr>
            </w:pPr>
            <w:r>
              <w:rPr>
                <w:color w:val="000000"/>
                <w:sz w:val="18"/>
                <w:szCs w:val="18"/>
              </w:rPr>
              <w:t>AL-S9-1-1</w:t>
            </w:r>
          </w:p>
          <w:p w14:paraId="0A5D7080" w14:textId="6A901FE7" w:rsidR="0095110C" w:rsidRPr="00FD2055" w:rsidRDefault="003A3948" w:rsidP="0095110C">
            <w:pPr>
              <w:rPr>
                <w:i/>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3DB18F0E" w14:textId="0DA7AAA3" w:rsidR="0095110C" w:rsidRPr="00D016EC" w:rsidRDefault="0095110C" w:rsidP="0095110C">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br/>
            </w:r>
            <w:r w:rsidRPr="00D016EC">
              <w:rPr>
                <w:i/>
                <w:color w:val="000000"/>
                <w:sz w:val="18"/>
                <w:szCs w:val="18"/>
                <w:lang w:val="fr-FR"/>
              </w:rPr>
              <w:t xml:space="preserve">Enterococcus hirae </w:t>
            </w:r>
            <w:r w:rsidRPr="00D016EC">
              <w:rPr>
                <w:color w:val="000000"/>
                <w:sz w:val="18"/>
                <w:szCs w:val="18"/>
                <w:lang w:val="fr-FR"/>
              </w:rPr>
              <w:br/>
            </w:r>
            <w:r w:rsidRPr="00D016EC">
              <w:rPr>
                <w:i/>
                <w:color w:val="000000"/>
                <w:sz w:val="18"/>
                <w:szCs w:val="18"/>
                <w:lang w:val="fr-FR"/>
              </w:rPr>
              <w:t>Eschrichia coli</w:t>
            </w:r>
            <w:r w:rsidRPr="00D016EC">
              <w:rPr>
                <w:color w:val="000000"/>
                <w:sz w:val="18"/>
                <w:szCs w:val="18"/>
                <w:lang w:val="fr-FR"/>
              </w:rPr>
              <w:br/>
            </w:r>
            <w:r w:rsidRPr="00D016EC">
              <w:rPr>
                <w:i/>
                <w:color w:val="000000"/>
                <w:sz w:val="18"/>
                <w:szCs w:val="18"/>
                <w:lang w:val="fr-FR"/>
              </w:rPr>
              <w:t>Pseudomonas aeruginosa</w:t>
            </w:r>
          </w:p>
        </w:tc>
        <w:tc>
          <w:tcPr>
            <w:tcW w:w="0" w:type="auto"/>
            <w:vAlign w:val="center"/>
          </w:tcPr>
          <w:p w14:paraId="5FC9DA89" w14:textId="7566E427" w:rsidR="0095110C" w:rsidRPr="00FD2055" w:rsidRDefault="0095110C" w:rsidP="0095110C">
            <w:pPr>
              <w:rPr>
                <w:color w:val="000000"/>
                <w:sz w:val="18"/>
                <w:szCs w:val="18"/>
              </w:rPr>
            </w:pPr>
            <w:r>
              <w:rPr>
                <w:color w:val="000000"/>
                <w:sz w:val="18"/>
                <w:szCs w:val="18"/>
              </w:rPr>
              <w:t>NF EN 13697 (June 2015)</w:t>
            </w:r>
          </w:p>
        </w:tc>
        <w:tc>
          <w:tcPr>
            <w:tcW w:w="3034" w:type="dxa"/>
            <w:vAlign w:val="center"/>
          </w:tcPr>
          <w:p w14:paraId="5DD19A6D" w14:textId="77BDADFC" w:rsidR="0095110C" w:rsidRDefault="0095110C" w:rsidP="0095110C">
            <w:pPr>
              <w:rPr>
                <w:color w:val="000000"/>
                <w:sz w:val="18"/>
                <w:szCs w:val="18"/>
              </w:rPr>
            </w:pPr>
            <w:r>
              <w:rPr>
                <w:color w:val="000000"/>
                <w:sz w:val="18"/>
                <w:szCs w:val="18"/>
              </w:rPr>
              <w:t>Phase 2 step 2 (surface test)</w:t>
            </w:r>
          </w:p>
          <w:p w14:paraId="4D1E2D93" w14:textId="77777777" w:rsidR="0095110C" w:rsidRDefault="0095110C" w:rsidP="0095110C">
            <w:pPr>
              <w:rPr>
                <w:color w:val="000000"/>
                <w:sz w:val="18"/>
                <w:szCs w:val="18"/>
              </w:rPr>
            </w:pPr>
            <w:r>
              <w:rPr>
                <w:color w:val="000000"/>
                <w:sz w:val="18"/>
                <w:szCs w:val="18"/>
              </w:rPr>
              <w:t xml:space="preserve">Concentrations of product tested (v/v) were: 5% - 50% and 100%. </w:t>
            </w:r>
          </w:p>
          <w:p w14:paraId="19C74269" w14:textId="7449D487" w:rsidR="0095110C" w:rsidRDefault="0095110C" w:rsidP="0095110C">
            <w:pPr>
              <w:rPr>
                <w:color w:val="000000"/>
                <w:sz w:val="18"/>
                <w:szCs w:val="18"/>
              </w:rPr>
            </w:pPr>
            <w:r>
              <w:rPr>
                <w:color w:val="000000"/>
                <w:sz w:val="18"/>
                <w:szCs w:val="18"/>
              </w:rPr>
              <w:t xml:space="preserve">Contact time: 5 minutes </w:t>
            </w:r>
          </w:p>
          <w:p w14:paraId="0C4B801A" w14:textId="77777777" w:rsidR="0095110C" w:rsidRDefault="0095110C" w:rsidP="0095110C">
            <w:pPr>
              <w:rPr>
                <w:color w:val="000000"/>
                <w:sz w:val="18"/>
                <w:szCs w:val="18"/>
              </w:rPr>
            </w:pPr>
            <w:r>
              <w:rPr>
                <w:color w:val="000000"/>
                <w:sz w:val="18"/>
                <w:szCs w:val="18"/>
              </w:rPr>
              <w:t>Temperature: 20°C</w:t>
            </w:r>
          </w:p>
          <w:p w14:paraId="477E23A3" w14:textId="77777777" w:rsidR="0095110C" w:rsidRDefault="0095110C" w:rsidP="0095110C">
            <w:pPr>
              <w:rPr>
                <w:color w:val="000000"/>
                <w:sz w:val="18"/>
                <w:szCs w:val="18"/>
              </w:rPr>
            </w:pPr>
            <w:r>
              <w:rPr>
                <w:color w:val="000000"/>
                <w:sz w:val="18"/>
                <w:szCs w:val="18"/>
              </w:rPr>
              <w:t xml:space="preserve">Dirty conditions: 3 g/L BSA </w:t>
            </w:r>
          </w:p>
          <w:p w14:paraId="4D29F4EA" w14:textId="77777777" w:rsidR="0095110C" w:rsidRPr="00FD2055" w:rsidRDefault="0095110C" w:rsidP="0095110C">
            <w:pPr>
              <w:rPr>
                <w:color w:val="000000"/>
                <w:sz w:val="18"/>
                <w:szCs w:val="18"/>
              </w:rPr>
            </w:pPr>
            <w:r>
              <w:rPr>
                <w:color w:val="000000"/>
                <w:sz w:val="18"/>
                <w:szCs w:val="18"/>
              </w:rPr>
              <w:t>Criteria: ≥ 4 log unit reduction</w:t>
            </w:r>
          </w:p>
        </w:tc>
        <w:tc>
          <w:tcPr>
            <w:tcW w:w="1701" w:type="dxa"/>
            <w:vAlign w:val="center"/>
          </w:tcPr>
          <w:p w14:paraId="5DA58089" w14:textId="77777777" w:rsidR="0095110C" w:rsidRDefault="0095110C" w:rsidP="0095110C">
            <w:pPr>
              <w:rPr>
                <w:color w:val="000000"/>
                <w:sz w:val="18"/>
                <w:szCs w:val="18"/>
              </w:rPr>
            </w:pPr>
            <w:r>
              <w:rPr>
                <w:color w:val="000000"/>
                <w:sz w:val="18"/>
                <w:szCs w:val="18"/>
              </w:rPr>
              <w:t>Bactericidal activity demonstrated at 50 % v/v</w:t>
            </w:r>
            <w:r w:rsidDel="00FD25E8">
              <w:rPr>
                <w:color w:val="000000"/>
                <w:sz w:val="18"/>
                <w:szCs w:val="18"/>
              </w:rPr>
              <w:t xml:space="preserve"> </w:t>
            </w:r>
          </w:p>
          <w:p w14:paraId="3140E535" w14:textId="77777777" w:rsidR="0095110C" w:rsidRPr="00FD2055" w:rsidRDefault="0095110C" w:rsidP="0095110C">
            <w:pPr>
              <w:rPr>
                <w:color w:val="000000"/>
                <w:sz w:val="18"/>
                <w:szCs w:val="18"/>
              </w:rPr>
            </w:pPr>
          </w:p>
        </w:tc>
        <w:tc>
          <w:tcPr>
            <w:tcW w:w="1374" w:type="dxa"/>
            <w:vAlign w:val="center"/>
          </w:tcPr>
          <w:p w14:paraId="21A5E923" w14:textId="77777777" w:rsidR="0095110C" w:rsidRDefault="0095110C" w:rsidP="0095110C">
            <w:pPr>
              <w:rPr>
                <w:color w:val="000000"/>
                <w:sz w:val="18"/>
                <w:szCs w:val="18"/>
              </w:rPr>
            </w:pPr>
            <w:r>
              <w:rPr>
                <w:color w:val="000000"/>
                <w:sz w:val="18"/>
                <w:szCs w:val="18"/>
              </w:rPr>
              <w:t>Gabillet AF., 2018, Report No 5235-1</w:t>
            </w:r>
          </w:p>
          <w:p w14:paraId="74EDB71B" w14:textId="77777777" w:rsidR="0095110C" w:rsidRDefault="0095110C" w:rsidP="0095110C">
            <w:pPr>
              <w:rPr>
                <w:color w:val="000000"/>
                <w:sz w:val="18"/>
                <w:szCs w:val="18"/>
              </w:rPr>
            </w:pPr>
          </w:p>
          <w:p w14:paraId="5E968D61" w14:textId="24707BB1" w:rsidR="0095110C" w:rsidRPr="00FD2055" w:rsidRDefault="0095110C" w:rsidP="0095110C">
            <w:pPr>
              <w:rPr>
                <w:i/>
                <w:color w:val="000000"/>
                <w:sz w:val="18"/>
                <w:szCs w:val="18"/>
              </w:rPr>
            </w:pPr>
            <w:r>
              <w:rPr>
                <w:color w:val="000000"/>
                <w:sz w:val="18"/>
                <w:szCs w:val="18"/>
              </w:rPr>
              <w:t>RI=1</w:t>
            </w:r>
          </w:p>
        </w:tc>
      </w:tr>
      <w:tr w:rsidR="0095110C" w14:paraId="5745EE4F" w14:textId="77777777" w:rsidTr="00526D5D">
        <w:trPr>
          <w:cantSplit/>
          <w:jc w:val="center"/>
        </w:trPr>
        <w:tc>
          <w:tcPr>
            <w:tcW w:w="1346" w:type="dxa"/>
            <w:vAlign w:val="center"/>
          </w:tcPr>
          <w:p w14:paraId="234FEDF0" w14:textId="4EF191BA" w:rsidR="0095110C" w:rsidRPr="00FD2055" w:rsidRDefault="0095110C" w:rsidP="0095110C">
            <w:pPr>
              <w:rPr>
                <w:i/>
                <w:color w:val="000000"/>
                <w:sz w:val="18"/>
                <w:szCs w:val="18"/>
              </w:rPr>
            </w:pPr>
            <w:r>
              <w:rPr>
                <w:color w:val="000000"/>
                <w:sz w:val="18"/>
                <w:szCs w:val="18"/>
              </w:rPr>
              <w:t>Disinfectant, bactericidal activity</w:t>
            </w:r>
          </w:p>
        </w:tc>
        <w:tc>
          <w:tcPr>
            <w:tcW w:w="1559" w:type="dxa"/>
            <w:vAlign w:val="center"/>
          </w:tcPr>
          <w:p w14:paraId="4C67D7E5" w14:textId="77777777" w:rsidR="0095110C" w:rsidRPr="00FD2055" w:rsidRDefault="0095110C" w:rsidP="0095110C">
            <w:pPr>
              <w:rPr>
                <w:i/>
                <w:color w:val="000000"/>
                <w:sz w:val="18"/>
                <w:szCs w:val="18"/>
              </w:rPr>
            </w:pPr>
            <w:r>
              <w:rPr>
                <w:color w:val="000000"/>
                <w:sz w:val="18"/>
                <w:szCs w:val="18"/>
              </w:rPr>
              <w:t>Domestic area and companion animals environment</w:t>
            </w:r>
          </w:p>
        </w:tc>
        <w:tc>
          <w:tcPr>
            <w:tcW w:w="1329" w:type="dxa"/>
            <w:vAlign w:val="center"/>
          </w:tcPr>
          <w:p w14:paraId="46D23F83" w14:textId="77777777" w:rsidR="0095110C" w:rsidRDefault="0095110C" w:rsidP="0095110C">
            <w:pPr>
              <w:rPr>
                <w:color w:val="000000"/>
                <w:sz w:val="18"/>
                <w:szCs w:val="18"/>
              </w:rPr>
            </w:pPr>
            <w:r>
              <w:rPr>
                <w:color w:val="000000"/>
                <w:sz w:val="18"/>
                <w:szCs w:val="18"/>
              </w:rPr>
              <w:t>AL-S9-1-1</w:t>
            </w:r>
          </w:p>
          <w:p w14:paraId="0ADB5DD5" w14:textId="52B824EE" w:rsidR="0095110C" w:rsidRPr="00FD2055" w:rsidRDefault="003A3948" w:rsidP="0095110C">
            <w:pPr>
              <w:rPr>
                <w:i/>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1CAB74AB" w14:textId="1B03015B" w:rsidR="0095110C" w:rsidRPr="00E12B02" w:rsidRDefault="0095110C" w:rsidP="0095110C">
            <w:pPr>
              <w:rPr>
                <w:i/>
                <w:color w:val="000000"/>
                <w:sz w:val="18"/>
                <w:szCs w:val="18"/>
                <w:lang w:val="fr-FR"/>
              </w:rPr>
            </w:pPr>
            <w:r w:rsidRPr="00E12B02">
              <w:rPr>
                <w:i/>
                <w:color w:val="000000"/>
                <w:sz w:val="18"/>
                <w:szCs w:val="18"/>
                <w:lang w:val="fr-FR"/>
              </w:rPr>
              <w:t>Enterococcus hirae</w:t>
            </w:r>
            <w:r w:rsidRPr="00E12B02">
              <w:rPr>
                <w:color w:val="000000"/>
                <w:sz w:val="18"/>
                <w:szCs w:val="18"/>
                <w:lang w:val="fr-FR"/>
              </w:rPr>
              <w:br/>
            </w:r>
            <w:r w:rsidRPr="00E12B02">
              <w:rPr>
                <w:i/>
                <w:color w:val="000000"/>
                <w:sz w:val="18"/>
                <w:szCs w:val="18"/>
                <w:lang w:val="fr-FR"/>
              </w:rPr>
              <w:t>Staphylococcus aureus</w:t>
            </w:r>
            <w:r w:rsidRPr="00E12B02">
              <w:rPr>
                <w:color w:val="000000"/>
                <w:sz w:val="18"/>
                <w:szCs w:val="18"/>
                <w:lang w:val="fr-FR"/>
              </w:rPr>
              <w:br/>
            </w:r>
            <w:r w:rsidRPr="00E12B02">
              <w:rPr>
                <w:i/>
                <w:color w:val="000000"/>
                <w:sz w:val="18"/>
                <w:szCs w:val="18"/>
                <w:lang w:val="fr-FR"/>
              </w:rPr>
              <w:t>Pseudomonas aeruginosa</w:t>
            </w:r>
            <w:r w:rsidRPr="00E12B02">
              <w:rPr>
                <w:color w:val="000000"/>
                <w:sz w:val="18"/>
                <w:szCs w:val="18"/>
                <w:lang w:val="fr-FR"/>
              </w:rPr>
              <w:br/>
            </w:r>
            <w:r w:rsidRPr="00E12B02">
              <w:rPr>
                <w:i/>
                <w:color w:val="000000"/>
                <w:sz w:val="18"/>
                <w:szCs w:val="18"/>
                <w:lang w:val="fr-FR"/>
              </w:rPr>
              <w:t>Proteus hauserii</w:t>
            </w:r>
          </w:p>
        </w:tc>
        <w:tc>
          <w:tcPr>
            <w:tcW w:w="0" w:type="auto"/>
            <w:vAlign w:val="center"/>
          </w:tcPr>
          <w:p w14:paraId="78A7981D" w14:textId="77777777" w:rsidR="0095110C" w:rsidRPr="00FD2055" w:rsidRDefault="0095110C" w:rsidP="0095110C">
            <w:pPr>
              <w:rPr>
                <w:color w:val="000000"/>
                <w:sz w:val="18"/>
                <w:szCs w:val="18"/>
              </w:rPr>
            </w:pPr>
            <w:r>
              <w:rPr>
                <w:color w:val="000000"/>
                <w:sz w:val="18"/>
                <w:szCs w:val="18"/>
              </w:rPr>
              <w:t>NF EN 14349 (December 2012)</w:t>
            </w:r>
          </w:p>
        </w:tc>
        <w:tc>
          <w:tcPr>
            <w:tcW w:w="3034" w:type="dxa"/>
            <w:vAlign w:val="center"/>
          </w:tcPr>
          <w:p w14:paraId="50838220" w14:textId="382FE115" w:rsidR="0095110C" w:rsidRDefault="0095110C" w:rsidP="0095110C">
            <w:pPr>
              <w:rPr>
                <w:color w:val="000000"/>
                <w:sz w:val="18"/>
                <w:szCs w:val="18"/>
              </w:rPr>
            </w:pPr>
            <w:r>
              <w:rPr>
                <w:color w:val="000000"/>
                <w:sz w:val="18"/>
                <w:szCs w:val="18"/>
              </w:rPr>
              <w:t>Phase 2 step 2 (surface test)</w:t>
            </w:r>
          </w:p>
          <w:p w14:paraId="6023ED8D" w14:textId="77777777" w:rsidR="0095110C" w:rsidRDefault="0095110C" w:rsidP="0095110C">
            <w:pPr>
              <w:rPr>
                <w:color w:val="000000"/>
                <w:sz w:val="18"/>
                <w:szCs w:val="18"/>
              </w:rPr>
            </w:pPr>
            <w:r>
              <w:rPr>
                <w:color w:val="000000"/>
                <w:sz w:val="18"/>
                <w:szCs w:val="18"/>
              </w:rPr>
              <w:t xml:space="preserve">Concentrations of product tested (v/v) were: 10% - 50% and 100%. </w:t>
            </w:r>
          </w:p>
          <w:p w14:paraId="5D5D1196" w14:textId="5D57B9C0" w:rsidR="0095110C" w:rsidRDefault="0095110C" w:rsidP="0095110C">
            <w:pPr>
              <w:rPr>
                <w:color w:val="000000"/>
                <w:sz w:val="18"/>
                <w:szCs w:val="18"/>
              </w:rPr>
            </w:pPr>
            <w:r>
              <w:rPr>
                <w:color w:val="000000"/>
                <w:sz w:val="18"/>
                <w:szCs w:val="18"/>
              </w:rPr>
              <w:t xml:space="preserve">Contact time: 30 minutes </w:t>
            </w:r>
          </w:p>
          <w:p w14:paraId="56789FC0" w14:textId="77777777" w:rsidR="0095110C" w:rsidRDefault="0095110C" w:rsidP="0095110C">
            <w:pPr>
              <w:rPr>
                <w:color w:val="000000"/>
                <w:sz w:val="18"/>
                <w:szCs w:val="18"/>
              </w:rPr>
            </w:pPr>
            <w:r>
              <w:rPr>
                <w:color w:val="000000"/>
                <w:sz w:val="18"/>
                <w:szCs w:val="18"/>
              </w:rPr>
              <w:t>Temperature: 10°C</w:t>
            </w:r>
          </w:p>
          <w:p w14:paraId="6C95770B" w14:textId="77777777" w:rsidR="0095110C" w:rsidRDefault="0095110C" w:rsidP="0095110C">
            <w:pPr>
              <w:rPr>
                <w:color w:val="000000"/>
                <w:sz w:val="18"/>
                <w:szCs w:val="18"/>
              </w:rPr>
            </w:pPr>
            <w:r>
              <w:rPr>
                <w:color w:val="000000"/>
                <w:sz w:val="18"/>
                <w:szCs w:val="18"/>
              </w:rPr>
              <w:t xml:space="preserve">Dirty conditions: 3 g/L BSA </w:t>
            </w:r>
          </w:p>
          <w:p w14:paraId="3D04C939" w14:textId="77777777" w:rsidR="0095110C" w:rsidRPr="00FD2055" w:rsidRDefault="0095110C" w:rsidP="0095110C">
            <w:pPr>
              <w:rPr>
                <w:color w:val="000000"/>
                <w:sz w:val="18"/>
                <w:szCs w:val="18"/>
              </w:rPr>
            </w:pPr>
            <w:r>
              <w:rPr>
                <w:color w:val="000000"/>
                <w:sz w:val="18"/>
                <w:szCs w:val="18"/>
              </w:rPr>
              <w:t>Criteria: ≥ 4 log unit reduction</w:t>
            </w:r>
          </w:p>
        </w:tc>
        <w:tc>
          <w:tcPr>
            <w:tcW w:w="1701" w:type="dxa"/>
            <w:vAlign w:val="center"/>
          </w:tcPr>
          <w:p w14:paraId="7BA85CA8" w14:textId="77777777" w:rsidR="0095110C" w:rsidRDefault="0095110C" w:rsidP="0095110C">
            <w:pPr>
              <w:rPr>
                <w:color w:val="000000"/>
                <w:sz w:val="18"/>
                <w:szCs w:val="18"/>
              </w:rPr>
            </w:pPr>
            <w:r>
              <w:rPr>
                <w:color w:val="000000"/>
                <w:sz w:val="18"/>
                <w:szCs w:val="18"/>
              </w:rPr>
              <w:t>Bactericidal activity demonstrated at 50 % v/v</w:t>
            </w:r>
            <w:r w:rsidDel="00FD25E8">
              <w:rPr>
                <w:color w:val="000000"/>
                <w:sz w:val="18"/>
                <w:szCs w:val="18"/>
              </w:rPr>
              <w:t xml:space="preserve"> </w:t>
            </w:r>
          </w:p>
          <w:p w14:paraId="04F787C7" w14:textId="77777777" w:rsidR="0095110C" w:rsidRPr="00FD2055" w:rsidRDefault="0095110C" w:rsidP="0095110C">
            <w:pPr>
              <w:rPr>
                <w:color w:val="000000"/>
                <w:sz w:val="18"/>
                <w:szCs w:val="18"/>
              </w:rPr>
            </w:pPr>
          </w:p>
        </w:tc>
        <w:tc>
          <w:tcPr>
            <w:tcW w:w="1374" w:type="dxa"/>
            <w:vAlign w:val="center"/>
          </w:tcPr>
          <w:p w14:paraId="2720A2C1" w14:textId="77777777" w:rsidR="0095110C" w:rsidRDefault="0095110C" w:rsidP="0095110C">
            <w:pPr>
              <w:rPr>
                <w:color w:val="000000"/>
                <w:sz w:val="18"/>
                <w:szCs w:val="18"/>
              </w:rPr>
            </w:pPr>
            <w:r>
              <w:rPr>
                <w:color w:val="000000"/>
                <w:sz w:val="18"/>
                <w:szCs w:val="18"/>
              </w:rPr>
              <w:t>Feuillolay C., 2018, Report No 18-1348</w:t>
            </w:r>
          </w:p>
          <w:p w14:paraId="2A108834" w14:textId="4F88D21D" w:rsidR="0095110C" w:rsidRPr="00FD2055" w:rsidRDefault="0095110C" w:rsidP="0095110C">
            <w:pPr>
              <w:rPr>
                <w:i/>
                <w:color w:val="000000"/>
                <w:sz w:val="18"/>
                <w:szCs w:val="18"/>
              </w:rPr>
            </w:pPr>
            <w:r>
              <w:rPr>
                <w:color w:val="000000"/>
                <w:sz w:val="18"/>
                <w:szCs w:val="18"/>
              </w:rPr>
              <w:t>RI=1</w:t>
            </w:r>
          </w:p>
        </w:tc>
      </w:tr>
      <w:tr w:rsidR="0095110C" w14:paraId="2C39DBD6" w14:textId="77777777" w:rsidTr="00526D5D">
        <w:trPr>
          <w:cantSplit/>
          <w:jc w:val="center"/>
        </w:trPr>
        <w:tc>
          <w:tcPr>
            <w:tcW w:w="1346" w:type="dxa"/>
            <w:vAlign w:val="center"/>
          </w:tcPr>
          <w:p w14:paraId="30D4281D" w14:textId="460BD8CC" w:rsidR="0095110C" w:rsidRDefault="0095110C" w:rsidP="0095110C">
            <w:pPr>
              <w:rPr>
                <w:color w:val="000000"/>
                <w:sz w:val="18"/>
                <w:szCs w:val="18"/>
              </w:rPr>
            </w:pPr>
            <w:r w:rsidRPr="00AF1A0E">
              <w:rPr>
                <w:color w:val="000000"/>
                <w:sz w:val="18"/>
                <w:szCs w:val="18"/>
              </w:rPr>
              <w:t>Disinfectant, bactericidal activity</w:t>
            </w:r>
          </w:p>
        </w:tc>
        <w:tc>
          <w:tcPr>
            <w:tcW w:w="1559" w:type="dxa"/>
            <w:vAlign w:val="center"/>
          </w:tcPr>
          <w:p w14:paraId="5613AB16" w14:textId="2D6E07C0" w:rsidR="0095110C" w:rsidRDefault="0095110C" w:rsidP="0095110C">
            <w:pPr>
              <w:rPr>
                <w:color w:val="000000"/>
                <w:sz w:val="18"/>
                <w:szCs w:val="18"/>
              </w:rPr>
            </w:pPr>
            <w:r w:rsidRPr="00AF1A0E">
              <w:rPr>
                <w:color w:val="000000"/>
                <w:sz w:val="18"/>
                <w:szCs w:val="18"/>
              </w:rPr>
              <w:t>Domestic area and companion animals environment</w:t>
            </w:r>
          </w:p>
        </w:tc>
        <w:tc>
          <w:tcPr>
            <w:tcW w:w="1329" w:type="dxa"/>
            <w:vAlign w:val="center"/>
          </w:tcPr>
          <w:p w14:paraId="4B9760EE" w14:textId="7BD90D49" w:rsidR="0095110C" w:rsidRDefault="0095110C" w:rsidP="0095110C">
            <w:pPr>
              <w:rPr>
                <w:color w:val="000000"/>
                <w:sz w:val="18"/>
                <w:szCs w:val="18"/>
              </w:rPr>
            </w:pPr>
            <w:r w:rsidRPr="00AF1A0E">
              <w:rPr>
                <w:color w:val="000000"/>
                <w:sz w:val="18"/>
                <w:szCs w:val="18"/>
              </w:rPr>
              <w:t>AL-S9-1-1</w:t>
            </w:r>
          </w:p>
          <w:p w14:paraId="096E608F" w14:textId="2D95129E" w:rsidR="0095110C" w:rsidRDefault="003A3948" w:rsidP="0095110C">
            <w:pPr>
              <w:rPr>
                <w:color w:val="000000"/>
                <w:sz w:val="18"/>
                <w:szCs w:val="18"/>
              </w:rPr>
            </w:pPr>
            <w:r>
              <w:rPr>
                <w:color w:val="000000"/>
                <w:sz w:val="18"/>
                <w:szCs w:val="18"/>
              </w:rPr>
              <w:t>2.4</w:t>
            </w:r>
            <w:r w:rsidR="0095110C">
              <w:rPr>
                <w:color w:val="000000"/>
                <w:sz w:val="18"/>
                <w:szCs w:val="18"/>
              </w:rPr>
              <w:t>% lactic acid</w:t>
            </w:r>
          </w:p>
        </w:tc>
        <w:tc>
          <w:tcPr>
            <w:tcW w:w="0" w:type="auto"/>
            <w:vAlign w:val="center"/>
          </w:tcPr>
          <w:p w14:paraId="6A7AF61C" w14:textId="097DF5B6" w:rsidR="0095110C" w:rsidRPr="00E12B02" w:rsidRDefault="0095110C" w:rsidP="0095110C">
            <w:pPr>
              <w:rPr>
                <w:i/>
                <w:color w:val="000000"/>
                <w:sz w:val="18"/>
                <w:szCs w:val="18"/>
                <w:lang w:val="fr-FR"/>
              </w:rPr>
            </w:pPr>
            <w:r w:rsidRPr="00AF1A0E">
              <w:rPr>
                <w:i/>
                <w:color w:val="000000"/>
                <w:sz w:val="18"/>
                <w:szCs w:val="18"/>
              </w:rPr>
              <w:t>Bartonella hensela</w:t>
            </w:r>
          </w:p>
        </w:tc>
        <w:tc>
          <w:tcPr>
            <w:tcW w:w="0" w:type="auto"/>
            <w:vAlign w:val="center"/>
          </w:tcPr>
          <w:p w14:paraId="0A4077CD" w14:textId="577B41E7" w:rsidR="0095110C" w:rsidRDefault="0095110C" w:rsidP="0095110C">
            <w:pPr>
              <w:rPr>
                <w:color w:val="000000"/>
                <w:sz w:val="18"/>
                <w:szCs w:val="18"/>
              </w:rPr>
            </w:pPr>
            <w:r w:rsidRPr="00AF1A0E">
              <w:rPr>
                <w:color w:val="000000"/>
                <w:sz w:val="18"/>
                <w:szCs w:val="18"/>
              </w:rPr>
              <w:t>NF EN 13697+A1 (July 2019)</w:t>
            </w:r>
          </w:p>
        </w:tc>
        <w:tc>
          <w:tcPr>
            <w:tcW w:w="3034" w:type="dxa"/>
            <w:vAlign w:val="center"/>
          </w:tcPr>
          <w:p w14:paraId="6640AEF7" w14:textId="43DFC6F2" w:rsidR="0095110C" w:rsidRPr="00EF6EAE" w:rsidRDefault="0095110C" w:rsidP="0095110C">
            <w:pPr>
              <w:rPr>
                <w:color w:val="000000"/>
                <w:sz w:val="18"/>
                <w:szCs w:val="18"/>
              </w:rPr>
            </w:pPr>
            <w:r w:rsidRPr="00EF6EAE">
              <w:rPr>
                <w:color w:val="000000"/>
                <w:sz w:val="18"/>
                <w:szCs w:val="18"/>
              </w:rPr>
              <w:t>Phase 2 step 2 (su</w:t>
            </w:r>
            <w:r>
              <w:rPr>
                <w:color w:val="000000"/>
                <w:sz w:val="18"/>
                <w:szCs w:val="18"/>
              </w:rPr>
              <w:t>rface</w:t>
            </w:r>
            <w:r w:rsidRPr="00EF6EAE">
              <w:rPr>
                <w:color w:val="000000"/>
                <w:sz w:val="18"/>
                <w:szCs w:val="18"/>
              </w:rPr>
              <w:t xml:space="preserve"> test)</w:t>
            </w:r>
          </w:p>
          <w:p w14:paraId="5A851C1C" w14:textId="252A7F02" w:rsidR="0095110C" w:rsidRPr="00EF6EAE" w:rsidRDefault="0095110C" w:rsidP="0095110C">
            <w:pPr>
              <w:rPr>
                <w:color w:val="000000"/>
                <w:sz w:val="18"/>
                <w:szCs w:val="18"/>
              </w:rPr>
            </w:pPr>
            <w:r w:rsidRPr="00D22F57">
              <w:rPr>
                <w:color w:val="000000"/>
                <w:sz w:val="18"/>
                <w:szCs w:val="18"/>
              </w:rPr>
              <w:t xml:space="preserve">Concentrations of product tested (v/v) were: </w:t>
            </w:r>
            <w:r w:rsidRPr="00AF1A0E">
              <w:rPr>
                <w:color w:val="000000"/>
                <w:sz w:val="18"/>
                <w:szCs w:val="18"/>
              </w:rPr>
              <w:t xml:space="preserve">10% - 50% and 100%. </w:t>
            </w:r>
          </w:p>
          <w:p w14:paraId="3F944AF8" w14:textId="4047FD5E" w:rsidR="0095110C" w:rsidRPr="00D22F57" w:rsidRDefault="0095110C" w:rsidP="0095110C">
            <w:pPr>
              <w:rPr>
                <w:color w:val="000000"/>
                <w:sz w:val="18"/>
                <w:szCs w:val="18"/>
              </w:rPr>
            </w:pPr>
            <w:r w:rsidRPr="00D22F57">
              <w:rPr>
                <w:color w:val="000000"/>
                <w:sz w:val="18"/>
                <w:szCs w:val="18"/>
              </w:rPr>
              <w:t xml:space="preserve">Contact time: 5 minutes </w:t>
            </w:r>
          </w:p>
          <w:p w14:paraId="370CDC0B" w14:textId="21C3116A" w:rsidR="0095110C" w:rsidRPr="001C307C" w:rsidRDefault="0095110C" w:rsidP="0095110C">
            <w:pPr>
              <w:rPr>
                <w:color w:val="000000"/>
                <w:sz w:val="18"/>
                <w:szCs w:val="18"/>
              </w:rPr>
            </w:pPr>
            <w:r w:rsidRPr="001C307C">
              <w:rPr>
                <w:color w:val="000000"/>
                <w:sz w:val="18"/>
                <w:szCs w:val="18"/>
              </w:rPr>
              <w:t>Temperature: 20°C</w:t>
            </w:r>
          </w:p>
          <w:p w14:paraId="03626492" w14:textId="1A28CFFE" w:rsidR="0095110C" w:rsidRPr="00DE786A" w:rsidRDefault="0095110C" w:rsidP="0095110C">
            <w:pPr>
              <w:rPr>
                <w:color w:val="000000"/>
                <w:sz w:val="18"/>
                <w:szCs w:val="18"/>
              </w:rPr>
            </w:pPr>
            <w:r w:rsidRPr="00DE786A">
              <w:rPr>
                <w:color w:val="000000"/>
                <w:sz w:val="18"/>
                <w:szCs w:val="18"/>
              </w:rPr>
              <w:t>Dirty conditions: 2.7 g/L BSA + 8.5g/L skimmed milk</w:t>
            </w:r>
            <w:r>
              <w:rPr>
                <w:color w:val="000000"/>
                <w:sz w:val="18"/>
                <w:szCs w:val="18"/>
              </w:rPr>
              <w:t xml:space="preserve"> (equivalent to 3 g/L BSA as 8,5 g/L skimmed milk simulates 0,3 g/L BSA for strains with drying loss)</w:t>
            </w:r>
          </w:p>
          <w:p w14:paraId="70B8EEF5" w14:textId="0DF93C9E" w:rsidR="0095110C" w:rsidRDefault="0095110C" w:rsidP="0095110C">
            <w:pPr>
              <w:rPr>
                <w:color w:val="000000"/>
                <w:sz w:val="18"/>
                <w:szCs w:val="18"/>
              </w:rPr>
            </w:pPr>
            <w:r w:rsidRPr="00085C80">
              <w:rPr>
                <w:color w:val="000000"/>
                <w:sz w:val="18"/>
                <w:szCs w:val="18"/>
              </w:rPr>
              <w:t>Criteria: ≥ 4 log unit reduction</w:t>
            </w:r>
          </w:p>
        </w:tc>
        <w:tc>
          <w:tcPr>
            <w:tcW w:w="1701" w:type="dxa"/>
            <w:vAlign w:val="center"/>
          </w:tcPr>
          <w:p w14:paraId="01B41682" w14:textId="68E08F6A" w:rsidR="0095110C" w:rsidRPr="00AF1A0E" w:rsidRDefault="0095110C" w:rsidP="0095110C">
            <w:pPr>
              <w:rPr>
                <w:color w:val="000000"/>
                <w:sz w:val="18"/>
                <w:szCs w:val="18"/>
              </w:rPr>
            </w:pPr>
          </w:p>
          <w:p w14:paraId="74D0231C" w14:textId="77777777" w:rsidR="0095110C" w:rsidRPr="00EF6EAE" w:rsidRDefault="0095110C" w:rsidP="0095110C">
            <w:pPr>
              <w:rPr>
                <w:color w:val="000000"/>
                <w:sz w:val="18"/>
                <w:szCs w:val="18"/>
              </w:rPr>
            </w:pPr>
            <w:r w:rsidRPr="00EF6EAE">
              <w:rPr>
                <w:color w:val="000000"/>
                <w:sz w:val="18"/>
                <w:szCs w:val="18"/>
              </w:rPr>
              <w:t xml:space="preserve">Bactericidal activity demonstrated at </w:t>
            </w:r>
            <w:r>
              <w:rPr>
                <w:color w:val="000000"/>
                <w:sz w:val="18"/>
                <w:szCs w:val="18"/>
              </w:rPr>
              <w:t>1</w:t>
            </w:r>
            <w:r w:rsidRPr="00EF6EAE">
              <w:rPr>
                <w:color w:val="000000"/>
                <w:sz w:val="18"/>
                <w:szCs w:val="18"/>
              </w:rPr>
              <w:t>0 % v/v</w:t>
            </w:r>
            <w:r w:rsidRPr="00EF6EAE" w:rsidDel="00FD25E8">
              <w:rPr>
                <w:color w:val="000000"/>
                <w:sz w:val="18"/>
                <w:szCs w:val="18"/>
              </w:rPr>
              <w:t xml:space="preserve"> </w:t>
            </w:r>
          </w:p>
          <w:p w14:paraId="6FDFD79E" w14:textId="139F7F3A" w:rsidR="0095110C" w:rsidRDefault="0095110C" w:rsidP="0095110C">
            <w:pPr>
              <w:rPr>
                <w:color w:val="000000"/>
                <w:sz w:val="18"/>
                <w:szCs w:val="18"/>
              </w:rPr>
            </w:pPr>
          </w:p>
        </w:tc>
        <w:tc>
          <w:tcPr>
            <w:tcW w:w="1374" w:type="dxa"/>
            <w:vAlign w:val="center"/>
          </w:tcPr>
          <w:p w14:paraId="795FAF46" w14:textId="034F4890" w:rsidR="0095110C" w:rsidRPr="00AF1A0E" w:rsidRDefault="0095110C" w:rsidP="0095110C">
            <w:pPr>
              <w:rPr>
                <w:color w:val="000000"/>
                <w:sz w:val="18"/>
                <w:szCs w:val="18"/>
              </w:rPr>
            </w:pPr>
            <w:r w:rsidRPr="00AF1A0E">
              <w:rPr>
                <w:color w:val="000000"/>
                <w:sz w:val="18"/>
                <w:szCs w:val="18"/>
              </w:rPr>
              <w:t>Pinon A., 2020, Report No 200290c</w:t>
            </w:r>
          </w:p>
          <w:p w14:paraId="66D3F967" w14:textId="77777777" w:rsidR="0095110C" w:rsidRPr="00AF1A0E" w:rsidRDefault="0095110C" w:rsidP="0095110C">
            <w:pPr>
              <w:rPr>
                <w:color w:val="000000"/>
                <w:sz w:val="18"/>
                <w:szCs w:val="18"/>
              </w:rPr>
            </w:pPr>
          </w:p>
          <w:p w14:paraId="6D13D0B0" w14:textId="5D7C4426" w:rsidR="0095110C" w:rsidRDefault="0095110C" w:rsidP="0095110C">
            <w:pPr>
              <w:rPr>
                <w:color w:val="000000"/>
                <w:sz w:val="18"/>
                <w:szCs w:val="18"/>
              </w:rPr>
            </w:pPr>
            <w:r w:rsidRPr="00AF1A0E">
              <w:rPr>
                <w:color w:val="000000"/>
                <w:sz w:val="18"/>
                <w:szCs w:val="18"/>
              </w:rPr>
              <w:t>RI=1</w:t>
            </w:r>
          </w:p>
        </w:tc>
      </w:tr>
      <w:tr w:rsidR="0095110C" w:rsidRPr="005D3939" w14:paraId="5262F842" w14:textId="77777777" w:rsidTr="00526D5D">
        <w:trPr>
          <w:cantSplit/>
          <w:jc w:val="center"/>
        </w:trPr>
        <w:tc>
          <w:tcPr>
            <w:tcW w:w="1346" w:type="dxa"/>
            <w:vAlign w:val="center"/>
          </w:tcPr>
          <w:p w14:paraId="42B369CC" w14:textId="21308573" w:rsidR="0095110C" w:rsidRPr="00FD2055" w:rsidRDefault="0095110C" w:rsidP="0095110C">
            <w:pPr>
              <w:rPr>
                <w:i/>
                <w:color w:val="000000"/>
                <w:sz w:val="18"/>
                <w:szCs w:val="18"/>
              </w:rPr>
            </w:pPr>
            <w:r>
              <w:rPr>
                <w:color w:val="000000"/>
                <w:sz w:val="18"/>
                <w:szCs w:val="18"/>
              </w:rPr>
              <w:lastRenderedPageBreak/>
              <w:t>Disinfectant, yeasticidal activity</w:t>
            </w:r>
          </w:p>
        </w:tc>
        <w:tc>
          <w:tcPr>
            <w:tcW w:w="1559" w:type="dxa"/>
            <w:vAlign w:val="center"/>
          </w:tcPr>
          <w:p w14:paraId="77EE94C4" w14:textId="5CF2779C" w:rsidR="0095110C" w:rsidRPr="00FD2055" w:rsidRDefault="0095110C" w:rsidP="0095110C">
            <w:pPr>
              <w:rPr>
                <w:i/>
                <w:color w:val="000000"/>
                <w:sz w:val="18"/>
                <w:szCs w:val="18"/>
              </w:rPr>
            </w:pPr>
            <w:r>
              <w:rPr>
                <w:color w:val="000000"/>
                <w:sz w:val="18"/>
                <w:szCs w:val="18"/>
              </w:rPr>
              <w:t>Domestic area and companion animals environment</w:t>
            </w:r>
          </w:p>
        </w:tc>
        <w:tc>
          <w:tcPr>
            <w:tcW w:w="1329" w:type="dxa"/>
            <w:vAlign w:val="center"/>
          </w:tcPr>
          <w:p w14:paraId="16CE255B" w14:textId="5217869F" w:rsidR="0095110C" w:rsidRDefault="0095110C" w:rsidP="0095110C">
            <w:pPr>
              <w:rPr>
                <w:color w:val="000000"/>
                <w:sz w:val="18"/>
                <w:szCs w:val="18"/>
              </w:rPr>
            </w:pPr>
            <w:r>
              <w:rPr>
                <w:color w:val="000000"/>
                <w:sz w:val="18"/>
                <w:szCs w:val="18"/>
              </w:rPr>
              <w:t>AL-S</w:t>
            </w:r>
            <w:r w:rsidR="00A94903">
              <w:rPr>
                <w:color w:val="000000"/>
                <w:sz w:val="18"/>
                <w:szCs w:val="18"/>
              </w:rPr>
              <w:t>10</w:t>
            </w:r>
            <w:r>
              <w:rPr>
                <w:color w:val="000000"/>
                <w:sz w:val="18"/>
                <w:szCs w:val="18"/>
              </w:rPr>
              <w:t>-1-1</w:t>
            </w:r>
          </w:p>
          <w:p w14:paraId="7D7BDB2A" w14:textId="1E7EEB0E" w:rsidR="0095110C" w:rsidRPr="00FD2055" w:rsidRDefault="00C41434" w:rsidP="00E230D9">
            <w:pPr>
              <w:rPr>
                <w:i/>
                <w:color w:val="000000"/>
                <w:sz w:val="18"/>
                <w:szCs w:val="18"/>
              </w:rPr>
            </w:pPr>
            <w:r>
              <w:rPr>
                <w:color w:val="000000"/>
                <w:sz w:val="18"/>
                <w:szCs w:val="18"/>
              </w:rPr>
              <w:t>8</w:t>
            </w:r>
            <w:r w:rsidR="0095110C">
              <w:rPr>
                <w:color w:val="000000"/>
                <w:sz w:val="18"/>
                <w:szCs w:val="18"/>
              </w:rPr>
              <w:t>% lactic acid</w:t>
            </w:r>
          </w:p>
        </w:tc>
        <w:tc>
          <w:tcPr>
            <w:tcW w:w="0" w:type="auto"/>
            <w:shd w:val="clear" w:color="auto" w:fill="auto"/>
            <w:vAlign w:val="center"/>
          </w:tcPr>
          <w:p w14:paraId="1393C290" w14:textId="24CFC61C" w:rsidR="0095110C" w:rsidRPr="00AF1A0E" w:rsidRDefault="0095110C" w:rsidP="0095110C">
            <w:pPr>
              <w:rPr>
                <w:color w:val="000000"/>
                <w:sz w:val="18"/>
                <w:szCs w:val="18"/>
              </w:rPr>
            </w:pPr>
            <w:r w:rsidRPr="00AF1A0E">
              <w:rPr>
                <w:i/>
                <w:color w:val="000000"/>
                <w:sz w:val="18"/>
                <w:szCs w:val="18"/>
              </w:rPr>
              <w:t>Candida albicans</w:t>
            </w:r>
          </w:p>
        </w:tc>
        <w:tc>
          <w:tcPr>
            <w:tcW w:w="0" w:type="auto"/>
            <w:shd w:val="clear" w:color="auto" w:fill="auto"/>
            <w:vAlign w:val="center"/>
          </w:tcPr>
          <w:p w14:paraId="269BBBCC" w14:textId="68B03A6D" w:rsidR="0095110C" w:rsidRPr="00AF1A0E" w:rsidRDefault="0095110C" w:rsidP="0095110C">
            <w:pPr>
              <w:rPr>
                <w:color w:val="000000"/>
                <w:sz w:val="18"/>
                <w:szCs w:val="18"/>
              </w:rPr>
            </w:pPr>
            <w:r w:rsidRPr="00AF1A0E">
              <w:rPr>
                <w:color w:val="000000"/>
                <w:sz w:val="18"/>
                <w:szCs w:val="18"/>
              </w:rPr>
              <w:t>NF EN 16438 (March 2014)</w:t>
            </w:r>
          </w:p>
        </w:tc>
        <w:tc>
          <w:tcPr>
            <w:tcW w:w="3034" w:type="dxa"/>
            <w:shd w:val="clear" w:color="auto" w:fill="auto"/>
            <w:vAlign w:val="center"/>
          </w:tcPr>
          <w:p w14:paraId="3F803E67" w14:textId="65C6195D" w:rsidR="0095110C" w:rsidRPr="00EF6EAE" w:rsidRDefault="0095110C" w:rsidP="0095110C">
            <w:pPr>
              <w:rPr>
                <w:color w:val="000000"/>
                <w:sz w:val="18"/>
                <w:szCs w:val="18"/>
              </w:rPr>
            </w:pPr>
            <w:r w:rsidRPr="00EF6EAE">
              <w:rPr>
                <w:color w:val="000000"/>
                <w:sz w:val="18"/>
                <w:szCs w:val="18"/>
              </w:rPr>
              <w:t>Phase 2 step 2 (su</w:t>
            </w:r>
            <w:r>
              <w:rPr>
                <w:color w:val="000000"/>
                <w:sz w:val="18"/>
                <w:szCs w:val="18"/>
              </w:rPr>
              <w:t xml:space="preserve">rface </w:t>
            </w:r>
            <w:r w:rsidRPr="00EF6EAE">
              <w:rPr>
                <w:color w:val="000000"/>
                <w:sz w:val="18"/>
                <w:szCs w:val="18"/>
              </w:rPr>
              <w:t>test)</w:t>
            </w:r>
          </w:p>
          <w:p w14:paraId="35E6BF39" w14:textId="013D88FA" w:rsidR="0095110C" w:rsidRPr="00D22F57" w:rsidRDefault="0095110C" w:rsidP="0095110C">
            <w:pPr>
              <w:rPr>
                <w:color w:val="000000"/>
                <w:sz w:val="18"/>
                <w:szCs w:val="18"/>
              </w:rPr>
            </w:pPr>
            <w:r w:rsidRPr="00D22F57">
              <w:rPr>
                <w:color w:val="000000"/>
                <w:sz w:val="18"/>
                <w:szCs w:val="18"/>
              </w:rPr>
              <w:t xml:space="preserve">Concentrations of product tested (v/v) were: </w:t>
            </w:r>
            <w:r w:rsidR="003D65CC">
              <w:rPr>
                <w:color w:val="000000"/>
                <w:sz w:val="18"/>
                <w:szCs w:val="18"/>
              </w:rPr>
              <w:t>6</w:t>
            </w:r>
            <w:r w:rsidRPr="00D22F57">
              <w:rPr>
                <w:color w:val="000000"/>
                <w:sz w:val="18"/>
                <w:szCs w:val="18"/>
              </w:rPr>
              <w:t xml:space="preserve">% - </w:t>
            </w:r>
            <w:r w:rsidR="003D65CC">
              <w:rPr>
                <w:color w:val="000000"/>
                <w:sz w:val="18"/>
                <w:szCs w:val="18"/>
              </w:rPr>
              <w:t>8</w:t>
            </w:r>
            <w:r w:rsidRPr="00D22F57">
              <w:rPr>
                <w:color w:val="000000"/>
                <w:sz w:val="18"/>
                <w:szCs w:val="18"/>
              </w:rPr>
              <w:t xml:space="preserve">% and 10%. </w:t>
            </w:r>
          </w:p>
          <w:p w14:paraId="7042C452" w14:textId="51EFD42C" w:rsidR="0095110C" w:rsidRPr="00D22F57" w:rsidRDefault="0095110C" w:rsidP="0095110C">
            <w:pPr>
              <w:rPr>
                <w:color w:val="000000"/>
                <w:sz w:val="18"/>
                <w:szCs w:val="18"/>
              </w:rPr>
            </w:pPr>
            <w:r w:rsidRPr="00D22F57">
              <w:rPr>
                <w:color w:val="000000"/>
                <w:sz w:val="18"/>
                <w:szCs w:val="18"/>
              </w:rPr>
              <w:t xml:space="preserve">Contact time: 120 minutes </w:t>
            </w:r>
          </w:p>
          <w:p w14:paraId="4C727D18" w14:textId="7A746027" w:rsidR="0095110C" w:rsidRPr="001C307C" w:rsidRDefault="0095110C" w:rsidP="0095110C">
            <w:pPr>
              <w:rPr>
                <w:color w:val="000000"/>
                <w:sz w:val="18"/>
                <w:szCs w:val="18"/>
              </w:rPr>
            </w:pPr>
            <w:r w:rsidRPr="001C307C">
              <w:rPr>
                <w:color w:val="000000"/>
                <w:sz w:val="18"/>
                <w:szCs w:val="18"/>
              </w:rPr>
              <w:t xml:space="preserve">Temperature: </w:t>
            </w:r>
            <w:r w:rsidR="005F2ADC">
              <w:rPr>
                <w:color w:val="000000"/>
                <w:sz w:val="18"/>
                <w:szCs w:val="18"/>
              </w:rPr>
              <w:t>2</w:t>
            </w:r>
            <w:r w:rsidRPr="001C307C">
              <w:rPr>
                <w:color w:val="000000"/>
                <w:sz w:val="18"/>
                <w:szCs w:val="18"/>
              </w:rPr>
              <w:t>0°C</w:t>
            </w:r>
          </w:p>
          <w:p w14:paraId="5F35CC92" w14:textId="77777777" w:rsidR="0095110C" w:rsidRPr="00DE786A" w:rsidRDefault="0095110C" w:rsidP="0095110C">
            <w:pPr>
              <w:rPr>
                <w:color w:val="000000"/>
                <w:sz w:val="18"/>
                <w:szCs w:val="18"/>
              </w:rPr>
            </w:pPr>
            <w:r w:rsidRPr="00DE786A">
              <w:rPr>
                <w:color w:val="000000"/>
                <w:sz w:val="18"/>
                <w:szCs w:val="18"/>
              </w:rPr>
              <w:t xml:space="preserve">Dirty conditions: 3 g/L BSA </w:t>
            </w:r>
          </w:p>
          <w:p w14:paraId="2DF5E87D" w14:textId="75C8EE4D" w:rsidR="0095110C" w:rsidRPr="00AF1A0E" w:rsidRDefault="0095110C" w:rsidP="0095110C">
            <w:pPr>
              <w:rPr>
                <w:color w:val="000000"/>
                <w:sz w:val="18"/>
                <w:szCs w:val="18"/>
              </w:rPr>
            </w:pPr>
            <w:r w:rsidRPr="00085C80">
              <w:rPr>
                <w:color w:val="000000"/>
                <w:sz w:val="18"/>
                <w:szCs w:val="18"/>
              </w:rPr>
              <w:t>Criteria: ≥ 3 log unit reduction</w:t>
            </w:r>
          </w:p>
        </w:tc>
        <w:tc>
          <w:tcPr>
            <w:tcW w:w="1701" w:type="dxa"/>
            <w:shd w:val="clear" w:color="auto" w:fill="auto"/>
            <w:vAlign w:val="center"/>
          </w:tcPr>
          <w:p w14:paraId="4DE4C905" w14:textId="695DD4B2" w:rsidR="0095110C" w:rsidRPr="00EF6EAE" w:rsidRDefault="0095110C" w:rsidP="0095110C">
            <w:pPr>
              <w:rPr>
                <w:color w:val="000000"/>
                <w:sz w:val="18"/>
                <w:szCs w:val="18"/>
              </w:rPr>
            </w:pPr>
            <w:r w:rsidRPr="00EF6EAE">
              <w:rPr>
                <w:color w:val="000000"/>
                <w:sz w:val="18"/>
                <w:szCs w:val="18"/>
              </w:rPr>
              <w:t>Yeasticidal activity demonstrated at 10 % v/v</w:t>
            </w:r>
            <w:r w:rsidRPr="00EF6EAE" w:rsidDel="00FD25E8">
              <w:rPr>
                <w:color w:val="000000"/>
                <w:sz w:val="18"/>
                <w:szCs w:val="18"/>
              </w:rPr>
              <w:t xml:space="preserve"> </w:t>
            </w:r>
          </w:p>
          <w:p w14:paraId="5D0094D7" w14:textId="09BCC377" w:rsidR="0095110C" w:rsidRPr="00AF1A0E" w:rsidRDefault="00A94903" w:rsidP="00C41434">
            <w:pPr>
              <w:rPr>
                <w:color w:val="000000"/>
                <w:sz w:val="18"/>
                <w:szCs w:val="18"/>
              </w:rPr>
            </w:pPr>
            <w:r>
              <w:rPr>
                <w:color w:val="000000"/>
                <w:sz w:val="18"/>
                <w:szCs w:val="18"/>
              </w:rPr>
              <w:t xml:space="preserve">Therefore the product AL S9 1-1 </w:t>
            </w:r>
            <w:r w:rsidR="00C41434">
              <w:rPr>
                <w:color w:val="000000"/>
                <w:sz w:val="18"/>
                <w:szCs w:val="18"/>
              </w:rPr>
              <w:t>2.4</w:t>
            </w:r>
            <w:r>
              <w:rPr>
                <w:color w:val="000000"/>
                <w:sz w:val="18"/>
                <w:szCs w:val="18"/>
              </w:rPr>
              <w:t>% acid lactic ready to use is efficient</w:t>
            </w:r>
          </w:p>
        </w:tc>
        <w:tc>
          <w:tcPr>
            <w:tcW w:w="1374" w:type="dxa"/>
            <w:shd w:val="clear" w:color="auto" w:fill="auto"/>
            <w:vAlign w:val="center"/>
          </w:tcPr>
          <w:p w14:paraId="7A5AD5A4" w14:textId="50050615" w:rsidR="0095110C" w:rsidRPr="00AF1A0E" w:rsidRDefault="0095110C" w:rsidP="0095110C">
            <w:pPr>
              <w:rPr>
                <w:color w:val="000000"/>
                <w:sz w:val="18"/>
                <w:szCs w:val="18"/>
              </w:rPr>
            </w:pPr>
            <w:r w:rsidRPr="00AF1A0E">
              <w:rPr>
                <w:color w:val="000000"/>
                <w:sz w:val="18"/>
                <w:szCs w:val="18"/>
              </w:rPr>
              <w:t>Gabillet AF., 2020, Report No 5870-1</w:t>
            </w:r>
          </w:p>
          <w:p w14:paraId="09C2F71B" w14:textId="77777777" w:rsidR="0095110C" w:rsidRPr="00AF1A0E" w:rsidRDefault="0095110C" w:rsidP="0095110C">
            <w:pPr>
              <w:rPr>
                <w:color w:val="000000"/>
                <w:sz w:val="18"/>
                <w:szCs w:val="18"/>
              </w:rPr>
            </w:pPr>
          </w:p>
          <w:p w14:paraId="178E8A79" w14:textId="25DDFB79" w:rsidR="0095110C" w:rsidRPr="00AF1A0E" w:rsidRDefault="0095110C" w:rsidP="0095110C">
            <w:pPr>
              <w:rPr>
                <w:i/>
                <w:color w:val="000000"/>
                <w:sz w:val="18"/>
                <w:szCs w:val="18"/>
              </w:rPr>
            </w:pPr>
            <w:r w:rsidRPr="00AF1A0E">
              <w:rPr>
                <w:color w:val="000000"/>
                <w:sz w:val="18"/>
                <w:szCs w:val="18"/>
              </w:rPr>
              <w:t>RI=1</w:t>
            </w:r>
          </w:p>
        </w:tc>
      </w:tr>
    </w:tbl>
    <w:p w14:paraId="50431822" w14:textId="1B4910A9" w:rsidR="0015321A" w:rsidRDefault="0015321A" w:rsidP="0015321A">
      <w:pPr>
        <w:spacing w:line="260" w:lineRule="atLeast"/>
        <w:jc w:val="both"/>
        <w:rPr>
          <w:rFonts w:ascii="Times New Roman" w:eastAsia="Calibri" w:hAnsi="Times New Roman" w:cs="Arial"/>
          <w:bCs/>
          <w:i/>
          <w:caps/>
          <w:szCs w:val="28"/>
          <w:lang w:eastAsia="en-US"/>
        </w:rPr>
        <w:sectPr w:rsidR="0015321A" w:rsidSect="0095110C">
          <w:pgSz w:w="16838" w:h="11906" w:orient="landscape"/>
          <w:pgMar w:top="1446" w:right="1474" w:bottom="1247" w:left="2013" w:header="851" w:footer="851" w:gutter="0"/>
          <w:cols w:space="720"/>
          <w:docGrid w:linePitch="272"/>
        </w:sectPr>
      </w:pPr>
    </w:p>
    <w:p w14:paraId="7872F47C" w14:textId="732AE7E8" w:rsidR="0015321A" w:rsidRPr="007A4DA8" w:rsidRDefault="0015321A" w:rsidP="00526D5D">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10: Disinfectant for </w:t>
      </w:r>
      <w:r w:rsidR="00C174D4" w:rsidRPr="007A4DA8">
        <w:rPr>
          <w:rFonts w:eastAsia="Calibri"/>
          <w:b/>
          <w:lang w:eastAsia="en-US"/>
        </w:rPr>
        <w:t xml:space="preserve">hard surfaces </w:t>
      </w:r>
      <w:r w:rsidR="00733D14" w:rsidRPr="007A4DA8">
        <w:rPr>
          <w:rFonts w:eastAsia="Calibri"/>
          <w:b/>
          <w:lang w:eastAsia="en-US"/>
        </w:rPr>
        <w:t>in</w:t>
      </w:r>
      <w:r w:rsidR="00C174D4" w:rsidRPr="007A4DA8">
        <w:rPr>
          <w:rFonts w:eastAsia="Calibri"/>
          <w:b/>
          <w:lang w:eastAsia="en-US"/>
        </w:rPr>
        <w:t xml:space="preserve"> </w:t>
      </w:r>
      <w:r w:rsidRPr="007A4DA8">
        <w:rPr>
          <w:rFonts w:eastAsia="Calibri"/>
          <w:b/>
          <w:lang w:eastAsia="en-US"/>
        </w:rPr>
        <w:t xml:space="preserve">domestic area and companion </w:t>
      </w:r>
      <w:r w:rsidR="009027DD" w:rsidRPr="007A4DA8">
        <w:rPr>
          <w:rFonts w:eastAsia="Calibri"/>
          <w:b/>
          <w:lang w:eastAsia="en-US"/>
        </w:rPr>
        <w:t>animal’s</w:t>
      </w:r>
      <w:r w:rsidR="00733CE3" w:rsidRPr="007A4DA8">
        <w:rPr>
          <w:rFonts w:eastAsia="Calibri"/>
          <w:b/>
          <w:lang w:eastAsia="en-US"/>
        </w:rPr>
        <w:t xml:space="preserve"> environment</w:t>
      </w:r>
      <w:r w:rsidR="00C174D4" w:rsidRPr="007A4DA8">
        <w:rPr>
          <w:rFonts w:eastAsia="Calibri"/>
          <w:b/>
          <w:lang w:eastAsia="en-US"/>
        </w:rPr>
        <w:t>, by</w:t>
      </w:r>
      <w:r w:rsidR="00733CE3" w:rsidRPr="007A4DA8">
        <w:rPr>
          <w:rFonts w:eastAsia="Calibri"/>
          <w:b/>
          <w:lang w:eastAsia="en-US"/>
        </w:rPr>
        <w:t xml:space="preserve"> </w:t>
      </w:r>
      <w:r w:rsidR="00C174D4" w:rsidRPr="007A4DA8">
        <w:rPr>
          <w:rFonts w:eastAsia="Calibri"/>
          <w:b/>
          <w:lang w:eastAsia="en-US"/>
        </w:rPr>
        <w:t>s</w:t>
      </w:r>
      <w:r w:rsidR="00733CE3" w:rsidRPr="007A4DA8">
        <w:rPr>
          <w:rFonts w:eastAsia="Calibri"/>
          <w:b/>
          <w:lang w:eastAsia="en-US"/>
        </w:rPr>
        <w:t>praying</w:t>
      </w:r>
      <w:r w:rsidR="00C174D4" w:rsidRPr="007A4DA8">
        <w:rPr>
          <w:rFonts w:eastAsia="Calibri"/>
          <w:b/>
          <w:lang w:eastAsia="en-US"/>
        </w:rPr>
        <w:t xml:space="preserve"> </w:t>
      </w:r>
      <w:r w:rsidR="00733CE3" w:rsidRPr="007A4DA8">
        <w:rPr>
          <w:rFonts w:eastAsia="Calibri"/>
          <w:b/>
          <w:lang w:eastAsia="en-US"/>
        </w:rPr>
        <w:t xml:space="preserve">and </w:t>
      </w:r>
      <w:r w:rsidR="00C174D4" w:rsidRPr="007A4DA8">
        <w:rPr>
          <w:rFonts w:eastAsia="Calibri"/>
          <w:b/>
          <w:lang w:eastAsia="en-US"/>
        </w:rPr>
        <w:t>pouring – PT2/3</w:t>
      </w:r>
      <w:r w:rsidR="00733CE3" w:rsidRPr="007A4DA8">
        <w:rPr>
          <w:rFonts w:eastAsia="Calibri"/>
          <w:b/>
          <w:lang w:eastAsia="en-US"/>
        </w:rPr>
        <w:t xml:space="preserve"> </w:t>
      </w:r>
    </w:p>
    <w:p w14:paraId="6D1A3281" w14:textId="77777777" w:rsidR="0015321A" w:rsidRDefault="0015321A" w:rsidP="0015321A">
      <w:pPr>
        <w:pStyle w:val="Paragraphedeliste"/>
        <w:spacing w:line="260" w:lineRule="atLeast"/>
        <w:rPr>
          <w:rFonts w:eastAsia="Calibri"/>
          <w:lang w:eastAsia="en-US"/>
        </w:rPr>
      </w:pPr>
    </w:p>
    <w:p w14:paraId="211069A3" w14:textId="273B2B47" w:rsidR="0015321A" w:rsidRDefault="0015321A" w:rsidP="00B146C9">
      <w:pPr>
        <w:spacing w:line="260" w:lineRule="atLeast"/>
        <w:jc w:val="both"/>
        <w:rPr>
          <w:lang w:eastAsia="en-US"/>
        </w:rPr>
      </w:pPr>
      <w:r w:rsidRPr="005C303E">
        <w:rPr>
          <w:lang w:eastAsia="en-US"/>
        </w:rPr>
        <w:t>META-SPC</w:t>
      </w:r>
      <w:r>
        <w:rPr>
          <w:lang w:eastAsia="en-US"/>
        </w:rPr>
        <w:t>10</w:t>
      </w:r>
      <w:r w:rsidRPr="005C303E">
        <w:rPr>
          <w:lang w:eastAsia="en-US"/>
        </w:rPr>
        <w:t xml:space="preserve"> contains </w:t>
      </w:r>
      <w:r w:rsidR="00612E99">
        <w:rPr>
          <w:lang w:eastAsia="en-US"/>
        </w:rPr>
        <w:t>products to be diluted in water</w:t>
      </w:r>
      <w:r w:rsidR="00612E99" w:rsidDel="00C57FF4">
        <w:rPr>
          <w:lang w:eastAsia="en-US"/>
        </w:rPr>
        <w:t xml:space="preserve"> </w:t>
      </w:r>
      <w:r>
        <w:rPr>
          <w:lang w:eastAsia="en-US"/>
        </w:rPr>
        <w:t xml:space="preserve">containing </w:t>
      </w:r>
      <w:r w:rsidR="00C41434">
        <w:rPr>
          <w:lang w:eastAsia="en-US"/>
        </w:rPr>
        <w:t>8</w:t>
      </w:r>
      <w:r>
        <w:rPr>
          <w:lang w:eastAsia="en-US"/>
        </w:rPr>
        <w:t xml:space="preserve">% w/w lactic acid, and minor variations of coformulants, in low concentrations without biocidal activity. </w:t>
      </w:r>
    </w:p>
    <w:p w14:paraId="0DB165EA" w14:textId="183CA9E5" w:rsidR="0015321A" w:rsidRDefault="0015321A" w:rsidP="00526D5D">
      <w:pPr>
        <w:spacing w:line="260" w:lineRule="atLeast"/>
        <w:jc w:val="both"/>
        <w:rPr>
          <w:rFonts w:cs="Arial"/>
          <w:lang w:eastAsia="en-US"/>
        </w:rPr>
      </w:pPr>
      <w:r>
        <w:rPr>
          <w:lang w:eastAsia="en-US"/>
        </w:rPr>
        <w:t xml:space="preserve">Efficacy studies have been performed with </w:t>
      </w:r>
      <w:r w:rsidR="00B146C9">
        <w:rPr>
          <w:lang w:eastAsia="en-US"/>
        </w:rPr>
        <w:t xml:space="preserve">the </w:t>
      </w:r>
      <w:r>
        <w:rPr>
          <w:lang w:eastAsia="en-US"/>
        </w:rPr>
        <w:t xml:space="preserve">representative </w:t>
      </w:r>
      <w:r w:rsidRPr="008907CB">
        <w:rPr>
          <w:lang w:eastAsia="en-US"/>
        </w:rPr>
        <w:t xml:space="preserve">product </w:t>
      </w:r>
      <w:r w:rsidRPr="00C914AE">
        <w:rPr>
          <w:rFonts w:eastAsia="Calibri"/>
          <w:iCs/>
          <w:szCs w:val="24"/>
          <w:lang w:eastAsia="en-US"/>
        </w:rPr>
        <w:t>AL-S10-1-0 (</w:t>
      </w:r>
      <w:r w:rsidR="00837D62">
        <w:rPr>
          <w:rFonts w:eastAsia="Calibri"/>
          <w:iCs/>
          <w:szCs w:val="24"/>
          <w:lang w:eastAsia="en-US"/>
        </w:rPr>
        <w:t>8</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8907CB">
        <w:rPr>
          <w:rFonts w:cs="Arial"/>
          <w:lang w:eastAsia="en-US"/>
        </w:rPr>
        <w:t>Taking into account the variations of the co-formulants presented in the META-SPC10, it can be assumed that they have no impact on efficacy and the efficacy results of the representative product</w:t>
      </w:r>
      <w:r w:rsidRPr="00560A44">
        <w:rPr>
          <w:rFonts w:cs="Arial"/>
          <w:lang w:eastAsia="en-US"/>
        </w:rPr>
        <w:t xml:space="preserve">s </w:t>
      </w:r>
      <w:r w:rsidRPr="00C914AE">
        <w:rPr>
          <w:rFonts w:eastAsia="Calibri"/>
          <w:iCs/>
          <w:szCs w:val="24"/>
          <w:lang w:eastAsia="en-US"/>
        </w:rPr>
        <w:t xml:space="preserve">AL-S10-1-0 </w:t>
      </w:r>
      <w:r w:rsidRPr="008907CB">
        <w:rPr>
          <w:rFonts w:cs="Arial"/>
          <w:lang w:eastAsia="en-US"/>
        </w:rPr>
        <w:t>cover the whole META-SPC10 claims</w:t>
      </w:r>
      <w:r>
        <w:rPr>
          <w:rFonts w:cs="Arial"/>
          <w:lang w:eastAsia="en-US"/>
        </w:rPr>
        <w:t>.</w:t>
      </w:r>
    </w:p>
    <w:p w14:paraId="699F715C" w14:textId="77777777" w:rsidR="0015321A" w:rsidRDefault="0015321A" w:rsidP="0015321A">
      <w:pPr>
        <w:spacing w:line="260" w:lineRule="atLeast"/>
        <w:rPr>
          <w:rFonts w:eastAsia="Calibri"/>
          <w:lang w:eastAsia="en-US"/>
        </w:rPr>
      </w:pPr>
    </w:p>
    <w:p w14:paraId="3F3A80F8" w14:textId="197BF354" w:rsidR="00B146C9" w:rsidRDefault="0015321A" w:rsidP="0015321A">
      <w:pPr>
        <w:spacing w:line="260" w:lineRule="atLeast"/>
        <w:jc w:val="both"/>
        <w:rPr>
          <w:rFonts w:eastAsia="Calibri"/>
          <w:lang w:eastAsia="en-US"/>
        </w:rPr>
      </w:pPr>
      <w:r w:rsidRPr="00D6488A">
        <w:rPr>
          <w:rFonts w:eastAsia="Calibri"/>
          <w:lang w:eastAsia="en-US"/>
        </w:rPr>
        <w:t>In domestic area</w:t>
      </w:r>
      <w:r w:rsidR="00B146C9">
        <w:rPr>
          <w:rFonts w:eastAsia="Calibri"/>
          <w:lang w:eastAsia="en-US"/>
        </w:rPr>
        <w:t>:</w:t>
      </w:r>
    </w:p>
    <w:p w14:paraId="24CCCED5" w14:textId="78F0B321" w:rsidR="0015321A" w:rsidRDefault="00B146C9" w:rsidP="0015321A">
      <w:pPr>
        <w:spacing w:line="260" w:lineRule="atLeast"/>
        <w:jc w:val="both"/>
        <w:rPr>
          <w:rFonts w:eastAsia="Calibri"/>
          <w:lang w:eastAsia="en-US"/>
        </w:rPr>
      </w:pPr>
      <w:r>
        <w:rPr>
          <w:rFonts w:eastAsia="Calibri"/>
          <w:lang w:eastAsia="en-US"/>
        </w:rPr>
        <w:t>B</w:t>
      </w:r>
      <w:r w:rsidR="0015321A" w:rsidRPr="00D6488A">
        <w:rPr>
          <w:rFonts w:eastAsia="Calibri"/>
          <w:lang w:eastAsia="en-US"/>
        </w:rPr>
        <w:t xml:space="preserve">actericidal activity </w:t>
      </w:r>
      <w:r w:rsidR="0015321A">
        <w:rPr>
          <w:rFonts w:eastAsia="Calibri"/>
          <w:lang w:eastAsia="en-US"/>
        </w:rPr>
        <w:t>is demonstrated in phase 2, steps 1 and 2 tests (EN 1276 and EN 13697),</w:t>
      </w:r>
      <w:r w:rsidR="0015321A" w:rsidRPr="00E40200">
        <w:rPr>
          <w:rFonts w:eastAsia="Calibri"/>
          <w:lang w:eastAsia="en-US"/>
        </w:rPr>
        <w:t xml:space="preserve"> </w:t>
      </w:r>
      <w:r w:rsidR="0015321A">
        <w:rPr>
          <w:rFonts w:eastAsia="Calibri"/>
          <w:lang w:eastAsia="en-US"/>
        </w:rPr>
        <w:t xml:space="preserve">at </w:t>
      </w:r>
      <w:r w:rsidR="0015321A" w:rsidRPr="00D6488A">
        <w:rPr>
          <w:rFonts w:eastAsia="Calibri"/>
          <w:lang w:eastAsia="en-US"/>
        </w:rPr>
        <w:t>20°C with</w:t>
      </w:r>
      <w:r w:rsidR="0015321A">
        <w:rPr>
          <w:rFonts w:eastAsia="Calibri"/>
          <w:lang w:eastAsia="en-US"/>
        </w:rPr>
        <w:t xml:space="preserve"> a</w:t>
      </w:r>
      <w:r w:rsidR="0015321A" w:rsidRPr="00D6488A">
        <w:rPr>
          <w:rFonts w:eastAsia="Calibri"/>
          <w:lang w:eastAsia="en-US"/>
        </w:rPr>
        <w:t xml:space="preserve"> contact time of 5 minut</w:t>
      </w:r>
      <w:r w:rsidR="0015321A">
        <w:rPr>
          <w:rFonts w:eastAsia="Calibri"/>
          <w:lang w:eastAsia="en-US"/>
        </w:rPr>
        <w:t>es, in dirty conditions (3.0 g/L BSA).</w:t>
      </w:r>
      <w:r w:rsidR="0015321A" w:rsidRPr="00E40200">
        <w:rPr>
          <w:lang w:eastAsia="en-US"/>
        </w:rPr>
        <w:t xml:space="preserve"> </w:t>
      </w:r>
      <w:r w:rsidR="0015321A" w:rsidRPr="003D493E">
        <w:rPr>
          <w:lang w:eastAsia="en-US"/>
        </w:rPr>
        <w:t xml:space="preserve">In these conditions, bactericidal activity is shown at the in-use concentration of </w:t>
      </w:r>
      <w:r w:rsidR="0015321A">
        <w:rPr>
          <w:rFonts w:eastAsia="Calibri"/>
          <w:lang w:eastAsia="en-US"/>
        </w:rPr>
        <w:t>6</w:t>
      </w:r>
      <w:r w:rsidR="0015321A" w:rsidRPr="00F81A6F">
        <w:rPr>
          <w:rFonts w:eastAsia="Calibri"/>
          <w:lang w:eastAsia="en-US"/>
        </w:rPr>
        <w:t>% (v/v</w:t>
      </w:r>
      <w:r w:rsidR="0015321A">
        <w:rPr>
          <w:rFonts w:eastAsia="Calibri"/>
          <w:lang w:eastAsia="en-US"/>
        </w:rPr>
        <w:t>).</w:t>
      </w:r>
    </w:p>
    <w:p w14:paraId="6027973F" w14:textId="165C4FE3" w:rsidR="0015321A" w:rsidRDefault="0015321A" w:rsidP="0015321A">
      <w:pPr>
        <w:spacing w:line="260" w:lineRule="atLeast"/>
        <w:jc w:val="both"/>
        <w:rPr>
          <w:rFonts w:eastAsia="Calibri"/>
          <w:lang w:eastAsia="en-US"/>
        </w:rPr>
      </w:pPr>
      <w:r>
        <w:rPr>
          <w:rFonts w:eastAsia="Calibri"/>
          <w:lang w:eastAsia="en-US"/>
        </w:rPr>
        <w:t xml:space="preserve">An </w:t>
      </w:r>
      <w:r w:rsidRPr="0076468B">
        <w:rPr>
          <w:rFonts w:eastAsia="Calibri"/>
          <w:lang w:eastAsia="en-US"/>
        </w:rPr>
        <w:t xml:space="preserve">activity </w:t>
      </w:r>
      <w:r>
        <w:rPr>
          <w:rFonts w:eastAsia="Calibri"/>
          <w:lang w:eastAsia="en-US"/>
        </w:rPr>
        <w:t>against the additionnal</w:t>
      </w:r>
      <w:r w:rsidRPr="00263CDA">
        <w:rPr>
          <w:rFonts w:eastAsia="Calibri"/>
          <w:lang w:eastAsia="en-US"/>
        </w:rPr>
        <w:t xml:space="preserve"> strain</w:t>
      </w:r>
      <w:r>
        <w:rPr>
          <w:rFonts w:eastAsia="Calibri"/>
          <w:lang w:eastAsia="en-US"/>
        </w:rPr>
        <w:t xml:space="preserve"> </w:t>
      </w:r>
      <w:r w:rsidRPr="00AB27D1">
        <w:rPr>
          <w:rFonts w:eastAsia="Calibri"/>
          <w:i/>
          <w:lang w:eastAsia="en-US"/>
        </w:rPr>
        <w:t>Bartonella henselae</w:t>
      </w:r>
      <w:r>
        <w:rPr>
          <w:rFonts w:eastAsia="Calibri"/>
          <w:lang w:eastAsia="en-US"/>
        </w:rPr>
        <w:t xml:space="preserve"> </w:t>
      </w:r>
      <w:r w:rsidRPr="003D493E">
        <w:rPr>
          <w:lang w:eastAsia="en-US"/>
        </w:rPr>
        <w:t xml:space="preserve">is demonstrated </w:t>
      </w:r>
      <w:r>
        <w:rPr>
          <w:lang w:eastAsia="en-US"/>
        </w:rPr>
        <w:t>in phase 2, step</w:t>
      </w:r>
      <w:r w:rsidRPr="003D493E">
        <w:rPr>
          <w:lang w:eastAsia="en-US"/>
        </w:rPr>
        <w:t xml:space="preserve"> </w:t>
      </w:r>
      <w:r>
        <w:rPr>
          <w:lang w:eastAsia="en-US"/>
        </w:rPr>
        <w:t>1 and 2 tests (</w:t>
      </w:r>
      <w:r>
        <w:rPr>
          <w:rFonts w:eastAsia="Calibri"/>
          <w:lang w:eastAsia="en-US"/>
        </w:rPr>
        <w:t>EN 1276 and</w:t>
      </w:r>
      <w:r>
        <w:rPr>
          <w:lang w:eastAsia="en-US"/>
        </w:rPr>
        <w:t xml:space="preserve"> EN 13697)</w:t>
      </w:r>
      <w:r w:rsidRPr="0076468B">
        <w:rPr>
          <w:rFonts w:eastAsia="Calibri"/>
          <w:lang w:eastAsia="en-US"/>
        </w:rPr>
        <w:t>,</w:t>
      </w:r>
      <w:r>
        <w:rPr>
          <w:rFonts w:eastAsia="Calibri"/>
          <w:lang w:eastAsia="en-US"/>
        </w:rPr>
        <w:t xml:space="preserve"> </w:t>
      </w:r>
      <w:r w:rsidRPr="0076468B">
        <w:rPr>
          <w:rFonts w:eastAsia="Calibri"/>
          <w:lang w:eastAsia="en-US"/>
        </w:rPr>
        <w:t xml:space="preserve">at 20°C </w:t>
      </w:r>
      <w:r>
        <w:rPr>
          <w:rFonts w:eastAsia="Calibri"/>
          <w:lang w:eastAsia="en-US"/>
        </w:rPr>
        <w:t>with</w:t>
      </w:r>
      <w:r w:rsidRPr="0076468B">
        <w:rPr>
          <w:rFonts w:eastAsia="Calibri"/>
          <w:lang w:eastAsia="en-US"/>
        </w:rPr>
        <w:t xml:space="preserve"> </w:t>
      </w:r>
      <w:r>
        <w:rPr>
          <w:rFonts w:eastAsia="Calibri"/>
          <w:lang w:eastAsia="en-US"/>
        </w:rPr>
        <w:t xml:space="preserve">a </w:t>
      </w:r>
      <w:r w:rsidRPr="0076468B">
        <w:rPr>
          <w:rFonts w:eastAsia="Calibri"/>
          <w:lang w:eastAsia="en-US"/>
        </w:rPr>
        <w:t>contact time of 5 minu</w:t>
      </w:r>
      <w:r>
        <w:rPr>
          <w:rFonts w:eastAsia="Calibri"/>
          <w:lang w:eastAsia="en-US"/>
        </w:rPr>
        <w:t>tes</w:t>
      </w:r>
      <w:r w:rsidR="00526D5D">
        <w:rPr>
          <w:rFonts w:eastAsia="Calibri"/>
          <w:lang w:eastAsia="en-US"/>
        </w:rPr>
        <w:t>,</w:t>
      </w:r>
      <w:r>
        <w:rPr>
          <w:rFonts w:eastAsia="Calibri"/>
          <w:lang w:eastAsia="en-US"/>
        </w:rPr>
        <w:t xml:space="preserve"> in</w:t>
      </w:r>
      <w:r w:rsidR="00B146C9">
        <w:rPr>
          <w:rFonts w:eastAsia="Calibri"/>
          <w:lang w:eastAsia="en-US"/>
        </w:rPr>
        <w:t xml:space="preserve"> conditions simulating</w:t>
      </w:r>
      <w:r>
        <w:rPr>
          <w:rFonts w:eastAsia="Calibri"/>
          <w:lang w:eastAsia="en-US"/>
        </w:rPr>
        <w:t xml:space="preserve"> dirty conditions (3.0 g/L BSA + 8.5 g/L skimmed</w:t>
      </w:r>
      <w:r w:rsidR="00B146C9">
        <w:rPr>
          <w:rFonts w:eastAsia="Calibri"/>
          <w:lang w:eastAsia="en-US"/>
        </w:rPr>
        <w:t xml:space="preserve"> </w:t>
      </w:r>
      <w:r>
        <w:rPr>
          <w:rFonts w:eastAsia="Calibri"/>
          <w:lang w:eastAsia="en-US"/>
        </w:rPr>
        <w:t xml:space="preserve">milk), at 6 % </w:t>
      </w:r>
      <w:r w:rsidR="00C174D4">
        <w:rPr>
          <w:rFonts w:eastAsia="Calibri"/>
          <w:lang w:eastAsia="en-US"/>
        </w:rPr>
        <w:t>(</w:t>
      </w:r>
      <w:r>
        <w:rPr>
          <w:rFonts w:eastAsia="Calibri"/>
          <w:lang w:eastAsia="en-US"/>
        </w:rPr>
        <w:t>v/v</w:t>
      </w:r>
      <w:r w:rsidR="00C174D4">
        <w:rPr>
          <w:rFonts w:eastAsia="Calibri"/>
          <w:lang w:eastAsia="en-US"/>
        </w:rPr>
        <w:t>)</w:t>
      </w:r>
      <w:r>
        <w:rPr>
          <w:rFonts w:eastAsia="Calibri"/>
          <w:lang w:eastAsia="en-US"/>
        </w:rPr>
        <w:t>.</w:t>
      </w:r>
    </w:p>
    <w:p w14:paraId="69E22BDE" w14:textId="77777777" w:rsidR="0015321A" w:rsidRPr="00D6488A" w:rsidRDefault="0015321A" w:rsidP="0015321A">
      <w:pPr>
        <w:spacing w:line="260" w:lineRule="atLeast"/>
        <w:jc w:val="both"/>
        <w:rPr>
          <w:rFonts w:eastAsia="Calibri"/>
          <w:lang w:eastAsia="en-US"/>
        </w:rPr>
      </w:pPr>
    </w:p>
    <w:p w14:paraId="24B9D7A4" w14:textId="4F59D3D6" w:rsidR="0015321A" w:rsidRDefault="0015321A" w:rsidP="0015321A">
      <w:pPr>
        <w:spacing w:line="260" w:lineRule="atLeast"/>
        <w:jc w:val="both"/>
        <w:rPr>
          <w:rFonts w:eastAsia="Calibri"/>
          <w:lang w:eastAsia="en-US"/>
        </w:rPr>
      </w:pPr>
      <w:r w:rsidRPr="00D6488A">
        <w:rPr>
          <w:rFonts w:eastAsia="Calibri"/>
          <w:lang w:eastAsia="en-US"/>
        </w:rPr>
        <w:t xml:space="preserve">In companion </w:t>
      </w:r>
      <w:r w:rsidR="009027DD" w:rsidRPr="00D6488A">
        <w:rPr>
          <w:rFonts w:eastAsia="Calibri"/>
          <w:lang w:eastAsia="en-US"/>
        </w:rPr>
        <w:t>animal’s</w:t>
      </w:r>
      <w:r w:rsidRPr="00D6488A">
        <w:rPr>
          <w:rFonts w:eastAsia="Calibri"/>
          <w:lang w:eastAsia="en-US"/>
        </w:rPr>
        <w:t xml:space="preserve"> environment</w:t>
      </w:r>
      <w:r>
        <w:rPr>
          <w:rFonts w:eastAsia="Calibri"/>
          <w:lang w:eastAsia="en-US"/>
        </w:rPr>
        <w:t>:</w:t>
      </w:r>
    </w:p>
    <w:p w14:paraId="089268F3" w14:textId="32816BFD" w:rsidR="0015321A" w:rsidRDefault="0015321A" w:rsidP="0015321A">
      <w:pPr>
        <w:spacing w:line="260" w:lineRule="atLeast"/>
        <w:jc w:val="both"/>
        <w:rPr>
          <w:rFonts w:eastAsia="Calibri"/>
          <w:lang w:eastAsia="en-US"/>
        </w:rPr>
      </w:pPr>
      <w:r>
        <w:rPr>
          <w:rFonts w:eastAsia="Calibri"/>
          <w:lang w:eastAsia="en-US"/>
        </w:rPr>
        <w:t>B</w:t>
      </w:r>
      <w:r w:rsidRPr="00D6488A">
        <w:rPr>
          <w:rFonts w:eastAsia="Calibri"/>
          <w:lang w:eastAsia="en-US"/>
        </w:rPr>
        <w:t>actericidal activity</w:t>
      </w:r>
      <w:r w:rsidRPr="0006434F">
        <w:t xml:space="preserve"> </w:t>
      </w:r>
      <w:r w:rsidRPr="0006434F">
        <w:rPr>
          <w:rFonts w:eastAsia="Calibri"/>
          <w:lang w:eastAsia="en-US"/>
        </w:rPr>
        <w:t>is demonstrated in phase 2</w:t>
      </w:r>
      <w:r>
        <w:rPr>
          <w:rFonts w:eastAsia="Calibri"/>
          <w:lang w:eastAsia="en-US"/>
        </w:rPr>
        <w:t>,</w:t>
      </w:r>
      <w:r w:rsidRPr="0006434F">
        <w:rPr>
          <w:rFonts w:eastAsia="Calibri"/>
          <w:lang w:eastAsia="en-US"/>
        </w:rPr>
        <w:t xml:space="preserve"> step</w:t>
      </w:r>
      <w:r>
        <w:rPr>
          <w:rFonts w:eastAsia="Calibri"/>
          <w:lang w:eastAsia="en-US"/>
        </w:rPr>
        <w:t>s</w:t>
      </w:r>
      <w:r w:rsidRPr="0006434F">
        <w:rPr>
          <w:rFonts w:eastAsia="Calibri"/>
          <w:lang w:eastAsia="en-US"/>
        </w:rPr>
        <w:t xml:space="preserve"> </w:t>
      </w:r>
      <w:r>
        <w:rPr>
          <w:rFonts w:eastAsia="Calibri"/>
          <w:lang w:eastAsia="en-US"/>
        </w:rPr>
        <w:t>1</w:t>
      </w:r>
      <w:r w:rsidR="0095110C">
        <w:rPr>
          <w:rFonts w:eastAsia="Calibri"/>
          <w:lang w:eastAsia="en-US"/>
        </w:rPr>
        <w:t xml:space="preserve"> </w:t>
      </w:r>
      <w:r>
        <w:rPr>
          <w:rFonts w:eastAsia="Calibri"/>
          <w:lang w:eastAsia="en-US"/>
        </w:rPr>
        <w:t>and 2 tests</w:t>
      </w:r>
      <w:r w:rsidRPr="0006434F">
        <w:rPr>
          <w:rFonts w:eastAsia="Calibri"/>
          <w:lang w:eastAsia="en-US"/>
        </w:rPr>
        <w:t xml:space="preserve"> (EN</w:t>
      </w:r>
      <w:r w:rsidR="0095110C">
        <w:rPr>
          <w:rFonts w:eastAsia="Calibri"/>
          <w:lang w:eastAsia="en-US"/>
        </w:rPr>
        <w:t xml:space="preserve"> </w:t>
      </w:r>
      <w:r w:rsidRPr="0006434F">
        <w:rPr>
          <w:rFonts w:eastAsia="Calibri"/>
          <w:lang w:eastAsia="en-US"/>
        </w:rPr>
        <w:t>1</w:t>
      </w:r>
      <w:r>
        <w:rPr>
          <w:rFonts w:eastAsia="Calibri"/>
          <w:lang w:eastAsia="en-US"/>
        </w:rPr>
        <w:t>656 and EN</w:t>
      </w:r>
      <w:r w:rsidR="0095110C">
        <w:rPr>
          <w:rFonts w:eastAsia="Calibri"/>
          <w:lang w:eastAsia="en-US"/>
        </w:rPr>
        <w:t xml:space="preserve"> </w:t>
      </w:r>
      <w:r>
        <w:rPr>
          <w:rFonts w:eastAsia="Calibri"/>
          <w:lang w:eastAsia="en-US"/>
        </w:rPr>
        <w:t>14349</w:t>
      </w:r>
      <w:r w:rsidRPr="0006434F">
        <w:rPr>
          <w:rFonts w:eastAsia="Calibri"/>
          <w:lang w:eastAsia="en-US"/>
        </w:rPr>
        <w:t>),</w:t>
      </w:r>
      <w:r w:rsidRPr="00E40200">
        <w:rPr>
          <w:rFonts w:eastAsia="Calibri"/>
          <w:lang w:eastAsia="en-US"/>
        </w:rPr>
        <w:t xml:space="preserve"> </w:t>
      </w:r>
      <w:r w:rsidRPr="00D6488A">
        <w:rPr>
          <w:rFonts w:eastAsia="Calibri"/>
          <w:lang w:eastAsia="en-US"/>
        </w:rPr>
        <w:t>at 10°C with</w:t>
      </w:r>
      <w:r>
        <w:rPr>
          <w:rFonts w:eastAsia="Calibri"/>
          <w:lang w:eastAsia="en-US"/>
        </w:rPr>
        <w:t xml:space="preserve"> a</w:t>
      </w:r>
      <w:r w:rsidRPr="00D6488A">
        <w:rPr>
          <w:rFonts w:eastAsia="Calibri"/>
          <w:lang w:eastAsia="en-US"/>
        </w:rPr>
        <w:t xml:space="preserve"> contact time of 30 minutes</w:t>
      </w:r>
      <w:r w:rsidR="0095110C">
        <w:rPr>
          <w:rFonts w:eastAsia="Calibri"/>
          <w:lang w:eastAsia="en-US"/>
        </w:rPr>
        <w:t>,</w:t>
      </w:r>
      <w:r w:rsidRPr="00D6488A">
        <w:rPr>
          <w:rFonts w:eastAsia="Calibri"/>
          <w:lang w:eastAsia="en-US"/>
        </w:rPr>
        <w:t xml:space="preserve"> under low level </w:t>
      </w:r>
      <w:r>
        <w:rPr>
          <w:rFonts w:eastAsia="Calibri"/>
          <w:lang w:eastAsia="en-US"/>
        </w:rPr>
        <w:t xml:space="preserve">soiling </w:t>
      </w:r>
      <w:r w:rsidRPr="00D6488A">
        <w:rPr>
          <w:rFonts w:eastAsia="Calibri"/>
          <w:lang w:eastAsia="en-US"/>
        </w:rPr>
        <w:t>conditions</w:t>
      </w:r>
      <w:r>
        <w:rPr>
          <w:rFonts w:eastAsia="Calibri"/>
          <w:lang w:eastAsia="en-US"/>
        </w:rPr>
        <w:t xml:space="preserve"> (3.0 g/L BSA).</w:t>
      </w:r>
      <w:r w:rsidRPr="00E40200">
        <w:rPr>
          <w:lang w:eastAsia="en-US"/>
        </w:rPr>
        <w:t xml:space="preserve"> </w:t>
      </w:r>
      <w:r w:rsidRPr="003D493E">
        <w:rPr>
          <w:lang w:eastAsia="en-US"/>
        </w:rPr>
        <w:t xml:space="preserve">In these conditions, bactericidal activity is shown at the in-use concentration of </w:t>
      </w:r>
      <w:r>
        <w:rPr>
          <w:rFonts w:eastAsia="Calibri"/>
          <w:lang w:eastAsia="en-US"/>
        </w:rPr>
        <w:t>6</w:t>
      </w:r>
      <w:r w:rsidRPr="00F81A6F">
        <w:rPr>
          <w:rFonts w:eastAsia="Calibri"/>
          <w:lang w:eastAsia="en-US"/>
        </w:rPr>
        <w:t>% (v/v</w:t>
      </w:r>
      <w:r>
        <w:rPr>
          <w:rFonts w:eastAsia="Calibri"/>
          <w:lang w:eastAsia="en-US"/>
        </w:rPr>
        <w:t xml:space="preserve">). </w:t>
      </w:r>
    </w:p>
    <w:p w14:paraId="42C441F1" w14:textId="453E9CFF" w:rsidR="0015321A" w:rsidRDefault="0015321A" w:rsidP="00526D5D">
      <w:pPr>
        <w:spacing w:line="260" w:lineRule="atLeast"/>
        <w:jc w:val="both"/>
        <w:rPr>
          <w:rFonts w:eastAsia="Calibri"/>
          <w:lang w:eastAsia="en-US"/>
        </w:rPr>
        <w:sectPr w:rsidR="0015321A" w:rsidSect="00526D5D">
          <w:endnotePr>
            <w:numFmt w:val="decimal"/>
          </w:endnotePr>
          <w:pgSz w:w="11907" w:h="16840" w:code="9"/>
          <w:pgMar w:top="1474" w:right="1247" w:bottom="2013" w:left="1446" w:header="851" w:footer="851" w:gutter="0"/>
          <w:cols w:space="720"/>
          <w:docGrid w:linePitch="272"/>
        </w:sectPr>
      </w:pPr>
      <w:r>
        <w:rPr>
          <w:rFonts w:eastAsia="Calibri"/>
          <w:lang w:eastAsia="en-US"/>
        </w:rPr>
        <w:t>Y</w:t>
      </w:r>
      <w:r w:rsidRPr="00D6488A">
        <w:rPr>
          <w:rFonts w:eastAsia="Calibri"/>
          <w:lang w:eastAsia="en-US"/>
        </w:rPr>
        <w:t>easticidal activity</w:t>
      </w:r>
      <w:r w:rsidRPr="0006434F">
        <w:rPr>
          <w:rFonts w:eastAsia="Calibri"/>
          <w:lang w:eastAsia="en-US"/>
        </w:rPr>
        <w:t xml:space="preserve"> is demonstrated in phase 2</w:t>
      </w:r>
      <w:r>
        <w:rPr>
          <w:rFonts w:eastAsia="Calibri"/>
          <w:lang w:eastAsia="en-US"/>
        </w:rPr>
        <w:t>,</w:t>
      </w:r>
      <w:r w:rsidRPr="0006434F">
        <w:rPr>
          <w:rFonts w:eastAsia="Calibri"/>
          <w:lang w:eastAsia="en-US"/>
        </w:rPr>
        <w:t xml:space="preserve"> step</w:t>
      </w:r>
      <w:r>
        <w:rPr>
          <w:rFonts w:eastAsia="Calibri"/>
          <w:lang w:eastAsia="en-US"/>
        </w:rPr>
        <w:t>s</w:t>
      </w:r>
      <w:r w:rsidRPr="0006434F">
        <w:rPr>
          <w:rFonts w:eastAsia="Calibri"/>
          <w:lang w:eastAsia="en-US"/>
        </w:rPr>
        <w:t xml:space="preserve"> </w:t>
      </w:r>
      <w:r>
        <w:rPr>
          <w:rFonts w:eastAsia="Calibri"/>
          <w:lang w:eastAsia="en-US"/>
        </w:rPr>
        <w:t>1 and 2 tests (EN</w:t>
      </w:r>
      <w:r w:rsidR="0095110C">
        <w:rPr>
          <w:rFonts w:eastAsia="Calibri"/>
          <w:lang w:eastAsia="en-US"/>
        </w:rPr>
        <w:t xml:space="preserve"> </w:t>
      </w:r>
      <w:r>
        <w:rPr>
          <w:rFonts w:eastAsia="Calibri"/>
          <w:lang w:eastAsia="en-US"/>
        </w:rPr>
        <w:t>1657 and EN</w:t>
      </w:r>
      <w:r w:rsidR="0095110C">
        <w:rPr>
          <w:rFonts w:eastAsia="Calibri"/>
          <w:lang w:eastAsia="en-US"/>
        </w:rPr>
        <w:t xml:space="preserve"> </w:t>
      </w:r>
      <w:r>
        <w:rPr>
          <w:rFonts w:eastAsia="Calibri"/>
          <w:lang w:eastAsia="en-US"/>
        </w:rPr>
        <w:t>16438)</w:t>
      </w:r>
      <w:r w:rsidR="00C174D4">
        <w:rPr>
          <w:rFonts w:eastAsia="Calibri"/>
          <w:lang w:eastAsia="en-US"/>
        </w:rPr>
        <w:t>,</w:t>
      </w:r>
      <w:r w:rsidRPr="00D6488A">
        <w:rPr>
          <w:rFonts w:eastAsia="Calibri"/>
          <w:lang w:eastAsia="en-US"/>
        </w:rPr>
        <w:t xml:space="preserve"> at</w:t>
      </w:r>
      <w:r w:rsidR="00A36219">
        <w:rPr>
          <w:rFonts w:eastAsia="Calibri"/>
          <w:lang w:eastAsia="en-US"/>
        </w:rPr>
        <w:t xml:space="preserve"> respectively at 10°C and</w:t>
      </w:r>
      <w:r w:rsidRPr="00D6488A">
        <w:rPr>
          <w:rFonts w:eastAsia="Calibri"/>
          <w:lang w:eastAsia="en-US"/>
        </w:rPr>
        <w:t xml:space="preserve"> </w:t>
      </w:r>
      <w:r>
        <w:rPr>
          <w:rFonts w:eastAsia="Calibri"/>
          <w:lang w:eastAsia="en-US"/>
        </w:rPr>
        <w:t>2</w:t>
      </w:r>
      <w:r w:rsidRPr="00D6488A">
        <w:rPr>
          <w:rFonts w:eastAsia="Calibri"/>
          <w:lang w:eastAsia="en-US"/>
        </w:rPr>
        <w:t>0°C with</w:t>
      </w:r>
      <w:r>
        <w:rPr>
          <w:rFonts w:eastAsia="Calibri"/>
          <w:lang w:eastAsia="en-US"/>
        </w:rPr>
        <w:t xml:space="preserve"> a</w:t>
      </w:r>
      <w:r w:rsidRPr="00D6488A">
        <w:rPr>
          <w:rFonts w:eastAsia="Calibri"/>
          <w:lang w:eastAsia="en-US"/>
        </w:rPr>
        <w:t xml:space="preserve"> contact time of </w:t>
      </w:r>
      <w:r>
        <w:rPr>
          <w:rFonts w:eastAsia="Calibri"/>
          <w:lang w:eastAsia="en-US"/>
        </w:rPr>
        <w:t>120</w:t>
      </w:r>
      <w:r w:rsidRPr="00D6488A">
        <w:rPr>
          <w:rFonts w:eastAsia="Calibri"/>
          <w:lang w:eastAsia="en-US"/>
        </w:rPr>
        <w:t xml:space="preserve"> minutes</w:t>
      </w:r>
      <w:r w:rsidR="0095110C">
        <w:rPr>
          <w:rFonts w:eastAsia="Calibri"/>
          <w:lang w:eastAsia="en-US"/>
        </w:rPr>
        <w:t>,</w:t>
      </w:r>
      <w:r w:rsidRPr="00D6488A">
        <w:rPr>
          <w:rFonts w:eastAsia="Calibri"/>
          <w:lang w:eastAsia="en-US"/>
        </w:rPr>
        <w:t xml:space="preserve"> in lo</w:t>
      </w:r>
      <w:r>
        <w:rPr>
          <w:rFonts w:eastAsia="Calibri"/>
          <w:lang w:eastAsia="en-US"/>
        </w:rPr>
        <w:t>w level soiling conditions (3.0 g/L BSA).</w:t>
      </w:r>
      <w:r w:rsidRPr="00E40200">
        <w:rPr>
          <w:lang w:eastAsia="en-US"/>
        </w:rPr>
        <w:t xml:space="preserve"> </w:t>
      </w:r>
      <w:r w:rsidRPr="003D493E">
        <w:rPr>
          <w:lang w:eastAsia="en-US"/>
        </w:rPr>
        <w:t xml:space="preserve">In these conditions, </w:t>
      </w:r>
      <w:r>
        <w:rPr>
          <w:lang w:eastAsia="en-US"/>
        </w:rPr>
        <w:t>yeasticidal</w:t>
      </w:r>
      <w:r w:rsidRPr="003D493E">
        <w:rPr>
          <w:lang w:eastAsia="en-US"/>
        </w:rPr>
        <w:t xml:space="preserve"> activity is shown at the in-use concentration of </w:t>
      </w:r>
      <w:r>
        <w:rPr>
          <w:rFonts w:eastAsia="Calibri"/>
          <w:lang w:eastAsia="en-US"/>
        </w:rPr>
        <w:t>10</w:t>
      </w:r>
      <w:r w:rsidRPr="00F81A6F">
        <w:rPr>
          <w:rFonts w:eastAsia="Calibri"/>
          <w:lang w:eastAsia="en-US"/>
        </w:rPr>
        <w:t>% (v/v</w:t>
      </w:r>
      <w:r>
        <w:rPr>
          <w:rFonts w:eastAsia="Calibri"/>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1285"/>
        <w:gridCol w:w="1327"/>
        <w:gridCol w:w="1641"/>
        <w:gridCol w:w="1362"/>
        <w:gridCol w:w="2959"/>
        <w:gridCol w:w="1919"/>
        <w:gridCol w:w="1504"/>
      </w:tblGrid>
      <w:tr w:rsidR="00B146C9" w:rsidRPr="00FD2055" w14:paraId="379E636C" w14:textId="77777777" w:rsidTr="00526D5D">
        <w:trPr>
          <w:cantSplit/>
          <w:tblHeader/>
          <w:jc w:val="center"/>
        </w:trPr>
        <w:tc>
          <w:tcPr>
            <w:tcW w:w="13493" w:type="dxa"/>
            <w:gridSpan w:val="8"/>
            <w:shd w:val="clear" w:color="auto" w:fill="FFFFFF"/>
          </w:tcPr>
          <w:p w14:paraId="6E6BC62B" w14:textId="67C5AFA3" w:rsidR="00B146C9" w:rsidRPr="00FD2055" w:rsidRDefault="00B146C9" w:rsidP="00526D5D">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10</w:t>
            </w:r>
          </w:p>
        </w:tc>
      </w:tr>
      <w:tr w:rsidR="00C770F5" w:rsidRPr="00FD2055" w14:paraId="2673496B" w14:textId="77777777" w:rsidTr="00526D5D">
        <w:trPr>
          <w:cantSplit/>
          <w:jc w:val="center"/>
        </w:trPr>
        <w:tc>
          <w:tcPr>
            <w:tcW w:w="1346" w:type="dxa"/>
            <w:shd w:val="clear" w:color="auto" w:fill="FFFFFF"/>
          </w:tcPr>
          <w:p w14:paraId="033DB290" w14:textId="77777777" w:rsidR="00B146C9" w:rsidRPr="00FD2055" w:rsidRDefault="00B146C9" w:rsidP="00B146C9">
            <w:pPr>
              <w:jc w:val="center"/>
              <w:rPr>
                <w:b/>
                <w:color w:val="000000"/>
                <w:sz w:val="18"/>
                <w:szCs w:val="18"/>
              </w:rPr>
            </w:pPr>
            <w:r w:rsidRPr="00FD2055">
              <w:rPr>
                <w:b/>
                <w:color w:val="000000"/>
                <w:sz w:val="18"/>
                <w:szCs w:val="18"/>
              </w:rPr>
              <w:t>Function</w:t>
            </w:r>
          </w:p>
        </w:tc>
        <w:tc>
          <w:tcPr>
            <w:tcW w:w="1285" w:type="dxa"/>
            <w:shd w:val="clear" w:color="auto" w:fill="FFFFFF"/>
          </w:tcPr>
          <w:p w14:paraId="70F7EC04" w14:textId="77777777" w:rsidR="00B146C9" w:rsidRPr="00FD2055" w:rsidRDefault="00B146C9" w:rsidP="00B146C9">
            <w:pPr>
              <w:rPr>
                <w:b/>
                <w:color w:val="000000"/>
                <w:sz w:val="18"/>
                <w:szCs w:val="18"/>
              </w:rPr>
            </w:pPr>
            <w:r w:rsidRPr="00FD2055">
              <w:rPr>
                <w:b/>
                <w:color w:val="000000"/>
                <w:sz w:val="18"/>
                <w:szCs w:val="18"/>
              </w:rPr>
              <w:t>Field of use envisaged</w:t>
            </w:r>
          </w:p>
        </w:tc>
        <w:tc>
          <w:tcPr>
            <w:tcW w:w="1327" w:type="dxa"/>
            <w:shd w:val="clear" w:color="auto" w:fill="FFFFFF"/>
          </w:tcPr>
          <w:p w14:paraId="72264E03" w14:textId="77777777" w:rsidR="00B146C9" w:rsidRPr="00FD2055" w:rsidRDefault="00B146C9" w:rsidP="00B146C9">
            <w:pPr>
              <w:rPr>
                <w:b/>
                <w:i/>
                <w:color w:val="000000"/>
                <w:sz w:val="18"/>
                <w:szCs w:val="18"/>
              </w:rPr>
            </w:pPr>
            <w:r w:rsidRPr="00FD2055">
              <w:rPr>
                <w:b/>
                <w:color w:val="000000"/>
                <w:sz w:val="18"/>
                <w:szCs w:val="18"/>
              </w:rPr>
              <w:t xml:space="preserve">Test </w:t>
            </w:r>
            <w:r>
              <w:rPr>
                <w:b/>
                <w:color w:val="000000"/>
                <w:sz w:val="18"/>
                <w:szCs w:val="18"/>
              </w:rPr>
              <w:t>item</w:t>
            </w:r>
          </w:p>
        </w:tc>
        <w:tc>
          <w:tcPr>
            <w:tcW w:w="0" w:type="auto"/>
            <w:shd w:val="clear" w:color="auto" w:fill="FFFFFF"/>
          </w:tcPr>
          <w:p w14:paraId="428BC3E6" w14:textId="77777777" w:rsidR="00B146C9" w:rsidRPr="00FD2055" w:rsidRDefault="00B146C9" w:rsidP="00B146C9">
            <w:pPr>
              <w:rPr>
                <w:b/>
                <w:i/>
                <w:color w:val="000000"/>
                <w:sz w:val="18"/>
                <w:szCs w:val="18"/>
              </w:rPr>
            </w:pPr>
            <w:r w:rsidRPr="00FD2055">
              <w:rPr>
                <w:b/>
                <w:color w:val="000000"/>
                <w:sz w:val="18"/>
                <w:szCs w:val="18"/>
              </w:rPr>
              <w:t>Test organism(s)</w:t>
            </w:r>
          </w:p>
        </w:tc>
        <w:tc>
          <w:tcPr>
            <w:tcW w:w="0" w:type="auto"/>
            <w:shd w:val="clear" w:color="auto" w:fill="FFFFFF"/>
          </w:tcPr>
          <w:p w14:paraId="06E71D4F" w14:textId="77777777" w:rsidR="00B146C9" w:rsidRPr="00FD2055" w:rsidRDefault="00B146C9" w:rsidP="00B146C9">
            <w:pPr>
              <w:rPr>
                <w:b/>
                <w:color w:val="000000"/>
                <w:sz w:val="18"/>
                <w:szCs w:val="18"/>
              </w:rPr>
            </w:pPr>
            <w:r w:rsidRPr="00FD2055">
              <w:rPr>
                <w:b/>
                <w:color w:val="000000"/>
                <w:sz w:val="18"/>
                <w:szCs w:val="18"/>
              </w:rPr>
              <w:t>Test method</w:t>
            </w:r>
          </w:p>
        </w:tc>
        <w:tc>
          <w:tcPr>
            <w:tcW w:w="2959" w:type="dxa"/>
            <w:shd w:val="clear" w:color="auto" w:fill="FFFFFF"/>
          </w:tcPr>
          <w:p w14:paraId="6B5C0F80" w14:textId="77777777" w:rsidR="00B146C9" w:rsidRPr="00FD2055" w:rsidRDefault="00B146C9" w:rsidP="00B146C9">
            <w:pPr>
              <w:rPr>
                <w:b/>
                <w:color w:val="000000"/>
                <w:sz w:val="18"/>
                <w:szCs w:val="18"/>
              </w:rPr>
            </w:pPr>
            <w:r w:rsidRPr="00FD2055">
              <w:rPr>
                <w:b/>
                <w:color w:val="000000"/>
                <w:sz w:val="18"/>
                <w:szCs w:val="18"/>
              </w:rPr>
              <w:t>Test system / concentrations applied / exposure time</w:t>
            </w:r>
          </w:p>
        </w:tc>
        <w:tc>
          <w:tcPr>
            <w:tcW w:w="1919" w:type="dxa"/>
            <w:shd w:val="clear" w:color="auto" w:fill="FFFFFF"/>
          </w:tcPr>
          <w:p w14:paraId="45CB9D5B" w14:textId="77777777" w:rsidR="00B146C9" w:rsidRPr="00FD2055" w:rsidRDefault="00B146C9" w:rsidP="00B146C9">
            <w:pPr>
              <w:rPr>
                <w:b/>
                <w:color w:val="000000"/>
                <w:sz w:val="18"/>
                <w:szCs w:val="18"/>
              </w:rPr>
            </w:pPr>
            <w:r w:rsidRPr="00FD2055">
              <w:rPr>
                <w:b/>
                <w:color w:val="000000"/>
                <w:sz w:val="18"/>
                <w:szCs w:val="18"/>
              </w:rPr>
              <w:t>Test results: effects</w:t>
            </w:r>
          </w:p>
        </w:tc>
        <w:tc>
          <w:tcPr>
            <w:tcW w:w="0" w:type="auto"/>
            <w:shd w:val="clear" w:color="auto" w:fill="FFFFFF"/>
          </w:tcPr>
          <w:p w14:paraId="2F608FA4" w14:textId="77777777" w:rsidR="00B146C9" w:rsidRPr="00FD2055" w:rsidRDefault="00B146C9" w:rsidP="00B146C9">
            <w:pPr>
              <w:rPr>
                <w:b/>
                <w:color w:val="000000"/>
                <w:sz w:val="18"/>
                <w:szCs w:val="18"/>
              </w:rPr>
            </w:pPr>
            <w:r w:rsidRPr="00FD2055">
              <w:rPr>
                <w:b/>
                <w:color w:val="000000"/>
                <w:sz w:val="18"/>
                <w:szCs w:val="18"/>
              </w:rPr>
              <w:t>Reference</w:t>
            </w:r>
          </w:p>
        </w:tc>
      </w:tr>
      <w:tr w:rsidR="00C770F5" w14:paraId="3D02F840" w14:textId="77777777" w:rsidTr="00526D5D">
        <w:trPr>
          <w:cantSplit/>
          <w:jc w:val="center"/>
        </w:trPr>
        <w:tc>
          <w:tcPr>
            <w:tcW w:w="1346" w:type="dxa"/>
            <w:vAlign w:val="center"/>
          </w:tcPr>
          <w:p w14:paraId="2FD4423F" w14:textId="77777777" w:rsidR="00B146C9" w:rsidRPr="00FD2055" w:rsidRDefault="00B146C9" w:rsidP="00B146C9">
            <w:pPr>
              <w:rPr>
                <w:i/>
                <w:color w:val="000000"/>
                <w:sz w:val="18"/>
                <w:szCs w:val="18"/>
              </w:rPr>
            </w:pPr>
            <w:r>
              <w:rPr>
                <w:color w:val="000000"/>
                <w:sz w:val="18"/>
                <w:szCs w:val="18"/>
              </w:rPr>
              <w:t>Disinfectant, bactericidal activity</w:t>
            </w:r>
          </w:p>
        </w:tc>
        <w:tc>
          <w:tcPr>
            <w:tcW w:w="1285" w:type="dxa"/>
            <w:vAlign w:val="center"/>
          </w:tcPr>
          <w:p w14:paraId="7CFE4373" w14:textId="77777777" w:rsidR="00B146C9" w:rsidRPr="00FD2055" w:rsidRDefault="00B146C9" w:rsidP="00B146C9">
            <w:pPr>
              <w:rPr>
                <w:i/>
                <w:color w:val="000000"/>
                <w:sz w:val="18"/>
                <w:szCs w:val="18"/>
              </w:rPr>
            </w:pPr>
            <w:r>
              <w:rPr>
                <w:color w:val="000000"/>
                <w:sz w:val="18"/>
                <w:szCs w:val="18"/>
              </w:rPr>
              <w:t xml:space="preserve">Domestic area </w:t>
            </w:r>
          </w:p>
        </w:tc>
        <w:tc>
          <w:tcPr>
            <w:tcW w:w="1327" w:type="dxa"/>
            <w:vAlign w:val="center"/>
          </w:tcPr>
          <w:p w14:paraId="416E8771" w14:textId="77777777" w:rsidR="00B146C9" w:rsidRDefault="00B146C9" w:rsidP="00B146C9">
            <w:pPr>
              <w:rPr>
                <w:color w:val="000000"/>
                <w:sz w:val="18"/>
                <w:szCs w:val="18"/>
              </w:rPr>
            </w:pPr>
            <w:r>
              <w:rPr>
                <w:color w:val="000000"/>
                <w:sz w:val="18"/>
                <w:szCs w:val="18"/>
              </w:rPr>
              <w:t>AL-S10-1-0</w:t>
            </w:r>
          </w:p>
          <w:p w14:paraId="484ECCD9" w14:textId="7181DAD4" w:rsidR="00B146C9" w:rsidRPr="00FD2055" w:rsidRDefault="00837D62" w:rsidP="00B146C9">
            <w:pPr>
              <w:rPr>
                <w:i/>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12156FA9" w14:textId="52C517DB" w:rsidR="00B146C9" w:rsidRPr="00D016EC" w:rsidRDefault="00B146C9" w:rsidP="00B146C9">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p>
        </w:tc>
        <w:tc>
          <w:tcPr>
            <w:tcW w:w="0" w:type="auto"/>
            <w:vAlign w:val="center"/>
          </w:tcPr>
          <w:p w14:paraId="5B695D2A" w14:textId="77777777" w:rsidR="00B146C9" w:rsidRPr="00FD2055" w:rsidRDefault="00B146C9" w:rsidP="00B146C9">
            <w:pPr>
              <w:rPr>
                <w:color w:val="000000"/>
                <w:sz w:val="18"/>
                <w:szCs w:val="18"/>
              </w:rPr>
            </w:pPr>
            <w:r>
              <w:rPr>
                <w:color w:val="000000"/>
                <w:sz w:val="18"/>
                <w:szCs w:val="18"/>
              </w:rPr>
              <w:t>NF EN 1276 (March 2010)</w:t>
            </w:r>
          </w:p>
        </w:tc>
        <w:tc>
          <w:tcPr>
            <w:tcW w:w="2959" w:type="dxa"/>
            <w:vAlign w:val="center"/>
          </w:tcPr>
          <w:p w14:paraId="74280BFE" w14:textId="77777777" w:rsidR="00B146C9" w:rsidRDefault="00B146C9" w:rsidP="00B146C9">
            <w:pPr>
              <w:rPr>
                <w:color w:val="000000"/>
                <w:sz w:val="18"/>
                <w:szCs w:val="18"/>
              </w:rPr>
            </w:pPr>
            <w:r>
              <w:rPr>
                <w:color w:val="000000"/>
                <w:sz w:val="18"/>
                <w:szCs w:val="18"/>
              </w:rPr>
              <w:t>Phase 2 step 1 (suspension test)</w:t>
            </w:r>
          </w:p>
          <w:p w14:paraId="3F60F327" w14:textId="77777777" w:rsidR="00B146C9" w:rsidRDefault="00B146C9" w:rsidP="00B146C9">
            <w:pPr>
              <w:rPr>
                <w:color w:val="000000"/>
                <w:sz w:val="18"/>
                <w:szCs w:val="18"/>
              </w:rPr>
            </w:pPr>
            <w:r>
              <w:rPr>
                <w:color w:val="000000"/>
                <w:sz w:val="18"/>
                <w:szCs w:val="18"/>
              </w:rPr>
              <w:t xml:space="preserve">Concentrations of product tested (v/v) were: 0.5%, 2%, 6%, 8%. </w:t>
            </w:r>
          </w:p>
          <w:p w14:paraId="055CFDF5" w14:textId="161965BA" w:rsidR="00B146C9" w:rsidRDefault="00B146C9" w:rsidP="00B146C9">
            <w:pPr>
              <w:rPr>
                <w:color w:val="000000"/>
                <w:sz w:val="18"/>
                <w:szCs w:val="18"/>
              </w:rPr>
            </w:pPr>
            <w:r>
              <w:rPr>
                <w:color w:val="000000"/>
                <w:sz w:val="18"/>
                <w:szCs w:val="18"/>
              </w:rPr>
              <w:t xml:space="preserve">Contact time: 5 minutes </w:t>
            </w:r>
          </w:p>
          <w:p w14:paraId="5B874ADD" w14:textId="77777777" w:rsidR="00B146C9" w:rsidRDefault="00B146C9" w:rsidP="00B146C9">
            <w:pPr>
              <w:rPr>
                <w:color w:val="000000"/>
                <w:sz w:val="18"/>
                <w:szCs w:val="18"/>
              </w:rPr>
            </w:pPr>
            <w:r>
              <w:rPr>
                <w:color w:val="000000"/>
                <w:sz w:val="18"/>
                <w:szCs w:val="18"/>
              </w:rPr>
              <w:t>Temperature: 20°C</w:t>
            </w:r>
          </w:p>
          <w:p w14:paraId="704FD63A" w14:textId="77777777" w:rsidR="00B146C9" w:rsidRDefault="00B146C9" w:rsidP="00B146C9">
            <w:pPr>
              <w:rPr>
                <w:color w:val="000000"/>
                <w:sz w:val="18"/>
                <w:szCs w:val="18"/>
              </w:rPr>
            </w:pPr>
            <w:r>
              <w:rPr>
                <w:color w:val="000000"/>
                <w:sz w:val="18"/>
                <w:szCs w:val="18"/>
              </w:rPr>
              <w:t xml:space="preserve">Dirty conditions: 3 g/L BSA </w:t>
            </w:r>
          </w:p>
          <w:p w14:paraId="41DA5606" w14:textId="77777777" w:rsidR="00B146C9" w:rsidRPr="00FD2055" w:rsidRDefault="00B146C9" w:rsidP="00B146C9">
            <w:pPr>
              <w:rPr>
                <w:color w:val="000000"/>
                <w:sz w:val="18"/>
                <w:szCs w:val="18"/>
              </w:rPr>
            </w:pPr>
            <w:r>
              <w:rPr>
                <w:color w:val="000000"/>
                <w:sz w:val="18"/>
                <w:szCs w:val="18"/>
              </w:rPr>
              <w:t>Criteria: ≥ 5 log unit reduction</w:t>
            </w:r>
          </w:p>
        </w:tc>
        <w:tc>
          <w:tcPr>
            <w:tcW w:w="1919" w:type="dxa"/>
            <w:vAlign w:val="center"/>
          </w:tcPr>
          <w:p w14:paraId="7022EDD5" w14:textId="77777777" w:rsidR="00B146C9" w:rsidRDefault="00B146C9" w:rsidP="00B146C9">
            <w:pPr>
              <w:rPr>
                <w:color w:val="000000"/>
                <w:sz w:val="18"/>
                <w:szCs w:val="18"/>
              </w:rPr>
            </w:pPr>
            <w:r>
              <w:rPr>
                <w:color w:val="000000"/>
                <w:sz w:val="18"/>
                <w:szCs w:val="18"/>
              </w:rPr>
              <w:t>Bactericidal activity demonstrated at 6 % v/v</w:t>
            </w:r>
            <w:r w:rsidDel="00FD25E8">
              <w:rPr>
                <w:color w:val="000000"/>
                <w:sz w:val="18"/>
                <w:szCs w:val="18"/>
              </w:rPr>
              <w:t xml:space="preserve"> </w:t>
            </w:r>
          </w:p>
          <w:p w14:paraId="070AF36D" w14:textId="77777777" w:rsidR="00B146C9" w:rsidRPr="00FD2055" w:rsidRDefault="00B146C9" w:rsidP="00B146C9">
            <w:pPr>
              <w:rPr>
                <w:color w:val="000000"/>
                <w:sz w:val="18"/>
                <w:szCs w:val="18"/>
              </w:rPr>
            </w:pPr>
          </w:p>
        </w:tc>
        <w:tc>
          <w:tcPr>
            <w:tcW w:w="0" w:type="auto"/>
            <w:vAlign w:val="center"/>
          </w:tcPr>
          <w:p w14:paraId="4A295791" w14:textId="77777777" w:rsidR="00B146C9" w:rsidRDefault="00B146C9" w:rsidP="00B146C9">
            <w:pPr>
              <w:rPr>
                <w:color w:val="000000"/>
                <w:sz w:val="18"/>
                <w:szCs w:val="18"/>
              </w:rPr>
            </w:pPr>
            <w:r>
              <w:rPr>
                <w:color w:val="000000"/>
                <w:sz w:val="18"/>
                <w:szCs w:val="18"/>
              </w:rPr>
              <w:t>Huguet N., 2019, Report No 18.CM.18-148</w:t>
            </w:r>
          </w:p>
          <w:p w14:paraId="2F112DA5" w14:textId="77777777" w:rsidR="00B146C9" w:rsidRDefault="00B146C9" w:rsidP="00B146C9">
            <w:pPr>
              <w:rPr>
                <w:color w:val="000000"/>
                <w:sz w:val="18"/>
                <w:szCs w:val="18"/>
              </w:rPr>
            </w:pPr>
          </w:p>
          <w:p w14:paraId="4110CFDC" w14:textId="77777777" w:rsidR="00B146C9" w:rsidRPr="00FD2055" w:rsidRDefault="00B146C9" w:rsidP="00B146C9">
            <w:pPr>
              <w:rPr>
                <w:i/>
                <w:color w:val="000000"/>
                <w:sz w:val="18"/>
                <w:szCs w:val="18"/>
              </w:rPr>
            </w:pPr>
            <w:r>
              <w:rPr>
                <w:color w:val="000000"/>
                <w:sz w:val="18"/>
                <w:szCs w:val="18"/>
              </w:rPr>
              <w:t>RI=1</w:t>
            </w:r>
          </w:p>
        </w:tc>
      </w:tr>
      <w:tr w:rsidR="00C770F5" w14:paraId="55F6E692" w14:textId="77777777" w:rsidTr="00526D5D">
        <w:trPr>
          <w:cantSplit/>
          <w:jc w:val="center"/>
        </w:trPr>
        <w:tc>
          <w:tcPr>
            <w:tcW w:w="1346" w:type="dxa"/>
            <w:vAlign w:val="center"/>
          </w:tcPr>
          <w:p w14:paraId="35FA741C" w14:textId="77777777" w:rsidR="00B146C9" w:rsidRDefault="00B146C9" w:rsidP="00B146C9">
            <w:pPr>
              <w:rPr>
                <w:color w:val="000000"/>
                <w:sz w:val="18"/>
                <w:szCs w:val="18"/>
              </w:rPr>
            </w:pPr>
            <w:r>
              <w:rPr>
                <w:color w:val="000000"/>
                <w:sz w:val="18"/>
                <w:szCs w:val="18"/>
              </w:rPr>
              <w:t>Disinfectant, bactericidal activity</w:t>
            </w:r>
          </w:p>
        </w:tc>
        <w:tc>
          <w:tcPr>
            <w:tcW w:w="1285" w:type="dxa"/>
            <w:vAlign w:val="center"/>
          </w:tcPr>
          <w:p w14:paraId="64452D3D" w14:textId="3E673301" w:rsidR="00B146C9" w:rsidRDefault="00C770F5" w:rsidP="00B146C9">
            <w:pPr>
              <w:rPr>
                <w:color w:val="000000"/>
                <w:sz w:val="18"/>
                <w:szCs w:val="18"/>
              </w:rPr>
            </w:pPr>
            <w:r>
              <w:rPr>
                <w:color w:val="000000"/>
                <w:sz w:val="18"/>
                <w:szCs w:val="18"/>
              </w:rPr>
              <w:t>C</w:t>
            </w:r>
            <w:r w:rsidR="00B146C9">
              <w:rPr>
                <w:color w:val="000000"/>
                <w:sz w:val="18"/>
                <w:szCs w:val="18"/>
              </w:rPr>
              <w:t>ompanion animals environment</w:t>
            </w:r>
          </w:p>
        </w:tc>
        <w:tc>
          <w:tcPr>
            <w:tcW w:w="1327" w:type="dxa"/>
            <w:vAlign w:val="center"/>
          </w:tcPr>
          <w:p w14:paraId="4CE5598C" w14:textId="77777777" w:rsidR="00B146C9" w:rsidRDefault="00B146C9" w:rsidP="00B146C9">
            <w:pPr>
              <w:rPr>
                <w:color w:val="000000"/>
                <w:sz w:val="18"/>
                <w:szCs w:val="18"/>
              </w:rPr>
            </w:pPr>
            <w:r>
              <w:rPr>
                <w:color w:val="000000"/>
                <w:sz w:val="18"/>
                <w:szCs w:val="18"/>
              </w:rPr>
              <w:t>AL-S10-1-0</w:t>
            </w:r>
          </w:p>
          <w:p w14:paraId="15A92847" w14:textId="4BD05E23" w:rsidR="00B146C9" w:rsidRDefault="00837D62" w:rsidP="00B146C9">
            <w:pPr>
              <w:rPr>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157AEC29" w14:textId="5A682119" w:rsidR="00B146C9" w:rsidRPr="002A1C31" w:rsidRDefault="00B146C9" w:rsidP="00B146C9">
            <w:pPr>
              <w:rPr>
                <w:i/>
                <w:color w:val="000000"/>
                <w:sz w:val="18"/>
                <w:szCs w:val="18"/>
                <w:lang w:val="fr-FR"/>
              </w:rPr>
            </w:pPr>
            <w:r w:rsidRPr="002A1C31">
              <w:rPr>
                <w:i/>
                <w:color w:val="000000"/>
                <w:sz w:val="18"/>
                <w:szCs w:val="18"/>
                <w:lang w:val="fr-FR"/>
              </w:rPr>
              <w:t>Staphylococcus aureus</w:t>
            </w:r>
            <w:r w:rsidRPr="002A1C31">
              <w:rPr>
                <w:color w:val="000000"/>
                <w:sz w:val="18"/>
                <w:szCs w:val="18"/>
                <w:lang w:val="fr-FR"/>
              </w:rPr>
              <w:t xml:space="preserve"> </w:t>
            </w:r>
            <w:r w:rsidRPr="002A1C31">
              <w:rPr>
                <w:color w:val="000000"/>
                <w:sz w:val="18"/>
                <w:szCs w:val="18"/>
                <w:lang w:val="fr-FR"/>
              </w:rPr>
              <w:br/>
            </w:r>
            <w:r w:rsidRPr="002A1C31">
              <w:rPr>
                <w:i/>
                <w:color w:val="000000"/>
                <w:sz w:val="18"/>
                <w:szCs w:val="18"/>
                <w:lang w:val="fr-FR"/>
              </w:rPr>
              <w:t>Enterococcus hirae</w:t>
            </w:r>
            <w:r w:rsidRPr="002A1C31">
              <w:rPr>
                <w:color w:val="000000"/>
                <w:sz w:val="18"/>
                <w:szCs w:val="18"/>
                <w:lang w:val="fr-FR"/>
              </w:rPr>
              <w:t xml:space="preserve"> </w:t>
            </w:r>
            <w:r w:rsidRPr="002A1C31">
              <w:rPr>
                <w:color w:val="000000"/>
                <w:sz w:val="18"/>
                <w:szCs w:val="18"/>
                <w:lang w:val="fr-FR"/>
              </w:rPr>
              <w:br/>
            </w:r>
            <w:r w:rsidRPr="002A1C31">
              <w:rPr>
                <w:i/>
                <w:color w:val="000000"/>
                <w:sz w:val="18"/>
                <w:szCs w:val="18"/>
                <w:lang w:val="fr-FR"/>
              </w:rPr>
              <w:t>Proteus vulgaris</w:t>
            </w:r>
            <w:r w:rsidRPr="002A1C31">
              <w:rPr>
                <w:color w:val="000000"/>
                <w:sz w:val="18"/>
                <w:szCs w:val="18"/>
                <w:lang w:val="fr-FR"/>
              </w:rPr>
              <w:t xml:space="preserve"> </w:t>
            </w:r>
            <w:r w:rsidRPr="002A1C31">
              <w:rPr>
                <w:color w:val="000000"/>
                <w:sz w:val="18"/>
                <w:szCs w:val="18"/>
                <w:lang w:val="fr-FR"/>
              </w:rPr>
              <w:br/>
            </w:r>
            <w:r w:rsidRPr="002A1C31">
              <w:rPr>
                <w:i/>
                <w:color w:val="000000"/>
                <w:sz w:val="18"/>
                <w:szCs w:val="18"/>
                <w:lang w:val="fr-FR"/>
              </w:rPr>
              <w:t>Pseudomonas aeruginosa</w:t>
            </w:r>
          </w:p>
        </w:tc>
        <w:tc>
          <w:tcPr>
            <w:tcW w:w="0" w:type="auto"/>
            <w:vAlign w:val="center"/>
          </w:tcPr>
          <w:p w14:paraId="27C2957F" w14:textId="77777777" w:rsidR="00B146C9" w:rsidRDefault="00B146C9" w:rsidP="00B146C9">
            <w:pPr>
              <w:rPr>
                <w:color w:val="000000"/>
                <w:sz w:val="18"/>
                <w:szCs w:val="18"/>
              </w:rPr>
            </w:pPr>
            <w:r>
              <w:rPr>
                <w:color w:val="000000"/>
                <w:sz w:val="18"/>
                <w:szCs w:val="18"/>
              </w:rPr>
              <w:t>NF EN 1656 (march 2010)</w:t>
            </w:r>
          </w:p>
        </w:tc>
        <w:tc>
          <w:tcPr>
            <w:tcW w:w="2959" w:type="dxa"/>
            <w:vAlign w:val="center"/>
          </w:tcPr>
          <w:p w14:paraId="6EEDF03E" w14:textId="77777777" w:rsidR="00B146C9" w:rsidRDefault="00B146C9" w:rsidP="00B146C9">
            <w:pPr>
              <w:rPr>
                <w:color w:val="000000"/>
                <w:sz w:val="18"/>
                <w:szCs w:val="18"/>
              </w:rPr>
            </w:pPr>
            <w:r>
              <w:rPr>
                <w:color w:val="000000"/>
                <w:sz w:val="18"/>
                <w:szCs w:val="18"/>
              </w:rPr>
              <w:t>Phase 2 step 1 (suspension test)</w:t>
            </w:r>
          </w:p>
          <w:p w14:paraId="392662D3" w14:textId="77777777" w:rsidR="00B146C9" w:rsidRDefault="00B146C9" w:rsidP="00B146C9">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2% - 6% and 8%. </w:t>
            </w:r>
          </w:p>
          <w:p w14:paraId="10AA0C80" w14:textId="199769CE" w:rsidR="00B146C9" w:rsidRDefault="00B146C9" w:rsidP="00B146C9">
            <w:pPr>
              <w:rPr>
                <w:color w:val="000000"/>
                <w:sz w:val="18"/>
                <w:szCs w:val="18"/>
              </w:rPr>
            </w:pPr>
            <w:r>
              <w:rPr>
                <w:color w:val="000000"/>
                <w:sz w:val="18"/>
                <w:szCs w:val="18"/>
              </w:rPr>
              <w:t xml:space="preserve">Contact time: 30 minutes </w:t>
            </w:r>
          </w:p>
          <w:p w14:paraId="66AE47CA" w14:textId="77777777" w:rsidR="00B146C9" w:rsidRDefault="00B146C9" w:rsidP="00B146C9">
            <w:pPr>
              <w:rPr>
                <w:color w:val="000000"/>
                <w:sz w:val="18"/>
                <w:szCs w:val="18"/>
              </w:rPr>
            </w:pPr>
            <w:r>
              <w:rPr>
                <w:color w:val="000000"/>
                <w:sz w:val="18"/>
                <w:szCs w:val="18"/>
              </w:rPr>
              <w:t>Temperature: 10°C</w:t>
            </w:r>
          </w:p>
          <w:p w14:paraId="4705008D" w14:textId="77777777" w:rsidR="00B146C9" w:rsidRDefault="00B146C9" w:rsidP="00B146C9">
            <w:pPr>
              <w:rPr>
                <w:color w:val="000000"/>
                <w:sz w:val="18"/>
                <w:szCs w:val="18"/>
              </w:rPr>
            </w:pPr>
            <w:r>
              <w:rPr>
                <w:color w:val="000000"/>
                <w:sz w:val="18"/>
                <w:szCs w:val="18"/>
              </w:rPr>
              <w:t xml:space="preserve">Dirty conditions: 3 g/L BSA </w:t>
            </w:r>
          </w:p>
          <w:p w14:paraId="25F2F7D7" w14:textId="77777777" w:rsidR="00B146C9" w:rsidRDefault="00B146C9" w:rsidP="00B146C9">
            <w:pPr>
              <w:rPr>
                <w:color w:val="000000"/>
                <w:sz w:val="18"/>
                <w:szCs w:val="18"/>
              </w:rPr>
            </w:pPr>
            <w:r>
              <w:rPr>
                <w:color w:val="000000"/>
                <w:sz w:val="18"/>
                <w:szCs w:val="18"/>
              </w:rPr>
              <w:t>Criteria: ≥ 5 log unit reduction</w:t>
            </w:r>
          </w:p>
        </w:tc>
        <w:tc>
          <w:tcPr>
            <w:tcW w:w="1919" w:type="dxa"/>
            <w:vAlign w:val="center"/>
          </w:tcPr>
          <w:p w14:paraId="751ACC0B" w14:textId="77777777" w:rsidR="00B146C9" w:rsidRDefault="00B146C9" w:rsidP="00B146C9">
            <w:pPr>
              <w:rPr>
                <w:color w:val="000000"/>
                <w:sz w:val="18"/>
                <w:szCs w:val="18"/>
              </w:rPr>
            </w:pPr>
            <w:r>
              <w:rPr>
                <w:color w:val="000000"/>
                <w:sz w:val="18"/>
                <w:szCs w:val="18"/>
              </w:rPr>
              <w:t>Bactericidal activity demonstrated at 6 % v/v</w:t>
            </w:r>
            <w:r w:rsidDel="00FD25E8">
              <w:rPr>
                <w:color w:val="000000"/>
                <w:sz w:val="18"/>
                <w:szCs w:val="18"/>
              </w:rPr>
              <w:t xml:space="preserve"> </w:t>
            </w:r>
          </w:p>
          <w:p w14:paraId="2012B324" w14:textId="77777777" w:rsidR="00B146C9" w:rsidRDefault="00B146C9" w:rsidP="00B146C9">
            <w:pPr>
              <w:rPr>
                <w:color w:val="000000"/>
                <w:sz w:val="18"/>
                <w:szCs w:val="18"/>
              </w:rPr>
            </w:pPr>
          </w:p>
        </w:tc>
        <w:tc>
          <w:tcPr>
            <w:tcW w:w="0" w:type="auto"/>
            <w:vAlign w:val="center"/>
          </w:tcPr>
          <w:p w14:paraId="086F2A59" w14:textId="77777777" w:rsidR="00B146C9" w:rsidRDefault="00B146C9" w:rsidP="00B146C9">
            <w:pPr>
              <w:rPr>
                <w:color w:val="000000"/>
                <w:sz w:val="18"/>
                <w:szCs w:val="18"/>
              </w:rPr>
            </w:pPr>
            <w:r>
              <w:rPr>
                <w:color w:val="000000"/>
                <w:sz w:val="18"/>
                <w:szCs w:val="18"/>
              </w:rPr>
              <w:t>Teulier M., 2018, Report No 5267-1</w:t>
            </w:r>
          </w:p>
          <w:p w14:paraId="2BB849A3" w14:textId="77777777" w:rsidR="00B146C9" w:rsidRDefault="00B146C9" w:rsidP="00B146C9">
            <w:pPr>
              <w:rPr>
                <w:color w:val="000000"/>
                <w:sz w:val="18"/>
                <w:szCs w:val="18"/>
              </w:rPr>
            </w:pPr>
          </w:p>
          <w:p w14:paraId="57EDB99F" w14:textId="77777777" w:rsidR="00B146C9" w:rsidRDefault="00B146C9" w:rsidP="00B146C9">
            <w:pPr>
              <w:rPr>
                <w:color w:val="000000"/>
                <w:sz w:val="18"/>
                <w:szCs w:val="18"/>
              </w:rPr>
            </w:pPr>
            <w:r>
              <w:rPr>
                <w:color w:val="000000"/>
                <w:sz w:val="18"/>
                <w:szCs w:val="18"/>
              </w:rPr>
              <w:t>RI=1</w:t>
            </w:r>
          </w:p>
        </w:tc>
      </w:tr>
      <w:tr w:rsidR="00C770F5" w:rsidDel="00DB5D44" w14:paraId="4D63A2D3" w14:textId="77777777" w:rsidTr="00526D5D">
        <w:trPr>
          <w:cantSplit/>
          <w:jc w:val="center"/>
        </w:trPr>
        <w:tc>
          <w:tcPr>
            <w:tcW w:w="1346" w:type="dxa"/>
            <w:vAlign w:val="center"/>
          </w:tcPr>
          <w:p w14:paraId="7BF858C2" w14:textId="77777777" w:rsidR="00B146C9" w:rsidRDefault="00B146C9" w:rsidP="00B146C9">
            <w:pPr>
              <w:rPr>
                <w:color w:val="000000"/>
                <w:sz w:val="18"/>
                <w:szCs w:val="18"/>
              </w:rPr>
            </w:pPr>
            <w:r>
              <w:rPr>
                <w:color w:val="000000"/>
                <w:sz w:val="18"/>
                <w:szCs w:val="18"/>
              </w:rPr>
              <w:t>Disinfectant, bactericidal activity</w:t>
            </w:r>
          </w:p>
        </w:tc>
        <w:tc>
          <w:tcPr>
            <w:tcW w:w="1285" w:type="dxa"/>
            <w:vAlign w:val="center"/>
          </w:tcPr>
          <w:p w14:paraId="017215FF" w14:textId="77777777" w:rsidR="00B146C9" w:rsidRDefault="00B146C9" w:rsidP="00B146C9">
            <w:pPr>
              <w:rPr>
                <w:color w:val="000000"/>
                <w:sz w:val="18"/>
                <w:szCs w:val="18"/>
              </w:rPr>
            </w:pPr>
            <w:r>
              <w:rPr>
                <w:color w:val="000000"/>
                <w:sz w:val="18"/>
                <w:szCs w:val="18"/>
              </w:rPr>
              <w:t xml:space="preserve">Domestic area </w:t>
            </w:r>
          </w:p>
        </w:tc>
        <w:tc>
          <w:tcPr>
            <w:tcW w:w="1327" w:type="dxa"/>
            <w:vAlign w:val="center"/>
          </w:tcPr>
          <w:p w14:paraId="10C29382" w14:textId="77777777" w:rsidR="00B146C9" w:rsidRDefault="00B146C9" w:rsidP="00B146C9">
            <w:pPr>
              <w:rPr>
                <w:color w:val="000000"/>
                <w:sz w:val="18"/>
                <w:szCs w:val="18"/>
              </w:rPr>
            </w:pPr>
            <w:r>
              <w:rPr>
                <w:color w:val="000000"/>
                <w:sz w:val="18"/>
                <w:szCs w:val="18"/>
              </w:rPr>
              <w:t>AL-S10-1-0</w:t>
            </w:r>
          </w:p>
          <w:p w14:paraId="13A19ABA" w14:textId="6B88EF6B" w:rsidR="00B146C9" w:rsidRDefault="00837D62" w:rsidP="00B146C9">
            <w:pPr>
              <w:rPr>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39B98EE6" w14:textId="77777777" w:rsidR="00B146C9" w:rsidRPr="005D3939" w:rsidRDefault="00B146C9" w:rsidP="00B146C9">
            <w:pPr>
              <w:rPr>
                <w:i/>
                <w:color w:val="000000"/>
                <w:sz w:val="18"/>
                <w:szCs w:val="18"/>
              </w:rPr>
            </w:pPr>
            <w:r w:rsidRPr="005D3939">
              <w:rPr>
                <w:i/>
                <w:color w:val="000000"/>
                <w:sz w:val="18"/>
                <w:szCs w:val="18"/>
              </w:rPr>
              <w:t>Bartonella henselae</w:t>
            </w:r>
          </w:p>
        </w:tc>
        <w:tc>
          <w:tcPr>
            <w:tcW w:w="0" w:type="auto"/>
            <w:vAlign w:val="center"/>
          </w:tcPr>
          <w:p w14:paraId="1EABEE07" w14:textId="77777777" w:rsidR="00B146C9" w:rsidRDefault="00B146C9" w:rsidP="00B146C9">
            <w:pPr>
              <w:rPr>
                <w:color w:val="000000"/>
                <w:sz w:val="18"/>
                <w:szCs w:val="18"/>
              </w:rPr>
            </w:pPr>
            <w:r>
              <w:rPr>
                <w:color w:val="000000"/>
                <w:sz w:val="18"/>
                <w:szCs w:val="18"/>
              </w:rPr>
              <w:t>NF EN 1276 (August 2019)</w:t>
            </w:r>
          </w:p>
        </w:tc>
        <w:tc>
          <w:tcPr>
            <w:tcW w:w="2959" w:type="dxa"/>
            <w:vAlign w:val="center"/>
          </w:tcPr>
          <w:p w14:paraId="44D743E1" w14:textId="77777777" w:rsidR="00B146C9" w:rsidRPr="00D22F57" w:rsidRDefault="00B146C9" w:rsidP="00B146C9">
            <w:pPr>
              <w:rPr>
                <w:color w:val="000000"/>
                <w:sz w:val="18"/>
                <w:szCs w:val="18"/>
              </w:rPr>
            </w:pPr>
            <w:r w:rsidRPr="00D22F57">
              <w:rPr>
                <w:color w:val="000000"/>
                <w:sz w:val="18"/>
                <w:szCs w:val="18"/>
              </w:rPr>
              <w:t>Phase 2 step 1 (suspension test)</w:t>
            </w:r>
          </w:p>
          <w:p w14:paraId="1153F791" w14:textId="77777777" w:rsidR="00B146C9" w:rsidRPr="00D22F57" w:rsidRDefault="00B146C9" w:rsidP="00B146C9">
            <w:pPr>
              <w:rPr>
                <w:color w:val="000000"/>
                <w:sz w:val="18"/>
                <w:szCs w:val="18"/>
              </w:rPr>
            </w:pPr>
            <w:r w:rsidRPr="00D22F57">
              <w:rPr>
                <w:color w:val="000000"/>
                <w:sz w:val="18"/>
                <w:szCs w:val="18"/>
              </w:rPr>
              <w:t>Concentrations of product tested (v/v) were</w:t>
            </w:r>
            <w:r w:rsidRPr="001C307C">
              <w:rPr>
                <w:color w:val="000000"/>
                <w:sz w:val="18"/>
                <w:szCs w:val="18"/>
              </w:rPr>
              <w:t xml:space="preserve">: </w:t>
            </w:r>
            <w:r w:rsidRPr="00AF1A0E">
              <w:rPr>
                <w:color w:val="000000"/>
                <w:sz w:val="18"/>
                <w:szCs w:val="18"/>
              </w:rPr>
              <w:t xml:space="preserve">0.5% - 1% and 6%. </w:t>
            </w:r>
          </w:p>
          <w:p w14:paraId="5D4D2D92" w14:textId="78395B80" w:rsidR="00B146C9" w:rsidRPr="00D22F57" w:rsidRDefault="00B146C9" w:rsidP="00B146C9">
            <w:pPr>
              <w:rPr>
                <w:color w:val="000000"/>
                <w:sz w:val="18"/>
                <w:szCs w:val="18"/>
              </w:rPr>
            </w:pPr>
            <w:r w:rsidRPr="00D22F57">
              <w:rPr>
                <w:color w:val="000000"/>
                <w:sz w:val="18"/>
                <w:szCs w:val="18"/>
              </w:rPr>
              <w:t xml:space="preserve">Contact time: 5 minutes </w:t>
            </w:r>
          </w:p>
          <w:p w14:paraId="74DA2735" w14:textId="77777777" w:rsidR="00B146C9" w:rsidRPr="001C307C" w:rsidRDefault="00B146C9" w:rsidP="00B146C9">
            <w:pPr>
              <w:rPr>
                <w:color w:val="000000"/>
                <w:sz w:val="18"/>
                <w:szCs w:val="18"/>
              </w:rPr>
            </w:pPr>
            <w:r w:rsidRPr="001C307C">
              <w:rPr>
                <w:color w:val="000000"/>
                <w:sz w:val="18"/>
                <w:szCs w:val="18"/>
              </w:rPr>
              <w:t>Temperature: 20°C</w:t>
            </w:r>
          </w:p>
          <w:p w14:paraId="701F0F0B" w14:textId="77777777" w:rsidR="00B146C9" w:rsidRPr="00DE786A" w:rsidRDefault="00B146C9" w:rsidP="00B146C9">
            <w:pPr>
              <w:rPr>
                <w:color w:val="000000"/>
                <w:sz w:val="18"/>
                <w:szCs w:val="18"/>
              </w:rPr>
            </w:pPr>
            <w:r w:rsidRPr="00DE786A">
              <w:rPr>
                <w:color w:val="000000"/>
                <w:sz w:val="18"/>
                <w:szCs w:val="18"/>
              </w:rPr>
              <w:t xml:space="preserve">Dirty conditions: 3 g/L BSA </w:t>
            </w:r>
          </w:p>
          <w:p w14:paraId="7290FD53" w14:textId="77777777" w:rsidR="00B146C9" w:rsidRPr="00085C80" w:rsidRDefault="00B146C9" w:rsidP="00B146C9">
            <w:pPr>
              <w:rPr>
                <w:color w:val="000000"/>
                <w:sz w:val="18"/>
                <w:szCs w:val="18"/>
              </w:rPr>
            </w:pPr>
            <w:r w:rsidRPr="00085C80">
              <w:rPr>
                <w:color w:val="000000"/>
                <w:sz w:val="18"/>
                <w:szCs w:val="18"/>
              </w:rPr>
              <w:t>Criteria: ≥ 5 log unit reduction</w:t>
            </w:r>
          </w:p>
        </w:tc>
        <w:tc>
          <w:tcPr>
            <w:tcW w:w="1919" w:type="dxa"/>
            <w:vAlign w:val="center"/>
          </w:tcPr>
          <w:p w14:paraId="3F533B62" w14:textId="7DC2A2D8" w:rsidR="00B146C9" w:rsidRPr="00E33E6A" w:rsidRDefault="00A67859" w:rsidP="00B146C9">
            <w:pPr>
              <w:rPr>
                <w:color w:val="000000"/>
                <w:sz w:val="18"/>
                <w:szCs w:val="18"/>
              </w:rPr>
            </w:pPr>
            <w:r>
              <w:rPr>
                <w:color w:val="000000"/>
                <w:sz w:val="18"/>
                <w:szCs w:val="18"/>
              </w:rPr>
              <w:t>A</w:t>
            </w:r>
            <w:r w:rsidR="00B146C9" w:rsidRPr="00BE190E">
              <w:rPr>
                <w:color w:val="000000"/>
                <w:sz w:val="18"/>
                <w:szCs w:val="18"/>
              </w:rPr>
              <w:t xml:space="preserve">ctivity </w:t>
            </w:r>
            <w:r w:rsidR="00B146C9">
              <w:rPr>
                <w:color w:val="000000"/>
                <w:sz w:val="18"/>
                <w:szCs w:val="18"/>
              </w:rPr>
              <w:t xml:space="preserve">against </w:t>
            </w:r>
            <w:r w:rsidR="00B146C9" w:rsidRPr="00526D5D">
              <w:rPr>
                <w:i/>
                <w:color w:val="000000"/>
                <w:sz w:val="18"/>
                <w:szCs w:val="18"/>
              </w:rPr>
              <w:t>B.henselae</w:t>
            </w:r>
            <w:r w:rsidR="00B146C9">
              <w:rPr>
                <w:color w:val="000000"/>
                <w:sz w:val="18"/>
                <w:szCs w:val="18"/>
              </w:rPr>
              <w:t xml:space="preserve"> </w:t>
            </w:r>
            <w:r w:rsidR="00B146C9" w:rsidRPr="00BE190E">
              <w:rPr>
                <w:color w:val="000000"/>
                <w:sz w:val="18"/>
                <w:szCs w:val="18"/>
              </w:rPr>
              <w:t>demonstrated at 6 % v/v</w:t>
            </w:r>
            <w:r w:rsidR="00B146C9" w:rsidRPr="00BE190E" w:rsidDel="00FD25E8">
              <w:rPr>
                <w:color w:val="000000"/>
                <w:sz w:val="18"/>
                <w:szCs w:val="18"/>
              </w:rPr>
              <w:t xml:space="preserve"> </w:t>
            </w:r>
          </w:p>
          <w:p w14:paraId="7719FD88" w14:textId="77777777" w:rsidR="00B146C9" w:rsidRPr="006038F1" w:rsidRDefault="00B146C9" w:rsidP="00B146C9">
            <w:pPr>
              <w:rPr>
                <w:color w:val="000000"/>
                <w:sz w:val="18"/>
                <w:szCs w:val="18"/>
              </w:rPr>
            </w:pPr>
          </w:p>
        </w:tc>
        <w:tc>
          <w:tcPr>
            <w:tcW w:w="0" w:type="auto"/>
            <w:vAlign w:val="center"/>
          </w:tcPr>
          <w:p w14:paraId="3B204FEE" w14:textId="77777777" w:rsidR="00B146C9" w:rsidRPr="00D22F57" w:rsidRDefault="00B146C9" w:rsidP="00B146C9">
            <w:pPr>
              <w:rPr>
                <w:color w:val="000000"/>
                <w:sz w:val="18"/>
                <w:szCs w:val="18"/>
              </w:rPr>
            </w:pPr>
            <w:r w:rsidRPr="00AF1A0E">
              <w:rPr>
                <w:color w:val="000000"/>
                <w:sz w:val="18"/>
                <w:szCs w:val="18"/>
              </w:rPr>
              <w:t>Pinon A., 2020, Report No 200290a</w:t>
            </w:r>
          </w:p>
          <w:p w14:paraId="61A72B4F" w14:textId="77777777" w:rsidR="00B146C9" w:rsidRPr="00D22F57" w:rsidRDefault="00B146C9" w:rsidP="00B146C9">
            <w:pPr>
              <w:rPr>
                <w:color w:val="000000"/>
                <w:sz w:val="18"/>
                <w:szCs w:val="18"/>
              </w:rPr>
            </w:pPr>
          </w:p>
          <w:p w14:paraId="65356B56" w14:textId="77777777" w:rsidR="00B146C9" w:rsidRPr="001C307C" w:rsidRDefault="00B146C9" w:rsidP="00B146C9">
            <w:pPr>
              <w:rPr>
                <w:color w:val="000000"/>
                <w:sz w:val="18"/>
                <w:szCs w:val="18"/>
              </w:rPr>
            </w:pPr>
            <w:r w:rsidRPr="001C307C">
              <w:rPr>
                <w:color w:val="000000"/>
                <w:sz w:val="18"/>
                <w:szCs w:val="18"/>
              </w:rPr>
              <w:t>RI=1</w:t>
            </w:r>
          </w:p>
        </w:tc>
      </w:tr>
      <w:tr w:rsidR="00C770F5" w:rsidDel="00DB5D44" w14:paraId="51D8EE7F" w14:textId="77777777" w:rsidTr="00526D5D">
        <w:trPr>
          <w:cantSplit/>
          <w:jc w:val="center"/>
        </w:trPr>
        <w:tc>
          <w:tcPr>
            <w:tcW w:w="1346" w:type="dxa"/>
            <w:vAlign w:val="center"/>
          </w:tcPr>
          <w:p w14:paraId="026A57AA" w14:textId="77777777" w:rsidR="00B146C9" w:rsidRDefault="00B146C9" w:rsidP="00B146C9">
            <w:pPr>
              <w:rPr>
                <w:color w:val="000000"/>
                <w:sz w:val="18"/>
                <w:szCs w:val="18"/>
              </w:rPr>
            </w:pPr>
            <w:r>
              <w:rPr>
                <w:sz w:val="18"/>
                <w:szCs w:val="18"/>
              </w:rPr>
              <w:t>Disinfectant, yeasticidal activity</w:t>
            </w:r>
          </w:p>
        </w:tc>
        <w:tc>
          <w:tcPr>
            <w:tcW w:w="1285" w:type="dxa"/>
            <w:vAlign w:val="center"/>
          </w:tcPr>
          <w:p w14:paraId="44B1D486" w14:textId="77777777" w:rsidR="00B146C9" w:rsidRDefault="00B146C9" w:rsidP="00B146C9">
            <w:pPr>
              <w:rPr>
                <w:color w:val="000000"/>
                <w:sz w:val="18"/>
                <w:szCs w:val="18"/>
              </w:rPr>
            </w:pPr>
            <w:r>
              <w:rPr>
                <w:color w:val="000000"/>
                <w:sz w:val="18"/>
                <w:szCs w:val="18"/>
              </w:rPr>
              <w:t>companion animals environment</w:t>
            </w:r>
          </w:p>
        </w:tc>
        <w:tc>
          <w:tcPr>
            <w:tcW w:w="1327" w:type="dxa"/>
            <w:vAlign w:val="center"/>
          </w:tcPr>
          <w:p w14:paraId="7532E242" w14:textId="77777777" w:rsidR="00B146C9" w:rsidRDefault="00B146C9" w:rsidP="00B146C9">
            <w:pPr>
              <w:rPr>
                <w:color w:val="000000"/>
                <w:sz w:val="18"/>
                <w:szCs w:val="18"/>
              </w:rPr>
            </w:pPr>
            <w:r>
              <w:rPr>
                <w:color w:val="000000"/>
                <w:sz w:val="18"/>
                <w:szCs w:val="18"/>
              </w:rPr>
              <w:t>AL-S10-1-0</w:t>
            </w:r>
          </w:p>
          <w:p w14:paraId="3C1EFD0E" w14:textId="31711CF9" w:rsidR="00B146C9" w:rsidRDefault="00837D62" w:rsidP="00B146C9">
            <w:pPr>
              <w:rPr>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0BDEDE54" w14:textId="6E144644" w:rsidR="00B146C9" w:rsidRPr="005D3939" w:rsidRDefault="00B146C9" w:rsidP="00B146C9">
            <w:pPr>
              <w:rPr>
                <w:i/>
                <w:color w:val="000000"/>
                <w:sz w:val="18"/>
                <w:szCs w:val="18"/>
              </w:rPr>
            </w:pPr>
            <w:r w:rsidRPr="005D3939">
              <w:rPr>
                <w:i/>
                <w:sz w:val="18"/>
                <w:szCs w:val="18"/>
              </w:rPr>
              <w:t>Candida albicans</w:t>
            </w:r>
          </w:p>
        </w:tc>
        <w:tc>
          <w:tcPr>
            <w:tcW w:w="0" w:type="auto"/>
            <w:vAlign w:val="center"/>
          </w:tcPr>
          <w:p w14:paraId="0003E0A3" w14:textId="77777777" w:rsidR="00B146C9" w:rsidRDefault="00B146C9" w:rsidP="00B146C9">
            <w:pPr>
              <w:rPr>
                <w:color w:val="000000"/>
                <w:sz w:val="18"/>
                <w:szCs w:val="18"/>
              </w:rPr>
            </w:pPr>
            <w:r>
              <w:rPr>
                <w:sz w:val="18"/>
                <w:szCs w:val="18"/>
              </w:rPr>
              <w:t>NF EN 1657 (April 2006)</w:t>
            </w:r>
          </w:p>
        </w:tc>
        <w:tc>
          <w:tcPr>
            <w:tcW w:w="2959" w:type="dxa"/>
            <w:vAlign w:val="center"/>
          </w:tcPr>
          <w:p w14:paraId="2FCD6F75" w14:textId="77777777" w:rsidR="00B146C9" w:rsidRDefault="00B146C9" w:rsidP="00B146C9">
            <w:pPr>
              <w:rPr>
                <w:color w:val="000000"/>
                <w:sz w:val="18"/>
                <w:szCs w:val="18"/>
              </w:rPr>
            </w:pPr>
            <w:r>
              <w:rPr>
                <w:color w:val="000000"/>
                <w:sz w:val="18"/>
                <w:szCs w:val="18"/>
              </w:rPr>
              <w:t>Phase 2 step 1 (suspension test)</w:t>
            </w:r>
          </w:p>
          <w:p w14:paraId="7739B5B7" w14:textId="77777777" w:rsidR="00B146C9" w:rsidRDefault="00B146C9" w:rsidP="00B146C9">
            <w:pPr>
              <w:rPr>
                <w:color w:val="000000"/>
                <w:sz w:val="18"/>
                <w:szCs w:val="18"/>
              </w:rPr>
            </w:pPr>
            <w:r>
              <w:rPr>
                <w:color w:val="000000"/>
                <w:sz w:val="18"/>
                <w:szCs w:val="18"/>
              </w:rPr>
              <w:t>Concentrations of product tested (v/v) were</w:t>
            </w:r>
            <w:r w:rsidRPr="00DB5D44">
              <w:rPr>
                <w:color w:val="000000"/>
                <w:sz w:val="18"/>
                <w:szCs w:val="18"/>
              </w:rPr>
              <w:t xml:space="preserve">: </w:t>
            </w:r>
            <w:r w:rsidRPr="00AB27D1">
              <w:rPr>
                <w:sz w:val="18"/>
                <w:szCs w:val="18"/>
              </w:rPr>
              <w:t>6%, 8%, 10%.</w:t>
            </w:r>
            <w:r>
              <w:rPr>
                <w:color w:val="000000"/>
                <w:sz w:val="18"/>
                <w:szCs w:val="18"/>
              </w:rPr>
              <w:t xml:space="preserve"> </w:t>
            </w:r>
          </w:p>
          <w:p w14:paraId="7BFD2FD1" w14:textId="05B9273C" w:rsidR="00B146C9" w:rsidRDefault="00B146C9" w:rsidP="00B146C9">
            <w:pPr>
              <w:rPr>
                <w:color w:val="000000"/>
                <w:sz w:val="18"/>
                <w:szCs w:val="18"/>
              </w:rPr>
            </w:pPr>
            <w:r>
              <w:rPr>
                <w:color w:val="000000"/>
                <w:sz w:val="18"/>
                <w:szCs w:val="18"/>
              </w:rPr>
              <w:t xml:space="preserve">Contact time: 120 minutes </w:t>
            </w:r>
          </w:p>
          <w:p w14:paraId="3B205099" w14:textId="77777777" w:rsidR="00B146C9" w:rsidRDefault="00B146C9" w:rsidP="00B146C9">
            <w:pPr>
              <w:rPr>
                <w:color w:val="000000"/>
                <w:sz w:val="18"/>
                <w:szCs w:val="18"/>
              </w:rPr>
            </w:pPr>
            <w:r>
              <w:rPr>
                <w:color w:val="000000"/>
                <w:sz w:val="18"/>
                <w:szCs w:val="18"/>
              </w:rPr>
              <w:t>Temperature: 20°C</w:t>
            </w:r>
          </w:p>
          <w:p w14:paraId="61C0D82B" w14:textId="77777777" w:rsidR="00B146C9" w:rsidRDefault="00B146C9" w:rsidP="00B146C9">
            <w:pPr>
              <w:rPr>
                <w:color w:val="000000"/>
                <w:sz w:val="18"/>
                <w:szCs w:val="18"/>
              </w:rPr>
            </w:pPr>
            <w:r>
              <w:rPr>
                <w:color w:val="000000"/>
                <w:sz w:val="18"/>
                <w:szCs w:val="18"/>
              </w:rPr>
              <w:t xml:space="preserve">Dirty conditions: 3 g/L BSA </w:t>
            </w:r>
          </w:p>
          <w:p w14:paraId="3E31DA9D" w14:textId="77777777" w:rsidR="00B146C9" w:rsidRPr="00D22F57" w:rsidRDefault="00B146C9" w:rsidP="00B146C9">
            <w:pPr>
              <w:rPr>
                <w:color w:val="000000"/>
                <w:sz w:val="18"/>
                <w:szCs w:val="18"/>
              </w:rPr>
            </w:pPr>
            <w:r>
              <w:rPr>
                <w:color w:val="000000"/>
                <w:sz w:val="18"/>
                <w:szCs w:val="18"/>
              </w:rPr>
              <w:t>Criteria: ≥ 4 log unit reduction</w:t>
            </w:r>
          </w:p>
        </w:tc>
        <w:tc>
          <w:tcPr>
            <w:tcW w:w="1919" w:type="dxa"/>
            <w:vAlign w:val="center"/>
          </w:tcPr>
          <w:p w14:paraId="199C8F94" w14:textId="77777777" w:rsidR="00B146C9" w:rsidRDefault="00B146C9" w:rsidP="00B146C9">
            <w:pPr>
              <w:rPr>
                <w:color w:val="000000"/>
                <w:sz w:val="18"/>
                <w:szCs w:val="18"/>
              </w:rPr>
            </w:pPr>
            <w:r>
              <w:rPr>
                <w:color w:val="000000"/>
                <w:sz w:val="18"/>
                <w:szCs w:val="18"/>
              </w:rPr>
              <w:t>Yeasticidal activity demonstrated at 8 % v/v</w:t>
            </w:r>
            <w:r w:rsidDel="00FD25E8">
              <w:rPr>
                <w:color w:val="000000"/>
                <w:sz w:val="18"/>
                <w:szCs w:val="18"/>
              </w:rPr>
              <w:t xml:space="preserve"> </w:t>
            </w:r>
          </w:p>
          <w:p w14:paraId="263CF2BD" w14:textId="77777777" w:rsidR="00B146C9" w:rsidRPr="00BE190E" w:rsidRDefault="00B146C9" w:rsidP="00B146C9">
            <w:pPr>
              <w:rPr>
                <w:color w:val="000000"/>
                <w:sz w:val="18"/>
                <w:szCs w:val="18"/>
              </w:rPr>
            </w:pPr>
          </w:p>
        </w:tc>
        <w:tc>
          <w:tcPr>
            <w:tcW w:w="0" w:type="auto"/>
            <w:vAlign w:val="center"/>
          </w:tcPr>
          <w:p w14:paraId="0B390B90" w14:textId="77777777" w:rsidR="00B146C9" w:rsidRPr="00AF1A0E" w:rsidRDefault="00B146C9" w:rsidP="00B146C9">
            <w:pPr>
              <w:rPr>
                <w:sz w:val="18"/>
                <w:szCs w:val="18"/>
              </w:rPr>
            </w:pPr>
            <w:r w:rsidRPr="00AF1A0E">
              <w:rPr>
                <w:sz w:val="18"/>
                <w:szCs w:val="18"/>
              </w:rPr>
              <w:t>Huguet N., 2020, Report No 19.CM.19-036</w:t>
            </w:r>
          </w:p>
          <w:p w14:paraId="267D510E" w14:textId="77777777" w:rsidR="00B146C9" w:rsidRPr="00AF1A0E" w:rsidRDefault="00B146C9" w:rsidP="00B146C9">
            <w:pPr>
              <w:rPr>
                <w:sz w:val="18"/>
                <w:szCs w:val="18"/>
              </w:rPr>
            </w:pPr>
          </w:p>
          <w:p w14:paraId="309B5357" w14:textId="77777777" w:rsidR="00B146C9" w:rsidRPr="00AF1A0E" w:rsidRDefault="00B146C9" w:rsidP="00B146C9">
            <w:pPr>
              <w:rPr>
                <w:color w:val="000000"/>
                <w:sz w:val="18"/>
                <w:szCs w:val="18"/>
              </w:rPr>
            </w:pPr>
            <w:r w:rsidRPr="00AF1A0E">
              <w:rPr>
                <w:sz w:val="18"/>
                <w:szCs w:val="18"/>
              </w:rPr>
              <w:t>RI=1</w:t>
            </w:r>
          </w:p>
        </w:tc>
      </w:tr>
      <w:tr w:rsidR="00C770F5" w14:paraId="60DBF0B6" w14:textId="77777777" w:rsidTr="00526D5D">
        <w:trPr>
          <w:cantSplit/>
          <w:jc w:val="center"/>
        </w:trPr>
        <w:tc>
          <w:tcPr>
            <w:tcW w:w="1346" w:type="dxa"/>
            <w:vAlign w:val="center"/>
          </w:tcPr>
          <w:p w14:paraId="0A425954" w14:textId="77777777" w:rsidR="00B146C9" w:rsidRPr="00FD2055" w:rsidRDefault="00B146C9" w:rsidP="00B146C9">
            <w:pPr>
              <w:rPr>
                <w:i/>
                <w:color w:val="000000"/>
                <w:sz w:val="18"/>
                <w:szCs w:val="18"/>
              </w:rPr>
            </w:pPr>
            <w:r>
              <w:rPr>
                <w:color w:val="000000"/>
                <w:sz w:val="18"/>
                <w:szCs w:val="18"/>
              </w:rPr>
              <w:lastRenderedPageBreak/>
              <w:t>Disinfectant, bactericidal activity</w:t>
            </w:r>
          </w:p>
        </w:tc>
        <w:tc>
          <w:tcPr>
            <w:tcW w:w="1285" w:type="dxa"/>
            <w:vAlign w:val="center"/>
          </w:tcPr>
          <w:p w14:paraId="2E69A12A" w14:textId="500FA96A" w:rsidR="00B146C9" w:rsidRPr="00FD2055" w:rsidRDefault="00C174D4" w:rsidP="00B146C9">
            <w:pPr>
              <w:rPr>
                <w:i/>
                <w:color w:val="000000"/>
                <w:sz w:val="18"/>
                <w:szCs w:val="18"/>
              </w:rPr>
            </w:pPr>
            <w:r>
              <w:rPr>
                <w:color w:val="000000"/>
                <w:sz w:val="18"/>
                <w:szCs w:val="18"/>
              </w:rPr>
              <w:t>C</w:t>
            </w:r>
            <w:r w:rsidR="00B146C9">
              <w:rPr>
                <w:color w:val="000000"/>
                <w:sz w:val="18"/>
                <w:szCs w:val="18"/>
              </w:rPr>
              <w:t>ompanion animals environment</w:t>
            </w:r>
          </w:p>
        </w:tc>
        <w:tc>
          <w:tcPr>
            <w:tcW w:w="1327" w:type="dxa"/>
            <w:vAlign w:val="center"/>
          </w:tcPr>
          <w:p w14:paraId="2558A432" w14:textId="77777777" w:rsidR="00B146C9" w:rsidRDefault="00B146C9" w:rsidP="00B146C9">
            <w:pPr>
              <w:rPr>
                <w:color w:val="000000"/>
                <w:sz w:val="18"/>
                <w:szCs w:val="18"/>
              </w:rPr>
            </w:pPr>
            <w:r>
              <w:rPr>
                <w:color w:val="000000"/>
                <w:sz w:val="18"/>
                <w:szCs w:val="18"/>
              </w:rPr>
              <w:t>AL-S10-1-0</w:t>
            </w:r>
          </w:p>
          <w:p w14:paraId="549FE722" w14:textId="2044016C" w:rsidR="00B146C9" w:rsidRPr="00FD2055" w:rsidRDefault="00837D62" w:rsidP="00B146C9">
            <w:pPr>
              <w:rPr>
                <w:i/>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1572DC72" w14:textId="77777777" w:rsidR="00B146C9" w:rsidRPr="00E12B02" w:rsidRDefault="00B146C9" w:rsidP="00B146C9">
            <w:pPr>
              <w:rPr>
                <w:i/>
                <w:color w:val="000000"/>
                <w:sz w:val="18"/>
                <w:szCs w:val="18"/>
                <w:lang w:val="fr-FR"/>
              </w:rPr>
            </w:pPr>
            <w:r w:rsidRPr="00E12B02">
              <w:rPr>
                <w:i/>
                <w:color w:val="000000"/>
                <w:sz w:val="18"/>
                <w:szCs w:val="18"/>
                <w:lang w:val="fr-FR"/>
              </w:rPr>
              <w:t>Enterococcus hirae</w:t>
            </w:r>
            <w:r w:rsidRPr="00E12B02">
              <w:rPr>
                <w:color w:val="000000"/>
                <w:sz w:val="18"/>
                <w:szCs w:val="18"/>
                <w:lang w:val="fr-FR"/>
              </w:rPr>
              <w:t xml:space="preserve"> </w:t>
            </w:r>
            <w:r w:rsidRPr="00E12B02">
              <w:rPr>
                <w:color w:val="000000"/>
                <w:sz w:val="18"/>
                <w:szCs w:val="18"/>
                <w:lang w:val="fr-FR"/>
              </w:rPr>
              <w:br/>
            </w:r>
            <w:r w:rsidRPr="00E12B02">
              <w:rPr>
                <w:i/>
                <w:color w:val="000000"/>
                <w:sz w:val="18"/>
                <w:szCs w:val="18"/>
                <w:lang w:val="fr-FR"/>
              </w:rPr>
              <w:t>Staphylococcus aureus</w:t>
            </w:r>
            <w:r w:rsidRPr="00E12B02">
              <w:rPr>
                <w:color w:val="000000"/>
                <w:sz w:val="18"/>
                <w:szCs w:val="18"/>
                <w:lang w:val="fr-FR"/>
              </w:rPr>
              <w:t xml:space="preserve"> </w:t>
            </w:r>
            <w:r w:rsidRPr="00E12B02">
              <w:rPr>
                <w:color w:val="000000"/>
                <w:sz w:val="18"/>
                <w:szCs w:val="18"/>
                <w:lang w:val="fr-FR"/>
              </w:rPr>
              <w:br/>
            </w:r>
            <w:r w:rsidRPr="00E12B02">
              <w:rPr>
                <w:i/>
                <w:color w:val="000000"/>
                <w:sz w:val="18"/>
                <w:szCs w:val="18"/>
                <w:lang w:val="fr-FR"/>
              </w:rPr>
              <w:t>Pseudomonas aeruginosa</w:t>
            </w:r>
            <w:r w:rsidRPr="00E12B02">
              <w:rPr>
                <w:color w:val="000000"/>
                <w:sz w:val="18"/>
                <w:szCs w:val="18"/>
                <w:lang w:val="fr-FR"/>
              </w:rPr>
              <w:br/>
            </w:r>
            <w:r w:rsidRPr="00E12B02">
              <w:rPr>
                <w:i/>
                <w:color w:val="000000"/>
                <w:sz w:val="18"/>
                <w:szCs w:val="18"/>
                <w:lang w:val="fr-FR"/>
              </w:rPr>
              <w:t>Proteus hauserii</w:t>
            </w:r>
            <w:r w:rsidRPr="00E12B02">
              <w:rPr>
                <w:color w:val="000000"/>
                <w:sz w:val="18"/>
                <w:szCs w:val="18"/>
                <w:lang w:val="fr-FR"/>
              </w:rPr>
              <w:t xml:space="preserve"> </w:t>
            </w:r>
          </w:p>
        </w:tc>
        <w:tc>
          <w:tcPr>
            <w:tcW w:w="0" w:type="auto"/>
            <w:vAlign w:val="center"/>
          </w:tcPr>
          <w:p w14:paraId="727FB3C3" w14:textId="77777777" w:rsidR="00B146C9" w:rsidRPr="00FD2055" w:rsidRDefault="00B146C9" w:rsidP="00B146C9">
            <w:pPr>
              <w:rPr>
                <w:color w:val="000000"/>
                <w:sz w:val="18"/>
                <w:szCs w:val="18"/>
              </w:rPr>
            </w:pPr>
            <w:r>
              <w:rPr>
                <w:color w:val="000000"/>
                <w:sz w:val="18"/>
                <w:szCs w:val="18"/>
              </w:rPr>
              <w:t>NF EN 14349 (December 2012)</w:t>
            </w:r>
          </w:p>
        </w:tc>
        <w:tc>
          <w:tcPr>
            <w:tcW w:w="2959" w:type="dxa"/>
            <w:vAlign w:val="center"/>
          </w:tcPr>
          <w:p w14:paraId="28204271" w14:textId="0690385C" w:rsidR="00B146C9" w:rsidRDefault="00B146C9" w:rsidP="00B146C9">
            <w:pPr>
              <w:rPr>
                <w:color w:val="000000"/>
                <w:sz w:val="18"/>
                <w:szCs w:val="18"/>
              </w:rPr>
            </w:pPr>
            <w:r>
              <w:rPr>
                <w:color w:val="000000"/>
                <w:sz w:val="18"/>
                <w:szCs w:val="18"/>
              </w:rPr>
              <w:t>Phase 2 step 2 (surface test)</w:t>
            </w:r>
          </w:p>
          <w:p w14:paraId="78A1B39A" w14:textId="77777777" w:rsidR="00B146C9" w:rsidRDefault="00B146C9" w:rsidP="00B146C9">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8% - 6% and 2%. </w:t>
            </w:r>
          </w:p>
          <w:p w14:paraId="6E7410E1" w14:textId="199A91D9" w:rsidR="00B146C9" w:rsidRDefault="00B146C9" w:rsidP="00B146C9">
            <w:pPr>
              <w:rPr>
                <w:color w:val="000000"/>
                <w:sz w:val="18"/>
                <w:szCs w:val="18"/>
              </w:rPr>
            </w:pPr>
            <w:r>
              <w:rPr>
                <w:color w:val="000000"/>
                <w:sz w:val="18"/>
                <w:szCs w:val="18"/>
              </w:rPr>
              <w:t xml:space="preserve">Contact time: 30 minutes </w:t>
            </w:r>
          </w:p>
          <w:p w14:paraId="75B88457" w14:textId="77777777" w:rsidR="00B146C9" w:rsidRDefault="00B146C9" w:rsidP="00B146C9">
            <w:pPr>
              <w:rPr>
                <w:color w:val="000000"/>
                <w:sz w:val="18"/>
                <w:szCs w:val="18"/>
              </w:rPr>
            </w:pPr>
            <w:r>
              <w:rPr>
                <w:color w:val="000000"/>
                <w:sz w:val="18"/>
                <w:szCs w:val="18"/>
              </w:rPr>
              <w:t>Temperature: 10°C</w:t>
            </w:r>
          </w:p>
          <w:p w14:paraId="42BA0081" w14:textId="77777777" w:rsidR="00B146C9" w:rsidRDefault="00B146C9" w:rsidP="00B146C9">
            <w:pPr>
              <w:rPr>
                <w:color w:val="000000"/>
                <w:sz w:val="18"/>
                <w:szCs w:val="18"/>
              </w:rPr>
            </w:pPr>
            <w:r>
              <w:rPr>
                <w:color w:val="000000"/>
                <w:sz w:val="18"/>
                <w:szCs w:val="18"/>
              </w:rPr>
              <w:t xml:space="preserve">Dirty conditions: 3 g/L BSA </w:t>
            </w:r>
          </w:p>
          <w:p w14:paraId="74B23B4A" w14:textId="77777777" w:rsidR="00B146C9" w:rsidRPr="00FD2055" w:rsidRDefault="00B146C9" w:rsidP="00B146C9">
            <w:pPr>
              <w:rPr>
                <w:color w:val="000000"/>
                <w:sz w:val="18"/>
                <w:szCs w:val="18"/>
              </w:rPr>
            </w:pPr>
            <w:r>
              <w:rPr>
                <w:color w:val="000000"/>
                <w:sz w:val="18"/>
                <w:szCs w:val="18"/>
              </w:rPr>
              <w:t>Criteria: ≥ 4 log unit reduction</w:t>
            </w:r>
          </w:p>
        </w:tc>
        <w:tc>
          <w:tcPr>
            <w:tcW w:w="1919" w:type="dxa"/>
            <w:vAlign w:val="center"/>
          </w:tcPr>
          <w:p w14:paraId="74996B55" w14:textId="77777777" w:rsidR="00B146C9" w:rsidRDefault="00B146C9" w:rsidP="00B146C9">
            <w:pPr>
              <w:rPr>
                <w:color w:val="000000"/>
                <w:sz w:val="18"/>
                <w:szCs w:val="18"/>
              </w:rPr>
            </w:pPr>
            <w:r>
              <w:rPr>
                <w:color w:val="000000"/>
                <w:sz w:val="18"/>
                <w:szCs w:val="18"/>
              </w:rPr>
              <w:t>Bactericidal activity demonstrated at 6 % v/v</w:t>
            </w:r>
            <w:r w:rsidDel="00FD25E8">
              <w:rPr>
                <w:color w:val="000000"/>
                <w:sz w:val="18"/>
                <w:szCs w:val="18"/>
              </w:rPr>
              <w:t xml:space="preserve"> </w:t>
            </w:r>
          </w:p>
          <w:p w14:paraId="3CB799FC" w14:textId="77777777" w:rsidR="00B146C9" w:rsidRPr="00FD2055" w:rsidRDefault="00B146C9" w:rsidP="00B146C9">
            <w:pPr>
              <w:rPr>
                <w:color w:val="000000"/>
                <w:sz w:val="18"/>
                <w:szCs w:val="18"/>
              </w:rPr>
            </w:pPr>
          </w:p>
        </w:tc>
        <w:tc>
          <w:tcPr>
            <w:tcW w:w="0" w:type="auto"/>
            <w:vAlign w:val="center"/>
          </w:tcPr>
          <w:p w14:paraId="6A9B26FF" w14:textId="77777777" w:rsidR="00B146C9" w:rsidRDefault="00B146C9" w:rsidP="00B146C9">
            <w:pPr>
              <w:rPr>
                <w:color w:val="000000"/>
                <w:sz w:val="18"/>
                <w:szCs w:val="18"/>
              </w:rPr>
            </w:pPr>
            <w:r>
              <w:rPr>
                <w:color w:val="000000"/>
                <w:sz w:val="18"/>
                <w:szCs w:val="18"/>
              </w:rPr>
              <w:t>Feuillolay C., 2018, Report No 18-1349</w:t>
            </w:r>
          </w:p>
          <w:p w14:paraId="5D33E54B" w14:textId="77777777" w:rsidR="00B146C9" w:rsidRDefault="00B146C9" w:rsidP="00B146C9">
            <w:pPr>
              <w:rPr>
                <w:color w:val="000000"/>
                <w:sz w:val="18"/>
                <w:szCs w:val="18"/>
              </w:rPr>
            </w:pPr>
          </w:p>
          <w:p w14:paraId="2AF0543A" w14:textId="77777777" w:rsidR="00B146C9" w:rsidRPr="00FD2055" w:rsidRDefault="00B146C9" w:rsidP="00B146C9">
            <w:pPr>
              <w:rPr>
                <w:i/>
                <w:color w:val="000000"/>
                <w:sz w:val="18"/>
                <w:szCs w:val="18"/>
              </w:rPr>
            </w:pPr>
            <w:r>
              <w:rPr>
                <w:color w:val="000000"/>
                <w:sz w:val="18"/>
                <w:szCs w:val="18"/>
              </w:rPr>
              <w:t>RI=1</w:t>
            </w:r>
          </w:p>
        </w:tc>
      </w:tr>
      <w:tr w:rsidR="00C770F5" w:rsidRPr="005D3939" w14:paraId="6685CF6D" w14:textId="77777777" w:rsidTr="00526D5D">
        <w:trPr>
          <w:cantSplit/>
          <w:jc w:val="center"/>
        </w:trPr>
        <w:tc>
          <w:tcPr>
            <w:tcW w:w="1346" w:type="dxa"/>
            <w:vAlign w:val="center"/>
          </w:tcPr>
          <w:p w14:paraId="70AE666F" w14:textId="77777777" w:rsidR="00B146C9" w:rsidRPr="00AF1A0E" w:rsidRDefault="00B146C9" w:rsidP="00B146C9">
            <w:pPr>
              <w:rPr>
                <w:i/>
                <w:color w:val="000000"/>
                <w:sz w:val="18"/>
                <w:szCs w:val="18"/>
              </w:rPr>
            </w:pPr>
            <w:r w:rsidRPr="00AF1A0E">
              <w:rPr>
                <w:color w:val="000000"/>
                <w:sz w:val="18"/>
                <w:szCs w:val="18"/>
              </w:rPr>
              <w:t>Disinfectant, bactericidal activity</w:t>
            </w:r>
          </w:p>
        </w:tc>
        <w:tc>
          <w:tcPr>
            <w:tcW w:w="1285" w:type="dxa"/>
            <w:vAlign w:val="center"/>
          </w:tcPr>
          <w:p w14:paraId="6D9C94E0" w14:textId="77777777" w:rsidR="00B146C9" w:rsidRPr="00AF1A0E" w:rsidRDefault="00B146C9" w:rsidP="00B146C9">
            <w:pPr>
              <w:rPr>
                <w:i/>
                <w:color w:val="000000"/>
                <w:sz w:val="18"/>
                <w:szCs w:val="18"/>
              </w:rPr>
            </w:pPr>
            <w:r w:rsidRPr="00AF1A0E">
              <w:rPr>
                <w:color w:val="000000"/>
                <w:sz w:val="18"/>
                <w:szCs w:val="18"/>
              </w:rPr>
              <w:t xml:space="preserve">Domestic area </w:t>
            </w:r>
          </w:p>
        </w:tc>
        <w:tc>
          <w:tcPr>
            <w:tcW w:w="1327" w:type="dxa"/>
            <w:vAlign w:val="center"/>
          </w:tcPr>
          <w:p w14:paraId="2B084C96" w14:textId="77777777" w:rsidR="00B146C9" w:rsidRDefault="00B146C9" w:rsidP="00B146C9">
            <w:pPr>
              <w:rPr>
                <w:color w:val="000000"/>
                <w:sz w:val="18"/>
                <w:szCs w:val="18"/>
              </w:rPr>
            </w:pPr>
            <w:r w:rsidRPr="00AF1A0E">
              <w:rPr>
                <w:color w:val="000000"/>
                <w:sz w:val="18"/>
                <w:szCs w:val="18"/>
              </w:rPr>
              <w:t>AL-S10-1-0</w:t>
            </w:r>
          </w:p>
          <w:p w14:paraId="786EF007" w14:textId="0907B7FC" w:rsidR="00B146C9" w:rsidRPr="00AF1A0E" w:rsidRDefault="00837D62" w:rsidP="00B146C9">
            <w:pPr>
              <w:rPr>
                <w:i/>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52FB3F11" w14:textId="0BEDDB27" w:rsidR="00526D5D" w:rsidRPr="00AF1A0E" w:rsidRDefault="00B146C9" w:rsidP="00B146C9">
            <w:pPr>
              <w:rPr>
                <w:i/>
                <w:color w:val="000000"/>
                <w:sz w:val="18"/>
                <w:szCs w:val="18"/>
              </w:rPr>
            </w:pPr>
            <w:r w:rsidRPr="00AF1A0E">
              <w:rPr>
                <w:i/>
                <w:color w:val="000000"/>
                <w:sz w:val="18"/>
                <w:szCs w:val="18"/>
              </w:rPr>
              <w:t>Bartonella henselae</w:t>
            </w:r>
          </w:p>
        </w:tc>
        <w:tc>
          <w:tcPr>
            <w:tcW w:w="0" w:type="auto"/>
            <w:vAlign w:val="center"/>
          </w:tcPr>
          <w:p w14:paraId="0BAF5934" w14:textId="77777777" w:rsidR="00B146C9" w:rsidRPr="00AF1A0E" w:rsidRDefault="00B146C9" w:rsidP="00B146C9">
            <w:pPr>
              <w:rPr>
                <w:color w:val="000000"/>
                <w:sz w:val="18"/>
                <w:szCs w:val="18"/>
              </w:rPr>
            </w:pPr>
            <w:r w:rsidRPr="00AF1A0E">
              <w:rPr>
                <w:color w:val="000000"/>
                <w:sz w:val="18"/>
                <w:szCs w:val="18"/>
              </w:rPr>
              <w:t>NF EN 13697+A1 (July 2019)</w:t>
            </w:r>
          </w:p>
        </w:tc>
        <w:tc>
          <w:tcPr>
            <w:tcW w:w="2959" w:type="dxa"/>
            <w:vAlign w:val="center"/>
          </w:tcPr>
          <w:p w14:paraId="60FDD430" w14:textId="2F620C65" w:rsidR="00B146C9" w:rsidRPr="00D22F57" w:rsidRDefault="00B146C9" w:rsidP="00B146C9">
            <w:pPr>
              <w:rPr>
                <w:color w:val="000000"/>
                <w:sz w:val="18"/>
                <w:szCs w:val="18"/>
              </w:rPr>
            </w:pPr>
            <w:r w:rsidRPr="00D22F57">
              <w:rPr>
                <w:color w:val="000000"/>
                <w:sz w:val="18"/>
                <w:szCs w:val="18"/>
              </w:rPr>
              <w:t>Phase 2 step 2 (su</w:t>
            </w:r>
            <w:r>
              <w:rPr>
                <w:color w:val="000000"/>
                <w:sz w:val="18"/>
                <w:szCs w:val="18"/>
              </w:rPr>
              <w:t>rface</w:t>
            </w:r>
            <w:r w:rsidRPr="00D22F57">
              <w:rPr>
                <w:color w:val="000000"/>
                <w:sz w:val="18"/>
                <w:szCs w:val="18"/>
              </w:rPr>
              <w:t xml:space="preserve"> test)</w:t>
            </w:r>
          </w:p>
          <w:p w14:paraId="04C22D67" w14:textId="77777777" w:rsidR="00B146C9" w:rsidRPr="00D22F57" w:rsidRDefault="00B146C9" w:rsidP="00B146C9">
            <w:pPr>
              <w:rPr>
                <w:color w:val="000000"/>
                <w:sz w:val="18"/>
                <w:szCs w:val="18"/>
              </w:rPr>
            </w:pPr>
            <w:r w:rsidRPr="00D22F57">
              <w:rPr>
                <w:color w:val="000000"/>
                <w:sz w:val="18"/>
                <w:szCs w:val="18"/>
              </w:rPr>
              <w:t>Concentrations of product tested (v/v) we</w:t>
            </w:r>
            <w:r w:rsidRPr="001C307C">
              <w:rPr>
                <w:color w:val="000000"/>
                <w:sz w:val="18"/>
                <w:szCs w:val="18"/>
              </w:rPr>
              <w:t xml:space="preserve">re: </w:t>
            </w:r>
            <w:r w:rsidRPr="00AF1A0E">
              <w:rPr>
                <w:color w:val="000000"/>
                <w:sz w:val="18"/>
                <w:szCs w:val="18"/>
              </w:rPr>
              <w:t xml:space="preserve">1% - 3% and 6%. </w:t>
            </w:r>
          </w:p>
          <w:p w14:paraId="2854747A" w14:textId="638A16E1" w:rsidR="00B146C9" w:rsidRPr="00D22F57" w:rsidRDefault="00B146C9" w:rsidP="00B146C9">
            <w:pPr>
              <w:rPr>
                <w:color w:val="000000"/>
                <w:sz w:val="18"/>
                <w:szCs w:val="18"/>
              </w:rPr>
            </w:pPr>
            <w:r w:rsidRPr="00D22F57">
              <w:rPr>
                <w:color w:val="000000"/>
                <w:sz w:val="18"/>
                <w:szCs w:val="18"/>
              </w:rPr>
              <w:t xml:space="preserve">Contact time: 5 minutes </w:t>
            </w:r>
          </w:p>
          <w:p w14:paraId="4B053EAB" w14:textId="77777777" w:rsidR="00B146C9" w:rsidRPr="001C307C" w:rsidRDefault="00B146C9" w:rsidP="00B146C9">
            <w:pPr>
              <w:rPr>
                <w:color w:val="000000"/>
                <w:sz w:val="18"/>
                <w:szCs w:val="18"/>
              </w:rPr>
            </w:pPr>
            <w:r w:rsidRPr="001C307C">
              <w:rPr>
                <w:color w:val="000000"/>
                <w:sz w:val="18"/>
                <w:szCs w:val="18"/>
              </w:rPr>
              <w:t>Temperature: 20°C</w:t>
            </w:r>
          </w:p>
          <w:p w14:paraId="52E0D0FF" w14:textId="77777777" w:rsidR="00B146C9" w:rsidRDefault="00B146C9" w:rsidP="00B146C9">
            <w:pPr>
              <w:rPr>
                <w:color w:val="000000"/>
                <w:sz w:val="18"/>
                <w:szCs w:val="18"/>
              </w:rPr>
            </w:pPr>
            <w:r w:rsidRPr="00DE786A">
              <w:rPr>
                <w:color w:val="000000"/>
                <w:sz w:val="18"/>
                <w:szCs w:val="18"/>
              </w:rPr>
              <w:t>Dirty conditions: 2.7 g/L BSA + 8.5</w:t>
            </w:r>
            <w:r>
              <w:rPr>
                <w:color w:val="000000"/>
                <w:sz w:val="18"/>
                <w:szCs w:val="18"/>
              </w:rPr>
              <w:t xml:space="preserve"> </w:t>
            </w:r>
            <w:r w:rsidRPr="00DE786A">
              <w:rPr>
                <w:color w:val="000000"/>
                <w:sz w:val="18"/>
                <w:szCs w:val="18"/>
              </w:rPr>
              <w:t>g/L skimmed milk</w:t>
            </w:r>
          </w:p>
          <w:p w14:paraId="2341F180" w14:textId="73C3A76A" w:rsidR="00B146C9" w:rsidRPr="00DE786A" w:rsidRDefault="00B146C9" w:rsidP="00B146C9">
            <w:pPr>
              <w:rPr>
                <w:color w:val="000000"/>
                <w:sz w:val="18"/>
                <w:szCs w:val="18"/>
              </w:rPr>
            </w:pPr>
            <w:r>
              <w:rPr>
                <w:color w:val="000000"/>
                <w:sz w:val="18"/>
                <w:szCs w:val="18"/>
              </w:rPr>
              <w:t>(</w:t>
            </w:r>
            <w:r w:rsidR="00622E82">
              <w:rPr>
                <w:color w:val="000000"/>
                <w:sz w:val="18"/>
                <w:szCs w:val="18"/>
              </w:rPr>
              <w:t>Equivalent</w:t>
            </w:r>
            <w:r>
              <w:rPr>
                <w:color w:val="000000"/>
                <w:sz w:val="18"/>
                <w:szCs w:val="18"/>
              </w:rPr>
              <w:t xml:space="preserve"> to 3 g/L BSA as 8</w:t>
            </w:r>
            <w:r w:rsidR="00526D5D">
              <w:rPr>
                <w:color w:val="000000"/>
                <w:sz w:val="18"/>
                <w:szCs w:val="18"/>
              </w:rPr>
              <w:t>.</w:t>
            </w:r>
            <w:r>
              <w:rPr>
                <w:color w:val="000000"/>
                <w:sz w:val="18"/>
                <w:szCs w:val="18"/>
              </w:rPr>
              <w:t>5 g/L skimmed milk simulates 0,3 g/L BSA for strains with drying loss).</w:t>
            </w:r>
          </w:p>
          <w:p w14:paraId="33DA8B00" w14:textId="77777777" w:rsidR="00B146C9" w:rsidRPr="00AF1A0E" w:rsidRDefault="00B146C9" w:rsidP="00B146C9">
            <w:pPr>
              <w:rPr>
                <w:color w:val="000000"/>
                <w:sz w:val="18"/>
                <w:szCs w:val="18"/>
              </w:rPr>
            </w:pPr>
            <w:r w:rsidRPr="00085C80">
              <w:rPr>
                <w:color w:val="000000"/>
                <w:sz w:val="18"/>
                <w:szCs w:val="18"/>
              </w:rPr>
              <w:t>Criteria: ≥ 4log unit reduction</w:t>
            </w:r>
          </w:p>
        </w:tc>
        <w:tc>
          <w:tcPr>
            <w:tcW w:w="1919" w:type="dxa"/>
            <w:vAlign w:val="center"/>
          </w:tcPr>
          <w:p w14:paraId="62134E1F" w14:textId="085A6FFF" w:rsidR="00B146C9" w:rsidRPr="00D22F57" w:rsidRDefault="00A67859" w:rsidP="00B146C9">
            <w:pPr>
              <w:rPr>
                <w:color w:val="000000"/>
                <w:sz w:val="18"/>
                <w:szCs w:val="18"/>
              </w:rPr>
            </w:pPr>
            <w:r>
              <w:rPr>
                <w:color w:val="000000"/>
                <w:sz w:val="18"/>
                <w:szCs w:val="18"/>
              </w:rPr>
              <w:t>A</w:t>
            </w:r>
            <w:r w:rsidR="00B146C9" w:rsidRPr="00D22F57">
              <w:rPr>
                <w:color w:val="000000"/>
                <w:sz w:val="18"/>
                <w:szCs w:val="18"/>
              </w:rPr>
              <w:t xml:space="preserve">ctivity </w:t>
            </w:r>
            <w:r w:rsidR="00B146C9">
              <w:rPr>
                <w:color w:val="000000"/>
                <w:sz w:val="18"/>
                <w:szCs w:val="18"/>
              </w:rPr>
              <w:t xml:space="preserve">against </w:t>
            </w:r>
            <w:r w:rsidR="00B146C9" w:rsidRPr="00526D5D">
              <w:rPr>
                <w:i/>
                <w:color w:val="000000"/>
                <w:sz w:val="18"/>
                <w:szCs w:val="18"/>
              </w:rPr>
              <w:t>B.henselae</w:t>
            </w:r>
            <w:r w:rsidR="00B146C9">
              <w:rPr>
                <w:color w:val="000000"/>
                <w:sz w:val="18"/>
                <w:szCs w:val="18"/>
              </w:rPr>
              <w:t xml:space="preserve"> </w:t>
            </w:r>
            <w:r w:rsidR="00B146C9" w:rsidRPr="00D22F57">
              <w:rPr>
                <w:color w:val="000000"/>
                <w:sz w:val="18"/>
                <w:szCs w:val="18"/>
              </w:rPr>
              <w:t>demonstrated at 3 % v/v</w:t>
            </w:r>
            <w:r w:rsidR="00B146C9" w:rsidRPr="00D22F57" w:rsidDel="00FD25E8">
              <w:rPr>
                <w:color w:val="000000"/>
                <w:sz w:val="18"/>
                <w:szCs w:val="18"/>
              </w:rPr>
              <w:t xml:space="preserve"> </w:t>
            </w:r>
          </w:p>
          <w:p w14:paraId="19A8F446" w14:textId="77777777" w:rsidR="00B146C9" w:rsidRPr="00AF1A0E" w:rsidRDefault="00B146C9" w:rsidP="00B146C9">
            <w:pPr>
              <w:rPr>
                <w:color w:val="000000"/>
                <w:sz w:val="18"/>
                <w:szCs w:val="18"/>
              </w:rPr>
            </w:pPr>
          </w:p>
        </w:tc>
        <w:tc>
          <w:tcPr>
            <w:tcW w:w="0" w:type="auto"/>
            <w:vAlign w:val="center"/>
          </w:tcPr>
          <w:p w14:paraId="01AFE252" w14:textId="77777777" w:rsidR="00B146C9" w:rsidRPr="00AF1A0E" w:rsidRDefault="00B146C9" w:rsidP="00B146C9">
            <w:pPr>
              <w:rPr>
                <w:color w:val="000000"/>
                <w:sz w:val="18"/>
                <w:szCs w:val="18"/>
              </w:rPr>
            </w:pPr>
            <w:r w:rsidRPr="00AF1A0E">
              <w:rPr>
                <w:color w:val="000000"/>
                <w:sz w:val="18"/>
                <w:szCs w:val="18"/>
              </w:rPr>
              <w:t>Pinon A., 2020, Report No 200290b</w:t>
            </w:r>
          </w:p>
          <w:p w14:paraId="538A22CE" w14:textId="77777777" w:rsidR="00B146C9" w:rsidRPr="00AF1A0E" w:rsidRDefault="00B146C9" w:rsidP="00B146C9">
            <w:pPr>
              <w:rPr>
                <w:color w:val="000000"/>
                <w:sz w:val="18"/>
                <w:szCs w:val="18"/>
              </w:rPr>
            </w:pPr>
          </w:p>
          <w:p w14:paraId="75660975" w14:textId="77777777" w:rsidR="00B146C9" w:rsidRPr="00AF1A0E" w:rsidRDefault="00B146C9" w:rsidP="00B146C9">
            <w:pPr>
              <w:rPr>
                <w:i/>
                <w:color w:val="000000"/>
                <w:sz w:val="18"/>
                <w:szCs w:val="18"/>
              </w:rPr>
            </w:pPr>
            <w:r w:rsidRPr="00AF1A0E">
              <w:rPr>
                <w:color w:val="000000"/>
                <w:sz w:val="18"/>
                <w:szCs w:val="18"/>
              </w:rPr>
              <w:t>RI=1</w:t>
            </w:r>
          </w:p>
        </w:tc>
      </w:tr>
      <w:tr w:rsidR="00C770F5" w14:paraId="74D62FB9" w14:textId="77777777" w:rsidTr="00526D5D">
        <w:trPr>
          <w:cantSplit/>
          <w:jc w:val="center"/>
        </w:trPr>
        <w:tc>
          <w:tcPr>
            <w:tcW w:w="1346" w:type="dxa"/>
            <w:vAlign w:val="center"/>
          </w:tcPr>
          <w:p w14:paraId="3673879A" w14:textId="77777777" w:rsidR="00B146C9" w:rsidRPr="00FD2055" w:rsidRDefault="00B146C9" w:rsidP="00B146C9">
            <w:pPr>
              <w:rPr>
                <w:i/>
                <w:color w:val="000000"/>
                <w:sz w:val="18"/>
                <w:szCs w:val="18"/>
              </w:rPr>
            </w:pPr>
            <w:r>
              <w:rPr>
                <w:color w:val="000000"/>
                <w:sz w:val="18"/>
                <w:szCs w:val="18"/>
              </w:rPr>
              <w:t>Disinfectant, bactericidal activity</w:t>
            </w:r>
          </w:p>
        </w:tc>
        <w:tc>
          <w:tcPr>
            <w:tcW w:w="1285" w:type="dxa"/>
            <w:vAlign w:val="center"/>
          </w:tcPr>
          <w:p w14:paraId="0925F438" w14:textId="77777777" w:rsidR="00B146C9" w:rsidRPr="00FD2055" w:rsidRDefault="00B146C9" w:rsidP="00B146C9">
            <w:pPr>
              <w:rPr>
                <w:i/>
                <w:color w:val="000000"/>
                <w:sz w:val="18"/>
                <w:szCs w:val="18"/>
              </w:rPr>
            </w:pPr>
            <w:r>
              <w:rPr>
                <w:color w:val="000000"/>
                <w:sz w:val="18"/>
                <w:szCs w:val="18"/>
              </w:rPr>
              <w:t xml:space="preserve">Domestic area </w:t>
            </w:r>
          </w:p>
        </w:tc>
        <w:tc>
          <w:tcPr>
            <w:tcW w:w="1327" w:type="dxa"/>
            <w:vAlign w:val="center"/>
          </w:tcPr>
          <w:p w14:paraId="1016B095" w14:textId="77777777" w:rsidR="00B146C9" w:rsidRDefault="00B146C9" w:rsidP="00B146C9">
            <w:pPr>
              <w:rPr>
                <w:color w:val="000000"/>
                <w:sz w:val="18"/>
                <w:szCs w:val="18"/>
              </w:rPr>
            </w:pPr>
            <w:r>
              <w:rPr>
                <w:color w:val="000000"/>
                <w:sz w:val="18"/>
                <w:szCs w:val="18"/>
              </w:rPr>
              <w:t>AL-S10-1-0</w:t>
            </w:r>
          </w:p>
          <w:p w14:paraId="51810C5C" w14:textId="420A6AC6" w:rsidR="00B146C9" w:rsidRPr="00FD2055" w:rsidRDefault="00837D62" w:rsidP="00B146C9">
            <w:pPr>
              <w:rPr>
                <w:i/>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5EC40328" w14:textId="2505B464" w:rsidR="00B146C9" w:rsidRPr="00D016EC" w:rsidRDefault="00B146C9" w:rsidP="00B146C9">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p>
        </w:tc>
        <w:tc>
          <w:tcPr>
            <w:tcW w:w="0" w:type="auto"/>
            <w:vAlign w:val="center"/>
          </w:tcPr>
          <w:p w14:paraId="20B9F84A" w14:textId="7C693DB0" w:rsidR="00B146C9" w:rsidRPr="00FD2055" w:rsidRDefault="00B146C9" w:rsidP="00B146C9">
            <w:pPr>
              <w:rPr>
                <w:color w:val="000000"/>
                <w:sz w:val="18"/>
                <w:szCs w:val="18"/>
              </w:rPr>
            </w:pPr>
            <w:r>
              <w:rPr>
                <w:color w:val="000000"/>
                <w:sz w:val="18"/>
                <w:szCs w:val="18"/>
              </w:rPr>
              <w:t>NF EN 13697 (June 2015)</w:t>
            </w:r>
          </w:p>
        </w:tc>
        <w:tc>
          <w:tcPr>
            <w:tcW w:w="2959" w:type="dxa"/>
            <w:vAlign w:val="center"/>
          </w:tcPr>
          <w:p w14:paraId="1976F1CC" w14:textId="6EA2E9BC" w:rsidR="00B146C9" w:rsidRDefault="00B146C9" w:rsidP="00B146C9">
            <w:pPr>
              <w:rPr>
                <w:color w:val="000000"/>
                <w:sz w:val="18"/>
                <w:szCs w:val="18"/>
              </w:rPr>
            </w:pPr>
            <w:r>
              <w:rPr>
                <w:color w:val="000000"/>
                <w:sz w:val="18"/>
                <w:szCs w:val="18"/>
              </w:rPr>
              <w:t>Phase 2 step 2 (surface test)</w:t>
            </w:r>
          </w:p>
          <w:p w14:paraId="0326DA75" w14:textId="77777777" w:rsidR="00B146C9" w:rsidRDefault="00B146C9" w:rsidP="00B146C9">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2% - 6% and 8%. </w:t>
            </w:r>
          </w:p>
          <w:p w14:paraId="04976897" w14:textId="12CC337E" w:rsidR="00B146C9" w:rsidRDefault="00B146C9" w:rsidP="00B146C9">
            <w:pPr>
              <w:rPr>
                <w:color w:val="000000"/>
                <w:sz w:val="18"/>
                <w:szCs w:val="18"/>
              </w:rPr>
            </w:pPr>
            <w:r>
              <w:rPr>
                <w:color w:val="000000"/>
                <w:sz w:val="18"/>
                <w:szCs w:val="18"/>
              </w:rPr>
              <w:t xml:space="preserve">Contact time: 5 minutes </w:t>
            </w:r>
          </w:p>
          <w:p w14:paraId="3F94112B" w14:textId="77777777" w:rsidR="00B146C9" w:rsidRDefault="00B146C9" w:rsidP="00B146C9">
            <w:pPr>
              <w:rPr>
                <w:color w:val="000000"/>
                <w:sz w:val="18"/>
                <w:szCs w:val="18"/>
              </w:rPr>
            </w:pPr>
            <w:r>
              <w:rPr>
                <w:color w:val="000000"/>
                <w:sz w:val="18"/>
                <w:szCs w:val="18"/>
              </w:rPr>
              <w:t>Temperature: 20°C</w:t>
            </w:r>
          </w:p>
          <w:p w14:paraId="2E6384D1" w14:textId="77777777" w:rsidR="00B146C9" w:rsidRDefault="00B146C9" w:rsidP="00B146C9">
            <w:pPr>
              <w:rPr>
                <w:color w:val="000000"/>
                <w:sz w:val="18"/>
                <w:szCs w:val="18"/>
              </w:rPr>
            </w:pPr>
            <w:r>
              <w:rPr>
                <w:color w:val="000000"/>
                <w:sz w:val="18"/>
                <w:szCs w:val="18"/>
              </w:rPr>
              <w:t>Dirty conditions: 3 g/L BSA milk</w:t>
            </w:r>
          </w:p>
          <w:p w14:paraId="3AEB0730" w14:textId="77777777" w:rsidR="00B146C9" w:rsidRPr="00FD2055" w:rsidRDefault="00B146C9" w:rsidP="00B146C9">
            <w:pPr>
              <w:rPr>
                <w:color w:val="000000"/>
                <w:sz w:val="18"/>
                <w:szCs w:val="18"/>
              </w:rPr>
            </w:pPr>
            <w:r>
              <w:rPr>
                <w:color w:val="000000"/>
                <w:sz w:val="18"/>
                <w:szCs w:val="18"/>
              </w:rPr>
              <w:t>Criteria: ≥ 4log unit reduction</w:t>
            </w:r>
          </w:p>
        </w:tc>
        <w:tc>
          <w:tcPr>
            <w:tcW w:w="1919" w:type="dxa"/>
            <w:vAlign w:val="center"/>
          </w:tcPr>
          <w:p w14:paraId="657F9E4B" w14:textId="77777777" w:rsidR="00B146C9" w:rsidRDefault="00B146C9" w:rsidP="00B146C9">
            <w:pPr>
              <w:rPr>
                <w:color w:val="000000"/>
                <w:sz w:val="18"/>
                <w:szCs w:val="18"/>
              </w:rPr>
            </w:pPr>
            <w:r>
              <w:rPr>
                <w:color w:val="000000"/>
                <w:sz w:val="18"/>
                <w:szCs w:val="18"/>
              </w:rPr>
              <w:t>Bactericidal activity demonstrated at 6 % v/v</w:t>
            </w:r>
            <w:r w:rsidDel="00FD25E8">
              <w:rPr>
                <w:color w:val="000000"/>
                <w:sz w:val="18"/>
                <w:szCs w:val="18"/>
              </w:rPr>
              <w:t xml:space="preserve"> </w:t>
            </w:r>
          </w:p>
          <w:p w14:paraId="6BE885A0" w14:textId="77777777" w:rsidR="00B146C9" w:rsidRPr="00FD2055" w:rsidRDefault="00B146C9" w:rsidP="00B146C9">
            <w:pPr>
              <w:rPr>
                <w:color w:val="000000"/>
                <w:sz w:val="18"/>
                <w:szCs w:val="18"/>
              </w:rPr>
            </w:pPr>
          </w:p>
        </w:tc>
        <w:tc>
          <w:tcPr>
            <w:tcW w:w="0" w:type="auto"/>
            <w:vAlign w:val="center"/>
          </w:tcPr>
          <w:p w14:paraId="525B37EC" w14:textId="77777777" w:rsidR="00B146C9" w:rsidRDefault="00B146C9" w:rsidP="00B146C9">
            <w:pPr>
              <w:rPr>
                <w:color w:val="000000"/>
                <w:sz w:val="18"/>
                <w:szCs w:val="18"/>
              </w:rPr>
            </w:pPr>
            <w:r>
              <w:rPr>
                <w:color w:val="000000"/>
                <w:sz w:val="18"/>
                <w:szCs w:val="18"/>
              </w:rPr>
              <w:t>Gabillet AF., 2018, Report No 5237-1</w:t>
            </w:r>
          </w:p>
          <w:p w14:paraId="107D28B0" w14:textId="77777777" w:rsidR="00B146C9" w:rsidRDefault="00B146C9" w:rsidP="00B146C9">
            <w:pPr>
              <w:rPr>
                <w:color w:val="000000"/>
                <w:sz w:val="18"/>
                <w:szCs w:val="18"/>
              </w:rPr>
            </w:pPr>
          </w:p>
          <w:p w14:paraId="2C8E9426" w14:textId="77777777" w:rsidR="00B146C9" w:rsidRPr="00FD2055" w:rsidRDefault="00B146C9" w:rsidP="00B146C9">
            <w:pPr>
              <w:rPr>
                <w:i/>
                <w:color w:val="000000"/>
                <w:sz w:val="18"/>
                <w:szCs w:val="18"/>
              </w:rPr>
            </w:pPr>
            <w:r>
              <w:rPr>
                <w:color w:val="000000"/>
                <w:sz w:val="18"/>
                <w:szCs w:val="18"/>
              </w:rPr>
              <w:t>RI=1</w:t>
            </w:r>
          </w:p>
        </w:tc>
      </w:tr>
      <w:tr w:rsidR="00C770F5" w14:paraId="3B841C1C" w14:textId="77777777" w:rsidTr="00526D5D">
        <w:trPr>
          <w:cantSplit/>
          <w:jc w:val="center"/>
        </w:trPr>
        <w:tc>
          <w:tcPr>
            <w:tcW w:w="1346" w:type="dxa"/>
            <w:vAlign w:val="center"/>
          </w:tcPr>
          <w:p w14:paraId="57F1B5B4" w14:textId="77777777" w:rsidR="00B146C9" w:rsidRDefault="00B146C9" w:rsidP="00B146C9">
            <w:pPr>
              <w:rPr>
                <w:color w:val="000000"/>
                <w:sz w:val="18"/>
                <w:szCs w:val="18"/>
              </w:rPr>
            </w:pPr>
            <w:r w:rsidRPr="00D22F57">
              <w:rPr>
                <w:color w:val="000000"/>
                <w:sz w:val="18"/>
                <w:szCs w:val="18"/>
              </w:rPr>
              <w:t>Disinfectant, yeasticidal activity</w:t>
            </w:r>
          </w:p>
        </w:tc>
        <w:tc>
          <w:tcPr>
            <w:tcW w:w="1285" w:type="dxa"/>
            <w:vAlign w:val="center"/>
          </w:tcPr>
          <w:p w14:paraId="6ED4B100" w14:textId="03E32459" w:rsidR="00B146C9" w:rsidRDefault="00C174D4" w:rsidP="00B146C9">
            <w:pPr>
              <w:rPr>
                <w:color w:val="000000"/>
                <w:sz w:val="18"/>
                <w:szCs w:val="18"/>
              </w:rPr>
            </w:pPr>
            <w:r>
              <w:rPr>
                <w:color w:val="000000"/>
                <w:sz w:val="18"/>
                <w:szCs w:val="18"/>
              </w:rPr>
              <w:t>C</w:t>
            </w:r>
            <w:r w:rsidR="00B146C9" w:rsidRPr="00D22F57">
              <w:rPr>
                <w:color w:val="000000"/>
                <w:sz w:val="18"/>
                <w:szCs w:val="18"/>
              </w:rPr>
              <w:t>ompanion animals environment</w:t>
            </w:r>
          </w:p>
        </w:tc>
        <w:tc>
          <w:tcPr>
            <w:tcW w:w="1327" w:type="dxa"/>
            <w:vAlign w:val="center"/>
          </w:tcPr>
          <w:p w14:paraId="70973B71" w14:textId="77777777" w:rsidR="00B146C9" w:rsidRDefault="00B146C9" w:rsidP="00B146C9">
            <w:pPr>
              <w:rPr>
                <w:color w:val="000000"/>
                <w:sz w:val="18"/>
                <w:szCs w:val="18"/>
              </w:rPr>
            </w:pPr>
            <w:r w:rsidRPr="001C307C">
              <w:rPr>
                <w:color w:val="000000"/>
                <w:sz w:val="18"/>
                <w:szCs w:val="18"/>
              </w:rPr>
              <w:t>AL-S10-1-0</w:t>
            </w:r>
          </w:p>
          <w:p w14:paraId="74D0545C" w14:textId="6F733329" w:rsidR="00B146C9" w:rsidRDefault="00837D62" w:rsidP="00B146C9">
            <w:pPr>
              <w:rPr>
                <w:color w:val="000000"/>
                <w:sz w:val="18"/>
                <w:szCs w:val="18"/>
              </w:rPr>
            </w:pPr>
            <w:r>
              <w:rPr>
                <w:color w:val="000000"/>
                <w:sz w:val="18"/>
                <w:szCs w:val="18"/>
              </w:rPr>
              <w:t>8</w:t>
            </w:r>
            <w:r w:rsidR="00B146C9">
              <w:rPr>
                <w:color w:val="000000"/>
                <w:sz w:val="18"/>
                <w:szCs w:val="18"/>
              </w:rPr>
              <w:t>% lactic acid</w:t>
            </w:r>
          </w:p>
        </w:tc>
        <w:tc>
          <w:tcPr>
            <w:tcW w:w="0" w:type="auto"/>
            <w:vAlign w:val="center"/>
          </w:tcPr>
          <w:p w14:paraId="7741466E" w14:textId="0BC7615B" w:rsidR="00B146C9" w:rsidRPr="00E12B02" w:rsidRDefault="00B146C9" w:rsidP="00B146C9">
            <w:pPr>
              <w:rPr>
                <w:i/>
                <w:color w:val="000000"/>
                <w:sz w:val="18"/>
                <w:szCs w:val="18"/>
                <w:lang w:val="fr-FR"/>
              </w:rPr>
            </w:pPr>
            <w:r w:rsidRPr="00AF1A0E">
              <w:rPr>
                <w:i/>
                <w:color w:val="000000"/>
                <w:sz w:val="18"/>
                <w:szCs w:val="18"/>
              </w:rPr>
              <w:t>Candida albicans</w:t>
            </w:r>
          </w:p>
        </w:tc>
        <w:tc>
          <w:tcPr>
            <w:tcW w:w="0" w:type="auto"/>
            <w:vAlign w:val="center"/>
          </w:tcPr>
          <w:p w14:paraId="1E37D14A" w14:textId="77777777" w:rsidR="00B146C9" w:rsidRDefault="00B146C9" w:rsidP="00B146C9">
            <w:pPr>
              <w:rPr>
                <w:color w:val="000000"/>
                <w:sz w:val="18"/>
                <w:szCs w:val="18"/>
              </w:rPr>
            </w:pPr>
            <w:r w:rsidRPr="00AF1A0E">
              <w:rPr>
                <w:color w:val="000000"/>
                <w:sz w:val="18"/>
                <w:szCs w:val="18"/>
              </w:rPr>
              <w:t>NF EN 16438</w:t>
            </w:r>
          </w:p>
        </w:tc>
        <w:tc>
          <w:tcPr>
            <w:tcW w:w="2959" w:type="dxa"/>
            <w:vAlign w:val="center"/>
          </w:tcPr>
          <w:p w14:paraId="5E64C9F0" w14:textId="311281F7" w:rsidR="00B146C9" w:rsidRPr="00D22F57" w:rsidRDefault="00B146C9" w:rsidP="00B146C9">
            <w:pPr>
              <w:rPr>
                <w:color w:val="000000"/>
                <w:sz w:val="18"/>
                <w:szCs w:val="18"/>
              </w:rPr>
            </w:pPr>
            <w:r w:rsidRPr="00D22F57">
              <w:rPr>
                <w:color w:val="000000"/>
                <w:sz w:val="18"/>
                <w:szCs w:val="18"/>
              </w:rPr>
              <w:t>Phase 2 step 2 (su</w:t>
            </w:r>
            <w:r w:rsidR="00C770F5">
              <w:rPr>
                <w:color w:val="000000"/>
                <w:sz w:val="18"/>
                <w:szCs w:val="18"/>
              </w:rPr>
              <w:t>rface</w:t>
            </w:r>
            <w:r w:rsidRPr="00D22F57">
              <w:rPr>
                <w:color w:val="000000"/>
                <w:sz w:val="18"/>
                <w:szCs w:val="18"/>
              </w:rPr>
              <w:t xml:space="preserve"> test)</w:t>
            </w:r>
          </w:p>
          <w:p w14:paraId="5BA3F605" w14:textId="77777777" w:rsidR="00B146C9" w:rsidRPr="00D22F57" w:rsidRDefault="00B146C9" w:rsidP="00B146C9">
            <w:pPr>
              <w:rPr>
                <w:color w:val="000000"/>
                <w:sz w:val="18"/>
                <w:szCs w:val="18"/>
              </w:rPr>
            </w:pPr>
            <w:r w:rsidRPr="00D22F57">
              <w:rPr>
                <w:color w:val="000000"/>
                <w:sz w:val="18"/>
                <w:szCs w:val="18"/>
              </w:rPr>
              <w:t>Concentrations of product tested (v/v) were</w:t>
            </w:r>
            <w:r w:rsidRPr="001C307C">
              <w:rPr>
                <w:color w:val="000000"/>
                <w:sz w:val="18"/>
                <w:szCs w:val="18"/>
              </w:rPr>
              <w:t xml:space="preserve">: </w:t>
            </w:r>
            <w:r w:rsidRPr="00AF1A0E">
              <w:rPr>
                <w:color w:val="000000"/>
                <w:sz w:val="18"/>
                <w:szCs w:val="18"/>
              </w:rPr>
              <w:t xml:space="preserve">6% - 8% and 10%. </w:t>
            </w:r>
          </w:p>
          <w:p w14:paraId="3C2204FE" w14:textId="146F898A" w:rsidR="00B146C9" w:rsidRPr="00D22F57" w:rsidRDefault="00B146C9" w:rsidP="00B146C9">
            <w:pPr>
              <w:rPr>
                <w:color w:val="000000"/>
                <w:sz w:val="18"/>
                <w:szCs w:val="18"/>
              </w:rPr>
            </w:pPr>
            <w:r w:rsidRPr="00D22F57">
              <w:rPr>
                <w:color w:val="000000"/>
                <w:sz w:val="18"/>
                <w:szCs w:val="18"/>
              </w:rPr>
              <w:t xml:space="preserve">Contact time: 120 minutes </w:t>
            </w:r>
          </w:p>
          <w:p w14:paraId="002662B0" w14:textId="77777777" w:rsidR="00B146C9" w:rsidRPr="001C307C" w:rsidRDefault="00B146C9" w:rsidP="00B146C9">
            <w:pPr>
              <w:rPr>
                <w:color w:val="000000"/>
                <w:sz w:val="18"/>
                <w:szCs w:val="18"/>
              </w:rPr>
            </w:pPr>
            <w:r w:rsidRPr="001C307C">
              <w:rPr>
                <w:color w:val="000000"/>
                <w:sz w:val="18"/>
                <w:szCs w:val="18"/>
              </w:rPr>
              <w:t>Temperature: 20°C</w:t>
            </w:r>
          </w:p>
          <w:p w14:paraId="5BA4A851" w14:textId="77777777" w:rsidR="00B146C9" w:rsidRPr="00DE786A" w:rsidRDefault="00B146C9" w:rsidP="00B146C9">
            <w:pPr>
              <w:rPr>
                <w:color w:val="000000"/>
                <w:sz w:val="18"/>
                <w:szCs w:val="18"/>
              </w:rPr>
            </w:pPr>
            <w:r w:rsidRPr="00DE786A">
              <w:rPr>
                <w:color w:val="000000"/>
                <w:sz w:val="18"/>
                <w:szCs w:val="18"/>
              </w:rPr>
              <w:t xml:space="preserve">Dirty conditions: 3 g/L BSA </w:t>
            </w:r>
          </w:p>
          <w:p w14:paraId="56DA15F9" w14:textId="77777777" w:rsidR="00B146C9" w:rsidRDefault="00B146C9" w:rsidP="00B146C9">
            <w:pPr>
              <w:rPr>
                <w:color w:val="000000"/>
                <w:sz w:val="18"/>
                <w:szCs w:val="18"/>
              </w:rPr>
            </w:pPr>
            <w:r w:rsidRPr="00085C80">
              <w:rPr>
                <w:color w:val="000000"/>
                <w:sz w:val="18"/>
                <w:szCs w:val="18"/>
              </w:rPr>
              <w:t>Criteria: ≥ 3log unit reduction</w:t>
            </w:r>
          </w:p>
        </w:tc>
        <w:tc>
          <w:tcPr>
            <w:tcW w:w="1919" w:type="dxa"/>
            <w:vAlign w:val="center"/>
          </w:tcPr>
          <w:p w14:paraId="0789E4ED" w14:textId="77777777" w:rsidR="00B146C9" w:rsidRPr="00D22F57" w:rsidRDefault="00B146C9" w:rsidP="00B146C9">
            <w:pPr>
              <w:rPr>
                <w:color w:val="000000"/>
                <w:sz w:val="18"/>
                <w:szCs w:val="18"/>
              </w:rPr>
            </w:pPr>
            <w:r w:rsidRPr="00D22F57">
              <w:rPr>
                <w:color w:val="000000"/>
                <w:sz w:val="18"/>
                <w:szCs w:val="18"/>
              </w:rPr>
              <w:t>Yeasticidal activity demonstrated at 10 % v/v</w:t>
            </w:r>
            <w:r w:rsidRPr="00D22F57" w:rsidDel="00FD25E8">
              <w:rPr>
                <w:color w:val="000000"/>
                <w:sz w:val="18"/>
                <w:szCs w:val="18"/>
              </w:rPr>
              <w:t xml:space="preserve"> </w:t>
            </w:r>
          </w:p>
          <w:p w14:paraId="5020080D" w14:textId="77777777" w:rsidR="00B146C9" w:rsidRDefault="00B146C9" w:rsidP="00B146C9">
            <w:pPr>
              <w:rPr>
                <w:color w:val="000000"/>
                <w:sz w:val="18"/>
                <w:szCs w:val="18"/>
              </w:rPr>
            </w:pPr>
          </w:p>
        </w:tc>
        <w:tc>
          <w:tcPr>
            <w:tcW w:w="0" w:type="auto"/>
            <w:vAlign w:val="center"/>
          </w:tcPr>
          <w:p w14:paraId="77E1BE26" w14:textId="77777777" w:rsidR="00B146C9" w:rsidRPr="00AF1A0E" w:rsidRDefault="00B146C9" w:rsidP="00B146C9">
            <w:pPr>
              <w:rPr>
                <w:color w:val="000000"/>
                <w:sz w:val="18"/>
                <w:szCs w:val="18"/>
              </w:rPr>
            </w:pPr>
            <w:r w:rsidRPr="00AF1A0E">
              <w:rPr>
                <w:color w:val="000000"/>
                <w:sz w:val="18"/>
                <w:szCs w:val="18"/>
              </w:rPr>
              <w:t>Gabillet AF., 2020, Report No 5871-1</w:t>
            </w:r>
          </w:p>
          <w:p w14:paraId="2A48B96F" w14:textId="77777777" w:rsidR="00B146C9" w:rsidRPr="00AF1A0E" w:rsidRDefault="00B146C9" w:rsidP="00B146C9">
            <w:pPr>
              <w:rPr>
                <w:color w:val="000000"/>
                <w:sz w:val="18"/>
                <w:szCs w:val="18"/>
              </w:rPr>
            </w:pPr>
          </w:p>
          <w:p w14:paraId="42FE9417" w14:textId="77777777" w:rsidR="00B146C9" w:rsidRDefault="00B146C9" w:rsidP="00B146C9">
            <w:pPr>
              <w:rPr>
                <w:color w:val="000000"/>
                <w:sz w:val="18"/>
                <w:szCs w:val="18"/>
              </w:rPr>
            </w:pPr>
            <w:r w:rsidRPr="00AF1A0E">
              <w:rPr>
                <w:color w:val="000000"/>
                <w:sz w:val="18"/>
                <w:szCs w:val="18"/>
              </w:rPr>
              <w:t>RI=1</w:t>
            </w:r>
          </w:p>
        </w:tc>
      </w:tr>
    </w:tbl>
    <w:p w14:paraId="56372B46" w14:textId="77777777" w:rsidR="0015321A" w:rsidRDefault="0015321A" w:rsidP="0015321A">
      <w:pPr>
        <w:spacing w:line="260" w:lineRule="atLeast"/>
        <w:rPr>
          <w:rFonts w:eastAsia="Calibri"/>
          <w:lang w:eastAsia="en-US"/>
        </w:rPr>
        <w:sectPr w:rsidR="0015321A" w:rsidSect="0015321A">
          <w:endnotePr>
            <w:numFmt w:val="decimal"/>
          </w:endnotePr>
          <w:pgSz w:w="16840" w:h="11907" w:orient="landscape" w:code="9"/>
          <w:pgMar w:top="1446" w:right="1474" w:bottom="1247" w:left="2013" w:header="851" w:footer="851" w:gutter="0"/>
          <w:cols w:space="720"/>
          <w:docGrid w:linePitch="272"/>
        </w:sectPr>
      </w:pPr>
    </w:p>
    <w:p w14:paraId="1D83F2C0" w14:textId="1294A01E" w:rsidR="0015321A" w:rsidRPr="007A4DA8" w:rsidRDefault="0015321A" w:rsidP="00733D14">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11: Disinfectant for </w:t>
      </w:r>
      <w:r w:rsidR="00EE6FD1" w:rsidRPr="007A4DA8">
        <w:rPr>
          <w:rFonts w:eastAsia="Calibri"/>
          <w:b/>
          <w:lang w:eastAsia="en-US"/>
        </w:rPr>
        <w:t xml:space="preserve">hard surfaces </w:t>
      </w:r>
      <w:r w:rsidR="00733D14" w:rsidRPr="007A4DA8">
        <w:rPr>
          <w:rFonts w:eastAsia="Calibri"/>
          <w:b/>
          <w:lang w:eastAsia="en-US"/>
        </w:rPr>
        <w:t>in</w:t>
      </w:r>
      <w:r w:rsidR="00EE6FD1" w:rsidRPr="007A4DA8">
        <w:rPr>
          <w:rFonts w:eastAsia="Calibri"/>
          <w:b/>
          <w:lang w:eastAsia="en-US"/>
        </w:rPr>
        <w:t xml:space="preserve"> </w:t>
      </w:r>
      <w:r w:rsidR="00A77676" w:rsidRPr="007A4DA8">
        <w:rPr>
          <w:rFonts w:eastAsia="Calibri"/>
          <w:b/>
          <w:lang w:eastAsia="en-US"/>
        </w:rPr>
        <w:t xml:space="preserve">industry, </w:t>
      </w:r>
      <w:r w:rsidR="00EE6FD1" w:rsidRPr="007A4DA8">
        <w:rPr>
          <w:rFonts w:eastAsia="Calibri"/>
          <w:b/>
          <w:lang w:eastAsia="en-US"/>
        </w:rPr>
        <w:t>i</w:t>
      </w:r>
      <w:r w:rsidRPr="007A4DA8">
        <w:rPr>
          <w:rFonts w:eastAsia="Calibri"/>
          <w:b/>
          <w:lang w:eastAsia="en-US"/>
        </w:rPr>
        <w:t>nstitution, healthcare facilities, and food preparation and handling areas</w:t>
      </w:r>
      <w:r w:rsidR="00EE6FD1" w:rsidRPr="007A4DA8">
        <w:rPr>
          <w:rFonts w:eastAsia="Calibri"/>
          <w:b/>
          <w:lang w:eastAsia="en-US"/>
        </w:rPr>
        <w:t xml:space="preserve">, by </w:t>
      </w:r>
      <w:r w:rsidR="00733D14" w:rsidRPr="007A4DA8">
        <w:rPr>
          <w:rFonts w:eastAsia="Calibri"/>
          <w:b/>
          <w:lang w:eastAsia="en-US"/>
        </w:rPr>
        <w:t xml:space="preserve">spraying, </w:t>
      </w:r>
      <w:r w:rsidR="00733CE3" w:rsidRPr="007A4DA8">
        <w:rPr>
          <w:rFonts w:eastAsia="Calibri"/>
          <w:b/>
          <w:lang w:eastAsia="en-US"/>
        </w:rPr>
        <w:t>pouring and</w:t>
      </w:r>
      <w:r w:rsidRPr="007A4DA8">
        <w:rPr>
          <w:rFonts w:eastAsia="Calibri"/>
          <w:b/>
          <w:lang w:eastAsia="en-US"/>
        </w:rPr>
        <w:t xml:space="preserve"> </w:t>
      </w:r>
      <w:r w:rsidR="00EE6FD1" w:rsidRPr="007A4DA8">
        <w:rPr>
          <w:rFonts w:eastAsia="Calibri"/>
          <w:b/>
          <w:lang w:eastAsia="en-US"/>
        </w:rPr>
        <w:t>s</w:t>
      </w:r>
      <w:r w:rsidRPr="007A4DA8">
        <w:rPr>
          <w:rFonts w:eastAsia="Calibri"/>
          <w:b/>
          <w:lang w:eastAsia="en-US"/>
        </w:rPr>
        <w:t>crubbing</w:t>
      </w:r>
      <w:r w:rsidR="00A77676" w:rsidRPr="007A4DA8">
        <w:rPr>
          <w:rFonts w:eastAsia="Calibri"/>
          <w:b/>
          <w:lang w:eastAsia="en-US"/>
        </w:rPr>
        <w:t xml:space="preserve"> – PT2/4</w:t>
      </w:r>
    </w:p>
    <w:p w14:paraId="6A046CD0" w14:textId="77777777" w:rsidR="0015321A" w:rsidRDefault="0015321A" w:rsidP="0015321A">
      <w:pPr>
        <w:spacing w:line="260" w:lineRule="atLeast"/>
        <w:rPr>
          <w:rFonts w:eastAsia="Calibri"/>
          <w:lang w:eastAsia="en-US"/>
        </w:rPr>
      </w:pPr>
    </w:p>
    <w:p w14:paraId="46CF6930" w14:textId="68212A80" w:rsidR="0015321A" w:rsidRDefault="0015321A" w:rsidP="0015321A">
      <w:pPr>
        <w:spacing w:line="260" w:lineRule="atLeast"/>
        <w:jc w:val="both"/>
        <w:rPr>
          <w:lang w:eastAsia="en-US"/>
        </w:rPr>
      </w:pPr>
      <w:r w:rsidRPr="005C303E">
        <w:rPr>
          <w:lang w:eastAsia="en-US"/>
        </w:rPr>
        <w:t>META-SPC</w:t>
      </w:r>
      <w:r>
        <w:rPr>
          <w:lang w:eastAsia="en-US"/>
        </w:rPr>
        <w:t>11</w:t>
      </w:r>
      <w:r w:rsidRPr="005C303E">
        <w:rPr>
          <w:lang w:eastAsia="en-US"/>
        </w:rPr>
        <w:t xml:space="preserve"> contains </w:t>
      </w:r>
      <w:r w:rsidR="00837D62">
        <w:rPr>
          <w:lang w:eastAsia="en-US"/>
        </w:rPr>
        <w:t>products to be diluted in water</w:t>
      </w:r>
      <w:r w:rsidR="00837D62" w:rsidDel="00C57FF4">
        <w:rPr>
          <w:lang w:eastAsia="en-US"/>
        </w:rPr>
        <w:t xml:space="preserve"> </w:t>
      </w:r>
      <w:r>
        <w:rPr>
          <w:lang w:eastAsia="en-US"/>
        </w:rPr>
        <w:t xml:space="preserve">containing </w:t>
      </w:r>
      <w:r w:rsidR="00837D62">
        <w:rPr>
          <w:lang w:eastAsia="en-US"/>
        </w:rPr>
        <w:t>24</w:t>
      </w:r>
      <w:r>
        <w:rPr>
          <w:lang w:eastAsia="en-US"/>
        </w:rPr>
        <w:t xml:space="preserve">% w/w lactic acid, and minor variations of coformulants. </w:t>
      </w:r>
    </w:p>
    <w:p w14:paraId="1E03396C" w14:textId="77777777" w:rsidR="0015321A" w:rsidRDefault="0015321A" w:rsidP="0015321A">
      <w:pPr>
        <w:spacing w:line="260" w:lineRule="atLeast"/>
        <w:jc w:val="both"/>
        <w:rPr>
          <w:lang w:eastAsia="en-US"/>
        </w:rPr>
      </w:pPr>
      <w:r>
        <w:rPr>
          <w:rFonts w:eastAsia="Calibri"/>
          <w:lang w:val="en-US" w:eastAsia="en-US"/>
        </w:rPr>
        <w:t>One of the coformulants (described as buffering/descaling agent)</w:t>
      </w:r>
      <w:r w:rsidRPr="00277479">
        <w:rPr>
          <w:rFonts w:eastAsia="Calibri"/>
          <w:lang w:val="en-US" w:eastAsia="en-US"/>
        </w:rPr>
        <w:t xml:space="preserve"> </w:t>
      </w:r>
      <w:r>
        <w:rPr>
          <w:rFonts w:eastAsia="Calibri"/>
          <w:lang w:val="en-US" w:eastAsia="en-US"/>
        </w:rPr>
        <w:t>is also an active substance</w:t>
      </w:r>
      <w:r w:rsidRPr="00277479">
        <w:rPr>
          <w:rFonts w:eastAsia="Calibri"/>
          <w:lang w:val="en-US" w:eastAsia="en-US"/>
        </w:rPr>
        <w:t xml:space="preserve"> included in the review program of the BPR</w:t>
      </w:r>
      <w:r>
        <w:rPr>
          <w:rFonts w:eastAsia="Calibri"/>
          <w:lang w:val="en-US" w:eastAsia="en-US"/>
        </w:rPr>
        <w:t xml:space="preserve"> and test has been performed according to the requirements of the TAB in order to demonstrate that it has no biocidal activity in the formulations (see confidential part).</w:t>
      </w:r>
      <w:r w:rsidRPr="00277479">
        <w:rPr>
          <w:rFonts w:eastAsia="Calibri"/>
          <w:lang w:val="en-US" w:eastAsia="en-US"/>
        </w:rPr>
        <w:t xml:space="preserve"> </w:t>
      </w:r>
    </w:p>
    <w:p w14:paraId="7CBE95AF" w14:textId="77777777" w:rsidR="0015321A" w:rsidRDefault="0015321A" w:rsidP="0015321A">
      <w:pPr>
        <w:spacing w:line="260" w:lineRule="atLeast"/>
        <w:jc w:val="both"/>
        <w:rPr>
          <w:lang w:eastAsia="en-US"/>
        </w:rPr>
      </w:pPr>
    </w:p>
    <w:p w14:paraId="36815648" w14:textId="6816527D" w:rsidR="0015321A" w:rsidRDefault="0015321A" w:rsidP="0015321A">
      <w:pPr>
        <w:spacing w:line="260" w:lineRule="atLeast"/>
        <w:jc w:val="both"/>
        <w:rPr>
          <w:rFonts w:cs="Arial"/>
          <w:lang w:eastAsia="en-US"/>
        </w:rPr>
      </w:pPr>
      <w:r w:rsidRPr="00C41434">
        <w:rPr>
          <w:lang w:eastAsia="en-US"/>
        </w:rPr>
        <w:t xml:space="preserve">Efficacy studies have been performed with </w:t>
      </w:r>
      <w:r w:rsidR="00EE6FD1" w:rsidRPr="00C41434">
        <w:rPr>
          <w:lang w:eastAsia="en-US"/>
        </w:rPr>
        <w:t xml:space="preserve">the </w:t>
      </w:r>
      <w:r w:rsidRPr="00C41434">
        <w:rPr>
          <w:lang w:eastAsia="en-US"/>
        </w:rPr>
        <w:t xml:space="preserve">representative product </w:t>
      </w:r>
      <w:r w:rsidRPr="007A4DA8">
        <w:rPr>
          <w:rFonts w:eastAsia="Calibri"/>
          <w:iCs/>
          <w:szCs w:val="24"/>
          <w:lang w:eastAsia="en-US"/>
        </w:rPr>
        <w:t>AL-S11-1-0 (</w:t>
      </w:r>
      <w:r w:rsidR="00817FE7" w:rsidRPr="007A4DA8">
        <w:rPr>
          <w:rFonts w:eastAsia="Calibri"/>
          <w:iCs/>
          <w:szCs w:val="24"/>
          <w:lang w:eastAsia="en-US"/>
        </w:rPr>
        <w:t>24</w:t>
      </w:r>
      <w:r w:rsidRPr="007A4DA8">
        <w:rPr>
          <w:rFonts w:eastAsia="Calibri"/>
          <w:iCs/>
          <w:szCs w:val="24"/>
          <w:lang w:eastAsia="en-US"/>
        </w:rPr>
        <w:t xml:space="preserve">% w/w lactic acid). </w:t>
      </w:r>
      <w:r w:rsidRPr="00C41434">
        <w:rPr>
          <w:rFonts w:cs="Arial"/>
          <w:lang w:eastAsia="en-US"/>
        </w:rPr>
        <w:t>Taking into account the variations of the co-formulants presented in the META-SPC</w:t>
      </w:r>
      <w:r w:rsidRPr="00D73134">
        <w:rPr>
          <w:rFonts w:cs="Arial"/>
          <w:lang w:eastAsia="en-US"/>
        </w:rPr>
        <w:t>11</w:t>
      </w:r>
      <w:r w:rsidRPr="005E216B">
        <w:rPr>
          <w:rFonts w:cs="Arial"/>
          <w:lang w:eastAsia="en-US"/>
        </w:rPr>
        <w:t xml:space="preserve">, it can be assumed that they have no impact on efficacy and the efficacy results of the representative product </w:t>
      </w:r>
      <w:r w:rsidRPr="007A4DA8">
        <w:rPr>
          <w:rFonts w:eastAsia="Calibri"/>
          <w:iCs/>
          <w:szCs w:val="24"/>
          <w:lang w:eastAsia="en-US"/>
        </w:rPr>
        <w:t xml:space="preserve">AL-S11-1-0 </w:t>
      </w:r>
      <w:r w:rsidRPr="00C41434">
        <w:rPr>
          <w:rFonts w:cs="Arial"/>
          <w:lang w:eastAsia="en-US"/>
        </w:rPr>
        <w:t>cover the whole META-SPC11 claims</w:t>
      </w:r>
      <w:r>
        <w:rPr>
          <w:rFonts w:cs="Arial"/>
          <w:lang w:eastAsia="en-US"/>
        </w:rPr>
        <w:t>.</w:t>
      </w:r>
    </w:p>
    <w:p w14:paraId="1AD7DDCD" w14:textId="77777777" w:rsidR="0015321A" w:rsidRDefault="0015321A" w:rsidP="0015321A">
      <w:pPr>
        <w:spacing w:line="260" w:lineRule="atLeast"/>
        <w:rPr>
          <w:rFonts w:eastAsia="Calibri"/>
          <w:lang w:eastAsia="en-US"/>
        </w:rPr>
      </w:pPr>
    </w:p>
    <w:p w14:paraId="6664CC8C" w14:textId="1E99B14A" w:rsidR="0015321A" w:rsidRDefault="0015321A" w:rsidP="0015321A">
      <w:pPr>
        <w:spacing w:line="260" w:lineRule="atLeast"/>
        <w:jc w:val="both"/>
        <w:rPr>
          <w:rFonts w:eastAsia="Calibri"/>
          <w:lang w:eastAsia="en-US"/>
        </w:rPr>
      </w:pPr>
      <w:r w:rsidRPr="00FC6604">
        <w:rPr>
          <w:rFonts w:eastAsia="Calibri"/>
          <w:lang w:eastAsia="en-US"/>
        </w:rPr>
        <w:t xml:space="preserve">Bactericidal activity </w:t>
      </w:r>
      <w:r>
        <w:rPr>
          <w:rFonts w:eastAsia="Calibri"/>
          <w:lang w:eastAsia="en-US"/>
        </w:rPr>
        <w:t xml:space="preserve">is demonstrated in phase 2, </w:t>
      </w:r>
      <w:r w:rsidR="00EE6FD1">
        <w:rPr>
          <w:rFonts w:eastAsia="Calibri"/>
          <w:lang w:eastAsia="en-US"/>
        </w:rPr>
        <w:t xml:space="preserve">steps 1 and </w:t>
      </w:r>
      <w:r>
        <w:rPr>
          <w:rFonts w:eastAsia="Calibri"/>
          <w:lang w:eastAsia="en-US"/>
        </w:rPr>
        <w:t>2 test</w:t>
      </w:r>
      <w:r w:rsidR="00EE6FD1">
        <w:rPr>
          <w:rFonts w:eastAsia="Calibri"/>
          <w:lang w:eastAsia="en-US"/>
        </w:rPr>
        <w:t>s (EN 1276 and</w:t>
      </w:r>
      <w:r>
        <w:rPr>
          <w:rFonts w:eastAsia="Calibri"/>
          <w:lang w:eastAsia="en-US"/>
        </w:rPr>
        <w:t xml:space="preserve"> EN</w:t>
      </w:r>
      <w:r w:rsidR="00EE6FD1">
        <w:rPr>
          <w:rFonts w:eastAsia="Calibri"/>
          <w:lang w:eastAsia="en-US"/>
        </w:rPr>
        <w:t xml:space="preserve"> </w:t>
      </w:r>
      <w:r>
        <w:rPr>
          <w:rFonts w:eastAsia="Calibri"/>
          <w:lang w:eastAsia="en-US"/>
        </w:rPr>
        <w:t>13697),</w:t>
      </w:r>
      <w:r w:rsidRPr="00FC6604">
        <w:rPr>
          <w:rFonts w:eastAsia="Calibri"/>
          <w:lang w:eastAsia="en-US"/>
        </w:rPr>
        <w:t xml:space="preserve"> at 20°C </w:t>
      </w:r>
      <w:r>
        <w:rPr>
          <w:rFonts w:eastAsia="Calibri"/>
          <w:lang w:eastAsia="en-US"/>
        </w:rPr>
        <w:t xml:space="preserve">with a </w:t>
      </w:r>
      <w:r w:rsidRPr="00FC6604">
        <w:rPr>
          <w:rFonts w:eastAsia="Calibri"/>
          <w:lang w:eastAsia="en-US"/>
        </w:rPr>
        <w:t>contact time of 5 minutes</w:t>
      </w:r>
      <w:r>
        <w:rPr>
          <w:rFonts w:eastAsia="Calibri"/>
          <w:lang w:eastAsia="en-US"/>
        </w:rPr>
        <w:t>,</w:t>
      </w:r>
      <w:r w:rsidRPr="00FC6604">
        <w:rPr>
          <w:rFonts w:eastAsia="Calibri"/>
          <w:lang w:eastAsia="en-US"/>
        </w:rPr>
        <w:t xml:space="preserve"> </w:t>
      </w:r>
      <w:r>
        <w:rPr>
          <w:rFonts w:eastAsia="Calibri"/>
          <w:lang w:eastAsia="en-US"/>
        </w:rPr>
        <w:t xml:space="preserve">in </w:t>
      </w:r>
      <w:r w:rsidRPr="00FC6604">
        <w:rPr>
          <w:rFonts w:eastAsia="Calibri"/>
          <w:lang w:eastAsia="en-US"/>
        </w:rPr>
        <w:t>dirty conditions</w:t>
      </w:r>
      <w:r>
        <w:rPr>
          <w:rFonts w:eastAsia="Calibri"/>
          <w:lang w:eastAsia="en-US"/>
        </w:rPr>
        <w:t xml:space="preserve"> (3.0 g/L BSA).</w:t>
      </w:r>
      <w:r w:rsidRPr="00E40200">
        <w:rPr>
          <w:lang w:eastAsia="en-US"/>
        </w:rPr>
        <w:t xml:space="preserve"> </w:t>
      </w:r>
      <w:r w:rsidRPr="003D493E">
        <w:rPr>
          <w:lang w:eastAsia="en-US"/>
        </w:rPr>
        <w:t xml:space="preserve">In these conditions, bactericidal activity is shown at the in-use concentration of </w:t>
      </w:r>
      <w:r>
        <w:rPr>
          <w:rFonts w:eastAsia="Calibri"/>
          <w:lang w:eastAsia="en-US"/>
        </w:rPr>
        <w:t>1</w:t>
      </w:r>
      <w:r w:rsidR="00526D5D">
        <w:rPr>
          <w:rFonts w:eastAsia="Calibri"/>
          <w:lang w:eastAsia="en-US"/>
        </w:rPr>
        <w:t>.</w:t>
      </w:r>
      <w:r w:rsidR="00622E82">
        <w:rPr>
          <w:rFonts w:eastAsia="Calibri"/>
          <w:lang w:eastAsia="en-US"/>
        </w:rPr>
        <w:t>5</w:t>
      </w:r>
      <w:r w:rsidRPr="00F81A6F">
        <w:rPr>
          <w:rFonts w:eastAsia="Calibri"/>
          <w:lang w:eastAsia="en-US"/>
        </w:rPr>
        <w:t>% (v/v</w:t>
      </w:r>
      <w:r>
        <w:rPr>
          <w:rFonts w:eastAsia="Calibri"/>
          <w:lang w:eastAsia="en-US"/>
        </w:rPr>
        <w:t>).</w:t>
      </w:r>
      <w:r w:rsidRPr="00FC6604">
        <w:rPr>
          <w:rFonts w:eastAsia="Calibri"/>
          <w:lang w:eastAsia="en-US"/>
        </w:rPr>
        <w:t xml:space="preserve"> </w:t>
      </w:r>
    </w:p>
    <w:p w14:paraId="44081736" w14:textId="6E5DF899" w:rsidR="0015321A" w:rsidRDefault="0015321A" w:rsidP="0015321A">
      <w:pPr>
        <w:spacing w:line="260" w:lineRule="atLeast"/>
        <w:jc w:val="both"/>
        <w:rPr>
          <w:rFonts w:eastAsia="Calibri"/>
          <w:lang w:eastAsia="en-US"/>
        </w:rPr>
      </w:pPr>
      <w:r>
        <w:rPr>
          <w:rFonts w:eastAsia="Calibri"/>
          <w:lang w:eastAsia="en-US"/>
        </w:rPr>
        <w:t xml:space="preserve">An activity against </w:t>
      </w:r>
      <w:r w:rsidRPr="00FC6604">
        <w:rPr>
          <w:rFonts w:eastAsia="Calibri"/>
          <w:lang w:eastAsia="en-US"/>
        </w:rPr>
        <w:t>additional strains</w:t>
      </w:r>
      <w:r>
        <w:rPr>
          <w:rFonts w:eastAsia="Calibri"/>
          <w:lang w:eastAsia="en-US"/>
        </w:rPr>
        <w:t xml:space="preserve"> (</w:t>
      </w:r>
      <w:r w:rsidRPr="001D704F">
        <w:rPr>
          <w:rFonts w:eastAsia="Calibri"/>
          <w:i/>
          <w:lang w:eastAsia="en-US"/>
        </w:rPr>
        <w:t xml:space="preserve">Salmonella </w:t>
      </w:r>
      <w:r w:rsidRPr="00C055F6">
        <w:rPr>
          <w:rFonts w:eastAsia="Calibri"/>
          <w:lang w:eastAsia="en-US"/>
        </w:rPr>
        <w:t>Typhimurium</w:t>
      </w:r>
      <w:r w:rsidRPr="00FC6604">
        <w:rPr>
          <w:rFonts w:eastAsia="Calibri"/>
          <w:lang w:eastAsia="en-US"/>
        </w:rPr>
        <w:t xml:space="preserve"> and </w:t>
      </w:r>
      <w:r w:rsidRPr="001D704F">
        <w:rPr>
          <w:rFonts w:eastAsia="Calibri"/>
          <w:i/>
          <w:lang w:eastAsia="en-US"/>
        </w:rPr>
        <w:t>Listeria monocytogenes</w:t>
      </w:r>
      <w:r>
        <w:rPr>
          <w:rFonts w:eastAsia="Calibri"/>
          <w:i/>
          <w:lang w:eastAsia="en-US"/>
        </w:rPr>
        <w:t>)</w:t>
      </w:r>
      <w:r>
        <w:rPr>
          <w:rFonts w:eastAsia="Calibri"/>
          <w:lang w:eastAsia="en-US"/>
        </w:rPr>
        <w:t xml:space="preserve"> is also demonstrated in phase 2, step 2 test (EN</w:t>
      </w:r>
      <w:r w:rsidR="00EE6FD1">
        <w:rPr>
          <w:rFonts w:eastAsia="Calibri"/>
          <w:lang w:eastAsia="en-US"/>
        </w:rPr>
        <w:t xml:space="preserve"> </w:t>
      </w:r>
      <w:r>
        <w:rPr>
          <w:rFonts w:eastAsia="Calibri"/>
          <w:lang w:eastAsia="en-US"/>
        </w:rPr>
        <w:t>13697),</w:t>
      </w:r>
      <w:r w:rsidRPr="00FC6604">
        <w:rPr>
          <w:rFonts w:eastAsia="Calibri"/>
          <w:lang w:eastAsia="en-US"/>
        </w:rPr>
        <w:t xml:space="preserve"> at 20°C </w:t>
      </w:r>
      <w:r>
        <w:rPr>
          <w:rFonts w:eastAsia="Calibri"/>
          <w:lang w:eastAsia="en-US"/>
        </w:rPr>
        <w:t xml:space="preserve">with a </w:t>
      </w:r>
      <w:r w:rsidRPr="00FC6604">
        <w:rPr>
          <w:rFonts w:eastAsia="Calibri"/>
          <w:lang w:eastAsia="en-US"/>
        </w:rPr>
        <w:t>contact time of 5 minutes</w:t>
      </w:r>
      <w:r>
        <w:rPr>
          <w:rFonts w:eastAsia="Calibri"/>
          <w:lang w:eastAsia="en-US"/>
        </w:rPr>
        <w:t>,</w:t>
      </w:r>
      <w:r w:rsidRPr="00FC6604">
        <w:rPr>
          <w:rFonts w:eastAsia="Calibri"/>
          <w:lang w:eastAsia="en-US"/>
        </w:rPr>
        <w:t xml:space="preserve"> </w:t>
      </w:r>
      <w:r>
        <w:rPr>
          <w:rFonts w:eastAsia="Calibri"/>
          <w:lang w:eastAsia="en-US"/>
        </w:rPr>
        <w:t xml:space="preserve">in </w:t>
      </w:r>
      <w:r w:rsidRPr="00FC6604">
        <w:rPr>
          <w:rFonts w:eastAsia="Calibri"/>
          <w:lang w:eastAsia="en-US"/>
        </w:rPr>
        <w:t>dirty conditions</w:t>
      </w:r>
      <w:r>
        <w:rPr>
          <w:rFonts w:eastAsia="Calibri"/>
          <w:lang w:eastAsia="en-US"/>
        </w:rPr>
        <w:t xml:space="preserve"> (3.0 g/L BSA), at 1% v/v.</w:t>
      </w:r>
    </w:p>
    <w:p w14:paraId="056F523B" w14:textId="473136E0" w:rsidR="0015321A" w:rsidRPr="00FC6604" w:rsidRDefault="0015321A" w:rsidP="0015321A">
      <w:pPr>
        <w:spacing w:line="260" w:lineRule="atLeast"/>
        <w:jc w:val="both"/>
        <w:rPr>
          <w:rFonts w:eastAsia="Calibri"/>
          <w:lang w:eastAsia="en-US"/>
        </w:rPr>
      </w:pPr>
      <w:r>
        <w:rPr>
          <w:rFonts w:eastAsia="Calibri"/>
          <w:lang w:eastAsia="en-US"/>
        </w:rPr>
        <w:t>Yeasticidal activity is demonstrated in phase 2, steps 1 and 2 tests (EN</w:t>
      </w:r>
      <w:r w:rsidR="00EE6FD1">
        <w:rPr>
          <w:rFonts w:eastAsia="Calibri"/>
          <w:lang w:eastAsia="en-US"/>
        </w:rPr>
        <w:t xml:space="preserve"> </w:t>
      </w:r>
      <w:r>
        <w:rPr>
          <w:rFonts w:eastAsia="Calibri"/>
          <w:lang w:eastAsia="en-US"/>
        </w:rPr>
        <w:t>1650 and EN</w:t>
      </w:r>
      <w:r w:rsidR="00EE6FD1">
        <w:rPr>
          <w:rFonts w:eastAsia="Calibri"/>
          <w:lang w:eastAsia="en-US"/>
        </w:rPr>
        <w:t xml:space="preserve"> </w:t>
      </w:r>
      <w:r>
        <w:rPr>
          <w:rFonts w:eastAsia="Calibri"/>
          <w:lang w:eastAsia="en-US"/>
        </w:rPr>
        <w:t>13697),</w:t>
      </w:r>
      <w:r w:rsidR="00075547">
        <w:rPr>
          <w:rFonts w:eastAsia="Calibri"/>
          <w:lang w:eastAsia="en-US"/>
        </w:rPr>
        <w:t xml:space="preserve"> </w:t>
      </w:r>
      <w:r w:rsidR="00216C69" w:rsidRPr="00FC6604">
        <w:rPr>
          <w:rFonts w:eastAsia="Calibri"/>
          <w:lang w:eastAsia="en-US"/>
        </w:rPr>
        <w:t>at 20°C</w:t>
      </w:r>
      <w:r w:rsidR="00216C69">
        <w:rPr>
          <w:rFonts w:eastAsia="Calibri"/>
          <w:lang w:eastAsia="en-US"/>
        </w:rPr>
        <w:t xml:space="preserve"> </w:t>
      </w:r>
      <w:r w:rsidRPr="00FC6604">
        <w:rPr>
          <w:rFonts w:eastAsia="Calibri"/>
          <w:lang w:eastAsia="en-US"/>
        </w:rPr>
        <w:t>with</w:t>
      </w:r>
      <w:r>
        <w:rPr>
          <w:rFonts w:eastAsia="Calibri"/>
          <w:lang w:eastAsia="en-US"/>
        </w:rPr>
        <w:t xml:space="preserve"> a</w:t>
      </w:r>
      <w:r w:rsidRPr="00FC6604">
        <w:rPr>
          <w:rFonts w:eastAsia="Calibri"/>
          <w:lang w:eastAsia="en-US"/>
        </w:rPr>
        <w:t xml:space="preserve"> contact time of 15 minutes</w:t>
      </w:r>
      <w:r>
        <w:rPr>
          <w:rFonts w:eastAsia="Calibri"/>
          <w:lang w:eastAsia="en-US"/>
        </w:rPr>
        <w:t>,</w:t>
      </w:r>
      <w:r w:rsidRPr="00FC6604">
        <w:rPr>
          <w:rFonts w:eastAsia="Calibri"/>
          <w:lang w:eastAsia="en-US"/>
        </w:rPr>
        <w:t xml:space="preserve"> in dirty conditions</w:t>
      </w:r>
      <w:r>
        <w:rPr>
          <w:rFonts w:eastAsia="Calibri"/>
          <w:lang w:eastAsia="en-US"/>
        </w:rPr>
        <w:t xml:space="preserve"> (3.0 g/L BSA).</w:t>
      </w:r>
      <w:r w:rsidRPr="00E40200">
        <w:rPr>
          <w:lang w:eastAsia="en-US"/>
        </w:rPr>
        <w:t xml:space="preserve"> </w:t>
      </w:r>
      <w:r w:rsidRPr="003D493E">
        <w:rPr>
          <w:lang w:eastAsia="en-US"/>
        </w:rPr>
        <w:t>In these conditions,</w:t>
      </w:r>
      <w:r>
        <w:rPr>
          <w:lang w:eastAsia="en-US"/>
        </w:rPr>
        <w:t xml:space="preserve"> yeasticidal activity</w:t>
      </w:r>
      <w:r>
        <w:rPr>
          <w:rFonts w:eastAsia="Calibri"/>
          <w:lang w:eastAsia="en-US"/>
        </w:rPr>
        <w:t xml:space="preserve"> is shown at the in-use concentration of 1.5% v/v</w:t>
      </w:r>
      <w:r w:rsidRPr="00FC6604">
        <w:rPr>
          <w:rFonts w:eastAsia="Calibri"/>
          <w:lang w:eastAsia="en-US"/>
        </w:rPr>
        <w:t>.</w:t>
      </w:r>
    </w:p>
    <w:p w14:paraId="1AB24C38" w14:textId="77777777" w:rsidR="0015321A" w:rsidRPr="00FC6604" w:rsidRDefault="0015321A" w:rsidP="0015321A">
      <w:pPr>
        <w:spacing w:line="260" w:lineRule="atLeast"/>
        <w:rPr>
          <w:rFonts w:eastAsia="Calibri"/>
          <w:lang w:eastAsia="en-US"/>
        </w:rPr>
      </w:pPr>
    </w:p>
    <w:p w14:paraId="4522CF51" w14:textId="2F0831C5" w:rsidR="0015321A" w:rsidRDefault="0015321A" w:rsidP="0015321A">
      <w:pPr>
        <w:spacing w:line="260" w:lineRule="atLeast"/>
        <w:jc w:val="both"/>
        <w:rPr>
          <w:rFonts w:eastAsia="Calibri"/>
          <w:lang w:eastAsia="en-US"/>
        </w:rPr>
      </w:pPr>
      <w:r w:rsidRPr="00FC6604">
        <w:rPr>
          <w:rFonts w:eastAsia="Calibri"/>
          <w:lang w:eastAsia="en-US"/>
        </w:rPr>
        <w:t>Bactericidal activity</w:t>
      </w:r>
      <w:r w:rsidRPr="0006434F">
        <w:rPr>
          <w:rFonts w:eastAsia="Calibri"/>
          <w:lang w:eastAsia="en-US"/>
        </w:rPr>
        <w:t xml:space="preserve"> </w:t>
      </w:r>
      <w:r>
        <w:rPr>
          <w:rFonts w:eastAsia="Calibri"/>
          <w:lang w:eastAsia="en-US"/>
        </w:rPr>
        <w:t>is demonstrated in phase 2, steps 1 and 2 tests (EN</w:t>
      </w:r>
      <w:r w:rsidR="00EE6FD1">
        <w:rPr>
          <w:rFonts w:eastAsia="Calibri"/>
          <w:lang w:eastAsia="en-US"/>
        </w:rPr>
        <w:t xml:space="preserve"> </w:t>
      </w:r>
      <w:r>
        <w:rPr>
          <w:rFonts w:eastAsia="Calibri"/>
          <w:lang w:eastAsia="en-US"/>
        </w:rPr>
        <w:t>1650 and EN</w:t>
      </w:r>
      <w:r w:rsidR="00EE6FD1">
        <w:rPr>
          <w:rFonts w:eastAsia="Calibri"/>
          <w:lang w:eastAsia="en-US"/>
        </w:rPr>
        <w:t xml:space="preserve"> </w:t>
      </w:r>
      <w:r>
        <w:rPr>
          <w:rFonts w:eastAsia="Calibri"/>
          <w:lang w:eastAsia="en-US"/>
        </w:rPr>
        <w:t>13697)</w:t>
      </w:r>
      <w:r w:rsidRPr="00FC6604">
        <w:rPr>
          <w:rFonts w:eastAsia="Calibri"/>
          <w:lang w:eastAsia="en-US"/>
        </w:rPr>
        <w:t xml:space="preserve">, at 40°C </w:t>
      </w:r>
      <w:r>
        <w:rPr>
          <w:rFonts w:eastAsia="Calibri"/>
          <w:lang w:eastAsia="en-US"/>
        </w:rPr>
        <w:t xml:space="preserve">with a </w:t>
      </w:r>
      <w:r w:rsidRPr="00FC6604">
        <w:rPr>
          <w:rFonts w:eastAsia="Calibri"/>
          <w:lang w:eastAsia="en-US"/>
        </w:rPr>
        <w:t>contact time of 15 minutes</w:t>
      </w:r>
      <w:r>
        <w:rPr>
          <w:rFonts w:eastAsia="Calibri"/>
          <w:lang w:eastAsia="en-US"/>
        </w:rPr>
        <w:t xml:space="preserve">, </w:t>
      </w:r>
      <w:r w:rsidRPr="00FC6604">
        <w:rPr>
          <w:rFonts w:eastAsia="Calibri"/>
          <w:lang w:eastAsia="en-US"/>
        </w:rPr>
        <w:t xml:space="preserve">in dirty conditions </w:t>
      </w:r>
      <w:r>
        <w:rPr>
          <w:rFonts w:eastAsia="Calibri"/>
          <w:lang w:eastAsia="en-US"/>
        </w:rPr>
        <w:t>(3.0 g/L BSA).</w:t>
      </w:r>
      <w:r w:rsidRPr="00E40200">
        <w:rPr>
          <w:lang w:eastAsia="en-US"/>
        </w:rPr>
        <w:t xml:space="preserve"> </w:t>
      </w:r>
      <w:r w:rsidRPr="003D493E">
        <w:rPr>
          <w:lang w:eastAsia="en-US"/>
        </w:rPr>
        <w:t xml:space="preserve">In these conditions, bactericidal activity is shown at the in-use concentration of </w:t>
      </w:r>
      <w:r>
        <w:rPr>
          <w:rFonts w:eastAsia="Calibri"/>
          <w:lang w:eastAsia="en-US"/>
        </w:rPr>
        <w:t>1</w:t>
      </w:r>
      <w:r w:rsidRPr="00F81A6F">
        <w:rPr>
          <w:rFonts w:eastAsia="Calibri"/>
          <w:lang w:eastAsia="en-US"/>
        </w:rPr>
        <w:t>% (v/v</w:t>
      </w:r>
      <w:r>
        <w:rPr>
          <w:rFonts w:eastAsia="Calibri"/>
          <w:lang w:eastAsia="en-US"/>
        </w:rPr>
        <w:t>).</w:t>
      </w:r>
      <w:r w:rsidRPr="00FC6604">
        <w:rPr>
          <w:rFonts w:eastAsia="Calibri"/>
          <w:lang w:eastAsia="en-US"/>
        </w:rPr>
        <w:t xml:space="preserve"> </w:t>
      </w:r>
      <w:r>
        <w:rPr>
          <w:rFonts w:eastAsia="Calibri"/>
          <w:lang w:eastAsia="en-US"/>
        </w:rPr>
        <w:t xml:space="preserve">Yeasticidal activity is demonstrated in phase 2, steps 1 and 2 test (EN 1650 and EN13697) </w:t>
      </w:r>
      <w:r w:rsidR="00216C69" w:rsidRPr="00FC6604">
        <w:rPr>
          <w:rFonts w:eastAsia="Calibri"/>
          <w:lang w:eastAsia="en-US"/>
        </w:rPr>
        <w:t xml:space="preserve">at 40°C </w:t>
      </w:r>
      <w:r w:rsidRPr="00FC6604">
        <w:rPr>
          <w:rFonts w:eastAsia="Calibri"/>
          <w:lang w:eastAsia="en-US"/>
        </w:rPr>
        <w:t>with</w:t>
      </w:r>
      <w:r>
        <w:rPr>
          <w:rFonts w:eastAsia="Calibri"/>
          <w:lang w:eastAsia="en-US"/>
        </w:rPr>
        <w:t xml:space="preserve"> a</w:t>
      </w:r>
      <w:r w:rsidRPr="00FC6604">
        <w:rPr>
          <w:rFonts w:eastAsia="Calibri"/>
          <w:lang w:eastAsia="en-US"/>
        </w:rPr>
        <w:t xml:space="preserve"> contact time of 30 minutes</w:t>
      </w:r>
      <w:r w:rsidR="00075547">
        <w:rPr>
          <w:rFonts w:eastAsia="Calibri"/>
          <w:lang w:eastAsia="en-US"/>
        </w:rPr>
        <w:t>,</w:t>
      </w:r>
      <w:r w:rsidRPr="00FC6604">
        <w:rPr>
          <w:rFonts w:eastAsia="Calibri"/>
          <w:lang w:eastAsia="en-US"/>
        </w:rPr>
        <w:t xml:space="preserve"> in dirty conditions</w:t>
      </w:r>
      <w:r>
        <w:rPr>
          <w:rFonts w:eastAsia="Calibri"/>
          <w:lang w:eastAsia="en-US"/>
        </w:rPr>
        <w:t xml:space="preserve"> (3.0 g/L BSA).</w:t>
      </w:r>
      <w:r w:rsidRPr="00E40200">
        <w:rPr>
          <w:lang w:eastAsia="en-US"/>
        </w:rPr>
        <w:t xml:space="preserve"> </w:t>
      </w:r>
      <w:r w:rsidRPr="003D493E">
        <w:rPr>
          <w:lang w:eastAsia="en-US"/>
        </w:rPr>
        <w:t>In these conditions,</w:t>
      </w:r>
      <w:r>
        <w:rPr>
          <w:lang w:eastAsia="en-US"/>
        </w:rPr>
        <w:t xml:space="preserve"> yeasticidal activity</w:t>
      </w:r>
      <w:r>
        <w:rPr>
          <w:rFonts w:eastAsia="Calibri"/>
          <w:lang w:eastAsia="en-US"/>
        </w:rPr>
        <w:t xml:space="preserve"> is shown at the in-use concentration of 1% (v/v). </w:t>
      </w:r>
    </w:p>
    <w:p w14:paraId="6378417F" w14:textId="77777777" w:rsidR="0015321A" w:rsidRDefault="0015321A" w:rsidP="0015321A">
      <w:pPr>
        <w:spacing w:line="260" w:lineRule="atLeast"/>
        <w:jc w:val="both"/>
        <w:rPr>
          <w:rFonts w:ascii="Times New Roman" w:eastAsia="Calibri" w:hAnsi="Times New Roman" w:cs="Arial"/>
          <w:bCs/>
          <w:i/>
          <w:caps/>
          <w:szCs w:val="28"/>
          <w:lang w:eastAsia="en-US"/>
        </w:rPr>
      </w:pPr>
    </w:p>
    <w:p w14:paraId="20FD2B5D" w14:textId="77777777" w:rsidR="0015321A" w:rsidRDefault="0015321A" w:rsidP="0015321A">
      <w:pPr>
        <w:jc w:val="center"/>
        <w:rPr>
          <w:b/>
          <w:color w:val="000000"/>
          <w:sz w:val="18"/>
          <w:szCs w:val="18"/>
        </w:rPr>
        <w:sectPr w:rsidR="0015321A" w:rsidSect="0073642B">
          <w:pgSz w:w="11906" w:h="16838"/>
          <w:pgMar w:top="1474" w:right="1247" w:bottom="2013" w:left="1446" w:header="851" w:footer="851" w:gutter="0"/>
          <w:cols w:space="720"/>
          <w:docGrid w:linePitch="272"/>
        </w:sectPr>
      </w:pPr>
    </w:p>
    <w:tbl>
      <w:tblPr>
        <w:tblW w:w="143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8"/>
        <w:gridCol w:w="1701"/>
        <w:gridCol w:w="1276"/>
        <w:gridCol w:w="2448"/>
        <w:gridCol w:w="1277"/>
        <w:gridCol w:w="2996"/>
        <w:gridCol w:w="1701"/>
        <w:gridCol w:w="1608"/>
      </w:tblGrid>
      <w:tr w:rsidR="00EE6FD1" w:rsidRPr="00FD2055" w14:paraId="7C65829D" w14:textId="77777777" w:rsidTr="00526D5D">
        <w:trPr>
          <w:cantSplit/>
          <w:tblHeader/>
          <w:jc w:val="center"/>
        </w:trPr>
        <w:tc>
          <w:tcPr>
            <w:tcW w:w="14365" w:type="dxa"/>
            <w:gridSpan w:val="8"/>
            <w:shd w:val="clear" w:color="auto" w:fill="FFFFFF"/>
          </w:tcPr>
          <w:p w14:paraId="3DA4F55B" w14:textId="7EBE83A5" w:rsidR="00EE6FD1" w:rsidRPr="00FD2055" w:rsidRDefault="00EE6FD1" w:rsidP="00526D5D">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11</w:t>
            </w:r>
          </w:p>
        </w:tc>
      </w:tr>
      <w:tr w:rsidR="0015321A" w:rsidRPr="00FD2055" w14:paraId="04BF678E" w14:textId="77777777" w:rsidTr="00526D5D">
        <w:trPr>
          <w:cantSplit/>
          <w:jc w:val="center"/>
        </w:trPr>
        <w:tc>
          <w:tcPr>
            <w:tcW w:w="1358" w:type="dxa"/>
            <w:shd w:val="clear" w:color="auto" w:fill="FFFFFF"/>
          </w:tcPr>
          <w:p w14:paraId="16F17559" w14:textId="23D7985F" w:rsidR="0015321A" w:rsidRPr="00FD2055" w:rsidRDefault="0015321A" w:rsidP="0015321A">
            <w:pPr>
              <w:jc w:val="center"/>
              <w:rPr>
                <w:b/>
                <w:color w:val="000000"/>
                <w:sz w:val="18"/>
                <w:szCs w:val="18"/>
              </w:rPr>
            </w:pPr>
            <w:r w:rsidRPr="00FD2055">
              <w:rPr>
                <w:b/>
                <w:color w:val="000000"/>
                <w:sz w:val="18"/>
                <w:szCs w:val="18"/>
              </w:rPr>
              <w:t>Function</w:t>
            </w:r>
          </w:p>
        </w:tc>
        <w:tc>
          <w:tcPr>
            <w:tcW w:w="1701" w:type="dxa"/>
            <w:shd w:val="clear" w:color="auto" w:fill="FFFFFF"/>
          </w:tcPr>
          <w:p w14:paraId="482FA3FC" w14:textId="77777777" w:rsidR="0015321A" w:rsidRPr="00FD2055" w:rsidRDefault="0015321A" w:rsidP="0015321A">
            <w:pPr>
              <w:rPr>
                <w:b/>
                <w:color w:val="000000"/>
                <w:sz w:val="18"/>
                <w:szCs w:val="18"/>
              </w:rPr>
            </w:pPr>
            <w:r w:rsidRPr="00FD2055">
              <w:rPr>
                <w:b/>
                <w:color w:val="000000"/>
                <w:sz w:val="18"/>
                <w:szCs w:val="18"/>
              </w:rPr>
              <w:t>Field of use envisaged</w:t>
            </w:r>
          </w:p>
        </w:tc>
        <w:tc>
          <w:tcPr>
            <w:tcW w:w="1276" w:type="dxa"/>
            <w:shd w:val="clear" w:color="auto" w:fill="FFFFFF"/>
          </w:tcPr>
          <w:p w14:paraId="66B2CD6A" w14:textId="77777777" w:rsidR="0015321A" w:rsidRPr="00FD2055" w:rsidRDefault="0015321A"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2448" w:type="dxa"/>
            <w:shd w:val="clear" w:color="auto" w:fill="FFFFFF"/>
          </w:tcPr>
          <w:p w14:paraId="747F57A9" w14:textId="77777777" w:rsidR="0015321A" w:rsidRPr="00FD2055" w:rsidRDefault="0015321A" w:rsidP="0015321A">
            <w:pPr>
              <w:rPr>
                <w:b/>
                <w:i/>
                <w:color w:val="000000"/>
                <w:sz w:val="18"/>
                <w:szCs w:val="18"/>
              </w:rPr>
            </w:pPr>
            <w:r w:rsidRPr="00FD2055">
              <w:rPr>
                <w:b/>
                <w:color w:val="000000"/>
                <w:sz w:val="18"/>
                <w:szCs w:val="18"/>
              </w:rPr>
              <w:t>Test organism(s)</w:t>
            </w:r>
          </w:p>
        </w:tc>
        <w:tc>
          <w:tcPr>
            <w:tcW w:w="0" w:type="auto"/>
            <w:shd w:val="clear" w:color="auto" w:fill="FFFFFF"/>
          </w:tcPr>
          <w:p w14:paraId="5452EDC6" w14:textId="77777777" w:rsidR="0015321A" w:rsidRPr="00FD2055" w:rsidRDefault="0015321A" w:rsidP="0015321A">
            <w:pPr>
              <w:rPr>
                <w:b/>
                <w:color w:val="000000"/>
                <w:sz w:val="18"/>
                <w:szCs w:val="18"/>
              </w:rPr>
            </w:pPr>
            <w:r w:rsidRPr="00FD2055">
              <w:rPr>
                <w:b/>
                <w:color w:val="000000"/>
                <w:sz w:val="18"/>
                <w:szCs w:val="18"/>
              </w:rPr>
              <w:t>Test method</w:t>
            </w:r>
          </w:p>
        </w:tc>
        <w:tc>
          <w:tcPr>
            <w:tcW w:w="2996" w:type="dxa"/>
            <w:shd w:val="clear" w:color="auto" w:fill="FFFFFF"/>
          </w:tcPr>
          <w:p w14:paraId="0C7896AE" w14:textId="77777777" w:rsidR="0015321A" w:rsidRPr="00FD2055" w:rsidRDefault="0015321A" w:rsidP="0015321A">
            <w:pPr>
              <w:rPr>
                <w:b/>
                <w:color w:val="000000"/>
                <w:sz w:val="18"/>
                <w:szCs w:val="18"/>
              </w:rPr>
            </w:pPr>
            <w:r w:rsidRPr="00FD2055">
              <w:rPr>
                <w:b/>
                <w:color w:val="000000"/>
                <w:sz w:val="18"/>
                <w:szCs w:val="18"/>
              </w:rPr>
              <w:t>Test system / concentrations applied / exposure time</w:t>
            </w:r>
          </w:p>
        </w:tc>
        <w:tc>
          <w:tcPr>
            <w:tcW w:w="1701" w:type="dxa"/>
            <w:shd w:val="clear" w:color="auto" w:fill="FFFFFF"/>
          </w:tcPr>
          <w:p w14:paraId="09394B36" w14:textId="77777777" w:rsidR="0015321A" w:rsidRPr="00FD2055" w:rsidRDefault="0015321A" w:rsidP="0015321A">
            <w:pPr>
              <w:rPr>
                <w:b/>
                <w:color w:val="000000"/>
                <w:sz w:val="18"/>
                <w:szCs w:val="18"/>
              </w:rPr>
            </w:pPr>
            <w:r w:rsidRPr="00FD2055">
              <w:rPr>
                <w:b/>
                <w:color w:val="000000"/>
                <w:sz w:val="18"/>
                <w:szCs w:val="18"/>
              </w:rPr>
              <w:t>Test results: effects</w:t>
            </w:r>
          </w:p>
        </w:tc>
        <w:tc>
          <w:tcPr>
            <w:tcW w:w="1608" w:type="dxa"/>
            <w:shd w:val="clear" w:color="auto" w:fill="FFFFFF"/>
          </w:tcPr>
          <w:p w14:paraId="7606FA5B" w14:textId="77777777" w:rsidR="0015321A" w:rsidRPr="00FD2055" w:rsidRDefault="0015321A" w:rsidP="0015321A">
            <w:pPr>
              <w:rPr>
                <w:b/>
                <w:color w:val="000000"/>
                <w:sz w:val="18"/>
                <w:szCs w:val="18"/>
              </w:rPr>
            </w:pPr>
            <w:r w:rsidRPr="00FD2055">
              <w:rPr>
                <w:b/>
                <w:color w:val="000000"/>
                <w:sz w:val="18"/>
                <w:szCs w:val="18"/>
              </w:rPr>
              <w:t>Reference</w:t>
            </w:r>
          </w:p>
        </w:tc>
      </w:tr>
      <w:tr w:rsidR="0015321A" w14:paraId="4536632F" w14:textId="77777777" w:rsidTr="00526D5D">
        <w:trPr>
          <w:cantSplit/>
          <w:jc w:val="center"/>
        </w:trPr>
        <w:tc>
          <w:tcPr>
            <w:tcW w:w="1358" w:type="dxa"/>
            <w:vAlign w:val="center"/>
          </w:tcPr>
          <w:p w14:paraId="3DF454AE" w14:textId="77777777" w:rsidR="0015321A" w:rsidRPr="00FD2055" w:rsidRDefault="0015321A" w:rsidP="0015321A">
            <w:pPr>
              <w:rPr>
                <w:i/>
                <w:color w:val="000000"/>
                <w:sz w:val="18"/>
                <w:szCs w:val="18"/>
              </w:rPr>
            </w:pPr>
            <w:r>
              <w:rPr>
                <w:color w:val="000000"/>
                <w:sz w:val="18"/>
                <w:szCs w:val="18"/>
              </w:rPr>
              <w:t>Disinfectant, bactericidal activity</w:t>
            </w:r>
          </w:p>
        </w:tc>
        <w:tc>
          <w:tcPr>
            <w:tcW w:w="1701" w:type="dxa"/>
            <w:vAlign w:val="center"/>
          </w:tcPr>
          <w:p w14:paraId="6161637C" w14:textId="77777777" w:rsidR="0015321A" w:rsidRPr="00FD2055" w:rsidRDefault="0015321A" w:rsidP="0015321A">
            <w:pPr>
              <w:rPr>
                <w:i/>
                <w:color w:val="000000"/>
                <w:sz w:val="18"/>
                <w:szCs w:val="18"/>
              </w:rPr>
            </w:pPr>
            <w:r>
              <w:rPr>
                <w:color w:val="000000"/>
                <w:sz w:val="18"/>
                <w:szCs w:val="18"/>
              </w:rPr>
              <w:t>Institutional, healthcare facilities, industrial and food preparation and handling areas</w:t>
            </w:r>
          </w:p>
        </w:tc>
        <w:tc>
          <w:tcPr>
            <w:tcW w:w="1276" w:type="dxa"/>
            <w:vAlign w:val="center"/>
          </w:tcPr>
          <w:p w14:paraId="703288CD" w14:textId="77777777" w:rsidR="0015321A" w:rsidRDefault="0015321A" w:rsidP="0015321A">
            <w:pPr>
              <w:rPr>
                <w:color w:val="000000"/>
                <w:sz w:val="18"/>
                <w:szCs w:val="18"/>
              </w:rPr>
            </w:pPr>
            <w:r>
              <w:rPr>
                <w:color w:val="000000"/>
                <w:sz w:val="18"/>
                <w:szCs w:val="18"/>
              </w:rPr>
              <w:t>AL-S11-1-0</w:t>
            </w:r>
          </w:p>
          <w:p w14:paraId="5DB70ADF" w14:textId="1F0631B4" w:rsidR="0015321A" w:rsidRPr="00FD2055" w:rsidRDefault="00837D62" w:rsidP="0015321A">
            <w:pPr>
              <w:rPr>
                <w:i/>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5228E427" w14:textId="77777777" w:rsidR="0015321A" w:rsidRPr="00D016EC" w:rsidRDefault="0015321A"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0" w:type="auto"/>
            <w:vAlign w:val="center"/>
          </w:tcPr>
          <w:p w14:paraId="05C58F87" w14:textId="77777777" w:rsidR="0015321A" w:rsidRPr="00FD2055" w:rsidRDefault="0015321A" w:rsidP="0015321A">
            <w:pPr>
              <w:rPr>
                <w:color w:val="000000"/>
                <w:sz w:val="18"/>
                <w:szCs w:val="18"/>
              </w:rPr>
            </w:pPr>
            <w:r>
              <w:rPr>
                <w:color w:val="000000"/>
                <w:sz w:val="18"/>
                <w:szCs w:val="18"/>
              </w:rPr>
              <w:t>NF EN 1276 (March 2010)</w:t>
            </w:r>
          </w:p>
        </w:tc>
        <w:tc>
          <w:tcPr>
            <w:tcW w:w="2996" w:type="dxa"/>
            <w:vAlign w:val="center"/>
          </w:tcPr>
          <w:p w14:paraId="071FDBFA" w14:textId="77777777" w:rsidR="0015321A" w:rsidRDefault="0015321A" w:rsidP="0015321A">
            <w:pPr>
              <w:rPr>
                <w:color w:val="000000"/>
                <w:sz w:val="18"/>
                <w:szCs w:val="18"/>
              </w:rPr>
            </w:pPr>
            <w:r>
              <w:rPr>
                <w:color w:val="000000"/>
                <w:sz w:val="18"/>
                <w:szCs w:val="18"/>
              </w:rPr>
              <w:t>Phase 2 step 1 (suspension test)</w:t>
            </w:r>
          </w:p>
          <w:p w14:paraId="6C46C68E"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0.1%, 0.5%, 1%, 1.5%. </w:t>
            </w:r>
          </w:p>
          <w:p w14:paraId="723C3363" w14:textId="3CE00D5A" w:rsidR="0015321A" w:rsidRDefault="0015321A" w:rsidP="0015321A">
            <w:pPr>
              <w:rPr>
                <w:color w:val="000000"/>
                <w:sz w:val="18"/>
                <w:szCs w:val="18"/>
              </w:rPr>
            </w:pPr>
            <w:r>
              <w:rPr>
                <w:color w:val="000000"/>
                <w:sz w:val="18"/>
                <w:szCs w:val="18"/>
              </w:rPr>
              <w:t xml:space="preserve">Contact time: 5 minutes </w:t>
            </w:r>
          </w:p>
          <w:p w14:paraId="0A8C5C46" w14:textId="77777777" w:rsidR="0015321A" w:rsidRDefault="0015321A" w:rsidP="0015321A">
            <w:pPr>
              <w:rPr>
                <w:color w:val="000000"/>
                <w:sz w:val="18"/>
                <w:szCs w:val="18"/>
              </w:rPr>
            </w:pPr>
            <w:r>
              <w:rPr>
                <w:color w:val="000000"/>
                <w:sz w:val="18"/>
                <w:szCs w:val="18"/>
              </w:rPr>
              <w:t>Temperature: 20°C</w:t>
            </w:r>
          </w:p>
          <w:p w14:paraId="45BC8DEB" w14:textId="77777777" w:rsidR="0015321A" w:rsidRDefault="0015321A" w:rsidP="0015321A">
            <w:pPr>
              <w:rPr>
                <w:color w:val="000000"/>
                <w:sz w:val="18"/>
                <w:szCs w:val="18"/>
              </w:rPr>
            </w:pPr>
            <w:r>
              <w:rPr>
                <w:color w:val="000000"/>
                <w:sz w:val="18"/>
                <w:szCs w:val="18"/>
              </w:rPr>
              <w:t xml:space="preserve">Dirty conditions: 3 g/L BSA </w:t>
            </w:r>
          </w:p>
          <w:p w14:paraId="6D9D5BD1" w14:textId="77777777" w:rsidR="0015321A" w:rsidRPr="00FD2055" w:rsidRDefault="0015321A" w:rsidP="0015321A">
            <w:pPr>
              <w:rPr>
                <w:color w:val="000000"/>
                <w:sz w:val="18"/>
                <w:szCs w:val="18"/>
              </w:rPr>
            </w:pPr>
            <w:r>
              <w:rPr>
                <w:color w:val="000000"/>
                <w:sz w:val="18"/>
                <w:szCs w:val="18"/>
              </w:rPr>
              <w:t>Criteria: ≥ 5log unit reduction</w:t>
            </w:r>
          </w:p>
        </w:tc>
        <w:tc>
          <w:tcPr>
            <w:tcW w:w="1701" w:type="dxa"/>
            <w:vAlign w:val="center"/>
          </w:tcPr>
          <w:p w14:paraId="48D84CE6" w14:textId="77777777" w:rsidR="0015321A" w:rsidRDefault="0015321A" w:rsidP="0015321A">
            <w:pPr>
              <w:rPr>
                <w:color w:val="000000"/>
                <w:sz w:val="18"/>
                <w:szCs w:val="18"/>
              </w:rPr>
            </w:pPr>
            <w:r>
              <w:rPr>
                <w:color w:val="000000"/>
                <w:sz w:val="18"/>
                <w:szCs w:val="18"/>
              </w:rPr>
              <w:t>Bactericidal activity demonstrated at 1.5 % v/v</w:t>
            </w:r>
            <w:r w:rsidDel="00FD25E8">
              <w:rPr>
                <w:color w:val="000000"/>
                <w:sz w:val="18"/>
                <w:szCs w:val="18"/>
              </w:rPr>
              <w:t xml:space="preserve"> </w:t>
            </w:r>
          </w:p>
          <w:p w14:paraId="2D0AE3A8" w14:textId="77777777" w:rsidR="0015321A" w:rsidRPr="00FD2055" w:rsidRDefault="0015321A" w:rsidP="0015321A">
            <w:pPr>
              <w:rPr>
                <w:color w:val="000000"/>
                <w:sz w:val="18"/>
                <w:szCs w:val="18"/>
              </w:rPr>
            </w:pPr>
          </w:p>
        </w:tc>
        <w:tc>
          <w:tcPr>
            <w:tcW w:w="1608" w:type="dxa"/>
            <w:vAlign w:val="center"/>
          </w:tcPr>
          <w:p w14:paraId="15CC5E2E" w14:textId="77777777" w:rsidR="0015321A" w:rsidRDefault="0015321A" w:rsidP="0015321A">
            <w:pPr>
              <w:rPr>
                <w:color w:val="000000"/>
                <w:sz w:val="18"/>
                <w:szCs w:val="18"/>
              </w:rPr>
            </w:pPr>
            <w:r>
              <w:rPr>
                <w:color w:val="000000"/>
                <w:sz w:val="18"/>
                <w:szCs w:val="18"/>
              </w:rPr>
              <w:t>Huguet N., 2018, Report No 18.CM.18-133</w:t>
            </w:r>
          </w:p>
          <w:p w14:paraId="5C45BC63" w14:textId="77777777" w:rsidR="0015321A" w:rsidRDefault="0015321A" w:rsidP="0015321A">
            <w:pPr>
              <w:rPr>
                <w:color w:val="000000"/>
                <w:sz w:val="18"/>
                <w:szCs w:val="18"/>
              </w:rPr>
            </w:pPr>
          </w:p>
          <w:p w14:paraId="7A590C36" w14:textId="77777777" w:rsidR="0015321A" w:rsidRPr="00FD2055" w:rsidRDefault="0015321A" w:rsidP="0015321A">
            <w:pPr>
              <w:rPr>
                <w:i/>
                <w:color w:val="000000"/>
                <w:sz w:val="18"/>
                <w:szCs w:val="18"/>
              </w:rPr>
            </w:pPr>
            <w:r>
              <w:rPr>
                <w:color w:val="000000"/>
                <w:sz w:val="18"/>
                <w:szCs w:val="18"/>
              </w:rPr>
              <w:t>RI=1</w:t>
            </w:r>
          </w:p>
        </w:tc>
      </w:tr>
      <w:tr w:rsidR="0015321A" w14:paraId="0A505B02" w14:textId="77777777" w:rsidTr="00526D5D">
        <w:trPr>
          <w:cantSplit/>
          <w:jc w:val="center"/>
        </w:trPr>
        <w:tc>
          <w:tcPr>
            <w:tcW w:w="1358" w:type="dxa"/>
            <w:vAlign w:val="center"/>
          </w:tcPr>
          <w:p w14:paraId="5287EDBF" w14:textId="77777777" w:rsidR="0015321A" w:rsidRDefault="0015321A" w:rsidP="0015321A">
            <w:pPr>
              <w:rPr>
                <w:color w:val="000000"/>
                <w:sz w:val="18"/>
                <w:szCs w:val="18"/>
              </w:rPr>
            </w:pPr>
            <w:r>
              <w:rPr>
                <w:color w:val="000000"/>
                <w:sz w:val="18"/>
                <w:szCs w:val="18"/>
              </w:rPr>
              <w:t>Disinfectant, bactericidal activity</w:t>
            </w:r>
          </w:p>
        </w:tc>
        <w:tc>
          <w:tcPr>
            <w:tcW w:w="1701" w:type="dxa"/>
            <w:vAlign w:val="center"/>
          </w:tcPr>
          <w:p w14:paraId="43B892E6" w14:textId="77777777" w:rsidR="0015321A" w:rsidRDefault="0015321A" w:rsidP="0015321A">
            <w:pPr>
              <w:rPr>
                <w:color w:val="000000"/>
                <w:sz w:val="18"/>
                <w:szCs w:val="18"/>
              </w:rPr>
            </w:pPr>
            <w:r>
              <w:rPr>
                <w:color w:val="000000"/>
                <w:sz w:val="18"/>
                <w:szCs w:val="18"/>
              </w:rPr>
              <w:t>Institutional, healthcare facilities, industrial and food preparation and handling areas</w:t>
            </w:r>
          </w:p>
        </w:tc>
        <w:tc>
          <w:tcPr>
            <w:tcW w:w="1276" w:type="dxa"/>
            <w:vAlign w:val="center"/>
          </w:tcPr>
          <w:p w14:paraId="1AE86B95" w14:textId="77777777" w:rsidR="0015321A" w:rsidRDefault="0015321A" w:rsidP="0015321A">
            <w:pPr>
              <w:rPr>
                <w:color w:val="000000"/>
                <w:sz w:val="18"/>
                <w:szCs w:val="18"/>
              </w:rPr>
            </w:pPr>
            <w:r>
              <w:rPr>
                <w:color w:val="000000"/>
                <w:sz w:val="18"/>
                <w:szCs w:val="18"/>
              </w:rPr>
              <w:t>AL-S11-1-0</w:t>
            </w:r>
          </w:p>
          <w:p w14:paraId="6173E76D" w14:textId="54B45B76" w:rsidR="0015321A" w:rsidRDefault="00837D62" w:rsidP="0015321A">
            <w:pPr>
              <w:rPr>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3682388F"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i/>
                <w:color w:val="000000"/>
                <w:sz w:val="18"/>
                <w:szCs w:val="18"/>
                <w:lang w:val="fr-FR"/>
              </w:rPr>
              <w:t>Pseudomonas aeruginosa</w:t>
            </w:r>
            <w:r w:rsidRPr="00D016EC">
              <w:rPr>
                <w:color w:val="000000"/>
                <w:sz w:val="18"/>
                <w:szCs w:val="18"/>
                <w:lang w:val="fr-FR"/>
              </w:rPr>
              <w:t xml:space="preserve"> </w:t>
            </w:r>
          </w:p>
        </w:tc>
        <w:tc>
          <w:tcPr>
            <w:tcW w:w="0" w:type="auto"/>
            <w:vAlign w:val="center"/>
          </w:tcPr>
          <w:p w14:paraId="3CC0985F" w14:textId="77777777" w:rsidR="0015321A" w:rsidRDefault="0015321A" w:rsidP="0015321A">
            <w:pPr>
              <w:rPr>
                <w:color w:val="000000"/>
                <w:sz w:val="18"/>
                <w:szCs w:val="18"/>
              </w:rPr>
            </w:pPr>
            <w:r>
              <w:rPr>
                <w:color w:val="000000"/>
                <w:sz w:val="18"/>
                <w:szCs w:val="18"/>
              </w:rPr>
              <w:t>NF EN 1276 (March 2010)</w:t>
            </w:r>
          </w:p>
        </w:tc>
        <w:tc>
          <w:tcPr>
            <w:tcW w:w="2996" w:type="dxa"/>
            <w:vAlign w:val="center"/>
          </w:tcPr>
          <w:p w14:paraId="43A246DC" w14:textId="77777777" w:rsidR="0015321A" w:rsidRDefault="0015321A" w:rsidP="0015321A">
            <w:pPr>
              <w:rPr>
                <w:color w:val="000000"/>
                <w:sz w:val="18"/>
                <w:szCs w:val="18"/>
              </w:rPr>
            </w:pPr>
            <w:r>
              <w:rPr>
                <w:color w:val="000000"/>
                <w:sz w:val="18"/>
                <w:szCs w:val="18"/>
              </w:rPr>
              <w:t>Phase 2 step 1 (suspension test)</w:t>
            </w:r>
          </w:p>
          <w:p w14:paraId="4385314D"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sz w:val="18"/>
                <w:szCs w:val="18"/>
              </w:rPr>
              <w:t xml:space="preserve">1%, 0.5%, 0.1%. </w:t>
            </w:r>
          </w:p>
          <w:p w14:paraId="67C12678" w14:textId="40EF8DCB" w:rsidR="0015321A" w:rsidRDefault="0015321A" w:rsidP="0015321A">
            <w:pPr>
              <w:rPr>
                <w:color w:val="000000"/>
                <w:sz w:val="18"/>
                <w:szCs w:val="18"/>
              </w:rPr>
            </w:pPr>
            <w:r>
              <w:rPr>
                <w:color w:val="000000"/>
                <w:sz w:val="18"/>
                <w:szCs w:val="18"/>
              </w:rPr>
              <w:t xml:space="preserve">Contact time: 15 minutes </w:t>
            </w:r>
          </w:p>
          <w:p w14:paraId="77EDBF14" w14:textId="77777777" w:rsidR="0015321A" w:rsidRDefault="0015321A" w:rsidP="0015321A">
            <w:pPr>
              <w:rPr>
                <w:color w:val="000000"/>
                <w:sz w:val="18"/>
                <w:szCs w:val="18"/>
              </w:rPr>
            </w:pPr>
            <w:r>
              <w:rPr>
                <w:color w:val="000000"/>
                <w:sz w:val="18"/>
                <w:szCs w:val="18"/>
              </w:rPr>
              <w:t>Temperature: 40°C</w:t>
            </w:r>
          </w:p>
          <w:p w14:paraId="76C85B46" w14:textId="77777777" w:rsidR="0015321A" w:rsidRDefault="0015321A" w:rsidP="0015321A">
            <w:pPr>
              <w:rPr>
                <w:color w:val="000000"/>
                <w:sz w:val="18"/>
                <w:szCs w:val="18"/>
              </w:rPr>
            </w:pPr>
            <w:r>
              <w:rPr>
                <w:color w:val="000000"/>
                <w:sz w:val="18"/>
                <w:szCs w:val="18"/>
              </w:rPr>
              <w:t xml:space="preserve">Dirty conditions: 3 g/L BSA </w:t>
            </w:r>
          </w:p>
          <w:p w14:paraId="7F6273C1" w14:textId="77777777" w:rsidR="0015321A" w:rsidRDefault="0015321A" w:rsidP="0015321A">
            <w:pPr>
              <w:rPr>
                <w:color w:val="000000"/>
                <w:sz w:val="18"/>
                <w:szCs w:val="18"/>
              </w:rPr>
            </w:pPr>
            <w:r>
              <w:rPr>
                <w:color w:val="000000"/>
                <w:sz w:val="18"/>
                <w:szCs w:val="18"/>
              </w:rPr>
              <w:t>Criteria: ≥ 5log unit reduction</w:t>
            </w:r>
          </w:p>
        </w:tc>
        <w:tc>
          <w:tcPr>
            <w:tcW w:w="1701" w:type="dxa"/>
            <w:vAlign w:val="center"/>
          </w:tcPr>
          <w:p w14:paraId="7EFF9F88" w14:textId="77777777" w:rsidR="0015321A" w:rsidRDefault="0015321A" w:rsidP="0015321A">
            <w:pPr>
              <w:rPr>
                <w:color w:val="000000"/>
                <w:sz w:val="18"/>
                <w:szCs w:val="18"/>
              </w:rPr>
            </w:pPr>
            <w:r>
              <w:rPr>
                <w:color w:val="000000"/>
                <w:sz w:val="18"/>
                <w:szCs w:val="18"/>
              </w:rPr>
              <w:t>Bactericidal activity demonstrated at 1 % v/v</w:t>
            </w:r>
            <w:r w:rsidDel="00FD25E8">
              <w:rPr>
                <w:color w:val="000000"/>
                <w:sz w:val="18"/>
                <w:szCs w:val="18"/>
              </w:rPr>
              <w:t xml:space="preserve"> </w:t>
            </w:r>
          </w:p>
          <w:p w14:paraId="2F981E51" w14:textId="77777777" w:rsidR="0015321A" w:rsidRDefault="0015321A" w:rsidP="0015321A">
            <w:pPr>
              <w:rPr>
                <w:color w:val="000000"/>
                <w:sz w:val="18"/>
                <w:szCs w:val="18"/>
              </w:rPr>
            </w:pPr>
          </w:p>
        </w:tc>
        <w:tc>
          <w:tcPr>
            <w:tcW w:w="1608" w:type="dxa"/>
            <w:vAlign w:val="center"/>
          </w:tcPr>
          <w:p w14:paraId="79CFD147" w14:textId="77777777" w:rsidR="0015321A" w:rsidRDefault="0015321A" w:rsidP="0015321A">
            <w:pPr>
              <w:rPr>
                <w:sz w:val="18"/>
                <w:szCs w:val="18"/>
              </w:rPr>
            </w:pPr>
            <w:r>
              <w:rPr>
                <w:sz w:val="18"/>
                <w:szCs w:val="18"/>
              </w:rPr>
              <w:t>Feuillolay C., 2019, Report No 19-1356</w:t>
            </w:r>
          </w:p>
          <w:p w14:paraId="349C986A" w14:textId="77777777" w:rsidR="0015321A" w:rsidRDefault="0015321A" w:rsidP="0015321A">
            <w:pPr>
              <w:rPr>
                <w:sz w:val="18"/>
                <w:szCs w:val="18"/>
              </w:rPr>
            </w:pPr>
          </w:p>
          <w:p w14:paraId="768FEBA7" w14:textId="77777777" w:rsidR="0015321A" w:rsidRDefault="0015321A" w:rsidP="0015321A">
            <w:pPr>
              <w:rPr>
                <w:color w:val="000000"/>
                <w:sz w:val="18"/>
                <w:szCs w:val="18"/>
              </w:rPr>
            </w:pPr>
            <w:r>
              <w:rPr>
                <w:sz w:val="18"/>
                <w:szCs w:val="18"/>
              </w:rPr>
              <w:t>RI=1</w:t>
            </w:r>
          </w:p>
        </w:tc>
      </w:tr>
      <w:tr w:rsidR="0015321A" w14:paraId="1DD36CF4" w14:textId="77777777" w:rsidTr="00526D5D">
        <w:trPr>
          <w:cantSplit/>
          <w:jc w:val="center"/>
        </w:trPr>
        <w:tc>
          <w:tcPr>
            <w:tcW w:w="1358" w:type="dxa"/>
            <w:vAlign w:val="center"/>
          </w:tcPr>
          <w:p w14:paraId="47C02096" w14:textId="77777777" w:rsidR="0015321A" w:rsidRPr="00FD2055" w:rsidRDefault="0015321A" w:rsidP="0015321A">
            <w:pPr>
              <w:rPr>
                <w:i/>
                <w:color w:val="000000"/>
                <w:sz w:val="18"/>
                <w:szCs w:val="18"/>
              </w:rPr>
            </w:pPr>
            <w:r>
              <w:rPr>
                <w:color w:val="000000"/>
                <w:sz w:val="18"/>
                <w:szCs w:val="18"/>
              </w:rPr>
              <w:t>Disinfectant, yeasticidal activity</w:t>
            </w:r>
          </w:p>
        </w:tc>
        <w:tc>
          <w:tcPr>
            <w:tcW w:w="1701" w:type="dxa"/>
            <w:vAlign w:val="center"/>
          </w:tcPr>
          <w:p w14:paraId="30AEF18F" w14:textId="77777777" w:rsidR="0015321A" w:rsidRPr="00FD2055" w:rsidRDefault="0015321A" w:rsidP="0015321A">
            <w:pPr>
              <w:rPr>
                <w:i/>
                <w:color w:val="000000"/>
                <w:sz w:val="18"/>
                <w:szCs w:val="18"/>
              </w:rPr>
            </w:pPr>
            <w:r>
              <w:rPr>
                <w:color w:val="000000"/>
                <w:sz w:val="18"/>
                <w:szCs w:val="18"/>
              </w:rPr>
              <w:t>Institutional, healthcare facilities, industrial and food preparation and handling areas</w:t>
            </w:r>
          </w:p>
        </w:tc>
        <w:tc>
          <w:tcPr>
            <w:tcW w:w="1276" w:type="dxa"/>
            <w:vAlign w:val="center"/>
          </w:tcPr>
          <w:p w14:paraId="4275D756" w14:textId="77777777" w:rsidR="0015321A" w:rsidRDefault="0015321A" w:rsidP="0015321A">
            <w:pPr>
              <w:rPr>
                <w:color w:val="000000"/>
                <w:sz w:val="18"/>
                <w:szCs w:val="18"/>
              </w:rPr>
            </w:pPr>
            <w:r>
              <w:rPr>
                <w:color w:val="000000"/>
                <w:sz w:val="18"/>
                <w:szCs w:val="18"/>
              </w:rPr>
              <w:t>AL-S11-1-0</w:t>
            </w:r>
          </w:p>
          <w:p w14:paraId="3DD2D6A8" w14:textId="6D06B2A9" w:rsidR="0015321A" w:rsidRPr="00FD2055" w:rsidRDefault="00817FE7" w:rsidP="0015321A">
            <w:pPr>
              <w:rPr>
                <w:i/>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5C81D1C2" w14:textId="77777777" w:rsidR="0015321A" w:rsidRPr="00FD2055" w:rsidRDefault="0015321A"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7B58DA70" w14:textId="77777777" w:rsidR="0015321A" w:rsidRPr="00FD2055" w:rsidRDefault="0015321A" w:rsidP="0015321A">
            <w:pPr>
              <w:rPr>
                <w:color w:val="000000"/>
                <w:sz w:val="18"/>
                <w:szCs w:val="18"/>
              </w:rPr>
            </w:pPr>
            <w:r>
              <w:rPr>
                <w:color w:val="000000"/>
                <w:sz w:val="18"/>
                <w:szCs w:val="18"/>
              </w:rPr>
              <w:t>NF EN 1650 (2008) + A1 (July 2013)</w:t>
            </w:r>
          </w:p>
        </w:tc>
        <w:tc>
          <w:tcPr>
            <w:tcW w:w="2996" w:type="dxa"/>
            <w:vAlign w:val="center"/>
          </w:tcPr>
          <w:p w14:paraId="1AC0E829" w14:textId="77777777" w:rsidR="0015321A" w:rsidRDefault="0015321A" w:rsidP="0015321A">
            <w:pPr>
              <w:rPr>
                <w:color w:val="000000"/>
                <w:sz w:val="18"/>
                <w:szCs w:val="18"/>
              </w:rPr>
            </w:pPr>
            <w:r>
              <w:rPr>
                <w:color w:val="000000"/>
                <w:sz w:val="18"/>
                <w:szCs w:val="18"/>
              </w:rPr>
              <w:t>Phase 2 step 1 (suspension test)</w:t>
            </w:r>
          </w:p>
          <w:p w14:paraId="75972EE7"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0.5%, 1%, 2%. </w:t>
            </w:r>
          </w:p>
          <w:p w14:paraId="43EF5518" w14:textId="1EE2D17F" w:rsidR="0015321A" w:rsidRDefault="0015321A" w:rsidP="0015321A">
            <w:pPr>
              <w:rPr>
                <w:color w:val="000000"/>
                <w:sz w:val="18"/>
                <w:szCs w:val="18"/>
              </w:rPr>
            </w:pPr>
            <w:r>
              <w:rPr>
                <w:color w:val="000000"/>
                <w:sz w:val="18"/>
                <w:szCs w:val="18"/>
              </w:rPr>
              <w:t xml:space="preserve">Contact time: 15 minutes </w:t>
            </w:r>
          </w:p>
          <w:p w14:paraId="4FA05940" w14:textId="77777777" w:rsidR="0015321A" w:rsidRDefault="0015321A" w:rsidP="0015321A">
            <w:pPr>
              <w:rPr>
                <w:color w:val="000000"/>
                <w:sz w:val="18"/>
                <w:szCs w:val="18"/>
              </w:rPr>
            </w:pPr>
            <w:r>
              <w:rPr>
                <w:color w:val="000000"/>
                <w:sz w:val="18"/>
                <w:szCs w:val="18"/>
              </w:rPr>
              <w:t>Temperature: 20°C</w:t>
            </w:r>
          </w:p>
          <w:p w14:paraId="558CDCCB" w14:textId="77777777" w:rsidR="0015321A" w:rsidRDefault="0015321A" w:rsidP="0015321A">
            <w:pPr>
              <w:rPr>
                <w:color w:val="000000"/>
                <w:sz w:val="18"/>
                <w:szCs w:val="18"/>
              </w:rPr>
            </w:pPr>
            <w:r>
              <w:rPr>
                <w:color w:val="000000"/>
                <w:sz w:val="18"/>
                <w:szCs w:val="18"/>
              </w:rPr>
              <w:t xml:space="preserve">Dirty conditions: 3 g/L BSA </w:t>
            </w:r>
          </w:p>
          <w:p w14:paraId="17FF2AD8" w14:textId="77777777" w:rsidR="0015321A" w:rsidRPr="00FD2055" w:rsidRDefault="0015321A" w:rsidP="0015321A">
            <w:pPr>
              <w:rPr>
                <w:color w:val="000000"/>
                <w:sz w:val="18"/>
                <w:szCs w:val="18"/>
              </w:rPr>
            </w:pPr>
            <w:r>
              <w:rPr>
                <w:color w:val="000000"/>
                <w:sz w:val="18"/>
                <w:szCs w:val="18"/>
              </w:rPr>
              <w:t>Criteria: ≥ 4log unit reduction</w:t>
            </w:r>
          </w:p>
        </w:tc>
        <w:tc>
          <w:tcPr>
            <w:tcW w:w="1701" w:type="dxa"/>
            <w:vAlign w:val="center"/>
          </w:tcPr>
          <w:p w14:paraId="331B64CE" w14:textId="77777777" w:rsidR="0015321A" w:rsidRDefault="0015321A" w:rsidP="0015321A">
            <w:pPr>
              <w:rPr>
                <w:color w:val="000000"/>
                <w:sz w:val="18"/>
                <w:szCs w:val="18"/>
              </w:rPr>
            </w:pPr>
            <w:r>
              <w:rPr>
                <w:color w:val="000000"/>
                <w:sz w:val="18"/>
                <w:szCs w:val="18"/>
              </w:rPr>
              <w:t>Yeasticidal activity demonstrated at 1% v/v</w:t>
            </w:r>
            <w:r w:rsidDel="00FD25E8">
              <w:rPr>
                <w:color w:val="000000"/>
                <w:sz w:val="18"/>
                <w:szCs w:val="18"/>
              </w:rPr>
              <w:t xml:space="preserve"> </w:t>
            </w:r>
          </w:p>
          <w:p w14:paraId="3CF6FF7D" w14:textId="77777777" w:rsidR="0015321A" w:rsidRPr="00FD2055" w:rsidRDefault="0015321A" w:rsidP="0015321A">
            <w:pPr>
              <w:rPr>
                <w:color w:val="000000"/>
                <w:sz w:val="18"/>
                <w:szCs w:val="18"/>
              </w:rPr>
            </w:pPr>
          </w:p>
        </w:tc>
        <w:tc>
          <w:tcPr>
            <w:tcW w:w="1608" w:type="dxa"/>
            <w:vAlign w:val="center"/>
          </w:tcPr>
          <w:p w14:paraId="6AB43147" w14:textId="77777777" w:rsidR="0015321A" w:rsidRPr="00FD2055" w:rsidRDefault="0015321A" w:rsidP="0015321A">
            <w:pPr>
              <w:rPr>
                <w:i/>
                <w:color w:val="000000"/>
                <w:sz w:val="18"/>
                <w:szCs w:val="18"/>
              </w:rPr>
            </w:pPr>
            <w:r>
              <w:rPr>
                <w:color w:val="000000"/>
                <w:sz w:val="18"/>
                <w:szCs w:val="18"/>
              </w:rPr>
              <w:t>Huguet N., 2018, Report No 18.CM.18-126</w:t>
            </w:r>
          </w:p>
        </w:tc>
      </w:tr>
      <w:tr w:rsidR="0015321A" w14:paraId="5E0ACEAC" w14:textId="77777777" w:rsidTr="00526D5D">
        <w:trPr>
          <w:cantSplit/>
          <w:jc w:val="center"/>
        </w:trPr>
        <w:tc>
          <w:tcPr>
            <w:tcW w:w="1358" w:type="dxa"/>
            <w:vAlign w:val="center"/>
          </w:tcPr>
          <w:p w14:paraId="53077F4B" w14:textId="77777777" w:rsidR="0015321A" w:rsidRDefault="0015321A" w:rsidP="0015321A">
            <w:pPr>
              <w:rPr>
                <w:color w:val="000000"/>
                <w:sz w:val="18"/>
                <w:szCs w:val="18"/>
              </w:rPr>
            </w:pPr>
            <w:r>
              <w:rPr>
                <w:sz w:val="18"/>
                <w:szCs w:val="18"/>
              </w:rPr>
              <w:t>Disinfectant, yeasticidal activity</w:t>
            </w:r>
          </w:p>
        </w:tc>
        <w:tc>
          <w:tcPr>
            <w:tcW w:w="1701" w:type="dxa"/>
            <w:vAlign w:val="center"/>
          </w:tcPr>
          <w:p w14:paraId="61AB31FE" w14:textId="77777777" w:rsidR="0015321A" w:rsidRDefault="0015321A" w:rsidP="0015321A">
            <w:pPr>
              <w:rPr>
                <w:color w:val="000000"/>
                <w:sz w:val="18"/>
                <w:szCs w:val="18"/>
              </w:rPr>
            </w:pPr>
            <w:r>
              <w:rPr>
                <w:color w:val="000000"/>
                <w:sz w:val="18"/>
                <w:szCs w:val="18"/>
              </w:rPr>
              <w:t>Institutional, healthcare facilities, industrial and food preparation and handling areas</w:t>
            </w:r>
          </w:p>
        </w:tc>
        <w:tc>
          <w:tcPr>
            <w:tcW w:w="1276" w:type="dxa"/>
            <w:vAlign w:val="center"/>
          </w:tcPr>
          <w:p w14:paraId="7FA9BDA1" w14:textId="77777777" w:rsidR="0015321A" w:rsidRDefault="0015321A" w:rsidP="0015321A">
            <w:pPr>
              <w:rPr>
                <w:color w:val="000000"/>
                <w:sz w:val="18"/>
                <w:szCs w:val="18"/>
              </w:rPr>
            </w:pPr>
            <w:r>
              <w:rPr>
                <w:color w:val="000000"/>
                <w:sz w:val="18"/>
                <w:szCs w:val="18"/>
              </w:rPr>
              <w:t>AL-S11-1-0</w:t>
            </w:r>
          </w:p>
          <w:p w14:paraId="2DDCB9F5" w14:textId="14136FD4" w:rsidR="0015321A" w:rsidRDefault="00817FE7" w:rsidP="0015321A">
            <w:pPr>
              <w:rPr>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07D6B836" w14:textId="77777777" w:rsidR="0015321A" w:rsidRPr="005D3939" w:rsidRDefault="0015321A" w:rsidP="0015321A">
            <w:pPr>
              <w:rPr>
                <w:i/>
                <w:color w:val="000000"/>
                <w:sz w:val="18"/>
                <w:szCs w:val="18"/>
              </w:rPr>
            </w:pPr>
            <w:r w:rsidRPr="005D3939">
              <w:rPr>
                <w:i/>
                <w:sz w:val="18"/>
                <w:szCs w:val="18"/>
              </w:rPr>
              <w:t>Candida albicans</w:t>
            </w:r>
            <w:r>
              <w:rPr>
                <w:sz w:val="18"/>
                <w:szCs w:val="18"/>
              </w:rPr>
              <w:t xml:space="preserve"> </w:t>
            </w:r>
          </w:p>
        </w:tc>
        <w:tc>
          <w:tcPr>
            <w:tcW w:w="0" w:type="auto"/>
            <w:vAlign w:val="center"/>
          </w:tcPr>
          <w:p w14:paraId="536598AD" w14:textId="77777777" w:rsidR="0015321A" w:rsidRDefault="0015321A" w:rsidP="0015321A">
            <w:pPr>
              <w:rPr>
                <w:color w:val="000000"/>
                <w:sz w:val="18"/>
                <w:szCs w:val="18"/>
              </w:rPr>
            </w:pPr>
            <w:r>
              <w:rPr>
                <w:sz w:val="18"/>
                <w:szCs w:val="18"/>
              </w:rPr>
              <w:t>NF EN 1650 + A1 (July 2013)</w:t>
            </w:r>
          </w:p>
        </w:tc>
        <w:tc>
          <w:tcPr>
            <w:tcW w:w="2996" w:type="dxa"/>
            <w:vAlign w:val="center"/>
          </w:tcPr>
          <w:p w14:paraId="7B9F135D" w14:textId="77777777" w:rsidR="0015321A" w:rsidRDefault="0015321A" w:rsidP="0015321A">
            <w:pPr>
              <w:rPr>
                <w:color w:val="000000"/>
                <w:sz w:val="18"/>
                <w:szCs w:val="18"/>
              </w:rPr>
            </w:pPr>
            <w:r>
              <w:rPr>
                <w:color w:val="000000"/>
                <w:sz w:val="18"/>
                <w:szCs w:val="18"/>
              </w:rPr>
              <w:t>Phase 2 step 1 (suspension test)</w:t>
            </w:r>
          </w:p>
          <w:p w14:paraId="20B6D3EB"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sz w:val="18"/>
                <w:szCs w:val="18"/>
              </w:rPr>
              <w:t xml:space="preserve">1%, 0.5%, 0.1%. </w:t>
            </w:r>
          </w:p>
          <w:p w14:paraId="20EC9F09" w14:textId="61FC6519" w:rsidR="0015321A" w:rsidRDefault="0015321A" w:rsidP="0015321A">
            <w:pPr>
              <w:rPr>
                <w:color w:val="000000"/>
                <w:sz w:val="18"/>
                <w:szCs w:val="18"/>
              </w:rPr>
            </w:pPr>
            <w:r>
              <w:rPr>
                <w:color w:val="000000"/>
                <w:sz w:val="18"/>
                <w:szCs w:val="18"/>
              </w:rPr>
              <w:t xml:space="preserve">Contact time: 15 minutes </w:t>
            </w:r>
          </w:p>
          <w:p w14:paraId="309DECBE" w14:textId="77777777" w:rsidR="0015321A" w:rsidRDefault="0015321A" w:rsidP="0015321A">
            <w:pPr>
              <w:rPr>
                <w:color w:val="000000"/>
                <w:sz w:val="18"/>
                <w:szCs w:val="18"/>
              </w:rPr>
            </w:pPr>
            <w:r>
              <w:rPr>
                <w:color w:val="000000"/>
                <w:sz w:val="18"/>
                <w:szCs w:val="18"/>
              </w:rPr>
              <w:t>Temperature: 40°C</w:t>
            </w:r>
          </w:p>
          <w:p w14:paraId="35901203" w14:textId="77777777" w:rsidR="0015321A" w:rsidRDefault="0015321A" w:rsidP="0015321A">
            <w:pPr>
              <w:rPr>
                <w:color w:val="000000"/>
                <w:sz w:val="18"/>
                <w:szCs w:val="18"/>
              </w:rPr>
            </w:pPr>
            <w:r>
              <w:rPr>
                <w:color w:val="000000"/>
                <w:sz w:val="18"/>
                <w:szCs w:val="18"/>
              </w:rPr>
              <w:t xml:space="preserve">Dirty conditions: 3 g/L BSA </w:t>
            </w:r>
          </w:p>
          <w:p w14:paraId="730FC086" w14:textId="77777777" w:rsidR="0015321A" w:rsidRDefault="0015321A" w:rsidP="0015321A">
            <w:pPr>
              <w:rPr>
                <w:color w:val="000000"/>
                <w:sz w:val="18"/>
                <w:szCs w:val="18"/>
              </w:rPr>
            </w:pPr>
            <w:r>
              <w:rPr>
                <w:color w:val="000000"/>
                <w:sz w:val="18"/>
                <w:szCs w:val="18"/>
              </w:rPr>
              <w:t>Criteria: ≥ 4log unit reduction</w:t>
            </w:r>
          </w:p>
        </w:tc>
        <w:tc>
          <w:tcPr>
            <w:tcW w:w="1701" w:type="dxa"/>
            <w:vAlign w:val="center"/>
          </w:tcPr>
          <w:p w14:paraId="3E59C0CD" w14:textId="77777777" w:rsidR="0015321A" w:rsidRDefault="0015321A" w:rsidP="0015321A">
            <w:pPr>
              <w:rPr>
                <w:color w:val="000000"/>
                <w:sz w:val="18"/>
                <w:szCs w:val="18"/>
              </w:rPr>
            </w:pPr>
            <w:r>
              <w:rPr>
                <w:color w:val="000000"/>
                <w:sz w:val="18"/>
                <w:szCs w:val="18"/>
              </w:rPr>
              <w:t>Yeasticidal activity demonstrated at 1% v/v</w:t>
            </w:r>
            <w:r w:rsidDel="00FD25E8">
              <w:rPr>
                <w:color w:val="000000"/>
                <w:sz w:val="18"/>
                <w:szCs w:val="18"/>
              </w:rPr>
              <w:t xml:space="preserve"> </w:t>
            </w:r>
          </w:p>
          <w:p w14:paraId="14465683" w14:textId="730F53CF" w:rsidR="0015321A" w:rsidRDefault="0015321A" w:rsidP="0015321A">
            <w:pPr>
              <w:rPr>
                <w:color w:val="000000"/>
                <w:sz w:val="18"/>
                <w:szCs w:val="18"/>
              </w:rPr>
            </w:pPr>
          </w:p>
        </w:tc>
        <w:tc>
          <w:tcPr>
            <w:tcW w:w="1608" w:type="dxa"/>
            <w:vAlign w:val="center"/>
          </w:tcPr>
          <w:p w14:paraId="6971917D" w14:textId="77777777" w:rsidR="0015321A" w:rsidRDefault="0015321A" w:rsidP="0015321A">
            <w:pPr>
              <w:rPr>
                <w:sz w:val="18"/>
                <w:szCs w:val="18"/>
              </w:rPr>
            </w:pPr>
            <w:r>
              <w:rPr>
                <w:sz w:val="18"/>
                <w:szCs w:val="18"/>
              </w:rPr>
              <w:t>Feuillolay C., 2019, Report No 19-1359</w:t>
            </w:r>
          </w:p>
          <w:p w14:paraId="44E76790" w14:textId="77777777" w:rsidR="0015321A" w:rsidRDefault="0015321A" w:rsidP="0015321A">
            <w:pPr>
              <w:rPr>
                <w:sz w:val="18"/>
                <w:szCs w:val="18"/>
              </w:rPr>
            </w:pPr>
          </w:p>
          <w:p w14:paraId="7C7CE284" w14:textId="77777777" w:rsidR="0015321A" w:rsidRDefault="0015321A" w:rsidP="0015321A">
            <w:pPr>
              <w:rPr>
                <w:color w:val="000000"/>
                <w:sz w:val="18"/>
                <w:szCs w:val="18"/>
              </w:rPr>
            </w:pPr>
            <w:r>
              <w:rPr>
                <w:sz w:val="18"/>
                <w:szCs w:val="18"/>
              </w:rPr>
              <w:t>RI=1</w:t>
            </w:r>
          </w:p>
        </w:tc>
      </w:tr>
      <w:tr w:rsidR="0015321A" w14:paraId="6460B4EC" w14:textId="77777777" w:rsidTr="00526D5D">
        <w:trPr>
          <w:cantSplit/>
          <w:jc w:val="center"/>
        </w:trPr>
        <w:tc>
          <w:tcPr>
            <w:tcW w:w="1358" w:type="dxa"/>
            <w:vAlign w:val="center"/>
          </w:tcPr>
          <w:p w14:paraId="5FA78BE7" w14:textId="77777777" w:rsidR="0015321A" w:rsidRPr="00FD2055" w:rsidRDefault="0015321A" w:rsidP="0015321A">
            <w:pPr>
              <w:rPr>
                <w:i/>
                <w:color w:val="000000"/>
                <w:sz w:val="18"/>
                <w:szCs w:val="18"/>
              </w:rPr>
            </w:pPr>
            <w:r>
              <w:rPr>
                <w:color w:val="000000"/>
                <w:sz w:val="18"/>
                <w:szCs w:val="18"/>
              </w:rPr>
              <w:lastRenderedPageBreak/>
              <w:t>Disinfectant, bactericidal activity</w:t>
            </w:r>
          </w:p>
        </w:tc>
        <w:tc>
          <w:tcPr>
            <w:tcW w:w="1701" w:type="dxa"/>
            <w:vAlign w:val="center"/>
          </w:tcPr>
          <w:p w14:paraId="39AEFA94" w14:textId="77777777" w:rsidR="0015321A" w:rsidRPr="00FD2055" w:rsidRDefault="0015321A" w:rsidP="0015321A">
            <w:pPr>
              <w:rPr>
                <w:i/>
                <w:color w:val="000000"/>
                <w:sz w:val="18"/>
                <w:szCs w:val="18"/>
              </w:rPr>
            </w:pPr>
            <w:r>
              <w:rPr>
                <w:color w:val="000000"/>
                <w:sz w:val="18"/>
                <w:szCs w:val="18"/>
              </w:rPr>
              <w:t>Institutional, healthcare facilities, industrial and food preparation and handling areas</w:t>
            </w:r>
          </w:p>
        </w:tc>
        <w:tc>
          <w:tcPr>
            <w:tcW w:w="1276" w:type="dxa"/>
            <w:vAlign w:val="center"/>
          </w:tcPr>
          <w:p w14:paraId="08CFDB8E" w14:textId="77777777" w:rsidR="0015321A" w:rsidRDefault="0015321A" w:rsidP="0015321A">
            <w:pPr>
              <w:rPr>
                <w:color w:val="000000"/>
                <w:sz w:val="18"/>
                <w:szCs w:val="18"/>
              </w:rPr>
            </w:pPr>
            <w:r>
              <w:rPr>
                <w:color w:val="000000"/>
                <w:sz w:val="18"/>
                <w:szCs w:val="18"/>
              </w:rPr>
              <w:t>AL-S11-1-0</w:t>
            </w:r>
          </w:p>
          <w:p w14:paraId="29269D9F" w14:textId="5D4BDA6F" w:rsidR="0015321A" w:rsidRPr="00FD2055" w:rsidRDefault="00817FE7" w:rsidP="0015321A">
            <w:pPr>
              <w:rPr>
                <w:i/>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497997BB" w14:textId="77777777" w:rsidR="0015321A" w:rsidRPr="00D016EC" w:rsidRDefault="0015321A" w:rsidP="0015321A">
            <w:pPr>
              <w:rPr>
                <w:i/>
                <w:color w:val="000000"/>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0" w:type="auto"/>
            <w:vAlign w:val="center"/>
          </w:tcPr>
          <w:p w14:paraId="58BEB8E6" w14:textId="77777777" w:rsidR="0015321A" w:rsidRPr="00FD2055" w:rsidRDefault="0015321A" w:rsidP="0015321A">
            <w:pPr>
              <w:rPr>
                <w:color w:val="000000"/>
                <w:sz w:val="18"/>
                <w:szCs w:val="18"/>
              </w:rPr>
            </w:pPr>
            <w:r>
              <w:rPr>
                <w:color w:val="000000"/>
                <w:sz w:val="18"/>
                <w:szCs w:val="18"/>
              </w:rPr>
              <w:t>NF EN 13697 (June 2015)</w:t>
            </w:r>
          </w:p>
        </w:tc>
        <w:tc>
          <w:tcPr>
            <w:tcW w:w="2996" w:type="dxa"/>
            <w:vAlign w:val="center"/>
          </w:tcPr>
          <w:p w14:paraId="27C832D6" w14:textId="08D090F3" w:rsidR="0015321A" w:rsidRDefault="0015321A" w:rsidP="0015321A">
            <w:pPr>
              <w:rPr>
                <w:color w:val="000000"/>
                <w:sz w:val="18"/>
                <w:szCs w:val="18"/>
              </w:rPr>
            </w:pPr>
            <w:r>
              <w:rPr>
                <w:color w:val="000000"/>
                <w:sz w:val="18"/>
                <w:szCs w:val="18"/>
              </w:rPr>
              <w:t>Phase 2 step 2 (su</w:t>
            </w:r>
            <w:r w:rsidR="00EE6FD1">
              <w:rPr>
                <w:color w:val="000000"/>
                <w:sz w:val="18"/>
                <w:szCs w:val="18"/>
              </w:rPr>
              <w:t>rface</w:t>
            </w:r>
            <w:r>
              <w:rPr>
                <w:color w:val="000000"/>
                <w:sz w:val="18"/>
                <w:szCs w:val="18"/>
              </w:rPr>
              <w:t xml:space="preserve"> test)</w:t>
            </w:r>
          </w:p>
          <w:p w14:paraId="46530911"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0.1%, 0.5%, 1%, 1.5%, 2%. </w:t>
            </w:r>
          </w:p>
          <w:p w14:paraId="7A8FBC65" w14:textId="0DAE5DE9" w:rsidR="0015321A" w:rsidRDefault="0015321A" w:rsidP="0015321A">
            <w:pPr>
              <w:rPr>
                <w:color w:val="000000"/>
                <w:sz w:val="18"/>
                <w:szCs w:val="18"/>
              </w:rPr>
            </w:pPr>
            <w:r>
              <w:rPr>
                <w:color w:val="000000"/>
                <w:sz w:val="18"/>
                <w:szCs w:val="18"/>
              </w:rPr>
              <w:t xml:space="preserve">Contact time: 5 minutes </w:t>
            </w:r>
          </w:p>
          <w:p w14:paraId="773B6C1E" w14:textId="77777777" w:rsidR="0015321A" w:rsidRDefault="0015321A" w:rsidP="0015321A">
            <w:pPr>
              <w:rPr>
                <w:color w:val="000000"/>
                <w:sz w:val="18"/>
                <w:szCs w:val="18"/>
              </w:rPr>
            </w:pPr>
            <w:r>
              <w:rPr>
                <w:color w:val="000000"/>
                <w:sz w:val="18"/>
                <w:szCs w:val="18"/>
              </w:rPr>
              <w:t>Temperature: 20°C</w:t>
            </w:r>
          </w:p>
          <w:p w14:paraId="3DAFBDCC" w14:textId="77777777" w:rsidR="0015321A" w:rsidRDefault="0015321A" w:rsidP="0015321A">
            <w:pPr>
              <w:rPr>
                <w:color w:val="000000"/>
                <w:sz w:val="18"/>
                <w:szCs w:val="18"/>
              </w:rPr>
            </w:pPr>
            <w:r>
              <w:rPr>
                <w:color w:val="000000"/>
                <w:sz w:val="18"/>
                <w:szCs w:val="18"/>
              </w:rPr>
              <w:t xml:space="preserve">Dirty conditions: 3 g/L BSA </w:t>
            </w:r>
          </w:p>
          <w:p w14:paraId="1A11218A" w14:textId="77777777" w:rsidR="0015321A" w:rsidRPr="00FD2055" w:rsidRDefault="0015321A" w:rsidP="0015321A">
            <w:pPr>
              <w:rPr>
                <w:color w:val="000000"/>
                <w:sz w:val="18"/>
                <w:szCs w:val="18"/>
              </w:rPr>
            </w:pPr>
            <w:r>
              <w:rPr>
                <w:color w:val="000000"/>
                <w:sz w:val="18"/>
                <w:szCs w:val="18"/>
              </w:rPr>
              <w:t>Criteria: ≥ 4log unit reduction</w:t>
            </w:r>
          </w:p>
        </w:tc>
        <w:tc>
          <w:tcPr>
            <w:tcW w:w="1701" w:type="dxa"/>
            <w:vAlign w:val="center"/>
          </w:tcPr>
          <w:p w14:paraId="1E406A3A" w14:textId="77777777" w:rsidR="0015321A" w:rsidRDefault="0015321A" w:rsidP="0015321A">
            <w:pPr>
              <w:rPr>
                <w:color w:val="000000"/>
                <w:sz w:val="18"/>
                <w:szCs w:val="18"/>
              </w:rPr>
            </w:pPr>
            <w:r>
              <w:rPr>
                <w:color w:val="000000"/>
                <w:sz w:val="18"/>
                <w:szCs w:val="18"/>
              </w:rPr>
              <w:t>Bactericidal activity demonstrated at 1.5 % v/v</w:t>
            </w:r>
            <w:r w:rsidDel="00FD25E8">
              <w:rPr>
                <w:color w:val="000000"/>
                <w:sz w:val="18"/>
                <w:szCs w:val="18"/>
              </w:rPr>
              <w:t xml:space="preserve"> </w:t>
            </w:r>
          </w:p>
          <w:p w14:paraId="2837E44D" w14:textId="77777777" w:rsidR="0015321A" w:rsidRPr="00FD2055" w:rsidRDefault="0015321A" w:rsidP="0015321A">
            <w:pPr>
              <w:rPr>
                <w:color w:val="000000"/>
                <w:sz w:val="18"/>
                <w:szCs w:val="18"/>
              </w:rPr>
            </w:pPr>
          </w:p>
        </w:tc>
        <w:tc>
          <w:tcPr>
            <w:tcW w:w="1608" w:type="dxa"/>
            <w:vAlign w:val="center"/>
          </w:tcPr>
          <w:p w14:paraId="033E1E6A" w14:textId="77777777" w:rsidR="0015321A" w:rsidRDefault="0015321A" w:rsidP="0015321A">
            <w:pPr>
              <w:rPr>
                <w:color w:val="000000"/>
                <w:sz w:val="18"/>
                <w:szCs w:val="18"/>
              </w:rPr>
            </w:pPr>
            <w:r>
              <w:rPr>
                <w:color w:val="000000"/>
                <w:sz w:val="18"/>
                <w:szCs w:val="18"/>
              </w:rPr>
              <w:t>Huguet N., 2019, Report No 18.CM.18-115</w:t>
            </w:r>
          </w:p>
          <w:p w14:paraId="01218414" w14:textId="77777777" w:rsidR="0015321A" w:rsidRDefault="0015321A" w:rsidP="0015321A">
            <w:pPr>
              <w:rPr>
                <w:color w:val="000000"/>
                <w:sz w:val="18"/>
                <w:szCs w:val="18"/>
              </w:rPr>
            </w:pPr>
          </w:p>
          <w:p w14:paraId="7DD4B640" w14:textId="77777777" w:rsidR="0015321A" w:rsidRPr="00FD2055" w:rsidRDefault="0015321A" w:rsidP="0015321A">
            <w:pPr>
              <w:rPr>
                <w:i/>
                <w:color w:val="000000"/>
                <w:sz w:val="18"/>
                <w:szCs w:val="18"/>
              </w:rPr>
            </w:pPr>
            <w:r>
              <w:rPr>
                <w:color w:val="000000"/>
                <w:sz w:val="18"/>
                <w:szCs w:val="18"/>
              </w:rPr>
              <w:t>RI=1</w:t>
            </w:r>
          </w:p>
        </w:tc>
      </w:tr>
      <w:tr w:rsidR="0015321A" w14:paraId="7B9E221C" w14:textId="77777777" w:rsidTr="00526D5D">
        <w:trPr>
          <w:cantSplit/>
          <w:jc w:val="center"/>
        </w:trPr>
        <w:tc>
          <w:tcPr>
            <w:tcW w:w="1358" w:type="dxa"/>
            <w:vAlign w:val="center"/>
          </w:tcPr>
          <w:p w14:paraId="6D099C52" w14:textId="77777777" w:rsidR="0015321A" w:rsidRPr="00FD2055" w:rsidRDefault="0015321A" w:rsidP="0015321A">
            <w:pPr>
              <w:rPr>
                <w:i/>
                <w:color w:val="000000"/>
                <w:sz w:val="18"/>
                <w:szCs w:val="18"/>
              </w:rPr>
            </w:pPr>
            <w:r>
              <w:rPr>
                <w:color w:val="000000"/>
                <w:sz w:val="18"/>
                <w:szCs w:val="18"/>
              </w:rPr>
              <w:t>Disinfectant, bactericidal activity</w:t>
            </w:r>
          </w:p>
        </w:tc>
        <w:tc>
          <w:tcPr>
            <w:tcW w:w="1701" w:type="dxa"/>
            <w:vAlign w:val="center"/>
          </w:tcPr>
          <w:p w14:paraId="24BEE6C8" w14:textId="77777777" w:rsidR="0015321A" w:rsidRPr="00FD2055" w:rsidRDefault="0015321A" w:rsidP="0015321A">
            <w:pPr>
              <w:rPr>
                <w:i/>
                <w:color w:val="000000"/>
                <w:sz w:val="18"/>
                <w:szCs w:val="18"/>
              </w:rPr>
            </w:pPr>
            <w:r>
              <w:rPr>
                <w:color w:val="000000"/>
                <w:sz w:val="18"/>
                <w:szCs w:val="18"/>
              </w:rPr>
              <w:t>Institutional, healthcare facilities, industrial and food preparation and handling areas</w:t>
            </w:r>
          </w:p>
        </w:tc>
        <w:tc>
          <w:tcPr>
            <w:tcW w:w="1276" w:type="dxa"/>
            <w:vAlign w:val="center"/>
          </w:tcPr>
          <w:p w14:paraId="4AA85D33" w14:textId="77777777" w:rsidR="0015321A" w:rsidRDefault="0015321A" w:rsidP="0015321A">
            <w:pPr>
              <w:rPr>
                <w:color w:val="000000"/>
                <w:sz w:val="18"/>
                <w:szCs w:val="18"/>
              </w:rPr>
            </w:pPr>
            <w:r>
              <w:rPr>
                <w:color w:val="000000"/>
                <w:sz w:val="18"/>
                <w:szCs w:val="18"/>
              </w:rPr>
              <w:t>AL-S11-1-0</w:t>
            </w:r>
          </w:p>
          <w:p w14:paraId="380C3F80" w14:textId="6CB954AA" w:rsidR="0015321A" w:rsidRPr="00FD2055" w:rsidRDefault="00817FE7" w:rsidP="0015321A">
            <w:pPr>
              <w:rPr>
                <w:i/>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48ECE066" w14:textId="77777777" w:rsidR="0015321A" w:rsidRPr="00FD2055" w:rsidRDefault="0015321A" w:rsidP="0015321A">
            <w:pPr>
              <w:rPr>
                <w:i/>
                <w:color w:val="000000"/>
                <w:sz w:val="18"/>
                <w:szCs w:val="18"/>
              </w:rPr>
            </w:pPr>
            <w:r w:rsidRPr="005D3939">
              <w:rPr>
                <w:i/>
                <w:color w:val="000000"/>
                <w:sz w:val="18"/>
                <w:szCs w:val="18"/>
              </w:rPr>
              <w:t xml:space="preserve">Salmonella </w:t>
            </w:r>
            <w:r w:rsidRPr="00C914AE">
              <w:rPr>
                <w:color w:val="000000"/>
                <w:sz w:val="18"/>
                <w:szCs w:val="18"/>
              </w:rPr>
              <w:t>Typhimurium</w:t>
            </w:r>
            <w:r w:rsidRPr="006669E3">
              <w:rPr>
                <w:color w:val="000000"/>
                <w:sz w:val="18"/>
                <w:szCs w:val="18"/>
              </w:rPr>
              <w:t xml:space="preserve"> </w:t>
            </w:r>
            <w:r>
              <w:rPr>
                <w:color w:val="000000"/>
                <w:sz w:val="18"/>
                <w:szCs w:val="18"/>
              </w:rPr>
              <w:br/>
            </w:r>
            <w:r w:rsidRPr="005D3939">
              <w:rPr>
                <w:i/>
                <w:color w:val="000000"/>
                <w:sz w:val="18"/>
                <w:szCs w:val="18"/>
              </w:rPr>
              <w:t>Listeria monocytogenes</w:t>
            </w:r>
            <w:r>
              <w:rPr>
                <w:color w:val="000000"/>
                <w:sz w:val="18"/>
                <w:szCs w:val="18"/>
              </w:rPr>
              <w:t xml:space="preserve"> </w:t>
            </w:r>
          </w:p>
        </w:tc>
        <w:tc>
          <w:tcPr>
            <w:tcW w:w="0" w:type="auto"/>
            <w:vAlign w:val="center"/>
          </w:tcPr>
          <w:p w14:paraId="42698D29" w14:textId="77777777" w:rsidR="0015321A" w:rsidRPr="00FD2055" w:rsidRDefault="0015321A" w:rsidP="0015321A">
            <w:pPr>
              <w:rPr>
                <w:color w:val="000000"/>
                <w:sz w:val="18"/>
                <w:szCs w:val="18"/>
              </w:rPr>
            </w:pPr>
            <w:r>
              <w:rPr>
                <w:color w:val="000000"/>
                <w:sz w:val="18"/>
                <w:szCs w:val="18"/>
              </w:rPr>
              <w:t>NF EN 13697 (June 2015)</w:t>
            </w:r>
          </w:p>
        </w:tc>
        <w:tc>
          <w:tcPr>
            <w:tcW w:w="2996" w:type="dxa"/>
            <w:vAlign w:val="center"/>
          </w:tcPr>
          <w:p w14:paraId="66592B25" w14:textId="6B6BCE51" w:rsidR="0015321A" w:rsidRDefault="0015321A" w:rsidP="0015321A">
            <w:pPr>
              <w:rPr>
                <w:color w:val="000000"/>
                <w:sz w:val="18"/>
                <w:szCs w:val="18"/>
              </w:rPr>
            </w:pPr>
            <w:r>
              <w:rPr>
                <w:color w:val="000000"/>
                <w:sz w:val="18"/>
                <w:szCs w:val="18"/>
              </w:rPr>
              <w:t>Phase 2 step 2 (su</w:t>
            </w:r>
            <w:r w:rsidR="00EE6FD1">
              <w:rPr>
                <w:color w:val="000000"/>
                <w:sz w:val="18"/>
                <w:szCs w:val="18"/>
              </w:rPr>
              <w:t>rface</w:t>
            </w:r>
            <w:r w:rsidR="00075547">
              <w:rPr>
                <w:color w:val="000000"/>
                <w:sz w:val="18"/>
                <w:szCs w:val="18"/>
              </w:rPr>
              <w:t xml:space="preserve"> </w:t>
            </w:r>
            <w:r>
              <w:rPr>
                <w:color w:val="000000"/>
                <w:sz w:val="18"/>
                <w:szCs w:val="18"/>
              </w:rPr>
              <w:t>test)</w:t>
            </w:r>
          </w:p>
          <w:p w14:paraId="05D90EB3"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0.5%, 1.0% and 1.5% (V/V). </w:t>
            </w:r>
          </w:p>
          <w:p w14:paraId="73159DD9" w14:textId="3F07E48B" w:rsidR="0015321A" w:rsidRDefault="0015321A" w:rsidP="0015321A">
            <w:pPr>
              <w:rPr>
                <w:color w:val="000000"/>
                <w:sz w:val="18"/>
                <w:szCs w:val="18"/>
              </w:rPr>
            </w:pPr>
            <w:r>
              <w:rPr>
                <w:color w:val="000000"/>
                <w:sz w:val="18"/>
                <w:szCs w:val="18"/>
              </w:rPr>
              <w:t xml:space="preserve">Contact time: 5 minutes </w:t>
            </w:r>
          </w:p>
          <w:p w14:paraId="1F559036" w14:textId="77777777" w:rsidR="0015321A" w:rsidRDefault="0015321A" w:rsidP="0015321A">
            <w:pPr>
              <w:rPr>
                <w:color w:val="000000"/>
                <w:sz w:val="18"/>
                <w:szCs w:val="18"/>
              </w:rPr>
            </w:pPr>
            <w:r>
              <w:rPr>
                <w:color w:val="000000"/>
                <w:sz w:val="18"/>
                <w:szCs w:val="18"/>
              </w:rPr>
              <w:t>Temperature: 20°C</w:t>
            </w:r>
          </w:p>
          <w:p w14:paraId="308A1D31" w14:textId="77777777" w:rsidR="0015321A" w:rsidRDefault="0015321A" w:rsidP="0015321A">
            <w:pPr>
              <w:rPr>
                <w:color w:val="000000"/>
                <w:sz w:val="18"/>
                <w:szCs w:val="18"/>
              </w:rPr>
            </w:pPr>
            <w:r>
              <w:rPr>
                <w:color w:val="000000"/>
                <w:sz w:val="18"/>
                <w:szCs w:val="18"/>
              </w:rPr>
              <w:t xml:space="preserve">Dirty conditions: 3 g/L BSA </w:t>
            </w:r>
          </w:p>
          <w:p w14:paraId="3D8EB5C5" w14:textId="77777777" w:rsidR="0015321A" w:rsidRPr="00FD2055" w:rsidRDefault="0015321A" w:rsidP="0015321A">
            <w:pPr>
              <w:rPr>
                <w:color w:val="000000"/>
                <w:sz w:val="18"/>
                <w:szCs w:val="18"/>
              </w:rPr>
            </w:pPr>
            <w:r>
              <w:rPr>
                <w:color w:val="000000"/>
                <w:sz w:val="18"/>
                <w:szCs w:val="18"/>
              </w:rPr>
              <w:t>Criteria: ≥ 4log unit reduction</w:t>
            </w:r>
          </w:p>
        </w:tc>
        <w:tc>
          <w:tcPr>
            <w:tcW w:w="1701" w:type="dxa"/>
            <w:vAlign w:val="center"/>
          </w:tcPr>
          <w:p w14:paraId="26E01FA8" w14:textId="6ACF65A1" w:rsidR="0015321A" w:rsidRDefault="00526D5D" w:rsidP="0015321A">
            <w:pPr>
              <w:rPr>
                <w:color w:val="000000"/>
                <w:sz w:val="18"/>
                <w:szCs w:val="18"/>
              </w:rPr>
            </w:pPr>
            <w:r>
              <w:rPr>
                <w:color w:val="000000"/>
                <w:sz w:val="18"/>
                <w:szCs w:val="18"/>
              </w:rPr>
              <w:t>A</w:t>
            </w:r>
            <w:r w:rsidR="0015321A">
              <w:rPr>
                <w:color w:val="000000"/>
                <w:sz w:val="18"/>
                <w:szCs w:val="18"/>
              </w:rPr>
              <w:t>ctivity demonstrated at 1% v/v</w:t>
            </w:r>
            <w:r w:rsidR="0015321A" w:rsidDel="00FD25E8">
              <w:rPr>
                <w:color w:val="000000"/>
                <w:sz w:val="18"/>
                <w:szCs w:val="18"/>
              </w:rPr>
              <w:t xml:space="preserve"> </w:t>
            </w:r>
          </w:p>
          <w:p w14:paraId="7F2B48BE" w14:textId="77777777" w:rsidR="0015321A" w:rsidRPr="00FD2055" w:rsidRDefault="0015321A" w:rsidP="0015321A">
            <w:pPr>
              <w:rPr>
                <w:color w:val="000000"/>
                <w:sz w:val="18"/>
                <w:szCs w:val="18"/>
              </w:rPr>
            </w:pPr>
          </w:p>
        </w:tc>
        <w:tc>
          <w:tcPr>
            <w:tcW w:w="1608" w:type="dxa"/>
            <w:vAlign w:val="center"/>
          </w:tcPr>
          <w:p w14:paraId="3A92A3A0" w14:textId="77777777" w:rsidR="0015321A" w:rsidRDefault="0015321A" w:rsidP="0015321A">
            <w:pPr>
              <w:rPr>
                <w:color w:val="000000"/>
                <w:sz w:val="18"/>
                <w:szCs w:val="18"/>
              </w:rPr>
            </w:pPr>
            <w:r>
              <w:rPr>
                <w:color w:val="000000"/>
                <w:sz w:val="18"/>
                <w:szCs w:val="18"/>
              </w:rPr>
              <w:t>Teulier M., 2018, Report No 5269-1</w:t>
            </w:r>
          </w:p>
          <w:p w14:paraId="269BFBAE" w14:textId="77777777" w:rsidR="0015321A" w:rsidRDefault="0015321A" w:rsidP="0015321A">
            <w:pPr>
              <w:rPr>
                <w:color w:val="000000"/>
                <w:sz w:val="18"/>
                <w:szCs w:val="18"/>
              </w:rPr>
            </w:pPr>
          </w:p>
          <w:p w14:paraId="491311C9" w14:textId="77777777" w:rsidR="0015321A" w:rsidRPr="00FD2055" w:rsidRDefault="0015321A" w:rsidP="0015321A">
            <w:pPr>
              <w:rPr>
                <w:i/>
                <w:color w:val="000000"/>
                <w:sz w:val="18"/>
                <w:szCs w:val="18"/>
              </w:rPr>
            </w:pPr>
            <w:r>
              <w:rPr>
                <w:color w:val="000000"/>
                <w:sz w:val="18"/>
                <w:szCs w:val="18"/>
              </w:rPr>
              <w:t>RI=1</w:t>
            </w:r>
          </w:p>
        </w:tc>
      </w:tr>
      <w:tr w:rsidR="0015321A" w14:paraId="2D0920B4" w14:textId="77777777" w:rsidTr="00526D5D">
        <w:trPr>
          <w:cantSplit/>
          <w:jc w:val="center"/>
        </w:trPr>
        <w:tc>
          <w:tcPr>
            <w:tcW w:w="1358" w:type="dxa"/>
            <w:vAlign w:val="center"/>
          </w:tcPr>
          <w:p w14:paraId="7C8F810E" w14:textId="77777777" w:rsidR="0015321A" w:rsidRPr="00FD2055" w:rsidRDefault="0015321A" w:rsidP="0015321A">
            <w:pPr>
              <w:rPr>
                <w:i/>
                <w:color w:val="000000"/>
                <w:sz w:val="18"/>
                <w:szCs w:val="18"/>
              </w:rPr>
            </w:pPr>
            <w:r>
              <w:rPr>
                <w:color w:val="000000"/>
                <w:sz w:val="18"/>
                <w:szCs w:val="18"/>
              </w:rPr>
              <w:t>Disinfectant, bactericidal activity</w:t>
            </w:r>
          </w:p>
        </w:tc>
        <w:tc>
          <w:tcPr>
            <w:tcW w:w="1701" w:type="dxa"/>
            <w:vAlign w:val="center"/>
          </w:tcPr>
          <w:p w14:paraId="28570414" w14:textId="77777777" w:rsidR="0015321A" w:rsidRPr="00FD2055" w:rsidRDefault="0015321A" w:rsidP="0015321A">
            <w:pPr>
              <w:rPr>
                <w:i/>
                <w:color w:val="000000"/>
                <w:sz w:val="18"/>
                <w:szCs w:val="18"/>
              </w:rPr>
            </w:pPr>
            <w:r>
              <w:rPr>
                <w:color w:val="000000"/>
                <w:sz w:val="18"/>
                <w:szCs w:val="18"/>
              </w:rPr>
              <w:t>Institutional, healthcare facilities, industrial and food preparation and handling areas</w:t>
            </w:r>
          </w:p>
        </w:tc>
        <w:tc>
          <w:tcPr>
            <w:tcW w:w="1276" w:type="dxa"/>
            <w:vAlign w:val="center"/>
          </w:tcPr>
          <w:p w14:paraId="2D442ED6" w14:textId="77777777" w:rsidR="0015321A" w:rsidRDefault="0015321A" w:rsidP="0015321A">
            <w:pPr>
              <w:rPr>
                <w:color w:val="000000"/>
                <w:sz w:val="18"/>
                <w:szCs w:val="18"/>
              </w:rPr>
            </w:pPr>
            <w:r>
              <w:rPr>
                <w:color w:val="000000"/>
                <w:sz w:val="18"/>
                <w:szCs w:val="18"/>
              </w:rPr>
              <w:t>AL-S11-1-0</w:t>
            </w:r>
          </w:p>
          <w:p w14:paraId="2BC58ABB" w14:textId="60A43619" w:rsidR="0015321A" w:rsidRPr="00FD2055" w:rsidRDefault="00817FE7" w:rsidP="0015321A">
            <w:pPr>
              <w:rPr>
                <w:i/>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5467EA3F"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0" w:type="auto"/>
            <w:vAlign w:val="center"/>
          </w:tcPr>
          <w:p w14:paraId="31924336" w14:textId="77777777" w:rsidR="0015321A" w:rsidRPr="00FD2055" w:rsidRDefault="0015321A" w:rsidP="0015321A">
            <w:pPr>
              <w:rPr>
                <w:color w:val="000000"/>
                <w:sz w:val="18"/>
                <w:szCs w:val="18"/>
              </w:rPr>
            </w:pPr>
            <w:r>
              <w:rPr>
                <w:color w:val="000000"/>
                <w:sz w:val="18"/>
                <w:szCs w:val="18"/>
              </w:rPr>
              <w:t>NF EN 13697 (June 2015)</w:t>
            </w:r>
          </w:p>
        </w:tc>
        <w:tc>
          <w:tcPr>
            <w:tcW w:w="2996" w:type="dxa"/>
            <w:vAlign w:val="center"/>
          </w:tcPr>
          <w:p w14:paraId="53293DAA" w14:textId="1A6D0A0D" w:rsidR="0015321A" w:rsidRDefault="0015321A" w:rsidP="0015321A">
            <w:pPr>
              <w:rPr>
                <w:color w:val="000000"/>
                <w:sz w:val="18"/>
                <w:szCs w:val="18"/>
              </w:rPr>
            </w:pPr>
            <w:r>
              <w:rPr>
                <w:color w:val="000000"/>
                <w:sz w:val="18"/>
                <w:szCs w:val="18"/>
              </w:rPr>
              <w:t>Phase 2 step 2 (su</w:t>
            </w:r>
            <w:r w:rsidR="00075547">
              <w:rPr>
                <w:color w:val="000000"/>
                <w:sz w:val="18"/>
                <w:szCs w:val="18"/>
              </w:rPr>
              <w:t xml:space="preserve">rface </w:t>
            </w:r>
            <w:r>
              <w:rPr>
                <w:color w:val="000000"/>
                <w:sz w:val="18"/>
                <w:szCs w:val="18"/>
              </w:rPr>
              <w:t>test)</w:t>
            </w:r>
          </w:p>
          <w:p w14:paraId="702F94CC"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sz w:val="18"/>
                <w:szCs w:val="18"/>
              </w:rPr>
              <w:t xml:space="preserve">1%, 0.5%, 0.1%. </w:t>
            </w:r>
          </w:p>
          <w:p w14:paraId="6C6C417B" w14:textId="6F7436A8" w:rsidR="0015321A" w:rsidRDefault="0015321A" w:rsidP="0015321A">
            <w:pPr>
              <w:rPr>
                <w:color w:val="000000"/>
                <w:sz w:val="18"/>
                <w:szCs w:val="18"/>
              </w:rPr>
            </w:pPr>
            <w:r>
              <w:rPr>
                <w:color w:val="000000"/>
                <w:sz w:val="18"/>
                <w:szCs w:val="18"/>
              </w:rPr>
              <w:t xml:space="preserve">Contact time: 15 minutes </w:t>
            </w:r>
          </w:p>
          <w:p w14:paraId="1018F0C4" w14:textId="77777777" w:rsidR="0015321A" w:rsidRDefault="0015321A" w:rsidP="0015321A">
            <w:pPr>
              <w:rPr>
                <w:color w:val="000000"/>
                <w:sz w:val="18"/>
                <w:szCs w:val="18"/>
              </w:rPr>
            </w:pPr>
            <w:r>
              <w:rPr>
                <w:color w:val="000000"/>
                <w:sz w:val="18"/>
                <w:szCs w:val="18"/>
              </w:rPr>
              <w:t>Temperature: 40°C</w:t>
            </w:r>
          </w:p>
          <w:p w14:paraId="27D94408" w14:textId="77777777" w:rsidR="0015321A" w:rsidRDefault="0015321A" w:rsidP="0015321A">
            <w:pPr>
              <w:rPr>
                <w:color w:val="000000"/>
                <w:sz w:val="18"/>
                <w:szCs w:val="18"/>
              </w:rPr>
            </w:pPr>
            <w:r>
              <w:rPr>
                <w:color w:val="000000"/>
                <w:sz w:val="18"/>
                <w:szCs w:val="18"/>
              </w:rPr>
              <w:t xml:space="preserve">Dirty conditions: 3 g/L BSA </w:t>
            </w:r>
          </w:p>
          <w:p w14:paraId="55139C8E" w14:textId="77777777" w:rsidR="0015321A" w:rsidRPr="00FD2055" w:rsidRDefault="0015321A" w:rsidP="0015321A">
            <w:pPr>
              <w:rPr>
                <w:color w:val="000000"/>
                <w:sz w:val="18"/>
                <w:szCs w:val="18"/>
              </w:rPr>
            </w:pPr>
            <w:r>
              <w:rPr>
                <w:color w:val="000000"/>
                <w:sz w:val="18"/>
                <w:szCs w:val="18"/>
              </w:rPr>
              <w:t>Criteria: ≥ 4log unit reduction</w:t>
            </w:r>
          </w:p>
        </w:tc>
        <w:tc>
          <w:tcPr>
            <w:tcW w:w="1701" w:type="dxa"/>
            <w:vAlign w:val="center"/>
          </w:tcPr>
          <w:p w14:paraId="6C69CF85" w14:textId="77777777" w:rsidR="0015321A" w:rsidRDefault="0015321A" w:rsidP="0015321A">
            <w:pPr>
              <w:rPr>
                <w:color w:val="000000"/>
                <w:sz w:val="18"/>
                <w:szCs w:val="18"/>
              </w:rPr>
            </w:pPr>
            <w:r>
              <w:rPr>
                <w:color w:val="000000"/>
                <w:sz w:val="18"/>
                <w:szCs w:val="18"/>
              </w:rPr>
              <w:t>Bactericidal activity demonstrated at 0.5% v/v</w:t>
            </w:r>
            <w:r w:rsidDel="00FD25E8">
              <w:rPr>
                <w:color w:val="000000"/>
                <w:sz w:val="18"/>
                <w:szCs w:val="18"/>
              </w:rPr>
              <w:t xml:space="preserve"> </w:t>
            </w:r>
          </w:p>
          <w:p w14:paraId="324B1CA6" w14:textId="77777777" w:rsidR="0015321A" w:rsidRPr="00FD2055" w:rsidRDefault="0015321A" w:rsidP="0015321A">
            <w:pPr>
              <w:rPr>
                <w:color w:val="000000"/>
                <w:sz w:val="18"/>
                <w:szCs w:val="18"/>
              </w:rPr>
            </w:pPr>
          </w:p>
        </w:tc>
        <w:tc>
          <w:tcPr>
            <w:tcW w:w="1608" w:type="dxa"/>
            <w:vAlign w:val="center"/>
          </w:tcPr>
          <w:p w14:paraId="0696E58C" w14:textId="77777777" w:rsidR="0015321A" w:rsidRDefault="0015321A" w:rsidP="0015321A">
            <w:pPr>
              <w:rPr>
                <w:sz w:val="18"/>
                <w:szCs w:val="18"/>
              </w:rPr>
            </w:pPr>
            <w:r>
              <w:rPr>
                <w:sz w:val="18"/>
                <w:szCs w:val="18"/>
              </w:rPr>
              <w:t>Feuillolay C., 2019, Report No 19-1370</w:t>
            </w:r>
          </w:p>
          <w:p w14:paraId="65F0EC25" w14:textId="77777777" w:rsidR="0015321A" w:rsidRDefault="0015321A" w:rsidP="0015321A">
            <w:pPr>
              <w:rPr>
                <w:sz w:val="18"/>
                <w:szCs w:val="18"/>
              </w:rPr>
            </w:pPr>
          </w:p>
          <w:p w14:paraId="66A041CC" w14:textId="77777777" w:rsidR="0015321A" w:rsidRPr="00FD2055" w:rsidRDefault="0015321A" w:rsidP="0015321A">
            <w:pPr>
              <w:rPr>
                <w:i/>
                <w:color w:val="000000"/>
                <w:sz w:val="18"/>
                <w:szCs w:val="18"/>
              </w:rPr>
            </w:pPr>
            <w:r>
              <w:rPr>
                <w:sz w:val="18"/>
                <w:szCs w:val="18"/>
              </w:rPr>
              <w:t>RI=1</w:t>
            </w:r>
          </w:p>
        </w:tc>
      </w:tr>
      <w:tr w:rsidR="0015321A" w14:paraId="161D0D2E" w14:textId="77777777" w:rsidTr="00526D5D">
        <w:trPr>
          <w:cantSplit/>
          <w:jc w:val="center"/>
        </w:trPr>
        <w:tc>
          <w:tcPr>
            <w:tcW w:w="1358" w:type="dxa"/>
            <w:vAlign w:val="center"/>
          </w:tcPr>
          <w:p w14:paraId="52385AF4" w14:textId="77777777" w:rsidR="0015321A" w:rsidRDefault="0015321A" w:rsidP="0015321A">
            <w:pPr>
              <w:rPr>
                <w:color w:val="000000"/>
                <w:sz w:val="18"/>
                <w:szCs w:val="18"/>
              </w:rPr>
            </w:pPr>
            <w:r>
              <w:rPr>
                <w:color w:val="000000"/>
                <w:sz w:val="18"/>
                <w:szCs w:val="18"/>
              </w:rPr>
              <w:t>Disinfectant, yeasticidal activity</w:t>
            </w:r>
          </w:p>
        </w:tc>
        <w:tc>
          <w:tcPr>
            <w:tcW w:w="1701" w:type="dxa"/>
            <w:vAlign w:val="center"/>
          </w:tcPr>
          <w:p w14:paraId="57061A02" w14:textId="77777777" w:rsidR="0015321A" w:rsidRDefault="0015321A" w:rsidP="0015321A">
            <w:pPr>
              <w:rPr>
                <w:color w:val="000000"/>
                <w:sz w:val="18"/>
                <w:szCs w:val="18"/>
              </w:rPr>
            </w:pPr>
            <w:r>
              <w:rPr>
                <w:color w:val="000000"/>
                <w:sz w:val="18"/>
                <w:szCs w:val="18"/>
              </w:rPr>
              <w:t>Institutional, healthcare facilities, industrial and food preparation and handling areas</w:t>
            </w:r>
          </w:p>
        </w:tc>
        <w:tc>
          <w:tcPr>
            <w:tcW w:w="1276" w:type="dxa"/>
            <w:vAlign w:val="center"/>
          </w:tcPr>
          <w:p w14:paraId="202090A0" w14:textId="77777777" w:rsidR="0015321A" w:rsidRDefault="0015321A" w:rsidP="0015321A">
            <w:pPr>
              <w:rPr>
                <w:color w:val="000000"/>
                <w:sz w:val="18"/>
                <w:szCs w:val="18"/>
              </w:rPr>
            </w:pPr>
            <w:r>
              <w:rPr>
                <w:color w:val="000000"/>
                <w:sz w:val="18"/>
                <w:szCs w:val="18"/>
              </w:rPr>
              <w:t>AL-S11-1-0</w:t>
            </w:r>
          </w:p>
          <w:p w14:paraId="1C59120F" w14:textId="4DDCD21D" w:rsidR="0015321A" w:rsidRDefault="00817FE7" w:rsidP="0015321A">
            <w:pPr>
              <w:rPr>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20168B50" w14:textId="77777777" w:rsidR="0015321A" w:rsidRPr="00AF1A0E" w:rsidRDefault="0015321A" w:rsidP="0015321A">
            <w:pPr>
              <w:rPr>
                <w:i/>
                <w:color w:val="000000"/>
                <w:sz w:val="18"/>
                <w:szCs w:val="18"/>
                <w:lang w:val="fr-FR"/>
              </w:rPr>
            </w:pPr>
            <w:r w:rsidRPr="005D3939">
              <w:rPr>
                <w:i/>
                <w:color w:val="000000"/>
                <w:sz w:val="18"/>
                <w:szCs w:val="18"/>
              </w:rPr>
              <w:t>Candida albicans</w:t>
            </w:r>
            <w:r>
              <w:rPr>
                <w:color w:val="000000"/>
                <w:sz w:val="18"/>
                <w:szCs w:val="18"/>
              </w:rPr>
              <w:t xml:space="preserve"> </w:t>
            </w:r>
          </w:p>
        </w:tc>
        <w:tc>
          <w:tcPr>
            <w:tcW w:w="0" w:type="auto"/>
            <w:vAlign w:val="center"/>
          </w:tcPr>
          <w:p w14:paraId="1BEB48F1" w14:textId="77777777" w:rsidR="0015321A" w:rsidRDefault="0015321A" w:rsidP="0015321A">
            <w:pPr>
              <w:rPr>
                <w:color w:val="000000"/>
                <w:sz w:val="18"/>
                <w:szCs w:val="18"/>
              </w:rPr>
            </w:pPr>
            <w:r>
              <w:rPr>
                <w:color w:val="000000"/>
                <w:sz w:val="18"/>
                <w:szCs w:val="18"/>
              </w:rPr>
              <w:t>NF EN 13697 (June 2015)</w:t>
            </w:r>
          </w:p>
        </w:tc>
        <w:tc>
          <w:tcPr>
            <w:tcW w:w="2996" w:type="dxa"/>
            <w:vAlign w:val="center"/>
          </w:tcPr>
          <w:p w14:paraId="2C5A06F7" w14:textId="22BE5A0A" w:rsidR="0015321A" w:rsidRDefault="0015321A" w:rsidP="0015321A">
            <w:pPr>
              <w:rPr>
                <w:color w:val="000000"/>
                <w:sz w:val="18"/>
                <w:szCs w:val="18"/>
              </w:rPr>
            </w:pPr>
            <w:r>
              <w:rPr>
                <w:color w:val="000000"/>
                <w:sz w:val="18"/>
                <w:szCs w:val="18"/>
              </w:rPr>
              <w:t>Phase 2 step 2 (su</w:t>
            </w:r>
            <w:r w:rsidR="00075547">
              <w:rPr>
                <w:color w:val="000000"/>
                <w:sz w:val="18"/>
                <w:szCs w:val="18"/>
              </w:rPr>
              <w:t xml:space="preserve">rface </w:t>
            </w:r>
            <w:r>
              <w:rPr>
                <w:color w:val="000000"/>
                <w:sz w:val="18"/>
                <w:szCs w:val="18"/>
              </w:rPr>
              <w:t>test)</w:t>
            </w:r>
          </w:p>
          <w:p w14:paraId="14C9FB2A"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color w:val="000000"/>
                <w:sz w:val="18"/>
                <w:szCs w:val="18"/>
              </w:rPr>
              <w:t xml:space="preserve">1%, 1.5%, 2%. </w:t>
            </w:r>
          </w:p>
          <w:p w14:paraId="23B52E09" w14:textId="702854A3" w:rsidR="0015321A" w:rsidRDefault="0015321A" w:rsidP="0015321A">
            <w:pPr>
              <w:rPr>
                <w:color w:val="000000"/>
                <w:sz w:val="18"/>
                <w:szCs w:val="18"/>
              </w:rPr>
            </w:pPr>
            <w:r>
              <w:rPr>
                <w:color w:val="000000"/>
                <w:sz w:val="18"/>
                <w:szCs w:val="18"/>
              </w:rPr>
              <w:t xml:space="preserve">Contact time: 15 minutes </w:t>
            </w:r>
          </w:p>
          <w:p w14:paraId="78B3D673" w14:textId="77777777" w:rsidR="0015321A" w:rsidRDefault="0015321A" w:rsidP="0015321A">
            <w:pPr>
              <w:rPr>
                <w:color w:val="000000"/>
                <w:sz w:val="18"/>
                <w:szCs w:val="18"/>
              </w:rPr>
            </w:pPr>
            <w:r>
              <w:rPr>
                <w:color w:val="000000"/>
                <w:sz w:val="18"/>
                <w:szCs w:val="18"/>
              </w:rPr>
              <w:t>Temperature: 20°C</w:t>
            </w:r>
          </w:p>
          <w:p w14:paraId="2636E90C" w14:textId="77777777" w:rsidR="0015321A" w:rsidRDefault="0015321A" w:rsidP="0015321A">
            <w:pPr>
              <w:rPr>
                <w:color w:val="000000"/>
                <w:sz w:val="18"/>
                <w:szCs w:val="18"/>
              </w:rPr>
            </w:pPr>
            <w:r>
              <w:rPr>
                <w:color w:val="000000"/>
                <w:sz w:val="18"/>
                <w:szCs w:val="18"/>
              </w:rPr>
              <w:t xml:space="preserve">Dirty conditions: 3 g/L BSA </w:t>
            </w:r>
          </w:p>
          <w:p w14:paraId="23974129" w14:textId="77777777" w:rsidR="0015321A" w:rsidRDefault="0015321A" w:rsidP="0015321A">
            <w:pPr>
              <w:rPr>
                <w:color w:val="000000"/>
                <w:sz w:val="18"/>
                <w:szCs w:val="18"/>
              </w:rPr>
            </w:pPr>
            <w:r>
              <w:rPr>
                <w:color w:val="000000"/>
                <w:sz w:val="18"/>
                <w:szCs w:val="18"/>
              </w:rPr>
              <w:t>Criteria: ≥ 3log unit reduction</w:t>
            </w:r>
          </w:p>
        </w:tc>
        <w:tc>
          <w:tcPr>
            <w:tcW w:w="1701" w:type="dxa"/>
            <w:vAlign w:val="center"/>
          </w:tcPr>
          <w:p w14:paraId="7CAB8687" w14:textId="77777777" w:rsidR="0015321A" w:rsidRDefault="0015321A" w:rsidP="0015321A">
            <w:pPr>
              <w:rPr>
                <w:color w:val="000000"/>
                <w:sz w:val="18"/>
                <w:szCs w:val="18"/>
              </w:rPr>
            </w:pPr>
            <w:r>
              <w:rPr>
                <w:color w:val="000000"/>
                <w:sz w:val="18"/>
                <w:szCs w:val="18"/>
              </w:rPr>
              <w:t>Yeasticidal activity demonstrated at 1.5 % v/v</w:t>
            </w:r>
            <w:r w:rsidDel="00FD25E8">
              <w:rPr>
                <w:color w:val="000000"/>
                <w:sz w:val="18"/>
                <w:szCs w:val="18"/>
              </w:rPr>
              <w:t xml:space="preserve"> </w:t>
            </w:r>
          </w:p>
          <w:p w14:paraId="5B54D191" w14:textId="77777777" w:rsidR="0015321A" w:rsidRDefault="0015321A" w:rsidP="0015321A">
            <w:pPr>
              <w:rPr>
                <w:color w:val="000000"/>
                <w:sz w:val="18"/>
                <w:szCs w:val="18"/>
              </w:rPr>
            </w:pPr>
          </w:p>
        </w:tc>
        <w:tc>
          <w:tcPr>
            <w:tcW w:w="1608" w:type="dxa"/>
            <w:vAlign w:val="center"/>
          </w:tcPr>
          <w:p w14:paraId="5FF89080" w14:textId="77777777" w:rsidR="0015321A" w:rsidRDefault="0015321A" w:rsidP="0015321A">
            <w:pPr>
              <w:rPr>
                <w:color w:val="000000"/>
                <w:sz w:val="18"/>
                <w:szCs w:val="18"/>
              </w:rPr>
            </w:pPr>
            <w:r>
              <w:rPr>
                <w:color w:val="000000"/>
                <w:sz w:val="18"/>
                <w:szCs w:val="18"/>
              </w:rPr>
              <w:t>Huguet N., 2019, Report No 19.CM.19-012</w:t>
            </w:r>
          </w:p>
          <w:p w14:paraId="5DCC5CC2" w14:textId="77777777" w:rsidR="0015321A" w:rsidRDefault="0015321A" w:rsidP="0015321A">
            <w:pPr>
              <w:rPr>
                <w:color w:val="000000"/>
                <w:sz w:val="18"/>
                <w:szCs w:val="18"/>
              </w:rPr>
            </w:pPr>
          </w:p>
          <w:p w14:paraId="040F6BA7" w14:textId="77777777" w:rsidR="0015321A" w:rsidRDefault="0015321A" w:rsidP="0015321A">
            <w:pPr>
              <w:rPr>
                <w:color w:val="000000"/>
                <w:sz w:val="18"/>
                <w:szCs w:val="18"/>
              </w:rPr>
            </w:pPr>
          </w:p>
          <w:p w14:paraId="5EA18BBB" w14:textId="77777777" w:rsidR="0015321A" w:rsidRDefault="0015321A" w:rsidP="0015321A">
            <w:pPr>
              <w:rPr>
                <w:i/>
                <w:color w:val="000000"/>
                <w:sz w:val="18"/>
                <w:szCs w:val="18"/>
              </w:rPr>
            </w:pPr>
            <w:r>
              <w:rPr>
                <w:color w:val="000000"/>
                <w:sz w:val="18"/>
                <w:szCs w:val="18"/>
              </w:rPr>
              <w:t>RI=1</w:t>
            </w:r>
          </w:p>
          <w:p w14:paraId="767A6942" w14:textId="77777777" w:rsidR="0015321A" w:rsidRDefault="0015321A" w:rsidP="0015321A">
            <w:pPr>
              <w:rPr>
                <w:sz w:val="18"/>
                <w:szCs w:val="18"/>
              </w:rPr>
            </w:pPr>
          </w:p>
          <w:p w14:paraId="5125117F" w14:textId="77777777" w:rsidR="0015321A" w:rsidRDefault="0015321A" w:rsidP="0015321A">
            <w:pPr>
              <w:rPr>
                <w:sz w:val="18"/>
                <w:szCs w:val="18"/>
              </w:rPr>
            </w:pPr>
          </w:p>
        </w:tc>
      </w:tr>
      <w:tr w:rsidR="0015321A" w14:paraId="0D4C28A2" w14:textId="77777777" w:rsidTr="00526D5D">
        <w:trPr>
          <w:cantSplit/>
          <w:jc w:val="center"/>
        </w:trPr>
        <w:tc>
          <w:tcPr>
            <w:tcW w:w="1358" w:type="dxa"/>
            <w:vAlign w:val="center"/>
          </w:tcPr>
          <w:p w14:paraId="738F6198" w14:textId="77777777" w:rsidR="0015321A" w:rsidRDefault="0015321A" w:rsidP="0015321A">
            <w:pPr>
              <w:rPr>
                <w:color w:val="000000"/>
                <w:sz w:val="18"/>
                <w:szCs w:val="18"/>
              </w:rPr>
            </w:pPr>
            <w:r>
              <w:rPr>
                <w:sz w:val="18"/>
                <w:szCs w:val="18"/>
              </w:rPr>
              <w:lastRenderedPageBreak/>
              <w:t>Disinfectant, yeasticidal activity</w:t>
            </w:r>
          </w:p>
        </w:tc>
        <w:tc>
          <w:tcPr>
            <w:tcW w:w="1701" w:type="dxa"/>
            <w:vAlign w:val="center"/>
          </w:tcPr>
          <w:p w14:paraId="5E9FF3C9" w14:textId="77777777" w:rsidR="0015321A" w:rsidRDefault="0015321A" w:rsidP="0015321A">
            <w:pPr>
              <w:rPr>
                <w:color w:val="000000"/>
                <w:sz w:val="18"/>
                <w:szCs w:val="18"/>
              </w:rPr>
            </w:pPr>
            <w:r>
              <w:rPr>
                <w:color w:val="000000"/>
                <w:sz w:val="18"/>
                <w:szCs w:val="18"/>
              </w:rPr>
              <w:t>Institutional, healthcare facilities, industrial and food preparation and handling areas</w:t>
            </w:r>
          </w:p>
        </w:tc>
        <w:tc>
          <w:tcPr>
            <w:tcW w:w="1276" w:type="dxa"/>
            <w:vAlign w:val="center"/>
          </w:tcPr>
          <w:p w14:paraId="395851B1" w14:textId="77777777" w:rsidR="0015321A" w:rsidRDefault="0015321A" w:rsidP="0015321A">
            <w:pPr>
              <w:rPr>
                <w:color w:val="000000"/>
                <w:sz w:val="18"/>
                <w:szCs w:val="18"/>
              </w:rPr>
            </w:pPr>
            <w:r>
              <w:rPr>
                <w:color w:val="000000"/>
                <w:sz w:val="18"/>
                <w:szCs w:val="18"/>
              </w:rPr>
              <w:t>AL-S11-1-0</w:t>
            </w:r>
          </w:p>
          <w:p w14:paraId="0C42CDD1" w14:textId="6D81A24C" w:rsidR="0015321A" w:rsidRDefault="00817FE7" w:rsidP="0015321A">
            <w:pPr>
              <w:rPr>
                <w:color w:val="000000"/>
                <w:sz w:val="18"/>
                <w:szCs w:val="18"/>
              </w:rPr>
            </w:pPr>
            <w:r>
              <w:rPr>
                <w:color w:val="000000"/>
                <w:sz w:val="18"/>
                <w:szCs w:val="18"/>
              </w:rPr>
              <w:t>24</w:t>
            </w:r>
            <w:r w:rsidR="0015321A">
              <w:rPr>
                <w:color w:val="000000"/>
                <w:sz w:val="18"/>
                <w:szCs w:val="18"/>
              </w:rPr>
              <w:t>% lactic acid</w:t>
            </w:r>
          </w:p>
        </w:tc>
        <w:tc>
          <w:tcPr>
            <w:tcW w:w="2448" w:type="dxa"/>
            <w:vAlign w:val="center"/>
          </w:tcPr>
          <w:p w14:paraId="79DE8E95" w14:textId="77777777" w:rsidR="0015321A" w:rsidRPr="00AF1A0E" w:rsidRDefault="0015321A" w:rsidP="0015321A">
            <w:pPr>
              <w:rPr>
                <w:i/>
                <w:color w:val="000000"/>
                <w:sz w:val="18"/>
                <w:szCs w:val="18"/>
                <w:lang w:val="fr-FR"/>
              </w:rPr>
            </w:pPr>
            <w:r w:rsidRPr="005D3939">
              <w:rPr>
                <w:i/>
                <w:sz w:val="18"/>
                <w:szCs w:val="18"/>
              </w:rPr>
              <w:t>Candida albicans</w:t>
            </w:r>
            <w:r>
              <w:rPr>
                <w:sz w:val="18"/>
                <w:szCs w:val="18"/>
              </w:rPr>
              <w:t xml:space="preserve"> </w:t>
            </w:r>
          </w:p>
        </w:tc>
        <w:tc>
          <w:tcPr>
            <w:tcW w:w="0" w:type="auto"/>
            <w:vAlign w:val="center"/>
          </w:tcPr>
          <w:p w14:paraId="6A10EB27" w14:textId="77777777" w:rsidR="0015321A" w:rsidRDefault="0015321A" w:rsidP="0015321A">
            <w:pPr>
              <w:rPr>
                <w:color w:val="000000"/>
                <w:sz w:val="18"/>
                <w:szCs w:val="18"/>
              </w:rPr>
            </w:pPr>
            <w:r>
              <w:rPr>
                <w:sz w:val="18"/>
                <w:szCs w:val="18"/>
              </w:rPr>
              <w:t>NF EN 13697 (June 2015)</w:t>
            </w:r>
          </w:p>
        </w:tc>
        <w:tc>
          <w:tcPr>
            <w:tcW w:w="2996" w:type="dxa"/>
            <w:vAlign w:val="center"/>
          </w:tcPr>
          <w:p w14:paraId="261A2F48" w14:textId="61E0AD49" w:rsidR="0015321A" w:rsidRDefault="0015321A" w:rsidP="0015321A">
            <w:pPr>
              <w:rPr>
                <w:color w:val="000000"/>
                <w:sz w:val="18"/>
                <w:szCs w:val="18"/>
              </w:rPr>
            </w:pPr>
            <w:r>
              <w:rPr>
                <w:color w:val="000000"/>
                <w:sz w:val="18"/>
                <w:szCs w:val="18"/>
              </w:rPr>
              <w:t>Phase 2 step 2 (su</w:t>
            </w:r>
            <w:r w:rsidR="00075547">
              <w:rPr>
                <w:color w:val="000000"/>
                <w:sz w:val="18"/>
                <w:szCs w:val="18"/>
              </w:rPr>
              <w:t>rface</w:t>
            </w:r>
            <w:r>
              <w:rPr>
                <w:color w:val="000000"/>
                <w:sz w:val="18"/>
                <w:szCs w:val="18"/>
              </w:rPr>
              <w:t xml:space="preserve"> test)</w:t>
            </w:r>
          </w:p>
          <w:p w14:paraId="55949726" w14:textId="77777777" w:rsidR="0015321A" w:rsidRDefault="0015321A" w:rsidP="0015321A">
            <w:pPr>
              <w:rPr>
                <w:color w:val="000000"/>
                <w:sz w:val="18"/>
                <w:szCs w:val="18"/>
              </w:rPr>
            </w:pPr>
            <w:r>
              <w:rPr>
                <w:color w:val="000000"/>
                <w:sz w:val="18"/>
                <w:szCs w:val="18"/>
              </w:rPr>
              <w:t>Concentrations of product tested (v/v) were</w:t>
            </w:r>
            <w:r w:rsidRPr="00DB5D44">
              <w:rPr>
                <w:color w:val="000000"/>
                <w:sz w:val="18"/>
                <w:szCs w:val="18"/>
              </w:rPr>
              <w:t xml:space="preserve">: </w:t>
            </w:r>
            <w:r>
              <w:rPr>
                <w:sz w:val="18"/>
                <w:szCs w:val="18"/>
              </w:rPr>
              <w:t xml:space="preserve">1%, 0.5%, 0.1%. </w:t>
            </w:r>
          </w:p>
          <w:p w14:paraId="40777D46" w14:textId="1AB13A05" w:rsidR="0015321A" w:rsidRDefault="0015321A" w:rsidP="0015321A">
            <w:pPr>
              <w:rPr>
                <w:color w:val="000000"/>
                <w:sz w:val="18"/>
                <w:szCs w:val="18"/>
              </w:rPr>
            </w:pPr>
            <w:r>
              <w:rPr>
                <w:color w:val="000000"/>
                <w:sz w:val="18"/>
                <w:szCs w:val="18"/>
              </w:rPr>
              <w:t xml:space="preserve">Contact time: 30 minutes </w:t>
            </w:r>
          </w:p>
          <w:p w14:paraId="430DB28F" w14:textId="77777777" w:rsidR="0015321A" w:rsidRDefault="0015321A" w:rsidP="0015321A">
            <w:pPr>
              <w:rPr>
                <w:color w:val="000000"/>
                <w:sz w:val="18"/>
                <w:szCs w:val="18"/>
              </w:rPr>
            </w:pPr>
            <w:r>
              <w:rPr>
                <w:color w:val="000000"/>
                <w:sz w:val="18"/>
                <w:szCs w:val="18"/>
              </w:rPr>
              <w:t>Temperature: 40°C</w:t>
            </w:r>
          </w:p>
          <w:p w14:paraId="7F87E067" w14:textId="77777777" w:rsidR="0015321A" w:rsidRDefault="0015321A" w:rsidP="0015321A">
            <w:pPr>
              <w:rPr>
                <w:color w:val="000000"/>
                <w:sz w:val="18"/>
                <w:szCs w:val="18"/>
              </w:rPr>
            </w:pPr>
            <w:r>
              <w:rPr>
                <w:color w:val="000000"/>
                <w:sz w:val="18"/>
                <w:szCs w:val="18"/>
              </w:rPr>
              <w:t xml:space="preserve">Dirty conditions: 3 g/L BSA </w:t>
            </w:r>
          </w:p>
          <w:p w14:paraId="1AB8C210" w14:textId="77777777" w:rsidR="0015321A" w:rsidRDefault="0015321A" w:rsidP="0015321A">
            <w:pPr>
              <w:rPr>
                <w:color w:val="000000"/>
                <w:sz w:val="18"/>
                <w:szCs w:val="18"/>
              </w:rPr>
            </w:pPr>
            <w:r>
              <w:rPr>
                <w:color w:val="000000"/>
                <w:sz w:val="18"/>
                <w:szCs w:val="18"/>
              </w:rPr>
              <w:t>Criteria: ≥ 3log unit reduction</w:t>
            </w:r>
          </w:p>
        </w:tc>
        <w:tc>
          <w:tcPr>
            <w:tcW w:w="1701" w:type="dxa"/>
            <w:vAlign w:val="center"/>
          </w:tcPr>
          <w:p w14:paraId="3CF98FFE" w14:textId="77777777" w:rsidR="0015321A" w:rsidRDefault="0015321A" w:rsidP="0015321A">
            <w:pPr>
              <w:rPr>
                <w:color w:val="000000"/>
                <w:sz w:val="18"/>
                <w:szCs w:val="18"/>
              </w:rPr>
            </w:pPr>
            <w:r>
              <w:rPr>
                <w:color w:val="000000"/>
                <w:sz w:val="18"/>
                <w:szCs w:val="18"/>
              </w:rPr>
              <w:t>Yeasticidal activity demonstrated at 1% v/v</w:t>
            </w:r>
            <w:r w:rsidDel="00FD25E8">
              <w:rPr>
                <w:color w:val="000000"/>
                <w:sz w:val="18"/>
                <w:szCs w:val="18"/>
              </w:rPr>
              <w:t xml:space="preserve"> </w:t>
            </w:r>
          </w:p>
          <w:p w14:paraId="4D15D53F" w14:textId="77777777" w:rsidR="0015321A" w:rsidRDefault="0015321A" w:rsidP="0015321A">
            <w:pPr>
              <w:rPr>
                <w:color w:val="000000"/>
                <w:sz w:val="18"/>
                <w:szCs w:val="18"/>
              </w:rPr>
            </w:pPr>
          </w:p>
        </w:tc>
        <w:tc>
          <w:tcPr>
            <w:tcW w:w="1608" w:type="dxa"/>
            <w:vAlign w:val="center"/>
          </w:tcPr>
          <w:p w14:paraId="59A2A0C9" w14:textId="77777777" w:rsidR="0015321A" w:rsidRDefault="0015321A" w:rsidP="0015321A">
            <w:pPr>
              <w:rPr>
                <w:sz w:val="18"/>
                <w:szCs w:val="18"/>
              </w:rPr>
            </w:pPr>
            <w:r>
              <w:rPr>
                <w:sz w:val="18"/>
                <w:szCs w:val="18"/>
              </w:rPr>
              <w:t>Feuillolay C., 2019, Report No 19-1383</w:t>
            </w:r>
          </w:p>
          <w:p w14:paraId="4EFF2320" w14:textId="77777777" w:rsidR="0015321A" w:rsidRDefault="0015321A" w:rsidP="0015321A">
            <w:pPr>
              <w:rPr>
                <w:sz w:val="18"/>
                <w:szCs w:val="18"/>
              </w:rPr>
            </w:pPr>
          </w:p>
          <w:p w14:paraId="2CF34FE1" w14:textId="77777777" w:rsidR="0015321A" w:rsidRDefault="0015321A" w:rsidP="0015321A">
            <w:pPr>
              <w:rPr>
                <w:sz w:val="18"/>
                <w:szCs w:val="18"/>
              </w:rPr>
            </w:pPr>
            <w:r>
              <w:rPr>
                <w:sz w:val="18"/>
                <w:szCs w:val="18"/>
              </w:rPr>
              <w:t>RI=1</w:t>
            </w:r>
          </w:p>
        </w:tc>
      </w:tr>
    </w:tbl>
    <w:p w14:paraId="4C425899" w14:textId="77777777" w:rsidR="0015321A" w:rsidRDefault="0015321A">
      <w:pPr>
        <w:spacing w:line="260" w:lineRule="atLeast"/>
        <w:rPr>
          <w:rFonts w:ascii="Times New Roman" w:eastAsia="Calibri" w:hAnsi="Times New Roman" w:cs="Times New Roman"/>
          <w:i/>
          <w:iCs/>
          <w:lang w:eastAsia="en-US"/>
        </w:rPr>
        <w:sectPr w:rsidR="0015321A" w:rsidSect="00526D5D">
          <w:pgSz w:w="16838" w:h="11906" w:orient="landscape"/>
          <w:pgMar w:top="1446" w:right="1474" w:bottom="1247" w:left="2013" w:header="851" w:footer="851" w:gutter="0"/>
          <w:cols w:space="720"/>
          <w:docGrid w:linePitch="272"/>
        </w:sectPr>
      </w:pPr>
    </w:p>
    <w:p w14:paraId="69A45B46" w14:textId="4CBD6839" w:rsidR="0015321A" w:rsidRPr="007A4DA8" w:rsidRDefault="0015321A" w:rsidP="0015321A">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12: Disinfectant for </w:t>
      </w:r>
      <w:r w:rsidR="00A01F6A" w:rsidRPr="007A4DA8">
        <w:rPr>
          <w:rFonts w:eastAsia="Calibri"/>
          <w:b/>
          <w:lang w:eastAsia="en-US"/>
        </w:rPr>
        <w:t xml:space="preserve">toilet bowls </w:t>
      </w:r>
      <w:r w:rsidR="00E71862" w:rsidRPr="007A4DA8">
        <w:rPr>
          <w:rFonts w:eastAsia="Calibri"/>
          <w:b/>
          <w:lang w:eastAsia="en-US"/>
        </w:rPr>
        <w:t>in industry, institution,</w:t>
      </w:r>
      <w:r w:rsidR="00A77676" w:rsidRPr="007A4DA8">
        <w:rPr>
          <w:rFonts w:eastAsia="Calibri"/>
          <w:b/>
          <w:lang w:eastAsia="en-US"/>
        </w:rPr>
        <w:t xml:space="preserve"> </w:t>
      </w:r>
      <w:r w:rsidRPr="007A4DA8">
        <w:rPr>
          <w:rFonts w:eastAsia="Calibri"/>
          <w:b/>
          <w:lang w:eastAsia="en-US"/>
        </w:rPr>
        <w:t>healthcare facilities</w:t>
      </w:r>
      <w:r w:rsidR="00E71862" w:rsidRPr="007A4DA8">
        <w:rPr>
          <w:rFonts w:eastAsia="Calibri"/>
          <w:b/>
          <w:lang w:eastAsia="en-US"/>
        </w:rPr>
        <w:t xml:space="preserve"> and heal</w:t>
      </w:r>
      <w:r w:rsidR="00733D14" w:rsidRPr="007A4DA8">
        <w:rPr>
          <w:rFonts w:eastAsia="Calibri"/>
          <w:b/>
          <w:lang w:eastAsia="en-US"/>
        </w:rPr>
        <w:t>t</w:t>
      </w:r>
      <w:r w:rsidR="00E71862" w:rsidRPr="007A4DA8">
        <w:rPr>
          <w:rFonts w:eastAsia="Calibri"/>
          <w:b/>
          <w:lang w:eastAsia="en-US"/>
        </w:rPr>
        <w:t>hcare</w:t>
      </w:r>
      <w:r w:rsidRPr="007A4DA8">
        <w:rPr>
          <w:rFonts w:eastAsia="Calibri"/>
          <w:b/>
          <w:lang w:eastAsia="en-US"/>
        </w:rPr>
        <w:t xml:space="preserve">, </w:t>
      </w:r>
      <w:r w:rsidR="00E71862" w:rsidRPr="007A4DA8">
        <w:rPr>
          <w:rFonts w:eastAsia="Calibri"/>
          <w:b/>
          <w:lang w:eastAsia="en-US"/>
        </w:rPr>
        <w:t xml:space="preserve">by </w:t>
      </w:r>
      <w:r w:rsidR="00733CE3" w:rsidRPr="007A4DA8">
        <w:rPr>
          <w:rFonts w:eastAsia="Calibri"/>
          <w:b/>
          <w:lang w:eastAsia="en-US"/>
        </w:rPr>
        <w:t>pouring</w:t>
      </w:r>
      <w:r w:rsidR="00A77676" w:rsidRPr="007A4DA8">
        <w:rPr>
          <w:rFonts w:eastAsia="Calibri"/>
          <w:b/>
          <w:lang w:eastAsia="en-US"/>
        </w:rPr>
        <w:t xml:space="preserve"> – PT2:</w:t>
      </w:r>
    </w:p>
    <w:p w14:paraId="614E849D" w14:textId="77777777" w:rsidR="0015321A" w:rsidRDefault="0015321A" w:rsidP="0015321A">
      <w:pPr>
        <w:spacing w:line="260" w:lineRule="atLeast"/>
        <w:jc w:val="both"/>
        <w:rPr>
          <w:rFonts w:eastAsia="Calibri"/>
          <w:lang w:eastAsia="en-US"/>
        </w:rPr>
      </w:pPr>
    </w:p>
    <w:p w14:paraId="1C42625D" w14:textId="56C62A32" w:rsidR="0015321A" w:rsidRDefault="0015321A" w:rsidP="0015321A">
      <w:pPr>
        <w:spacing w:line="260" w:lineRule="atLeast"/>
        <w:jc w:val="both"/>
        <w:rPr>
          <w:lang w:eastAsia="en-US"/>
        </w:rPr>
      </w:pPr>
      <w:r w:rsidRPr="005C303E">
        <w:rPr>
          <w:lang w:eastAsia="en-US"/>
        </w:rPr>
        <w:t>META-SPC</w:t>
      </w:r>
      <w:r>
        <w:rPr>
          <w:lang w:eastAsia="en-US"/>
        </w:rPr>
        <w:t>12</w:t>
      </w:r>
      <w:r w:rsidRPr="005C303E">
        <w:rPr>
          <w:lang w:eastAsia="en-US"/>
        </w:rPr>
        <w:t xml:space="preserve"> contains </w:t>
      </w:r>
      <w:r>
        <w:rPr>
          <w:lang w:eastAsia="en-US"/>
        </w:rPr>
        <w:t xml:space="preserve">ready-to-use </w:t>
      </w:r>
      <w:r w:rsidRPr="005C303E">
        <w:rPr>
          <w:lang w:eastAsia="en-US"/>
        </w:rPr>
        <w:t xml:space="preserve">products </w:t>
      </w:r>
      <w:r>
        <w:rPr>
          <w:lang w:eastAsia="en-US"/>
        </w:rPr>
        <w:t xml:space="preserve">containing </w:t>
      </w:r>
      <w:r w:rsidR="00817FE7">
        <w:rPr>
          <w:lang w:eastAsia="en-US"/>
        </w:rPr>
        <w:t>16</w:t>
      </w:r>
      <w:r>
        <w:rPr>
          <w:lang w:eastAsia="en-US"/>
        </w:rPr>
        <w:t xml:space="preserve">% w/w lactic acid, and minor variations of coformulants, in low concentrations without biocidal activity. </w:t>
      </w:r>
    </w:p>
    <w:p w14:paraId="39C44FC5" w14:textId="29E2D91F" w:rsidR="0015321A" w:rsidRPr="00C0405A" w:rsidRDefault="0015321A" w:rsidP="0015321A">
      <w:pPr>
        <w:spacing w:line="260" w:lineRule="atLeast"/>
        <w:jc w:val="both"/>
        <w:rPr>
          <w:rFonts w:cs="Arial"/>
          <w:lang w:eastAsia="en-US"/>
        </w:rPr>
      </w:pPr>
      <w:r w:rsidRPr="00C0405A">
        <w:rPr>
          <w:lang w:eastAsia="en-US"/>
        </w:rPr>
        <w:t xml:space="preserve">Efficacy studies have been performed with </w:t>
      </w:r>
      <w:r w:rsidR="00E71862">
        <w:rPr>
          <w:lang w:eastAsia="en-US"/>
        </w:rPr>
        <w:t xml:space="preserve">the </w:t>
      </w:r>
      <w:r w:rsidRPr="00C0405A">
        <w:rPr>
          <w:lang w:eastAsia="en-US"/>
        </w:rPr>
        <w:t xml:space="preserve">representative product </w:t>
      </w:r>
      <w:r w:rsidRPr="00C914AE">
        <w:rPr>
          <w:rFonts w:eastAsia="Calibri"/>
          <w:iCs/>
          <w:szCs w:val="24"/>
          <w:lang w:eastAsia="en-US"/>
        </w:rPr>
        <w:t>AL-S12-1-0 (</w:t>
      </w:r>
      <w:r w:rsidR="00817FE7">
        <w:rPr>
          <w:rFonts w:eastAsia="Calibri"/>
          <w:iCs/>
          <w:szCs w:val="24"/>
          <w:lang w:eastAsia="en-US"/>
        </w:rPr>
        <w:t>16</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C0405A">
        <w:rPr>
          <w:rFonts w:cs="Arial"/>
          <w:lang w:eastAsia="en-US"/>
        </w:rPr>
        <w:t xml:space="preserve">Taking into account the variations of the co-formulants presented in the META-SPC12, it can be assumed that they have no impact on efficacy and the efficacy results of the representative products </w:t>
      </w:r>
      <w:r w:rsidRPr="00C914AE">
        <w:rPr>
          <w:rFonts w:eastAsia="Calibri"/>
          <w:iCs/>
          <w:szCs w:val="24"/>
          <w:lang w:eastAsia="en-US"/>
        </w:rPr>
        <w:t xml:space="preserve">AL-S12-1-0 </w:t>
      </w:r>
      <w:r w:rsidRPr="00C0405A">
        <w:rPr>
          <w:rFonts w:cs="Arial"/>
          <w:lang w:eastAsia="en-US"/>
        </w:rPr>
        <w:t>cover the whole META-SPC12 claims.</w:t>
      </w:r>
    </w:p>
    <w:p w14:paraId="3B350512" w14:textId="77777777" w:rsidR="0015321A" w:rsidRDefault="0015321A" w:rsidP="0015321A">
      <w:pPr>
        <w:spacing w:line="260" w:lineRule="atLeast"/>
        <w:jc w:val="both"/>
        <w:rPr>
          <w:rFonts w:eastAsia="Calibri"/>
          <w:lang w:eastAsia="en-US"/>
        </w:rPr>
      </w:pPr>
    </w:p>
    <w:p w14:paraId="7C104878" w14:textId="553D7F9C" w:rsidR="0015321A" w:rsidRDefault="0015321A" w:rsidP="0015321A">
      <w:pPr>
        <w:spacing w:line="260" w:lineRule="atLeast"/>
        <w:jc w:val="both"/>
        <w:rPr>
          <w:rFonts w:eastAsia="Calibri"/>
          <w:lang w:eastAsia="en-US"/>
        </w:rPr>
      </w:pPr>
      <w:r w:rsidRPr="00FC6604">
        <w:rPr>
          <w:rFonts w:eastAsia="Calibri"/>
          <w:lang w:eastAsia="en-US"/>
        </w:rPr>
        <w:t xml:space="preserve">Bactericidal activity </w:t>
      </w:r>
      <w:r>
        <w:rPr>
          <w:rFonts w:eastAsia="Calibri"/>
          <w:lang w:eastAsia="en-US"/>
        </w:rPr>
        <w:t>is demonstrated in phase 2, steps 1 and 2 tests (EN</w:t>
      </w:r>
      <w:r w:rsidR="00A01F6A">
        <w:rPr>
          <w:rFonts w:eastAsia="Calibri"/>
          <w:lang w:eastAsia="en-US"/>
        </w:rPr>
        <w:t xml:space="preserve"> </w:t>
      </w:r>
      <w:r>
        <w:rPr>
          <w:rFonts w:eastAsia="Calibri"/>
          <w:lang w:eastAsia="en-US"/>
        </w:rPr>
        <w:t>13727 and EN</w:t>
      </w:r>
      <w:r w:rsidR="00A01F6A">
        <w:rPr>
          <w:rFonts w:eastAsia="Calibri"/>
          <w:lang w:eastAsia="en-US"/>
        </w:rPr>
        <w:t xml:space="preserve"> </w:t>
      </w:r>
      <w:r>
        <w:rPr>
          <w:rFonts w:eastAsia="Calibri"/>
          <w:lang w:eastAsia="en-US"/>
        </w:rPr>
        <w:t>13697),</w:t>
      </w:r>
      <w:r w:rsidRPr="0006056D">
        <w:rPr>
          <w:rFonts w:eastAsia="Calibri"/>
          <w:lang w:eastAsia="en-US"/>
        </w:rPr>
        <w:t xml:space="preserve"> </w:t>
      </w:r>
      <w:r w:rsidRPr="00FC6604">
        <w:rPr>
          <w:rFonts w:eastAsia="Calibri"/>
          <w:lang w:eastAsia="en-US"/>
        </w:rPr>
        <w:t>at 20°C with</w:t>
      </w:r>
      <w:r>
        <w:rPr>
          <w:rFonts w:eastAsia="Calibri"/>
          <w:lang w:eastAsia="en-US"/>
        </w:rPr>
        <w:t xml:space="preserve"> a</w:t>
      </w:r>
      <w:r w:rsidRPr="00FC6604">
        <w:rPr>
          <w:rFonts w:eastAsia="Calibri"/>
          <w:lang w:eastAsia="en-US"/>
        </w:rPr>
        <w:t xml:space="preserve"> contact time of 5 minutes</w:t>
      </w:r>
      <w:r w:rsidR="00A01F6A">
        <w:rPr>
          <w:rFonts w:eastAsia="Calibri"/>
          <w:lang w:eastAsia="en-US"/>
        </w:rPr>
        <w:t>,</w:t>
      </w:r>
      <w:r w:rsidRPr="00FC6604">
        <w:rPr>
          <w:rFonts w:eastAsia="Calibri"/>
          <w:lang w:eastAsia="en-US"/>
        </w:rPr>
        <w:t xml:space="preserve"> in dirty conditions </w:t>
      </w:r>
      <w:r>
        <w:rPr>
          <w:rFonts w:eastAsia="Calibri"/>
          <w:lang w:eastAsia="en-US"/>
        </w:rPr>
        <w:t xml:space="preserve">(3.0 g/L BSA + 3mL/L </w:t>
      </w:r>
      <w:r w:rsidR="00A01F6A">
        <w:rPr>
          <w:rFonts w:eastAsia="Calibri"/>
          <w:lang w:eastAsia="en-US"/>
        </w:rPr>
        <w:t xml:space="preserve">sheep </w:t>
      </w:r>
      <w:r>
        <w:rPr>
          <w:rFonts w:eastAsia="Calibri"/>
          <w:lang w:eastAsia="en-US"/>
        </w:rPr>
        <w:t>erythrocytes).</w:t>
      </w:r>
      <w:r w:rsidRPr="00E40200">
        <w:rPr>
          <w:lang w:eastAsia="en-US"/>
        </w:rPr>
        <w:t xml:space="preserve"> </w:t>
      </w:r>
      <w:r w:rsidRPr="003D493E">
        <w:rPr>
          <w:lang w:eastAsia="en-US"/>
        </w:rPr>
        <w:t xml:space="preserve">In these conditions, bactericidal activity is shown at the in-use concentration of </w:t>
      </w:r>
      <w:r w:rsidR="00A67859">
        <w:rPr>
          <w:rFonts w:eastAsia="Calibri"/>
          <w:lang w:eastAsia="en-US"/>
        </w:rPr>
        <w:t>5</w:t>
      </w:r>
      <w:r>
        <w:rPr>
          <w:rFonts w:eastAsia="Calibri"/>
          <w:lang w:eastAsia="en-US"/>
        </w:rPr>
        <w:t>0</w:t>
      </w:r>
      <w:r w:rsidRPr="00F81A6F">
        <w:rPr>
          <w:rFonts w:eastAsia="Calibri"/>
          <w:lang w:eastAsia="en-US"/>
        </w:rPr>
        <w:t>% (v/v</w:t>
      </w:r>
      <w:r>
        <w:rPr>
          <w:rFonts w:eastAsia="Calibri"/>
          <w:lang w:eastAsia="en-US"/>
        </w:rPr>
        <w:t>).</w:t>
      </w:r>
      <w:r w:rsidRPr="00FC6604">
        <w:rPr>
          <w:rFonts w:eastAsia="Calibri"/>
          <w:lang w:eastAsia="en-US"/>
        </w:rPr>
        <w:t xml:space="preserve"> </w:t>
      </w:r>
    </w:p>
    <w:p w14:paraId="17B927FF" w14:textId="1C43D8B6" w:rsidR="0015321A" w:rsidRPr="0006434F" w:rsidRDefault="0015321A" w:rsidP="0015321A">
      <w:pPr>
        <w:spacing w:line="260" w:lineRule="atLeast"/>
        <w:jc w:val="both"/>
        <w:rPr>
          <w:rFonts w:eastAsia="Calibri"/>
          <w:lang w:eastAsia="en-US"/>
        </w:rPr>
      </w:pPr>
      <w:r>
        <w:rPr>
          <w:rFonts w:eastAsia="Calibri"/>
          <w:lang w:eastAsia="en-US"/>
        </w:rPr>
        <w:t>Y</w:t>
      </w:r>
      <w:r w:rsidRPr="00FC6604">
        <w:rPr>
          <w:rFonts w:eastAsia="Calibri"/>
          <w:lang w:eastAsia="en-US"/>
        </w:rPr>
        <w:t>easticidal activity</w:t>
      </w:r>
      <w:r>
        <w:rPr>
          <w:rFonts w:eastAsia="Calibri"/>
          <w:lang w:eastAsia="en-US"/>
        </w:rPr>
        <w:t xml:space="preserve"> is demonstrated in phase 2, steps 1 and 2 tests (EN</w:t>
      </w:r>
      <w:r w:rsidR="00A01F6A">
        <w:rPr>
          <w:rFonts w:eastAsia="Calibri"/>
          <w:lang w:eastAsia="en-US"/>
        </w:rPr>
        <w:t xml:space="preserve"> </w:t>
      </w:r>
      <w:r>
        <w:rPr>
          <w:rFonts w:eastAsia="Calibri"/>
          <w:lang w:eastAsia="en-US"/>
        </w:rPr>
        <w:t>13624 and EN</w:t>
      </w:r>
      <w:r w:rsidR="00A01F6A">
        <w:rPr>
          <w:rFonts w:eastAsia="Calibri"/>
          <w:lang w:eastAsia="en-US"/>
        </w:rPr>
        <w:t xml:space="preserve"> </w:t>
      </w:r>
      <w:r>
        <w:rPr>
          <w:rFonts w:eastAsia="Calibri"/>
          <w:lang w:eastAsia="en-US"/>
        </w:rPr>
        <w:t xml:space="preserve">13697), </w:t>
      </w:r>
      <w:r w:rsidR="00A01F6A" w:rsidRPr="00FC6604">
        <w:rPr>
          <w:rFonts w:eastAsia="Calibri"/>
          <w:lang w:eastAsia="en-US"/>
        </w:rPr>
        <w:t xml:space="preserve">at 20°C </w:t>
      </w:r>
      <w:r w:rsidRPr="00FC6604">
        <w:rPr>
          <w:rFonts w:eastAsia="Calibri"/>
          <w:lang w:eastAsia="en-US"/>
        </w:rPr>
        <w:t xml:space="preserve">with </w:t>
      </w:r>
      <w:r>
        <w:rPr>
          <w:rFonts w:eastAsia="Calibri"/>
          <w:lang w:eastAsia="en-US"/>
        </w:rPr>
        <w:t xml:space="preserve">a </w:t>
      </w:r>
      <w:r w:rsidRPr="00FC6604">
        <w:rPr>
          <w:rFonts w:eastAsia="Calibri"/>
          <w:lang w:eastAsia="en-US"/>
        </w:rPr>
        <w:t>contact time of 5 minutes</w:t>
      </w:r>
      <w:r>
        <w:rPr>
          <w:rFonts w:eastAsia="Calibri"/>
          <w:lang w:eastAsia="en-US"/>
        </w:rPr>
        <w:t>,</w:t>
      </w:r>
      <w:r w:rsidRPr="00FC6604">
        <w:rPr>
          <w:rFonts w:eastAsia="Calibri"/>
          <w:lang w:eastAsia="en-US"/>
        </w:rPr>
        <w:t xml:space="preserve"> in dirty conditions</w:t>
      </w:r>
      <w:r>
        <w:rPr>
          <w:rFonts w:eastAsia="Calibri"/>
          <w:lang w:eastAsia="en-US"/>
        </w:rPr>
        <w:t xml:space="preserve"> (3.0 g/L BSA + 3mL/L </w:t>
      </w:r>
      <w:r w:rsidR="00A01F6A">
        <w:rPr>
          <w:rFonts w:eastAsia="Calibri"/>
          <w:lang w:eastAsia="en-US"/>
        </w:rPr>
        <w:t xml:space="preserve">sheep </w:t>
      </w:r>
      <w:r>
        <w:rPr>
          <w:rFonts w:eastAsia="Calibri"/>
          <w:lang w:eastAsia="en-US"/>
        </w:rPr>
        <w:t>erythrocytes).</w:t>
      </w:r>
      <w:r w:rsidRPr="00E40200">
        <w:rPr>
          <w:lang w:eastAsia="en-US"/>
        </w:rPr>
        <w:t xml:space="preserve"> </w:t>
      </w:r>
      <w:r w:rsidRPr="003D493E">
        <w:rPr>
          <w:lang w:eastAsia="en-US"/>
        </w:rPr>
        <w:t xml:space="preserve">In these conditions, </w:t>
      </w:r>
      <w:r>
        <w:rPr>
          <w:lang w:eastAsia="en-US"/>
        </w:rPr>
        <w:t xml:space="preserve">yeasticidal </w:t>
      </w:r>
      <w:r w:rsidRPr="003D493E">
        <w:rPr>
          <w:lang w:eastAsia="en-US"/>
        </w:rPr>
        <w:t>activity</w:t>
      </w:r>
      <w:r>
        <w:rPr>
          <w:rFonts w:eastAsia="Calibri"/>
          <w:lang w:eastAsia="en-US"/>
        </w:rPr>
        <w:t xml:space="preserve"> is shown at the in-use concentration of 20% v/v</w:t>
      </w:r>
      <w:r w:rsidRPr="00FC6604">
        <w:rPr>
          <w:rFonts w:eastAsia="Calibri"/>
          <w:lang w:eastAsia="en-US"/>
        </w:rPr>
        <w:t>.</w:t>
      </w:r>
    </w:p>
    <w:p w14:paraId="3540139D" w14:textId="77777777" w:rsidR="0015321A" w:rsidRDefault="0015321A" w:rsidP="0015321A">
      <w:pPr>
        <w:spacing w:line="260" w:lineRule="atLeast"/>
        <w:jc w:val="both"/>
        <w:rPr>
          <w:rFonts w:ascii="Times New Roman" w:eastAsia="Calibri" w:hAnsi="Times New Roman" w:cs="Arial"/>
          <w:bCs/>
          <w:i/>
          <w:caps/>
          <w:szCs w:val="28"/>
          <w:lang w:eastAsia="en-US"/>
        </w:rPr>
      </w:pPr>
    </w:p>
    <w:p w14:paraId="63A2B754" w14:textId="7DDE7326" w:rsidR="0015321A" w:rsidRDefault="0015321A" w:rsidP="0015321A">
      <w:pPr>
        <w:spacing w:line="260" w:lineRule="atLeast"/>
        <w:jc w:val="both"/>
        <w:rPr>
          <w:lang w:eastAsia="en-US"/>
        </w:rPr>
      </w:pPr>
      <w:r>
        <w:rPr>
          <w:lang w:eastAsia="en-US"/>
        </w:rPr>
        <w:t xml:space="preserve">The applicant didn’t submit studies according to the </w:t>
      </w:r>
      <w:r w:rsidR="00A01F6A">
        <w:rPr>
          <w:lang w:eastAsia="en-US"/>
        </w:rPr>
        <w:t>standards</w:t>
      </w:r>
      <w:r>
        <w:rPr>
          <w:lang w:eastAsia="en-US"/>
        </w:rPr>
        <w:t xml:space="preserve"> for institutional and in</w:t>
      </w:r>
      <w:r w:rsidR="00A01F6A">
        <w:rPr>
          <w:lang w:eastAsia="en-US"/>
        </w:rPr>
        <w:t>dustry</w:t>
      </w:r>
      <w:r>
        <w:rPr>
          <w:lang w:eastAsia="en-US"/>
        </w:rPr>
        <w:t xml:space="preserve"> areas. Nevertheless, since dirty conditions from medical area are a worst case related to those of food, industry, domestic, institutional areas, results from medical areas conditions cover the efficacy of all the uses claimed for this META-SPC.</w:t>
      </w:r>
    </w:p>
    <w:p w14:paraId="2D4F9AFB" w14:textId="77777777" w:rsidR="00A01F6A" w:rsidRPr="00E91F85" w:rsidRDefault="00A01F6A" w:rsidP="0015321A">
      <w:pPr>
        <w:spacing w:line="260" w:lineRule="atLeast"/>
        <w:jc w:val="both"/>
        <w:rPr>
          <w:lang w:eastAsia="en-US"/>
        </w:rPr>
        <w:sectPr w:rsidR="00A01F6A" w:rsidRPr="00E91F85" w:rsidSect="00526D5D">
          <w:endnotePr>
            <w:numFmt w:val="decimal"/>
          </w:endnotePr>
          <w:pgSz w:w="11907" w:h="16840" w:code="9"/>
          <w:pgMar w:top="1474" w:right="1247" w:bottom="2013" w:left="1446"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8"/>
        <w:gridCol w:w="1877"/>
        <w:gridCol w:w="741"/>
        <w:gridCol w:w="1667"/>
        <w:gridCol w:w="1602"/>
        <w:gridCol w:w="3117"/>
        <w:gridCol w:w="1417"/>
        <w:gridCol w:w="1374"/>
      </w:tblGrid>
      <w:tr w:rsidR="00A01F6A" w:rsidRPr="00FD2055" w14:paraId="5C7BB0F2" w14:textId="77777777" w:rsidTr="00526D5D">
        <w:trPr>
          <w:cantSplit/>
          <w:tblHeader/>
          <w:jc w:val="center"/>
        </w:trPr>
        <w:tc>
          <w:tcPr>
            <w:tcW w:w="13493" w:type="dxa"/>
            <w:gridSpan w:val="8"/>
            <w:shd w:val="clear" w:color="auto" w:fill="FFFFFF"/>
          </w:tcPr>
          <w:p w14:paraId="320748AC" w14:textId="64DE4989" w:rsidR="00A01F6A" w:rsidRPr="00FD2055" w:rsidRDefault="00A01F6A" w:rsidP="00526D5D">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12</w:t>
            </w:r>
          </w:p>
        </w:tc>
      </w:tr>
      <w:tr w:rsidR="0015321A" w:rsidRPr="00FD2055" w14:paraId="66D75B30" w14:textId="77777777" w:rsidTr="00526D5D">
        <w:trPr>
          <w:cantSplit/>
          <w:jc w:val="center"/>
        </w:trPr>
        <w:tc>
          <w:tcPr>
            <w:tcW w:w="0" w:type="auto"/>
            <w:shd w:val="clear" w:color="auto" w:fill="FFFFFF"/>
          </w:tcPr>
          <w:p w14:paraId="350F121C" w14:textId="77777777" w:rsidR="0015321A" w:rsidRPr="00FD2055" w:rsidRDefault="0015321A" w:rsidP="0015321A">
            <w:pPr>
              <w:jc w:val="center"/>
              <w:rPr>
                <w:b/>
                <w:color w:val="000000"/>
                <w:sz w:val="18"/>
                <w:szCs w:val="18"/>
              </w:rPr>
            </w:pPr>
            <w:r w:rsidRPr="00FD2055">
              <w:rPr>
                <w:b/>
                <w:color w:val="000000"/>
                <w:sz w:val="18"/>
                <w:szCs w:val="18"/>
              </w:rPr>
              <w:t>Function</w:t>
            </w:r>
          </w:p>
        </w:tc>
        <w:tc>
          <w:tcPr>
            <w:tcW w:w="0" w:type="auto"/>
            <w:shd w:val="clear" w:color="auto" w:fill="FFFFFF"/>
          </w:tcPr>
          <w:p w14:paraId="1E369590" w14:textId="77777777" w:rsidR="0015321A" w:rsidRPr="00FD2055" w:rsidRDefault="0015321A" w:rsidP="0015321A">
            <w:pPr>
              <w:rPr>
                <w:b/>
                <w:color w:val="000000"/>
                <w:sz w:val="18"/>
                <w:szCs w:val="18"/>
              </w:rPr>
            </w:pPr>
            <w:r w:rsidRPr="00FD2055">
              <w:rPr>
                <w:b/>
                <w:color w:val="000000"/>
                <w:sz w:val="18"/>
                <w:szCs w:val="18"/>
              </w:rPr>
              <w:t>Field of use envisaged</w:t>
            </w:r>
          </w:p>
        </w:tc>
        <w:tc>
          <w:tcPr>
            <w:tcW w:w="0" w:type="auto"/>
            <w:shd w:val="clear" w:color="auto" w:fill="FFFFFF"/>
          </w:tcPr>
          <w:p w14:paraId="2F14838A" w14:textId="77777777" w:rsidR="0015321A" w:rsidRPr="00FD2055" w:rsidRDefault="0015321A"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0" w:type="auto"/>
            <w:shd w:val="clear" w:color="auto" w:fill="FFFFFF"/>
          </w:tcPr>
          <w:p w14:paraId="410710E3" w14:textId="77777777" w:rsidR="0015321A" w:rsidRPr="00FD2055" w:rsidRDefault="0015321A" w:rsidP="0015321A">
            <w:pPr>
              <w:rPr>
                <w:b/>
                <w:i/>
                <w:color w:val="000000"/>
                <w:sz w:val="18"/>
                <w:szCs w:val="18"/>
              </w:rPr>
            </w:pPr>
            <w:r w:rsidRPr="00FD2055">
              <w:rPr>
                <w:b/>
                <w:color w:val="000000"/>
                <w:sz w:val="18"/>
                <w:szCs w:val="18"/>
              </w:rPr>
              <w:t>Test organism(s)</w:t>
            </w:r>
          </w:p>
        </w:tc>
        <w:tc>
          <w:tcPr>
            <w:tcW w:w="0" w:type="auto"/>
            <w:shd w:val="clear" w:color="auto" w:fill="FFFFFF"/>
          </w:tcPr>
          <w:p w14:paraId="471FA071" w14:textId="77777777" w:rsidR="0015321A" w:rsidRPr="00FD2055" w:rsidRDefault="0015321A" w:rsidP="0015321A">
            <w:pPr>
              <w:rPr>
                <w:b/>
                <w:color w:val="000000"/>
                <w:sz w:val="18"/>
                <w:szCs w:val="18"/>
              </w:rPr>
            </w:pPr>
            <w:r w:rsidRPr="00FD2055">
              <w:rPr>
                <w:b/>
                <w:color w:val="000000"/>
                <w:sz w:val="18"/>
                <w:szCs w:val="18"/>
              </w:rPr>
              <w:t>Test method</w:t>
            </w:r>
          </w:p>
        </w:tc>
        <w:tc>
          <w:tcPr>
            <w:tcW w:w="3117" w:type="dxa"/>
            <w:shd w:val="clear" w:color="auto" w:fill="FFFFFF"/>
          </w:tcPr>
          <w:p w14:paraId="235AEFEF" w14:textId="77777777" w:rsidR="0015321A" w:rsidRPr="00FD2055" w:rsidRDefault="0015321A" w:rsidP="0015321A">
            <w:pPr>
              <w:rPr>
                <w:b/>
                <w:color w:val="000000"/>
                <w:sz w:val="18"/>
                <w:szCs w:val="18"/>
              </w:rPr>
            </w:pPr>
            <w:r w:rsidRPr="00FD2055">
              <w:rPr>
                <w:b/>
                <w:color w:val="000000"/>
                <w:sz w:val="18"/>
                <w:szCs w:val="18"/>
              </w:rPr>
              <w:t>Test system / concentrations applied / exposure time</w:t>
            </w:r>
          </w:p>
        </w:tc>
        <w:tc>
          <w:tcPr>
            <w:tcW w:w="1417" w:type="dxa"/>
            <w:shd w:val="clear" w:color="auto" w:fill="FFFFFF"/>
          </w:tcPr>
          <w:p w14:paraId="72B37857" w14:textId="77777777" w:rsidR="0015321A" w:rsidRPr="00FD2055" w:rsidRDefault="0015321A" w:rsidP="0015321A">
            <w:pPr>
              <w:rPr>
                <w:b/>
                <w:color w:val="000000"/>
                <w:sz w:val="18"/>
                <w:szCs w:val="18"/>
              </w:rPr>
            </w:pPr>
            <w:r w:rsidRPr="00FD2055">
              <w:rPr>
                <w:b/>
                <w:color w:val="000000"/>
                <w:sz w:val="18"/>
                <w:szCs w:val="18"/>
              </w:rPr>
              <w:t>Test results: effects</w:t>
            </w:r>
          </w:p>
        </w:tc>
        <w:tc>
          <w:tcPr>
            <w:tcW w:w="1374" w:type="dxa"/>
            <w:shd w:val="clear" w:color="auto" w:fill="FFFFFF"/>
          </w:tcPr>
          <w:p w14:paraId="6A1C9D9C" w14:textId="77777777" w:rsidR="0015321A" w:rsidRPr="00FD2055" w:rsidRDefault="0015321A" w:rsidP="0015321A">
            <w:pPr>
              <w:rPr>
                <w:b/>
                <w:color w:val="000000"/>
                <w:sz w:val="18"/>
                <w:szCs w:val="18"/>
              </w:rPr>
            </w:pPr>
            <w:r w:rsidRPr="00FD2055">
              <w:rPr>
                <w:b/>
                <w:color w:val="000000"/>
                <w:sz w:val="18"/>
                <w:szCs w:val="18"/>
              </w:rPr>
              <w:t>Reference</w:t>
            </w:r>
          </w:p>
        </w:tc>
      </w:tr>
      <w:tr w:rsidR="0015321A" w:rsidRPr="00FD2055" w14:paraId="2588F2DE" w14:textId="77777777" w:rsidTr="00526D5D">
        <w:trPr>
          <w:cantSplit/>
          <w:jc w:val="center"/>
        </w:trPr>
        <w:tc>
          <w:tcPr>
            <w:tcW w:w="0" w:type="auto"/>
            <w:vAlign w:val="center"/>
          </w:tcPr>
          <w:p w14:paraId="6ED22164" w14:textId="77777777" w:rsidR="0015321A" w:rsidRPr="00FD2055" w:rsidRDefault="0015321A" w:rsidP="0015321A">
            <w:pPr>
              <w:rPr>
                <w:i/>
                <w:color w:val="000000"/>
                <w:sz w:val="18"/>
                <w:szCs w:val="18"/>
              </w:rPr>
            </w:pPr>
            <w:r>
              <w:rPr>
                <w:color w:val="000000"/>
                <w:sz w:val="18"/>
                <w:szCs w:val="18"/>
              </w:rPr>
              <w:t>Disinfectant, bactericidal activity</w:t>
            </w:r>
          </w:p>
        </w:tc>
        <w:tc>
          <w:tcPr>
            <w:tcW w:w="0" w:type="auto"/>
            <w:vAlign w:val="center"/>
          </w:tcPr>
          <w:p w14:paraId="0E57FB2F" w14:textId="77777777" w:rsidR="0015321A" w:rsidRPr="00FD2055" w:rsidRDefault="0015321A" w:rsidP="0015321A">
            <w:pPr>
              <w:rPr>
                <w:i/>
                <w:color w:val="000000"/>
                <w:sz w:val="18"/>
                <w:szCs w:val="18"/>
              </w:rPr>
            </w:pPr>
            <w:r>
              <w:rPr>
                <w:color w:val="000000"/>
                <w:sz w:val="18"/>
                <w:szCs w:val="18"/>
              </w:rPr>
              <w:t>Medical, healthcare facilities, institutional and industrial areas</w:t>
            </w:r>
          </w:p>
        </w:tc>
        <w:tc>
          <w:tcPr>
            <w:tcW w:w="0" w:type="auto"/>
            <w:vAlign w:val="center"/>
          </w:tcPr>
          <w:p w14:paraId="604BE54E" w14:textId="77777777" w:rsidR="0015321A" w:rsidRDefault="0015321A" w:rsidP="0015321A">
            <w:pPr>
              <w:rPr>
                <w:color w:val="000000"/>
                <w:sz w:val="18"/>
                <w:szCs w:val="18"/>
              </w:rPr>
            </w:pPr>
            <w:r>
              <w:rPr>
                <w:color w:val="000000"/>
                <w:sz w:val="18"/>
                <w:szCs w:val="18"/>
              </w:rPr>
              <w:t>AL-S12-1-0</w:t>
            </w:r>
          </w:p>
          <w:p w14:paraId="5AA8DA1E" w14:textId="5F293007" w:rsidR="0015321A" w:rsidRPr="00FD2055" w:rsidRDefault="00817FE7" w:rsidP="0015321A">
            <w:pPr>
              <w:rPr>
                <w:i/>
                <w:color w:val="000000"/>
                <w:sz w:val="18"/>
                <w:szCs w:val="18"/>
              </w:rPr>
            </w:pPr>
            <w:r>
              <w:rPr>
                <w:color w:val="000000"/>
                <w:sz w:val="18"/>
                <w:szCs w:val="18"/>
              </w:rPr>
              <w:t>16</w:t>
            </w:r>
            <w:r w:rsidR="0015321A">
              <w:rPr>
                <w:color w:val="000000"/>
                <w:sz w:val="18"/>
                <w:szCs w:val="18"/>
              </w:rPr>
              <w:t>% lactic acid</w:t>
            </w:r>
          </w:p>
        </w:tc>
        <w:tc>
          <w:tcPr>
            <w:tcW w:w="0" w:type="auto"/>
            <w:vAlign w:val="center"/>
          </w:tcPr>
          <w:p w14:paraId="1AC4A99C" w14:textId="77777777" w:rsidR="0015321A" w:rsidRPr="00E12B02" w:rsidRDefault="0015321A" w:rsidP="0015321A">
            <w:pPr>
              <w:rPr>
                <w:i/>
                <w:color w:val="000000"/>
                <w:sz w:val="18"/>
                <w:szCs w:val="18"/>
                <w:lang w:val="fr-FR"/>
              </w:rPr>
            </w:pPr>
            <w:r w:rsidRPr="00E12B02">
              <w:rPr>
                <w:i/>
                <w:color w:val="000000"/>
                <w:sz w:val="18"/>
                <w:szCs w:val="18"/>
                <w:lang w:val="fr-FR"/>
              </w:rPr>
              <w:t>Pseudomonas aeruginosa</w:t>
            </w:r>
            <w:r w:rsidRPr="00E12B02">
              <w:rPr>
                <w:color w:val="000000"/>
                <w:sz w:val="18"/>
                <w:szCs w:val="18"/>
                <w:lang w:val="fr-FR"/>
              </w:rPr>
              <w:t xml:space="preserve"> </w:t>
            </w:r>
            <w:r w:rsidRPr="00E12B02">
              <w:rPr>
                <w:color w:val="000000"/>
                <w:sz w:val="18"/>
                <w:szCs w:val="18"/>
                <w:lang w:val="fr-FR"/>
              </w:rPr>
              <w:br/>
            </w:r>
            <w:r w:rsidRPr="00E12B02">
              <w:rPr>
                <w:i/>
                <w:color w:val="000000"/>
                <w:sz w:val="18"/>
                <w:szCs w:val="18"/>
                <w:lang w:val="fr-FR"/>
              </w:rPr>
              <w:t>Staphylococcus aureus</w:t>
            </w:r>
            <w:r w:rsidRPr="00E12B02">
              <w:rPr>
                <w:color w:val="000000"/>
                <w:sz w:val="18"/>
                <w:szCs w:val="18"/>
                <w:lang w:val="fr-FR"/>
              </w:rPr>
              <w:t xml:space="preserve"> </w:t>
            </w:r>
            <w:r w:rsidRPr="00E12B02">
              <w:rPr>
                <w:color w:val="000000"/>
                <w:sz w:val="18"/>
                <w:szCs w:val="18"/>
                <w:lang w:val="fr-FR"/>
              </w:rPr>
              <w:br/>
            </w:r>
            <w:r w:rsidRPr="00E12B02">
              <w:rPr>
                <w:i/>
                <w:color w:val="000000"/>
                <w:sz w:val="18"/>
                <w:szCs w:val="18"/>
                <w:lang w:val="fr-FR"/>
              </w:rPr>
              <w:t>Enterococcus hirae</w:t>
            </w:r>
            <w:r w:rsidRPr="00E12B02">
              <w:rPr>
                <w:color w:val="000000"/>
                <w:sz w:val="18"/>
                <w:szCs w:val="18"/>
                <w:lang w:val="fr-FR"/>
              </w:rPr>
              <w:t xml:space="preserve"> </w:t>
            </w:r>
          </w:p>
        </w:tc>
        <w:tc>
          <w:tcPr>
            <w:tcW w:w="0" w:type="auto"/>
            <w:vAlign w:val="center"/>
          </w:tcPr>
          <w:p w14:paraId="05AB910E" w14:textId="77777777" w:rsidR="0015321A" w:rsidRPr="00FD2055" w:rsidRDefault="0015321A" w:rsidP="0015321A">
            <w:pPr>
              <w:rPr>
                <w:color w:val="000000"/>
                <w:sz w:val="18"/>
                <w:szCs w:val="18"/>
              </w:rPr>
            </w:pPr>
            <w:r>
              <w:rPr>
                <w:color w:val="000000"/>
                <w:sz w:val="18"/>
                <w:szCs w:val="18"/>
              </w:rPr>
              <w:t>NF EN 13727 (2012) + A2 (December 2015)</w:t>
            </w:r>
          </w:p>
        </w:tc>
        <w:tc>
          <w:tcPr>
            <w:tcW w:w="3117" w:type="dxa"/>
            <w:vAlign w:val="center"/>
          </w:tcPr>
          <w:p w14:paraId="21E86F39" w14:textId="77777777" w:rsidR="0015321A" w:rsidRDefault="0015321A" w:rsidP="0015321A">
            <w:pPr>
              <w:rPr>
                <w:color w:val="000000"/>
                <w:sz w:val="18"/>
                <w:szCs w:val="18"/>
              </w:rPr>
            </w:pPr>
            <w:r>
              <w:rPr>
                <w:color w:val="000000"/>
                <w:sz w:val="18"/>
                <w:szCs w:val="18"/>
              </w:rPr>
              <w:t>Phase 2 step 1 (suspension test)</w:t>
            </w:r>
          </w:p>
          <w:p w14:paraId="6CFFACD4" w14:textId="77777777" w:rsidR="0015321A" w:rsidRDefault="0015321A" w:rsidP="0015321A">
            <w:pPr>
              <w:rPr>
                <w:color w:val="000000"/>
                <w:sz w:val="18"/>
                <w:szCs w:val="18"/>
              </w:rPr>
            </w:pPr>
            <w:r>
              <w:rPr>
                <w:color w:val="000000"/>
                <w:sz w:val="18"/>
                <w:szCs w:val="18"/>
              </w:rPr>
              <w:t xml:space="preserve">Concentrations of product tested (v/v) were: 1%, 10%, 20%, 40%, 80%. </w:t>
            </w:r>
          </w:p>
          <w:p w14:paraId="27963A07" w14:textId="265D0E45" w:rsidR="0015321A" w:rsidRDefault="0015321A" w:rsidP="0015321A">
            <w:pPr>
              <w:rPr>
                <w:color w:val="000000"/>
                <w:sz w:val="18"/>
                <w:szCs w:val="18"/>
              </w:rPr>
            </w:pPr>
            <w:r>
              <w:rPr>
                <w:color w:val="000000"/>
                <w:sz w:val="18"/>
                <w:szCs w:val="18"/>
              </w:rPr>
              <w:t xml:space="preserve">Contact time: 5 minutes </w:t>
            </w:r>
          </w:p>
          <w:p w14:paraId="493CDF81" w14:textId="77777777" w:rsidR="0015321A" w:rsidRDefault="0015321A" w:rsidP="0015321A">
            <w:pPr>
              <w:rPr>
                <w:color w:val="000000"/>
                <w:sz w:val="18"/>
                <w:szCs w:val="18"/>
              </w:rPr>
            </w:pPr>
            <w:r>
              <w:rPr>
                <w:color w:val="000000"/>
                <w:sz w:val="18"/>
                <w:szCs w:val="18"/>
              </w:rPr>
              <w:t>Temperature: 20°C</w:t>
            </w:r>
          </w:p>
          <w:p w14:paraId="3F574436" w14:textId="77777777" w:rsidR="0015321A" w:rsidRDefault="0015321A" w:rsidP="0015321A">
            <w:pPr>
              <w:rPr>
                <w:color w:val="000000"/>
                <w:sz w:val="18"/>
                <w:szCs w:val="18"/>
              </w:rPr>
            </w:pPr>
            <w:r>
              <w:rPr>
                <w:color w:val="000000"/>
                <w:sz w:val="18"/>
                <w:szCs w:val="18"/>
              </w:rPr>
              <w:t>Dirty conditions: 3 g/L BSA + 3ml/l sheep erythrocytes</w:t>
            </w:r>
          </w:p>
          <w:p w14:paraId="11E0981F" w14:textId="77777777" w:rsidR="0015321A" w:rsidRPr="00FD2055" w:rsidRDefault="0015321A" w:rsidP="0015321A">
            <w:pPr>
              <w:rPr>
                <w:color w:val="000000"/>
                <w:sz w:val="18"/>
                <w:szCs w:val="18"/>
              </w:rPr>
            </w:pPr>
            <w:r>
              <w:rPr>
                <w:color w:val="000000"/>
                <w:sz w:val="18"/>
                <w:szCs w:val="18"/>
              </w:rPr>
              <w:t>Criteria: ≥ 5 log unit reduction</w:t>
            </w:r>
          </w:p>
        </w:tc>
        <w:tc>
          <w:tcPr>
            <w:tcW w:w="1417" w:type="dxa"/>
            <w:vAlign w:val="center"/>
          </w:tcPr>
          <w:p w14:paraId="7038A231" w14:textId="77777777" w:rsidR="0015321A" w:rsidRDefault="0015321A" w:rsidP="0015321A">
            <w:pPr>
              <w:rPr>
                <w:color w:val="000000"/>
                <w:sz w:val="18"/>
                <w:szCs w:val="18"/>
              </w:rPr>
            </w:pPr>
          </w:p>
          <w:p w14:paraId="47B33633" w14:textId="77777777" w:rsidR="0015321A" w:rsidRPr="00FD2055" w:rsidRDefault="0015321A" w:rsidP="0015321A">
            <w:pPr>
              <w:rPr>
                <w:color w:val="000000"/>
                <w:sz w:val="18"/>
                <w:szCs w:val="18"/>
              </w:rPr>
            </w:pPr>
            <w:r>
              <w:rPr>
                <w:color w:val="000000"/>
                <w:sz w:val="18"/>
                <w:szCs w:val="18"/>
              </w:rPr>
              <w:t>Bactericidal activity demonstrated at 40% v/v</w:t>
            </w:r>
          </w:p>
        </w:tc>
        <w:tc>
          <w:tcPr>
            <w:tcW w:w="1374" w:type="dxa"/>
            <w:vAlign w:val="center"/>
          </w:tcPr>
          <w:p w14:paraId="41331ADE" w14:textId="77777777" w:rsidR="0015321A" w:rsidRDefault="0015321A" w:rsidP="0015321A">
            <w:pPr>
              <w:rPr>
                <w:color w:val="000000"/>
                <w:sz w:val="18"/>
                <w:szCs w:val="18"/>
              </w:rPr>
            </w:pPr>
            <w:r>
              <w:rPr>
                <w:color w:val="000000"/>
                <w:sz w:val="18"/>
                <w:szCs w:val="18"/>
              </w:rPr>
              <w:t>Huguet N., 2018, Report No 18.CM.18-144</w:t>
            </w:r>
          </w:p>
          <w:p w14:paraId="609A9668" w14:textId="77777777" w:rsidR="0015321A" w:rsidRPr="00FD2055" w:rsidRDefault="0015321A" w:rsidP="0015321A">
            <w:pPr>
              <w:rPr>
                <w:i/>
                <w:color w:val="000000"/>
                <w:sz w:val="18"/>
                <w:szCs w:val="18"/>
              </w:rPr>
            </w:pPr>
            <w:r>
              <w:rPr>
                <w:color w:val="000000"/>
                <w:sz w:val="18"/>
                <w:szCs w:val="18"/>
              </w:rPr>
              <w:t>RI=1</w:t>
            </w:r>
          </w:p>
        </w:tc>
      </w:tr>
      <w:tr w:rsidR="0015321A" w:rsidRPr="00FD2055" w14:paraId="486F00FA" w14:textId="77777777" w:rsidTr="00526D5D">
        <w:trPr>
          <w:cantSplit/>
          <w:jc w:val="center"/>
        </w:trPr>
        <w:tc>
          <w:tcPr>
            <w:tcW w:w="0" w:type="auto"/>
            <w:vAlign w:val="center"/>
          </w:tcPr>
          <w:p w14:paraId="11D9F562" w14:textId="77777777" w:rsidR="0015321A" w:rsidRPr="00FD2055" w:rsidRDefault="0015321A" w:rsidP="0015321A">
            <w:pPr>
              <w:rPr>
                <w:i/>
                <w:color w:val="000000"/>
                <w:sz w:val="18"/>
                <w:szCs w:val="18"/>
              </w:rPr>
            </w:pPr>
            <w:r>
              <w:rPr>
                <w:color w:val="000000"/>
                <w:sz w:val="18"/>
                <w:szCs w:val="18"/>
              </w:rPr>
              <w:t>Disinfectant, yeasticidal activity</w:t>
            </w:r>
          </w:p>
        </w:tc>
        <w:tc>
          <w:tcPr>
            <w:tcW w:w="0" w:type="auto"/>
            <w:vAlign w:val="center"/>
          </w:tcPr>
          <w:p w14:paraId="71A7760F" w14:textId="77777777" w:rsidR="0015321A" w:rsidRPr="00FD2055" w:rsidRDefault="0015321A" w:rsidP="0015321A">
            <w:pPr>
              <w:rPr>
                <w:i/>
                <w:color w:val="000000"/>
                <w:sz w:val="18"/>
                <w:szCs w:val="18"/>
              </w:rPr>
            </w:pPr>
            <w:r>
              <w:rPr>
                <w:color w:val="000000"/>
                <w:sz w:val="18"/>
                <w:szCs w:val="18"/>
              </w:rPr>
              <w:t>Medical, healthcare facilities, institutional and industrial areas</w:t>
            </w:r>
          </w:p>
        </w:tc>
        <w:tc>
          <w:tcPr>
            <w:tcW w:w="0" w:type="auto"/>
            <w:vAlign w:val="center"/>
          </w:tcPr>
          <w:p w14:paraId="406905E6" w14:textId="77777777" w:rsidR="0015321A" w:rsidRDefault="0015321A" w:rsidP="0015321A">
            <w:pPr>
              <w:rPr>
                <w:color w:val="000000"/>
                <w:sz w:val="18"/>
                <w:szCs w:val="18"/>
              </w:rPr>
            </w:pPr>
            <w:r>
              <w:rPr>
                <w:color w:val="000000"/>
                <w:sz w:val="18"/>
                <w:szCs w:val="18"/>
              </w:rPr>
              <w:t>AL-S12-1-0</w:t>
            </w:r>
          </w:p>
          <w:p w14:paraId="18142A7D" w14:textId="743A829E" w:rsidR="0015321A" w:rsidRPr="00FD2055" w:rsidRDefault="00817FE7" w:rsidP="0015321A">
            <w:pPr>
              <w:rPr>
                <w:i/>
                <w:color w:val="000000"/>
                <w:sz w:val="18"/>
                <w:szCs w:val="18"/>
              </w:rPr>
            </w:pPr>
            <w:r>
              <w:rPr>
                <w:color w:val="000000"/>
                <w:sz w:val="18"/>
                <w:szCs w:val="18"/>
              </w:rPr>
              <w:t>16</w:t>
            </w:r>
            <w:r w:rsidR="0015321A">
              <w:rPr>
                <w:color w:val="000000"/>
                <w:sz w:val="18"/>
                <w:szCs w:val="18"/>
              </w:rPr>
              <w:t>% lactic acid</w:t>
            </w:r>
          </w:p>
        </w:tc>
        <w:tc>
          <w:tcPr>
            <w:tcW w:w="0" w:type="auto"/>
            <w:vAlign w:val="center"/>
          </w:tcPr>
          <w:p w14:paraId="58AEC065" w14:textId="77777777" w:rsidR="0015321A" w:rsidRPr="00FD2055" w:rsidRDefault="0015321A"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4317CB5E" w14:textId="77777777" w:rsidR="0015321A" w:rsidRPr="00FD2055" w:rsidRDefault="0015321A" w:rsidP="0015321A">
            <w:pPr>
              <w:rPr>
                <w:color w:val="000000"/>
                <w:sz w:val="18"/>
                <w:szCs w:val="18"/>
              </w:rPr>
            </w:pPr>
            <w:r>
              <w:rPr>
                <w:color w:val="000000"/>
                <w:sz w:val="18"/>
                <w:szCs w:val="18"/>
              </w:rPr>
              <w:t>NF EN 13624 (November 2013)</w:t>
            </w:r>
          </w:p>
        </w:tc>
        <w:tc>
          <w:tcPr>
            <w:tcW w:w="3117" w:type="dxa"/>
            <w:vAlign w:val="center"/>
          </w:tcPr>
          <w:p w14:paraId="2595E202" w14:textId="77777777" w:rsidR="0015321A" w:rsidRDefault="0015321A" w:rsidP="0015321A">
            <w:pPr>
              <w:rPr>
                <w:color w:val="000000"/>
                <w:sz w:val="18"/>
                <w:szCs w:val="18"/>
              </w:rPr>
            </w:pPr>
            <w:r>
              <w:rPr>
                <w:color w:val="000000"/>
                <w:sz w:val="18"/>
                <w:szCs w:val="18"/>
              </w:rPr>
              <w:t>Phase 2 step 1 (suspension test)</w:t>
            </w:r>
          </w:p>
          <w:p w14:paraId="020C3269" w14:textId="77777777" w:rsidR="0015321A" w:rsidRDefault="0015321A" w:rsidP="0015321A">
            <w:pPr>
              <w:rPr>
                <w:color w:val="000000"/>
                <w:sz w:val="18"/>
                <w:szCs w:val="18"/>
              </w:rPr>
            </w:pPr>
            <w:r>
              <w:rPr>
                <w:color w:val="000000"/>
                <w:sz w:val="18"/>
                <w:szCs w:val="18"/>
              </w:rPr>
              <w:t xml:space="preserve">Concentrations of product tested (v/v) were: 1%, 20%, 40%. </w:t>
            </w:r>
          </w:p>
          <w:p w14:paraId="28F69BCC" w14:textId="74E64935" w:rsidR="0015321A" w:rsidRDefault="0015321A" w:rsidP="0015321A">
            <w:pPr>
              <w:rPr>
                <w:color w:val="000000"/>
                <w:sz w:val="18"/>
                <w:szCs w:val="18"/>
              </w:rPr>
            </w:pPr>
            <w:r>
              <w:rPr>
                <w:color w:val="000000"/>
                <w:sz w:val="18"/>
                <w:szCs w:val="18"/>
              </w:rPr>
              <w:t xml:space="preserve">Contact time: 5 minutes </w:t>
            </w:r>
          </w:p>
          <w:p w14:paraId="17C396B0" w14:textId="77777777" w:rsidR="0015321A" w:rsidRDefault="0015321A" w:rsidP="0015321A">
            <w:pPr>
              <w:rPr>
                <w:color w:val="000000"/>
                <w:sz w:val="18"/>
                <w:szCs w:val="18"/>
              </w:rPr>
            </w:pPr>
            <w:r>
              <w:rPr>
                <w:color w:val="000000"/>
                <w:sz w:val="18"/>
                <w:szCs w:val="18"/>
              </w:rPr>
              <w:t>Temperature: 20°C</w:t>
            </w:r>
          </w:p>
          <w:p w14:paraId="4578A38C" w14:textId="77777777" w:rsidR="0015321A" w:rsidRDefault="0015321A" w:rsidP="0015321A">
            <w:pPr>
              <w:rPr>
                <w:color w:val="000000"/>
                <w:sz w:val="18"/>
                <w:szCs w:val="18"/>
              </w:rPr>
            </w:pPr>
            <w:r>
              <w:rPr>
                <w:color w:val="000000"/>
                <w:sz w:val="18"/>
                <w:szCs w:val="18"/>
              </w:rPr>
              <w:t>Dirty conditions: 3 g/L BSA + 3ml/l sheep erythrocytes</w:t>
            </w:r>
          </w:p>
          <w:p w14:paraId="402701E2" w14:textId="77777777" w:rsidR="0015321A" w:rsidRPr="00FD2055" w:rsidRDefault="0015321A" w:rsidP="0015321A">
            <w:pPr>
              <w:rPr>
                <w:color w:val="000000"/>
                <w:sz w:val="18"/>
                <w:szCs w:val="18"/>
              </w:rPr>
            </w:pPr>
            <w:r>
              <w:rPr>
                <w:color w:val="000000"/>
                <w:sz w:val="18"/>
                <w:szCs w:val="18"/>
              </w:rPr>
              <w:t>Criteria: ≥ 4 log unit reduction</w:t>
            </w:r>
          </w:p>
        </w:tc>
        <w:tc>
          <w:tcPr>
            <w:tcW w:w="1417" w:type="dxa"/>
            <w:vAlign w:val="center"/>
          </w:tcPr>
          <w:p w14:paraId="338014A4" w14:textId="77777777" w:rsidR="0015321A" w:rsidRDefault="0015321A" w:rsidP="0015321A">
            <w:pPr>
              <w:rPr>
                <w:color w:val="000000"/>
                <w:sz w:val="18"/>
                <w:szCs w:val="18"/>
              </w:rPr>
            </w:pPr>
          </w:p>
          <w:p w14:paraId="53A4B3BD" w14:textId="77777777" w:rsidR="0015321A" w:rsidRPr="00FD2055" w:rsidRDefault="0015321A" w:rsidP="0015321A">
            <w:pPr>
              <w:rPr>
                <w:color w:val="000000"/>
                <w:sz w:val="18"/>
                <w:szCs w:val="18"/>
              </w:rPr>
            </w:pPr>
            <w:r>
              <w:rPr>
                <w:color w:val="000000"/>
                <w:sz w:val="18"/>
                <w:szCs w:val="18"/>
              </w:rPr>
              <w:t>Yeasticidal activity demonstrated at 20% v/v</w:t>
            </w:r>
          </w:p>
        </w:tc>
        <w:tc>
          <w:tcPr>
            <w:tcW w:w="1374" w:type="dxa"/>
            <w:vAlign w:val="center"/>
          </w:tcPr>
          <w:p w14:paraId="70904388" w14:textId="77777777" w:rsidR="0015321A" w:rsidRDefault="0015321A" w:rsidP="0015321A">
            <w:pPr>
              <w:rPr>
                <w:color w:val="000000"/>
                <w:sz w:val="18"/>
                <w:szCs w:val="18"/>
              </w:rPr>
            </w:pPr>
            <w:r>
              <w:rPr>
                <w:color w:val="000000"/>
                <w:sz w:val="18"/>
                <w:szCs w:val="18"/>
              </w:rPr>
              <w:t>Huguet N., 2018, Report No 18.CM.18-146</w:t>
            </w:r>
          </w:p>
          <w:p w14:paraId="697BAB7E" w14:textId="77777777" w:rsidR="0015321A" w:rsidRPr="00FD2055" w:rsidRDefault="0015321A" w:rsidP="0015321A">
            <w:pPr>
              <w:rPr>
                <w:i/>
                <w:color w:val="000000"/>
                <w:sz w:val="18"/>
                <w:szCs w:val="18"/>
              </w:rPr>
            </w:pPr>
            <w:r>
              <w:rPr>
                <w:color w:val="000000"/>
                <w:sz w:val="18"/>
                <w:szCs w:val="18"/>
              </w:rPr>
              <w:t>RI=1</w:t>
            </w:r>
          </w:p>
        </w:tc>
      </w:tr>
      <w:tr w:rsidR="0015321A" w:rsidRPr="00FD2055" w14:paraId="4FA4EEEB" w14:textId="77777777" w:rsidTr="00526D5D">
        <w:trPr>
          <w:cantSplit/>
          <w:jc w:val="center"/>
        </w:trPr>
        <w:tc>
          <w:tcPr>
            <w:tcW w:w="0" w:type="auto"/>
            <w:vAlign w:val="center"/>
          </w:tcPr>
          <w:p w14:paraId="6585487D" w14:textId="77777777" w:rsidR="0015321A" w:rsidRPr="00FD2055" w:rsidRDefault="0015321A" w:rsidP="0015321A">
            <w:pPr>
              <w:rPr>
                <w:i/>
                <w:color w:val="000000"/>
                <w:sz w:val="18"/>
                <w:szCs w:val="18"/>
              </w:rPr>
            </w:pPr>
            <w:r>
              <w:rPr>
                <w:color w:val="000000"/>
                <w:sz w:val="18"/>
                <w:szCs w:val="18"/>
              </w:rPr>
              <w:t>Disinfectant, bactericidal activity</w:t>
            </w:r>
          </w:p>
        </w:tc>
        <w:tc>
          <w:tcPr>
            <w:tcW w:w="0" w:type="auto"/>
            <w:vAlign w:val="center"/>
          </w:tcPr>
          <w:p w14:paraId="453AE32A" w14:textId="77777777" w:rsidR="0015321A" w:rsidRPr="00FD2055" w:rsidRDefault="0015321A" w:rsidP="0015321A">
            <w:pPr>
              <w:rPr>
                <w:i/>
                <w:color w:val="000000"/>
                <w:sz w:val="18"/>
                <w:szCs w:val="18"/>
              </w:rPr>
            </w:pPr>
            <w:r>
              <w:rPr>
                <w:color w:val="000000"/>
                <w:sz w:val="18"/>
                <w:szCs w:val="18"/>
              </w:rPr>
              <w:t>Medical, healthcare facilities, institutional and industrial areas</w:t>
            </w:r>
          </w:p>
        </w:tc>
        <w:tc>
          <w:tcPr>
            <w:tcW w:w="0" w:type="auto"/>
            <w:vAlign w:val="center"/>
          </w:tcPr>
          <w:p w14:paraId="7F29907B" w14:textId="77777777" w:rsidR="0015321A" w:rsidRDefault="0015321A" w:rsidP="0015321A">
            <w:pPr>
              <w:rPr>
                <w:color w:val="000000"/>
                <w:sz w:val="18"/>
                <w:szCs w:val="18"/>
              </w:rPr>
            </w:pPr>
            <w:r>
              <w:rPr>
                <w:color w:val="000000"/>
                <w:sz w:val="18"/>
                <w:szCs w:val="18"/>
              </w:rPr>
              <w:t>AL-S12-1-0</w:t>
            </w:r>
          </w:p>
          <w:p w14:paraId="7898B0CC" w14:textId="132FD74F" w:rsidR="0015321A" w:rsidRPr="00FD2055" w:rsidRDefault="00817FE7" w:rsidP="0015321A">
            <w:pPr>
              <w:rPr>
                <w:i/>
                <w:color w:val="000000"/>
                <w:sz w:val="18"/>
                <w:szCs w:val="18"/>
              </w:rPr>
            </w:pPr>
            <w:r>
              <w:rPr>
                <w:color w:val="000000"/>
                <w:sz w:val="18"/>
                <w:szCs w:val="18"/>
              </w:rPr>
              <w:t>16</w:t>
            </w:r>
            <w:r w:rsidR="0015321A">
              <w:rPr>
                <w:color w:val="000000"/>
                <w:sz w:val="18"/>
                <w:szCs w:val="18"/>
              </w:rPr>
              <w:t>% lactic acid</w:t>
            </w:r>
          </w:p>
        </w:tc>
        <w:tc>
          <w:tcPr>
            <w:tcW w:w="0" w:type="auto"/>
            <w:vAlign w:val="center"/>
          </w:tcPr>
          <w:p w14:paraId="14C37487"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0" w:type="auto"/>
            <w:vAlign w:val="center"/>
          </w:tcPr>
          <w:p w14:paraId="295A209B" w14:textId="2617AC83" w:rsidR="0015321A" w:rsidRPr="00FD2055" w:rsidRDefault="0015321A" w:rsidP="0015321A">
            <w:pPr>
              <w:rPr>
                <w:color w:val="000000"/>
                <w:sz w:val="18"/>
                <w:szCs w:val="18"/>
              </w:rPr>
            </w:pPr>
            <w:r>
              <w:rPr>
                <w:color w:val="000000"/>
                <w:sz w:val="18"/>
                <w:szCs w:val="18"/>
              </w:rPr>
              <w:t>NF EN 13697 (</w:t>
            </w:r>
            <w:r w:rsidR="00A01F6A">
              <w:rPr>
                <w:color w:val="000000"/>
                <w:sz w:val="18"/>
                <w:szCs w:val="18"/>
              </w:rPr>
              <w:t>J</w:t>
            </w:r>
            <w:r>
              <w:rPr>
                <w:color w:val="000000"/>
                <w:sz w:val="18"/>
                <w:szCs w:val="18"/>
              </w:rPr>
              <w:t>une 2015)</w:t>
            </w:r>
          </w:p>
        </w:tc>
        <w:tc>
          <w:tcPr>
            <w:tcW w:w="3117" w:type="dxa"/>
            <w:vAlign w:val="center"/>
          </w:tcPr>
          <w:p w14:paraId="332A0BBF" w14:textId="5A336816" w:rsidR="0015321A" w:rsidRDefault="0015321A" w:rsidP="0015321A">
            <w:pPr>
              <w:rPr>
                <w:color w:val="000000"/>
                <w:sz w:val="18"/>
                <w:szCs w:val="18"/>
              </w:rPr>
            </w:pPr>
            <w:r>
              <w:rPr>
                <w:color w:val="000000"/>
                <w:sz w:val="18"/>
                <w:szCs w:val="18"/>
              </w:rPr>
              <w:t>Phase 2 step 2 (su</w:t>
            </w:r>
            <w:r w:rsidR="00A01F6A">
              <w:rPr>
                <w:color w:val="000000"/>
                <w:sz w:val="18"/>
                <w:szCs w:val="18"/>
              </w:rPr>
              <w:t xml:space="preserve">rface </w:t>
            </w:r>
            <w:r>
              <w:rPr>
                <w:color w:val="000000"/>
                <w:sz w:val="18"/>
                <w:szCs w:val="18"/>
              </w:rPr>
              <w:t>test)</w:t>
            </w:r>
          </w:p>
          <w:p w14:paraId="6F116651" w14:textId="191232DD" w:rsidR="0015321A" w:rsidRDefault="0015321A" w:rsidP="0015321A">
            <w:pPr>
              <w:rPr>
                <w:color w:val="000000"/>
                <w:sz w:val="18"/>
                <w:szCs w:val="18"/>
              </w:rPr>
            </w:pPr>
            <w:r>
              <w:rPr>
                <w:color w:val="000000"/>
                <w:sz w:val="18"/>
                <w:szCs w:val="18"/>
              </w:rPr>
              <w:t>Concentrations of product tested (v/v) were: 5%</w:t>
            </w:r>
            <w:r w:rsidR="00A01F6A">
              <w:rPr>
                <w:color w:val="000000"/>
                <w:sz w:val="18"/>
                <w:szCs w:val="18"/>
              </w:rPr>
              <w:t>,</w:t>
            </w:r>
            <w:r>
              <w:rPr>
                <w:color w:val="000000"/>
                <w:sz w:val="18"/>
                <w:szCs w:val="18"/>
              </w:rPr>
              <w:t xml:space="preserve"> 50% and 100%. </w:t>
            </w:r>
          </w:p>
          <w:p w14:paraId="098F2528" w14:textId="770AF799" w:rsidR="0015321A" w:rsidRDefault="0015321A" w:rsidP="0015321A">
            <w:pPr>
              <w:rPr>
                <w:color w:val="000000"/>
                <w:sz w:val="18"/>
                <w:szCs w:val="18"/>
              </w:rPr>
            </w:pPr>
            <w:r>
              <w:rPr>
                <w:color w:val="000000"/>
                <w:sz w:val="18"/>
                <w:szCs w:val="18"/>
              </w:rPr>
              <w:t xml:space="preserve">Contact time: 5 minutes </w:t>
            </w:r>
          </w:p>
          <w:p w14:paraId="539124CE" w14:textId="77777777" w:rsidR="0015321A" w:rsidRDefault="0015321A" w:rsidP="0015321A">
            <w:pPr>
              <w:rPr>
                <w:color w:val="000000"/>
                <w:sz w:val="18"/>
                <w:szCs w:val="18"/>
              </w:rPr>
            </w:pPr>
            <w:r>
              <w:rPr>
                <w:color w:val="000000"/>
                <w:sz w:val="18"/>
                <w:szCs w:val="18"/>
              </w:rPr>
              <w:t>Temperature: 20°C</w:t>
            </w:r>
          </w:p>
          <w:p w14:paraId="023DD24C" w14:textId="77777777" w:rsidR="0015321A" w:rsidRDefault="0015321A" w:rsidP="0015321A">
            <w:pPr>
              <w:rPr>
                <w:color w:val="000000"/>
                <w:sz w:val="18"/>
                <w:szCs w:val="18"/>
              </w:rPr>
            </w:pPr>
            <w:r>
              <w:rPr>
                <w:color w:val="000000"/>
                <w:sz w:val="18"/>
                <w:szCs w:val="18"/>
              </w:rPr>
              <w:t>Dirty conditions: 3 g/L BSA + 3ml/l sheep erythrocytes</w:t>
            </w:r>
          </w:p>
          <w:p w14:paraId="18B970D3" w14:textId="77777777" w:rsidR="0015321A" w:rsidRPr="00FD2055" w:rsidRDefault="0015321A" w:rsidP="0015321A">
            <w:pPr>
              <w:rPr>
                <w:color w:val="000000"/>
                <w:sz w:val="18"/>
                <w:szCs w:val="18"/>
              </w:rPr>
            </w:pPr>
            <w:r>
              <w:rPr>
                <w:color w:val="000000"/>
                <w:sz w:val="18"/>
                <w:szCs w:val="18"/>
              </w:rPr>
              <w:t>Criteria: ≥ 4 log unit reduction.</w:t>
            </w:r>
          </w:p>
        </w:tc>
        <w:tc>
          <w:tcPr>
            <w:tcW w:w="1417" w:type="dxa"/>
            <w:vAlign w:val="center"/>
          </w:tcPr>
          <w:p w14:paraId="6F3BF930" w14:textId="77777777" w:rsidR="0015321A" w:rsidRPr="00FD2055" w:rsidRDefault="0015321A" w:rsidP="0015321A">
            <w:pPr>
              <w:rPr>
                <w:color w:val="000000"/>
                <w:sz w:val="18"/>
                <w:szCs w:val="18"/>
              </w:rPr>
            </w:pPr>
            <w:r>
              <w:rPr>
                <w:color w:val="000000"/>
                <w:sz w:val="18"/>
                <w:szCs w:val="18"/>
              </w:rPr>
              <w:t>Bactericidal activity demonstrated at 5% v/v</w:t>
            </w:r>
          </w:p>
        </w:tc>
        <w:tc>
          <w:tcPr>
            <w:tcW w:w="1374" w:type="dxa"/>
            <w:vAlign w:val="center"/>
          </w:tcPr>
          <w:p w14:paraId="6AD393E8" w14:textId="77777777" w:rsidR="0015321A" w:rsidRDefault="0015321A" w:rsidP="0015321A">
            <w:pPr>
              <w:rPr>
                <w:color w:val="000000"/>
                <w:sz w:val="18"/>
                <w:szCs w:val="18"/>
              </w:rPr>
            </w:pPr>
            <w:r>
              <w:rPr>
                <w:color w:val="000000"/>
                <w:sz w:val="18"/>
                <w:szCs w:val="18"/>
              </w:rPr>
              <w:t>Gabillet AF., 2019, Report No 5262-1</w:t>
            </w:r>
          </w:p>
          <w:p w14:paraId="51DE13A8" w14:textId="77777777" w:rsidR="0015321A" w:rsidRPr="00FD2055" w:rsidRDefault="0015321A" w:rsidP="0015321A">
            <w:pPr>
              <w:rPr>
                <w:i/>
                <w:color w:val="000000"/>
                <w:sz w:val="18"/>
                <w:szCs w:val="18"/>
              </w:rPr>
            </w:pPr>
            <w:r>
              <w:rPr>
                <w:color w:val="000000"/>
                <w:sz w:val="18"/>
                <w:szCs w:val="18"/>
              </w:rPr>
              <w:t>RI=1</w:t>
            </w:r>
          </w:p>
        </w:tc>
      </w:tr>
      <w:tr w:rsidR="0015321A" w:rsidRPr="00FD2055" w14:paraId="6CCB76A9" w14:textId="77777777" w:rsidTr="00526D5D">
        <w:trPr>
          <w:cantSplit/>
          <w:jc w:val="center"/>
        </w:trPr>
        <w:tc>
          <w:tcPr>
            <w:tcW w:w="0" w:type="auto"/>
            <w:vAlign w:val="center"/>
          </w:tcPr>
          <w:p w14:paraId="056E93E0" w14:textId="77777777" w:rsidR="0015321A" w:rsidRPr="00FD2055" w:rsidRDefault="0015321A" w:rsidP="0015321A">
            <w:pPr>
              <w:rPr>
                <w:i/>
                <w:color w:val="000000"/>
                <w:sz w:val="18"/>
                <w:szCs w:val="18"/>
              </w:rPr>
            </w:pPr>
            <w:r>
              <w:rPr>
                <w:color w:val="000000"/>
                <w:sz w:val="18"/>
                <w:szCs w:val="18"/>
              </w:rPr>
              <w:t>Disinfectant, yeasticidal activity</w:t>
            </w:r>
          </w:p>
        </w:tc>
        <w:tc>
          <w:tcPr>
            <w:tcW w:w="0" w:type="auto"/>
            <w:vAlign w:val="center"/>
          </w:tcPr>
          <w:p w14:paraId="7E2BBE6E" w14:textId="77777777" w:rsidR="0015321A" w:rsidRPr="00FD2055" w:rsidRDefault="0015321A" w:rsidP="0015321A">
            <w:pPr>
              <w:rPr>
                <w:i/>
                <w:color w:val="000000"/>
                <w:sz w:val="18"/>
                <w:szCs w:val="18"/>
              </w:rPr>
            </w:pPr>
            <w:r>
              <w:rPr>
                <w:color w:val="000000"/>
                <w:sz w:val="18"/>
                <w:szCs w:val="18"/>
              </w:rPr>
              <w:t>Medical, healthcare facilities, institutional and industrial areas</w:t>
            </w:r>
          </w:p>
        </w:tc>
        <w:tc>
          <w:tcPr>
            <w:tcW w:w="0" w:type="auto"/>
            <w:vAlign w:val="center"/>
          </w:tcPr>
          <w:p w14:paraId="6F357BCB" w14:textId="77777777" w:rsidR="0015321A" w:rsidRDefault="0015321A" w:rsidP="0015321A">
            <w:pPr>
              <w:rPr>
                <w:color w:val="000000"/>
                <w:sz w:val="18"/>
                <w:szCs w:val="18"/>
              </w:rPr>
            </w:pPr>
            <w:r>
              <w:rPr>
                <w:color w:val="000000"/>
                <w:sz w:val="18"/>
                <w:szCs w:val="18"/>
              </w:rPr>
              <w:t>AL-S12-1-0</w:t>
            </w:r>
          </w:p>
          <w:p w14:paraId="71DB0212" w14:textId="7387A4D9" w:rsidR="0015321A" w:rsidRPr="00FD2055" w:rsidRDefault="00817FE7" w:rsidP="0015321A">
            <w:pPr>
              <w:rPr>
                <w:i/>
                <w:color w:val="000000"/>
                <w:sz w:val="18"/>
                <w:szCs w:val="18"/>
              </w:rPr>
            </w:pPr>
            <w:r>
              <w:rPr>
                <w:color w:val="000000"/>
                <w:sz w:val="18"/>
                <w:szCs w:val="18"/>
              </w:rPr>
              <w:t>16</w:t>
            </w:r>
            <w:r w:rsidR="0015321A">
              <w:rPr>
                <w:color w:val="000000"/>
                <w:sz w:val="18"/>
                <w:szCs w:val="18"/>
              </w:rPr>
              <w:t>% lactic acid</w:t>
            </w:r>
          </w:p>
        </w:tc>
        <w:tc>
          <w:tcPr>
            <w:tcW w:w="0" w:type="auto"/>
            <w:vAlign w:val="center"/>
          </w:tcPr>
          <w:p w14:paraId="79EB58F5" w14:textId="77777777" w:rsidR="0015321A" w:rsidRPr="00FD2055" w:rsidRDefault="0015321A" w:rsidP="0015321A">
            <w:pPr>
              <w:rPr>
                <w:i/>
                <w:color w:val="000000"/>
                <w:sz w:val="18"/>
                <w:szCs w:val="18"/>
              </w:rPr>
            </w:pPr>
            <w:r w:rsidRPr="005D3939">
              <w:rPr>
                <w:i/>
                <w:color w:val="000000"/>
                <w:sz w:val="18"/>
                <w:szCs w:val="18"/>
              </w:rPr>
              <w:t>Candida albicans</w:t>
            </w:r>
            <w:r>
              <w:rPr>
                <w:color w:val="000000"/>
                <w:sz w:val="18"/>
                <w:szCs w:val="18"/>
              </w:rPr>
              <w:t xml:space="preserve"> </w:t>
            </w:r>
          </w:p>
        </w:tc>
        <w:tc>
          <w:tcPr>
            <w:tcW w:w="0" w:type="auto"/>
            <w:vAlign w:val="center"/>
          </w:tcPr>
          <w:p w14:paraId="54C0A8E9" w14:textId="77777777" w:rsidR="0015321A" w:rsidRPr="00FD2055" w:rsidRDefault="0015321A" w:rsidP="0015321A">
            <w:pPr>
              <w:rPr>
                <w:color w:val="000000"/>
                <w:sz w:val="18"/>
                <w:szCs w:val="18"/>
              </w:rPr>
            </w:pPr>
            <w:r>
              <w:rPr>
                <w:color w:val="000000"/>
                <w:sz w:val="18"/>
                <w:szCs w:val="18"/>
              </w:rPr>
              <w:t>NF EN 13697 (June 2015)</w:t>
            </w:r>
          </w:p>
        </w:tc>
        <w:tc>
          <w:tcPr>
            <w:tcW w:w="3117" w:type="dxa"/>
            <w:vAlign w:val="center"/>
          </w:tcPr>
          <w:p w14:paraId="7E1CE0DC" w14:textId="6B80FB46" w:rsidR="0015321A" w:rsidRDefault="0015321A" w:rsidP="0015321A">
            <w:pPr>
              <w:rPr>
                <w:color w:val="000000"/>
                <w:sz w:val="18"/>
                <w:szCs w:val="18"/>
              </w:rPr>
            </w:pPr>
            <w:r>
              <w:rPr>
                <w:color w:val="000000"/>
                <w:sz w:val="18"/>
                <w:szCs w:val="18"/>
              </w:rPr>
              <w:t>Phase 2 step 2 (su</w:t>
            </w:r>
            <w:r w:rsidR="00A01F6A">
              <w:rPr>
                <w:color w:val="000000"/>
                <w:sz w:val="18"/>
                <w:szCs w:val="18"/>
              </w:rPr>
              <w:t>rface</w:t>
            </w:r>
            <w:r>
              <w:rPr>
                <w:color w:val="000000"/>
                <w:sz w:val="18"/>
                <w:szCs w:val="18"/>
              </w:rPr>
              <w:t xml:space="preserve"> test)</w:t>
            </w:r>
          </w:p>
          <w:p w14:paraId="34EB5F8B" w14:textId="77777777" w:rsidR="0015321A" w:rsidRDefault="0015321A" w:rsidP="0015321A">
            <w:pPr>
              <w:rPr>
                <w:color w:val="000000"/>
                <w:sz w:val="18"/>
                <w:szCs w:val="18"/>
              </w:rPr>
            </w:pPr>
            <w:r>
              <w:rPr>
                <w:color w:val="000000"/>
                <w:sz w:val="18"/>
                <w:szCs w:val="18"/>
              </w:rPr>
              <w:t xml:space="preserve">Concentrations of product tested (v/v) were: 10%, 50%, 100%. </w:t>
            </w:r>
          </w:p>
          <w:p w14:paraId="44BD28A5" w14:textId="22DF0918" w:rsidR="0015321A" w:rsidRDefault="0015321A" w:rsidP="0015321A">
            <w:pPr>
              <w:rPr>
                <w:color w:val="000000"/>
                <w:sz w:val="18"/>
                <w:szCs w:val="18"/>
              </w:rPr>
            </w:pPr>
            <w:r>
              <w:rPr>
                <w:color w:val="000000"/>
                <w:sz w:val="18"/>
                <w:szCs w:val="18"/>
              </w:rPr>
              <w:t xml:space="preserve">Contact time: 5 minutes </w:t>
            </w:r>
          </w:p>
          <w:p w14:paraId="27CD10EB" w14:textId="77777777" w:rsidR="0015321A" w:rsidRDefault="0015321A" w:rsidP="0015321A">
            <w:pPr>
              <w:rPr>
                <w:color w:val="000000"/>
                <w:sz w:val="18"/>
                <w:szCs w:val="18"/>
              </w:rPr>
            </w:pPr>
            <w:r>
              <w:rPr>
                <w:color w:val="000000"/>
                <w:sz w:val="18"/>
                <w:szCs w:val="18"/>
              </w:rPr>
              <w:t>Temperature: 18-25°C</w:t>
            </w:r>
          </w:p>
          <w:p w14:paraId="010ECC16" w14:textId="77777777" w:rsidR="0015321A" w:rsidRDefault="0015321A" w:rsidP="0015321A">
            <w:pPr>
              <w:rPr>
                <w:color w:val="000000"/>
                <w:sz w:val="18"/>
                <w:szCs w:val="18"/>
              </w:rPr>
            </w:pPr>
            <w:r>
              <w:rPr>
                <w:color w:val="000000"/>
                <w:sz w:val="18"/>
                <w:szCs w:val="18"/>
              </w:rPr>
              <w:t>Dirty conditions: 3 g/L BSA + 3ml/l sheep erythrocytes</w:t>
            </w:r>
          </w:p>
          <w:p w14:paraId="2FB80AC3" w14:textId="77777777" w:rsidR="0015321A" w:rsidRPr="00FD2055" w:rsidRDefault="0015321A" w:rsidP="0015321A">
            <w:pPr>
              <w:rPr>
                <w:color w:val="000000"/>
                <w:sz w:val="18"/>
                <w:szCs w:val="18"/>
              </w:rPr>
            </w:pPr>
            <w:r>
              <w:rPr>
                <w:color w:val="000000"/>
                <w:sz w:val="18"/>
                <w:szCs w:val="18"/>
              </w:rPr>
              <w:t>Criteria: ≥ 3 log unit reduction.</w:t>
            </w:r>
          </w:p>
        </w:tc>
        <w:tc>
          <w:tcPr>
            <w:tcW w:w="1417" w:type="dxa"/>
            <w:vAlign w:val="center"/>
          </w:tcPr>
          <w:p w14:paraId="4281991B" w14:textId="73DDDE54" w:rsidR="0015321A" w:rsidRPr="00FD2055" w:rsidRDefault="0015321A" w:rsidP="0015321A">
            <w:pPr>
              <w:rPr>
                <w:color w:val="000000"/>
                <w:sz w:val="18"/>
                <w:szCs w:val="18"/>
              </w:rPr>
            </w:pPr>
            <w:r>
              <w:rPr>
                <w:color w:val="000000"/>
                <w:sz w:val="18"/>
                <w:szCs w:val="18"/>
              </w:rPr>
              <w:t>Yeasticidal activity demonstrated at 5</w:t>
            </w:r>
            <w:r w:rsidR="00804F5F">
              <w:rPr>
                <w:color w:val="000000"/>
                <w:sz w:val="18"/>
                <w:szCs w:val="18"/>
              </w:rPr>
              <w:t>0</w:t>
            </w:r>
            <w:r>
              <w:rPr>
                <w:color w:val="000000"/>
                <w:sz w:val="18"/>
                <w:szCs w:val="18"/>
              </w:rPr>
              <w:t>% v/v.</w:t>
            </w:r>
          </w:p>
        </w:tc>
        <w:tc>
          <w:tcPr>
            <w:tcW w:w="1374" w:type="dxa"/>
            <w:vAlign w:val="center"/>
          </w:tcPr>
          <w:p w14:paraId="00DB83FB" w14:textId="77777777" w:rsidR="0015321A" w:rsidRDefault="0015321A" w:rsidP="0015321A">
            <w:pPr>
              <w:rPr>
                <w:color w:val="000000"/>
                <w:sz w:val="18"/>
                <w:szCs w:val="18"/>
              </w:rPr>
            </w:pPr>
            <w:r>
              <w:rPr>
                <w:color w:val="000000"/>
                <w:sz w:val="18"/>
                <w:szCs w:val="18"/>
              </w:rPr>
              <w:t>Carre A., 2019, Report No RE-2317/1118</w:t>
            </w:r>
          </w:p>
          <w:p w14:paraId="0062E3D8" w14:textId="77777777" w:rsidR="0015321A" w:rsidRPr="00FD2055" w:rsidRDefault="0015321A" w:rsidP="0015321A">
            <w:pPr>
              <w:rPr>
                <w:i/>
                <w:color w:val="000000"/>
                <w:sz w:val="18"/>
                <w:szCs w:val="18"/>
              </w:rPr>
            </w:pPr>
            <w:r>
              <w:rPr>
                <w:color w:val="000000"/>
                <w:sz w:val="18"/>
                <w:szCs w:val="18"/>
              </w:rPr>
              <w:t>RI=1</w:t>
            </w:r>
          </w:p>
        </w:tc>
      </w:tr>
    </w:tbl>
    <w:p w14:paraId="549428A4" w14:textId="77777777" w:rsidR="0015321A" w:rsidRDefault="0015321A" w:rsidP="0015321A">
      <w:pPr>
        <w:spacing w:line="260" w:lineRule="atLeast"/>
        <w:rPr>
          <w:rFonts w:ascii="Times New Roman" w:eastAsia="Calibri" w:hAnsi="Times New Roman"/>
          <w:i/>
          <w:iCs/>
          <w:lang w:eastAsia="en-US"/>
        </w:rPr>
        <w:sectPr w:rsidR="0015321A" w:rsidSect="0015321A">
          <w:endnotePr>
            <w:numFmt w:val="decimal"/>
          </w:endnotePr>
          <w:pgSz w:w="16840" w:h="11907" w:orient="landscape" w:code="9"/>
          <w:pgMar w:top="1446" w:right="1474" w:bottom="1247" w:left="2013" w:header="851" w:footer="851" w:gutter="0"/>
          <w:cols w:space="720"/>
          <w:docGrid w:linePitch="272"/>
        </w:sectPr>
      </w:pPr>
    </w:p>
    <w:p w14:paraId="52E7F7AA" w14:textId="3BA60525" w:rsidR="0015321A" w:rsidRPr="007A4DA8" w:rsidRDefault="0015321A" w:rsidP="0015321A">
      <w:pPr>
        <w:pStyle w:val="Paragraphedeliste"/>
        <w:numPr>
          <w:ilvl w:val="0"/>
          <w:numId w:val="24"/>
        </w:numPr>
        <w:spacing w:line="260" w:lineRule="atLeast"/>
        <w:jc w:val="both"/>
        <w:rPr>
          <w:rFonts w:eastAsia="Calibri"/>
          <w:b/>
          <w:lang w:eastAsia="en-US"/>
        </w:rPr>
      </w:pPr>
      <w:r w:rsidRPr="007A4DA8">
        <w:rPr>
          <w:rFonts w:eastAsia="Calibri"/>
          <w:b/>
          <w:lang w:eastAsia="en-US"/>
        </w:rPr>
        <w:lastRenderedPageBreak/>
        <w:t xml:space="preserve">Meta-SPC 13: Disinfectant for </w:t>
      </w:r>
      <w:r w:rsidR="001404DF" w:rsidRPr="007A4DA8">
        <w:rPr>
          <w:rFonts w:eastAsia="Calibri"/>
          <w:b/>
          <w:lang w:eastAsia="en-US"/>
        </w:rPr>
        <w:t xml:space="preserve">hard surfaces </w:t>
      </w:r>
      <w:r w:rsidR="00733D14" w:rsidRPr="007A4DA8">
        <w:rPr>
          <w:rFonts w:eastAsia="Calibri"/>
          <w:b/>
          <w:lang w:eastAsia="en-US"/>
        </w:rPr>
        <w:t>in</w:t>
      </w:r>
      <w:r w:rsidR="001404DF" w:rsidRPr="007A4DA8">
        <w:rPr>
          <w:rFonts w:eastAsia="Calibri"/>
          <w:b/>
          <w:lang w:eastAsia="en-US"/>
        </w:rPr>
        <w:t xml:space="preserve"> industry, </w:t>
      </w:r>
      <w:r w:rsidRPr="007A4DA8">
        <w:rPr>
          <w:rFonts w:eastAsia="Calibri"/>
          <w:b/>
          <w:lang w:eastAsia="en-US"/>
        </w:rPr>
        <w:t>institution, healthcare facilities</w:t>
      </w:r>
      <w:r w:rsidR="001404DF" w:rsidRPr="007A4DA8">
        <w:rPr>
          <w:rFonts w:eastAsia="Calibri"/>
          <w:b/>
          <w:lang w:eastAsia="en-US"/>
        </w:rPr>
        <w:t xml:space="preserve">, </w:t>
      </w:r>
      <w:r w:rsidR="00E83890" w:rsidRPr="007A4DA8">
        <w:rPr>
          <w:rFonts w:eastAsia="Calibri"/>
          <w:b/>
          <w:lang w:eastAsia="en-US"/>
        </w:rPr>
        <w:t xml:space="preserve">by </w:t>
      </w:r>
      <w:r w:rsidR="001404DF" w:rsidRPr="007A4DA8">
        <w:rPr>
          <w:rFonts w:eastAsia="Calibri"/>
          <w:b/>
          <w:lang w:eastAsia="en-US"/>
        </w:rPr>
        <w:t xml:space="preserve">spraying, </w:t>
      </w:r>
      <w:r w:rsidR="00733CE3" w:rsidRPr="007A4DA8">
        <w:rPr>
          <w:b/>
        </w:rPr>
        <w:t>pouring and scrubbing</w:t>
      </w:r>
      <w:r w:rsidR="001404DF" w:rsidRPr="007A4DA8">
        <w:rPr>
          <w:b/>
        </w:rPr>
        <w:t xml:space="preserve"> – PT2</w:t>
      </w:r>
    </w:p>
    <w:p w14:paraId="281517AA" w14:textId="77777777" w:rsidR="0015321A" w:rsidRDefault="0015321A" w:rsidP="0015321A">
      <w:pPr>
        <w:pStyle w:val="Paragraphedeliste"/>
        <w:spacing w:line="260" w:lineRule="atLeast"/>
        <w:rPr>
          <w:rFonts w:eastAsia="Calibri"/>
          <w:lang w:eastAsia="en-US"/>
        </w:rPr>
      </w:pPr>
    </w:p>
    <w:p w14:paraId="4C39A59B" w14:textId="7B4C0367" w:rsidR="0015321A" w:rsidRPr="00F41E81" w:rsidRDefault="0015321A" w:rsidP="0015321A">
      <w:pPr>
        <w:spacing w:line="260" w:lineRule="atLeast"/>
        <w:jc w:val="both"/>
        <w:rPr>
          <w:lang w:eastAsia="en-US"/>
        </w:rPr>
      </w:pPr>
      <w:r w:rsidRPr="00F41E81">
        <w:rPr>
          <w:lang w:eastAsia="en-US"/>
        </w:rPr>
        <w:t xml:space="preserve">META-SPC13 contains </w:t>
      </w:r>
      <w:r w:rsidR="00817FE7">
        <w:rPr>
          <w:lang w:eastAsia="en-US"/>
        </w:rPr>
        <w:t>products to be diluted in water</w:t>
      </w:r>
      <w:r w:rsidR="00817FE7" w:rsidDel="00C57FF4">
        <w:rPr>
          <w:lang w:eastAsia="en-US"/>
        </w:rPr>
        <w:t xml:space="preserve"> </w:t>
      </w:r>
      <w:r w:rsidRPr="00F41E81">
        <w:rPr>
          <w:lang w:eastAsia="en-US"/>
        </w:rPr>
        <w:t xml:space="preserve">containing </w:t>
      </w:r>
      <w:r w:rsidR="00817FE7">
        <w:rPr>
          <w:lang w:eastAsia="en-US"/>
        </w:rPr>
        <w:t>8</w:t>
      </w:r>
      <w:r w:rsidRPr="00F41E81">
        <w:rPr>
          <w:lang w:eastAsia="en-US"/>
        </w:rPr>
        <w:t xml:space="preserve">% w/w lactic acid, and minor variations of coformulants, in low concentrations without biocidal activity. </w:t>
      </w:r>
    </w:p>
    <w:p w14:paraId="5A9304C6" w14:textId="473B1905" w:rsidR="0015321A" w:rsidRPr="00F41E81" w:rsidRDefault="0015321A" w:rsidP="0015321A">
      <w:pPr>
        <w:spacing w:line="260" w:lineRule="atLeast"/>
        <w:jc w:val="both"/>
        <w:rPr>
          <w:rFonts w:cs="Arial"/>
          <w:lang w:eastAsia="en-US"/>
        </w:rPr>
      </w:pPr>
      <w:r w:rsidRPr="00F41E81">
        <w:rPr>
          <w:lang w:eastAsia="en-US"/>
        </w:rPr>
        <w:t xml:space="preserve">Efficacy studies have been performed with </w:t>
      </w:r>
      <w:r w:rsidR="00E83890">
        <w:rPr>
          <w:lang w:eastAsia="en-US"/>
        </w:rPr>
        <w:t xml:space="preserve">the </w:t>
      </w:r>
      <w:r w:rsidRPr="00F41E81">
        <w:rPr>
          <w:lang w:eastAsia="en-US"/>
        </w:rPr>
        <w:t xml:space="preserve">representative product </w:t>
      </w:r>
      <w:r w:rsidRPr="00C914AE">
        <w:rPr>
          <w:rFonts w:eastAsia="Calibri"/>
          <w:iCs/>
          <w:szCs w:val="24"/>
          <w:lang w:eastAsia="en-US"/>
        </w:rPr>
        <w:t>AL-S13-1-0 (</w:t>
      </w:r>
      <w:r w:rsidR="002E5811">
        <w:rPr>
          <w:rFonts w:eastAsia="Calibri"/>
          <w:iCs/>
          <w:szCs w:val="24"/>
          <w:lang w:eastAsia="en-US"/>
        </w:rPr>
        <w:t>8</w:t>
      </w:r>
      <w:r w:rsidRPr="00C914AE">
        <w:rPr>
          <w:rFonts w:eastAsia="Calibri"/>
          <w:iCs/>
          <w:szCs w:val="24"/>
          <w:lang w:eastAsia="en-US"/>
        </w:rPr>
        <w:t>% w/w lactic acid</w:t>
      </w:r>
      <w:r>
        <w:rPr>
          <w:rFonts w:eastAsia="Calibri"/>
          <w:iCs/>
          <w:szCs w:val="24"/>
          <w:lang w:eastAsia="en-US"/>
        </w:rPr>
        <w:t>)</w:t>
      </w:r>
      <w:r w:rsidRPr="00C914AE">
        <w:rPr>
          <w:rFonts w:eastAsia="Calibri"/>
          <w:iCs/>
          <w:szCs w:val="24"/>
          <w:lang w:eastAsia="en-US"/>
        </w:rPr>
        <w:t xml:space="preserve">. </w:t>
      </w:r>
      <w:r w:rsidRPr="00F41E81">
        <w:rPr>
          <w:rFonts w:cs="Arial"/>
          <w:lang w:eastAsia="en-US"/>
        </w:rPr>
        <w:t xml:space="preserve">Taking into account the variations of the co-formulants presented in the META-SPC13, it can be assumed that they have no impact on efficacy and the efficacy results of the representative product </w:t>
      </w:r>
      <w:r w:rsidRPr="00C914AE">
        <w:rPr>
          <w:rFonts w:eastAsia="Calibri"/>
          <w:iCs/>
          <w:szCs w:val="24"/>
          <w:lang w:eastAsia="en-US"/>
        </w:rPr>
        <w:t xml:space="preserve">AL-S13-1-0 </w:t>
      </w:r>
      <w:r w:rsidRPr="00F41E81">
        <w:rPr>
          <w:rFonts w:cs="Arial"/>
          <w:lang w:eastAsia="en-US"/>
        </w:rPr>
        <w:t>cover the whole META-SPC13 claims.</w:t>
      </w:r>
    </w:p>
    <w:p w14:paraId="552AF51F" w14:textId="77777777" w:rsidR="0015321A" w:rsidRPr="00F41E81" w:rsidRDefault="0015321A" w:rsidP="0015321A">
      <w:pPr>
        <w:spacing w:line="260" w:lineRule="atLeast"/>
        <w:jc w:val="both"/>
        <w:rPr>
          <w:rFonts w:eastAsia="Calibri"/>
          <w:lang w:eastAsia="en-US"/>
        </w:rPr>
      </w:pPr>
    </w:p>
    <w:p w14:paraId="6C0A9441" w14:textId="6C305304" w:rsidR="0015321A" w:rsidRDefault="0015321A" w:rsidP="0015321A">
      <w:pPr>
        <w:spacing w:line="260" w:lineRule="atLeast"/>
        <w:jc w:val="both"/>
        <w:rPr>
          <w:rFonts w:eastAsia="Calibri"/>
          <w:lang w:eastAsia="en-US"/>
        </w:rPr>
      </w:pPr>
      <w:r w:rsidRPr="00F41E81">
        <w:rPr>
          <w:rFonts w:eastAsia="Calibri"/>
          <w:lang w:eastAsia="en-US"/>
        </w:rPr>
        <w:t>Bactericidal activity is demonstrated in phase 2</w:t>
      </w:r>
      <w:r>
        <w:rPr>
          <w:rFonts w:eastAsia="Calibri"/>
          <w:lang w:eastAsia="en-US"/>
        </w:rPr>
        <w:t>,</w:t>
      </w:r>
      <w:r w:rsidRPr="00F41E81">
        <w:rPr>
          <w:rFonts w:eastAsia="Calibri"/>
          <w:lang w:eastAsia="en-US"/>
        </w:rPr>
        <w:t xml:space="preserve"> steps 1 and 2 (EN</w:t>
      </w:r>
      <w:r w:rsidR="00E83890">
        <w:rPr>
          <w:rFonts w:eastAsia="Calibri"/>
          <w:lang w:eastAsia="en-US"/>
        </w:rPr>
        <w:t xml:space="preserve"> </w:t>
      </w:r>
      <w:r w:rsidRPr="00F41E81">
        <w:rPr>
          <w:rFonts w:eastAsia="Calibri"/>
          <w:lang w:eastAsia="en-US"/>
        </w:rPr>
        <w:t xml:space="preserve">1276 and </w:t>
      </w:r>
      <w:r>
        <w:rPr>
          <w:rFonts w:eastAsia="Calibri"/>
          <w:lang w:eastAsia="en-US"/>
        </w:rPr>
        <w:t xml:space="preserve">EN </w:t>
      </w:r>
      <w:r w:rsidRPr="00F41E81">
        <w:rPr>
          <w:rFonts w:eastAsia="Calibri"/>
          <w:lang w:eastAsia="en-US"/>
        </w:rPr>
        <w:t>13697), at 20°C with a contact time of 5 minutes</w:t>
      </w:r>
      <w:r>
        <w:rPr>
          <w:rFonts w:eastAsia="Calibri"/>
          <w:lang w:eastAsia="en-US"/>
        </w:rPr>
        <w:t>,</w:t>
      </w:r>
      <w:r w:rsidRPr="00F41E81">
        <w:rPr>
          <w:rFonts w:eastAsia="Calibri"/>
          <w:lang w:eastAsia="en-US"/>
        </w:rPr>
        <w:t xml:space="preserve"> in dirty conditions (3.0 g/L BSA).</w:t>
      </w:r>
      <w:r w:rsidRPr="00F41E81">
        <w:rPr>
          <w:lang w:eastAsia="en-US"/>
        </w:rPr>
        <w:t xml:space="preserve"> In these conditions, bactericidal activity is shown at the in-use concentration of </w:t>
      </w:r>
      <w:r w:rsidRPr="00F41E81">
        <w:rPr>
          <w:rFonts w:eastAsia="Calibri"/>
          <w:lang w:eastAsia="en-US"/>
        </w:rPr>
        <w:t xml:space="preserve">6% (v/v). </w:t>
      </w:r>
    </w:p>
    <w:p w14:paraId="6CE67453" w14:textId="316C3FDE" w:rsidR="0015321A" w:rsidRDefault="0015321A" w:rsidP="0015321A">
      <w:pPr>
        <w:spacing w:line="260" w:lineRule="atLeast"/>
        <w:jc w:val="both"/>
        <w:rPr>
          <w:rFonts w:eastAsia="Calibri"/>
          <w:lang w:eastAsia="en-US"/>
        </w:rPr>
      </w:pPr>
      <w:r>
        <w:rPr>
          <w:rFonts w:eastAsia="Calibri"/>
          <w:lang w:eastAsia="en-US"/>
        </w:rPr>
        <w:t>An activity against</w:t>
      </w:r>
      <w:r w:rsidRPr="00F41E81">
        <w:rPr>
          <w:rFonts w:eastAsia="Calibri"/>
          <w:lang w:eastAsia="en-US"/>
        </w:rPr>
        <w:t xml:space="preserve"> </w:t>
      </w:r>
      <w:r w:rsidR="00F03D06">
        <w:rPr>
          <w:rFonts w:eastAsia="Calibri"/>
          <w:lang w:eastAsia="en-US"/>
        </w:rPr>
        <w:t xml:space="preserve">the </w:t>
      </w:r>
      <w:r w:rsidRPr="00F41E81">
        <w:rPr>
          <w:rFonts w:eastAsia="Calibri"/>
          <w:lang w:eastAsia="en-US"/>
        </w:rPr>
        <w:t>additional strain</w:t>
      </w:r>
      <w:r>
        <w:rPr>
          <w:rFonts w:eastAsia="Calibri"/>
          <w:lang w:eastAsia="en-US"/>
        </w:rPr>
        <w:t xml:space="preserve"> </w:t>
      </w:r>
      <w:r w:rsidRPr="00F41E81">
        <w:rPr>
          <w:rFonts w:eastAsia="Calibri"/>
          <w:i/>
          <w:lang w:eastAsia="en-US"/>
        </w:rPr>
        <w:t>Yersinia enterocolitica</w:t>
      </w:r>
      <w:r w:rsidRPr="00F41E81">
        <w:rPr>
          <w:rFonts w:eastAsia="Calibri"/>
          <w:lang w:eastAsia="en-US"/>
        </w:rPr>
        <w:t xml:space="preserve"> is </w:t>
      </w:r>
      <w:r>
        <w:rPr>
          <w:rFonts w:eastAsia="Calibri"/>
          <w:lang w:eastAsia="en-US"/>
        </w:rPr>
        <w:t xml:space="preserve">also </w:t>
      </w:r>
      <w:r w:rsidRPr="00F41E81">
        <w:rPr>
          <w:rFonts w:eastAsia="Calibri"/>
          <w:lang w:eastAsia="en-US"/>
        </w:rPr>
        <w:t>demonstrated in phase 2</w:t>
      </w:r>
      <w:r>
        <w:rPr>
          <w:rFonts w:eastAsia="Calibri"/>
          <w:lang w:eastAsia="en-US"/>
        </w:rPr>
        <w:t>,</w:t>
      </w:r>
      <w:r w:rsidRPr="00F41E81">
        <w:rPr>
          <w:rFonts w:eastAsia="Calibri"/>
          <w:lang w:eastAsia="en-US"/>
        </w:rPr>
        <w:t xml:space="preserve"> step 2 (</w:t>
      </w:r>
      <w:r>
        <w:rPr>
          <w:rFonts w:eastAsia="Calibri"/>
          <w:lang w:eastAsia="en-US"/>
        </w:rPr>
        <w:t xml:space="preserve">EN </w:t>
      </w:r>
      <w:r w:rsidRPr="00F41E81">
        <w:rPr>
          <w:rFonts w:eastAsia="Calibri"/>
          <w:lang w:eastAsia="en-US"/>
        </w:rPr>
        <w:t>13697), at 20°C with a contact time of 5 minutes</w:t>
      </w:r>
      <w:r>
        <w:rPr>
          <w:rFonts w:eastAsia="Calibri"/>
          <w:lang w:eastAsia="en-US"/>
        </w:rPr>
        <w:t>,</w:t>
      </w:r>
      <w:r w:rsidRPr="00F41E81">
        <w:rPr>
          <w:rFonts w:eastAsia="Calibri"/>
          <w:lang w:eastAsia="en-US"/>
        </w:rPr>
        <w:t xml:space="preserve"> in dirty conditions (3.0 g/L BSA)</w:t>
      </w:r>
      <w:r>
        <w:rPr>
          <w:rFonts w:eastAsia="Calibri"/>
          <w:lang w:eastAsia="en-US"/>
        </w:rPr>
        <w:t>, at 2% v/v.</w:t>
      </w:r>
    </w:p>
    <w:p w14:paraId="600997F3" w14:textId="248DA097" w:rsidR="0015321A" w:rsidRPr="00F41E81" w:rsidRDefault="0015321A" w:rsidP="0015321A">
      <w:pPr>
        <w:spacing w:line="260" w:lineRule="atLeast"/>
        <w:jc w:val="both"/>
        <w:rPr>
          <w:rFonts w:eastAsia="Calibri"/>
          <w:lang w:eastAsia="en-US"/>
        </w:rPr>
      </w:pPr>
      <w:r>
        <w:rPr>
          <w:rFonts w:eastAsia="Calibri"/>
          <w:lang w:eastAsia="en-US"/>
        </w:rPr>
        <w:t>Y</w:t>
      </w:r>
      <w:r w:rsidRPr="00F41E81">
        <w:rPr>
          <w:rFonts w:eastAsia="Calibri"/>
          <w:lang w:eastAsia="en-US"/>
        </w:rPr>
        <w:t>easticidal activity is demonstrated in phase 2</w:t>
      </w:r>
      <w:r>
        <w:rPr>
          <w:rFonts w:eastAsia="Calibri"/>
          <w:lang w:eastAsia="en-US"/>
        </w:rPr>
        <w:t>,</w:t>
      </w:r>
      <w:r w:rsidRPr="00F41E81">
        <w:rPr>
          <w:rFonts w:eastAsia="Calibri"/>
          <w:lang w:eastAsia="en-US"/>
        </w:rPr>
        <w:t xml:space="preserve"> steps 1 and 2 tests (EN1650 and EN13697)</w:t>
      </w:r>
      <w:r>
        <w:rPr>
          <w:rFonts w:eastAsia="Calibri"/>
          <w:lang w:eastAsia="en-US"/>
        </w:rPr>
        <w:t>,</w:t>
      </w:r>
      <w:r w:rsidRPr="00F41E81">
        <w:rPr>
          <w:rFonts w:eastAsia="Calibri"/>
          <w:lang w:eastAsia="en-US"/>
        </w:rPr>
        <w:t xml:space="preserve"> at 20°C with a contact time of 15 minutes</w:t>
      </w:r>
      <w:r>
        <w:rPr>
          <w:rFonts w:eastAsia="Calibri"/>
          <w:lang w:eastAsia="en-US"/>
        </w:rPr>
        <w:t>,</w:t>
      </w:r>
      <w:r w:rsidRPr="00AE7DD3">
        <w:rPr>
          <w:rFonts w:eastAsia="Calibri"/>
          <w:lang w:eastAsia="en-US"/>
        </w:rPr>
        <w:t xml:space="preserve"> </w:t>
      </w:r>
      <w:r w:rsidRPr="00F41E81">
        <w:rPr>
          <w:rFonts w:eastAsia="Calibri"/>
          <w:lang w:eastAsia="en-US"/>
        </w:rPr>
        <w:t>in dirty conditions (3.0 g/L BSA).</w:t>
      </w:r>
      <w:r w:rsidRPr="00F41E81">
        <w:rPr>
          <w:lang w:eastAsia="en-US"/>
        </w:rPr>
        <w:t xml:space="preserve"> In these conditions, </w:t>
      </w:r>
      <w:r>
        <w:rPr>
          <w:lang w:eastAsia="en-US"/>
        </w:rPr>
        <w:t>yeasticidal</w:t>
      </w:r>
      <w:r w:rsidRPr="00F41E81">
        <w:rPr>
          <w:lang w:eastAsia="en-US"/>
        </w:rPr>
        <w:t xml:space="preserve"> activity</w:t>
      </w:r>
      <w:r>
        <w:rPr>
          <w:rFonts w:eastAsia="Calibri"/>
          <w:lang w:eastAsia="en-US"/>
        </w:rPr>
        <w:t xml:space="preserve"> </w:t>
      </w:r>
      <w:r w:rsidRPr="00F41E81">
        <w:rPr>
          <w:lang w:eastAsia="en-US"/>
        </w:rPr>
        <w:t xml:space="preserve">is shown at the in-use concentration of </w:t>
      </w:r>
      <w:r w:rsidRPr="00F41E81">
        <w:rPr>
          <w:rFonts w:eastAsia="Calibri"/>
          <w:lang w:eastAsia="en-US"/>
        </w:rPr>
        <w:t>8% (v/v).</w:t>
      </w:r>
    </w:p>
    <w:p w14:paraId="6B173298" w14:textId="77777777" w:rsidR="0015321A" w:rsidRDefault="0015321A" w:rsidP="0015321A">
      <w:pPr>
        <w:spacing w:line="260" w:lineRule="atLeast"/>
        <w:jc w:val="both"/>
        <w:rPr>
          <w:rFonts w:ascii="Times New Roman" w:eastAsia="Calibri" w:hAnsi="Times New Roman" w:cs="Arial"/>
          <w:bCs/>
          <w:i/>
          <w:caps/>
          <w:szCs w:val="28"/>
          <w:lang w:eastAsia="en-US"/>
        </w:rPr>
      </w:pPr>
    </w:p>
    <w:p w14:paraId="00688775" w14:textId="51B16E29" w:rsidR="0015321A" w:rsidRDefault="0015321A" w:rsidP="0015321A">
      <w:pPr>
        <w:rPr>
          <w:rFonts w:ascii="Times New Roman" w:eastAsia="Calibri" w:hAnsi="Times New Roman" w:cs="Arial"/>
          <w:szCs w:val="28"/>
          <w:lang w:eastAsia="en-US"/>
        </w:rPr>
      </w:pPr>
    </w:p>
    <w:p w14:paraId="1EDBED3E" w14:textId="01CF3198" w:rsidR="0015321A" w:rsidRPr="009A35BE" w:rsidRDefault="009A35BE" w:rsidP="009A35BE">
      <w:pPr>
        <w:jc w:val="both"/>
        <w:rPr>
          <w:rFonts w:ascii="Times New Roman" w:eastAsia="Calibri" w:hAnsi="Times New Roman" w:cs="Arial"/>
          <w:szCs w:val="28"/>
          <w:lang w:eastAsia="en-US"/>
        </w:rPr>
      </w:pPr>
      <w:r w:rsidRPr="009A35BE">
        <w:rPr>
          <w:rFonts w:eastAsia="Calibri"/>
          <w:b/>
          <w:lang w:eastAsia="en-US"/>
        </w:rPr>
        <w:t>Justification of additional strain (</w:t>
      </w:r>
      <w:r w:rsidRPr="009A35BE">
        <w:rPr>
          <w:rFonts w:eastAsia="Calibri"/>
          <w:i/>
          <w:lang w:eastAsia="en-US"/>
        </w:rPr>
        <w:t>Yersinia enterocolitica):</w:t>
      </w:r>
    </w:p>
    <w:p w14:paraId="53086406" w14:textId="77777777" w:rsidR="00E950FD" w:rsidRPr="009A35BE" w:rsidRDefault="00E950FD" w:rsidP="009A35BE">
      <w:pPr>
        <w:spacing w:line="260" w:lineRule="atLeast"/>
        <w:jc w:val="both"/>
        <w:rPr>
          <w:rFonts w:eastAsia="Calibri"/>
          <w:lang w:val="en-US" w:eastAsia="en-US"/>
        </w:rPr>
      </w:pPr>
      <w:r w:rsidRPr="009A35BE">
        <w:rPr>
          <w:rFonts w:eastAsia="Calibri"/>
          <w:i/>
          <w:lang w:eastAsia="en-US"/>
        </w:rPr>
        <w:t>Yersinia enterocolitica</w:t>
      </w:r>
      <w:r w:rsidRPr="009A35BE">
        <w:rPr>
          <w:rFonts w:eastAsia="Calibri"/>
          <w:lang w:val="en" w:eastAsia="en-US"/>
        </w:rPr>
        <w:t xml:space="preserve"> is a bacteria that causes acute gastroenteritis. The main reservoir for this pathogenic strain is pork. Small rodents, rabbits, dogs and cats can carry the strain and contribute to its propagation between farms. Transmission occurs through direct contact with animals, infected people or contaminated surfaces.</w:t>
      </w:r>
    </w:p>
    <w:p w14:paraId="03F20CD4" w14:textId="77777777" w:rsidR="00E950FD" w:rsidRPr="009A35BE" w:rsidRDefault="00E950FD" w:rsidP="009A35BE">
      <w:pPr>
        <w:spacing w:line="260" w:lineRule="atLeast"/>
        <w:jc w:val="both"/>
        <w:rPr>
          <w:rFonts w:eastAsia="Calibri"/>
          <w:lang w:val="en-US" w:eastAsia="en-US"/>
        </w:rPr>
      </w:pPr>
      <w:r w:rsidRPr="009A35BE">
        <w:rPr>
          <w:rFonts w:eastAsia="Calibri"/>
          <w:lang w:val="en" w:eastAsia="en-US"/>
        </w:rPr>
        <w:t xml:space="preserve">Hence the interest in having effective disinfectant products on this strain in the field of collection and processing of food waste to prevent its spread. </w:t>
      </w:r>
    </w:p>
    <w:p w14:paraId="2ED4CAFB" w14:textId="17C958E3" w:rsidR="0015321A" w:rsidRDefault="0015321A" w:rsidP="0015321A">
      <w:pPr>
        <w:rPr>
          <w:rFonts w:ascii="Times New Roman" w:eastAsia="Calibri" w:hAnsi="Times New Roman" w:cs="Arial"/>
          <w:szCs w:val="28"/>
          <w:lang w:eastAsia="en-US"/>
        </w:rPr>
      </w:pPr>
    </w:p>
    <w:p w14:paraId="7DE79A74" w14:textId="309E2310" w:rsidR="0015321A" w:rsidRDefault="0015321A" w:rsidP="0015321A">
      <w:pPr>
        <w:rPr>
          <w:rFonts w:ascii="Times New Roman" w:eastAsia="Calibri" w:hAnsi="Times New Roman" w:cs="Arial"/>
          <w:szCs w:val="28"/>
          <w:lang w:eastAsia="en-US"/>
        </w:rPr>
      </w:pPr>
    </w:p>
    <w:p w14:paraId="6490B772" w14:textId="5BEA5085" w:rsidR="0015321A" w:rsidRDefault="0015321A" w:rsidP="0015321A">
      <w:pPr>
        <w:rPr>
          <w:rFonts w:ascii="Times New Roman" w:eastAsia="Calibri" w:hAnsi="Times New Roman" w:cs="Arial"/>
          <w:szCs w:val="28"/>
          <w:lang w:eastAsia="en-US"/>
        </w:rPr>
      </w:pPr>
    </w:p>
    <w:p w14:paraId="2953BE43" w14:textId="6E833B60" w:rsidR="0015321A" w:rsidRDefault="0015321A" w:rsidP="0015321A">
      <w:pPr>
        <w:rPr>
          <w:rFonts w:ascii="Times New Roman" w:eastAsia="Calibri" w:hAnsi="Times New Roman" w:cs="Arial"/>
          <w:szCs w:val="28"/>
          <w:lang w:eastAsia="en-US"/>
        </w:rPr>
      </w:pPr>
    </w:p>
    <w:p w14:paraId="3B89C0B2" w14:textId="14BA33E1" w:rsidR="0015321A" w:rsidRDefault="0015321A" w:rsidP="0015321A">
      <w:pPr>
        <w:rPr>
          <w:rFonts w:ascii="Times New Roman" w:eastAsia="Calibri" w:hAnsi="Times New Roman" w:cs="Arial"/>
          <w:szCs w:val="28"/>
          <w:lang w:eastAsia="en-US"/>
        </w:rPr>
      </w:pPr>
    </w:p>
    <w:p w14:paraId="4664F43D" w14:textId="19512293" w:rsidR="0015321A" w:rsidRDefault="0015321A" w:rsidP="0015321A">
      <w:pPr>
        <w:rPr>
          <w:rFonts w:ascii="Times New Roman" w:eastAsia="Calibri" w:hAnsi="Times New Roman" w:cs="Arial"/>
          <w:szCs w:val="28"/>
          <w:lang w:eastAsia="en-US"/>
        </w:rPr>
      </w:pPr>
    </w:p>
    <w:p w14:paraId="58A812EE" w14:textId="47AE5A2E" w:rsidR="0015321A" w:rsidRDefault="0015321A" w:rsidP="0015321A">
      <w:pPr>
        <w:rPr>
          <w:rFonts w:ascii="Times New Roman" w:eastAsia="Calibri" w:hAnsi="Times New Roman" w:cs="Arial"/>
          <w:szCs w:val="28"/>
          <w:lang w:eastAsia="en-US"/>
        </w:rPr>
      </w:pPr>
    </w:p>
    <w:p w14:paraId="06C663F7" w14:textId="6C67D1A7" w:rsidR="0015321A" w:rsidRDefault="0015321A" w:rsidP="0015321A">
      <w:pPr>
        <w:rPr>
          <w:rFonts w:ascii="Times New Roman" w:eastAsia="Calibri" w:hAnsi="Times New Roman" w:cs="Arial"/>
          <w:szCs w:val="28"/>
          <w:lang w:eastAsia="en-US"/>
        </w:rPr>
      </w:pPr>
    </w:p>
    <w:p w14:paraId="65E2E2A3" w14:textId="00894A5E" w:rsidR="0015321A" w:rsidRDefault="0015321A" w:rsidP="0015321A">
      <w:pPr>
        <w:rPr>
          <w:rFonts w:ascii="Times New Roman" w:eastAsia="Calibri" w:hAnsi="Times New Roman" w:cs="Arial"/>
          <w:szCs w:val="28"/>
          <w:lang w:eastAsia="en-US"/>
        </w:rPr>
      </w:pPr>
    </w:p>
    <w:p w14:paraId="2DF6A242" w14:textId="5117E65B" w:rsidR="0015321A" w:rsidRDefault="0015321A" w:rsidP="0015321A">
      <w:pPr>
        <w:rPr>
          <w:rFonts w:ascii="Times New Roman" w:eastAsia="Calibri" w:hAnsi="Times New Roman" w:cs="Arial"/>
          <w:szCs w:val="28"/>
          <w:lang w:eastAsia="en-US"/>
        </w:rPr>
      </w:pPr>
    </w:p>
    <w:p w14:paraId="1CED1637" w14:textId="6EFE0BA9" w:rsidR="0015321A" w:rsidRDefault="0015321A" w:rsidP="0015321A">
      <w:pPr>
        <w:rPr>
          <w:rFonts w:ascii="Times New Roman" w:eastAsia="Calibri" w:hAnsi="Times New Roman" w:cs="Arial"/>
          <w:szCs w:val="28"/>
          <w:lang w:eastAsia="en-US"/>
        </w:rPr>
      </w:pPr>
    </w:p>
    <w:p w14:paraId="23123A8C" w14:textId="798CE85E" w:rsidR="0015321A" w:rsidRDefault="0015321A" w:rsidP="0015321A">
      <w:pPr>
        <w:rPr>
          <w:rFonts w:ascii="Times New Roman" w:eastAsia="Calibri" w:hAnsi="Times New Roman" w:cs="Arial"/>
          <w:szCs w:val="28"/>
          <w:lang w:eastAsia="en-US"/>
        </w:rPr>
      </w:pPr>
    </w:p>
    <w:p w14:paraId="2DBB6492" w14:textId="37623095" w:rsidR="0015321A" w:rsidRDefault="0015321A" w:rsidP="0015321A">
      <w:pPr>
        <w:rPr>
          <w:rFonts w:ascii="Times New Roman" w:eastAsia="Calibri" w:hAnsi="Times New Roman" w:cs="Arial"/>
          <w:szCs w:val="28"/>
          <w:lang w:eastAsia="en-US"/>
        </w:rPr>
      </w:pPr>
    </w:p>
    <w:p w14:paraId="4CEEA05D" w14:textId="553EBD35" w:rsidR="0015321A" w:rsidRDefault="0015321A" w:rsidP="0015321A">
      <w:pPr>
        <w:rPr>
          <w:rFonts w:ascii="Times New Roman" w:eastAsia="Calibri" w:hAnsi="Times New Roman" w:cs="Arial"/>
          <w:szCs w:val="28"/>
          <w:lang w:eastAsia="en-US"/>
        </w:rPr>
      </w:pPr>
    </w:p>
    <w:p w14:paraId="62ED83AD" w14:textId="519F90EC" w:rsidR="0015321A" w:rsidRDefault="0015321A" w:rsidP="0015321A">
      <w:pPr>
        <w:rPr>
          <w:rFonts w:ascii="Times New Roman" w:eastAsia="Calibri" w:hAnsi="Times New Roman" w:cs="Arial"/>
          <w:szCs w:val="28"/>
          <w:lang w:eastAsia="en-US"/>
        </w:rPr>
      </w:pPr>
    </w:p>
    <w:p w14:paraId="71878D1E" w14:textId="735FEDB1" w:rsidR="0015321A" w:rsidRDefault="0015321A" w:rsidP="0015321A">
      <w:pPr>
        <w:rPr>
          <w:rFonts w:ascii="Times New Roman" w:eastAsia="Calibri" w:hAnsi="Times New Roman" w:cs="Arial"/>
          <w:szCs w:val="28"/>
          <w:lang w:eastAsia="en-US"/>
        </w:rPr>
      </w:pPr>
    </w:p>
    <w:p w14:paraId="422E96D0" w14:textId="3341FC57" w:rsidR="0015321A" w:rsidRDefault="0015321A" w:rsidP="0015321A">
      <w:pPr>
        <w:rPr>
          <w:rFonts w:ascii="Times New Roman" w:eastAsia="Calibri" w:hAnsi="Times New Roman" w:cs="Arial"/>
          <w:szCs w:val="28"/>
          <w:lang w:eastAsia="en-US"/>
        </w:rPr>
      </w:pPr>
    </w:p>
    <w:p w14:paraId="057A58F8" w14:textId="52D1F84A" w:rsidR="0015321A" w:rsidRDefault="0015321A" w:rsidP="0015321A">
      <w:pPr>
        <w:rPr>
          <w:rFonts w:ascii="Times New Roman" w:eastAsia="Calibri" w:hAnsi="Times New Roman" w:cs="Arial"/>
          <w:szCs w:val="28"/>
          <w:lang w:eastAsia="en-US"/>
        </w:rPr>
      </w:pPr>
    </w:p>
    <w:p w14:paraId="5C2F0307" w14:textId="143C1CFB" w:rsidR="0015321A" w:rsidRDefault="0015321A" w:rsidP="0015321A">
      <w:pPr>
        <w:rPr>
          <w:rFonts w:ascii="Times New Roman" w:eastAsia="Calibri" w:hAnsi="Times New Roman" w:cs="Arial"/>
          <w:szCs w:val="28"/>
          <w:lang w:eastAsia="en-US"/>
        </w:rPr>
      </w:pPr>
    </w:p>
    <w:p w14:paraId="61307CA8" w14:textId="2074D2C7" w:rsidR="0015321A" w:rsidRDefault="0015321A" w:rsidP="0015321A">
      <w:pPr>
        <w:rPr>
          <w:rFonts w:ascii="Times New Roman" w:eastAsia="Calibri" w:hAnsi="Times New Roman" w:cs="Arial"/>
          <w:szCs w:val="28"/>
          <w:lang w:eastAsia="en-US"/>
        </w:rPr>
      </w:pPr>
    </w:p>
    <w:p w14:paraId="3CC6ED71" w14:textId="0369C360" w:rsidR="0015321A" w:rsidRDefault="0015321A" w:rsidP="0015321A">
      <w:pPr>
        <w:rPr>
          <w:rFonts w:ascii="Times New Roman" w:eastAsia="Calibri" w:hAnsi="Times New Roman" w:cs="Arial"/>
          <w:szCs w:val="28"/>
          <w:lang w:eastAsia="en-US"/>
        </w:rPr>
      </w:pPr>
    </w:p>
    <w:p w14:paraId="710E6688" w14:textId="40C47843" w:rsidR="0015321A" w:rsidRDefault="0015321A" w:rsidP="009A35BE">
      <w:pPr>
        <w:rPr>
          <w:b/>
          <w:color w:val="000000"/>
          <w:sz w:val="18"/>
          <w:szCs w:val="18"/>
        </w:rPr>
        <w:sectPr w:rsidR="0015321A" w:rsidSect="0073642B">
          <w:pgSz w:w="11906" w:h="16838"/>
          <w:pgMar w:top="1474" w:right="1247" w:bottom="2013" w:left="1446" w:header="851" w:footer="851" w:gutter="0"/>
          <w:cols w:space="720"/>
          <w:docGrid w:linePitch="272"/>
        </w:sectPr>
      </w:pPr>
    </w:p>
    <w:tbl>
      <w:tblPr>
        <w:tblW w:w="139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9"/>
        <w:gridCol w:w="1804"/>
        <w:gridCol w:w="1279"/>
        <w:gridCol w:w="1632"/>
        <w:gridCol w:w="1342"/>
        <w:gridCol w:w="3118"/>
        <w:gridCol w:w="1700"/>
        <w:gridCol w:w="1608"/>
      </w:tblGrid>
      <w:tr w:rsidR="00E83890" w:rsidRPr="00FD2055" w14:paraId="3347F903" w14:textId="77777777" w:rsidTr="00F03D06">
        <w:trPr>
          <w:jc w:val="center"/>
        </w:trPr>
        <w:tc>
          <w:tcPr>
            <w:tcW w:w="13962" w:type="dxa"/>
            <w:gridSpan w:val="8"/>
            <w:shd w:val="clear" w:color="auto" w:fill="FFFFFF"/>
          </w:tcPr>
          <w:p w14:paraId="68522AFC" w14:textId="6F231EA5" w:rsidR="00E83890" w:rsidRPr="00FD2055" w:rsidRDefault="00E83890" w:rsidP="009A35BE">
            <w:pPr>
              <w:jc w:val="center"/>
              <w:rPr>
                <w:b/>
                <w:color w:val="000000"/>
                <w:sz w:val="18"/>
                <w:szCs w:val="18"/>
              </w:rPr>
            </w:pPr>
            <w:r w:rsidRPr="00FD2055">
              <w:rPr>
                <w:b/>
                <w:color w:val="000000"/>
                <w:sz w:val="18"/>
                <w:szCs w:val="18"/>
              </w:rPr>
              <w:lastRenderedPageBreak/>
              <w:t>Experimental data on the efficacy of the biocidal product against target organism(s)</w:t>
            </w:r>
            <w:r>
              <w:rPr>
                <w:b/>
                <w:color w:val="000000"/>
                <w:sz w:val="18"/>
                <w:szCs w:val="18"/>
              </w:rPr>
              <w:t>: Meta-SPC 13</w:t>
            </w:r>
          </w:p>
        </w:tc>
      </w:tr>
      <w:tr w:rsidR="00F03D06" w:rsidRPr="00FD2055" w14:paraId="2ACE571B" w14:textId="77777777" w:rsidTr="00E83890">
        <w:trPr>
          <w:jc w:val="center"/>
        </w:trPr>
        <w:tc>
          <w:tcPr>
            <w:tcW w:w="0" w:type="auto"/>
            <w:shd w:val="clear" w:color="auto" w:fill="FFFFFF"/>
          </w:tcPr>
          <w:p w14:paraId="4027EFE2" w14:textId="23939D83" w:rsidR="0015321A" w:rsidRPr="00FD2055" w:rsidRDefault="0015321A" w:rsidP="0015321A">
            <w:pPr>
              <w:jc w:val="center"/>
              <w:rPr>
                <w:b/>
                <w:color w:val="000000"/>
                <w:sz w:val="18"/>
                <w:szCs w:val="18"/>
              </w:rPr>
            </w:pPr>
            <w:r w:rsidRPr="00FD2055">
              <w:rPr>
                <w:b/>
                <w:color w:val="000000"/>
                <w:sz w:val="18"/>
                <w:szCs w:val="18"/>
              </w:rPr>
              <w:t>Function</w:t>
            </w:r>
          </w:p>
        </w:tc>
        <w:tc>
          <w:tcPr>
            <w:tcW w:w="1804" w:type="dxa"/>
            <w:shd w:val="clear" w:color="auto" w:fill="FFFFFF"/>
          </w:tcPr>
          <w:p w14:paraId="572A99A0" w14:textId="77777777" w:rsidR="0015321A" w:rsidRPr="00FD2055" w:rsidRDefault="0015321A" w:rsidP="0015321A">
            <w:pPr>
              <w:rPr>
                <w:b/>
                <w:color w:val="000000"/>
                <w:sz w:val="18"/>
                <w:szCs w:val="18"/>
              </w:rPr>
            </w:pPr>
            <w:r w:rsidRPr="00FD2055">
              <w:rPr>
                <w:b/>
                <w:color w:val="000000"/>
                <w:sz w:val="18"/>
                <w:szCs w:val="18"/>
              </w:rPr>
              <w:t>Field of use envisaged</w:t>
            </w:r>
          </w:p>
        </w:tc>
        <w:tc>
          <w:tcPr>
            <w:tcW w:w="1279" w:type="dxa"/>
            <w:shd w:val="clear" w:color="auto" w:fill="FFFFFF"/>
          </w:tcPr>
          <w:p w14:paraId="185477E1" w14:textId="77777777" w:rsidR="0015321A" w:rsidRPr="00FD2055" w:rsidRDefault="0015321A" w:rsidP="0015321A">
            <w:pPr>
              <w:rPr>
                <w:b/>
                <w:i/>
                <w:color w:val="000000"/>
                <w:sz w:val="18"/>
                <w:szCs w:val="18"/>
              </w:rPr>
            </w:pPr>
            <w:r w:rsidRPr="00FD2055">
              <w:rPr>
                <w:b/>
                <w:color w:val="000000"/>
                <w:sz w:val="18"/>
                <w:szCs w:val="18"/>
              </w:rPr>
              <w:t xml:space="preserve">Test </w:t>
            </w:r>
            <w:r>
              <w:rPr>
                <w:b/>
                <w:color w:val="000000"/>
                <w:sz w:val="18"/>
                <w:szCs w:val="18"/>
              </w:rPr>
              <w:t>item</w:t>
            </w:r>
          </w:p>
        </w:tc>
        <w:tc>
          <w:tcPr>
            <w:tcW w:w="0" w:type="auto"/>
            <w:shd w:val="clear" w:color="auto" w:fill="FFFFFF"/>
          </w:tcPr>
          <w:p w14:paraId="7B87A3AA" w14:textId="77777777" w:rsidR="0015321A" w:rsidRPr="00FD2055" w:rsidRDefault="0015321A" w:rsidP="0015321A">
            <w:pPr>
              <w:rPr>
                <w:b/>
                <w:i/>
                <w:color w:val="000000"/>
                <w:sz w:val="18"/>
                <w:szCs w:val="18"/>
              </w:rPr>
            </w:pPr>
            <w:r w:rsidRPr="00FD2055">
              <w:rPr>
                <w:b/>
                <w:color w:val="000000"/>
                <w:sz w:val="18"/>
                <w:szCs w:val="18"/>
              </w:rPr>
              <w:t>Test organism(s)</w:t>
            </w:r>
          </w:p>
        </w:tc>
        <w:tc>
          <w:tcPr>
            <w:tcW w:w="1342" w:type="dxa"/>
            <w:shd w:val="clear" w:color="auto" w:fill="FFFFFF"/>
          </w:tcPr>
          <w:p w14:paraId="1D9EA20D" w14:textId="77777777" w:rsidR="0015321A" w:rsidRPr="00FD2055" w:rsidRDefault="0015321A" w:rsidP="0015321A">
            <w:pPr>
              <w:rPr>
                <w:b/>
                <w:color w:val="000000"/>
                <w:sz w:val="18"/>
                <w:szCs w:val="18"/>
              </w:rPr>
            </w:pPr>
            <w:r w:rsidRPr="00FD2055">
              <w:rPr>
                <w:b/>
                <w:color w:val="000000"/>
                <w:sz w:val="18"/>
                <w:szCs w:val="18"/>
              </w:rPr>
              <w:t>Test method</w:t>
            </w:r>
          </w:p>
        </w:tc>
        <w:tc>
          <w:tcPr>
            <w:tcW w:w="3118" w:type="dxa"/>
            <w:shd w:val="clear" w:color="auto" w:fill="FFFFFF"/>
          </w:tcPr>
          <w:p w14:paraId="69BB98C6" w14:textId="77777777" w:rsidR="0015321A" w:rsidRPr="00FD2055" w:rsidRDefault="0015321A" w:rsidP="0015321A">
            <w:pPr>
              <w:rPr>
                <w:b/>
                <w:color w:val="000000"/>
                <w:sz w:val="18"/>
                <w:szCs w:val="18"/>
              </w:rPr>
            </w:pPr>
            <w:r w:rsidRPr="00FD2055">
              <w:rPr>
                <w:b/>
                <w:color w:val="000000"/>
                <w:sz w:val="18"/>
                <w:szCs w:val="18"/>
              </w:rPr>
              <w:t>Test system / concentrations applied / exposure time</w:t>
            </w:r>
          </w:p>
        </w:tc>
        <w:tc>
          <w:tcPr>
            <w:tcW w:w="1700" w:type="dxa"/>
            <w:shd w:val="clear" w:color="auto" w:fill="FFFFFF"/>
          </w:tcPr>
          <w:p w14:paraId="5CE0CBC7" w14:textId="77777777" w:rsidR="0015321A" w:rsidRPr="00FD2055" w:rsidRDefault="0015321A" w:rsidP="0015321A">
            <w:pPr>
              <w:rPr>
                <w:b/>
                <w:color w:val="000000"/>
                <w:sz w:val="18"/>
                <w:szCs w:val="18"/>
              </w:rPr>
            </w:pPr>
            <w:r w:rsidRPr="00FD2055">
              <w:rPr>
                <w:b/>
                <w:color w:val="000000"/>
                <w:sz w:val="18"/>
                <w:szCs w:val="18"/>
              </w:rPr>
              <w:t>Test results: effects</w:t>
            </w:r>
          </w:p>
        </w:tc>
        <w:tc>
          <w:tcPr>
            <w:tcW w:w="1608" w:type="dxa"/>
            <w:shd w:val="clear" w:color="auto" w:fill="FFFFFF"/>
          </w:tcPr>
          <w:p w14:paraId="36F6880E" w14:textId="77777777" w:rsidR="0015321A" w:rsidRPr="00FD2055" w:rsidRDefault="0015321A" w:rsidP="0015321A">
            <w:pPr>
              <w:rPr>
                <w:b/>
                <w:color w:val="000000"/>
                <w:sz w:val="18"/>
                <w:szCs w:val="18"/>
              </w:rPr>
            </w:pPr>
            <w:r w:rsidRPr="00FD2055">
              <w:rPr>
                <w:b/>
                <w:color w:val="000000"/>
                <w:sz w:val="18"/>
                <w:szCs w:val="18"/>
              </w:rPr>
              <w:t>Reference</w:t>
            </w:r>
          </w:p>
        </w:tc>
      </w:tr>
      <w:tr w:rsidR="00F03D06" w14:paraId="0C74AB6A" w14:textId="77777777" w:rsidTr="00E83890">
        <w:trPr>
          <w:jc w:val="center"/>
        </w:trPr>
        <w:tc>
          <w:tcPr>
            <w:tcW w:w="0" w:type="auto"/>
            <w:vAlign w:val="center"/>
          </w:tcPr>
          <w:p w14:paraId="48F06E5D" w14:textId="77777777" w:rsidR="0015321A" w:rsidRDefault="0015321A" w:rsidP="0015321A">
            <w:pPr>
              <w:rPr>
                <w:sz w:val="18"/>
                <w:szCs w:val="18"/>
              </w:rPr>
            </w:pPr>
            <w:r>
              <w:rPr>
                <w:color w:val="000000"/>
                <w:sz w:val="18"/>
                <w:szCs w:val="18"/>
              </w:rPr>
              <w:t>Disinfectant, bactericidal activity</w:t>
            </w:r>
          </w:p>
        </w:tc>
        <w:tc>
          <w:tcPr>
            <w:tcW w:w="1804" w:type="dxa"/>
            <w:vAlign w:val="center"/>
          </w:tcPr>
          <w:p w14:paraId="4AC6D188" w14:textId="4C1A304A" w:rsidR="0015321A" w:rsidRDefault="00E83890" w:rsidP="0015321A">
            <w:pPr>
              <w:rPr>
                <w:color w:val="000000"/>
                <w:sz w:val="18"/>
                <w:szCs w:val="18"/>
              </w:rPr>
            </w:pPr>
            <w:r>
              <w:rPr>
                <w:color w:val="000000"/>
                <w:sz w:val="18"/>
                <w:szCs w:val="18"/>
              </w:rPr>
              <w:t>Institutional, healthcare facilities and industrial areas</w:t>
            </w:r>
          </w:p>
        </w:tc>
        <w:tc>
          <w:tcPr>
            <w:tcW w:w="1279" w:type="dxa"/>
            <w:vAlign w:val="center"/>
          </w:tcPr>
          <w:p w14:paraId="48612FE3" w14:textId="77777777" w:rsidR="0015321A" w:rsidRDefault="0015321A" w:rsidP="0015321A">
            <w:pPr>
              <w:rPr>
                <w:color w:val="000000"/>
                <w:sz w:val="18"/>
                <w:szCs w:val="18"/>
              </w:rPr>
            </w:pPr>
            <w:r>
              <w:rPr>
                <w:color w:val="000000"/>
                <w:sz w:val="18"/>
                <w:szCs w:val="18"/>
              </w:rPr>
              <w:t>AL-S10-1-0</w:t>
            </w:r>
          </w:p>
          <w:p w14:paraId="5376FD5E" w14:textId="367C5D9A" w:rsidR="0015321A" w:rsidRDefault="00837D62" w:rsidP="0015321A">
            <w:pPr>
              <w:rPr>
                <w:color w:val="000000"/>
                <w:sz w:val="18"/>
                <w:szCs w:val="18"/>
              </w:rPr>
            </w:pPr>
            <w:r>
              <w:rPr>
                <w:color w:val="000000"/>
                <w:sz w:val="18"/>
                <w:szCs w:val="18"/>
              </w:rPr>
              <w:t>8</w:t>
            </w:r>
            <w:r w:rsidR="0015321A">
              <w:rPr>
                <w:color w:val="000000"/>
                <w:sz w:val="18"/>
                <w:szCs w:val="18"/>
              </w:rPr>
              <w:t>% lactic acid</w:t>
            </w:r>
          </w:p>
        </w:tc>
        <w:tc>
          <w:tcPr>
            <w:tcW w:w="0" w:type="auto"/>
            <w:vAlign w:val="center"/>
          </w:tcPr>
          <w:p w14:paraId="16E2DA30" w14:textId="77777777" w:rsidR="0015321A" w:rsidRPr="00D016EC" w:rsidRDefault="0015321A" w:rsidP="0015321A">
            <w:pPr>
              <w:rPr>
                <w:i/>
                <w:sz w:val="18"/>
                <w:szCs w:val="18"/>
                <w:lang w:val="fr-FR"/>
              </w:rPr>
            </w:pPr>
            <w:r w:rsidRPr="00D016EC">
              <w:rPr>
                <w:i/>
                <w:color w:val="000000"/>
                <w:sz w:val="18"/>
                <w:szCs w:val="18"/>
                <w:lang w:val="fr-FR"/>
              </w:rPr>
              <w:t>Pseudomonas aeruginosa</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Staphylococcus aureus</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p>
        </w:tc>
        <w:tc>
          <w:tcPr>
            <w:tcW w:w="1342" w:type="dxa"/>
            <w:vAlign w:val="center"/>
          </w:tcPr>
          <w:p w14:paraId="17D93184" w14:textId="77777777" w:rsidR="0015321A" w:rsidRDefault="0015321A" w:rsidP="0015321A">
            <w:pPr>
              <w:rPr>
                <w:sz w:val="18"/>
                <w:szCs w:val="18"/>
              </w:rPr>
            </w:pPr>
            <w:r>
              <w:rPr>
                <w:color w:val="000000"/>
                <w:sz w:val="18"/>
                <w:szCs w:val="18"/>
              </w:rPr>
              <w:t>NF EN 1276 (March 2010)</w:t>
            </w:r>
          </w:p>
        </w:tc>
        <w:tc>
          <w:tcPr>
            <w:tcW w:w="3118" w:type="dxa"/>
            <w:vAlign w:val="center"/>
          </w:tcPr>
          <w:p w14:paraId="024D52C6" w14:textId="77777777" w:rsidR="0015321A" w:rsidRDefault="0015321A" w:rsidP="0015321A">
            <w:pPr>
              <w:rPr>
                <w:color w:val="000000"/>
                <w:sz w:val="18"/>
                <w:szCs w:val="18"/>
              </w:rPr>
            </w:pPr>
            <w:r>
              <w:rPr>
                <w:color w:val="000000"/>
                <w:sz w:val="18"/>
                <w:szCs w:val="18"/>
              </w:rPr>
              <w:t>Phase 2 step 1 (suspension test)</w:t>
            </w:r>
          </w:p>
          <w:p w14:paraId="6B6D23C9" w14:textId="37FC5CE1" w:rsidR="0015321A" w:rsidRDefault="0015321A" w:rsidP="0015321A">
            <w:pPr>
              <w:rPr>
                <w:color w:val="000000"/>
                <w:sz w:val="18"/>
                <w:szCs w:val="18"/>
              </w:rPr>
            </w:pPr>
            <w:r>
              <w:rPr>
                <w:color w:val="000000"/>
                <w:sz w:val="18"/>
                <w:szCs w:val="18"/>
              </w:rPr>
              <w:t>Concentrations of product tested (v/v) were: 0.5%, 2%, 6%, 8%.</w:t>
            </w:r>
          </w:p>
          <w:p w14:paraId="5502B627" w14:textId="189CCB1C" w:rsidR="0015321A" w:rsidRDefault="0015321A" w:rsidP="0015321A">
            <w:pPr>
              <w:rPr>
                <w:color w:val="000000"/>
                <w:sz w:val="18"/>
                <w:szCs w:val="18"/>
              </w:rPr>
            </w:pPr>
            <w:r>
              <w:rPr>
                <w:color w:val="000000"/>
                <w:sz w:val="18"/>
                <w:szCs w:val="18"/>
              </w:rPr>
              <w:t xml:space="preserve">Contact time: 5 minutes </w:t>
            </w:r>
          </w:p>
          <w:p w14:paraId="6412E8BB" w14:textId="77777777" w:rsidR="0015321A" w:rsidRDefault="0015321A" w:rsidP="0015321A">
            <w:pPr>
              <w:rPr>
                <w:color w:val="000000"/>
                <w:sz w:val="18"/>
                <w:szCs w:val="18"/>
              </w:rPr>
            </w:pPr>
            <w:r>
              <w:rPr>
                <w:color w:val="000000"/>
                <w:sz w:val="18"/>
                <w:szCs w:val="18"/>
              </w:rPr>
              <w:t>Temperature: 20°C</w:t>
            </w:r>
          </w:p>
          <w:p w14:paraId="447743B9" w14:textId="77777777" w:rsidR="0015321A" w:rsidRDefault="0015321A" w:rsidP="0015321A">
            <w:pPr>
              <w:rPr>
                <w:color w:val="000000"/>
                <w:sz w:val="18"/>
                <w:szCs w:val="18"/>
              </w:rPr>
            </w:pPr>
            <w:r>
              <w:rPr>
                <w:color w:val="000000"/>
                <w:sz w:val="18"/>
                <w:szCs w:val="18"/>
              </w:rPr>
              <w:t xml:space="preserve">Dirty conditions: 3 g/L BSA </w:t>
            </w:r>
          </w:p>
          <w:p w14:paraId="2E6DD85D" w14:textId="77777777" w:rsidR="0015321A" w:rsidRDefault="0015321A" w:rsidP="0015321A">
            <w:pPr>
              <w:rPr>
                <w:sz w:val="18"/>
                <w:szCs w:val="18"/>
              </w:rPr>
            </w:pPr>
            <w:r>
              <w:rPr>
                <w:color w:val="000000"/>
                <w:sz w:val="18"/>
                <w:szCs w:val="18"/>
              </w:rPr>
              <w:t>Criteria: ≥ 5 log unit reduction.</w:t>
            </w:r>
          </w:p>
        </w:tc>
        <w:tc>
          <w:tcPr>
            <w:tcW w:w="1700" w:type="dxa"/>
            <w:vAlign w:val="center"/>
          </w:tcPr>
          <w:p w14:paraId="47123E8D" w14:textId="1FE9D541" w:rsidR="0015321A" w:rsidRDefault="0015321A" w:rsidP="0015321A">
            <w:pPr>
              <w:rPr>
                <w:sz w:val="18"/>
                <w:szCs w:val="18"/>
              </w:rPr>
            </w:pPr>
            <w:r>
              <w:rPr>
                <w:color w:val="000000"/>
                <w:sz w:val="18"/>
                <w:szCs w:val="18"/>
              </w:rPr>
              <w:t>Bactericidal activity demonstrated at 2% v/v</w:t>
            </w:r>
          </w:p>
        </w:tc>
        <w:tc>
          <w:tcPr>
            <w:tcW w:w="1608" w:type="dxa"/>
            <w:vAlign w:val="center"/>
          </w:tcPr>
          <w:p w14:paraId="21F68E1A" w14:textId="77777777" w:rsidR="0015321A" w:rsidRDefault="0015321A" w:rsidP="0015321A">
            <w:pPr>
              <w:rPr>
                <w:color w:val="000000"/>
                <w:sz w:val="18"/>
                <w:szCs w:val="18"/>
              </w:rPr>
            </w:pPr>
            <w:r>
              <w:rPr>
                <w:color w:val="000000"/>
                <w:sz w:val="18"/>
                <w:szCs w:val="18"/>
              </w:rPr>
              <w:t>Huguet N., 2019, Report No 18.CM.18-148</w:t>
            </w:r>
          </w:p>
          <w:p w14:paraId="0AB63DFC" w14:textId="77777777" w:rsidR="0015321A" w:rsidRDefault="0015321A" w:rsidP="0015321A">
            <w:pPr>
              <w:rPr>
                <w:sz w:val="18"/>
                <w:szCs w:val="18"/>
              </w:rPr>
            </w:pPr>
            <w:r>
              <w:rPr>
                <w:color w:val="000000"/>
                <w:sz w:val="18"/>
                <w:szCs w:val="18"/>
              </w:rPr>
              <w:t>RI=1</w:t>
            </w:r>
          </w:p>
        </w:tc>
      </w:tr>
      <w:tr w:rsidR="00F03D06" w14:paraId="3351DCBF" w14:textId="77777777" w:rsidTr="00E83890">
        <w:trPr>
          <w:jc w:val="center"/>
        </w:trPr>
        <w:tc>
          <w:tcPr>
            <w:tcW w:w="0" w:type="auto"/>
            <w:vAlign w:val="center"/>
          </w:tcPr>
          <w:p w14:paraId="72E0C431" w14:textId="77777777" w:rsidR="0015321A" w:rsidRDefault="0015321A" w:rsidP="0015321A">
            <w:pPr>
              <w:rPr>
                <w:color w:val="000000"/>
                <w:sz w:val="18"/>
                <w:szCs w:val="18"/>
              </w:rPr>
            </w:pPr>
            <w:r>
              <w:rPr>
                <w:color w:val="000000"/>
                <w:sz w:val="18"/>
                <w:szCs w:val="18"/>
              </w:rPr>
              <w:t>Disinfectant, yeasticidal activity</w:t>
            </w:r>
          </w:p>
        </w:tc>
        <w:tc>
          <w:tcPr>
            <w:tcW w:w="1804" w:type="dxa"/>
            <w:vAlign w:val="center"/>
          </w:tcPr>
          <w:p w14:paraId="33D37EF7" w14:textId="77777777" w:rsidR="0015321A" w:rsidRDefault="0015321A" w:rsidP="0015321A">
            <w:pPr>
              <w:rPr>
                <w:color w:val="000000"/>
                <w:sz w:val="18"/>
                <w:szCs w:val="18"/>
              </w:rPr>
            </w:pPr>
            <w:r>
              <w:rPr>
                <w:color w:val="000000"/>
                <w:sz w:val="18"/>
                <w:szCs w:val="18"/>
              </w:rPr>
              <w:t>Institutional, healthcare facilities and industrial areas</w:t>
            </w:r>
          </w:p>
        </w:tc>
        <w:tc>
          <w:tcPr>
            <w:tcW w:w="1279" w:type="dxa"/>
            <w:vAlign w:val="center"/>
          </w:tcPr>
          <w:p w14:paraId="53BAAA9D" w14:textId="77777777" w:rsidR="0015321A" w:rsidRDefault="0015321A" w:rsidP="0015321A">
            <w:pPr>
              <w:rPr>
                <w:color w:val="000000"/>
                <w:sz w:val="18"/>
                <w:szCs w:val="18"/>
              </w:rPr>
            </w:pPr>
            <w:r>
              <w:rPr>
                <w:color w:val="000000"/>
                <w:sz w:val="18"/>
                <w:szCs w:val="18"/>
              </w:rPr>
              <w:t>AL-S13-1-0</w:t>
            </w:r>
          </w:p>
          <w:p w14:paraId="3B301D8E" w14:textId="35C750AF" w:rsidR="0015321A" w:rsidRDefault="008007CB" w:rsidP="0015321A">
            <w:pPr>
              <w:rPr>
                <w:color w:val="000000"/>
                <w:sz w:val="18"/>
                <w:szCs w:val="18"/>
              </w:rPr>
            </w:pPr>
            <w:r>
              <w:rPr>
                <w:color w:val="000000"/>
                <w:sz w:val="18"/>
                <w:szCs w:val="18"/>
              </w:rPr>
              <w:t>8</w:t>
            </w:r>
            <w:r w:rsidR="0015321A">
              <w:rPr>
                <w:color w:val="000000"/>
                <w:sz w:val="18"/>
                <w:szCs w:val="18"/>
              </w:rPr>
              <w:t>% lactic acid</w:t>
            </w:r>
          </w:p>
        </w:tc>
        <w:tc>
          <w:tcPr>
            <w:tcW w:w="0" w:type="auto"/>
            <w:vAlign w:val="center"/>
          </w:tcPr>
          <w:p w14:paraId="3FEAA63B" w14:textId="77777777" w:rsidR="0015321A" w:rsidRPr="00AF1A0E" w:rsidRDefault="0015321A" w:rsidP="0015321A">
            <w:pPr>
              <w:rPr>
                <w:i/>
                <w:color w:val="000000"/>
                <w:sz w:val="18"/>
                <w:szCs w:val="18"/>
                <w:lang w:val="fr-FR"/>
              </w:rPr>
            </w:pPr>
            <w:r w:rsidRPr="005D3939">
              <w:rPr>
                <w:i/>
                <w:color w:val="000000"/>
                <w:sz w:val="18"/>
                <w:szCs w:val="18"/>
              </w:rPr>
              <w:t>Candida albicans</w:t>
            </w:r>
            <w:r>
              <w:rPr>
                <w:color w:val="000000"/>
                <w:sz w:val="18"/>
                <w:szCs w:val="18"/>
              </w:rPr>
              <w:t xml:space="preserve"> </w:t>
            </w:r>
          </w:p>
        </w:tc>
        <w:tc>
          <w:tcPr>
            <w:tcW w:w="1342" w:type="dxa"/>
            <w:vAlign w:val="center"/>
          </w:tcPr>
          <w:p w14:paraId="27F7F083" w14:textId="77777777" w:rsidR="0015321A" w:rsidRDefault="0015321A" w:rsidP="0015321A">
            <w:pPr>
              <w:rPr>
                <w:color w:val="000000"/>
                <w:sz w:val="18"/>
                <w:szCs w:val="18"/>
              </w:rPr>
            </w:pPr>
            <w:r>
              <w:rPr>
                <w:color w:val="000000"/>
                <w:sz w:val="18"/>
                <w:szCs w:val="18"/>
              </w:rPr>
              <w:t>NF EN 1650 (2008) + A1 (July 2013)</w:t>
            </w:r>
          </w:p>
        </w:tc>
        <w:tc>
          <w:tcPr>
            <w:tcW w:w="3118" w:type="dxa"/>
            <w:vAlign w:val="center"/>
          </w:tcPr>
          <w:p w14:paraId="6DD2AB94" w14:textId="77777777" w:rsidR="0015321A" w:rsidRDefault="0015321A" w:rsidP="0015321A">
            <w:pPr>
              <w:rPr>
                <w:color w:val="000000"/>
                <w:sz w:val="18"/>
                <w:szCs w:val="18"/>
              </w:rPr>
            </w:pPr>
            <w:r>
              <w:rPr>
                <w:color w:val="000000"/>
                <w:sz w:val="18"/>
                <w:szCs w:val="18"/>
              </w:rPr>
              <w:t>Phase 2 step 1 (suspension test)</w:t>
            </w:r>
          </w:p>
          <w:p w14:paraId="460D2C60" w14:textId="77777777" w:rsidR="0015321A" w:rsidRDefault="0015321A" w:rsidP="0015321A">
            <w:pPr>
              <w:rPr>
                <w:color w:val="000000"/>
                <w:sz w:val="18"/>
                <w:szCs w:val="18"/>
              </w:rPr>
            </w:pPr>
            <w:r>
              <w:rPr>
                <w:color w:val="000000"/>
                <w:sz w:val="18"/>
                <w:szCs w:val="18"/>
              </w:rPr>
              <w:t xml:space="preserve">Concentrations of product tested (v/v) were: 4%, 6%, 8%. </w:t>
            </w:r>
          </w:p>
          <w:p w14:paraId="026C3007" w14:textId="2F7BA5BF" w:rsidR="0015321A" w:rsidRDefault="0015321A" w:rsidP="0015321A">
            <w:pPr>
              <w:rPr>
                <w:color w:val="000000"/>
                <w:sz w:val="18"/>
                <w:szCs w:val="18"/>
              </w:rPr>
            </w:pPr>
            <w:r>
              <w:rPr>
                <w:color w:val="000000"/>
                <w:sz w:val="18"/>
                <w:szCs w:val="18"/>
              </w:rPr>
              <w:t xml:space="preserve">Contact time: 15 minutes </w:t>
            </w:r>
          </w:p>
          <w:p w14:paraId="0B7B2528" w14:textId="77777777" w:rsidR="0015321A" w:rsidRDefault="0015321A" w:rsidP="0015321A">
            <w:pPr>
              <w:rPr>
                <w:color w:val="000000"/>
                <w:sz w:val="18"/>
                <w:szCs w:val="18"/>
              </w:rPr>
            </w:pPr>
            <w:r>
              <w:rPr>
                <w:color w:val="000000"/>
                <w:sz w:val="18"/>
                <w:szCs w:val="18"/>
              </w:rPr>
              <w:t>Temperature: 20°C</w:t>
            </w:r>
          </w:p>
          <w:p w14:paraId="0E4D343F" w14:textId="77777777" w:rsidR="0015321A" w:rsidRDefault="0015321A" w:rsidP="0015321A">
            <w:pPr>
              <w:rPr>
                <w:color w:val="000000"/>
                <w:sz w:val="18"/>
                <w:szCs w:val="18"/>
              </w:rPr>
            </w:pPr>
            <w:r>
              <w:rPr>
                <w:color w:val="000000"/>
                <w:sz w:val="18"/>
                <w:szCs w:val="18"/>
              </w:rPr>
              <w:t xml:space="preserve">Dirty conditions: 3 g/L BSA </w:t>
            </w:r>
          </w:p>
          <w:p w14:paraId="42DA0EA6" w14:textId="77777777" w:rsidR="0015321A" w:rsidRDefault="0015321A" w:rsidP="0015321A">
            <w:pPr>
              <w:rPr>
                <w:color w:val="000000"/>
                <w:sz w:val="18"/>
                <w:szCs w:val="18"/>
              </w:rPr>
            </w:pPr>
            <w:r>
              <w:rPr>
                <w:color w:val="000000"/>
                <w:sz w:val="18"/>
                <w:szCs w:val="18"/>
              </w:rPr>
              <w:t>Criteria: ≥ 4 log unit reduction.</w:t>
            </w:r>
          </w:p>
        </w:tc>
        <w:tc>
          <w:tcPr>
            <w:tcW w:w="1700" w:type="dxa"/>
            <w:vAlign w:val="center"/>
          </w:tcPr>
          <w:p w14:paraId="4270C29F" w14:textId="77777777" w:rsidR="0015321A" w:rsidRDefault="0015321A" w:rsidP="0015321A">
            <w:pPr>
              <w:rPr>
                <w:color w:val="000000"/>
                <w:sz w:val="18"/>
                <w:szCs w:val="18"/>
              </w:rPr>
            </w:pPr>
            <w:r>
              <w:rPr>
                <w:color w:val="000000"/>
                <w:sz w:val="18"/>
                <w:szCs w:val="18"/>
              </w:rPr>
              <w:t>Yeasticidal activity demonstrated at 8% v/v.</w:t>
            </w:r>
          </w:p>
        </w:tc>
        <w:tc>
          <w:tcPr>
            <w:tcW w:w="1608" w:type="dxa"/>
            <w:vAlign w:val="center"/>
          </w:tcPr>
          <w:p w14:paraId="7AE7147E" w14:textId="77777777" w:rsidR="0015321A" w:rsidRDefault="0015321A" w:rsidP="0015321A">
            <w:pPr>
              <w:rPr>
                <w:color w:val="000000"/>
                <w:sz w:val="18"/>
                <w:szCs w:val="18"/>
              </w:rPr>
            </w:pPr>
            <w:r>
              <w:rPr>
                <w:color w:val="000000"/>
                <w:sz w:val="18"/>
                <w:szCs w:val="18"/>
              </w:rPr>
              <w:t>Huguet N., 2018, Report No 18.CM.18-153</w:t>
            </w:r>
          </w:p>
          <w:p w14:paraId="0E0A1199" w14:textId="77777777" w:rsidR="0015321A" w:rsidRDefault="0015321A" w:rsidP="0015321A">
            <w:pPr>
              <w:rPr>
                <w:color w:val="000000"/>
                <w:sz w:val="18"/>
                <w:szCs w:val="18"/>
              </w:rPr>
            </w:pPr>
            <w:r>
              <w:rPr>
                <w:color w:val="000000"/>
                <w:sz w:val="18"/>
                <w:szCs w:val="18"/>
              </w:rPr>
              <w:t>RI=1</w:t>
            </w:r>
          </w:p>
        </w:tc>
      </w:tr>
      <w:tr w:rsidR="00F03D06" w:rsidRPr="00FD2055" w14:paraId="75D4295B" w14:textId="77777777" w:rsidTr="00E83890">
        <w:trPr>
          <w:jc w:val="center"/>
        </w:trPr>
        <w:tc>
          <w:tcPr>
            <w:tcW w:w="0" w:type="auto"/>
            <w:vAlign w:val="center"/>
          </w:tcPr>
          <w:p w14:paraId="668E4DC5" w14:textId="77777777" w:rsidR="0015321A" w:rsidRPr="00FD2055" w:rsidRDefault="0015321A" w:rsidP="0015321A">
            <w:pPr>
              <w:rPr>
                <w:i/>
                <w:color w:val="000000"/>
                <w:sz w:val="18"/>
                <w:szCs w:val="18"/>
              </w:rPr>
            </w:pPr>
            <w:r>
              <w:rPr>
                <w:color w:val="000000"/>
                <w:sz w:val="18"/>
                <w:szCs w:val="18"/>
              </w:rPr>
              <w:t>Disinfectant, bactericidal activity</w:t>
            </w:r>
          </w:p>
        </w:tc>
        <w:tc>
          <w:tcPr>
            <w:tcW w:w="1804" w:type="dxa"/>
            <w:vAlign w:val="center"/>
          </w:tcPr>
          <w:p w14:paraId="7C4A7C38" w14:textId="77777777" w:rsidR="0015321A" w:rsidRPr="00FD2055" w:rsidRDefault="0015321A" w:rsidP="0015321A">
            <w:pPr>
              <w:rPr>
                <w:i/>
                <w:color w:val="000000"/>
                <w:sz w:val="18"/>
                <w:szCs w:val="18"/>
              </w:rPr>
            </w:pPr>
            <w:r>
              <w:rPr>
                <w:color w:val="000000"/>
                <w:sz w:val="18"/>
                <w:szCs w:val="18"/>
              </w:rPr>
              <w:t>Institutional, healthcare facilities and industrial areas</w:t>
            </w:r>
          </w:p>
        </w:tc>
        <w:tc>
          <w:tcPr>
            <w:tcW w:w="1279" w:type="dxa"/>
            <w:vAlign w:val="center"/>
          </w:tcPr>
          <w:p w14:paraId="508C61A2" w14:textId="77777777" w:rsidR="0015321A" w:rsidRDefault="0015321A" w:rsidP="0015321A">
            <w:pPr>
              <w:rPr>
                <w:color w:val="000000"/>
                <w:sz w:val="18"/>
                <w:szCs w:val="18"/>
              </w:rPr>
            </w:pPr>
            <w:r>
              <w:rPr>
                <w:color w:val="000000"/>
                <w:sz w:val="18"/>
                <w:szCs w:val="18"/>
              </w:rPr>
              <w:t>AL-S13-1-0</w:t>
            </w:r>
          </w:p>
          <w:p w14:paraId="348A7645" w14:textId="3697B64B" w:rsidR="0015321A" w:rsidRPr="00FD2055" w:rsidRDefault="008007CB" w:rsidP="0015321A">
            <w:pPr>
              <w:rPr>
                <w:i/>
                <w:color w:val="000000"/>
                <w:sz w:val="18"/>
                <w:szCs w:val="18"/>
              </w:rPr>
            </w:pPr>
            <w:r>
              <w:rPr>
                <w:color w:val="000000"/>
                <w:sz w:val="18"/>
                <w:szCs w:val="18"/>
              </w:rPr>
              <w:t>8</w:t>
            </w:r>
            <w:r w:rsidR="0015321A">
              <w:rPr>
                <w:color w:val="000000"/>
                <w:sz w:val="18"/>
                <w:szCs w:val="18"/>
              </w:rPr>
              <w:t>% lactic acid</w:t>
            </w:r>
          </w:p>
        </w:tc>
        <w:tc>
          <w:tcPr>
            <w:tcW w:w="0" w:type="auto"/>
            <w:vAlign w:val="center"/>
          </w:tcPr>
          <w:p w14:paraId="3EE7F68E" w14:textId="77777777" w:rsidR="0015321A" w:rsidRPr="004976FE" w:rsidRDefault="0015321A" w:rsidP="0015321A">
            <w:pPr>
              <w:rPr>
                <w:i/>
                <w:color w:val="000000"/>
                <w:sz w:val="18"/>
                <w:szCs w:val="18"/>
              </w:rPr>
            </w:pPr>
            <w:r w:rsidRPr="005D3939">
              <w:rPr>
                <w:i/>
                <w:color w:val="000000"/>
                <w:sz w:val="18"/>
                <w:szCs w:val="18"/>
              </w:rPr>
              <w:t xml:space="preserve">Yersinia enterocolitica </w:t>
            </w:r>
          </w:p>
        </w:tc>
        <w:tc>
          <w:tcPr>
            <w:tcW w:w="1342" w:type="dxa"/>
            <w:vAlign w:val="center"/>
          </w:tcPr>
          <w:p w14:paraId="63EA75FB" w14:textId="77777777" w:rsidR="0015321A" w:rsidRPr="00FD2055" w:rsidRDefault="0015321A" w:rsidP="0015321A">
            <w:pPr>
              <w:rPr>
                <w:color w:val="000000"/>
                <w:sz w:val="18"/>
                <w:szCs w:val="18"/>
              </w:rPr>
            </w:pPr>
            <w:r>
              <w:rPr>
                <w:color w:val="000000"/>
                <w:sz w:val="18"/>
                <w:szCs w:val="18"/>
              </w:rPr>
              <w:t>NF EN 13697 (June 2015)</w:t>
            </w:r>
          </w:p>
        </w:tc>
        <w:tc>
          <w:tcPr>
            <w:tcW w:w="3118" w:type="dxa"/>
            <w:vAlign w:val="center"/>
          </w:tcPr>
          <w:p w14:paraId="34BD1A91" w14:textId="73424779" w:rsidR="0015321A" w:rsidRDefault="0015321A" w:rsidP="0015321A">
            <w:pPr>
              <w:rPr>
                <w:color w:val="000000"/>
                <w:sz w:val="18"/>
                <w:szCs w:val="18"/>
              </w:rPr>
            </w:pPr>
            <w:r>
              <w:rPr>
                <w:color w:val="000000"/>
                <w:sz w:val="18"/>
                <w:szCs w:val="18"/>
              </w:rPr>
              <w:t>Phase 2 step 2 (su</w:t>
            </w:r>
            <w:r w:rsidR="00E83890">
              <w:rPr>
                <w:color w:val="000000"/>
                <w:sz w:val="18"/>
                <w:szCs w:val="18"/>
              </w:rPr>
              <w:t>rface</w:t>
            </w:r>
            <w:r>
              <w:rPr>
                <w:color w:val="000000"/>
                <w:sz w:val="18"/>
                <w:szCs w:val="18"/>
              </w:rPr>
              <w:t xml:space="preserve"> test)</w:t>
            </w:r>
          </w:p>
          <w:p w14:paraId="55B0F43B" w14:textId="77777777" w:rsidR="0015321A" w:rsidRDefault="0015321A" w:rsidP="0015321A">
            <w:pPr>
              <w:rPr>
                <w:color w:val="000000"/>
                <w:sz w:val="18"/>
                <w:szCs w:val="18"/>
              </w:rPr>
            </w:pPr>
            <w:r>
              <w:rPr>
                <w:color w:val="000000"/>
                <w:sz w:val="18"/>
                <w:szCs w:val="18"/>
              </w:rPr>
              <w:t xml:space="preserve">Concentrations of product tested (v/v) were: </w:t>
            </w:r>
            <w:r>
              <w:rPr>
                <w:sz w:val="18"/>
                <w:szCs w:val="18"/>
              </w:rPr>
              <w:t xml:space="preserve">2%, 6%, 8%. </w:t>
            </w:r>
          </w:p>
          <w:p w14:paraId="0096672F" w14:textId="71B36264" w:rsidR="0015321A" w:rsidRDefault="0015321A" w:rsidP="0015321A">
            <w:pPr>
              <w:rPr>
                <w:color w:val="000000"/>
                <w:sz w:val="18"/>
                <w:szCs w:val="18"/>
              </w:rPr>
            </w:pPr>
            <w:r>
              <w:rPr>
                <w:color w:val="000000"/>
                <w:sz w:val="18"/>
                <w:szCs w:val="18"/>
              </w:rPr>
              <w:t xml:space="preserve">Contact time: 5 minutes </w:t>
            </w:r>
          </w:p>
          <w:p w14:paraId="25013132" w14:textId="77777777" w:rsidR="0015321A" w:rsidRDefault="0015321A" w:rsidP="0015321A">
            <w:pPr>
              <w:rPr>
                <w:color w:val="000000"/>
                <w:sz w:val="18"/>
                <w:szCs w:val="18"/>
              </w:rPr>
            </w:pPr>
            <w:r>
              <w:rPr>
                <w:color w:val="000000"/>
                <w:sz w:val="18"/>
                <w:szCs w:val="18"/>
              </w:rPr>
              <w:t>Temperature: 20°C</w:t>
            </w:r>
          </w:p>
          <w:p w14:paraId="39C90AB5" w14:textId="77777777" w:rsidR="0015321A" w:rsidRDefault="0015321A" w:rsidP="0015321A">
            <w:pPr>
              <w:rPr>
                <w:color w:val="000000"/>
                <w:sz w:val="18"/>
                <w:szCs w:val="18"/>
              </w:rPr>
            </w:pPr>
            <w:r>
              <w:rPr>
                <w:color w:val="000000"/>
                <w:sz w:val="18"/>
                <w:szCs w:val="18"/>
              </w:rPr>
              <w:t xml:space="preserve">Dirty conditions: 3 g/L BSA </w:t>
            </w:r>
          </w:p>
          <w:p w14:paraId="70AC81ED" w14:textId="77777777" w:rsidR="0015321A" w:rsidRPr="00FD2055" w:rsidRDefault="0015321A" w:rsidP="0015321A">
            <w:pPr>
              <w:rPr>
                <w:color w:val="000000"/>
                <w:sz w:val="18"/>
                <w:szCs w:val="18"/>
              </w:rPr>
            </w:pPr>
            <w:r>
              <w:rPr>
                <w:color w:val="000000"/>
                <w:sz w:val="18"/>
                <w:szCs w:val="18"/>
              </w:rPr>
              <w:t>Criteria: ≥ 4 log unit reduction.</w:t>
            </w:r>
          </w:p>
        </w:tc>
        <w:tc>
          <w:tcPr>
            <w:tcW w:w="1700" w:type="dxa"/>
            <w:vAlign w:val="center"/>
          </w:tcPr>
          <w:p w14:paraId="25016439" w14:textId="77777777" w:rsidR="0015321A" w:rsidRDefault="0015321A" w:rsidP="0015321A">
            <w:pPr>
              <w:rPr>
                <w:color w:val="000000"/>
                <w:sz w:val="18"/>
                <w:szCs w:val="18"/>
              </w:rPr>
            </w:pPr>
          </w:p>
          <w:p w14:paraId="416EB3C0" w14:textId="49CB6679" w:rsidR="0015321A" w:rsidRPr="00FD2055" w:rsidRDefault="00FF3729" w:rsidP="00FF3729">
            <w:pPr>
              <w:rPr>
                <w:color w:val="000000"/>
                <w:sz w:val="18"/>
                <w:szCs w:val="18"/>
              </w:rPr>
            </w:pPr>
            <w:r>
              <w:rPr>
                <w:color w:val="000000"/>
                <w:sz w:val="18"/>
                <w:szCs w:val="18"/>
              </w:rPr>
              <w:t>A</w:t>
            </w:r>
            <w:r w:rsidR="0015321A">
              <w:rPr>
                <w:color w:val="000000"/>
                <w:sz w:val="18"/>
                <w:szCs w:val="18"/>
              </w:rPr>
              <w:t xml:space="preserve">ctivity </w:t>
            </w:r>
            <w:r w:rsidR="00F03D06">
              <w:rPr>
                <w:color w:val="000000"/>
                <w:sz w:val="18"/>
                <w:szCs w:val="18"/>
              </w:rPr>
              <w:t xml:space="preserve">against </w:t>
            </w:r>
            <w:r w:rsidR="00F03D06" w:rsidRPr="009A35BE">
              <w:rPr>
                <w:i/>
                <w:color w:val="000000"/>
                <w:sz w:val="18"/>
                <w:szCs w:val="18"/>
              </w:rPr>
              <w:t>Y.enterocolitica</w:t>
            </w:r>
            <w:r w:rsidR="00F03D06">
              <w:rPr>
                <w:color w:val="000000"/>
                <w:sz w:val="18"/>
                <w:szCs w:val="18"/>
              </w:rPr>
              <w:t xml:space="preserve"> </w:t>
            </w:r>
            <w:r w:rsidR="0015321A">
              <w:rPr>
                <w:color w:val="000000"/>
                <w:sz w:val="18"/>
                <w:szCs w:val="18"/>
              </w:rPr>
              <w:t>demonstrated at 2% v/v.</w:t>
            </w:r>
          </w:p>
        </w:tc>
        <w:tc>
          <w:tcPr>
            <w:tcW w:w="1608" w:type="dxa"/>
            <w:vAlign w:val="center"/>
          </w:tcPr>
          <w:p w14:paraId="4EF2ACCF" w14:textId="77777777" w:rsidR="0015321A" w:rsidRDefault="0015321A" w:rsidP="0015321A">
            <w:pPr>
              <w:rPr>
                <w:color w:val="000000"/>
                <w:sz w:val="18"/>
                <w:szCs w:val="18"/>
              </w:rPr>
            </w:pPr>
            <w:r>
              <w:rPr>
                <w:color w:val="000000"/>
                <w:sz w:val="18"/>
                <w:szCs w:val="18"/>
              </w:rPr>
              <w:t>Pinon A., 2018, Report No 180235a</w:t>
            </w:r>
          </w:p>
          <w:p w14:paraId="4EDC55CB" w14:textId="77777777" w:rsidR="0015321A" w:rsidRPr="00FD2055" w:rsidRDefault="0015321A" w:rsidP="0015321A">
            <w:pPr>
              <w:rPr>
                <w:i/>
                <w:color w:val="000000"/>
                <w:sz w:val="18"/>
                <w:szCs w:val="18"/>
              </w:rPr>
            </w:pPr>
            <w:r>
              <w:rPr>
                <w:color w:val="000000"/>
                <w:sz w:val="18"/>
                <w:szCs w:val="18"/>
              </w:rPr>
              <w:t>RI=1</w:t>
            </w:r>
          </w:p>
        </w:tc>
      </w:tr>
      <w:tr w:rsidR="00F03D06" w:rsidRPr="00FD2055" w14:paraId="287BA9CE" w14:textId="77777777" w:rsidTr="00E83890">
        <w:trPr>
          <w:jc w:val="center"/>
        </w:trPr>
        <w:tc>
          <w:tcPr>
            <w:tcW w:w="0" w:type="auto"/>
            <w:vAlign w:val="center"/>
          </w:tcPr>
          <w:p w14:paraId="67437560" w14:textId="77777777" w:rsidR="0015321A" w:rsidRPr="00FD2055" w:rsidRDefault="0015321A" w:rsidP="0015321A">
            <w:pPr>
              <w:rPr>
                <w:i/>
                <w:color w:val="000000"/>
                <w:sz w:val="18"/>
                <w:szCs w:val="18"/>
              </w:rPr>
            </w:pPr>
            <w:r>
              <w:rPr>
                <w:color w:val="000000"/>
                <w:sz w:val="18"/>
                <w:szCs w:val="18"/>
              </w:rPr>
              <w:t>Disinfectant, bactericidal activity</w:t>
            </w:r>
          </w:p>
        </w:tc>
        <w:tc>
          <w:tcPr>
            <w:tcW w:w="1804" w:type="dxa"/>
            <w:vAlign w:val="center"/>
          </w:tcPr>
          <w:p w14:paraId="21FAE4AE" w14:textId="23010D00" w:rsidR="0015321A" w:rsidRPr="00FD2055" w:rsidRDefault="00F03D06" w:rsidP="0015321A">
            <w:pPr>
              <w:rPr>
                <w:i/>
                <w:color w:val="000000"/>
                <w:sz w:val="18"/>
                <w:szCs w:val="18"/>
              </w:rPr>
            </w:pPr>
            <w:r>
              <w:rPr>
                <w:color w:val="000000"/>
                <w:sz w:val="18"/>
                <w:szCs w:val="18"/>
              </w:rPr>
              <w:t>Institutional, healthcare facilities and industrial areas</w:t>
            </w:r>
          </w:p>
        </w:tc>
        <w:tc>
          <w:tcPr>
            <w:tcW w:w="1279" w:type="dxa"/>
            <w:vAlign w:val="center"/>
          </w:tcPr>
          <w:p w14:paraId="3123A3E7" w14:textId="77777777" w:rsidR="0015321A" w:rsidRDefault="0015321A" w:rsidP="0015321A">
            <w:pPr>
              <w:rPr>
                <w:color w:val="000000"/>
                <w:sz w:val="18"/>
                <w:szCs w:val="18"/>
              </w:rPr>
            </w:pPr>
            <w:r>
              <w:rPr>
                <w:color w:val="000000"/>
                <w:sz w:val="18"/>
                <w:szCs w:val="18"/>
              </w:rPr>
              <w:t>AL-S10-1-0</w:t>
            </w:r>
          </w:p>
          <w:p w14:paraId="3F53B3B4" w14:textId="26C769FA" w:rsidR="0015321A" w:rsidRPr="00FD2055" w:rsidRDefault="00837D62" w:rsidP="0015321A">
            <w:pPr>
              <w:rPr>
                <w:i/>
                <w:color w:val="000000"/>
                <w:sz w:val="18"/>
                <w:szCs w:val="18"/>
              </w:rPr>
            </w:pPr>
            <w:r>
              <w:rPr>
                <w:color w:val="000000"/>
                <w:sz w:val="18"/>
                <w:szCs w:val="18"/>
              </w:rPr>
              <w:t>8</w:t>
            </w:r>
            <w:r w:rsidR="0015321A">
              <w:rPr>
                <w:color w:val="000000"/>
                <w:sz w:val="18"/>
                <w:szCs w:val="18"/>
              </w:rPr>
              <w:t>% lactic acid</w:t>
            </w:r>
          </w:p>
        </w:tc>
        <w:tc>
          <w:tcPr>
            <w:tcW w:w="0" w:type="auto"/>
            <w:vAlign w:val="center"/>
          </w:tcPr>
          <w:p w14:paraId="0921D19E" w14:textId="77777777" w:rsidR="0015321A" w:rsidRPr="00D016EC" w:rsidRDefault="0015321A" w:rsidP="0015321A">
            <w:pPr>
              <w:rPr>
                <w:i/>
                <w:color w:val="000000"/>
                <w:sz w:val="18"/>
                <w:szCs w:val="18"/>
                <w:lang w:val="fr-FR"/>
              </w:rPr>
            </w:pPr>
            <w:r w:rsidRPr="00D016EC">
              <w:rPr>
                <w:i/>
                <w:color w:val="000000"/>
                <w:sz w:val="18"/>
                <w:szCs w:val="18"/>
                <w:lang w:val="fr-FR"/>
              </w:rPr>
              <w:t>Staphylococcus aureus</w:t>
            </w:r>
            <w:r w:rsidRPr="0060536D">
              <w:rPr>
                <w:color w:val="000000"/>
                <w:sz w:val="18"/>
                <w:szCs w:val="18"/>
                <w:lang w:val="fr-FR"/>
              </w:rPr>
              <w:t xml:space="preserve"> </w:t>
            </w:r>
            <w:r w:rsidRPr="0060536D">
              <w:rPr>
                <w:color w:val="000000"/>
                <w:sz w:val="18"/>
                <w:szCs w:val="18"/>
                <w:lang w:val="fr-FR"/>
              </w:rPr>
              <w:br/>
            </w:r>
            <w:r w:rsidRPr="00D016EC">
              <w:rPr>
                <w:i/>
                <w:color w:val="000000"/>
                <w:sz w:val="18"/>
                <w:szCs w:val="18"/>
                <w:lang w:val="fr-FR"/>
              </w:rPr>
              <w:t>Enterococcus hirae</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Escherichia coli</w:t>
            </w:r>
            <w:r w:rsidRPr="00D016EC">
              <w:rPr>
                <w:color w:val="000000"/>
                <w:sz w:val="18"/>
                <w:szCs w:val="18"/>
                <w:lang w:val="fr-FR"/>
              </w:rPr>
              <w:t xml:space="preserve"> </w:t>
            </w:r>
            <w:r w:rsidRPr="00D016EC">
              <w:rPr>
                <w:color w:val="000000"/>
                <w:sz w:val="18"/>
                <w:szCs w:val="18"/>
                <w:lang w:val="fr-FR"/>
              </w:rPr>
              <w:br/>
            </w:r>
            <w:r w:rsidRPr="00D016EC">
              <w:rPr>
                <w:i/>
                <w:color w:val="000000"/>
                <w:sz w:val="18"/>
                <w:szCs w:val="18"/>
                <w:lang w:val="fr-FR"/>
              </w:rPr>
              <w:t>Pseudomonas aeruginosa</w:t>
            </w:r>
            <w:r w:rsidRPr="00D016EC">
              <w:rPr>
                <w:color w:val="000000"/>
                <w:sz w:val="18"/>
                <w:szCs w:val="18"/>
                <w:lang w:val="fr-FR"/>
              </w:rPr>
              <w:t xml:space="preserve"> </w:t>
            </w:r>
          </w:p>
        </w:tc>
        <w:tc>
          <w:tcPr>
            <w:tcW w:w="1342" w:type="dxa"/>
            <w:vAlign w:val="center"/>
          </w:tcPr>
          <w:p w14:paraId="717349FA" w14:textId="60B5F92A" w:rsidR="0015321A" w:rsidRPr="00FD2055" w:rsidRDefault="0015321A" w:rsidP="0015321A">
            <w:pPr>
              <w:rPr>
                <w:color w:val="000000"/>
                <w:sz w:val="18"/>
                <w:szCs w:val="18"/>
              </w:rPr>
            </w:pPr>
            <w:r>
              <w:rPr>
                <w:color w:val="000000"/>
                <w:sz w:val="18"/>
                <w:szCs w:val="18"/>
              </w:rPr>
              <w:t>NF EN 13697 (</w:t>
            </w:r>
            <w:r w:rsidR="00F03D06">
              <w:rPr>
                <w:color w:val="000000"/>
                <w:sz w:val="18"/>
                <w:szCs w:val="18"/>
              </w:rPr>
              <w:t>J</w:t>
            </w:r>
            <w:r>
              <w:rPr>
                <w:color w:val="000000"/>
                <w:sz w:val="18"/>
                <w:szCs w:val="18"/>
              </w:rPr>
              <w:t>une 2015)</w:t>
            </w:r>
          </w:p>
        </w:tc>
        <w:tc>
          <w:tcPr>
            <w:tcW w:w="3118" w:type="dxa"/>
            <w:vAlign w:val="center"/>
          </w:tcPr>
          <w:p w14:paraId="6EE9E2C5" w14:textId="77777777" w:rsidR="0015321A" w:rsidRDefault="0015321A" w:rsidP="0015321A">
            <w:pPr>
              <w:rPr>
                <w:color w:val="000000"/>
                <w:sz w:val="18"/>
                <w:szCs w:val="18"/>
              </w:rPr>
            </w:pPr>
            <w:r>
              <w:rPr>
                <w:color w:val="000000"/>
                <w:sz w:val="18"/>
                <w:szCs w:val="18"/>
              </w:rPr>
              <w:t>Phase 2 step 2 (suspension test)</w:t>
            </w:r>
          </w:p>
          <w:p w14:paraId="1DAD8F96" w14:textId="77777777" w:rsidR="0015321A" w:rsidRDefault="0015321A" w:rsidP="0015321A">
            <w:pPr>
              <w:rPr>
                <w:color w:val="000000"/>
                <w:sz w:val="18"/>
                <w:szCs w:val="18"/>
              </w:rPr>
            </w:pPr>
            <w:r>
              <w:rPr>
                <w:color w:val="000000"/>
                <w:sz w:val="18"/>
                <w:szCs w:val="18"/>
              </w:rPr>
              <w:t xml:space="preserve">Concentrations of product tested (v/v) were: </w:t>
            </w:r>
            <w:r>
              <w:rPr>
                <w:sz w:val="18"/>
                <w:szCs w:val="18"/>
              </w:rPr>
              <w:t xml:space="preserve">2%, 6%, 8%. </w:t>
            </w:r>
          </w:p>
          <w:p w14:paraId="266A3640" w14:textId="77777777" w:rsidR="0015321A" w:rsidRDefault="0015321A" w:rsidP="0015321A">
            <w:pPr>
              <w:rPr>
                <w:color w:val="000000"/>
                <w:sz w:val="18"/>
                <w:szCs w:val="18"/>
              </w:rPr>
            </w:pPr>
            <w:r>
              <w:rPr>
                <w:color w:val="000000"/>
                <w:sz w:val="18"/>
                <w:szCs w:val="18"/>
              </w:rPr>
              <w:t xml:space="preserve">Contact time : 5 minutes </w:t>
            </w:r>
          </w:p>
          <w:p w14:paraId="53AFF709" w14:textId="77777777" w:rsidR="0015321A" w:rsidRDefault="0015321A" w:rsidP="0015321A">
            <w:pPr>
              <w:rPr>
                <w:color w:val="000000"/>
                <w:sz w:val="18"/>
                <w:szCs w:val="18"/>
              </w:rPr>
            </w:pPr>
            <w:r>
              <w:rPr>
                <w:color w:val="000000"/>
                <w:sz w:val="18"/>
                <w:szCs w:val="18"/>
              </w:rPr>
              <w:t>Temperature: 20°C</w:t>
            </w:r>
          </w:p>
          <w:p w14:paraId="20A5008B" w14:textId="77777777" w:rsidR="0015321A" w:rsidRDefault="0015321A" w:rsidP="0015321A">
            <w:pPr>
              <w:rPr>
                <w:color w:val="000000"/>
                <w:sz w:val="18"/>
                <w:szCs w:val="18"/>
              </w:rPr>
            </w:pPr>
            <w:r>
              <w:rPr>
                <w:color w:val="000000"/>
                <w:sz w:val="18"/>
                <w:szCs w:val="18"/>
              </w:rPr>
              <w:t xml:space="preserve">Dirty conditions: 3 g/L BSA </w:t>
            </w:r>
          </w:p>
          <w:p w14:paraId="75129A07" w14:textId="77777777" w:rsidR="0015321A" w:rsidRPr="00FD2055" w:rsidRDefault="0015321A" w:rsidP="0015321A">
            <w:pPr>
              <w:rPr>
                <w:color w:val="000000"/>
                <w:sz w:val="18"/>
                <w:szCs w:val="18"/>
              </w:rPr>
            </w:pPr>
            <w:r>
              <w:rPr>
                <w:color w:val="000000"/>
                <w:sz w:val="18"/>
                <w:szCs w:val="18"/>
              </w:rPr>
              <w:t>Criteria: ≥ 4 log unit reduction.</w:t>
            </w:r>
          </w:p>
        </w:tc>
        <w:tc>
          <w:tcPr>
            <w:tcW w:w="1700" w:type="dxa"/>
            <w:vAlign w:val="center"/>
          </w:tcPr>
          <w:p w14:paraId="65ABEDF6" w14:textId="77777777" w:rsidR="0015321A" w:rsidRDefault="0015321A" w:rsidP="0015321A">
            <w:pPr>
              <w:rPr>
                <w:color w:val="000000"/>
                <w:sz w:val="18"/>
                <w:szCs w:val="18"/>
              </w:rPr>
            </w:pPr>
            <w:r>
              <w:rPr>
                <w:color w:val="000000"/>
                <w:sz w:val="18"/>
                <w:szCs w:val="18"/>
              </w:rPr>
              <w:t>Bactericidal activity demonstrated at 6% v/v.</w:t>
            </w:r>
          </w:p>
          <w:p w14:paraId="0FD4D41B" w14:textId="77777777" w:rsidR="0015321A" w:rsidRPr="00FD2055" w:rsidRDefault="0015321A" w:rsidP="0015321A">
            <w:pPr>
              <w:rPr>
                <w:color w:val="000000"/>
                <w:sz w:val="18"/>
                <w:szCs w:val="18"/>
              </w:rPr>
            </w:pPr>
          </w:p>
        </w:tc>
        <w:tc>
          <w:tcPr>
            <w:tcW w:w="1608" w:type="dxa"/>
            <w:vAlign w:val="center"/>
          </w:tcPr>
          <w:p w14:paraId="72D9CC33" w14:textId="77777777" w:rsidR="0015321A" w:rsidRPr="00FD2055" w:rsidRDefault="0015321A" w:rsidP="0015321A">
            <w:pPr>
              <w:rPr>
                <w:i/>
                <w:color w:val="000000"/>
                <w:sz w:val="18"/>
                <w:szCs w:val="18"/>
              </w:rPr>
            </w:pPr>
            <w:r>
              <w:rPr>
                <w:color w:val="000000"/>
                <w:sz w:val="18"/>
                <w:szCs w:val="18"/>
              </w:rPr>
              <w:t>Gabillet AF., 2018, Report No 5237-1</w:t>
            </w:r>
          </w:p>
        </w:tc>
      </w:tr>
      <w:tr w:rsidR="00F03D06" w14:paraId="454C71EA" w14:textId="77777777" w:rsidTr="00E83890">
        <w:trPr>
          <w:jc w:val="center"/>
        </w:trPr>
        <w:tc>
          <w:tcPr>
            <w:tcW w:w="0" w:type="auto"/>
            <w:vAlign w:val="center"/>
          </w:tcPr>
          <w:p w14:paraId="2B2DFF41" w14:textId="77777777" w:rsidR="0015321A" w:rsidRDefault="0015321A" w:rsidP="0015321A">
            <w:pPr>
              <w:rPr>
                <w:color w:val="000000"/>
                <w:sz w:val="18"/>
                <w:szCs w:val="18"/>
              </w:rPr>
            </w:pPr>
            <w:r>
              <w:rPr>
                <w:sz w:val="18"/>
                <w:szCs w:val="18"/>
              </w:rPr>
              <w:t>Disinfectant, yeasticidal activity</w:t>
            </w:r>
          </w:p>
        </w:tc>
        <w:tc>
          <w:tcPr>
            <w:tcW w:w="1804" w:type="dxa"/>
            <w:vAlign w:val="center"/>
          </w:tcPr>
          <w:p w14:paraId="1EA63C07" w14:textId="77777777" w:rsidR="0015321A" w:rsidRDefault="0015321A" w:rsidP="0015321A">
            <w:pPr>
              <w:rPr>
                <w:color w:val="000000"/>
                <w:sz w:val="18"/>
                <w:szCs w:val="18"/>
              </w:rPr>
            </w:pPr>
            <w:r>
              <w:rPr>
                <w:color w:val="000000"/>
                <w:sz w:val="18"/>
                <w:szCs w:val="18"/>
              </w:rPr>
              <w:t>Institutional, healthcare facilities and industrial areas</w:t>
            </w:r>
          </w:p>
        </w:tc>
        <w:tc>
          <w:tcPr>
            <w:tcW w:w="1279" w:type="dxa"/>
            <w:vAlign w:val="center"/>
          </w:tcPr>
          <w:p w14:paraId="6A59A318" w14:textId="77777777" w:rsidR="0015321A" w:rsidRDefault="0015321A" w:rsidP="0015321A">
            <w:pPr>
              <w:rPr>
                <w:color w:val="000000"/>
                <w:sz w:val="18"/>
                <w:szCs w:val="18"/>
              </w:rPr>
            </w:pPr>
            <w:r>
              <w:rPr>
                <w:color w:val="000000"/>
                <w:sz w:val="18"/>
                <w:szCs w:val="18"/>
              </w:rPr>
              <w:t>AL-S13-1-0</w:t>
            </w:r>
          </w:p>
          <w:p w14:paraId="0BD2C5A9" w14:textId="39810B43" w:rsidR="0015321A" w:rsidRDefault="008007CB" w:rsidP="0015321A">
            <w:pPr>
              <w:rPr>
                <w:color w:val="000000"/>
                <w:sz w:val="18"/>
                <w:szCs w:val="18"/>
              </w:rPr>
            </w:pPr>
            <w:r>
              <w:rPr>
                <w:color w:val="000000"/>
                <w:sz w:val="18"/>
                <w:szCs w:val="18"/>
              </w:rPr>
              <w:t>8</w:t>
            </w:r>
            <w:r w:rsidR="0015321A">
              <w:rPr>
                <w:color w:val="000000"/>
                <w:sz w:val="18"/>
                <w:szCs w:val="18"/>
              </w:rPr>
              <w:t>% lactic acid</w:t>
            </w:r>
          </w:p>
        </w:tc>
        <w:tc>
          <w:tcPr>
            <w:tcW w:w="0" w:type="auto"/>
            <w:vAlign w:val="center"/>
          </w:tcPr>
          <w:p w14:paraId="2FF59420" w14:textId="77777777" w:rsidR="0015321A" w:rsidRPr="00AF1A0E" w:rsidRDefault="0015321A" w:rsidP="0015321A">
            <w:pPr>
              <w:rPr>
                <w:i/>
                <w:color w:val="000000"/>
                <w:sz w:val="18"/>
                <w:szCs w:val="18"/>
                <w:lang w:val="fr-FR"/>
              </w:rPr>
            </w:pPr>
            <w:r w:rsidRPr="005D3939">
              <w:rPr>
                <w:i/>
                <w:sz w:val="18"/>
                <w:szCs w:val="18"/>
              </w:rPr>
              <w:t>Candida albicans</w:t>
            </w:r>
            <w:r>
              <w:rPr>
                <w:sz w:val="18"/>
                <w:szCs w:val="18"/>
              </w:rPr>
              <w:t xml:space="preserve"> </w:t>
            </w:r>
          </w:p>
        </w:tc>
        <w:tc>
          <w:tcPr>
            <w:tcW w:w="1342" w:type="dxa"/>
            <w:vAlign w:val="center"/>
          </w:tcPr>
          <w:p w14:paraId="7B405E26" w14:textId="77777777" w:rsidR="0015321A" w:rsidRDefault="0015321A" w:rsidP="0015321A">
            <w:pPr>
              <w:rPr>
                <w:color w:val="000000"/>
                <w:sz w:val="18"/>
                <w:szCs w:val="18"/>
              </w:rPr>
            </w:pPr>
            <w:r>
              <w:rPr>
                <w:sz w:val="18"/>
                <w:szCs w:val="18"/>
              </w:rPr>
              <w:t>NF EN 13697 (June 2015)</w:t>
            </w:r>
          </w:p>
        </w:tc>
        <w:tc>
          <w:tcPr>
            <w:tcW w:w="3118" w:type="dxa"/>
            <w:vAlign w:val="center"/>
          </w:tcPr>
          <w:p w14:paraId="6F68BF6E" w14:textId="17626884" w:rsidR="0015321A" w:rsidRDefault="0015321A" w:rsidP="0015321A">
            <w:pPr>
              <w:rPr>
                <w:color w:val="000000"/>
                <w:sz w:val="18"/>
                <w:szCs w:val="18"/>
              </w:rPr>
            </w:pPr>
            <w:r>
              <w:rPr>
                <w:color w:val="000000"/>
                <w:sz w:val="18"/>
                <w:szCs w:val="18"/>
              </w:rPr>
              <w:t>Phase 2 step 2 (su</w:t>
            </w:r>
            <w:r w:rsidR="00F03D06">
              <w:rPr>
                <w:color w:val="000000"/>
                <w:sz w:val="18"/>
                <w:szCs w:val="18"/>
              </w:rPr>
              <w:t>rface</w:t>
            </w:r>
            <w:r>
              <w:rPr>
                <w:color w:val="000000"/>
                <w:sz w:val="18"/>
                <w:szCs w:val="18"/>
              </w:rPr>
              <w:t xml:space="preserve"> test)</w:t>
            </w:r>
          </w:p>
          <w:p w14:paraId="2084C0E5" w14:textId="77777777" w:rsidR="0015321A" w:rsidRDefault="0015321A" w:rsidP="0015321A">
            <w:pPr>
              <w:rPr>
                <w:color w:val="000000"/>
                <w:sz w:val="18"/>
                <w:szCs w:val="18"/>
              </w:rPr>
            </w:pPr>
            <w:r>
              <w:rPr>
                <w:color w:val="000000"/>
                <w:sz w:val="18"/>
                <w:szCs w:val="18"/>
              </w:rPr>
              <w:t xml:space="preserve">Concentrations of product tested (v/v) were: </w:t>
            </w:r>
            <w:r>
              <w:rPr>
                <w:sz w:val="18"/>
                <w:szCs w:val="18"/>
              </w:rPr>
              <w:t xml:space="preserve">6%, 8%, 10%. </w:t>
            </w:r>
          </w:p>
          <w:p w14:paraId="1FE8D441" w14:textId="12147B86" w:rsidR="0015321A" w:rsidRDefault="0015321A" w:rsidP="0015321A">
            <w:pPr>
              <w:rPr>
                <w:color w:val="000000"/>
                <w:sz w:val="18"/>
                <w:szCs w:val="18"/>
              </w:rPr>
            </w:pPr>
            <w:r>
              <w:rPr>
                <w:color w:val="000000"/>
                <w:sz w:val="18"/>
                <w:szCs w:val="18"/>
              </w:rPr>
              <w:t xml:space="preserve">Contact time: 15 minutes </w:t>
            </w:r>
          </w:p>
          <w:p w14:paraId="42238AE5" w14:textId="77777777" w:rsidR="0015321A" w:rsidRDefault="0015321A" w:rsidP="0015321A">
            <w:pPr>
              <w:rPr>
                <w:color w:val="000000"/>
                <w:sz w:val="18"/>
                <w:szCs w:val="18"/>
              </w:rPr>
            </w:pPr>
            <w:r>
              <w:rPr>
                <w:color w:val="000000"/>
                <w:sz w:val="18"/>
                <w:szCs w:val="18"/>
              </w:rPr>
              <w:t>Temperature: 20°C</w:t>
            </w:r>
          </w:p>
          <w:p w14:paraId="68943F64" w14:textId="77777777" w:rsidR="0015321A" w:rsidRDefault="0015321A" w:rsidP="0015321A">
            <w:pPr>
              <w:rPr>
                <w:color w:val="000000"/>
                <w:sz w:val="18"/>
                <w:szCs w:val="18"/>
              </w:rPr>
            </w:pPr>
            <w:r>
              <w:rPr>
                <w:color w:val="000000"/>
                <w:sz w:val="18"/>
                <w:szCs w:val="18"/>
              </w:rPr>
              <w:t xml:space="preserve">Dirty conditions: 3 g/L BSA </w:t>
            </w:r>
          </w:p>
          <w:p w14:paraId="1A50D51E" w14:textId="77777777" w:rsidR="0015321A" w:rsidRDefault="0015321A" w:rsidP="0015321A">
            <w:pPr>
              <w:rPr>
                <w:color w:val="000000"/>
                <w:sz w:val="18"/>
                <w:szCs w:val="18"/>
              </w:rPr>
            </w:pPr>
            <w:r>
              <w:rPr>
                <w:color w:val="000000"/>
                <w:sz w:val="18"/>
                <w:szCs w:val="18"/>
              </w:rPr>
              <w:t>Criteria: ≥ 3 log unit reduction.</w:t>
            </w:r>
          </w:p>
        </w:tc>
        <w:tc>
          <w:tcPr>
            <w:tcW w:w="1700" w:type="dxa"/>
            <w:vAlign w:val="center"/>
          </w:tcPr>
          <w:p w14:paraId="2A0CA80E" w14:textId="77777777" w:rsidR="0015321A" w:rsidRDefault="0015321A" w:rsidP="0015321A">
            <w:pPr>
              <w:rPr>
                <w:sz w:val="18"/>
                <w:szCs w:val="18"/>
              </w:rPr>
            </w:pPr>
          </w:p>
          <w:p w14:paraId="4297F7DA" w14:textId="77777777" w:rsidR="0015321A" w:rsidRDefault="0015321A" w:rsidP="0015321A">
            <w:pPr>
              <w:rPr>
                <w:color w:val="000000"/>
                <w:sz w:val="18"/>
                <w:szCs w:val="18"/>
              </w:rPr>
            </w:pPr>
            <w:r>
              <w:rPr>
                <w:color w:val="000000"/>
                <w:sz w:val="18"/>
                <w:szCs w:val="18"/>
              </w:rPr>
              <w:t>Yeasticidal activity demonstrated at 8% v/v.</w:t>
            </w:r>
          </w:p>
        </w:tc>
        <w:tc>
          <w:tcPr>
            <w:tcW w:w="1608" w:type="dxa"/>
            <w:vAlign w:val="center"/>
          </w:tcPr>
          <w:p w14:paraId="5B0C4D12" w14:textId="77777777" w:rsidR="0015321A" w:rsidRDefault="0015321A" w:rsidP="0015321A">
            <w:pPr>
              <w:rPr>
                <w:sz w:val="18"/>
                <w:szCs w:val="18"/>
              </w:rPr>
            </w:pPr>
            <w:r>
              <w:rPr>
                <w:sz w:val="18"/>
                <w:szCs w:val="18"/>
              </w:rPr>
              <w:t xml:space="preserve">Huguet N., 2019, Report No 19.CM.19-013 </w:t>
            </w:r>
          </w:p>
          <w:p w14:paraId="01F59471" w14:textId="77777777" w:rsidR="0015321A" w:rsidRDefault="0015321A" w:rsidP="0015321A">
            <w:pPr>
              <w:rPr>
                <w:color w:val="000000"/>
                <w:sz w:val="18"/>
                <w:szCs w:val="18"/>
              </w:rPr>
            </w:pPr>
            <w:r>
              <w:rPr>
                <w:sz w:val="18"/>
                <w:szCs w:val="18"/>
              </w:rPr>
              <w:t>RI=1</w:t>
            </w:r>
          </w:p>
        </w:tc>
      </w:tr>
    </w:tbl>
    <w:p w14:paraId="366437C8" w14:textId="77777777" w:rsidR="0015321A" w:rsidRPr="00AF1A0E" w:rsidRDefault="0015321A" w:rsidP="0015321A">
      <w:pPr>
        <w:rPr>
          <w:rFonts w:ascii="Times New Roman" w:eastAsia="Calibri" w:hAnsi="Times New Roman" w:cs="Arial"/>
          <w:szCs w:val="28"/>
          <w:lang w:eastAsia="en-US"/>
        </w:rPr>
      </w:pPr>
    </w:p>
    <w:p w14:paraId="362FFC9D" w14:textId="77777777" w:rsidR="0015321A" w:rsidRDefault="0015321A" w:rsidP="0015321A">
      <w:pPr>
        <w:spacing w:line="260" w:lineRule="atLeast"/>
        <w:jc w:val="both"/>
        <w:rPr>
          <w:rFonts w:ascii="Times New Roman" w:eastAsia="Calibri" w:hAnsi="Times New Roman" w:cs="Arial"/>
          <w:bCs/>
          <w:i/>
          <w:caps/>
          <w:szCs w:val="28"/>
          <w:lang w:eastAsia="en-US"/>
        </w:rPr>
      </w:pPr>
    </w:p>
    <w:p w14:paraId="6652B2F0" w14:textId="77777777" w:rsidR="0015321A" w:rsidRDefault="0015321A" w:rsidP="0015321A">
      <w:pPr>
        <w:spacing w:line="260" w:lineRule="atLeast"/>
        <w:jc w:val="both"/>
        <w:rPr>
          <w:rFonts w:ascii="Times New Roman" w:eastAsia="Calibri" w:hAnsi="Times New Roman" w:cs="Arial"/>
          <w:bCs/>
          <w:i/>
          <w:caps/>
          <w:szCs w:val="28"/>
          <w:lang w:eastAsia="en-US"/>
        </w:rPr>
        <w:sectPr w:rsidR="0015321A" w:rsidSect="009A35BE">
          <w:pgSz w:w="16838" w:h="11906" w:orient="landscape"/>
          <w:pgMar w:top="1446" w:right="1474" w:bottom="1247" w:left="2013" w:header="851" w:footer="851" w:gutter="0"/>
          <w:cols w:space="720"/>
          <w:docGrid w:linePitch="272"/>
        </w:sectPr>
      </w:pPr>
    </w:p>
    <w:p w14:paraId="37B02629" w14:textId="20993514" w:rsidR="00CC62FC" w:rsidRDefault="00CC62FC">
      <w:pPr>
        <w:spacing w:line="260" w:lineRule="atLeast"/>
        <w:rPr>
          <w:rFonts w:ascii="Times New Roman" w:eastAsia="Calibri" w:hAnsi="Times New Roman" w:cs="Times New Roman"/>
          <w:i/>
          <w:iCs/>
          <w:lang w:eastAsia="en-US"/>
        </w:rPr>
      </w:pPr>
    </w:p>
    <w:p w14:paraId="0114B1BA" w14:textId="77777777" w:rsidR="00CC62FC" w:rsidRPr="00B27CB1" w:rsidRDefault="00CC62FC">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rsidRPr="00B27CB1" w14:paraId="3D9BE3E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EE40B8C" w14:textId="77777777" w:rsidR="009D0C0B" w:rsidRPr="00B27CB1" w:rsidRDefault="00FA480B">
            <w:pPr>
              <w:spacing w:line="260" w:lineRule="atLeast"/>
            </w:pPr>
            <w:r w:rsidRPr="00B27CB1">
              <w:rPr>
                <w:rFonts w:eastAsia="Calibri"/>
                <w:b/>
                <w:bCs/>
                <w:lang w:eastAsia="en-US"/>
              </w:rPr>
              <w:t>Conclusion on the efficacy of the product</w:t>
            </w:r>
          </w:p>
        </w:tc>
      </w:tr>
      <w:tr w:rsidR="009D0C0B" w:rsidRPr="00B27CB1" w14:paraId="3D7223AC"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64E56575" w14:textId="61F45A3D" w:rsidR="001404DF" w:rsidRPr="000D7D14" w:rsidRDefault="001404DF" w:rsidP="001404DF">
            <w:pPr>
              <w:jc w:val="both"/>
              <w:rPr>
                <w:rFonts w:eastAsia="Calibri"/>
                <w:lang w:eastAsia="en-US"/>
              </w:rPr>
            </w:pPr>
            <w:r w:rsidRPr="004D1209">
              <w:rPr>
                <w:rFonts w:cs="Arial"/>
                <w:iCs/>
                <w:lang w:eastAsia="en-US"/>
              </w:rPr>
              <w:t>Lactic acid based products family with 13 META SPC</w:t>
            </w:r>
            <w:r w:rsidRPr="00344BDC">
              <w:rPr>
                <w:rFonts w:eastAsia="Calibri"/>
                <w:lang w:eastAsia="en-US"/>
              </w:rPr>
              <w:t xml:space="preserve"> has shown a sufficient efficacy</w:t>
            </w:r>
            <w:r w:rsidRPr="000D7D14">
              <w:t>,</w:t>
            </w:r>
            <w:r w:rsidRPr="000D7D14">
              <w:rPr>
                <w:rFonts w:eastAsia="Calibri"/>
                <w:lang w:eastAsia="en-US"/>
              </w:rPr>
              <w:t xml:space="preserve"> in accordance with the requirements of Guidance on BPR, Volume II Efficacy – Assessment and Evaluation (Parts B+C) for the following uses:</w:t>
            </w:r>
          </w:p>
          <w:p w14:paraId="4F721FC8" w14:textId="77777777" w:rsidR="001404DF" w:rsidRPr="000D7D14" w:rsidRDefault="001404DF" w:rsidP="001404DF">
            <w:pPr>
              <w:jc w:val="both"/>
              <w:rPr>
                <w:rFonts w:eastAsia="Calibri"/>
                <w:b/>
                <w:lang w:eastAsia="en-US"/>
              </w:rPr>
            </w:pPr>
          </w:p>
          <w:p w14:paraId="683A132C" w14:textId="77777777" w:rsidR="001404DF" w:rsidRPr="000D7D14" w:rsidRDefault="001404DF" w:rsidP="001404DF">
            <w:pPr>
              <w:pStyle w:val="Commentaire"/>
              <w:jc w:val="both"/>
              <w:rPr>
                <w:rFonts w:eastAsia="Calibri"/>
                <w:lang w:eastAsia="en-US"/>
              </w:rPr>
            </w:pPr>
            <w:r w:rsidRPr="000D7D14">
              <w:rPr>
                <w:rFonts w:eastAsia="Calibri"/>
                <w:b/>
                <w:lang w:eastAsia="en-US"/>
              </w:rPr>
              <w:t>Meta-SPC 1</w:t>
            </w:r>
            <w:r w:rsidRPr="000D7D14">
              <w:rPr>
                <w:rFonts w:eastAsia="Calibri"/>
                <w:lang w:eastAsia="en-US"/>
              </w:rPr>
              <w:t>:</w:t>
            </w:r>
            <w:r w:rsidRPr="000D7D14">
              <w:rPr>
                <w:rFonts w:cs="Arial"/>
                <w:iCs/>
                <w:lang w:eastAsia="en-US"/>
              </w:rPr>
              <w:t xml:space="preserve"> </w:t>
            </w:r>
            <w:r w:rsidRPr="007A4DA8">
              <w:rPr>
                <w:bCs/>
                <w:lang w:val="en-US"/>
              </w:rPr>
              <w:t xml:space="preserve"> Disinfectants for hard surfaces of domestic area, </w:t>
            </w:r>
            <w:r w:rsidRPr="007A4DA8">
              <w:rPr>
                <w:rFonts w:eastAsia="Calibri"/>
                <w:iCs/>
                <w:szCs w:val="24"/>
                <w:lang w:eastAsia="en-US"/>
              </w:rPr>
              <w:t>with dirty conditions</w:t>
            </w:r>
            <w:r>
              <w:rPr>
                <w:rFonts w:eastAsia="Calibri"/>
                <w:iCs/>
                <w:szCs w:val="24"/>
                <w:u w:val="single"/>
                <w:lang w:eastAsia="en-US"/>
              </w:rPr>
              <w:t xml:space="preserve"> </w:t>
            </w:r>
            <w:r>
              <w:rPr>
                <w:rFonts w:eastAsia="Calibri"/>
                <w:lang w:eastAsia="en-US"/>
              </w:rPr>
              <w:t>for non porous surfaces,</w:t>
            </w:r>
            <w:r w:rsidRPr="001F534D">
              <w:rPr>
                <w:rFonts w:eastAsia="Calibri"/>
                <w:lang w:eastAsia="en-US"/>
              </w:rPr>
              <w:t xml:space="preserve"> </w:t>
            </w:r>
            <w:r>
              <w:rPr>
                <w:rFonts w:eastAsia="Calibri"/>
                <w:lang w:eastAsia="en-US"/>
              </w:rPr>
              <w:t>with mechanical or non mechanical action:</w:t>
            </w:r>
            <w:r w:rsidRPr="000D7D14">
              <w:rPr>
                <w:rFonts w:eastAsia="Calibri"/>
                <w:lang w:eastAsia="en-US"/>
              </w:rPr>
              <w:t xml:space="preserve"> </w:t>
            </w:r>
          </w:p>
          <w:p w14:paraId="16FE5ED2" w14:textId="77777777" w:rsidR="001404DF" w:rsidRPr="000D7D14" w:rsidRDefault="001404DF" w:rsidP="001404DF">
            <w:pPr>
              <w:numPr>
                <w:ilvl w:val="0"/>
                <w:numId w:val="20"/>
              </w:numPr>
              <w:suppressAutoHyphens w:val="0"/>
              <w:jc w:val="both"/>
              <w:rPr>
                <w:rFonts w:eastAsia="Calibri"/>
                <w:lang w:eastAsia="en-US"/>
              </w:rPr>
            </w:pPr>
            <w:r w:rsidRPr="000D7D14">
              <w:rPr>
                <w:rFonts w:eastAsia="Calibri"/>
                <w:lang w:eastAsia="en-US"/>
              </w:rPr>
              <w:t xml:space="preserve">Bacteria (including </w:t>
            </w:r>
            <w:r w:rsidRPr="000D7D14">
              <w:rPr>
                <w:rFonts w:eastAsia="Calibri"/>
                <w:i/>
                <w:lang w:eastAsia="en-US"/>
              </w:rPr>
              <w:t>Bartonella henselae)</w:t>
            </w:r>
            <w:r w:rsidRPr="000D7D14">
              <w:rPr>
                <w:rFonts w:eastAsia="Calibri"/>
                <w:lang w:eastAsia="en-US"/>
              </w:rPr>
              <w:t>: 100 % v/v,</w:t>
            </w:r>
            <w:r>
              <w:rPr>
                <w:rFonts w:eastAsia="Calibri"/>
                <w:lang w:eastAsia="en-US"/>
              </w:rPr>
              <w:t xml:space="preserve"> </w:t>
            </w:r>
            <w:r w:rsidRPr="000D7D14">
              <w:rPr>
                <w:rFonts w:eastAsia="Calibri"/>
                <w:lang w:eastAsia="en-US"/>
              </w:rPr>
              <w:t>5 minutes, 20°C.</w:t>
            </w:r>
          </w:p>
          <w:p w14:paraId="37885DFB" w14:textId="77777777" w:rsidR="001404DF" w:rsidRPr="000D7D14" w:rsidRDefault="001404DF" w:rsidP="001404DF">
            <w:pPr>
              <w:spacing w:line="260" w:lineRule="atLeast"/>
              <w:jc w:val="both"/>
              <w:rPr>
                <w:rFonts w:eastAsia="Calibri"/>
                <w:lang w:eastAsia="en-US"/>
              </w:rPr>
            </w:pPr>
          </w:p>
          <w:p w14:paraId="058A28CC" w14:textId="77777777" w:rsidR="001404DF" w:rsidRPr="000D7D14" w:rsidRDefault="001404DF" w:rsidP="001404DF">
            <w:pPr>
              <w:spacing w:line="260" w:lineRule="atLeast"/>
              <w:rPr>
                <w:rFonts w:eastAsia="Calibri"/>
                <w:lang w:eastAsia="en-US"/>
              </w:rPr>
            </w:pPr>
            <w:r w:rsidRPr="000D7D14">
              <w:rPr>
                <w:rFonts w:eastAsia="Calibri"/>
                <w:b/>
                <w:lang w:eastAsia="en-US"/>
              </w:rPr>
              <w:t>Meta-SPC 2</w:t>
            </w:r>
            <w:r w:rsidRPr="000D7D14">
              <w:rPr>
                <w:rFonts w:cs="Arial"/>
                <w:iCs/>
                <w:lang w:eastAsia="en-US"/>
              </w:rPr>
              <w:t>:</w:t>
            </w:r>
            <w:r w:rsidRPr="000D7D14">
              <w:rPr>
                <w:rFonts w:eastAsia="Calibri"/>
                <w:lang w:eastAsia="en-US"/>
              </w:rPr>
              <w:t xml:space="preserve"> </w:t>
            </w:r>
          </w:p>
          <w:p w14:paraId="204BDFF2" w14:textId="77777777" w:rsidR="001404DF" w:rsidRPr="000D7D14" w:rsidRDefault="001404DF" w:rsidP="001404DF">
            <w:pPr>
              <w:spacing w:line="260" w:lineRule="atLeast"/>
              <w:rPr>
                <w:rFonts w:eastAsia="Calibri"/>
                <w:lang w:eastAsia="en-US"/>
              </w:rPr>
            </w:pPr>
          </w:p>
          <w:p w14:paraId="19DB057B" w14:textId="77777777" w:rsidR="001404DF" w:rsidRPr="000D7D14" w:rsidRDefault="001404DF" w:rsidP="001404DF">
            <w:pPr>
              <w:pStyle w:val="Commentaire"/>
              <w:jc w:val="both"/>
              <w:rPr>
                <w:rFonts w:eastAsia="Calibri"/>
                <w:lang w:eastAsia="en-US"/>
              </w:rPr>
            </w:pPr>
            <w:r w:rsidRPr="000D7D14">
              <w:rPr>
                <w:rFonts w:eastAsia="Calibri"/>
                <w:lang w:eastAsia="en-US"/>
              </w:rPr>
              <w:t xml:space="preserve">Use 1: </w:t>
            </w:r>
            <w:r w:rsidRPr="007A4DA8">
              <w:rPr>
                <w:bCs/>
                <w:lang w:val="en-US"/>
              </w:rPr>
              <w:t xml:space="preserve"> Disinfectants for hard surfaces of domestic area, </w:t>
            </w:r>
            <w:r w:rsidRPr="00C914AE">
              <w:rPr>
                <w:rFonts w:eastAsia="Calibri"/>
                <w:iCs/>
                <w:szCs w:val="24"/>
                <w:lang w:eastAsia="en-US"/>
              </w:rPr>
              <w:t>with dirty conditions</w:t>
            </w:r>
            <w:r>
              <w:rPr>
                <w:rFonts w:eastAsia="Calibri"/>
                <w:iCs/>
                <w:szCs w:val="24"/>
                <w:lang w:eastAsia="en-US"/>
              </w:rPr>
              <w:t xml:space="preserve"> </w:t>
            </w:r>
            <w:r>
              <w:rPr>
                <w:rFonts w:eastAsia="Calibri"/>
                <w:lang w:eastAsia="en-US"/>
              </w:rPr>
              <w:t>for non porous surfaces, with mechanical or non mechanical action:</w:t>
            </w:r>
          </w:p>
          <w:p w14:paraId="026E0CDD" w14:textId="77777777" w:rsidR="001404DF" w:rsidRPr="000D7D14" w:rsidRDefault="001404DF" w:rsidP="001404DF">
            <w:pPr>
              <w:numPr>
                <w:ilvl w:val="0"/>
                <w:numId w:val="20"/>
              </w:numPr>
              <w:suppressAutoHyphens w:val="0"/>
              <w:jc w:val="both"/>
              <w:rPr>
                <w:rFonts w:eastAsia="Calibri"/>
                <w:lang w:eastAsia="en-US"/>
              </w:rPr>
            </w:pPr>
            <w:r>
              <w:rPr>
                <w:rFonts w:eastAsia="Calibri"/>
                <w:lang w:eastAsia="en-US"/>
              </w:rPr>
              <w:t>Bacteria</w:t>
            </w:r>
            <w:r w:rsidRPr="000D7D14">
              <w:rPr>
                <w:rFonts w:eastAsia="Calibri"/>
                <w:lang w:eastAsia="en-US"/>
              </w:rPr>
              <w:t>: 100 % v/v, 5 minutes, 20°C.</w:t>
            </w:r>
          </w:p>
          <w:p w14:paraId="52F03135" w14:textId="77777777" w:rsidR="001404DF" w:rsidRPr="000D7D14" w:rsidRDefault="001404DF" w:rsidP="001404DF">
            <w:pPr>
              <w:ind w:left="720"/>
              <w:jc w:val="both"/>
              <w:rPr>
                <w:rFonts w:eastAsia="Calibri"/>
                <w:lang w:eastAsia="en-US"/>
              </w:rPr>
            </w:pPr>
          </w:p>
          <w:p w14:paraId="639C9D90" w14:textId="77777777" w:rsidR="001404DF" w:rsidRDefault="001404DF" w:rsidP="001404DF">
            <w:pPr>
              <w:jc w:val="both"/>
              <w:rPr>
                <w:rFonts w:eastAsia="Calibri"/>
                <w:lang w:eastAsia="en-US"/>
              </w:rPr>
            </w:pPr>
            <w:r w:rsidRPr="000D7D14">
              <w:rPr>
                <w:rFonts w:eastAsia="Calibri"/>
                <w:lang w:eastAsia="en-US"/>
              </w:rPr>
              <w:t xml:space="preserve">Use 2: </w:t>
            </w:r>
            <w:r w:rsidRPr="000D7D14">
              <w:t>Disinfectants for hard surfaces including food contact surfaces of domestic area</w:t>
            </w:r>
            <w:r>
              <w:t xml:space="preserve">, </w:t>
            </w:r>
            <w:r w:rsidRPr="000D7D14">
              <w:rPr>
                <w:rFonts w:eastAsia="Calibri"/>
                <w:lang w:eastAsia="en-US"/>
              </w:rPr>
              <w:t>with dirty conditions</w:t>
            </w:r>
            <w:r>
              <w:rPr>
                <w:rFonts w:eastAsia="Calibri"/>
                <w:lang w:eastAsia="en-US"/>
              </w:rPr>
              <w:t xml:space="preserve"> for non porous surfaces</w:t>
            </w:r>
            <w:r w:rsidRPr="000D7D14">
              <w:rPr>
                <w:rFonts w:eastAsia="Calibri"/>
                <w:lang w:eastAsia="en-US"/>
              </w:rPr>
              <w:t>.</w:t>
            </w:r>
          </w:p>
          <w:p w14:paraId="0A558FF5" w14:textId="77777777" w:rsidR="001404DF" w:rsidRPr="000D7D14" w:rsidRDefault="001404DF" w:rsidP="001404DF">
            <w:pPr>
              <w:jc w:val="both"/>
              <w:rPr>
                <w:rFonts w:eastAsia="Calibri"/>
                <w:lang w:eastAsia="en-US"/>
              </w:rPr>
            </w:pPr>
            <w:r>
              <w:rPr>
                <w:rFonts w:eastAsia="Calibri"/>
                <w:lang w:eastAsia="en-US"/>
              </w:rPr>
              <w:t xml:space="preserve">With mechanical action: </w:t>
            </w:r>
          </w:p>
          <w:p w14:paraId="0F805A09" w14:textId="77777777" w:rsidR="001404DF"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w:t>
            </w:r>
            <w:r>
              <w:rPr>
                <w:rFonts w:eastAsia="Calibri"/>
                <w:lang w:eastAsia="en-US"/>
              </w:rPr>
              <w:t xml:space="preserve"> v/v</w:t>
            </w:r>
            <w:r w:rsidRPr="000D7D14">
              <w:rPr>
                <w:rFonts w:eastAsia="Calibri"/>
                <w:lang w:eastAsia="en-US"/>
              </w:rPr>
              <w:t>, 5 minutes, 20°C.</w:t>
            </w:r>
          </w:p>
          <w:p w14:paraId="4A0ACF4E" w14:textId="77777777" w:rsidR="001404DF" w:rsidRPr="000D7D14" w:rsidRDefault="001404DF" w:rsidP="001404DF">
            <w:pPr>
              <w:suppressAutoHyphens w:val="0"/>
              <w:spacing w:line="260" w:lineRule="atLeast"/>
              <w:jc w:val="both"/>
              <w:rPr>
                <w:rFonts w:eastAsia="Calibri"/>
                <w:lang w:eastAsia="en-US"/>
              </w:rPr>
            </w:pPr>
            <w:r>
              <w:rPr>
                <w:rFonts w:eastAsia="Calibri"/>
                <w:lang w:eastAsia="en-US"/>
              </w:rPr>
              <w:t xml:space="preserve">With non mechanical action: </w:t>
            </w:r>
          </w:p>
          <w:p w14:paraId="1BBFBA7B" w14:textId="77777777" w:rsidR="001404DF"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w:t>
            </w:r>
            <w:r>
              <w:rPr>
                <w:rFonts w:eastAsia="Calibri"/>
                <w:lang w:eastAsia="en-US"/>
              </w:rPr>
              <w:t xml:space="preserve"> v/v</w:t>
            </w:r>
            <w:r w:rsidRPr="000D7D14">
              <w:rPr>
                <w:rFonts w:eastAsia="Calibri"/>
                <w:lang w:eastAsia="en-US"/>
              </w:rPr>
              <w:t xml:space="preserve">, </w:t>
            </w:r>
            <w:r>
              <w:rPr>
                <w:rFonts w:eastAsia="Calibri"/>
                <w:lang w:eastAsia="en-US"/>
              </w:rPr>
              <w:t>1</w:t>
            </w:r>
            <w:r w:rsidRPr="000D7D14">
              <w:rPr>
                <w:rFonts w:eastAsia="Calibri"/>
                <w:lang w:eastAsia="en-US"/>
              </w:rPr>
              <w:t>5 minutes, 20°C.</w:t>
            </w:r>
          </w:p>
          <w:p w14:paraId="2561BDAD" w14:textId="77777777" w:rsidR="001404DF" w:rsidRPr="000D7D14" w:rsidRDefault="001404DF" w:rsidP="001404DF">
            <w:pPr>
              <w:spacing w:line="260" w:lineRule="atLeast"/>
              <w:rPr>
                <w:rFonts w:eastAsia="Calibri"/>
                <w:lang w:eastAsia="en-US"/>
              </w:rPr>
            </w:pPr>
          </w:p>
          <w:p w14:paraId="31B66A25" w14:textId="77777777" w:rsidR="001404DF" w:rsidRDefault="001404DF" w:rsidP="001404DF">
            <w:pPr>
              <w:pStyle w:val="Commentaire"/>
              <w:jc w:val="both"/>
              <w:rPr>
                <w:rFonts w:eastAsia="Calibri"/>
                <w:lang w:eastAsia="en-US"/>
              </w:rPr>
            </w:pPr>
            <w:r w:rsidRPr="000D7D14">
              <w:rPr>
                <w:rFonts w:eastAsia="Calibri"/>
                <w:lang w:eastAsia="en-US"/>
              </w:rPr>
              <w:t xml:space="preserve">Use 3: </w:t>
            </w:r>
            <w:r w:rsidRPr="000D7D14">
              <w:t>Disinfectants for hard surfaces of industry, institution, healthcare facilities and</w:t>
            </w:r>
            <w:r>
              <w:t>,</w:t>
            </w:r>
            <w:r w:rsidRPr="000D7D14">
              <w:t xml:space="preserve"> food preparation and handling areas</w:t>
            </w:r>
            <w:r>
              <w:t xml:space="preserve">, </w:t>
            </w:r>
            <w:r w:rsidRPr="000D7D14">
              <w:rPr>
                <w:rFonts w:eastAsia="Calibri"/>
                <w:lang w:eastAsia="en-US"/>
              </w:rPr>
              <w:t>with dirty conditions</w:t>
            </w:r>
            <w:r>
              <w:rPr>
                <w:rFonts w:eastAsia="Calibri"/>
                <w:lang w:eastAsia="en-US"/>
              </w:rPr>
              <w:t xml:space="preserve"> for non porous surfaces</w:t>
            </w:r>
            <w:r w:rsidRPr="000D7D14">
              <w:rPr>
                <w:rFonts w:eastAsia="Calibri"/>
                <w:lang w:eastAsia="en-US"/>
              </w:rPr>
              <w:t xml:space="preserve">. </w:t>
            </w:r>
          </w:p>
          <w:p w14:paraId="3E12CE2E" w14:textId="77777777" w:rsidR="001404DF" w:rsidRPr="00405B43" w:rsidRDefault="001404DF" w:rsidP="001404DF">
            <w:pPr>
              <w:pStyle w:val="Commentaire"/>
              <w:jc w:val="both"/>
            </w:pPr>
            <w:r>
              <w:rPr>
                <w:rFonts w:eastAsia="Calibri"/>
                <w:lang w:eastAsia="en-US"/>
              </w:rPr>
              <w:t>With mechanical action:</w:t>
            </w:r>
          </w:p>
          <w:p w14:paraId="727C9226" w14:textId="77777777" w:rsidR="001404DF" w:rsidRPr="000D7D14"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0D7D14">
              <w:rPr>
                <w:rFonts w:eastAsia="Calibri"/>
                <w:i/>
                <w:lang w:eastAsia="en-US"/>
              </w:rPr>
              <w:t xml:space="preserve">Salmonella </w:t>
            </w:r>
            <w:r w:rsidRPr="00A758F5">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Pr>
                <w:rFonts w:eastAsia="Calibri"/>
                <w:lang w:eastAsia="en-US"/>
              </w:rPr>
              <w:t xml:space="preserve">,) and yeasts: 100 %, </w:t>
            </w:r>
            <w:r w:rsidRPr="000D7D14">
              <w:rPr>
                <w:rFonts w:eastAsia="Calibri"/>
                <w:lang w:eastAsia="en-US"/>
              </w:rPr>
              <w:t>5 minutes, 20°C.</w:t>
            </w:r>
          </w:p>
          <w:p w14:paraId="2FFFBB09" w14:textId="77777777" w:rsidR="001404DF" w:rsidRPr="004012BC" w:rsidRDefault="001404DF" w:rsidP="001404DF">
            <w:pPr>
              <w:suppressAutoHyphens w:val="0"/>
              <w:spacing w:line="260" w:lineRule="atLeast"/>
              <w:rPr>
                <w:rFonts w:eastAsia="Calibri"/>
                <w:lang w:eastAsia="en-US"/>
              </w:rPr>
            </w:pPr>
            <w:r w:rsidRPr="004012BC">
              <w:rPr>
                <w:rFonts w:eastAsia="Calibri"/>
                <w:lang w:eastAsia="en-US"/>
              </w:rPr>
              <w:t>With</w:t>
            </w:r>
            <w:r>
              <w:rPr>
                <w:rFonts w:eastAsia="Calibri"/>
                <w:lang w:eastAsia="en-US"/>
              </w:rPr>
              <w:t xml:space="preserve"> non</w:t>
            </w:r>
            <w:r w:rsidRPr="004012BC">
              <w:rPr>
                <w:rFonts w:eastAsia="Calibri"/>
                <w:lang w:eastAsia="en-US"/>
              </w:rPr>
              <w:t xml:space="preserve"> mechanical action: </w:t>
            </w:r>
          </w:p>
          <w:p w14:paraId="00B70C3C" w14:textId="77777777" w:rsidR="001404DF" w:rsidRPr="000D7D14"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0D7D14">
              <w:rPr>
                <w:rFonts w:eastAsia="Calibri"/>
                <w:i/>
                <w:lang w:eastAsia="en-US"/>
              </w:rPr>
              <w:t xml:space="preserve">Salmonella </w:t>
            </w:r>
            <w:r w:rsidRPr="00A758F5">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and yeasts: 100 %, 15 minutes, 20°C.</w:t>
            </w:r>
          </w:p>
          <w:p w14:paraId="095D039C" w14:textId="77777777" w:rsidR="001404DF" w:rsidRPr="000D7D14" w:rsidRDefault="001404DF" w:rsidP="001404DF">
            <w:pPr>
              <w:spacing w:line="260" w:lineRule="atLeast"/>
              <w:rPr>
                <w:rFonts w:eastAsia="Calibri"/>
                <w:lang w:eastAsia="en-US"/>
              </w:rPr>
            </w:pPr>
          </w:p>
          <w:p w14:paraId="506038C9" w14:textId="77777777" w:rsidR="001404DF" w:rsidRPr="00AC665B" w:rsidRDefault="001404DF" w:rsidP="001404DF">
            <w:pPr>
              <w:pStyle w:val="Commentaire"/>
              <w:jc w:val="both"/>
            </w:pPr>
            <w:r w:rsidRPr="00C41434">
              <w:rPr>
                <w:rFonts w:eastAsia="Calibri"/>
                <w:lang w:eastAsia="en-US"/>
              </w:rPr>
              <w:t xml:space="preserve">Use 4: </w:t>
            </w:r>
            <w:r w:rsidRPr="00C41434">
              <w:t xml:space="preserve"> </w:t>
            </w:r>
            <w:r w:rsidRPr="00D33AFC">
              <w:t xml:space="preserve">Disinfectants for hard surfaces for industry, institution and healthcare facilities areas, </w:t>
            </w:r>
            <w:r w:rsidRPr="007A4DA8">
              <w:rPr>
                <w:rFonts w:eastAsia="Calibri"/>
                <w:iCs/>
                <w:szCs w:val="24"/>
                <w:lang w:eastAsia="en-US"/>
              </w:rPr>
              <w:t>with dirty conditions</w:t>
            </w:r>
            <w:r>
              <w:rPr>
                <w:rFonts w:eastAsia="Calibri"/>
                <w:iCs/>
                <w:szCs w:val="24"/>
                <w:u w:val="single"/>
                <w:lang w:eastAsia="en-US"/>
              </w:rPr>
              <w:t xml:space="preserve"> </w:t>
            </w:r>
            <w:r>
              <w:rPr>
                <w:rFonts w:eastAsia="Calibri"/>
                <w:lang w:eastAsia="en-US"/>
              </w:rPr>
              <w:t>for non porous surfaces</w:t>
            </w:r>
            <w:r w:rsidRPr="000D7D14">
              <w:rPr>
                <w:rFonts w:eastAsia="Calibri"/>
                <w:lang w:eastAsia="en-US"/>
              </w:rPr>
              <w:t>.</w:t>
            </w:r>
          </w:p>
          <w:p w14:paraId="166F5672" w14:textId="77777777" w:rsidR="001404DF" w:rsidRPr="004012BC" w:rsidRDefault="001404DF" w:rsidP="001404DF">
            <w:pPr>
              <w:pStyle w:val="Commentaire"/>
              <w:jc w:val="both"/>
            </w:pPr>
            <w:r>
              <w:rPr>
                <w:rFonts w:eastAsia="Calibri"/>
                <w:lang w:eastAsia="en-US"/>
              </w:rPr>
              <w:t>With mechanical action:</w:t>
            </w:r>
          </w:p>
          <w:p w14:paraId="4853FFEC" w14:textId="77777777" w:rsidR="001404DF" w:rsidRPr="000D7D14"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w:t>
            </w:r>
            <w:r>
              <w:rPr>
                <w:rFonts w:eastAsia="Calibri"/>
                <w:lang w:eastAsia="en-US"/>
              </w:rPr>
              <w:t xml:space="preserve">acteria and yeasts: 100 %, </w:t>
            </w:r>
            <w:r w:rsidRPr="000D7D14">
              <w:rPr>
                <w:rFonts w:eastAsia="Calibri"/>
                <w:lang w:eastAsia="en-US"/>
              </w:rPr>
              <w:t>5 minutes, 20°C.</w:t>
            </w:r>
          </w:p>
          <w:p w14:paraId="598DD687" w14:textId="77777777" w:rsidR="001404DF" w:rsidRPr="004012BC" w:rsidRDefault="001404DF" w:rsidP="001404DF">
            <w:pPr>
              <w:suppressAutoHyphens w:val="0"/>
              <w:spacing w:line="260" w:lineRule="atLeast"/>
              <w:jc w:val="both"/>
              <w:rPr>
                <w:rFonts w:eastAsia="Calibri"/>
                <w:lang w:eastAsia="en-US"/>
              </w:rPr>
            </w:pPr>
            <w:r w:rsidRPr="004012BC">
              <w:rPr>
                <w:rFonts w:eastAsia="Calibri"/>
                <w:lang w:eastAsia="en-US"/>
              </w:rPr>
              <w:t>With</w:t>
            </w:r>
            <w:r>
              <w:rPr>
                <w:rFonts w:eastAsia="Calibri"/>
                <w:lang w:eastAsia="en-US"/>
              </w:rPr>
              <w:t xml:space="preserve"> non</w:t>
            </w:r>
            <w:r w:rsidRPr="004012BC">
              <w:rPr>
                <w:rFonts w:eastAsia="Calibri"/>
                <w:lang w:eastAsia="en-US"/>
              </w:rPr>
              <w:t xml:space="preserve"> mechanical action: </w:t>
            </w:r>
          </w:p>
          <w:p w14:paraId="316BD20F" w14:textId="77777777" w:rsidR="001404DF" w:rsidRPr="000D7D14"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Bacteria and yeasts: 100 %, 15 minutes, 20°C.</w:t>
            </w:r>
          </w:p>
          <w:p w14:paraId="10665B33" w14:textId="77777777" w:rsidR="001404DF" w:rsidRPr="000D7D14" w:rsidRDefault="001404DF" w:rsidP="001404DF">
            <w:pPr>
              <w:spacing w:line="260" w:lineRule="atLeast"/>
              <w:rPr>
                <w:rFonts w:eastAsia="Calibri"/>
                <w:lang w:eastAsia="en-US"/>
              </w:rPr>
            </w:pPr>
          </w:p>
          <w:p w14:paraId="41C56D86" w14:textId="77777777" w:rsidR="001404DF" w:rsidRPr="000D7D14" w:rsidRDefault="001404DF" w:rsidP="001404DF">
            <w:pPr>
              <w:spacing w:line="260" w:lineRule="atLeast"/>
              <w:jc w:val="both"/>
              <w:rPr>
                <w:rFonts w:eastAsia="Calibri"/>
                <w:lang w:eastAsia="en-US"/>
              </w:rPr>
            </w:pPr>
            <w:r w:rsidRPr="000D7D14">
              <w:rPr>
                <w:rFonts w:eastAsia="Calibri"/>
                <w:b/>
                <w:lang w:eastAsia="en-US"/>
              </w:rPr>
              <w:t>Meta-SPC 3</w:t>
            </w:r>
            <w:r w:rsidRPr="000D7D14">
              <w:rPr>
                <w:rFonts w:eastAsia="Calibri"/>
                <w:lang w:eastAsia="en-US"/>
              </w:rPr>
              <w:t xml:space="preserve">: </w:t>
            </w:r>
          </w:p>
          <w:p w14:paraId="4E0777C9" w14:textId="77777777" w:rsidR="001404DF" w:rsidRPr="000D7D14" w:rsidRDefault="001404DF" w:rsidP="001404DF">
            <w:pPr>
              <w:pStyle w:val="Commentaire"/>
              <w:jc w:val="both"/>
              <w:rPr>
                <w:rFonts w:eastAsia="Calibri"/>
                <w:lang w:eastAsia="en-US"/>
              </w:rPr>
            </w:pPr>
            <w:r w:rsidRPr="000D7D14">
              <w:rPr>
                <w:rFonts w:eastAsia="Calibri"/>
                <w:lang w:eastAsia="en-US"/>
              </w:rPr>
              <w:t xml:space="preserve">Use 1: </w:t>
            </w:r>
            <w:r w:rsidRPr="000D7D14">
              <w:t>Disinfectants for hard surfaces for industry, institution, healthcare facilities, healthcare and food preparation and handling areas</w:t>
            </w:r>
            <w:r>
              <w:t xml:space="preserve">, </w:t>
            </w:r>
            <w:r w:rsidRPr="000D7D14">
              <w:rPr>
                <w:rFonts w:eastAsia="Calibri"/>
                <w:lang w:eastAsia="en-US"/>
              </w:rPr>
              <w:t>with dirty conditions</w:t>
            </w:r>
            <w:r>
              <w:rPr>
                <w:rFonts w:eastAsia="Calibri"/>
                <w:lang w:eastAsia="en-US"/>
              </w:rPr>
              <w:t xml:space="preserve"> for non porous surfaces, with mechanical or non mechanical action:</w:t>
            </w:r>
          </w:p>
          <w:p w14:paraId="0F8B2626" w14:textId="77777777" w:rsidR="001404DF" w:rsidRPr="000D7D14" w:rsidRDefault="001404DF" w:rsidP="001404DF">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 yeasts: 100%, 5 minutes, 20°C.</w:t>
            </w:r>
          </w:p>
          <w:p w14:paraId="68434842" w14:textId="77777777" w:rsidR="001404DF" w:rsidRPr="000D7D14" w:rsidRDefault="001404DF" w:rsidP="001404DF">
            <w:pPr>
              <w:spacing w:line="260" w:lineRule="atLeast"/>
              <w:jc w:val="both"/>
              <w:rPr>
                <w:rFonts w:eastAsia="Calibri"/>
                <w:lang w:eastAsia="en-US"/>
              </w:rPr>
            </w:pPr>
          </w:p>
          <w:p w14:paraId="7837FE9D" w14:textId="77777777" w:rsidR="001404DF" w:rsidRPr="00AC665B" w:rsidRDefault="001404DF" w:rsidP="001404DF">
            <w:pPr>
              <w:pStyle w:val="Commentaire"/>
              <w:jc w:val="both"/>
            </w:pPr>
            <w:r w:rsidRPr="000D7D14">
              <w:rPr>
                <w:rFonts w:eastAsia="Calibri"/>
                <w:lang w:eastAsia="en-US"/>
              </w:rPr>
              <w:t xml:space="preserve">Use 2: </w:t>
            </w:r>
            <w:r w:rsidRPr="000D7D14">
              <w:t>Disinfectants for hard surfaces for industry, institution, healthcare facilities and health care</w:t>
            </w:r>
            <w:r>
              <w:t>,</w:t>
            </w:r>
            <w:r w:rsidRPr="000D7D14">
              <w:t xml:space="preserve"> </w:t>
            </w:r>
            <w:r w:rsidRPr="000D7D14">
              <w:rPr>
                <w:rFonts w:eastAsia="Calibri"/>
                <w:lang w:eastAsia="en-US"/>
              </w:rPr>
              <w:t>with dirty conditions</w:t>
            </w:r>
            <w:r>
              <w:rPr>
                <w:rFonts w:eastAsia="Calibri"/>
                <w:lang w:eastAsia="en-US"/>
              </w:rPr>
              <w:t xml:space="preserve"> for non porous surfaces, with mechanical or non mechanical action:</w:t>
            </w:r>
            <w:r w:rsidRPr="000D7D14">
              <w:rPr>
                <w:rFonts w:eastAsia="Calibri"/>
                <w:lang w:eastAsia="en-US"/>
              </w:rPr>
              <w:t xml:space="preserve"> </w:t>
            </w:r>
          </w:p>
          <w:p w14:paraId="172FC9CB" w14:textId="77777777" w:rsidR="001404DF" w:rsidRPr="000D7D14" w:rsidRDefault="001404DF" w:rsidP="001404DF">
            <w:pPr>
              <w:spacing w:line="260" w:lineRule="atLeast"/>
              <w:jc w:val="both"/>
              <w:rPr>
                <w:rFonts w:ascii="Times New Roman" w:eastAsia="Calibri" w:hAnsi="Times New Roman"/>
                <w:i/>
                <w:iCs/>
                <w:lang w:eastAsia="en-US"/>
              </w:rPr>
            </w:pPr>
            <w:r w:rsidRPr="000D7D14">
              <w:rPr>
                <w:rFonts w:eastAsia="Calibri"/>
                <w:lang w:eastAsia="en-US"/>
              </w:rPr>
              <w:t>Bacteria, yeasts: 100%, 5 minutes, 20°C.</w:t>
            </w:r>
          </w:p>
          <w:p w14:paraId="1F5D34DC" w14:textId="77777777" w:rsidR="001404DF" w:rsidRPr="000D7D14" w:rsidRDefault="001404DF" w:rsidP="001404DF">
            <w:pPr>
              <w:spacing w:line="260" w:lineRule="atLeast"/>
              <w:rPr>
                <w:rFonts w:eastAsia="Calibri"/>
                <w:lang w:eastAsia="en-US"/>
              </w:rPr>
            </w:pPr>
          </w:p>
          <w:p w14:paraId="55C193AB" w14:textId="77777777" w:rsidR="001404DF" w:rsidRPr="00AC665B" w:rsidRDefault="001404DF" w:rsidP="001404DF">
            <w:pPr>
              <w:pStyle w:val="Commentaire"/>
              <w:jc w:val="both"/>
            </w:pPr>
            <w:r w:rsidRPr="000D7D14">
              <w:rPr>
                <w:rFonts w:eastAsia="Calibri"/>
                <w:b/>
                <w:lang w:eastAsia="en-US"/>
              </w:rPr>
              <w:t>Meta-SPC 4</w:t>
            </w:r>
            <w:r w:rsidRPr="000D7D14">
              <w:rPr>
                <w:rFonts w:eastAsia="Calibri"/>
                <w:lang w:eastAsia="en-US"/>
              </w:rPr>
              <w:t xml:space="preserve">: </w:t>
            </w:r>
            <w:r w:rsidRPr="006419BB">
              <w:t xml:space="preserve"> </w:t>
            </w:r>
            <w:r w:rsidRPr="000D7D14">
              <w:t>Disinfectants for hard surfaces of industry, institution, healthcare facilities and food preparation and handling areas</w:t>
            </w:r>
            <w:r>
              <w:t xml:space="preserve">, </w:t>
            </w:r>
            <w:r w:rsidRPr="000D7D14">
              <w:rPr>
                <w:rFonts w:eastAsia="Calibri"/>
                <w:lang w:eastAsia="en-US"/>
              </w:rPr>
              <w:t>with dirty conditons</w:t>
            </w:r>
            <w:r>
              <w:rPr>
                <w:rFonts w:eastAsia="Calibri"/>
                <w:lang w:eastAsia="en-US"/>
              </w:rPr>
              <w:t xml:space="preserve"> for non porous surfaces</w:t>
            </w:r>
            <w:r w:rsidRPr="000D7D14">
              <w:rPr>
                <w:rFonts w:eastAsia="Calibri"/>
                <w:lang w:eastAsia="en-US"/>
              </w:rPr>
              <w:t xml:space="preserve">. </w:t>
            </w:r>
          </w:p>
          <w:p w14:paraId="7E4AE65A" w14:textId="77777777" w:rsidR="001404DF" w:rsidRPr="000D7D14" w:rsidRDefault="001404DF" w:rsidP="001404DF">
            <w:pPr>
              <w:spacing w:line="260" w:lineRule="atLeast"/>
              <w:jc w:val="both"/>
              <w:rPr>
                <w:rFonts w:eastAsia="Calibri"/>
                <w:lang w:eastAsia="en-US"/>
              </w:rPr>
            </w:pPr>
            <w:r>
              <w:rPr>
                <w:rFonts w:eastAsia="Calibri"/>
                <w:lang w:eastAsia="en-US"/>
              </w:rPr>
              <w:lastRenderedPageBreak/>
              <w:t xml:space="preserve">With mechanical action: </w:t>
            </w:r>
          </w:p>
          <w:p w14:paraId="1A7405BB" w14:textId="77777777" w:rsidR="001404DF"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A758F5">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 100%, 5 minutes, 20°C.</w:t>
            </w:r>
          </w:p>
          <w:p w14:paraId="700C944C" w14:textId="77777777" w:rsidR="001404DF" w:rsidRDefault="001404DF" w:rsidP="001404DF">
            <w:pPr>
              <w:suppressAutoHyphens w:val="0"/>
              <w:spacing w:line="260" w:lineRule="atLeast"/>
              <w:jc w:val="both"/>
              <w:rPr>
                <w:rFonts w:eastAsia="Calibri"/>
                <w:lang w:eastAsia="en-US"/>
              </w:rPr>
            </w:pPr>
            <w:r>
              <w:rPr>
                <w:rFonts w:eastAsia="Calibri"/>
                <w:lang w:eastAsia="en-US"/>
              </w:rPr>
              <w:t xml:space="preserve">With non mechanical action: </w:t>
            </w:r>
          </w:p>
          <w:p w14:paraId="2DA21EBF" w14:textId="77777777" w:rsidR="001404DF" w:rsidRDefault="001404DF" w:rsidP="001404DF">
            <w:pPr>
              <w:numPr>
                <w:ilvl w:val="0"/>
                <w:numId w:val="20"/>
              </w:numPr>
              <w:suppressAutoHyphens w:val="0"/>
              <w:spacing w:line="260" w:lineRule="atLeast"/>
              <w:jc w:val="both"/>
              <w:rPr>
                <w:rFonts w:eastAsia="Calibri"/>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A758F5">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100%, </w:t>
            </w:r>
            <w:r>
              <w:rPr>
                <w:rFonts w:eastAsia="Calibri"/>
                <w:lang w:eastAsia="en-US"/>
              </w:rPr>
              <w:t>1</w:t>
            </w:r>
            <w:r w:rsidRPr="000D7D14">
              <w:rPr>
                <w:rFonts w:eastAsia="Calibri"/>
                <w:lang w:eastAsia="en-US"/>
              </w:rPr>
              <w:t>5 minutes, 20°C.</w:t>
            </w:r>
          </w:p>
          <w:p w14:paraId="06781229" w14:textId="77777777" w:rsidR="001404DF" w:rsidRPr="000D7D14" w:rsidRDefault="001404DF" w:rsidP="001404DF">
            <w:pPr>
              <w:spacing w:line="260" w:lineRule="atLeast"/>
              <w:rPr>
                <w:rFonts w:eastAsia="Calibri"/>
                <w:b/>
                <w:lang w:eastAsia="en-US"/>
              </w:rPr>
            </w:pPr>
          </w:p>
          <w:p w14:paraId="475D6DE9" w14:textId="77777777" w:rsidR="001404DF" w:rsidRPr="00F0256C" w:rsidRDefault="001404DF" w:rsidP="001404DF">
            <w:pPr>
              <w:spacing w:line="260" w:lineRule="atLeast"/>
              <w:rPr>
                <w:rFonts w:eastAsia="Calibri"/>
                <w:lang w:eastAsia="en-US"/>
              </w:rPr>
            </w:pPr>
            <w:r w:rsidRPr="000D7D14">
              <w:rPr>
                <w:rFonts w:eastAsia="Calibri"/>
                <w:b/>
                <w:lang w:eastAsia="en-US"/>
              </w:rPr>
              <w:t>Meta-SPC 6</w:t>
            </w:r>
            <w:r w:rsidRPr="00F0256C">
              <w:rPr>
                <w:rFonts w:eastAsia="Calibri"/>
                <w:lang w:eastAsia="en-US"/>
              </w:rPr>
              <w:t xml:space="preserve">: </w:t>
            </w:r>
          </w:p>
          <w:p w14:paraId="664E5444" w14:textId="77777777" w:rsidR="001404DF" w:rsidRPr="00F0256C" w:rsidRDefault="001404DF" w:rsidP="001404DF">
            <w:pPr>
              <w:spacing w:line="260" w:lineRule="atLeast"/>
              <w:rPr>
                <w:rFonts w:eastAsia="Calibri"/>
                <w:lang w:eastAsia="en-US"/>
              </w:rPr>
            </w:pPr>
          </w:p>
          <w:p w14:paraId="66039FA0" w14:textId="77777777" w:rsidR="001404DF" w:rsidRPr="00AC665B" w:rsidRDefault="001404DF" w:rsidP="001404DF">
            <w:pPr>
              <w:pStyle w:val="Commentaire"/>
              <w:jc w:val="both"/>
            </w:pPr>
            <w:r>
              <w:rPr>
                <w:rFonts w:eastAsia="Calibri"/>
                <w:lang w:eastAsia="en-US"/>
              </w:rPr>
              <w:t>Use 1</w:t>
            </w:r>
            <w:r w:rsidRPr="00820E0E">
              <w:rPr>
                <w:rFonts w:eastAsia="Calibri"/>
                <w:lang w:eastAsia="en-US"/>
              </w:rPr>
              <w:t xml:space="preserve">: </w:t>
            </w:r>
            <w:r w:rsidRPr="006419BB">
              <w:t xml:space="preserve"> </w:t>
            </w:r>
            <w:r w:rsidRPr="000D7D14">
              <w:t>Disinfectants for hard surfaces of industry, institution, healthcare facilities, healthcare and</w:t>
            </w:r>
            <w:r>
              <w:t>,</w:t>
            </w:r>
            <w:r w:rsidRPr="000D7D14">
              <w:t xml:space="preserve"> food preparation and handling areas</w:t>
            </w:r>
            <w:r>
              <w:t xml:space="preserve">, </w:t>
            </w:r>
            <w:r w:rsidRPr="00344BDC">
              <w:rPr>
                <w:rFonts w:eastAsia="Calibri"/>
                <w:lang w:eastAsia="en-US"/>
              </w:rPr>
              <w:t>with dirty conditions</w:t>
            </w:r>
            <w:r>
              <w:rPr>
                <w:rFonts w:eastAsia="Calibri"/>
                <w:lang w:eastAsia="en-US"/>
              </w:rPr>
              <w:t xml:space="preserve"> for non porous surfaces – PT2/4</w:t>
            </w:r>
          </w:p>
          <w:p w14:paraId="340F9EAF" w14:textId="77777777" w:rsidR="001404DF" w:rsidRDefault="001404DF" w:rsidP="001404DF">
            <w:pPr>
              <w:spacing w:line="260" w:lineRule="atLeast"/>
              <w:jc w:val="both"/>
              <w:rPr>
                <w:rFonts w:eastAsia="Calibri"/>
                <w:lang w:eastAsia="en-US"/>
              </w:rPr>
            </w:pPr>
            <w:r>
              <w:rPr>
                <w:rFonts w:eastAsia="Calibri"/>
                <w:lang w:eastAsia="en-US"/>
              </w:rPr>
              <w:t xml:space="preserve">In healthcare, with non mechanical action: </w:t>
            </w:r>
          </w:p>
          <w:p w14:paraId="56476615"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w:t>
            </w:r>
            <w:r>
              <w:rPr>
                <w:rFonts w:eastAsia="Calibri"/>
                <w:lang w:eastAsia="en-US"/>
              </w:rPr>
              <w:t>,</w:t>
            </w:r>
            <w:r w:rsidRPr="000D7D14">
              <w:rPr>
                <w:rFonts w:eastAsia="Calibri"/>
                <w:lang w:eastAsia="en-US"/>
              </w:rPr>
              <w:t xml:space="preserve"> yeasts: 8%</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0C240A8D" w14:textId="77777777" w:rsidR="001404DF" w:rsidRDefault="001404DF" w:rsidP="001404DF">
            <w:pPr>
              <w:spacing w:line="260" w:lineRule="atLeast"/>
              <w:jc w:val="both"/>
              <w:rPr>
                <w:rFonts w:eastAsia="Calibri"/>
                <w:lang w:eastAsia="en-US"/>
              </w:rPr>
            </w:pPr>
            <w:r>
              <w:rPr>
                <w:rFonts w:eastAsia="Calibri"/>
                <w:lang w:eastAsia="en-US"/>
              </w:rPr>
              <w:t xml:space="preserve">Other areas, with non mechanical action: </w:t>
            </w:r>
          </w:p>
          <w:p w14:paraId="5DB56B4F"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5</w:t>
            </w:r>
            <w:r w:rsidRPr="000D7D14">
              <w:rPr>
                <w:rFonts w:eastAsia="Calibri"/>
                <w:lang w:eastAsia="en-US"/>
              </w:rPr>
              <w:t>%</w:t>
            </w:r>
            <w:r>
              <w:rPr>
                <w:rFonts w:eastAsia="Calibri"/>
                <w:lang w:eastAsia="en-US"/>
              </w:rPr>
              <w:t xml:space="preserve"> v/v</w:t>
            </w:r>
            <w:r w:rsidRPr="00F0256C">
              <w:rPr>
                <w:rFonts w:eastAsia="Calibri"/>
                <w:lang w:eastAsia="en-US"/>
              </w:rPr>
              <w:t>, 1</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et </w:t>
            </w:r>
            <w:r>
              <w:rPr>
                <w:rFonts w:eastAsia="Calibri"/>
                <w:lang w:eastAsia="en-US"/>
              </w:rPr>
              <w:t xml:space="preserve">3% v/v, </w:t>
            </w:r>
            <w:r w:rsidRPr="00344BDC">
              <w:rPr>
                <w:rFonts w:eastAsia="Calibri"/>
                <w:lang w:eastAsia="en-US"/>
              </w:rPr>
              <w:t>30</w:t>
            </w:r>
            <w:r>
              <w:rPr>
                <w:rFonts w:eastAsia="Calibri"/>
                <w:lang w:eastAsia="en-US"/>
              </w:rPr>
              <w:t xml:space="preserve"> </w:t>
            </w:r>
            <w:r w:rsidRPr="00344BDC">
              <w:rPr>
                <w:rFonts w:eastAsia="Calibri"/>
                <w:lang w:eastAsia="en-US"/>
              </w:rPr>
              <w:t>min</w:t>
            </w:r>
            <w:r>
              <w:rPr>
                <w:rFonts w:eastAsia="Calibri"/>
                <w:lang w:eastAsia="en-US"/>
              </w:rPr>
              <w:t>utes,</w:t>
            </w:r>
            <w:r w:rsidRPr="00344BDC">
              <w:rPr>
                <w:rFonts w:eastAsia="Calibri"/>
                <w:lang w:eastAsia="en-US"/>
              </w:rPr>
              <w:t xml:space="preserve"> 40°C.</w:t>
            </w:r>
          </w:p>
          <w:p w14:paraId="13E2965C" w14:textId="77777777" w:rsidR="001404DF" w:rsidRDefault="001404DF" w:rsidP="001404DF">
            <w:pPr>
              <w:spacing w:line="260" w:lineRule="atLeast"/>
              <w:jc w:val="both"/>
              <w:rPr>
                <w:rFonts w:eastAsia="Calibri"/>
                <w:lang w:eastAsia="en-US"/>
              </w:rPr>
            </w:pPr>
          </w:p>
          <w:p w14:paraId="76AF0708" w14:textId="77777777" w:rsidR="001404DF" w:rsidRDefault="001404DF" w:rsidP="001404DF">
            <w:pPr>
              <w:spacing w:line="260" w:lineRule="atLeast"/>
              <w:jc w:val="both"/>
              <w:rPr>
                <w:rFonts w:eastAsia="Calibri"/>
                <w:lang w:eastAsia="en-US"/>
              </w:rPr>
            </w:pPr>
            <w:r>
              <w:rPr>
                <w:rFonts w:eastAsia="Calibri"/>
                <w:lang w:eastAsia="en-US"/>
              </w:rPr>
              <w:t xml:space="preserve">All areas, with mechanical action: </w:t>
            </w:r>
          </w:p>
          <w:p w14:paraId="33ADC647"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2C9C5BC0" w14:textId="77777777" w:rsidR="001404DF" w:rsidRDefault="001404DF" w:rsidP="001404DF">
            <w:pPr>
              <w:spacing w:line="260" w:lineRule="atLeast"/>
              <w:rPr>
                <w:rFonts w:eastAsia="Calibri"/>
                <w:lang w:eastAsia="en-US"/>
              </w:rPr>
            </w:pPr>
          </w:p>
          <w:p w14:paraId="7DA9F83F" w14:textId="77777777" w:rsidR="001404DF" w:rsidRDefault="001404DF" w:rsidP="001404DF">
            <w:pPr>
              <w:spacing w:line="260" w:lineRule="atLeast"/>
              <w:jc w:val="both"/>
              <w:rPr>
                <w:rFonts w:eastAsia="Calibri"/>
                <w:lang w:eastAsia="en-US"/>
              </w:rPr>
            </w:pPr>
            <w:r w:rsidRPr="000D7D14">
              <w:rPr>
                <w:rFonts w:eastAsia="Calibri"/>
                <w:lang w:eastAsia="en-US"/>
              </w:rPr>
              <w:t xml:space="preserve">Use 2: </w:t>
            </w:r>
            <w:r w:rsidRPr="006419BB">
              <w:t xml:space="preserve"> </w:t>
            </w:r>
            <w:r w:rsidRPr="000D7D14">
              <w:t>Disinfectants for hard surfaces of industry, institution, healthcare facilities and</w:t>
            </w:r>
            <w:r>
              <w:t>,</w:t>
            </w:r>
            <w:r w:rsidRPr="000D7D14">
              <w:t xml:space="preserve"> food preparation and</w:t>
            </w:r>
            <w:r>
              <w:t>, food preparation and</w:t>
            </w:r>
            <w:r w:rsidRPr="000D7D14">
              <w:t xml:space="preserve"> handling areas</w:t>
            </w:r>
            <w:r>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 – PT2/4</w:t>
            </w:r>
          </w:p>
          <w:p w14:paraId="7CA57AC6" w14:textId="77777777" w:rsidR="001404DF" w:rsidRPr="000D7D14" w:rsidRDefault="001404DF" w:rsidP="001404DF">
            <w:pPr>
              <w:spacing w:line="260" w:lineRule="atLeast"/>
              <w:jc w:val="both"/>
              <w:rPr>
                <w:rFonts w:eastAsia="Calibri"/>
                <w:lang w:eastAsia="en-US"/>
              </w:rPr>
            </w:pPr>
            <w:r>
              <w:rPr>
                <w:rFonts w:eastAsia="Calibri"/>
                <w:lang w:eastAsia="en-US"/>
              </w:rPr>
              <w:t>With non mechanical action:</w:t>
            </w:r>
          </w:p>
          <w:p w14:paraId="736401BA" w14:textId="77777777" w:rsidR="001404DF" w:rsidRPr="00344BDC" w:rsidRDefault="001404DF" w:rsidP="001404DF">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Pr>
                <w:rFonts w:eastAsia="Calibri"/>
                <w:lang w:eastAsia="en-US"/>
              </w:rPr>
              <w:t>T</w:t>
            </w:r>
            <w:r w:rsidRPr="003719FE">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w:t>
            </w:r>
            <w:r>
              <w:rPr>
                <w:rFonts w:eastAsia="Calibri"/>
                <w:lang w:eastAsia="en-US"/>
              </w:rPr>
              <w:t xml:space="preserve"> 5</w:t>
            </w:r>
            <w:r w:rsidRPr="000D7D14">
              <w:rPr>
                <w:rFonts w:eastAsia="Calibri"/>
                <w:lang w:eastAsia="en-US"/>
              </w:rPr>
              <w:t>%</w:t>
            </w:r>
            <w:r>
              <w:rPr>
                <w:rFonts w:eastAsia="Calibri"/>
                <w:lang w:eastAsia="en-US"/>
              </w:rPr>
              <w:t xml:space="preserve"> v/v</w:t>
            </w:r>
            <w:r w:rsidRPr="00F0256C">
              <w:rPr>
                <w:rFonts w:eastAsia="Calibri"/>
                <w:lang w:eastAsia="en-US"/>
              </w:rPr>
              <w:t>, 15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et </w:t>
            </w:r>
            <w:r>
              <w:rPr>
                <w:rFonts w:eastAsia="Calibri"/>
                <w:lang w:eastAsia="en-US"/>
              </w:rPr>
              <w:t xml:space="preserve">3% v/v, </w:t>
            </w:r>
            <w:r w:rsidRPr="00344BDC">
              <w:rPr>
                <w:rFonts w:eastAsia="Calibri"/>
                <w:lang w:eastAsia="en-US"/>
              </w:rPr>
              <w:t>30</w:t>
            </w:r>
            <w:r>
              <w:rPr>
                <w:rFonts w:eastAsia="Calibri"/>
                <w:lang w:eastAsia="en-US"/>
              </w:rPr>
              <w:t xml:space="preserve"> </w:t>
            </w:r>
            <w:r w:rsidRPr="00344BDC">
              <w:rPr>
                <w:rFonts w:eastAsia="Calibri"/>
                <w:lang w:eastAsia="en-US"/>
              </w:rPr>
              <w:t>min</w:t>
            </w:r>
            <w:r>
              <w:rPr>
                <w:rFonts w:eastAsia="Calibri"/>
                <w:lang w:eastAsia="en-US"/>
              </w:rPr>
              <w:t>utes,</w:t>
            </w:r>
            <w:r w:rsidRPr="00344BDC">
              <w:rPr>
                <w:rFonts w:eastAsia="Calibri"/>
                <w:lang w:eastAsia="en-US"/>
              </w:rPr>
              <w:t xml:space="preserve"> 40°C.</w:t>
            </w:r>
          </w:p>
          <w:p w14:paraId="5EA329E4" w14:textId="77777777" w:rsidR="001404DF" w:rsidRDefault="001404DF" w:rsidP="001404DF">
            <w:pPr>
              <w:spacing w:line="260" w:lineRule="atLeast"/>
              <w:jc w:val="both"/>
              <w:rPr>
                <w:rFonts w:eastAsia="Calibri"/>
                <w:lang w:eastAsia="en-US"/>
              </w:rPr>
            </w:pPr>
          </w:p>
          <w:p w14:paraId="348AEA45" w14:textId="77777777" w:rsidR="001404DF" w:rsidRPr="003719FE" w:rsidRDefault="001404DF" w:rsidP="001404DF">
            <w:pPr>
              <w:spacing w:line="260" w:lineRule="atLeast"/>
              <w:jc w:val="both"/>
              <w:rPr>
                <w:rFonts w:eastAsia="Calibri"/>
                <w:lang w:eastAsia="en-US"/>
              </w:rPr>
            </w:pPr>
            <w:r>
              <w:rPr>
                <w:rFonts w:eastAsia="Calibri"/>
                <w:lang w:eastAsia="en-US"/>
              </w:rPr>
              <w:t>With mechanical action</w:t>
            </w:r>
            <w:r w:rsidRPr="003719FE">
              <w:rPr>
                <w:rFonts w:eastAsia="Calibri"/>
                <w:lang w:eastAsia="en-US"/>
              </w:rPr>
              <w:t xml:space="preserve">: </w:t>
            </w:r>
          </w:p>
          <w:p w14:paraId="504A15C2" w14:textId="77777777" w:rsidR="001404DF" w:rsidRPr="00344BDC" w:rsidRDefault="001404DF" w:rsidP="001404DF">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Pr>
                <w:rFonts w:eastAsia="Calibri"/>
                <w:lang w:eastAsia="en-US"/>
              </w:rPr>
              <w:t>T</w:t>
            </w:r>
            <w:r w:rsidRPr="003719FE">
              <w:rPr>
                <w:rFonts w:eastAsia="Calibri"/>
                <w:lang w:eastAsia="en-US"/>
              </w:rPr>
              <w: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yeasts:</w:t>
            </w:r>
            <w:r>
              <w:rPr>
                <w:rFonts w:eastAsia="Calibri"/>
                <w:lang w:eastAsia="en-US"/>
              </w:rPr>
              <w:t xml:space="preserve"> 10</w:t>
            </w:r>
            <w:r w:rsidRPr="000D7D14">
              <w:rPr>
                <w:rFonts w:eastAsia="Calibri"/>
                <w:lang w:eastAsia="en-US"/>
              </w:rPr>
              <w:t>%</w:t>
            </w:r>
            <w:r>
              <w:rPr>
                <w:rFonts w:eastAsia="Calibri"/>
                <w:lang w:eastAsia="en-US"/>
              </w:rPr>
              <w:t xml:space="preserve"> v/v</w:t>
            </w:r>
            <w:r w:rsidRPr="00F0256C">
              <w:rPr>
                <w:rFonts w:eastAsia="Calibri"/>
                <w:lang w:eastAsia="en-US"/>
              </w:rPr>
              <w:t>, 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45319243" w14:textId="77777777" w:rsidR="001404DF" w:rsidRPr="00344BDC" w:rsidRDefault="001404DF" w:rsidP="001404DF">
            <w:pPr>
              <w:spacing w:line="260" w:lineRule="atLeast"/>
              <w:rPr>
                <w:rFonts w:eastAsia="Calibri"/>
                <w:lang w:eastAsia="en-US"/>
              </w:rPr>
            </w:pPr>
          </w:p>
          <w:p w14:paraId="19C4E591" w14:textId="77777777" w:rsidR="001404DF" w:rsidRPr="00AC665B" w:rsidRDefault="001404DF" w:rsidP="001404DF">
            <w:pPr>
              <w:pStyle w:val="Commentaire"/>
              <w:jc w:val="both"/>
            </w:pPr>
            <w:r w:rsidRPr="000D7D14">
              <w:rPr>
                <w:rFonts w:eastAsia="Calibri"/>
                <w:lang w:eastAsia="en-US"/>
              </w:rPr>
              <w:t xml:space="preserve">Use 3: </w:t>
            </w:r>
            <w:r w:rsidRPr="000D7D14">
              <w:t>Disinfectants for hard surfaces of industry, institution, healthcare facilities and healthcare</w:t>
            </w:r>
            <w:r>
              <w:t xml:space="preserve">, </w:t>
            </w:r>
            <w:r w:rsidRPr="000D7D14">
              <w:rPr>
                <w:rFonts w:eastAsia="Calibri"/>
                <w:lang w:eastAsia="en-US"/>
              </w:rPr>
              <w:t>with dirty conditions</w:t>
            </w:r>
            <w:r>
              <w:rPr>
                <w:rFonts w:eastAsia="Calibri"/>
                <w:lang w:eastAsia="en-US"/>
              </w:rPr>
              <w:t xml:space="preserve"> for non porous surfaces - PT2</w:t>
            </w:r>
          </w:p>
          <w:p w14:paraId="31A79B42" w14:textId="77777777" w:rsidR="001404DF" w:rsidRDefault="001404DF" w:rsidP="001404DF">
            <w:pPr>
              <w:spacing w:line="260" w:lineRule="atLeast"/>
              <w:jc w:val="both"/>
              <w:rPr>
                <w:rFonts w:eastAsia="Calibri"/>
                <w:lang w:eastAsia="en-US"/>
              </w:rPr>
            </w:pPr>
            <w:r>
              <w:rPr>
                <w:rFonts w:eastAsia="Calibri"/>
                <w:lang w:eastAsia="en-US"/>
              </w:rPr>
              <w:t xml:space="preserve">In healthcare, with non mechanical action: </w:t>
            </w:r>
          </w:p>
          <w:p w14:paraId="05FBF392"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Bacteria</w:t>
            </w:r>
            <w:r>
              <w:rPr>
                <w:rFonts w:eastAsia="Calibri"/>
                <w:lang w:eastAsia="en-US"/>
              </w:rPr>
              <w:t>,</w:t>
            </w:r>
            <w:r w:rsidRPr="000D7D14">
              <w:rPr>
                <w:rFonts w:eastAsia="Calibri"/>
                <w:lang w:eastAsia="en-US"/>
              </w:rPr>
              <w:t xml:space="preserve"> yeasts: 8%</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2DBBCB2F" w14:textId="77777777" w:rsidR="001404DF" w:rsidRDefault="001404DF" w:rsidP="001404DF">
            <w:pPr>
              <w:spacing w:line="260" w:lineRule="atLeast"/>
              <w:jc w:val="both"/>
              <w:rPr>
                <w:rFonts w:eastAsia="Calibri"/>
                <w:lang w:eastAsia="en-US"/>
              </w:rPr>
            </w:pPr>
          </w:p>
          <w:p w14:paraId="186E84D2" w14:textId="77777777" w:rsidR="001404DF" w:rsidRDefault="001404DF" w:rsidP="001404DF">
            <w:pPr>
              <w:spacing w:line="260" w:lineRule="atLeast"/>
              <w:jc w:val="both"/>
              <w:rPr>
                <w:rFonts w:eastAsia="Calibri"/>
                <w:lang w:eastAsia="en-US"/>
              </w:rPr>
            </w:pPr>
            <w:r>
              <w:rPr>
                <w:rFonts w:eastAsia="Calibri"/>
                <w:lang w:eastAsia="en-US"/>
              </w:rPr>
              <w:t xml:space="preserve">Other areas, with non mechanical action: </w:t>
            </w:r>
          </w:p>
          <w:p w14:paraId="62EA2F59"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yeasts: </w:t>
            </w:r>
            <w:r>
              <w:rPr>
                <w:rFonts w:eastAsia="Calibri"/>
                <w:lang w:eastAsia="en-US"/>
              </w:rPr>
              <w:t>5</w:t>
            </w:r>
            <w:r w:rsidRPr="000D7D14">
              <w:rPr>
                <w:rFonts w:eastAsia="Calibri"/>
                <w:lang w:eastAsia="en-US"/>
              </w:rPr>
              <w:t>%</w:t>
            </w:r>
            <w:r>
              <w:rPr>
                <w:rFonts w:eastAsia="Calibri"/>
                <w:lang w:eastAsia="en-US"/>
              </w:rPr>
              <w:t xml:space="preserve"> v/v</w:t>
            </w:r>
            <w:r w:rsidRPr="00F0256C">
              <w:rPr>
                <w:rFonts w:eastAsia="Calibri"/>
                <w:lang w:eastAsia="en-US"/>
              </w:rPr>
              <w:t>, 1</w:t>
            </w:r>
            <w:r w:rsidRPr="00820E0E">
              <w:rPr>
                <w:rFonts w:eastAsia="Calibri"/>
                <w:lang w:eastAsia="en-US"/>
              </w:rPr>
              <w:t>5 minutes</w:t>
            </w:r>
            <w:r w:rsidRPr="004D1209">
              <w:rPr>
                <w:rFonts w:eastAsia="Calibri"/>
                <w:lang w:eastAsia="en-US"/>
              </w:rPr>
              <w:t>,</w:t>
            </w:r>
            <w:r w:rsidRPr="00344BDC">
              <w:rPr>
                <w:rFonts w:eastAsia="Calibri"/>
                <w:lang w:eastAsia="en-US"/>
              </w:rPr>
              <w:t xml:space="preserve"> 20°C</w:t>
            </w:r>
          </w:p>
          <w:p w14:paraId="4D2758FA" w14:textId="77777777" w:rsidR="001404DF" w:rsidRDefault="001404DF" w:rsidP="001404DF">
            <w:pPr>
              <w:spacing w:line="260" w:lineRule="atLeast"/>
              <w:jc w:val="both"/>
              <w:rPr>
                <w:rFonts w:eastAsia="Calibri"/>
                <w:lang w:eastAsia="en-US"/>
              </w:rPr>
            </w:pPr>
          </w:p>
          <w:p w14:paraId="798D3B05" w14:textId="77777777" w:rsidR="001404DF" w:rsidRDefault="001404DF" w:rsidP="001404DF">
            <w:pPr>
              <w:spacing w:line="260" w:lineRule="atLeast"/>
              <w:jc w:val="both"/>
              <w:rPr>
                <w:rFonts w:eastAsia="Calibri"/>
                <w:lang w:eastAsia="en-US"/>
              </w:rPr>
            </w:pPr>
            <w:r>
              <w:rPr>
                <w:rFonts w:eastAsia="Calibri"/>
                <w:lang w:eastAsia="en-US"/>
              </w:rPr>
              <w:t xml:space="preserve">All areas, with mechanical action: </w:t>
            </w:r>
          </w:p>
          <w:p w14:paraId="3A1E249B"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 xml:space="preserve">Salmonella </w:t>
            </w:r>
            <w:r w:rsidRPr="00C914AE">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xml:space="preserve">,), 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Pr>
                <w:rFonts w:eastAsia="Calibri"/>
                <w:lang w:eastAsia="en-US"/>
              </w:rPr>
              <w:t xml:space="preserve"> 20°C.</w:t>
            </w:r>
          </w:p>
          <w:p w14:paraId="316F1677" w14:textId="77777777" w:rsidR="001404DF" w:rsidRPr="00877857" w:rsidRDefault="001404DF" w:rsidP="001404DF">
            <w:pPr>
              <w:spacing w:line="260" w:lineRule="atLeast"/>
              <w:rPr>
                <w:rFonts w:ascii="Times New Roman" w:eastAsia="Calibri" w:hAnsi="Times New Roman"/>
                <w:i/>
                <w:iCs/>
                <w:lang w:eastAsia="en-US"/>
              </w:rPr>
            </w:pPr>
          </w:p>
          <w:p w14:paraId="0DBDAA00" w14:textId="77777777" w:rsidR="001404DF" w:rsidRPr="00AC665B" w:rsidRDefault="001404DF" w:rsidP="001404DF">
            <w:pPr>
              <w:pStyle w:val="Commentaire"/>
              <w:jc w:val="both"/>
            </w:pPr>
            <w:r>
              <w:rPr>
                <w:rFonts w:eastAsia="Calibri"/>
                <w:lang w:eastAsia="en-US"/>
              </w:rPr>
              <w:t>Use 4</w:t>
            </w:r>
            <w:r w:rsidRPr="00344BDC">
              <w:rPr>
                <w:rFonts w:eastAsia="Calibri"/>
                <w:lang w:eastAsia="en-US"/>
              </w:rPr>
              <w:t xml:space="preserve">: </w:t>
            </w:r>
            <w:r w:rsidRPr="000D7D14">
              <w:t>Disinfectants for hard surfaces of industry, institution and healthcare facilities areas</w:t>
            </w:r>
            <w:r>
              <w:t xml:space="preserve">, </w:t>
            </w:r>
            <w:r w:rsidRPr="000D7D14">
              <w:rPr>
                <w:rFonts w:eastAsia="Calibri"/>
                <w:lang w:eastAsia="en-US"/>
              </w:rPr>
              <w:t>with dirty conditions</w:t>
            </w:r>
            <w:r>
              <w:rPr>
                <w:rFonts w:eastAsia="Calibri"/>
                <w:lang w:eastAsia="en-US"/>
              </w:rPr>
              <w:t xml:space="preserve"> for non porous surfaces – PT2</w:t>
            </w:r>
          </w:p>
          <w:p w14:paraId="402F8283" w14:textId="77777777" w:rsidR="001404DF" w:rsidRPr="00344BDC" w:rsidRDefault="001404DF" w:rsidP="001404DF">
            <w:pPr>
              <w:spacing w:line="260" w:lineRule="atLeast"/>
              <w:jc w:val="both"/>
              <w:rPr>
                <w:rFonts w:eastAsia="Calibri"/>
                <w:lang w:eastAsia="en-US"/>
              </w:rPr>
            </w:pPr>
            <w:r w:rsidRPr="000B6C7F">
              <w:rPr>
                <w:rFonts w:eastAsia="Calibri"/>
                <w:lang w:eastAsia="en-US"/>
              </w:rPr>
              <w:t>With</w:t>
            </w:r>
            <w:r>
              <w:rPr>
                <w:rFonts w:eastAsia="Calibri"/>
                <w:lang w:eastAsia="en-US"/>
              </w:rPr>
              <w:t xml:space="preserve"> non</w:t>
            </w:r>
            <w:r w:rsidRPr="000B6C7F">
              <w:rPr>
                <w:rFonts w:eastAsia="Calibri"/>
                <w:lang w:eastAsia="en-US"/>
              </w:rPr>
              <w:t xml:space="preserve"> mechanical action:</w:t>
            </w:r>
          </w:p>
          <w:p w14:paraId="79AEC47C" w14:textId="77777777" w:rsidR="001404DF" w:rsidRPr="00344BDC" w:rsidRDefault="001404DF" w:rsidP="001404DF">
            <w:pPr>
              <w:numPr>
                <w:ilvl w:val="0"/>
                <w:numId w:val="20"/>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yeasts:</w:t>
            </w:r>
            <w:r>
              <w:rPr>
                <w:rFonts w:eastAsia="Calibri"/>
                <w:lang w:eastAsia="en-US"/>
              </w:rPr>
              <w:t xml:space="preserve"> 5</w:t>
            </w:r>
            <w:r w:rsidRPr="000D7D14">
              <w:rPr>
                <w:rFonts w:eastAsia="Calibri"/>
                <w:lang w:eastAsia="en-US"/>
              </w:rPr>
              <w:t>%</w:t>
            </w:r>
            <w:r>
              <w:rPr>
                <w:rFonts w:eastAsia="Calibri"/>
                <w:lang w:eastAsia="en-US"/>
              </w:rPr>
              <w:t xml:space="preserve"> v/v, 1</w:t>
            </w:r>
            <w:r w:rsidRPr="00F0256C">
              <w:rPr>
                <w:rFonts w:eastAsia="Calibri"/>
                <w:lang w:eastAsia="en-US"/>
              </w:rPr>
              <w:t>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40B4D4A3" w14:textId="77777777" w:rsidR="001404DF" w:rsidRDefault="001404DF" w:rsidP="001404DF">
            <w:pPr>
              <w:spacing w:line="260" w:lineRule="atLeast"/>
              <w:jc w:val="both"/>
              <w:rPr>
                <w:rFonts w:eastAsia="Calibri"/>
                <w:lang w:eastAsia="en-US"/>
              </w:rPr>
            </w:pPr>
          </w:p>
          <w:p w14:paraId="744E5A56" w14:textId="77777777" w:rsidR="001404DF" w:rsidRDefault="001404DF" w:rsidP="001404DF">
            <w:pPr>
              <w:spacing w:line="260" w:lineRule="atLeast"/>
              <w:jc w:val="both"/>
              <w:rPr>
                <w:rFonts w:eastAsia="Calibri"/>
                <w:lang w:eastAsia="en-US"/>
              </w:rPr>
            </w:pPr>
            <w:r>
              <w:rPr>
                <w:rFonts w:eastAsia="Calibri"/>
                <w:lang w:eastAsia="en-US"/>
              </w:rPr>
              <w:t>With mechanical action:</w:t>
            </w:r>
          </w:p>
          <w:p w14:paraId="7CEC8F5F" w14:textId="77777777" w:rsidR="001404DF" w:rsidRPr="00344BDC" w:rsidRDefault="001404DF" w:rsidP="001404DF">
            <w:pPr>
              <w:numPr>
                <w:ilvl w:val="0"/>
                <w:numId w:val="20"/>
              </w:numPr>
              <w:suppressAutoHyphens w:val="0"/>
              <w:spacing w:line="260" w:lineRule="atLeast"/>
              <w:jc w:val="both"/>
              <w:rPr>
                <w:rFonts w:ascii="Times New Roman" w:eastAsia="Calibri" w:hAnsi="Times New Roman"/>
                <w:i/>
                <w:iCs/>
                <w:lang w:eastAsia="en-US"/>
              </w:rPr>
            </w:pPr>
            <w:r>
              <w:rPr>
                <w:rFonts w:eastAsia="Calibri"/>
                <w:lang w:eastAsia="en-US"/>
              </w:rPr>
              <w:lastRenderedPageBreak/>
              <w:t xml:space="preserve">Bacteria, </w:t>
            </w:r>
            <w:r w:rsidRPr="000D7D14">
              <w:rPr>
                <w:rFonts w:eastAsia="Calibri"/>
                <w:lang w:eastAsia="en-US"/>
              </w:rPr>
              <w:t>yeasts:</w:t>
            </w:r>
            <w:r>
              <w:rPr>
                <w:rFonts w:eastAsia="Calibri"/>
                <w:lang w:eastAsia="en-US"/>
              </w:rPr>
              <w:t xml:space="preserve"> 10</w:t>
            </w:r>
            <w:r w:rsidRPr="000D7D14">
              <w:rPr>
                <w:rFonts w:eastAsia="Calibri"/>
                <w:lang w:eastAsia="en-US"/>
              </w:rPr>
              <w:t>%</w:t>
            </w:r>
            <w:r>
              <w:rPr>
                <w:rFonts w:eastAsia="Calibri"/>
                <w:lang w:eastAsia="en-US"/>
              </w:rPr>
              <w:t xml:space="preserve"> v/v, </w:t>
            </w:r>
            <w:r w:rsidRPr="00F0256C">
              <w:rPr>
                <w:rFonts w:eastAsia="Calibri"/>
                <w:lang w:eastAsia="en-US"/>
              </w:rPr>
              <w:t>5 minutes</w:t>
            </w:r>
            <w:r w:rsidRPr="00820E0E">
              <w:rPr>
                <w:rFonts w:eastAsia="Calibri"/>
                <w:lang w:eastAsia="en-US"/>
              </w:rPr>
              <w:t>,</w:t>
            </w:r>
            <w:r w:rsidRPr="004D1209">
              <w:rPr>
                <w:rFonts w:eastAsia="Calibri"/>
                <w:lang w:eastAsia="en-US"/>
              </w:rPr>
              <w:t xml:space="preserve"> 20°C</w:t>
            </w:r>
            <w:r w:rsidRPr="00344BDC">
              <w:rPr>
                <w:rFonts w:eastAsia="Calibri"/>
                <w:lang w:eastAsia="en-US"/>
              </w:rPr>
              <w:t xml:space="preserve"> </w:t>
            </w:r>
          </w:p>
          <w:p w14:paraId="1A4532B7" w14:textId="77777777" w:rsidR="001404DF" w:rsidRPr="00344BDC" w:rsidRDefault="001404DF" w:rsidP="001404DF">
            <w:pPr>
              <w:spacing w:line="260" w:lineRule="atLeast"/>
              <w:rPr>
                <w:rFonts w:eastAsia="Calibri"/>
                <w:lang w:eastAsia="en-US"/>
              </w:rPr>
            </w:pPr>
          </w:p>
          <w:p w14:paraId="6BB74C0D" w14:textId="77777777" w:rsidR="001404DF" w:rsidRPr="00820E0E" w:rsidRDefault="001404DF" w:rsidP="001404DF">
            <w:pPr>
              <w:spacing w:line="260" w:lineRule="atLeast"/>
              <w:rPr>
                <w:rFonts w:eastAsia="Calibri"/>
                <w:lang w:eastAsia="en-US"/>
              </w:rPr>
            </w:pPr>
            <w:r w:rsidRPr="00F0256C">
              <w:rPr>
                <w:rFonts w:eastAsia="Calibri"/>
                <w:b/>
                <w:lang w:eastAsia="en-US"/>
              </w:rPr>
              <w:t>Meta-SPC 7</w:t>
            </w:r>
            <w:r w:rsidRPr="00F0256C">
              <w:rPr>
                <w:rFonts w:eastAsia="Calibri"/>
                <w:lang w:eastAsia="en-US"/>
              </w:rPr>
              <w:t xml:space="preserve">: </w:t>
            </w:r>
          </w:p>
          <w:p w14:paraId="71ED8A0D" w14:textId="77777777" w:rsidR="001404DF" w:rsidRPr="004D1209" w:rsidRDefault="001404DF" w:rsidP="001404DF">
            <w:pPr>
              <w:spacing w:line="260" w:lineRule="atLeast"/>
              <w:rPr>
                <w:rFonts w:eastAsia="Calibri"/>
                <w:lang w:eastAsia="en-US"/>
              </w:rPr>
            </w:pPr>
          </w:p>
          <w:p w14:paraId="40D61453" w14:textId="77777777" w:rsidR="001404DF" w:rsidRDefault="001404DF" w:rsidP="001404DF">
            <w:pPr>
              <w:spacing w:line="260" w:lineRule="atLeast"/>
              <w:jc w:val="both"/>
              <w:rPr>
                <w:rFonts w:eastAsia="Calibri"/>
                <w:lang w:eastAsia="en-US"/>
              </w:rPr>
            </w:pPr>
            <w:r>
              <w:rPr>
                <w:rFonts w:eastAsia="Calibri"/>
                <w:lang w:eastAsia="en-US"/>
              </w:rPr>
              <w:t>Use 1</w:t>
            </w:r>
            <w:r w:rsidRPr="004D1209">
              <w:rPr>
                <w:rFonts w:eastAsia="Calibri"/>
                <w:lang w:eastAsia="en-US"/>
              </w:rPr>
              <w:t xml:space="preserve">: </w:t>
            </w:r>
            <w:r w:rsidRPr="000D7D14">
              <w:t>Disinfectants for hard surfaces of industry, institution, healthcare facilities, healthcare and</w:t>
            </w:r>
            <w:r>
              <w:t>,</w:t>
            </w:r>
            <w:r w:rsidRPr="000D7D14">
              <w:t xml:space="preserve"> food preparation and handling areas</w:t>
            </w:r>
            <w:r>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w:t>
            </w:r>
            <w:r w:rsidRPr="00ED3C34">
              <w:rPr>
                <w:rFonts w:eastAsia="Calibri"/>
                <w:lang w:eastAsia="en-US"/>
              </w:rPr>
              <w:t xml:space="preserve"> </w:t>
            </w:r>
            <w:r>
              <w:rPr>
                <w:rFonts w:eastAsia="Calibri"/>
                <w:lang w:eastAsia="en-US"/>
              </w:rPr>
              <w:t>- PT2/4:</w:t>
            </w:r>
          </w:p>
          <w:p w14:paraId="6FD69AE0" w14:textId="77777777" w:rsidR="001404DF" w:rsidRDefault="001404DF" w:rsidP="001404DF">
            <w:pPr>
              <w:spacing w:line="260" w:lineRule="atLeast"/>
              <w:jc w:val="both"/>
              <w:rPr>
                <w:rFonts w:eastAsia="Calibri"/>
                <w:lang w:eastAsia="en-US"/>
              </w:rPr>
            </w:pPr>
            <w:r>
              <w:rPr>
                <w:rFonts w:eastAsia="Calibri"/>
                <w:lang w:eastAsia="en-US"/>
              </w:rPr>
              <w:t xml:space="preserve">In healthcare area, with non mechanical action </w:t>
            </w:r>
          </w:p>
          <w:p w14:paraId="170084B4"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09EFB4A7" w14:textId="77777777" w:rsidR="001404DF" w:rsidRDefault="001404DF" w:rsidP="001404DF">
            <w:pPr>
              <w:spacing w:line="260" w:lineRule="atLeast"/>
              <w:jc w:val="both"/>
              <w:rPr>
                <w:rFonts w:eastAsia="Calibri"/>
                <w:lang w:eastAsia="en-US"/>
              </w:rPr>
            </w:pPr>
            <w:r w:rsidRPr="00344BDC">
              <w:rPr>
                <w:rFonts w:eastAsia="Calibri"/>
                <w:lang w:eastAsia="en-US"/>
              </w:rPr>
              <w:t xml:space="preserve"> </w:t>
            </w:r>
            <w:r>
              <w:rPr>
                <w:rFonts w:eastAsia="Calibri"/>
                <w:lang w:eastAsia="en-US"/>
              </w:rPr>
              <w:t xml:space="preserve">Other areas, with non mechanical action: </w:t>
            </w:r>
          </w:p>
          <w:p w14:paraId="4BF2142E" w14:textId="77777777" w:rsidR="001404DF" w:rsidRPr="00AC665B"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AC665B">
              <w:rPr>
                <w:rFonts w:eastAsia="Calibri"/>
                <w:lang w:eastAsia="en-US"/>
              </w:rPr>
              <w:t>Bacteria, yeasts: 8%</w:t>
            </w:r>
            <w:r>
              <w:rPr>
                <w:rFonts w:eastAsia="Calibri"/>
                <w:lang w:eastAsia="en-US"/>
              </w:rPr>
              <w:t xml:space="preserve"> v/v</w:t>
            </w:r>
            <w:r w:rsidRPr="00AC665B">
              <w:rPr>
                <w:rFonts w:eastAsia="Calibri"/>
                <w:lang w:eastAsia="en-US"/>
              </w:rPr>
              <w:t>, 15 minutes, 20°C and 6%</w:t>
            </w:r>
            <w:r>
              <w:rPr>
                <w:rFonts w:eastAsia="Calibri"/>
                <w:lang w:eastAsia="en-US"/>
              </w:rPr>
              <w:t xml:space="preserve"> v/v</w:t>
            </w:r>
            <w:r w:rsidRPr="00AC665B">
              <w:rPr>
                <w:rFonts w:eastAsia="Calibri"/>
                <w:lang w:eastAsia="en-US"/>
              </w:rPr>
              <w:t>, 30 min</w:t>
            </w:r>
            <w:r>
              <w:rPr>
                <w:rFonts w:eastAsia="Calibri"/>
                <w:lang w:eastAsia="en-US"/>
              </w:rPr>
              <w:t>utes,</w:t>
            </w:r>
            <w:r w:rsidRPr="00AC665B">
              <w:rPr>
                <w:rFonts w:eastAsia="Calibri"/>
                <w:lang w:eastAsia="en-US"/>
              </w:rPr>
              <w:t xml:space="preserve"> 40°C.</w:t>
            </w:r>
          </w:p>
          <w:p w14:paraId="20FCF451" w14:textId="77777777" w:rsidR="001404DF" w:rsidRDefault="001404DF" w:rsidP="001404DF">
            <w:pPr>
              <w:spacing w:line="260" w:lineRule="atLeast"/>
              <w:jc w:val="both"/>
              <w:rPr>
                <w:rFonts w:eastAsia="Calibri"/>
                <w:lang w:eastAsia="en-US"/>
              </w:rPr>
            </w:pPr>
          </w:p>
          <w:p w14:paraId="23358578" w14:textId="77777777" w:rsidR="001404DF" w:rsidRDefault="001404DF" w:rsidP="001404DF">
            <w:pPr>
              <w:spacing w:line="260" w:lineRule="atLeast"/>
              <w:jc w:val="both"/>
              <w:rPr>
                <w:rFonts w:eastAsia="Calibri"/>
                <w:lang w:eastAsia="en-US"/>
              </w:rPr>
            </w:pPr>
            <w:r>
              <w:rPr>
                <w:rFonts w:eastAsia="Calibri"/>
                <w:lang w:eastAsia="en-US"/>
              </w:rPr>
              <w:t xml:space="preserve">All areas, with mechanical action: </w:t>
            </w:r>
          </w:p>
          <w:p w14:paraId="574E0F5B"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3FAA46B4" w14:textId="77777777" w:rsidR="001404DF" w:rsidRPr="000D7D14" w:rsidRDefault="001404DF" w:rsidP="001404DF">
            <w:pPr>
              <w:spacing w:line="260" w:lineRule="atLeast"/>
              <w:rPr>
                <w:rFonts w:eastAsia="Calibri"/>
                <w:lang w:eastAsia="en-US"/>
              </w:rPr>
            </w:pPr>
          </w:p>
          <w:p w14:paraId="02673552" w14:textId="77777777" w:rsidR="001404DF" w:rsidRPr="000B6C7F" w:rsidRDefault="001404DF" w:rsidP="001404DF">
            <w:pPr>
              <w:rPr>
                <w:lang w:eastAsia="de-DE"/>
              </w:rPr>
            </w:pPr>
            <w:r w:rsidRPr="000D7D14">
              <w:rPr>
                <w:rFonts w:eastAsia="Calibri"/>
                <w:lang w:eastAsia="en-US"/>
              </w:rPr>
              <w:t xml:space="preserve">Use 2: </w:t>
            </w:r>
            <w:r w:rsidRPr="000D7D14">
              <w:t>Disinfectants for hard surfaces of industry, institution, healthcare facilities and</w:t>
            </w:r>
            <w:r>
              <w:t>,</w:t>
            </w:r>
            <w:r w:rsidRPr="000D7D14">
              <w:t xml:space="preserve"> food preparation and handling areas</w:t>
            </w:r>
            <w:r>
              <w:t>,</w:t>
            </w:r>
            <w:r w:rsidRPr="000D7D14">
              <w:rPr>
                <w:rFonts w:eastAsia="Calibri"/>
                <w:lang w:eastAsia="en-US"/>
              </w:rPr>
              <w:t xml:space="preserve"> with dirty conditions</w:t>
            </w:r>
            <w:r>
              <w:rPr>
                <w:rFonts w:eastAsia="Calibri"/>
                <w:lang w:eastAsia="en-US"/>
              </w:rPr>
              <w:t xml:space="preserve"> for non porous surfaces - PT2/4</w:t>
            </w:r>
          </w:p>
          <w:p w14:paraId="4C753AAB" w14:textId="77777777" w:rsidR="001404DF" w:rsidRDefault="001404DF" w:rsidP="001404DF">
            <w:pPr>
              <w:spacing w:line="260" w:lineRule="atLeast"/>
              <w:rPr>
                <w:rFonts w:eastAsia="Calibri"/>
                <w:lang w:eastAsia="en-US"/>
              </w:rPr>
            </w:pPr>
            <w:r>
              <w:rPr>
                <w:rFonts w:eastAsia="Calibri"/>
                <w:lang w:eastAsia="en-US"/>
              </w:rPr>
              <w:t>With non mechanical action:</w:t>
            </w:r>
          </w:p>
          <w:p w14:paraId="48588E96" w14:textId="77777777" w:rsidR="001404DF" w:rsidRPr="00A758F5" w:rsidRDefault="001404DF" w:rsidP="001404DF">
            <w:pPr>
              <w:numPr>
                <w:ilvl w:val="0"/>
                <w:numId w:val="21"/>
              </w:numPr>
              <w:suppressAutoHyphens w:val="0"/>
              <w:spacing w:line="260" w:lineRule="atLeast"/>
              <w:rPr>
                <w:rFonts w:ascii="Times New Roman" w:eastAsia="Calibri" w:hAnsi="Times New Roman"/>
                <w:i/>
                <w:iCs/>
                <w:lang w:eastAsia="en-US"/>
              </w:rPr>
            </w:pPr>
            <w:r w:rsidRPr="00A758F5">
              <w:rPr>
                <w:rFonts w:eastAsia="Calibri"/>
                <w:lang w:eastAsia="en-US"/>
              </w:rPr>
              <w:t>Bacteria, yeasts: 8%</w:t>
            </w:r>
            <w:r>
              <w:rPr>
                <w:rFonts w:eastAsia="Calibri"/>
                <w:lang w:eastAsia="en-US"/>
              </w:rPr>
              <w:t xml:space="preserve"> v/v</w:t>
            </w:r>
            <w:r w:rsidRPr="00A758F5">
              <w:rPr>
                <w:rFonts w:eastAsia="Calibri"/>
                <w:lang w:eastAsia="en-US"/>
              </w:rPr>
              <w:t>, 15 minutes, 20°C and 6%</w:t>
            </w:r>
            <w:r>
              <w:rPr>
                <w:rFonts w:eastAsia="Calibri"/>
                <w:lang w:eastAsia="en-US"/>
              </w:rPr>
              <w:t xml:space="preserve"> v/v</w:t>
            </w:r>
            <w:r w:rsidRPr="00A758F5">
              <w:rPr>
                <w:rFonts w:eastAsia="Calibri"/>
                <w:lang w:eastAsia="en-US"/>
              </w:rPr>
              <w:t>, 30 min</w:t>
            </w:r>
            <w:r>
              <w:rPr>
                <w:rFonts w:eastAsia="Calibri"/>
                <w:lang w:eastAsia="en-US"/>
              </w:rPr>
              <w:t>utes,</w:t>
            </w:r>
            <w:r w:rsidRPr="00A758F5">
              <w:rPr>
                <w:rFonts w:eastAsia="Calibri"/>
                <w:lang w:eastAsia="en-US"/>
              </w:rPr>
              <w:t xml:space="preserve"> 40°C.</w:t>
            </w:r>
          </w:p>
          <w:p w14:paraId="0862E085" w14:textId="77777777" w:rsidR="001404DF" w:rsidRPr="008D5E36" w:rsidRDefault="001404DF" w:rsidP="001404DF">
            <w:pPr>
              <w:spacing w:line="260" w:lineRule="atLeast"/>
              <w:rPr>
                <w:rFonts w:eastAsia="Calibri"/>
                <w:lang w:eastAsia="en-US"/>
              </w:rPr>
            </w:pPr>
            <w:r>
              <w:rPr>
                <w:rFonts w:eastAsia="Calibri"/>
                <w:lang w:eastAsia="en-US"/>
              </w:rPr>
              <w:t>W</w:t>
            </w:r>
            <w:r w:rsidRPr="008D5E36">
              <w:rPr>
                <w:rFonts w:eastAsia="Calibri"/>
                <w:lang w:eastAsia="en-US"/>
              </w:rPr>
              <w:t>ith mechanical action:</w:t>
            </w:r>
          </w:p>
          <w:p w14:paraId="544C017E" w14:textId="77777777" w:rsidR="001404DF" w:rsidRPr="00344BDC" w:rsidRDefault="001404DF" w:rsidP="001404DF">
            <w:pPr>
              <w:numPr>
                <w:ilvl w:val="0"/>
                <w:numId w:val="21"/>
              </w:numPr>
              <w:suppressAutoHyphens w:val="0"/>
              <w:spacing w:line="260" w:lineRule="atLeast"/>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02E21AF0" w14:textId="77777777" w:rsidR="001404DF" w:rsidRPr="000D7D14" w:rsidRDefault="001404DF" w:rsidP="001404DF">
            <w:pPr>
              <w:spacing w:line="260" w:lineRule="atLeast"/>
              <w:rPr>
                <w:rFonts w:eastAsia="Calibri"/>
                <w:lang w:eastAsia="en-US"/>
              </w:rPr>
            </w:pPr>
          </w:p>
          <w:p w14:paraId="37302CB3" w14:textId="77777777" w:rsidR="001404DF" w:rsidRPr="00AC665B" w:rsidRDefault="001404DF" w:rsidP="001404DF">
            <w:pPr>
              <w:spacing w:line="260" w:lineRule="atLeast"/>
              <w:rPr>
                <w:rFonts w:eastAsia="Calibri"/>
                <w:lang w:eastAsia="en-US"/>
              </w:rPr>
            </w:pPr>
            <w:r w:rsidRPr="000D7D14">
              <w:rPr>
                <w:rFonts w:eastAsia="Calibri"/>
                <w:lang w:eastAsia="en-US"/>
              </w:rPr>
              <w:t xml:space="preserve">Use 3: </w:t>
            </w:r>
            <w:r w:rsidRPr="000D7D14">
              <w:t>Disinfectants for hard surfaces of industry, institution, healthcare facilities and healthcare</w:t>
            </w:r>
            <w:r>
              <w:t>,</w:t>
            </w:r>
            <w:r w:rsidRPr="000D7D14">
              <w:rPr>
                <w:rFonts w:eastAsia="Calibri"/>
                <w:lang w:eastAsia="en-US"/>
              </w:rPr>
              <w:t xml:space="preserve"> with dirty conditions</w:t>
            </w:r>
            <w:r>
              <w:rPr>
                <w:rFonts w:eastAsia="Calibri"/>
                <w:lang w:eastAsia="en-US"/>
              </w:rPr>
              <w:t xml:space="preserve"> for non porous surfaces – PT2</w:t>
            </w:r>
          </w:p>
          <w:p w14:paraId="4E2F9BC1" w14:textId="77777777" w:rsidR="001404DF" w:rsidRDefault="001404DF" w:rsidP="001404DF">
            <w:pPr>
              <w:spacing w:line="260" w:lineRule="atLeast"/>
              <w:jc w:val="both"/>
              <w:rPr>
                <w:rFonts w:eastAsia="Calibri"/>
                <w:lang w:eastAsia="en-US"/>
              </w:rPr>
            </w:pPr>
            <w:r>
              <w:rPr>
                <w:rFonts w:eastAsia="Calibri"/>
                <w:lang w:eastAsia="en-US"/>
              </w:rPr>
              <w:t xml:space="preserve">In healthcare area, with non mechanical action </w:t>
            </w:r>
          </w:p>
          <w:p w14:paraId="13772BF5"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w:t>
            </w:r>
            <w:r w:rsidRPr="00F0256C">
              <w:rPr>
                <w:rFonts w:eastAsia="Calibri"/>
                <w:lang w:eastAsia="en-US"/>
              </w:rPr>
              <w:t xml:space="preserve">,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5DDE1E9C" w14:textId="77777777" w:rsidR="001404DF" w:rsidRDefault="001404DF" w:rsidP="001404DF">
            <w:pPr>
              <w:spacing w:line="260" w:lineRule="atLeast"/>
              <w:jc w:val="both"/>
              <w:rPr>
                <w:rFonts w:eastAsia="Calibri"/>
                <w:lang w:eastAsia="en-US"/>
              </w:rPr>
            </w:pPr>
            <w:r w:rsidRPr="00344BDC">
              <w:rPr>
                <w:rFonts w:eastAsia="Calibri"/>
                <w:lang w:eastAsia="en-US"/>
              </w:rPr>
              <w:t xml:space="preserve"> </w:t>
            </w:r>
            <w:r>
              <w:rPr>
                <w:rFonts w:eastAsia="Calibri"/>
                <w:lang w:eastAsia="en-US"/>
              </w:rPr>
              <w:t xml:space="preserve">Other areas, with non mechanical action: </w:t>
            </w:r>
          </w:p>
          <w:p w14:paraId="2D4920E3" w14:textId="77777777" w:rsidR="001404DF" w:rsidRPr="00AC665B" w:rsidRDefault="001404DF" w:rsidP="001404DF">
            <w:pPr>
              <w:numPr>
                <w:ilvl w:val="0"/>
                <w:numId w:val="21"/>
              </w:numPr>
              <w:suppressAutoHyphens w:val="0"/>
              <w:spacing w:line="260" w:lineRule="atLeast"/>
              <w:jc w:val="both"/>
              <w:rPr>
                <w:rFonts w:ascii="Times New Roman" w:eastAsia="Calibri" w:hAnsi="Times New Roman"/>
                <w:i/>
                <w:iCs/>
                <w:lang w:eastAsia="en-US"/>
              </w:rPr>
            </w:pPr>
            <w:r w:rsidRPr="00AC665B">
              <w:rPr>
                <w:rFonts w:eastAsia="Calibri"/>
                <w:lang w:eastAsia="en-US"/>
              </w:rPr>
              <w:t>Bacteria, yeasts: 8%</w:t>
            </w:r>
            <w:r>
              <w:rPr>
                <w:rFonts w:eastAsia="Calibri"/>
                <w:lang w:eastAsia="en-US"/>
              </w:rPr>
              <w:t xml:space="preserve"> v/v</w:t>
            </w:r>
            <w:r w:rsidRPr="00AC665B">
              <w:rPr>
                <w:rFonts w:eastAsia="Calibri"/>
                <w:lang w:eastAsia="en-US"/>
              </w:rPr>
              <w:t>, 15 minutes, 20°C.</w:t>
            </w:r>
          </w:p>
          <w:p w14:paraId="697F729D" w14:textId="77777777" w:rsidR="001404DF" w:rsidRDefault="001404DF" w:rsidP="001404DF">
            <w:pPr>
              <w:spacing w:line="260" w:lineRule="atLeast"/>
              <w:jc w:val="both"/>
              <w:rPr>
                <w:rFonts w:eastAsia="Calibri"/>
                <w:lang w:eastAsia="en-US"/>
              </w:rPr>
            </w:pPr>
          </w:p>
          <w:p w14:paraId="595CDC2E" w14:textId="77777777" w:rsidR="001404DF" w:rsidRDefault="001404DF" w:rsidP="001404DF">
            <w:pPr>
              <w:spacing w:line="260" w:lineRule="atLeast"/>
              <w:jc w:val="both"/>
              <w:rPr>
                <w:rFonts w:eastAsia="Calibri"/>
                <w:lang w:eastAsia="en-US"/>
              </w:rPr>
            </w:pPr>
            <w:r>
              <w:rPr>
                <w:rFonts w:eastAsia="Calibri"/>
                <w:lang w:eastAsia="en-US"/>
              </w:rPr>
              <w:t xml:space="preserve">All areas, with mechanical action: </w:t>
            </w:r>
          </w:p>
          <w:p w14:paraId="5A77C72C" w14:textId="77777777" w:rsidR="001404DF" w:rsidRPr="00344BDC" w:rsidRDefault="001404DF" w:rsidP="001404DF">
            <w:pPr>
              <w:numPr>
                <w:ilvl w:val="0"/>
                <w:numId w:val="21"/>
              </w:numPr>
              <w:suppressAutoHyphens w:val="0"/>
              <w:spacing w:line="260" w:lineRule="atLeast"/>
              <w:jc w:val="both"/>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4020C37E" w14:textId="77777777" w:rsidR="001404DF" w:rsidRPr="000D7D14" w:rsidRDefault="001404DF" w:rsidP="001404DF">
            <w:pPr>
              <w:suppressAutoHyphens w:val="0"/>
              <w:spacing w:line="260" w:lineRule="atLeast"/>
              <w:ind w:left="720"/>
              <w:rPr>
                <w:rFonts w:eastAsia="Calibri"/>
                <w:lang w:eastAsia="en-US"/>
              </w:rPr>
            </w:pPr>
          </w:p>
          <w:p w14:paraId="43F890D0" w14:textId="77777777" w:rsidR="001404DF" w:rsidRDefault="001404DF" w:rsidP="001404DF">
            <w:pPr>
              <w:spacing w:line="260" w:lineRule="atLeast"/>
              <w:rPr>
                <w:rFonts w:eastAsia="Calibri"/>
                <w:lang w:eastAsia="en-US"/>
              </w:rPr>
            </w:pPr>
            <w:r w:rsidRPr="000D7D14">
              <w:rPr>
                <w:rFonts w:eastAsia="Calibri"/>
                <w:lang w:eastAsia="en-US"/>
              </w:rPr>
              <w:t xml:space="preserve">Use 4: </w:t>
            </w:r>
            <w:r w:rsidRPr="000D7D14">
              <w:t>Disinfectants for hard surfaces of industry, institution and healthcare facilities</w:t>
            </w:r>
            <w:r>
              <w:t>,</w:t>
            </w:r>
            <w:r>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 – PT2</w:t>
            </w:r>
          </w:p>
          <w:p w14:paraId="31D865D0" w14:textId="77777777" w:rsidR="001404DF" w:rsidRPr="000D7D14" w:rsidRDefault="001404DF" w:rsidP="001404DF">
            <w:pPr>
              <w:spacing w:line="260" w:lineRule="atLeast"/>
              <w:rPr>
                <w:rFonts w:eastAsia="Calibri"/>
                <w:lang w:eastAsia="en-US"/>
              </w:rPr>
            </w:pPr>
            <w:r>
              <w:rPr>
                <w:rFonts w:eastAsia="Calibri"/>
                <w:lang w:eastAsia="en-US"/>
              </w:rPr>
              <w:t>With non mechanical action:</w:t>
            </w:r>
          </w:p>
          <w:p w14:paraId="55C6A5C4" w14:textId="77777777" w:rsidR="001404DF" w:rsidRPr="000D7D14" w:rsidRDefault="001404DF" w:rsidP="001404DF">
            <w:pPr>
              <w:numPr>
                <w:ilvl w:val="0"/>
                <w:numId w:val="21"/>
              </w:numPr>
              <w:suppressAutoHyphens w:val="0"/>
              <w:spacing w:line="260" w:lineRule="atLeast"/>
              <w:rPr>
                <w:rFonts w:eastAsia="Calibri"/>
                <w:lang w:eastAsia="en-US"/>
              </w:rPr>
            </w:pPr>
            <w:r w:rsidRPr="000D7D14">
              <w:rPr>
                <w:rFonts w:eastAsia="Calibri"/>
                <w:lang w:eastAsia="en-US"/>
              </w:rPr>
              <w:t xml:space="preserve">Bacteria, yeasts: </w:t>
            </w:r>
            <w:r>
              <w:rPr>
                <w:rFonts w:eastAsia="Calibri"/>
                <w:lang w:eastAsia="en-US"/>
              </w:rPr>
              <w:t>8</w:t>
            </w:r>
            <w:r w:rsidRPr="000D7D14">
              <w:rPr>
                <w:rFonts w:eastAsia="Calibri"/>
                <w:lang w:eastAsia="en-US"/>
              </w:rPr>
              <w:t>%</w:t>
            </w:r>
            <w:r>
              <w:rPr>
                <w:rFonts w:eastAsia="Calibri"/>
                <w:lang w:eastAsia="en-US"/>
              </w:rPr>
              <w:t xml:space="preserve"> v/v</w:t>
            </w:r>
            <w:r w:rsidRPr="000D7D14">
              <w:rPr>
                <w:rFonts w:eastAsia="Calibri"/>
                <w:lang w:eastAsia="en-US"/>
              </w:rPr>
              <w:t xml:space="preserve">, 15 minutes, 20°C </w:t>
            </w:r>
          </w:p>
          <w:p w14:paraId="40D23BCD" w14:textId="77777777" w:rsidR="001404DF" w:rsidRPr="008D5E36" w:rsidRDefault="001404DF" w:rsidP="001404DF">
            <w:pPr>
              <w:spacing w:line="260" w:lineRule="atLeast"/>
              <w:rPr>
                <w:rFonts w:eastAsia="Calibri"/>
                <w:lang w:eastAsia="en-US"/>
              </w:rPr>
            </w:pPr>
            <w:r w:rsidRPr="008D5E36">
              <w:rPr>
                <w:rFonts w:eastAsia="Calibri"/>
                <w:lang w:eastAsia="en-US"/>
              </w:rPr>
              <w:t>With mechanical action:</w:t>
            </w:r>
          </w:p>
          <w:p w14:paraId="5C4CFB04" w14:textId="77777777" w:rsidR="001404DF" w:rsidRPr="00344BDC" w:rsidRDefault="001404DF" w:rsidP="001404DF">
            <w:pPr>
              <w:numPr>
                <w:ilvl w:val="0"/>
                <w:numId w:val="21"/>
              </w:numPr>
              <w:suppressAutoHyphens w:val="0"/>
              <w:spacing w:line="260" w:lineRule="atLeast"/>
              <w:rPr>
                <w:rFonts w:ascii="Times New Roman" w:eastAsia="Calibri" w:hAnsi="Times New Roman"/>
                <w:i/>
                <w:iCs/>
                <w:lang w:eastAsia="en-US"/>
              </w:rPr>
            </w:pPr>
            <w:r>
              <w:rPr>
                <w:rFonts w:eastAsia="Calibri"/>
                <w:lang w:eastAsia="en-US"/>
              </w:rPr>
              <w:t xml:space="preserve">Bacteria, </w:t>
            </w:r>
            <w:r w:rsidRPr="000D7D14">
              <w:rPr>
                <w:rFonts w:eastAsia="Calibri"/>
                <w:lang w:eastAsia="en-US"/>
              </w:rPr>
              <w:t xml:space="preserve">yeasts: </w:t>
            </w:r>
            <w:r>
              <w:rPr>
                <w:rFonts w:eastAsia="Calibri"/>
                <w:lang w:eastAsia="en-US"/>
              </w:rPr>
              <w:t>10</w:t>
            </w:r>
            <w:r w:rsidRPr="000D7D14">
              <w:rPr>
                <w:rFonts w:eastAsia="Calibri"/>
                <w:lang w:eastAsia="en-US"/>
              </w:rPr>
              <w:t>%</w:t>
            </w:r>
            <w:r>
              <w:rPr>
                <w:rFonts w:eastAsia="Calibri"/>
                <w:lang w:eastAsia="en-US"/>
              </w:rPr>
              <w:t xml:space="preserve"> v/v, </w:t>
            </w:r>
            <w:r w:rsidRPr="00820E0E">
              <w:rPr>
                <w:rFonts w:eastAsia="Calibri"/>
                <w:lang w:eastAsia="en-US"/>
              </w:rPr>
              <w:t>5 minutes</w:t>
            </w:r>
            <w:r w:rsidRPr="004D1209">
              <w:rPr>
                <w:rFonts w:eastAsia="Calibri"/>
                <w:lang w:eastAsia="en-US"/>
              </w:rPr>
              <w:t>,</w:t>
            </w:r>
            <w:r w:rsidRPr="00344BDC">
              <w:rPr>
                <w:rFonts w:eastAsia="Calibri"/>
                <w:lang w:eastAsia="en-US"/>
              </w:rPr>
              <w:t xml:space="preserve"> 20°C </w:t>
            </w:r>
          </w:p>
          <w:p w14:paraId="1046B69A" w14:textId="77777777" w:rsidR="001404DF" w:rsidRPr="000D7D14" w:rsidRDefault="001404DF" w:rsidP="001404DF">
            <w:pPr>
              <w:spacing w:line="260" w:lineRule="atLeast"/>
              <w:rPr>
                <w:rFonts w:eastAsia="Calibri"/>
                <w:lang w:eastAsia="en-US"/>
              </w:rPr>
            </w:pPr>
          </w:p>
          <w:p w14:paraId="0C9A7122" w14:textId="77777777" w:rsidR="001404DF" w:rsidRPr="000D7D14" w:rsidRDefault="001404DF" w:rsidP="001404DF">
            <w:pPr>
              <w:spacing w:line="260" w:lineRule="atLeast"/>
              <w:rPr>
                <w:rFonts w:eastAsia="Calibri"/>
                <w:lang w:eastAsia="en-US"/>
              </w:rPr>
            </w:pPr>
            <w:r w:rsidRPr="000D7D14">
              <w:rPr>
                <w:rFonts w:eastAsia="Calibri"/>
                <w:b/>
                <w:lang w:eastAsia="en-US"/>
              </w:rPr>
              <w:t>Meta-SPC 8</w:t>
            </w:r>
            <w:r w:rsidRPr="000D7D14">
              <w:rPr>
                <w:rFonts w:eastAsia="Calibri"/>
                <w:lang w:eastAsia="en-US"/>
              </w:rPr>
              <w:t xml:space="preserve">: </w:t>
            </w:r>
          </w:p>
          <w:p w14:paraId="1BF2E604" w14:textId="77777777" w:rsidR="001404DF" w:rsidRDefault="001404DF" w:rsidP="001404DF">
            <w:pPr>
              <w:spacing w:line="260" w:lineRule="atLeast"/>
              <w:rPr>
                <w:rFonts w:eastAsia="Calibri"/>
                <w:lang w:eastAsia="en-US"/>
              </w:rPr>
            </w:pPr>
            <w:r>
              <w:rPr>
                <w:rFonts w:eastAsia="Calibri"/>
                <w:lang w:eastAsia="en-US"/>
              </w:rPr>
              <w:t>Use 1</w:t>
            </w:r>
            <w:r w:rsidRPr="000D7D14">
              <w:rPr>
                <w:rFonts w:eastAsia="Calibri"/>
                <w:lang w:eastAsia="en-US"/>
              </w:rPr>
              <w:t xml:space="preserve">: </w:t>
            </w:r>
            <w:r w:rsidRPr="000D7D14">
              <w:t>Disinfectants for hard surfaces of domestic area</w:t>
            </w:r>
            <w:r w:rsidRPr="000D7D14">
              <w:rPr>
                <w:rFonts w:eastAsia="Calibri"/>
                <w:lang w:eastAsia="en-US"/>
              </w:rPr>
              <w:t xml:space="preserve"> with dirty conditions</w:t>
            </w:r>
            <w:r>
              <w:rPr>
                <w:rFonts w:eastAsia="Calibri"/>
                <w:lang w:eastAsia="en-US"/>
              </w:rPr>
              <w:t xml:space="preserve"> for non porous surfaces - PT2</w:t>
            </w:r>
            <w:r w:rsidRPr="000D7D14">
              <w:rPr>
                <w:rFonts w:eastAsia="Calibri"/>
                <w:lang w:eastAsia="en-US"/>
              </w:rPr>
              <w:t xml:space="preserve"> </w:t>
            </w:r>
          </w:p>
          <w:p w14:paraId="506EF7ED" w14:textId="77777777" w:rsidR="001404DF" w:rsidRPr="000D7D14" w:rsidRDefault="001404DF" w:rsidP="001404DF">
            <w:pPr>
              <w:spacing w:line="260" w:lineRule="atLeast"/>
              <w:rPr>
                <w:rFonts w:eastAsia="Calibri"/>
                <w:lang w:eastAsia="en-US"/>
              </w:rPr>
            </w:pPr>
            <w:r w:rsidRPr="008D5E36">
              <w:rPr>
                <w:rFonts w:eastAsia="Calibri"/>
                <w:lang w:eastAsia="en-US"/>
              </w:rPr>
              <w:t xml:space="preserve">With mechanical action: </w:t>
            </w:r>
          </w:p>
          <w:p w14:paraId="4C2A1C15" w14:textId="77777777" w:rsidR="001404DF" w:rsidRPr="000D7D14" w:rsidRDefault="001404DF" w:rsidP="001404DF">
            <w:pPr>
              <w:numPr>
                <w:ilvl w:val="0"/>
                <w:numId w:val="20"/>
              </w:numPr>
              <w:suppressAutoHyphens w:val="0"/>
              <w:spacing w:line="260" w:lineRule="atLeast"/>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Bartonella henselae</w:t>
            </w:r>
            <w:r w:rsidRPr="000D7D14">
              <w:rPr>
                <w:rFonts w:eastAsia="Calibri"/>
                <w:lang w:eastAsia="en-US"/>
              </w:rPr>
              <w:t>,): 6%</w:t>
            </w:r>
            <w:r>
              <w:rPr>
                <w:rFonts w:eastAsia="Calibri"/>
                <w:lang w:eastAsia="en-US"/>
              </w:rPr>
              <w:t xml:space="preserve"> v/v</w:t>
            </w:r>
            <w:r w:rsidRPr="000D7D14">
              <w:rPr>
                <w:rFonts w:eastAsia="Calibri"/>
                <w:lang w:eastAsia="en-US"/>
              </w:rPr>
              <w:t xml:space="preserve">, 5 minutes, 20°C </w:t>
            </w:r>
          </w:p>
          <w:p w14:paraId="06843B6E" w14:textId="77777777" w:rsidR="001404DF" w:rsidRPr="000D7D14" w:rsidRDefault="001404DF" w:rsidP="001404DF">
            <w:pPr>
              <w:spacing w:line="260" w:lineRule="atLeast"/>
              <w:rPr>
                <w:rFonts w:eastAsia="Calibri"/>
                <w:lang w:eastAsia="en-US"/>
              </w:rPr>
            </w:pPr>
          </w:p>
          <w:p w14:paraId="0ED060CF" w14:textId="77777777" w:rsidR="001404DF" w:rsidRPr="00344BDC" w:rsidRDefault="001404DF" w:rsidP="001404DF">
            <w:pPr>
              <w:spacing w:line="260" w:lineRule="atLeast"/>
              <w:rPr>
                <w:rFonts w:eastAsia="Calibri"/>
                <w:lang w:eastAsia="en-US"/>
              </w:rPr>
            </w:pPr>
            <w:r w:rsidRPr="00820E0E">
              <w:rPr>
                <w:rFonts w:eastAsia="Calibri"/>
                <w:b/>
                <w:lang w:eastAsia="en-US"/>
              </w:rPr>
              <w:t>Meta-SPC 9</w:t>
            </w:r>
            <w:r w:rsidRPr="004D1209">
              <w:rPr>
                <w:rFonts w:eastAsia="Calibri"/>
                <w:lang w:eastAsia="en-US"/>
              </w:rPr>
              <w:t xml:space="preserve">: </w:t>
            </w:r>
          </w:p>
          <w:p w14:paraId="6B1E9021" w14:textId="77777777" w:rsidR="001404DF" w:rsidRDefault="001404DF" w:rsidP="001404DF">
            <w:pPr>
              <w:spacing w:line="260" w:lineRule="atLeast"/>
              <w:jc w:val="both"/>
              <w:rPr>
                <w:rFonts w:eastAsia="Calibri"/>
                <w:lang w:eastAsia="en-US"/>
              </w:rPr>
            </w:pPr>
            <w:r w:rsidRPr="00344BDC">
              <w:rPr>
                <w:rFonts w:eastAsia="Calibri"/>
                <w:lang w:eastAsia="en-US"/>
              </w:rPr>
              <w:t xml:space="preserve">Use 1: </w:t>
            </w:r>
            <w:r w:rsidRPr="000D7D14">
              <w:t>Disinfectants for hard surfaces of domestic area</w:t>
            </w:r>
            <w:r>
              <w:t>,</w:t>
            </w:r>
            <w:r w:rsidRPr="00344BDC">
              <w:rPr>
                <w:rFonts w:eastAsia="Calibri"/>
                <w:lang w:eastAsia="en-US"/>
              </w:rPr>
              <w:t xml:space="preserve"> with dirty conditions</w:t>
            </w:r>
            <w:r>
              <w:rPr>
                <w:rFonts w:eastAsia="Calibri"/>
                <w:lang w:eastAsia="en-US"/>
              </w:rPr>
              <w:t xml:space="preserve"> for non porous surfaces – PT2</w:t>
            </w:r>
          </w:p>
          <w:p w14:paraId="0E8C4544" w14:textId="77777777" w:rsidR="001404DF" w:rsidRPr="000D7D14" w:rsidRDefault="001404DF" w:rsidP="001404DF">
            <w:pPr>
              <w:spacing w:line="260" w:lineRule="atLeast"/>
              <w:jc w:val="both"/>
              <w:rPr>
                <w:rFonts w:eastAsia="Calibri"/>
                <w:lang w:eastAsia="en-US"/>
              </w:rPr>
            </w:pPr>
            <w:r>
              <w:rPr>
                <w:rFonts w:eastAsia="Calibri"/>
                <w:lang w:eastAsia="en-US"/>
              </w:rPr>
              <w:t xml:space="preserve">With no mechanical action: </w:t>
            </w:r>
          </w:p>
          <w:p w14:paraId="3649FE2C" w14:textId="77777777" w:rsidR="001404DF" w:rsidRPr="000D7D14" w:rsidRDefault="001404DF" w:rsidP="001404DF">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(including additional strains: </w:t>
            </w:r>
            <w:r w:rsidRPr="000D7D14">
              <w:rPr>
                <w:rFonts w:eastAsia="Calibri"/>
                <w:i/>
                <w:lang w:eastAsia="en-US"/>
              </w:rPr>
              <w:t>Bartonella henselae</w:t>
            </w:r>
            <w:r w:rsidRPr="000D7D14">
              <w:rPr>
                <w:rFonts w:eastAsia="Calibri"/>
                <w:lang w:eastAsia="en-US"/>
              </w:rPr>
              <w:t xml:space="preserve">): 100%, 5 minutes, 20°C </w:t>
            </w:r>
          </w:p>
          <w:p w14:paraId="4FA8A7DD" w14:textId="77777777" w:rsidR="001404DF" w:rsidRPr="000D7D14" w:rsidRDefault="001404DF" w:rsidP="001404DF">
            <w:pPr>
              <w:spacing w:line="260" w:lineRule="atLeast"/>
              <w:rPr>
                <w:rFonts w:eastAsia="Calibri"/>
                <w:lang w:eastAsia="en-US"/>
              </w:rPr>
            </w:pPr>
          </w:p>
          <w:p w14:paraId="143CA6E0" w14:textId="6A9A8D6A" w:rsidR="001404DF" w:rsidRDefault="001404DF" w:rsidP="001404DF">
            <w:pPr>
              <w:spacing w:line="260" w:lineRule="atLeast"/>
              <w:jc w:val="both"/>
              <w:rPr>
                <w:rFonts w:eastAsia="Calibri"/>
                <w:lang w:eastAsia="en-US"/>
              </w:rPr>
            </w:pPr>
            <w:r>
              <w:rPr>
                <w:rFonts w:eastAsia="Calibri"/>
                <w:lang w:eastAsia="en-US"/>
              </w:rPr>
              <w:t>Use 2</w:t>
            </w:r>
            <w:r w:rsidRPr="000D7D14">
              <w:rPr>
                <w:rFonts w:eastAsia="Calibri"/>
                <w:lang w:eastAsia="en-US"/>
              </w:rPr>
              <w:t xml:space="preserve">: </w:t>
            </w:r>
            <w:r w:rsidRPr="000D7D14">
              <w:t>Disinfectants for hard surfaces</w:t>
            </w:r>
            <w:r w:rsidR="00976902">
              <w:t xml:space="preserve"> of domestic area and</w:t>
            </w:r>
            <w:r w:rsidRPr="000D7D14">
              <w:t xml:space="preserve"> in companion animals’ environment for private homes and pets shelters</w:t>
            </w:r>
            <w:r>
              <w:t>,</w:t>
            </w:r>
            <w:r w:rsidRPr="000D7D14">
              <w:rPr>
                <w:rFonts w:eastAsia="Calibri"/>
                <w:lang w:eastAsia="en-US"/>
              </w:rPr>
              <w:t xml:space="preserve"> with </w:t>
            </w:r>
            <w:r>
              <w:rPr>
                <w:rFonts w:eastAsia="Calibri"/>
                <w:lang w:eastAsia="en-US"/>
              </w:rPr>
              <w:t>clean</w:t>
            </w:r>
            <w:r w:rsidRPr="000D7D14">
              <w:rPr>
                <w:rFonts w:eastAsia="Calibri"/>
                <w:lang w:eastAsia="en-US"/>
              </w:rPr>
              <w:t xml:space="preserve"> conditions</w:t>
            </w:r>
            <w:r>
              <w:rPr>
                <w:rFonts w:eastAsia="Calibri"/>
                <w:lang w:eastAsia="en-US"/>
              </w:rPr>
              <w:t>, for non porous surfaces –PT</w:t>
            </w:r>
            <w:r w:rsidR="00976902">
              <w:rPr>
                <w:rFonts w:eastAsia="Calibri"/>
                <w:lang w:eastAsia="en-US"/>
              </w:rPr>
              <w:t>2/</w:t>
            </w:r>
            <w:r>
              <w:rPr>
                <w:rFonts w:eastAsia="Calibri"/>
                <w:lang w:eastAsia="en-US"/>
              </w:rPr>
              <w:t>3</w:t>
            </w:r>
          </w:p>
          <w:p w14:paraId="75DA8DD4" w14:textId="77777777" w:rsidR="001404DF" w:rsidRPr="000D7D14" w:rsidRDefault="001404DF" w:rsidP="001404DF">
            <w:pPr>
              <w:spacing w:line="260" w:lineRule="atLeast"/>
              <w:jc w:val="both"/>
              <w:rPr>
                <w:rFonts w:eastAsia="Calibri"/>
                <w:lang w:eastAsia="en-US"/>
              </w:rPr>
            </w:pPr>
            <w:r>
              <w:rPr>
                <w:rFonts w:eastAsia="Calibri"/>
                <w:lang w:eastAsia="en-US"/>
              </w:rPr>
              <w:t>With no mechanical action:</w:t>
            </w:r>
          </w:p>
          <w:p w14:paraId="5C7FEF88" w14:textId="77777777" w:rsidR="001404DF" w:rsidRPr="00F0256C" w:rsidRDefault="001404DF" w:rsidP="001404DF">
            <w:pPr>
              <w:numPr>
                <w:ilvl w:val="0"/>
                <w:numId w:val="20"/>
              </w:numPr>
              <w:suppressAutoHyphens w:val="0"/>
              <w:spacing w:line="260" w:lineRule="atLeast"/>
              <w:jc w:val="both"/>
              <w:rPr>
                <w:rFonts w:ascii="Times New Roman" w:eastAsia="Calibri" w:hAnsi="Times New Roman"/>
                <w:i/>
                <w:iCs/>
                <w:lang w:eastAsia="en-US"/>
              </w:rPr>
            </w:pPr>
            <w:r w:rsidRPr="000D7D14">
              <w:rPr>
                <w:rFonts w:eastAsia="Calibri"/>
                <w:lang w:eastAsia="en-US"/>
              </w:rPr>
              <w:t xml:space="preserve">Bacteria and yeasts: 100%, </w:t>
            </w:r>
            <w:r>
              <w:rPr>
                <w:rFonts w:eastAsia="Calibri"/>
                <w:lang w:eastAsia="en-US"/>
              </w:rPr>
              <w:t xml:space="preserve"> 120 </w:t>
            </w:r>
            <w:r w:rsidRPr="000D7D14">
              <w:rPr>
                <w:rFonts w:eastAsia="Calibri"/>
                <w:lang w:eastAsia="en-US"/>
              </w:rPr>
              <w:t xml:space="preserve">minutes, </w:t>
            </w:r>
            <w:r>
              <w:rPr>
                <w:rFonts w:eastAsia="Calibri"/>
                <w:lang w:eastAsia="en-US"/>
              </w:rPr>
              <w:t>2</w:t>
            </w:r>
            <w:r w:rsidRPr="000D7D14">
              <w:rPr>
                <w:rFonts w:eastAsia="Calibri"/>
                <w:lang w:eastAsia="en-US"/>
              </w:rPr>
              <w:t xml:space="preserve">0°C </w:t>
            </w:r>
          </w:p>
          <w:p w14:paraId="33151571" w14:textId="77777777" w:rsidR="001404DF" w:rsidRPr="00F0256C" w:rsidRDefault="001404DF" w:rsidP="001404DF">
            <w:pPr>
              <w:spacing w:line="260" w:lineRule="atLeast"/>
              <w:rPr>
                <w:rFonts w:eastAsia="Calibri"/>
                <w:lang w:eastAsia="en-US"/>
              </w:rPr>
            </w:pPr>
          </w:p>
          <w:p w14:paraId="4AE44C25" w14:textId="77777777" w:rsidR="001404DF" w:rsidRPr="00344BDC" w:rsidRDefault="001404DF" w:rsidP="001404DF">
            <w:pPr>
              <w:spacing w:line="260" w:lineRule="atLeast"/>
              <w:rPr>
                <w:rFonts w:eastAsia="Calibri"/>
                <w:lang w:eastAsia="en-US"/>
              </w:rPr>
            </w:pPr>
            <w:r w:rsidRPr="00820E0E">
              <w:rPr>
                <w:rFonts w:eastAsia="Calibri"/>
                <w:b/>
                <w:lang w:eastAsia="en-US"/>
              </w:rPr>
              <w:t>Meta-SPC 10</w:t>
            </w:r>
            <w:r w:rsidRPr="004D1209">
              <w:rPr>
                <w:rFonts w:eastAsia="Calibri"/>
                <w:lang w:eastAsia="en-US"/>
              </w:rPr>
              <w:t xml:space="preserve">: </w:t>
            </w:r>
          </w:p>
          <w:p w14:paraId="3349F4D8" w14:textId="77777777" w:rsidR="001404DF" w:rsidRDefault="001404DF" w:rsidP="001404DF">
            <w:pPr>
              <w:spacing w:line="260" w:lineRule="atLeast"/>
              <w:jc w:val="both"/>
              <w:rPr>
                <w:rFonts w:eastAsia="Calibri"/>
                <w:lang w:eastAsia="en-US"/>
              </w:rPr>
            </w:pPr>
            <w:r w:rsidRPr="00344BDC">
              <w:rPr>
                <w:rFonts w:eastAsia="Calibri"/>
                <w:lang w:eastAsia="en-US"/>
              </w:rPr>
              <w:t xml:space="preserve">Use 1: </w:t>
            </w:r>
            <w:r w:rsidRPr="000D7D14">
              <w:t>Disinfectants for hard surfaces of domestic area</w:t>
            </w:r>
            <w:r>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 – PT2:</w:t>
            </w:r>
          </w:p>
          <w:p w14:paraId="3742CE4C" w14:textId="77777777" w:rsidR="001404DF" w:rsidRPr="00B40EF2" w:rsidRDefault="001404DF" w:rsidP="001404DF">
            <w:pPr>
              <w:jc w:val="both"/>
              <w:rPr>
                <w:lang w:eastAsia="de-DE"/>
              </w:rPr>
            </w:pPr>
            <w:r>
              <w:rPr>
                <w:rFonts w:eastAsia="Calibri"/>
                <w:lang w:eastAsia="en-US"/>
              </w:rPr>
              <w:t xml:space="preserve">With no mechanical action: </w:t>
            </w:r>
          </w:p>
          <w:p w14:paraId="18F10C8F" w14:textId="77777777" w:rsidR="001404DF" w:rsidRPr="000D7D14" w:rsidRDefault="001404DF" w:rsidP="001404DF">
            <w:pPr>
              <w:numPr>
                <w:ilvl w:val="0"/>
                <w:numId w:val="21"/>
              </w:numPr>
              <w:suppressAutoHyphens w:val="0"/>
              <w:spacing w:line="260" w:lineRule="atLeast"/>
              <w:jc w:val="both"/>
              <w:rPr>
                <w:rFonts w:eastAsia="Calibri"/>
                <w:lang w:eastAsia="en-US"/>
              </w:rPr>
            </w:pPr>
            <w:r w:rsidRPr="000D7D14">
              <w:rPr>
                <w:rFonts w:eastAsia="Calibri"/>
                <w:lang w:eastAsia="en-US"/>
              </w:rPr>
              <w:t>Bacteria (including additional strains</w:t>
            </w:r>
            <w:r>
              <w:rPr>
                <w:rFonts w:eastAsia="Calibri"/>
                <w:lang w:eastAsia="en-US"/>
              </w:rPr>
              <w:t xml:space="preserve"> </w:t>
            </w:r>
            <w:r w:rsidRPr="000D7D14">
              <w:rPr>
                <w:rFonts w:eastAsia="Calibri"/>
                <w:i/>
                <w:lang w:eastAsia="en-US"/>
              </w:rPr>
              <w:t>Bartonella henselae</w:t>
            </w:r>
            <w:r w:rsidRPr="000D7D14">
              <w:rPr>
                <w:rFonts w:eastAsia="Calibri"/>
                <w:lang w:eastAsia="en-US"/>
              </w:rPr>
              <w:t>): 6%</w:t>
            </w:r>
            <w:r>
              <w:rPr>
                <w:rFonts w:eastAsia="Calibri"/>
                <w:lang w:eastAsia="en-US"/>
              </w:rPr>
              <w:t xml:space="preserve"> v/v</w:t>
            </w:r>
            <w:r w:rsidRPr="000D7D14">
              <w:rPr>
                <w:rFonts w:eastAsia="Calibri"/>
                <w:lang w:eastAsia="en-US"/>
              </w:rPr>
              <w:t>, 5 minutes, 20°C</w:t>
            </w:r>
          </w:p>
          <w:p w14:paraId="727B8058" w14:textId="77777777" w:rsidR="001404DF" w:rsidRPr="000D7D14" w:rsidRDefault="001404DF" w:rsidP="001404DF">
            <w:pPr>
              <w:spacing w:line="260" w:lineRule="atLeast"/>
              <w:jc w:val="both"/>
              <w:rPr>
                <w:rFonts w:eastAsia="Calibri"/>
                <w:lang w:eastAsia="en-US"/>
              </w:rPr>
            </w:pPr>
          </w:p>
          <w:p w14:paraId="06F7AB3B" w14:textId="5D1920B2" w:rsidR="001404DF" w:rsidRDefault="001404DF" w:rsidP="001404DF">
            <w:pPr>
              <w:spacing w:line="260" w:lineRule="atLeast"/>
              <w:jc w:val="both"/>
              <w:rPr>
                <w:color w:val="000000"/>
              </w:rPr>
            </w:pPr>
            <w:r w:rsidRPr="000D7D14">
              <w:rPr>
                <w:rFonts w:eastAsia="Calibri"/>
                <w:lang w:eastAsia="en-US"/>
              </w:rPr>
              <w:t xml:space="preserve">Use 2: </w:t>
            </w:r>
            <w:r w:rsidRPr="000D7D14">
              <w:t>Disinfectants for hard surfaces</w:t>
            </w:r>
            <w:r w:rsidR="00463F7E">
              <w:t xml:space="preserve"> of domestic area and</w:t>
            </w:r>
            <w:r w:rsidRPr="000D7D14">
              <w:t xml:space="preserve"> in companion animals’ environment for private homes and pets shelters</w:t>
            </w:r>
            <w:r>
              <w:t>,</w:t>
            </w:r>
            <w:r w:rsidRPr="000D7D14">
              <w:rPr>
                <w:color w:val="000000"/>
              </w:rPr>
              <w:t xml:space="preserve"> </w:t>
            </w:r>
            <w:r w:rsidRPr="000D7D14">
              <w:rPr>
                <w:rFonts w:eastAsia="Calibri"/>
                <w:lang w:eastAsia="en-US"/>
              </w:rPr>
              <w:t xml:space="preserve">with </w:t>
            </w:r>
            <w:r>
              <w:rPr>
                <w:rFonts w:eastAsia="Calibri"/>
                <w:lang w:eastAsia="en-US"/>
              </w:rPr>
              <w:t>clean</w:t>
            </w:r>
            <w:r w:rsidRPr="000D7D14">
              <w:rPr>
                <w:rFonts w:eastAsia="Calibri"/>
                <w:lang w:eastAsia="en-US"/>
              </w:rPr>
              <w:t xml:space="preserve"> conditions</w:t>
            </w:r>
            <w:r>
              <w:rPr>
                <w:rFonts w:eastAsia="Calibri"/>
                <w:lang w:eastAsia="en-US"/>
              </w:rPr>
              <w:t xml:space="preserve"> for non porous surfaces</w:t>
            </w:r>
            <w:r>
              <w:rPr>
                <w:color w:val="000000"/>
              </w:rPr>
              <w:t xml:space="preserve"> – PT</w:t>
            </w:r>
            <w:r w:rsidR="00463F7E">
              <w:rPr>
                <w:color w:val="000000"/>
              </w:rPr>
              <w:t>2/</w:t>
            </w:r>
            <w:r>
              <w:rPr>
                <w:color w:val="000000"/>
              </w:rPr>
              <w:t>3:</w:t>
            </w:r>
          </w:p>
          <w:p w14:paraId="6670A244" w14:textId="77777777" w:rsidR="001404DF" w:rsidRPr="0009246F" w:rsidRDefault="001404DF" w:rsidP="001404DF">
            <w:pPr>
              <w:jc w:val="both"/>
              <w:rPr>
                <w:lang w:eastAsia="de-DE"/>
              </w:rPr>
            </w:pPr>
            <w:r>
              <w:rPr>
                <w:rFonts w:eastAsia="Calibri"/>
                <w:lang w:eastAsia="en-US"/>
              </w:rPr>
              <w:t xml:space="preserve">With no mechanical action: </w:t>
            </w:r>
          </w:p>
          <w:p w14:paraId="0A0DEE83" w14:textId="77777777" w:rsidR="001404DF" w:rsidRPr="000D7D14" w:rsidRDefault="001404DF" w:rsidP="001404DF">
            <w:pPr>
              <w:numPr>
                <w:ilvl w:val="0"/>
                <w:numId w:val="21"/>
              </w:numPr>
              <w:suppressAutoHyphens w:val="0"/>
              <w:spacing w:line="260" w:lineRule="atLeast"/>
              <w:jc w:val="both"/>
              <w:rPr>
                <w:rFonts w:eastAsia="Calibri"/>
                <w:lang w:eastAsia="en-US"/>
              </w:rPr>
            </w:pPr>
            <w:r w:rsidRPr="000D7D14">
              <w:rPr>
                <w:rFonts w:eastAsia="Calibri"/>
                <w:lang w:eastAsia="en-US"/>
              </w:rPr>
              <w:t xml:space="preserve">Bacteria and yeasts: </w:t>
            </w:r>
            <w:r>
              <w:rPr>
                <w:rFonts w:eastAsia="Calibri"/>
                <w:lang w:eastAsia="en-US"/>
              </w:rPr>
              <w:t>10</w:t>
            </w:r>
            <w:r w:rsidRPr="000D7D14">
              <w:rPr>
                <w:rFonts w:eastAsia="Calibri"/>
                <w:lang w:eastAsia="en-US"/>
              </w:rPr>
              <w:t>%</w:t>
            </w:r>
            <w:r>
              <w:rPr>
                <w:rFonts w:eastAsia="Calibri"/>
                <w:lang w:eastAsia="en-US"/>
              </w:rPr>
              <w:t xml:space="preserve"> v/v</w:t>
            </w:r>
            <w:r w:rsidRPr="000D7D14">
              <w:rPr>
                <w:rFonts w:eastAsia="Calibri"/>
                <w:lang w:eastAsia="en-US"/>
              </w:rPr>
              <w:t xml:space="preserve">, </w:t>
            </w:r>
            <w:r>
              <w:rPr>
                <w:rFonts w:eastAsia="Calibri"/>
                <w:lang w:eastAsia="en-US"/>
              </w:rPr>
              <w:t>120</w:t>
            </w:r>
            <w:r w:rsidRPr="000D7D14">
              <w:rPr>
                <w:rFonts w:eastAsia="Calibri"/>
                <w:lang w:eastAsia="en-US"/>
              </w:rPr>
              <w:t xml:space="preserve"> minutes, </w:t>
            </w:r>
            <w:r>
              <w:rPr>
                <w:rFonts w:eastAsia="Calibri"/>
                <w:lang w:eastAsia="en-US"/>
              </w:rPr>
              <w:t>2</w:t>
            </w:r>
            <w:r w:rsidRPr="000D7D14">
              <w:rPr>
                <w:rFonts w:eastAsia="Calibri"/>
                <w:lang w:eastAsia="en-US"/>
              </w:rPr>
              <w:t>0°C.</w:t>
            </w:r>
          </w:p>
          <w:p w14:paraId="5383C8F7" w14:textId="77777777" w:rsidR="001404DF" w:rsidRPr="00F0256C" w:rsidRDefault="001404DF" w:rsidP="001404DF">
            <w:pPr>
              <w:spacing w:line="260" w:lineRule="atLeast"/>
              <w:rPr>
                <w:rFonts w:eastAsia="Calibri"/>
                <w:lang w:eastAsia="en-US"/>
              </w:rPr>
            </w:pPr>
          </w:p>
          <w:p w14:paraId="01C1A079" w14:textId="77777777" w:rsidR="001404DF" w:rsidRPr="00344BDC" w:rsidRDefault="001404DF" w:rsidP="001404DF">
            <w:pPr>
              <w:spacing w:line="260" w:lineRule="atLeast"/>
              <w:jc w:val="both"/>
              <w:rPr>
                <w:rFonts w:eastAsia="Calibri"/>
                <w:lang w:eastAsia="en-US"/>
              </w:rPr>
            </w:pPr>
            <w:r w:rsidRPr="00820E0E">
              <w:rPr>
                <w:rFonts w:eastAsia="Calibri"/>
                <w:b/>
                <w:lang w:eastAsia="en-US"/>
              </w:rPr>
              <w:t>Meta-SPC 11</w:t>
            </w:r>
            <w:r w:rsidRPr="004D1209">
              <w:rPr>
                <w:rFonts w:eastAsia="Calibri"/>
                <w:lang w:eastAsia="en-US"/>
              </w:rPr>
              <w:t xml:space="preserve">: </w:t>
            </w:r>
          </w:p>
          <w:p w14:paraId="7C35F548" w14:textId="77777777" w:rsidR="001404DF" w:rsidRDefault="001404DF" w:rsidP="001404DF">
            <w:pPr>
              <w:spacing w:line="260" w:lineRule="atLeast"/>
              <w:jc w:val="both"/>
              <w:rPr>
                <w:rFonts w:eastAsia="Calibri"/>
                <w:lang w:eastAsia="en-US"/>
              </w:rPr>
            </w:pPr>
            <w:r w:rsidRPr="00344BDC">
              <w:rPr>
                <w:rFonts w:eastAsia="Calibri"/>
                <w:lang w:eastAsia="en-US"/>
              </w:rPr>
              <w:t xml:space="preserve">Use 1: </w:t>
            </w:r>
            <w:r w:rsidRPr="000D7D14">
              <w:t>Disinfectants for hard surfaces of industry, institution and healthcare facilities and</w:t>
            </w:r>
            <w:r>
              <w:t>,</w:t>
            </w:r>
            <w:r w:rsidRPr="000D7D14">
              <w:t xml:space="preserve"> food preparation and handling areas</w:t>
            </w:r>
            <w:r>
              <w:t>,</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 – PT2/4:</w:t>
            </w:r>
          </w:p>
          <w:p w14:paraId="3D0FB542" w14:textId="77777777" w:rsidR="001404DF" w:rsidRPr="0009246F" w:rsidRDefault="001404DF" w:rsidP="001404DF">
            <w:pPr>
              <w:jc w:val="both"/>
              <w:rPr>
                <w:lang w:eastAsia="de-DE"/>
              </w:rPr>
            </w:pPr>
            <w:r>
              <w:rPr>
                <w:rFonts w:eastAsia="Calibri"/>
                <w:lang w:eastAsia="en-US"/>
              </w:rPr>
              <w:t xml:space="preserve">With no mechanical action: </w:t>
            </w:r>
          </w:p>
          <w:p w14:paraId="1EA97753" w14:textId="77777777" w:rsidR="001404DF" w:rsidRPr="000D7D14" w:rsidRDefault="001404DF" w:rsidP="001404DF">
            <w:pPr>
              <w:numPr>
                <w:ilvl w:val="0"/>
                <w:numId w:val="21"/>
              </w:numPr>
              <w:suppressAutoHyphens w:val="0"/>
              <w:spacing w:line="260" w:lineRule="atLeast"/>
              <w:jc w:val="both"/>
              <w:rPr>
                <w:rFonts w:eastAsia="Calibri"/>
                <w:lang w:eastAsia="en-US"/>
              </w:rPr>
            </w:pPr>
            <w:r w:rsidRPr="000D7D14">
              <w:rPr>
                <w:rFonts w:eastAsia="Calibri"/>
                <w:lang w:eastAsia="en-US"/>
              </w:rPr>
              <w:t xml:space="preserve">Bacteria (including </w:t>
            </w:r>
            <w:r>
              <w:rPr>
                <w:rFonts w:eastAsia="Calibri"/>
                <w:lang w:eastAsia="en-US"/>
              </w:rPr>
              <w:t xml:space="preserve">PT4 </w:t>
            </w:r>
            <w:r w:rsidRPr="000D7D14">
              <w:rPr>
                <w:rFonts w:eastAsia="Calibri"/>
                <w:lang w:eastAsia="en-US"/>
              </w:rPr>
              <w:t>additional strains:</w:t>
            </w:r>
            <w:r w:rsidRPr="000D7D14">
              <w:rPr>
                <w:rFonts w:eastAsia="Calibri"/>
                <w:i/>
                <w:lang w:eastAsia="en-US"/>
              </w:rPr>
              <w:t xml:space="preserve"> Salmonella </w:t>
            </w:r>
            <w:r w:rsidRPr="00A758F5">
              <w:rPr>
                <w:rFonts w:eastAsia="Calibri"/>
                <w:lang w:eastAsia="en-US"/>
              </w:rPr>
              <w:t>Typhimurium</w:t>
            </w:r>
            <w:r w:rsidRPr="000D7D14">
              <w:rPr>
                <w:rFonts w:eastAsia="Calibri"/>
                <w:lang w:eastAsia="en-US"/>
              </w:rPr>
              <w:t xml:space="preserve"> and </w:t>
            </w:r>
            <w:r w:rsidRPr="000D7D14">
              <w:rPr>
                <w:rFonts w:eastAsia="Calibri"/>
                <w:i/>
                <w:lang w:eastAsia="en-US"/>
              </w:rPr>
              <w:t>Listeria monocytogenes</w:t>
            </w:r>
            <w:r w:rsidRPr="000D7D14">
              <w:rPr>
                <w:rFonts w:eastAsia="Calibri"/>
                <w:lang w:eastAsia="en-US"/>
              </w:rPr>
              <w:t>) and yeasts: 1.5%</w:t>
            </w:r>
            <w:r>
              <w:rPr>
                <w:rFonts w:eastAsia="Calibri"/>
                <w:lang w:eastAsia="en-US"/>
              </w:rPr>
              <w:t xml:space="preserve"> v/v</w:t>
            </w:r>
            <w:r w:rsidRPr="000D7D14">
              <w:rPr>
                <w:rFonts w:eastAsia="Calibri"/>
                <w:lang w:eastAsia="en-US"/>
              </w:rPr>
              <w:t>, 15</w:t>
            </w:r>
            <w:r>
              <w:rPr>
                <w:rFonts w:eastAsia="Calibri"/>
                <w:lang w:eastAsia="en-US"/>
              </w:rPr>
              <w:t xml:space="preserve"> </w:t>
            </w:r>
            <w:r w:rsidRPr="000D7D14">
              <w:rPr>
                <w:rFonts w:eastAsia="Calibri"/>
                <w:lang w:eastAsia="en-US"/>
              </w:rPr>
              <w:t>minutes, 20°C or 1%</w:t>
            </w:r>
            <w:r>
              <w:rPr>
                <w:rFonts w:eastAsia="Calibri"/>
                <w:lang w:eastAsia="en-US"/>
              </w:rPr>
              <w:t xml:space="preserve"> v/v</w:t>
            </w:r>
            <w:r w:rsidRPr="000D7D14">
              <w:rPr>
                <w:rFonts w:eastAsia="Calibri"/>
                <w:lang w:eastAsia="en-US"/>
              </w:rPr>
              <w:t>, 30 minutes, 40°C.</w:t>
            </w:r>
          </w:p>
          <w:p w14:paraId="66537687" w14:textId="77777777" w:rsidR="001404DF" w:rsidRPr="00F0256C" w:rsidRDefault="001404DF" w:rsidP="001404DF">
            <w:pPr>
              <w:spacing w:line="260" w:lineRule="atLeast"/>
              <w:rPr>
                <w:rFonts w:eastAsia="Calibri"/>
                <w:lang w:val="en" w:eastAsia="en-US"/>
              </w:rPr>
            </w:pPr>
          </w:p>
          <w:p w14:paraId="2AF70EE8" w14:textId="77777777" w:rsidR="001404DF" w:rsidRPr="00344BDC" w:rsidRDefault="001404DF" w:rsidP="001404DF">
            <w:pPr>
              <w:spacing w:line="260" w:lineRule="atLeast"/>
              <w:rPr>
                <w:rFonts w:eastAsia="Calibri"/>
                <w:lang w:eastAsia="en-US"/>
              </w:rPr>
            </w:pPr>
            <w:r w:rsidRPr="00F0256C">
              <w:rPr>
                <w:rFonts w:eastAsia="Calibri"/>
                <w:b/>
                <w:lang w:eastAsia="en-US"/>
              </w:rPr>
              <w:t xml:space="preserve">Meta-SPC </w:t>
            </w:r>
            <w:r w:rsidRPr="00820E0E">
              <w:rPr>
                <w:rFonts w:eastAsia="Calibri"/>
                <w:b/>
                <w:lang w:eastAsia="en-US"/>
              </w:rPr>
              <w:t>12</w:t>
            </w:r>
            <w:r w:rsidRPr="004D1209">
              <w:rPr>
                <w:rFonts w:eastAsia="Calibri"/>
                <w:lang w:eastAsia="en-US"/>
              </w:rPr>
              <w:t>:</w:t>
            </w:r>
          </w:p>
          <w:p w14:paraId="6303A967" w14:textId="77777777" w:rsidR="001404DF" w:rsidRDefault="001404DF" w:rsidP="001404DF">
            <w:pPr>
              <w:spacing w:line="260" w:lineRule="atLeast"/>
              <w:rPr>
                <w:rFonts w:eastAsia="Calibri"/>
                <w:lang w:eastAsia="en-US"/>
              </w:rPr>
            </w:pPr>
            <w:r w:rsidRPr="00344BDC">
              <w:rPr>
                <w:rFonts w:eastAsia="Calibri"/>
                <w:lang w:eastAsia="en-US"/>
              </w:rPr>
              <w:t xml:space="preserve">Use 1:  </w:t>
            </w:r>
            <w:r w:rsidRPr="000D7D14">
              <w:t>Disinfectants for hard surfaces for industry, institution, healthcare facilities and healthcare</w:t>
            </w:r>
            <w:r w:rsidRPr="00344BDC">
              <w:rPr>
                <w:rFonts w:eastAsia="Calibri"/>
                <w:lang w:eastAsia="en-US"/>
              </w:rPr>
              <w:t xml:space="preserve"> </w:t>
            </w:r>
            <w:r w:rsidRPr="000D7D14">
              <w:rPr>
                <w:rFonts w:eastAsia="Calibri"/>
                <w:lang w:eastAsia="en-US"/>
              </w:rPr>
              <w:t>with dirty conditions</w:t>
            </w:r>
            <w:r>
              <w:rPr>
                <w:rFonts w:eastAsia="Calibri"/>
                <w:lang w:eastAsia="en-US"/>
              </w:rPr>
              <w:t xml:space="preserve"> for non porous surfaces – PT2:</w:t>
            </w:r>
          </w:p>
          <w:p w14:paraId="1E86CD6E" w14:textId="77777777" w:rsidR="001404DF" w:rsidRPr="00A758F5" w:rsidRDefault="001404DF" w:rsidP="001404DF">
            <w:pPr>
              <w:jc w:val="both"/>
              <w:rPr>
                <w:lang w:eastAsia="de-DE"/>
              </w:rPr>
            </w:pPr>
            <w:r>
              <w:rPr>
                <w:rFonts w:eastAsia="Calibri"/>
                <w:lang w:eastAsia="en-US"/>
              </w:rPr>
              <w:t xml:space="preserve">With no mechanical action: </w:t>
            </w:r>
          </w:p>
          <w:p w14:paraId="3483B5DA" w14:textId="77777777" w:rsidR="001404DF" w:rsidRPr="000D7D14" w:rsidRDefault="001404DF" w:rsidP="001404DF">
            <w:pPr>
              <w:numPr>
                <w:ilvl w:val="0"/>
                <w:numId w:val="20"/>
              </w:numPr>
              <w:suppressAutoHyphens w:val="0"/>
              <w:spacing w:line="260" w:lineRule="atLeast"/>
              <w:rPr>
                <w:rFonts w:ascii="Times New Roman" w:eastAsia="Calibri" w:hAnsi="Times New Roman"/>
                <w:i/>
                <w:iCs/>
                <w:lang w:eastAsia="en-US"/>
              </w:rPr>
            </w:pPr>
            <w:r w:rsidRPr="000D7D14">
              <w:rPr>
                <w:rFonts w:eastAsia="Calibri"/>
                <w:lang w:eastAsia="en-US"/>
              </w:rPr>
              <w:t>Bacteria and yeasts: 100%, 5 minutes, 20°C.</w:t>
            </w:r>
          </w:p>
          <w:p w14:paraId="3BE42B36" w14:textId="77777777" w:rsidR="001404DF" w:rsidRPr="000D7D14" w:rsidRDefault="001404DF" w:rsidP="001404DF">
            <w:pPr>
              <w:spacing w:line="260" w:lineRule="atLeast"/>
              <w:rPr>
                <w:rFonts w:eastAsia="Calibri"/>
                <w:lang w:eastAsia="en-US"/>
              </w:rPr>
            </w:pPr>
          </w:p>
          <w:p w14:paraId="3B5A873E" w14:textId="77777777" w:rsidR="001404DF" w:rsidRPr="000D7D14" w:rsidRDefault="001404DF" w:rsidP="001404DF">
            <w:pPr>
              <w:spacing w:line="260" w:lineRule="atLeast"/>
              <w:rPr>
                <w:rFonts w:eastAsia="Calibri"/>
                <w:lang w:eastAsia="en-US"/>
              </w:rPr>
            </w:pPr>
            <w:r w:rsidRPr="000D7D14">
              <w:rPr>
                <w:rFonts w:eastAsia="Calibri"/>
                <w:b/>
                <w:lang w:eastAsia="en-US"/>
              </w:rPr>
              <w:t>Meta-SPC 13</w:t>
            </w:r>
            <w:r w:rsidRPr="000D7D14">
              <w:rPr>
                <w:rFonts w:eastAsia="Calibri"/>
                <w:lang w:eastAsia="en-US"/>
              </w:rPr>
              <w:t>:</w:t>
            </w:r>
          </w:p>
          <w:p w14:paraId="1B031A16" w14:textId="77777777" w:rsidR="001404DF" w:rsidRDefault="001404DF" w:rsidP="001404DF">
            <w:pPr>
              <w:spacing w:line="260" w:lineRule="atLeast"/>
            </w:pPr>
            <w:r w:rsidRPr="000D7D14">
              <w:rPr>
                <w:rFonts w:eastAsia="Calibri"/>
                <w:lang w:eastAsia="en-US"/>
              </w:rPr>
              <w:t xml:space="preserve">Use 1:  </w:t>
            </w:r>
            <w:r w:rsidRPr="000D7D14">
              <w:t>Disinfectants for hard surfaces of industry, institution and healthcare facilities</w:t>
            </w:r>
            <w:r>
              <w:t>,</w:t>
            </w:r>
            <w:r w:rsidRPr="000D7D14">
              <w:rPr>
                <w:rFonts w:eastAsia="Calibri"/>
                <w:lang w:eastAsia="en-US"/>
              </w:rPr>
              <w:t xml:space="preserve"> with dirty conditions</w:t>
            </w:r>
            <w:r>
              <w:rPr>
                <w:rFonts w:eastAsia="Calibri"/>
                <w:lang w:eastAsia="en-US"/>
              </w:rPr>
              <w:t xml:space="preserve"> for non porous surfaces – PT2:</w:t>
            </w:r>
          </w:p>
          <w:p w14:paraId="610C792F" w14:textId="77777777" w:rsidR="001404DF" w:rsidRPr="000D7D14" w:rsidRDefault="001404DF" w:rsidP="001404DF">
            <w:pPr>
              <w:spacing w:line="260" w:lineRule="atLeast"/>
              <w:rPr>
                <w:rFonts w:eastAsia="Calibri"/>
                <w:lang w:eastAsia="en-US"/>
              </w:rPr>
            </w:pPr>
            <w:r>
              <w:rPr>
                <w:rFonts w:eastAsia="Calibri"/>
                <w:lang w:eastAsia="en-US"/>
              </w:rPr>
              <w:t>With no mechanical action:</w:t>
            </w:r>
          </w:p>
          <w:p w14:paraId="20822FD8" w14:textId="7B8ECCCC" w:rsidR="009D0C0B" w:rsidRPr="000F6935" w:rsidRDefault="001404DF" w:rsidP="000F6935">
            <w:pPr>
              <w:numPr>
                <w:ilvl w:val="0"/>
                <w:numId w:val="20"/>
              </w:numPr>
              <w:suppressAutoHyphens w:val="0"/>
              <w:spacing w:line="260" w:lineRule="atLeast"/>
              <w:rPr>
                <w:rFonts w:ascii="Times New Roman" w:eastAsia="Calibri" w:hAnsi="Times New Roman"/>
                <w:i/>
                <w:iCs/>
                <w:lang w:eastAsia="en-US"/>
              </w:rPr>
            </w:pPr>
            <w:r w:rsidRPr="000D7D14">
              <w:rPr>
                <w:rFonts w:eastAsia="Calibri"/>
                <w:lang w:eastAsia="en-US"/>
              </w:rPr>
              <w:t>Bacteria (including additional strain</w:t>
            </w:r>
            <w:r>
              <w:rPr>
                <w:rFonts w:eastAsia="Calibri"/>
                <w:lang w:eastAsia="en-US"/>
              </w:rPr>
              <w:t xml:space="preserve"> </w:t>
            </w:r>
            <w:r w:rsidRPr="000D7D14">
              <w:rPr>
                <w:rFonts w:eastAsia="Calibri"/>
                <w:i/>
                <w:lang w:eastAsia="en-US"/>
              </w:rPr>
              <w:t>Yersinia enterocolitica</w:t>
            </w:r>
            <w:r w:rsidRPr="000D7D14">
              <w:rPr>
                <w:rFonts w:eastAsia="Calibri"/>
                <w:lang w:eastAsia="en-US"/>
              </w:rPr>
              <w:t>) and yeasts: 8%</w:t>
            </w:r>
            <w:r>
              <w:rPr>
                <w:rFonts w:eastAsia="Calibri"/>
                <w:lang w:eastAsia="en-US"/>
              </w:rPr>
              <w:t xml:space="preserve"> v/v</w:t>
            </w:r>
            <w:r w:rsidRPr="000D7D14">
              <w:rPr>
                <w:rFonts w:eastAsia="Calibri"/>
                <w:lang w:eastAsia="en-US"/>
              </w:rPr>
              <w:t>, 15 minutes, 20°C.</w:t>
            </w:r>
          </w:p>
        </w:tc>
      </w:tr>
    </w:tbl>
    <w:p w14:paraId="5ECF4BC8" w14:textId="77777777" w:rsidR="009D0C0B" w:rsidRPr="00B27CB1" w:rsidRDefault="009D0C0B">
      <w:pPr>
        <w:spacing w:line="260" w:lineRule="atLeast"/>
        <w:ind w:left="360"/>
        <w:rPr>
          <w:rFonts w:eastAsia="Calibri"/>
          <w:lang w:eastAsia="en-US"/>
        </w:rPr>
      </w:pPr>
    </w:p>
    <w:p w14:paraId="519B30BD" w14:textId="77777777" w:rsidR="009D0C0B" w:rsidRPr="00B27CB1" w:rsidRDefault="00FA480B">
      <w:pPr>
        <w:pStyle w:val="Titre4"/>
        <w:rPr>
          <w:rFonts w:ascii="Times New Roman" w:hAnsi="Times New Roman" w:cs="Times New Roman"/>
          <w:i/>
          <w:iCs/>
          <w:lang w:val="en-GB" w:eastAsia="en-US"/>
        </w:rPr>
      </w:pPr>
      <w:bookmarkStart w:id="170" w:name="_Toc87361197"/>
      <w:r w:rsidRPr="00B27CB1">
        <w:rPr>
          <w:lang w:val="en-GB"/>
        </w:rPr>
        <w:t>Occurrence of resistance and resistance management</w:t>
      </w:r>
      <w:bookmarkEnd w:id="170"/>
    </w:p>
    <w:p w14:paraId="531DABF8" w14:textId="77777777" w:rsidR="0015321A" w:rsidRDefault="0015321A" w:rsidP="0015321A">
      <w:pPr>
        <w:spacing w:line="260" w:lineRule="atLeast"/>
        <w:rPr>
          <w:rFonts w:ascii="Times New Roman" w:eastAsia="Calibri" w:hAnsi="Times New Roman"/>
          <w:i/>
          <w:iCs/>
          <w:szCs w:val="24"/>
          <w:lang w:eastAsia="en-US"/>
        </w:rPr>
      </w:pPr>
      <w:r>
        <w:rPr>
          <w:rFonts w:eastAsia="Calibri"/>
          <w:lang w:eastAsia="en-US"/>
        </w:rPr>
        <w:t xml:space="preserve">According to the </w:t>
      </w:r>
      <w:r w:rsidRPr="00C51CFA">
        <w:rPr>
          <w:rFonts w:eastAsia="Calibri"/>
          <w:iCs/>
          <w:lang w:eastAsia="en-US"/>
        </w:rPr>
        <w:t>Assessment Report of L(+) lac</w:t>
      </w:r>
      <w:r w:rsidRPr="00CF0639">
        <w:rPr>
          <w:rFonts w:eastAsia="Calibri"/>
          <w:iCs/>
          <w:lang w:eastAsia="en-US"/>
        </w:rPr>
        <w:t>tic acid for PTs 02, 03 and 0</w:t>
      </w:r>
      <w:r>
        <w:rPr>
          <w:rFonts w:eastAsia="Calibri"/>
          <w:iCs/>
          <w:lang w:eastAsia="en-US"/>
        </w:rPr>
        <w:t xml:space="preserve">4 </w:t>
      </w:r>
      <w:r>
        <w:rPr>
          <w:rFonts w:eastAsia="Calibri"/>
          <w:iCs/>
          <w:lang w:eastAsia="en-US"/>
        </w:rPr>
        <w:fldChar w:fldCharType="begin"/>
      </w:r>
      <w:r>
        <w:rPr>
          <w:rFonts w:eastAsia="Calibri"/>
          <w:iCs/>
          <w:lang w:eastAsia="en-US"/>
        </w:rPr>
        <w:instrText xml:space="preserve"> ADDIN ZOTERO_ITEM CSL_CITATION {"citationID":"U5m9d5ju","properties":{"formattedCitation":"(4)","plainCitation":"(4)","noteIndex":0},"citationItems":[{"id":25,"uris":["http://zotero.org/users/5589992/items/ZWNISBV4"],"uri":["http://zotero.org/users/5589992/items/ZWNISBV4"],"itemData":{"id":25,"type":"article","title":"Assessment Report - L(+) lactic acid for Product-types 02, 03 and 04 (Disinfectants and algaecides not intended for direct application to humans or animals, Veterinary Hygiene and Disinfectants in food and feed areas)","author":[{"literal":"Germany"}],"issued":{"date-parts":[["2017",6]]}}}],"schema":"https://github.com/citation-style-language/schema/raw/master/csl-citation.json"} </w:instrText>
      </w:r>
      <w:r>
        <w:rPr>
          <w:rFonts w:eastAsia="Calibri"/>
          <w:iCs/>
          <w:lang w:eastAsia="en-US"/>
        </w:rPr>
        <w:fldChar w:fldCharType="separate"/>
      </w:r>
      <w:r w:rsidRPr="00F020F0">
        <w:rPr>
          <w:rFonts w:eastAsia="Calibri"/>
        </w:rPr>
        <w:t>(4)</w:t>
      </w:r>
      <w:r>
        <w:rPr>
          <w:rFonts w:eastAsia="Calibri"/>
          <w:iCs/>
          <w:lang w:eastAsia="en-US"/>
        </w:rPr>
        <w:fldChar w:fldCharType="end"/>
      </w:r>
      <w:r>
        <w:rPr>
          <w:rFonts w:eastAsia="Calibri"/>
          <w:lang w:eastAsia="en-US"/>
        </w:rPr>
        <w:t>:</w:t>
      </w:r>
    </w:p>
    <w:p w14:paraId="345B2DF3" w14:textId="77777777" w:rsidR="0015321A" w:rsidRPr="005D3939" w:rsidRDefault="0015321A" w:rsidP="0015321A">
      <w:pPr>
        <w:spacing w:line="260" w:lineRule="atLeast"/>
        <w:rPr>
          <w:rFonts w:eastAsia="Calibri"/>
        </w:rPr>
      </w:pPr>
      <w:r>
        <w:rPr>
          <w:rFonts w:eastAsia="Calibri"/>
        </w:rPr>
        <w:t>“</w:t>
      </w:r>
      <w:r w:rsidRPr="005D3939">
        <w:rPr>
          <w:rFonts w:eastAsia="Calibri"/>
        </w:rPr>
        <w:t>No resistance to lactic acid has been observed in the course of the efficacy studies.</w:t>
      </w:r>
    </w:p>
    <w:p w14:paraId="28FE897D" w14:textId="77777777" w:rsidR="0015321A" w:rsidRDefault="0015321A" w:rsidP="0015321A">
      <w:pPr>
        <w:spacing w:line="260" w:lineRule="atLeast"/>
        <w:rPr>
          <w:rFonts w:ascii="Times New Roman" w:eastAsia="Calibri" w:hAnsi="Times New Roman"/>
          <w:i/>
          <w:iCs/>
          <w:szCs w:val="24"/>
          <w:lang w:eastAsia="en-US"/>
        </w:rPr>
      </w:pPr>
      <w:r w:rsidRPr="005D3939">
        <w:rPr>
          <w:rFonts w:eastAsia="Calibri"/>
        </w:rPr>
        <w:t>Furthermore, development of resistance is considered unlikely due to the non-specific mode</w:t>
      </w:r>
      <w:r>
        <w:rPr>
          <w:rFonts w:eastAsia="Calibri"/>
        </w:rPr>
        <w:t xml:space="preserve"> </w:t>
      </w:r>
      <w:r w:rsidRPr="005D3939">
        <w:rPr>
          <w:rFonts w:eastAsia="Calibri"/>
        </w:rPr>
        <w:t>of action (Doc III B5.11).</w:t>
      </w:r>
      <w:r>
        <w:rPr>
          <w:rFonts w:eastAsia="Calibri"/>
        </w:rPr>
        <w:t>”</w:t>
      </w:r>
      <w:r w:rsidRPr="00B84D03" w:rsidDel="00B84D03">
        <w:rPr>
          <w:rFonts w:ascii="Times New Roman" w:eastAsia="Calibri" w:hAnsi="Times New Roman"/>
          <w:i/>
          <w:iCs/>
          <w:szCs w:val="24"/>
          <w:lang w:eastAsia="en-US"/>
        </w:rPr>
        <w:t xml:space="preserve"> </w:t>
      </w:r>
    </w:p>
    <w:p w14:paraId="47ED3B74" w14:textId="77777777" w:rsidR="0015321A" w:rsidRDefault="0015321A" w:rsidP="0015321A">
      <w:pPr>
        <w:spacing w:line="260" w:lineRule="atLeast"/>
        <w:rPr>
          <w:rFonts w:ascii="Times New Roman" w:eastAsia="Calibri" w:hAnsi="Times New Roman"/>
          <w:i/>
          <w:iCs/>
          <w:szCs w:val="24"/>
          <w:lang w:eastAsia="en-US"/>
        </w:rPr>
      </w:pPr>
    </w:p>
    <w:p w14:paraId="730EB012" w14:textId="77777777" w:rsidR="0015321A" w:rsidRPr="00E129D9" w:rsidRDefault="0015321A" w:rsidP="0015321A">
      <w:pPr>
        <w:jc w:val="both"/>
        <w:rPr>
          <w:bCs/>
          <w:iCs/>
          <w:lang w:eastAsia="en-US"/>
        </w:rPr>
      </w:pPr>
      <w:r w:rsidRPr="00E129D9">
        <w:rPr>
          <w:bCs/>
          <w:iCs/>
          <w:lang w:eastAsia="en-US"/>
        </w:rPr>
        <w:t xml:space="preserve">The authorization holder has to report any observed incidents </w:t>
      </w:r>
      <w:r>
        <w:rPr>
          <w:bCs/>
          <w:iCs/>
          <w:lang w:eastAsia="en-US"/>
        </w:rPr>
        <w:t xml:space="preserve">related to the efficacy </w:t>
      </w:r>
      <w:r w:rsidRPr="00E129D9">
        <w:rPr>
          <w:bCs/>
          <w:iCs/>
          <w:lang w:eastAsia="en-US"/>
        </w:rPr>
        <w:t>to the Competent Authorities (CA).</w:t>
      </w:r>
    </w:p>
    <w:p w14:paraId="1585A810" w14:textId="77777777" w:rsidR="0015321A" w:rsidRDefault="0015321A" w:rsidP="0015321A">
      <w:pPr>
        <w:rPr>
          <w:i/>
          <w:iCs/>
          <w:lang w:eastAsia="en-US"/>
        </w:rPr>
      </w:pPr>
    </w:p>
    <w:p w14:paraId="438D3BAA" w14:textId="77777777" w:rsidR="0015321A" w:rsidRPr="005E3CFB" w:rsidRDefault="0015321A" w:rsidP="0015321A">
      <w:pPr>
        <w:pStyle w:val="titre40"/>
        <w:keepNext w:val="0"/>
        <w:widowControl w:val="0"/>
        <w:numPr>
          <w:ilvl w:val="0"/>
          <w:numId w:val="0"/>
        </w:numPr>
        <w:spacing w:before="0" w:after="0"/>
        <w:rPr>
          <w:bCs/>
          <w:i w:val="0"/>
          <w:iCs/>
          <w:szCs w:val="20"/>
          <w:lang w:val="en-US"/>
        </w:rPr>
      </w:pPr>
      <w:bookmarkStart w:id="171" w:name="_Toc87361198"/>
      <w:r w:rsidRPr="00AB27D1">
        <w:rPr>
          <w:rFonts w:cs="Arial"/>
          <w:i w:val="0"/>
          <w:szCs w:val="22"/>
          <w:lang w:val="en-GB"/>
        </w:rPr>
        <w:t xml:space="preserve">To ensure a satisfactory level of efficacy and avoid the development of resistance, the </w:t>
      </w:r>
      <w:r w:rsidRPr="00AB27D1">
        <w:rPr>
          <w:rFonts w:cs="Arial"/>
          <w:i w:val="0"/>
          <w:szCs w:val="22"/>
          <w:lang w:val="en-GB"/>
        </w:rPr>
        <w:lastRenderedPageBreak/>
        <w:t>recommendations proposed in the SPC have to be implemented</w:t>
      </w:r>
      <w:bookmarkEnd w:id="171"/>
    </w:p>
    <w:p w14:paraId="0DF38900" w14:textId="77777777" w:rsidR="009D0C0B" w:rsidRPr="00B27CB1" w:rsidRDefault="009D0C0B">
      <w:pPr>
        <w:spacing w:line="260" w:lineRule="atLeast"/>
        <w:rPr>
          <w:rFonts w:ascii="Times New Roman" w:eastAsia="Calibri" w:hAnsi="Times New Roman" w:cs="Times New Roman"/>
          <w:i/>
          <w:iCs/>
          <w:szCs w:val="24"/>
          <w:lang w:eastAsia="en-US"/>
        </w:rPr>
      </w:pPr>
    </w:p>
    <w:p w14:paraId="52DB6FA2" w14:textId="77777777" w:rsidR="009D0C0B" w:rsidRPr="00B27CB1" w:rsidRDefault="00FA480B">
      <w:pPr>
        <w:pStyle w:val="Titre4"/>
        <w:rPr>
          <w:rFonts w:ascii="Times New Roman" w:hAnsi="Times New Roman" w:cs="Times New Roman"/>
          <w:i/>
          <w:iCs/>
          <w:lang w:val="en-GB" w:eastAsia="en-US"/>
        </w:rPr>
      </w:pPr>
      <w:bookmarkStart w:id="172" w:name="_Toc87361199"/>
      <w:r w:rsidRPr="00B27CB1">
        <w:rPr>
          <w:lang w:val="en-GB"/>
        </w:rPr>
        <w:t>Known limitations</w:t>
      </w:r>
      <w:bookmarkEnd w:id="172"/>
    </w:p>
    <w:p w14:paraId="47568141" w14:textId="60825B96" w:rsidR="009D0C0B" w:rsidRPr="00B27CB1" w:rsidRDefault="001404DF" w:rsidP="001404DF">
      <w:pPr>
        <w:spacing w:line="260" w:lineRule="atLeast"/>
        <w:jc w:val="both"/>
        <w:rPr>
          <w:rFonts w:ascii="Times New Roman" w:eastAsia="Calibri" w:hAnsi="Times New Roman" w:cs="Times New Roman"/>
          <w:i/>
          <w:iCs/>
          <w:szCs w:val="24"/>
          <w:lang w:eastAsia="en-US"/>
        </w:rPr>
      </w:pPr>
      <w:r>
        <w:rPr>
          <w:rFonts w:eastAsia="Calibri"/>
        </w:rPr>
        <w:t>none</w:t>
      </w:r>
    </w:p>
    <w:p w14:paraId="5CA96790" w14:textId="77777777" w:rsidR="009D0C0B" w:rsidRPr="00B27CB1" w:rsidRDefault="009D0C0B">
      <w:pPr>
        <w:spacing w:line="260" w:lineRule="atLeast"/>
        <w:rPr>
          <w:rFonts w:ascii="Times New Roman" w:eastAsia="Calibri" w:hAnsi="Times New Roman" w:cs="Times New Roman"/>
          <w:i/>
          <w:iCs/>
          <w:szCs w:val="24"/>
          <w:lang w:eastAsia="en-US"/>
        </w:rPr>
      </w:pPr>
    </w:p>
    <w:p w14:paraId="69F6EE0E" w14:textId="77777777" w:rsidR="009D0C0B" w:rsidRPr="00B27CB1" w:rsidRDefault="00FA480B">
      <w:pPr>
        <w:pStyle w:val="Titre4"/>
        <w:rPr>
          <w:rFonts w:ascii="Times New Roman" w:hAnsi="Times New Roman" w:cs="Times New Roman"/>
          <w:i/>
          <w:iCs/>
          <w:lang w:val="en-GB" w:eastAsia="en-US"/>
        </w:rPr>
      </w:pPr>
      <w:bookmarkStart w:id="173" w:name="_Toc87361200"/>
      <w:r w:rsidRPr="00B27CB1">
        <w:rPr>
          <w:lang w:val="en-GB"/>
        </w:rPr>
        <w:t>Evaluation of the label claims</w:t>
      </w:r>
      <w:bookmarkEnd w:id="173"/>
    </w:p>
    <w:p w14:paraId="60DE7894" w14:textId="46A337FC" w:rsidR="0015321A" w:rsidRPr="005D3939" w:rsidRDefault="001404DF" w:rsidP="0015321A">
      <w:pPr>
        <w:spacing w:line="260" w:lineRule="atLeast"/>
        <w:jc w:val="both"/>
      </w:pPr>
      <w:r>
        <w:t>See Efficacy conclusion</w:t>
      </w:r>
    </w:p>
    <w:p w14:paraId="3CCD3EFE" w14:textId="77777777" w:rsidR="009D0C0B" w:rsidRPr="00B27CB1" w:rsidRDefault="009D0C0B">
      <w:pPr>
        <w:spacing w:line="260" w:lineRule="atLeast"/>
        <w:jc w:val="both"/>
        <w:rPr>
          <w:rFonts w:ascii="Times New Roman" w:eastAsia="Calibri" w:hAnsi="Times New Roman" w:cs="Arial"/>
          <w:bCs/>
          <w:i/>
          <w:iCs/>
          <w:caps/>
          <w:szCs w:val="28"/>
          <w:lang w:eastAsia="en-US"/>
        </w:rPr>
      </w:pPr>
    </w:p>
    <w:p w14:paraId="28F659EF" w14:textId="77777777" w:rsidR="009D0C0B" w:rsidRDefault="00FA480B">
      <w:pPr>
        <w:pStyle w:val="Titre4"/>
        <w:rPr>
          <w:lang w:val="en-GB"/>
        </w:rPr>
      </w:pPr>
      <w:bookmarkStart w:id="174" w:name="_Toc87361201"/>
      <w:r w:rsidRPr="00B27CB1">
        <w:rPr>
          <w:lang w:val="en-GB"/>
        </w:rPr>
        <w:t>Relevant information if the product is intended to be authorised for use with other biocidal product(s)</w:t>
      </w:r>
      <w:bookmarkEnd w:id="174"/>
    </w:p>
    <w:p w14:paraId="77D42876" w14:textId="63A42B37" w:rsidR="0015321A" w:rsidRDefault="0015321A" w:rsidP="000F6935">
      <w:pPr>
        <w:pStyle w:val="Corpsdetexte"/>
      </w:pPr>
    </w:p>
    <w:p w14:paraId="67D75A9A" w14:textId="703DAEF0" w:rsidR="0015321A" w:rsidRPr="00FD2055" w:rsidRDefault="0015321A" w:rsidP="000F6935">
      <w:pPr>
        <w:jc w:val="both"/>
      </w:pPr>
      <w:r>
        <w:rPr>
          <w:rFonts w:eastAsia="Calibri"/>
          <w:lang w:eastAsia="en-US"/>
        </w:rPr>
        <w:t>The products in the different Meta-SPC are not intended to be used simultaneously with other biocidal products.</w:t>
      </w:r>
    </w:p>
    <w:p w14:paraId="2C1ACE80" w14:textId="77777777" w:rsidR="0015321A" w:rsidRPr="0015321A" w:rsidRDefault="0015321A" w:rsidP="000F6935">
      <w:pPr>
        <w:pStyle w:val="Corpsdetexte"/>
      </w:pPr>
    </w:p>
    <w:p w14:paraId="0DE5007E" w14:textId="2314F999" w:rsidR="009D0C0B" w:rsidRDefault="00FA480B">
      <w:pPr>
        <w:pStyle w:val="Titre3"/>
        <w:pageBreakBefore/>
        <w:rPr>
          <w:lang w:val="en-GB"/>
        </w:rPr>
      </w:pPr>
      <w:bookmarkStart w:id="175" w:name="_Toc87361202"/>
      <w:r w:rsidRPr="00B27CB1">
        <w:rPr>
          <w:lang w:val="en-GB"/>
        </w:rPr>
        <w:lastRenderedPageBreak/>
        <w:t>Risk assessment for human health</w:t>
      </w:r>
      <w:bookmarkEnd w:id="175"/>
    </w:p>
    <w:p w14:paraId="76B83766" w14:textId="3D3EE364" w:rsidR="00DE0BD6" w:rsidRDefault="00DE0BD6" w:rsidP="007A4DA8">
      <w:pPr>
        <w:pStyle w:val="Absatz"/>
        <w:rPr>
          <w:rFonts w:eastAsia="Calibri"/>
        </w:rPr>
      </w:pPr>
    </w:p>
    <w:p w14:paraId="04848A3B" w14:textId="01DBCDF6" w:rsidR="0061439F" w:rsidRPr="009D0AAA" w:rsidRDefault="0061439F" w:rsidP="0061439F">
      <w:pPr>
        <w:pStyle w:val="Absatz"/>
        <w:ind w:left="0"/>
        <w:jc w:val="both"/>
        <w:rPr>
          <w:rFonts w:ascii="Verdana" w:hAnsi="Verdana"/>
          <w:b/>
          <w:color w:val="00B0F0"/>
        </w:rPr>
      </w:pPr>
      <w:r w:rsidRPr="009D0AAA">
        <w:rPr>
          <w:rFonts w:ascii="Verdana" w:hAnsi="Verdana"/>
          <w:b/>
          <w:color w:val="00B0F0"/>
        </w:rPr>
        <w:t>The application methods claimed were revised by the applicant during the evaluation of the</w:t>
      </w:r>
      <w:r>
        <w:rPr>
          <w:rFonts w:ascii="Verdana" w:hAnsi="Verdana"/>
          <w:b/>
          <w:color w:val="00B0F0"/>
        </w:rPr>
        <w:t xml:space="preserve"> </w:t>
      </w:r>
      <w:r w:rsidRPr="009D0AAA">
        <w:rPr>
          <w:rFonts w:ascii="Verdana" w:hAnsi="Verdana"/>
          <w:b/>
          <w:color w:val="00B0F0"/>
        </w:rPr>
        <w:t>dossier. These updated claims correspond to deletion of some application methods in various meta SPCs. These modification</w:t>
      </w:r>
      <w:r w:rsidR="002574EF">
        <w:rPr>
          <w:rFonts w:ascii="Verdana" w:hAnsi="Verdana"/>
          <w:b/>
          <w:color w:val="00B0F0"/>
        </w:rPr>
        <w:t>s</w:t>
      </w:r>
      <w:r w:rsidRPr="009D0AAA">
        <w:rPr>
          <w:rFonts w:ascii="Verdana" w:hAnsi="Verdana"/>
          <w:b/>
          <w:color w:val="00B0F0"/>
        </w:rPr>
        <w:t xml:space="preserve"> are </w:t>
      </w:r>
      <w:r>
        <w:rPr>
          <w:rFonts w:ascii="Verdana" w:hAnsi="Verdana"/>
          <w:b/>
          <w:color w:val="00B0F0"/>
        </w:rPr>
        <w:t xml:space="preserve">included and </w:t>
      </w:r>
      <w:r w:rsidRPr="009D0AAA">
        <w:rPr>
          <w:rFonts w:ascii="Verdana" w:hAnsi="Verdana"/>
          <w:b/>
          <w:color w:val="00B0F0"/>
        </w:rPr>
        <w:t xml:space="preserve">materialized as strikethrough text </w:t>
      </w:r>
      <w:r w:rsidR="00F068A9">
        <w:rPr>
          <w:rFonts w:ascii="Verdana" w:hAnsi="Verdana"/>
          <w:b/>
          <w:color w:val="00B0F0"/>
        </w:rPr>
        <w:t>in the Intented uses part (see 2.2.1)</w:t>
      </w:r>
      <w:r w:rsidRPr="009D0AAA">
        <w:rPr>
          <w:rFonts w:ascii="Verdana" w:hAnsi="Verdana"/>
          <w:b/>
          <w:color w:val="00B0F0"/>
        </w:rPr>
        <w:t xml:space="preserve">. </w:t>
      </w:r>
    </w:p>
    <w:p w14:paraId="6BB79BE6" w14:textId="77777777" w:rsidR="0061439F" w:rsidRPr="009D0AAA" w:rsidRDefault="0061439F" w:rsidP="0061439F">
      <w:pPr>
        <w:pStyle w:val="Absatz"/>
        <w:ind w:left="0"/>
        <w:jc w:val="both"/>
        <w:rPr>
          <w:rFonts w:ascii="Verdana" w:hAnsi="Verdana"/>
          <w:b/>
          <w:color w:val="00B0F0"/>
        </w:rPr>
      </w:pPr>
    </w:p>
    <w:p w14:paraId="735A3F66" w14:textId="3FE3CD28" w:rsidR="00DE0BD6" w:rsidRPr="00FE2B16" w:rsidRDefault="0061439F" w:rsidP="00DE0BD6">
      <w:pPr>
        <w:pStyle w:val="Absatz"/>
        <w:ind w:left="0"/>
        <w:jc w:val="both"/>
        <w:rPr>
          <w:rFonts w:ascii="Verdana" w:hAnsi="Verdana"/>
          <w:b/>
          <w:color w:val="00B0F0"/>
        </w:rPr>
      </w:pPr>
      <w:r w:rsidRPr="009D0AAA">
        <w:rPr>
          <w:rFonts w:ascii="Verdana" w:hAnsi="Verdana"/>
          <w:b/>
          <w:color w:val="00B0F0"/>
        </w:rPr>
        <w:t xml:space="preserve">These changes were considered in the efficacy section but not </w:t>
      </w:r>
      <w:r>
        <w:rPr>
          <w:rFonts w:ascii="Verdana" w:hAnsi="Verdana"/>
          <w:b/>
          <w:color w:val="00B0F0"/>
        </w:rPr>
        <w:t xml:space="preserve">systematically </w:t>
      </w:r>
      <w:r w:rsidRPr="009D0AAA">
        <w:rPr>
          <w:rFonts w:ascii="Verdana" w:hAnsi="Verdana"/>
          <w:b/>
          <w:color w:val="00B0F0"/>
        </w:rPr>
        <w:t>in human health and environment sections</w:t>
      </w:r>
      <w:r>
        <w:rPr>
          <w:rFonts w:ascii="Verdana" w:hAnsi="Verdana"/>
          <w:b/>
          <w:color w:val="00B0F0"/>
        </w:rPr>
        <w:t>, as a risk envelop approach was performed</w:t>
      </w:r>
      <w:r w:rsidRPr="009D0AAA">
        <w:rPr>
          <w:rFonts w:ascii="Verdana" w:hAnsi="Verdana"/>
          <w:b/>
          <w:color w:val="00B0F0"/>
        </w:rPr>
        <w:t>.  However, this has no impact on the overall conclusions which consider only the updated claims.</w:t>
      </w:r>
    </w:p>
    <w:p w14:paraId="30A65962" w14:textId="77777777" w:rsidR="00DE0BD6" w:rsidRPr="007A4DA8" w:rsidRDefault="00DE0BD6" w:rsidP="007A4DA8">
      <w:pPr>
        <w:pStyle w:val="Absatz"/>
        <w:rPr>
          <w:rFonts w:eastAsia="Calibri"/>
        </w:rPr>
      </w:pPr>
    </w:p>
    <w:p w14:paraId="2DD95482" w14:textId="77777777" w:rsidR="00806DB7" w:rsidRPr="007A4DA8" w:rsidRDefault="00806DB7" w:rsidP="00806DB7">
      <w:pPr>
        <w:pStyle w:val="Corpsdetexte"/>
        <w:jc w:val="both"/>
        <w:rPr>
          <w:lang w:val="en-US"/>
        </w:rPr>
      </w:pPr>
      <w:r w:rsidRPr="007A4DA8">
        <w:rPr>
          <w:lang w:val="en-US"/>
        </w:rPr>
        <w:t xml:space="preserve">For each meta SPC, when no study was available, classification has been determined </w:t>
      </w:r>
      <w:r w:rsidRPr="008447D0">
        <w:rPr>
          <w:rFonts w:eastAsia="Calibri" w:cs="Times New Roman"/>
          <w:iCs/>
          <w:lang w:eastAsia="en-US"/>
        </w:rPr>
        <w:t>using the calculation method described in the Guidance on the Application of the CLP C</w:t>
      </w:r>
      <w:r>
        <w:rPr>
          <w:rFonts w:eastAsia="Calibri" w:cs="Times New Roman"/>
          <w:iCs/>
          <w:lang w:eastAsia="en-US"/>
        </w:rPr>
        <w:t>riteria Version 5.0 (July 2017).</w:t>
      </w:r>
      <w:r w:rsidRPr="007A4DA8">
        <w:rPr>
          <w:lang w:val="en-US"/>
        </w:rPr>
        <w:t xml:space="preserve"> </w:t>
      </w:r>
    </w:p>
    <w:p w14:paraId="058BC43D" w14:textId="77777777" w:rsidR="00806DB7" w:rsidRPr="007A4DA8" w:rsidRDefault="00806DB7" w:rsidP="00806DB7">
      <w:pPr>
        <w:pStyle w:val="Corpsdetexte"/>
        <w:rPr>
          <w:lang w:val="en-US"/>
        </w:rPr>
      </w:pPr>
    </w:p>
    <w:p w14:paraId="5DF416CC" w14:textId="77777777" w:rsidR="00806DB7" w:rsidRPr="00B27CB1" w:rsidRDefault="00806DB7" w:rsidP="00806DB7">
      <w:pPr>
        <w:pStyle w:val="Corpsdetexte"/>
        <w:rPr>
          <w:rFonts w:ascii="Times New Roman" w:eastAsia="Calibri" w:hAnsi="Times New Roman" w:cs="Times New Roman"/>
          <w:i/>
          <w:iCs/>
          <w:lang w:eastAsia="en-US"/>
        </w:rPr>
      </w:pPr>
      <w:r w:rsidRPr="007A4DA8">
        <w:rPr>
          <w:lang w:val="en-US"/>
        </w:rPr>
        <w:t>For more details, please see confidential annex.</w:t>
      </w:r>
      <w:r w:rsidRPr="00B27CB1" w:rsidDel="0094171C">
        <w:rPr>
          <w:rFonts w:ascii="Times New Roman" w:eastAsia="Calibri" w:hAnsi="Times New Roman" w:cs="Times New Roman"/>
          <w:i/>
          <w:lang w:eastAsia="en-US"/>
        </w:rPr>
        <w:t xml:space="preserve"> </w:t>
      </w:r>
    </w:p>
    <w:p w14:paraId="720E5D5B" w14:textId="77777777" w:rsidR="009D0C0B" w:rsidRPr="00B27CB1" w:rsidRDefault="009D0C0B" w:rsidP="00E91F85">
      <w:pPr>
        <w:pStyle w:val="Corpsdetexte"/>
        <w:rPr>
          <w:rFonts w:ascii="Times New Roman" w:eastAsia="Calibri" w:hAnsi="Times New Roman" w:cs="Times New Roman"/>
          <w:i/>
          <w:iCs/>
          <w:lang w:eastAsia="en-US"/>
        </w:rPr>
      </w:pPr>
    </w:p>
    <w:p w14:paraId="2C20618C" w14:textId="77777777" w:rsidR="009D0C0B" w:rsidRPr="00B27CB1" w:rsidRDefault="00FA480B">
      <w:pPr>
        <w:pStyle w:val="Titre4"/>
        <w:rPr>
          <w:b/>
          <w:i/>
          <w:szCs w:val="22"/>
          <w:lang w:val="en-GB" w:eastAsia="en-US"/>
        </w:rPr>
      </w:pPr>
      <w:bookmarkStart w:id="176" w:name="_Toc87361203"/>
      <w:r w:rsidRPr="00B27CB1">
        <w:rPr>
          <w:lang w:val="en-GB"/>
        </w:rPr>
        <w:t>Assessment of effects on Human Health</w:t>
      </w:r>
      <w:bookmarkEnd w:id="176"/>
      <w:r w:rsidRPr="00B27CB1">
        <w:rPr>
          <w:lang w:val="en-GB"/>
        </w:rPr>
        <w:t xml:space="preserve"> </w:t>
      </w:r>
    </w:p>
    <w:p w14:paraId="3BBEDBB7" w14:textId="77777777" w:rsidR="00806DB7" w:rsidRDefault="00806DB7">
      <w:pPr>
        <w:rPr>
          <w:rFonts w:eastAsia="Calibri"/>
          <w:b/>
          <w:i/>
          <w:sz w:val="22"/>
          <w:szCs w:val="22"/>
          <w:lang w:eastAsia="en-US"/>
        </w:rPr>
      </w:pPr>
    </w:p>
    <w:p w14:paraId="714B0A81" w14:textId="052A1D9E" w:rsidR="009D0C0B" w:rsidRPr="00B27CB1" w:rsidRDefault="00FA480B">
      <w:pPr>
        <w:rPr>
          <w:rFonts w:ascii="Times New Roman" w:eastAsia="Calibri" w:hAnsi="Times New Roman" w:cs="Times New Roman"/>
          <w:i/>
          <w:iCs/>
          <w:lang w:eastAsia="en-US"/>
        </w:rPr>
      </w:pPr>
      <w:r w:rsidRPr="00B27CB1">
        <w:rPr>
          <w:rFonts w:eastAsia="Calibri"/>
          <w:b/>
          <w:i/>
          <w:sz w:val="22"/>
          <w:szCs w:val="22"/>
          <w:lang w:eastAsia="en-US"/>
        </w:rPr>
        <w:t>Skin corrosion and irritation</w:t>
      </w:r>
    </w:p>
    <w:p w14:paraId="3D2638E9" w14:textId="09496069" w:rsidR="00806DB7" w:rsidRDefault="00806DB7">
      <w:pPr>
        <w:spacing w:line="260" w:lineRule="atLeast"/>
        <w:rPr>
          <w:rFonts w:ascii="Times New Roman" w:eastAsia="Calibri" w:hAnsi="Times New Roman" w:cs="Times New Roman"/>
          <w:i/>
          <w:iCs/>
          <w:lang w:eastAsia="en-US"/>
        </w:rPr>
      </w:pPr>
    </w:p>
    <w:p w14:paraId="3848BFE4" w14:textId="77777777" w:rsidR="00806DB7" w:rsidRDefault="00806DB7" w:rsidP="00806DB7">
      <w:pPr>
        <w:spacing w:line="260" w:lineRule="atLeast"/>
        <w:rPr>
          <w:rFonts w:ascii="Times New Roman" w:eastAsia="Calibri" w:hAnsi="Times New Roman" w:cs="Times New Roman"/>
          <w:i/>
          <w:iCs/>
          <w:lang w:eastAsia="en-US"/>
        </w:rPr>
      </w:pPr>
    </w:p>
    <w:tbl>
      <w:tblPr>
        <w:tblW w:w="10142" w:type="dxa"/>
        <w:tblInd w:w="-7" w:type="dxa"/>
        <w:tblLayout w:type="fixed"/>
        <w:tblCellMar>
          <w:left w:w="70" w:type="dxa"/>
          <w:right w:w="70" w:type="dxa"/>
        </w:tblCellMar>
        <w:tblLook w:val="0000" w:firstRow="0" w:lastRow="0" w:firstColumn="0" w:lastColumn="0" w:noHBand="0" w:noVBand="0"/>
      </w:tblPr>
      <w:tblGrid>
        <w:gridCol w:w="1353"/>
        <w:gridCol w:w="1418"/>
        <w:gridCol w:w="2048"/>
        <w:gridCol w:w="2268"/>
        <w:gridCol w:w="1354"/>
        <w:gridCol w:w="1701"/>
      </w:tblGrid>
      <w:tr w:rsidR="00806DB7" w:rsidRPr="00EE7885" w14:paraId="5B10F285" w14:textId="77777777" w:rsidTr="00934956">
        <w:trPr>
          <w:tblHeader/>
        </w:trPr>
        <w:tc>
          <w:tcPr>
            <w:tcW w:w="10142" w:type="dxa"/>
            <w:gridSpan w:val="6"/>
            <w:tcBorders>
              <w:top w:val="single" w:sz="6" w:space="0" w:color="000000"/>
              <w:left w:val="single" w:sz="6" w:space="0" w:color="000000"/>
              <w:bottom w:val="single" w:sz="6" w:space="0" w:color="000000"/>
              <w:right w:val="single" w:sz="6" w:space="0" w:color="000000"/>
            </w:tcBorders>
            <w:shd w:val="clear" w:color="auto" w:fill="FFFFCC"/>
          </w:tcPr>
          <w:p w14:paraId="59F65B14" w14:textId="77777777" w:rsidR="00806DB7" w:rsidRPr="00EE7885" w:rsidRDefault="00806DB7" w:rsidP="00934956">
            <w:pPr>
              <w:keepNext/>
              <w:widowControl w:val="0"/>
              <w:tabs>
                <w:tab w:val="center" w:pos="4536"/>
                <w:tab w:val="right" w:pos="9072"/>
              </w:tabs>
              <w:spacing w:line="260" w:lineRule="atLeast"/>
              <w:jc w:val="center"/>
            </w:pPr>
            <w:r w:rsidRPr="00EE7885">
              <w:rPr>
                <w:rFonts w:eastAsia="Calibri"/>
                <w:b/>
                <w:bCs/>
                <w:color w:val="000000"/>
                <w:lang w:eastAsia="en-GB"/>
              </w:rPr>
              <w:lastRenderedPageBreak/>
              <w:t xml:space="preserve">Summary table of </w:t>
            </w:r>
            <w:r w:rsidRPr="00EE7885">
              <w:rPr>
                <w:rFonts w:eastAsia="Calibri"/>
                <w:b/>
                <w:bCs/>
                <w:i/>
                <w:color w:val="000000"/>
                <w:lang w:eastAsia="en-GB"/>
              </w:rPr>
              <w:t>in vitro</w:t>
            </w:r>
            <w:r w:rsidRPr="00EE7885">
              <w:rPr>
                <w:rFonts w:eastAsia="Calibri"/>
                <w:b/>
                <w:bCs/>
                <w:color w:val="000000"/>
                <w:lang w:eastAsia="en-GB"/>
              </w:rPr>
              <w:t xml:space="preserve"> studies on skin corrosion/irritation</w:t>
            </w:r>
          </w:p>
        </w:tc>
      </w:tr>
      <w:tr w:rsidR="00806DB7" w:rsidRPr="00EE7885" w14:paraId="3B3D0825"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3434B381" w14:textId="77777777" w:rsidR="00806DB7" w:rsidRPr="00EE7885" w:rsidRDefault="00806DB7" w:rsidP="00934956">
            <w:pPr>
              <w:keepNext/>
              <w:widowControl w:val="0"/>
              <w:tabs>
                <w:tab w:val="center" w:pos="4536"/>
                <w:tab w:val="right" w:pos="9072"/>
              </w:tabs>
              <w:spacing w:line="260" w:lineRule="atLeast"/>
              <w:rPr>
                <w:rFonts w:eastAsia="Calibri"/>
                <w:b/>
                <w:bCs/>
                <w:color w:val="000000"/>
                <w:lang w:eastAsia="en-GB"/>
              </w:rPr>
            </w:pPr>
            <w:r w:rsidRPr="00EE7885">
              <w:rPr>
                <w:rFonts w:eastAsia="Calibri"/>
                <w:b/>
                <w:bCs/>
                <w:color w:val="000000"/>
                <w:lang w:eastAsia="en-GB"/>
              </w:rPr>
              <w:t>Method,</w:t>
            </w:r>
          </w:p>
          <w:p w14:paraId="64D737E0" w14:textId="77777777" w:rsidR="00806DB7" w:rsidRPr="00EE7885" w:rsidRDefault="00806DB7" w:rsidP="00934956">
            <w:pPr>
              <w:keepNext/>
              <w:widowControl w:val="0"/>
              <w:tabs>
                <w:tab w:val="center" w:pos="4536"/>
                <w:tab w:val="right" w:pos="9072"/>
              </w:tabs>
              <w:spacing w:line="260" w:lineRule="atLeast"/>
              <w:rPr>
                <w:rFonts w:eastAsia="Calibri"/>
                <w:b/>
                <w:lang w:eastAsia="en-GB"/>
              </w:rPr>
            </w:pPr>
            <w:r w:rsidRPr="00EE7885">
              <w:rPr>
                <w:rFonts w:eastAsia="Calibri"/>
                <w:b/>
                <w:bCs/>
                <w:color w:val="000000"/>
                <w:lang w:eastAsia="en-GB"/>
              </w:rPr>
              <w:t>Guideline,</w:t>
            </w:r>
          </w:p>
          <w:p w14:paraId="2F876850" w14:textId="77777777" w:rsidR="00806DB7" w:rsidRPr="00EE7885" w:rsidRDefault="00806DB7" w:rsidP="00934956">
            <w:pPr>
              <w:keepNext/>
              <w:widowControl w:val="0"/>
              <w:tabs>
                <w:tab w:val="center" w:pos="4536"/>
                <w:tab w:val="right" w:pos="9072"/>
              </w:tabs>
              <w:spacing w:line="260" w:lineRule="atLeast"/>
              <w:rPr>
                <w:rFonts w:eastAsia="Calibri"/>
                <w:b/>
                <w:bCs/>
                <w:color w:val="000000"/>
                <w:lang w:eastAsia="en-GB"/>
              </w:rPr>
            </w:pPr>
            <w:r w:rsidRPr="00EE7885">
              <w:rPr>
                <w:rFonts w:eastAsia="Calibri"/>
                <w:b/>
                <w:lang w:eastAsia="en-GB"/>
              </w:rPr>
              <w:t>GLP status</w:t>
            </w:r>
            <w:r w:rsidRPr="00EE7885">
              <w:rPr>
                <w:rFonts w:eastAsia="Calibri"/>
                <w:b/>
                <w:bCs/>
                <w:color w:val="000000"/>
                <w:lang w:eastAsia="en-GB"/>
              </w:rPr>
              <w:t>, Reliability</w:t>
            </w:r>
          </w:p>
        </w:tc>
        <w:tc>
          <w:tcPr>
            <w:tcW w:w="1418" w:type="dxa"/>
            <w:tcBorders>
              <w:top w:val="single" w:sz="6" w:space="0" w:color="000000"/>
              <w:left w:val="single" w:sz="6" w:space="0" w:color="000000"/>
              <w:bottom w:val="single" w:sz="6" w:space="0" w:color="000000"/>
            </w:tcBorders>
            <w:shd w:val="clear" w:color="auto" w:fill="auto"/>
          </w:tcPr>
          <w:p w14:paraId="78B99A07" w14:textId="77777777" w:rsidR="00806DB7" w:rsidRPr="00EE7885" w:rsidRDefault="00806DB7" w:rsidP="00934956">
            <w:pPr>
              <w:keepNext/>
              <w:widowControl w:val="0"/>
              <w:tabs>
                <w:tab w:val="center" w:pos="4536"/>
                <w:tab w:val="right" w:pos="9072"/>
              </w:tabs>
              <w:spacing w:line="260" w:lineRule="atLeast"/>
              <w:rPr>
                <w:rFonts w:eastAsia="Calibri"/>
                <w:b/>
                <w:bCs/>
                <w:color w:val="000000"/>
                <w:lang w:eastAsia="en-GB"/>
              </w:rPr>
            </w:pPr>
            <w:r w:rsidRPr="00EE7885">
              <w:rPr>
                <w:rFonts w:eastAsia="Calibri"/>
                <w:b/>
                <w:bCs/>
                <w:color w:val="000000"/>
                <w:lang w:eastAsia="en-GB"/>
              </w:rPr>
              <w:t>Test substance, Doses</w:t>
            </w:r>
          </w:p>
        </w:tc>
        <w:tc>
          <w:tcPr>
            <w:tcW w:w="2048" w:type="dxa"/>
            <w:tcBorders>
              <w:top w:val="single" w:sz="6" w:space="0" w:color="000000"/>
              <w:left w:val="single" w:sz="6" w:space="0" w:color="000000"/>
              <w:bottom w:val="single" w:sz="6" w:space="0" w:color="000000"/>
            </w:tcBorders>
            <w:shd w:val="clear" w:color="auto" w:fill="auto"/>
          </w:tcPr>
          <w:p w14:paraId="0356FE00" w14:textId="77777777" w:rsidR="00806DB7" w:rsidRPr="00EE7885" w:rsidRDefault="00806DB7" w:rsidP="00934956">
            <w:pPr>
              <w:keepNext/>
              <w:widowControl w:val="0"/>
              <w:tabs>
                <w:tab w:val="center" w:pos="4536"/>
                <w:tab w:val="right" w:pos="9072"/>
              </w:tabs>
              <w:spacing w:line="260" w:lineRule="atLeast"/>
              <w:rPr>
                <w:rFonts w:eastAsia="Calibri"/>
                <w:b/>
                <w:bCs/>
                <w:color w:val="000000"/>
                <w:lang w:eastAsia="en-GB"/>
              </w:rPr>
            </w:pPr>
            <w:r w:rsidRPr="00EE7885">
              <w:rPr>
                <w:rFonts w:eastAsia="Calibri"/>
                <w:b/>
                <w:bCs/>
                <w:color w:val="000000"/>
                <w:lang w:eastAsia="en-GB"/>
              </w:rPr>
              <w:t>Relevant information about the study</w:t>
            </w:r>
          </w:p>
        </w:tc>
        <w:tc>
          <w:tcPr>
            <w:tcW w:w="2268" w:type="dxa"/>
            <w:tcBorders>
              <w:top w:val="single" w:sz="6" w:space="0" w:color="000000"/>
              <w:left w:val="single" w:sz="6" w:space="0" w:color="000000"/>
              <w:bottom w:val="single" w:sz="6" w:space="0" w:color="000000"/>
            </w:tcBorders>
            <w:shd w:val="clear" w:color="auto" w:fill="auto"/>
          </w:tcPr>
          <w:p w14:paraId="3B5AF86D" w14:textId="77777777" w:rsidR="00806DB7" w:rsidRPr="00EE7885" w:rsidRDefault="00806DB7" w:rsidP="00934956">
            <w:pPr>
              <w:keepNext/>
              <w:widowControl w:val="0"/>
              <w:tabs>
                <w:tab w:val="center" w:pos="4536"/>
                <w:tab w:val="right" w:pos="9072"/>
              </w:tabs>
              <w:spacing w:line="260" w:lineRule="atLeast"/>
              <w:rPr>
                <w:rFonts w:eastAsia="Calibri"/>
                <w:b/>
                <w:lang w:eastAsia="en-GB"/>
              </w:rPr>
            </w:pPr>
            <w:r w:rsidRPr="00EE7885">
              <w:rPr>
                <w:rFonts w:eastAsia="Calibri"/>
                <w:b/>
                <w:bCs/>
                <w:color w:val="000000"/>
                <w:lang w:eastAsia="en-GB"/>
              </w:rPr>
              <w:t>Results</w:t>
            </w:r>
          </w:p>
        </w:tc>
        <w:tc>
          <w:tcPr>
            <w:tcW w:w="1354" w:type="dxa"/>
            <w:tcBorders>
              <w:top w:val="single" w:sz="6" w:space="0" w:color="000000"/>
              <w:left w:val="single" w:sz="6" w:space="0" w:color="000000"/>
              <w:bottom w:val="single" w:sz="6" w:space="0" w:color="000000"/>
            </w:tcBorders>
            <w:shd w:val="clear" w:color="auto" w:fill="auto"/>
          </w:tcPr>
          <w:p w14:paraId="2BF950CE" w14:textId="77777777" w:rsidR="00806DB7" w:rsidRPr="00EE7885" w:rsidRDefault="00806DB7" w:rsidP="00934956">
            <w:pPr>
              <w:keepNext/>
              <w:widowControl w:val="0"/>
              <w:tabs>
                <w:tab w:val="center" w:pos="4536"/>
                <w:tab w:val="right" w:pos="9072"/>
              </w:tabs>
              <w:spacing w:line="260" w:lineRule="atLeast"/>
              <w:rPr>
                <w:rFonts w:eastAsia="Calibri"/>
                <w:b/>
                <w:bCs/>
                <w:color w:val="000000"/>
                <w:lang w:eastAsia="en-GB"/>
              </w:rPr>
            </w:pPr>
            <w:r w:rsidRPr="00EE7885">
              <w:rPr>
                <w:rFonts w:eastAsia="Calibri"/>
                <w:b/>
                <w:lang w:eastAsia="en-GB"/>
              </w:rPr>
              <w:t xml:space="preserve">Remarks </w:t>
            </w:r>
            <w:r w:rsidRPr="00EE7885">
              <w:rPr>
                <w:rFonts w:eastAsia="Calibri"/>
                <w:i/>
                <w:lang w:eastAsia="en-GB"/>
              </w:rPr>
              <w:t>(e.g. major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69DB532" w14:textId="77777777" w:rsidR="00806DB7" w:rsidRPr="00EE7885" w:rsidRDefault="00806DB7" w:rsidP="00934956">
            <w:pPr>
              <w:keepNext/>
              <w:widowControl w:val="0"/>
              <w:tabs>
                <w:tab w:val="center" w:pos="4536"/>
                <w:tab w:val="right" w:pos="9072"/>
              </w:tabs>
              <w:spacing w:line="260" w:lineRule="atLeast"/>
            </w:pPr>
            <w:r w:rsidRPr="00EE7885">
              <w:rPr>
                <w:rFonts w:eastAsia="Calibri"/>
                <w:b/>
                <w:bCs/>
                <w:color w:val="000000"/>
                <w:lang w:eastAsia="en-GB"/>
              </w:rPr>
              <w:t>Reference</w:t>
            </w:r>
          </w:p>
        </w:tc>
      </w:tr>
      <w:tr w:rsidR="00806DB7" w:rsidRPr="00B27CB1" w14:paraId="12873C6D"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2F6E4A2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i/>
                <w:color w:val="000000"/>
                <w:lang w:eastAsia="en-GB"/>
              </w:rPr>
              <w:t>In vitro</w:t>
            </w:r>
            <w:r w:rsidRPr="00EE7885">
              <w:rPr>
                <w:rFonts w:eastAsia="Calibri"/>
                <w:color w:val="000000"/>
                <w:lang w:eastAsia="en-GB"/>
              </w:rPr>
              <w:t xml:space="preserve"> skin irritation (Reconstructed Human Epidermis Test Method)</w:t>
            </w:r>
          </w:p>
          <w:p w14:paraId="351EDA43"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color w:val="000000"/>
                <w:lang w:eastAsia="en-GB"/>
              </w:rPr>
              <w:t>O</w:t>
            </w:r>
            <w:r w:rsidRPr="00EE7885">
              <w:rPr>
                <w:rFonts w:eastAsia="Calibri"/>
                <w:bCs/>
                <w:color w:val="000000"/>
                <w:lang w:eastAsia="en-GB"/>
              </w:rPr>
              <w:t>ECD 439</w:t>
            </w:r>
          </w:p>
          <w:p w14:paraId="7BA802FE"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7787D57D"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GLP</w:t>
            </w:r>
          </w:p>
          <w:p w14:paraId="31160922"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35692668"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1DF34172"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AL-S1-3-0</w:t>
            </w:r>
          </w:p>
          <w:p w14:paraId="182267D7"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7AF66A22"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cs="Times New Roman"/>
                <w:color w:val="000000"/>
                <w:lang w:val="en-US" w:eastAsia="fr-FR"/>
              </w:rPr>
              <w:t>16 µL to 3 living Reconstructed Human epidermis (SkinEthic RHE model)</w:t>
            </w:r>
          </w:p>
          <w:p w14:paraId="5A52A20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2F1F7E67"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048" w:type="dxa"/>
            <w:tcBorders>
              <w:top w:val="single" w:sz="6" w:space="0" w:color="000000"/>
              <w:left w:val="single" w:sz="6" w:space="0" w:color="000000"/>
              <w:bottom w:val="single" w:sz="6" w:space="0" w:color="000000"/>
            </w:tcBorders>
            <w:shd w:val="clear" w:color="auto" w:fill="auto"/>
          </w:tcPr>
          <w:p w14:paraId="6640F94D"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Positive control = Sodium Dodecyl Sulfate (5%)</w:t>
            </w:r>
          </w:p>
          <w:p w14:paraId="65A8EE8A"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CD40FBB"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 = distilled water</w:t>
            </w:r>
          </w:p>
          <w:p w14:paraId="0E6C4C7B"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6BBED27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Application time: 42 min</w:t>
            </w:r>
          </w:p>
          <w:p w14:paraId="129CF98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2B1D388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Rinse with 25 mL of DPBS</w:t>
            </w:r>
          </w:p>
          <w:p w14:paraId="1B0DC13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79BA740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Post-treatment incubation period = 42 hours</w:t>
            </w:r>
          </w:p>
          <w:p w14:paraId="010340D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74DA2BA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MTT incubation period = 3 hours</w:t>
            </w:r>
          </w:p>
          <w:p w14:paraId="70C87E9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56ACD6E5"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Formazan extraction solvent = isopropanol</w:t>
            </w:r>
          </w:p>
        </w:tc>
        <w:tc>
          <w:tcPr>
            <w:tcW w:w="2268" w:type="dxa"/>
            <w:tcBorders>
              <w:top w:val="single" w:sz="6" w:space="0" w:color="000000"/>
              <w:left w:val="single" w:sz="6" w:space="0" w:color="000000"/>
              <w:bottom w:val="single" w:sz="6" w:space="0" w:color="000000"/>
            </w:tcBorders>
            <w:shd w:val="clear" w:color="auto" w:fill="auto"/>
          </w:tcPr>
          <w:p w14:paraId="3FBCF505"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Mean viability:</w:t>
            </w:r>
          </w:p>
          <w:p w14:paraId="4F1094E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4A2C9AA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 xml:space="preserve">AL-S1-3-0 = </w:t>
            </w:r>
            <w:r w:rsidRPr="00EE7885">
              <w:rPr>
                <w:rFonts w:eastAsia="Calibri"/>
                <w:b/>
                <w:color w:val="000000"/>
                <w:lang w:eastAsia="en-GB"/>
              </w:rPr>
              <w:t>81.8%</w:t>
            </w:r>
          </w:p>
          <w:p w14:paraId="2C36293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34D76145"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E7885">
              <w:rPr>
                <w:rFonts w:eastAsia="Calibri"/>
                <w:color w:val="000000"/>
                <w:lang w:eastAsia="en-GB"/>
              </w:rPr>
              <w:t xml:space="preserve">Positive control = </w:t>
            </w:r>
            <w:r w:rsidRPr="00EE7885">
              <w:rPr>
                <w:rFonts w:eastAsia="Calibri"/>
                <w:b/>
                <w:color w:val="000000"/>
                <w:lang w:eastAsia="en-GB"/>
              </w:rPr>
              <w:t>1.7%</w:t>
            </w:r>
          </w:p>
          <w:p w14:paraId="45BB6271"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40BC62BD"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w:t>
            </w:r>
          </w:p>
          <w:p w14:paraId="1624D6C3"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E7885">
              <w:rPr>
                <w:rFonts w:eastAsia="Calibri"/>
                <w:b/>
                <w:color w:val="000000"/>
                <w:lang w:eastAsia="en-GB"/>
              </w:rPr>
              <w:t>100%</w:t>
            </w:r>
          </w:p>
          <w:p w14:paraId="1E4FB21C"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7270A9A5"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67291819"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lang w:eastAsia="en-US"/>
              </w:rPr>
              <w:t>Mean viability of treated tissues &gt; 50%. According to the OECD 439 guideline, no classification required for the product AL-S1-3-0</w:t>
            </w:r>
          </w:p>
        </w:tc>
        <w:tc>
          <w:tcPr>
            <w:tcW w:w="1354" w:type="dxa"/>
            <w:tcBorders>
              <w:top w:val="single" w:sz="6" w:space="0" w:color="000000"/>
              <w:left w:val="single" w:sz="6" w:space="0" w:color="000000"/>
              <w:bottom w:val="single" w:sz="6" w:space="0" w:color="000000"/>
            </w:tcBorders>
            <w:shd w:val="clear" w:color="auto" w:fill="auto"/>
          </w:tcPr>
          <w:p w14:paraId="2E8E6C5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No deviation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8DF501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Barré T. (2018)</w:t>
            </w:r>
          </w:p>
          <w:p w14:paraId="1A0FB62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67CBDA6B"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Study Number: HSMI-PH-18/0259</w:t>
            </w:r>
          </w:p>
        </w:tc>
      </w:tr>
      <w:tr w:rsidR="00806DB7" w:rsidRPr="00B27CB1" w14:paraId="489D8C11"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6925D73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i/>
                <w:color w:val="000000"/>
                <w:lang w:eastAsia="en-GB"/>
              </w:rPr>
              <w:lastRenderedPageBreak/>
              <w:t>In vitro</w:t>
            </w:r>
            <w:r w:rsidRPr="00EE7885">
              <w:rPr>
                <w:rFonts w:eastAsia="Calibri"/>
                <w:color w:val="000000"/>
                <w:lang w:eastAsia="en-GB"/>
              </w:rPr>
              <w:t xml:space="preserve"> Membrane Barrier Test Method for Skin Corrosion</w:t>
            </w:r>
          </w:p>
          <w:p w14:paraId="6BBF67D2"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color w:val="000000"/>
                <w:lang w:eastAsia="en-GB"/>
              </w:rPr>
              <w:t>O</w:t>
            </w:r>
            <w:r w:rsidRPr="00EE7885">
              <w:rPr>
                <w:rFonts w:eastAsia="Calibri"/>
                <w:bCs/>
                <w:color w:val="000000"/>
                <w:lang w:eastAsia="en-GB"/>
              </w:rPr>
              <w:t>ECD 435</w:t>
            </w:r>
          </w:p>
          <w:p w14:paraId="28FEDE9F"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 xml:space="preserve"> </w:t>
            </w:r>
          </w:p>
          <w:p w14:paraId="54AF5300"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 xml:space="preserve">GLP </w:t>
            </w:r>
          </w:p>
          <w:p w14:paraId="65100DA6"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33E893AA" w14:textId="77777777" w:rsidR="00806DB7" w:rsidRPr="00EE7885" w:rsidRDefault="00806DB7" w:rsidP="00934956">
            <w:pPr>
              <w:keepNext/>
              <w:widowControl w:val="0"/>
              <w:tabs>
                <w:tab w:val="center" w:pos="4536"/>
                <w:tab w:val="right" w:pos="9072"/>
              </w:tabs>
              <w:snapToGrid w:val="0"/>
              <w:spacing w:line="276" w:lineRule="auto"/>
              <w:rPr>
                <w:rFonts w:eastAsia="Calibri"/>
                <w:i/>
                <w:color w:val="000000"/>
                <w:lang w:eastAsia="en-GB"/>
              </w:rPr>
            </w:pPr>
            <w:r w:rsidRPr="00EE7885">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7C75ABF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AL-S2-3-0</w:t>
            </w:r>
          </w:p>
          <w:p w14:paraId="4953CA7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2E8B5B6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cs="Times New Roman"/>
                <w:color w:val="000000"/>
                <w:lang w:val="en-US" w:eastAsia="fr-FR"/>
              </w:rPr>
              <w:t>500 µL onto 4 membrane barriers</w:t>
            </w:r>
          </w:p>
          <w:p w14:paraId="333E30E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73E7918B"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048" w:type="dxa"/>
            <w:tcBorders>
              <w:top w:val="single" w:sz="6" w:space="0" w:color="000000"/>
              <w:left w:val="single" w:sz="6" w:space="0" w:color="000000"/>
              <w:bottom w:val="single" w:sz="6" w:space="0" w:color="000000"/>
            </w:tcBorders>
            <w:shd w:val="clear" w:color="auto" w:fill="auto"/>
          </w:tcPr>
          <w:p w14:paraId="15C76A1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Positive control = sodium hydroxide</w:t>
            </w:r>
          </w:p>
          <w:p w14:paraId="1E3E0A7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4D233DD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 = propionic acid 6%</w:t>
            </w:r>
          </w:p>
          <w:p w14:paraId="5C08EC3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268" w:type="dxa"/>
            <w:tcBorders>
              <w:top w:val="single" w:sz="6" w:space="0" w:color="000000"/>
              <w:left w:val="single" w:sz="6" w:space="0" w:color="000000"/>
              <w:bottom w:val="single" w:sz="6" w:space="0" w:color="000000"/>
            </w:tcBorders>
            <w:shd w:val="clear" w:color="auto" w:fill="auto"/>
          </w:tcPr>
          <w:p w14:paraId="5D5B3599"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Test performed following 3 steps:</w:t>
            </w:r>
          </w:p>
          <w:p w14:paraId="0F242832" w14:textId="77777777" w:rsidR="00806DB7" w:rsidRPr="00806DB7" w:rsidRDefault="00806DB7" w:rsidP="00934956">
            <w:pPr>
              <w:keepNext/>
              <w:widowControl w:val="0"/>
              <w:tabs>
                <w:tab w:val="center" w:pos="4536"/>
                <w:tab w:val="right" w:pos="9072"/>
              </w:tabs>
              <w:snapToGrid w:val="0"/>
              <w:spacing w:line="276" w:lineRule="auto"/>
              <w:rPr>
                <w:rFonts w:cs="Times New Roman"/>
                <w:b/>
                <w:u w:val="single"/>
                <w:lang w:eastAsia="de-DE"/>
              </w:rPr>
            </w:pPr>
          </w:p>
          <w:p w14:paraId="7926B212"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1 – Compatibility test: confirmed by a color change (red coloration) within 5 minutes of observation</w:t>
            </w:r>
          </w:p>
          <w:p w14:paraId="5C8A474F"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p>
          <w:p w14:paraId="3FDE9BC2"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2 – Timescale Category test:</w:t>
            </w:r>
          </w:p>
          <w:p w14:paraId="5A0A3731"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First trial: not conclusive</w:t>
            </w:r>
          </w:p>
          <w:p w14:paraId="6FA50607" w14:textId="77777777" w:rsid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 xml:space="preserve">Second trial: liquid turned into a grey </w:t>
            </w:r>
            <w:r>
              <w:rPr>
                <w:rFonts w:cs="Times New Roman"/>
                <w:lang w:eastAsia="de-DE"/>
              </w:rPr>
              <w:t xml:space="preserve">coloration </w:t>
            </w:r>
          </w:p>
          <w:p w14:paraId="54F44B36" w14:textId="7888FA53"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806DB7">
              <w:rPr>
                <w:rFonts w:cs="Times New Roman"/>
                <w:lang w:eastAsia="de-DE"/>
              </w:rPr>
              <w:sym w:font="Wingdings" w:char="F0E0"/>
            </w:r>
            <w:r w:rsidRPr="00E91F85">
              <w:rPr>
                <w:rFonts w:cs="Times New Roman"/>
                <w:lang w:eastAsia="de-DE"/>
              </w:rPr>
              <w:t xml:space="preserve"> assignment to category 2</w:t>
            </w:r>
          </w:p>
          <w:p w14:paraId="3AF62C7C"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11157109"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Step 3 -Measurement of membrane barrier penetrations:</w:t>
            </w:r>
          </w:p>
          <w:p w14:paraId="7E9E0D87"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079FB2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u w:val="single"/>
                <w:lang w:eastAsia="en-GB"/>
              </w:rPr>
              <w:t>AL-S2-3-0 and negative control:</w:t>
            </w:r>
            <w:r w:rsidRPr="00EE7885">
              <w:rPr>
                <w:rFonts w:eastAsia="Calibri"/>
                <w:color w:val="000000"/>
                <w:lang w:eastAsia="en-GB"/>
              </w:rPr>
              <w:t xml:space="preserve"> no disruption of the membrane after 1 hour (4 replicates)</w:t>
            </w:r>
          </w:p>
          <w:p w14:paraId="32A45ABD"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6639C32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u w:val="single"/>
                <w:lang w:eastAsia="en-GB"/>
              </w:rPr>
              <w:t>Positive control:</w:t>
            </w:r>
            <w:r>
              <w:rPr>
                <w:rFonts w:eastAsia="Calibri"/>
                <w:color w:val="000000"/>
                <w:lang w:eastAsia="en-GB"/>
              </w:rPr>
              <w:t xml:space="preserve"> disruption of </w:t>
            </w:r>
            <w:r w:rsidRPr="00EE7885">
              <w:rPr>
                <w:rFonts w:eastAsia="Calibri"/>
                <w:color w:val="000000"/>
                <w:lang w:eastAsia="en-GB"/>
              </w:rPr>
              <w:t>the membrane after 21 minutes and 24 seconds</w:t>
            </w:r>
          </w:p>
          <w:p w14:paraId="51007560"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p>
          <w:p w14:paraId="19A3C549"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3AD43A17" w14:textId="77777777" w:rsidR="00806DB7" w:rsidRPr="00ED20E3"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According to the OECD 435 guideline, AL-S2-3-0 is not corrosive to the skin.</w:t>
            </w:r>
          </w:p>
          <w:p w14:paraId="7AC5638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1354" w:type="dxa"/>
            <w:tcBorders>
              <w:top w:val="single" w:sz="6" w:space="0" w:color="000000"/>
              <w:left w:val="single" w:sz="6" w:space="0" w:color="000000"/>
              <w:bottom w:val="single" w:sz="6" w:space="0" w:color="000000"/>
            </w:tcBorders>
            <w:shd w:val="clear" w:color="auto" w:fill="auto"/>
          </w:tcPr>
          <w:p w14:paraId="01878CA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82BCA72"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Barré T. (2018)</w:t>
            </w:r>
          </w:p>
          <w:p w14:paraId="530240D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87E841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Study Number: CTX-PH-18/0391</w:t>
            </w:r>
          </w:p>
        </w:tc>
      </w:tr>
      <w:tr w:rsidR="00806DB7" w:rsidRPr="00B27CB1" w14:paraId="4470128E"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5F1346B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i/>
                <w:color w:val="000000"/>
                <w:lang w:eastAsia="en-GB"/>
              </w:rPr>
              <w:lastRenderedPageBreak/>
              <w:t>In vitro</w:t>
            </w:r>
            <w:r w:rsidRPr="00EE7885">
              <w:rPr>
                <w:rFonts w:eastAsia="Calibri"/>
                <w:color w:val="000000"/>
                <w:lang w:eastAsia="en-GB"/>
              </w:rPr>
              <w:t xml:space="preserve"> skin irritation (Reconstructed Human Epidermis Test Method)</w:t>
            </w:r>
          </w:p>
          <w:p w14:paraId="018D7CFB"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color w:val="000000"/>
                <w:lang w:eastAsia="en-GB"/>
              </w:rPr>
              <w:t>O</w:t>
            </w:r>
            <w:r w:rsidRPr="00EE7885">
              <w:rPr>
                <w:rFonts w:eastAsia="Calibri"/>
                <w:bCs/>
                <w:color w:val="000000"/>
                <w:lang w:eastAsia="en-GB"/>
              </w:rPr>
              <w:t>ECD 439</w:t>
            </w:r>
          </w:p>
          <w:p w14:paraId="2C006521"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 xml:space="preserve"> </w:t>
            </w:r>
          </w:p>
          <w:p w14:paraId="26346275"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GLP</w:t>
            </w:r>
          </w:p>
          <w:p w14:paraId="42B1DBB6"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3C46B5F6" w14:textId="77777777" w:rsidR="00806DB7" w:rsidRPr="007233E9" w:rsidRDefault="00806DB7" w:rsidP="00934956">
            <w:pPr>
              <w:keepNext/>
              <w:widowControl w:val="0"/>
              <w:tabs>
                <w:tab w:val="center" w:pos="4536"/>
                <w:tab w:val="right" w:pos="9072"/>
              </w:tabs>
              <w:snapToGrid w:val="0"/>
              <w:spacing w:line="276" w:lineRule="auto"/>
              <w:rPr>
                <w:rFonts w:eastAsia="Calibri"/>
                <w:i/>
                <w:color w:val="000000"/>
                <w:lang w:eastAsia="en-GB"/>
              </w:rPr>
            </w:pPr>
            <w:r w:rsidRPr="00EE7885">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7FBF829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AL-S2-3-0</w:t>
            </w:r>
          </w:p>
          <w:p w14:paraId="7102E8F2"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7AF8E5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cs="Times New Roman"/>
                <w:color w:val="000000"/>
                <w:lang w:val="en-US" w:eastAsia="fr-FR"/>
              </w:rPr>
              <w:t>16 µL to 3 living Reconstructed Human epidermis (SkinEthic RHE model)</w:t>
            </w:r>
          </w:p>
          <w:p w14:paraId="44F568C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5C0FF06"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048" w:type="dxa"/>
            <w:tcBorders>
              <w:top w:val="single" w:sz="6" w:space="0" w:color="000000"/>
              <w:left w:val="single" w:sz="6" w:space="0" w:color="000000"/>
              <w:bottom w:val="single" w:sz="6" w:space="0" w:color="000000"/>
            </w:tcBorders>
            <w:shd w:val="clear" w:color="auto" w:fill="auto"/>
          </w:tcPr>
          <w:p w14:paraId="28043829"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Positive control = Sodium Dodecyl Sulfate (5%)</w:t>
            </w:r>
          </w:p>
          <w:p w14:paraId="44EB527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2C7635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 = distilled water</w:t>
            </w:r>
          </w:p>
          <w:p w14:paraId="063ADEB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B7EF1B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Application time: 42 min</w:t>
            </w:r>
          </w:p>
          <w:p w14:paraId="700BCE26"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0FF06B6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Rinse with 25 mL of DPBS</w:t>
            </w:r>
          </w:p>
          <w:p w14:paraId="155477E1"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6487AE1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Post-treatment incubation period = 42 hours</w:t>
            </w:r>
          </w:p>
          <w:p w14:paraId="442E301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3AF7179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MTT incubation period = 3 hours</w:t>
            </w:r>
          </w:p>
          <w:p w14:paraId="345057F7"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094B7859"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Formazan extraction solvent = isopropanol</w:t>
            </w:r>
          </w:p>
        </w:tc>
        <w:tc>
          <w:tcPr>
            <w:tcW w:w="2268" w:type="dxa"/>
            <w:tcBorders>
              <w:top w:val="single" w:sz="6" w:space="0" w:color="000000"/>
              <w:left w:val="single" w:sz="6" w:space="0" w:color="000000"/>
              <w:bottom w:val="single" w:sz="6" w:space="0" w:color="000000"/>
            </w:tcBorders>
            <w:shd w:val="clear" w:color="auto" w:fill="auto"/>
          </w:tcPr>
          <w:p w14:paraId="2F54AB1A"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Mean viability:</w:t>
            </w:r>
          </w:p>
          <w:p w14:paraId="5E34C3D5"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2949B5D8"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AL-S2</w:t>
            </w:r>
            <w:r w:rsidRPr="00EE7885">
              <w:rPr>
                <w:rFonts w:eastAsia="Calibri"/>
                <w:color w:val="000000"/>
                <w:lang w:eastAsia="en-GB"/>
              </w:rPr>
              <w:t xml:space="preserve">-3-0 = </w:t>
            </w:r>
            <w:r w:rsidRPr="00EE7885">
              <w:rPr>
                <w:rFonts w:eastAsia="Calibri"/>
                <w:b/>
                <w:color w:val="000000"/>
                <w:lang w:eastAsia="en-GB"/>
              </w:rPr>
              <w:t>14.6%</w:t>
            </w:r>
          </w:p>
          <w:p w14:paraId="0BD1F5CA"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10CF0374"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E7885">
              <w:rPr>
                <w:rFonts w:eastAsia="Calibri"/>
                <w:color w:val="000000"/>
                <w:lang w:eastAsia="en-GB"/>
              </w:rPr>
              <w:t xml:space="preserve">Positive control = </w:t>
            </w:r>
            <w:r w:rsidRPr="00EE7885">
              <w:rPr>
                <w:rFonts w:eastAsia="Calibri"/>
                <w:b/>
                <w:color w:val="000000"/>
                <w:lang w:eastAsia="en-GB"/>
              </w:rPr>
              <w:t>1.9%</w:t>
            </w:r>
          </w:p>
          <w:p w14:paraId="70C42E0A"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3127189D"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w:t>
            </w:r>
          </w:p>
          <w:p w14:paraId="43E816ED" w14:textId="77777777" w:rsidR="00806DB7" w:rsidRPr="00EE78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E7885">
              <w:rPr>
                <w:rFonts w:eastAsia="Calibri"/>
                <w:b/>
                <w:color w:val="000000"/>
                <w:lang w:eastAsia="en-GB"/>
              </w:rPr>
              <w:t>100%</w:t>
            </w:r>
          </w:p>
          <w:p w14:paraId="39C45E69"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3D66B398"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280492B4"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lang w:eastAsia="en-US"/>
              </w:rPr>
              <w:t>Mean viability of treated tissues &lt;50%. According to the OECD 439 guideline, no classification can be determined for the product AL-S2-3-0</w:t>
            </w:r>
          </w:p>
        </w:tc>
        <w:tc>
          <w:tcPr>
            <w:tcW w:w="1354" w:type="dxa"/>
            <w:tcBorders>
              <w:top w:val="single" w:sz="6" w:space="0" w:color="000000"/>
              <w:left w:val="single" w:sz="6" w:space="0" w:color="000000"/>
              <w:bottom w:val="single" w:sz="6" w:space="0" w:color="000000"/>
            </w:tcBorders>
            <w:shd w:val="clear" w:color="auto" w:fill="auto"/>
          </w:tcPr>
          <w:p w14:paraId="527CDDFA"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B5CB0D1"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Barré T. (2018)</w:t>
            </w:r>
          </w:p>
          <w:p w14:paraId="4DF7F21B" w14:textId="77777777" w:rsidR="00806DB7" w:rsidRPr="00EE7885" w:rsidRDefault="00806DB7" w:rsidP="00934956">
            <w:pPr>
              <w:keepNext/>
              <w:widowControl w:val="0"/>
              <w:tabs>
                <w:tab w:val="center" w:pos="4536"/>
                <w:tab w:val="right" w:pos="9072"/>
              </w:tabs>
              <w:snapToGrid w:val="0"/>
              <w:spacing w:line="276" w:lineRule="auto"/>
              <w:jc w:val="center"/>
              <w:rPr>
                <w:rFonts w:eastAsia="Calibri"/>
                <w:color w:val="000000"/>
                <w:lang w:eastAsia="en-GB"/>
              </w:rPr>
            </w:pPr>
          </w:p>
          <w:p w14:paraId="3C0FC7C8" w14:textId="77777777" w:rsidR="00806DB7" w:rsidRPr="007233E9"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Study Number: HSMI-PH-18/0391</w:t>
            </w:r>
          </w:p>
        </w:tc>
      </w:tr>
      <w:tr w:rsidR="00806DB7" w:rsidRPr="00B27CB1" w14:paraId="059DA7F8"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1A84B5B1"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D67462">
              <w:rPr>
                <w:rFonts w:eastAsia="Calibri"/>
                <w:i/>
                <w:color w:val="000000"/>
                <w:lang w:eastAsia="en-GB"/>
              </w:rPr>
              <w:lastRenderedPageBreak/>
              <w:t>In vitro</w:t>
            </w:r>
            <w:r>
              <w:rPr>
                <w:rFonts w:eastAsia="Calibri"/>
                <w:color w:val="000000"/>
                <w:lang w:eastAsia="en-GB"/>
              </w:rPr>
              <w:t xml:space="preserve"> Membrane Barrier Test Method for Skin Corrosion</w:t>
            </w:r>
          </w:p>
          <w:p w14:paraId="703B148D"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color w:val="000000"/>
                <w:lang w:eastAsia="en-GB"/>
              </w:rPr>
              <w:t>O</w:t>
            </w:r>
            <w:r>
              <w:rPr>
                <w:rFonts w:eastAsia="Calibri"/>
                <w:bCs/>
                <w:color w:val="000000"/>
                <w:lang w:eastAsia="en-GB"/>
              </w:rPr>
              <w:t>ECD 435</w:t>
            </w:r>
          </w:p>
          <w:p w14:paraId="2590497B"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 xml:space="preserve"> </w:t>
            </w:r>
          </w:p>
          <w:p w14:paraId="2B5FA8A9"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GLP</w:t>
            </w:r>
          </w:p>
          <w:p w14:paraId="0FD61EFC"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246F56E1" w14:textId="77777777" w:rsidR="00806DB7" w:rsidRPr="00EE7885" w:rsidRDefault="00806DB7" w:rsidP="00934956">
            <w:pPr>
              <w:keepNext/>
              <w:widowControl w:val="0"/>
              <w:tabs>
                <w:tab w:val="center" w:pos="4536"/>
                <w:tab w:val="right" w:pos="9072"/>
              </w:tabs>
              <w:snapToGrid w:val="0"/>
              <w:spacing w:line="276" w:lineRule="auto"/>
              <w:rPr>
                <w:rFonts w:eastAsia="Calibri"/>
                <w:i/>
                <w:color w:val="000000"/>
                <w:highlight w:val="yellow"/>
                <w:lang w:eastAsia="en-GB"/>
              </w:rPr>
            </w:pPr>
            <w:r>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5E64CB74"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AL-S3-3-0</w:t>
            </w:r>
          </w:p>
          <w:p w14:paraId="5BDE198D"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72870C1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cs="Times New Roman"/>
                <w:color w:val="000000"/>
                <w:lang w:val="en-US" w:eastAsia="fr-FR"/>
              </w:rPr>
              <w:t>500</w:t>
            </w:r>
            <w:r w:rsidRPr="00B43747">
              <w:rPr>
                <w:rFonts w:cs="Times New Roman"/>
                <w:color w:val="000000"/>
                <w:lang w:val="en-US" w:eastAsia="fr-FR"/>
              </w:rPr>
              <w:t xml:space="preserve"> µL </w:t>
            </w:r>
            <w:r>
              <w:rPr>
                <w:rFonts w:cs="Times New Roman"/>
                <w:color w:val="000000"/>
                <w:lang w:val="en-US" w:eastAsia="fr-FR"/>
              </w:rPr>
              <w:t>onto 4</w:t>
            </w:r>
            <w:r w:rsidRPr="00B43747">
              <w:rPr>
                <w:rFonts w:cs="Times New Roman"/>
                <w:color w:val="000000"/>
                <w:lang w:val="en-US" w:eastAsia="fr-FR"/>
              </w:rPr>
              <w:t xml:space="preserve"> </w:t>
            </w:r>
            <w:r>
              <w:rPr>
                <w:rFonts w:cs="Times New Roman"/>
                <w:color w:val="000000"/>
                <w:lang w:val="en-US" w:eastAsia="fr-FR"/>
              </w:rPr>
              <w:t>membrane barriers</w:t>
            </w:r>
          </w:p>
          <w:p w14:paraId="41E7AE5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70180D4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p>
        </w:tc>
        <w:tc>
          <w:tcPr>
            <w:tcW w:w="2048" w:type="dxa"/>
            <w:tcBorders>
              <w:top w:val="single" w:sz="6" w:space="0" w:color="000000"/>
              <w:left w:val="single" w:sz="6" w:space="0" w:color="000000"/>
              <w:bottom w:val="single" w:sz="6" w:space="0" w:color="000000"/>
            </w:tcBorders>
            <w:shd w:val="clear" w:color="auto" w:fill="auto"/>
          </w:tcPr>
          <w:p w14:paraId="65C35109"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Positive control = sodium hydroxide</w:t>
            </w:r>
          </w:p>
          <w:p w14:paraId="1108AF19"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153209FB"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Negative control = propionic acid 6%</w:t>
            </w:r>
          </w:p>
          <w:p w14:paraId="3BB5A8FE"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p>
        </w:tc>
        <w:tc>
          <w:tcPr>
            <w:tcW w:w="2268" w:type="dxa"/>
            <w:tcBorders>
              <w:top w:val="single" w:sz="6" w:space="0" w:color="000000"/>
              <w:left w:val="single" w:sz="6" w:space="0" w:color="000000"/>
              <w:bottom w:val="single" w:sz="6" w:space="0" w:color="000000"/>
            </w:tcBorders>
            <w:shd w:val="clear" w:color="auto" w:fill="auto"/>
          </w:tcPr>
          <w:p w14:paraId="4320E4B3"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Test performed following 3 steps:</w:t>
            </w:r>
            <w:r w:rsidRPr="00806DB7">
              <w:rPr>
                <w:rFonts w:eastAsia="Calibri"/>
                <w:color w:val="000000"/>
                <w:lang w:eastAsia="en-GB"/>
              </w:rPr>
              <w:t> </w:t>
            </w:r>
          </w:p>
          <w:p w14:paraId="5FF28B5B" w14:textId="77777777" w:rsidR="00806DB7" w:rsidRPr="00806DB7" w:rsidRDefault="00806DB7" w:rsidP="00934956">
            <w:pPr>
              <w:keepNext/>
              <w:widowControl w:val="0"/>
              <w:tabs>
                <w:tab w:val="center" w:pos="4536"/>
                <w:tab w:val="right" w:pos="9072"/>
              </w:tabs>
              <w:snapToGrid w:val="0"/>
              <w:spacing w:line="276" w:lineRule="auto"/>
              <w:rPr>
                <w:rFonts w:cs="Times New Roman"/>
                <w:b/>
                <w:u w:val="single"/>
                <w:lang w:eastAsia="de-DE"/>
              </w:rPr>
            </w:pPr>
          </w:p>
          <w:p w14:paraId="76D90436"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1 – Compatibility test: confirmed by a color change (red coloration) within 5 minutes of observation</w:t>
            </w:r>
          </w:p>
          <w:p w14:paraId="7E8389DE"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p>
          <w:p w14:paraId="174D0C67"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2 – Timescale Category test:</w:t>
            </w:r>
          </w:p>
          <w:p w14:paraId="01E17D8D"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First trial: not conclusive</w:t>
            </w:r>
          </w:p>
          <w:p w14:paraId="0CEAB060" w14:textId="77777777" w:rsid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 xml:space="preserve">Second trial: liquid turned into a yellow coloration </w:t>
            </w:r>
          </w:p>
          <w:p w14:paraId="429A2B31" w14:textId="5697CA89"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806DB7">
              <w:rPr>
                <w:rFonts w:cs="Times New Roman"/>
                <w:lang w:eastAsia="de-DE"/>
              </w:rPr>
              <w:sym w:font="Wingdings" w:char="F0E0"/>
            </w:r>
            <w:r w:rsidRPr="00E91F85">
              <w:rPr>
                <w:rFonts w:cs="Times New Roman"/>
                <w:lang w:eastAsia="de-DE"/>
              </w:rPr>
              <w:t xml:space="preserve"> assignment to category 2</w:t>
            </w:r>
          </w:p>
          <w:p w14:paraId="2F77CDA5"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2219116E"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Step 3 -Measurement of membrane barrier penetrations:</w:t>
            </w:r>
          </w:p>
          <w:p w14:paraId="36BE5E50"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4034E320"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806DB7">
              <w:rPr>
                <w:rFonts w:eastAsia="Calibri"/>
                <w:color w:val="000000"/>
                <w:u w:val="single"/>
                <w:lang w:eastAsia="en-GB"/>
              </w:rPr>
              <w:t>AL-S3-3-0 and negative control:</w:t>
            </w:r>
            <w:r w:rsidRPr="00806DB7">
              <w:rPr>
                <w:rFonts w:eastAsia="Calibri"/>
                <w:color w:val="000000"/>
                <w:lang w:eastAsia="en-GB"/>
              </w:rPr>
              <w:t xml:space="preserve"> </w:t>
            </w:r>
            <w:r w:rsidRPr="00E91F85">
              <w:rPr>
                <w:rFonts w:eastAsia="Calibri"/>
                <w:color w:val="000000"/>
                <w:lang w:eastAsia="en-GB"/>
              </w:rPr>
              <w:t>no disruption of the membrane after 1 hour (4 replicates)</w:t>
            </w:r>
          </w:p>
          <w:p w14:paraId="47FA2814"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62E05EDB"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4A3DE5C"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806DB7">
              <w:rPr>
                <w:rFonts w:eastAsia="Calibri"/>
                <w:color w:val="000000"/>
                <w:u w:val="single"/>
                <w:lang w:eastAsia="en-GB"/>
              </w:rPr>
              <w:t>Positive control:</w:t>
            </w:r>
            <w:r w:rsidRPr="00806DB7">
              <w:rPr>
                <w:rFonts w:eastAsia="Calibri"/>
                <w:color w:val="000000"/>
                <w:lang w:eastAsia="en-GB"/>
              </w:rPr>
              <w:t xml:space="preserve"> </w:t>
            </w:r>
            <w:r w:rsidRPr="00E91F85">
              <w:rPr>
                <w:rFonts w:eastAsia="Calibri"/>
                <w:color w:val="000000"/>
                <w:lang w:eastAsia="en-GB"/>
              </w:rPr>
              <w:t>disruption of the membrane after 21 minutes and 24 seconds</w:t>
            </w:r>
          </w:p>
          <w:p w14:paraId="2D96515B" w14:textId="7E344052"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35947FCD"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7ABBD30B"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129C35AD" w14:textId="77777777" w:rsidR="00806DB7" w:rsidRPr="00E91F85"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According to the OECD 435 guideline, AL-S3-3-0 is not corrosive to the skin.</w:t>
            </w:r>
          </w:p>
        </w:tc>
        <w:tc>
          <w:tcPr>
            <w:tcW w:w="1354" w:type="dxa"/>
            <w:tcBorders>
              <w:top w:val="single" w:sz="6" w:space="0" w:color="000000"/>
              <w:left w:val="single" w:sz="6" w:space="0" w:color="000000"/>
              <w:bottom w:val="single" w:sz="6" w:space="0" w:color="000000"/>
            </w:tcBorders>
            <w:shd w:val="clear" w:color="auto" w:fill="auto"/>
          </w:tcPr>
          <w:p w14:paraId="0DC3D7E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3DCF1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Barré T. (2018)</w:t>
            </w:r>
          </w:p>
          <w:p w14:paraId="373F9FD2"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1EE300AD"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Pr>
                <w:rFonts w:eastAsia="Calibri"/>
                <w:color w:val="000000"/>
                <w:lang w:eastAsia="en-GB"/>
              </w:rPr>
              <w:t>Study Number: CTX-PH-18/0392</w:t>
            </w:r>
          </w:p>
        </w:tc>
      </w:tr>
      <w:tr w:rsidR="00806DB7" w:rsidRPr="00B27CB1" w14:paraId="11A7184D"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0C4194A3"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D67462">
              <w:rPr>
                <w:rFonts w:eastAsia="Calibri"/>
                <w:i/>
                <w:color w:val="000000"/>
                <w:lang w:eastAsia="en-GB"/>
              </w:rPr>
              <w:lastRenderedPageBreak/>
              <w:t>In vitro</w:t>
            </w:r>
            <w:r>
              <w:rPr>
                <w:rFonts w:eastAsia="Calibri"/>
                <w:color w:val="000000"/>
                <w:lang w:eastAsia="en-GB"/>
              </w:rPr>
              <w:t xml:space="preserve"> Skin irritation (Reconstructed Human Epidermis Test Method)</w:t>
            </w:r>
          </w:p>
          <w:p w14:paraId="4AEFE5E4"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color w:val="000000"/>
                <w:lang w:eastAsia="en-GB"/>
              </w:rPr>
              <w:t>O</w:t>
            </w:r>
            <w:r>
              <w:rPr>
                <w:rFonts w:eastAsia="Calibri"/>
                <w:bCs/>
                <w:color w:val="000000"/>
                <w:lang w:eastAsia="en-GB"/>
              </w:rPr>
              <w:t>ECD</w:t>
            </w:r>
            <w:r w:rsidRPr="00D67462">
              <w:rPr>
                <w:rFonts w:eastAsia="Calibri"/>
                <w:bCs/>
                <w:color w:val="000000"/>
                <w:lang w:eastAsia="en-GB"/>
              </w:rPr>
              <w:t xml:space="preserve"> 439</w:t>
            </w:r>
          </w:p>
          <w:p w14:paraId="705329E7"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 xml:space="preserve"> </w:t>
            </w:r>
          </w:p>
          <w:p w14:paraId="417B6719"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GLP</w:t>
            </w:r>
            <w:r w:rsidRPr="00D67462">
              <w:rPr>
                <w:rFonts w:eastAsia="Calibri"/>
                <w:bCs/>
                <w:color w:val="000000"/>
                <w:lang w:eastAsia="en-GB"/>
              </w:rPr>
              <w:t xml:space="preserve"> </w:t>
            </w:r>
          </w:p>
          <w:p w14:paraId="362EFE61"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43E18FFA" w14:textId="77777777" w:rsidR="00806DB7" w:rsidRPr="00EE7885" w:rsidRDefault="00806DB7" w:rsidP="00934956">
            <w:pPr>
              <w:keepNext/>
              <w:widowControl w:val="0"/>
              <w:tabs>
                <w:tab w:val="center" w:pos="4536"/>
                <w:tab w:val="right" w:pos="9072"/>
              </w:tabs>
              <w:snapToGrid w:val="0"/>
              <w:spacing w:line="276" w:lineRule="auto"/>
              <w:rPr>
                <w:rFonts w:eastAsia="Calibri"/>
                <w:i/>
                <w:color w:val="000000"/>
                <w:highlight w:val="yellow"/>
                <w:lang w:eastAsia="en-GB"/>
              </w:rPr>
            </w:pPr>
            <w:r>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3F5D4143"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AL-S4-3-0</w:t>
            </w:r>
          </w:p>
          <w:p w14:paraId="779D8034"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704C3510"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B43747">
              <w:rPr>
                <w:rFonts w:cs="Times New Roman"/>
                <w:color w:val="000000"/>
                <w:lang w:val="en-US" w:eastAsia="fr-FR"/>
              </w:rPr>
              <w:t>16 µL to 3 living Reconstructed Human epidermis (SkinEthic RHE model)</w:t>
            </w:r>
          </w:p>
          <w:p w14:paraId="369C8F7D"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2F397ECF"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p>
        </w:tc>
        <w:tc>
          <w:tcPr>
            <w:tcW w:w="2048" w:type="dxa"/>
            <w:tcBorders>
              <w:top w:val="single" w:sz="6" w:space="0" w:color="000000"/>
              <w:left w:val="single" w:sz="6" w:space="0" w:color="000000"/>
              <w:bottom w:val="single" w:sz="6" w:space="0" w:color="000000"/>
            </w:tcBorders>
            <w:shd w:val="clear" w:color="auto" w:fill="auto"/>
          </w:tcPr>
          <w:p w14:paraId="4BC2A13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Positive control = Sodium Dodecyl Sulfate (5%)</w:t>
            </w:r>
          </w:p>
          <w:p w14:paraId="04AFA8E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61EF6B4D"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Negative control = distilled water</w:t>
            </w:r>
          </w:p>
          <w:p w14:paraId="38F44A75"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ED92A0C"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Application time: 42 min</w:t>
            </w:r>
          </w:p>
          <w:p w14:paraId="3C2EC309"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68FCFE58"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Rinse with 25 mL of DPBS</w:t>
            </w:r>
          </w:p>
          <w:p w14:paraId="4CB65A2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AAD380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Post-treatment incubation period = 42 hours</w:t>
            </w:r>
          </w:p>
          <w:p w14:paraId="324B1E50"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6D6BEA1" w14:textId="77777777" w:rsidR="00806DB7" w:rsidRPr="00A8787D" w:rsidRDefault="00806DB7" w:rsidP="00934956">
            <w:pPr>
              <w:keepNext/>
              <w:widowControl w:val="0"/>
              <w:tabs>
                <w:tab w:val="center" w:pos="4536"/>
                <w:tab w:val="right" w:pos="9072"/>
              </w:tabs>
              <w:snapToGrid w:val="0"/>
              <w:spacing w:line="276" w:lineRule="auto"/>
              <w:rPr>
                <w:rFonts w:eastAsia="Calibri"/>
                <w:color w:val="000000"/>
                <w:lang w:eastAsia="en-GB"/>
              </w:rPr>
            </w:pPr>
            <w:r w:rsidRPr="00A8787D">
              <w:rPr>
                <w:rFonts w:eastAsia="Calibri"/>
                <w:color w:val="000000"/>
                <w:lang w:eastAsia="en-GB"/>
              </w:rPr>
              <w:t>MTT incubation period = 3 hours</w:t>
            </w:r>
          </w:p>
          <w:p w14:paraId="775BD89D" w14:textId="77777777" w:rsidR="00806DB7" w:rsidRPr="00A8787D" w:rsidRDefault="00806DB7" w:rsidP="00934956">
            <w:pPr>
              <w:keepNext/>
              <w:widowControl w:val="0"/>
              <w:tabs>
                <w:tab w:val="center" w:pos="4536"/>
                <w:tab w:val="right" w:pos="9072"/>
              </w:tabs>
              <w:snapToGrid w:val="0"/>
              <w:spacing w:line="276" w:lineRule="auto"/>
              <w:rPr>
                <w:rFonts w:eastAsia="Calibri"/>
                <w:color w:val="000000"/>
                <w:lang w:eastAsia="en-GB"/>
              </w:rPr>
            </w:pPr>
          </w:p>
          <w:p w14:paraId="1991ECBC"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sidRPr="00A8787D">
              <w:rPr>
                <w:rFonts w:eastAsia="Calibri"/>
                <w:color w:val="000000"/>
                <w:lang w:eastAsia="en-GB"/>
              </w:rPr>
              <w:t>Formazan extraction solvent = isopropanol</w:t>
            </w:r>
          </w:p>
        </w:tc>
        <w:tc>
          <w:tcPr>
            <w:tcW w:w="2268" w:type="dxa"/>
            <w:tcBorders>
              <w:top w:val="single" w:sz="6" w:space="0" w:color="000000"/>
              <w:left w:val="single" w:sz="6" w:space="0" w:color="000000"/>
              <w:bottom w:val="single" w:sz="6" w:space="0" w:color="000000"/>
            </w:tcBorders>
            <w:shd w:val="clear" w:color="auto" w:fill="auto"/>
          </w:tcPr>
          <w:p w14:paraId="0E3398C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Mean viability:</w:t>
            </w:r>
          </w:p>
          <w:p w14:paraId="6C78D1C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72147DB5"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AL-S4-3-0 = </w:t>
            </w:r>
            <w:r>
              <w:rPr>
                <w:rFonts w:eastAsia="Calibri"/>
                <w:b/>
                <w:color w:val="000000"/>
                <w:lang w:eastAsia="en-GB"/>
              </w:rPr>
              <w:t>83</w:t>
            </w:r>
            <w:r w:rsidRPr="00D67462">
              <w:rPr>
                <w:rFonts w:eastAsia="Calibri"/>
                <w:b/>
                <w:color w:val="000000"/>
                <w:lang w:eastAsia="en-GB"/>
              </w:rPr>
              <w:t>%</w:t>
            </w:r>
          </w:p>
          <w:p w14:paraId="17276E6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EC45E88"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r>
              <w:rPr>
                <w:rFonts w:eastAsia="Calibri"/>
                <w:color w:val="000000"/>
                <w:lang w:eastAsia="en-GB"/>
              </w:rPr>
              <w:t xml:space="preserve">Positive control = </w:t>
            </w:r>
            <w:r>
              <w:rPr>
                <w:rFonts w:eastAsia="Calibri"/>
                <w:b/>
                <w:color w:val="000000"/>
                <w:lang w:eastAsia="en-GB"/>
              </w:rPr>
              <w:t>1.9</w:t>
            </w:r>
            <w:r w:rsidRPr="00D67462">
              <w:rPr>
                <w:rFonts w:eastAsia="Calibri"/>
                <w:b/>
                <w:color w:val="000000"/>
                <w:lang w:eastAsia="en-GB"/>
              </w:rPr>
              <w:t>%</w:t>
            </w:r>
          </w:p>
          <w:p w14:paraId="2E6B68D0"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69A0D27F" w14:textId="77777777" w:rsidR="00806DB7" w:rsidRPr="00A8787D" w:rsidRDefault="00806DB7" w:rsidP="00934956">
            <w:pPr>
              <w:keepNext/>
              <w:widowControl w:val="0"/>
              <w:tabs>
                <w:tab w:val="center" w:pos="4536"/>
                <w:tab w:val="right" w:pos="9072"/>
              </w:tabs>
              <w:snapToGrid w:val="0"/>
              <w:spacing w:line="276" w:lineRule="auto"/>
              <w:rPr>
                <w:rFonts w:eastAsia="Calibri"/>
                <w:color w:val="000000"/>
                <w:lang w:eastAsia="en-GB"/>
              </w:rPr>
            </w:pPr>
            <w:r w:rsidRPr="00A8787D">
              <w:rPr>
                <w:rFonts w:eastAsia="Calibri"/>
                <w:color w:val="000000"/>
                <w:lang w:eastAsia="en-GB"/>
              </w:rPr>
              <w:t>Negative control =</w:t>
            </w:r>
          </w:p>
          <w:p w14:paraId="59B8314B"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r w:rsidRPr="00391502">
              <w:rPr>
                <w:rFonts w:eastAsia="Calibri"/>
                <w:b/>
                <w:color w:val="000000"/>
                <w:lang w:eastAsia="en-GB"/>
              </w:rPr>
              <w:t>100%</w:t>
            </w:r>
          </w:p>
          <w:p w14:paraId="0A47FE50"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06F40467"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5A59A5E1"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sidRPr="00E91F85">
              <w:rPr>
                <w:rFonts w:eastAsia="Calibri"/>
                <w:lang w:eastAsia="en-US"/>
              </w:rPr>
              <w:t>Mean viability of treated tissues &gt; 50%. According to the OECD 439 guideline, no classification required for the product AL-S4-3-0</w:t>
            </w:r>
          </w:p>
        </w:tc>
        <w:tc>
          <w:tcPr>
            <w:tcW w:w="1354" w:type="dxa"/>
            <w:tcBorders>
              <w:top w:val="single" w:sz="6" w:space="0" w:color="000000"/>
              <w:left w:val="single" w:sz="6" w:space="0" w:color="000000"/>
              <w:bottom w:val="single" w:sz="6" w:space="0" w:color="000000"/>
            </w:tcBorders>
            <w:shd w:val="clear" w:color="auto" w:fill="auto"/>
          </w:tcPr>
          <w:p w14:paraId="3C3D870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F70D1C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Barré T. (2018)</w:t>
            </w:r>
          </w:p>
          <w:p w14:paraId="462DBEA0"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63F6E47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highlight w:val="yellow"/>
                <w:lang w:eastAsia="en-GB"/>
              </w:rPr>
            </w:pPr>
            <w:r>
              <w:rPr>
                <w:rFonts w:eastAsia="Calibri"/>
                <w:color w:val="000000"/>
                <w:lang w:eastAsia="en-GB"/>
              </w:rPr>
              <w:t>Study Number: HSMI-PH-18/0393</w:t>
            </w:r>
          </w:p>
        </w:tc>
      </w:tr>
      <w:tr w:rsidR="00806DB7" w:rsidRPr="00B27CB1" w14:paraId="6B64FC10"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525BF38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i/>
                <w:color w:val="000000"/>
                <w:lang w:eastAsia="en-GB"/>
              </w:rPr>
              <w:lastRenderedPageBreak/>
              <w:t>In vitro</w:t>
            </w:r>
            <w:r w:rsidRPr="00EE7885">
              <w:rPr>
                <w:rFonts w:eastAsia="Calibri"/>
                <w:color w:val="000000"/>
                <w:lang w:eastAsia="en-GB"/>
              </w:rPr>
              <w:t xml:space="preserve"> Membrane Barrier Test Method for Skin Corrosion</w:t>
            </w:r>
          </w:p>
          <w:p w14:paraId="2C9951D0"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color w:val="000000"/>
                <w:lang w:eastAsia="en-GB"/>
              </w:rPr>
              <w:t>O</w:t>
            </w:r>
            <w:r w:rsidRPr="00EE7885">
              <w:rPr>
                <w:rFonts w:eastAsia="Calibri"/>
                <w:bCs/>
                <w:color w:val="000000"/>
                <w:lang w:eastAsia="en-GB"/>
              </w:rPr>
              <w:t>ECD 435</w:t>
            </w:r>
          </w:p>
          <w:p w14:paraId="10E46A03"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25C3B994"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r w:rsidRPr="00EE7885">
              <w:rPr>
                <w:rFonts w:eastAsia="Calibri"/>
                <w:bCs/>
                <w:color w:val="000000"/>
                <w:lang w:eastAsia="en-GB"/>
              </w:rPr>
              <w:t>GLP</w:t>
            </w:r>
          </w:p>
          <w:p w14:paraId="60B316FD" w14:textId="77777777" w:rsidR="00806DB7" w:rsidRPr="00EE7885"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5185D8E7" w14:textId="77777777" w:rsidR="00806DB7" w:rsidRPr="00D67462" w:rsidRDefault="00806DB7" w:rsidP="00934956">
            <w:pPr>
              <w:keepNext/>
              <w:widowControl w:val="0"/>
              <w:tabs>
                <w:tab w:val="center" w:pos="4536"/>
                <w:tab w:val="right" w:pos="9072"/>
              </w:tabs>
              <w:snapToGrid w:val="0"/>
              <w:spacing w:line="276" w:lineRule="auto"/>
              <w:rPr>
                <w:rFonts w:eastAsia="Calibri"/>
                <w:i/>
                <w:color w:val="000000"/>
                <w:lang w:eastAsia="en-GB"/>
              </w:rPr>
            </w:pPr>
            <w:r w:rsidRPr="00EE7885">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16DEEC77" w14:textId="77777777" w:rsidR="00806DB7" w:rsidRPr="0072111E" w:rsidRDefault="00806DB7" w:rsidP="00934956">
            <w:pPr>
              <w:keepNext/>
              <w:widowControl w:val="0"/>
              <w:tabs>
                <w:tab w:val="center" w:pos="4536"/>
                <w:tab w:val="right" w:pos="9072"/>
              </w:tabs>
              <w:snapToGrid w:val="0"/>
              <w:spacing w:line="276" w:lineRule="auto"/>
              <w:rPr>
                <w:rFonts w:eastAsia="Calibri"/>
                <w:color w:val="000000"/>
                <w:lang w:eastAsia="en-GB"/>
              </w:rPr>
            </w:pPr>
            <w:r w:rsidRPr="0072111E">
              <w:rPr>
                <w:rFonts w:eastAsia="Calibri"/>
                <w:color w:val="000000"/>
                <w:lang w:eastAsia="en-GB"/>
              </w:rPr>
              <w:t>AL-S9-3-0</w:t>
            </w:r>
          </w:p>
          <w:p w14:paraId="01223CD8" w14:textId="77777777" w:rsidR="00806DB7" w:rsidRPr="0072111E" w:rsidRDefault="00806DB7" w:rsidP="00934956">
            <w:pPr>
              <w:keepNext/>
              <w:widowControl w:val="0"/>
              <w:tabs>
                <w:tab w:val="center" w:pos="4536"/>
                <w:tab w:val="right" w:pos="9072"/>
              </w:tabs>
              <w:snapToGrid w:val="0"/>
              <w:spacing w:line="276" w:lineRule="auto"/>
              <w:rPr>
                <w:rFonts w:eastAsia="Calibri"/>
                <w:color w:val="000000"/>
                <w:lang w:eastAsia="en-GB"/>
              </w:rPr>
            </w:pPr>
          </w:p>
          <w:p w14:paraId="1984D302" w14:textId="77777777" w:rsidR="00806DB7" w:rsidRPr="0072111E" w:rsidRDefault="00806DB7" w:rsidP="00934956">
            <w:pPr>
              <w:keepNext/>
              <w:widowControl w:val="0"/>
              <w:tabs>
                <w:tab w:val="center" w:pos="4536"/>
                <w:tab w:val="right" w:pos="9072"/>
              </w:tabs>
              <w:snapToGrid w:val="0"/>
              <w:spacing w:line="276" w:lineRule="auto"/>
              <w:rPr>
                <w:rFonts w:eastAsia="Calibri"/>
                <w:color w:val="000000"/>
                <w:lang w:eastAsia="en-GB"/>
              </w:rPr>
            </w:pPr>
            <w:r w:rsidRPr="0072111E">
              <w:rPr>
                <w:rFonts w:cs="Times New Roman"/>
                <w:color w:val="000000"/>
                <w:lang w:val="en-US" w:eastAsia="fr-FR"/>
              </w:rPr>
              <w:t>500 µL onto 4 membrane barriers</w:t>
            </w:r>
          </w:p>
          <w:p w14:paraId="179FB179" w14:textId="77777777" w:rsidR="00806DB7" w:rsidRPr="0072111E" w:rsidRDefault="00806DB7" w:rsidP="00934956">
            <w:pPr>
              <w:keepNext/>
              <w:widowControl w:val="0"/>
              <w:tabs>
                <w:tab w:val="center" w:pos="4536"/>
                <w:tab w:val="right" w:pos="9072"/>
              </w:tabs>
              <w:snapToGrid w:val="0"/>
              <w:spacing w:line="276" w:lineRule="auto"/>
              <w:rPr>
                <w:rFonts w:eastAsia="Calibri"/>
                <w:color w:val="000000"/>
                <w:lang w:eastAsia="en-GB"/>
              </w:rPr>
            </w:pPr>
          </w:p>
          <w:p w14:paraId="64682158"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048" w:type="dxa"/>
            <w:tcBorders>
              <w:top w:val="single" w:sz="6" w:space="0" w:color="000000"/>
              <w:left w:val="single" w:sz="6" w:space="0" w:color="000000"/>
              <w:bottom w:val="single" w:sz="6" w:space="0" w:color="000000"/>
            </w:tcBorders>
            <w:shd w:val="clear" w:color="auto" w:fill="auto"/>
          </w:tcPr>
          <w:p w14:paraId="09D41FE0"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Positive control = sodium hydroxide</w:t>
            </w:r>
          </w:p>
          <w:p w14:paraId="29D78993"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4CC5A4E4"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Negative control = propionic acid 6%</w:t>
            </w:r>
          </w:p>
          <w:p w14:paraId="5553AC8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268" w:type="dxa"/>
            <w:tcBorders>
              <w:top w:val="single" w:sz="6" w:space="0" w:color="000000"/>
              <w:left w:val="single" w:sz="6" w:space="0" w:color="000000"/>
              <w:bottom w:val="single" w:sz="6" w:space="0" w:color="000000"/>
            </w:tcBorders>
            <w:shd w:val="clear" w:color="auto" w:fill="auto"/>
          </w:tcPr>
          <w:p w14:paraId="060E6787"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Test performed following 3 steps</w:t>
            </w:r>
            <w:r w:rsidRPr="00806DB7">
              <w:rPr>
                <w:rFonts w:eastAsia="Calibri"/>
                <w:color w:val="000000"/>
                <w:lang w:eastAsia="en-GB"/>
              </w:rPr>
              <w:t>: </w:t>
            </w:r>
          </w:p>
          <w:p w14:paraId="71A64729" w14:textId="77777777" w:rsidR="00806DB7" w:rsidRPr="00806DB7" w:rsidRDefault="00806DB7" w:rsidP="00934956">
            <w:pPr>
              <w:keepNext/>
              <w:widowControl w:val="0"/>
              <w:tabs>
                <w:tab w:val="center" w:pos="4536"/>
                <w:tab w:val="right" w:pos="9072"/>
              </w:tabs>
              <w:snapToGrid w:val="0"/>
              <w:spacing w:line="276" w:lineRule="auto"/>
              <w:rPr>
                <w:rFonts w:cs="Times New Roman"/>
                <w:b/>
                <w:u w:val="single"/>
                <w:lang w:eastAsia="de-DE"/>
              </w:rPr>
            </w:pPr>
          </w:p>
          <w:p w14:paraId="1304D4AD"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1 – Compatibility test: confirmed by a color change (red coloration) within 5 minutes of observation</w:t>
            </w:r>
          </w:p>
          <w:p w14:paraId="3B5FB02A" w14:textId="77777777" w:rsidR="00806DB7" w:rsidRPr="00806DB7" w:rsidRDefault="00806DB7" w:rsidP="00934956">
            <w:pPr>
              <w:keepNext/>
              <w:widowControl w:val="0"/>
              <w:tabs>
                <w:tab w:val="center" w:pos="4536"/>
                <w:tab w:val="right" w:pos="9072"/>
              </w:tabs>
              <w:snapToGrid w:val="0"/>
              <w:spacing w:line="276" w:lineRule="auto"/>
              <w:rPr>
                <w:rFonts w:cs="Times New Roman"/>
                <w:lang w:eastAsia="de-DE"/>
              </w:rPr>
            </w:pPr>
          </w:p>
          <w:p w14:paraId="60F60164"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Step 2 – Timescale Category test:</w:t>
            </w:r>
          </w:p>
          <w:p w14:paraId="58A033C4" w14:textId="77777777" w:rsidR="00806DB7" w:rsidRPr="00E91F85"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First trial: not conclusive</w:t>
            </w:r>
          </w:p>
          <w:p w14:paraId="4AF9796B" w14:textId="77777777" w:rsidR="00806DB7" w:rsidRDefault="00806DB7" w:rsidP="00934956">
            <w:pPr>
              <w:keepNext/>
              <w:widowControl w:val="0"/>
              <w:tabs>
                <w:tab w:val="center" w:pos="4536"/>
                <w:tab w:val="right" w:pos="9072"/>
              </w:tabs>
              <w:snapToGrid w:val="0"/>
              <w:spacing w:line="276" w:lineRule="auto"/>
              <w:rPr>
                <w:rFonts w:cs="Times New Roman"/>
                <w:lang w:eastAsia="de-DE"/>
              </w:rPr>
            </w:pPr>
            <w:r w:rsidRPr="00E91F85">
              <w:rPr>
                <w:rFonts w:cs="Times New Roman"/>
                <w:lang w:eastAsia="de-DE"/>
              </w:rPr>
              <w:t xml:space="preserve">Second trial: liquid turned into a yellow coloration </w:t>
            </w:r>
          </w:p>
          <w:p w14:paraId="14EEC943" w14:textId="049EF50C" w:rsidR="00806DB7" w:rsidRPr="00806DB7" w:rsidRDefault="00806DB7" w:rsidP="00934956">
            <w:pPr>
              <w:keepNext/>
              <w:widowControl w:val="0"/>
              <w:tabs>
                <w:tab w:val="center" w:pos="4536"/>
                <w:tab w:val="right" w:pos="9072"/>
              </w:tabs>
              <w:snapToGrid w:val="0"/>
              <w:spacing w:line="276" w:lineRule="auto"/>
              <w:rPr>
                <w:rFonts w:cs="Times New Roman"/>
                <w:lang w:eastAsia="de-DE"/>
              </w:rPr>
            </w:pPr>
            <w:r w:rsidRPr="00806DB7">
              <w:rPr>
                <w:rFonts w:cs="Times New Roman"/>
                <w:lang w:eastAsia="de-DE"/>
              </w:rPr>
              <w:sym w:font="Wingdings" w:char="F0E0"/>
            </w:r>
            <w:r w:rsidRPr="00E91F85">
              <w:rPr>
                <w:rFonts w:cs="Times New Roman"/>
                <w:lang w:eastAsia="de-DE"/>
              </w:rPr>
              <w:t xml:space="preserve"> assignment to category 2</w:t>
            </w:r>
          </w:p>
          <w:p w14:paraId="27ABC7C3"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41B5511"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Step 3 -Measurement of membrane barrier penetrations:</w:t>
            </w:r>
          </w:p>
          <w:p w14:paraId="279B1CC2"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4AAFF12"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806DB7">
              <w:rPr>
                <w:rFonts w:eastAsia="Calibri"/>
                <w:color w:val="000000"/>
                <w:u w:val="single"/>
                <w:lang w:eastAsia="en-GB"/>
              </w:rPr>
              <w:t>AL-S9-3-0 and negative control:</w:t>
            </w:r>
            <w:r w:rsidRPr="00806DB7">
              <w:rPr>
                <w:rFonts w:eastAsia="Calibri"/>
                <w:color w:val="000000"/>
                <w:lang w:eastAsia="en-GB"/>
              </w:rPr>
              <w:t xml:space="preserve"> </w:t>
            </w:r>
            <w:r w:rsidRPr="00E91F85">
              <w:rPr>
                <w:rFonts w:eastAsia="Calibri"/>
                <w:color w:val="000000"/>
                <w:lang w:eastAsia="en-GB"/>
              </w:rPr>
              <w:t>no disruption of the membrane after 1 hour in the four replicates</w:t>
            </w:r>
          </w:p>
          <w:p w14:paraId="2F07F8AF"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FDC0C51"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806DB7">
              <w:rPr>
                <w:rFonts w:eastAsia="Calibri"/>
                <w:color w:val="000000"/>
                <w:u w:val="single"/>
                <w:lang w:eastAsia="en-GB"/>
              </w:rPr>
              <w:t>Positive control:</w:t>
            </w:r>
            <w:r w:rsidRPr="00806DB7">
              <w:rPr>
                <w:rFonts w:eastAsia="Calibri"/>
                <w:color w:val="000000"/>
                <w:lang w:eastAsia="en-GB"/>
              </w:rPr>
              <w:t xml:space="preserve"> </w:t>
            </w:r>
            <w:r w:rsidRPr="00E91F85">
              <w:rPr>
                <w:rFonts w:eastAsia="Calibri"/>
                <w:color w:val="000000"/>
                <w:lang w:eastAsia="en-GB"/>
              </w:rPr>
              <w:t>disruption of the membrane after 21 minutes and 24 seconds</w:t>
            </w:r>
          </w:p>
          <w:p w14:paraId="17D168DA" w14:textId="77777777" w:rsidR="00806DB7" w:rsidRP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7B03C79"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1F0CE08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According to the OECD 435 guideline, AL-S9-3-0 is not corrosive to the skin.</w:t>
            </w:r>
          </w:p>
        </w:tc>
        <w:tc>
          <w:tcPr>
            <w:tcW w:w="1354" w:type="dxa"/>
            <w:tcBorders>
              <w:top w:val="single" w:sz="6" w:space="0" w:color="000000"/>
              <w:left w:val="single" w:sz="6" w:space="0" w:color="000000"/>
              <w:bottom w:val="single" w:sz="6" w:space="0" w:color="000000"/>
            </w:tcBorders>
            <w:shd w:val="clear" w:color="auto" w:fill="auto"/>
          </w:tcPr>
          <w:p w14:paraId="4C0E441A"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A5787F7"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Barré T. (2018)</w:t>
            </w:r>
          </w:p>
          <w:p w14:paraId="6B07E57F" w14:textId="77777777" w:rsidR="00806DB7" w:rsidRPr="00EE7885" w:rsidRDefault="00806DB7" w:rsidP="00934956">
            <w:pPr>
              <w:keepNext/>
              <w:widowControl w:val="0"/>
              <w:tabs>
                <w:tab w:val="center" w:pos="4536"/>
                <w:tab w:val="right" w:pos="9072"/>
              </w:tabs>
              <w:snapToGrid w:val="0"/>
              <w:spacing w:line="276" w:lineRule="auto"/>
              <w:rPr>
                <w:rFonts w:eastAsia="Calibri"/>
                <w:color w:val="000000"/>
                <w:lang w:eastAsia="en-GB"/>
              </w:rPr>
            </w:pPr>
          </w:p>
          <w:p w14:paraId="28FC2004"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E7885">
              <w:rPr>
                <w:rFonts w:eastAsia="Calibri"/>
                <w:color w:val="000000"/>
                <w:lang w:eastAsia="en-GB"/>
              </w:rPr>
              <w:t>Study Number: CTX-PH-18/0394</w:t>
            </w:r>
          </w:p>
        </w:tc>
      </w:tr>
      <w:tr w:rsidR="00806DB7" w:rsidRPr="00B27CB1" w14:paraId="3FCFD5DB" w14:textId="77777777" w:rsidTr="00934956">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1C26DE03"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D67462">
              <w:rPr>
                <w:rFonts w:eastAsia="Calibri"/>
                <w:i/>
                <w:color w:val="000000"/>
                <w:lang w:eastAsia="en-GB"/>
              </w:rPr>
              <w:lastRenderedPageBreak/>
              <w:t>In vitro</w:t>
            </w:r>
            <w:r>
              <w:rPr>
                <w:rFonts w:eastAsia="Calibri"/>
                <w:color w:val="000000"/>
                <w:lang w:eastAsia="en-GB"/>
              </w:rPr>
              <w:t xml:space="preserve"> Skin irritation (Reconstructed Human Epidermis Test Method)</w:t>
            </w:r>
          </w:p>
          <w:p w14:paraId="1A1FD7A8"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color w:val="000000"/>
                <w:lang w:eastAsia="en-GB"/>
              </w:rPr>
              <w:t>O</w:t>
            </w:r>
            <w:r>
              <w:rPr>
                <w:rFonts w:eastAsia="Calibri"/>
                <w:bCs/>
                <w:color w:val="000000"/>
                <w:lang w:eastAsia="en-GB"/>
              </w:rPr>
              <w:t>ECD</w:t>
            </w:r>
            <w:r w:rsidRPr="00D67462">
              <w:rPr>
                <w:rFonts w:eastAsia="Calibri"/>
                <w:bCs/>
                <w:color w:val="000000"/>
                <w:lang w:eastAsia="en-GB"/>
              </w:rPr>
              <w:t xml:space="preserve"> 439</w:t>
            </w:r>
          </w:p>
          <w:p w14:paraId="52A11535"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 xml:space="preserve"> </w:t>
            </w:r>
          </w:p>
          <w:p w14:paraId="08B76F8B"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GLP</w:t>
            </w:r>
            <w:r w:rsidRPr="00D67462">
              <w:rPr>
                <w:rFonts w:eastAsia="Calibri"/>
                <w:bCs/>
                <w:color w:val="000000"/>
                <w:lang w:eastAsia="en-GB"/>
              </w:rPr>
              <w:t xml:space="preserve"> </w:t>
            </w:r>
          </w:p>
          <w:p w14:paraId="003EE072" w14:textId="77777777" w:rsidR="00806DB7" w:rsidRDefault="00806DB7" w:rsidP="00934956">
            <w:pPr>
              <w:keepNext/>
              <w:widowControl w:val="0"/>
              <w:tabs>
                <w:tab w:val="center" w:pos="4536"/>
                <w:tab w:val="right" w:pos="9072"/>
              </w:tabs>
              <w:snapToGrid w:val="0"/>
              <w:spacing w:line="276" w:lineRule="auto"/>
              <w:rPr>
                <w:rFonts w:eastAsia="Calibri"/>
                <w:bCs/>
                <w:color w:val="000000"/>
                <w:lang w:eastAsia="en-GB"/>
              </w:rPr>
            </w:pPr>
          </w:p>
          <w:p w14:paraId="07352AB1" w14:textId="77777777" w:rsidR="00806DB7" w:rsidRPr="00D67462" w:rsidRDefault="00806DB7" w:rsidP="00934956">
            <w:pPr>
              <w:keepNext/>
              <w:widowControl w:val="0"/>
              <w:tabs>
                <w:tab w:val="center" w:pos="4536"/>
                <w:tab w:val="right" w:pos="9072"/>
              </w:tabs>
              <w:snapToGrid w:val="0"/>
              <w:spacing w:line="276" w:lineRule="auto"/>
              <w:rPr>
                <w:rFonts w:eastAsia="Calibri"/>
                <w:i/>
                <w:color w:val="000000"/>
                <w:lang w:eastAsia="en-GB"/>
              </w:rPr>
            </w:pPr>
            <w:r>
              <w:rPr>
                <w:rFonts w:eastAsia="Calibri"/>
                <w:bCs/>
                <w:color w:val="000000"/>
                <w:lang w:eastAsia="en-GB"/>
              </w:rPr>
              <w:t>1</w:t>
            </w:r>
          </w:p>
        </w:tc>
        <w:tc>
          <w:tcPr>
            <w:tcW w:w="1418" w:type="dxa"/>
            <w:tcBorders>
              <w:top w:val="single" w:sz="6" w:space="0" w:color="000000"/>
              <w:left w:val="single" w:sz="6" w:space="0" w:color="000000"/>
              <w:bottom w:val="single" w:sz="6" w:space="0" w:color="000000"/>
            </w:tcBorders>
            <w:shd w:val="clear" w:color="auto" w:fill="auto"/>
          </w:tcPr>
          <w:p w14:paraId="1DB38166"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AL-S9-3-0</w:t>
            </w:r>
          </w:p>
          <w:p w14:paraId="0A77F7A5"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3764381E"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B43747">
              <w:rPr>
                <w:rFonts w:cs="Times New Roman"/>
                <w:color w:val="000000"/>
                <w:lang w:val="en-US" w:eastAsia="fr-FR"/>
              </w:rPr>
              <w:t>16 µL to 3 living Reconstructed Human epidermis (SkinEthic RHE model)</w:t>
            </w:r>
          </w:p>
          <w:p w14:paraId="1AC99774"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42C3EFF1"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tc>
        <w:tc>
          <w:tcPr>
            <w:tcW w:w="2048" w:type="dxa"/>
            <w:tcBorders>
              <w:top w:val="single" w:sz="6" w:space="0" w:color="000000"/>
              <w:left w:val="single" w:sz="6" w:space="0" w:color="000000"/>
              <w:bottom w:val="single" w:sz="6" w:space="0" w:color="000000"/>
            </w:tcBorders>
            <w:shd w:val="clear" w:color="auto" w:fill="auto"/>
          </w:tcPr>
          <w:p w14:paraId="71D8D03B"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Positive control = Sodium Dodecyl Sulfate (5%)</w:t>
            </w:r>
          </w:p>
          <w:p w14:paraId="25B965EA"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4878CDC"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Negative control = distilled water</w:t>
            </w:r>
          </w:p>
          <w:p w14:paraId="6F33BF5E"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2F41651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Application time: 42 min</w:t>
            </w:r>
          </w:p>
          <w:p w14:paraId="7AD1265B"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44B977EE"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Rinse with 25 mL of DPBS</w:t>
            </w:r>
          </w:p>
          <w:p w14:paraId="1A3ABD81"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A84C1B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Post-treatment incubation period = 42 hours</w:t>
            </w:r>
          </w:p>
          <w:p w14:paraId="3209ABF5"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38169B3D" w14:textId="77777777" w:rsidR="00806DB7" w:rsidRPr="0048381B" w:rsidRDefault="00806DB7" w:rsidP="00934956">
            <w:pPr>
              <w:keepNext/>
              <w:widowControl w:val="0"/>
              <w:tabs>
                <w:tab w:val="center" w:pos="4536"/>
                <w:tab w:val="right" w:pos="9072"/>
              </w:tabs>
              <w:snapToGrid w:val="0"/>
              <w:spacing w:line="276" w:lineRule="auto"/>
              <w:rPr>
                <w:rFonts w:eastAsia="Calibri"/>
                <w:color w:val="000000"/>
                <w:lang w:eastAsia="en-GB"/>
              </w:rPr>
            </w:pPr>
            <w:r w:rsidRPr="0048381B">
              <w:rPr>
                <w:rFonts w:eastAsia="Calibri"/>
                <w:color w:val="000000"/>
                <w:lang w:eastAsia="en-GB"/>
              </w:rPr>
              <w:t>MTT incubation period = 3 hours</w:t>
            </w:r>
          </w:p>
          <w:p w14:paraId="564E46B4" w14:textId="77777777" w:rsidR="00806DB7" w:rsidRPr="0048381B" w:rsidRDefault="00806DB7" w:rsidP="00934956">
            <w:pPr>
              <w:keepNext/>
              <w:widowControl w:val="0"/>
              <w:tabs>
                <w:tab w:val="center" w:pos="4536"/>
                <w:tab w:val="right" w:pos="9072"/>
              </w:tabs>
              <w:snapToGrid w:val="0"/>
              <w:spacing w:line="276" w:lineRule="auto"/>
              <w:rPr>
                <w:rFonts w:eastAsia="Calibri"/>
                <w:color w:val="000000"/>
                <w:lang w:eastAsia="en-GB"/>
              </w:rPr>
            </w:pPr>
          </w:p>
          <w:p w14:paraId="13FB558A"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48381B">
              <w:rPr>
                <w:rFonts w:eastAsia="Calibri"/>
                <w:color w:val="000000"/>
                <w:lang w:eastAsia="en-GB"/>
              </w:rPr>
              <w:t>Formazan extraction solvent = isopropanol</w:t>
            </w:r>
          </w:p>
        </w:tc>
        <w:tc>
          <w:tcPr>
            <w:tcW w:w="2268" w:type="dxa"/>
            <w:tcBorders>
              <w:top w:val="single" w:sz="6" w:space="0" w:color="000000"/>
              <w:left w:val="single" w:sz="6" w:space="0" w:color="000000"/>
              <w:bottom w:val="single" w:sz="6" w:space="0" w:color="000000"/>
            </w:tcBorders>
            <w:shd w:val="clear" w:color="auto" w:fill="auto"/>
          </w:tcPr>
          <w:p w14:paraId="2C0D430F"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Mean viability:</w:t>
            </w:r>
          </w:p>
          <w:p w14:paraId="13D26B92"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0A7580B5"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AL-S9-3-0 = </w:t>
            </w:r>
            <w:r>
              <w:rPr>
                <w:rFonts w:eastAsia="Calibri"/>
                <w:b/>
                <w:color w:val="000000"/>
                <w:lang w:eastAsia="en-GB"/>
              </w:rPr>
              <w:t>2.6</w:t>
            </w:r>
            <w:r w:rsidRPr="00D67462">
              <w:rPr>
                <w:rFonts w:eastAsia="Calibri"/>
                <w:b/>
                <w:color w:val="000000"/>
                <w:lang w:eastAsia="en-GB"/>
              </w:rPr>
              <w:t>%</w:t>
            </w:r>
          </w:p>
          <w:p w14:paraId="58D749DD"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56398045"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r>
              <w:rPr>
                <w:rFonts w:eastAsia="Calibri"/>
                <w:color w:val="000000"/>
                <w:lang w:eastAsia="en-GB"/>
              </w:rPr>
              <w:t xml:space="preserve">Positive control = </w:t>
            </w:r>
            <w:r>
              <w:rPr>
                <w:rFonts w:eastAsia="Calibri"/>
                <w:b/>
                <w:color w:val="000000"/>
                <w:lang w:eastAsia="en-GB"/>
              </w:rPr>
              <w:t>1.9</w:t>
            </w:r>
            <w:r w:rsidRPr="00D67462">
              <w:rPr>
                <w:rFonts w:eastAsia="Calibri"/>
                <w:b/>
                <w:color w:val="000000"/>
                <w:lang w:eastAsia="en-GB"/>
              </w:rPr>
              <w:t>%</w:t>
            </w:r>
          </w:p>
          <w:p w14:paraId="76FAC0DD" w14:textId="77777777" w:rsidR="00806DB7" w:rsidRDefault="00806DB7" w:rsidP="00934956">
            <w:pPr>
              <w:keepNext/>
              <w:widowControl w:val="0"/>
              <w:tabs>
                <w:tab w:val="center" w:pos="4536"/>
                <w:tab w:val="right" w:pos="9072"/>
              </w:tabs>
              <w:snapToGrid w:val="0"/>
              <w:spacing w:line="276" w:lineRule="auto"/>
              <w:rPr>
                <w:rFonts w:eastAsia="Calibri"/>
                <w:b/>
                <w:color w:val="000000"/>
                <w:lang w:eastAsia="en-GB"/>
              </w:rPr>
            </w:pPr>
          </w:p>
          <w:p w14:paraId="0CC5CA69" w14:textId="77777777" w:rsidR="00806DB7" w:rsidRPr="00E91F85" w:rsidRDefault="00806DB7"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1AF2D5D2"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lang w:eastAsia="en-US"/>
              </w:rPr>
              <w:t>Mean viability of treated tissues &lt;50%. According to the OECD 439 guideline, no classification can be determined for the product AL-S9-3-0</w:t>
            </w:r>
          </w:p>
        </w:tc>
        <w:tc>
          <w:tcPr>
            <w:tcW w:w="1354" w:type="dxa"/>
            <w:tcBorders>
              <w:top w:val="single" w:sz="6" w:space="0" w:color="000000"/>
              <w:left w:val="single" w:sz="6" w:space="0" w:color="000000"/>
              <w:bottom w:val="single" w:sz="6" w:space="0" w:color="000000"/>
            </w:tcBorders>
            <w:shd w:val="clear" w:color="auto" w:fill="auto"/>
          </w:tcPr>
          <w:p w14:paraId="71018B30"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No deviations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345AF97"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Barré T. (2018)</w:t>
            </w:r>
          </w:p>
          <w:p w14:paraId="036E1724"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p>
          <w:p w14:paraId="317A670B" w14:textId="77777777" w:rsidR="00806DB7" w:rsidRDefault="00806DB7" w:rsidP="00934956">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Study Number: HSMI-PH-18/0394</w:t>
            </w:r>
          </w:p>
        </w:tc>
      </w:tr>
    </w:tbl>
    <w:p w14:paraId="234C09A1" w14:textId="77777777" w:rsidR="00806DB7" w:rsidRDefault="00806DB7" w:rsidP="00806DB7">
      <w:pPr>
        <w:spacing w:line="260" w:lineRule="atLeast"/>
        <w:rPr>
          <w:rFonts w:eastAsia="Calibri" w:cs="Arial"/>
          <w:i/>
          <w:iCs/>
          <w:u w:val="single"/>
          <w:lang w:eastAsia="en-US"/>
        </w:rPr>
      </w:pPr>
    </w:p>
    <w:p w14:paraId="371A1B83" w14:textId="77777777" w:rsidR="00806DB7" w:rsidRDefault="00806DB7" w:rsidP="00806DB7">
      <w:pPr>
        <w:spacing w:line="260" w:lineRule="atLeast"/>
        <w:jc w:val="both"/>
        <w:rPr>
          <w:rFonts w:eastAsia="Calibri" w:cs="Arial"/>
          <w:b/>
          <w:iCs/>
          <w:highlight w:val="cyan"/>
          <w:lang w:eastAsia="en-US"/>
        </w:rPr>
      </w:pPr>
    </w:p>
    <w:p w14:paraId="7F9E4900" w14:textId="77777777" w:rsidR="00806DB7" w:rsidRPr="006E06E2" w:rsidRDefault="00806DB7" w:rsidP="00806DB7">
      <w:pPr>
        <w:spacing w:line="260" w:lineRule="atLeast"/>
        <w:jc w:val="both"/>
        <w:rPr>
          <w:rFonts w:eastAsia="Calibri" w:cs="Arial"/>
          <w:b/>
          <w:iCs/>
          <w:lang w:eastAsia="en-US"/>
        </w:rPr>
      </w:pPr>
      <w:r w:rsidRPr="007233E9">
        <w:rPr>
          <w:rFonts w:eastAsia="Calibri" w:cs="Arial"/>
          <w:b/>
          <w:iCs/>
          <w:lang w:eastAsia="en-US"/>
        </w:rPr>
        <w:t>Meta SPC 1</w:t>
      </w:r>
    </w:p>
    <w:p w14:paraId="76639216" w14:textId="77777777" w:rsidR="00806DB7" w:rsidRPr="006E06E2" w:rsidRDefault="00806DB7" w:rsidP="00806DB7">
      <w:pPr>
        <w:keepNext/>
        <w:widowControl w:val="0"/>
        <w:tabs>
          <w:tab w:val="center" w:pos="4536"/>
          <w:tab w:val="right" w:pos="9072"/>
        </w:tabs>
        <w:snapToGrid w:val="0"/>
        <w:spacing w:line="276" w:lineRule="auto"/>
        <w:jc w:val="both"/>
        <w:rPr>
          <w:rFonts w:eastAsia="Calibri" w:cs="Arial"/>
          <w:iCs/>
          <w:lang w:eastAsia="en-US"/>
        </w:rPr>
      </w:pPr>
    </w:p>
    <w:p w14:paraId="64E85764" w14:textId="77777777" w:rsidR="00806DB7" w:rsidRPr="006E06E2"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The composition of the test item </w:t>
      </w:r>
      <w:r w:rsidRPr="006E06E2">
        <w:rPr>
          <w:rFonts w:eastAsia="Calibri"/>
          <w:color w:val="000000"/>
          <w:lang w:eastAsia="en-GB"/>
        </w:rPr>
        <w:t xml:space="preserve">AL-S1-3-0 </w:t>
      </w:r>
      <w:r w:rsidRPr="006E06E2">
        <w:rPr>
          <w:rFonts w:eastAsia="Calibri" w:cs="Arial"/>
          <w:iCs/>
          <w:lang w:eastAsia="en-US"/>
        </w:rPr>
        <w:t>has been considered to cover (in terms of skin corrosi</w:t>
      </w:r>
      <w:r w:rsidRPr="007233E9">
        <w:rPr>
          <w:rFonts w:eastAsia="Calibri" w:cs="Arial"/>
          <w:iCs/>
          <w:lang w:eastAsia="en-US"/>
        </w:rPr>
        <w:t>on/irritation</w:t>
      </w:r>
      <w:r w:rsidRPr="006E06E2">
        <w:rPr>
          <w:rFonts w:eastAsia="Calibri" w:cs="Arial"/>
          <w:iCs/>
          <w:lang w:eastAsia="en-US"/>
        </w:rPr>
        <w:t xml:space="preserve"> ingredients) the composition of meta SPC 1 </w:t>
      </w:r>
      <w:r w:rsidRPr="007233E9">
        <w:rPr>
          <w:rFonts w:eastAsia="Calibri" w:cs="Arial"/>
          <w:iCs/>
          <w:lang w:eastAsia="en-US"/>
        </w:rPr>
        <w:t xml:space="preserve">products </w:t>
      </w:r>
      <w:r w:rsidRPr="006E06E2">
        <w:rPr>
          <w:rFonts w:eastAsia="Calibri" w:cs="Arial"/>
          <w:iCs/>
          <w:lang w:eastAsia="en-US"/>
        </w:rPr>
        <w:t xml:space="preserve">(see justification in the confidential annex). Therefore, the results of the </w:t>
      </w:r>
      <w:r w:rsidRPr="007233E9">
        <w:rPr>
          <w:rFonts w:eastAsia="Calibri" w:cs="Arial"/>
          <w:i/>
          <w:iCs/>
          <w:lang w:eastAsia="en-US"/>
        </w:rPr>
        <w:t>in vitro</w:t>
      </w:r>
      <w:r w:rsidRPr="006E06E2">
        <w:rPr>
          <w:rFonts w:eastAsia="Calibri" w:cs="Arial"/>
          <w:iCs/>
          <w:lang w:eastAsia="en-US"/>
        </w:rPr>
        <w:t xml:space="preserve"> skin irritation study performed with AL-S1-3-0 can be extrapolated to meta SPC 1.</w:t>
      </w:r>
    </w:p>
    <w:p w14:paraId="406D8BD8" w14:textId="77777777" w:rsidR="00806DB7" w:rsidRPr="007233E9" w:rsidRDefault="00806DB7" w:rsidP="00806DB7">
      <w:pPr>
        <w:spacing w:line="260" w:lineRule="atLeast"/>
        <w:jc w:val="both"/>
        <w:rPr>
          <w:rFonts w:eastAsia="Calibri" w:cs="Arial"/>
          <w:b/>
          <w:iCs/>
          <w:lang w:eastAsia="en-US"/>
        </w:rPr>
      </w:pPr>
    </w:p>
    <w:p w14:paraId="459AA241" w14:textId="77777777" w:rsidR="00806DB7" w:rsidRPr="006E06E2"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Since the product AL-S1-3-0 is not classified for skin corrosion/irritation, the meta SPC 1 products are also considered </w:t>
      </w:r>
      <w:r w:rsidRPr="006E06E2">
        <w:t>neither corrosive nor irritant</w:t>
      </w:r>
      <w:r w:rsidRPr="006E06E2">
        <w:rPr>
          <w:rFonts w:eastAsia="Calibri" w:cs="Arial"/>
          <w:iCs/>
          <w:lang w:eastAsia="en-US"/>
        </w:rPr>
        <w:t xml:space="preserve"> for the skin.</w:t>
      </w:r>
    </w:p>
    <w:p w14:paraId="584F67B6" w14:textId="77777777" w:rsidR="00806DB7" w:rsidRPr="006E06E2" w:rsidRDefault="00806DB7" w:rsidP="00806DB7">
      <w:pPr>
        <w:spacing w:line="260" w:lineRule="atLeast"/>
        <w:jc w:val="both"/>
        <w:rPr>
          <w:rFonts w:eastAsia="Calibri" w:cs="Arial"/>
          <w:i/>
          <w:iCs/>
          <w:u w:val="single"/>
          <w:lang w:eastAsia="en-US"/>
        </w:rPr>
      </w:pPr>
    </w:p>
    <w:p w14:paraId="794A919F" w14:textId="77777777" w:rsidR="00806DB7" w:rsidRPr="006E06E2" w:rsidRDefault="00806DB7" w:rsidP="00806DB7">
      <w:pPr>
        <w:spacing w:line="260" w:lineRule="atLeast"/>
        <w:jc w:val="both"/>
        <w:rPr>
          <w:rFonts w:eastAsia="Calibri" w:cs="Arial"/>
          <w:b/>
          <w:iCs/>
          <w:lang w:eastAsia="en-US"/>
        </w:rPr>
      </w:pPr>
      <w:r w:rsidRPr="006E06E2">
        <w:rPr>
          <w:rFonts w:eastAsia="Calibri" w:cs="Arial"/>
          <w:b/>
          <w:iCs/>
          <w:lang w:eastAsia="en-US"/>
        </w:rPr>
        <w:t>Meta SPC 2</w:t>
      </w:r>
    </w:p>
    <w:p w14:paraId="3CC17F2B" w14:textId="77777777" w:rsidR="00806DB7" w:rsidRPr="006E06E2" w:rsidRDefault="00806DB7" w:rsidP="00806DB7">
      <w:pPr>
        <w:spacing w:line="260" w:lineRule="atLeast"/>
        <w:jc w:val="both"/>
        <w:rPr>
          <w:rFonts w:eastAsia="Calibri" w:cs="Arial"/>
          <w:b/>
          <w:iCs/>
          <w:lang w:eastAsia="en-US"/>
        </w:rPr>
      </w:pPr>
    </w:p>
    <w:p w14:paraId="66385894" w14:textId="77777777" w:rsidR="00806DB7" w:rsidRPr="006E06E2" w:rsidRDefault="00806DB7" w:rsidP="00806DB7">
      <w:pPr>
        <w:spacing w:line="260" w:lineRule="atLeast"/>
        <w:jc w:val="both"/>
        <w:rPr>
          <w:rFonts w:eastAsia="Calibri" w:cs="Arial"/>
          <w:iCs/>
          <w:lang w:eastAsia="en-US"/>
        </w:rPr>
      </w:pPr>
      <w:r w:rsidRPr="007233E9">
        <w:rPr>
          <w:rFonts w:eastAsia="Calibri" w:cs="Arial"/>
          <w:iCs/>
          <w:lang w:eastAsia="en-US"/>
        </w:rPr>
        <w:t>The composition of the test item AL-S2-3-0 has been considered to cover (in terms of skin corrosion/irritation ingredients) the composition of meta SPC 2 products (see justification in the confidential annex).</w:t>
      </w:r>
      <w:r w:rsidRPr="006E06E2">
        <w:t xml:space="preserve"> </w:t>
      </w:r>
      <w:r w:rsidRPr="006E06E2">
        <w:rPr>
          <w:rFonts w:eastAsia="Calibri" w:cs="Arial"/>
          <w:iCs/>
          <w:lang w:eastAsia="en-US"/>
        </w:rPr>
        <w:t xml:space="preserve">Therefore, the results of the two </w:t>
      </w:r>
      <w:r w:rsidRPr="007233E9">
        <w:rPr>
          <w:rFonts w:eastAsia="Calibri" w:cs="Arial"/>
          <w:i/>
          <w:iCs/>
          <w:lang w:eastAsia="en-US"/>
        </w:rPr>
        <w:t>in vitro</w:t>
      </w:r>
      <w:r w:rsidRPr="006E06E2">
        <w:rPr>
          <w:rFonts w:eastAsia="Calibri" w:cs="Arial"/>
          <w:iCs/>
          <w:lang w:eastAsia="en-US"/>
        </w:rPr>
        <w:t xml:space="preserve"> skin </w:t>
      </w:r>
      <w:r w:rsidRPr="007233E9">
        <w:rPr>
          <w:rFonts w:eastAsia="Calibri" w:cs="Arial"/>
          <w:iCs/>
          <w:lang w:eastAsia="en-US"/>
        </w:rPr>
        <w:t>corrosion/</w:t>
      </w:r>
      <w:r w:rsidRPr="006E06E2">
        <w:rPr>
          <w:rFonts w:eastAsia="Calibri" w:cs="Arial"/>
          <w:iCs/>
          <w:lang w:eastAsia="en-US"/>
        </w:rPr>
        <w:t>irritation studies performed with AL-S2-3-0 can be extrapolated to meta SPC 2.</w:t>
      </w:r>
    </w:p>
    <w:p w14:paraId="1AAB1C4E" w14:textId="77777777" w:rsidR="00806DB7" w:rsidRPr="006E06E2" w:rsidRDefault="00806DB7" w:rsidP="00806DB7">
      <w:pPr>
        <w:spacing w:line="260" w:lineRule="atLeast"/>
        <w:jc w:val="both"/>
        <w:rPr>
          <w:rFonts w:eastAsia="Calibri" w:cs="Arial"/>
          <w:iCs/>
          <w:lang w:eastAsia="en-US"/>
        </w:rPr>
      </w:pPr>
    </w:p>
    <w:p w14:paraId="31699D73" w14:textId="77777777" w:rsidR="00806DB7" w:rsidRPr="007233E9" w:rsidRDefault="00806DB7" w:rsidP="00806DB7">
      <w:pPr>
        <w:keepNext/>
        <w:widowControl w:val="0"/>
        <w:tabs>
          <w:tab w:val="center" w:pos="4536"/>
          <w:tab w:val="right" w:pos="9072"/>
        </w:tabs>
        <w:snapToGrid w:val="0"/>
        <w:spacing w:line="276" w:lineRule="auto"/>
        <w:jc w:val="both"/>
        <w:rPr>
          <w:rFonts w:eastAsia="Calibri" w:cs="Arial"/>
          <w:iCs/>
          <w:lang w:eastAsia="en-US"/>
        </w:rPr>
      </w:pPr>
      <w:r w:rsidRPr="006E06E2">
        <w:rPr>
          <w:rFonts w:eastAsia="Calibri" w:cs="Arial"/>
          <w:iCs/>
          <w:lang w:eastAsia="en-US"/>
        </w:rPr>
        <w:t xml:space="preserve">Since the product AL-S2-3-0 is not classified for skin corrosion </w:t>
      </w:r>
      <w:r w:rsidRPr="007233E9">
        <w:rPr>
          <w:rFonts w:eastAsia="Calibri" w:cs="Arial"/>
          <w:iCs/>
          <w:lang w:eastAsia="en-US"/>
        </w:rPr>
        <w:t>and in the absence of conclusive data for skin irritation potential, the product AL-S2-3-0 and thus the meta SPC 2 products are considered as skin irritant.</w:t>
      </w:r>
    </w:p>
    <w:p w14:paraId="3BCA18B3" w14:textId="77777777" w:rsidR="00806DB7" w:rsidRPr="007233E9" w:rsidRDefault="00806DB7" w:rsidP="00806DB7">
      <w:pPr>
        <w:keepNext/>
        <w:widowControl w:val="0"/>
        <w:tabs>
          <w:tab w:val="center" w:pos="4536"/>
          <w:tab w:val="right" w:pos="9072"/>
        </w:tabs>
        <w:snapToGrid w:val="0"/>
        <w:spacing w:line="276" w:lineRule="auto"/>
        <w:jc w:val="both"/>
        <w:rPr>
          <w:rFonts w:eastAsia="Calibri" w:cs="Arial"/>
          <w:iCs/>
          <w:lang w:eastAsia="en-US"/>
        </w:rPr>
      </w:pPr>
    </w:p>
    <w:p w14:paraId="53224F49" w14:textId="77777777" w:rsidR="00806DB7" w:rsidRPr="007233E9" w:rsidRDefault="00806DB7" w:rsidP="00806DB7">
      <w:pPr>
        <w:spacing w:line="260" w:lineRule="atLeast"/>
        <w:jc w:val="both"/>
        <w:rPr>
          <w:rFonts w:eastAsia="Calibri" w:cs="Arial"/>
          <w:iCs/>
          <w:lang w:eastAsia="en-US"/>
        </w:rPr>
      </w:pPr>
    </w:p>
    <w:p w14:paraId="66488F90" w14:textId="77777777" w:rsidR="00806DB7" w:rsidRPr="006E06E2" w:rsidRDefault="00806DB7" w:rsidP="00806DB7">
      <w:pPr>
        <w:spacing w:line="260" w:lineRule="atLeast"/>
        <w:jc w:val="both"/>
        <w:rPr>
          <w:rFonts w:eastAsia="Calibri" w:cs="Arial"/>
          <w:b/>
          <w:iCs/>
          <w:lang w:eastAsia="en-US"/>
        </w:rPr>
      </w:pPr>
      <w:r w:rsidRPr="006E06E2">
        <w:rPr>
          <w:rFonts w:eastAsia="Calibri" w:cs="Arial"/>
          <w:b/>
          <w:iCs/>
          <w:lang w:eastAsia="en-US"/>
        </w:rPr>
        <w:lastRenderedPageBreak/>
        <w:t>Meta SPC 3</w:t>
      </w:r>
    </w:p>
    <w:p w14:paraId="08B884AC" w14:textId="77777777" w:rsidR="00806DB7" w:rsidRPr="006E06E2" w:rsidRDefault="00806DB7" w:rsidP="00806DB7">
      <w:pPr>
        <w:spacing w:line="260" w:lineRule="atLeast"/>
        <w:jc w:val="both"/>
        <w:rPr>
          <w:rFonts w:eastAsia="Calibri" w:cs="Arial"/>
          <w:b/>
          <w:iCs/>
          <w:lang w:eastAsia="en-US"/>
        </w:rPr>
      </w:pPr>
    </w:p>
    <w:p w14:paraId="29C6698B" w14:textId="77777777" w:rsidR="00806DB7" w:rsidRPr="006E06E2"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The composition of the test item AL-S3-3-0 has been considered to cover (in terms of skin </w:t>
      </w:r>
      <w:r w:rsidRPr="007233E9">
        <w:rPr>
          <w:rFonts w:eastAsia="Calibri" w:cs="Arial"/>
          <w:iCs/>
          <w:lang w:eastAsia="en-US"/>
        </w:rPr>
        <w:t>corrosion/irritation</w:t>
      </w:r>
      <w:r w:rsidRPr="006E06E2">
        <w:rPr>
          <w:rFonts w:eastAsia="Calibri" w:cs="Arial"/>
          <w:iCs/>
          <w:lang w:eastAsia="en-US"/>
        </w:rPr>
        <w:t xml:space="preserve"> ingredients) the composition of meta SPC 3 products (see justification in the confidential annex). Therefore, the results of the </w:t>
      </w:r>
      <w:r w:rsidRPr="006E06E2">
        <w:rPr>
          <w:rFonts w:eastAsia="Calibri" w:cs="Arial"/>
          <w:i/>
          <w:iCs/>
          <w:lang w:eastAsia="en-US"/>
        </w:rPr>
        <w:t>in vitro</w:t>
      </w:r>
      <w:r w:rsidRPr="006E06E2">
        <w:rPr>
          <w:rFonts w:eastAsia="Calibri" w:cs="Arial"/>
          <w:iCs/>
          <w:lang w:eastAsia="en-US"/>
        </w:rPr>
        <w:t xml:space="preserve"> skin </w:t>
      </w:r>
      <w:r w:rsidRPr="007233E9">
        <w:rPr>
          <w:rFonts w:eastAsia="Calibri" w:cs="Arial"/>
          <w:iCs/>
          <w:lang w:eastAsia="en-US"/>
        </w:rPr>
        <w:t>corros</w:t>
      </w:r>
      <w:r w:rsidRPr="006E06E2">
        <w:rPr>
          <w:rFonts w:eastAsia="Calibri" w:cs="Arial"/>
          <w:iCs/>
          <w:lang w:eastAsia="en-US"/>
        </w:rPr>
        <w:t>ion study performed with AL-S3-3-0 can be extrapolated to meta SPC 3.</w:t>
      </w:r>
    </w:p>
    <w:p w14:paraId="3BCBAFAB" w14:textId="77777777" w:rsidR="00806DB7" w:rsidRPr="006E06E2" w:rsidRDefault="00806DB7" w:rsidP="00806DB7">
      <w:pPr>
        <w:spacing w:line="260" w:lineRule="atLeast"/>
        <w:jc w:val="both"/>
        <w:rPr>
          <w:rFonts w:eastAsia="Calibri" w:cs="Arial"/>
          <w:iCs/>
          <w:lang w:eastAsia="en-US"/>
        </w:rPr>
      </w:pPr>
    </w:p>
    <w:p w14:paraId="101F197A" w14:textId="77777777" w:rsidR="00806DB7" w:rsidRPr="007233E9"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AL-S3-3-0 is not classified for skin corrosion and in </w:t>
      </w:r>
      <w:r w:rsidRPr="007233E9">
        <w:rPr>
          <w:rFonts w:eastAsia="Calibri" w:cs="Arial"/>
          <w:iCs/>
          <w:lang w:eastAsia="en-US"/>
        </w:rPr>
        <w:t xml:space="preserve">the </w:t>
      </w:r>
      <w:r w:rsidRPr="006E06E2">
        <w:rPr>
          <w:rFonts w:eastAsia="Calibri" w:cs="Arial"/>
          <w:iCs/>
          <w:lang w:eastAsia="en-US"/>
        </w:rPr>
        <w:t xml:space="preserve">absence of data for skin irritation potential, it is considered as a skin irritant. Therefore, the meta SPC 3 products are also considered </w:t>
      </w:r>
      <w:r w:rsidRPr="007233E9">
        <w:rPr>
          <w:rFonts w:eastAsia="Calibri" w:cs="Arial"/>
          <w:iCs/>
          <w:lang w:eastAsia="en-US"/>
        </w:rPr>
        <w:t xml:space="preserve">as </w:t>
      </w:r>
      <w:r w:rsidRPr="006E06E2">
        <w:rPr>
          <w:rFonts w:eastAsia="Calibri" w:cs="Arial"/>
          <w:iCs/>
          <w:lang w:eastAsia="en-US"/>
        </w:rPr>
        <w:t>irritant for the skin.</w:t>
      </w:r>
    </w:p>
    <w:p w14:paraId="14211572" w14:textId="77777777" w:rsidR="00806DB7" w:rsidRPr="006E06E2" w:rsidRDefault="00806DB7" w:rsidP="00806DB7">
      <w:pPr>
        <w:spacing w:line="260" w:lineRule="atLeast"/>
        <w:jc w:val="both"/>
        <w:rPr>
          <w:rFonts w:eastAsia="Calibri" w:cs="Arial"/>
          <w:i/>
          <w:iCs/>
          <w:u w:val="single"/>
          <w:lang w:eastAsia="en-US"/>
        </w:rPr>
      </w:pPr>
    </w:p>
    <w:p w14:paraId="54406BC3" w14:textId="77777777" w:rsidR="00806DB7" w:rsidRPr="006E06E2" w:rsidRDefault="00806DB7" w:rsidP="00806DB7">
      <w:pPr>
        <w:spacing w:line="260" w:lineRule="atLeast"/>
        <w:jc w:val="both"/>
        <w:rPr>
          <w:rFonts w:eastAsia="Calibri" w:cs="Arial"/>
          <w:b/>
          <w:iCs/>
          <w:lang w:eastAsia="en-US"/>
        </w:rPr>
      </w:pPr>
      <w:r w:rsidRPr="006E06E2">
        <w:rPr>
          <w:rFonts w:eastAsia="Calibri" w:cs="Arial"/>
          <w:b/>
          <w:iCs/>
          <w:lang w:eastAsia="en-US"/>
        </w:rPr>
        <w:t>Meta SPC 4</w:t>
      </w:r>
    </w:p>
    <w:p w14:paraId="4672FE44" w14:textId="77777777" w:rsidR="00806DB7" w:rsidRPr="006E06E2" w:rsidRDefault="00806DB7" w:rsidP="00806DB7">
      <w:pPr>
        <w:spacing w:line="260" w:lineRule="atLeast"/>
        <w:jc w:val="both"/>
        <w:rPr>
          <w:rFonts w:eastAsia="Calibri" w:cs="Arial"/>
          <w:b/>
          <w:iCs/>
          <w:lang w:eastAsia="en-US"/>
        </w:rPr>
      </w:pPr>
    </w:p>
    <w:p w14:paraId="44915C28" w14:textId="77777777" w:rsidR="00806DB7" w:rsidRPr="006E06E2"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The composition of the test item </w:t>
      </w:r>
      <w:r w:rsidRPr="006E06E2">
        <w:rPr>
          <w:rFonts w:eastAsia="Calibri"/>
          <w:color w:val="000000"/>
          <w:lang w:eastAsia="en-GB"/>
        </w:rPr>
        <w:t xml:space="preserve">AL-S4-3-0 </w:t>
      </w:r>
      <w:r w:rsidRPr="006E06E2">
        <w:rPr>
          <w:rFonts w:eastAsia="Calibri" w:cs="Arial"/>
          <w:iCs/>
          <w:lang w:eastAsia="en-US"/>
        </w:rPr>
        <w:t xml:space="preserve">has been considered to cover (in terms of skin </w:t>
      </w:r>
      <w:r w:rsidRPr="007233E9">
        <w:rPr>
          <w:rFonts w:eastAsia="Calibri" w:cs="Arial"/>
          <w:iCs/>
          <w:lang w:eastAsia="en-US"/>
        </w:rPr>
        <w:t>corrosion/irritation</w:t>
      </w:r>
      <w:r w:rsidRPr="006E06E2">
        <w:rPr>
          <w:rFonts w:eastAsia="Calibri" w:cs="Arial"/>
          <w:iCs/>
          <w:lang w:eastAsia="en-US"/>
        </w:rPr>
        <w:t xml:space="preserve"> ingredients) the composition of meta SPC 4 (see justification in the confidential annex). Therefore, the results of the </w:t>
      </w:r>
      <w:r w:rsidRPr="006E06E2">
        <w:rPr>
          <w:rFonts w:eastAsia="Calibri" w:cs="Arial"/>
          <w:i/>
          <w:iCs/>
          <w:lang w:eastAsia="en-US"/>
        </w:rPr>
        <w:t>in vitro</w:t>
      </w:r>
      <w:r w:rsidRPr="006E06E2">
        <w:rPr>
          <w:rFonts w:eastAsia="Calibri" w:cs="Arial"/>
          <w:iCs/>
          <w:lang w:eastAsia="en-US"/>
        </w:rPr>
        <w:t xml:space="preserve"> skin irritation study performed with AL-S4-3-0 can be extrapolated to meta SPC 4.</w:t>
      </w:r>
    </w:p>
    <w:p w14:paraId="17894220" w14:textId="77777777" w:rsidR="00806DB7" w:rsidRPr="006E06E2" w:rsidRDefault="00806DB7" w:rsidP="00806DB7">
      <w:pPr>
        <w:spacing w:line="260" w:lineRule="atLeast"/>
        <w:jc w:val="both"/>
        <w:rPr>
          <w:rFonts w:eastAsia="Calibri" w:cs="Arial"/>
          <w:b/>
          <w:iCs/>
          <w:lang w:eastAsia="en-US"/>
        </w:rPr>
      </w:pPr>
    </w:p>
    <w:p w14:paraId="07BA8611" w14:textId="77777777" w:rsidR="00806DB7" w:rsidRPr="006E06E2" w:rsidRDefault="00806DB7" w:rsidP="00806DB7">
      <w:pPr>
        <w:keepNext/>
        <w:widowControl w:val="0"/>
        <w:tabs>
          <w:tab w:val="center" w:pos="4536"/>
          <w:tab w:val="right" w:pos="9072"/>
        </w:tabs>
        <w:snapToGrid w:val="0"/>
        <w:spacing w:line="276" w:lineRule="auto"/>
        <w:jc w:val="both"/>
        <w:rPr>
          <w:rFonts w:eastAsia="Calibri"/>
          <w:lang w:eastAsia="en-GB"/>
        </w:rPr>
      </w:pPr>
      <w:r w:rsidRPr="006E06E2">
        <w:rPr>
          <w:rFonts w:eastAsia="Calibri" w:cs="Arial"/>
          <w:iCs/>
          <w:lang w:eastAsia="en-US"/>
        </w:rPr>
        <w:t xml:space="preserve">Since the product AL-S4-3-0 is not classified for skin corrosion/irritation, the meta SPC 4 products are also considered </w:t>
      </w:r>
      <w:r w:rsidRPr="006E06E2">
        <w:t>neither corrosive nor irritant</w:t>
      </w:r>
      <w:r w:rsidRPr="007233E9">
        <w:rPr>
          <w:rFonts w:eastAsia="Calibri" w:cs="Arial"/>
          <w:iCs/>
          <w:lang w:eastAsia="en-US"/>
        </w:rPr>
        <w:t xml:space="preserve"> </w:t>
      </w:r>
      <w:r w:rsidRPr="006E06E2">
        <w:rPr>
          <w:rFonts w:eastAsia="Calibri" w:cs="Arial"/>
          <w:iCs/>
          <w:lang w:eastAsia="en-US"/>
        </w:rPr>
        <w:t>for the skin.</w:t>
      </w:r>
    </w:p>
    <w:p w14:paraId="19B5F5BF" w14:textId="77777777" w:rsidR="00806DB7" w:rsidRPr="006E06E2" w:rsidRDefault="00806DB7" w:rsidP="00806DB7">
      <w:pPr>
        <w:spacing w:line="260" w:lineRule="atLeast"/>
        <w:jc w:val="both"/>
        <w:rPr>
          <w:rFonts w:eastAsia="Calibri" w:cs="Arial"/>
          <w:i/>
          <w:iCs/>
          <w:u w:val="single"/>
          <w:lang w:eastAsia="en-US"/>
        </w:rPr>
      </w:pPr>
    </w:p>
    <w:p w14:paraId="74A1635F" w14:textId="77777777" w:rsidR="00806DB7" w:rsidRPr="006E06E2" w:rsidRDefault="00806DB7" w:rsidP="00806DB7">
      <w:pPr>
        <w:spacing w:line="260" w:lineRule="atLeast"/>
        <w:jc w:val="both"/>
        <w:rPr>
          <w:rFonts w:eastAsia="Calibri" w:cs="Arial"/>
          <w:b/>
          <w:iCs/>
          <w:lang w:eastAsia="en-US"/>
        </w:rPr>
      </w:pPr>
      <w:r w:rsidRPr="006E06E2">
        <w:rPr>
          <w:rFonts w:eastAsia="Calibri" w:cs="Arial"/>
          <w:b/>
          <w:iCs/>
          <w:lang w:eastAsia="en-US"/>
        </w:rPr>
        <w:t>Meta SPC 9</w:t>
      </w:r>
    </w:p>
    <w:p w14:paraId="6E6E1C2F" w14:textId="77777777" w:rsidR="00806DB7" w:rsidRPr="006E06E2" w:rsidRDefault="00806DB7" w:rsidP="00806DB7">
      <w:pPr>
        <w:spacing w:line="260" w:lineRule="atLeast"/>
        <w:rPr>
          <w:rFonts w:eastAsia="Calibri" w:cs="Arial"/>
          <w:b/>
          <w:iCs/>
          <w:lang w:eastAsia="en-US"/>
        </w:rPr>
      </w:pPr>
    </w:p>
    <w:p w14:paraId="113C2DD7" w14:textId="77777777" w:rsidR="00806DB7" w:rsidRPr="006E06E2" w:rsidRDefault="00806DB7" w:rsidP="00806DB7">
      <w:pPr>
        <w:spacing w:line="260" w:lineRule="atLeast"/>
        <w:jc w:val="both"/>
        <w:rPr>
          <w:rFonts w:eastAsia="Calibri" w:cs="Arial"/>
          <w:iCs/>
          <w:lang w:eastAsia="en-US"/>
        </w:rPr>
      </w:pPr>
      <w:r w:rsidRPr="006E06E2">
        <w:rPr>
          <w:rFonts w:eastAsia="Calibri" w:cs="Arial"/>
          <w:iCs/>
          <w:lang w:eastAsia="en-US"/>
        </w:rPr>
        <w:t xml:space="preserve">The composition of the test item AL-S9-3-0 has been considered to cover (in terms of skin </w:t>
      </w:r>
      <w:r w:rsidRPr="007233E9">
        <w:rPr>
          <w:rFonts w:eastAsia="Calibri" w:cs="Arial"/>
          <w:iCs/>
          <w:lang w:eastAsia="en-US"/>
        </w:rPr>
        <w:t>corrosion/irritation</w:t>
      </w:r>
      <w:r w:rsidRPr="006E06E2">
        <w:rPr>
          <w:rFonts w:eastAsia="Calibri" w:cs="Arial"/>
          <w:iCs/>
          <w:lang w:eastAsia="en-US"/>
        </w:rPr>
        <w:t xml:space="preserve">ingredients) the composition of meta SPC 9 products (see justification in the confidential annex). Therefore, the results of the two </w:t>
      </w:r>
      <w:r w:rsidRPr="006E06E2">
        <w:rPr>
          <w:rFonts w:eastAsia="Calibri" w:cs="Arial"/>
          <w:i/>
          <w:iCs/>
          <w:lang w:eastAsia="en-US"/>
        </w:rPr>
        <w:t>in vitro</w:t>
      </w:r>
      <w:r w:rsidRPr="006E06E2">
        <w:rPr>
          <w:rFonts w:eastAsia="Calibri" w:cs="Arial"/>
          <w:iCs/>
          <w:lang w:eastAsia="en-US"/>
        </w:rPr>
        <w:t xml:space="preserve"> skin </w:t>
      </w:r>
      <w:r w:rsidRPr="007233E9">
        <w:rPr>
          <w:rFonts w:eastAsia="Calibri" w:cs="Arial"/>
          <w:iCs/>
          <w:lang w:eastAsia="en-US"/>
        </w:rPr>
        <w:t>corrosion/</w:t>
      </w:r>
      <w:r w:rsidRPr="006E06E2">
        <w:rPr>
          <w:rFonts w:eastAsia="Calibri" w:cs="Arial"/>
          <w:iCs/>
          <w:lang w:eastAsia="en-US"/>
        </w:rPr>
        <w:t>irritation studies performed with AL-S9-3-0 can be extrapolated to meta SPC 9.</w:t>
      </w:r>
    </w:p>
    <w:p w14:paraId="4CB740D6" w14:textId="77777777" w:rsidR="00806DB7" w:rsidRPr="006E06E2" w:rsidRDefault="00806DB7" w:rsidP="00806DB7">
      <w:pPr>
        <w:spacing w:line="260" w:lineRule="atLeast"/>
        <w:jc w:val="both"/>
        <w:rPr>
          <w:rFonts w:eastAsia="Calibri" w:cs="Arial"/>
          <w:iCs/>
          <w:lang w:eastAsia="en-US"/>
        </w:rPr>
      </w:pPr>
    </w:p>
    <w:p w14:paraId="2D3F2045" w14:textId="77777777" w:rsidR="00806DB7" w:rsidRPr="007233E9" w:rsidRDefault="00806DB7" w:rsidP="00806DB7">
      <w:pPr>
        <w:keepNext/>
        <w:widowControl w:val="0"/>
        <w:tabs>
          <w:tab w:val="center" w:pos="4536"/>
          <w:tab w:val="right" w:pos="9072"/>
        </w:tabs>
        <w:snapToGrid w:val="0"/>
        <w:spacing w:line="276" w:lineRule="auto"/>
        <w:jc w:val="both"/>
        <w:rPr>
          <w:rFonts w:eastAsia="Calibri" w:cs="Arial"/>
          <w:iCs/>
          <w:lang w:eastAsia="en-US"/>
        </w:rPr>
      </w:pPr>
      <w:r w:rsidRPr="007233E9">
        <w:rPr>
          <w:rFonts w:eastAsia="Calibri" w:cs="Arial"/>
          <w:iCs/>
          <w:lang w:eastAsia="en-US"/>
        </w:rPr>
        <w:t>AL-S9-3-0 is not classified for skin corrosion and in the absence of conclusive data for skin irritation potential, it is considered as a skin irritant. Therefore, the meta SPC 9 products are also considered irritant for the skin.</w:t>
      </w:r>
    </w:p>
    <w:p w14:paraId="69C5B854" w14:textId="77777777" w:rsidR="00806DB7" w:rsidRPr="007233E9" w:rsidRDefault="00806DB7" w:rsidP="00806DB7">
      <w:pPr>
        <w:spacing w:line="260" w:lineRule="atLeast"/>
        <w:rPr>
          <w:rFonts w:ascii="Times New Roman" w:eastAsia="Calibri" w:hAnsi="Times New Roman" w:cs="Times New Roman"/>
          <w:i/>
          <w:iCs/>
          <w:lang w:eastAsia="en-US"/>
        </w:rPr>
      </w:pPr>
      <w:r w:rsidRPr="007233E9">
        <w:rPr>
          <w:rFonts w:eastAsia="Calibri" w:cs="Arial"/>
          <w:iCs/>
          <w:lang w:eastAsia="en-US"/>
        </w:rPr>
        <w:t xml:space="preserve"> </w:t>
      </w:r>
    </w:p>
    <w:p w14:paraId="613D505F" w14:textId="77777777" w:rsidR="00806DB7" w:rsidRPr="007233E9" w:rsidRDefault="00806DB7" w:rsidP="00806DB7">
      <w:pPr>
        <w:spacing w:line="260" w:lineRule="atLeast"/>
        <w:rPr>
          <w:rFonts w:eastAsia="Calibri" w:cs="Arial"/>
          <w:b/>
          <w:iCs/>
          <w:lang w:eastAsia="en-US"/>
        </w:rPr>
      </w:pPr>
      <w:r w:rsidRPr="007233E9">
        <w:rPr>
          <w:rFonts w:eastAsia="Calibri" w:cs="Arial"/>
          <w:b/>
          <w:iCs/>
          <w:lang w:eastAsia="en-US"/>
        </w:rPr>
        <w:t>Meta SPC 6-7-8-10-11-12-13</w:t>
      </w:r>
    </w:p>
    <w:p w14:paraId="08412EE5" w14:textId="77777777" w:rsidR="00806DB7" w:rsidRDefault="00806DB7" w:rsidP="00806DB7">
      <w:pPr>
        <w:spacing w:line="260" w:lineRule="atLeast"/>
        <w:rPr>
          <w:rFonts w:eastAsia="Calibri" w:cs="Arial"/>
          <w:b/>
          <w:iCs/>
          <w:u w:val="single"/>
          <w:lang w:eastAsia="en-US"/>
        </w:rPr>
      </w:pPr>
    </w:p>
    <w:p w14:paraId="47B0CDA0" w14:textId="77777777" w:rsidR="00806DB7" w:rsidRDefault="00806DB7" w:rsidP="00806DB7">
      <w:pPr>
        <w:jc w:val="both"/>
        <w:rPr>
          <w:bCs/>
          <w:iCs/>
        </w:rPr>
      </w:pPr>
      <w:r w:rsidRPr="00192A7F">
        <w:rPr>
          <w:bCs/>
          <w:iCs/>
        </w:rPr>
        <w:t xml:space="preserve">No </w:t>
      </w:r>
      <w:r w:rsidRPr="00A73DAD">
        <w:rPr>
          <w:i/>
        </w:rPr>
        <w:t>in vitro</w:t>
      </w:r>
      <w:r w:rsidRPr="00192A7F">
        <w:rPr>
          <w:bCs/>
          <w:iCs/>
        </w:rPr>
        <w:t xml:space="preserve">, </w:t>
      </w:r>
      <w:r w:rsidRPr="00A73DAD">
        <w:rPr>
          <w:i/>
        </w:rPr>
        <w:t>in vivo</w:t>
      </w:r>
      <w:r w:rsidRPr="00192A7F">
        <w:rPr>
          <w:bCs/>
          <w:iCs/>
        </w:rPr>
        <w:t xml:space="preserve"> or human data on the skin corrosion and irritation potential</w:t>
      </w:r>
      <w:r>
        <w:rPr>
          <w:bCs/>
          <w:iCs/>
        </w:rPr>
        <w:t xml:space="preserve"> of products pertaining to meta </w:t>
      </w:r>
      <w:r w:rsidRPr="00391502">
        <w:rPr>
          <w:rFonts w:eastAsia="Calibri" w:cs="Arial"/>
          <w:iCs/>
          <w:lang w:eastAsia="en-US"/>
        </w:rPr>
        <w:t>6-7-8-10-11-12-13</w:t>
      </w:r>
      <w:r>
        <w:rPr>
          <w:rFonts w:eastAsia="Calibri" w:cs="Arial"/>
          <w:i/>
          <w:iCs/>
          <w:u w:val="single"/>
          <w:lang w:eastAsia="en-US"/>
        </w:rPr>
        <w:t xml:space="preserve"> </w:t>
      </w:r>
      <w:r>
        <w:rPr>
          <w:bCs/>
          <w:iCs/>
        </w:rPr>
        <w:t>are</w:t>
      </w:r>
      <w:r w:rsidRPr="00192A7F">
        <w:rPr>
          <w:bCs/>
          <w:iCs/>
        </w:rPr>
        <w:t xml:space="preserve"> available. </w:t>
      </w:r>
    </w:p>
    <w:p w14:paraId="64CD4312" w14:textId="77777777" w:rsidR="00806DB7" w:rsidRDefault="00806DB7" w:rsidP="00806DB7">
      <w:pPr>
        <w:jc w:val="both"/>
        <w:rPr>
          <w:bCs/>
          <w:iCs/>
        </w:rPr>
      </w:pPr>
    </w:p>
    <w:p w14:paraId="31930279" w14:textId="77777777" w:rsidR="00806DB7" w:rsidRDefault="00806DB7" w:rsidP="00806DB7">
      <w:pPr>
        <w:jc w:val="both"/>
        <w:rPr>
          <w:bCs/>
          <w:iCs/>
        </w:rPr>
      </w:pPr>
      <w:r w:rsidRPr="006E06E2">
        <w:rPr>
          <w:bCs/>
          <w:iCs/>
        </w:rPr>
        <w:t>Besides, none of the studies performed with test items AL-S</w:t>
      </w:r>
      <w:r w:rsidRPr="007233E9">
        <w:rPr>
          <w:bCs/>
          <w:iCs/>
        </w:rPr>
        <w:t>1</w:t>
      </w:r>
      <w:r w:rsidRPr="006E06E2">
        <w:rPr>
          <w:bCs/>
          <w:iCs/>
        </w:rPr>
        <w:t>-3-0</w:t>
      </w:r>
      <w:r w:rsidRPr="007233E9">
        <w:rPr>
          <w:bCs/>
          <w:iCs/>
        </w:rPr>
        <w:t>, AL-S2-3-0, AL-S3-3-0, AL-S4-3-0</w:t>
      </w:r>
      <w:r w:rsidRPr="006E06E2">
        <w:rPr>
          <w:bCs/>
          <w:iCs/>
        </w:rPr>
        <w:t xml:space="preserve"> </w:t>
      </w:r>
      <w:r w:rsidRPr="007233E9">
        <w:rPr>
          <w:bCs/>
          <w:iCs/>
        </w:rPr>
        <w:t xml:space="preserve">and AL-S9-3-0 </w:t>
      </w:r>
      <w:r w:rsidRPr="006E06E2">
        <w:rPr>
          <w:bCs/>
          <w:iCs/>
        </w:rPr>
        <w:t>presented above can be used</w:t>
      </w:r>
      <w:r w:rsidRPr="007233E9">
        <w:rPr>
          <w:bCs/>
          <w:iCs/>
        </w:rPr>
        <w:t xml:space="preserve"> by read-across</w:t>
      </w:r>
      <w:r w:rsidRPr="006E06E2">
        <w:rPr>
          <w:bCs/>
          <w:iCs/>
        </w:rPr>
        <w:t xml:space="preserve"> for the products of meta SPC 6-7-8-10-11-12-13.</w:t>
      </w:r>
      <w:r>
        <w:rPr>
          <w:bCs/>
          <w:iCs/>
        </w:rPr>
        <w:t xml:space="preserve"> </w:t>
      </w:r>
    </w:p>
    <w:p w14:paraId="6FD2BC3D" w14:textId="77777777" w:rsidR="00806DB7" w:rsidRPr="00391502" w:rsidRDefault="00806DB7" w:rsidP="00806DB7">
      <w:pPr>
        <w:spacing w:line="260" w:lineRule="atLeast"/>
        <w:rPr>
          <w:rFonts w:eastAsia="Calibri" w:cs="Arial"/>
          <w:b/>
          <w:iCs/>
          <w:u w:val="single"/>
          <w:lang w:eastAsia="en-US"/>
        </w:rPr>
      </w:pPr>
    </w:p>
    <w:tbl>
      <w:tblPr>
        <w:tblpPr w:leftFromText="141" w:rightFromText="141" w:vertAnchor="text" w:horzAnchor="margin" w:tblpY="24"/>
        <w:tblW w:w="9341" w:type="dxa"/>
        <w:tblLayout w:type="fixed"/>
        <w:tblLook w:val="0000" w:firstRow="0" w:lastRow="0" w:firstColumn="0" w:lastColumn="0" w:noHBand="0" w:noVBand="0"/>
      </w:tblPr>
      <w:tblGrid>
        <w:gridCol w:w="2380"/>
        <w:gridCol w:w="6961"/>
      </w:tblGrid>
      <w:tr w:rsidR="00806DB7" w14:paraId="5D5878A4" w14:textId="77777777" w:rsidTr="00934956">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28C59AA" w14:textId="77777777" w:rsidR="00806DB7" w:rsidRDefault="00806DB7" w:rsidP="00934956">
            <w:pPr>
              <w:spacing w:line="260" w:lineRule="atLeast"/>
            </w:pPr>
            <w:r>
              <w:rPr>
                <w:rFonts w:eastAsia="Calibri"/>
                <w:b/>
                <w:bCs/>
                <w:lang w:eastAsia="en-US"/>
              </w:rPr>
              <w:t>Conclusion used in Risk Assessment – Skin corrosion and irritation</w:t>
            </w:r>
          </w:p>
        </w:tc>
      </w:tr>
      <w:tr w:rsidR="00806DB7" w14:paraId="5365051D" w14:textId="77777777" w:rsidTr="00934956">
        <w:trPr>
          <w:trHeight w:val="298"/>
        </w:trPr>
        <w:tc>
          <w:tcPr>
            <w:tcW w:w="2380" w:type="dxa"/>
            <w:tcBorders>
              <w:top w:val="single" w:sz="6" w:space="0" w:color="000000"/>
              <w:left w:val="single" w:sz="4" w:space="0" w:color="000000"/>
              <w:bottom w:val="single" w:sz="6" w:space="0" w:color="000000"/>
            </w:tcBorders>
            <w:shd w:val="clear" w:color="auto" w:fill="auto"/>
          </w:tcPr>
          <w:p w14:paraId="26191A07" w14:textId="77777777" w:rsidR="00806DB7" w:rsidRDefault="00806DB7" w:rsidP="00934956">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C083EFC" w14:textId="77777777" w:rsidR="00806DB7" w:rsidRDefault="00806DB7" w:rsidP="00934956">
            <w:pPr>
              <w:snapToGrid w:val="0"/>
              <w:spacing w:line="260" w:lineRule="atLeast"/>
              <w:jc w:val="both"/>
              <w:rPr>
                <w:rFonts w:eastAsia="Calibri"/>
                <w:lang w:eastAsia="en-US"/>
              </w:rPr>
            </w:pPr>
            <w:r w:rsidRPr="00713FB0">
              <w:rPr>
                <w:rFonts w:eastAsia="Calibri"/>
                <w:lang w:eastAsia="en-US"/>
              </w:rPr>
              <w:t xml:space="preserve">The </w:t>
            </w:r>
            <w:r>
              <w:rPr>
                <w:rFonts w:eastAsia="Calibri"/>
                <w:lang w:eastAsia="en-US"/>
              </w:rPr>
              <w:t xml:space="preserve">products of meta SPC </w:t>
            </w:r>
            <w:r w:rsidRPr="00D67462">
              <w:rPr>
                <w:rFonts w:eastAsia="Calibri" w:cs="Arial"/>
                <w:iCs/>
                <w:lang w:eastAsia="en-US"/>
              </w:rPr>
              <w:t>6-7-8-10-11-12-13</w:t>
            </w:r>
            <w:r w:rsidRPr="00391502">
              <w:rPr>
                <w:rFonts w:eastAsia="Calibri" w:cs="Arial"/>
                <w:i/>
                <w:iCs/>
                <w:lang w:eastAsia="en-US"/>
              </w:rPr>
              <w:t xml:space="preserve"> </w:t>
            </w:r>
            <w:r>
              <w:rPr>
                <w:rFonts w:eastAsia="Calibri"/>
                <w:lang w:eastAsia="en-US"/>
              </w:rPr>
              <w:t>are considered corrosive</w:t>
            </w:r>
            <w:r w:rsidRPr="00713FB0">
              <w:rPr>
                <w:rFonts w:eastAsia="Calibri"/>
                <w:lang w:eastAsia="en-US"/>
              </w:rPr>
              <w:t xml:space="preserve"> to the skin.</w:t>
            </w:r>
          </w:p>
        </w:tc>
      </w:tr>
      <w:tr w:rsidR="00806DB7" w14:paraId="14F6B29E" w14:textId="77777777" w:rsidTr="00934956">
        <w:tc>
          <w:tcPr>
            <w:tcW w:w="2380" w:type="dxa"/>
            <w:tcBorders>
              <w:top w:val="single" w:sz="6" w:space="0" w:color="000000"/>
              <w:left w:val="single" w:sz="4" w:space="0" w:color="000000"/>
              <w:bottom w:val="single" w:sz="6" w:space="0" w:color="000000"/>
            </w:tcBorders>
            <w:shd w:val="clear" w:color="auto" w:fill="auto"/>
          </w:tcPr>
          <w:p w14:paraId="658212E2" w14:textId="77777777" w:rsidR="00806DB7" w:rsidRDefault="00806DB7" w:rsidP="00934956">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A1B50C7" w14:textId="77777777" w:rsidR="00806DB7" w:rsidRDefault="00806DB7" w:rsidP="00934956">
            <w:pPr>
              <w:snapToGrid w:val="0"/>
              <w:spacing w:line="260" w:lineRule="atLeast"/>
              <w:jc w:val="both"/>
              <w:rPr>
                <w:rFonts w:eastAsia="Calibri"/>
                <w:lang w:eastAsia="en-US"/>
              </w:rPr>
            </w:pPr>
            <w:r w:rsidRPr="002970F9">
              <w:rPr>
                <w:rFonts w:eastAsia="Calibri"/>
                <w:lang w:eastAsia="en-US"/>
              </w:rPr>
              <w:t xml:space="preserve">No </w:t>
            </w:r>
            <w:r>
              <w:rPr>
                <w:rFonts w:eastAsia="Calibri"/>
                <w:lang w:eastAsia="en-US"/>
              </w:rPr>
              <w:t>study</w:t>
            </w:r>
            <w:r w:rsidRPr="002970F9">
              <w:rPr>
                <w:rFonts w:eastAsia="Calibri"/>
                <w:lang w:eastAsia="en-US"/>
              </w:rPr>
              <w:t xml:space="preserve"> on </w:t>
            </w:r>
            <w:r>
              <w:rPr>
                <w:rFonts w:eastAsia="Calibri"/>
                <w:lang w:eastAsia="en-US"/>
              </w:rPr>
              <w:t>skin</w:t>
            </w:r>
            <w:r w:rsidRPr="002970F9">
              <w:rPr>
                <w:rFonts w:eastAsia="Calibri"/>
                <w:lang w:eastAsia="en-US"/>
              </w:rPr>
              <w:t xml:space="preserve"> </w:t>
            </w:r>
            <w:r>
              <w:rPr>
                <w:rFonts w:eastAsia="Calibri"/>
                <w:lang w:eastAsia="en-US"/>
              </w:rPr>
              <w:t>corrosion/</w:t>
            </w:r>
            <w:r w:rsidRPr="002970F9">
              <w:rPr>
                <w:rFonts w:eastAsia="Calibri"/>
                <w:lang w:eastAsia="en-US"/>
              </w:rPr>
              <w:t xml:space="preserve">irritation was </w:t>
            </w:r>
            <w:r>
              <w:rPr>
                <w:rFonts w:eastAsia="Calibri"/>
                <w:lang w:eastAsia="en-US"/>
              </w:rPr>
              <w:t xml:space="preserve">performed. </w:t>
            </w:r>
            <w:r w:rsidRPr="002970F9">
              <w:rPr>
                <w:rFonts w:eastAsia="Calibri"/>
                <w:lang w:eastAsia="en-US"/>
              </w:rPr>
              <w:t>The classification is determined using the calculation method of CLP Regulation. Considering the content in</w:t>
            </w:r>
            <w:r>
              <w:rPr>
                <w:rFonts w:eastAsia="Calibri"/>
                <w:lang w:eastAsia="en-US"/>
              </w:rPr>
              <w:t xml:space="preserve"> active substance (lactic acid) in the meta SPC </w:t>
            </w:r>
            <w:r w:rsidRPr="00D67462">
              <w:rPr>
                <w:rFonts w:eastAsia="Calibri" w:cs="Arial"/>
                <w:iCs/>
                <w:lang w:eastAsia="en-US"/>
              </w:rPr>
              <w:t>6-7-8-10-11-12-13</w:t>
            </w:r>
            <w:r>
              <w:rPr>
                <w:rFonts w:eastAsia="Calibri" w:cs="Arial"/>
                <w:iCs/>
                <w:lang w:eastAsia="en-US"/>
              </w:rPr>
              <w:t xml:space="preserve"> </w:t>
            </w:r>
            <w:r>
              <w:rPr>
                <w:rFonts w:eastAsia="Calibri"/>
                <w:lang w:eastAsia="en-US"/>
              </w:rPr>
              <w:t>(8 to 24%)</w:t>
            </w:r>
            <w:r w:rsidRPr="002970F9">
              <w:rPr>
                <w:rFonts w:eastAsia="Calibri"/>
                <w:lang w:eastAsia="en-US"/>
              </w:rPr>
              <w:t xml:space="preserve">, a classification </w:t>
            </w:r>
            <w:r>
              <w:rPr>
                <w:rFonts w:eastAsia="Calibri"/>
                <w:lang w:eastAsia="en-US"/>
              </w:rPr>
              <w:t>Skin Corr. 1C H314</w:t>
            </w:r>
            <w:r w:rsidRPr="002970F9">
              <w:rPr>
                <w:rFonts w:eastAsia="Calibri"/>
                <w:lang w:eastAsia="en-US"/>
              </w:rPr>
              <w:t xml:space="preserve"> (in accordance with Regulation EC/1272/2008) is needed</w:t>
            </w:r>
            <w:r>
              <w:rPr>
                <w:rFonts w:eastAsia="Calibri"/>
                <w:lang w:eastAsia="en-US"/>
              </w:rPr>
              <w:t>.</w:t>
            </w:r>
          </w:p>
        </w:tc>
      </w:tr>
      <w:tr w:rsidR="00806DB7" w14:paraId="0723AE84" w14:textId="77777777" w:rsidTr="00934956">
        <w:tc>
          <w:tcPr>
            <w:tcW w:w="2380" w:type="dxa"/>
            <w:tcBorders>
              <w:top w:val="single" w:sz="6" w:space="0" w:color="000000"/>
              <w:left w:val="single" w:sz="4" w:space="0" w:color="000000"/>
              <w:bottom w:val="single" w:sz="6" w:space="0" w:color="000000"/>
            </w:tcBorders>
            <w:shd w:val="clear" w:color="auto" w:fill="auto"/>
          </w:tcPr>
          <w:p w14:paraId="572F2672" w14:textId="77777777" w:rsidR="00806DB7" w:rsidRDefault="00806DB7" w:rsidP="00934956">
            <w:pPr>
              <w:spacing w:line="260" w:lineRule="atLeast"/>
              <w:rPr>
                <w:rFonts w:eastAsia="Calibri"/>
                <w:lang w:eastAsia="en-US"/>
              </w:rPr>
            </w:pPr>
            <w:r>
              <w:rPr>
                <w:rFonts w:eastAsia="Calibri"/>
                <w:lang w:eastAsia="en-US"/>
              </w:rPr>
              <w:lastRenderedPageBreak/>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6E2D574" w14:textId="77777777" w:rsidR="00806DB7" w:rsidRDefault="00806DB7" w:rsidP="00934956">
            <w:pPr>
              <w:spacing w:line="260" w:lineRule="atLeast"/>
              <w:jc w:val="both"/>
            </w:pPr>
            <w:r>
              <w:rPr>
                <w:bCs/>
                <w:iCs/>
              </w:rPr>
              <w:t>Skin Corr. 1C</w:t>
            </w:r>
            <w:r w:rsidRPr="00192A7F">
              <w:rPr>
                <w:bCs/>
                <w:iCs/>
              </w:rPr>
              <w:t xml:space="preserve"> </w:t>
            </w:r>
            <w:r>
              <w:rPr>
                <w:bCs/>
                <w:iCs/>
              </w:rPr>
              <w:t>(</w:t>
            </w:r>
            <w:r w:rsidRPr="00192A7F">
              <w:rPr>
                <w:bCs/>
                <w:iCs/>
              </w:rPr>
              <w:t>H314</w:t>
            </w:r>
            <w:r>
              <w:rPr>
                <w:bCs/>
                <w:iCs/>
              </w:rPr>
              <w:t>)</w:t>
            </w:r>
          </w:p>
        </w:tc>
      </w:tr>
    </w:tbl>
    <w:p w14:paraId="5F044F3E" w14:textId="77777777" w:rsidR="00806DB7" w:rsidRDefault="00806DB7">
      <w:pPr>
        <w:spacing w:line="260" w:lineRule="atLeast"/>
        <w:rPr>
          <w:rFonts w:ascii="Times New Roman" w:eastAsia="Calibri" w:hAnsi="Times New Roman" w:cs="Times New Roman"/>
          <w:i/>
          <w:iCs/>
          <w:lang w:eastAsia="en-US"/>
        </w:rPr>
      </w:pPr>
    </w:p>
    <w:p w14:paraId="57FEB9D3" w14:textId="77777777" w:rsidR="00806DB7" w:rsidRDefault="00806DB7">
      <w:pPr>
        <w:spacing w:line="260" w:lineRule="atLeast"/>
        <w:rPr>
          <w:rFonts w:eastAsia="Calibri" w:cs="Times New Roman"/>
          <w:b/>
          <w:i/>
          <w:iCs/>
          <w:sz w:val="22"/>
          <w:lang w:eastAsia="en-US"/>
        </w:rPr>
      </w:pPr>
    </w:p>
    <w:p w14:paraId="2757ABC6" w14:textId="0BFF30C5" w:rsidR="00DF3642" w:rsidRDefault="00457B54">
      <w:pPr>
        <w:spacing w:line="260" w:lineRule="atLeast"/>
        <w:rPr>
          <w:rFonts w:eastAsia="Calibri" w:cs="Times New Roman"/>
          <w:b/>
          <w:i/>
          <w:iCs/>
          <w:sz w:val="22"/>
          <w:lang w:eastAsia="en-US"/>
        </w:rPr>
      </w:pPr>
      <w:r w:rsidRPr="00E91F85">
        <w:rPr>
          <w:rFonts w:eastAsia="Calibri" w:cs="Times New Roman"/>
          <w:b/>
          <w:i/>
          <w:iCs/>
          <w:sz w:val="22"/>
          <w:lang w:eastAsia="en-US"/>
        </w:rPr>
        <w:t>Aspiration hazard</w:t>
      </w:r>
    </w:p>
    <w:p w14:paraId="3D9B10F7" w14:textId="3E86382B" w:rsidR="00457B54" w:rsidRDefault="00457B54">
      <w:pPr>
        <w:spacing w:line="260" w:lineRule="atLeast"/>
        <w:rPr>
          <w:rFonts w:eastAsia="Calibri" w:cs="Times New Roman"/>
          <w:b/>
          <w:i/>
          <w:iCs/>
          <w:sz w:val="22"/>
          <w:lang w:eastAsia="en-US"/>
        </w:rPr>
      </w:pPr>
    </w:p>
    <w:p w14:paraId="3E258FAE" w14:textId="649DC81F" w:rsidR="00457B54" w:rsidRPr="00E91F85" w:rsidRDefault="00457B54">
      <w:pPr>
        <w:spacing w:line="260" w:lineRule="atLeast"/>
        <w:rPr>
          <w:rFonts w:eastAsia="Calibri" w:cs="Times New Roman"/>
          <w:b/>
          <w:iCs/>
          <w:lang w:eastAsia="en-US"/>
        </w:rPr>
      </w:pPr>
      <w:r w:rsidRPr="00E91F85">
        <w:rPr>
          <w:rFonts w:eastAsia="Calibri" w:cs="Times New Roman"/>
          <w:b/>
          <w:iCs/>
          <w:lang w:eastAsia="en-US"/>
        </w:rPr>
        <w:t>Meta SPC 1-4-9-10-11-12</w:t>
      </w:r>
    </w:p>
    <w:p w14:paraId="0EFBE411" w14:textId="77777777" w:rsidR="009D0C0B" w:rsidRPr="00B27CB1" w:rsidRDefault="009D0C0B">
      <w:pPr>
        <w:spacing w:line="260" w:lineRule="atLeast"/>
        <w:rPr>
          <w:rFonts w:ascii="Times New Roman" w:eastAsia="Calibri" w:hAnsi="Times New Roman" w:cs="Times New Roman"/>
          <w:i/>
          <w:iCs/>
          <w:lang w:eastAsia="en-US"/>
        </w:rPr>
      </w:pPr>
    </w:p>
    <w:tbl>
      <w:tblPr>
        <w:tblpPr w:leftFromText="141" w:rightFromText="141" w:vertAnchor="text" w:horzAnchor="margin" w:tblpY="24"/>
        <w:tblW w:w="9341" w:type="dxa"/>
        <w:tblLayout w:type="fixed"/>
        <w:tblLook w:val="0000" w:firstRow="0" w:lastRow="0" w:firstColumn="0" w:lastColumn="0" w:noHBand="0" w:noVBand="0"/>
      </w:tblPr>
      <w:tblGrid>
        <w:gridCol w:w="2380"/>
        <w:gridCol w:w="6961"/>
      </w:tblGrid>
      <w:tr w:rsidR="00457B54" w14:paraId="08970428" w14:textId="77777777" w:rsidTr="00AB181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ACD1477" w14:textId="71D2A1CC" w:rsidR="00457B54" w:rsidRDefault="00457B54" w:rsidP="00AE3876">
            <w:pPr>
              <w:spacing w:line="260" w:lineRule="atLeast"/>
            </w:pPr>
            <w:r>
              <w:rPr>
                <w:rFonts w:eastAsia="Calibri"/>
                <w:b/>
                <w:bCs/>
                <w:lang w:eastAsia="en-US"/>
              </w:rPr>
              <w:t xml:space="preserve">Conclusion used in Risk Assessment – Aspiration </w:t>
            </w:r>
            <w:r w:rsidR="00B4611D">
              <w:rPr>
                <w:rFonts w:eastAsia="Calibri"/>
                <w:b/>
                <w:bCs/>
                <w:lang w:eastAsia="en-US"/>
              </w:rPr>
              <w:t>hazard</w:t>
            </w:r>
          </w:p>
        </w:tc>
      </w:tr>
      <w:tr w:rsidR="002D6E5B" w14:paraId="0ED37930" w14:textId="77777777" w:rsidTr="00AB1818">
        <w:trPr>
          <w:trHeight w:val="298"/>
        </w:trPr>
        <w:tc>
          <w:tcPr>
            <w:tcW w:w="2380" w:type="dxa"/>
            <w:tcBorders>
              <w:top w:val="single" w:sz="6" w:space="0" w:color="000000"/>
              <w:left w:val="single" w:sz="4" w:space="0" w:color="000000"/>
              <w:bottom w:val="single" w:sz="6" w:space="0" w:color="000000"/>
            </w:tcBorders>
            <w:shd w:val="clear" w:color="auto" w:fill="auto"/>
          </w:tcPr>
          <w:p w14:paraId="24872DBA" w14:textId="77777777" w:rsidR="002D6E5B" w:rsidRDefault="002D6E5B" w:rsidP="002D6E5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0F1FF13" w14:textId="78A52622" w:rsidR="002D6E5B" w:rsidRDefault="002D6E5B" w:rsidP="002D6E5B">
            <w:pPr>
              <w:snapToGrid w:val="0"/>
              <w:spacing w:line="260" w:lineRule="atLeast"/>
              <w:jc w:val="both"/>
              <w:rPr>
                <w:rFonts w:eastAsia="Calibri"/>
                <w:lang w:eastAsia="en-US"/>
              </w:rPr>
            </w:pPr>
            <w:r>
              <w:rPr>
                <w:rFonts w:eastAsia="Calibri"/>
                <w:lang w:eastAsia="en-US"/>
              </w:rPr>
              <w:t>Not classified</w:t>
            </w:r>
          </w:p>
        </w:tc>
      </w:tr>
      <w:tr w:rsidR="002D6E5B" w14:paraId="66E48838" w14:textId="77777777" w:rsidTr="00AB1818">
        <w:tc>
          <w:tcPr>
            <w:tcW w:w="2380" w:type="dxa"/>
            <w:tcBorders>
              <w:top w:val="single" w:sz="6" w:space="0" w:color="000000"/>
              <w:left w:val="single" w:sz="4" w:space="0" w:color="000000"/>
              <w:bottom w:val="single" w:sz="6" w:space="0" w:color="000000"/>
            </w:tcBorders>
            <w:shd w:val="clear" w:color="auto" w:fill="auto"/>
          </w:tcPr>
          <w:p w14:paraId="61DCCE86" w14:textId="77777777" w:rsidR="002D6E5B" w:rsidRDefault="002D6E5B" w:rsidP="002D6E5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C8656CD" w14:textId="77777777" w:rsidR="002D6E5B" w:rsidRDefault="002D6E5B" w:rsidP="002D6E5B">
            <w:pPr>
              <w:spacing w:line="260" w:lineRule="atLeast"/>
              <w:rPr>
                <w:rFonts w:eastAsia="Calibri" w:cs="Times New Roman"/>
                <w:iCs/>
                <w:lang w:eastAsia="en-US"/>
              </w:rPr>
            </w:pPr>
            <w:r w:rsidRPr="003E67ED">
              <w:rPr>
                <w:rFonts w:eastAsia="Calibri" w:cs="Times New Roman"/>
                <w:iCs/>
                <w:lang w:eastAsia="en-US"/>
              </w:rPr>
              <w:t>Some co-formulants are classified for aspiration hazard (H304</w:t>
            </w:r>
            <w:r>
              <w:rPr>
                <w:rFonts w:eastAsia="Calibri" w:cs="Times New Roman"/>
                <w:iCs/>
                <w:lang w:eastAsia="en-US"/>
              </w:rPr>
              <w:t>). However, they are present at a concentration largely inferior to the aspiration hazard threshold of 10%.</w:t>
            </w:r>
          </w:p>
          <w:p w14:paraId="08BCC59A" w14:textId="77777777" w:rsidR="002D6E5B" w:rsidRPr="003E67ED" w:rsidRDefault="002D6E5B" w:rsidP="002D6E5B">
            <w:pPr>
              <w:spacing w:line="260" w:lineRule="atLeast"/>
              <w:rPr>
                <w:rFonts w:eastAsia="Calibri" w:cs="Times New Roman"/>
                <w:iCs/>
                <w:lang w:eastAsia="en-US"/>
              </w:rPr>
            </w:pPr>
            <w:r>
              <w:rPr>
                <w:rFonts w:eastAsia="Calibri" w:cs="Times New Roman"/>
                <w:iCs/>
                <w:lang w:eastAsia="en-US"/>
              </w:rPr>
              <w:t xml:space="preserve">Therefore, no classification is required. </w:t>
            </w:r>
          </w:p>
          <w:p w14:paraId="6EEBCB56" w14:textId="767D1C2B" w:rsidR="002D6E5B" w:rsidRDefault="002D6E5B" w:rsidP="002D6E5B">
            <w:pPr>
              <w:snapToGrid w:val="0"/>
              <w:spacing w:line="260" w:lineRule="atLeast"/>
              <w:jc w:val="both"/>
              <w:rPr>
                <w:rFonts w:eastAsia="Calibri"/>
                <w:lang w:eastAsia="en-US"/>
              </w:rPr>
            </w:pPr>
          </w:p>
        </w:tc>
      </w:tr>
      <w:tr w:rsidR="002D6E5B" w14:paraId="1F743AC0" w14:textId="77777777" w:rsidTr="00AB1818">
        <w:tc>
          <w:tcPr>
            <w:tcW w:w="2380" w:type="dxa"/>
            <w:tcBorders>
              <w:top w:val="single" w:sz="6" w:space="0" w:color="000000"/>
              <w:left w:val="single" w:sz="4" w:space="0" w:color="000000"/>
              <w:bottom w:val="single" w:sz="6" w:space="0" w:color="000000"/>
            </w:tcBorders>
            <w:shd w:val="clear" w:color="auto" w:fill="auto"/>
          </w:tcPr>
          <w:p w14:paraId="684AAE6C" w14:textId="77777777" w:rsidR="002D6E5B" w:rsidRDefault="002D6E5B" w:rsidP="002D6E5B">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4125C86" w14:textId="7A3A0551" w:rsidR="002D6E5B" w:rsidRDefault="002D6E5B" w:rsidP="002D6E5B">
            <w:pPr>
              <w:spacing w:line="260" w:lineRule="atLeast"/>
              <w:jc w:val="both"/>
            </w:pPr>
            <w:r>
              <w:rPr>
                <w:bCs/>
                <w:iCs/>
              </w:rPr>
              <w:t>Not classified</w:t>
            </w:r>
          </w:p>
        </w:tc>
      </w:tr>
    </w:tbl>
    <w:p w14:paraId="1DB65AF4" w14:textId="6DC87F2F" w:rsidR="00DC4106" w:rsidRPr="00B27CB1" w:rsidRDefault="00457B54">
      <w:pPr>
        <w:spacing w:line="260" w:lineRule="atLeast"/>
        <w:rPr>
          <w:rFonts w:ascii="Times New Roman" w:eastAsia="Calibri" w:hAnsi="Times New Roman" w:cs="Times New Roman"/>
          <w:i/>
          <w:iCs/>
          <w:lang w:eastAsia="en-US"/>
        </w:rPr>
      </w:pPr>
      <w:r w:rsidRPr="00B27CB1" w:rsidDel="00DC4106">
        <w:rPr>
          <w:rFonts w:ascii="Times New Roman" w:eastAsia="Calibri" w:hAnsi="Times New Roman" w:cs="Times New Roman"/>
          <w:i/>
          <w:iCs/>
          <w:lang w:eastAsia="en-US"/>
        </w:rPr>
        <w:t xml:space="preserve"> </w:t>
      </w:r>
    </w:p>
    <w:p w14:paraId="3172EE60" w14:textId="27BBF2AB" w:rsidR="00B202B3" w:rsidRDefault="00B202B3" w:rsidP="00457B54">
      <w:pPr>
        <w:spacing w:line="260" w:lineRule="atLeast"/>
        <w:rPr>
          <w:rFonts w:eastAsia="Calibri" w:cs="Times New Roman"/>
          <w:i/>
          <w:iCs/>
          <w:sz w:val="22"/>
          <w:u w:val="single"/>
          <w:lang w:eastAsia="en-US"/>
        </w:rPr>
      </w:pPr>
    </w:p>
    <w:p w14:paraId="15D29EA7" w14:textId="3C29FA45" w:rsidR="00457B54" w:rsidRPr="00E91F85" w:rsidRDefault="00457B54" w:rsidP="00457B54">
      <w:pPr>
        <w:spacing w:line="260" w:lineRule="atLeast"/>
        <w:rPr>
          <w:rFonts w:eastAsia="Calibri" w:cs="Times New Roman"/>
          <w:b/>
          <w:iCs/>
          <w:lang w:eastAsia="en-US"/>
        </w:rPr>
      </w:pPr>
      <w:r w:rsidRPr="00E91F85">
        <w:rPr>
          <w:rFonts w:eastAsia="Calibri" w:cs="Times New Roman"/>
          <w:b/>
          <w:iCs/>
          <w:lang w:eastAsia="en-US"/>
        </w:rPr>
        <w:t>Meta SPC 2-3-6-7-8-13</w:t>
      </w:r>
    </w:p>
    <w:p w14:paraId="4C1D3B0B" w14:textId="77777777" w:rsidR="00457B54" w:rsidRPr="00B27CB1" w:rsidRDefault="00457B54" w:rsidP="00457B54">
      <w:pPr>
        <w:spacing w:line="260" w:lineRule="atLeast"/>
        <w:rPr>
          <w:rFonts w:ascii="Times New Roman" w:eastAsia="Calibri" w:hAnsi="Times New Roman" w:cs="Times New Roman"/>
          <w:i/>
          <w:iCs/>
          <w:lang w:eastAsia="en-US"/>
        </w:rPr>
      </w:pPr>
    </w:p>
    <w:tbl>
      <w:tblPr>
        <w:tblpPr w:leftFromText="141" w:rightFromText="141" w:vertAnchor="text" w:horzAnchor="margin" w:tblpY="24"/>
        <w:tblW w:w="9341" w:type="dxa"/>
        <w:tblLayout w:type="fixed"/>
        <w:tblLook w:val="0000" w:firstRow="0" w:lastRow="0" w:firstColumn="0" w:lastColumn="0" w:noHBand="0" w:noVBand="0"/>
      </w:tblPr>
      <w:tblGrid>
        <w:gridCol w:w="2380"/>
        <w:gridCol w:w="6961"/>
      </w:tblGrid>
      <w:tr w:rsidR="00457B54" w14:paraId="72C799AB" w14:textId="77777777" w:rsidTr="00AB181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86EEEB0" w14:textId="4ED401D5" w:rsidR="00457B54" w:rsidRDefault="00457B54" w:rsidP="00AB1818">
            <w:pPr>
              <w:spacing w:line="260" w:lineRule="atLeast"/>
            </w:pPr>
            <w:r>
              <w:rPr>
                <w:rFonts w:eastAsia="Calibri"/>
                <w:b/>
                <w:bCs/>
                <w:lang w:eastAsia="en-US"/>
              </w:rPr>
              <w:t xml:space="preserve">Conclusion used in Risk Assessment – Aspiration </w:t>
            </w:r>
            <w:r w:rsidR="00B4611D">
              <w:rPr>
                <w:rFonts w:eastAsia="Calibri"/>
                <w:b/>
                <w:bCs/>
                <w:lang w:eastAsia="en-US"/>
              </w:rPr>
              <w:t>hazard</w:t>
            </w:r>
          </w:p>
        </w:tc>
      </w:tr>
      <w:tr w:rsidR="00457B54" w14:paraId="7D7E969D" w14:textId="77777777" w:rsidTr="00AB1818">
        <w:trPr>
          <w:trHeight w:val="298"/>
        </w:trPr>
        <w:tc>
          <w:tcPr>
            <w:tcW w:w="2380" w:type="dxa"/>
            <w:tcBorders>
              <w:top w:val="single" w:sz="6" w:space="0" w:color="000000"/>
              <w:left w:val="single" w:sz="4" w:space="0" w:color="000000"/>
              <w:bottom w:val="single" w:sz="6" w:space="0" w:color="000000"/>
            </w:tcBorders>
            <w:shd w:val="clear" w:color="auto" w:fill="auto"/>
          </w:tcPr>
          <w:p w14:paraId="6E5F3D1D" w14:textId="77777777" w:rsidR="00457B54" w:rsidRDefault="00457B54" w:rsidP="00AB1818">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6B87573" w14:textId="77777777" w:rsidR="00457B54" w:rsidRDefault="00457B54" w:rsidP="00AB1818">
            <w:pPr>
              <w:snapToGrid w:val="0"/>
              <w:spacing w:line="260" w:lineRule="atLeast"/>
              <w:jc w:val="both"/>
              <w:rPr>
                <w:rFonts w:eastAsia="Calibri"/>
                <w:lang w:eastAsia="en-US"/>
              </w:rPr>
            </w:pPr>
            <w:r>
              <w:rPr>
                <w:rFonts w:eastAsia="Calibri"/>
                <w:lang w:eastAsia="en-US"/>
              </w:rPr>
              <w:t>Not classified</w:t>
            </w:r>
          </w:p>
        </w:tc>
      </w:tr>
      <w:tr w:rsidR="00457B54" w14:paraId="52968B57" w14:textId="77777777" w:rsidTr="00AB1818">
        <w:tc>
          <w:tcPr>
            <w:tcW w:w="2380" w:type="dxa"/>
            <w:tcBorders>
              <w:top w:val="single" w:sz="6" w:space="0" w:color="000000"/>
              <w:left w:val="single" w:sz="4" w:space="0" w:color="000000"/>
              <w:bottom w:val="single" w:sz="6" w:space="0" w:color="000000"/>
            </w:tcBorders>
            <w:shd w:val="clear" w:color="auto" w:fill="auto"/>
          </w:tcPr>
          <w:p w14:paraId="7C64FD11" w14:textId="77777777" w:rsidR="00457B54" w:rsidRDefault="00457B54" w:rsidP="00AB1818">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2D19F6D" w14:textId="77777777" w:rsidR="00457B54" w:rsidRDefault="00457B54" w:rsidP="00E91F85">
            <w:pPr>
              <w:spacing w:line="260" w:lineRule="atLeast"/>
              <w:rPr>
                <w:rFonts w:eastAsia="Calibri" w:cs="Times New Roman"/>
                <w:iCs/>
                <w:lang w:eastAsia="en-US"/>
              </w:rPr>
            </w:pPr>
            <w:r>
              <w:rPr>
                <w:rFonts w:eastAsia="Calibri" w:cs="Times New Roman"/>
                <w:iCs/>
                <w:lang w:eastAsia="en-US"/>
              </w:rPr>
              <w:t>None</w:t>
            </w:r>
            <w:r w:rsidRPr="003E67ED">
              <w:rPr>
                <w:rFonts w:eastAsia="Calibri" w:cs="Times New Roman"/>
                <w:iCs/>
                <w:lang w:eastAsia="en-US"/>
              </w:rPr>
              <w:t xml:space="preserve"> co-formulants are classified for aspiration hazard (H304</w:t>
            </w:r>
            <w:r>
              <w:rPr>
                <w:rFonts w:eastAsia="Calibri" w:cs="Times New Roman"/>
                <w:iCs/>
                <w:lang w:eastAsia="en-US"/>
              </w:rPr>
              <w:t>).</w:t>
            </w:r>
          </w:p>
          <w:p w14:paraId="3B915C81" w14:textId="7F3DF29B" w:rsidR="00457B54" w:rsidRPr="00AE3876" w:rsidRDefault="00457B54" w:rsidP="00E91F85">
            <w:pPr>
              <w:spacing w:line="260" w:lineRule="atLeast"/>
              <w:rPr>
                <w:rFonts w:eastAsia="Calibri" w:cs="Times New Roman"/>
                <w:iCs/>
                <w:lang w:eastAsia="en-US"/>
              </w:rPr>
            </w:pPr>
            <w:r>
              <w:rPr>
                <w:rFonts w:eastAsia="Calibri" w:cs="Times New Roman"/>
                <w:iCs/>
                <w:lang w:eastAsia="en-US"/>
              </w:rPr>
              <w:t xml:space="preserve">Therefore, no classification is required. </w:t>
            </w:r>
          </w:p>
        </w:tc>
      </w:tr>
      <w:tr w:rsidR="00457B54" w14:paraId="6A3AA78C" w14:textId="77777777" w:rsidTr="00AB1818">
        <w:tc>
          <w:tcPr>
            <w:tcW w:w="2380" w:type="dxa"/>
            <w:tcBorders>
              <w:top w:val="single" w:sz="6" w:space="0" w:color="000000"/>
              <w:left w:val="single" w:sz="4" w:space="0" w:color="000000"/>
              <w:bottom w:val="single" w:sz="6" w:space="0" w:color="000000"/>
            </w:tcBorders>
            <w:shd w:val="clear" w:color="auto" w:fill="auto"/>
          </w:tcPr>
          <w:p w14:paraId="746C7792" w14:textId="77777777" w:rsidR="00457B54" w:rsidRDefault="00457B54" w:rsidP="00AB1818">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0341C9F" w14:textId="77777777" w:rsidR="00457B54" w:rsidRDefault="00457B54" w:rsidP="00AB1818">
            <w:pPr>
              <w:spacing w:line="260" w:lineRule="atLeast"/>
              <w:jc w:val="both"/>
            </w:pPr>
            <w:r>
              <w:rPr>
                <w:bCs/>
                <w:iCs/>
              </w:rPr>
              <w:t>Not classified</w:t>
            </w:r>
          </w:p>
        </w:tc>
      </w:tr>
    </w:tbl>
    <w:p w14:paraId="2A092E15" w14:textId="77777777" w:rsidR="009D0C0B" w:rsidRPr="00B27CB1" w:rsidRDefault="009D0C0B">
      <w:pPr>
        <w:spacing w:line="260" w:lineRule="atLeast"/>
        <w:rPr>
          <w:rFonts w:ascii="Times New Roman" w:eastAsia="Calibri" w:hAnsi="Times New Roman" w:cs="Times New Roman"/>
          <w:i/>
          <w:iCs/>
          <w:lang w:eastAsia="en-US"/>
        </w:rPr>
      </w:pPr>
    </w:p>
    <w:p w14:paraId="6230F15F" w14:textId="77777777" w:rsidR="009D0C0B" w:rsidRPr="00B27CB1" w:rsidRDefault="009D0C0B">
      <w:pPr>
        <w:spacing w:line="260" w:lineRule="atLeast"/>
        <w:rPr>
          <w:rFonts w:ascii="Times New Roman" w:eastAsia="Calibri" w:hAnsi="Times New Roman" w:cs="Times New Roman"/>
          <w:i/>
          <w:iCs/>
          <w:lang w:eastAsia="en-US"/>
        </w:rPr>
      </w:pPr>
    </w:p>
    <w:p w14:paraId="47BE0694" w14:textId="13B00F93" w:rsidR="009D0C0B" w:rsidRDefault="00FA480B">
      <w:pPr>
        <w:rPr>
          <w:rFonts w:eastAsia="Calibri"/>
          <w:b/>
          <w:i/>
          <w:sz w:val="22"/>
          <w:szCs w:val="22"/>
          <w:lang w:eastAsia="en-US"/>
        </w:rPr>
      </w:pPr>
      <w:r w:rsidRPr="00B27CB1">
        <w:rPr>
          <w:rFonts w:eastAsia="Calibri"/>
          <w:b/>
          <w:i/>
          <w:sz w:val="22"/>
          <w:szCs w:val="22"/>
          <w:lang w:eastAsia="en-US"/>
        </w:rPr>
        <w:t>Eye irritation</w:t>
      </w:r>
    </w:p>
    <w:tbl>
      <w:tblPr>
        <w:tblW w:w="10142" w:type="dxa"/>
        <w:tblInd w:w="-7" w:type="dxa"/>
        <w:tblLayout w:type="fixed"/>
        <w:tblCellMar>
          <w:left w:w="70" w:type="dxa"/>
          <w:right w:w="70" w:type="dxa"/>
        </w:tblCellMar>
        <w:tblLook w:val="0000" w:firstRow="0" w:lastRow="0" w:firstColumn="0" w:lastColumn="0" w:noHBand="0" w:noVBand="0"/>
      </w:tblPr>
      <w:tblGrid>
        <w:gridCol w:w="1353"/>
        <w:gridCol w:w="1418"/>
        <w:gridCol w:w="2190"/>
        <w:gridCol w:w="2268"/>
        <w:gridCol w:w="1842"/>
        <w:gridCol w:w="1071"/>
      </w:tblGrid>
      <w:tr w:rsidR="002D6E5B" w:rsidRPr="00153A2B" w14:paraId="5985C01A" w14:textId="77777777" w:rsidTr="007A4DA8">
        <w:tc>
          <w:tcPr>
            <w:tcW w:w="10142" w:type="dxa"/>
            <w:gridSpan w:val="6"/>
            <w:tcBorders>
              <w:top w:val="single" w:sz="6" w:space="0" w:color="000000"/>
              <w:left w:val="single" w:sz="6" w:space="0" w:color="000000"/>
              <w:bottom w:val="single" w:sz="6" w:space="0" w:color="000000"/>
              <w:right w:val="single" w:sz="6" w:space="0" w:color="000000"/>
            </w:tcBorders>
            <w:shd w:val="clear" w:color="auto" w:fill="FFFFCC"/>
          </w:tcPr>
          <w:p w14:paraId="5CF26125" w14:textId="77777777" w:rsidR="002D6E5B" w:rsidRPr="00153A2B" w:rsidRDefault="002D6E5B" w:rsidP="00934956">
            <w:pPr>
              <w:keepNext/>
              <w:widowControl w:val="0"/>
              <w:tabs>
                <w:tab w:val="center" w:pos="4536"/>
                <w:tab w:val="right" w:pos="9072"/>
              </w:tabs>
              <w:spacing w:line="260" w:lineRule="atLeast"/>
              <w:jc w:val="center"/>
            </w:pPr>
            <w:r w:rsidRPr="00153A2B">
              <w:rPr>
                <w:rFonts w:eastAsia="Calibri"/>
                <w:b/>
                <w:bCs/>
                <w:color w:val="000000"/>
                <w:lang w:eastAsia="en-GB"/>
              </w:rPr>
              <w:lastRenderedPageBreak/>
              <w:t>Summary table of in vitro studies on eye irritation</w:t>
            </w:r>
          </w:p>
        </w:tc>
      </w:tr>
      <w:tr w:rsidR="002D6E5B" w:rsidRPr="00153A2B" w14:paraId="2030B14C" w14:textId="77777777" w:rsidTr="003213B9">
        <w:tblPrEx>
          <w:tblCellMar>
            <w:top w:w="57" w:type="dxa"/>
            <w:bottom w:w="57" w:type="dxa"/>
          </w:tblCellMar>
        </w:tblPrEx>
        <w:tc>
          <w:tcPr>
            <w:tcW w:w="1353" w:type="dxa"/>
            <w:tcBorders>
              <w:top w:val="single" w:sz="6" w:space="0" w:color="000000"/>
              <w:left w:val="single" w:sz="6" w:space="0" w:color="000000"/>
              <w:bottom w:val="single" w:sz="6" w:space="0" w:color="000000"/>
            </w:tcBorders>
            <w:shd w:val="clear" w:color="auto" w:fill="auto"/>
          </w:tcPr>
          <w:p w14:paraId="7B27825A" w14:textId="77777777" w:rsidR="002D6E5B" w:rsidRPr="00153A2B" w:rsidRDefault="002D6E5B" w:rsidP="00934956">
            <w:pPr>
              <w:keepNext/>
              <w:widowControl w:val="0"/>
              <w:tabs>
                <w:tab w:val="center" w:pos="4536"/>
                <w:tab w:val="right" w:pos="9072"/>
              </w:tabs>
              <w:spacing w:line="260" w:lineRule="atLeast"/>
              <w:rPr>
                <w:rFonts w:eastAsia="Calibri"/>
                <w:b/>
                <w:bCs/>
                <w:color w:val="000000"/>
                <w:lang w:eastAsia="en-GB"/>
              </w:rPr>
            </w:pPr>
            <w:r w:rsidRPr="00153A2B">
              <w:rPr>
                <w:rFonts w:eastAsia="Calibri"/>
                <w:b/>
                <w:bCs/>
                <w:color w:val="000000"/>
                <w:lang w:eastAsia="en-GB"/>
              </w:rPr>
              <w:t>Method,</w:t>
            </w:r>
          </w:p>
          <w:p w14:paraId="35C0BFE4" w14:textId="77777777" w:rsidR="002D6E5B" w:rsidRPr="00153A2B" w:rsidRDefault="002D6E5B" w:rsidP="00934956">
            <w:pPr>
              <w:keepNext/>
              <w:widowControl w:val="0"/>
              <w:tabs>
                <w:tab w:val="center" w:pos="4536"/>
                <w:tab w:val="right" w:pos="9072"/>
              </w:tabs>
              <w:spacing w:line="260" w:lineRule="atLeast"/>
              <w:rPr>
                <w:rFonts w:eastAsia="Calibri"/>
                <w:b/>
                <w:lang w:eastAsia="en-GB"/>
              </w:rPr>
            </w:pPr>
            <w:r w:rsidRPr="00153A2B">
              <w:rPr>
                <w:rFonts w:eastAsia="Calibri"/>
                <w:b/>
                <w:bCs/>
                <w:color w:val="000000"/>
                <w:lang w:eastAsia="en-GB"/>
              </w:rPr>
              <w:t>Guideline,</w:t>
            </w:r>
          </w:p>
          <w:p w14:paraId="3E8E57C8" w14:textId="77777777" w:rsidR="002D6E5B" w:rsidRPr="00153A2B" w:rsidRDefault="002D6E5B" w:rsidP="00934956">
            <w:pPr>
              <w:keepNext/>
              <w:widowControl w:val="0"/>
              <w:tabs>
                <w:tab w:val="center" w:pos="4536"/>
                <w:tab w:val="right" w:pos="9072"/>
              </w:tabs>
              <w:spacing w:line="260" w:lineRule="atLeast"/>
              <w:rPr>
                <w:rFonts w:eastAsia="Calibri"/>
                <w:b/>
                <w:bCs/>
                <w:color w:val="000000"/>
                <w:lang w:eastAsia="en-GB"/>
              </w:rPr>
            </w:pPr>
            <w:r w:rsidRPr="00153A2B">
              <w:rPr>
                <w:rFonts w:eastAsia="Calibri"/>
                <w:b/>
                <w:lang w:eastAsia="en-GB"/>
              </w:rPr>
              <w:t>GLP status</w:t>
            </w:r>
            <w:r w:rsidRPr="00153A2B">
              <w:rPr>
                <w:rFonts w:eastAsia="Calibri"/>
                <w:b/>
                <w:bCs/>
                <w:color w:val="000000"/>
                <w:lang w:eastAsia="en-GB"/>
              </w:rPr>
              <w:t>, Reliability</w:t>
            </w:r>
          </w:p>
        </w:tc>
        <w:tc>
          <w:tcPr>
            <w:tcW w:w="1418" w:type="dxa"/>
            <w:tcBorders>
              <w:top w:val="single" w:sz="6" w:space="0" w:color="000000"/>
              <w:left w:val="single" w:sz="6" w:space="0" w:color="000000"/>
              <w:bottom w:val="single" w:sz="6" w:space="0" w:color="000000"/>
            </w:tcBorders>
            <w:shd w:val="clear" w:color="auto" w:fill="auto"/>
          </w:tcPr>
          <w:p w14:paraId="75CA7835" w14:textId="77777777" w:rsidR="002D6E5B" w:rsidRPr="00153A2B" w:rsidRDefault="002D6E5B" w:rsidP="00934956">
            <w:pPr>
              <w:keepNext/>
              <w:widowControl w:val="0"/>
              <w:tabs>
                <w:tab w:val="center" w:pos="4536"/>
                <w:tab w:val="right" w:pos="9072"/>
              </w:tabs>
              <w:spacing w:line="260" w:lineRule="atLeast"/>
              <w:rPr>
                <w:rFonts w:eastAsia="Calibri"/>
                <w:b/>
                <w:bCs/>
                <w:color w:val="000000"/>
                <w:lang w:eastAsia="en-GB"/>
              </w:rPr>
            </w:pPr>
            <w:r w:rsidRPr="00153A2B">
              <w:rPr>
                <w:rFonts w:eastAsia="Calibri"/>
                <w:b/>
                <w:bCs/>
                <w:color w:val="000000"/>
                <w:lang w:eastAsia="en-GB"/>
              </w:rPr>
              <w:t>Test substance, Doses</w:t>
            </w:r>
          </w:p>
        </w:tc>
        <w:tc>
          <w:tcPr>
            <w:tcW w:w="2190" w:type="dxa"/>
            <w:tcBorders>
              <w:top w:val="single" w:sz="6" w:space="0" w:color="000000"/>
              <w:left w:val="single" w:sz="6" w:space="0" w:color="000000"/>
              <w:bottom w:val="single" w:sz="6" w:space="0" w:color="000000"/>
            </w:tcBorders>
            <w:shd w:val="clear" w:color="auto" w:fill="auto"/>
          </w:tcPr>
          <w:p w14:paraId="73728050" w14:textId="77777777" w:rsidR="002D6E5B" w:rsidRPr="00153A2B" w:rsidRDefault="002D6E5B" w:rsidP="00934956">
            <w:pPr>
              <w:keepNext/>
              <w:widowControl w:val="0"/>
              <w:tabs>
                <w:tab w:val="center" w:pos="4536"/>
                <w:tab w:val="right" w:pos="9072"/>
              </w:tabs>
              <w:spacing w:line="260" w:lineRule="atLeast"/>
              <w:rPr>
                <w:rFonts w:eastAsia="Calibri"/>
                <w:b/>
                <w:bCs/>
                <w:color w:val="000000"/>
                <w:lang w:eastAsia="en-GB"/>
              </w:rPr>
            </w:pPr>
            <w:r w:rsidRPr="00153A2B">
              <w:rPr>
                <w:rFonts w:eastAsia="Calibri"/>
                <w:b/>
                <w:bCs/>
                <w:color w:val="000000"/>
                <w:lang w:eastAsia="en-GB"/>
              </w:rPr>
              <w:t>Relevant information about the study</w:t>
            </w:r>
          </w:p>
        </w:tc>
        <w:tc>
          <w:tcPr>
            <w:tcW w:w="2268" w:type="dxa"/>
            <w:tcBorders>
              <w:top w:val="single" w:sz="6" w:space="0" w:color="000000"/>
              <w:left w:val="single" w:sz="6" w:space="0" w:color="000000"/>
              <w:bottom w:val="single" w:sz="6" w:space="0" w:color="000000"/>
            </w:tcBorders>
            <w:shd w:val="clear" w:color="auto" w:fill="auto"/>
          </w:tcPr>
          <w:p w14:paraId="0AB16F08" w14:textId="77777777" w:rsidR="002D6E5B" w:rsidRPr="00153A2B" w:rsidRDefault="002D6E5B" w:rsidP="00934956">
            <w:pPr>
              <w:keepNext/>
              <w:widowControl w:val="0"/>
              <w:tabs>
                <w:tab w:val="center" w:pos="4536"/>
                <w:tab w:val="right" w:pos="9072"/>
              </w:tabs>
              <w:spacing w:line="260" w:lineRule="atLeast"/>
              <w:rPr>
                <w:rFonts w:eastAsia="Calibri"/>
                <w:b/>
                <w:lang w:eastAsia="en-GB"/>
              </w:rPr>
            </w:pPr>
            <w:r w:rsidRPr="00153A2B">
              <w:rPr>
                <w:rFonts w:eastAsia="Calibri"/>
                <w:b/>
                <w:bCs/>
                <w:color w:val="000000"/>
                <w:lang w:eastAsia="en-GB"/>
              </w:rPr>
              <w:t>Results</w:t>
            </w:r>
          </w:p>
        </w:tc>
        <w:tc>
          <w:tcPr>
            <w:tcW w:w="1842" w:type="dxa"/>
            <w:tcBorders>
              <w:top w:val="single" w:sz="6" w:space="0" w:color="000000"/>
              <w:left w:val="single" w:sz="6" w:space="0" w:color="000000"/>
              <w:bottom w:val="single" w:sz="6" w:space="0" w:color="000000"/>
            </w:tcBorders>
            <w:shd w:val="clear" w:color="auto" w:fill="auto"/>
          </w:tcPr>
          <w:p w14:paraId="53FD4405" w14:textId="77777777" w:rsidR="002D6E5B" w:rsidRPr="00153A2B" w:rsidRDefault="002D6E5B" w:rsidP="00934956">
            <w:pPr>
              <w:keepNext/>
              <w:widowControl w:val="0"/>
              <w:tabs>
                <w:tab w:val="center" w:pos="4536"/>
                <w:tab w:val="right" w:pos="9072"/>
              </w:tabs>
              <w:spacing w:line="260" w:lineRule="atLeast"/>
              <w:rPr>
                <w:rFonts w:eastAsia="Calibri"/>
                <w:b/>
                <w:bCs/>
                <w:color w:val="000000"/>
                <w:lang w:eastAsia="en-GB"/>
              </w:rPr>
            </w:pPr>
            <w:r w:rsidRPr="00153A2B">
              <w:rPr>
                <w:rFonts w:eastAsia="Calibri"/>
                <w:b/>
                <w:lang w:eastAsia="en-GB"/>
              </w:rPr>
              <w:t xml:space="preserve">Remarks </w:t>
            </w:r>
            <w:r w:rsidRPr="00153A2B">
              <w:rPr>
                <w:rFonts w:eastAsia="Calibri"/>
                <w:i/>
                <w:lang w:eastAsia="en-GB"/>
              </w:rPr>
              <w:t>(e.g. major deviations)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14:paraId="362763E9" w14:textId="77777777" w:rsidR="002D6E5B" w:rsidRPr="00153A2B" w:rsidRDefault="002D6E5B" w:rsidP="00934956">
            <w:pPr>
              <w:keepNext/>
              <w:widowControl w:val="0"/>
              <w:tabs>
                <w:tab w:val="center" w:pos="4536"/>
                <w:tab w:val="right" w:pos="9072"/>
              </w:tabs>
              <w:spacing w:line="260" w:lineRule="atLeast"/>
            </w:pPr>
            <w:r w:rsidRPr="00153A2B">
              <w:rPr>
                <w:rFonts w:eastAsia="Calibri"/>
                <w:b/>
                <w:bCs/>
                <w:color w:val="000000"/>
                <w:lang w:eastAsia="en-GB"/>
              </w:rPr>
              <w:t>Reference</w:t>
            </w:r>
          </w:p>
        </w:tc>
      </w:tr>
      <w:tr w:rsidR="002D6E5B" w:rsidRPr="00153A2B" w14:paraId="10EDD22E" w14:textId="77777777" w:rsidTr="003213B9">
        <w:tblPrEx>
          <w:tblCellMar>
            <w:top w:w="57" w:type="dxa"/>
            <w:bottom w:w="57" w:type="dxa"/>
          </w:tblCellMar>
        </w:tblPrEx>
        <w:tc>
          <w:tcPr>
            <w:tcW w:w="1353" w:type="dxa"/>
            <w:tcBorders>
              <w:top w:val="single" w:sz="6" w:space="0" w:color="000000"/>
              <w:left w:val="single" w:sz="6" w:space="0" w:color="000000"/>
              <w:bottom w:val="single" w:sz="4" w:space="0" w:color="auto"/>
            </w:tcBorders>
            <w:shd w:val="clear" w:color="auto" w:fill="auto"/>
          </w:tcPr>
          <w:p w14:paraId="070E6750"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Isolated Chicken Eye Test Method</w:t>
            </w:r>
          </w:p>
          <w:p w14:paraId="4E9E0C1A"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color w:val="000000"/>
                <w:lang w:eastAsia="en-GB"/>
              </w:rPr>
              <w:t>O</w:t>
            </w:r>
            <w:r w:rsidRPr="00153A2B">
              <w:rPr>
                <w:rFonts w:eastAsia="Calibri"/>
                <w:bCs/>
                <w:color w:val="000000"/>
                <w:lang w:eastAsia="en-GB"/>
              </w:rPr>
              <w:t>ECD 438</w:t>
            </w:r>
          </w:p>
          <w:p w14:paraId="20432973"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4B99D8C0"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bCs/>
                <w:color w:val="000000"/>
                <w:lang w:eastAsia="en-GB"/>
              </w:rPr>
              <w:t>GLP</w:t>
            </w:r>
          </w:p>
          <w:p w14:paraId="681D0B86"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3D500259"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bCs/>
                <w:color w:val="000000"/>
                <w:lang w:eastAsia="en-GB"/>
              </w:rPr>
              <w:t>1</w:t>
            </w:r>
          </w:p>
        </w:tc>
        <w:tc>
          <w:tcPr>
            <w:tcW w:w="1418" w:type="dxa"/>
            <w:tcBorders>
              <w:top w:val="single" w:sz="6" w:space="0" w:color="000000"/>
              <w:left w:val="single" w:sz="6" w:space="0" w:color="000000"/>
              <w:bottom w:val="single" w:sz="4" w:space="0" w:color="auto"/>
            </w:tcBorders>
            <w:shd w:val="clear" w:color="auto" w:fill="auto"/>
          </w:tcPr>
          <w:p w14:paraId="4176F50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AL-S2-3-0</w:t>
            </w:r>
          </w:p>
          <w:p w14:paraId="0BA338E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0FCADF9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cs="Times New Roman"/>
                <w:color w:val="000000"/>
                <w:lang w:val="en-US" w:eastAsia="fr-FR"/>
              </w:rPr>
              <w:t>30 µL to 3 enucleated chicken eyes</w:t>
            </w:r>
          </w:p>
          <w:p w14:paraId="74EF9BD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273B2D20"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tc>
        <w:tc>
          <w:tcPr>
            <w:tcW w:w="2190" w:type="dxa"/>
            <w:tcBorders>
              <w:top w:val="single" w:sz="6" w:space="0" w:color="000000"/>
              <w:left w:val="single" w:sz="6" w:space="0" w:color="000000"/>
              <w:bottom w:val="single" w:sz="4" w:space="0" w:color="auto"/>
            </w:tcBorders>
            <w:shd w:val="clear" w:color="auto" w:fill="auto"/>
          </w:tcPr>
          <w:p w14:paraId="243EF52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Positive control = benzalkonium chloride (5%)</w:t>
            </w:r>
          </w:p>
          <w:p w14:paraId="1E507CF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10D5E8DE"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Negative control = physiological saline </w:t>
            </w:r>
          </w:p>
          <w:p w14:paraId="795352C7"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0C9B9D1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Application time: 10 sec</w:t>
            </w:r>
          </w:p>
          <w:p w14:paraId="48E684D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E835E9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Rinse with 20 mL of physiological saline</w:t>
            </w:r>
          </w:p>
          <w:p w14:paraId="20D06D9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7709368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Damages assessed </w:t>
            </w:r>
            <w:r w:rsidRPr="00153A2B">
              <w:rPr>
                <w:rFonts w:cs="Times New Roman"/>
                <w:color w:val="000000"/>
                <w:lang w:eastAsia="de-DE"/>
              </w:rPr>
              <w:t xml:space="preserve">by determination of </w:t>
            </w:r>
            <w:r w:rsidRPr="00153A2B">
              <w:rPr>
                <w:rFonts w:cs="Times New Roman"/>
                <w:color w:val="000000"/>
                <w:u w:val="single"/>
                <w:lang w:eastAsia="de-DE"/>
              </w:rPr>
              <w:t>corneal swelling</w:t>
            </w:r>
            <w:r w:rsidRPr="00153A2B">
              <w:rPr>
                <w:rFonts w:cs="Times New Roman"/>
                <w:color w:val="000000"/>
                <w:lang w:eastAsia="de-DE"/>
              </w:rPr>
              <w:t xml:space="preserve">, </w:t>
            </w:r>
            <w:r w:rsidRPr="00153A2B">
              <w:rPr>
                <w:rFonts w:cs="Times New Roman"/>
                <w:color w:val="000000"/>
                <w:u w:val="single"/>
                <w:lang w:eastAsia="de-DE"/>
              </w:rPr>
              <w:t>corneal opacity</w:t>
            </w:r>
            <w:r w:rsidRPr="00153A2B">
              <w:rPr>
                <w:rFonts w:cs="Times New Roman"/>
                <w:color w:val="000000"/>
                <w:lang w:eastAsia="de-DE"/>
              </w:rPr>
              <w:t xml:space="preserve"> and </w:t>
            </w:r>
            <w:r w:rsidRPr="00153A2B">
              <w:rPr>
                <w:rFonts w:cs="Times New Roman"/>
                <w:color w:val="000000"/>
                <w:u w:val="single"/>
                <w:lang w:eastAsia="de-DE"/>
              </w:rPr>
              <w:t>fluorescein retention</w:t>
            </w:r>
            <w:r w:rsidRPr="00153A2B">
              <w:rPr>
                <w:rFonts w:cs="Times New Roman"/>
                <w:color w:val="000000"/>
                <w:lang w:eastAsia="de-DE"/>
              </w:rPr>
              <w:t xml:space="preserve"> at 30, 75, 120, 180 and 240 minutes post-dose.</w:t>
            </w:r>
          </w:p>
        </w:tc>
        <w:tc>
          <w:tcPr>
            <w:tcW w:w="2268" w:type="dxa"/>
            <w:tcBorders>
              <w:top w:val="single" w:sz="6" w:space="0" w:color="000000"/>
              <w:left w:val="single" w:sz="6" w:space="0" w:color="000000"/>
              <w:bottom w:val="single" w:sz="4" w:space="0" w:color="auto"/>
            </w:tcBorders>
            <w:shd w:val="clear" w:color="auto" w:fill="auto"/>
          </w:tcPr>
          <w:p w14:paraId="377E0933"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Mean score :</w:t>
            </w:r>
          </w:p>
          <w:p w14:paraId="7933C4D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52143C3C" w14:textId="77777777" w:rsidR="002D6E5B" w:rsidRPr="00153A2B" w:rsidRDefault="002D6E5B" w:rsidP="00934956">
            <w:pPr>
              <w:keepNext/>
              <w:widowControl w:val="0"/>
              <w:tabs>
                <w:tab w:val="center" w:pos="4536"/>
                <w:tab w:val="right" w:pos="9072"/>
              </w:tabs>
              <w:snapToGrid w:val="0"/>
              <w:spacing w:line="276" w:lineRule="auto"/>
              <w:rPr>
                <w:rFonts w:eastAsia="Calibri"/>
                <w:b/>
                <w:color w:val="000000"/>
                <w:lang w:eastAsia="en-GB"/>
              </w:rPr>
            </w:pPr>
            <w:r w:rsidRPr="00153A2B">
              <w:rPr>
                <w:rFonts w:eastAsia="Calibri"/>
                <w:b/>
                <w:color w:val="000000"/>
                <w:u w:val="single"/>
                <w:lang w:eastAsia="en-GB"/>
              </w:rPr>
              <w:t>AL-S2-3-0</w:t>
            </w:r>
            <w:r w:rsidRPr="00153A2B">
              <w:rPr>
                <w:rFonts w:eastAsia="Calibri"/>
                <w:b/>
                <w:color w:val="000000"/>
                <w:lang w:eastAsia="en-GB"/>
              </w:rPr>
              <w:t>:</w:t>
            </w:r>
          </w:p>
          <w:p w14:paraId="6D579DA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0.0</w:t>
            </w:r>
          </w:p>
          <w:p w14:paraId="5547803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2.0</w:t>
            </w:r>
          </w:p>
          <w:p w14:paraId="330F47C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1%</w:t>
            </w:r>
          </w:p>
          <w:p w14:paraId="6C40754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7FE10208" w14:textId="77777777" w:rsidR="002D6E5B" w:rsidRPr="00153A2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Combination = 1 × III, 2 × I</w:t>
            </w:r>
          </w:p>
          <w:p w14:paraId="7617DEDF"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0CCDF57E" w14:textId="77777777" w:rsidR="002D6E5B" w:rsidRPr="00153A2B" w:rsidRDefault="002D6E5B" w:rsidP="00934956">
            <w:pPr>
              <w:keepNext/>
              <w:widowControl w:val="0"/>
              <w:tabs>
                <w:tab w:val="center" w:pos="4536"/>
                <w:tab w:val="right" w:pos="9072"/>
              </w:tabs>
              <w:snapToGrid w:val="0"/>
              <w:spacing w:line="276" w:lineRule="auto"/>
              <w:rPr>
                <w:rFonts w:eastAsia="Calibri"/>
                <w:b/>
                <w:color w:val="000000"/>
                <w:lang w:eastAsia="en-GB"/>
              </w:rPr>
            </w:pPr>
            <w:r w:rsidRPr="00153A2B">
              <w:rPr>
                <w:rFonts w:eastAsia="Calibri"/>
                <w:b/>
                <w:color w:val="000000"/>
                <w:u w:val="single"/>
                <w:lang w:eastAsia="en-GB"/>
              </w:rPr>
              <w:t>Positive control</w:t>
            </w:r>
            <w:r w:rsidRPr="00153A2B">
              <w:rPr>
                <w:rFonts w:eastAsia="Calibri"/>
                <w:b/>
                <w:color w:val="000000"/>
                <w:lang w:eastAsia="en-GB"/>
              </w:rPr>
              <w:t>:</w:t>
            </w:r>
          </w:p>
          <w:p w14:paraId="544FAC9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3.0</w:t>
            </w:r>
          </w:p>
          <w:p w14:paraId="0F9C8063"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3.0</w:t>
            </w:r>
          </w:p>
          <w:p w14:paraId="01F6088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35%</w:t>
            </w:r>
          </w:p>
          <w:p w14:paraId="56B2874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19FC6CEA" w14:textId="77777777" w:rsidR="002D6E5B" w:rsidRPr="00153A2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Combination = 3 × IV</w:t>
            </w:r>
          </w:p>
          <w:p w14:paraId="03EB076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u w:val="single"/>
                <w:lang w:eastAsia="en-GB"/>
              </w:rPr>
            </w:pPr>
          </w:p>
          <w:p w14:paraId="6A86DAD2" w14:textId="77777777" w:rsidR="002D6E5B" w:rsidRPr="00153A2B" w:rsidRDefault="002D6E5B" w:rsidP="00934956">
            <w:pPr>
              <w:keepNext/>
              <w:widowControl w:val="0"/>
              <w:tabs>
                <w:tab w:val="center" w:pos="4536"/>
                <w:tab w:val="right" w:pos="9072"/>
              </w:tabs>
              <w:snapToGrid w:val="0"/>
              <w:spacing w:line="276" w:lineRule="auto"/>
              <w:rPr>
                <w:rFonts w:eastAsia="Calibri"/>
                <w:b/>
                <w:color w:val="000000"/>
                <w:lang w:eastAsia="en-GB"/>
              </w:rPr>
            </w:pPr>
            <w:r w:rsidRPr="00153A2B">
              <w:rPr>
                <w:rFonts w:eastAsia="Calibri"/>
                <w:b/>
                <w:color w:val="000000"/>
                <w:u w:val="single"/>
                <w:lang w:eastAsia="en-GB"/>
              </w:rPr>
              <w:t>Negative control</w:t>
            </w:r>
            <w:r w:rsidRPr="00153A2B">
              <w:rPr>
                <w:rFonts w:eastAsia="Calibri"/>
                <w:b/>
                <w:color w:val="000000"/>
                <w:lang w:eastAsia="en-GB"/>
              </w:rPr>
              <w:t>:</w:t>
            </w:r>
          </w:p>
          <w:p w14:paraId="5285882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0.0</w:t>
            </w:r>
          </w:p>
          <w:p w14:paraId="67C5F0A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0.0</w:t>
            </w:r>
          </w:p>
          <w:p w14:paraId="2FAEFDE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0%</w:t>
            </w:r>
          </w:p>
          <w:p w14:paraId="674E833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A0BE291" w14:textId="77777777" w:rsidR="002D6E5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Combination = 3 × I</w:t>
            </w:r>
          </w:p>
          <w:p w14:paraId="44FFA081" w14:textId="77777777" w:rsidR="002D6E5B" w:rsidRDefault="002D6E5B" w:rsidP="00934956">
            <w:pPr>
              <w:keepNext/>
              <w:widowControl w:val="0"/>
              <w:tabs>
                <w:tab w:val="center" w:pos="4536"/>
                <w:tab w:val="right" w:pos="9072"/>
              </w:tabs>
              <w:snapToGrid w:val="0"/>
              <w:spacing w:line="276" w:lineRule="auto"/>
              <w:rPr>
                <w:rFonts w:eastAsia="Calibri"/>
                <w:color w:val="000000"/>
                <w:lang w:eastAsia="en-GB"/>
              </w:rPr>
            </w:pPr>
          </w:p>
          <w:p w14:paraId="1DBD47D0" w14:textId="77777777" w:rsidR="002D6E5B" w:rsidRPr="00E91F85" w:rsidRDefault="002D6E5B" w:rsidP="00934956">
            <w:pPr>
              <w:keepNext/>
              <w:widowControl w:val="0"/>
              <w:tabs>
                <w:tab w:val="center" w:pos="4536"/>
                <w:tab w:val="right" w:pos="9072"/>
              </w:tabs>
              <w:snapToGrid w:val="0"/>
              <w:spacing w:line="276" w:lineRule="auto"/>
              <w:rPr>
                <w:rFonts w:eastAsia="Calibri"/>
                <w:b/>
                <w:color w:val="000000"/>
                <w:lang w:eastAsia="en-GB"/>
              </w:rPr>
            </w:pPr>
            <w:r w:rsidRPr="00E91F85">
              <w:rPr>
                <w:rFonts w:eastAsia="Calibri"/>
                <w:b/>
                <w:color w:val="000000"/>
                <w:lang w:eastAsia="en-GB"/>
              </w:rPr>
              <w:t>Conclusion:</w:t>
            </w:r>
          </w:p>
          <w:p w14:paraId="0178ACF7" w14:textId="77777777" w:rsidR="002D6E5B" w:rsidRPr="007233E9"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According to the OECD 438 guideline, with this combination (1 × III, 2 × I) , no classification can be determined for the product AL-S2-3-0</w:t>
            </w:r>
          </w:p>
        </w:tc>
        <w:tc>
          <w:tcPr>
            <w:tcW w:w="1842" w:type="dxa"/>
            <w:tcBorders>
              <w:top w:val="single" w:sz="6" w:space="0" w:color="000000"/>
              <w:left w:val="single" w:sz="6" w:space="0" w:color="000000"/>
              <w:bottom w:val="single" w:sz="4" w:space="0" w:color="auto"/>
            </w:tcBorders>
            <w:shd w:val="clear" w:color="auto" w:fill="auto"/>
          </w:tcPr>
          <w:p w14:paraId="0D902E4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Minor deviation:</w:t>
            </w:r>
          </w:p>
          <w:p w14:paraId="6F4B927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13EA135" w14:textId="77777777" w:rsidR="002D6E5B" w:rsidRPr="00E91F85"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Eyes incubated between 45 and 64 minutes instead of between 45 and 60 minutes (OECD 438 guideline)</w:t>
            </w:r>
          </w:p>
          <w:p w14:paraId="1ABB3284" w14:textId="77777777" w:rsidR="002D6E5B" w:rsidRPr="00E91F85" w:rsidRDefault="002D6E5B" w:rsidP="00934956">
            <w:pPr>
              <w:keepNext/>
              <w:widowControl w:val="0"/>
              <w:tabs>
                <w:tab w:val="center" w:pos="4536"/>
                <w:tab w:val="right" w:pos="9072"/>
              </w:tabs>
              <w:snapToGrid w:val="0"/>
              <w:spacing w:line="276" w:lineRule="auto"/>
              <w:rPr>
                <w:rFonts w:eastAsia="Calibri"/>
                <w:color w:val="000000"/>
                <w:lang w:eastAsia="en-GB"/>
              </w:rPr>
            </w:pPr>
          </w:p>
          <w:p w14:paraId="1A8DB7A4" w14:textId="77777777" w:rsidR="002D6E5B" w:rsidRPr="00E91F85"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Results with eyes treated with the negative control:</w:t>
            </w:r>
          </w:p>
          <w:p w14:paraId="49CABF35" w14:textId="77777777" w:rsidR="002D6E5B" w:rsidRPr="00E91F85"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 xml:space="preserve">conformed to what was expected during the maximal time of incubation </w:t>
            </w:r>
          </w:p>
          <w:p w14:paraId="021629AD" w14:textId="77777777" w:rsidR="002D6E5B" w:rsidRPr="00E91F85" w:rsidRDefault="002D6E5B" w:rsidP="00934956">
            <w:pPr>
              <w:keepNext/>
              <w:widowControl w:val="0"/>
              <w:tabs>
                <w:tab w:val="center" w:pos="4536"/>
                <w:tab w:val="right" w:pos="9072"/>
              </w:tabs>
              <w:snapToGrid w:val="0"/>
              <w:spacing w:line="276" w:lineRule="auto"/>
              <w:rPr>
                <w:rFonts w:eastAsia="Calibri"/>
                <w:color w:val="000000"/>
                <w:lang w:eastAsia="en-GB"/>
              </w:rPr>
            </w:pPr>
          </w:p>
          <w:p w14:paraId="2749880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sym w:font="Wingdings" w:char="F0E0"/>
            </w:r>
            <w:r w:rsidRPr="00E91F85">
              <w:rPr>
                <w:rFonts w:eastAsia="Calibri"/>
                <w:color w:val="000000"/>
                <w:lang w:eastAsia="en-GB"/>
              </w:rPr>
              <w:t xml:space="preserve"> no impact expected.</w:t>
            </w:r>
          </w:p>
        </w:tc>
        <w:tc>
          <w:tcPr>
            <w:tcW w:w="1071" w:type="dxa"/>
            <w:tcBorders>
              <w:top w:val="single" w:sz="6" w:space="0" w:color="000000"/>
              <w:left w:val="single" w:sz="6" w:space="0" w:color="000000"/>
              <w:bottom w:val="single" w:sz="4" w:space="0" w:color="auto"/>
              <w:right w:val="single" w:sz="6" w:space="0" w:color="000000"/>
            </w:tcBorders>
            <w:shd w:val="clear" w:color="auto" w:fill="auto"/>
          </w:tcPr>
          <w:p w14:paraId="4AF40E2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Barré T. (2018)</w:t>
            </w:r>
          </w:p>
          <w:p w14:paraId="0FD07D1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C5C6DD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Study Number: ICE-PH-18/0391</w:t>
            </w:r>
          </w:p>
        </w:tc>
      </w:tr>
      <w:tr w:rsidR="002D6E5B" w:rsidRPr="00153A2B" w14:paraId="22EA8684" w14:textId="77777777" w:rsidTr="003213B9">
        <w:tblPrEx>
          <w:tblCellMar>
            <w:top w:w="57" w:type="dxa"/>
            <w:bottom w:w="57" w:type="dxa"/>
          </w:tblCellMar>
        </w:tblPrEx>
        <w:tc>
          <w:tcPr>
            <w:tcW w:w="1353" w:type="dxa"/>
            <w:tcBorders>
              <w:top w:val="single" w:sz="4" w:space="0" w:color="auto"/>
              <w:left w:val="single" w:sz="6" w:space="0" w:color="000000"/>
              <w:bottom w:val="single" w:sz="6" w:space="0" w:color="000000"/>
            </w:tcBorders>
            <w:shd w:val="clear" w:color="auto" w:fill="auto"/>
          </w:tcPr>
          <w:p w14:paraId="0EA4EDB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lastRenderedPageBreak/>
              <w:t>Isolated Chicken Eye Test Method</w:t>
            </w:r>
          </w:p>
          <w:p w14:paraId="6840C931"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color w:val="000000"/>
                <w:lang w:eastAsia="en-GB"/>
              </w:rPr>
              <w:t>O</w:t>
            </w:r>
            <w:r w:rsidRPr="00153A2B">
              <w:rPr>
                <w:rFonts w:eastAsia="Calibri"/>
                <w:bCs/>
                <w:color w:val="000000"/>
                <w:lang w:eastAsia="en-GB"/>
              </w:rPr>
              <w:t>ECD 438</w:t>
            </w:r>
          </w:p>
          <w:p w14:paraId="187347BA"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199365C4"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bCs/>
                <w:color w:val="000000"/>
                <w:lang w:eastAsia="en-GB"/>
              </w:rPr>
              <w:t xml:space="preserve">GLP </w:t>
            </w:r>
          </w:p>
          <w:p w14:paraId="46B3D6B6"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7C40DB0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bCs/>
                <w:color w:val="000000"/>
                <w:lang w:eastAsia="en-GB"/>
              </w:rPr>
              <w:t>1</w:t>
            </w:r>
          </w:p>
        </w:tc>
        <w:tc>
          <w:tcPr>
            <w:tcW w:w="1418" w:type="dxa"/>
            <w:tcBorders>
              <w:top w:val="single" w:sz="4" w:space="0" w:color="auto"/>
              <w:left w:val="single" w:sz="6" w:space="0" w:color="000000"/>
              <w:bottom w:val="single" w:sz="6" w:space="0" w:color="000000"/>
            </w:tcBorders>
            <w:shd w:val="clear" w:color="auto" w:fill="auto"/>
          </w:tcPr>
          <w:p w14:paraId="5F1FB6B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AL-S9-3-0</w:t>
            </w:r>
          </w:p>
          <w:p w14:paraId="5EB19193"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5D2AA15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cs="Times New Roman"/>
                <w:color w:val="000000"/>
                <w:lang w:val="en-US" w:eastAsia="fr-FR"/>
              </w:rPr>
              <w:t>30 µL to 3 enucleated chicken eyes</w:t>
            </w:r>
          </w:p>
          <w:p w14:paraId="477CB13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15A77BA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tc>
        <w:tc>
          <w:tcPr>
            <w:tcW w:w="2190" w:type="dxa"/>
            <w:tcBorders>
              <w:top w:val="single" w:sz="4" w:space="0" w:color="auto"/>
              <w:left w:val="single" w:sz="6" w:space="0" w:color="000000"/>
              <w:bottom w:val="single" w:sz="6" w:space="0" w:color="000000"/>
            </w:tcBorders>
            <w:shd w:val="clear" w:color="auto" w:fill="auto"/>
          </w:tcPr>
          <w:p w14:paraId="5540568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Positive control = benzalkonium chloride (5%)</w:t>
            </w:r>
          </w:p>
          <w:p w14:paraId="2043E86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6837D18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Negative control = physiological saline </w:t>
            </w:r>
          </w:p>
          <w:p w14:paraId="406EB3B0"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71F039E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Application time: 10 sec</w:t>
            </w:r>
          </w:p>
          <w:p w14:paraId="27E96FD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175465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Rinse with 20 mL of physiological saline</w:t>
            </w:r>
          </w:p>
          <w:p w14:paraId="4B17E493"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6EA8AFFE"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Damages assessed </w:t>
            </w:r>
            <w:r w:rsidRPr="00153A2B">
              <w:rPr>
                <w:rFonts w:cs="Times New Roman"/>
                <w:color w:val="000000"/>
                <w:lang w:eastAsia="de-DE"/>
              </w:rPr>
              <w:t xml:space="preserve">by determination of </w:t>
            </w:r>
            <w:r w:rsidRPr="00153A2B">
              <w:rPr>
                <w:rFonts w:cs="Times New Roman"/>
                <w:color w:val="000000"/>
                <w:u w:val="single"/>
                <w:lang w:eastAsia="de-DE"/>
              </w:rPr>
              <w:t>corneal swelling</w:t>
            </w:r>
            <w:r w:rsidRPr="00153A2B">
              <w:rPr>
                <w:rFonts w:cs="Times New Roman"/>
                <w:color w:val="000000"/>
                <w:lang w:eastAsia="de-DE"/>
              </w:rPr>
              <w:t xml:space="preserve">, </w:t>
            </w:r>
            <w:r w:rsidRPr="00153A2B">
              <w:rPr>
                <w:rFonts w:cs="Times New Roman"/>
                <w:color w:val="000000"/>
                <w:u w:val="single"/>
                <w:lang w:eastAsia="de-DE"/>
              </w:rPr>
              <w:t>corneal opacity</w:t>
            </w:r>
            <w:r w:rsidRPr="00153A2B">
              <w:rPr>
                <w:rFonts w:cs="Times New Roman"/>
                <w:color w:val="000000"/>
                <w:lang w:eastAsia="de-DE"/>
              </w:rPr>
              <w:t xml:space="preserve"> and </w:t>
            </w:r>
            <w:r w:rsidRPr="00153A2B">
              <w:rPr>
                <w:rFonts w:cs="Times New Roman"/>
                <w:color w:val="000000"/>
                <w:u w:val="single"/>
                <w:lang w:eastAsia="de-DE"/>
              </w:rPr>
              <w:t>fluorescein retention</w:t>
            </w:r>
            <w:r w:rsidRPr="00153A2B">
              <w:rPr>
                <w:rFonts w:cs="Times New Roman"/>
                <w:color w:val="000000"/>
                <w:lang w:eastAsia="de-DE"/>
              </w:rPr>
              <w:t xml:space="preserve"> at 30, 75, 120, 180 and 240 minutes post-dose.</w:t>
            </w:r>
          </w:p>
        </w:tc>
        <w:tc>
          <w:tcPr>
            <w:tcW w:w="2268" w:type="dxa"/>
            <w:tcBorders>
              <w:top w:val="single" w:sz="4" w:space="0" w:color="auto"/>
              <w:left w:val="single" w:sz="6" w:space="0" w:color="000000"/>
              <w:bottom w:val="single" w:sz="6" w:space="0" w:color="000000"/>
            </w:tcBorders>
            <w:shd w:val="clear" w:color="auto" w:fill="auto"/>
          </w:tcPr>
          <w:p w14:paraId="5874A63F"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Mean score :</w:t>
            </w:r>
          </w:p>
          <w:p w14:paraId="0E1AAC3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304D479E" w14:textId="77777777" w:rsidR="002D6E5B" w:rsidRPr="00153A2B" w:rsidRDefault="002D6E5B" w:rsidP="00934956">
            <w:pPr>
              <w:keepNext/>
              <w:widowControl w:val="0"/>
              <w:tabs>
                <w:tab w:val="center" w:pos="4536"/>
                <w:tab w:val="right" w:pos="9072"/>
              </w:tabs>
              <w:snapToGrid w:val="0"/>
              <w:spacing w:line="276" w:lineRule="auto"/>
              <w:rPr>
                <w:rFonts w:eastAsia="Calibri"/>
                <w:b/>
                <w:color w:val="000000"/>
                <w:lang w:eastAsia="en-GB"/>
              </w:rPr>
            </w:pPr>
            <w:r w:rsidRPr="00153A2B">
              <w:rPr>
                <w:rFonts w:eastAsia="Calibri"/>
                <w:b/>
                <w:color w:val="000000"/>
                <w:u w:val="single"/>
                <w:lang w:eastAsia="en-GB"/>
              </w:rPr>
              <w:t>AL-S9-3-0</w:t>
            </w:r>
            <w:r w:rsidRPr="00153A2B">
              <w:rPr>
                <w:rFonts w:eastAsia="Calibri"/>
                <w:b/>
                <w:color w:val="000000"/>
                <w:lang w:eastAsia="en-GB"/>
              </w:rPr>
              <w:t>:</w:t>
            </w:r>
          </w:p>
          <w:p w14:paraId="1FC1547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1.0</w:t>
            </w:r>
          </w:p>
          <w:p w14:paraId="56D2FBF3"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3.0</w:t>
            </w:r>
          </w:p>
          <w:p w14:paraId="7718907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3%</w:t>
            </w:r>
          </w:p>
          <w:p w14:paraId="046BE4E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3A383AB8" w14:textId="77777777" w:rsidR="002D6E5B" w:rsidRPr="00153A2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 Combination = 1 × I, 1 × II, 1 × IV</w:t>
            </w:r>
          </w:p>
          <w:p w14:paraId="1A317A6A"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7731F89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b/>
                <w:color w:val="000000"/>
                <w:u w:val="single"/>
                <w:lang w:eastAsia="en-GB"/>
              </w:rPr>
              <w:t>Positive control</w:t>
            </w:r>
            <w:r w:rsidRPr="00153A2B">
              <w:rPr>
                <w:rFonts w:eastAsia="Calibri"/>
                <w:color w:val="000000"/>
                <w:lang w:eastAsia="en-GB"/>
              </w:rPr>
              <w:t>:</w:t>
            </w:r>
          </w:p>
          <w:p w14:paraId="531BA38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3.0</w:t>
            </w:r>
          </w:p>
          <w:p w14:paraId="665C9175"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3.0</w:t>
            </w:r>
          </w:p>
          <w:p w14:paraId="0845308A"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43%</w:t>
            </w:r>
          </w:p>
          <w:p w14:paraId="6163DB59"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EE2CE88" w14:textId="77777777" w:rsidR="002D6E5B" w:rsidRPr="00153A2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Combination = 3 × IV</w:t>
            </w:r>
          </w:p>
          <w:p w14:paraId="6E1A1224"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u w:val="single"/>
                <w:lang w:eastAsia="en-GB"/>
              </w:rPr>
            </w:pPr>
          </w:p>
          <w:p w14:paraId="7936EE01" w14:textId="77777777" w:rsidR="002D6E5B" w:rsidRPr="00153A2B" w:rsidRDefault="002D6E5B" w:rsidP="00934956">
            <w:pPr>
              <w:keepNext/>
              <w:widowControl w:val="0"/>
              <w:tabs>
                <w:tab w:val="center" w:pos="4536"/>
                <w:tab w:val="right" w:pos="9072"/>
              </w:tabs>
              <w:snapToGrid w:val="0"/>
              <w:spacing w:line="276" w:lineRule="auto"/>
              <w:rPr>
                <w:rFonts w:eastAsia="Calibri"/>
                <w:b/>
                <w:color w:val="000000"/>
                <w:lang w:eastAsia="en-GB"/>
              </w:rPr>
            </w:pPr>
            <w:r w:rsidRPr="00153A2B">
              <w:rPr>
                <w:rFonts w:eastAsia="Calibri"/>
                <w:b/>
                <w:color w:val="000000"/>
                <w:u w:val="single"/>
                <w:lang w:eastAsia="en-GB"/>
              </w:rPr>
              <w:t>Negative control</w:t>
            </w:r>
            <w:r w:rsidRPr="00153A2B">
              <w:rPr>
                <w:rFonts w:eastAsia="Calibri"/>
                <w:b/>
                <w:color w:val="000000"/>
                <w:lang w:eastAsia="en-GB"/>
              </w:rPr>
              <w:t>:</w:t>
            </w:r>
          </w:p>
          <w:p w14:paraId="4B55912D"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opacity: 0.0</w:t>
            </w:r>
          </w:p>
          <w:p w14:paraId="2CAF4C15"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Fluorescein retention: 0.5</w:t>
            </w:r>
          </w:p>
          <w:p w14:paraId="5C06883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Corneal swelling: 0%</w:t>
            </w:r>
          </w:p>
          <w:p w14:paraId="01A45D8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19A3E832" w14:textId="77777777" w:rsidR="002D6E5B" w:rsidRDefault="002D6E5B" w:rsidP="00934956">
            <w:pPr>
              <w:keepNext/>
              <w:widowControl w:val="0"/>
              <w:numPr>
                <w:ilvl w:val="0"/>
                <w:numId w:val="13"/>
              </w:numPr>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Combination = 3 × I</w:t>
            </w:r>
          </w:p>
          <w:p w14:paraId="400F80D6" w14:textId="77777777" w:rsidR="002D6E5B" w:rsidRDefault="002D6E5B" w:rsidP="00934956">
            <w:pPr>
              <w:keepNext/>
              <w:widowControl w:val="0"/>
              <w:tabs>
                <w:tab w:val="center" w:pos="4536"/>
                <w:tab w:val="right" w:pos="9072"/>
              </w:tabs>
              <w:snapToGrid w:val="0"/>
              <w:spacing w:line="276" w:lineRule="auto"/>
              <w:rPr>
                <w:rFonts w:eastAsia="Calibri"/>
                <w:b/>
                <w:color w:val="000000"/>
                <w:lang w:eastAsia="en-GB"/>
              </w:rPr>
            </w:pPr>
          </w:p>
          <w:p w14:paraId="2DCE5956" w14:textId="77777777" w:rsidR="002D6E5B" w:rsidRPr="007233E9" w:rsidRDefault="002D6E5B" w:rsidP="00934956">
            <w:pPr>
              <w:keepNext/>
              <w:widowControl w:val="0"/>
              <w:tabs>
                <w:tab w:val="center" w:pos="4536"/>
                <w:tab w:val="right" w:pos="9072"/>
              </w:tabs>
              <w:snapToGrid w:val="0"/>
              <w:spacing w:line="276" w:lineRule="auto"/>
              <w:rPr>
                <w:rFonts w:eastAsia="Calibri"/>
                <w:b/>
                <w:color w:val="000000"/>
                <w:lang w:eastAsia="en-GB"/>
              </w:rPr>
            </w:pPr>
            <w:r w:rsidRPr="007233E9">
              <w:rPr>
                <w:rFonts w:eastAsia="Calibri"/>
                <w:b/>
                <w:color w:val="000000"/>
                <w:lang w:eastAsia="en-GB"/>
              </w:rPr>
              <w:t>Conclusion:</w:t>
            </w:r>
          </w:p>
          <w:p w14:paraId="60461441" w14:textId="77777777" w:rsidR="002D6E5B" w:rsidRPr="00F63934" w:rsidRDefault="002D6E5B" w:rsidP="00934956">
            <w:pPr>
              <w:keepNext/>
              <w:widowControl w:val="0"/>
              <w:tabs>
                <w:tab w:val="center" w:pos="4536"/>
                <w:tab w:val="right" w:pos="9072"/>
              </w:tabs>
              <w:snapToGrid w:val="0"/>
              <w:spacing w:line="276" w:lineRule="auto"/>
              <w:rPr>
                <w:rFonts w:eastAsia="Calibri"/>
                <w:color w:val="000000"/>
                <w:lang w:eastAsia="en-GB"/>
              </w:rPr>
            </w:pPr>
            <w:r w:rsidRPr="00E91F85">
              <w:rPr>
                <w:rFonts w:eastAsia="Calibri"/>
                <w:lang w:eastAsia="en-US"/>
              </w:rPr>
              <w:t xml:space="preserve">According to the OECD 439 guideline, </w:t>
            </w:r>
            <w:r w:rsidRPr="00E91F85">
              <w:rPr>
                <w:rFonts w:eastAsia="Calibri"/>
                <w:color w:val="000000"/>
                <w:lang w:eastAsia="en-GB"/>
              </w:rPr>
              <w:t>with this combination (1 × I, 1 × II, 1 × IV),</w:t>
            </w:r>
            <w:r w:rsidRPr="002D6E5B">
              <w:rPr>
                <w:rFonts w:eastAsia="Calibri"/>
                <w:color w:val="000000"/>
                <w:lang w:eastAsia="en-GB"/>
              </w:rPr>
              <w:t xml:space="preserve"> </w:t>
            </w:r>
            <w:r w:rsidRPr="00E91F85">
              <w:rPr>
                <w:rFonts w:eastAsia="Calibri"/>
                <w:lang w:eastAsia="en-US"/>
              </w:rPr>
              <w:t>no classification can be determined for the product AL-S9-3-0</w:t>
            </w:r>
          </w:p>
        </w:tc>
        <w:tc>
          <w:tcPr>
            <w:tcW w:w="1842" w:type="dxa"/>
            <w:tcBorders>
              <w:top w:val="single" w:sz="4" w:space="0" w:color="auto"/>
              <w:left w:val="single" w:sz="6" w:space="0" w:color="000000"/>
              <w:bottom w:val="single" w:sz="6" w:space="0" w:color="000000"/>
            </w:tcBorders>
            <w:shd w:val="clear" w:color="auto" w:fill="auto"/>
          </w:tcPr>
          <w:p w14:paraId="7B83DD8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No deviations</w:t>
            </w:r>
          </w:p>
        </w:tc>
        <w:tc>
          <w:tcPr>
            <w:tcW w:w="1071" w:type="dxa"/>
            <w:tcBorders>
              <w:top w:val="single" w:sz="4" w:space="0" w:color="auto"/>
              <w:left w:val="single" w:sz="6" w:space="0" w:color="000000"/>
              <w:bottom w:val="single" w:sz="6" w:space="0" w:color="000000"/>
              <w:right w:val="single" w:sz="6" w:space="0" w:color="000000"/>
            </w:tcBorders>
            <w:shd w:val="clear" w:color="auto" w:fill="auto"/>
          </w:tcPr>
          <w:p w14:paraId="0CD73F32"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Barré T. (2018)</w:t>
            </w:r>
          </w:p>
          <w:p w14:paraId="38A0140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702DAA48"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Study Number: ICE-PH-18/0394</w:t>
            </w:r>
          </w:p>
        </w:tc>
      </w:tr>
    </w:tbl>
    <w:p w14:paraId="1A374142" w14:textId="77777777" w:rsidR="002D6E5B" w:rsidRDefault="002D6E5B" w:rsidP="002D6E5B">
      <w:pPr>
        <w:spacing w:line="260" w:lineRule="atLeast"/>
        <w:rPr>
          <w:rFonts w:ascii="Times New Roman" w:eastAsia="Calibri" w:hAnsi="Times New Roman" w:cs="Times New Roman"/>
          <w:i/>
          <w:iCs/>
          <w:lang w:eastAsia="en-US"/>
        </w:rPr>
      </w:pPr>
    </w:p>
    <w:tbl>
      <w:tblPr>
        <w:tblW w:w="10207" w:type="dxa"/>
        <w:tblInd w:w="-34" w:type="dxa"/>
        <w:tblLayout w:type="fixed"/>
        <w:tblLook w:val="0000" w:firstRow="0" w:lastRow="0" w:firstColumn="0" w:lastColumn="0" w:noHBand="0" w:noVBand="0"/>
      </w:tblPr>
      <w:tblGrid>
        <w:gridCol w:w="1702"/>
        <w:gridCol w:w="1134"/>
        <w:gridCol w:w="2409"/>
        <w:gridCol w:w="1843"/>
        <w:gridCol w:w="1418"/>
        <w:gridCol w:w="1701"/>
      </w:tblGrid>
      <w:tr w:rsidR="002D6E5B" w:rsidRPr="001C52BD" w14:paraId="2F43D379" w14:textId="77777777" w:rsidTr="00934956">
        <w:tc>
          <w:tcPr>
            <w:tcW w:w="10207" w:type="dxa"/>
            <w:gridSpan w:val="6"/>
            <w:tcBorders>
              <w:top w:val="single" w:sz="4" w:space="0" w:color="000000"/>
              <w:left w:val="single" w:sz="4" w:space="0" w:color="000000"/>
              <w:bottom w:val="single" w:sz="4" w:space="0" w:color="000000"/>
              <w:right w:val="single" w:sz="4" w:space="0" w:color="000000"/>
            </w:tcBorders>
            <w:shd w:val="clear" w:color="auto" w:fill="FFFFCC"/>
          </w:tcPr>
          <w:p w14:paraId="54CF4982" w14:textId="77777777" w:rsidR="002D6E5B" w:rsidRPr="001C52BD" w:rsidRDefault="002D6E5B" w:rsidP="00934956">
            <w:pPr>
              <w:keepNext/>
              <w:widowControl w:val="0"/>
              <w:tabs>
                <w:tab w:val="center" w:pos="4536"/>
                <w:tab w:val="right" w:pos="9072"/>
              </w:tabs>
              <w:spacing w:line="260" w:lineRule="atLeast"/>
              <w:jc w:val="center"/>
            </w:pPr>
            <w:r w:rsidRPr="001C52BD">
              <w:rPr>
                <w:rFonts w:eastAsia="Calibri"/>
                <w:b/>
                <w:bCs/>
                <w:color w:val="000000"/>
                <w:lang w:eastAsia="en-GB"/>
              </w:rPr>
              <w:lastRenderedPageBreak/>
              <w:t>Summary table of animal studies on serious eye damage and eye irritation</w:t>
            </w:r>
          </w:p>
        </w:tc>
      </w:tr>
      <w:tr w:rsidR="002D6E5B" w:rsidRPr="001C52BD" w14:paraId="4ECF49A9" w14:textId="77777777" w:rsidTr="00934956">
        <w:tc>
          <w:tcPr>
            <w:tcW w:w="1702" w:type="dxa"/>
            <w:tcBorders>
              <w:top w:val="single" w:sz="4" w:space="0" w:color="000000"/>
              <w:left w:val="single" w:sz="4" w:space="0" w:color="000000"/>
              <w:bottom w:val="single" w:sz="4" w:space="0" w:color="000000"/>
            </w:tcBorders>
            <w:shd w:val="clear" w:color="auto" w:fill="auto"/>
          </w:tcPr>
          <w:p w14:paraId="58149B3A"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Method,</w:t>
            </w:r>
            <w:r w:rsidRPr="001C52BD">
              <w:rPr>
                <w:rFonts w:eastAsia="Calibri"/>
                <w:b/>
                <w:bCs/>
                <w:color w:val="000000"/>
                <w:lang w:eastAsia="en-GB"/>
              </w:rPr>
              <w:br/>
              <w:t xml:space="preserve">Guideline, </w:t>
            </w:r>
          </w:p>
          <w:p w14:paraId="2993EAD8" w14:textId="77777777" w:rsidR="002D6E5B" w:rsidRPr="001C52BD" w:rsidRDefault="002D6E5B" w:rsidP="00934956">
            <w:pPr>
              <w:spacing w:line="260" w:lineRule="atLeast"/>
              <w:rPr>
                <w:rFonts w:eastAsia="Calibri"/>
                <w:b/>
                <w:bCs/>
                <w:color w:val="000000"/>
                <w:lang w:eastAsia="en-GB"/>
              </w:rPr>
            </w:pPr>
            <w:r w:rsidRPr="001C52BD">
              <w:rPr>
                <w:rFonts w:eastAsia="Calibri"/>
                <w:b/>
                <w:bCs/>
                <w:color w:val="000000"/>
                <w:lang w:eastAsia="en-GB"/>
              </w:rPr>
              <w:t>GLP status, Reliability</w:t>
            </w:r>
          </w:p>
        </w:tc>
        <w:tc>
          <w:tcPr>
            <w:tcW w:w="1134" w:type="dxa"/>
            <w:tcBorders>
              <w:top w:val="single" w:sz="4" w:space="0" w:color="000000"/>
              <w:left w:val="single" w:sz="4" w:space="0" w:color="000000"/>
              <w:bottom w:val="single" w:sz="4" w:space="0" w:color="000000"/>
            </w:tcBorders>
            <w:shd w:val="clear" w:color="auto" w:fill="auto"/>
          </w:tcPr>
          <w:p w14:paraId="2AA53417"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Species,</w:t>
            </w:r>
            <w:r w:rsidRPr="001C52BD">
              <w:rPr>
                <w:rFonts w:eastAsia="Calibri"/>
                <w:b/>
                <w:bCs/>
                <w:color w:val="000000"/>
                <w:lang w:eastAsia="en-GB"/>
              </w:rPr>
              <w:br/>
              <w:t>Strain,</w:t>
            </w:r>
            <w:r w:rsidRPr="001C52BD">
              <w:rPr>
                <w:rFonts w:eastAsia="Calibri"/>
                <w:b/>
                <w:bCs/>
                <w:color w:val="000000"/>
                <w:lang w:eastAsia="en-GB"/>
              </w:rPr>
              <w:br/>
              <w:t>Sex,</w:t>
            </w:r>
            <w:r w:rsidRPr="001C52BD">
              <w:rPr>
                <w:rFonts w:eastAsia="Calibri"/>
                <w:b/>
                <w:bCs/>
                <w:color w:val="000000"/>
                <w:lang w:eastAsia="en-GB"/>
              </w:rPr>
              <w:br/>
              <w:t>No/group</w:t>
            </w:r>
          </w:p>
        </w:tc>
        <w:tc>
          <w:tcPr>
            <w:tcW w:w="2409" w:type="dxa"/>
            <w:tcBorders>
              <w:top w:val="single" w:sz="4" w:space="0" w:color="000000"/>
              <w:left w:val="single" w:sz="4" w:space="0" w:color="000000"/>
              <w:bottom w:val="single" w:sz="4" w:space="0" w:color="000000"/>
            </w:tcBorders>
            <w:shd w:val="clear" w:color="auto" w:fill="auto"/>
          </w:tcPr>
          <w:p w14:paraId="1ECC251C"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Test substance,</w:t>
            </w:r>
          </w:p>
          <w:p w14:paraId="18B852FB"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Dose levels, Duration of exposure</w:t>
            </w:r>
          </w:p>
        </w:tc>
        <w:tc>
          <w:tcPr>
            <w:tcW w:w="1843" w:type="dxa"/>
            <w:tcBorders>
              <w:top w:val="single" w:sz="4" w:space="0" w:color="000000"/>
              <w:left w:val="single" w:sz="4" w:space="0" w:color="000000"/>
              <w:bottom w:val="single" w:sz="4" w:space="0" w:color="000000"/>
            </w:tcBorders>
            <w:shd w:val="clear" w:color="auto" w:fill="auto"/>
          </w:tcPr>
          <w:p w14:paraId="72541650" w14:textId="77777777" w:rsidR="002D6E5B" w:rsidRPr="001C52BD" w:rsidRDefault="002D6E5B" w:rsidP="00934956">
            <w:pPr>
              <w:keepNext/>
              <w:widowControl w:val="0"/>
              <w:tabs>
                <w:tab w:val="center" w:pos="4536"/>
                <w:tab w:val="right" w:pos="9072"/>
              </w:tabs>
              <w:spacing w:line="260" w:lineRule="atLeast"/>
              <w:rPr>
                <w:rFonts w:eastAsia="Calibri"/>
                <w:bCs/>
                <w:i/>
                <w:color w:val="000000"/>
                <w:lang w:eastAsia="en-GB"/>
              </w:rPr>
            </w:pPr>
            <w:r w:rsidRPr="001C52BD">
              <w:rPr>
                <w:rFonts w:eastAsia="Calibri"/>
                <w:b/>
                <w:bCs/>
                <w:color w:val="000000"/>
                <w:lang w:eastAsia="en-GB"/>
              </w:rPr>
              <w:t>Results</w:t>
            </w:r>
          </w:p>
          <w:p w14:paraId="1EE8DE92" w14:textId="77777777" w:rsidR="002D6E5B" w:rsidRPr="001C52BD" w:rsidRDefault="002D6E5B" w:rsidP="00934956">
            <w:pPr>
              <w:keepNext/>
              <w:widowControl w:val="0"/>
              <w:tabs>
                <w:tab w:val="center" w:pos="4536"/>
                <w:tab w:val="right" w:pos="9072"/>
              </w:tabs>
              <w:spacing w:line="260" w:lineRule="atLeast"/>
              <w:rPr>
                <w:rFonts w:eastAsia="Calibri"/>
                <w:bCs/>
                <w:i/>
                <w:color w:val="000000"/>
                <w:lang w:eastAsia="en-GB"/>
              </w:rPr>
            </w:pPr>
            <w:r w:rsidRPr="001C52BD">
              <w:rPr>
                <w:rFonts w:eastAsia="Calibri"/>
                <w:bCs/>
                <w:i/>
                <w:color w:val="000000"/>
                <w:lang w:eastAsia="en-GB"/>
              </w:rPr>
              <w:t>Average score (24, 48, 72h)/</w:t>
            </w:r>
          </w:p>
          <w:p w14:paraId="66AF42E8"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Cs/>
                <w:i/>
                <w:color w:val="000000"/>
                <w:lang w:eastAsia="en-GB"/>
              </w:rPr>
              <w:t>observations and time point of onset, reversibility</w:t>
            </w:r>
          </w:p>
        </w:tc>
        <w:tc>
          <w:tcPr>
            <w:tcW w:w="1418" w:type="dxa"/>
            <w:tcBorders>
              <w:top w:val="single" w:sz="4" w:space="0" w:color="000000"/>
              <w:left w:val="single" w:sz="4" w:space="0" w:color="000000"/>
              <w:bottom w:val="single" w:sz="4" w:space="0" w:color="000000"/>
            </w:tcBorders>
            <w:shd w:val="clear" w:color="auto" w:fill="auto"/>
          </w:tcPr>
          <w:p w14:paraId="6CA69D23"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 xml:space="preserve">Remarks </w:t>
            </w:r>
            <w:r w:rsidRPr="001C52BD">
              <w:rPr>
                <w:rFonts w:eastAsia="Calibri"/>
                <w:bCs/>
                <w:i/>
                <w:color w:val="000000"/>
                <w:lang w:eastAsia="en-GB"/>
              </w:rPr>
              <w:t>(e.g. major deviations)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E74645"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r w:rsidRPr="001C52BD">
              <w:rPr>
                <w:rFonts w:eastAsia="Calibri"/>
                <w:b/>
                <w:bCs/>
                <w:color w:val="000000"/>
                <w:lang w:eastAsia="en-GB"/>
              </w:rPr>
              <w:t xml:space="preserve">Reference </w:t>
            </w:r>
          </w:p>
          <w:p w14:paraId="197F96F7" w14:textId="77777777" w:rsidR="002D6E5B" w:rsidRPr="001C52BD" w:rsidRDefault="002D6E5B" w:rsidP="00934956">
            <w:pPr>
              <w:keepNext/>
              <w:widowControl w:val="0"/>
              <w:tabs>
                <w:tab w:val="center" w:pos="4536"/>
                <w:tab w:val="right" w:pos="9072"/>
              </w:tabs>
              <w:spacing w:line="260" w:lineRule="atLeast"/>
              <w:rPr>
                <w:rFonts w:eastAsia="Calibri"/>
                <w:b/>
                <w:bCs/>
                <w:color w:val="000000"/>
                <w:lang w:eastAsia="en-GB"/>
              </w:rPr>
            </w:pPr>
          </w:p>
        </w:tc>
      </w:tr>
      <w:tr w:rsidR="002D6E5B" w:rsidRPr="001C52BD" w14:paraId="77AA7011" w14:textId="77777777" w:rsidTr="00934956">
        <w:tc>
          <w:tcPr>
            <w:tcW w:w="1702" w:type="dxa"/>
            <w:tcBorders>
              <w:top w:val="single" w:sz="4" w:space="0" w:color="000000"/>
              <w:left w:val="single" w:sz="4" w:space="0" w:color="000000"/>
              <w:bottom w:val="single" w:sz="4" w:space="0" w:color="000000"/>
            </w:tcBorders>
            <w:shd w:val="clear" w:color="auto" w:fill="auto"/>
          </w:tcPr>
          <w:p w14:paraId="0149C0A0" w14:textId="77777777" w:rsidR="002D6E5B" w:rsidRPr="001C52BD"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C52BD">
              <w:rPr>
                <w:rFonts w:eastAsia="Calibri"/>
                <w:color w:val="000000"/>
                <w:lang w:eastAsia="en-GB"/>
              </w:rPr>
              <w:t>Acute Eye Irritation/Corrosion O</w:t>
            </w:r>
            <w:r w:rsidRPr="001C52BD">
              <w:rPr>
                <w:rFonts w:eastAsia="Calibri"/>
                <w:bCs/>
                <w:color w:val="000000"/>
                <w:lang w:eastAsia="en-GB"/>
              </w:rPr>
              <w:t>ECD 405</w:t>
            </w:r>
          </w:p>
          <w:p w14:paraId="056F60A4" w14:textId="77777777" w:rsidR="002D6E5B" w:rsidRPr="001C52BD"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1CDB34FF" w14:textId="77777777" w:rsidR="002D6E5B" w:rsidRPr="001C52BD"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C52BD">
              <w:rPr>
                <w:rFonts w:eastAsia="Calibri"/>
                <w:bCs/>
                <w:color w:val="000000"/>
                <w:lang w:eastAsia="en-GB"/>
              </w:rPr>
              <w:t xml:space="preserve">GLP </w:t>
            </w:r>
          </w:p>
          <w:p w14:paraId="208CC934" w14:textId="77777777" w:rsidR="002D6E5B" w:rsidRPr="001C52BD"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540F8AAC" w14:textId="77777777" w:rsidR="002D6E5B" w:rsidRPr="001C52BD" w:rsidRDefault="002D6E5B" w:rsidP="00934956">
            <w:pPr>
              <w:snapToGrid w:val="0"/>
              <w:spacing w:line="260" w:lineRule="atLeast"/>
              <w:rPr>
                <w:rFonts w:eastAsia="Calibri"/>
                <w:b/>
                <w:bCs/>
                <w:color w:val="000000"/>
                <w:lang w:eastAsia="en-US"/>
              </w:rPr>
            </w:pPr>
            <w:r w:rsidRPr="001C52BD">
              <w:rPr>
                <w:rFonts w:eastAsia="Calibri"/>
                <w:bCs/>
                <w:color w:val="000000"/>
                <w:lang w:eastAsia="en-GB"/>
              </w:rPr>
              <w:t>1</w:t>
            </w:r>
          </w:p>
        </w:tc>
        <w:tc>
          <w:tcPr>
            <w:tcW w:w="1134" w:type="dxa"/>
            <w:tcBorders>
              <w:top w:val="single" w:sz="4" w:space="0" w:color="000000"/>
              <w:left w:val="single" w:sz="4" w:space="0" w:color="000000"/>
              <w:bottom w:val="single" w:sz="4" w:space="0" w:color="000000"/>
            </w:tcBorders>
            <w:shd w:val="clear" w:color="auto" w:fill="auto"/>
          </w:tcPr>
          <w:p w14:paraId="7347C235" w14:textId="77777777" w:rsidR="002D6E5B" w:rsidRPr="001C52BD" w:rsidRDefault="002D6E5B" w:rsidP="00934956">
            <w:pPr>
              <w:rPr>
                <w:bCs/>
                <w:iCs/>
              </w:rPr>
            </w:pPr>
            <w:r w:rsidRPr="001C52BD">
              <w:rPr>
                <w:bCs/>
                <w:iCs/>
              </w:rPr>
              <w:t>Rabbit</w:t>
            </w:r>
          </w:p>
          <w:p w14:paraId="22F26BFC" w14:textId="77777777" w:rsidR="002D6E5B" w:rsidRPr="001C52BD" w:rsidRDefault="002D6E5B" w:rsidP="00934956">
            <w:pPr>
              <w:rPr>
                <w:bCs/>
                <w:iCs/>
              </w:rPr>
            </w:pPr>
            <w:r w:rsidRPr="001C52BD">
              <w:rPr>
                <w:bCs/>
                <w:iCs/>
              </w:rPr>
              <w:t>(New Zealand White)</w:t>
            </w:r>
          </w:p>
          <w:p w14:paraId="4925586C" w14:textId="77777777" w:rsidR="002D6E5B" w:rsidRPr="001C52BD" w:rsidRDefault="002D6E5B" w:rsidP="00934956">
            <w:pPr>
              <w:rPr>
                <w:bCs/>
                <w:iCs/>
              </w:rPr>
            </w:pPr>
          </w:p>
          <w:p w14:paraId="38BDF1B7" w14:textId="77777777" w:rsidR="002D6E5B" w:rsidRPr="001C52BD" w:rsidRDefault="002D6E5B" w:rsidP="00934956">
            <w:pPr>
              <w:rPr>
                <w:bCs/>
                <w:iCs/>
              </w:rPr>
            </w:pPr>
            <w:r w:rsidRPr="001C52BD">
              <w:rPr>
                <w:bCs/>
                <w:iCs/>
              </w:rPr>
              <w:t>Females</w:t>
            </w:r>
          </w:p>
          <w:p w14:paraId="69EEC215" w14:textId="77777777" w:rsidR="002D6E5B" w:rsidRPr="001C52BD" w:rsidRDefault="002D6E5B" w:rsidP="00934956">
            <w:pPr>
              <w:snapToGrid w:val="0"/>
              <w:spacing w:line="260" w:lineRule="atLeast"/>
              <w:rPr>
                <w:rFonts w:eastAsia="Calibri"/>
                <w:lang w:eastAsia="en-US"/>
              </w:rPr>
            </w:pPr>
          </w:p>
          <w:p w14:paraId="0798A036" w14:textId="77777777" w:rsidR="002D6E5B" w:rsidRPr="001C52BD" w:rsidRDefault="002D6E5B" w:rsidP="00934956">
            <w:pPr>
              <w:snapToGrid w:val="0"/>
              <w:spacing w:line="260" w:lineRule="atLeast"/>
              <w:rPr>
                <w:rFonts w:eastAsia="Calibri"/>
                <w:lang w:eastAsia="en-US"/>
              </w:rPr>
            </w:pPr>
            <w:r w:rsidRPr="001C52BD">
              <w:rPr>
                <w:rFonts w:eastAsia="Calibri"/>
                <w:lang w:eastAsia="en-US"/>
              </w:rPr>
              <w:t>3</w:t>
            </w:r>
          </w:p>
        </w:tc>
        <w:tc>
          <w:tcPr>
            <w:tcW w:w="2409" w:type="dxa"/>
            <w:tcBorders>
              <w:top w:val="single" w:sz="4" w:space="0" w:color="000000"/>
              <w:left w:val="single" w:sz="4" w:space="0" w:color="000000"/>
              <w:bottom w:val="single" w:sz="4" w:space="0" w:color="000000"/>
            </w:tcBorders>
            <w:shd w:val="clear" w:color="auto" w:fill="auto"/>
          </w:tcPr>
          <w:p w14:paraId="0546DF68"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AL-S2-3-0</w:t>
            </w:r>
          </w:p>
          <w:p w14:paraId="0AF55D92"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p>
          <w:p w14:paraId="021353C7"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0.1 mL into the conjunctival sac of one eye</w:t>
            </w:r>
          </w:p>
          <w:p w14:paraId="3A81B370"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p>
          <w:p w14:paraId="1CCDA7BC"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 xml:space="preserve">Ocular examinations 1h, 24h, 48h and 72 h following treatment </w:t>
            </w:r>
          </w:p>
        </w:tc>
        <w:tc>
          <w:tcPr>
            <w:tcW w:w="1843" w:type="dxa"/>
            <w:tcBorders>
              <w:top w:val="single" w:sz="4" w:space="0" w:color="000000"/>
              <w:left w:val="single" w:sz="4" w:space="0" w:color="000000"/>
              <w:bottom w:val="single" w:sz="4" w:space="0" w:color="000000"/>
            </w:tcBorders>
            <w:shd w:val="clear" w:color="auto" w:fill="auto"/>
          </w:tcPr>
          <w:p w14:paraId="18A88BD3" w14:textId="77777777" w:rsidR="002D6E5B" w:rsidRPr="001C52BD" w:rsidRDefault="002D6E5B" w:rsidP="00934956">
            <w:pPr>
              <w:rPr>
                <w:bCs/>
                <w:iCs/>
              </w:rPr>
            </w:pPr>
            <w:r w:rsidRPr="001C52BD">
              <w:rPr>
                <w:bCs/>
                <w:iCs/>
              </w:rPr>
              <w:t>Corneal effects were all reversible within 21 days</w:t>
            </w:r>
          </w:p>
          <w:p w14:paraId="1508DDCB" w14:textId="77777777" w:rsidR="002D6E5B" w:rsidRDefault="002D6E5B" w:rsidP="00934956">
            <w:pPr>
              <w:snapToGrid w:val="0"/>
              <w:spacing w:line="260" w:lineRule="atLeast"/>
              <w:rPr>
                <w:rFonts w:eastAsia="Calibri"/>
                <w:lang w:eastAsia="en-US"/>
              </w:rPr>
            </w:pPr>
          </w:p>
          <w:p w14:paraId="10317ACF" w14:textId="77777777" w:rsidR="002D6E5B" w:rsidRPr="00E91F85" w:rsidRDefault="002D6E5B" w:rsidP="00934956">
            <w:pPr>
              <w:snapToGrid w:val="0"/>
              <w:spacing w:line="260" w:lineRule="atLeast"/>
              <w:rPr>
                <w:rFonts w:eastAsia="Calibri"/>
                <w:b/>
                <w:lang w:eastAsia="en-US"/>
              </w:rPr>
            </w:pPr>
            <w:r w:rsidRPr="00E91F85">
              <w:rPr>
                <w:rFonts w:eastAsia="Calibri"/>
                <w:b/>
                <w:lang w:eastAsia="en-US"/>
              </w:rPr>
              <w:t>Mean 24-48-72 hours (per animal):</w:t>
            </w:r>
          </w:p>
          <w:p w14:paraId="5541044E" w14:textId="77777777" w:rsidR="002D6E5B" w:rsidRPr="00E91F85" w:rsidRDefault="002D6E5B" w:rsidP="00934956">
            <w:pPr>
              <w:snapToGrid w:val="0"/>
              <w:spacing w:line="260" w:lineRule="atLeast"/>
              <w:rPr>
                <w:rFonts w:eastAsia="Calibri"/>
                <w:lang w:eastAsia="en-US"/>
              </w:rPr>
            </w:pPr>
          </w:p>
          <w:p w14:paraId="3A4F0B83"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Corneal opacity: 1.7/0.7/0.7</w:t>
            </w:r>
          </w:p>
          <w:p w14:paraId="05797F01" w14:textId="77777777" w:rsidR="002D6E5B" w:rsidRPr="00E91F85" w:rsidRDefault="002D6E5B" w:rsidP="00934956">
            <w:pPr>
              <w:snapToGrid w:val="0"/>
              <w:spacing w:line="260" w:lineRule="atLeast"/>
              <w:rPr>
                <w:rFonts w:eastAsia="Calibri"/>
                <w:lang w:eastAsia="en-US"/>
              </w:rPr>
            </w:pPr>
          </w:p>
          <w:p w14:paraId="2109F7BF"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Iris: 0.7/0.0/0.0</w:t>
            </w:r>
          </w:p>
          <w:p w14:paraId="16721E93" w14:textId="77777777" w:rsidR="002D6E5B" w:rsidRPr="00E91F85" w:rsidRDefault="002D6E5B" w:rsidP="00934956">
            <w:pPr>
              <w:snapToGrid w:val="0"/>
              <w:spacing w:line="260" w:lineRule="atLeast"/>
              <w:rPr>
                <w:rFonts w:eastAsia="Calibri"/>
                <w:lang w:eastAsia="en-US"/>
              </w:rPr>
            </w:pPr>
          </w:p>
          <w:p w14:paraId="330BAC1E"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 xml:space="preserve">Conjuctivivae: </w:t>
            </w:r>
          </w:p>
          <w:p w14:paraId="61D6D602"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1.3/0.0/0.3 (chemosis)</w:t>
            </w:r>
          </w:p>
          <w:p w14:paraId="09DD0623"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1.7/0.3/0.7 (redness)</w:t>
            </w:r>
          </w:p>
          <w:p w14:paraId="7F412668" w14:textId="77777777" w:rsidR="002D6E5B" w:rsidRPr="00E91F85" w:rsidRDefault="002D6E5B" w:rsidP="00934956">
            <w:pPr>
              <w:rPr>
                <w:b/>
                <w:bCs/>
                <w:iCs/>
              </w:rPr>
            </w:pPr>
          </w:p>
          <w:p w14:paraId="016B5EBE" w14:textId="77777777" w:rsidR="002D6E5B" w:rsidRPr="002D6E5B" w:rsidRDefault="002D6E5B" w:rsidP="00934956">
            <w:pPr>
              <w:rPr>
                <w:b/>
                <w:bCs/>
                <w:iCs/>
              </w:rPr>
            </w:pPr>
            <w:r w:rsidRPr="00E91F85">
              <w:rPr>
                <w:b/>
                <w:bCs/>
                <w:iCs/>
              </w:rPr>
              <w:t>Conclusion:</w:t>
            </w:r>
          </w:p>
          <w:p w14:paraId="0F1E555A" w14:textId="77777777" w:rsidR="002D6E5B" w:rsidRPr="001C52BD" w:rsidRDefault="002D6E5B" w:rsidP="00934956">
            <w:pPr>
              <w:snapToGrid w:val="0"/>
              <w:spacing w:line="260" w:lineRule="atLeast"/>
              <w:rPr>
                <w:rFonts w:eastAsia="Calibri"/>
                <w:lang w:eastAsia="en-US"/>
              </w:rPr>
            </w:pPr>
            <w:r w:rsidRPr="00E91F85">
              <w:rPr>
                <w:bCs/>
                <w:iCs/>
              </w:rPr>
              <w:t>According to the OECD 435 guideline and CLP criteria, AL-S2-3-0 is not classified for eye irritation.</w:t>
            </w:r>
          </w:p>
        </w:tc>
        <w:tc>
          <w:tcPr>
            <w:tcW w:w="1418" w:type="dxa"/>
            <w:tcBorders>
              <w:top w:val="single" w:sz="4" w:space="0" w:color="000000"/>
              <w:left w:val="single" w:sz="4" w:space="0" w:color="000000"/>
              <w:bottom w:val="single" w:sz="4" w:space="0" w:color="000000"/>
            </w:tcBorders>
            <w:shd w:val="clear" w:color="auto" w:fill="auto"/>
          </w:tcPr>
          <w:p w14:paraId="19BD0543"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No major</w:t>
            </w:r>
          </w:p>
          <w:p w14:paraId="037F96B9" w14:textId="77777777" w:rsidR="002D6E5B" w:rsidRPr="001C52BD" w:rsidRDefault="002D6E5B" w:rsidP="00934956">
            <w:pPr>
              <w:snapToGrid w:val="0"/>
              <w:spacing w:line="260" w:lineRule="atLeast"/>
              <w:rPr>
                <w:rFonts w:eastAsia="Calibri"/>
                <w:lang w:eastAsia="en-US"/>
              </w:rPr>
            </w:pPr>
            <w:r w:rsidRPr="001C52BD">
              <w:rPr>
                <w:rFonts w:eastAsia="Calibri"/>
                <w:color w:val="000000"/>
                <w:lang w:eastAsia="en-GB"/>
              </w:rPr>
              <w:t>deviations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C5FBF4"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Barré T. (2018)</w:t>
            </w:r>
          </w:p>
          <w:p w14:paraId="565F9F6F"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p>
          <w:p w14:paraId="2D745B1D"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C52BD">
              <w:rPr>
                <w:rFonts w:eastAsia="Calibri"/>
                <w:color w:val="000000"/>
                <w:lang w:eastAsia="en-GB"/>
              </w:rPr>
              <w:t>Study Number: IO-OCDE-PH-18/0391</w:t>
            </w:r>
          </w:p>
          <w:p w14:paraId="63D82FB0" w14:textId="77777777" w:rsidR="002D6E5B" w:rsidRPr="001C52BD" w:rsidRDefault="002D6E5B" w:rsidP="00934956">
            <w:pPr>
              <w:snapToGrid w:val="0"/>
              <w:spacing w:line="260" w:lineRule="atLeast"/>
              <w:rPr>
                <w:rFonts w:eastAsia="Calibri"/>
                <w:lang w:eastAsia="en-US"/>
              </w:rPr>
            </w:pPr>
          </w:p>
        </w:tc>
      </w:tr>
      <w:tr w:rsidR="002D6E5B" w:rsidRPr="001C52BD" w14:paraId="05575E47" w14:textId="77777777" w:rsidTr="00934956">
        <w:tc>
          <w:tcPr>
            <w:tcW w:w="1702" w:type="dxa"/>
            <w:tcBorders>
              <w:top w:val="single" w:sz="4" w:space="0" w:color="000000"/>
              <w:left w:val="single" w:sz="4" w:space="0" w:color="000000"/>
              <w:bottom w:val="single" w:sz="4" w:space="0" w:color="000000"/>
            </w:tcBorders>
            <w:shd w:val="clear" w:color="auto" w:fill="auto"/>
          </w:tcPr>
          <w:p w14:paraId="609A230D"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color w:val="000000"/>
                <w:lang w:eastAsia="en-GB"/>
              </w:rPr>
              <w:lastRenderedPageBreak/>
              <w:t>Acute Eye Irritation/Corrosion O</w:t>
            </w:r>
            <w:r w:rsidRPr="00153A2B">
              <w:rPr>
                <w:rFonts w:eastAsia="Calibri"/>
                <w:bCs/>
                <w:color w:val="000000"/>
                <w:lang w:eastAsia="en-GB"/>
              </w:rPr>
              <w:t>ECD 405</w:t>
            </w:r>
          </w:p>
          <w:p w14:paraId="143F92B3"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65EBA2DC"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r w:rsidRPr="00153A2B">
              <w:rPr>
                <w:rFonts w:eastAsia="Calibri"/>
                <w:bCs/>
                <w:color w:val="000000"/>
                <w:lang w:eastAsia="en-GB"/>
              </w:rPr>
              <w:t>GLP</w:t>
            </w:r>
          </w:p>
          <w:p w14:paraId="1BD3B6DA" w14:textId="77777777" w:rsidR="002D6E5B" w:rsidRPr="00153A2B" w:rsidRDefault="002D6E5B" w:rsidP="00934956">
            <w:pPr>
              <w:keepNext/>
              <w:widowControl w:val="0"/>
              <w:tabs>
                <w:tab w:val="center" w:pos="4536"/>
                <w:tab w:val="right" w:pos="9072"/>
              </w:tabs>
              <w:snapToGrid w:val="0"/>
              <w:spacing w:line="276" w:lineRule="auto"/>
              <w:rPr>
                <w:rFonts w:eastAsia="Calibri"/>
                <w:bCs/>
                <w:color w:val="000000"/>
                <w:lang w:eastAsia="en-GB"/>
              </w:rPr>
            </w:pPr>
          </w:p>
          <w:p w14:paraId="241A9660"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bCs/>
                <w:color w:val="000000"/>
                <w:lang w:eastAsia="en-GB"/>
              </w:rPr>
              <w:t>1</w:t>
            </w:r>
          </w:p>
        </w:tc>
        <w:tc>
          <w:tcPr>
            <w:tcW w:w="1134" w:type="dxa"/>
            <w:tcBorders>
              <w:top w:val="single" w:sz="4" w:space="0" w:color="000000"/>
              <w:left w:val="single" w:sz="4" w:space="0" w:color="000000"/>
              <w:bottom w:val="single" w:sz="4" w:space="0" w:color="000000"/>
            </w:tcBorders>
            <w:shd w:val="clear" w:color="auto" w:fill="auto"/>
          </w:tcPr>
          <w:p w14:paraId="2B0797CD" w14:textId="77777777" w:rsidR="002D6E5B" w:rsidRPr="00153A2B" w:rsidRDefault="002D6E5B" w:rsidP="00934956">
            <w:pPr>
              <w:rPr>
                <w:bCs/>
                <w:iCs/>
              </w:rPr>
            </w:pPr>
            <w:r w:rsidRPr="00153A2B">
              <w:rPr>
                <w:bCs/>
                <w:iCs/>
              </w:rPr>
              <w:t>Rabbit</w:t>
            </w:r>
          </w:p>
          <w:p w14:paraId="5D574C6B" w14:textId="77777777" w:rsidR="002D6E5B" w:rsidRPr="00153A2B" w:rsidRDefault="002D6E5B" w:rsidP="00934956">
            <w:pPr>
              <w:rPr>
                <w:bCs/>
                <w:iCs/>
              </w:rPr>
            </w:pPr>
            <w:r w:rsidRPr="00153A2B">
              <w:rPr>
                <w:bCs/>
                <w:iCs/>
              </w:rPr>
              <w:t>(New Zealand White)</w:t>
            </w:r>
          </w:p>
          <w:p w14:paraId="791B8081" w14:textId="77777777" w:rsidR="002D6E5B" w:rsidRPr="00153A2B" w:rsidRDefault="002D6E5B" w:rsidP="00934956">
            <w:pPr>
              <w:rPr>
                <w:bCs/>
                <w:iCs/>
              </w:rPr>
            </w:pPr>
          </w:p>
          <w:p w14:paraId="2F1DDAB0" w14:textId="77777777" w:rsidR="002D6E5B" w:rsidRPr="00153A2B" w:rsidRDefault="002D6E5B" w:rsidP="00934956">
            <w:pPr>
              <w:rPr>
                <w:bCs/>
                <w:iCs/>
              </w:rPr>
            </w:pPr>
            <w:r w:rsidRPr="00153A2B">
              <w:rPr>
                <w:bCs/>
                <w:iCs/>
              </w:rPr>
              <w:t>Females</w:t>
            </w:r>
          </w:p>
          <w:p w14:paraId="275B554D" w14:textId="77777777" w:rsidR="002D6E5B" w:rsidRPr="00153A2B" w:rsidRDefault="002D6E5B" w:rsidP="00934956">
            <w:pPr>
              <w:snapToGrid w:val="0"/>
              <w:spacing w:line="260" w:lineRule="atLeast"/>
              <w:rPr>
                <w:rFonts w:eastAsia="Calibri"/>
                <w:lang w:eastAsia="en-US"/>
              </w:rPr>
            </w:pPr>
          </w:p>
          <w:p w14:paraId="75E429C2" w14:textId="77777777" w:rsidR="002D6E5B" w:rsidRPr="001C52BD" w:rsidRDefault="002D6E5B" w:rsidP="00934956">
            <w:pPr>
              <w:rPr>
                <w:bCs/>
                <w:iCs/>
              </w:rPr>
            </w:pPr>
            <w:r w:rsidRPr="00153A2B">
              <w:rPr>
                <w:rFonts w:eastAsia="Calibri"/>
                <w:lang w:eastAsia="en-US"/>
              </w:rPr>
              <w:t>3</w:t>
            </w:r>
          </w:p>
        </w:tc>
        <w:tc>
          <w:tcPr>
            <w:tcW w:w="2409" w:type="dxa"/>
            <w:tcBorders>
              <w:top w:val="single" w:sz="4" w:space="0" w:color="000000"/>
              <w:left w:val="single" w:sz="4" w:space="0" w:color="000000"/>
              <w:bottom w:val="single" w:sz="4" w:space="0" w:color="000000"/>
            </w:tcBorders>
            <w:shd w:val="clear" w:color="auto" w:fill="auto"/>
          </w:tcPr>
          <w:p w14:paraId="4D22FFEC"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AL-S9-3-0</w:t>
            </w:r>
          </w:p>
          <w:p w14:paraId="52C0D1B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4A3ADA5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0.1 mL into the conjunctival sac of one eye</w:t>
            </w:r>
          </w:p>
          <w:p w14:paraId="4ED6E231"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24B0608C"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 xml:space="preserve">Ocular examinations 1h, 24h, 48h and 72 h following treatment </w:t>
            </w:r>
          </w:p>
        </w:tc>
        <w:tc>
          <w:tcPr>
            <w:tcW w:w="1843" w:type="dxa"/>
            <w:tcBorders>
              <w:top w:val="single" w:sz="4" w:space="0" w:color="000000"/>
              <w:left w:val="single" w:sz="4" w:space="0" w:color="000000"/>
              <w:bottom w:val="single" w:sz="4" w:space="0" w:color="000000"/>
            </w:tcBorders>
            <w:shd w:val="clear" w:color="auto" w:fill="auto"/>
          </w:tcPr>
          <w:p w14:paraId="1D74A02C" w14:textId="77777777" w:rsidR="002D6E5B" w:rsidRDefault="002D6E5B" w:rsidP="00934956">
            <w:pPr>
              <w:rPr>
                <w:bCs/>
                <w:iCs/>
              </w:rPr>
            </w:pPr>
            <w:r w:rsidRPr="00153A2B">
              <w:rPr>
                <w:bCs/>
                <w:iCs/>
              </w:rPr>
              <w:t>Corneal effects were all reversible within 21 days</w:t>
            </w:r>
          </w:p>
          <w:p w14:paraId="1E316C23" w14:textId="77777777" w:rsidR="002D6E5B" w:rsidRPr="00153A2B" w:rsidRDefault="002D6E5B" w:rsidP="00934956">
            <w:pPr>
              <w:rPr>
                <w:bCs/>
                <w:iCs/>
              </w:rPr>
            </w:pPr>
          </w:p>
          <w:p w14:paraId="690E3E5F" w14:textId="77777777" w:rsidR="002D6E5B" w:rsidRPr="00E91F85" w:rsidRDefault="002D6E5B" w:rsidP="00934956">
            <w:pPr>
              <w:snapToGrid w:val="0"/>
              <w:spacing w:line="260" w:lineRule="atLeast"/>
              <w:rPr>
                <w:rFonts w:eastAsia="Calibri"/>
                <w:b/>
                <w:lang w:eastAsia="en-US"/>
              </w:rPr>
            </w:pPr>
            <w:r w:rsidRPr="00E91F85">
              <w:rPr>
                <w:rFonts w:eastAsia="Calibri"/>
                <w:b/>
                <w:lang w:eastAsia="en-US"/>
              </w:rPr>
              <w:t>Mean 24-48-72 hours (per animal):</w:t>
            </w:r>
          </w:p>
          <w:p w14:paraId="627BC389" w14:textId="77777777" w:rsidR="002D6E5B" w:rsidRPr="00E91F85" w:rsidRDefault="002D6E5B" w:rsidP="00934956">
            <w:pPr>
              <w:snapToGrid w:val="0"/>
              <w:spacing w:line="260" w:lineRule="atLeast"/>
              <w:rPr>
                <w:rFonts w:eastAsia="Calibri"/>
                <w:lang w:eastAsia="en-US"/>
              </w:rPr>
            </w:pPr>
          </w:p>
          <w:p w14:paraId="410956BB"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Corneal opacity: 1.7/0.3/1.7</w:t>
            </w:r>
          </w:p>
          <w:p w14:paraId="1E51165B" w14:textId="77777777" w:rsidR="002D6E5B" w:rsidRPr="00E91F85" w:rsidRDefault="002D6E5B" w:rsidP="00934956">
            <w:pPr>
              <w:snapToGrid w:val="0"/>
              <w:spacing w:line="260" w:lineRule="atLeast"/>
              <w:rPr>
                <w:rFonts w:eastAsia="Calibri"/>
                <w:lang w:eastAsia="en-US"/>
              </w:rPr>
            </w:pPr>
          </w:p>
          <w:p w14:paraId="27D37368"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Iris: 0.7/0.0/1.0</w:t>
            </w:r>
          </w:p>
          <w:p w14:paraId="75FF2828" w14:textId="77777777" w:rsidR="002D6E5B" w:rsidRPr="00E91F85" w:rsidRDefault="002D6E5B" w:rsidP="00934956">
            <w:pPr>
              <w:snapToGrid w:val="0"/>
              <w:spacing w:line="260" w:lineRule="atLeast"/>
              <w:rPr>
                <w:rFonts w:eastAsia="Calibri"/>
                <w:lang w:eastAsia="en-US"/>
              </w:rPr>
            </w:pPr>
          </w:p>
          <w:p w14:paraId="58B47C64"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 xml:space="preserve">Conjuctivivae: </w:t>
            </w:r>
          </w:p>
          <w:p w14:paraId="1F14FDE5"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3.3/0.3/1.0 (chemosis)</w:t>
            </w:r>
          </w:p>
          <w:p w14:paraId="035CED72" w14:textId="77777777" w:rsidR="002D6E5B" w:rsidRPr="00E91F85" w:rsidRDefault="002D6E5B" w:rsidP="00934956">
            <w:pPr>
              <w:snapToGrid w:val="0"/>
              <w:spacing w:line="260" w:lineRule="atLeast"/>
              <w:rPr>
                <w:rFonts w:eastAsia="Calibri"/>
                <w:lang w:eastAsia="en-US"/>
              </w:rPr>
            </w:pPr>
            <w:r w:rsidRPr="00E91F85">
              <w:rPr>
                <w:rFonts w:eastAsia="Calibri"/>
                <w:lang w:eastAsia="en-US"/>
              </w:rPr>
              <w:t>2.0/0.3/1.7 (redness)</w:t>
            </w:r>
          </w:p>
          <w:p w14:paraId="1F0DEB2F" w14:textId="77777777" w:rsidR="002D6E5B" w:rsidRPr="00E91F85" w:rsidRDefault="002D6E5B" w:rsidP="00934956">
            <w:pPr>
              <w:snapToGrid w:val="0"/>
              <w:spacing w:line="260" w:lineRule="atLeast"/>
              <w:rPr>
                <w:rFonts w:eastAsia="Calibri"/>
                <w:lang w:eastAsia="en-US"/>
              </w:rPr>
            </w:pPr>
          </w:p>
          <w:p w14:paraId="74042976" w14:textId="77777777" w:rsidR="002D6E5B" w:rsidRPr="00E91F85" w:rsidRDefault="002D6E5B" w:rsidP="00934956">
            <w:pPr>
              <w:pStyle w:val="Paragraphedeliste"/>
              <w:numPr>
                <w:ilvl w:val="0"/>
                <w:numId w:val="13"/>
              </w:numPr>
              <w:snapToGrid w:val="0"/>
              <w:spacing w:line="260" w:lineRule="atLeast"/>
              <w:rPr>
                <w:rFonts w:eastAsia="Calibri"/>
                <w:lang w:eastAsia="en-US"/>
              </w:rPr>
            </w:pPr>
            <w:r w:rsidRPr="00E91F85">
              <w:rPr>
                <w:rFonts w:eastAsia="Calibri"/>
                <w:lang w:eastAsia="en-US"/>
              </w:rPr>
              <w:t>In at least 2 of 3 tested animals:</w:t>
            </w:r>
          </w:p>
          <w:p w14:paraId="5EB78755" w14:textId="77777777" w:rsidR="002D6E5B" w:rsidRPr="00E91F85" w:rsidRDefault="002D6E5B" w:rsidP="00934956">
            <w:pPr>
              <w:snapToGrid w:val="0"/>
              <w:spacing w:line="260" w:lineRule="atLeast"/>
              <w:rPr>
                <w:rFonts w:eastAsia="Calibri"/>
                <w:lang w:eastAsia="en-US"/>
              </w:rPr>
            </w:pPr>
          </w:p>
          <w:p w14:paraId="41CF9E45" w14:textId="77777777" w:rsidR="002D6E5B" w:rsidRPr="00E91F85" w:rsidRDefault="002D6E5B" w:rsidP="00934956">
            <w:pPr>
              <w:keepNext/>
              <w:widowControl w:val="0"/>
              <w:numPr>
                <w:ilvl w:val="0"/>
                <w:numId w:val="7"/>
              </w:numPr>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 xml:space="preserve">corneal opacity ≥1 </w:t>
            </w:r>
          </w:p>
          <w:p w14:paraId="54F7A777" w14:textId="77777777" w:rsidR="002D6E5B" w:rsidRPr="00E91F85" w:rsidRDefault="002D6E5B" w:rsidP="00934956">
            <w:pPr>
              <w:keepNext/>
              <w:widowControl w:val="0"/>
              <w:numPr>
                <w:ilvl w:val="0"/>
                <w:numId w:val="7"/>
              </w:numPr>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iritis ≥1</w:t>
            </w:r>
          </w:p>
          <w:p w14:paraId="3BE0575F" w14:textId="77777777" w:rsidR="002D6E5B" w:rsidRPr="00E91F85" w:rsidRDefault="002D6E5B" w:rsidP="00934956">
            <w:pPr>
              <w:keepNext/>
              <w:widowControl w:val="0"/>
              <w:numPr>
                <w:ilvl w:val="0"/>
                <w:numId w:val="7"/>
              </w:numPr>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conjunctival redness ≥2</w:t>
            </w:r>
          </w:p>
          <w:p w14:paraId="2884BADE" w14:textId="77777777" w:rsidR="002D6E5B" w:rsidRPr="00E91F85" w:rsidRDefault="002D6E5B" w:rsidP="00934956">
            <w:pPr>
              <w:keepNext/>
              <w:widowControl w:val="0"/>
              <w:numPr>
                <w:ilvl w:val="0"/>
                <w:numId w:val="7"/>
              </w:numPr>
              <w:tabs>
                <w:tab w:val="center" w:pos="4536"/>
                <w:tab w:val="right" w:pos="9072"/>
              </w:tabs>
              <w:snapToGrid w:val="0"/>
              <w:spacing w:line="276" w:lineRule="auto"/>
              <w:rPr>
                <w:rFonts w:eastAsia="Calibri"/>
                <w:color w:val="000000"/>
                <w:lang w:eastAsia="en-GB"/>
              </w:rPr>
            </w:pPr>
            <w:r w:rsidRPr="00E91F85">
              <w:rPr>
                <w:rFonts w:eastAsia="Calibri"/>
                <w:color w:val="000000"/>
                <w:lang w:eastAsia="en-GB"/>
              </w:rPr>
              <w:t>conjuctival oedema (chemosis) ≥2</w:t>
            </w:r>
          </w:p>
          <w:p w14:paraId="0701AAF2" w14:textId="77777777" w:rsidR="002D6E5B" w:rsidRPr="00E91F85" w:rsidRDefault="002D6E5B" w:rsidP="00934956">
            <w:pPr>
              <w:rPr>
                <w:b/>
                <w:bCs/>
                <w:iCs/>
              </w:rPr>
            </w:pPr>
          </w:p>
          <w:p w14:paraId="6607C6A6" w14:textId="77777777" w:rsidR="002D6E5B" w:rsidRPr="002D6E5B" w:rsidRDefault="002D6E5B" w:rsidP="00934956">
            <w:pPr>
              <w:rPr>
                <w:b/>
                <w:bCs/>
                <w:iCs/>
              </w:rPr>
            </w:pPr>
            <w:r w:rsidRPr="00E91F85">
              <w:rPr>
                <w:b/>
                <w:bCs/>
                <w:iCs/>
              </w:rPr>
              <w:t>Conclusion:</w:t>
            </w:r>
          </w:p>
          <w:p w14:paraId="535CCC1C" w14:textId="77777777" w:rsidR="002D6E5B" w:rsidRPr="007233E9" w:rsidRDefault="002D6E5B" w:rsidP="00934956">
            <w:pPr>
              <w:rPr>
                <w:bCs/>
                <w:iCs/>
              </w:rPr>
            </w:pPr>
            <w:r w:rsidRPr="00E91F85">
              <w:rPr>
                <w:bCs/>
                <w:iCs/>
              </w:rPr>
              <w:t>According to the OECD 435 guideline and CLP criteria, AL-S9-3-0 is classified for eye irritation (H319).</w:t>
            </w:r>
          </w:p>
        </w:tc>
        <w:tc>
          <w:tcPr>
            <w:tcW w:w="1418" w:type="dxa"/>
            <w:tcBorders>
              <w:top w:val="single" w:sz="4" w:space="0" w:color="000000"/>
              <w:left w:val="single" w:sz="4" w:space="0" w:color="000000"/>
              <w:bottom w:val="single" w:sz="4" w:space="0" w:color="000000"/>
            </w:tcBorders>
            <w:shd w:val="clear" w:color="auto" w:fill="auto"/>
          </w:tcPr>
          <w:p w14:paraId="2A0F270A"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No major</w:t>
            </w:r>
          </w:p>
          <w:p w14:paraId="22596E72"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deviations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EECDA6"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Barré T. (2018)</w:t>
            </w:r>
          </w:p>
          <w:p w14:paraId="73544905"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p>
          <w:p w14:paraId="03823E5B" w14:textId="77777777" w:rsidR="002D6E5B" w:rsidRPr="00153A2B" w:rsidRDefault="002D6E5B" w:rsidP="00934956">
            <w:pPr>
              <w:keepNext/>
              <w:widowControl w:val="0"/>
              <w:tabs>
                <w:tab w:val="center" w:pos="4536"/>
                <w:tab w:val="right" w:pos="9072"/>
              </w:tabs>
              <w:snapToGrid w:val="0"/>
              <w:spacing w:line="276" w:lineRule="auto"/>
              <w:rPr>
                <w:rFonts w:eastAsia="Calibri"/>
                <w:color w:val="000000"/>
                <w:lang w:eastAsia="en-GB"/>
              </w:rPr>
            </w:pPr>
            <w:r w:rsidRPr="00153A2B">
              <w:rPr>
                <w:rFonts w:eastAsia="Calibri"/>
                <w:color w:val="000000"/>
                <w:lang w:eastAsia="en-GB"/>
              </w:rPr>
              <w:t>Study Number: IO-OCDE-PH-18/0394</w:t>
            </w:r>
          </w:p>
          <w:p w14:paraId="369ECE26" w14:textId="77777777" w:rsidR="002D6E5B" w:rsidRPr="001C52BD" w:rsidRDefault="002D6E5B" w:rsidP="00934956">
            <w:pPr>
              <w:keepNext/>
              <w:widowControl w:val="0"/>
              <w:tabs>
                <w:tab w:val="center" w:pos="4536"/>
                <w:tab w:val="right" w:pos="9072"/>
              </w:tabs>
              <w:snapToGrid w:val="0"/>
              <w:spacing w:line="276" w:lineRule="auto"/>
              <w:rPr>
                <w:rFonts w:eastAsia="Calibri"/>
                <w:color w:val="000000"/>
                <w:lang w:eastAsia="en-GB"/>
              </w:rPr>
            </w:pPr>
          </w:p>
        </w:tc>
      </w:tr>
    </w:tbl>
    <w:p w14:paraId="03C86E70" w14:textId="77777777" w:rsidR="002D6E5B" w:rsidRDefault="002D6E5B" w:rsidP="002D6E5B">
      <w:pPr>
        <w:spacing w:line="260" w:lineRule="atLeast"/>
        <w:rPr>
          <w:rFonts w:ascii="Times New Roman" w:eastAsia="Calibri" w:hAnsi="Times New Roman" w:cs="Times New Roman"/>
          <w:i/>
          <w:iCs/>
          <w:lang w:eastAsia="en-US"/>
        </w:rPr>
      </w:pPr>
      <w:r w:rsidRPr="00B27CB1" w:rsidDel="00935DFE">
        <w:rPr>
          <w:rFonts w:ascii="Times New Roman" w:eastAsia="Calibri" w:hAnsi="Times New Roman" w:cs="Times New Roman"/>
          <w:i/>
          <w:iCs/>
          <w:lang w:eastAsia="en-US"/>
        </w:rPr>
        <w:t xml:space="preserve"> </w:t>
      </w:r>
    </w:p>
    <w:p w14:paraId="3B416B58" w14:textId="77777777" w:rsidR="002D6E5B" w:rsidRPr="007233E9" w:rsidRDefault="002D6E5B" w:rsidP="002D6E5B">
      <w:pPr>
        <w:spacing w:line="260" w:lineRule="atLeast"/>
        <w:jc w:val="both"/>
        <w:rPr>
          <w:rFonts w:eastAsia="Calibri" w:cs="Arial"/>
          <w:b/>
          <w:iCs/>
          <w:lang w:eastAsia="en-US"/>
        </w:rPr>
      </w:pPr>
      <w:r>
        <w:rPr>
          <w:rFonts w:eastAsia="Calibri" w:cs="Arial"/>
          <w:b/>
          <w:iCs/>
          <w:lang w:eastAsia="en-US"/>
        </w:rPr>
        <w:t xml:space="preserve">Meta SPC 1 and </w:t>
      </w:r>
      <w:r w:rsidRPr="007233E9">
        <w:rPr>
          <w:rFonts w:eastAsia="Calibri" w:cs="Arial"/>
          <w:b/>
          <w:iCs/>
          <w:lang w:eastAsia="en-US"/>
        </w:rPr>
        <w:t>Meta SPC 2</w:t>
      </w:r>
    </w:p>
    <w:p w14:paraId="57BFF2B2" w14:textId="77777777" w:rsidR="002D6E5B" w:rsidRPr="007233E9" w:rsidRDefault="002D6E5B" w:rsidP="002D6E5B">
      <w:pPr>
        <w:keepNext/>
        <w:widowControl w:val="0"/>
        <w:tabs>
          <w:tab w:val="center" w:pos="4536"/>
          <w:tab w:val="right" w:pos="9072"/>
        </w:tabs>
        <w:snapToGrid w:val="0"/>
        <w:spacing w:line="276" w:lineRule="auto"/>
        <w:jc w:val="both"/>
        <w:rPr>
          <w:rFonts w:eastAsia="Calibri" w:cs="Arial"/>
          <w:iCs/>
          <w:lang w:eastAsia="en-US"/>
        </w:rPr>
      </w:pPr>
    </w:p>
    <w:p w14:paraId="79CE8DCC" w14:textId="77777777" w:rsidR="002D6E5B" w:rsidRPr="007233E9" w:rsidRDefault="002D6E5B" w:rsidP="002D6E5B">
      <w:pPr>
        <w:keepNext/>
        <w:widowControl w:val="0"/>
        <w:tabs>
          <w:tab w:val="center" w:pos="4536"/>
          <w:tab w:val="right" w:pos="9072"/>
        </w:tabs>
        <w:snapToGrid w:val="0"/>
        <w:spacing w:line="276" w:lineRule="auto"/>
        <w:jc w:val="both"/>
        <w:rPr>
          <w:rFonts w:eastAsia="Calibri"/>
          <w:lang w:eastAsia="en-GB"/>
        </w:rPr>
      </w:pPr>
      <w:r w:rsidRPr="007233E9">
        <w:rPr>
          <w:rFonts w:eastAsia="Calibri" w:cs="Arial"/>
          <w:iCs/>
          <w:lang w:eastAsia="en-US"/>
        </w:rPr>
        <w:t xml:space="preserve">The composition of the test item </w:t>
      </w:r>
      <w:r w:rsidRPr="007233E9">
        <w:rPr>
          <w:rFonts w:eastAsia="Calibri"/>
          <w:color w:val="000000"/>
          <w:lang w:eastAsia="en-GB"/>
        </w:rPr>
        <w:t xml:space="preserve">AL-S2-3-0 </w:t>
      </w:r>
      <w:r w:rsidRPr="007233E9">
        <w:rPr>
          <w:rFonts w:eastAsia="Calibri" w:cs="Arial"/>
          <w:iCs/>
          <w:lang w:eastAsia="en-US"/>
        </w:rPr>
        <w:t xml:space="preserve">has been considered to cover (in terms of eye corrosion/irritation ingredients) the composition of meta </w:t>
      </w:r>
      <w:r>
        <w:rPr>
          <w:rFonts w:eastAsia="Calibri" w:cs="Arial"/>
          <w:iCs/>
          <w:lang w:eastAsia="en-US"/>
        </w:rPr>
        <w:t xml:space="preserve">SPC 1 and meta </w:t>
      </w:r>
      <w:r w:rsidRPr="007233E9">
        <w:rPr>
          <w:rFonts w:eastAsia="Calibri" w:cs="Arial"/>
          <w:iCs/>
          <w:lang w:eastAsia="en-US"/>
        </w:rPr>
        <w:t xml:space="preserve">SPC 2 products (see justification in the confidential annex). Therefore, the results of the </w:t>
      </w:r>
      <w:r w:rsidRPr="007233E9">
        <w:rPr>
          <w:rFonts w:eastAsia="Calibri" w:cs="Arial"/>
          <w:i/>
          <w:iCs/>
          <w:lang w:eastAsia="en-US"/>
        </w:rPr>
        <w:t>in vitro</w:t>
      </w:r>
      <w:r w:rsidRPr="007233E9">
        <w:rPr>
          <w:rFonts w:eastAsia="Calibri" w:cs="Arial"/>
          <w:iCs/>
          <w:lang w:eastAsia="en-US"/>
        </w:rPr>
        <w:t xml:space="preserve"> and </w:t>
      </w:r>
      <w:r w:rsidRPr="007233E9">
        <w:rPr>
          <w:rFonts w:eastAsia="Calibri" w:cs="Arial"/>
          <w:i/>
          <w:iCs/>
          <w:lang w:eastAsia="en-US"/>
        </w:rPr>
        <w:t>in vivo</w:t>
      </w:r>
      <w:r w:rsidRPr="007233E9">
        <w:rPr>
          <w:rFonts w:eastAsia="Calibri" w:cs="Arial"/>
          <w:iCs/>
          <w:lang w:eastAsia="en-US"/>
        </w:rPr>
        <w:t xml:space="preserve"> </w:t>
      </w:r>
      <w:r w:rsidRPr="007233E9">
        <w:rPr>
          <w:rFonts w:eastAsia="Calibri" w:cs="Arial"/>
          <w:iCs/>
          <w:lang w:eastAsia="en-US"/>
        </w:rPr>
        <w:lastRenderedPageBreak/>
        <w:t xml:space="preserve">eye irritation studies performed with AL-S2-3-0 can be extrapolated to </w:t>
      </w:r>
      <w:r>
        <w:rPr>
          <w:rFonts w:eastAsia="Calibri" w:cs="Arial"/>
          <w:iCs/>
          <w:lang w:eastAsia="en-US"/>
        </w:rPr>
        <w:t xml:space="preserve">both </w:t>
      </w:r>
      <w:r w:rsidRPr="007233E9">
        <w:rPr>
          <w:rFonts w:eastAsia="Calibri" w:cs="Arial"/>
          <w:iCs/>
          <w:lang w:eastAsia="en-US"/>
        </w:rPr>
        <w:t xml:space="preserve">meta SPC </w:t>
      </w:r>
      <w:r>
        <w:rPr>
          <w:rFonts w:eastAsia="Calibri" w:cs="Arial"/>
          <w:iCs/>
          <w:lang w:eastAsia="en-US"/>
        </w:rPr>
        <w:t xml:space="preserve">1 and </w:t>
      </w:r>
      <w:r w:rsidRPr="007233E9">
        <w:rPr>
          <w:rFonts w:eastAsia="Calibri" w:cs="Arial"/>
          <w:iCs/>
          <w:lang w:eastAsia="en-US"/>
        </w:rPr>
        <w:t>2 products.</w:t>
      </w:r>
    </w:p>
    <w:p w14:paraId="0422C3F9" w14:textId="77777777" w:rsidR="002D6E5B" w:rsidRPr="007233E9" w:rsidRDefault="002D6E5B" w:rsidP="002D6E5B">
      <w:pPr>
        <w:spacing w:line="260" w:lineRule="atLeast"/>
        <w:jc w:val="both"/>
        <w:rPr>
          <w:rFonts w:eastAsia="Calibri" w:cs="Arial"/>
          <w:b/>
          <w:iCs/>
          <w:lang w:eastAsia="en-US"/>
        </w:rPr>
      </w:pPr>
    </w:p>
    <w:p w14:paraId="44C4DA7C" w14:textId="77777777" w:rsidR="002D6E5B" w:rsidRPr="007233E9" w:rsidRDefault="002D6E5B" w:rsidP="002D6E5B">
      <w:pPr>
        <w:keepNext/>
        <w:widowControl w:val="0"/>
        <w:tabs>
          <w:tab w:val="center" w:pos="4536"/>
          <w:tab w:val="right" w:pos="9072"/>
        </w:tabs>
        <w:snapToGrid w:val="0"/>
        <w:spacing w:line="276" w:lineRule="auto"/>
        <w:jc w:val="both"/>
        <w:rPr>
          <w:rFonts w:eastAsia="Calibri" w:cs="Arial"/>
          <w:iCs/>
          <w:lang w:eastAsia="en-US"/>
        </w:rPr>
      </w:pPr>
      <w:r w:rsidRPr="007233E9">
        <w:rPr>
          <w:rFonts w:eastAsia="Calibri" w:cs="Arial"/>
          <w:iCs/>
          <w:lang w:eastAsia="en-US"/>
        </w:rPr>
        <w:t xml:space="preserve">Since the product AL-S2-3-0 is not classified for eye irritation, the meta SPC </w:t>
      </w:r>
      <w:r>
        <w:rPr>
          <w:rFonts w:eastAsia="Calibri" w:cs="Arial"/>
          <w:iCs/>
          <w:lang w:eastAsia="en-US"/>
        </w:rPr>
        <w:t xml:space="preserve">1 and </w:t>
      </w:r>
      <w:r w:rsidRPr="007233E9">
        <w:rPr>
          <w:rFonts w:eastAsia="Calibri" w:cs="Arial"/>
          <w:iCs/>
          <w:lang w:eastAsia="en-US"/>
        </w:rPr>
        <w:t>2 products are also considered not classified for eye irritation.</w:t>
      </w:r>
    </w:p>
    <w:p w14:paraId="4EFE9545" w14:textId="77777777" w:rsidR="002D6E5B" w:rsidRDefault="002D6E5B" w:rsidP="002D6E5B">
      <w:pPr>
        <w:spacing w:line="260" w:lineRule="atLeast"/>
        <w:jc w:val="both"/>
        <w:rPr>
          <w:rFonts w:eastAsia="Calibri" w:cs="Arial"/>
          <w:b/>
          <w:iCs/>
          <w:highlight w:val="cyan"/>
          <w:lang w:eastAsia="en-US"/>
        </w:rPr>
      </w:pPr>
    </w:p>
    <w:p w14:paraId="0890EFA6" w14:textId="77777777" w:rsidR="002D6E5B" w:rsidRDefault="002D6E5B" w:rsidP="002D6E5B">
      <w:pPr>
        <w:spacing w:line="260" w:lineRule="atLeast"/>
        <w:jc w:val="both"/>
        <w:rPr>
          <w:rFonts w:eastAsia="Calibri" w:cs="Arial"/>
          <w:b/>
          <w:iCs/>
          <w:lang w:eastAsia="en-US"/>
        </w:rPr>
      </w:pPr>
    </w:p>
    <w:p w14:paraId="17B16A2F" w14:textId="75F30EEF" w:rsidR="002D6E5B" w:rsidRPr="007233E9" w:rsidRDefault="002D6E5B" w:rsidP="002D6E5B">
      <w:pPr>
        <w:spacing w:line="260" w:lineRule="atLeast"/>
        <w:jc w:val="both"/>
        <w:rPr>
          <w:rFonts w:eastAsia="Calibri" w:cs="Arial"/>
          <w:b/>
          <w:iCs/>
          <w:lang w:eastAsia="en-US"/>
        </w:rPr>
      </w:pPr>
      <w:r w:rsidRPr="007233E9">
        <w:rPr>
          <w:rFonts w:eastAsia="Calibri" w:cs="Arial"/>
          <w:b/>
          <w:iCs/>
          <w:lang w:eastAsia="en-US"/>
        </w:rPr>
        <w:t>Meta SPC 9</w:t>
      </w:r>
    </w:p>
    <w:p w14:paraId="0C43590E" w14:textId="77777777" w:rsidR="002D6E5B" w:rsidRPr="007233E9" w:rsidRDefault="002D6E5B" w:rsidP="002D6E5B">
      <w:pPr>
        <w:keepNext/>
        <w:widowControl w:val="0"/>
        <w:tabs>
          <w:tab w:val="center" w:pos="4536"/>
          <w:tab w:val="right" w:pos="9072"/>
        </w:tabs>
        <w:snapToGrid w:val="0"/>
        <w:spacing w:line="276" w:lineRule="auto"/>
        <w:jc w:val="both"/>
        <w:rPr>
          <w:rFonts w:eastAsia="Calibri" w:cs="Arial"/>
          <w:iCs/>
          <w:lang w:eastAsia="en-US"/>
        </w:rPr>
      </w:pPr>
    </w:p>
    <w:p w14:paraId="0EBC289C" w14:textId="77777777" w:rsidR="002D6E5B" w:rsidRPr="007233E9" w:rsidRDefault="002D6E5B" w:rsidP="002D6E5B">
      <w:pPr>
        <w:keepNext/>
        <w:widowControl w:val="0"/>
        <w:tabs>
          <w:tab w:val="center" w:pos="4536"/>
          <w:tab w:val="right" w:pos="9072"/>
        </w:tabs>
        <w:snapToGrid w:val="0"/>
        <w:spacing w:line="276" w:lineRule="auto"/>
        <w:jc w:val="both"/>
        <w:rPr>
          <w:rFonts w:eastAsia="Calibri"/>
          <w:lang w:eastAsia="en-GB"/>
        </w:rPr>
      </w:pPr>
      <w:r w:rsidRPr="007233E9">
        <w:rPr>
          <w:rFonts w:eastAsia="Calibri" w:cs="Arial"/>
          <w:iCs/>
          <w:lang w:eastAsia="en-US"/>
        </w:rPr>
        <w:t xml:space="preserve">The composition of the test item </w:t>
      </w:r>
      <w:r w:rsidRPr="007233E9">
        <w:rPr>
          <w:rFonts w:eastAsia="Calibri"/>
          <w:color w:val="000000"/>
          <w:lang w:eastAsia="en-GB"/>
        </w:rPr>
        <w:t xml:space="preserve">AL-S9-3-0 </w:t>
      </w:r>
      <w:r w:rsidRPr="007233E9">
        <w:rPr>
          <w:rFonts w:eastAsia="Calibri" w:cs="Arial"/>
          <w:iCs/>
          <w:lang w:eastAsia="en-US"/>
        </w:rPr>
        <w:t xml:space="preserve">has been considered to cover (in terms of eye corrosion/irritation ingredients) the composition of meta SPC 9 products (see justification in the confidential annex). Therefore, the results of the </w:t>
      </w:r>
      <w:r w:rsidRPr="007233E9">
        <w:rPr>
          <w:rFonts w:eastAsia="Calibri" w:cs="Arial"/>
          <w:i/>
          <w:iCs/>
          <w:lang w:eastAsia="en-US"/>
        </w:rPr>
        <w:t>in vitro</w:t>
      </w:r>
      <w:r w:rsidRPr="007233E9">
        <w:rPr>
          <w:rFonts w:eastAsia="Calibri" w:cs="Arial"/>
          <w:iCs/>
          <w:lang w:eastAsia="en-US"/>
        </w:rPr>
        <w:t xml:space="preserve"> and </w:t>
      </w:r>
      <w:r w:rsidRPr="007233E9">
        <w:rPr>
          <w:rFonts w:eastAsia="Calibri" w:cs="Arial"/>
          <w:i/>
          <w:iCs/>
          <w:lang w:eastAsia="en-US"/>
        </w:rPr>
        <w:t>in vivo</w:t>
      </w:r>
      <w:r w:rsidRPr="007233E9">
        <w:rPr>
          <w:rFonts w:eastAsia="Calibri" w:cs="Arial"/>
          <w:iCs/>
          <w:lang w:eastAsia="en-US"/>
        </w:rPr>
        <w:t xml:space="preserve"> eye irritation studies performed with AL-S9-3-0 can be extrapolated to meta SPC 9.</w:t>
      </w:r>
    </w:p>
    <w:p w14:paraId="636E96D3" w14:textId="77777777" w:rsidR="002D6E5B" w:rsidRPr="007233E9" w:rsidRDefault="002D6E5B" w:rsidP="002D6E5B">
      <w:pPr>
        <w:spacing w:line="260" w:lineRule="atLeast"/>
        <w:jc w:val="both"/>
        <w:rPr>
          <w:rFonts w:eastAsia="Calibri" w:cs="Arial"/>
          <w:b/>
          <w:iCs/>
          <w:lang w:eastAsia="en-US"/>
        </w:rPr>
      </w:pPr>
    </w:p>
    <w:p w14:paraId="249D18A9" w14:textId="5D6239A5" w:rsidR="002D6E5B" w:rsidRPr="007233E9" w:rsidRDefault="002D6E5B" w:rsidP="002D6E5B">
      <w:pPr>
        <w:keepNext/>
        <w:widowControl w:val="0"/>
        <w:tabs>
          <w:tab w:val="center" w:pos="4536"/>
          <w:tab w:val="right" w:pos="9072"/>
        </w:tabs>
        <w:snapToGrid w:val="0"/>
        <w:spacing w:line="276" w:lineRule="auto"/>
        <w:jc w:val="both"/>
        <w:rPr>
          <w:rFonts w:eastAsia="Calibri" w:cs="Arial"/>
          <w:iCs/>
          <w:lang w:eastAsia="en-US"/>
        </w:rPr>
      </w:pPr>
      <w:r w:rsidRPr="007233E9">
        <w:rPr>
          <w:rFonts w:eastAsia="Calibri" w:cs="Arial"/>
          <w:iCs/>
          <w:lang w:eastAsia="en-US"/>
        </w:rPr>
        <w:t>Since the product AL-S9-3-0 is classified for eye irritation, the meta SPC 9 products are also classified for eye irritation (H319).</w:t>
      </w:r>
    </w:p>
    <w:p w14:paraId="39C7D679" w14:textId="77777777" w:rsidR="002D6E5B" w:rsidRDefault="002D6E5B" w:rsidP="002D6E5B">
      <w:pPr>
        <w:spacing w:line="260" w:lineRule="atLeast"/>
        <w:rPr>
          <w:rFonts w:ascii="Times New Roman" w:eastAsia="Calibri" w:hAnsi="Times New Roman" w:cs="Times New Roman"/>
          <w:i/>
          <w:iCs/>
          <w:lang w:eastAsia="en-US"/>
        </w:rPr>
      </w:pPr>
    </w:p>
    <w:p w14:paraId="427BB9F2" w14:textId="77777777" w:rsidR="002D6E5B" w:rsidRPr="007233E9" w:rsidRDefault="002D6E5B" w:rsidP="002D6E5B">
      <w:pPr>
        <w:spacing w:line="260" w:lineRule="atLeast"/>
        <w:rPr>
          <w:rFonts w:eastAsia="Calibri" w:cs="Arial"/>
          <w:b/>
          <w:iCs/>
          <w:lang w:eastAsia="en-US"/>
        </w:rPr>
      </w:pPr>
      <w:r w:rsidRPr="007233E9">
        <w:rPr>
          <w:rFonts w:eastAsia="Calibri" w:cs="Arial"/>
          <w:b/>
          <w:iCs/>
          <w:lang w:eastAsia="en-US"/>
        </w:rPr>
        <w:t>Meta SPC 3-4-6-7-8-10-11-12-13</w:t>
      </w:r>
    </w:p>
    <w:p w14:paraId="1F995886" w14:textId="77777777" w:rsidR="002D6E5B" w:rsidRPr="00F63934" w:rsidRDefault="002D6E5B" w:rsidP="002D6E5B">
      <w:pPr>
        <w:spacing w:line="260" w:lineRule="atLeast"/>
        <w:rPr>
          <w:rFonts w:eastAsia="Calibri" w:cs="Arial"/>
          <w:b/>
          <w:iCs/>
          <w:u w:val="single"/>
          <w:lang w:eastAsia="en-US"/>
        </w:rPr>
      </w:pPr>
    </w:p>
    <w:p w14:paraId="58E5DDD3" w14:textId="77777777" w:rsidR="002D6E5B" w:rsidRDefault="002D6E5B" w:rsidP="002D6E5B">
      <w:pPr>
        <w:jc w:val="both"/>
        <w:rPr>
          <w:bCs/>
          <w:iCs/>
        </w:rPr>
      </w:pPr>
      <w:r w:rsidRPr="00F63934">
        <w:rPr>
          <w:bCs/>
          <w:iCs/>
        </w:rPr>
        <w:t xml:space="preserve">No </w:t>
      </w:r>
      <w:r w:rsidRPr="00F63934">
        <w:rPr>
          <w:i/>
        </w:rPr>
        <w:t>in vitro</w:t>
      </w:r>
      <w:r w:rsidRPr="00F63934">
        <w:rPr>
          <w:bCs/>
          <w:iCs/>
        </w:rPr>
        <w:t xml:space="preserve">, </w:t>
      </w:r>
      <w:r w:rsidRPr="00F63934">
        <w:rPr>
          <w:i/>
        </w:rPr>
        <w:t>in vivo</w:t>
      </w:r>
      <w:r w:rsidRPr="00F63934">
        <w:rPr>
          <w:bCs/>
          <w:iCs/>
        </w:rPr>
        <w:t xml:space="preserve"> or human data on the eye irritation potential of products pertaining to meta 3-4-</w:t>
      </w:r>
      <w:r w:rsidRPr="00F63934">
        <w:rPr>
          <w:rFonts w:eastAsia="Calibri" w:cs="Arial"/>
          <w:iCs/>
          <w:lang w:eastAsia="en-US"/>
        </w:rPr>
        <w:t>6-7-8-10-11-12-13</w:t>
      </w:r>
      <w:r w:rsidRPr="00F63934">
        <w:rPr>
          <w:rFonts w:eastAsia="Calibri" w:cs="Arial"/>
          <w:i/>
          <w:iCs/>
          <w:u w:val="single"/>
          <w:lang w:eastAsia="en-US"/>
        </w:rPr>
        <w:t xml:space="preserve"> </w:t>
      </w:r>
      <w:r w:rsidRPr="00F63934">
        <w:rPr>
          <w:bCs/>
          <w:iCs/>
        </w:rPr>
        <w:t xml:space="preserve">are available. </w:t>
      </w:r>
    </w:p>
    <w:p w14:paraId="057BDCFE" w14:textId="77777777" w:rsidR="002D6E5B" w:rsidRDefault="002D6E5B" w:rsidP="002D6E5B">
      <w:pPr>
        <w:jc w:val="both"/>
        <w:rPr>
          <w:bCs/>
          <w:iCs/>
        </w:rPr>
      </w:pPr>
    </w:p>
    <w:p w14:paraId="7BD9C0FB" w14:textId="77777777" w:rsidR="002D6E5B" w:rsidRPr="00F63934" w:rsidRDefault="002D6E5B" w:rsidP="002D6E5B">
      <w:pPr>
        <w:jc w:val="both"/>
        <w:rPr>
          <w:bCs/>
          <w:iCs/>
        </w:rPr>
      </w:pPr>
      <w:r w:rsidRPr="007233E9">
        <w:rPr>
          <w:bCs/>
          <w:iCs/>
        </w:rPr>
        <w:t xml:space="preserve">Besides, none of the studies performed with test items </w:t>
      </w:r>
      <w:r w:rsidRPr="00433F17">
        <w:rPr>
          <w:bCs/>
          <w:iCs/>
        </w:rPr>
        <w:t>AL-S2-3-0</w:t>
      </w:r>
      <w:r>
        <w:rPr>
          <w:bCs/>
          <w:iCs/>
        </w:rPr>
        <w:t xml:space="preserve"> </w:t>
      </w:r>
      <w:r w:rsidRPr="00433F17">
        <w:rPr>
          <w:bCs/>
          <w:iCs/>
        </w:rPr>
        <w:t>and AL-S9-3-0</w:t>
      </w:r>
      <w:r>
        <w:rPr>
          <w:bCs/>
          <w:iCs/>
        </w:rPr>
        <w:t xml:space="preserve"> </w:t>
      </w:r>
      <w:r w:rsidRPr="007233E9">
        <w:rPr>
          <w:bCs/>
          <w:iCs/>
        </w:rPr>
        <w:t xml:space="preserve"> presented above can be used by read-across for the products of meta SPC </w:t>
      </w:r>
      <w:r w:rsidRPr="008C46E1">
        <w:rPr>
          <w:bCs/>
          <w:iCs/>
        </w:rPr>
        <w:t>3-4-6-7-8-10-11-12-13</w:t>
      </w:r>
      <w:r w:rsidRPr="007233E9">
        <w:rPr>
          <w:bCs/>
          <w:iCs/>
        </w:rPr>
        <w:t>.</w:t>
      </w:r>
      <w:r>
        <w:rPr>
          <w:bCs/>
          <w:iCs/>
        </w:rPr>
        <w:t xml:space="preserve"> </w:t>
      </w:r>
    </w:p>
    <w:p w14:paraId="6BCD4CAD" w14:textId="77777777" w:rsidR="002D6E5B" w:rsidRPr="00F63934" w:rsidRDefault="002D6E5B" w:rsidP="002D6E5B">
      <w:pPr>
        <w:spacing w:line="260" w:lineRule="atLeast"/>
        <w:rPr>
          <w:rFonts w:eastAsia="Calibri" w:cs="Arial"/>
          <w:b/>
          <w:iCs/>
          <w:u w:val="single"/>
          <w:lang w:eastAsia="en-US"/>
        </w:rPr>
      </w:pPr>
    </w:p>
    <w:tbl>
      <w:tblPr>
        <w:tblpPr w:leftFromText="141" w:rightFromText="141" w:vertAnchor="text" w:horzAnchor="margin" w:tblpY="24"/>
        <w:tblW w:w="9341" w:type="dxa"/>
        <w:tblLayout w:type="fixed"/>
        <w:tblLook w:val="0000" w:firstRow="0" w:lastRow="0" w:firstColumn="0" w:lastColumn="0" w:noHBand="0" w:noVBand="0"/>
      </w:tblPr>
      <w:tblGrid>
        <w:gridCol w:w="2380"/>
        <w:gridCol w:w="6961"/>
      </w:tblGrid>
      <w:tr w:rsidR="002D6E5B" w:rsidRPr="00F63934" w14:paraId="248BB910" w14:textId="77777777" w:rsidTr="00934956">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E036D7A" w14:textId="77777777" w:rsidR="002D6E5B" w:rsidRPr="00F63934" w:rsidRDefault="002D6E5B" w:rsidP="00934956">
            <w:pPr>
              <w:spacing w:line="260" w:lineRule="atLeast"/>
            </w:pPr>
            <w:r w:rsidRPr="00F63934">
              <w:rPr>
                <w:rFonts w:eastAsia="Calibri"/>
                <w:b/>
                <w:bCs/>
                <w:lang w:eastAsia="en-US"/>
              </w:rPr>
              <w:t>Conclusion used in Risk Assessment –  Eye irritation</w:t>
            </w:r>
          </w:p>
        </w:tc>
      </w:tr>
      <w:tr w:rsidR="002D6E5B" w:rsidRPr="00F63934" w14:paraId="099225BA" w14:textId="77777777" w:rsidTr="00934956">
        <w:trPr>
          <w:trHeight w:val="298"/>
        </w:trPr>
        <w:tc>
          <w:tcPr>
            <w:tcW w:w="2380" w:type="dxa"/>
            <w:tcBorders>
              <w:top w:val="single" w:sz="6" w:space="0" w:color="000000"/>
              <w:left w:val="single" w:sz="4" w:space="0" w:color="000000"/>
              <w:bottom w:val="single" w:sz="6" w:space="0" w:color="000000"/>
            </w:tcBorders>
            <w:shd w:val="clear" w:color="auto" w:fill="auto"/>
          </w:tcPr>
          <w:p w14:paraId="1F476931" w14:textId="77777777" w:rsidR="002D6E5B" w:rsidRPr="00F63934" w:rsidRDefault="002D6E5B" w:rsidP="00934956">
            <w:pPr>
              <w:spacing w:line="260" w:lineRule="atLeast"/>
              <w:rPr>
                <w:rFonts w:eastAsia="Calibri"/>
                <w:lang w:eastAsia="en-US"/>
              </w:rPr>
            </w:pPr>
            <w:r w:rsidRPr="00F63934">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19B3021" w14:textId="77777777" w:rsidR="002D6E5B" w:rsidRPr="00F63934" w:rsidRDefault="002D6E5B" w:rsidP="00934956">
            <w:pPr>
              <w:snapToGrid w:val="0"/>
              <w:spacing w:line="260" w:lineRule="atLeast"/>
              <w:jc w:val="both"/>
              <w:rPr>
                <w:rFonts w:eastAsia="Calibri"/>
                <w:lang w:eastAsia="en-US"/>
              </w:rPr>
            </w:pPr>
            <w:r w:rsidRPr="00F63934">
              <w:rPr>
                <w:rFonts w:eastAsia="Calibri"/>
                <w:lang w:eastAsia="en-US"/>
              </w:rPr>
              <w:t>The products of meta SPC 3-4-</w:t>
            </w:r>
            <w:r w:rsidRPr="00F63934">
              <w:rPr>
                <w:rFonts w:eastAsia="Calibri" w:cs="Arial"/>
                <w:iCs/>
                <w:lang w:eastAsia="en-US"/>
              </w:rPr>
              <w:t>6-7-8-10-11-12-13</w:t>
            </w:r>
            <w:r w:rsidRPr="00F63934">
              <w:rPr>
                <w:rFonts w:eastAsia="Calibri" w:cs="Arial"/>
                <w:i/>
                <w:iCs/>
                <w:lang w:eastAsia="en-US"/>
              </w:rPr>
              <w:t xml:space="preserve"> </w:t>
            </w:r>
            <w:r w:rsidRPr="00F63934">
              <w:rPr>
                <w:rFonts w:eastAsia="Calibri"/>
                <w:lang w:eastAsia="en-US"/>
              </w:rPr>
              <w:t xml:space="preserve">are considered </w:t>
            </w:r>
            <w:r w:rsidRPr="00F63934">
              <w:t>to cause serious eye irritation</w:t>
            </w:r>
            <w:r w:rsidRPr="00F63934">
              <w:rPr>
                <w:rFonts w:eastAsia="Calibri"/>
                <w:lang w:eastAsia="en-US"/>
              </w:rPr>
              <w:t>.</w:t>
            </w:r>
          </w:p>
        </w:tc>
      </w:tr>
      <w:tr w:rsidR="002D6E5B" w:rsidRPr="00F63934" w14:paraId="37919AED" w14:textId="77777777" w:rsidTr="00934956">
        <w:tc>
          <w:tcPr>
            <w:tcW w:w="2380" w:type="dxa"/>
            <w:tcBorders>
              <w:top w:val="single" w:sz="6" w:space="0" w:color="000000"/>
              <w:left w:val="single" w:sz="4" w:space="0" w:color="000000"/>
              <w:bottom w:val="single" w:sz="6" w:space="0" w:color="000000"/>
            </w:tcBorders>
            <w:shd w:val="clear" w:color="auto" w:fill="auto"/>
          </w:tcPr>
          <w:p w14:paraId="46BE0BD7" w14:textId="77777777" w:rsidR="002D6E5B" w:rsidRPr="00F63934" w:rsidRDefault="002D6E5B" w:rsidP="00934956">
            <w:pPr>
              <w:spacing w:line="260" w:lineRule="atLeast"/>
              <w:rPr>
                <w:rFonts w:eastAsia="Calibri"/>
                <w:lang w:eastAsia="en-US"/>
              </w:rPr>
            </w:pPr>
            <w:r w:rsidRPr="00F63934">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3D90496" w14:textId="77777777" w:rsidR="002D6E5B" w:rsidRPr="00F63934" w:rsidRDefault="002D6E5B" w:rsidP="00934956">
            <w:pPr>
              <w:snapToGrid w:val="0"/>
              <w:spacing w:line="260" w:lineRule="atLeast"/>
              <w:jc w:val="both"/>
              <w:rPr>
                <w:rFonts w:eastAsia="Calibri"/>
                <w:lang w:eastAsia="en-US"/>
              </w:rPr>
            </w:pPr>
            <w:r w:rsidRPr="00F63934">
              <w:rPr>
                <w:rFonts w:eastAsia="Calibri"/>
                <w:lang w:eastAsia="en-US"/>
              </w:rPr>
              <w:t>No study on eye irritation was performed. The classification is determined using the calculation method of CLP Regulation. Considering the content in active substance (lactic acid) in the meta SPC 3-4-</w:t>
            </w:r>
            <w:r w:rsidRPr="00F63934">
              <w:rPr>
                <w:rFonts w:eastAsia="Calibri" w:cs="Arial"/>
                <w:iCs/>
                <w:lang w:eastAsia="en-US"/>
              </w:rPr>
              <w:t xml:space="preserve">6-7-8-10-11-12-13 </w:t>
            </w:r>
            <w:r w:rsidRPr="00F63934">
              <w:rPr>
                <w:rFonts w:eastAsia="Calibri"/>
                <w:lang w:eastAsia="en-US"/>
              </w:rPr>
              <w:t>(3.2 to 24%), a classification Eye Dam.1 H318 (in accordance with Regulation EC/1272/2008) is needed.</w:t>
            </w:r>
          </w:p>
        </w:tc>
      </w:tr>
      <w:tr w:rsidR="002D6E5B" w:rsidRPr="00F63934" w14:paraId="1BF1B263" w14:textId="77777777" w:rsidTr="00934956">
        <w:tc>
          <w:tcPr>
            <w:tcW w:w="2380" w:type="dxa"/>
            <w:tcBorders>
              <w:top w:val="single" w:sz="6" w:space="0" w:color="000000"/>
              <w:left w:val="single" w:sz="4" w:space="0" w:color="000000"/>
              <w:bottom w:val="single" w:sz="6" w:space="0" w:color="000000"/>
            </w:tcBorders>
            <w:shd w:val="clear" w:color="auto" w:fill="auto"/>
          </w:tcPr>
          <w:p w14:paraId="67F144EC" w14:textId="77777777" w:rsidR="002D6E5B" w:rsidRPr="00F63934" w:rsidRDefault="002D6E5B" w:rsidP="00934956">
            <w:pPr>
              <w:spacing w:line="260" w:lineRule="atLeast"/>
              <w:rPr>
                <w:rFonts w:eastAsia="Calibri"/>
                <w:lang w:eastAsia="en-US"/>
              </w:rPr>
            </w:pPr>
            <w:r w:rsidRPr="00F63934">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DEDEEDF" w14:textId="77777777" w:rsidR="002D6E5B" w:rsidRPr="00F63934" w:rsidRDefault="002D6E5B" w:rsidP="00934956">
            <w:pPr>
              <w:spacing w:line="260" w:lineRule="atLeast"/>
              <w:jc w:val="both"/>
            </w:pPr>
            <w:r w:rsidRPr="00F63934">
              <w:rPr>
                <w:rFonts w:eastAsia="Calibri"/>
                <w:lang w:eastAsia="en-US"/>
              </w:rPr>
              <w:t>Eye Dam.1 (H318)</w:t>
            </w:r>
          </w:p>
        </w:tc>
      </w:tr>
    </w:tbl>
    <w:p w14:paraId="30C18952" w14:textId="03AEE27A" w:rsidR="009D0C0B" w:rsidRPr="00B27CB1" w:rsidRDefault="002D6E5B">
      <w:pPr>
        <w:spacing w:line="260" w:lineRule="atLeast"/>
        <w:rPr>
          <w:rFonts w:ascii="Times New Roman" w:eastAsia="Calibri" w:hAnsi="Times New Roman" w:cs="Times New Roman"/>
          <w:i/>
          <w:iCs/>
          <w:lang w:eastAsia="en-US"/>
        </w:rPr>
      </w:pPr>
      <w:r w:rsidRPr="00B27CB1" w:rsidDel="00E85188">
        <w:rPr>
          <w:rFonts w:ascii="Times New Roman" w:eastAsia="Calibri" w:hAnsi="Times New Roman" w:cs="Times New Roman"/>
          <w:i/>
          <w:iCs/>
          <w:lang w:eastAsia="en-US"/>
        </w:rPr>
        <w:t xml:space="preserve"> </w:t>
      </w:r>
    </w:p>
    <w:p w14:paraId="0BBDE09D" w14:textId="77777777" w:rsidR="009D0C0B" w:rsidRPr="00B27CB1" w:rsidRDefault="009D0C0B">
      <w:pPr>
        <w:spacing w:line="260" w:lineRule="atLeast"/>
        <w:rPr>
          <w:rFonts w:ascii="Times New Roman" w:eastAsia="Calibri" w:hAnsi="Times New Roman" w:cs="Times New Roman"/>
          <w:i/>
          <w:iCs/>
          <w:lang w:eastAsia="en-US"/>
        </w:rPr>
      </w:pPr>
    </w:p>
    <w:p w14:paraId="0FF53977" w14:textId="77777777" w:rsidR="009D0C0B" w:rsidRPr="00B27CB1" w:rsidRDefault="009D0C0B">
      <w:pPr>
        <w:spacing w:line="260" w:lineRule="atLeast"/>
        <w:rPr>
          <w:rFonts w:ascii="Times New Roman" w:eastAsia="Calibri" w:hAnsi="Times New Roman" w:cs="Times New Roman"/>
          <w:i/>
          <w:iCs/>
          <w:lang w:eastAsia="en-US"/>
        </w:rPr>
      </w:pPr>
    </w:p>
    <w:p w14:paraId="713E8D9E" w14:textId="77777777" w:rsidR="009D0C0B" w:rsidRPr="00B27CB1" w:rsidRDefault="009D0C0B">
      <w:pPr>
        <w:pageBreakBefore/>
        <w:spacing w:line="260" w:lineRule="atLeast"/>
        <w:rPr>
          <w:rFonts w:ascii="Times New Roman" w:eastAsia="Calibri" w:hAnsi="Times New Roman" w:cs="Times New Roman"/>
          <w:i/>
          <w:iCs/>
          <w:lang w:eastAsia="en-US"/>
        </w:rPr>
      </w:pPr>
    </w:p>
    <w:p w14:paraId="35E30505" w14:textId="5E99FDC4" w:rsidR="00F46876" w:rsidRDefault="00FA480B">
      <w:pPr>
        <w:rPr>
          <w:rFonts w:ascii="Times New Roman" w:eastAsia="Calibri" w:hAnsi="Times New Roman" w:cs="Times New Roman"/>
          <w:i/>
          <w:iCs/>
          <w:lang w:eastAsia="en-US"/>
        </w:rPr>
      </w:pPr>
      <w:r w:rsidRPr="00B27CB1">
        <w:rPr>
          <w:rFonts w:eastAsia="Calibri"/>
          <w:b/>
          <w:i/>
          <w:sz w:val="22"/>
          <w:szCs w:val="22"/>
          <w:lang w:eastAsia="en-US"/>
        </w:rPr>
        <w:t xml:space="preserve">Respiratory tract irritation </w:t>
      </w:r>
    </w:p>
    <w:p w14:paraId="270ADEAA" w14:textId="7BE37B1D" w:rsidR="00F46876" w:rsidRDefault="00F46876">
      <w:pPr>
        <w:rPr>
          <w:rFonts w:ascii="Times New Roman" w:eastAsia="Calibri" w:hAnsi="Times New Roman" w:cs="Times New Roman"/>
          <w:i/>
          <w:iCs/>
          <w:lang w:eastAsia="en-US"/>
        </w:rPr>
      </w:pPr>
    </w:p>
    <w:p w14:paraId="40582C0D" w14:textId="3A1B0319" w:rsidR="009D0C0B" w:rsidRPr="00B27CB1" w:rsidRDefault="00F46876" w:rsidP="00E91F85">
      <w:pPr>
        <w:rPr>
          <w:rFonts w:ascii="Times New Roman" w:eastAsia="Calibri" w:hAnsi="Times New Roman" w:cs="Times New Roman"/>
          <w:i/>
          <w:iCs/>
          <w:lang w:eastAsia="en-US"/>
        </w:rPr>
      </w:pPr>
      <w:r w:rsidRPr="00E91F85">
        <w:rPr>
          <w:rFonts w:eastAsia="Calibri" w:cs="Times New Roman"/>
          <w:b/>
          <w:iCs/>
          <w:lang w:eastAsia="en-US"/>
        </w:rPr>
        <w:t>All meta SPC</w:t>
      </w:r>
    </w:p>
    <w:p w14:paraId="5C110D9A" w14:textId="77777777" w:rsidR="009D0C0B" w:rsidRPr="00B27CB1"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B27CB1" w14:paraId="642507D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43C68F" w14:textId="77777777" w:rsidR="009D0C0B" w:rsidRPr="00B27CB1" w:rsidRDefault="00FA480B">
            <w:pPr>
              <w:keepNext/>
              <w:keepLines/>
              <w:spacing w:before="60" w:after="60" w:line="260" w:lineRule="atLeast"/>
              <w:jc w:val="center"/>
            </w:pPr>
            <w:r w:rsidRPr="00B27CB1">
              <w:rPr>
                <w:rFonts w:eastAsia="Calibri"/>
                <w:b/>
                <w:bCs/>
                <w:lang w:eastAsia="en-US"/>
              </w:rPr>
              <w:t>Conclusion used in the Risk Assessment – Respiratory tract irritation</w:t>
            </w:r>
          </w:p>
        </w:tc>
      </w:tr>
      <w:tr w:rsidR="00371546" w:rsidRPr="00B27CB1" w14:paraId="44AF0C40" w14:textId="77777777">
        <w:tc>
          <w:tcPr>
            <w:tcW w:w="1955" w:type="dxa"/>
            <w:tcBorders>
              <w:top w:val="single" w:sz="6" w:space="0" w:color="000000"/>
              <w:left w:val="single" w:sz="4" w:space="0" w:color="000000"/>
              <w:bottom w:val="single" w:sz="6" w:space="0" w:color="000000"/>
            </w:tcBorders>
            <w:shd w:val="clear" w:color="auto" w:fill="auto"/>
          </w:tcPr>
          <w:p w14:paraId="7BAB4754" w14:textId="77777777" w:rsidR="00371546" w:rsidRPr="00B27CB1" w:rsidRDefault="00371546" w:rsidP="00371546">
            <w:pPr>
              <w:keepNext/>
              <w:keepLines/>
              <w:spacing w:before="60" w:after="60" w:line="260" w:lineRule="atLeast"/>
              <w:rPr>
                <w:rFonts w:eastAsia="Calibri"/>
                <w:bCs/>
                <w:lang w:eastAsia="en-US"/>
              </w:rPr>
            </w:pPr>
            <w:r w:rsidRPr="00B27CB1">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4DC5B7F" w14:textId="117C0311" w:rsidR="00371546" w:rsidRPr="00B27CB1" w:rsidRDefault="00371546" w:rsidP="00371546">
            <w:pPr>
              <w:keepNext/>
              <w:keepLines/>
              <w:snapToGrid w:val="0"/>
              <w:spacing w:before="60" w:after="60" w:line="260" w:lineRule="atLeast"/>
              <w:rPr>
                <w:rFonts w:eastAsia="Calibri"/>
                <w:bCs/>
                <w:lang w:eastAsia="en-US"/>
              </w:rPr>
            </w:pPr>
            <w:r w:rsidRPr="0012375E">
              <w:t>Not irritating to the respiratory tract</w:t>
            </w:r>
          </w:p>
        </w:tc>
      </w:tr>
      <w:tr w:rsidR="00371546" w:rsidRPr="00B27CB1" w14:paraId="4EB1B42E" w14:textId="77777777">
        <w:tc>
          <w:tcPr>
            <w:tcW w:w="1955" w:type="dxa"/>
            <w:tcBorders>
              <w:top w:val="single" w:sz="6" w:space="0" w:color="000000"/>
              <w:left w:val="single" w:sz="4" w:space="0" w:color="000000"/>
              <w:bottom w:val="single" w:sz="6" w:space="0" w:color="000000"/>
            </w:tcBorders>
            <w:shd w:val="clear" w:color="auto" w:fill="auto"/>
          </w:tcPr>
          <w:p w14:paraId="0A75C97F" w14:textId="54EBB9F1" w:rsidR="00371546" w:rsidRPr="00B27CB1" w:rsidRDefault="00371546">
            <w:pPr>
              <w:keepNext/>
              <w:keepLines/>
              <w:spacing w:before="60" w:after="60" w:line="260" w:lineRule="atLeast"/>
              <w:rPr>
                <w:rFonts w:eastAsia="Calibri"/>
                <w:bCs/>
                <w:lang w:eastAsia="en-US"/>
              </w:rPr>
            </w:pPr>
            <w:r w:rsidRPr="00B27CB1">
              <w:rPr>
                <w:rFonts w:eastAsia="Calibri"/>
                <w:bCs/>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BFC33C" w14:textId="7ED96BBC" w:rsidR="00371546" w:rsidRPr="00B27CB1" w:rsidRDefault="00371546">
            <w:pPr>
              <w:keepNext/>
              <w:keepLines/>
              <w:spacing w:before="60" w:after="60" w:line="260" w:lineRule="atLeast"/>
            </w:pPr>
            <w:r w:rsidRPr="008929D9">
              <w:rPr>
                <w:rFonts w:eastAsia="Calibri"/>
                <w:bCs/>
                <w:lang w:eastAsia="en-US"/>
              </w:rPr>
              <w:t>Regarding the content of a.s and co-formulants, and according to the classification rules laid down in the CLP regulation, no classification is required for respiratory tract irritation.</w:t>
            </w:r>
          </w:p>
        </w:tc>
      </w:tr>
    </w:tbl>
    <w:p w14:paraId="125A2B52" w14:textId="77777777" w:rsidR="009D0C0B" w:rsidRPr="00B27CB1" w:rsidRDefault="009D0C0B">
      <w:pPr>
        <w:spacing w:line="260" w:lineRule="atLeast"/>
        <w:rPr>
          <w:rFonts w:eastAsia="Calibri"/>
          <w:lang w:eastAsia="en-US"/>
        </w:rPr>
      </w:pPr>
    </w:p>
    <w:p w14:paraId="6D5FADD7" w14:textId="7BCF828F" w:rsidR="00F25074" w:rsidRDefault="00FA480B">
      <w:pPr>
        <w:rPr>
          <w:rFonts w:eastAsia="Calibri"/>
          <w:b/>
          <w:i/>
          <w:sz w:val="22"/>
          <w:szCs w:val="22"/>
          <w:lang w:eastAsia="en-US"/>
        </w:rPr>
      </w:pPr>
      <w:r w:rsidRPr="00B27CB1">
        <w:rPr>
          <w:rFonts w:eastAsia="Calibri"/>
          <w:b/>
          <w:i/>
          <w:sz w:val="22"/>
          <w:szCs w:val="22"/>
          <w:lang w:eastAsia="en-US"/>
        </w:rPr>
        <w:t>Skin sensitization</w:t>
      </w:r>
    </w:p>
    <w:p w14:paraId="79543581" w14:textId="328C5E21" w:rsidR="00914F45" w:rsidRDefault="00914F45">
      <w:pPr>
        <w:rPr>
          <w:rFonts w:eastAsia="Calibri"/>
          <w:b/>
          <w:i/>
          <w:sz w:val="22"/>
          <w:szCs w:val="22"/>
          <w:lang w:eastAsia="en-US"/>
        </w:rPr>
      </w:pPr>
    </w:p>
    <w:p w14:paraId="4E40D082" w14:textId="52A0DFDD" w:rsidR="005A4517" w:rsidRPr="00E91F85" w:rsidRDefault="005A4517" w:rsidP="005A4517">
      <w:pPr>
        <w:rPr>
          <w:rFonts w:ascii="Times New Roman" w:eastAsia="Calibri" w:hAnsi="Times New Roman" w:cs="Times New Roman"/>
          <w:b/>
          <w:iCs/>
          <w:sz w:val="18"/>
          <w:lang w:eastAsia="en-US"/>
        </w:rPr>
      </w:pPr>
      <w:r w:rsidRPr="00E91F85">
        <w:rPr>
          <w:rFonts w:eastAsia="Calibri"/>
          <w:b/>
          <w:szCs w:val="22"/>
          <w:lang w:eastAsia="en-US"/>
        </w:rPr>
        <w:t>Meta SPC</w:t>
      </w:r>
      <w:r w:rsidR="00B62592" w:rsidRPr="00E91F85">
        <w:rPr>
          <w:rFonts w:eastAsia="Calibri"/>
          <w:b/>
          <w:szCs w:val="22"/>
          <w:lang w:eastAsia="en-US"/>
        </w:rPr>
        <w:t xml:space="preserve"> 9-10-11-13</w:t>
      </w:r>
    </w:p>
    <w:p w14:paraId="278BDBDA" w14:textId="77777777" w:rsidR="005A4517" w:rsidRPr="00B27CB1" w:rsidRDefault="005A4517" w:rsidP="005A4517">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5A4517" w:rsidRPr="00B27CB1" w14:paraId="6BA313AB" w14:textId="77777777" w:rsidTr="00B62592">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B7DFEC1" w14:textId="77777777" w:rsidR="005A4517" w:rsidRPr="00B27CB1" w:rsidRDefault="005A4517" w:rsidP="00B62592">
            <w:pPr>
              <w:spacing w:line="260" w:lineRule="atLeast"/>
            </w:pPr>
            <w:r w:rsidRPr="00B27CB1">
              <w:rPr>
                <w:rFonts w:eastAsia="Calibri"/>
                <w:b/>
                <w:bCs/>
                <w:lang w:eastAsia="en-US"/>
              </w:rPr>
              <w:t>Conclusion used in Risk Assessment – Skin sensitisation</w:t>
            </w:r>
          </w:p>
        </w:tc>
      </w:tr>
      <w:tr w:rsidR="005A4517" w:rsidRPr="00B27CB1" w14:paraId="6F863C1E" w14:textId="77777777" w:rsidTr="00B62592">
        <w:trPr>
          <w:trHeight w:val="298"/>
        </w:trPr>
        <w:tc>
          <w:tcPr>
            <w:tcW w:w="2380" w:type="dxa"/>
            <w:tcBorders>
              <w:top w:val="single" w:sz="6" w:space="0" w:color="000000"/>
              <w:left w:val="single" w:sz="4" w:space="0" w:color="000000"/>
              <w:bottom w:val="single" w:sz="6" w:space="0" w:color="000000"/>
            </w:tcBorders>
            <w:shd w:val="clear" w:color="auto" w:fill="auto"/>
          </w:tcPr>
          <w:p w14:paraId="6A3673FD" w14:textId="77777777" w:rsidR="005A4517" w:rsidRPr="00B27CB1" w:rsidRDefault="005A4517" w:rsidP="00B62592">
            <w:pPr>
              <w:spacing w:line="260" w:lineRule="atLeast"/>
              <w:rPr>
                <w:rFonts w:eastAsia="Calibri"/>
                <w:lang w:eastAsia="en-US"/>
              </w:rPr>
            </w:pPr>
            <w:r w:rsidRPr="00B27CB1">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60CAE44" w14:textId="77777777" w:rsidR="005A4517" w:rsidRPr="00B27CB1" w:rsidRDefault="005A4517" w:rsidP="00B62592">
            <w:pPr>
              <w:snapToGrid w:val="0"/>
              <w:spacing w:line="260" w:lineRule="atLeast"/>
              <w:rPr>
                <w:rFonts w:eastAsia="Calibri"/>
                <w:lang w:eastAsia="en-US"/>
              </w:rPr>
            </w:pPr>
            <w:r w:rsidRPr="00E31B88">
              <w:rPr>
                <w:rFonts w:eastAsia="Calibri"/>
                <w:lang w:eastAsia="en-US"/>
              </w:rPr>
              <w:t>Not sensitising to the skin</w:t>
            </w:r>
            <w:r>
              <w:rPr>
                <w:rFonts w:eastAsia="Calibri"/>
                <w:lang w:eastAsia="en-US"/>
              </w:rPr>
              <w:t>.</w:t>
            </w:r>
          </w:p>
        </w:tc>
      </w:tr>
      <w:tr w:rsidR="005A4517" w:rsidRPr="00B27CB1" w14:paraId="75FCA801" w14:textId="77777777" w:rsidTr="00B62592">
        <w:tc>
          <w:tcPr>
            <w:tcW w:w="2380" w:type="dxa"/>
            <w:tcBorders>
              <w:top w:val="single" w:sz="6" w:space="0" w:color="000000"/>
              <w:left w:val="single" w:sz="4" w:space="0" w:color="000000"/>
              <w:bottom w:val="single" w:sz="6" w:space="0" w:color="000000"/>
            </w:tcBorders>
            <w:shd w:val="clear" w:color="auto" w:fill="auto"/>
          </w:tcPr>
          <w:p w14:paraId="0BBD4DCD" w14:textId="77777777" w:rsidR="005A4517" w:rsidRPr="00B27CB1" w:rsidRDefault="005A4517" w:rsidP="00B62592">
            <w:pPr>
              <w:spacing w:line="260" w:lineRule="atLeast"/>
              <w:rPr>
                <w:rFonts w:eastAsia="Calibri"/>
                <w:lang w:eastAsia="en-US"/>
              </w:rPr>
            </w:pPr>
            <w:r w:rsidRPr="00B27CB1">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85E7189" w14:textId="77777777" w:rsidR="005A4517" w:rsidRPr="00E31B88" w:rsidRDefault="005A4517" w:rsidP="00604A5E">
            <w:pPr>
              <w:snapToGrid w:val="0"/>
              <w:spacing w:line="260" w:lineRule="atLeast"/>
              <w:jc w:val="both"/>
              <w:rPr>
                <w:rFonts w:eastAsia="Calibri"/>
                <w:lang w:eastAsia="en-US"/>
              </w:rPr>
            </w:pPr>
            <w:r w:rsidRPr="00E31B88">
              <w:rPr>
                <w:rFonts w:eastAsia="Calibri"/>
                <w:lang w:eastAsia="en-US"/>
              </w:rPr>
              <w:t xml:space="preserve">No </w:t>
            </w:r>
            <w:r>
              <w:rPr>
                <w:rFonts w:eastAsia="Calibri"/>
                <w:lang w:eastAsia="en-US"/>
              </w:rPr>
              <w:t>study</w:t>
            </w:r>
            <w:r w:rsidRPr="00E31B88">
              <w:rPr>
                <w:rFonts w:eastAsia="Calibri"/>
                <w:lang w:eastAsia="en-US"/>
              </w:rPr>
              <w:t xml:space="preserve"> on skin sensitisation was performed. Therefore, the classification is determined according to the CLP Regulation. </w:t>
            </w:r>
          </w:p>
          <w:p w14:paraId="5A367A39" w14:textId="77777777" w:rsidR="005A4517" w:rsidRDefault="005A4517" w:rsidP="00E91F85">
            <w:pPr>
              <w:snapToGrid w:val="0"/>
              <w:spacing w:line="260" w:lineRule="atLeast"/>
              <w:jc w:val="both"/>
              <w:rPr>
                <w:rFonts w:eastAsia="Calibri"/>
                <w:lang w:eastAsia="en-US"/>
              </w:rPr>
            </w:pPr>
            <w:r w:rsidRPr="00E31B88">
              <w:rPr>
                <w:rFonts w:eastAsia="Calibri"/>
                <w:lang w:eastAsia="en-US"/>
              </w:rPr>
              <w:t>No classification for skin sensitisation is required.</w:t>
            </w:r>
          </w:p>
          <w:p w14:paraId="76FBB472" w14:textId="77777777" w:rsidR="005A4517" w:rsidRDefault="005A4517" w:rsidP="00E91F85">
            <w:pPr>
              <w:snapToGrid w:val="0"/>
              <w:spacing w:line="260" w:lineRule="atLeast"/>
              <w:jc w:val="both"/>
              <w:rPr>
                <w:rFonts w:eastAsia="Calibri"/>
                <w:lang w:eastAsia="en-US"/>
              </w:rPr>
            </w:pPr>
          </w:p>
          <w:p w14:paraId="7CA16895" w14:textId="3ACD2CF2" w:rsidR="005A4517" w:rsidRDefault="005A4517" w:rsidP="00E91F85">
            <w:pPr>
              <w:snapToGrid w:val="0"/>
              <w:spacing w:line="260" w:lineRule="atLeast"/>
              <w:jc w:val="both"/>
              <w:rPr>
                <w:rFonts w:eastAsia="Calibri"/>
                <w:lang w:eastAsia="en-US"/>
              </w:rPr>
            </w:pPr>
            <w:r>
              <w:rPr>
                <w:rFonts w:eastAsia="Calibri"/>
                <w:lang w:eastAsia="en-US"/>
              </w:rPr>
              <w:t xml:space="preserve">However, several ingredients classified as sensitizing </w:t>
            </w:r>
            <w:r w:rsidR="00BF7E3E">
              <w:rPr>
                <w:rFonts w:eastAsia="Calibri"/>
                <w:lang w:eastAsia="en-US"/>
              </w:rPr>
              <w:t>(Skin Sens. 1/1B or Skin Sens 1A) are</w:t>
            </w:r>
            <w:r>
              <w:rPr>
                <w:rFonts w:eastAsia="Calibri"/>
                <w:lang w:eastAsia="en-US"/>
              </w:rPr>
              <w:t xml:space="preserve"> present </w:t>
            </w:r>
            <w:r w:rsidR="003949ED">
              <w:rPr>
                <w:rFonts w:eastAsia="Calibri"/>
                <w:lang w:eastAsia="en-US"/>
              </w:rPr>
              <w:t>at</w:t>
            </w:r>
            <w:r>
              <w:rPr>
                <w:rFonts w:eastAsia="Calibri"/>
                <w:lang w:eastAsia="en-US"/>
              </w:rPr>
              <w:t xml:space="preserve"> a concentration greater</w:t>
            </w:r>
            <w:r w:rsidR="00D575F0">
              <w:rPr>
                <w:rFonts w:eastAsia="Calibri"/>
                <w:lang w:eastAsia="en-US"/>
              </w:rPr>
              <w:t xml:space="preserve"> or equal to</w:t>
            </w:r>
            <w:r>
              <w:rPr>
                <w:rFonts w:eastAsia="Calibri"/>
                <w:lang w:eastAsia="en-US"/>
              </w:rPr>
              <w:t xml:space="preserve"> </w:t>
            </w:r>
            <w:r w:rsidR="00FC04E0">
              <w:rPr>
                <w:rFonts w:eastAsia="Calibri"/>
                <w:lang w:eastAsia="en-US"/>
              </w:rPr>
              <w:t>1/10 of the GCL</w:t>
            </w:r>
            <w:r w:rsidR="00BF7E3E">
              <w:rPr>
                <w:rFonts w:eastAsia="Calibri"/>
                <w:lang w:eastAsia="en-US"/>
              </w:rPr>
              <w:t xml:space="preserve"> or SCL (depending on categorisation). Therefore, EUH208 labelling for these ingredients is needed. </w:t>
            </w:r>
          </w:p>
          <w:p w14:paraId="535A649A" w14:textId="77777777" w:rsidR="00A67A55" w:rsidRPr="007A4DA8" w:rsidRDefault="00A67A55" w:rsidP="00A67A55">
            <w:pPr>
              <w:pStyle w:val="Corpsdetexte"/>
              <w:rPr>
                <w:lang w:val="en-US"/>
              </w:rPr>
            </w:pPr>
          </w:p>
          <w:p w14:paraId="31466E27" w14:textId="2292D209" w:rsidR="00BF7E3E" w:rsidRPr="00E91F85" w:rsidRDefault="00A67A55" w:rsidP="00E91F85">
            <w:pPr>
              <w:pStyle w:val="Corpsdetexte"/>
              <w:rPr>
                <w:rFonts w:ascii="Times New Roman" w:eastAsia="Calibri" w:hAnsi="Times New Roman" w:cs="Times New Roman"/>
                <w:i/>
                <w:iCs/>
                <w:lang w:eastAsia="en-US"/>
              </w:rPr>
            </w:pPr>
            <w:r w:rsidRPr="007A4DA8">
              <w:rPr>
                <w:lang w:val="en-US"/>
              </w:rPr>
              <w:t>For more details, please see confidential annex.</w:t>
            </w:r>
            <w:r w:rsidRPr="00B27CB1" w:rsidDel="0094171C">
              <w:rPr>
                <w:rFonts w:ascii="Times New Roman" w:eastAsia="Calibri" w:hAnsi="Times New Roman" w:cs="Times New Roman"/>
                <w:i/>
                <w:lang w:eastAsia="en-US"/>
              </w:rPr>
              <w:t xml:space="preserve"> </w:t>
            </w:r>
          </w:p>
        </w:tc>
      </w:tr>
      <w:tr w:rsidR="005A4517" w:rsidRPr="00B27CB1" w14:paraId="2901F9FC" w14:textId="77777777" w:rsidTr="00B62592">
        <w:tc>
          <w:tcPr>
            <w:tcW w:w="2380" w:type="dxa"/>
            <w:tcBorders>
              <w:top w:val="single" w:sz="6" w:space="0" w:color="000000"/>
              <w:left w:val="single" w:sz="4" w:space="0" w:color="000000"/>
              <w:bottom w:val="single" w:sz="6" w:space="0" w:color="000000"/>
            </w:tcBorders>
            <w:shd w:val="clear" w:color="auto" w:fill="auto"/>
          </w:tcPr>
          <w:p w14:paraId="78C62665" w14:textId="77777777" w:rsidR="005A4517" w:rsidRPr="00B27CB1" w:rsidRDefault="005A4517" w:rsidP="00B62592">
            <w:pPr>
              <w:spacing w:line="260" w:lineRule="atLeast"/>
              <w:rPr>
                <w:rFonts w:eastAsia="Calibri"/>
                <w:lang w:eastAsia="en-US"/>
              </w:rPr>
            </w:pPr>
            <w:r w:rsidRPr="00B27CB1">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97D8825" w14:textId="060F2A5F" w:rsidR="00FC04E0" w:rsidRDefault="000A4B02" w:rsidP="00B62592">
            <w:pPr>
              <w:spacing w:line="260" w:lineRule="atLeast"/>
              <w:rPr>
                <w:rFonts w:eastAsia="Calibri"/>
                <w:lang w:eastAsia="en-US"/>
              </w:rPr>
            </w:pPr>
            <w:r>
              <w:rPr>
                <w:rFonts w:eastAsia="Calibri"/>
                <w:lang w:eastAsia="en-US"/>
              </w:rPr>
              <w:t>Not classified.</w:t>
            </w:r>
          </w:p>
          <w:p w14:paraId="1909D375" w14:textId="7729B23B" w:rsidR="005A4517" w:rsidRPr="00B27CB1" w:rsidRDefault="00FC04E0" w:rsidP="00B62592">
            <w:pPr>
              <w:spacing w:line="260" w:lineRule="atLeast"/>
            </w:pPr>
            <w:r>
              <w:rPr>
                <w:rFonts w:eastAsia="Calibri"/>
                <w:lang w:eastAsia="en-US"/>
              </w:rPr>
              <w:t xml:space="preserve">Additional labelling information </w:t>
            </w:r>
            <w:r w:rsidR="005A4517">
              <w:rPr>
                <w:rFonts w:eastAsia="Calibri"/>
                <w:lang w:eastAsia="en-US"/>
              </w:rPr>
              <w:t>EUH208</w:t>
            </w:r>
            <w:r>
              <w:rPr>
                <w:rFonts w:eastAsia="Calibri"/>
                <w:lang w:eastAsia="en-US"/>
              </w:rPr>
              <w:t xml:space="preserve"> required.</w:t>
            </w:r>
          </w:p>
        </w:tc>
      </w:tr>
    </w:tbl>
    <w:p w14:paraId="45810E86" w14:textId="77777777" w:rsidR="005A4517" w:rsidRPr="00B27CB1" w:rsidRDefault="005A4517">
      <w:pPr>
        <w:spacing w:line="260" w:lineRule="atLeast"/>
        <w:rPr>
          <w:rFonts w:eastAsia="Calibri"/>
          <w:lang w:eastAsia="en-US"/>
        </w:rPr>
      </w:pPr>
    </w:p>
    <w:p w14:paraId="16981D00" w14:textId="77777777" w:rsidR="00966DB2" w:rsidRPr="00E91F85" w:rsidRDefault="00966DB2">
      <w:pPr>
        <w:spacing w:line="260" w:lineRule="atLeast"/>
        <w:rPr>
          <w:rFonts w:eastAsia="Calibri" w:cs="Times New Roman"/>
          <w:b/>
          <w:iCs/>
          <w:sz w:val="18"/>
          <w:lang w:eastAsia="en-US"/>
        </w:rPr>
      </w:pPr>
      <w:r w:rsidRPr="00E91F85">
        <w:rPr>
          <w:rFonts w:eastAsia="Calibri"/>
          <w:b/>
          <w:szCs w:val="22"/>
          <w:lang w:eastAsia="en-US"/>
        </w:rPr>
        <w:t>Meta SPC</w:t>
      </w:r>
      <w:r w:rsidRPr="00E91F85" w:rsidDel="00E85188">
        <w:rPr>
          <w:rFonts w:eastAsia="Calibri" w:cs="Times New Roman"/>
          <w:b/>
          <w:iCs/>
          <w:sz w:val="18"/>
          <w:lang w:eastAsia="en-US"/>
        </w:rPr>
        <w:t xml:space="preserve"> </w:t>
      </w:r>
      <w:r w:rsidR="005A4517" w:rsidRPr="00E91F85">
        <w:rPr>
          <w:rFonts w:eastAsia="Calibri" w:cs="Times New Roman"/>
          <w:b/>
          <w:iCs/>
          <w:lang w:eastAsia="en-US"/>
        </w:rPr>
        <w:t>1-2-3</w:t>
      </w:r>
      <w:r w:rsidR="00B62592" w:rsidRPr="00E91F85">
        <w:rPr>
          <w:rFonts w:eastAsia="Calibri" w:cs="Times New Roman"/>
          <w:b/>
          <w:iCs/>
          <w:lang w:eastAsia="en-US"/>
        </w:rPr>
        <w:t>-4-6-7-8-12</w:t>
      </w:r>
    </w:p>
    <w:p w14:paraId="52EE6DBB" w14:textId="77777777" w:rsidR="00966DB2" w:rsidRDefault="00966DB2">
      <w:pPr>
        <w:spacing w:line="260" w:lineRule="atLeast"/>
        <w:rPr>
          <w:rFonts w:eastAsia="Calibri" w:cs="Times New Roman"/>
          <w:i/>
          <w:iCs/>
          <w:u w:val="single"/>
          <w:lang w:eastAsia="en-US"/>
        </w:rPr>
      </w:pPr>
    </w:p>
    <w:tbl>
      <w:tblPr>
        <w:tblW w:w="0" w:type="auto"/>
        <w:tblInd w:w="-9" w:type="dxa"/>
        <w:tblLayout w:type="fixed"/>
        <w:tblLook w:val="0000" w:firstRow="0" w:lastRow="0" w:firstColumn="0" w:lastColumn="0" w:noHBand="0" w:noVBand="0"/>
      </w:tblPr>
      <w:tblGrid>
        <w:gridCol w:w="2380"/>
        <w:gridCol w:w="6961"/>
      </w:tblGrid>
      <w:tr w:rsidR="008A47C6" w:rsidRPr="00B27CB1" w14:paraId="4F6CEF8F" w14:textId="77777777" w:rsidTr="00B62592">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40BB009" w14:textId="77777777" w:rsidR="008A47C6" w:rsidRPr="00B27CB1" w:rsidRDefault="008A47C6" w:rsidP="00B62592">
            <w:pPr>
              <w:spacing w:line="260" w:lineRule="atLeast"/>
            </w:pPr>
            <w:r w:rsidRPr="00B27CB1">
              <w:rPr>
                <w:rFonts w:eastAsia="Calibri"/>
                <w:b/>
                <w:bCs/>
                <w:lang w:eastAsia="en-US"/>
              </w:rPr>
              <w:t>Conclusion used in Risk Assessment – Skin sensitisation</w:t>
            </w:r>
          </w:p>
        </w:tc>
      </w:tr>
      <w:tr w:rsidR="008A47C6" w:rsidRPr="00B27CB1" w14:paraId="09B93FA6" w14:textId="77777777" w:rsidTr="00B62592">
        <w:trPr>
          <w:trHeight w:val="298"/>
        </w:trPr>
        <w:tc>
          <w:tcPr>
            <w:tcW w:w="2380" w:type="dxa"/>
            <w:tcBorders>
              <w:top w:val="single" w:sz="6" w:space="0" w:color="000000"/>
              <w:left w:val="single" w:sz="4" w:space="0" w:color="000000"/>
              <w:bottom w:val="single" w:sz="6" w:space="0" w:color="000000"/>
            </w:tcBorders>
            <w:shd w:val="clear" w:color="auto" w:fill="auto"/>
          </w:tcPr>
          <w:p w14:paraId="212F13D2" w14:textId="77777777" w:rsidR="008A47C6" w:rsidRPr="00B27CB1" w:rsidRDefault="008A47C6" w:rsidP="00B62592">
            <w:pPr>
              <w:spacing w:line="260" w:lineRule="atLeast"/>
              <w:rPr>
                <w:rFonts w:eastAsia="Calibri"/>
                <w:lang w:eastAsia="en-US"/>
              </w:rPr>
            </w:pPr>
            <w:r w:rsidRPr="00B27CB1">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6183515" w14:textId="77777777" w:rsidR="008A47C6" w:rsidRPr="00B27CB1" w:rsidRDefault="008A47C6" w:rsidP="00B62592">
            <w:pPr>
              <w:snapToGrid w:val="0"/>
              <w:spacing w:line="260" w:lineRule="atLeast"/>
              <w:rPr>
                <w:rFonts w:eastAsia="Calibri"/>
                <w:lang w:eastAsia="en-US"/>
              </w:rPr>
            </w:pPr>
            <w:r w:rsidRPr="00E31B88">
              <w:rPr>
                <w:rFonts w:eastAsia="Calibri"/>
                <w:lang w:eastAsia="en-US"/>
              </w:rPr>
              <w:t>Not sensitising to the skin</w:t>
            </w:r>
            <w:r>
              <w:rPr>
                <w:rFonts w:eastAsia="Calibri"/>
                <w:lang w:eastAsia="en-US"/>
              </w:rPr>
              <w:t>.</w:t>
            </w:r>
          </w:p>
        </w:tc>
      </w:tr>
      <w:tr w:rsidR="008A47C6" w:rsidRPr="00B27CB1" w14:paraId="5B98F7AE" w14:textId="77777777" w:rsidTr="00B62592">
        <w:tc>
          <w:tcPr>
            <w:tcW w:w="2380" w:type="dxa"/>
            <w:tcBorders>
              <w:top w:val="single" w:sz="6" w:space="0" w:color="000000"/>
              <w:left w:val="single" w:sz="4" w:space="0" w:color="000000"/>
              <w:bottom w:val="single" w:sz="6" w:space="0" w:color="000000"/>
            </w:tcBorders>
            <w:shd w:val="clear" w:color="auto" w:fill="auto"/>
          </w:tcPr>
          <w:p w14:paraId="22CB6EB1" w14:textId="77777777" w:rsidR="008A47C6" w:rsidRPr="00B27CB1" w:rsidRDefault="008A47C6" w:rsidP="00B62592">
            <w:pPr>
              <w:spacing w:line="260" w:lineRule="atLeast"/>
              <w:rPr>
                <w:rFonts w:eastAsia="Calibri"/>
                <w:lang w:eastAsia="en-US"/>
              </w:rPr>
            </w:pPr>
            <w:r w:rsidRPr="00B27CB1">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162364B" w14:textId="507A5239" w:rsidR="008A47C6" w:rsidRDefault="008A47C6" w:rsidP="00B62592">
            <w:pPr>
              <w:snapToGrid w:val="0"/>
              <w:spacing w:line="260" w:lineRule="atLeast"/>
              <w:jc w:val="both"/>
              <w:rPr>
                <w:rFonts w:eastAsia="Calibri"/>
                <w:lang w:eastAsia="en-US"/>
              </w:rPr>
            </w:pPr>
            <w:r w:rsidRPr="00E31B88">
              <w:rPr>
                <w:rFonts w:eastAsia="Calibri"/>
                <w:lang w:eastAsia="en-US"/>
              </w:rPr>
              <w:t xml:space="preserve">No </w:t>
            </w:r>
            <w:r>
              <w:rPr>
                <w:rFonts w:eastAsia="Calibri"/>
                <w:lang w:eastAsia="en-US"/>
              </w:rPr>
              <w:t>study</w:t>
            </w:r>
            <w:r w:rsidRPr="00E31B88">
              <w:rPr>
                <w:rFonts w:eastAsia="Calibri"/>
                <w:lang w:eastAsia="en-US"/>
              </w:rPr>
              <w:t xml:space="preserve"> on skin sensitisation was performed. Therefore, the classification is determined </w:t>
            </w:r>
            <w:r w:rsidR="005A4517">
              <w:rPr>
                <w:rFonts w:eastAsia="Calibri"/>
                <w:lang w:eastAsia="en-US"/>
              </w:rPr>
              <w:t xml:space="preserve">by calculation </w:t>
            </w:r>
            <w:r w:rsidRPr="00E31B88">
              <w:rPr>
                <w:rFonts w:eastAsia="Calibri"/>
                <w:lang w:eastAsia="en-US"/>
              </w:rPr>
              <w:t>according to the CLP Regulation</w:t>
            </w:r>
            <w:r w:rsidR="005A4517">
              <w:rPr>
                <w:rFonts w:eastAsia="Calibri"/>
                <w:lang w:eastAsia="en-US"/>
              </w:rPr>
              <w:t xml:space="preserve"> (</w:t>
            </w:r>
            <w:r w:rsidR="005A4517" w:rsidRPr="005A4517">
              <w:rPr>
                <w:rFonts w:eastAsia="Calibri"/>
                <w:lang w:eastAsia="en-US"/>
              </w:rPr>
              <w:t>please see confidential annex</w:t>
            </w:r>
            <w:r w:rsidR="005A4517">
              <w:rPr>
                <w:rFonts w:eastAsia="Calibri"/>
                <w:lang w:eastAsia="en-US"/>
              </w:rPr>
              <w:t>).</w:t>
            </w:r>
          </w:p>
          <w:p w14:paraId="7FB12AF2" w14:textId="77777777" w:rsidR="005A4517" w:rsidRPr="00E31B88" w:rsidRDefault="005A4517" w:rsidP="00B62592">
            <w:pPr>
              <w:snapToGrid w:val="0"/>
              <w:spacing w:line="260" w:lineRule="atLeast"/>
              <w:jc w:val="both"/>
              <w:rPr>
                <w:rFonts w:eastAsia="Calibri"/>
                <w:lang w:eastAsia="en-US"/>
              </w:rPr>
            </w:pPr>
          </w:p>
          <w:p w14:paraId="5FC9CBB6" w14:textId="5AC314C0" w:rsidR="008A47C6" w:rsidRPr="00B27CB1" w:rsidRDefault="008A47C6" w:rsidP="00B62592">
            <w:pPr>
              <w:snapToGrid w:val="0"/>
              <w:spacing w:line="260" w:lineRule="atLeast"/>
              <w:rPr>
                <w:rFonts w:eastAsia="Calibri"/>
                <w:lang w:eastAsia="en-US"/>
              </w:rPr>
            </w:pPr>
            <w:r w:rsidRPr="00E31B88">
              <w:rPr>
                <w:rFonts w:eastAsia="Calibri"/>
                <w:lang w:eastAsia="en-US"/>
              </w:rPr>
              <w:t>No classification for skin sensitisation</w:t>
            </w:r>
            <w:r w:rsidR="000A4B02">
              <w:rPr>
                <w:rFonts w:eastAsia="Calibri"/>
                <w:lang w:eastAsia="en-US"/>
              </w:rPr>
              <w:t xml:space="preserve"> or additional labelling information</w:t>
            </w:r>
            <w:r w:rsidRPr="00E31B88">
              <w:rPr>
                <w:rFonts w:eastAsia="Calibri"/>
                <w:lang w:eastAsia="en-US"/>
              </w:rPr>
              <w:t xml:space="preserve"> is required.</w:t>
            </w:r>
          </w:p>
        </w:tc>
      </w:tr>
      <w:tr w:rsidR="008A47C6" w:rsidRPr="00B27CB1" w14:paraId="0EA7614D" w14:textId="77777777" w:rsidTr="00B62592">
        <w:tc>
          <w:tcPr>
            <w:tcW w:w="2380" w:type="dxa"/>
            <w:tcBorders>
              <w:top w:val="single" w:sz="6" w:space="0" w:color="000000"/>
              <w:left w:val="single" w:sz="4" w:space="0" w:color="000000"/>
              <w:bottom w:val="single" w:sz="6" w:space="0" w:color="000000"/>
            </w:tcBorders>
            <w:shd w:val="clear" w:color="auto" w:fill="auto"/>
          </w:tcPr>
          <w:p w14:paraId="1662C400" w14:textId="77777777" w:rsidR="008A47C6" w:rsidRPr="00B27CB1" w:rsidRDefault="008A47C6" w:rsidP="00B62592">
            <w:pPr>
              <w:spacing w:line="260" w:lineRule="atLeast"/>
              <w:rPr>
                <w:rFonts w:eastAsia="Calibri"/>
                <w:lang w:eastAsia="en-US"/>
              </w:rPr>
            </w:pPr>
            <w:r w:rsidRPr="00B27CB1">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605FC27" w14:textId="1358EF21" w:rsidR="008A47C6" w:rsidRPr="00B27CB1" w:rsidRDefault="005A4517" w:rsidP="00B62592">
            <w:pPr>
              <w:spacing w:line="260" w:lineRule="atLeast"/>
            </w:pPr>
            <w:r>
              <w:rPr>
                <w:rFonts w:eastAsia="Calibri"/>
                <w:lang w:eastAsia="en-US"/>
              </w:rPr>
              <w:t>Not classified</w:t>
            </w:r>
            <w:r w:rsidR="008A47C6" w:rsidRPr="00E31B88" w:rsidDel="00E31B88">
              <w:rPr>
                <w:rFonts w:eastAsia="Calibri"/>
                <w:lang w:eastAsia="en-US"/>
              </w:rPr>
              <w:t xml:space="preserve"> </w:t>
            </w:r>
          </w:p>
        </w:tc>
      </w:tr>
    </w:tbl>
    <w:p w14:paraId="3B5050B8" w14:textId="434B3D39" w:rsidR="009D0C0B" w:rsidRPr="00B27CB1" w:rsidRDefault="008A47C6">
      <w:pPr>
        <w:spacing w:line="260" w:lineRule="atLeast"/>
        <w:rPr>
          <w:rFonts w:ascii="Times New Roman" w:eastAsia="Calibri" w:hAnsi="Times New Roman" w:cs="Times New Roman"/>
          <w:i/>
          <w:iCs/>
          <w:lang w:eastAsia="en-US"/>
        </w:rPr>
      </w:pPr>
      <w:r w:rsidRPr="00B27CB1" w:rsidDel="00E85188">
        <w:rPr>
          <w:rFonts w:ascii="Times New Roman" w:eastAsia="Calibri" w:hAnsi="Times New Roman" w:cs="Times New Roman"/>
          <w:i/>
          <w:iCs/>
          <w:lang w:eastAsia="en-US"/>
        </w:rPr>
        <w:t xml:space="preserve"> </w:t>
      </w:r>
    </w:p>
    <w:p w14:paraId="13358527" w14:textId="77777777" w:rsidR="009D0C0B" w:rsidRPr="00B27CB1" w:rsidRDefault="00FA480B">
      <w:pPr>
        <w:pageBreakBefore/>
        <w:rPr>
          <w:rFonts w:ascii="Times New Roman" w:eastAsia="Calibri" w:hAnsi="Times New Roman" w:cs="Times New Roman"/>
          <w:i/>
          <w:iCs/>
          <w:lang w:eastAsia="en-US"/>
        </w:rPr>
      </w:pPr>
      <w:r w:rsidRPr="00B27CB1">
        <w:rPr>
          <w:rFonts w:eastAsia="Calibri"/>
          <w:b/>
          <w:i/>
          <w:sz w:val="22"/>
          <w:szCs w:val="22"/>
          <w:lang w:eastAsia="en-US"/>
        </w:rPr>
        <w:lastRenderedPageBreak/>
        <w:t>Respiratory sensitization (ADS)</w:t>
      </w:r>
    </w:p>
    <w:p w14:paraId="4C02509D" w14:textId="77777777" w:rsidR="001616B2" w:rsidRDefault="001616B2">
      <w:pPr>
        <w:spacing w:line="260" w:lineRule="atLeast"/>
        <w:rPr>
          <w:rFonts w:ascii="Times New Roman" w:eastAsia="Calibri" w:hAnsi="Times New Roman" w:cs="Times New Roman"/>
          <w:i/>
          <w:iCs/>
          <w:lang w:eastAsia="en-US"/>
        </w:rPr>
      </w:pPr>
    </w:p>
    <w:p w14:paraId="6188D91D" w14:textId="77777777" w:rsidR="001616B2" w:rsidRPr="00E91F85" w:rsidRDefault="001616B2">
      <w:pPr>
        <w:spacing w:line="260" w:lineRule="atLeast"/>
        <w:rPr>
          <w:rFonts w:eastAsia="Calibri" w:cs="Times New Roman"/>
          <w:b/>
          <w:iCs/>
          <w:lang w:eastAsia="en-US"/>
        </w:rPr>
      </w:pPr>
      <w:r w:rsidRPr="00E91F85">
        <w:rPr>
          <w:rFonts w:eastAsia="Calibri" w:cs="Times New Roman"/>
          <w:b/>
          <w:iCs/>
          <w:lang w:eastAsia="en-US"/>
        </w:rPr>
        <w:t xml:space="preserve">All meta SPC </w:t>
      </w:r>
    </w:p>
    <w:p w14:paraId="617E1CFD" w14:textId="77777777" w:rsidR="009D0C0B" w:rsidRPr="00B27CB1"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rsidRPr="00B27CB1" w14:paraId="1241D32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E2AFD3D" w14:textId="77777777" w:rsidR="009D0C0B" w:rsidRPr="00B27CB1" w:rsidRDefault="00FA480B">
            <w:pPr>
              <w:spacing w:line="260" w:lineRule="atLeast"/>
            </w:pPr>
            <w:r w:rsidRPr="00B27CB1">
              <w:rPr>
                <w:rFonts w:eastAsia="Calibri"/>
                <w:b/>
                <w:bCs/>
                <w:lang w:eastAsia="en-US"/>
              </w:rPr>
              <w:t>Conclusion</w:t>
            </w:r>
            <w:r w:rsidRPr="00B27CB1">
              <w:rPr>
                <w:rFonts w:eastAsia="Calibri"/>
                <w:lang w:eastAsia="en-US"/>
              </w:rPr>
              <w:t xml:space="preserve"> </w:t>
            </w:r>
            <w:r w:rsidRPr="00B27CB1">
              <w:rPr>
                <w:rFonts w:eastAsia="Calibri"/>
                <w:b/>
                <w:bCs/>
                <w:lang w:eastAsia="en-US"/>
              </w:rPr>
              <w:t>used in Risk Assessment – Respiratory sensitisation</w:t>
            </w:r>
          </w:p>
        </w:tc>
      </w:tr>
      <w:tr w:rsidR="0003272E" w:rsidRPr="00B27CB1" w14:paraId="28EFB8DF"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024DFEF3" w14:textId="77777777" w:rsidR="0003272E" w:rsidRPr="00B27CB1" w:rsidRDefault="0003272E" w:rsidP="0003272E">
            <w:pPr>
              <w:spacing w:line="260" w:lineRule="atLeast"/>
              <w:rPr>
                <w:rFonts w:eastAsia="Calibri"/>
                <w:lang w:eastAsia="en-US"/>
              </w:rPr>
            </w:pPr>
            <w:r w:rsidRPr="00B27CB1">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53A4EDA" w14:textId="2E8F93FA" w:rsidR="0003272E" w:rsidRPr="00B27CB1" w:rsidRDefault="0003272E" w:rsidP="0003272E">
            <w:pPr>
              <w:snapToGrid w:val="0"/>
              <w:spacing w:line="260" w:lineRule="atLeast"/>
              <w:rPr>
                <w:rFonts w:eastAsia="Calibri"/>
                <w:lang w:eastAsia="en-US"/>
              </w:rPr>
            </w:pPr>
            <w:r>
              <w:rPr>
                <w:rFonts w:eastAsia="Calibri"/>
                <w:lang w:eastAsia="en-US"/>
              </w:rPr>
              <w:t>Not sensitizing to the respiratory tract</w:t>
            </w:r>
          </w:p>
        </w:tc>
      </w:tr>
      <w:tr w:rsidR="0003272E" w:rsidRPr="00B27CB1" w14:paraId="4B20397F" w14:textId="77777777">
        <w:tc>
          <w:tcPr>
            <w:tcW w:w="2380" w:type="dxa"/>
            <w:tcBorders>
              <w:top w:val="single" w:sz="6" w:space="0" w:color="000000"/>
              <w:left w:val="single" w:sz="4" w:space="0" w:color="000000"/>
              <w:bottom w:val="single" w:sz="6" w:space="0" w:color="000000"/>
            </w:tcBorders>
            <w:shd w:val="clear" w:color="auto" w:fill="auto"/>
          </w:tcPr>
          <w:p w14:paraId="0F940BE9" w14:textId="77777777" w:rsidR="0003272E" w:rsidRPr="00B27CB1" w:rsidRDefault="0003272E" w:rsidP="0003272E">
            <w:pPr>
              <w:spacing w:line="260" w:lineRule="atLeast"/>
              <w:rPr>
                <w:rFonts w:eastAsia="Calibri"/>
                <w:lang w:eastAsia="en-US"/>
              </w:rPr>
            </w:pPr>
            <w:r w:rsidRPr="00B27CB1">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99AA1F" w14:textId="67FEA41F" w:rsidR="0003272E" w:rsidRPr="00B27CB1" w:rsidRDefault="0003272E" w:rsidP="0003272E">
            <w:pPr>
              <w:snapToGrid w:val="0"/>
              <w:spacing w:line="260" w:lineRule="atLeast"/>
              <w:rPr>
                <w:rFonts w:eastAsia="Calibri"/>
                <w:lang w:eastAsia="en-US"/>
              </w:rPr>
            </w:pPr>
            <w:r w:rsidRPr="00E61C32">
              <w:rPr>
                <w:lang w:eastAsia="en-US"/>
              </w:rPr>
              <w:t xml:space="preserve">Regarding the content of a.s and co-formulants, and according to the classification rules laid down in the CLP regulation, </w:t>
            </w:r>
            <w:r w:rsidRPr="00A73DAD">
              <w:rPr>
                <w:lang w:eastAsia="en-US"/>
              </w:rPr>
              <w:t>no classification is required</w:t>
            </w:r>
            <w:r w:rsidRPr="00E61C32">
              <w:rPr>
                <w:lang w:eastAsia="en-US"/>
              </w:rPr>
              <w:t xml:space="preserve"> for </w:t>
            </w:r>
            <w:r>
              <w:rPr>
                <w:lang w:eastAsia="en-US"/>
              </w:rPr>
              <w:t>respiratory sensitisation</w:t>
            </w:r>
            <w:r w:rsidRPr="00E61C32">
              <w:rPr>
                <w:lang w:eastAsia="en-US"/>
              </w:rPr>
              <w:t>.</w:t>
            </w:r>
          </w:p>
        </w:tc>
      </w:tr>
      <w:tr w:rsidR="0003272E" w:rsidRPr="00B27CB1" w14:paraId="1B33CF96" w14:textId="77777777">
        <w:tc>
          <w:tcPr>
            <w:tcW w:w="2380" w:type="dxa"/>
            <w:tcBorders>
              <w:top w:val="single" w:sz="6" w:space="0" w:color="000000"/>
              <w:left w:val="single" w:sz="4" w:space="0" w:color="000000"/>
              <w:bottom w:val="single" w:sz="6" w:space="0" w:color="000000"/>
            </w:tcBorders>
            <w:shd w:val="clear" w:color="auto" w:fill="auto"/>
          </w:tcPr>
          <w:p w14:paraId="2E4A9135" w14:textId="315F29EA" w:rsidR="0003272E" w:rsidRPr="00B27CB1" w:rsidRDefault="0003272E" w:rsidP="0003272E">
            <w:pPr>
              <w:spacing w:line="260" w:lineRule="atLeast"/>
              <w:rPr>
                <w:rFonts w:eastAsia="Calibri"/>
                <w:lang w:eastAsia="en-US"/>
              </w:rPr>
            </w:pPr>
            <w:r w:rsidRPr="00B27CB1">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DB17072" w14:textId="335EF43D" w:rsidR="0003272E" w:rsidRPr="00B27CB1" w:rsidRDefault="0003272E" w:rsidP="0003272E">
            <w:pPr>
              <w:spacing w:line="260" w:lineRule="atLeast"/>
            </w:pPr>
            <w:r>
              <w:rPr>
                <w:rFonts w:eastAsia="Calibri"/>
                <w:lang w:eastAsia="en-US"/>
              </w:rPr>
              <w:t>Not classified.</w:t>
            </w:r>
          </w:p>
        </w:tc>
      </w:tr>
    </w:tbl>
    <w:p w14:paraId="1A2DB736" w14:textId="77777777" w:rsidR="003213B9" w:rsidRDefault="003213B9" w:rsidP="003213B9">
      <w:pPr>
        <w:rPr>
          <w:rFonts w:eastAsia="Calibri"/>
          <w:b/>
          <w:i/>
          <w:sz w:val="22"/>
          <w:szCs w:val="22"/>
          <w:lang w:eastAsia="en-US"/>
        </w:rPr>
      </w:pPr>
    </w:p>
    <w:p w14:paraId="211EA5E7" w14:textId="77777777" w:rsidR="003213B9" w:rsidRDefault="003213B9" w:rsidP="003213B9">
      <w:pPr>
        <w:rPr>
          <w:rFonts w:eastAsia="Calibri"/>
          <w:b/>
          <w:i/>
          <w:sz w:val="22"/>
          <w:szCs w:val="22"/>
          <w:lang w:eastAsia="en-US"/>
        </w:rPr>
      </w:pPr>
    </w:p>
    <w:p w14:paraId="3F9A3829" w14:textId="0F35E1A8" w:rsidR="009D0C0B" w:rsidRPr="00B27CB1" w:rsidRDefault="00FA480B" w:rsidP="003213B9">
      <w:pPr>
        <w:rPr>
          <w:rFonts w:eastAsia="Calibri"/>
          <w:i/>
          <w:u w:val="single"/>
          <w:lang w:eastAsia="en-US"/>
        </w:rPr>
      </w:pPr>
      <w:r w:rsidRPr="00B27CB1">
        <w:rPr>
          <w:rFonts w:eastAsia="Calibri"/>
          <w:b/>
          <w:i/>
          <w:sz w:val="22"/>
          <w:szCs w:val="22"/>
          <w:lang w:eastAsia="en-US"/>
        </w:rPr>
        <w:t>Acute toxicity</w:t>
      </w:r>
    </w:p>
    <w:p w14:paraId="439C6DE3" w14:textId="77777777" w:rsidR="00DC3BC9" w:rsidRDefault="00DC3BC9">
      <w:pPr>
        <w:rPr>
          <w:rFonts w:eastAsia="Calibri"/>
          <w:i/>
          <w:u w:val="single"/>
          <w:lang w:eastAsia="en-US"/>
        </w:rPr>
      </w:pPr>
    </w:p>
    <w:p w14:paraId="0F05F03A" w14:textId="2639CE2D" w:rsidR="009D0C0B" w:rsidRPr="00B27CB1" w:rsidRDefault="00FA480B" w:rsidP="00E91F85">
      <w:pPr>
        <w:rPr>
          <w:rFonts w:ascii="Times New Roman" w:eastAsia="Calibri" w:hAnsi="Times New Roman" w:cs="Times New Roman"/>
          <w:b/>
          <w:bCs/>
          <w:i/>
          <w:iCs/>
          <w:lang w:eastAsia="en-US"/>
        </w:rPr>
      </w:pPr>
      <w:r w:rsidRPr="00B27CB1">
        <w:rPr>
          <w:rFonts w:eastAsia="Calibri"/>
          <w:i/>
          <w:u w:val="single"/>
          <w:lang w:eastAsia="en-US"/>
        </w:rPr>
        <w:t>Acute toxicity by oral route</w:t>
      </w:r>
    </w:p>
    <w:p w14:paraId="77BFC279" w14:textId="7800E25D" w:rsidR="009D0C0B" w:rsidRPr="00B27CB1" w:rsidRDefault="009D0C0B">
      <w:pPr>
        <w:spacing w:line="260" w:lineRule="atLeast"/>
        <w:rPr>
          <w:rFonts w:eastAsia="Calibri"/>
          <w:b/>
          <w:lang w:eastAsia="en-US"/>
        </w:rPr>
      </w:pPr>
    </w:p>
    <w:p w14:paraId="6D37E320" w14:textId="6F4A8523" w:rsidR="00E631AF" w:rsidRPr="00E91F85" w:rsidRDefault="00692808">
      <w:pPr>
        <w:spacing w:line="260" w:lineRule="atLeast"/>
        <w:rPr>
          <w:rFonts w:eastAsia="Calibri" w:cs="Times New Roman"/>
          <w:b/>
          <w:iCs/>
          <w:lang w:eastAsia="en-US"/>
        </w:rPr>
      </w:pPr>
      <w:r w:rsidRPr="00E91F85">
        <w:rPr>
          <w:rFonts w:eastAsia="Calibri" w:cs="Times New Roman"/>
          <w:b/>
          <w:iCs/>
          <w:lang w:eastAsia="en-US"/>
        </w:rPr>
        <w:t>M</w:t>
      </w:r>
      <w:r w:rsidR="00E631AF" w:rsidRPr="00E91F85">
        <w:rPr>
          <w:rFonts w:eastAsia="Calibri" w:cs="Times New Roman"/>
          <w:b/>
          <w:iCs/>
          <w:lang w:eastAsia="en-US"/>
        </w:rPr>
        <w:t xml:space="preserve">eta SPC </w:t>
      </w:r>
      <w:r w:rsidRPr="00E91F85">
        <w:rPr>
          <w:rFonts w:eastAsia="Calibri" w:cs="Times New Roman"/>
          <w:b/>
          <w:iCs/>
          <w:lang w:eastAsia="en-US"/>
        </w:rPr>
        <w:t>2</w:t>
      </w:r>
    </w:p>
    <w:p w14:paraId="569F0631" w14:textId="77777777" w:rsidR="009D0C0B" w:rsidRPr="00B27CB1"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rsidRPr="00B27CB1" w14:paraId="591B796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DBD7AC4" w14:textId="77777777" w:rsidR="009D0C0B" w:rsidRPr="00B27CB1" w:rsidRDefault="00FA480B">
            <w:pPr>
              <w:spacing w:line="260" w:lineRule="atLeast"/>
            </w:pPr>
            <w:r w:rsidRPr="00B27CB1">
              <w:rPr>
                <w:rFonts w:eastAsia="Calibri"/>
                <w:b/>
                <w:bCs/>
                <w:lang w:eastAsia="en-US"/>
              </w:rPr>
              <w:t>Value used in the Risk Assessment – Acute oral toxicity</w:t>
            </w:r>
          </w:p>
        </w:tc>
      </w:tr>
      <w:tr w:rsidR="00E631AF" w:rsidRPr="00B27CB1" w14:paraId="2F5AEB2B" w14:textId="77777777">
        <w:tc>
          <w:tcPr>
            <w:tcW w:w="1985" w:type="dxa"/>
            <w:tcBorders>
              <w:top w:val="single" w:sz="6" w:space="0" w:color="000000"/>
              <w:left w:val="single" w:sz="4" w:space="0" w:color="000000"/>
              <w:bottom w:val="single" w:sz="6" w:space="0" w:color="000000"/>
            </w:tcBorders>
            <w:shd w:val="clear" w:color="auto" w:fill="auto"/>
          </w:tcPr>
          <w:p w14:paraId="0E0E7510" w14:textId="77777777" w:rsidR="00E631AF" w:rsidRPr="00B27CB1" w:rsidRDefault="00E631AF" w:rsidP="00E631AF">
            <w:pPr>
              <w:spacing w:line="260" w:lineRule="atLeast"/>
              <w:rPr>
                <w:rFonts w:eastAsia="Calibri"/>
                <w:lang w:eastAsia="en-US"/>
              </w:rPr>
            </w:pPr>
            <w:r w:rsidRPr="00B27CB1">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BADA334" w14:textId="4ACF415E" w:rsidR="00E631AF" w:rsidRPr="00B27CB1" w:rsidRDefault="00E631AF" w:rsidP="00E631AF">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oral route.</w:t>
            </w:r>
          </w:p>
        </w:tc>
      </w:tr>
      <w:tr w:rsidR="00E631AF" w:rsidRPr="00B27CB1" w14:paraId="45272806" w14:textId="77777777">
        <w:tc>
          <w:tcPr>
            <w:tcW w:w="1985" w:type="dxa"/>
            <w:tcBorders>
              <w:top w:val="single" w:sz="6" w:space="0" w:color="000000"/>
              <w:left w:val="single" w:sz="4" w:space="0" w:color="000000"/>
              <w:bottom w:val="single" w:sz="6" w:space="0" w:color="000000"/>
            </w:tcBorders>
            <w:shd w:val="clear" w:color="auto" w:fill="auto"/>
          </w:tcPr>
          <w:p w14:paraId="4DFC8BF7" w14:textId="77777777" w:rsidR="00E631AF" w:rsidRPr="00B27CB1" w:rsidRDefault="00E631AF" w:rsidP="00E631AF">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C92572C" w14:textId="1F82281A" w:rsidR="00E631AF" w:rsidRPr="00B27CB1" w:rsidRDefault="00E631AF" w:rsidP="00604A5E">
            <w:pPr>
              <w:snapToGrid w:val="0"/>
              <w:spacing w:line="260" w:lineRule="atLeast"/>
              <w:rPr>
                <w:rFonts w:eastAsia="Calibri"/>
                <w:lang w:eastAsia="en-US"/>
              </w:rPr>
            </w:pPr>
            <w:r w:rsidRPr="00F63C43">
              <w:rPr>
                <w:lang w:eastAsia="en-US"/>
              </w:rPr>
              <w:t>The classification has been determined using the calculation method.</w:t>
            </w:r>
            <w:r>
              <w:rPr>
                <w:lang w:eastAsia="en-US"/>
              </w:rPr>
              <w:t xml:space="preserve"> N</w:t>
            </w:r>
            <w:r w:rsidRPr="00F66A61">
              <w:rPr>
                <w:lang w:eastAsia="en-US"/>
              </w:rPr>
              <w:t>one of the co-formulants</w:t>
            </w:r>
            <w:r>
              <w:rPr>
                <w:lang w:eastAsia="en-US"/>
              </w:rPr>
              <w:t>/ingredients</w:t>
            </w:r>
            <w:r w:rsidRPr="00F66A61">
              <w:rPr>
                <w:lang w:eastAsia="en-US"/>
              </w:rPr>
              <w:t xml:space="preserve"> classified for</w:t>
            </w:r>
            <w:r>
              <w:rPr>
                <w:lang w:eastAsia="en-US"/>
              </w:rPr>
              <w:t xml:space="preserve"> acute</w:t>
            </w:r>
            <w:r w:rsidRPr="00F66A61">
              <w:rPr>
                <w:lang w:eastAsia="en-US"/>
              </w:rPr>
              <w:t xml:space="preserve"> oral</w:t>
            </w:r>
            <w:r>
              <w:rPr>
                <w:lang w:eastAsia="en-US"/>
              </w:rPr>
              <w:t xml:space="preserve"> toxicity</w:t>
            </w:r>
            <w:r w:rsidRPr="00F66A61">
              <w:rPr>
                <w:lang w:eastAsia="en-US"/>
              </w:rPr>
              <w:t xml:space="preserve"> is present at a </w:t>
            </w:r>
            <w:r>
              <w:rPr>
                <w:lang w:eastAsia="en-US"/>
              </w:rPr>
              <w:t xml:space="preserve">relevant </w:t>
            </w:r>
            <w:r w:rsidRPr="00F66A61">
              <w:rPr>
                <w:lang w:eastAsia="en-US"/>
              </w:rPr>
              <w:t>concentration to be taken into account in the calculation.</w:t>
            </w:r>
          </w:p>
        </w:tc>
      </w:tr>
      <w:tr w:rsidR="00E631AF" w:rsidRPr="00B27CB1" w14:paraId="31A0E11C" w14:textId="77777777">
        <w:tc>
          <w:tcPr>
            <w:tcW w:w="1985" w:type="dxa"/>
            <w:tcBorders>
              <w:top w:val="single" w:sz="6" w:space="0" w:color="000000"/>
              <w:left w:val="single" w:sz="4" w:space="0" w:color="000000"/>
              <w:bottom w:val="single" w:sz="6" w:space="0" w:color="000000"/>
            </w:tcBorders>
            <w:shd w:val="clear" w:color="auto" w:fill="auto"/>
          </w:tcPr>
          <w:p w14:paraId="0A373D88" w14:textId="209A02AE" w:rsidR="00E631AF" w:rsidRPr="00B27CB1" w:rsidRDefault="00E631AF" w:rsidP="00E631AF">
            <w:pPr>
              <w:spacing w:line="260" w:lineRule="atLeast"/>
              <w:rPr>
                <w:rFonts w:eastAsia="Calibri"/>
                <w:lang w:eastAsia="en-US"/>
              </w:rPr>
            </w:pPr>
            <w:r w:rsidRPr="00B27CB1">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4404B99" w14:textId="06A7535A" w:rsidR="00E631AF" w:rsidRPr="00B27CB1" w:rsidRDefault="005C3442" w:rsidP="00E631AF">
            <w:pPr>
              <w:spacing w:line="260" w:lineRule="atLeast"/>
            </w:pPr>
            <w:r>
              <w:rPr>
                <w:lang w:eastAsia="en-US"/>
              </w:rPr>
              <w:t>Not classified</w:t>
            </w:r>
          </w:p>
        </w:tc>
      </w:tr>
    </w:tbl>
    <w:p w14:paraId="03E8AF51" w14:textId="77777777" w:rsidR="009D0C0B" w:rsidRPr="00B27CB1" w:rsidRDefault="009D0C0B">
      <w:pPr>
        <w:spacing w:line="260" w:lineRule="atLeast"/>
        <w:rPr>
          <w:rFonts w:eastAsia="Calibri"/>
          <w:lang w:eastAsia="en-US"/>
        </w:rPr>
      </w:pPr>
    </w:p>
    <w:p w14:paraId="109A5620" w14:textId="77777777" w:rsidR="009D0C0B" w:rsidRPr="00B27CB1" w:rsidRDefault="009D0C0B">
      <w:pPr>
        <w:spacing w:line="260" w:lineRule="atLeast"/>
        <w:rPr>
          <w:rFonts w:eastAsia="Calibri"/>
          <w:lang w:eastAsia="en-US"/>
        </w:rPr>
      </w:pPr>
    </w:p>
    <w:p w14:paraId="494789C1" w14:textId="3773601A" w:rsidR="00692808" w:rsidRPr="00E91F85" w:rsidRDefault="00692808" w:rsidP="00692808">
      <w:pPr>
        <w:spacing w:line="260" w:lineRule="atLeast"/>
        <w:rPr>
          <w:rFonts w:eastAsia="Calibri" w:cs="Times New Roman"/>
          <w:b/>
          <w:iCs/>
          <w:lang w:eastAsia="en-US"/>
        </w:rPr>
      </w:pPr>
      <w:r w:rsidRPr="00E91F85">
        <w:rPr>
          <w:rFonts w:eastAsia="Calibri" w:cs="Times New Roman"/>
          <w:b/>
          <w:iCs/>
          <w:lang w:eastAsia="en-US"/>
        </w:rPr>
        <w:t>Meta SPC 6</w:t>
      </w:r>
    </w:p>
    <w:p w14:paraId="587C8F99" w14:textId="77777777" w:rsidR="00692808" w:rsidRPr="00B27CB1" w:rsidRDefault="00692808" w:rsidP="00692808">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692808" w:rsidRPr="00B27CB1" w14:paraId="674D6FAC" w14:textId="77777777" w:rsidTr="000923EF">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D9DBC4B" w14:textId="77777777" w:rsidR="00692808" w:rsidRPr="00B27CB1" w:rsidRDefault="00692808" w:rsidP="000923EF">
            <w:pPr>
              <w:spacing w:line="260" w:lineRule="atLeast"/>
            </w:pPr>
            <w:r w:rsidRPr="00B27CB1">
              <w:rPr>
                <w:rFonts w:eastAsia="Calibri"/>
                <w:b/>
                <w:bCs/>
                <w:lang w:eastAsia="en-US"/>
              </w:rPr>
              <w:t>Value used in the Risk Assessment – Acute oral toxicity</w:t>
            </w:r>
          </w:p>
        </w:tc>
      </w:tr>
      <w:tr w:rsidR="00692808" w:rsidRPr="00B27CB1" w14:paraId="2D4FFD19" w14:textId="77777777" w:rsidTr="000923EF">
        <w:tc>
          <w:tcPr>
            <w:tcW w:w="1985" w:type="dxa"/>
            <w:tcBorders>
              <w:top w:val="single" w:sz="6" w:space="0" w:color="000000"/>
              <w:left w:val="single" w:sz="4" w:space="0" w:color="000000"/>
              <w:bottom w:val="single" w:sz="6" w:space="0" w:color="000000"/>
            </w:tcBorders>
            <w:shd w:val="clear" w:color="auto" w:fill="auto"/>
          </w:tcPr>
          <w:p w14:paraId="20C1FEF1" w14:textId="77777777" w:rsidR="00692808" w:rsidRPr="00B27CB1" w:rsidRDefault="00692808" w:rsidP="000923EF">
            <w:pPr>
              <w:spacing w:line="260" w:lineRule="atLeast"/>
              <w:rPr>
                <w:rFonts w:eastAsia="Calibri"/>
                <w:lang w:eastAsia="en-US"/>
              </w:rPr>
            </w:pPr>
            <w:r w:rsidRPr="00B27CB1">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D5E14C7" w14:textId="77777777" w:rsidR="00692808" w:rsidRPr="00B27CB1" w:rsidRDefault="00692808" w:rsidP="000923EF">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oral route.</w:t>
            </w:r>
          </w:p>
        </w:tc>
      </w:tr>
      <w:tr w:rsidR="00692808" w:rsidRPr="00B27CB1" w14:paraId="6AEFAF7E" w14:textId="77777777" w:rsidTr="000923EF">
        <w:tc>
          <w:tcPr>
            <w:tcW w:w="1985" w:type="dxa"/>
            <w:tcBorders>
              <w:top w:val="single" w:sz="6" w:space="0" w:color="000000"/>
              <w:left w:val="single" w:sz="4" w:space="0" w:color="000000"/>
              <w:bottom w:val="single" w:sz="6" w:space="0" w:color="000000"/>
            </w:tcBorders>
            <w:shd w:val="clear" w:color="auto" w:fill="auto"/>
          </w:tcPr>
          <w:p w14:paraId="70AD63A6" w14:textId="77777777" w:rsidR="00692808" w:rsidRPr="00B27CB1" w:rsidRDefault="00692808" w:rsidP="000923EF">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F431780" w14:textId="216C08C0" w:rsidR="0079656A" w:rsidRDefault="00692808" w:rsidP="00604A5E">
            <w:pPr>
              <w:snapToGrid w:val="0"/>
              <w:spacing w:line="260" w:lineRule="atLeast"/>
              <w:rPr>
                <w:lang w:eastAsia="en-US"/>
              </w:rPr>
            </w:pPr>
            <w:r w:rsidRPr="00F63C43">
              <w:rPr>
                <w:lang w:eastAsia="en-US"/>
              </w:rPr>
              <w:t>The classification has been determined using the calculation method.</w:t>
            </w:r>
            <w:r>
              <w:rPr>
                <w:lang w:eastAsia="en-US"/>
              </w:rPr>
              <w:t xml:space="preserve"> </w:t>
            </w:r>
            <w:r w:rsidR="00703FF6">
              <w:rPr>
                <w:lang w:eastAsia="en-US"/>
              </w:rPr>
              <w:t>One</w:t>
            </w:r>
            <w:r w:rsidR="007979D4">
              <w:rPr>
                <w:lang w:eastAsia="en-US"/>
              </w:rPr>
              <w:t xml:space="preserve"> co-formulant</w:t>
            </w:r>
            <w:r w:rsidR="00703FF6">
              <w:rPr>
                <w:lang w:eastAsia="en-US"/>
              </w:rPr>
              <w:t xml:space="preserve"> is</w:t>
            </w:r>
            <w:r w:rsidRPr="00F66A61">
              <w:rPr>
                <w:lang w:eastAsia="en-US"/>
              </w:rPr>
              <w:t xml:space="preserve"> classified for</w:t>
            </w:r>
            <w:r>
              <w:rPr>
                <w:lang w:eastAsia="en-US"/>
              </w:rPr>
              <w:t xml:space="preserve"> acute</w:t>
            </w:r>
            <w:r w:rsidRPr="00F66A61">
              <w:rPr>
                <w:lang w:eastAsia="en-US"/>
              </w:rPr>
              <w:t xml:space="preserve"> oral</w:t>
            </w:r>
            <w:r>
              <w:rPr>
                <w:lang w:eastAsia="en-US"/>
              </w:rPr>
              <w:t xml:space="preserve"> toxicity</w:t>
            </w:r>
            <w:r w:rsidR="0079656A">
              <w:rPr>
                <w:lang w:eastAsia="en-US"/>
              </w:rPr>
              <w:t xml:space="preserve"> </w:t>
            </w:r>
            <w:r w:rsidR="002D6E5B">
              <w:rPr>
                <w:lang w:eastAsia="en-US"/>
              </w:rPr>
              <w:t xml:space="preserve">Category 4 </w:t>
            </w:r>
            <w:r w:rsidR="0079656A">
              <w:rPr>
                <w:lang w:eastAsia="en-US"/>
              </w:rPr>
              <w:t>and</w:t>
            </w:r>
            <w:r w:rsidRPr="00F66A61">
              <w:rPr>
                <w:lang w:eastAsia="en-US"/>
              </w:rPr>
              <w:t xml:space="preserve"> present at a </w:t>
            </w:r>
            <w:r>
              <w:rPr>
                <w:lang w:eastAsia="en-US"/>
              </w:rPr>
              <w:t xml:space="preserve">relevant </w:t>
            </w:r>
            <w:r w:rsidRPr="00F66A61">
              <w:rPr>
                <w:lang w:eastAsia="en-US"/>
              </w:rPr>
              <w:t>concentration</w:t>
            </w:r>
            <w:r>
              <w:rPr>
                <w:lang w:eastAsia="en-US"/>
              </w:rPr>
              <w:t xml:space="preserve"> </w:t>
            </w:r>
            <w:r w:rsidRPr="00F66A61">
              <w:rPr>
                <w:lang w:eastAsia="en-US"/>
              </w:rPr>
              <w:t>to be taken into account in the calculation.</w:t>
            </w:r>
          </w:p>
          <w:p w14:paraId="47288348" w14:textId="77777777" w:rsidR="0079656A" w:rsidRDefault="0079656A" w:rsidP="00604A5E">
            <w:pPr>
              <w:snapToGrid w:val="0"/>
              <w:spacing w:line="260" w:lineRule="atLeast"/>
              <w:rPr>
                <w:lang w:eastAsia="en-US"/>
              </w:rPr>
            </w:pPr>
          </w:p>
          <w:p w14:paraId="46D4C0A7" w14:textId="1A6EFC26" w:rsidR="00692808" w:rsidRPr="00B27CB1" w:rsidRDefault="0079656A">
            <w:pPr>
              <w:snapToGrid w:val="0"/>
              <w:spacing w:line="260" w:lineRule="atLeast"/>
              <w:rPr>
                <w:rFonts w:eastAsia="Calibri"/>
                <w:lang w:eastAsia="en-US"/>
              </w:rPr>
            </w:pPr>
            <w:r w:rsidRPr="00A73DAD">
              <w:t>ATE</w:t>
            </w:r>
            <w:r w:rsidRPr="00A73DAD">
              <w:rPr>
                <w:vertAlign w:val="subscript"/>
              </w:rPr>
              <w:t>mix</w:t>
            </w:r>
            <w:r w:rsidR="005C3442">
              <w:t xml:space="preserve"> calculated as </w:t>
            </w:r>
            <w:r w:rsidRPr="00A73DAD">
              <w:t>10</w:t>
            </w:r>
            <w:r w:rsidR="005C3442">
              <w:t>0/</w:t>
            </w:r>
            <w:r>
              <w:t xml:space="preserve"> </w:t>
            </w:r>
            <w:r w:rsidR="005C3442">
              <w:t>(1</w:t>
            </w:r>
            <w:r w:rsidR="00960B2A">
              <w:t>.</w:t>
            </w:r>
            <w:r w:rsidR="005C3442">
              <w:t>2</w:t>
            </w:r>
            <w:r w:rsidR="007979D4">
              <w:t>/</w:t>
            </w:r>
            <w:r>
              <w:t>500</w:t>
            </w:r>
            <w:r w:rsidRPr="00E91F85">
              <w:rPr>
                <w:vertAlign w:val="superscript"/>
              </w:rPr>
              <w:t>*</w:t>
            </w:r>
            <w:r>
              <w:t xml:space="preserve">) </w:t>
            </w:r>
            <w:r w:rsidR="009F62F1">
              <w:t xml:space="preserve">= </w:t>
            </w:r>
            <w:r w:rsidR="005C3442">
              <w:t>4</w:t>
            </w:r>
            <w:r w:rsidR="007979D4">
              <w:t>1667</w:t>
            </w:r>
            <w:r w:rsidR="005C3442">
              <w:t xml:space="preserve"> mg/</w:t>
            </w:r>
            <w:r w:rsidR="007979D4">
              <w:t>k</w:t>
            </w:r>
            <w:r w:rsidR="005C3442">
              <w:t>g</w:t>
            </w:r>
            <w:r w:rsidR="009F62F1">
              <w:t>. This is &gt;</w:t>
            </w:r>
            <w:r w:rsidRPr="00A73DAD">
              <w:t xml:space="preserve"> </w:t>
            </w:r>
            <w:r w:rsidR="009F62F1">
              <w:t>2000 mg/</w:t>
            </w:r>
            <w:r w:rsidR="005C3442">
              <w:t>k</w:t>
            </w:r>
            <w:r w:rsidR="009F62F1">
              <w:t>g</w:t>
            </w:r>
            <w:r w:rsidR="005C3442">
              <w:t>.</w:t>
            </w:r>
            <w:r w:rsidRPr="00A73DAD">
              <w:t xml:space="preserve"> </w:t>
            </w:r>
            <w:r w:rsidR="005C3442">
              <w:t>T</w:t>
            </w:r>
            <w:r w:rsidRPr="00A73DAD">
              <w:t>herefore</w:t>
            </w:r>
            <w:r w:rsidR="005C3442">
              <w:t>,</w:t>
            </w:r>
            <w:r w:rsidRPr="00A73DAD">
              <w:t xml:space="preserve"> no classification for acute </w:t>
            </w:r>
            <w:r w:rsidR="009573D4">
              <w:t>oral</w:t>
            </w:r>
            <w:r w:rsidRPr="00A73DAD">
              <w:t xml:space="preserve"> toxicity is required.</w:t>
            </w:r>
          </w:p>
        </w:tc>
      </w:tr>
      <w:tr w:rsidR="00692808" w:rsidRPr="00B27CB1" w14:paraId="190B5670" w14:textId="77777777" w:rsidTr="000923EF">
        <w:tc>
          <w:tcPr>
            <w:tcW w:w="1985" w:type="dxa"/>
            <w:tcBorders>
              <w:top w:val="single" w:sz="6" w:space="0" w:color="000000"/>
              <w:left w:val="single" w:sz="4" w:space="0" w:color="000000"/>
              <w:bottom w:val="single" w:sz="6" w:space="0" w:color="000000"/>
            </w:tcBorders>
            <w:shd w:val="clear" w:color="auto" w:fill="auto"/>
          </w:tcPr>
          <w:p w14:paraId="082C5309" w14:textId="77777777" w:rsidR="00692808" w:rsidRPr="00B27CB1" w:rsidRDefault="00692808" w:rsidP="000923EF">
            <w:pPr>
              <w:spacing w:line="260" w:lineRule="atLeast"/>
              <w:rPr>
                <w:rFonts w:eastAsia="Calibri"/>
                <w:lang w:eastAsia="en-US"/>
              </w:rPr>
            </w:pPr>
            <w:r w:rsidRPr="00B27CB1">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77A473A" w14:textId="31FF3473" w:rsidR="00692808" w:rsidRPr="00B27CB1" w:rsidRDefault="005C3442" w:rsidP="000923EF">
            <w:pPr>
              <w:spacing w:line="260" w:lineRule="atLeast"/>
            </w:pPr>
            <w:r>
              <w:rPr>
                <w:lang w:eastAsia="en-US"/>
              </w:rPr>
              <w:t>Not classified.</w:t>
            </w:r>
          </w:p>
        </w:tc>
      </w:tr>
    </w:tbl>
    <w:p w14:paraId="3E849290" w14:textId="324A6185" w:rsidR="00692808" w:rsidRPr="00E91F85" w:rsidRDefault="00692808">
      <w:pPr>
        <w:spacing w:line="260" w:lineRule="atLeast"/>
        <w:rPr>
          <w:rFonts w:ascii="Times New Roman" w:eastAsia="Calibri" w:hAnsi="Times New Roman" w:cs="Times New Roman"/>
          <w:i/>
          <w:iCs/>
          <w:sz w:val="22"/>
          <w:lang w:eastAsia="en-US"/>
        </w:rPr>
      </w:pPr>
      <w:r w:rsidRPr="00E91F85" w:rsidDel="00E85188">
        <w:rPr>
          <w:rFonts w:ascii="Times New Roman" w:eastAsia="Calibri" w:hAnsi="Times New Roman" w:cs="Times New Roman"/>
          <w:i/>
          <w:iCs/>
          <w:sz w:val="22"/>
          <w:lang w:eastAsia="en-US"/>
        </w:rPr>
        <w:t xml:space="preserve"> </w:t>
      </w:r>
      <w:r w:rsidR="0079656A" w:rsidRPr="00E91F85">
        <w:rPr>
          <w:rFonts w:ascii="Times New Roman" w:eastAsia="Calibri" w:hAnsi="Times New Roman" w:cs="Times New Roman"/>
          <w:i/>
          <w:iCs/>
          <w:sz w:val="22"/>
          <w:lang w:eastAsia="en-US"/>
        </w:rPr>
        <w:t>*Converted acute toxicity point estimate of the co-formulant according to the CLP Guidance (2017)</w:t>
      </w:r>
    </w:p>
    <w:p w14:paraId="6A8BEC21" w14:textId="77777777" w:rsidR="0079656A" w:rsidRDefault="0079656A">
      <w:pPr>
        <w:spacing w:line="260" w:lineRule="atLeast"/>
        <w:rPr>
          <w:rFonts w:ascii="Times New Roman" w:eastAsia="Calibri" w:hAnsi="Times New Roman" w:cs="Times New Roman"/>
          <w:i/>
          <w:iCs/>
          <w:lang w:eastAsia="en-US"/>
        </w:rPr>
      </w:pPr>
    </w:p>
    <w:p w14:paraId="03974A4F" w14:textId="5DC6EBB9" w:rsidR="00692808" w:rsidRPr="00E91F85" w:rsidRDefault="00692808" w:rsidP="00692808">
      <w:pPr>
        <w:spacing w:line="260" w:lineRule="atLeast"/>
        <w:rPr>
          <w:rFonts w:eastAsia="Calibri" w:cs="Times New Roman"/>
          <w:b/>
          <w:iCs/>
          <w:lang w:eastAsia="en-US"/>
        </w:rPr>
      </w:pPr>
      <w:r w:rsidRPr="00E91F85">
        <w:rPr>
          <w:rFonts w:eastAsia="Calibri" w:cs="Times New Roman"/>
          <w:b/>
          <w:iCs/>
          <w:lang w:eastAsia="en-US"/>
        </w:rPr>
        <w:t>Meta SPC 10</w:t>
      </w:r>
    </w:p>
    <w:p w14:paraId="5E0A6CC6" w14:textId="77777777" w:rsidR="00692808" w:rsidRPr="00B27CB1" w:rsidRDefault="00692808" w:rsidP="00692808">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692808" w:rsidRPr="00B27CB1" w14:paraId="66A70454" w14:textId="77777777" w:rsidTr="000923EF">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0FBCAFC" w14:textId="77777777" w:rsidR="00692808" w:rsidRPr="00B27CB1" w:rsidRDefault="00692808" w:rsidP="000923EF">
            <w:pPr>
              <w:spacing w:line="260" w:lineRule="atLeast"/>
            </w:pPr>
            <w:r w:rsidRPr="00B27CB1">
              <w:rPr>
                <w:rFonts w:eastAsia="Calibri"/>
                <w:b/>
                <w:bCs/>
                <w:lang w:eastAsia="en-US"/>
              </w:rPr>
              <w:t>Value used in the Risk Assessment – Acute oral toxicity</w:t>
            </w:r>
          </w:p>
        </w:tc>
      </w:tr>
      <w:tr w:rsidR="007979D4" w:rsidRPr="00B27CB1" w14:paraId="4B3B3DEA" w14:textId="77777777" w:rsidTr="000923EF">
        <w:tc>
          <w:tcPr>
            <w:tcW w:w="1985" w:type="dxa"/>
            <w:tcBorders>
              <w:top w:val="single" w:sz="6" w:space="0" w:color="000000"/>
              <w:left w:val="single" w:sz="4" w:space="0" w:color="000000"/>
              <w:bottom w:val="single" w:sz="6" w:space="0" w:color="000000"/>
            </w:tcBorders>
            <w:shd w:val="clear" w:color="auto" w:fill="auto"/>
          </w:tcPr>
          <w:p w14:paraId="305E021A" w14:textId="77777777" w:rsidR="007979D4" w:rsidRPr="00B27CB1" w:rsidRDefault="007979D4" w:rsidP="007979D4">
            <w:pPr>
              <w:spacing w:line="260" w:lineRule="atLeast"/>
              <w:rPr>
                <w:rFonts w:eastAsia="Calibri"/>
                <w:lang w:eastAsia="en-US"/>
              </w:rPr>
            </w:pPr>
            <w:r w:rsidRPr="00B27CB1">
              <w:rPr>
                <w:rFonts w:eastAsia="Calibri"/>
                <w:lang w:eastAsia="en-US"/>
              </w:rPr>
              <w:lastRenderedPageBreak/>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1837564" w14:textId="19D0AE25" w:rsidR="007979D4" w:rsidRPr="00B27CB1" w:rsidRDefault="007979D4" w:rsidP="007979D4">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oral route.</w:t>
            </w:r>
          </w:p>
        </w:tc>
      </w:tr>
      <w:tr w:rsidR="007979D4" w:rsidRPr="00B27CB1" w14:paraId="2F6AF31C" w14:textId="77777777" w:rsidTr="000923EF">
        <w:tc>
          <w:tcPr>
            <w:tcW w:w="1985" w:type="dxa"/>
            <w:tcBorders>
              <w:top w:val="single" w:sz="6" w:space="0" w:color="000000"/>
              <w:left w:val="single" w:sz="4" w:space="0" w:color="000000"/>
              <w:bottom w:val="single" w:sz="6" w:space="0" w:color="000000"/>
            </w:tcBorders>
            <w:shd w:val="clear" w:color="auto" w:fill="auto"/>
          </w:tcPr>
          <w:p w14:paraId="3AC329E0" w14:textId="77777777" w:rsidR="007979D4" w:rsidRPr="00B27CB1" w:rsidRDefault="007979D4" w:rsidP="007979D4">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4869C40" w14:textId="1BFCEA40" w:rsidR="007979D4" w:rsidRDefault="007979D4" w:rsidP="007979D4">
            <w:pPr>
              <w:snapToGrid w:val="0"/>
              <w:spacing w:line="260" w:lineRule="atLeast"/>
              <w:rPr>
                <w:lang w:eastAsia="en-US"/>
              </w:rPr>
            </w:pPr>
            <w:r w:rsidRPr="00F63C43">
              <w:rPr>
                <w:lang w:eastAsia="en-US"/>
              </w:rPr>
              <w:t>The classification has been determined using the calculation method.</w:t>
            </w:r>
            <w:r>
              <w:rPr>
                <w:lang w:eastAsia="en-US"/>
              </w:rPr>
              <w:t xml:space="preserve"> One co-formulant is</w:t>
            </w:r>
            <w:r w:rsidRPr="00F66A61">
              <w:rPr>
                <w:lang w:eastAsia="en-US"/>
              </w:rPr>
              <w:t xml:space="preserve"> classified for</w:t>
            </w:r>
            <w:r>
              <w:rPr>
                <w:lang w:eastAsia="en-US"/>
              </w:rPr>
              <w:t xml:space="preserve"> acute</w:t>
            </w:r>
            <w:r w:rsidRPr="00F66A61">
              <w:rPr>
                <w:lang w:eastAsia="en-US"/>
              </w:rPr>
              <w:t xml:space="preserve"> oral</w:t>
            </w:r>
            <w:r>
              <w:rPr>
                <w:lang w:eastAsia="en-US"/>
              </w:rPr>
              <w:t xml:space="preserve"> toxicity </w:t>
            </w:r>
            <w:r w:rsidR="002D6E5B">
              <w:rPr>
                <w:lang w:eastAsia="en-US"/>
              </w:rPr>
              <w:t xml:space="preserve">Category 4 </w:t>
            </w:r>
            <w:r>
              <w:rPr>
                <w:lang w:eastAsia="en-US"/>
              </w:rPr>
              <w:t>and</w:t>
            </w:r>
            <w:r w:rsidRPr="00F66A61">
              <w:rPr>
                <w:lang w:eastAsia="en-US"/>
              </w:rPr>
              <w:t xml:space="preserve"> present at a </w:t>
            </w:r>
            <w:r>
              <w:rPr>
                <w:lang w:eastAsia="en-US"/>
              </w:rPr>
              <w:t xml:space="preserve">relevant </w:t>
            </w:r>
            <w:r w:rsidRPr="00F66A61">
              <w:rPr>
                <w:lang w:eastAsia="en-US"/>
              </w:rPr>
              <w:t>concentration</w:t>
            </w:r>
            <w:r>
              <w:rPr>
                <w:lang w:eastAsia="en-US"/>
              </w:rPr>
              <w:t xml:space="preserve"> </w:t>
            </w:r>
            <w:r w:rsidRPr="00F66A61">
              <w:rPr>
                <w:lang w:eastAsia="en-US"/>
              </w:rPr>
              <w:t>to be taken into account in the calculation.</w:t>
            </w:r>
          </w:p>
          <w:p w14:paraId="0B24EEDD" w14:textId="77777777" w:rsidR="007979D4" w:rsidRDefault="007979D4" w:rsidP="007979D4">
            <w:pPr>
              <w:snapToGrid w:val="0"/>
              <w:spacing w:line="260" w:lineRule="atLeast"/>
              <w:rPr>
                <w:lang w:eastAsia="en-US"/>
              </w:rPr>
            </w:pPr>
          </w:p>
          <w:p w14:paraId="6C2A577B" w14:textId="6C647E9A" w:rsidR="007979D4" w:rsidRPr="00B27CB1" w:rsidRDefault="007979D4" w:rsidP="00604A5E">
            <w:pPr>
              <w:snapToGrid w:val="0"/>
              <w:spacing w:line="260" w:lineRule="atLeast"/>
              <w:rPr>
                <w:rFonts w:eastAsia="Calibri"/>
                <w:lang w:eastAsia="en-US"/>
              </w:rPr>
            </w:pPr>
            <w:r w:rsidRPr="00A73DAD">
              <w:t>ATE</w:t>
            </w:r>
            <w:r w:rsidRPr="00A73DAD">
              <w:rPr>
                <w:vertAlign w:val="subscript"/>
              </w:rPr>
              <w:t>mix</w:t>
            </w:r>
            <w:r>
              <w:t xml:space="preserve"> calculated as </w:t>
            </w:r>
            <w:r w:rsidRPr="00A73DAD">
              <w:t>10</w:t>
            </w:r>
            <w:r>
              <w:t>0/ (1</w:t>
            </w:r>
            <w:r w:rsidR="00960B2A">
              <w:t>.</w:t>
            </w:r>
            <w:r w:rsidR="008C595A">
              <w:t>5</w:t>
            </w:r>
            <w:r>
              <w:t>/500</w:t>
            </w:r>
            <w:r w:rsidRPr="00B24569">
              <w:rPr>
                <w:vertAlign w:val="superscript"/>
              </w:rPr>
              <w:t>*</w:t>
            </w:r>
            <w:r>
              <w:t xml:space="preserve">) = </w:t>
            </w:r>
            <w:r w:rsidR="008C595A">
              <w:t>33333</w:t>
            </w:r>
            <w:r>
              <w:t xml:space="preserve"> mg/kg. This is &gt;</w:t>
            </w:r>
            <w:r w:rsidRPr="00A73DAD">
              <w:t xml:space="preserve"> </w:t>
            </w:r>
            <w:r>
              <w:t>2000 mg/kg.</w:t>
            </w:r>
            <w:r w:rsidRPr="00A73DAD">
              <w:t xml:space="preserve"> </w:t>
            </w:r>
            <w:r>
              <w:t>T</w:t>
            </w:r>
            <w:r w:rsidRPr="00A73DAD">
              <w:t>herefore</w:t>
            </w:r>
            <w:r>
              <w:t>,</w:t>
            </w:r>
            <w:r w:rsidRPr="00A73DAD">
              <w:t xml:space="preserve"> no classification for acute </w:t>
            </w:r>
            <w:r w:rsidR="009573D4">
              <w:t>oral</w:t>
            </w:r>
            <w:r w:rsidRPr="00A73DAD">
              <w:t xml:space="preserve"> toxicity is required.</w:t>
            </w:r>
          </w:p>
        </w:tc>
      </w:tr>
      <w:tr w:rsidR="007979D4" w:rsidRPr="00B27CB1" w14:paraId="30BDF149" w14:textId="77777777" w:rsidTr="000923EF">
        <w:tc>
          <w:tcPr>
            <w:tcW w:w="1985" w:type="dxa"/>
            <w:tcBorders>
              <w:top w:val="single" w:sz="6" w:space="0" w:color="000000"/>
              <w:left w:val="single" w:sz="4" w:space="0" w:color="000000"/>
              <w:bottom w:val="single" w:sz="6" w:space="0" w:color="000000"/>
            </w:tcBorders>
            <w:shd w:val="clear" w:color="auto" w:fill="auto"/>
          </w:tcPr>
          <w:p w14:paraId="34FD4287" w14:textId="77777777" w:rsidR="007979D4" w:rsidRPr="00B27CB1" w:rsidRDefault="007979D4" w:rsidP="007979D4">
            <w:pPr>
              <w:spacing w:line="260" w:lineRule="atLeast"/>
              <w:rPr>
                <w:rFonts w:eastAsia="Calibri"/>
                <w:lang w:eastAsia="en-US"/>
              </w:rPr>
            </w:pPr>
            <w:r w:rsidRPr="00B27CB1">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2EE0836" w14:textId="07B2191B" w:rsidR="007979D4" w:rsidRPr="00B27CB1" w:rsidRDefault="007979D4" w:rsidP="007979D4">
            <w:pPr>
              <w:spacing w:line="260" w:lineRule="atLeast"/>
            </w:pPr>
            <w:r>
              <w:rPr>
                <w:lang w:eastAsia="en-US"/>
              </w:rPr>
              <w:t>Not classified.</w:t>
            </w:r>
          </w:p>
        </w:tc>
      </w:tr>
    </w:tbl>
    <w:p w14:paraId="33B2AEC3" w14:textId="0F2B044F" w:rsidR="00692808" w:rsidRPr="00E91F85" w:rsidRDefault="00692808">
      <w:pPr>
        <w:spacing w:line="260" w:lineRule="atLeast"/>
        <w:rPr>
          <w:rFonts w:ascii="Times New Roman" w:eastAsia="Calibri" w:hAnsi="Times New Roman" w:cs="Times New Roman"/>
          <w:i/>
          <w:iCs/>
          <w:sz w:val="22"/>
          <w:lang w:eastAsia="en-US"/>
        </w:rPr>
      </w:pPr>
      <w:r w:rsidRPr="00E91F85" w:rsidDel="00E85188">
        <w:rPr>
          <w:rFonts w:ascii="Times New Roman" w:eastAsia="Calibri" w:hAnsi="Times New Roman" w:cs="Times New Roman"/>
          <w:i/>
          <w:iCs/>
          <w:sz w:val="22"/>
          <w:lang w:eastAsia="en-US"/>
        </w:rPr>
        <w:t xml:space="preserve"> </w:t>
      </w:r>
      <w:r w:rsidR="008C595A" w:rsidRPr="00E91F85">
        <w:rPr>
          <w:rFonts w:ascii="Times New Roman" w:eastAsia="Calibri" w:hAnsi="Times New Roman" w:cs="Times New Roman"/>
          <w:i/>
          <w:iCs/>
          <w:sz w:val="22"/>
          <w:lang w:eastAsia="en-US"/>
        </w:rPr>
        <w:t>* Converted acute toxicity point estimate of the co-formulant according to the CLP Guidance (2017)</w:t>
      </w:r>
    </w:p>
    <w:p w14:paraId="19C42A6D" w14:textId="77777777" w:rsidR="007979D4" w:rsidRPr="00E91F85" w:rsidRDefault="007979D4" w:rsidP="00692808">
      <w:pPr>
        <w:spacing w:line="260" w:lineRule="atLeast"/>
        <w:rPr>
          <w:rFonts w:eastAsia="Calibri" w:cs="Times New Roman"/>
          <w:i/>
          <w:iCs/>
          <w:sz w:val="22"/>
          <w:u w:val="single"/>
          <w:lang w:eastAsia="en-US"/>
        </w:rPr>
      </w:pPr>
    </w:p>
    <w:p w14:paraId="25286880" w14:textId="77777777" w:rsidR="007979D4" w:rsidRDefault="007979D4" w:rsidP="00692808">
      <w:pPr>
        <w:spacing w:line="260" w:lineRule="atLeast"/>
        <w:rPr>
          <w:rFonts w:eastAsia="Calibri" w:cs="Times New Roman"/>
          <w:i/>
          <w:iCs/>
          <w:u w:val="single"/>
          <w:lang w:eastAsia="en-US"/>
        </w:rPr>
      </w:pPr>
    </w:p>
    <w:p w14:paraId="30C2AD76" w14:textId="77777777" w:rsidR="00895D90" w:rsidRDefault="00895D90" w:rsidP="00692808">
      <w:pPr>
        <w:spacing w:line="260" w:lineRule="atLeast"/>
        <w:rPr>
          <w:rFonts w:eastAsia="Calibri" w:cs="Times New Roman"/>
          <w:i/>
          <w:iCs/>
          <w:u w:val="single"/>
          <w:lang w:eastAsia="en-US"/>
        </w:rPr>
      </w:pPr>
    </w:p>
    <w:p w14:paraId="6D53B617" w14:textId="77777777" w:rsidR="00895D90" w:rsidRPr="00E91F85" w:rsidRDefault="00895D90" w:rsidP="00692808">
      <w:pPr>
        <w:spacing w:line="260" w:lineRule="atLeast"/>
        <w:rPr>
          <w:rFonts w:eastAsia="Calibri" w:cs="Times New Roman"/>
          <w:i/>
          <w:iCs/>
          <w:lang w:eastAsia="en-US"/>
        </w:rPr>
      </w:pPr>
    </w:p>
    <w:p w14:paraId="5B9C2DDC" w14:textId="2F8DC88E" w:rsidR="00692808" w:rsidRPr="00E91F85" w:rsidRDefault="00692808" w:rsidP="00692808">
      <w:pPr>
        <w:spacing w:line="260" w:lineRule="atLeast"/>
        <w:rPr>
          <w:rFonts w:eastAsia="Calibri" w:cs="Times New Roman"/>
          <w:b/>
          <w:iCs/>
          <w:lang w:eastAsia="en-US"/>
        </w:rPr>
      </w:pPr>
      <w:r w:rsidRPr="00E91F85">
        <w:rPr>
          <w:rFonts w:eastAsia="Calibri" w:cs="Times New Roman"/>
          <w:b/>
          <w:iCs/>
          <w:lang w:eastAsia="en-US"/>
        </w:rPr>
        <w:t>Meta SPC 1-3-4-7-8-9-11-12-13</w:t>
      </w:r>
    </w:p>
    <w:p w14:paraId="119837F4" w14:textId="77777777" w:rsidR="00692808" w:rsidRPr="00B27CB1" w:rsidRDefault="00692808" w:rsidP="00692808">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692808" w:rsidRPr="00B27CB1" w14:paraId="04C5E3BD" w14:textId="77777777" w:rsidTr="000923EF">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7A735C1" w14:textId="77777777" w:rsidR="00692808" w:rsidRPr="00B27CB1" w:rsidRDefault="00692808" w:rsidP="000923EF">
            <w:pPr>
              <w:spacing w:line="260" w:lineRule="atLeast"/>
            </w:pPr>
            <w:r w:rsidRPr="00B27CB1">
              <w:rPr>
                <w:rFonts w:eastAsia="Calibri"/>
                <w:b/>
                <w:bCs/>
                <w:lang w:eastAsia="en-US"/>
              </w:rPr>
              <w:t>Value used in the Risk Assessment – Acute oral toxicity</w:t>
            </w:r>
          </w:p>
        </w:tc>
      </w:tr>
      <w:tr w:rsidR="00692808" w:rsidRPr="00B27CB1" w14:paraId="407ABF11" w14:textId="77777777" w:rsidTr="000923EF">
        <w:tc>
          <w:tcPr>
            <w:tcW w:w="1985" w:type="dxa"/>
            <w:tcBorders>
              <w:top w:val="single" w:sz="6" w:space="0" w:color="000000"/>
              <w:left w:val="single" w:sz="4" w:space="0" w:color="000000"/>
              <w:bottom w:val="single" w:sz="6" w:space="0" w:color="000000"/>
            </w:tcBorders>
            <w:shd w:val="clear" w:color="auto" w:fill="auto"/>
          </w:tcPr>
          <w:p w14:paraId="36BE8D19" w14:textId="77777777" w:rsidR="00692808" w:rsidRPr="00B27CB1" w:rsidRDefault="00692808" w:rsidP="000923EF">
            <w:pPr>
              <w:spacing w:line="260" w:lineRule="atLeast"/>
              <w:rPr>
                <w:rFonts w:eastAsia="Calibri"/>
                <w:lang w:eastAsia="en-US"/>
              </w:rPr>
            </w:pPr>
            <w:r w:rsidRPr="00B27CB1">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737BDD7" w14:textId="77777777" w:rsidR="00692808" w:rsidRPr="00B27CB1" w:rsidRDefault="00692808" w:rsidP="000923EF">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oral route.</w:t>
            </w:r>
          </w:p>
        </w:tc>
      </w:tr>
      <w:tr w:rsidR="00692808" w:rsidRPr="00B27CB1" w14:paraId="1D7B2D7B" w14:textId="77777777" w:rsidTr="000923EF">
        <w:tc>
          <w:tcPr>
            <w:tcW w:w="1985" w:type="dxa"/>
            <w:tcBorders>
              <w:top w:val="single" w:sz="6" w:space="0" w:color="000000"/>
              <w:left w:val="single" w:sz="4" w:space="0" w:color="000000"/>
              <w:bottom w:val="single" w:sz="6" w:space="0" w:color="000000"/>
            </w:tcBorders>
            <w:shd w:val="clear" w:color="auto" w:fill="auto"/>
          </w:tcPr>
          <w:p w14:paraId="4000C079" w14:textId="77777777" w:rsidR="00692808" w:rsidRPr="00B27CB1" w:rsidRDefault="00692808" w:rsidP="000923EF">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7E4BEDD" w14:textId="5896DD22" w:rsidR="00692808" w:rsidRPr="00B27CB1" w:rsidRDefault="00692808" w:rsidP="00604A5E">
            <w:pPr>
              <w:snapToGrid w:val="0"/>
              <w:spacing w:line="260" w:lineRule="atLeast"/>
              <w:rPr>
                <w:rFonts w:eastAsia="Calibri"/>
                <w:lang w:eastAsia="en-US"/>
              </w:rPr>
            </w:pPr>
            <w:r>
              <w:rPr>
                <w:lang w:eastAsia="en-US"/>
              </w:rPr>
              <w:t>N</w:t>
            </w:r>
            <w:r w:rsidRPr="00F66A61">
              <w:rPr>
                <w:lang w:eastAsia="en-US"/>
              </w:rPr>
              <w:t>one of the co-formulants</w:t>
            </w:r>
            <w:r>
              <w:rPr>
                <w:lang w:eastAsia="en-US"/>
              </w:rPr>
              <w:t>/ingredients</w:t>
            </w:r>
            <w:r w:rsidRPr="00F66A61">
              <w:rPr>
                <w:lang w:eastAsia="en-US"/>
              </w:rPr>
              <w:t xml:space="preserve"> </w:t>
            </w:r>
            <w:r w:rsidR="00CE2973">
              <w:rPr>
                <w:lang w:eastAsia="en-US"/>
              </w:rPr>
              <w:t xml:space="preserve">is </w:t>
            </w:r>
            <w:r w:rsidRPr="00F66A61">
              <w:rPr>
                <w:lang w:eastAsia="en-US"/>
              </w:rPr>
              <w:t>classified for</w:t>
            </w:r>
            <w:r>
              <w:rPr>
                <w:lang w:eastAsia="en-US"/>
              </w:rPr>
              <w:t xml:space="preserve"> acute</w:t>
            </w:r>
            <w:r w:rsidRPr="00F66A61">
              <w:rPr>
                <w:lang w:eastAsia="en-US"/>
              </w:rPr>
              <w:t xml:space="preserve"> oral</w:t>
            </w:r>
            <w:r>
              <w:rPr>
                <w:lang w:eastAsia="en-US"/>
              </w:rPr>
              <w:t xml:space="preserve"> toxicity</w:t>
            </w:r>
            <w:r w:rsidR="00CE2973">
              <w:rPr>
                <w:lang w:eastAsia="en-US"/>
              </w:rPr>
              <w:t>.</w:t>
            </w:r>
          </w:p>
        </w:tc>
      </w:tr>
      <w:tr w:rsidR="00692808" w:rsidRPr="00B27CB1" w14:paraId="07299C45" w14:textId="77777777" w:rsidTr="000923EF">
        <w:tc>
          <w:tcPr>
            <w:tcW w:w="1985" w:type="dxa"/>
            <w:tcBorders>
              <w:top w:val="single" w:sz="6" w:space="0" w:color="000000"/>
              <w:left w:val="single" w:sz="4" w:space="0" w:color="000000"/>
              <w:bottom w:val="single" w:sz="6" w:space="0" w:color="000000"/>
            </w:tcBorders>
            <w:shd w:val="clear" w:color="auto" w:fill="auto"/>
          </w:tcPr>
          <w:p w14:paraId="198C91A4" w14:textId="77777777" w:rsidR="00692808" w:rsidRPr="00B27CB1" w:rsidRDefault="00692808" w:rsidP="000923EF">
            <w:pPr>
              <w:spacing w:line="260" w:lineRule="atLeast"/>
              <w:rPr>
                <w:rFonts w:eastAsia="Calibri"/>
                <w:lang w:eastAsia="en-US"/>
              </w:rPr>
            </w:pPr>
            <w:r w:rsidRPr="00B27CB1">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0BBFEC5" w14:textId="7CF15F7B" w:rsidR="00692808" w:rsidRPr="00B27CB1" w:rsidRDefault="00CE2973" w:rsidP="000923EF">
            <w:pPr>
              <w:spacing w:line="260" w:lineRule="atLeast"/>
            </w:pPr>
            <w:r>
              <w:rPr>
                <w:lang w:eastAsia="en-US"/>
              </w:rPr>
              <w:t>Not classified</w:t>
            </w:r>
          </w:p>
        </w:tc>
      </w:tr>
    </w:tbl>
    <w:p w14:paraId="34DEC601" w14:textId="7BFAC39F" w:rsidR="009D0C0B" w:rsidRPr="00B27CB1" w:rsidRDefault="00692808">
      <w:pPr>
        <w:spacing w:line="260" w:lineRule="atLeast"/>
        <w:rPr>
          <w:rFonts w:ascii="Times New Roman" w:eastAsia="Calibri" w:hAnsi="Times New Roman" w:cs="Times New Roman"/>
          <w:i/>
          <w:iCs/>
          <w:lang w:eastAsia="en-US"/>
        </w:rPr>
      </w:pPr>
      <w:r w:rsidRPr="00B27CB1" w:rsidDel="00E85188">
        <w:rPr>
          <w:rFonts w:ascii="Times New Roman" w:eastAsia="Calibri" w:hAnsi="Times New Roman" w:cs="Times New Roman"/>
          <w:i/>
          <w:iCs/>
          <w:lang w:eastAsia="en-US"/>
        </w:rPr>
        <w:t xml:space="preserve"> </w:t>
      </w:r>
    </w:p>
    <w:p w14:paraId="615EF159" w14:textId="77777777" w:rsidR="009D0C0B" w:rsidRPr="00B27CB1" w:rsidRDefault="00FA480B">
      <w:pPr>
        <w:pageBreakBefore/>
        <w:rPr>
          <w:rFonts w:ascii="Times New Roman" w:eastAsia="Calibri" w:hAnsi="Times New Roman" w:cs="Times New Roman"/>
          <w:i/>
          <w:iCs/>
          <w:lang w:eastAsia="en-US"/>
        </w:rPr>
      </w:pPr>
      <w:r w:rsidRPr="00B27CB1">
        <w:rPr>
          <w:rFonts w:eastAsia="Calibri"/>
          <w:i/>
          <w:u w:val="single"/>
          <w:lang w:eastAsia="en-US"/>
        </w:rPr>
        <w:lastRenderedPageBreak/>
        <w:t>Acute toxicity by inhalation</w:t>
      </w:r>
    </w:p>
    <w:p w14:paraId="0B67F175" w14:textId="77777777" w:rsidR="00E8362B" w:rsidRDefault="00E8362B" w:rsidP="00E8362B">
      <w:pPr>
        <w:spacing w:line="260" w:lineRule="atLeast"/>
        <w:rPr>
          <w:rFonts w:eastAsia="Calibri" w:cs="Times New Roman"/>
          <w:b/>
          <w:iCs/>
          <w:lang w:eastAsia="en-US"/>
        </w:rPr>
      </w:pPr>
    </w:p>
    <w:p w14:paraId="3393571C" w14:textId="2C187634" w:rsidR="009D0C0B" w:rsidRPr="00B27CB1" w:rsidRDefault="00E8362B">
      <w:pPr>
        <w:spacing w:line="260" w:lineRule="atLeast"/>
        <w:rPr>
          <w:rFonts w:ascii="Times New Roman" w:eastAsia="Calibri" w:hAnsi="Times New Roman" w:cs="Times New Roman"/>
          <w:b/>
          <w:bCs/>
          <w:i/>
          <w:iCs/>
          <w:lang w:eastAsia="en-US"/>
        </w:rPr>
      </w:pPr>
      <w:r w:rsidRPr="007233E9">
        <w:rPr>
          <w:rFonts w:eastAsia="Calibri" w:cs="Times New Roman"/>
          <w:b/>
          <w:iCs/>
          <w:lang w:eastAsia="en-US"/>
        </w:rPr>
        <w:t>All Meta SPC</w:t>
      </w:r>
    </w:p>
    <w:p w14:paraId="66798FBC" w14:textId="77777777" w:rsidR="009D0C0B" w:rsidRPr="00B27CB1"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B27CB1" w14:paraId="7853FD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08C1023" w14:textId="77777777" w:rsidR="009D0C0B" w:rsidRPr="00B27CB1" w:rsidRDefault="00FA480B">
            <w:pPr>
              <w:spacing w:line="260" w:lineRule="atLeast"/>
            </w:pPr>
            <w:r w:rsidRPr="00B27CB1">
              <w:rPr>
                <w:rFonts w:eastAsia="Calibri"/>
                <w:b/>
                <w:bCs/>
                <w:lang w:eastAsia="en-US"/>
              </w:rPr>
              <w:t>Value used in the Risk Assessment – Acute inhalation toxicity</w:t>
            </w:r>
          </w:p>
        </w:tc>
      </w:tr>
      <w:tr w:rsidR="00895D90" w:rsidRPr="00B27CB1" w14:paraId="349A0F8E" w14:textId="77777777">
        <w:tc>
          <w:tcPr>
            <w:tcW w:w="1955" w:type="dxa"/>
            <w:tcBorders>
              <w:top w:val="single" w:sz="6" w:space="0" w:color="000000"/>
              <w:left w:val="single" w:sz="4" w:space="0" w:color="000000"/>
              <w:bottom w:val="single" w:sz="6" w:space="0" w:color="000000"/>
            </w:tcBorders>
            <w:shd w:val="clear" w:color="auto" w:fill="auto"/>
          </w:tcPr>
          <w:p w14:paraId="4937FCCA" w14:textId="77777777" w:rsidR="00895D90" w:rsidRPr="00B27CB1" w:rsidRDefault="00895D90" w:rsidP="00895D90">
            <w:pPr>
              <w:spacing w:line="260" w:lineRule="atLeast"/>
              <w:rPr>
                <w:rFonts w:eastAsia="Calibri"/>
                <w:lang w:eastAsia="en-US"/>
              </w:rPr>
            </w:pPr>
            <w:r w:rsidRPr="00B27CB1">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3E99F89" w14:textId="0628C471" w:rsidR="00895D90" w:rsidRPr="00B27CB1" w:rsidRDefault="00895D90" w:rsidP="00604A5E">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inhalation route.</w:t>
            </w:r>
          </w:p>
        </w:tc>
      </w:tr>
      <w:tr w:rsidR="00895D90" w:rsidRPr="00B27CB1" w14:paraId="2799C9AC" w14:textId="77777777">
        <w:tc>
          <w:tcPr>
            <w:tcW w:w="1955" w:type="dxa"/>
            <w:tcBorders>
              <w:top w:val="single" w:sz="6" w:space="0" w:color="000000"/>
              <w:left w:val="single" w:sz="4" w:space="0" w:color="000000"/>
              <w:bottom w:val="single" w:sz="6" w:space="0" w:color="000000"/>
            </w:tcBorders>
            <w:shd w:val="clear" w:color="auto" w:fill="auto"/>
          </w:tcPr>
          <w:p w14:paraId="15538AB0" w14:textId="77777777" w:rsidR="00895D90" w:rsidRPr="00B27CB1" w:rsidRDefault="00895D90" w:rsidP="00895D90">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0FC3C15" w14:textId="300EE05C" w:rsidR="00895D90" w:rsidRPr="00B27CB1" w:rsidRDefault="00895D90" w:rsidP="00CC4F60">
            <w:pPr>
              <w:snapToGrid w:val="0"/>
              <w:spacing w:line="260" w:lineRule="atLeast"/>
              <w:rPr>
                <w:rFonts w:eastAsia="Calibri"/>
                <w:lang w:eastAsia="en-US"/>
              </w:rPr>
            </w:pPr>
            <w:r>
              <w:rPr>
                <w:lang w:eastAsia="en-US"/>
              </w:rPr>
              <w:t>N</w:t>
            </w:r>
            <w:r w:rsidRPr="00F66A61">
              <w:rPr>
                <w:lang w:eastAsia="en-US"/>
              </w:rPr>
              <w:t>one of the co-formulants</w:t>
            </w:r>
            <w:r>
              <w:rPr>
                <w:lang w:eastAsia="en-US"/>
              </w:rPr>
              <w:t>/ingredients</w:t>
            </w:r>
            <w:r w:rsidRPr="00F66A61">
              <w:rPr>
                <w:lang w:eastAsia="en-US"/>
              </w:rPr>
              <w:t xml:space="preserve"> </w:t>
            </w:r>
            <w:r>
              <w:rPr>
                <w:lang w:eastAsia="en-US"/>
              </w:rPr>
              <w:t xml:space="preserve">is </w:t>
            </w:r>
            <w:r w:rsidRPr="00F66A61">
              <w:rPr>
                <w:lang w:eastAsia="en-US"/>
              </w:rPr>
              <w:t>classified for</w:t>
            </w:r>
            <w:r w:rsidR="00CC4F60">
              <w:rPr>
                <w:lang w:eastAsia="en-US"/>
              </w:rPr>
              <w:t xml:space="preserve"> acute</w:t>
            </w:r>
            <w:r>
              <w:rPr>
                <w:lang w:eastAsia="en-US"/>
              </w:rPr>
              <w:t xml:space="preserve"> </w:t>
            </w:r>
            <w:r w:rsidR="00CC4F60">
              <w:rPr>
                <w:lang w:eastAsia="en-US"/>
              </w:rPr>
              <w:t>inhalation</w:t>
            </w:r>
            <w:r>
              <w:rPr>
                <w:lang w:eastAsia="en-US"/>
              </w:rPr>
              <w:t xml:space="preserve"> toxicity.</w:t>
            </w:r>
          </w:p>
        </w:tc>
      </w:tr>
      <w:tr w:rsidR="00895D90" w:rsidRPr="00B27CB1" w14:paraId="47E47014" w14:textId="77777777">
        <w:tc>
          <w:tcPr>
            <w:tcW w:w="1955" w:type="dxa"/>
            <w:tcBorders>
              <w:top w:val="single" w:sz="6" w:space="0" w:color="000000"/>
              <w:left w:val="single" w:sz="4" w:space="0" w:color="000000"/>
              <w:bottom w:val="single" w:sz="6" w:space="0" w:color="000000"/>
            </w:tcBorders>
            <w:shd w:val="clear" w:color="auto" w:fill="auto"/>
          </w:tcPr>
          <w:p w14:paraId="51DA8F5E" w14:textId="4AF2B55A" w:rsidR="00895D90" w:rsidRPr="00B27CB1" w:rsidRDefault="00895D90" w:rsidP="00604A5E">
            <w:pPr>
              <w:spacing w:line="260" w:lineRule="atLeast"/>
              <w:rPr>
                <w:rFonts w:eastAsia="Calibri"/>
                <w:lang w:eastAsia="en-US"/>
              </w:rPr>
            </w:pPr>
            <w:r w:rsidRPr="00B27CB1">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8BAF8B7" w14:textId="5C241DAD" w:rsidR="00895D90" w:rsidRPr="00B27CB1" w:rsidRDefault="00895D90" w:rsidP="00895D90">
            <w:pPr>
              <w:spacing w:line="260" w:lineRule="atLeast"/>
            </w:pPr>
            <w:r>
              <w:rPr>
                <w:lang w:eastAsia="en-US"/>
              </w:rPr>
              <w:t>Not classified</w:t>
            </w:r>
          </w:p>
        </w:tc>
      </w:tr>
    </w:tbl>
    <w:p w14:paraId="21AC82D0" w14:textId="77777777" w:rsidR="009D0C0B" w:rsidRPr="00B27CB1" w:rsidRDefault="009D0C0B">
      <w:pPr>
        <w:spacing w:line="260" w:lineRule="atLeast"/>
        <w:rPr>
          <w:rFonts w:eastAsia="Calibri"/>
          <w:lang w:eastAsia="en-US"/>
        </w:rPr>
      </w:pPr>
    </w:p>
    <w:p w14:paraId="53B690BB" w14:textId="77777777" w:rsidR="009D0C0B" w:rsidRPr="00B27CB1" w:rsidRDefault="00FA480B">
      <w:pPr>
        <w:rPr>
          <w:rFonts w:ascii="Times New Roman" w:eastAsia="Calibri" w:hAnsi="Times New Roman" w:cs="Times New Roman"/>
          <w:i/>
          <w:iCs/>
          <w:lang w:eastAsia="en-US"/>
        </w:rPr>
      </w:pPr>
      <w:r w:rsidRPr="00B27CB1">
        <w:rPr>
          <w:rFonts w:eastAsia="Calibri"/>
          <w:i/>
          <w:u w:val="single"/>
          <w:lang w:eastAsia="en-US"/>
        </w:rPr>
        <w:t>Acute toxicity by dermal route</w:t>
      </w:r>
    </w:p>
    <w:p w14:paraId="00E66104" w14:textId="77777777" w:rsidR="009D0C0B" w:rsidRPr="00B27CB1" w:rsidRDefault="009D0C0B">
      <w:pPr>
        <w:spacing w:line="260" w:lineRule="atLeast"/>
        <w:rPr>
          <w:rFonts w:ascii="Times New Roman" w:eastAsia="Calibri" w:hAnsi="Times New Roman" w:cs="Times New Roman"/>
          <w:i/>
          <w:iCs/>
          <w:lang w:eastAsia="en-US"/>
        </w:rPr>
      </w:pPr>
    </w:p>
    <w:p w14:paraId="198C00AC" w14:textId="77777777" w:rsidR="00E8362B" w:rsidRDefault="00E8362B">
      <w:pPr>
        <w:spacing w:line="260" w:lineRule="atLeast"/>
        <w:rPr>
          <w:rFonts w:ascii="Times New Roman" w:eastAsia="Calibri" w:hAnsi="Times New Roman" w:cs="Times New Roman"/>
          <w:i/>
          <w:iCs/>
          <w:lang w:eastAsia="en-US"/>
        </w:rPr>
      </w:pPr>
      <w:r w:rsidRPr="007233E9">
        <w:rPr>
          <w:rFonts w:eastAsia="Calibri" w:cs="Times New Roman"/>
          <w:b/>
          <w:iCs/>
          <w:lang w:eastAsia="en-US"/>
        </w:rPr>
        <w:t>All Meta SPC</w:t>
      </w:r>
      <w:r w:rsidRPr="00B27CB1" w:rsidDel="00E85188">
        <w:rPr>
          <w:rFonts w:ascii="Times New Roman" w:eastAsia="Calibri" w:hAnsi="Times New Roman" w:cs="Times New Roman"/>
          <w:i/>
          <w:iCs/>
          <w:lang w:eastAsia="en-US"/>
        </w:rPr>
        <w:t xml:space="preserve"> </w:t>
      </w:r>
    </w:p>
    <w:p w14:paraId="469E3964" w14:textId="77777777" w:rsidR="009D0C0B" w:rsidRPr="00B27CB1"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B27CB1" w14:paraId="5DEDB1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F0C8240" w14:textId="77777777" w:rsidR="009D0C0B" w:rsidRPr="00B27CB1" w:rsidRDefault="00FA480B">
            <w:pPr>
              <w:spacing w:line="260" w:lineRule="atLeast"/>
            </w:pPr>
            <w:r w:rsidRPr="00B27CB1">
              <w:rPr>
                <w:rFonts w:eastAsia="Calibri"/>
                <w:b/>
                <w:bCs/>
                <w:lang w:eastAsia="en-US"/>
              </w:rPr>
              <w:t>Value used in the Risk Assessment – Acute dermal toxicity</w:t>
            </w:r>
          </w:p>
        </w:tc>
      </w:tr>
      <w:tr w:rsidR="005617FD" w:rsidRPr="00B27CB1" w14:paraId="13AC1CE6" w14:textId="77777777">
        <w:tc>
          <w:tcPr>
            <w:tcW w:w="1955" w:type="dxa"/>
            <w:tcBorders>
              <w:top w:val="single" w:sz="6" w:space="0" w:color="000000"/>
              <w:left w:val="single" w:sz="4" w:space="0" w:color="000000"/>
              <w:bottom w:val="single" w:sz="6" w:space="0" w:color="000000"/>
            </w:tcBorders>
            <w:shd w:val="clear" w:color="auto" w:fill="auto"/>
          </w:tcPr>
          <w:p w14:paraId="02C657A7" w14:textId="77777777" w:rsidR="005617FD" w:rsidRPr="00B27CB1" w:rsidRDefault="005617FD" w:rsidP="005617FD">
            <w:pPr>
              <w:spacing w:line="260" w:lineRule="atLeast"/>
              <w:rPr>
                <w:rFonts w:eastAsia="Calibri"/>
                <w:lang w:eastAsia="en-US"/>
              </w:rPr>
            </w:pPr>
            <w:r w:rsidRPr="00B27CB1">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E1D4350" w14:textId="56027371" w:rsidR="005617FD" w:rsidRPr="00B27CB1" w:rsidRDefault="005617FD" w:rsidP="005617FD">
            <w:pPr>
              <w:snapToGrid w:val="0"/>
              <w:spacing w:line="260" w:lineRule="atLeast"/>
              <w:rPr>
                <w:rFonts w:eastAsia="Calibri"/>
                <w:lang w:eastAsia="en-US"/>
              </w:rPr>
            </w:pPr>
            <w:r>
              <w:rPr>
                <w:lang w:eastAsia="en-US"/>
              </w:rPr>
              <w:t>Not a</w:t>
            </w:r>
            <w:r w:rsidRPr="00F63C43">
              <w:rPr>
                <w:lang w:eastAsia="en-US"/>
              </w:rPr>
              <w:t xml:space="preserve">cutely toxic via </w:t>
            </w:r>
            <w:r>
              <w:rPr>
                <w:lang w:eastAsia="en-US"/>
              </w:rPr>
              <w:t>dermal route.</w:t>
            </w:r>
          </w:p>
        </w:tc>
      </w:tr>
      <w:tr w:rsidR="005617FD" w:rsidRPr="00B27CB1" w14:paraId="37917785" w14:textId="77777777">
        <w:tc>
          <w:tcPr>
            <w:tcW w:w="1955" w:type="dxa"/>
            <w:tcBorders>
              <w:top w:val="single" w:sz="6" w:space="0" w:color="000000"/>
              <w:left w:val="single" w:sz="4" w:space="0" w:color="000000"/>
              <w:bottom w:val="single" w:sz="6" w:space="0" w:color="000000"/>
            </w:tcBorders>
            <w:shd w:val="clear" w:color="auto" w:fill="auto"/>
          </w:tcPr>
          <w:p w14:paraId="4CDD5CF3" w14:textId="77777777" w:rsidR="005617FD" w:rsidRPr="00B27CB1" w:rsidRDefault="005617FD" w:rsidP="005617FD">
            <w:pPr>
              <w:spacing w:line="260" w:lineRule="atLeast"/>
              <w:rPr>
                <w:rFonts w:eastAsia="Calibri"/>
                <w:lang w:eastAsia="en-US"/>
              </w:rPr>
            </w:pPr>
            <w:r w:rsidRPr="00B27CB1">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43B55C" w14:textId="6C6867D3" w:rsidR="005617FD" w:rsidRPr="00B27CB1" w:rsidRDefault="005617FD" w:rsidP="00604A5E">
            <w:pPr>
              <w:snapToGrid w:val="0"/>
              <w:spacing w:line="260" w:lineRule="atLeast"/>
              <w:rPr>
                <w:rFonts w:eastAsia="Calibri"/>
                <w:lang w:eastAsia="en-US"/>
              </w:rPr>
            </w:pPr>
            <w:r>
              <w:rPr>
                <w:lang w:eastAsia="en-US"/>
              </w:rPr>
              <w:t>N</w:t>
            </w:r>
            <w:r w:rsidRPr="00F66A61">
              <w:rPr>
                <w:lang w:eastAsia="en-US"/>
              </w:rPr>
              <w:t>one of the co-formulants</w:t>
            </w:r>
            <w:r>
              <w:rPr>
                <w:lang w:eastAsia="en-US"/>
              </w:rPr>
              <w:t>/ingredients</w:t>
            </w:r>
            <w:r w:rsidRPr="00F66A61">
              <w:rPr>
                <w:lang w:eastAsia="en-US"/>
              </w:rPr>
              <w:t xml:space="preserve"> </w:t>
            </w:r>
            <w:r>
              <w:rPr>
                <w:lang w:eastAsia="en-US"/>
              </w:rPr>
              <w:t xml:space="preserve">is </w:t>
            </w:r>
            <w:r w:rsidRPr="00F66A61">
              <w:rPr>
                <w:lang w:eastAsia="en-US"/>
              </w:rPr>
              <w:t>classified for</w:t>
            </w:r>
            <w:r>
              <w:rPr>
                <w:lang w:eastAsia="en-US"/>
              </w:rPr>
              <w:t xml:space="preserve"> acute</w:t>
            </w:r>
            <w:r w:rsidRPr="00F66A61">
              <w:rPr>
                <w:lang w:eastAsia="en-US"/>
              </w:rPr>
              <w:t xml:space="preserve"> </w:t>
            </w:r>
            <w:r>
              <w:rPr>
                <w:lang w:eastAsia="en-US"/>
              </w:rPr>
              <w:t>dermal toxicity.</w:t>
            </w:r>
          </w:p>
        </w:tc>
      </w:tr>
      <w:tr w:rsidR="005617FD" w:rsidRPr="00B27CB1" w14:paraId="192E0D06" w14:textId="77777777">
        <w:tc>
          <w:tcPr>
            <w:tcW w:w="1955" w:type="dxa"/>
            <w:tcBorders>
              <w:top w:val="single" w:sz="6" w:space="0" w:color="000000"/>
              <w:left w:val="single" w:sz="4" w:space="0" w:color="000000"/>
              <w:bottom w:val="single" w:sz="6" w:space="0" w:color="000000"/>
            </w:tcBorders>
            <w:shd w:val="clear" w:color="auto" w:fill="auto"/>
          </w:tcPr>
          <w:p w14:paraId="62A2EEC6" w14:textId="467131BC" w:rsidR="005617FD" w:rsidRPr="00B27CB1" w:rsidRDefault="005617FD" w:rsidP="005617FD">
            <w:pPr>
              <w:spacing w:line="260" w:lineRule="atLeast"/>
              <w:rPr>
                <w:rFonts w:eastAsia="Calibri"/>
                <w:lang w:eastAsia="en-US"/>
              </w:rPr>
            </w:pPr>
            <w:r w:rsidRPr="00B27CB1">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FAF0A62" w14:textId="7F8DC353" w:rsidR="005617FD" w:rsidRPr="00B27CB1" w:rsidRDefault="005617FD" w:rsidP="005617FD">
            <w:pPr>
              <w:spacing w:line="260" w:lineRule="atLeast"/>
            </w:pPr>
            <w:r>
              <w:rPr>
                <w:lang w:eastAsia="en-US"/>
              </w:rPr>
              <w:t>Not classified</w:t>
            </w:r>
          </w:p>
        </w:tc>
      </w:tr>
    </w:tbl>
    <w:p w14:paraId="16B6543B" w14:textId="77777777" w:rsidR="009D0C0B" w:rsidRPr="00B27CB1" w:rsidRDefault="009D0C0B">
      <w:pPr>
        <w:spacing w:line="260" w:lineRule="atLeast"/>
        <w:rPr>
          <w:rFonts w:eastAsia="Calibri"/>
          <w:lang w:eastAsia="en-US"/>
        </w:rPr>
      </w:pPr>
    </w:p>
    <w:p w14:paraId="086358FA" w14:textId="77777777" w:rsidR="009D0C0B" w:rsidRPr="00B27CB1" w:rsidRDefault="009D0C0B">
      <w:pPr>
        <w:spacing w:line="260" w:lineRule="atLeast"/>
        <w:rPr>
          <w:rFonts w:eastAsia="Calibri"/>
          <w:lang w:eastAsia="en-US"/>
        </w:rPr>
      </w:pPr>
    </w:p>
    <w:p w14:paraId="66591C4D" w14:textId="77777777" w:rsidR="009D0C0B" w:rsidRPr="00B27CB1" w:rsidRDefault="00FA480B">
      <w:pPr>
        <w:rPr>
          <w:rFonts w:ascii="Times New Roman" w:eastAsia="Calibri" w:hAnsi="Times New Roman" w:cs="Times New Roman"/>
          <w:i/>
          <w:iCs/>
          <w:lang w:eastAsia="en-US"/>
        </w:rPr>
      </w:pPr>
      <w:r w:rsidRPr="00B27CB1">
        <w:rPr>
          <w:rFonts w:eastAsia="Calibri"/>
          <w:b/>
          <w:i/>
          <w:sz w:val="22"/>
          <w:szCs w:val="22"/>
          <w:lang w:eastAsia="en-US"/>
        </w:rPr>
        <w:t>Information on dermal absorption</w:t>
      </w:r>
    </w:p>
    <w:p w14:paraId="1CD57F4C" w14:textId="77777777" w:rsidR="009D0C0B" w:rsidRPr="00B27CB1" w:rsidRDefault="009D0C0B">
      <w:pPr>
        <w:spacing w:line="260" w:lineRule="atLeast"/>
        <w:rPr>
          <w:rFonts w:ascii="Times New Roman" w:eastAsia="Calibri" w:hAnsi="Times New Roman" w:cs="Times New Roman"/>
          <w:i/>
          <w:iCs/>
          <w:lang w:eastAsia="en-US"/>
        </w:rPr>
      </w:pPr>
    </w:p>
    <w:p w14:paraId="13B24E9D" w14:textId="074EEF17" w:rsidR="00584A59" w:rsidRPr="00E91F85" w:rsidRDefault="00584A59" w:rsidP="00584A59">
      <w:pPr>
        <w:spacing w:line="260" w:lineRule="atLeast"/>
        <w:rPr>
          <w:rFonts w:ascii="Times New Roman" w:eastAsia="Calibri" w:hAnsi="Times New Roman" w:cs="Times New Roman"/>
          <w:b/>
          <w:iCs/>
          <w:lang w:eastAsia="en-US"/>
        </w:rPr>
      </w:pPr>
      <w:r w:rsidRPr="00E91F85">
        <w:rPr>
          <w:rFonts w:eastAsia="Calibri" w:cs="Times New Roman"/>
          <w:b/>
          <w:iCs/>
          <w:lang w:eastAsia="en-US"/>
        </w:rPr>
        <w:t>Meta SPC 1-2-3</w:t>
      </w:r>
      <w:r w:rsidR="007F264A" w:rsidRPr="00E91F85">
        <w:rPr>
          <w:rFonts w:eastAsia="Calibri" w:cs="Times New Roman"/>
          <w:b/>
          <w:iCs/>
          <w:lang w:eastAsia="en-US"/>
        </w:rPr>
        <w:t>-4-9</w:t>
      </w:r>
    </w:p>
    <w:p w14:paraId="3A7EA890" w14:textId="77777777" w:rsidR="00584A59" w:rsidRDefault="00584A59" w:rsidP="00584A59">
      <w:pPr>
        <w:spacing w:line="260" w:lineRule="atLeast"/>
        <w:rPr>
          <w:rFonts w:eastAsia="Calibri"/>
          <w:b/>
          <w:bCs/>
          <w:lang w:eastAsia="en-US"/>
        </w:rPr>
      </w:pPr>
    </w:p>
    <w:tbl>
      <w:tblPr>
        <w:tblW w:w="9257" w:type="dxa"/>
        <w:tblInd w:w="-5" w:type="dxa"/>
        <w:tblLayout w:type="fixed"/>
        <w:tblLook w:val="0000" w:firstRow="0" w:lastRow="0" w:firstColumn="0" w:lastColumn="0" w:noHBand="0" w:noVBand="0"/>
      </w:tblPr>
      <w:tblGrid>
        <w:gridCol w:w="1937"/>
        <w:gridCol w:w="7320"/>
      </w:tblGrid>
      <w:tr w:rsidR="00584A59" w14:paraId="5AEC81A1" w14:textId="77777777" w:rsidTr="004F3FB8">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281579C0" w14:textId="77777777" w:rsidR="00584A59" w:rsidRDefault="00584A59" w:rsidP="004F3FB8">
            <w:pPr>
              <w:spacing w:line="260" w:lineRule="atLeast"/>
            </w:pPr>
            <w:r>
              <w:rPr>
                <w:rFonts w:eastAsia="Calibri"/>
                <w:b/>
                <w:bCs/>
                <w:lang w:eastAsia="en-US"/>
              </w:rPr>
              <w:t>Value(s) used in the Risk Assessment – Dermal absorption</w:t>
            </w:r>
          </w:p>
        </w:tc>
      </w:tr>
      <w:tr w:rsidR="00584A59" w14:paraId="3AEBD740" w14:textId="77777777" w:rsidTr="004F3FB8">
        <w:tc>
          <w:tcPr>
            <w:tcW w:w="1937" w:type="dxa"/>
            <w:tcBorders>
              <w:top w:val="single" w:sz="6" w:space="0" w:color="000000"/>
              <w:left w:val="single" w:sz="4" w:space="0" w:color="000000"/>
              <w:bottom w:val="single" w:sz="6" w:space="0" w:color="000000"/>
            </w:tcBorders>
            <w:shd w:val="clear" w:color="auto" w:fill="auto"/>
          </w:tcPr>
          <w:p w14:paraId="3E35F73F" w14:textId="77777777" w:rsidR="00584A59" w:rsidRDefault="00584A59" w:rsidP="004F3FB8">
            <w:pPr>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375B0C18" w14:textId="77777777" w:rsidR="00584A59" w:rsidRDefault="00584A59" w:rsidP="004F3FB8">
            <w:pPr>
              <w:snapToGrid w:val="0"/>
              <w:spacing w:line="260" w:lineRule="atLeast"/>
              <w:rPr>
                <w:rFonts w:eastAsia="Calibri"/>
                <w:lang w:eastAsia="en-US"/>
              </w:rPr>
            </w:pPr>
            <w:r>
              <w:rPr>
                <w:rFonts w:eastAsia="Calibri"/>
                <w:lang w:eastAsia="en-US"/>
              </w:rPr>
              <w:t>Lactic acid</w:t>
            </w:r>
          </w:p>
        </w:tc>
      </w:tr>
      <w:tr w:rsidR="00584A59" w14:paraId="289953EA" w14:textId="77777777" w:rsidTr="004F3FB8">
        <w:tc>
          <w:tcPr>
            <w:tcW w:w="1937" w:type="dxa"/>
            <w:tcBorders>
              <w:top w:val="single" w:sz="6" w:space="0" w:color="000000"/>
              <w:left w:val="single" w:sz="4" w:space="0" w:color="000000"/>
              <w:bottom w:val="single" w:sz="6" w:space="0" w:color="000000"/>
            </w:tcBorders>
            <w:shd w:val="clear" w:color="auto" w:fill="auto"/>
          </w:tcPr>
          <w:p w14:paraId="04AD86A0" w14:textId="77777777" w:rsidR="00584A59" w:rsidRDefault="00584A59" w:rsidP="004F3FB8">
            <w:pPr>
              <w:spacing w:line="260" w:lineRule="atLeast"/>
              <w:rPr>
                <w:rFonts w:eastAsia="Calibri"/>
                <w:lang w:eastAsia="en-US"/>
              </w:rPr>
            </w:pPr>
            <w:r>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0124979" w14:textId="0A3F19F1" w:rsidR="00584A59" w:rsidRDefault="007D2B01" w:rsidP="004F3FB8">
            <w:pPr>
              <w:snapToGrid w:val="0"/>
              <w:spacing w:line="260" w:lineRule="atLeast"/>
              <w:rPr>
                <w:rFonts w:eastAsia="Calibri"/>
                <w:lang w:eastAsia="en-US"/>
              </w:rPr>
            </w:pPr>
            <w:r>
              <w:rPr>
                <w:rFonts w:eastAsia="Calibri"/>
                <w:lang w:eastAsia="en-US"/>
              </w:rPr>
              <w:t>50</w:t>
            </w:r>
            <w:r w:rsidR="00584A59">
              <w:rPr>
                <w:rFonts w:eastAsia="Calibri"/>
                <w:lang w:eastAsia="en-US"/>
              </w:rPr>
              <w:t>%</w:t>
            </w:r>
          </w:p>
        </w:tc>
      </w:tr>
      <w:tr w:rsidR="00584A59" w14:paraId="1D6F74E9" w14:textId="77777777" w:rsidTr="004F3FB8">
        <w:tc>
          <w:tcPr>
            <w:tcW w:w="1937" w:type="dxa"/>
            <w:tcBorders>
              <w:top w:val="single" w:sz="6" w:space="0" w:color="000000"/>
              <w:left w:val="single" w:sz="4" w:space="0" w:color="000000"/>
              <w:bottom w:val="single" w:sz="6" w:space="0" w:color="000000"/>
            </w:tcBorders>
            <w:shd w:val="clear" w:color="auto" w:fill="auto"/>
          </w:tcPr>
          <w:p w14:paraId="1D351140" w14:textId="77777777" w:rsidR="00584A59" w:rsidRDefault="00584A59" w:rsidP="004F3FB8">
            <w:pPr>
              <w:spacing w:line="260" w:lineRule="atLeast"/>
              <w:rPr>
                <w:rFonts w:eastAsia="Calibri"/>
                <w:lang w:eastAsia="en-US"/>
              </w:rPr>
            </w:pPr>
            <w:r>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7E3848B" w14:textId="054A1487" w:rsidR="00584A59" w:rsidRDefault="00584A59" w:rsidP="004F3FB8">
            <w:pPr>
              <w:snapToGrid w:val="0"/>
              <w:spacing w:line="260" w:lineRule="atLeast"/>
              <w:jc w:val="both"/>
              <w:rPr>
                <w:rFonts w:eastAsia="Calibri"/>
                <w:lang w:eastAsia="en-US"/>
              </w:rPr>
            </w:pPr>
            <w:r>
              <w:rPr>
                <w:rFonts w:eastAsia="Calibri"/>
                <w:lang w:eastAsia="en-US"/>
              </w:rPr>
              <w:t>According to the EFSA Gui</w:t>
            </w:r>
            <w:r w:rsidR="00060DB8">
              <w:rPr>
                <w:rFonts w:eastAsia="Calibri"/>
                <w:lang w:eastAsia="en-US"/>
              </w:rPr>
              <w:t>dance on dermal absorption (2017</w:t>
            </w:r>
            <w:r>
              <w:rPr>
                <w:rFonts w:eastAsia="Calibri"/>
                <w:lang w:eastAsia="en-US"/>
              </w:rPr>
              <w:t xml:space="preserve">), in absence of relevant data for products containing ≤5% of active substance, a </w:t>
            </w:r>
            <w:r w:rsidRPr="00BC49EB">
              <w:t xml:space="preserve">dermal absorption </w:t>
            </w:r>
            <w:r>
              <w:t xml:space="preserve">default </w:t>
            </w:r>
            <w:r w:rsidRPr="00BC49EB">
              <w:t xml:space="preserve">value of </w:t>
            </w:r>
            <w:r w:rsidR="00060DB8">
              <w:t>50</w:t>
            </w:r>
            <w:r w:rsidRPr="00BC49EB">
              <w:t xml:space="preserve">% </w:t>
            </w:r>
            <w:r>
              <w:rPr>
                <w:rFonts w:eastAsia="Calibri"/>
                <w:lang w:eastAsia="en-US"/>
              </w:rPr>
              <w:t xml:space="preserve">should be used. </w:t>
            </w:r>
          </w:p>
          <w:p w14:paraId="0E607621" w14:textId="77777777" w:rsidR="00584A59" w:rsidRDefault="00584A59" w:rsidP="004F3FB8">
            <w:pPr>
              <w:snapToGrid w:val="0"/>
              <w:spacing w:line="260" w:lineRule="atLeast"/>
              <w:jc w:val="both"/>
              <w:rPr>
                <w:rFonts w:eastAsia="Calibri"/>
                <w:lang w:eastAsia="en-US"/>
              </w:rPr>
            </w:pPr>
          </w:p>
          <w:p w14:paraId="25A09B38" w14:textId="39E6C88D" w:rsidR="00584A59" w:rsidRPr="00E91F85" w:rsidRDefault="00584A59">
            <w:pPr>
              <w:snapToGrid w:val="0"/>
              <w:spacing w:line="260" w:lineRule="atLeast"/>
              <w:jc w:val="both"/>
              <w:rPr>
                <w:sz w:val="16"/>
                <w:szCs w:val="16"/>
              </w:rPr>
            </w:pPr>
            <w:r>
              <w:t xml:space="preserve">Therefore, because of the concentration of active substance in the products of Meta SPC </w:t>
            </w:r>
            <w:r w:rsidR="00B101C3" w:rsidRPr="00E91F85">
              <w:rPr>
                <w:rFonts w:eastAsia="Calibri" w:cs="Times New Roman"/>
                <w:iCs/>
                <w:lang w:eastAsia="en-US"/>
              </w:rPr>
              <w:t>1-2-3-4-9</w:t>
            </w:r>
            <w:r w:rsidR="00B101C3" w:rsidRPr="00E91F85">
              <w:rPr>
                <w:rFonts w:eastAsia="Calibri" w:cs="Times New Roman"/>
                <w:i/>
                <w:iCs/>
                <w:lang w:eastAsia="en-US"/>
              </w:rPr>
              <w:t xml:space="preserve"> </w:t>
            </w:r>
            <w:r w:rsidRPr="00604A5E">
              <w:t>i</w:t>
            </w:r>
            <w:r>
              <w:t xml:space="preserve">s from </w:t>
            </w:r>
            <w:r w:rsidR="00A47A73">
              <w:t>2.4</w:t>
            </w:r>
            <w:r w:rsidR="00B101C3">
              <w:t xml:space="preserve"> </w:t>
            </w:r>
            <w:r>
              <w:t xml:space="preserve">to </w:t>
            </w:r>
            <w:r w:rsidR="00A47A73">
              <w:t>4</w:t>
            </w:r>
            <w:r>
              <w:t xml:space="preserve">%, </w:t>
            </w:r>
            <w:r w:rsidRPr="00BC49EB">
              <w:t xml:space="preserve">a dermal absorption </w:t>
            </w:r>
            <w:r>
              <w:t xml:space="preserve">default </w:t>
            </w:r>
            <w:r w:rsidRPr="00BC49EB">
              <w:t xml:space="preserve">value of </w:t>
            </w:r>
            <w:r w:rsidR="00B101C3">
              <w:t>50</w:t>
            </w:r>
            <w:r w:rsidRPr="00BC49EB">
              <w:t xml:space="preserve">% </w:t>
            </w:r>
            <w:r w:rsidR="007E1591">
              <w:t>sh</w:t>
            </w:r>
            <w:r w:rsidR="00656797">
              <w:t>o</w:t>
            </w:r>
            <w:r w:rsidR="007E1591">
              <w:t>uld be</w:t>
            </w:r>
            <w:r>
              <w:t xml:space="preserve"> used</w:t>
            </w:r>
            <w:r w:rsidR="007E1591">
              <w:rPr>
                <w:rStyle w:val="Marquedecommentaire"/>
              </w:rPr>
              <w:t>.</w:t>
            </w:r>
            <w:r>
              <w:t xml:space="preserve"> </w:t>
            </w:r>
          </w:p>
        </w:tc>
      </w:tr>
    </w:tbl>
    <w:p w14:paraId="0D293836" w14:textId="679431A0" w:rsidR="00863DED" w:rsidRPr="00E91F85" w:rsidRDefault="00584A59" w:rsidP="00863DED">
      <w:pPr>
        <w:spacing w:line="260" w:lineRule="atLeast"/>
        <w:rPr>
          <w:rFonts w:ascii="Times New Roman" w:eastAsia="Calibri" w:hAnsi="Times New Roman" w:cs="Times New Roman"/>
          <w:b/>
          <w:iCs/>
          <w:lang w:eastAsia="en-US"/>
        </w:rPr>
      </w:pPr>
      <w:r w:rsidRPr="00B27CB1" w:rsidDel="00DC3BC9">
        <w:rPr>
          <w:rFonts w:ascii="Times New Roman" w:eastAsia="Calibri" w:hAnsi="Times New Roman" w:cs="Times New Roman"/>
          <w:i/>
          <w:iCs/>
          <w:lang w:eastAsia="en-US"/>
        </w:rPr>
        <w:t xml:space="preserve"> </w:t>
      </w:r>
      <w:r w:rsidR="00863DED" w:rsidRPr="00E91F85">
        <w:rPr>
          <w:rFonts w:eastAsia="Calibri" w:cs="Times New Roman"/>
          <w:b/>
          <w:iCs/>
          <w:lang w:eastAsia="en-US"/>
        </w:rPr>
        <w:t xml:space="preserve">Meta SPC </w:t>
      </w:r>
      <w:r w:rsidR="007E1591">
        <w:rPr>
          <w:rFonts w:eastAsia="Calibri" w:cs="Times New Roman"/>
          <w:b/>
          <w:iCs/>
          <w:lang w:eastAsia="en-US"/>
        </w:rPr>
        <w:t>6-7-8-10-11-1</w:t>
      </w:r>
    </w:p>
    <w:p w14:paraId="015E32FB" w14:textId="77777777" w:rsidR="00863DED" w:rsidRDefault="00863DED" w:rsidP="00863DED">
      <w:pPr>
        <w:spacing w:line="260" w:lineRule="atLeast"/>
        <w:rPr>
          <w:rFonts w:eastAsia="Calibri"/>
          <w:b/>
          <w:bCs/>
          <w:lang w:eastAsia="en-US"/>
        </w:rPr>
      </w:pPr>
    </w:p>
    <w:tbl>
      <w:tblPr>
        <w:tblW w:w="9257" w:type="dxa"/>
        <w:tblInd w:w="-5" w:type="dxa"/>
        <w:tblLayout w:type="fixed"/>
        <w:tblLook w:val="0000" w:firstRow="0" w:lastRow="0" w:firstColumn="0" w:lastColumn="0" w:noHBand="0" w:noVBand="0"/>
      </w:tblPr>
      <w:tblGrid>
        <w:gridCol w:w="1937"/>
        <w:gridCol w:w="7320"/>
      </w:tblGrid>
      <w:tr w:rsidR="00863DED" w14:paraId="61DE838A" w14:textId="77777777" w:rsidTr="004F3FB8">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D685FA" w14:textId="77777777" w:rsidR="00863DED" w:rsidRDefault="00863DED" w:rsidP="004F3FB8">
            <w:pPr>
              <w:spacing w:line="260" w:lineRule="atLeast"/>
            </w:pPr>
            <w:r>
              <w:rPr>
                <w:rFonts w:eastAsia="Calibri"/>
                <w:b/>
                <w:bCs/>
                <w:lang w:eastAsia="en-US"/>
              </w:rPr>
              <w:t>Value(s) used in the Risk Assessment – Dermal absorption</w:t>
            </w:r>
          </w:p>
        </w:tc>
      </w:tr>
      <w:tr w:rsidR="00863DED" w14:paraId="497E88AC" w14:textId="77777777" w:rsidTr="004F3FB8">
        <w:tc>
          <w:tcPr>
            <w:tcW w:w="1937" w:type="dxa"/>
            <w:tcBorders>
              <w:top w:val="single" w:sz="6" w:space="0" w:color="000000"/>
              <w:left w:val="single" w:sz="4" w:space="0" w:color="000000"/>
              <w:bottom w:val="single" w:sz="6" w:space="0" w:color="000000"/>
            </w:tcBorders>
            <w:shd w:val="clear" w:color="auto" w:fill="auto"/>
          </w:tcPr>
          <w:p w14:paraId="3069218F" w14:textId="77777777" w:rsidR="00863DED" w:rsidRDefault="00863DED" w:rsidP="004F3FB8">
            <w:pPr>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C3933A1" w14:textId="77777777" w:rsidR="00863DED" w:rsidRDefault="00863DED" w:rsidP="004F3FB8">
            <w:pPr>
              <w:snapToGrid w:val="0"/>
              <w:spacing w:line="260" w:lineRule="atLeast"/>
              <w:rPr>
                <w:rFonts w:eastAsia="Calibri"/>
                <w:lang w:eastAsia="en-US"/>
              </w:rPr>
            </w:pPr>
            <w:r>
              <w:rPr>
                <w:rFonts w:eastAsia="Calibri"/>
                <w:lang w:eastAsia="en-US"/>
              </w:rPr>
              <w:t>Lactic acid</w:t>
            </w:r>
          </w:p>
        </w:tc>
      </w:tr>
      <w:tr w:rsidR="00863DED" w14:paraId="6622161C" w14:textId="77777777" w:rsidTr="004F3FB8">
        <w:tc>
          <w:tcPr>
            <w:tcW w:w="1937" w:type="dxa"/>
            <w:tcBorders>
              <w:top w:val="single" w:sz="6" w:space="0" w:color="000000"/>
              <w:left w:val="single" w:sz="4" w:space="0" w:color="000000"/>
              <w:bottom w:val="single" w:sz="6" w:space="0" w:color="000000"/>
            </w:tcBorders>
            <w:shd w:val="clear" w:color="auto" w:fill="auto"/>
          </w:tcPr>
          <w:p w14:paraId="164DF884" w14:textId="77777777" w:rsidR="00863DED" w:rsidRDefault="00863DED" w:rsidP="004F3FB8">
            <w:pPr>
              <w:spacing w:line="260" w:lineRule="atLeast"/>
              <w:rPr>
                <w:rFonts w:eastAsia="Calibri"/>
                <w:lang w:eastAsia="en-US"/>
              </w:rPr>
            </w:pPr>
            <w:r>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843A51D" w14:textId="1CF29BF6" w:rsidR="00863DED" w:rsidRDefault="007D2B01" w:rsidP="004F3FB8">
            <w:pPr>
              <w:snapToGrid w:val="0"/>
              <w:spacing w:line="260" w:lineRule="atLeast"/>
              <w:rPr>
                <w:rFonts w:eastAsia="Calibri"/>
                <w:lang w:eastAsia="en-US"/>
              </w:rPr>
            </w:pPr>
            <w:r>
              <w:rPr>
                <w:rFonts w:eastAsia="Calibri"/>
                <w:lang w:eastAsia="en-US"/>
              </w:rPr>
              <w:t>10</w:t>
            </w:r>
            <w:r w:rsidR="00863DED">
              <w:rPr>
                <w:rFonts w:eastAsia="Calibri"/>
                <w:lang w:eastAsia="en-US"/>
              </w:rPr>
              <w:t>%</w:t>
            </w:r>
          </w:p>
        </w:tc>
      </w:tr>
      <w:tr w:rsidR="00863DED" w14:paraId="597CF270" w14:textId="77777777" w:rsidTr="004F3FB8">
        <w:tc>
          <w:tcPr>
            <w:tcW w:w="1937" w:type="dxa"/>
            <w:tcBorders>
              <w:top w:val="single" w:sz="6" w:space="0" w:color="000000"/>
              <w:left w:val="single" w:sz="4" w:space="0" w:color="000000"/>
              <w:bottom w:val="single" w:sz="6" w:space="0" w:color="000000"/>
            </w:tcBorders>
            <w:shd w:val="clear" w:color="auto" w:fill="auto"/>
          </w:tcPr>
          <w:p w14:paraId="44B72270" w14:textId="77777777" w:rsidR="00863DED" w:rsidRDefault="00863DED" w:rsidP="004F3FB8">
            <w:pPr>
              <w:spacing w:line="260" w:lineRule="atLeast"/>
              <w:rPr>
                <w:rFonts w:eastAsia="Calibri"/>
                <w:lang w:eastAsia="en-US"/>
              </w:rPr>
            </w:pPr>
            <w:r>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0B0FC9A" w14:textId="72829881" w:rsidR="00863DED" w:rsidRDefault="00863DED" w:rsidP="004F3FB8">
            <w:pPr>
              <w:snapToGrid w:val="0"/>
              <w:spacing w:line="260" w:lineRule="atLeast"/>
              <w:jc w:val="both"/>
              <w:rPr>
                <w:rFonts w:eastAsia="Calibri"/>
                <w:lang w:eastAsia="en-US"/>
              </w:rPr>
            </w:pPr>
            <w:r>
              <w:rPr>
                <w:rFonts w:eastAsia="Calibri"/>
                <w:lang w:eastAsia="en-US"/>
              </w:rPr>
              <w:t xml:space="preserve">According to the EFSA Guidance on dermal absorption (2017), in absence of relevant data for products containing </w:t>
            </w:r>
            <w:r w:rsidR="007D2B01">
              <w:rPr>
                <w:rFonts w:eastAsia="Calibri"/>
                <w:lang w:eastAsia="en-US"/>
              </w:rPr>
              <w:t>≥</w:t>
            </w:r>
            <w:r>
              <w:rPr>
                <w:rFonts w:eastAsia="Calibri"/>
                <w:lang w:eastAsia="en-US"/>
              </w:rPr>
              <w:t xml:space="preserve">5% of active substance, a </w:t>
            </w:r>
            <w:r w:rsidRPr="00BC49EB">
              <w:t xml:space="preserve">dermal absorption </w:t>
            </w:r>
            <w:r>
              <w:t xml:space="preserve">default </w:t>
            </w:r>
            <w:r w:rsidRPr="00BC49EB">
              <w:t xml:space="preserve">value of </w:t>
            </w:r>
            <w:r w:rsidR="007D2B01">
              <w:t>10</w:t>
            </w:r>
            <w:r w:rsidRPr="00BC49EB">
              <w:t xml:space="preserve">% </w:t>
            </w:r>
            <w:r>
              <w:rPr>
                <w:rFonts w:eastAsia="Calibri"/>
                <w:lang w:eastAsia="en-US"/>
              </w:rPr>
              <w:t xml:space="preserve">should be used. </w:t>
            </w:r>
          </w:p>
          <w:p w14:paraId="60D77895" w14:textId="77777777" w:rsidR="00863DED" w:rsidRDefault="00863DED" w:rsidP="004F3FB8">
            <w:pPr>
              <w:snapToGrid w:val="0"/>
              <w:spacing w:line="260" w:lineRule="atLeast"/>
              <w:jc w:val="both"/>
              <w:rPr>
                <w:rFonts w:eastAsia="Calibri"/>
                <w:lang w:eastAsia="en-US"/>
              </w:rPr>
            </w:pPr>
          </w:p>
          <w:p w14:paraId="4539E7C3" w14:textId="55289D06" w:rsidR="00863DED" w:rsidRDefault="00863DED" w:rsidP="00604A5E">
            <w:pPr>
              <w:snapToGrid w:val="0"/>
              <w:spacing w:line="260" w:lineRule="atLeast"/>
              <w:jc w:val="both"/>
              <w:rPr>
                <w:rFonts w:eastAsia="Calibri"/>
                <w:lang w:eastAsia="en-US"/>
              </w:rPr>
            </w:pPr>
            <w:r>
              <w:lastRenderedPageBreak/>
              <w:t xml:space="preserve">Therefore, because of the concentration of active substance in the products of Meta SPC </w:t>
            </w:r>
            <w:r w:rsidR="00E8362B" w:rsidRPr="00E8362B">
              <w:t xml:space="preserve">6-7-8-10-11-12-13 </w:t>
            </w:r>
            <w:r>
              <w:t xml:space="preserve">is from </w:t>
            </w:r>
            <w:r w:rsidR="00A47A73">
              <w:t>8</w:t>
            </w:r>
            <w:r w:rsidR="00EA6F69">
              <w:t xml:space="preserve"> to </w:t>
            </w:r>
            <w:r w:rsidR="00A47A73">
              <w:t>24</w:t>
            </w:r>
            <w:r>
              <w:t xml:space="preserve">%, </w:t>
            </w:r>
            <w:r w:rsidRPr="00BC49EB">
              <w:t xml:space="preserve">a dermal absorption </w:t>
            </w:r>
            <w:r>
              <w:t xml:space="preserve">default </w:t>
            </w:r>
            <w:r w:rsidR="00EA6F69">
              <w:t>value of 10</w:t>
            </w:r>
            <w:r w:rsidRPr="00BC49EB">
              <w:t xml:space="preserve">% </w:t>
            </w:r>
            <w:r>
              <w:t xml:space="preserve">has been used in the assessment. </w:t>
            </w:r>
          </w:p>
        </w:tc>
      </w:tr>
    </w:tbl>
    <w:p w14:paraId="3959CED4" w14:textId="77777777" w:rsidR="003213B9" w:rsidRDefault="003213B9">
      <w:pPr>
        <w:rPr>
          <w:rFonts w:eastAsia="Calibri"/>
          <w:b/>
          <w:i/>
          <w:sz w:val="22"/>
          <w:szCs w:val="22"/>
          <w:lang w:eastAsia="en-US"/>
        </w:rPr>
      </w:pPr>
    </w:p>
    <w:p w14:paraId="76F3BAFE" w14:textId="77777777" w:rsidR="003213B9" w:rsidRDefault="003213B9">
      <w:pPr>
        <w:rPr>
          <w:rFonts w:eastAsia="Calibri"/>
          <w:b/>
          <w:i/>
          <w:sz w:val="22"/>
          <w:szCs w:val="22"/>
          <w:lang w:eastAsia="en-US"/>
        </w:rPr>
      </w:pPr>
    </w:p>
    <w:p w14:paraId="0AE2EF64" w14:textId="58E57CDB" w:rsidR="009D0C0B" w:rsidRPr="00B27CB1" w:rsidRDefault="00FA480B">
      <w:pPr>
        <w:rPr>
          <w:rFonts w:ascii="Times New Roman" w:eastAsia="Calibri" w:hAnsi="Times New Roman" w:cs="Times New Roman"/>
          <w:i/>
          <w:iCs/>
          <w:lang w:eastAsia="en-US"/>
        </w:rPr>
      </w:pPr>
      <w:r w:rsidRPr="00B27CB1">
        <w:rPr>
          <w:rFonts w:eastAsia="Calibri"/>
          <w:b/>
          <w:i/>
          <w:sz w:val="22"/>
          <w:szCs w:val="22"/>
          <w:lang w:eastAsia="en-US"/>
        </w:rPr>
        <w:t>Available toxicological data relating to non active substance(s) (i.e. substance(s) of concern)</w:t>
      </w:r>
    </w:p>
    <w:p w14:paraId="3F068880" w14:textId="42FC69C5" w:rsidR="009D0C0B" w:rsidRDefault="00FA480B">
      <w:pPr>
        <w:spacing w:line="260" w:lineRule="atLeast"/>
        <w:jc w:val="both"/>
        <w:rPr>
          <w:rFonts w:ascii="Times New Roman" w:eastAsia="Calibri" w:hAnsi="Times New Roman" w:cs="Times New Roman"/>
          <w:i/>
          <w:iCs/>
          <w:lang w:eastAsia="en-US"/>
        </w:rPr>
      </w:pPr>
      <w:r w:rsidRPr="00B27CB1">
        <w:rPr>
          <w:rFonts w:ascii="Times New Roman" w:eastAsia="Calibri" w:hAnsi="Times New Roman" w:cs="Times New Roman"/>
          <w:i/>
          <w:iCs/>
          <w:lang w:eastAsia="en-US"/>
        </w:rPr>
        <w:t xml:space="preserve"> </w:t>
      </w:r>
    </w:p>
    <w:p w14:paraId="1305EF23" w14:textId="26214923" w:rsidR="00A804C8" w:rsidRDefault="00A804C8">
      <w:pPr>
        <w:spacing w:line="260" w:lineRule="atLeast"/>
        <w:jc w:val="both"/>
        <w:rPr>
          <w:rFonts w:ascii="Times New Roman" w:eastAsia="Calibri" w:hAnsi="Times New Roman" w:cs="Times New Roman"/>
          <w:i/>
          <w:iCs/>
          <w:lang w:eastAsia="en-US"/>
        </w:rPr>
      </w:pPr>
    </w:p>
    <w:p w14:paraId="7C2A5D5B" w14:textId="77777777" w:rsidR="009448D4" w:rsidRDefault="009448D4" w:rsidP="009448D4">
      <w:pPr>
        <w:rPr>
          <w:b/>
        </w:rPr>
      </w:pPr>
      <w:r>
        <w:rPr>
          <w:b/>
        </w:rPr>
        <w:t>Meta SPC 13</w:t>
      </w:r>
    </w:p>
    <w:p w14:paraId="004C7854" w14:textId="77777777" w:rsidR="009448D4" w:rsidRDefault="009448D4" w:rsidP="009448D4">
      <w:pPr>
        <w:spacing w:line="260" w:lineRule="atLeast"/>
      </w:pPr>
      <w:r>
        <w:t>An EU IOELV of 67.5 mg/m</w:t>
      </w:r>
      <w:r>
        <w:rPr>
          <w:vertAlign w:val="superscript"/>
        </w:rPr>
        <w:t>3</w:t>
      </w:r>
      <w:r>
        <w:t xml:space="preserve"> is available for diethylene glycol monobutyl ether (2-(2-</w:t>
      </w:r>
      <w:r w:rsidRPr="0098519B">
        <w:t xml:space="preserve"> </w:t>
      </w:r>
      <w:r>
        <w:t>butoxyethoxy)ethanol), which is present in meta 13 at 5.5%.</w:t>
      </w:r>
    </w:p>
    <w:p w14:paraId="10B0E332" w14:textId="77777777" w:rsidR="009448D4" w:rsidRDefault="009448D4" w:rsidP="009448D4">
      <w:pPr>
        <w:spacing w:line="260" w:lineRule="atLeast"/>
      </w:pPr>
    </w:p>
    <w:p w14:paraId="6D089CE0" w14:textId="77777777" w:rsidR="009448D4" w:rsidRDefault="009448D4" w:rsidP="009448D4">
      <w:pPr>
        <w:spacing w:line="260" w:lineRule="atLeast"/>
      </w:pPr>
      <w:r>
        <w:t xml:space="preserve">Therefore, according to the definition of a substance of concern laid down in the Guidance on the BPR Volume III Human Health – Part B and C Risk Assessment, diethylene glycol monobutyl ether (2-(2-butoxyethoxy)ethanol) is considered as a SOC. </w:t>
      </w:r>
    </w:p>
    <w:p w14:paraId="65FF8281" w14:textId="18539D4A" w:rsidR="00A804C8" w:rsidRPr="00E91F85" w:rsidRDefault="00A804C8">
      <w:pPr>
        <w:spacing w:line="260" w:lineRule="atLeast"/>
        <w:jc w:val="both"/>
        <w:rPr>
          <w:rFonts w:ascii="Times New Roman" w:eastAsia="Calibri" w:hAnsi="Times New Roman" w:cs="Times New Roman"/>
          <w:iCs/>
          <w:lang w:eastAsia="en-US"/>
        </w:rPr>
      </w:pPr>
    </w:p>
    <w:p w14:paraId="5AC5E3D7" w14:textId="77777777" w:rsidR="00A804C8" w:rsidRPr="00B27CB1" w:rsidRDefault="00A804C8">
      <w:pPr>
        <w:spacing w:line="260" w:lineRule="atLeast"/>
        <w:jc w:val="both"/>
        <w:rPr>
          <w:rFonts w:ascii="Times New Roman" w:eastAsia="Calibri" w:hAnsi="Times New Roman" w:cs="Times New Roman"/>
          <w:i/>
          <w:iCs/>
          <w:lang w:eastAsia="en-US"/>
        </w:rPr>
      </w:pPr>
    </w:p>
    <w:p w14:paraId="6E04F8F2" w14:textId="77777777" w:rsidR="009865C3" w:rsidRDefault="009865C3" w:rsidP="00E5311F">
      <w:pPr>
        <w:spacing w:line="260" w:lineRule="atLeast"/>
        <w:jc w:val="both"/>
        <w:rPr>
          <w:rFonts w:eastAsia="Calibri" w:cs="Times New Roman"/>
          <w:i/>
          <w:iCs/>
          <w:u w:val="single"/>
          <w:lang w:eastAsia="en-US"/>
        </w:rPr>
        <w:sectPr w:rsidR="009865C3" w:rsidSect="003213B9">
          <w:pgSz w:w="11906" w:h="16838"/>
          <w:pgMar w:top="1474" w:right="1247" w:bottom="2013" w:left="1446" w:header="851" w:footer="851" w:gutter="0"/>
          <w:cols w:space="720"/>
          <w:docGrid w:linePitch="272"/>
        </w:sectPr>
      </w:pPr>
    </w:p>
    <w:p w14:paraId="073FAC29" w14:textId="579A7BC7" w:rsidR="009D0C0B" w:rsidRPr="00B27CB1" w:rsidRDefault="00FF6E19" w:rsidP="00E91F85">
      <w:pPr>
        <w:pStyle w:val="Titre4"/>
        <w:rPr>
          <w:lang w:eastAsia="en-US"/>
        </w:rPr>
      </w:pPr>
      <w:r w:rsidRPr="00B27CB1" w:rsidDel="00FF6E19">
        <w:rPr>
          <w:lang w:val="en-GB"/>
        </w:rPr>
        <w:lastRenderedPageBreak/>
        <w:t xml:space="preserve"> </w:t>
      </w:r>
      <w:bookmarkStart w:id="177" w:name="_Toc87361204"/>
      <w:r w:rsidRPr="00B27CB1">
        <w:rPr>
          <w:lang w:val="en-GB"/>
        </w:rPr>
        <w:t>Exposure assessment</w:t>
      </w:r>
      <w:bookmarkEnd w:id="177"/>
    </w:p>
    <w:p w14:paraId="30BC5B91" w14:textId="77777777" w:rsidR="009D0C0B" w:rsidRPr="00B27CB1" w:rsidRDefault="00FA480B">
      <w:pPr>
        <w:spacing w:line="260" w:lineRule="atLeast"/>
        <w:jc w:val="both"/>
        <w:rPr>
          <w:rFonts w:eastAsia="Calibri"/>
          <w:b/>
          <w:bCs/>
          <w:lang w:eastAsia="en-US"/>
        </w:rPr>
      </w:pPr>
      <w:r w:rsidRPr="00B27CB1">
        <w:rPr>
          <w:rFonts w:eastAsia="Calibri"/>
          <w:b/>
          <w:bCs/>
          <w:lang w:eastAsia="en-US"/>
        </w:rPr>
        <w:t>Identification of main paths of human exposure towards active substance(s) and substances of concern from its use in biocidal product</w:t>
      </w:r>
    </w:p>
    <w:p w14:paraId="451185C5" w14:textId="77777777" w:rsidR="009D0C0B" w:rsidRPr="00B27CB1"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rsidRPr="00B27CB1" w14:paraId="26B02CEC" w14:textId="77777777" w:rsidTr="0026429B">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4C45A3F8" w14:textId="77777777" w:rsidR="009D0C0B" w:rsidRPr="00B27CB1" w:rsidRDefault="00FA480B">
            <w:pPr>
              <w:spacing w:line="260" w:lineRule="atLeast"/>
              <w:jc w:val="center"/>
            </w:pPr>
            <w:r w:rsidRPr="00B27CB1">
              <w:rPr>
                <w:rFonts w:eastAsia="Calibri"/>
                <w:b/>
                <w:lang w:eastAsia="en-US"/>
              </w:rPr>
              <w:t>Summary table: relevant paths of human exposure</w:t>
            </w:r>
          </w:p>
        </w:tc>
      </w:tr>
      <w:tr w:rsidR="009D0C0B" w:rsidRPr="00B27CB1" w14:paraId="03CD42D2" w14:textId="77777777" w:rsidTr="0026429B">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4FB82CAE" w14:textId="77777777" w:rsidR="009D0C0B" w:rsidRPr="00B27CB1" w:rsidRDefault="00FA480B">
            <w:pPr>
              <w:spacing w:line="260" w:lineRule="atLeast"/>
              <w:rPr>
                <w:rFonts w:eastAsia="Calibri"/>
                <w:b/>
                <w:lang w:eastAsia="en-US"/>
              </w:rPr>
            </w:pPr>
            <w:r w:rsidRPr="00B27CB1">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6796EBF8" w14:textId="77777777" w:rsidR="009D0C0B" w:rsidRPr="00B27CB1" w:rsidRDefault="00FA480B">
            <w:pPr>
              <w:spacing w:line="260" w:lineRule="atLeast"/>
              <w:rPr>
                <w:rFonts w:eastAsia="Calibri"/>
                <w:b/>
                <w:lang w:eastAsia="en-US"/>
              </w:rPr>
            </w:pPr>
            <w:r w:rsidRPr="00B27CB1">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23E7845A" w14:textId="77777777" w:rsidR="009D0C0B" w:rsidRPr="00B27CB1" w:rsidRDefault="00FA480B">
            <w:pPr>
              <w:spacing w:line="260" w:lineRule="atLeast"/>
            </w:pPr>
            <w:r w:rsidRPr="00B27CB1">
              <w:rPr>
                <w:rFonts w:eastAsia="Calibri"/>
                <w:b/>
                <w:lang w:eastAsia="en-US"/>
              </w:rPr>
              <w:t xml:space="preserve">Secondary (indirect) exposure </w:t>
            </w:r>
          </w:p>
        </w:tc>
      </w:tr>
      <w:tr w:rsidR="009D0C0B" w:rsidRPr="00B27CB1" w14:paraId="11FA4CEA" w14:textId="77777777" w:rsidTr="0026429B">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48928C2" w14:textId="77777777" w:rsidR="009D0C0B" w:rsidRPr="00B27CB1" w:rsidRDefault="009D0C0B"/>
        </w:tc>
        <w:tc>
          <w:tcPr>
            <w:tcW w:w="1134" w:type="dxa"/>
            <w:tcBorders>
              <w:top w:val="single" w:sz="6" w:space="0" w:color="000000"/>
              <w:left w:val="single" w:sz="6" w:space="0" w:color="000000"/>
              <w:bottom w:val="single" w:sz="6" w:space="0" w:color="000000"/>
            </w:tcBorders>
            <w:shd w:val="clear" w:color="auto" w:fill="auto"/>
          </w:tcPr>
          <w:p w14:paraId="4CED9CB4" w14:textId="77777777" w:rsidR="009D0C0B" w:rsidRPr="00B27CB1" w:rsidRDefault="00FA480B">
            <w:pPr>
              <w:spacing w:line="260" w:lineRule="atLeast"/>
              <w:rPr>
                <w:rFonts w:eastAsia="Calibri"/>
                <w:b/>
                <w:lang w:eastAsia="en-US"/>
              </w:rPr>
            </w:pPr>
            <w:r w:rsidRPr="00B27CB1">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52A1738A" w14:textId="77777777" w:rsidR="009D0C0B" w:rsidRPr="00B27CB1" w:rsidRDefault="00FA480B">
            <w:pPr>
              <w:spacing w:line="260" w:lineRule="atLeast"/>
              <w:rPr>
                <w:rFonts w:eastAsia="Calibri"/>
                <w:b/>
                <w:lang w:eastAsia="en-US"/>
              </w:rPr>
            </w:pPr>
            <w:r w:rsidRPr="00B27CB1">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16DA6048" w14:textId="77777777" w:rsidR="009D0C0B" w:rsidRPr="00B27CB1" w:rsidRDefault="00FA480B">
            <w:pPr>
              <w:spacing w:line="260" w:lineRule="atLeast"/>
              <w:rPr>
                <w:rFonts w:eastAsia="Calibri"/>
                <w:b/>
                <w:lang w:eastAsia="en-US"/>
              </w:rPr>
            </w:pPr>
            <w:r w:rsidRPr="00B27CB1">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52AC7A41" w14:textId="77777777" w:rsidR="009D0C0B" w:rsidRPr="00B27CB1" w:rsidRDefault="00FA480B">
            <w:pPr>
              <w:spacing w:line="260" w:lineRule="atLeast"/>
              <w:rPr>
                <w:rFonts w:eastAsia="Calibri"/>
                <w:b/>
                <w:lang w:eastAsia="en-US"/>
              </w:rPr>
            </w:pPr>
            <w:r w:rsidRPr="00B27CB1">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3DDAF01F" w14:textId="77777777" w:rsidR="009D0C0B" w:rsidRPr="00B27CB1" w:rsidRDefault="00FA480B">
            <w:pPr>
              <w:spacing w:line="260" w:lineRule="atLeast"/>
              <w:rPr>
                <w:rFonts w:eastAsia="Calibri"/>
                <w:b/>
                <w:lang w:eastAsia="en-US"/>
              </w:rPr>
            </w:pPr>
            <w:r w:rsidRPr="00B27CB1">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133AAD4E" w14:textId="77777777" w:rsidR="009D0C0B" w:rsidRPr="00B27CB1" w:rsidRDefault="00FA480B">
            <w:pPr>
              <w:spacing w:line="260" w:lineRule="atLeast"/>
              <w:rPr>
                <w:rFonts w:eastAsia="Calibri"/>
                <w:b/>
                <w:lang w:eastAsia="en-US"/>
              </w:rPr>
            </w:pPr>
            <w:r w:rsidRPr="00B27CB1">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D174D38" w14:textId="77777777" w:rsidR="009D0C0B" w:rsidRPr="00B27CB1" w:rsidRDefault="00FA480B">
            <w:pPr>
              <w:spacing w:line="260" w:lineRule="atLeast"/>
            </w:pPr>
            <w:r w:rsidRPr="00B27CB1">
              <w:rPr>
                <w:rFonts w:eastAsia="Calibri"/>
                <w:b/>
                <w:lang w:eastAsia="en-US"/>
              </w:rPr>
              <w:t>Via food</w:t>
            </w:r>
          </w:p>
        </w:tc>
      </w:tr>
      <w:tr w:rsidR="0026429B" w:rsidRPr="00B27CB1" w14:paraId="5E51D07E" w14:textId="77777777" w:rsidTr="0026429B">
        <w:tc>
          <w:tcPr>
            <w:tcW w:w="1208" w:type="dxa"/>
            <w:tcBorders>
              <w:top w:val="single" w:sz="6" w:space="0" w:color="000000"/>
              <w:left w:val="single" w:sz="6" w:space="0" w:color="000000"/>
              <w:bottom w:val="single" w:sz="6" w:space="0" w:color="000000"/>
            </w:tcBorders>
            <w:shd w:val="clear" w:color="auto" w:fill="auto"/>
          </w:tcPr>
          <w:p w14:paraId="4A65723E" w14:textId="77777777" w:rsidR="0026429B" w:rsidRPr="00B27CB1" w:rsidRDefault="0026429B" w:rsidP="0026429B">
            <w:pPr>
              <w:spacing w:line="260" w:lineRule="atLeast"/>
              <w:rPr>
                <w:rFonts w:eastAsia="Calibri"/>
                <w:lang w:eastAsia="en-US"/>
              </w:rPr>
            </w:pPr>
            <w:r w:rsidRPr="00B27CB1">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30DC8812" w14:textId="388186FB"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397" w:type="dxa"/>
            <w:tcBorders>
              <w:top w:val="single" w:sz="6" w:space="0" w:color="000000"/>
              <w:left w:val="single" w:sz="6" w:space="0" w:color="000000"/>
              <w:bottom w:val="single" w:sz="6" w:space="0" w:color="000000"/>
            </w:tcBorders>
            <w:shd w:val="clear" w:color="auto" w:fill="auto"/>
          </w:tcPr>
          <w:p w14:paraId="175CE253" w14:textId="5A516D2A"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61633E13" w14:textId="43EC37AF"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37515A63" w14:textId="2AE9EE8C"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373" w:type="dxa"/>
            <w:tcBorders>
              <w:top w:val="single" w:sz="6" w:space="0" w:color="000000"/>
              <w:left w:val="single" w:sz="6" w:space="0" w:color="000000"/>
              <w:bottom w:val="single" w:sz="6" w:space="0" w:color="000000"/>
            </w:tcBorders>
            <w:shd w:val="clear" w:color="auto" w:fill="auto"/>
          </w:tcPr>
          <w:p w14:paraId="470548A1" w14:textId="4BF5DB35"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849" w:type="dxa"/>
            <w:tcBorders>
              <w:top w:val="single" w:sz="6" w:space="0" w:color="000000"/>
              <w:left w:val="single" w:sz="6" w:space="0" w:color="000000"/>
              <w:bottom w:val="single" w:sz="6" w:space="0" w:color="000000"/>
            </w:tcBorders>
            <w:shd w:val="clear" w:color="auto" w:fill="auto"/>
          </w:tcPr>
          <w:p w14:paraId="30C018F6" w14:textId="692A9D1F"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548A725A" w14:textId="16BA862C" w:rsidR="0026429B" w:rsidRPr="00B27CB1" w:rsidRDefault="0026429B" w:rsidP="0026429B">
            <w:pPr>
              <w:snapToGrid w:val="0"/>
              <w:spacing w:line="260" w:lineRule="atLeast"/>
              <w:rPr>
                <w:rFonts w:eastAsia="Calibri"/>
                <w:lang w:eastAsia="en-US"/>
              </w:rPr>
            </w:pPr>
            <w:r>
              <w:rPr>
                <w:rFonts w:eastAsia="Calibri"/>
                <w:lang w:eastAsia="en-US"/>
              </w:rPr>
              <w:t>n.a.</w:t>
            </w:r>
          </w:p>
        </w:tc>
      </w:tr>
      <w:tr w:rsidR="0026429B" w:rsidRPr="00B27CB1" w14:paraId="49DED0D5" w14:textId="77777777" w:rsidTr="0026429B">
        <w:tc>
          <w:tcPr>
            <w:tcW w:w="1208" w:type="dxa"/>
            <w:tcBorders>
              <w:top w:val="single" w:sz="6" w:space="0" w:color="000000"/>
              <w:left w:val="single" w:sz="6" w:space="0" w:color="000000"/>
              <w:bottom w:val="single" w:sz="6" w:space="0" w:color="000000"/>
            </w:tcBorders>
            <w:shd w:val="clear" w:color="auto" w:fill="auto"/>
          </w:tcPr>
          <w:p w14:paraId="03B85DE6" w14:textId="77777777" w:rsidR="0026429B" w:rsidRPr="00B27CB1" w:rsidRDefault="0026429B" w:rsidP="0026429B">
            <w:pPr>
              <w:spacing w:line="260" w:lineRule="atLeast"/>
              <w:rPr>
                <w:rFonts w:eastAsia="Calibri"/>
                <w:lang w:eastAsia="en-US"/>
              </w:rPr>
            </w:pPr>
            <w:r w:rsidRPr="00B27CB1">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52F6F827" w14:textId="51B0C30B"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397" w:type="dxa"/>
            <w:tcBorders>
              <w:top w:val="single" w:sz="6" w:space="0" w:color="000000"/>
              <w:left w:val="single" w:sz="6" w:space="0" w:color="000000"/>
              <w:bottom w:val="single" w:sz="6" w:space="0" w:color="000000"/>
            </w:tcBorders>
            <w:shd w:val="clear" w:color="auto" w:fill="auto"/>
          </w:tcPr>
          <w:p w14:paraId="679AC177" w14:textId="00D5D627"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36FCCF24" w14:textId="58210D5D"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1BA37AE9" w14:textId="6B7133B1"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1373" w:type="dxa"/>
            <w:tcBorders>
              <w:top w:val="single" w:sz="6" w:space="0" w:color="000000"/>
              <w:left w:val="single" w:sz="6" w:space="0" w:color="000000"/>
              <w:bottom w:val="single" w:sz="6" w:space="0" w:color="000000"/>
            </w:tcBorders>
            <w:shd w:val="clear" w:color="auto" w:fill="auto"/>
          </w:tcPr>
          <w:p w14:paraId="69AF0686" w14:textId="31E76FE6"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849" w:type="dxa"/>
            <w:tcBorders>
              <w:top w:val="single" w:sz="6" w:space="0" w:color="000000"/>
              <w:left w:val="single" w:sz="6" w:space="0" w:color="000000"/>
              <w:bottom w:val="single" w:sz="6" w:space="0" w:color="000000"/>
            </w:tcBorders>
            <w:shd w:val="clear" w:color="auto" w:fill="auto"/>
          </w:tcPr>
          <w:p w14:paraId="7A9A2043" w14:textId="22DAAC98"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05D4A587" w14:textId="77AEE0AD" w:rsidR="0026429B" w:rsidRPr="00B27CB1" w:rsidRDefault="0026429B" w:rsidP="0026429B">
            <w:pPr>
              <w:snapToGrid w:val="0"/>
              <w:spacing w:line="260" w:lineRule="atLeast"/>
              <w:rPr>
                <w:rFonts w:eastAsia="Calibri"/>
                <w:lang w:eastAsia="en-US"/>
              </w:rPr>
            </w:pPr>
            <w:r>
              <w:rPr>
                <w:rFonts w:eastAsia="Calibri"/>
                <w:lang w:eastAsia="en-US"/>
              </w:rPr>
              <w:t>n.a.</w:t>
            </w:r>
          </w:p>
        </w:tc>
      </w:tr>
      <w:tr w:rsidR="0026429B" w:rsidRPr="00B27CB1" w14:paraId="7BD6E36F" w14:textId="77777777" w:rsidTr="0026429B">
        <w:tc>
          <w:tcPr>
            <w:tcW w:w="1208" w:type="dxa"/>
            <w:tcBorders>
              <w:top w:val="single" w:sz="6" w:space="0" w:color="000000"/>
              <w:left w:val="single" w:sz="6" w:space="0" w:color="000000"/>
              <w:bottom w:val="single" w:sz="6" w:space="0" w:color="000000"/>
            </w:tcBorders>
            <w:shd w:val="clear" w:color="auto" w:fill="auto"/>
          </w:tcPr>
          <w:p w14:paraId="03FE5C57" w14:textId="77777777" w:rsidR="0026429B" w:rsidRPr="00B27CB1" w:rsidRDefault="0026429B" w:rsidP="0026429B">
            <w:pPr>
              <w:spacing w:line="260" w:lineRule="atLeast"/>
              <w:rPr>
                <w:rFonts w:eastAsia="Calibri"/>
                <w:lang w:eastAsia="en-US"/>
              </w:rPr>
            </w:pPr>
            <w:r w:rsidRPr="00B27CB1">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50292ABB" w14:textId="333678CA" w:rsidR="0026429B" w:rsidRPr="00B27CB1" w:rsidRDefault="0026429B" w:rsidP="0026429B">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56591974" w14:textId="26854D3E" w:rsidR="0026429B" w:rsidRPr="00B27CB1" w:rsidRDefault="0026429B" w:rsidP="0026429B">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333268F5" w14:textId="070A9775" w:rsidR="0026429B" w:rsidRPr="00B27CB1" w:rsidRDefault="0026429B" w:rsidP="0026429B">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2FF15579" w14:textId="70D90E66" w:rsidR="0026429B" w:rsidRPr="00B27CB1" w:rsidRDefault="0026429B" w:rsidP="0026429B">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5868CDF6" w14:textId="16BC96C2" w:rsidR="0026429B" w:rsidRPr="00B27CB1" w:rsidRDefault="0026429B" w:rsidP="0026429B">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47B22963" w14:textId="08C48139" w:rsidR="0026429B" w:rsidRPr="00B27CB1" w:rsidRDefault="0026429B" w:rsidP="0026429B">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EA9EB2" w14:textId="055F4380" w:rsidR="0026429B" w:rsidRPr="00B27CB1" w:rsidRDefault="0026429B" w:rsidP="0026429B">
            <w:pPr>
              <w:snapToGrid w:val="0"/>
              <w:spacing w:line="260" w:lineRule="atLeast"/>
              <w:rPr>
                <w:rFonts w:eastAsia="Calibri"/>
                <w:lang w:eastAsia="en-US"/>
              </w:rPr>
            </w:pPr>
            <w:r>
              <w:rPr>
                <w:rFonts w:eastAsia="Calibri"/>
                <w:lang w:eastAsia="en-US"/>
              </w:rPr>
              <w:t>Yes</w:t>
            </w:r>
          </w:p>
        </w:tc>
      </w:tr>
    </w:tbl>
    <w:p w14:paraId="695AE73B" w14:textId="77777777" w:rsidR="0026429B" w:rsidRDefault="0026429B">
      <w:pPr>
        <w:spacing w:line="260" w:lineRule="atLeast"/>
        <w:rPr>
          <w:rFonts w:ascii="Times New Roman" w:eastAsia="Calibri" w:hAnsi="Times New Roman" w:cs="Times New Roman"/>
          <w:i/>
          <w:iCs/>
          <w:lang w:eastAsia="en-US"/>
        </w:rPr>
      </w:pPr>
    </w:p>
    <w:p w14:paraId="66E33424" w14:textId="77777777" w:rsidR="004E5C8E" w:rsidRDefault="004E5C8E" w:rsidP="00E91F85">
      <w:pPr>
        <w:spacing w:line="260" w:lineRule="atLeast"/>
        <w:jc w:val="both"/>
        <w:rPr>
          <w:rFonts w:eastAsia="Calibri" w:cs="Times New Roman"/>
          <w:i/>
          <w:iCs/>
          <w:u w:val="single"/>
          <w:lang w:eastAsia="en-US"/>
        </w:rPr>
      </w:pPr>
    </w:p>
    <w:p w14:paraId="67F6B9E6"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LACTIC ACID BASED PRODUCTS family</w:t>
      </w:r>
      <w:r w:rsidRPr="00365440">
        <w:rPr>
          <w:rFonts w:eastAsia="Calibri" w:cs="Times New Roman"/>
          <w:iCs/>
          <w:lang w:eastAsia="en-US"/>
        </w:rPr>
        <w:t xml:space="preserve"> is used</w:t>
      </w:r>
      <w:r>
        <w:rPr>
          <w:rFonts w:eastAsia="Calibri" w:cs="Times New Roman"/>
          <w:iCs/>
          <w:lang w:eastAsia="en-US"/>
        </w:rPr>
        <w:t xml:space="preserve"> by industrials/professionals for:</w:t>
      </w:r>
    </w:p>
    <w:p w14:paraId="7F46935A" w14:textId="77777777" w:rsidR="004E5C8E" w:rsidRDefault="004E5C8E" w:rsidP="004E5C8E">
      <w:pPr>
        <w:spacing w:line="260" w:lineRule="atLeast"/>
        <w:jc w:val="both"/>
        <w:rPr>
          <w:rFonts w:eastAsia="Calibri" w:cs="Times New Roman"/>
          <w:iCs/>
          <w:lang w:eastAsia="en-US"/>
        </w:rPr>
      </w:pPr>
    </w:p>
    <w:p w14:paraId="518FEBFD" w14:textId="77777777" w:rsidR="004E5C8E" w:rsidRPr="00441F9B" w:rsidRDefault="004E5C8E" w:rsidP="004E5C8E">
      <w:pPr>
        <w:pStyle w:val="Paragraphedeliste"/>
        <w:numPr>
          <w:ilvl w:val="0"/>
          <w:numId w:val="7"/>
        </w:numPr>
        <w:spacing w:line="260" w:lineRule="atLeast"/>
        <w:jc w:val="both"/>
        <w:rPr>
          <w:rFonts w:eastAsia="Calibri" w:cs="Times New Roman"/>
          <w:b/>
          <w:iCs/>
          <w:lang w:eastAsia="en-US"/>
        </w:rPr>
      </w:pPr>
      <w:r w:rsidRPr="004D79EF">
        <w:rPr>
          <w:rFonts w:eastAsia="Calibri" w:cs="Times New Roman"/>
          <w:iCs/>
          <w:lang w:eastAsia="en-US"/>
        </w:rPr>
        <w:t>Disinfect</w:t>
      </w:r>
      <w:r>
        <w:rPr>
          <w:rFonts w:eastAsia="Calibri" w:cs="Times New Roman"/>
          <w:iCs/>
          <w:lang w:eastAsia="en-US"/>
        </w:rPr>
        <w:t>ion</w:t>
      </w:r>
      <w:r w:rsidRPr="004D79EF">
        <w:rPr>
          <w:rFonts w:eastAsia="Calibri" w:cs="Times New Roman"/>
          <w:iCs/>
          <w:lang w:eastAsia="en-US"/>
        </w:rPr>
        <w:t xml:space="preserve"> for hard surfaces of industry, institution, healthcare facilities and food preparation and handling areas</w:t>
      </w:r>
      <w:r>
        <w:rPr>
          <w:rFonts w:eastAsia="Calibri" w:cs="Times New Roman"/>
          <w:iCs/>
          <w:lang w:eastAsia="en-US"/>
        </w:rPr>
        <w:t xml:space="preserve"> by spraying/wiping/mopping/brushing/scrubbing (PT 2-4) - </w:t>
      </w:r>
      <w:r>
        <w:rPr>
          <w:rFonts w:eastAsia="Calibri" w:cs="Times New Roman"/>
          <w:b/>
          <w:iCs/>
          <w:lang w:eastAsia="en-US"/>
        </w:rPr>
        <w:t>M</w:t>
      </w:r>
      <w:r w:rsidRPr="00441F9B">
        <w:rPr>
          <w:rFonts w:eastAsia="Calibri" w:cs="Times New Roman"/>
          <w:b/>
          <w:iCs/>
          <w:lang w:eastAsia="en-US"/>
        </w:rPr>
        <w:t xml:space="preserve">eta SPC </w:t>
      </w:r>
      <w:r>
        <w:rPr>
          <w:rFonts w:eastAsia="Calibri" w:cs="Times New Roman"/>
          <w:b/>
          <w:iCs/>
          <w:lang w:eastAsia="en-US"/>
        </w:rPr>
        <w:t>2-3-4-6-7-11-12-13</w:t>
      </w:r>
    </w:p>
    <w:p w14:paraId="195D3256" w14:textId="77777777" w:rsidR="004E5C8E" w:rsidRPr="00441F9B" w:rsidRDefault="004E5C8E" w:rsidP="004E5C8E">
      <w:pPr>
        <w:pStyle w:val="Paragraphedeliste"/>
        <w:spacing w:line="260" w:lineRule="atLeast"/>
        <w:ind w:left="360"/>
        <w:jc w:val="both"/>
        <w:rPr>
          <w:rFonts w:eastAsia="Calibri"/>
          <w:b/>
          <w:lang w:eastAsia="en-US"/>
        </w:rPr>
      </w:pPr>
    </w:p>
    <w:p w14:paraId="2760D686"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LACTIC ACID BASED PRODUCTS family</w:t>
      </w:r>
      <w:r w:rsidRPr="00365440">
        <w:rPr>
          <w:rFonts w:eastAsia="Calibri" w:cs="Times New Roman"/>
          <w:iCs/>
          <w:lang w:eastAsia="en-US"/>
        </w:rPr>
        <w:t xml:space="preserve"> is used</w:t>
      </w:r>
      <w:r>
        <w:rPr>
          <w:rFonts w:eastAsia="Calibri" w:cs="Times New Roman"/>
          <w:iCs/>
          <w:lang w:eastAsia="en-US"/>
        </w:rPr>
        <w:t xml:space="preserve"> by non-professionals for:</w:t>
      </w:r>
    </w:p>
    <w:p w14:paraId="49129EE2" w14:textId="77777777" w:rsidR="004E5C8E" w:rsidRDefault="004E5C8E" w:rsidP="004E5C8E">
      <w:pPr>
        <w:spacing w:line="260" w:lineRule="atLeast"/>
        <w:jc w:val="both"/>
        <w:rPr>
          <w:rFonts w:eastAsia="Calibri" w:cs="Times New Roman"/>
          <w:iCs/>
          <w:lang w:eastAsia="en-US"/>
        </w:rPr>
      </w:pPr>
    </w:p>
    <w:p w14:paraId="25B8252C" w14:textId="0D3EBD2C" w:rsidR="00E267DF" w:rsidRPr="007A4DA8" w:rsidRDefault="00E267DF" w:rsidP="007A4DA8">
      <w:pPr>
        <w:spacing w:line="260" w:lineRule="atLeast"/>
        <w:jc w:val="both"/>
        <w:rPr>
          <w:rFonts w:eastAsia="Calibri" w:cs="Times New Roman"/>
          <w:b/>
          <w:iCs/>
          <w:lang w:eastAsia="en-US"/>
        </w:rPr>
      </w:pPr>
    </w:p>
    <w:p w14:paraId="1AC9D792" w14:textId="77777777" w:rsidR="00E267DF" w:rsidRPr="007A4DA8" w:rsidRDefault="00E267DF" w:rsidP="00E267DF">
      <w:pPr>
        <w:spacing w:line="260" w:lineRule="atLeast"/>
        <w:jc w:val="both"/>
        <w:rPr>
          <w:rFonts w:eastAsia="Calibri" w:cs="Times New Roman"/>
          <w:b/>
          <w:iCs/>
          <w:lang w:eastAsia="en-US"/>
        </w:rPr>
      </w:pPr>
      <w:r w:rsidRPr="007A4DA8">
        <w:rPr>
          <w:rFonts w:eastAsia="Calibri" w:cs="Times New Roman"/>
          <w:b/>
          <w:iCs/>
          <w:lang w:eastAsia="en-US"/>
        </w:rPr>
        <w:t>For Meta SPC 1, 2, 8, 9 and 10 (PT2)</w:t>
      </w:r>
    </w:p>
    <w:p w14:paraId="4C5FC671" w14:textId="36B3E5B1" w:rsidR="00E267DF" w:rsidRPr="00E267DF" w:rsidRDefault="00E267DF" w:rsidP="007A4DA8">
      <w:pPr>
        <w:pStyle w:val="Paragraphedeliste"/>
        <w:numPr>
          <w:ilvl w:val="0"/>
          <w:numId w:val="7"/>
        </w:numPr>
        <w:spacing w:line="260" w:lineRule="atLeast"/>
        <w:jc w:val="both"/>
        <w:rPr>
          <w:rFonts w:eastAsia="Calibri" w:cs="Times New Roman"/>
          <w:iCs/>
          <w:lang w:eastAsia="en-US"/>
        </w:rPr>
      </w:pPr>
      <w:r w:rsidRPr="00E267DF">
        <w:rPr>
          <w:rFonts w:eastAsia="Calibri" w:cs="Times New Roman"/>
          <w:iCs/>
          <w:lang w:eastAsia="en-US"/>
        </w:rPr>
        <w:t>Disinfectants for hard surfaces of domestic area by:</w:t>
      </w:r>
    </w:p>
    <w:p w14:paraId="4930620F" w14:textId="6ADF2C47" w:rsidR="00E267DF" w:rsidRPr="00E267DF" w:rsidRDefault="00E267DF" w:rsidP="00E267DF">
      <w:pPr>
        <w:spacing w:line="260" w:lineRule="atLeast"/>
        <w:jc w:val="both"/>
        <w:rPr>
          <w:rFonts w:eastAsia="Calibri" w:cs="Times New Roman"/>
          <w:iCs/>
          <w:lang w:eastAsia="en-US"/>
        </w:rPr>
      </w:pPr>
      <w:r w:rsidRPr="00E267DF">
        <w:rPr>
          <w:rFonts w:eastAsia="Calibri" w:cs="Times New Roman"/>
          <w:iCs/>
          <w:lang w:eastAsia="en-US"/>
        </w:rPr>
        <w:t xml:space="preserve">Spraying, Wiping, Brushing, </w:t>
      </w:r>
      <w:r>
        <w:rPr>
          <w:rFonts w:eastAsia="Calibri" w:cs="Times New Roman"/>
          <w:iCs/>
          <w:lang w:eastAsia="en-US"/>
        </w:rPr>
        <w:t>Scrubbing for Meta SPC 1 and 2</w:t>
      </w:r>
      <w:r w:rsidRPr="00E267DF">
        <w:rPr>
          <w:rFonts w:eastAsia="Calibri" w:cs="Times New Roman"/>
          <w:iCs/>
          <w:lang w:eastAsia="en-US"/>
        </w:rPr>
        <w:t xml:space="preserve"> plus mopping for Meta SPC 10</w:t>
      </w:r>
      <w:r>
        <w:rPr>
          <w:rFonts w:eastAsia="Calibri" w:cs="Times New Roman"/>
          <w:iCs/>
          <w:lang w:eastAsia="en-US"/>
        </w:rPr>
        <w:t xml:space="preserve"> and </w:t>
      </w:r>
      <w:r w:rsidRPr="00E267DF">
        <w:rPr>
          <w:rFonts w:eastAsia="Calibri" w:cs="Times New Roman"/>
          <w:iCs/>
          <w:lang w:eastAsia="en-US"/>
        </w:rPr>
        <w:t xml:space="preserve">Wiping, Brushing, </w:t>
      </w:r>
      <w:r>
        <w:rPr>
          <w:rFonts w:eastAsia="Calibri" w:cs="Times New Roman"/>
          <w:iCs/>
          <w:lang w:eastAsia="en-US"/>
        </w:rPr>
        <w:t>Scrubbing, Mopping for Meta SPC 8 and 9</w:t>
      </w:r>
    </w:p>
    <w:p w14:paraId="602EA739" w14:textId="77777777" w:rsidR="00E267DF" w:rsidRPr="00E267DF" w:rsidRDefault="00E267DF" w:rsidP="00E267DF">
      <w:pPr>
        <w:spacing w:line="260" w:lineRule="atLeast"/>
        <w:jc w:val="both"/>
        <w:rPr>
          <w:rFonts w:eastAsia="Calibri" w:cs="Times New Roman"/>
          <w:iCs/>
          <w:lang w:eastAsia="en-US"/>
        </w:rPr>
      </w:pPr>
    </w:p>
    <w:p w14:paraId="78D2245F" w14:textId="37910F9F" w:rsidR="00E267DF" w:rsidRPr="007A4DA8" w:rsidRDefault="00E267DF" w:rsidP="00E267DF">
      <w:pPr>
        <w:spacing w:line="260" w:lineRule="atLeast"/>
        <w:jc w:val="both"/>
        <w:rPr>
          <w:rFonts w:eastAsia="Calibri" w:cs="Times New Roman"/>
          <w:b/>
          <w:iCs/>
          <w:lang w:eastAsia="en-US"/>
        </w:rPr>
      </w:pPr>
      <w:r w:rsidRPr="007A4DA8">
        <w:rPr>
          <w:rFonts w:eastAsia="Calibri" w:cs="Times New Roman"/>
          <w:b/>
          <w:iCs/>
          <w:lang w:eastAsia="en-US"/>
        </w:rPr>
        <w:t>For Meta SPC 2 (PT4)</w:t>
      </w:r>
    </w:p>
    <w:p w14:paraId="30CA5B94" w14:textId="0F348489" w:rsidR="00E267DF" w:rsidRPr="00E267DF" w:rsidRDefault="00E267DF" w:rsidP="007A4DA8">
      <w:pPr>
        <w:pStyle w:val="Paragraphedeliste"/>
        <w:numPr>
          <w:ilvl w:val="0"/>
          <w:numId w:val="7"/>
        </w:numPr>
        <w:spacing w:line="260" w:lineRule="atLeast"/>
        <w:jc w:val="both"/>
        <w:rPr>
          <w:rFonts w:eastAsia="Calibri" w:cs="Times New Roman"/>
          <w:iCs/>
          <w:lang w:eastAsia="en-US"/>
        </w:rPr>
      </w:pPr>
      <w:r w:rsidRPr="00E267DF">
        <w:rPr>
          <w:rFonts w:eastAsia="Calibri" w:cs="Times New Roman"/>
          <w:iCs/>
          <w:lang w:eastAsia="en-US"/>
        </w:rPr>
        <w:t>Disinfectants for hard surfaces including food contact surfaces of domestic area by:</w:t>
      </w:r>
    </w:p>
    <w:p w14:paraId="5E281B66" w14:textId="15CFE6B8" w:rsidR="00E267DF" w:rsidRPr="00E267DF" w:rsidRDefault="00E267DF" w:rsidP="00E267DF">
      <w:pPr>
        <w:spacing w:line="260" w:lineRule="atLeast"/>
        <w:jc w:val="both"/>
        <w:rPr>
          <w:rFonts w:eastAsia="Calibri" w:cs="Times New Roman"/>
          <w:iCs/>
          <w:lang w:eastAsia="en-US"/>
        </w:rPr>
      </w:pPr>
      <w:r w:rsidRPr="00E267DF">
        <w:rPr>
          <w:rFonts w:eastAsia="Calibri" w:cs="Times New Roman"/>
          <w:iCs/>
          <w:lang w:eastAsia="en-US"/>
        </w:rPr>
        <w:t xml:space="preserve">Spraying, Wiping, Brushing, </w:t>
      </w:r>
      <w:r>
        <w:rPr>
          <w:rFonts w:eastAsia="Calibri" w:cs="Times New Roman"/>
          <w:iCs/>
          <w:lang w:eastAsia="en-US"/>
        </w:rPr>
        <w:t>S</w:t>
      </w:r>
      <w:r w:rsidRPr="00E267DF">
        <w:rPr>
          <w:rFonts w:eastAsia="Calibri" w:cs="Times New Roman"/>
          <w:iCs/>
          <w:lang w:eastAsia="en-US"/>
        </w:rPr>
        <w:t>crubbing</w:t>
      </w:r>
    </w:p>
    <w:p w14:paraId="43B001B4" w14:textId="77777777" w:rsidR="00E267DF" w:rsidRPr="00E267DF" w:rsidRDefault="00E267DF" w:rsidP="00E267DF">
      <w:pPr>
        <w:spacing w:line="260" w:lineRule="atLeast"/>
        <w:jc w:val="both"/>
        <w:rPr>
          <w:rFonts w:eastAsia="Calibri" w:cs="Times New Roman"/>
          <w:iCs/>
          <w:lang w:eastAsia="en-US"/>
        </w:rPr>
      </w:pPr>
    </w:p>
    <w:p w14:paraId="6FB07D4B" w14:textId="3CF71997" w:rsidR="004E5C8E" w:rsidRPr="007A4DA8" w:rsidRDefault="00E267DF" w:rsidP="00E267DF">
      <w:pPr>
        <w:spacing w:line="260" w:lineRule="atLeast"/>
        <w:jc w:val="both"/>
        <w:rPr>
          <w:rFonts w:eastAsia="Calibri" w:cs="Times New Roman"/>
          <w:b/>
          <w:iCs/>
          <w:lang w:eastAsia="en-US"/>
        </w:rPr>
      </w:pPr>
      <w:r w:rsidRPr="007A4DA8">
        <w:rPr>
          <w:rFonts w:eastAsia="Calibri" w:cs="Times New Roman"/>
          <w:b/>
          <w:iCs/>
          <w:lang w:eastAsia="en-US"/>
        </w:rPr>
        <w:t>For Meta SPC 9 and 10 (PT3</w:t>
      </w:r>
      <w:r w:rsidRPr="003213B9">
        <w:rPr>
          <w:rFonts w:eastAsia="Calibri" w:cs="Times New Roman"/>
          <w:b/>
          <w:iCs/>
          <w:lang w:eastAsia="en-US"/>
        </w:rPr>
        <w:t>)</w:t>
      </w:r>
    </w:p>
    <w:p w14:paraId="0CF2DC4A" w14:textId="391FCE8D" w:rsidR="00E267DF" w:rsidRPr="00E267DF" w:rsidRDefault="00E267DF" w:rsidP="007A4DA8">
      <w:pPr>
        <w:pStyle w:val="Paragraphedeliste"/>
        <w:numPr>
          <w:ilvl w:val="0"/>
          <w:numId w:val="7"/>
        </w:numPr>
        <w:spacing w:line="260" w:lineRule="atLeast"/>
        <w:jc w:val="both"/>
        <w:rPr>
          <w:rFonts w:eastAsia="Calibri" w:cs="Times New Roman"/>
          <w:iCs/>
          <w:lang w:eastAsia="en-US"/>
        </w:rPr>
      </w:pPr>
      <w:r w:rsidRPr="00E267DF">
        <w:rPr>
          <w:rFonts w:eastAsia="Calibri" w:cs="Times New Roman"/>
          <w:iCs/>
          <w:lang w:eastAsia="en-US"/>
        </w:rPr>
        <w:t>Disinfectants for hard surfaces in companion animals’ environment for private homes and pets shelters by:</w:t>
      </w:r>
    </w:p>
    <w:p w14:paraId="47313490" w14:textId="09F5BC5E" w:rsidR="00E267DF" w:rsidRDefault="00E267DF" w:rsidP="00E267DF">
      <w:pPr>
        <w:spacing w:line="260" w:lineRule="atLeast"/>
        <w:jc w:val="both"/>
        <w:rPr>
          <w:rFonts w:eastAsia="Calibri" w:cs="Times New Roman"/>
          <w:iCs/>
          <w:lang w:eastAsia="en-US"/>
        </w:rPr>
      </w:pPr>
      <w:r w:rsidRPr="00E267DF">
        <w:rPr>
          <w:rFonts w:eastAsia="Calibri" w:cs="Times New Roman"/>
          <w:iCs/>
          <w:lang w:eastAsia="en-US"/>
        </w:rPr>
        <w:t xml:space="preserve">Wiping, Brushing, </w:t>
      </w:r>
      <w:r>
        <w:rPr>
          <w:rFonts w:eastAsia="Calibri" w:cs="Times New Roman"/>
          <w:iCs/>
          <w:lang w:eastAsia="en-US"/>
        </w:rPr>
        <w:t xml:space="preserve">Scrubbing, Mopping for Meta SPC 9 and </w:t>
      </w:r>
      <w:r w:rsidRPr="00E267DF">
        <w:rPr>
          <w:rFonts w:eastAsia="Calibri" w:cs="Times New Roman"/>
          <w:iCs/>
          <w:lang w:eastAsia="en-US"/>
        </w:rPr>
        <w:t xml:space="preserve">Spraying, Wiping, Brushing, </w:t>
      </w:r>
      <w:r>
        <w:rPr>
          <w:rFonts w:eastAsia="Calibri" w:cs="Times New Roman"/>
          <w:iCs/>
          <w:lang w:eastAsia="en-US"/>
        </w:rPr>
        <w:t>Scrubbing, Mopping for Meta SPC 10</w:t>
      </w:r>
    </w:p>
    <w:p w14:paraId="0D2BAED4" w14:textId="5D91F72D" w:rsidR="00E267DF" w:rsidRDefault="00E267DF" w:rsidP="004E5C8E">
      <w:pPr>
        <w:spacing w:line="260" w:lineRule="atLeast"/>
        <w:jc w:val="both"/>
        <w:rPr>
          <w:rFonts w:eastAsia="Calibri" w:cs="Times New Roman"/>
          <w:iCs/>
          <w:lang w:eastAsia="en-US"/>
        </w:rPr>
      </w:pPr>
    </w:p>
    <w:p w14:paraId="43C46372" w14:textId="77777777" w:rsidR="00E267DF" w:rsidRDefault="00E267DF" w:rsidP="004E5C8E">
      <w:pPr>
        <w:spacing w:line="260" w:lineRule="atLeast"/>
        <w:jc w:val="both"/>
        <w:rPr>
          <w:rFonts w:eastAsia="Calibri" w:cs="Times New Roman"/>
          <w:iCs/>
          <w:lang w:eastAsia="en-US"/>
        </w:rPr>
      </w:pPr>
    </w:p>
    <w:p w14:paraId="60C38D1F"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The biocidal products are packed in:</w:t>
      </w:r>
    </w:p>
    <w:p w14:paraId="4909C73C" w14:textId="77777777" w:rsidR="004E5C8E" w:rsidRDefault="004E5C8E" w:rsidP="004E5C8E">
      <w:pPr>
        <w:spacing w:line="260" w:lineRule="atLeast"/>
        <w:jc w:val="both"/>
        <w:rPr>
          <w:rFonts w:eastAsia="Calibri" w:cs="Times New Roman"/>
          <w:iCs/>
          <w:lang w:eastAsia="en-US"/>
        </w:rPr>
      </w:pPr>
    </w:p>
    <w:p w14:paraId="172D34FF" w14:textId="77777777" w:rsidR="004E5C8E"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 xml:space="preserve">Trigger spray (from 500 mL to 1 L) </w:t>
      </w:r>
    </w:p>
    <w:p w14:paraId="3C56D934" w14:textId="77777777" w:rsidR="004E5C8E"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Foam trigger (from 500 mL to 1 L</w:t>
      </w:r>
      <w:r w:rsidDel="00186ECE">
        <w:rPr>
          <w:rFonts w:eastAsia="Calibri" w:cs="Times New Roman"/>
          <w:iCs/>
          <w:lang w:eastAsia="en-US"/>
        </w:rPr>
        <w:t xml:space="preserve"> </w:t>
      </w:r>
      <w:r>
        <w:rPr>
          <w:rFonts w:eastAsia="Calibri" w:cs="Times New Roman"/>
          <w:iCs/>
          <w:lang w:eastAsia="en-US"/>
        </w:rPr>
        <w:t>)</w:t>
      </w:r>
    </w:p>
    <w:p w14:paraId="6AD76D11" w14:textId="77777777" w:rsidR="004E5C8E"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Bottle (from 250 mL to 1L)</w:t>
      </w:r>
    </w:p>
    <w:p w14:paraId="65800276" w14:textId="77777777" w:rsidR="004E5C8E"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Drum (5-10L)</w:t>
      </w:r>
    </w:p>
    <w:p w14:paraId="7AEB483F" w14:textId="77777777" w:rsidR="004E5C8E"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Barrel (from 20L to 200 L)</w:t>
      </w:r>
    </w:p>
    <w:p w14:paraId="2F3FA1DB" w14:textId="77777777" w:rsidR="004E5C8E" w:rsidRPr="00EC18E3" w:rsidRDefault="004E5C8E" w:rsidP="004E5C8E">
      <w:pPr>
        <w:pStyle w:val="Paragraphedeliste"/>
        <w:numPr>
          <w:ilvl w:val="0"/>
          <w:numId w:val="7"/>
        </w:numPr>
        <w:spacing w:line="260" w:lineRule="atLeast"/>
        <w:ind w:left="720"/>
        <w:rPr>
          <w:rFonts w:eastAsia="Calibri" w:cs="Times New Roman"/>
          <w:iCs/>
          <w:lang w:eastAsia="en-US"/>
        </w:rPr>
      </w:pPr>
      <w:r>
        <w:rPr>
          <w:rFonts w:eastAsia="Calibri" w:cs="Times New Roman"/>
          <w:iCs/>
          <w:lang w:eastAsia="en-US"/>
        </w:rPr>
        <w:t>IBC (1000L)</w:t>
      </w:r>
    </w:p>
    <w:p w14:paraId="373129E6" w14:textId="77777777" w:rsidR="004E5C8E" w:rsidRDefault="004E5C8E" w:rsidP="004E5C8E">
      <w:pPr>
        <w:spacing w:line="260" w:lineRule="atLeast"/>
        <w:rPr>
          <w:rFonts w:eastAsia="Calibri" w:cs="Times New Roman"/>
          <w:iCs/>
          <w:lang w:eastAsia="en-US"/>
        </w:rPr>
      </w:pPr>
    </w:p>
    <w:p w14:paraId="74212023" w14:textId="77777777" w:rsidR="004E5C8E" w:rsidRPr="0084576F" w:rsidRDefault="004E5C8E" w:rsidP="004E5C8E">
      <w:pPr>
        <w:spacing w:line="260" w:lineRule="atLeast"/>
        <w:jc w:val="both"/>
        <w:rPr>
          <w:rFonts w:eastAsia="Calibri" w:cs="Times New Roman"/>
          <w:b/>
          <w:iCs/>
          <w:u w:val="single"/>
          <w:lang w:eastAsia="en-US"/>
        </w:rPr>
      </w:pPr>
      <w:r w:rsidRPr="0084576F">
        <w:rPr>
          <w:rFonts w:eastAsia="Calibri" w:cs="Times New Roman"/>
          <w:b/>
          <w:iCs/>
          <w:u w:val="single"/>
          <w:lang w:eastAsia="en-US"/>
        </w:rPr>
        <w:t>Systemic effects</w:t>
      </w:r>
    </w:p>
    <w:p w14:paraId="001E22CF" w14:textId="77777777" w:rsidR="004E5C8E" w:rsidRPr="001F2CB5" w:rsidRDefault="004E5C8E" w:rsidP="004E5C8E">
      <w:pPr>
        <w:spacing w:line="260" w:lineRule="atLeast"/>
        <w:jc w:val="both"/>
        <w:rPr>
          <w:rFonts w:eastAsia="Calibri" w:cs="Times New Roman"/>
          <w:b/>
          <w:i/>
          <w:iCs/>
          <w:u w:val="single"/>
          <w:lang w:eastAsia="en-US"/>
        </w:rPr>
      </w:pPr>
      <w:r w:rsidRPr="003F24C4">
        <w:rPr>
          <w:rFonts w:eastAsia="Calibri" w:cs="Times New Roman"/>
          <w:i/>
          <w:iCs/>
          <w:u w:val="single"/>
          <w:lang w:eastAsia="en-US"/>
        </w:rPr>
        <w:lastRenderedPageBreak/>
        <w:t>L(+)-lactic acid</w:t>
      </w:r>
      <w:r w:rsidRPr="005F1B2E">
        <w:rPr>
          <w:rFonts w:eastAsia="Calibri" w:cs="Times New Roman"/>
          <w:i/>
          <w:iCs/>
          <w:u w:val="single"/>
          <w:lang w:eastAsia="en-US"/>
        </w:rPr>
        <w:t xml:space="preserve"> </w:t>
      </w:r>
      <w:r w:rsidRPr="001F2CB5">
        <w:rPr>
          <w:rFonts w:eastAsia="Calibri" w:cs="Times New Roman"/>
          <w:b/>
          <w:i/>
          <w:iCs/>
          <w:u w:val="single"/>
          <w:lang w:eastAsia="en-US"/>
        </w:rPr>
        <w:t>(all meta SPC)</w:t>
      </w:r>
    </w:p>
    <w:p w14:paraId="1F2A197F" w14:textId="77777777" w:rsidR="004E5C8E" w:rsidRPr="0084576F" w:rsidRDefault="004E5C8E" w:rsidP="004E5C8E">
      <w:pPr>
        <w:spacing w:line="260" w:lineRule="atLeast"/>
        <w:jc w:val="both"/>
        <w:rPr>
          <w:rFonts w:eastAsia="Calibri" w:cs="Times New Roman"/>
          <w:i/>
          <w:iCs/>
          <w:u w:val="single"/>
          <w:lang w:eastAsia="en-US"/>
        </w:rPr>
      </w:pPr>
    </w:p>
    <w:p w14:paraId="2D20DCC1" w14:textId="77777777" w:rsidR="004E5C8E" w:rsidRDefault="004E5C8E" w:rsidP="004E5C8E">
      <w:pPr>
        <w:spacing w:line="260" w:lineRule="atLeast"/>
        <w:jc w:val="both"/>
        <w:rPr>
          <w:rFonts w:eastAsia="Calibri" w:cs="Times New Roman"/>
          <w:iCs/>
          <w:lang w:eastAsia="en-US"/>
        </w:rPr>
      </w:pPr>
      <w:r w:rsidRPr="0084576F">
        <w:rPr>
          <w:rFonts w:eastAsia="Calibri" w:cs="Times New Roman"/>
          <w:iCs/>
          <w:lang w:eastAsia="en-US"/>
        </w:rPr>
        <w:t xml:space="preserve">The primary mode of action of the active substance, </w:t>
      </w:r>
      <w:r w:rsidRPr="0084576F">
        <w:rPr>
          <w:rFonts w:eastAsia="Calibri" w:cs="Times New Roman"/>
          <w:i/>
          <w:iCs/>
          <w:lang w:eastAsia="en-US"/>
        </w:rPr>
        <w:t>i.e</w:t>
      </w:r>
      <w:r w:rsidRPr="0084576F">
        <w:rPr>
          <w:rFonts w:eastAsia="Calibri" w:cs="Times New Roman"/>
          <w:iCs/>
          <w:lang w:eastAsia="en-US"/>
        </w:rPr>
        <w:t xml:space="preserve"> L(+)-lactic acid, is characterised by local effects and has a very low systemic toxicity.</w:t>
      </w:r>
      <w:r>
        <w:rPr>
          <w:rFonts w:eastAsia="Calibri" w:cs="Times New Roman"/>
          <w:iCs/>
          <w:lang w:eastAsia="en-US"/>
        </w:rPr>
        <w:t xml:space="preserve"> Therefore, derivation of any systemic toxicological reference value has been considered unnecessary during the approval of</w:t>
      </w:r>
      <w:r w:rsidRPr="0084576F">
        <w:rPr>
          <w:rFonts w:eastAsia="Calibri" w:cs="Times New Roman"/>
          <w:iCs/>
          <w:lang w:eastAsia="en-US"/>
        </w:rPr>
        <w:t xml:space="preserve"> </w:t>
      </w:r>
      <w:r w:rsidRPr="002977D5">
        <w:rPr>
          <w:rFonts w:eastAsia="Calibri" w:cs="Times New Roman"/>
          <w:iCs/>
          <w:lang w:eastAsia="en-US"/>
        </w:rPr>
        <w:t>L(+)-lactic acid</w:t>
      </w:r>
      <w:r>
        <w:rPr>
          <w:rFonts w:eastAsia="Calibri" w:cs="Times New Roman"/>
          <w:iCs/>
          <w:lang w:eastAsia="en-US"/>
        </w:rPr>
        <w:t>.</w:t>
      </w:r>
    </w:p>
    <w:p w14:paraId="60C1A224" w14:textId="77777777" w:rsidR="004E5C8E" w:rsidRDefault="004E5C8E" w:rsidP="004E5C8E">
      <w:pPr>
        <w:spacing w:line="260" w:lineRule="atLeast"/>
        <w:jc w:val="both"/>
        <w:rPr>
          <w:rFonts w:eastAsia="Calibri" w:cs="Times New Roman"/>
          <w:iCs/>
          <w:lang w:eastAsia="en-US"/>
        </w:rPr>
      </w:pPr>
    </w:p>
    <w:p w14:paraId="7F762A99"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Besides, according to the CAR</w:t>
      </w:r>
      <w:r w:rsidRPr="00E56333">
        <w:rPr>
          <w:rFonts w:eastAsia="Calibri" w:cs="Times New Roman"/>
          <w:iCs/>
          <w:lang w:eastAsia="en-US"/>
        </w:rPr>
        <w:t xml:space="preserve"> </w:t>
      </w:r>
      <w:r w:rsidRPr="000C3F21">
        <w:rPr>
          <w:rFonts w:eastAsia="Calibri" w:cs="Times New Roman"/>
          <w:iCs/>
          <w:lang w:eastAsia="en-US"/>
        </w:rPr>
        <w:t>of L(+)-lactic acid (2017)</w:t>
      </w:r>
      <w:r>
        <w:rPr>
          <w:rFonts w:eastAsia="Calibri" w:cs="Times New Roman"/>
          <w:iCs/>
          <w:lang w:eastAsia="en-US"/>
        </w:rPr>
        <w:t xml:space="preserve">, systemic exposure </w:t>
      </w:r>
      <w:r w:rsidRPr="000C3F21">
        <w:rPr>
          <w:rFonts w:eastAsia="Calibri" w:cs="Times New Roman"/>
          <w:iCs/>
          <w:lang w:eastAsia="en-US"/>
        </w:rPr>
        <w:t>of L(+)-lactic acid</w:t>
      </w:r>
      <w:r>
        <w:rPr>
          <w:rFonts w:eastAsia="Calibri" w:cs="Times New Roman"/>
          <w:iCs/>
          <w:lang w:eastAsia="en-US"/>
        </w:rPr>
        <w:t xml:space="preserve"> is expected to be clearly inferior to the endogenous production of </w:t>
      </w:r>
      <w:r w:rsidRPr="000C3F21">
        <w:rPr>
          <w:rFonts w:eastAsia="Calibri" w:cs="Times New Roman"/>
          <w:iCs/>
          <w:lang w:eastAsia="en-US"/>
        </w:rPr>
        <w:t>L(+)-lactic acid</w:t>
      </w:r>
      <w:r>
        <w:rPr>
          <w:rFonts w:eastAsia="Calibri" w:cs="Times New Roman"/>
          <w:iCs/>
          <w:lang w:eastAsia="en-US"/>
        </w:rPr>
        <w:t xml:space="preserve"> (1667 mg/kg bw/d), even with type of application which lead to a consequent product exposure, </w:t>
      </w:r>
      <w:r w:rsidRPr="0084576F">
        <w:rPr>
          <w:rFonts w:eastAsia="Calibri" w:cs="Times New Roman"/>
          <w:i/>
          <w:iCs/>
          <w:lang w:eastAsia="en-US"/>
        </w:rPr>
        <w:t>i.e</w:t>
      </w:r>
      <w:r>
        <w:rPr>
          <w:rFonts w:eastAsia="Calibri" w:cs="Times New Roman"/>
          <w:iCs/>
          <w:lang w:eastAsia="en-US"/>
        </w:rPr>
        <w:t xml:space="preserve"> spraying. Therefore, for all meta SPC, no systemic exposure has been estimated for the active substance. </w:t>
      </w:r>
    </w:p>
    <w:p w14:paraId="107FCC50" w14:textId="77777777" w:rsidR="004E5C8E" w:rsidRPr="0084576F" w:rsidRDefault="004E5C8E" w:rsidP="004E5C8E">
      <w:pPr>
        <w:spacing w:line="260" w:lineRule="atLeast"/>
        <w:jc w:val="both"/>
        <w:rPr>
          <w:rFonts w:eastAsia="Calibri" w:cs="Times New Roman"/>
          <w:iCs/>
          <w:lang w:eastAsia="en-US"/>
        </w:rPr>
      </w:pPr>
    </w:p>
    <w:p w14:paraId="11CDE3C5" w14:textId="77777777" w:rsidR="004E5C8E" w:rsidRPr="0084576F" w:rsidRDefault="004E5C8E" w:rsidP="004E5C8E">
      <w:pPr>
        <w:spacing w:line="260" w:lineRule="atLeast"/>
        <w:jc w:val="both"/>
        <w:rPr>
          <w:rFonts w:eastAsia="Calibri" w:cs="Times New Roman"/>
          <w:b/>
          <w:iCs/>
          <w:u w:val="single"/>
          <w:lang w:eastAsia="en-US"/>
        </w:rPr>
      </w:pPr>
      <w:r w:rsidRPr="0084576F">
        <w:rPr>
          <w:rFonts w:eastAsia="Calibri" w:cs="Times New Roman"/>
          <w:b/>
          <w:iCs/>
          <w:u w:val="single"/>
          <w:lang w:eastAsia="en-US"/>
        </w:rPr>
        <w:t xml:space="preserve">Local effects </w:t>
      </w:r>
    </w:p>
    <w:p w14:paraId="22A7B3B7" w14:textId="77777777" w:rsidR="004E5C8E" w:rsidRDefault="004E5C8E" w:rsidP="004E5C8E">
      <w:pPr>
        <w:spacing w:line="260" w:lineRule="atLeast"/>
        <w:jc w:val="both"/>
        <w:rPr>
          <w:rFonts w:eastAsia="Calibri" w:cs="Times New Roman"/>
          <w:i/>
          <w:iCs/>
          <w:u w:val="single"/>
          <w:lang w:eastAsia="en-US"/>
        </w:rPr>
      </w:pPr>
    </w:p>
    <w:p w14:paraId="16A64155" w14:textId="77777777" w:rsidR="004E5C8E" w:rsidRPr="001F2CB5" w:rsidRDefault="004E5C8E" w:rsidP="004E5C8E">
      <w:pPr>
        <w:spacing w:line="260" w:lineRule="atLeast"/>
        <w:jc w:val="both"/>
        <w:rPr>
          <w:rFonts w:eastAsia="Calibri" w:cs="Times New Roman"/>
          <w:b/>
          <w:i/>
          <w:iCs/>
          <w:u w:val="single"/>
          <w:lang w:eastAsia="en-US"/>
        </w:rPr>
      </w:pPr>
      <w:r w:rsidRPr="001F2CB5">
        <w:rPr>
          <w:rFonts w:eastAsia="Calibri" w:cs="Times New Roman"/>
          <w:b/>
          <w:i/>
          <w:iCs/>
          <w:u w:val="single"/>
          <w:lang w:eastAsia="en-US"/>
        </w:rPr>
        <w:t>Meta SPC 1</w:t>
      </w:r>
    </w:p>
    <w:p w14:paraId="03252928" w14:textId="77777777" w:rsidR="004E5C8E" w:rsidRPr="0084576F" w:rsidRDefault="004E5C8E" w:rsidP="004E5C8E">
      <w:pPr>
        <w:spacing w:line="260" w:lineRule="atLeast"/>
        <w:jc w:val="both"/>
        <w:rPr>
          <w:rFonts w:eastAsia="Calibri" w:cs="Times New Roman"/>
          <w:i/>
          <w:iCs/>
          <w:u w:val="single"/>
          <w:lang w:eastAsia="en-US"/>
        </w:rPr>
      </w:pPr>
    </w:p>
    <w:p w14:paraId="43A89DC0" w14:textId="77777777" w:rsidR="004E5C8E" w:rsidRPr="0084576F" w:rsidRDefault="004E5C8E" w:rsidP="004E5C8E">
      <w:pPr>
        <w:spacing w:line="260" w:lineRule="atLeast"/>
        <w:jc w:val="both"/>
        <w:rPr>
          <w:rFonts w:eastAsia="Calibri" w:cs="Times New Roman"/>
          <w:iCs/>
          <w:lang w:eastAsia="en-US"/>
        </w:rPr>
      </w:pPr>
      <w:r>
        <w:rPr>
          <w:rFonts w:eastAsia="Calibri" w:cs="Times New Roman"/>
          <w:iCs/>
          <w:lang w:eastAsia="en-US"/>
        </w:rPr>
        <w:t xml:space="preserve">Meta SPC 1 is not classified for local effects but contains </w:t>
      </w:r>
      <w:r w:rsidRPr="000C3F21">
        <w:rPr>
          <w:rFonts w:eastAsia="Calibri" w:cs="Times New Roman"/>
          <w:iCs/>
          <w:lang w:eastAsia="en-US"/>
        </w:rPr>
        <w:t>L(+)-lactic acid</w:t>
      </w:r>
      <w:r>
        <w:rPr>
          <w:rFonts w:eastAsia="Calibri" w:cs="Times New Roman"/>
          <w:iCs/>
          <w:lang w:eastAsia="en-US"/>
        </w:rPr>
        <w:t xml:space="preserve"> which has local effects. Therefore, a</w:t>
      </w:r>
      <w:r w:rsidRPr="0084576F">
        <w:rPr>
          <w:rFonts w:eastAsia="Calibri" w:cs="Times New Roman"/>
          <w:iCs/>
          <w:lang w:eastAsia="en-US"/>
        </w:rPr>
        <w:t xml:space="preserve"> semi</w:t>
      </w:r>
      <w:r w:rsidRPr="00C576BD">
        <w:rPr>
          <w:rFonts w:eastAsia="Calibri" w:cs="Times New Roman"/>
          <w:iCs/>
          <w:lang w:eastAsia="en-US"/>
        </w:rPr>
        <w:t>-</w:t>
      </w:r>
      <w:r w:rsidRPr="0084576F">
        <w:rPr>
          <w:rFonts w:eastAsia="Calibri" w:cs="Times New Roman"/>
          <w:iCs/>
          <w:lang w:eastAsia="en-US"/>
        </w:rPr>
        <w:t>quantitative risk assessment has been performed using the</w:t>
      </w:r>
      <w:r>
        <w:rPr>
          <w:rFonts w:eastAsia="Calibri" w:cs="Times New Roman"/>
          <w:iCs/>
          <w:lang w:eastAsia="en-US"/>
        </w:rPr>
        <w:t xml:space="preserve"> dermal</w:t>
      </w:r>
      <w:r w:rsidRPr="0084576F">
        <w:rPr>
          <w:rFonts w:eastAsia="Calibri" w:cs="Times New Roman"/>
          <w:iCs/>
          <w:lang w:eastAsia="en-US"/>
        </w:rPr>
        <w:t xml:space="preserve"> NOAEC of 10%. </w:t>
      </w:r>
    </w:p>
    <w:p w14:paraId="17C48505" w14:textId="77777777" w:rsidR="004E5C8E" w:rsidRDefault="004E5C8E" w:rsidP="00E91F85">
      <w:pPr>
        <w:spacing w:line="260" w:lineRule="atLeast"/>
        <w:jc w:val="both"/>
        <w:rPr>
          <w:rFonts w:eastAsia="Calibri" w:cs="Times New Roman"/>
          <w:i/>
          <w:iCs/>
          <w:u w:val="single"/>
          <w:lang w:eastAsia="en-US"/>
        </w:rPr>
      </w:pPr>
    </w:p>
    <w:p w14:paraId="5EE3A7A0" w14:textId="77777777" w:rsidR="004E5C8E" w:rsidRPr="001F2CB5" w:rsidRDefault="004E5C8E" w:rsidP="004E5C8E">
      <w:pPr>
        <w:spacing w:line="260" w:lineRule="atLeast"/>
        <w:jc w:val="both"/>
        <w:rPr>
          <w:rFonts w:eastAsia="Calibri" w:cs="Times New Roman"/>
          <w:b/>
          <w:i/>
          <w:iCs/>
          <w:u w:val="single"/>
          <w:lang w:eastAsia="en-US"/>
        </w:rPr>
      </w:pPr>
      <w:r w:rsidRPr="001F2CB5">
        <w:rPr>
          <w:rFonts w:eastAsia="Calibri" w:cs="Times New Roman"/>
          <w:b/>
          <w:i/>
          <w:iCs/>
          <w:u w:val="single"/>
          <w:lang w:eastAsia="en-US"/>
        </w:rPr>
        <w:t>Meta SPC 2-3-4-6-7-8-9-10-11-12-13</w:t>
      </w:r>
    </w:p>
    <w:p w14:paraId="5EA29AD6" w14:textId="77777777" w:rsidR="004E5C8E" w:rsidRPr="0084576F" w:rsidRDefault="004E5C8E" w:rsidP="004E5C8E">
      <w:pPr>
        <w:spacing w:line="260" w:lineRule="atLeast"/>
        <w:jc w:val="both"/>
        <w:rPr>
          <w:rFonts w:eastAsia="Calibri" w:cs="Times New Roman"/>
          <w:i/>
          <w:iCs/>
          <w:u w:val="single"/>
          <w:lang w:eastAsia="en-US"/>
        </w:rPr>
      </w:pPr>
    </w:p>
    <w:p w14:paraId="1F1AEB4C"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B</w:t>
      </w:r>
      <w:r w:rsidRPr="0084576F">
        <w:rPr>
          <w:rFonts w:eastAsia="Calibri" w:cs="Times New Roman"/>
          <w:iCs/>
          <w:lang w:eastAsia="en-US"/>
        </w:rPr>
        <w:t xml:space="preserve">ecause of </w:t>
      </w:r>
      <w:r>
        <w:rPr>
          <w:rFonts w:eastAsia="Calibri" w:cs="Times New Roman"/>
          <w:iCs/>
          <w:lang w:eastAsia="en-US"/>
        </w:rPr>
        <w:t xml:space="preserve">the </w:t>
      </w:r>
      <w:r w:rsidRPr="0084576F">
        <w:rPr>
          <w:rFonts w:eastAsia="Calibri" w:cs="Times New Roman"/>
          <w:iCs/>
          <w:lang w:eastAsia="en-US"/>
        </w:rPr>
        <w:t>classification of</w:t>
      </w:r>
      <w:r>
        <w:rPr>
          <w:rFonts w:eastAsia="Calibri" w:cs="Times New Roman"/>
          <w:iCs/>
          <w:lang w:eastAsia="en-US"/>
        </w:rPr>
        <w:t>:</w:t>
      </w:r>
    </w:p>
    <w:p w14:paraId="66C17722" w14:textId="77777777" w:rsidR="004E5C8E" w:rsidRDefault="004E5C8E" w:rsidP="004E5C8E">
      <w:pPr>
        <w:spacing w:line="260" w:lineRule="atLeast"/>
        <w:jc w:val="both"/>
        <w:rPr>
          <w:rFonts w:eastAsia="Calibri" w:cs="Times New Roman"/>
          <w:iCs/>
          <w:lang w:eastAsia="en-US"/>
        </w:rPr>
      </w:pPr>
    </w:p>
    <w:p w14:paraId="270439DB"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Meta SPC</w:t>
      </w:r>
      <w:r w:rsidRPr="0084576F">
        <w:rPr>
          <w:rFonts w:eastAsia="Calibri" w:cs="Times New Roman"/>
          <w:iCs/>
          <w:lang w:eastAsia="en-US"/>
        </w:rPr>
        <w:t xml:space="preserve"> </w:t>
      </w:r>
      <w:r w:rsidRPr="002D40B0">
        <w:rPr>
          <w:rFonts w:eastAsia="Calibri" w:cs="Times New Roman"/>
          <w:iCs/>
          <w:lang w:eastAsia="en-US"/>
        </w:rPr>
        <w:t>2</w:t>
      </w:r>
      <w:r>
        <w:rPr>
          <w:rFonts w:eastAsia="Calibri" w:cs="Times New Roman"/>
          <w:iCs/>
          <w:lang w:eastAsia="en-US"/>
        </w:rPr>
        <w:t xml:space="preserve">: </w:t>
      </w:r>
      <w:r w:rsidRPr="002D40B0">
        <w:rPr>
          <w:rFonts w:eastAsia="Calibri" w:cs="Times New Roman"/>
          <w:iCs/>
          <w:lang w:eastAsia="en-US"/>
        </w:rPr>
        <w:t xml:space="preserve">H315 </w:t>
      </w:r>
    </w:p>
    <w:p w14:paraId="682C4C9D"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M</w:t>
      </w:r>
      <w:r w:rsidRPr="002D40B0">
        <w:rPr>
          <w:rFonts w:eastAsia="Calibri" w:cs="Times New Roman"/>
          <w:iCs/>
          <w:lang w:eastAsia="en-US"/>
        </w:rPr>
        <w:t>eta SPC 3</w:t>
      </w:r>
      <w:r>
        <w:rPr>
          <w:rFonts w:eastAsia="Calibri" w:cs="Times New Roman"/>
          <w:iCs/>
          <w:lang w:eastAsia="en-US"/>
        </w:rPr>
        <w:t xml:space="preserve">: </w:t>
      </w:r>
      <w:r w:rsidRPr="002D40B0">
        <w:rPr>
          <w:rFonts w:eastAsia="Calibri" w:cs="Times New Roman"/>
          <w:iCs/>
          <w:lang w:eastAsia="en-US"/>
        </w:rPr>
        <w:t xml:space="preserve">H315-H318 </w:t>
      </w:r>
    </w:p>
    <w:p w14:paraId="06841CDF"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M</w:t>
      </w:r>
      <w:r w:rsidRPr="002D40B0">
        <w:rPr>
          <w:rFonts w:eastAsia="Calibri" w:cs="Times New Roman"/>
          <w:iCs/>
          <w:lang w:eastAsia="en-US"/>
        </w:rPr>
        <w:t>eta SPC 4</w:t>
      </w:r>
      <w:r>
        <w:rPr>
          <w:rFonts w:eastAsia="Calibri" w:cs="Times New Roman"/>
          <w:iCs/>
          <w:lang w:eastAsia="en-US"/>
        </w:rPr>
        <w:t xml:space="preserve">: </w:t>
      </w:r>
      <w:r w:rsidRPr="002D40B0">
        <w:rPr>
          <w:rFonts w:eastAsia="Calibri" w:cs="Times New Roman"/>
          <w:iCs/>
          <w:lang w:eastAsia="en-US"/>
        </w:rPr>
        <w:t xml:space="preserve">H318 </w:t>
      </w:r>
    </w:p>
    <w:p w14:paraId="155457D4" w14:textId="4B091A9C" w:rsidR="004E5C8E" w:rsidRDefault="004E5C8E" w:rsidP="004E5C8E">
      <w:pPr>
        <w:spacing w:line="260" w:lineRule="atLeast"/>
        <w:jc w:val="both"/>
        <w:rPr>
          <w:rFonts w:eastAsia="Calibri" w:cs="Times New Roman"/>
          <w:iCs/>
          <w:lang w:eastAsia="en-US"/>
        </w:rPr>
      </w:pPr>
      <w:r>
        <w:rPr>
          <w:rFonts w:eastAsia="Calibri" w:cs="Times New Roman"/>
          <w:iCs/>
          <w:lang w:eastAsia="en-US"/>
        </w:rPr>
        <w:t>M</w:t>
      </w:r>
      <w:r w:rsidRPr="002D40B0">
        <w:rPr>
          <w:rFonts w:eastAsia="Calibri" w:cs="Times New Roman"/>
          <w:iCs/>
          <w:lang w:eastAsia="en-US"/>
        </w:rPr>
        <w:t>eta SPC 9</w:t>
      </w:r>
      <w:r>
        <w:rPr>
          <w:rFonts w:eastAsia="Calibri" w:cs="Times New Roman"/>
          <w:iCs/>
          <w:lang w:eastAsia="en-US"/>
        </w:rPr>
        <w:t>: H315-</w:t>
      </w:r>
      <w:r w:rsidRPr="002D40B0">
        <w:rPr>
          <w:rFonts w:eastAsia="Calibri" w:cs="Times New Roman"/>
          <w:iCs/>
          <w:lang w:eastAsia="en-US"/>
        </w:rPr>
        <w:t xml:space="preserve">H319 </w:t>
      </w:r>
    </w:p>
    <w:p w14:paraId="5FBA180F" w14:textId="25FBA9B2" w:rsidR="004E5C8E" w:rsidRDefault="004E5C8E" w:rsidP="004E5C8E">
      <w:pPr>
        <w:spacing w:line="260" w:lineRule="atLeast"/>
        <w:jc w:val="both"/>
        <w:rPr>
          <w:rFonts w:eastAsia="Calibri" w:cs="Times New Roman"/>
          <w:iCs/>
          <w:lang w:eastAsia="en-US"/>
        </w:rPr>
      </w:pPr>
      <w:r>
        <w:rPr>
          <w:rFonts w:eastAsia="Calibri" w:cs="Times New Roman"/>
          <w:iCs/>
          <w:lang w:eastAsia="en-US"/>
        </w:rPr>
        <w:t>M</w:t>
      </w:r>
      <w:r w:rsidRPr="002D40B0">
        <w:rPr>
          <w:rFonts w:eastAsia="Calibri" w:cs="Times New Roman"/>
          <w:iCs/>
          <w:lang w:eastAsia="en-US"/>
        </w:rPr>
        <w:t>eta SPC 6-7-8-10-11-12-13</w:t>
      </w:r>
      <w:r>
        <w:rPr>
          <w:rFonts w:eastAsia="Calibri" w:cs="Times New Roman"/>
          <w:iCs/>
          <w:lang w:eastAsia="en-US"/>
        </w:rPr>
        <w:t>:</w:t>
      </w:r>
      <w:r w:rsidRPr="002D40B0" w:rsidDel="00823EF3">
        <w:rPr>
          <w:rFonts w:eastAsia="Calibri" w:cs="Times New Roman"/>
          <w:iCs/>
          <w:lang w:eastAsia="en-US"/>
        </w:rPr>
        <w:t xml:space="preserve"> </w:t>
      </w:r>
      <w:r>
        <w:rPr>
          <w:rFonts w:eastAsia="Calibri" w:cs="Times New Roman"/>
          <w:iCs/>
          <w:lang w:eastAsia="en-US"/>
        </w:rPr>
        <w:t>H314-</w:t>
      </w:r>
      <w:r w:rsidRPr="002D40B0">
        <w:rPr>
          <w:rFonts w:eastAsia="Calibri" w:cs="Times New Roman"/>
          <w:iCs/>
          <w:lang w:eastAsia="en-US"/>
        </w:rPr>
        <w:t>H318,</w:t>
      </w:r>
      <w:r>
        <w:rPr>
          <w:rFonts w:eastAsia="Calibri" w:cs="Times New Roman"/>
          <w:iCs/>
          <w:lang w:eastAsia="en-US"/>
        </w:rPr>
        <w:t xml:space="preserve"> </w:t>
      </w:r>
    </w:p>
    <w:p w14:paraId="0139F290" w14:textId="77777777" w:rsidR="004E5C8E" w:rsidRDefault="004E5C8E" w:rsidP="004E5C8E">
      <w:pPr>
        <w:spacing w:line="260" w:lineRule="atLeast"/>
        <w:jc w:val="both"/>
        <w:rPr>
          <w:rFonts w:eastAsia="Calibri" w:cs="Times New Roman"/>
          <w:iCs/>
          <w:lang w:eastAsia="en-US"/>
        </w:rPr>
      </w:pPr>
      <w:r w:rsidRPr="0084576F">
        <w:rPr>
          <w:rFonts w:eastAsia="Calibri" w:cs="Times New Roman"/>
          <w:iCs/>
          <w:lang w:eastAsia="en-US"/>
        </w:rPr>
        <w:t>a qualitative risk assessment has been performed according to the Guidance on BPR: Volume III Part B+C.</w:t>
      </w:r>
    </w:p>
    <w:p w14:paraId="271B1C23" w14:textId="77777777" w:rsidR="004E5C8E" w:rsidRDefault="004E5C8E" w:rsidP="004E5C8E">
      <w:pPr>
        <w:spacing w:line="260" w:lineRule="atLeast"/>
        <w:jc w:val="both"/>
        <w:rPr>
          <w:rFonts w:eastAsia="Calibri" w:cs="Times New Roman"/>
          <w:iCs/>
          <w:lang w:eastAsia="en-US"/>
        </w:rPr>
      </w:pPr>
    </w:p>
    <w:p w14:paraId="5613296E" w14:textId="0DC3D357" w:rsidR="004E5C8E" w:rsidRPr="001F2CB5" w:rsidRDefault="004E5C8E" w:rsidP="004E5C8E">
      <w:pPr>
        <w:spacing w:line="260" w:lineRule="atLeast"/>
        <w:jc w:val="both"/>
        <w:rPr>
          <w:rFonts w:eastAsia="Calibri" w:cs="Times New Roman"/>
          <w:b/>
          <w:iCs/>
          <w:lang w:eastAsia="en-US"/>
        </w:rPr>
      </w:pPr>
      <w:r>
        <w:rPr>
          <w:rFonts w:eastAsia="Calibri" w:cs="Times New Roman"/>
          <w:b/>
          <w:i/>
          <w:iCs/>
          <w:u w:val="single"/>
          <w:lang w:eastAsia="en-US"/>
        </w:rPr>
        <w:t xml:space="preserve">Meta SPC 13 : </w:t>
      </w:r>
      <w:r w:rsidRPr="003F24C4">
        <w:rPr>
          <w:rFonts w:eastAsia="Calibri" w:cs="Times New Roman"/>
          <w:i/>
          <w:iCs/>
          <w:u w:val="single"/>
          <w:lang w:eastAsia="en-US"/>
        </w:rPr>
        <w:t>2-(2-butoxyethoxy)ethanol</w:t>
      </w:r>
      <w:r>
        <w:rPr>
          <w:rFonts w:eastAsia="Calibri" w:cs="Times New Roman"/>
          <w:i/>
          <w:iCs/>
          <w:u w:val="single"/>
          <w:lang w:eastAsia="en-US"/>
        </w:rPr>
        <w:t xml:space="preserve"> </w:t>
      </w:r>
    </w:p>
    <w:p w14:paraId="38294793" w14:textId="77777777" w:rsidR="004E5C8E" w:rsidRPr="0084576F" w:rsidRDefault="004E5C8E" w:rsidP="004E5C8E">
      <w:pPr>
        <w:spacing w:line="260" w:lineRule="atLeast"/>
        <w:jc w:val="both"/>
        <w:rPr>
          <w:rFonts w:ascii="Times New Roman" w:eastAsia="Calibri" w:hAnsi="Times New Roman" w:cs="Times New Roman"/>
          <w:i/>
          <w:iCs/>
          <w:u w:val="single"/>
          <w:lang w:eastAsia="en-US"/>
        </w:rPr>
      </w:pPr>
    </w:p>
    <w:p w14:paraId="22ABB60F" w14:textId="77777777" w:rsidR="004E5C8E" w:rsidRDefault="004E5C8E" w:rsidP="004E5C8E">
      <w:pPr>
        <w:spacing w:line="260" w:lineRule="atLeast"/>
        <w:jc w:val="both"/>
        <w:rPr>
          <w:rFonts w:eastAsia="Calibri" w:cs="Times New Roman"/>
          <w:iCs/>
          <w:lang w:eastAsia="en-US"/>
        </w:rPr>
      </w:pPr>
      <w:r>
        <w:rPr>
          <w:rFonts w:eastAsia="Calibri" w:cs="Times New Roman"/>
          <w:iCs/>
          <w:lang w:eastAsia="en-US"/>
        </w:rPr>
        <w:t xml:space="preserve">A local quantitative risk assessment for </w:t>
      </w:r>
      <w:r w:rsidRPr="00A579E0">
        <w:rPr>
          <w:rFonts w:eastAsia="Calibri" w:cs="Times New Roman"/>
          <w:iCs/>
          <w:lang w:eastAsia="en-US"/>
        </w:rPr>
        <w:t>2-(2-butoxyethoxy)ethanol</w:t>
      </w:r>
      <w:r>
        <w:rPr>
          <w:rFonts w:eastAsia="Calibri" w:cs="Times New Roman"/>
          <w:iCs/>
          <w:lang w:eastAsia="en-US"/>
        </w:rPr>
        <w:t xml:space="preserve"> has been performed using the EU IOELV of 67.5 mg/m</w:t>
      </w:r>
      <w:r w:rsidRPr="0084576F">
        <w:rPr>
          <w:rFonts w:eastAsia="Calibri" w:cs="Times New Roman"/>
          <w:iCs/>
          <w:vertAlign w:val="superscript"/>
          <w:lang w:eastAsia="en-US"/>
        </w:rPr>
        <w:t>3</w:t>
      </w:r>
      <w:r>
        <w:rPr>
          <w:rFonts w:eastAsia="Calibri" w:cs="Times New Roman"/>
          <w:iCs/>
          <w:lang w:eastAsia="en-US"/>
        </w:rPr>
        <w:t>.</w:t>
      </w:r>
    </w:p>
    <w:p w14:paraId="4751053C" w14:textId="77777777" w:rsidR="004E5C8E" w:rsidRDefault="004E5C8E" w:rsidP="00E91F85">
      <w:pPr>
        <w:spacing w:line="260" w:lineRule="atLeast"/>
        <w:jc w:val="both"/>
        <w:rPr>
          <w:rFonts w:eastAsia="Calibri" w:cs="Times New Roman"/>
          <w:i/>
          <w:iCs/>
          <w:u w:val="single"/>
          <w:lang w:eastAsia="en-US"/>
        </w:rPr>
      </w:pPr>
    </w:p>
    <w:p w14:paraId="3CD5EC75" w14:textId="77777777" w:rsidR="004E5C8E" w:rsidRDefault="004E5C8E" w:rsidP="00E91F85">
      <w:pPr>
        <w:spacing w:line="260" w:lineRule="atLeast"/>
        <w:jc w:val="both"/>
        <w:rPr>
          <w:rFonts w:eastAsia="Calibri" w:cs="Times New Roman"/>
          <w:i/>
          <w:iCs/>
          <w:u w:val="single"/>
          <w:lang w:eastAsia="en-US"/>
        </w:rPr>
      </w:pPr>
    </w:p>
    <w:p w14:paraId="15689989" w14:textId="77777777" w:rsidR="009D0C0B" w:rsidRPr="00B27CB1" w:rsidRDefault="00FA480B">
      <w:pPr>
        <w:pageBreakBefore/>
        <w:rPr>
          <w:rFonts w:ascii="Times New Roman" w:eastAsia="Calibri" w:hAnsi="Times New Roman" w:cs="Times New Roman"/>
          <w:i/>
          <w:szCs w:val="22"/>
          <w:lang w:eastAsia="en-US"/>
        </w:rPr>
      </w:pPr>
      <w:r w:rsidRPr="00B27CB1">
        <w:rPr>
          <w:rFonts w:eastAsia="Calibri"/>
          <w:b/>
          <w:i/>
          <w:sz w:val="22"/>
          <w:szCs w:val="22"/>
          <w:lang w:eastAsia="en-US"/>
        </w:rPr>
        <w:lastRenderedPageBreak/>
        <w:t>List of scenarios</w:t>
      </w:r>
    </w:p>
    <w:p w14:paraId="5A82133F" w14:textId="1DF416B7" w:rsidR="00833685" w:rsidRDefault="00833685">
      <w:pPr>
        <w:spacing w:before="60" w:line="276" w:lineRule="auto"/>
        <w:ind w:left="142"/>
        <w:jc w:val="both"/>
        <w:rPr>
          <w:rFonts w:ascii="Times New Roman" w:eastAsia="Calibri" w:hAnsi="Times New Roman" w:cs="Times New Roman"/>
          <w:b/>
          <w:i/>
          <w:szCs w:val="22"/>
          <w:lang w:eastAsia="en-US"/>
        </w:rPr>
      </w:pPr>
    </w:p>
    <w:p w14:paraId="562A0AB1" w14:textId="77777777" w:rsidR="00833685" w:rsidRPr="001F2CB5" w:rsidRDefault="00833685" w:rsidP="00833685">
      <w:pPr>
        <w:spacing w:line="260" w:lineRule="atLeast"/>
        <w:jc w:val="both"/>
        <w:rPr>
          <w:rFonts w:eastAsia="Calibri" w:cs="Times New Roman"/>
          <w:b/>
          <w:iCs/>
          <w:u w:val="single"/>
          <w:lang w:eastAsia="en-US"/>
        </w:rPr>
      </w:pPr>
      <w:r>
        <w:rPr>
          <w:rFonts w:eastAsia="Calibri" w:cs="Times New Roman"/>
          <w:b/>
          <w:iCs/>
          <w:u w:val="single"/>
          <w:lang w:eastAsia="en-US"/>
        </w:rPr>
        <w:t>Local e</w:t>
      </w:r>
      <w:r w:rsidRPr="001F2CB5">
        <w:rPr>
          <w:rFonts w:eastAsia="Calibri" w:cs="Times New Roman"/>
          <w:b/>
          <w:iCs/>
          <w:u w:val="single"/>
          <w:lang w:eastAsia="en-US"/>
        </w:rPr>
        <w:t>xposure assessment for META SPC 13</w:t>
      </w:r>
    </w:p>
    <w:p w14:paraId="25E8FF12" w14:textId="77777777" w:rsidR="00833685" w:rsidRDefault="00833685" w:rsidP="00833685">
      <w:pPr>
        <w:spacing w:line="260" w:lineRule="atLeast"/>
        <w:jc w:val="both"/>
        <w:rPr>
          <w:rFonts w:eastAsia="Calibri" w:cs="Times New Roman"/>
          <w:iCs/>
          <w:u w:val="single"/>
          <w:lang w:eastAsia="en-US"/>
        </w:rPr>
      </w:pPr>
    </w:p>
    <w:p w14:paraId="768E160D" w14:textId="77777777" w:rsidR="00833685" w:rsidRPr="001F2CB5" w:rsidRDefault="00833685" w:rsidP="00833685">
      <w:pPr>
        <w:spacing w:line="260" w:lineRule="atLeast"/>
        <w:jc w:val="both"/>
        <w:rPr>
          <w:rFonts w:eastAsia="Calibri" w:cs="Times New Roman"/>
          <w:iCs/>
          <w:sz w:val="18"/>
          <w:lang w:eastAsia="en-US"/>
        </w:rPr>
      </w:pPr>
      <w:r w:rsidRPr="001F2CB5">
        <w:rPr>
          <w:rFonts w:eastAsia="Calibri" w:cs="Times New Roman"/>
          <w:iCs/>
          <w:sz w:val="18"/>
          <w:u w:val="single"/>
          <w:lang w:eastAsia="en-US"/>
        </w:rPr>
        <w:t>Use #1:</w:t>
      </w:r>
      <w:r w:rsidRPr="001F2CB5">
        <w:rPr>
          <w:rFonts w:eastAsia="Calibri" w:cs="Times New Roman"/>
          <w:iCs/>
          <w:sz w:val="18"/>
          <w:lang w:eastAsia="en-US"/>
        </w:rPr>
        <w:t xml:space="preserve"> Disinfectants for hard surfaces of industry, institution and healthcare facilities – professional user</w:t>
      </w:r>
    </w:p>
    <w:p w14:paraId="43F0D99F" w14:textId="77777777" w:rsidR="00833685" w:rsidRPr="001F2CB5" w:rsidRDefault="00833685" w:rsidP="00833685">
      <w:pPr>
        <w:spacing w:line="260" w:lineRule="atLeast"/>
        <w:jc w:val="both"/>
        <w:rPr>
          <w:rFonts w:eastAsia="Calibri" w:cs="Times New Roman"/>
          <w:iCs/>
          <w:sz w:val="18"/>
          <w:u w:val="single"/>
          <w:lang w:eastAsia="en-US"/>
        </w:rPr>
      </w:pPr>
    </w:p>
    <w:p w14:paraId="09D98DFE" w14:textId="77777777" w:rsidR="00833685" w:rsidRPr="001F2CB5" w:rsidRDefault="00833685" w:rsidP="00833685">
      <w:pPr>
        <w:spacing w:line="260" w:lineRule="atLeast"/>
        <w:jc w:val="both"/>
        <w:rPr>
          <w:rFonts w:eastAsia="Calibri" w:cs="Times New Roman"/>
          <w:iCs/>
          <w:sz w:val="18"/>
          <w:u w:val="single"/>
          <w:lang w:eastAsia="en-US"/>
        </w:rPr>
      </w:pPr>
      <w:r w:rsidRPr="001F2CB5">
        <w:rPr>
          <w:rFonts w:eastAsia="Calibri" w:cs="Times New Roman"/>
          <w:iCs/>
          <w:sz w:val="18"/>
          <w:u w:val="single"/>
          <w:lang w:eastAsia="en-US"/>
        </w:rPr>
        <w:t xml:space="preserve">Types of application for use 1: </w:t>
      </w:r>
    </w:p>
    <w:p w14:paraId="7A290BF5" w14:textId="77777777" w:rsidR="00833685" w:rsidRPr="001F2CB5" w:rsidRDefault="00833685" w:rsidP="00833685">
      <w:pPr>
        <w:spacing w:line="260" w:lineRule="atLeast"/>
        <w:jc w:val="both"/>
        <w:rPr>
          <w:rFonts w:eastAsia="Calibri" w:cs="Times New Roman"/>
          <w:iCs/>
          <w:sz w:val="18"/>
          <w:lang w:eastAsia="en-US"/>
        </w:rPr>
      </w:pPr>
      <w:r w:rsidRPr="001F2CB5">
        <w:rPr>
          <w:rFonts w:eastAsia="Calibri" w:cs="Times New Roman"/>
          <w:iCs/>
          <w:sz w:val="18"/>
          <w:lang w:eastAsia="en-US"/>
        </w:rPr>
        <w:t>Spraying, Wiping (applying product onto surface followed by wiping), Brushing, Scrubbing, Mopping (applying product onto surface followed by mopping)</w:t>
      </w:r>
    </w:p>
    <w:tbl>
      <w:tblPr>
        <w:tblW w:w="9512" w:type="dxa"/>
        <w:tblInd w:w="-72" w:type="dxa"/>
        <w:tblLayout w:type="fixed"/>
        <w:tblCellMar>
          <w:left w:w="70" w:type="dxa"/>
          <w:right w:w="70" w:type="dxa"/>
        </w:tblCellMar>
        <w:tblLook w:val="0000" w:firstRow="0" w:lastRow="0" w:firstColumn="0" w:lastColumn="0" w:noHBand="0" w:noVBand="0"/>
      </w:tblPr>
      <w:tblGrid>
        <w:gridCol w:w="1064"/>
        <w:gridCol w:w="1151"/>
        <w:gridCol w:w="5580"/>
        <w:gridCol w:w="1717"/>
      </w:tblGrid>
      <w:tr w:rsidR="009D0C0B" w:rsidRPr="00B27CB1" w14:paraId="13ABC192" w14:textId="77777777" w:rsidTr="00E91F85">
        <w:trPr>
          <w:tblHeader/>
        </w:trPr>
        <w:tc>
          <w:tcPr>
            <w:tcW w:w="9512" w:type="dxa"/>
            <w:gridSpan w:val="4"/>
            <w:tcBorders>
              <w:top w:val="single" w:sz="6" w:space="0" w:color="000000"/>
              <w:left w:val="single" w:sz="6" w:space="0" w:color="000000"/>
              <w:bottom w:val="single" w:sz="6" w:space="0" w:color="000000"/>
              <w:right w:val="single" w:sz="6" w:space="0" w:color="000000"/>
            </w:tcBorders>
            <w:shd w:val="clear" w:color="auto" w:fill="FFFFCC"/>
          </w:tcPr>
          <w:p w14:paraId="6C1C45B9" w14:textId="77777777" w:rsidR="009D0C0B" w:rsidRPr="00B27CB1" w:rsidRDefault="00FA480B">
            <w:pPr>
              <w:keepNext/>
              <w:widowControl w:val="0"/>
              <w:tabs>
                <w:tab w:val="center" w:pos="4536"/>
                <w:tab w:val="right" w:pos="9072"/>
              </w:tabs>
              <w:spacing w:before="60" w:after="60"/>
              <w:jc w:val="center"/>
            </w:pPr>
            <w:r w:rsidRPr="00B27CB1">
              <w:rPr>
                <w:rFonts w:eastAsia="Calibri"/>
                <w:b/>
                <w:bCs/>
                <w:color w:val="000000"/>
                <w:sz w:val="18"/>
                <w:szCs w:val="18"/>
                <w:lang w:eastAsia="en-GB"/>
              </w:rPr>
              <w:lastRenderedPageBreak/>
              <w:t>Summary table: scenarios</w:t>
            </w:r>
          </w:p>
        </w:tc>
      </w:tr>
      <w:tr w:rsidR="009D0C0B" w:rsidRPr="00B27CB1" w14:paraId="659C693D" w14:textId="77777777" w:rsidTr="00E91F85">
        <w:tc>
          <w:tcPr>
            <w:tcW w:w="1064" w:type="dxa"/>
            <w:tcBorders>
              <w:top w:val="single" w:sz="6" w:space="0" w:color="000000"/>
              <w:left w:val="single" w:sz="6" w:space="0" w:color="000000"/>
              <w:bottom w:val="single" w:sz="6" w:space="0" w:color="000000"/>
            </w:tcBorders>
            <w:shd w:val="clear" w:color="auto" w:fill="auto"/>
          </w:tcPr>
          <w:p w14:paraId="3F2DBF27" w14:textId="77777777" w:rsidR="009D0C0B" w:rsidRPr="00B27CB1" w:rsidRDefault="00FA480B">
            <w:pPr>
              <w:keepNext/>
              <w:widowControl w:val="0"/>
              <w:tabs>
                <w:tab w:val="center" w:pos="4536"/>
                <w:tab w:val="right" w:pos="9072"/>
              </w:tabs>
              <w:rPr>
                <w:rFonts w:eastAsia="Calibri"/>
                <w:b/>
                <w:bCs/>
                <w:color w:val="000000"/>
                <w:sz w:val="18"/>
                <w:szCs w:val="18"/>
                <w:lang w:eastAsia="en-GB"/>
              </w:rPr>
            </w:pPr>
            <w:r w:rsidRPr="00B27CB1">
              <w:rPr>
                <w:rFonts w:eastAsia="Calibri"/>
                <w:b/>
                <w:bCs/>
                <w:color w:val="000000"/>
                <w:sz w:val="18"/>
                <w:szCs w:val="18"/>
                <w:lang w:eastAsia="en-GB"/>
              </w:rPr>
              <w:t>Scenario number</w:t>
            </w:r>
          </w:p>
        </w:tc>
        <w:tc>
          <w:tcPr>
            <w:tcW w:w="1151" w:type="dxa"/>
            <w:tcBorders>
              <w:top w:val="single" w:sz="6" w:space="0" w:color="000000"/>
              <w:left w:val="single" w:sz="6" w:space="0" w:color="000000"/>
              <w:bottom w:val="single" w:sz="6" w:space="0" w:color="000000"/>
            </w:tcBorders>
            <w:shd w:val="clear" w:color="auto" w:fill="auto"/>
          </w:tcPr>
          <w:p w14:paraId="590B0F16" w14:textId="77777777" w:rsidR="009D0C0B" w:rsidRPr="00B27CB1" w:rsidRDefault="00FA480B">
            <w:pPr>
              <w:keepNext/>
              <w:widowControl w:val="0"/>
              <w:tabs>
                <w:tab w:val="center" w:pos="4536"/>
                <w:tab w:val="right" w:pos="9072"/>
              </w:tabs>
              <w:rPr>
                <w:rFonts w:eastAsia="Calibri"/>
                <w:bCs/>
                <w:color w:val="000000"/>
                <w:sz w:val="18"/>
                <w:szCs w:val="18"/>
                <w:lang w:eastAsia="en-GB"/>
              </w:rPr>
            </w:pPr>
            <w:r w:rsidRPr="00B27CB1">
              <w:rPr>
                <w:rFonts w:eastAsia="Calibri"/>
                <w:b/>
                <w:bCs/>
                <w:color w:val="000000"/>
                <w:sz w:val="18"/>
                <w:szCs w:val="18"/>
                <w:lang w:eastAsia="en-GB"/>
              </w:rPr>
              <w:t>Scenario</w:t>
            </w:r>
          </w:p>
          <w:p w14:paraId="184EA99E" w14:textId="77777777" w:rsidR="009D0C0B" w:rsidRPr="00B27CB1" w:rsidRDefault="00FA480B">
            <w:pPr>
              <w:keepNext/>
              <w:widowControl w:val="0"/>
              <w:tabs>
                <w:tab w:val="center" w:pos="4536"/>
                <w:tab w:val="right" w:pos="9072"/>
              </w:tabs>
              <w:rPr>
                <w:rFonts w:eastAsia="Calibri"/>
                <w:b/>
                <w:bCs/>
                <w:color w:val="000000"/>
                <w:sz w:val="18"/>
                <w:szCs w:val="18"/>
                <w:lang w:eastAsia="en-GB"/>
              </w:rPr>
            </w:pPr>
            <w:r w:rsidRPr="00B27CB1">
              <w:rPr>
                <w:rFonts w:eastAsia="Calibri"/>
                <w:bCs/>
                <w:color w:val="000000"/>
                <w:sz w:val="18"/>
                <w:szCs w:val="18"/>
                <w:lang w:eastAsia="en-GB"/>
              </w:rPr>
              <w:t>(e.g. mixing/ loading)</w:t>
            </w:r>
          </w:p>
        </w:tc>
        <w:tc>
          <w:tcPr>
            <w:tcW w:w="5580" w:type="dxa"/>
            <w:tcBorders>
              <w:top w:val="single" w:sz="6" w:space="0" w:color="000000"/>
              <w:left w:val="single" w:sz="6" w:space="0" w:color="000000"/>
              <w:bottom w:val="single" w:sz="6" w:space="0" w:color="000000"/>
            </w:tcBorders>
            <w:shd w:val="clear" w:color="auto" w:fill="auto"/>
          </w:tcPr>
          <w:p w14:paraId="1CCDD816" w14:textId="77777777" w:rsidR="009D0C0B" w:rsidRPr="00B27CB1" w:rsidRDefault="00FA480B">
            <w:pPr>
              <w:keepNext/>
              <w:widowControl w:val="0"/>
              <w:tabs>
                <w:tab w:val="center" w:pos="4536"/>
                <w:tab w:val="right" w:pos="9072"/>
              </w:tabs>
              <w:rPr>
                <w:rFonts w:eastAsia="Calibri"/>
                <w:b/>
                <w:bCs/>
                <w:color w:val="000000"/>
                <w:sz w:val="18"/>
                <w:szCs w:val="18"/>
                <w:lang w:eastAsia="en-GB"/>
              </w:rPr>
            </w:pPr>
            <w:r w:rsidRPr="00B27CB1">
              <w:rPr>
                <w:rFonts w:eastAsia="Calibri"/>
                <w:b/>
                <w:bCs/>
                <w:color w:val="000000"/>
                <w:sz w:val="18"/>
                <w:szCs w:val="18"/>
                <w:lang w:eastAsia="en-GB"/>
              </w:rPr>
              <w:t xml:space="preserve">Primary or secondary exposure </w:t>
            </w:r>
          </w:p>
          <w:p w14:paraId="1FE7749F" w14:textId="77777777" w:rsidR="009D0C0B" w:rsidRPr="00B27CB1" w:rsidRDefault="00FA480B">
            <w:pPr>
              <w:keepNext/>
              <w:widowControl w:val="0"/>
              <w:tabs>
                <w:tab w:val="center" w:pos="4536"/>
                <w:tab w:val="right" w:pos="9072"/>
              </w:tabs>
              <w:rPr>
                <w:rFonts w:eastAsia="Calibri"/>
                <w:b/>
                <w:bCs/>
                <w:color w:val="000000"/>
                <w:sz w:val="18"/>
                <w:szCs w:val="18"/>
                <w:lang w:eastAsia="en-GB"/>
              </w:rPr>
            </w:pPr>
            <w:r w:rsidRPr="00B27CB1">
              <w:rPr>
                <w:rFonts w:eastAsia="Calibri"/>
                <w:b/>
                <w:bCs/>
                <w:color w:val="000000"/>
                <w:sz w:val="18"/>
                <w:szCs w:val="18"/>
                <w:lang w:eastAsia="en-GB"/>
              </w:rPr>
              <w:t>Description of scenario</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0D71CD2F" w14:textId="77777777" w:rsidR="009D0C0B" w:rsidRPr="00B27CB1" w:rsidRDefault="00FA480B">
            <w:pPr>
              <w:keepNext/>
              <w:widowControl w:val="0"/>
              <w:tabs>
                <w:tab w:val="center" w:pos="4536"/>
                <w:tab w:val="right" w:pos="9072"/>
              </w:tabs>
              <w:rPr>
                <w:rFonts w:eastAsia="Calibri"/>
                <w:bCs/>
                <w:color w:val="000000"/>
                <w:sz w:val="18"/>
                <w:szCs w:val="18"/>
                <w:lang w:eastAsia="en-GB"/>
              </w:rPr>
            </w:pPr>
            <w:r w:rsidRPr="00B27CB1">
              <w:rPr>
                <w:rFonts w:eastAsia="Calibri"/>
                <w:b/>
                <w:bCs/>
                <w:color w:val="000000"/>
                <w:sz w:val="18"/>
                <w:szCs w:val="18"/>
                <w:lang w:eastAsia="en-GB"/>
              </w:rPr>
              <w:t>Exposed group</w:t>
            </w:r>
          </w:p>
          <w:p w14:paraId="61D93A3F" w14:textId="77777777" w:rsidR="009D0C0B" w:rsidRPr="00B27CB1" w:rsidRDefault="00FA480B">
            <w:pPr>
              <w:keepNext/>
              <w:widowControl w:val="0"/>
              <w:tabs>
                <w:tab w:val="center" w:pos="4536"/>
                <w:tab w:val="right" w:pos="9072"/>
              </w:tabs>
            </w:pPr>
            <w:r w:rsidRPr="00B27CB1">
              <w:rPr>
                <w:rFonts w:eastAsia="Calibri"/>
                <w:bCs/>
                <w:color w:val="000000"/>
                <w:sz w:val="18"/>
                <w:szCs w:val="18"/>
                <w:lang w:eastAsia="en-GB"/>
              </w:rPr>
              <w:t>(e.g. professionals, non-professionals, bystanders)</w:t>
            </w:r>
          </w:p>
        </w:tc>
      </w:tr>
      <w:tr w:rsidR="00833685" w:rsidRPr="00B27CB1" w14:paraId="5E66133F" w14:textId="77777777" w:rsidTr="00E91F85">
        <w:tc>
          <w:tcPr>
            <w:tcW w:w="9512"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A2B192B" w14:textId="4954C2C8" w:rsidR="00833685" w:rsidRPr="00E91F85" w:rsidRDefault="00833685" w:rsidP="00E91F85">
            <w:pPr>
              <w:keepNext/>
              <w:rPr>
                <w:rFonts w:eastAsia="Calibri"/>
                <w:sz w:val="18"/>
                <w:szCs w:val="18"/>
              </w:rPr>
            </w:pPr>
            <w:r w:rsidRPr="001F2CB5">
              <w:rPr>
                <w:rFonts w:eastAsia="Calibri"/>
                <w:b/>
                <w:bCs/>
                <w:sz w:val="18"/>
                <w:szCs w:val="18"/>
              </w:rPr>
              <w:t xml:space="preserve">PRIMARY EXPOSURE - </w:t>
            </w:r>
            <w:r w:rsidRPr="001F2CB5">
              <w:rPr>
                <w:rFonts w:eastAsia="Calibri"/>
                <w:b/>
                <w:bCs/>
                <w:color w:val="000000"/>
                <w:sz w:val="18"/>
                <w:szCs w:val="18"/>
                <w:lang w:eastAsia="en-GB"/>
              </w:rPr>
              <w:t>Meta SPC 13 (</w:t>
            </w:r>
            <w:r w:rsidRPr="001F2CB5">
              <w:rPr>
                <w:rFonts w:eastAsia="Calibri" w:cs="Times New Roman"/>
                <w:b/>
                <w:iCs/>
                <w:sz w:val="18"/>
                <w:u w:val="single"/>
                <w:lang w:eastAsia="en-US"/>
              </w:rPr>
              <w:t>2-(2-butoxyethoxy)ethanol</w:t>
            </w:r>
            <w:r w:rsidRPr="001F2CB5">
              <w:rPr>
                <w:rFonts w:eastAsia="Calibri" w:cs="Times New Roman"/>
                <w:b/>
                <w:iCs/>
                <w:u w:val="single"/>
                <w:lang w:eastAsia="en-US"/>
              </w:rPr>
              <w:t>)</w:t>
            </w:r>
          </w:p>
          <w:p w14:paraId="11ED79CB" w14:textId="42715A17" w:rsidR="00833685" w:rsidRPr="00B27CB1" w:rsidRDefault="00833685" w:rsidP="00833685">
            <w:pPr>
              <w:keepNext/>
              <w:widowControl w:val="0"/>
              <w:tabs>
                <w:tab w:val="center" w:pos="4536"/>
                <w:tab w:val="right" w:pos="9072"/>
              </w:tabs>
              <w:snapToGrid w:val="0"/>
              <w:rPr>
                <w:rFonts w:eastAsia="Calibri"/>
                <w:color w:val="000000"/>
                <w:sz w:val="18"/>
                <w:szCs w:val="18"/>
                <w:lang w:eastAsia="en-GB"/>
              </w:rPr>
            </w:pPr>
            <w:r w:rsidRPr="001F2CB5">
              <w:rPr>
                <w:rFonts w:eastAsia="Calibri" w:cs="Times New Roman"/>
                <w:iCs/>
                <w:lang w:eastAsia="en-US"/>
              </w:rPr>
              <w:t>Use # 1</w:t>
            </w:r>
          </w:p>
        </w:tc>
      </w:tr>
      <w:tr w:rsidR="007E1591" w:rsidRPr="00B27CB1" w14:paraId="3E580A93" w14:textId="77777777" w:rsidTr="00E91F85">
        <w:tc>
          <w:tcPr>
            <w:tcW w:w="1064" w:type="dxa"/>
            <w:tcBorders>
              <w:top w:val="single" w:sz="6" w:space="0" w:color="000000"/>
              <w:left w:val="single" w:sz="6" w:space="0" w:color="000000"/>
              <w:bottom w:val="single" w:sz="6" w:space="0" w:color="000000"/>
            </w:tcBorders>
            <w:shd w:val="clear" w:color="auto" w:fill="auto"/>
          </w:tcPr>
          <w:p w14:paraId="3C7E27A5" w14:textId="77777777" w:rsidR="007E1591" w:rsidRPr="00B27CB1" w:rsidRDefault="007E1591" w:rsidP="007E1591">
            <w:pPr>
              <w:keepNext/>
              <w:rPr>
                <w:rFonts w:eastAsia="Calibri"/>
                <w:color w:val="000000"/>
                <w:sz w:val="18"/>
                <w:szCs w:val="18"/>
                <w:lang w:eastAsia="en-GB"/>
              </w:rPr>
            </w:pPr>
            <w:r w:rsidRPr="00B27CB1">
              <w:rPr>
                <w:rFonts w:eastAsia="Calibri"/>
                <w:sz w:val="18"/>
                <w:szCs w:val="18"/>
              </w:rPr>
              <w:t>1.</w:t>
            </w:r>
          </w:p>
        </w:tc>
        <w:tc>
          <w:tcPr>
            <w:tcW w:w="1151" w:type="dxa"/>
            <w:tcBorders>
              <w:top w:val="single" w:sz="6" w:space="0" w:color="000000"/>
              <w:left w:val="single" w:sz="6" w:space="0" w:color="000000"/>
              <w:bottom w:val="single" w:sz="6" w:space="0" w:color="000000"/>
            </w:tcBorders>
            <w:shd w:val="clear" w:color="auto" w:fill="auto"/>
          </w:tcPr>
          <w:p w14:paraId="4EC3C0A7" w14:textId="0A544B3C"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Manual mixing and loading </w:t>
            </w:r>
          </w:p>
        </w:tc>
        <w:tc>
          <w:tcPr>
            <w:tcW w:w="5580" w:type="dxa"/>
            <w:tcBorders>
              <w:top w:val="single" w:sz="6" w:space="0" w:color="000000"/>
              <w:left w:val="single" w:sz="6" w:space="0" w:color="000000"/>
              <w:bottom w:val="single" w:sz="6" w:space="0" w:color="000000"/>
            </w:tcBorders>
            <w:shd w:val="clear" w:color="auto" w:fill="auto"/>
          </w:tcPr>
          <w:p w14:paraId="5ED6FF08"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 xml:space="preserve">Primary exposure – Dermal and inhalation exposure </w:t>
            </w:r>
            <w:r w:rsidRPr="00C3565C">
              <w:rPr>
                <w:b/>
                <w:color w:val="000000"/>
                <w:sz w:val="18"/>
                <w:szCs w:val="18"/>
                <w:lang w:val="en-US" w:eastAsia="en-GB"/>
              </w:rPr>
              <w:t>(</w:t>
            </w:r>
            <w:r w:rsidRPr="00A43386">
              <w:rPr>
                <w:b/>
                <w:color w:val="000000"/>
                <w:sz w:val="18"/>
                <w:szCs w:val="18"/>
                <w:lang w:val="en-US" w:eastAsia="en-GB"/>
              </w:rPr>
              <w:t>dropplets)</w:t>
            </w:r>
          </w:p>
          <w:p w14:paraId="7902C59F" w14:textId="77777777" w:rsidR="007E1591" w:rsidRDefault="007E1591" w:rsidP="007E1591">
            <w:pPr>
              <w:keepNext/>
              <w:widowControl w:val="0"/>
              <w:tabs>
                <w:tab w:val="center" w:pos="4536"/>
                <w:tab w:val="right" w:pos="9072"/>
              </w:tabs>
              <w:snapToGrid w:val="0"/>
              <w:rPr>
                <w:b/>
                <w:color w:val="000000"/>
                <w:sz w:val="18"/>
                <w:szCs w:val="18"/>
                <w:lang w:val="en-US" w:eastAsia="en-GB"/>
              </w:rPr>
            </w:pPr>
          </w:p>
          <w:p w14:paraId="7A645E4B" w14:textId="77777777" w:rsidR="007E1591" w:rsidRDefault="007E1591" w:rsidP="007E1591">
            <w:pPr>
              <w:keepNext/>
              <w:widowControl w:val="0"/>
              <w:tabs>
                <w:tab w:val="center" w:pos="4536"/>
                <w:tab w:val="right" w:pos="9072"/>
              </w:tabs>
              <w:snapToGrid w:val="0"/>
              <w:jc w:val="both"/>
              <w:rPr>
                <w:bCs/>
                <w:color w:val="000000"/>
                <w:sz w:val="18"/>
                <w:szCs w:val="18"/>
                <w:lang w:val="en-US" w:eastAsia="en-GB"/>
              </w:rPr>
            </w:pPr>
            <w:r w:rsidRPr="00BB58FA">
              <w:rPr>
                <w:bCs/>
                <w:color w:val="000000"/>
                <w:sz w:val="18"/>
                <w:szCs w:val="18"/>
                <w:lang w:val="en-US" w:eastAsia="en-GB"/>
              </w:rPr>
              <w:t xml:space="preserve">Products of meta SPC </w:t>
            </w:r>
            <w:r>
              <w:rPr>
                <w:bCs/>
                <w:color w:val="000000"/>
                <w:sz w:val="18"/>
                <w:szCs w:val="18"/>
                <w:lang w:val="en-US" w:eastAsia="en-GB"/>
              </w:rPr>
              <w:t xml:space="preserve">13 are manually loaded and mixed with water in a bucket or machine’s tank </w:t>
            </w:r>
            <w:r>
              <w:rPr>
                <w:rFonts w:eastAsia="Calibri"/>
                <w:color w:val="000000"/>
                <w:sz w:val="18"/>
                <w:szCs w:val="18"/>
                <w:lang w:eastAsia="en-GB"/>
              </w:rPr>
              <w:t>(scrubber-dryers, single-disk scrubbers, high or low pressure sprayers)</w:t>
            </w:r>
            <w:r>
              <w:rPr>
                <w:bCs/>
                <w:color w:val="000000"/>
                <w:sz w:val="18"/>
                <w:szCs w:val="18"/>
                <w:lang w:val="en-US" w:eastAsia="en-GB"/>
              </w:rPr>
              <w:t xml:space="preserve"> from a refill drum of 5 to 20L or a bottle of 250 mL-1L.</w:t>
            </w:r>
          </w:p>
          <w:p w14:paraId="46C2AD18"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2BA0FE1B"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3577572C" w14:textId="5A4127AD"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0CB8F13B" w14:textId="77777777" w:rsidTr="00E91F85">
        <w:tc>
          <w:tcPr>
            <w:tcW w:w="1064" w:type="dxa"/>
            <w:tcBorders>
              <w:top w:val="single" w:sz="6" w:space="0" w:color="000000"/>
              <w:left w:val="single" w:sz="6" w:space="0" w:color="000000"/>
              <w:bottom w:val="single" w:sz="6" w:space="0" w:color="000000"/>
            </w:tcBorders>
            <w:shd w:val="clear" w:color="auto" w:fill="auto"/>
          </w:tcPr>
          <w:p w14:paraId="529A9034" w14:textId="77777777" w:rsidR="007E1591" w:rsidRPr="00B27CB1" w:rsidRDefault="007E1591" w:rsidP="007E1591">
            <w:pPr>
              <w:keepNext/>
              <w:rPr>
                <w:rFonts w:eastAsia="Calibri"/>
                <w:color w:val="000000"/>
                <w:sz w:val="18"/>
                <w:szCs w:val="18"/>
                <w:lang w:eastAsia="en-GB"/>
              </w:rPr>
            </w:pPr>
            <w:r w:rsidRPr="00B27CB1">
              <w:rPr>
                <w:rFonts w:eastAsia="Calibri"/>
                <w:sz w:val="18"/>
                <w:szCs w:val="18"/>
              </w:rPr>
              <w:t>2.</w:t>
            </w:r>
          </w:p>
        </w:tc>
        <w:tc>
          <w:tcPr>
            <w:tcW w:w="1151" w:type="dxa"/>
            <w:tcBorders>
              <w:top w:val="single" w:sz="6" w:space="0" w:color="000000"/>
              <w:left w:val="single" w:sz="6" w:space="0" w:color="000000"/>
              <w:bottom w:val="single" w:sz="6" w:space="0" w:color="000000"/>
            </w:tcBorders>
            <w:shd w:val="clear" w:color="auto" w:fill="auto"/>
          </w:tcPr>
          <w:p w14:paraId="0E9AFCD3" w14:textId="109BF7D6"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Semi-automatic mixing and loading </w:t>
            </w:r>
          </w:p>
        </w:tc>
        <w:tc>
          <w:tcPr>
            <w:tcW w:w="5580" w:type="dxa"/>
            <w:tcBorders>
              <w:top w:val="single" w:sz="6" w:space="0" w:color="000000"/>
              <w:left w:val="single" w:sz="6" w:space="0" w:color="000000"/>
              <w:bottom w:val="single" w:sz="6" w:space="0" w:color="000000"/>
            </w:tcBorders>
            <w:shd w:val="clear" w:color="auto" w:fill="auto"/>
          </w:tcPr>
          <w:p w14:paraId="4A7F7401"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 xml:space="preserve">Primary exposure – Dermal and inhalation exposure </w:t>
            </w:r>
            <w:r w:rsidRPr="00C3565C">
              <w:rPr>
                <w:b/>
                <w:color w:val="000000"/>
                <w:sz w:val="18"/>
                <w:szCs w:val="18"/>
                <w:lang w:val="en-US" w:eastAsia="en-GB"/>
              </w:rPr>
              <w:t>(</w:t>
            </w:r>
            <w:r w:rsidRPr="00A43386">
              <w:rPr>
                <w:b/>
                <w:color w:val="000000"/>
                <w:sz w:val="18"/>
                <w:szCs w:val="18"/>
                <w:lang w:val="en-US" w:eastAsia="en-GB"/>
              </w:rPr>
              <w:t>dropplets)</w:t>
            </w:r>
          </w:p>
          <w:p w14:paraId="16922B19"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p>
          <w:p w14:paraId="008C24AB" w14:textId="77777777" w:rsidR="007E1591" w:rsidRDefault="007E1591" w:rsidP="007E1591">
            <w:pPr>
              <w:keepNext/>
              <w:widowControl w:val="0"/>
              <w:tabs>
                <w:tab w:val="center" w:pos="4536"/>
                <w:tab w:val="right" w:pos="9072"/>
              </w:tabs>
              <w:snapToGrid w:val="0"/>
              <w:jc w:val="both"/>
              <w:rPr>
                <w:rFonts w:eastAsia="Calibri"/>
                <w:color w:val="000000"/>
                <w:sz w:val="18"/>
                <w:szCs w:val="18"/>
                <w:lang w:eastAsia="en-GB"/>
              </w:rPr>
            </w:pPr>
            <w:r>
              <w:rPr>
                <w:rFonts w:eastAsia="Calibri"/>
                <w:color w:val="000000"/>
                <w:sz w:val="18"/>
                <w:szCs w:val="18"/>
                <w:lang w:eastAsia="en-GB"/>
              </w:rPr>
              <w:t>Semi-automatic mixing and loading into a bucket or machine’s tank (scrubber-dryers, single-disk scrubbers, high or low pressure sprayers).</w:t>
            </w:r>
          </w:p>
          <w:p w14:paraId="6AE1EDA3"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1B676BA5"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78666EE3" w14:textId="69996345"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574ABCDF" w14:textId="77777777" w:rsidTr="00E91F85">
        <w:tc>
          <w:tcPr>
            <w:tcW w:w="1064" w:type="dxa"/>
            <w:tcBorders>
              <w:top w:val="single" w:sz="6" w:space="0" w:color="000000"/>
              <w:left w:val="single" w:sz="6" w:space="0" w:color="000000"/>
              <w:bottom w:val="single" w:sz="6" w:space="0" w:color="000000"/>
            </w:tcBorders>
            <w:shd w:val="clear" w:color="auto" w:fill="auto"/>
          </w:tcPr>
          <w:p w14:paraId="7F70DDA1" w14:textId="61BF46D3" w:rsidR="007E1591" w:rsidRDefault="007E1591" w:rsidP="007E1591">
            <w:pPr>
              <w:keepNext/>
              <w:rPr>
                <w:rFonts w:eastAsia="Calibri"/>
                <w:sz w:val="18"/>
                <w:szCs w:val="18"/>
              </w:rPr>
            </w:pPr>
            <w:r>
              <w:rPr>
                <w:rFonts w:eastAsia="Calibri"/>
                <w:sz w:val="18"/>
                <w:szCs w:val="18"/>
              </w:rPr>
              <w:t>3.</w:t>
            </w:r>
          </w:p>
        </w:tc>
        <w:tc>
          <w:tcPr>
            <w:tcW w:w="1151" w:type="dxa"/>
            <w:tcBorders>
              <w:top w:val="single" w:sz="6" w:space="0" w:color="000000"/>
              <w:left w:val="single" w:sz="6" w:space="0" w:color="000000"/>
              <w:bottom w:val="single" w:sz="6" w:space="0" w:color="000000"/>
            </w:tcBorders>
            <w:shd w:val="clear" w:color="auto" w:fill="auto"/>
          </w:tcPr>
          <w:p w14:paraId="27F35FBA" w14:textId="3C823A9A"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sidRPr="00660247">
              <w:rPr>
                <w:color w:val="000000"/>
                <w:sz w:val="18"/>
                <w:szCs w:val="18"/>
                <w:lang w:eastAsia="en-GB"/>
              </w:rPr>
              <w:t>Exposure</w:t>
            </w:r>
            <w:r>
              <w:rPr>
                <w:color w:val="000000"/>
                <w:sz w:val="18"/>
                <w:szCs w:val="18"/>
                <w:lang w:eastAsia="en-GB"/>
              </w:rPr>
              <w:t xml:space="preserve"> to volatilized residues during mixing and loading</w:t>
            </w:r>
            <w:r w:rsidRPr="00660247">
              <w:rPr>
                <w:color w:val="000000"/>
                <w:sz w:val="18"/>
                <w:szCs w:val="18"/>
                <w:lang w:eastAsia="en-GB"/>
              </w:rPr>
              <w:t xml:space="preserve"> </w:t>
            </w:r>
          </w:p>
        </w:tc>
        <w:tc>
          <w:tcPr>
            <w:tcW w:w="5580" w:type="dxa"/>
            <w:tcBorders>
              <w:top w:val="single" w:sz="6" w:space="0" w:color="000000"/>
              <w:left w:val="single" w:sz="6" w:space="0" w:color="000000"/>
              <w:bottom w:val="single" w:sz="6" w:space="0" w:color="000000"/>
            </w:tcBorders>
            <w:shd w:val="clear" w:color="auto" w:fill="auto"/>
          </w:tcPr>
          <w:p w14:paraId="6B0EF0B9"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Primary exposure – Inhalation exposure (vapors)</w:t>
            </w:r>
          </w:p>
          <w:p w14:paraId="3735CDB0" w14:textId="77777777" w:rsidR="007E1591" w:rsidRDefault="007E1591" w:rsidP="007E1591">
            <w:pPr>
              <w:keepNext/>
              <w:widowControl w:val="0"/>
              <w:tabs>
                <w:tab w:val="center" w:pos="4536"/>
                <w:tab w:val="right" w:pos="9072"/>
              </w:tabs>
              <w:snapToGrid w:val="0"/>
              <w:rPr>
                <w:color w:val="000000"/>
                <w:sz w:val="18"/>
                <w:szCs w:val="18"/>
                <w:lang w:eastAsia="en-GB"/>
              </w:rPr>
            </w:pPr>
          </w:p>
          <w:p w14:paraId="2620A2BE" w14:textId="77777777" w:rsidR="007E1591" w:rsidRDefault="007E1591" w:rsidP="007E1591">
            <w:pPr>
              <w:keepNext/>
              <w:widowControl w:val="0"/>
              <w:tabs>
                <w:tab w:val="center" w:pos="4536"/>
                <w:tab w:val="right" w:pos="9072"/>
              </w:tabs>
              <w:snapToGrid w:val="0"/>
              <w:rPr>
                <w:color w:val="000000"/>
                <w:sz w:val="18"/>
                <w:szCs w:val="18"/>
                <w:lang w:eastAsia="en-GB"/>
              </w:rPr>
            </w:pPr>
            <w:r>
              <w:rPr>
                <w:color w:val="000000"/>
                <w:sz w:val="18"/>
                <w:szCs w:val="18"/>
                <w:lang w:eastAsia="en-GB"/>
              </w:rPr>
              <w:t xml:space="preserve">Due to the volatility of </w:t>
            </w:r>
            <w:r w:rsidRPr="00447B73">
              <w:rPr>
                <w:color w:val="000000"/>
                <w:sz w:val="18"/>
                <w:szCs w:val="18"/>
                <w:lang w:eastAsia="en-GB"/>
              </w:rPr>
              <w:t>2-(2-butoxyethoxy)ethanol</w:t>
            </w:r>
            <w:r>
              <w:rPr>
                <w:color w:val="000000"/>
                <w:sz w:val="18"/>
                <w:szCs w:val="18"/>
                <w:lang w:eastAsia="en-GB"/>
              </w:rPr>
              <w:t>, exposure to volatilized residues occurs during mixing and loading.</w:t>
            </w:r>
          </w:p>
          <w:p w14:paraId="3EAC2E53"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0CB62619" w14:textId="77777777" w:rsidR="007E1591" w:rsidRDefault="007E1591" w:rsidP="007E1591">
            <w:pPr>
              <w:keepNext/>
              <w:widowControl w:val="0"/>
              <w:tabs>
                <w:tab w:val="center" w:pos="4536"/>
                <w:tab w:val="right" w:pos="9072"/>
              </w:tabs>
              <w:snapToGrid w:val="0"/>
              <w:rPr>
                <w:color w:val="000000"/>
                <w:sz w:val="18"/>
                <w:szCs w:val="18"/>
                <w:lang w:eastAsia="en-GB"/>
              </w:rPr>
            </w:pPr>
            <w:r>
              <w:rPr>
                <w:color w:val="000000"/>
                <w:sz w:val="18"/>
                <w:szCs w:val="18"/>
                <w:lang w:eastAsia="en-GB"/>
              </w:rPr>
              <w:t>Industrials/</w:t>
            </w:r>
          </w:p>
          <w:p w14:paraId="6E79F221" w14:textId="42E04B33" w:rsidR="007E1591" w:rsidRDefault="007E1591" w:rsidP="007E1591">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Professionals</w:t>
            </w:r>
            <w:r w:rsidRPr="00660247">
              <w:rPr>
                <w:color w:val="000000"/>
                <w:sz w:val="18"/>
                <w:szCs w:val="18"/>
                <w:lang w:eastAsia="en-GB"/>
              </w:rPr>
              <w:t xml:space="preserve"> </w:t>
            </w:r>
          </w:p>
        </w:tc>
      </w:tr>
      <w:tr w:rsidR="007E1591" w:rsidRPr="00B27CB1" w14:paraId="5BC93C07" w14:textId="77777777" w:rsidTr="00E91F85">
        <w:tc>
          <w:tcPr>
            <w:tcW w:w="1064" w:type="dxa"/>
            <w:tcBorders>
              <w:top w:val="single" w:sz="6" w:space="0" w:color="000000"/>
              <w:left w:val="single" w:sz="6" w:space="0" w:color="000000"/>
              <w:bottom w:val="single" w:sz="6" w:space="0" w:color="000000"/>
            </w:tcBorders>
            <w:shd w:val="clear" w:color="auto" w:fill="auto"/>
          </w:tcPr>
          <w:p w14:paraId="1604FBBC" w14:textId="0E00743C" w:rsidR="007E1591" w:rsidRDefault="007E1591" w:rsidP="007E1591">
            <w:pPr>
              <w:keepNext/>
              <w:rPr>
                <w:rFonts w:eastAsia="Calibri"/>
                <w:sz w:val="18"/>
                <w:szCs w:val="18"/>
              </w:rPr>
            </w:pPr>
            <w:r>
              <w:rPr>
                <w:rFonts w:eastAsia="Calibri"/>
                <w:sz w:val="18"/>
                <w:szCs w:val="18"/>
              </w:rPr>
              <w:t>4.</w:t>
            </w:r>
          </w:p>
        </w:tc>
        <w:tc>
          <w:tcPr>
            <w:tcW w:w="1151" w:type="dxa"/>
            <w:tcBorders>
              <w:top w:val="single" w:sz="6" w:space="0" w:color="000000"/>
              <w:left w:val="single" w:sz="6" w:space="0" w:color="000000"/>
              <w:bottom w:val="single" w:sz="6" w:space="0" w:color="000000"/>
            </w:tcBorders>
            <w:shd w:val="clear" w:color="auto" w:fill="auto"/>
          </w:tcPr>
          <w:p w14:paraId="583A28D9" w14:textId="31B1BBA3"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Spray application (low-pressure sprayer)</w:t>
            </w:r>
          </w:p>
        </w:tc>
        <w:tc>
          <w:tcPr>
            <w:tcW w:w="5580" w:type="dxa"/>
            <w:tcBorders>
              <w:top w:val="single" w:sz="6" w:space="0" w:color="000000"/>
              <w:left w:val="single" w:sz="6" w:space="0" w:color="000000"/>
              <w:bottom w:val="single" w:sz="6" w:space="0" w:color="000000"/>
            </w:tcBorders>
            <w:shd w:val="clear" w:color="auto" w:fill="auto"/>
          </w:tcPr>
          <w:p w14:paraId="0A7817C9"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Primary exposure – Dermal and inhalation exposure (aerosols)</w:t>
            </w:r>
            <w:r w:rsidDel="00C3565C">
              <w:rPr>
                <w:b/>
                <w:color w:val="000000"/>
                <w:sz w:val="18"/>
                <w:szCs w:val="18"/>
                <w:lang w:val="en-US" w:eastAsia="en-GB"/>
              </w:rPr>
              <w:t xml:space="preserve"> </w:t>
            </w:r>
          </w:p>
          <w:p w14:paraId="3C353D02" w14:textId="77777777" w:rsidR="007E1591" w:rsidRDefault="007E1591" w:rsidP="007E1591">
            <w:pPr>
              <w:keepNext/>
              <w:widowControl w:val="0"/>
              <w:tabs>
                <w:tab w:val="center" w:pos="4536"/>
                <w:tab w:val="right" w:pos="9072"/>
              </w:tabs>
              <w:snapToGrid w:val="0"/>
              <w:jc w:val="both"/>
              <w:rPr>
                <w:b/>
                <w:color w:val="000000"/>
                <w:sz w:val="18"/>
                <w:szCs w:val="18"/>
                <w:lang w:val="en-US" w:eastAsia="en-GB"/>
              </w:rPr>
            </w:pPr>
          </w:p>
          <w:p w14:paraId="61723809" w14:textId="77777777" w:rsidR="007E1591" w:rsidRDefault="007E1591" w:rsidP="007E1591">
            <w:pPr>
              <w:keepNext/>
              <w:widowControl w:val="0"/>
              <w:tabs>
                <w:tab w:val="center" w:pos="4536"/>
                <w:tab w:val="right" w:pos="9072"/>
              </w:tabs>
              <w:snapToGrid w:val="0"/>
              <w:jc w:val="both"/>
              <w:rPr>
                <w:rFonts w:eastAsia="Calibri"/>
                <w:color w:val="000000"/>
                <w:sz w:val="18"/>
                <w:szCs w:val="18"/>
                <w:lang w:eastAsia="en-GB"/>
              </w:rPr>
            </w:pPr>
            <w:r>
              <w:rPr>
                <w:rFonts w:eastAsia="Calibri"/>
                <w:color w:val="000000"/>
                <w:sz w:val="18"/>
                <w:szCs w:val="18"/>
                <w:lang w:eastAsia="en-GB"/>
              </w:rPr>
              <w:t>Products of meta SPC 13 are sprayed on hard surfaces using a low-pressure sprayer, leading to dermal and inhalation exposure.</w:t>
            </w:r>
          </w:p>
          <w:p w14:paraId="4A3DE699"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75DCA7F4"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43C44649" w14:textId="2D24310E"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24E44C8D" w14:textId="77777777" w:rsidTr="00E91F85">
        <w:tc>
          <w:tcPr>
            <w:tcW w:w="1064" w:type="dxa"/>
            <w:tcBorders>
              <w:top w:val="single" w:sz="6" w:space="0" w:color="000000"/>
              <w:left w:val="single" w:sz="6" w:space="0" w:color="000000"/>
              <w:bottom w:val="single" w:sz="6" w:space="0" w:color="000000"/>
            </w:tcBorders>
            <w:shd w:val="clear" w:color="auto" w:fill="auto"/>
          </w:tcPr>
          <w:p w14:paraId="6632C9B2" w14:textId="1FA1F603" w:rsidR="007E1591" w:rsidRDefault="007E1591" w:rsidP="007E1591">
            <w:pPr>
              <w:keepNext/>
              <w:rPr>
                <w:rFonts w:eastAsia="Calibri"/>
                <w:sz w:val="18"/>
                <w:szCs w:val="18"/>
              </w:rPr>
            </w:pPr>
            <w:r>
              <w:rPr>
                <w:rFonts w:eastAsia="Calibri"/>
                <w:sz w:val="18"/>
                <w:szCs w:val="18"/>
              </w:rPr>
              <w:t>5.</w:t>
            </w:r>
          </w:p>
        </w:tc>
        <w:tc>
          <w:tcPr>
            <w:tcW w:w="1151" w:type="dxa"/>
            <w:tcBorders>
              <w:top w:val="single" w:sz="6" w:space="0" w:color="000000"/>
              <w:left w:val="single" w:sz="6" w:space="0" w:color="000000"/>
              <w:bottom w:val="single" w:sz="6" w:space="0" w:color="000000"/>
            </w:tcBorders>
            <w:shd w:val="clear" w:color="auto" w:fill="auto"/>
          </w:tcPr>
          <w:p w14:paraId="4570971E" w14:textId="607AB1D6"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Spray application (high-pressure sprayer)</w:t>
            </w:r>
          </w:p>
        </w:tc>
        <w:tc>
          <w:tcPr>
            <w:tcW w:w="5580" w:type="dxa"/>
            <w:tcBorders>
              <w:top w:val="single" w:sz="6" w:space="0" w:color="000000"/>
              <w:left w:val="single" w:sz="6" w:space="0" w:color="000000"/>
              <w:bottom w:val="single" w:sz="6" w:space="0" w:color="000000"/>
            </w:tcBorders>
            <w:shd w:val="clear" w:color="auto" w:fill="auto"/>
          </w:tcPr>
          <w:p w14:paraId="5E055115"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Primary exposure – Dermal and inhalation exposure (aerosols)</w:t>
            </w:r>
          </w:p>
          <w:p w14:paraId="0D047384"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p>
          <w:p w14:paraId="7ED03D1B" w14:textId="77777777" w:rsidR="007E1591" w:rsidRDefault="007E1591" w:rsidP="007E1591">
            <w:pPr>
              <w:keepNext/>
              <w:widowControl w:val="0"/>
              <w:tabs>
                <w:tab w:val="center" w:pos="4536"/>
                <w:tab w:val="right" w:pos="9072"/>
              </w:tabs>
              <w:snapToGrid w:val="0"/>
              <w:jc w:val="both"/>
              <w:rPr>
                <w:rFonts w:eastAsia="Calibri"/>
                <w:color w:val="000000"/>
                <w:sz w:val="18"/>
                <w:szCs w:val="18"/>
                <w:lang w:eastAsia="en-GB"/>
              </w:rPr>
            </w:pPr>
            <w:r>
              <w:rPr>
                <w:rFonts w:eastAsia="Calibri"/>
                <w:color w:val="000000"/>
                <w:sz w:val="18"/>
                <w:szCs w:val="18"/>
                <w:lang w:eastAsia="en-GB"/>
              </w:rPr>
              <w:t>Products of meta SPC 13 are sprayed on hard surfaces using a high-pressure sprayer, leading to dermal and inhalation exposure.</w:t>
            </w:r>
          </w:p>
          <w:p w14:paraId="0B62317E"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15C530D1"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51116F36" w14:textId="48EE8D14"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51FFEEB0" w14:textId="77777777" w:rsidTr="00E91F85">
        <w:tc>
          <w:tcPr>
            <w:tcW w:w="1064" w:type="dxa"/>
            <w:tcBorders>
              <w:top w:val="single" w:sz="6" w:space="0" w:color="000000"/>
              <w:left w:val="single" w:sz="6" w:space="0" w:color="000000"/>
              <w:bottom w:val="single" w:sz="6" w:space="0" w:color="000000"/>
            </w:tcBorders>
            <w:shd w:val="clear" w:color="auto" w:fill="auto"/>
          </w:tcPr>
          <w:p w14:paraId="7E542E19" w14:textId="7649FD05" w:rsidR="007E1591" w:rsidRDefault="007E1591" w:rsidP="007E1591">
            <w:pPr>
              <w:keepNext/>
              <w:rPr>
                <w:rFonts w:eastAsia="Calibri"/>
                <w:sz w:val="18"/>
                <w:szCs w:val="18"/>
              </w:rPr>
            </w:pPr>
            <w:r>
              <w:rPr>
                <w:rFonts w:eastAsia="Calibri"/>
                <w:sz w:val="18"/>
                <w:szCs w:val="18"/>
              </w:rPr>
              <w:t>6.</w:t>
            </w:r>
          </w:p>
        </w:tc>
        <w:tc>
          <w:tcPr>
            <w:tcW w:w="1151" w:type="dxa"/>
            <w:tcBorders>
              <w:top w:val="single" w:sz="6" w:space="0" w:color="000000"/>
              <w:left w:val="single" w:sz="6" w:space="0" w:color="000000"/>
              <w:bottom w:val="single" w:sz="6" w:space="0" w:color="000000"/>
            </w:tcBorders>
            <w:shd w:val="clear" w:color="auto" w:fill="auto"/>
          </w:tcPr>
          <w:p w14:paraId="7E796FA9" w14:textId="02A7193A"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Cleaning of spray equipment</w:t>
            </w:r>
          </w:p>
        </w:tc>
        <w:tc>
          <w:tcPr>
            <w:tcW w:w="5580" w:type="dxa"/>
            <w:tcBorders>
              <w:top w:val="single" w:sz="6" w:space="0" w:color="000000"/>
              <w:left w:val="single" w:sz="6" w:space="0" w:color="000000"/>
              <w:bottom w:val="single" w:sz="6" w:space="0" w:color="000000"/>
            </w:tcBorders>
            <w:shd w:val="clear" w:color="auto" w:fill="auto"/>
          </w:tcPr>
          <w:p w14:paraId="5F7F7B31"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 xml:space="preserve">Primary exposure – Dermal and inhalation exposure </w:t>
            </w:r>
            <w:r w:rsidRPr="00C3565C">
              <w:rPr>
                <w:b/>
                <w:color w:val="000000"/>
                <w:sz w:val="18"/>
                <w:szCs w:val="18"/>
                <w:lang w:val="en-US" w:eastAsia="en-GB"/>
              </w:rPr>
              <w:t>(</w:t>
            </w:r>
            <w:r w:rsidRPr="00A43386">
              <w:rPr>
                <w:b/>
                <w:color w:val="000000"/>
                <w:sz w:val="18"/>
                <w:szCs w:val="18"/>
                <w:lang w:val="en-US" w:eastAsia="en-GB"/>
              </w:rPr>
              <w:t>dropplets)</w:t>
            </w:r>
          </w:p>
          <w:p w14:paraId="38A5FEB0" w14:textId="77777777" w:rsidR="007E1591" w:rsidRDefault="007E1591" w:rsidP="007E1591">
            <w:pPr>
              <w:keepNext/>
              <w:widowControl w:val="0"/>
              <w:tabs>
                <w:tab w:val="center" w:pos="4536"/>
                <w:tab w:val="right" w:pos="9072"/>
              </w:tabs>
              <w:snapToGrid w:val="0"/>
              <w:rPr>
                <w:b/>
                <w:color w:val="000000"/>
                <w:sz w:val="18"/>
                <w:szCs w:val="18"/>
                <w:lang w:val="en-US" w:eastAsia="en-GB"/>
              </w:rPr>
            </w:pPr>
          </w:p>
          <w:p w14:paraId="53288864" w14:textId="77777777" w:rsidR="007E1591" w:rsidRDefault="007E1591" w:rsidP="007E1591">
            <w:pPr>
              <w:keepNext/>
              <w:widowControl w:val="0"/>
              <w:tabs>
                <w:tab w:val="center" w:pos="4536"/>
                <w:tab w:val="right" w:pos="9072"/>
              </w:tabs>
              <w:snapToGrid w:val="0"/>
              <w:jc w:val="both"/>
              <w:rPr>
                <w:bCs/>
                <w:color w:val="000000"/>
                <w:sz w:val="18"/>
                <w:szCs w:val="18"/>
                <w:lang w:val="en-US" w:eastAsia="en-GB"/>
              </w:rPr>
            </w:pPr>
            <w:r w:rsidRPr="00F36D85">
              <w:rPr>
                <w:bCs/>
                <w:color w:val="000000"/>
                <w:sz w:val="18"/>
                <w:szCs w:val="18"/>
                <w:lang w:val="en-US" w:eastAsia="en-GB"/>
              </w:rPr>
              <w:t xml:space="preserve">After </w:t>
            </w:r>
            <w:r>
              <w:rPr>
                <w:bCs/>
                <w:color w:val="000000"/>
                <w:sz w:val="18"/>
                <w:szCs w:val="18"/>
                <w:lang w:val="en-US" w:eastAsia="en-GB"/>
              </w:rPr>
              <w:t xml:space="preserve">spray </w:t>
            </w:r>
            <w:r w:rsidRPr="00F36D85">
              <w:rPr>
                <w:bCs/>
                <w:color w:val="000000"/>
                <w:sz w:val="18"/>
                <w:szCs w:val="18"/>
                <w:lang w:val="en-US" w:eastAsia="en-GB"/>
              </w:rPr>
              <w:t>application</w:t>
            </w:r>
            <w:r>
              <w:rPr>
                <w:bCs/>
                <w:color w:val="000000"/>
                <w:sz w:val="18"/>
                <w:szCs w:val="18"/>
                <w:lang w:val="en-US" w:eastAsia="en-GB"/>
              </w:rPr>
              <w:t xml:space="preserve">, </w:t>
            </w:r>
            <w:r w:rsidRPr="00F36D85">
              <w:rPr>
                <w:bCs/>
                <w:color w:val="000000"/>
                <w:sz w:val="18"/>
                <w:szCs w:val="18"/>
                <w:lang w:val="en-US" w:eastAsia="en-GB"/>
              </w:rPr>
              <w:t>low or high</w:t>
            </w:r>
            <w:r>
              <w:rPr>
                <w:bCs/>
                <w:color w:val="000000"/>
                <w:sz w:val="18"/>
                <w:szCs w:val="18"/>
                <w:lang w:val="en-US" w:eastAsia="en-GB"/>
              </w:rPr>
              <w:t>-</w:t>
            </w:r>
            <w:r w:rsidRPr="00F36D85">
              <w:rPr>
                <w:bCs/>
                <w:color w:val="000000"/>
                <w:sz w:val="18"/>
                <w:szCs w:val="18"/>
                <w:lang w:val="en-US" w:eastAsia="en-GB"/>
              </w:rPr>
              <w:t>pressure sprayer</w:t>
            </w:r>
            <w:r>
              <w:rPr>
                <w:bCs/>
                <w:color w:val="000000"/>
                <w:sz w:val="18"/>
                <w:szCs w:val="18"/>
                <w:lang w:val="en-US" w:eastAsia="en-GB"/>
              </w:rPr>
              <w:t>s are washed with water.</w:t>
            </w:r>
          </w:p>
          <w:p w14:paraId="13BDACE5"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3A1839CE"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6E9E8277" w14:textId="4E6E7099"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45C18087" w14:textId="77777777" w:rsidTr="00E91F85">
        <w:tc>
          <w:tcPr>
            <w:tcW w:w="1064" w:type="dxa"/>
            <w:tcBorders>
              <w:top w:val="single" w:sz="6" w:space="0" w:color="000000"/>
              <w:left w:val="single" w:sz="6" w:space="0" w:color="000000"/>
              <w:bottom w:val="single" w:sz="6" w:space="0" w:color="000000"/>
            </w:tcBorders>
            <w:shd w:val="clear" w:color="auto" w:fill="auto"/>
          </w:tcPr>
          <w:p w14:paraId="50D8E565" w14:textId="050E1B5B" w:rsidR="007E1591" w:rsidRDefault="007E1591" w:rsidP="007E1591">
            <w:pPr>
              <w:keepNext/>
              <w:rPr>
                <w:rFonts w:eastAsia="Calibri"/>
                <w:sz w:val="18"/>
                <w:szCs w:val="18"/>
              </w:rPr>
            </w:pPr>
            <w:r>
              <w:rPr>
                <w:rFonts w:eastAsia="Calibri"/>
                <w:sz w:val="18"/>
                <w:szCs w:val="18"/>
              </w:rPr>
              <w:t>7.</w:t>
            </w:r>
          </w:p>
        </w:tc>
        <w:tc>
          <w:tcPr>
            <w:tcW w:w="1151" w:type="dxa"/>
            <w:tcBorders>
              <w:top w:val="single" w:sz="6" w:space="0" w:color="000000"/>
              <w:left w:val="single" w:sz="6" w:space="0" w:color="000000"/>
              <w:bottom w:val="single" w:sz="6" w:space="0" w:color="000000"/>
            </w:tcBorders>
            <w:shd w:val="clear" w:color="auto" w:fill="auto"/>
          </w:tcPr>
          <w:p w14:paraId="2BE53FBD" w14:textId="7DE27279"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Application by wiping </w:t>
            </w:r>
          </w:p>
        </w:tc>
        <w:tc>
          <w:tcPr>
            <w:tcW w:w="5580" w:type="dxa"/>
            <w:tcBorders>
              <w:top w:val="single" w:sz="6" w:space="0" w:color="000000"/>
              <w:left w:val="single" w:sz="6" w:space="0" w:color="000000"/>
              <w:bottom w:val="single" w:sz="6" w:space="0" w:color="000000"/>
            </w:tcBorders>
            <w:shd w:val="clear" w:color="auto" w:fill="auto"/>
          </w:tcPr>
          <w:p w14:paraId="734E8470" w14:textId="77777777" w:rsidR="007E1591" w:rsidRPr="004D0CAC" w:rsidRDefault="007E1591" w:rsidP="007E1591">
            <w:pPr>
              <w:keepNext/>
              <w:widowControl w:val="0"/>
              <w:tabs>
                <w:tab w:val="center" w:pos="4536"/>
                <w:tab w:val="right" w:pos="9072"/>
              </w:tabs>
              <w:snapToGrid w:val="0"/>
              <w:rPr>
                <w:b/>
                <w:color w:val="000000"/>
                <w:sz w:val="18"/>
                <w:szCs w:val="18"/>
                <w:lang w:eastAsia="en-GB"/>
              </w:rPr>
            </w:pPr>
            <w:r>
              <w:rPr>
                <w:b/>
                <w:color w:val="000000"/>
                <w:sz w:val="18"/>
                <w:szCs w:val="18"/>
                <w:lang w:val="en-US" w:eastAsia="en-GB"/>
              </w:rPr>
              <w:t xml:space="preserve">Primary exposure – Dermal and inhalation exposure </w:t>
            </w:r>
            <w:r>
              <w:rPr>
                <w:b/>
                <w:color w:val="000000"/>
                <w:sz w:val="18"/>
                <w:szCs w:val="18"/>
                <w:lang w:eastAsia="en-GB"/>
              </w:rPr>
              <w:t>(dropplets)</w:t>
            </w:r>
          </w:p>
          <w:p w14:paraId="263BBFE4" w14:textId="77777777" w:rsidR="007E1591" w:rsidRDefault="007E1591" w:rsidP="007E1591">
            <w:pPr>
              <w:keepNext/>
              <w:widowControl w:val="0"/>
              <w:tabs>
                <w:tab w:val="center" w:pos="4536"/>
                <w:tab w:val="right" w:pos="9072"/>
              </w:tabs>
              <w:snapToGrid w:val="0"/>
              <w:rPr>
                <w:b/>
                <w:color w:val="000000"/>
                <w:sz w:val="18"/>
                <w:szCs w:val="18"/>
                <w:lang w:val="en-US" w:eastAsia="en-GB"/>
              </w:rPr>
            </w:pPr>
          </w:p>
          <w:p w14:paraId="14CB0CA8" w14:textId="5D3D436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val="en-US" w:eastAsia="en-GB"/>
              </w:rPr>
              <w:t>P</w:t>
            </w:r>
            <w:r>
              <w:rPr>
                <w:rFonts w:eastAsia="Calibri"/>
                <w:color w:val="000000"/>
                <w:sz w:val="18"/>
                <w:szCs w:val="18"/>
                <w:lang w:eastAsia="en-GB"/>
              </w:rPr>
              <w:t xml:space="preserve">roducts of meta SPC 13 are applied by wiping with a sponge or cloth. </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1308FE0F"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4CB13816" w14:textId="5B0737CD"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759D9E15" w14:textId="77777777" w:rsidTr="00E91F85">
        <w:tc>
          <w:tcPr>
            <w:tcW w:w="1064" w:type="dxa"/>
            <w:tcBorders>
              <w:top w:val="single" w:sz="6" w:space="0" w:color="000000"/>
              <w:left w:val="single" w:sz="6" w:space="0" w:color="000000"/>
              <w:bottom w:val="single" w:sz="6" w:space="0" w:color="000000"/>
            </w:tcBorders>
            <w:shd w:val="clear" w:color="auto" w:fill="auto"/>
          </w:tcPr>
          <w:p w14:paraId="5CC70C5F" w14:textId="451277F3" w:rsidR="007E1591" w:rsidRDefault="007E1591" w:rsidP="007E1591">
            <w:pPr>
              <w:keepNext/>
              <w:rPr>
                <w:rFonts w:eastAsia="Calibri"/>
                <w:sz w:val="18"/>
                <w:szCs w:val="18"/>
              </w:rPr>
            </w:pPr>
            <w:r>
              <w:rPr>
                <w:rFonts w:eastAsia="Calibri"/>
                <w:sz w:val="18"/>
                <w:szCs w:val="18"/>
              </w:rPr>
              <w:lastRenderedPageBreak/>
              <w:t>8.</w:t>
            </w:r>
          </w:p>
        </w:tc>
        <w:tc>
          <w:tcPr>
            <w:tcW w:w="1151" w:type="dxa"/>
            <w:tcBorders>
              <w:top w:val="single" w:sz="6" w:space="0" w:color="000000"/>
              <w:left w:val="single" w:sz="6" w:space="0" w:color="000000"/>
              <w:bottom w:val="single" w:sz="6" w:space="0" w:color="000000"/>
            </w:tcBorders>
            <w:shd w:val="clear" w:color="auto" w:fill="auto"/>
          </w:tcPr>
          <w:p w14:paraId="5B3280A9" w14:textId="3EF48FB6"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Application by manual mopping</w:t>
            </w:r>
          </w:p>
        </w:tc>
        <w:tc>
          <w:tcPr>
            <w:tcW w:w="5580" w:type="dxa"/>
            <w:tcBorders>
              <w:top w:val="single" w:sz="6" w:space="0" w:color="000000"/>
              <w:left w:val="single" w:sz="6" w:space="0" w:color="000000"/>
              <w:bottom w:val="single" w:sz="6" w:space="0" w:color="000000"/>
            </w:tcBorders>
            <w:shd w:val="clear" w:color="auto" w:fill="auto"/>
          </w:tcPr>
          <w:p w14:paraId="473A0399" w14:textId="77777777" w:rsidR="007E1591" w:rsidRPr="004D0CAC" w:rsidRDefault="007E1591" w:rsidP="007E1591">
            <w:pPr>
              <w:keepNext/>
              <w:widowControl w:val="0"/>
              <w:tabs>
                <w:tab w:val="center" w:pos="4536"/>
                <w:tab w:val="right" w:pos="9072"/>
              </w:tabs>
              <w:snapToGrid w:val="0"/>
              <w:rPr>
                <w:b/>
                <w:color w:val="000000"/>
                <w:sz w:val="18"/>
                <w:szCs w:val="18"/>
                <w:lang w:eastAsia="en-GB"/>
              </w:rPr>
            </w:pPr>
            <w:r>
              <w:rPr>
                <w:b/>
                <w:color w:val="000000"/>
                <w:sz w:val="18"/>
                <w:szCs w:val="18"/>
                <w:lang w:val="en-US" w:eastAsia="en-GB"/>
              </w:rPr>
              <w:t xml:space="preserve">Primary exposure – Dermal and inhalation exposure </w:t>
            </w:r>
            <w:r>
              <w:rPr>
                <w:b/>
                <w:color w:val="000000"/>
                <w:sz w:val="18"/>
                <w:szCs w:val="18"/>
                <w:lang w:eastAsia="en-GB"/>
              </w:rPr>
              <w:t>(dropplets)</w:t>
            </w:r>
          </w:p>
          <w:p w14:paraId="17A8CD31" w14:textId="77777777" w:rsidR="007E1591" w:rsidRDefault="007E1591" w:rsidP="007E1591">
            <w:pPr>
              <w:keepNext/>
              <w:widowControl w:val="0"/>
              <w:tabs>
                <w:tab w:val="center" w:pos="4536"/>
                <w:tab w:val="right" w:pos="9072"/>
              </w:tabs>
              <w:snapToGrid w:val="0"/>
              <w:rPr>
                <w:b/>
                <w:color w:val="000000"/>
                <w:sz w:val="18"/>
                <w:szCs w:val="18"/>
                <w:lang w:val="en-US" w:eastAsia="en-GB"/>
              </w:rPr>
            </w:pPr>
          </w:p>
          <w:p w14:paraId="41D484A7" w14:textId="77777777" w:rsidR="007E1591" w:rsidRDefault="007E1591" w:rsidP="007E1591">
            <w:pPr>
              <w:keepNext/>
              <w:widowControl w:val="0"/>
              <w:tabs>
                <w:tab w:val="center" w:pos="4536"/>
                <w:tab w:val="right" w:pos="9072"/>
              </w:tabs>
              <w:snapToGrid w:val="0"/>
              <w:jc w:val="both"/>
              <w:rPr>
                <w:rFonts w:eastAsia="Calibri"/>
                <w:color w:val="000000"/>
                <w:sz w:val="18"/>
                <w:szCs w:val="18"/>
                <w:lang w:eastAsia="en-GB"/>
              </w:rPr>
            </w:pPr>
            <w:r>
              <w:rPr>
                <w:rFonts w:eastAsia="Calibri"/>
                <w:color w:val="000000"/>
                <w:sz w:val="18"/>
                <w:szCs w:val="18"/>
                <w:lang w:eastAsia="en-GB"/>
              </w:rPr>
              <w:t xml:space="preserve">Products of meta SPC 13 are applied to the floor surface with an impregnated mop. </w:t>
            </w:r>
          </w:p>
          <w:p w14:paraId="3B7EBFAB" w14:textId="77777777"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11ADDA01"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088BC8A9" w14:textId="55911282"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r w:rsidR="007E1591" w:rsidRPr="00B27CB1" w14:paraId="75953BAB" w14:textId="77777777" w:rsidTr="00E91F85">
        <w:tc>
          <w:tcPr>
            <w:tcW w:w="1064" w:type="dxa"/>
            <w:tcBorders>
              <w:top w:val="single" w:sz="6" w:space="0" w:color="000000"/>
              <w:left w:val="single" w:sz="6" w:space="0" w:color="000000"/>
              <w:bottom w:val="single" w:sz="6" w:space="0" w:color="000000"/>
            </w:tcBorders>
            <w:shd w:val="clear" w:color="auto" w:fill="auto"/>
          </w:tcPr>
          <w:p w14:paraId="65106D58" w14:textId="3D107AA0" w:rsidR="007E1591" w:rsidRDefault="007E1591" w:rsidP="007E1591">
            <w:pPr>
              <w:keepNext/>
              <w:rPr>
                <w:rFonts w:eastAsia="Calibri"/>
                <w:sz w:val="18"/>
                <w:szCs w:val="18"/>
              </w:rPr>
            </w:pPr>
            <w:r>
              <w:rPr>
                <w:rFonts w:eastAsia="Calibri"/>
                <w:sz w:val="18"/>
                <w:szCs w:val="18"/>
              </w:rPr>
              <w:t>9.</w:t>
            </w:r>
          </w:p>
        </w:tc>
        <w:tc>
          <w:tcPr>
            <w:tcW w:w="1151" w:type="dxa"/>
            <w:tcBorders>
              <w:top w:val="single" w:sz="6" w:space="0" w:color="000000"/>
              <w:left w:val="single" w:sz="6" w:space="0" w:color="000000"/>
              <w:bottom w:val="single" w:sz="6" w:space="0" w:color="000000"/>
            </w:tcBorders>
            <w:shd w:val="clear" w:color="auto" w:fill="auto"/>
          </w:tcPr>
          <w:p w14:paraId="423FC413" w14:textId="397FDD45"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Application by semi-automatic mopping</w:t>
            </w:r>
          </w:p>
        </w:tc>
        <w:tc>
          <w:tcPr>
            <w:tcW w:w="5580" w:type="dxa"/>
            <w:tcBorders>
              <w:top w:val="single" w:sz="6" w:space="0" w:color="000000"/>
              <w:left w:val="single" w:sz="6" w:space="0" w:color="000000"/>
              <w:bottom w:val="single" w:sz="6" w:space="0" w:color="000000"/>
            </w:tcBorders>
            <w:shd w:val="clear" w:color="auto" w:fill="auto"/>
          </w:tcPr>
          <w:p w14:paraId="795863F3" w14:textId="77777777" w:rsidR="007E1591" w:rsidRDefault="007E1591" w:rsidP="007E1591">
            <w:pPr>
              <w:keepNext/>
              <w:widowControl w:val="0"/>
              <w:tabs>
                <w:tab w:val="center" w:pos="4536"/>
                <w:tab w:val="right" w:pos="9072"/>
              </w:tabs>
              <w:snapToGrid w:val="0"/>
              <w:rPr>
                <w:b/>
                <w:color w:val="000000"/>
                <w:sz w:val="18"/>
                <w:szCs w:val="18"/>
                <w:lang w:val="en-US" w:eastAsia="en-GB"/>
              </w:rPr>
            </w:pPr>
            <w:r>
              <w:rPr>
                <w:b/>
                <w:color w:val="000000"/>
                <w:sz w:val="18"/>
                <w:szCs w:val="18"/>
                <w:lang w:val="en-US" w:eastAsia="en-GB"/>
              </w:rPr>
              <w:t xml:space="preserve">Primary exposure – Inhalation exposure </w:t>
            </w:r>
          </w:p>
          <w:p w14:paraId="4EFF50D8" w14:textId="77777777" w:rsidR="007E1591" w:rsidRDefault="007E1591" w:rsidP="007E1591">
            <w:pPr>
              <w:keepNext/>
              <w:widowControl w:val="0"/>
              <w:tabs>
                <w:tab w:val="center" w:pos="4536"/>
                <w:tab w:val="right" w:pos="9072"/>
              </w:tabs>
              <w:snapToGrid w:val="0"/>
              <w:rPr>
                <w:b/>
                <w:color w:val="000000"/>
                <w:sz w:val="18"/>
                <w:szCs w:val="18"/>
                <w:lang w:val="en-US" w:eastAsia="en-GB"/>
              </w:rPr>
            </w:pPr>
          </w:p>
          <w:p w14:paraId="2351F774" w14:textId="33CD5A24" w:rsidR="007E1591" w:rsidRPr="00B27CB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Products of meta SPC 13 are applied with semi-automatic machines, </w:t>
            </w:r>
            <w:r w:rsidRPr="00F36D85">
              <w:rPr>
                <w:rFonts w:eastAsia="Calibri"/>
                <w:i/>
                <w:iCs/>
                <w:color w:val="000000"/>
                <w:sz w:val="18"/>
                <w:szCs w:val="18"/>
                <w:lang w:eastAsia="en-GB"/>
              </w:rPr>
              <w:t>e.g</w:t>
            </w:r>
            <w:r>
              <w:rPr>
                <w:rFonts w:eastAsia="Calibri"/>
                <w:color w:val="000000"/>
                <w:sz w:val="18"/>
                <w:szCs w:val="18"/>
                <w:lang w:eastAsia="en-GB"/>
              </w:rPr>
              <w:t xml:space="preserve"> scrubber-dryers and single-disk scrubbers.</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13CC17E2" w14:textId="77777777"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w:t>
            </w:r>
          </w:p>
          <w:p w14:paraId="1A8EDBDC" w14:textId="17BCED68" w:rsidR="007E1591" w:rsidRDefault="007E1591" w:rsidP="007E159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bl>
    <w:p w14:paraId="7A115DC8" w14:textId="77777777" w:rsidR="009D0C0B" w:rsidRPr="00B27CB1" w:rsidRDefault="009D0C0B">
      <w:pPr>
        <w:spacing w:line="260" w:lineRule="atLeast"/>
        <w:rPr>
          <w:rFonts w:ascii="Times New Roman" w:eastAsia="Calibri" w:hAnsi="Times New Roman" w:cs="Times New Roman"/>
          <w:i/>
          <w:szCs w:val="22"/>
          <w:lang w:eastAsia="en-US"/>
        </w:rPr>
      </w:pPr>
    </w:p>
    <w:p w14:paraId="718764E5" w14:textId="77777777" w:rsidR="009D0C0B" w:rsidRPr="00B27CB1" w:rsidRDefault="009D0C0B">
      <w:pPr>
        <w:spacing w:line="260" w:lineRule="atLeast"/>
        <w:rPr>
          <w:rFonts w:ascii="Times New Roman" w:eastAsia="Calibri" w:hAnsi="Times New Roman" w:cs="Times New Roman"/>
          <w:i/>
          <w:iCs/>
          <w:shd w:val="clear" w:color="auto" w:fill="00FFFF"/>
          <w:lang w:eastAsia="en-US"/>
        </w:rPr>
      </w:pPr>
    </w:p>
    <w:p w14:paraId="7236A53E" w14:textId="1F1BF3AC" w:rsidR="009D0C0B" w:rsidRDefault="007E1591">
      <w:pPr>
        <w:rPr>
          <w:rFonts w:eastAsia="Calibri"/>
          <w:b/>
          <w:i/>
          <w:sz w:val="22"/>
          <w:szCs w:val="22"/>
          <w:lang w:eastAsia="en-US"/>
        </w:rPr>
      </w:pPr>
      <w:r>
        <w:rPr>
          <w:rFonts w:eastAsia="Calibri"/>
          <w:b/>
          <w:i/>
          <w:sz w:val="22"/>
          <w:szCs w:val="22"/>
          <w:lang w:eastAsia="en-US"/>
        </w:rPr>
        <w:t>Industrial/</w:t>
      </w:r>
      <w:r w:rsidR="00FA480B" w:rsidRPr="00B27CB1">
        <w:rPr>
          <w:rFonts w:eastAsia="Calibri"/>
          <w:b/>
          <w:i/>
          <w:sz w:val="22"/>
          <w:szCs w:val="22"/>
          <w:lang w:eastAsia="en-US"/>
        </w:rPr>
        <w:t xml:space="preserve">Professional exposure </w:t>
      </w:r>
    </w:p>
    <w:p w14:paraId="7136DEAF" w14:textId="5624F830" w:rsidR="00C71856" w:rsidRDefault="00C71856">
      <w:pPr>
        <w:rPr>
          <w:rFonts w:eastAsia="Calibri"/>
          <w:b/>
          <w:i/>
          <w:sz w:val="22"/>
          <w:szCs w:val="22"/>
          <w:shd w:val="clear" w:color="auto" w:fill="00FFFF"/>
          <w:lang w:eastAsia="en-US"/>
        </w:rPr>
      </w:pPr>
    </w:p>
    <w:p w14:paraId="4BAD8CFC" w14:textId="77777777" w:rsidR="00C71856" w:rsidRPr="0084576F" w:rsidRDefault="00C71856" w:rsidP="00C71856">
      <w:pPr>
        <w:rPr>
          <w:rFonts w:eastAsia="Calibri"/>
          <w:b/>
          <w:bCs/>
          <w:i/>
          <w:iCs/>
          <w:sz w:val="22"/>
          <w:szCs w:val="22"/>
          <w:u w:val="single"/>
          <w:lang w:val="en-US" w:eastAsia="en-US"/>
        </w:rPr>
      </w:pPr>
      <w:r w:rsidRPr="0084576F">
        <w:rPr>
          <w:rFonts w:eastAsia="Calibri"/>
          <w:b/>
          <w:bCs/>
          <w:i/>
          <w:iCs/>
          <w:sz w:val="22"/>
          <w:szCs w:val="22"/>
          <w:u w:val="single"/>
          <w:lang w:val="en-US" w:eastAsia="en-US"/>
        </w:rPr>
        <w:t>Meta SPC 13</w:t>
      </w:r>
    </w:p>
    <w:p w14:paraId="5C067065" w14:textId="77777777" w:rsidR="00C71856" w:rsidRPr="0084576F" w:rsidRDefault="00C71856" w:rsidP="00C71856">
      <w:pPr>
        <w:rPr>
          <w:rFonts w:eastAsia="Calibri"/>
          <w:b/>
          <w:bCs/>
          <w:i/>
          <w:iCs/>
          <w:sz w:val="22"/>
          <w:szCs w:val="22"/>
          <w:lang w:val="en-US" w:eastAsia="en-US"/>
        </w:rPr>
      </w:pPr>
    </w:p>
    <w:p w14:paraId="7E12AC27" w14:textId="77777777" w:rsidR="00C71856" w:rsidRDefault="00C71856" w:rsidP="00C71856">
      <w:pPr>
        <w:rPr>
          <w:rFonts w:eastAsia="Calibri"/>
          <w:bCs/>
          <w:i/>
          <w:u w:val="single"/>
          <w:lang w:eastAsia="en-US"/>
        </w:rPr>
      </w:pPr>
      <w:r w:rsidRPr="00F36D85">
        <w:rPr>
          <w:rFonts w:eastAsia="Calibri"/>
          <w:bCs/>
          <w:i/>
          <w:u w:val="single"/>
          <w:lang w:eastAsia="en-US"/>
        </w:rPr>
        <w:t>Note:</w:t>
      </w:r>
    </w:p>
    <w:p w14:paraId="2D634FBA" w14:textId="77777777" w:rsidR="00C71856" w:rsidRDefault="00C71856" w:rsidP="00C71856">
      <w:pPr>
        <w:rPr>
          <w:rFonts w:eastAsia="Calibri"/>
          <w:bCs/>
          <w:i/>
          <w:u w:val="single"/>
          <w:lang w:eastAsia="en-US"/>
        </w:rPr>
      </w:pPr>
    </w:p>
    <w:p w14:paraId="55F65A47" w14:textId="77777777" w:rsidR="00C71856" w:rsidRDefault="00C71856" w:rsidP="00C71856">
      <w:pPr>
        <w:jc w:val="both"/>
        <w:rPr>
          <w:rFonts w:eastAsia="Calibri"/>
          <w:bCs/>
          <w:iCs/>
          <w:lang w:eastAsia="en-US"/>
        </w:rPr>
      </w:pPr>
      <w:r>
        <w:rPr>
          <w:rFonts w:eastAsia="Calibri"/>
          <w:bCs/>
          <w:iCs/>
          <w:lang w:eastAsia="en-US"/>
        </w:rPr>
        <w:t>According to the HEEG opinion 13 (2011), inhalation exposure to vapors of a substance can be neglected if the result of the followed equation is ≤1 :</w:t>
      </w:r>
    </w:p>
    <w:p w14:paraId="66F2291C" w14:textId="77777777" w:rsidR="00C71856" w:rsidRPr="00F36D85" w:rsidRDefault="00C71856" w:rsidP="00C71856">
      <w:pPr>
        <w:rPr>
          <w:rFonts w:eastAsia="Calibri"/>
          <w:bCs/>
          <w:iCs/>
          <w:lang w:eastAsia="en-US"/>
        </w:rPr>
      </w:pPr>
    </w:p>
    <w:p w14:paraId="732016C6" w14:textId="77777777" w:rsidR="00C71856" w:rsidRPr="0084576F" w:rsidRDefault="00C71856" w:rsidP="00C71856">
      <w:pPr>
        <w:spacing w:line="260" w:lineRule="atLeast"/>
        <w:jc w:val="center"/>
        <w:rPr>
          <w:rFonts w:eastAsia="Calibri"/>
          <w:b/>
          <w:bCs/>
          <w:iCs/>
          <w:lang w:eastAsia="en-US"/>
        </w:rPr>
      </w:pPr>
      <w:r w:rsidRPr="0084576F">
        <w:rPr>
          <w:rFonts w:eastAsia="Calibri"/>
          <w:b/>
          <w:bCs/>
          <w:iCs/>
          <w:lang w:eastAsia="en-US"/>
        </w:rPr>
        <w:t xml:space="preserve">0.328 </w:t>
      </w:r>
      <w:r w:rsidRPr="0084576F">
        <w:rPr>
          <w:rFonts w:eastAsia="Calibri"/>
          <w:b/>
          <w:bCs/>
          <w:iCs/>
          <w:lang w:eastAsia="en-US"/>
        </w:rPr>
        <w:sym w:font="Symbol" w:char="F0B4"/>
      </w:r>
      <w:r w:rsidRPr="0084576F">
        <w:rPr>
          <w:rFonts w:eastAsia="Calibri"/>
          <w:b/>
          <w:bCs/>
          <w:iCs/>
          <w:lang w:eastAsia="en-US"/>
        </w:rPr>
        <w:t xml:space="preserve"> [(molecular weight </w:t>
      </w:r>
      <w:r w:rsidRPr="0084576F">
        <w:rPr>
          <w:rFonts w:eastAsia="Calibri"/>
          <w:b/>
          <w:bCs/>
          <w:iCs/>
          <w:lang w:eastAsia="en-US"/>
        </w:rPr>
        <w:sym w:font="Symbol" w:char="F0B4"/>
      </w:r>
      <w:r w:rsidRPr="0084576F">
        <w:rPr>
          <w:rFonts w:eastAsia="Calibri"/>
          <w:b/>
          <w:bCs/>
          <w:iCs/>
          <w:lang w:eastAsia="en-US"/>
        </w:rPr>
        <w:t xml:space="preserve"> vapor pressure)/ AEL</w:t>
      </w:r>
      <w:r w:rsidRPr="0084576F">
        <w:rPr>
          <w:rFonts w:eastAsia="Calibri"/>
          <w:b/>
          <w:bCs/>
          <w:iCs/>
          <w:vertAlign w:val="subscript"/>
          <w:lang w:eastAsia="en-US"/>
        </w:rPr>
        <w:t>long-term</w:t>
      </w:r>
      <w:r w:rsidRPr="0084576F">
        <w:rPr>
          <w:rFonts w:eastAsia="Calibri"/>
          <w:b/>
          <w:bCs/>
          <w:iCs/>
          <w:lang w:eastAsia="en-US"/>
        </w:rPr>
        <w:t>]</w:t>
      </w:r>
    </w:p>
    <w:p w14:paraId="31169095" w14:textId="77777777" w:rsidR="00C71856" w:rsidRDefault="00C71856" w:rsidP="00C71856">
      <w:pPr>
        <w:spacing w:line="260" w:lineRule="atLeast"/>
        <w:jc w:val="center"/>
        <w:rPr>
          <w:rFonts w:eastAsia="Calibri"/>
          <w:bCs/>
          <w:iCs/>
          <w:lang w:eastAsia="en-US"/>
        </w:rPr>
      </w:pPr>
    </w:p>
    <w:p w14:paraId="49B57846" w14:textId="77777777" w:rsidR="00C71856" w:rsidRPr="00DD5264" w:rsidRDefault="00C71856" w:rsidP="00C71856">
      <w:pPr>
        <w:spacing w:line="260" w:lineRule="atLeast"/>
        <w:jc w:val="both"/>
        <w:rPr>
          <w:rFonts w:eastAsia="Calibri"/>
          <w:bCs/>
          <w:iCs/>
          <w:lang w:eastAsia="en-US"/>
        </w:rPr>
      </w:pPr>
      <w:r>
        <w:rPr>
          <w:rFonts w:eastAsia="Calibri"/>
          <w:bCs/>
          <w:iCs/>
          <w:lang w:eastAsia="en-US"/>
        </w:rPr>
        <w:t>According to REACH registration dossier, 2-(</w:t>
      </w:r>
      <w:r w:rsidRPr="0084576F">
        <w:rPr>
          <w:rFonts w:eastAsia="Calibri"/>
          <w:lang w:eastAsia="en-US"/>
        </w:rPr>
        <w:t>2-butoxyethoxy)ethanol</w:t>
      </w:r>
      <w:r>
        <w:rPr>
          <w:rFonts w:eastAsia="Calibri"/>
          <w:b/>
          <w:lang w:eastAsia="en-US"/>
        </w:rPr>
        <w:t xml:space="preserve"> </w:t>
      </w:r>
      <w:r w:rsidRPr="00E474DF">
        <w:rPr>
          <w:rFonts w:eastAsia="Calibri"/>
          <w:bCs/>
          <w:iCs/>
          <w:lang w:eastAsia="en-US"/>
        </w:rPr>
        <w:t xml:space="preserve">has a </w:t>
      </w:r>
      <w:r>
        <w:rPr>
          <w:rFonts w:eastAsia="Calibri"/>
          <w:bCs/>
          <w:iCs/>
          <w:lang w:eastAsia="en-US"/>
        </w:rPr>
        <w:t>vapor pressure of 2.9 Pa and a molecular weight 162.23 g/mol. No AEC</w:t>
      </w:r>
      <w:r w:rsidRPr="00F36D85">
        <w:rPr>
          <w:rFonts w:eastAsia="Calibri"/>
          <w:bCs/>
          <w:iCs/>
          <w:vertAlign w:val="subscript"/>
          <w:lang w:eastAsia="en-US"/>
        </w:rPr>
        <w:t xml:space="preserve"> </w:t>
      </w:r>
      <w:r>
        <w:rPr>
          <w:rFonts w:eastAsia="Calibri"/>
          <w:bCs/>
          <w:iCs/>
          <w:lang w:eastAsia="en-US"/>
        </w:rPr>
        <w:t>has been set for 2-(</w:t>
      </w:r>
      <w:r w:rsidRPr="00DD31D4">
        <w:rPr>
          <w:rFonts w:eastAsia="Calibri"/>
          <w:lang w:eastAsia="en-US"/>
        </w:rPr>
        <w:t>2-butoxyethoxy)ethanol</w:t>
      </w:r>
      <w:r>
        <w:rPr>
          <w:rFonts w:eastAsia="Calibri"/>
          <w:b/>
          <w:lang w:eastAsia="en-US"/>
        </w:rPr>
        <w:t xml:space="preserve"> </w:t>
      </w:r>
      <w:r>
        <w:rPr>
          <w:rFonts w:eastAsia="Calibri"/>
          <w:bCs/>
          <w:iCs/>
          <w:lang w:eastAsia="en-US"/>
        </w:rPr>
        <w:t>but the EU IOELV of 67.5 mg/m</w:t>
      </w:r>
      <w:r w:rsidRPr="0084576F">
        <w:rPr>
          <w:rFonts w:eastAsia="Calibri"/>
          <w:bCs/>
          <w:iCs/>
          <w:vertAlign w:val="superscript"/>
          <w:lang w:eastAsia="en-US"/>
        </w:rPr>
        <w:t>3</w:t>
      </w:r>
      <w:r>
        <w:rPr>
          <w:rFonts w:eastAsia="Calibri"/>
          <w:bCs/>
          <w:iCs/>
          <w:lang w:eastAsia="en-US"/>
        </w:rPr>
        <w:t xml:space="preserve"> is considered relevant to be used in the equation.</w:t>
      </w:r>
    </w:p>
    <w:p w14:paraId="51D3EE98" w14:textId="77777777" w:rsidR="00C71856" w:rsidRDefault="00C71856" w:rsidP="00C71856">
      <w:pPr>
        <w:spacing w:line="260" w:lineRule="atLeast"/>
        <w:jc w:val="both"/>
        <w:rPr>
          <w:rFonts w:eastAsia="Calibri"/>
          <w:bCs/>
          <w:iCs/>
          <w:lang w:eastAsia="en-US"/>
        </w:rPr>
      </w:pPr>
    </w:p>
    <w:p w14:paraId="4A751CE7" w14:textId="77777777" w:rsidR="00C71856" w:rsidRDefault="00C71856" w:rsidP="00C71856">
      <w:pPr>
        <w:spacing w:line="260" w:lineRule="atLeast"/>
        <w:jc w:val="both"/>
        <w:rPr>
          <w:rFonts w:eastAsia="Calibri"/>
          <w:bCs/>
          <w:iCs/>
          <w:lang w:eastAsia="en-US"/>
        </w:rPr>
      </w:pPr>
      <w:r>
        <w:rPr>
          <w:rFonts w:eastAsia="Calibri"/>
          <w:bCs/>
          <w:iCs/>
          <w:lang w:eastAsia="en-US"/>
        </w:rPr>
        <w:t>Applying these parameters in the equation</w:t>
      </w:r>
      <w:r w:rsidRPr="002409C3">
        <w:rPr>
          <w:rFonts w:eastAsia="Calibri"/>
          <w:bCs/>
          <w:iCs/>
          <w:lang w:eastAsia="en-US"/>
        </w:rPr>
        <w:t xml:space="preserve"> </w:t>
      </w:r>
      <w:r>
        <w:rPr>
          <w:rFonts w:eastAsia="Calibri"/>
          <w:bCs/>
          <w:iCs/>
          <w:lang w:eastAsia="en-US"/>
        </w:rPr>
        <w:t>above, the result of the equation is:</w:t>
      </w:r>
    </w:p>
    <w:p w14:paraId="09E2A20A" w14:textId="77777777" w:rsidR="00C71856" w:rsidRDefault="00C71856" w:rsidP="00C71856">
      <w:pPr>
        <w:spacing w:line="260" w:lineRule="atLeast"/>
        <w:rPr>
          <w:rFonts w:eastAsia="Calibri"/>
          <w:bCs/>
          <w:iCs/>
          <w:lang w:eastAsia="en-US"/>
        </w:rPr>
      </w:pPr>
    </w:p>
    <w:p w14:paraId="566EFE1F" w14:textId="77777777" w:rsidR="00C71856" w:rsidRPr="0084576F" w:rsidRDefault="00C71856" w:rsidP="00C71856">
      <w:pPr>
        <w:spacing w:line="260" w:lineRule="atLeast"/>
        <w:jc w:val="center"/>
        <w:rPr>
          <w:b/>
        </w:rPr>
      </w:pPr>
      <w:r w:rsidRPr="0084576F">
        <w:rPr>
          <w:rFonts w:eastAsia="Calibri"/>
          <w:b/>
          <w:bCs/>
          <w:iCs/>
          <w:lang w:eastAsia="en-US"/>
        </w:rPr>
        <w:t xml:space="preserve">0.328 </w:t>
      </w:r>
      <w:r w:rsidRPr="0084576F">
        <w:rPr>
          <w:rFonts w:eastAsia="Calibri"/>
          <w:b/>
          <w:bCs/>
          <w:iCs/>
          <w:lang w:eastAsia="en-US"/>
        </w:rPr>
        <w:sym w:font="Symbol" w:char="F0B4"/>
      </w:r>
      <w:r w:rsidRPr="0084576F">
        <w:rPr>
          <w:rFonts w:eastAsia="Calibri"/>
          <w:b/>
          <w:bCs/>
          <w:iCs/>
          <w:lang w:eastAsia="en-US"/>
        </w:rPr>
        <w:t xml:space="preserve"> [(162.23 </w:t>
      </w:r>
      <w:r w:rsidRPr="0084576F">
        <w:rPr>
          <w:rFonts w:eastAsia="Calibri"/>
          <w:b/>
          <w:bCs/>
          <w:iCs/>
          <w:lang w:eastAsia="en-US"/>
        </w:rPr>
        <w:sym w:font="Symbol" w:char="F0B4"/>
      </w:r>
      <w:r w:rsidRPr="0084576F">
        <w:rPr>
          <w:rFonts w:eastAsia="Calibri"/>
          <w:b/>
          <w:bCs/>
          <w:iCs/>
          <w:lang w:eastAsia="en-US"/>
        </w:rPr>
        <w:t xml:space="preserve"> 2.9)/100] = </w:t>
      </w:r>
      <w:r w:rsidRPr="0084576F">
        <w:rPr>
          <w:b/>
        </w:rPr>
        <w:t>1.54</w:t>
      </w:r>
    </w:p>
    <w:p w14:paraId="7B17D6B5" w14:textId="77777777" w:rsidR="00C71856" w:rsidRDefault="00C71856" w:rsidP="00C71856">
      <w:pPr>
        <w:spacing w:line="260" w:lineRule="atLeast"/>
      </w:pPr>
    </w:p>
    <w:p w14:paraId="5C94C9B9" w14:textId="77777777" w:rsidR="00C71856" w:rsidRPr="0084576F" w:rsidRDefault="00C71856" w:rsidP="00C71856">
      <w:pPr>
        <w:spacing w:line="260" w:lineRule="atLeast"/>
        <w:jc w:val="both"/>
      </w:pPr>
      <w:r>
        <w:t xml:space="preserve">The result of the equation is superior but close to 1. Thus, the evaporation of </w:t>
      </w:r>
      <w:r>
        <w:rPr>
          <w:rFonts w:eastAsia="Calibri"/>
          <w:bCs/>
          <w:iCs/>
          <w:lang w:eastAsia="en-US"/>
        </w:rPr>
        <w:t>2-(</w:t>
      </w:r>
      <w:r w:rsidRPr="00DD31D4">
        <w:rPr>
          <w:rFonts w:eastAsia="Calibri"/>
          <w:lang w:eastAsia="en-US"/>
        </w:rPr>
        <w:t>2-butoxyethoxy)ethanol</w:t>
      </w:r>
      <w:r>
        <w:rPr>
          <w:rFonts w:eastAsia="Calibri"/>
          <w:b/>
          <w:lang w:eastAsia="en-US"/>
        </w:rPr>
        <w:t xml:space="preserve"> </w:t>
      </w:r>
      <w:r>
        <w:rPr>
          <w:rFonts w:eastAsia="Calibri"/>
          <w:lang w:eastAsia="en-US"/>
        </w:rPr>
        <w:t xml:space="preserve">is expected to be significant but not really important. Therefore, </w:t>
      </w:r>
      <w:r>
        <w:t xml:space="preserve">inhalation exposure to vapors of </w:t>
      </w:r>
      <w:r>
        <w:rPr>
          <w:rFonts w:eastAsia="Calibri"/>
          <w:bCs/>
          <w:iCs/>
          <w:lang w:eastAsia="en-US"/>
        </w:rPr>
        <w:t>2-(</w:t>
      </w:r>
      <w:r w:rsidRPr="00DD31D4">
        <w:rPr>
          <w:rFonts w:eastAsia="Calibri"/>
          <w:lang w:eastAsia="en-US"/>
        </w:rPr>
        <w:t>2-butoxyethoxy)ethanol</w:t>
      </w:r>
      <w:r>
        <w:rPr>
          <w:rFonts w:eastAsia="Calibri"/>
          <w:b/>
          <w:lang w:eastAsia="en-US"/>
        </w:rPr>
        <w:t xml:space="preserve"> </w:t>
      </w:r>
      <w:r>
        <w:t xml:space="preserve">has only been considered for scenarios where the product is at a concentrate form (5.5 % of </w:t>
      </w:r>
      <w:r>
        <w:rPr>
          <w:rFonts w:eastAsia="Calibri"/>
          <w:bCs/>
          <w:iCs/>
          <w:lang w:eastAsia="en-US"/>
        </w:rPr>
        <w:t>2-(</w:t>
      </w:r>
      <w:r w:rsidRPr="00DD31D4">
        <w:rPr>
          <w:rFonts w:eastAsia="Calibri"/>
          <w:lang w:eastAsia="en-US"/>
        </w:rPr>
        <w:t>2-butoxyethoxy)ethanol</w:t>
      </w:r>
      <w:r>
        <w:t xml:space="preserve">) </w:t>
      </w:r>
      <w:r w:rsidRPr="0084576F">
        <w:rPr>
          <w:i/>
        </w:rPr>
        <w:t>i.e</w:t>
      </w:r>
      <w:r>
        <w:t xml:space="preserve"> for mixing and loading scenario, but not after dilution (0.44% of </w:t>
      </w:r>
      <w:r>
        <w:rPr>
          <w:rFonts w:eastAsia="Calibri"/>
          <w:bCs/>
          <w:iCs/>
          <w:lang w:eastAsia="en-US"/>
        </w:rPr>
        <w:t>2-(</w:t>
      </w:r>
      <w:r w:rsidRPr="00DD31D4">
        <w:rPr>
          <w:rFonts w:eastAsia="Calibri"/>
          <w:lang w:eastAsia="en-US"/>
        </w:rPr>
        <w:t>2-butoxyethoxy)ethanol</w:t>
      </w:r>
      <w:r>
        <w:t>).</w:t>
      </w:r>
    </w:p>
    <w:p w14:paraId="530BB4AB" w14:textId="77777777" w:rsidR="00C71856" w:rsidRDefault="00C71856" w:rsidP="00C71856">
      <w:pPr>
        <w:rPr>
          <w:rFonts w:eastAsia="Calibri"/>
          <w:b/>
          <w:bCs/>
          <w:i/>
          <w:iCs/>
          <w:sz w:val="22"/>
          <w:szCs w:val="22"/>
          <w:lang w:eastAsia="en-US"/>
        </w:rPr>
      </w:pPr>
    </w:p>
    <w:p w14:paraId="031EE4A2" w14:textId="77777777" w:rsidR="00C71856" w:rsidRPr="0084576F" w:rsidRDefault="00C71856" w:rsidP="00C71856">
      <w:pPr>
        <w:rPr>
          <w:rFonts w:eastAsia="Calibri"/>
          <w:szCs w:val="22"/>
          <w:lang w:eastAsia="en-US"/>
        </w:rPr>
      </w:pPr>
      <w:r w:rsidRPr="0084576F">
        <w:rPr>
          <w:rFonts w:eastAsia="Calibri"/>
          <w:szCs w:val="22"/>
          <w:lang w:eastAsia="en-US"/>
        </w:rPr>
        <w:t xml:space="preserve">The only toxicological </w:t>
      </w:r>
      <w:r>
        <w:rPr>
          <w:rFonts w:eastAsia="Calibri"/>
          <w:szCs w:val="22"/>
          <w:lang w:eastAsia="en-US"/>
        </w:rPr>
        <w:t xml:space="preserve">reference </w:t>
      </w:r>
      <w:r w:rsidRPr="0084576F">
        <w:rPr>
          <w:rFonts w:eastAsia="Calibri"/>
          <w:szCs w:val="22"/>
          <w:lang w:eastAsia="en-US"/>
        </w:rPr>
        <w:t xml:space="preserve">value of </w:t>
      </w:r>
      <w:r>
        <w:rPr>
          <w:rFonts w:eastAsia="Calibri"/>
          <w:bCs/>
          <w:iCs/>
          <w:lang w:eastAsia="en-US"/>
        </w:rPr>
        <w:t>2-(</w:t>
      </w:r>
      <w:r w:rsidRPr="00DD31D4">
        <w:rPr>
          <w:rFonts w:eastAsia="Calibri"/>
          <w:lang w:eastAsia="en-US"/>
        </w:rPr>
        <w:t>2-butoxyethoxy)ethanol</w:t>
      </w:r>
      <w:r>
        <w:rPr>
          <w:rFonts w:eastAsia="Calibri"/>
          <w:b/>
          <w:lang w:eastAsia="en-US"/>
        </w:rPr>
        <w:t xml:space="preserve"> </w:t>
      </w:r>
      <w:r>
        <w:rPr>
          <w:rFonts w:eastAsia="Calibri"/>
          <w:szCs w:val="22"/>
          <w:lang w:eastAsia="en-US"/>
        </w:rPr>
        <w:t>being the EU IOELV of 67.5 mg/m</w:t>
      </w:r>
      <w:r w:rsidRPr="0084576F">
        <w:rPr>
          <w:rFonts w:eastAsia="Calibri"/>
          <w:szCs w:val="22"/>
          <w:vertAlign w:val="superscript"/>
          <w:lang w:eastAsia="en-US"/>
        </w:rPr>
        <w:t>3</w:t>
      </w:r>
      <w:r>
        <w:rPr>
          <w:rFonts w:eastAsia="Calibri"/>
          <w:szCs w:val="22"/>
          <w:lang w:eastAsia="en-US"/>
        </w:rPr>
        <w:t>, only inhalation exposure has been taken into account in the scenarios.</w:t>
      </w:r>
    </w:p>
    <w:p w14:paraId="63522140" w14:textId="77777777" w:rsidR="00C71856" w:rsidRPr="00B27CB1" w:rsidRDefault="00C71856">
      <w:pPr>
        <w:rPr>
          <w:rFonts w:eastAsia="Calibri"/>
          <w:b/>
          <w:i/>
          <w:sz w:val="22"/>
          <w:szCs w:val="22"/>
          <w:shd w:val="clear" w:color="auto" w:fill="00FFFF"/>
          <w:lang w:eastAsia="en-US"/>
        </w:rPr>
      </w:pPr>
    </w:p>
    <w:p w14:paraId="28F54F9A" w14:textId="77777777" w:rsidR="00CC407B" w:rsidRDefault="00CC407B" w:rsidP="007E1591">
      <w:pPr>
        <w:jc w:val="both"/>
        <w:rPr>
          <w:rFonts w:eastAsia="Calibri"/>
          <w:b/>
          <w:i/>
          <w:sz w:val="22"/>
          <w:szCs w:val="22"/>
          <w:u w:val="single"/>
          <w:lang w:eastAsia="en-US"/>
        </w:rPr>
      </w:pPr>
    </w:p>
    <w:p w14:paraId="7669F854" w14:textId="77777777" w:rsidR="00CC407B" w:rsidRDefault="00CC407B" w:rsidP="007E1591">
      <w:pPr>
        <w:jc w:val="both"/>
        <w:rPr>
          <w:rFonts w:eastAsia="Calibri"/>
          <w:b/>
          <w:i/>
          <w:sz w:val="22"/>
          <w:szCs w:val="22"/>
          <w:u w:val="single"/>
          <w:lang w:eastAsia="en-US"/>
        </w:rPr>
      </w:pPr>
    </w:p>
    <w:p w14:paraId="7C522722" w14:textId="77777777" w:rsidR="00CC407B" w:rsidRDefault="00CC407B" w:rsidP="007E1591">
      <w:pPr>
        <w:jc w:val="both"/>
        <w:rPr>
          <w:rFonts w:eastAsia="Calibri"/>
          <w:b/>
          <w:i/>
          <w:sz w:val="22"/>
          <w:szCs w:val="22"/>
          <w:u w:val="single"/>
          <w:lang w:eastAsia="en-US"/>
        </w:rPr>
      </w:pPr>
    </w:p>
    <w:p w14:paraId="097938A5" w14:textId="77777777" w:rsidR="00CC407B" w:rsidRDefault="00CC407B" w:rsidP="007E1591">
      <w:pPr>
        <w:jc w:val="both"/>
        <w:rPr>
          <w:rFonts w:eastAsia="Calibri"/>
          <w:b/>
          <w:i/>
          <w:sz w:val="22"/>
          <w:szCs w:val="22"/>
          <w:u w:val="single"/>
          <w:lang w:eastAsia="en-US"/>
        </w:rPr>
      </w:pPr>
    </w:p>
    <w:p w14:paraId="4F1A8D41" w14:textId="77777777" w:rsidR="00CC407B" w:rsidRDefault="00CC407B" w:rsidP="007E1591">
      <w:pPr>
        <w:jc w:val="both"/>
        <w:rPr>
          <w:rFonts w:eastAsia="Calibri"/>
          <w:b/>
          <w:i/>
          <w:sz w:val="22"/>
          <w:szCs w:val="22"/>
          <w:u w:val="single"/>
          <w:lang w:eastAsia="en-US"/>
        </w:rPr>
      </w:pPr>
    </w:p>
    <w:p w14:paraId="5DA62029" w14:textId="77777777" w:rsidR="00CC407B" w:rsidRDefault="00CC407B" w:rsidP="007E1591">
      <w:pPr>
        <w:jc w:val="both"/>
        <w:rPr>
          <w:rFonts w:eastAsia="Calibri"/>
          <w:b/>
          <w:i/>
          <w:sz w:val="22"/>
          <w:szCs w:val="22"/>
          <w:u w:val="single"/>
          <w:lang w:eastAsia="en-US"/>
        </w:rPr>
      </w:pPr>
    </w:p>
    <w:p w14:paraId="1249441D" w14:textId="77777777" w:rsidR="00CC407B" w:rsidRDefault="00CC407B" w:rsidP="007E1591">
      <w:pPr>
        <w:jc w:val="both"/>
        <w:rPr>
          <w:rFonts w:eastAsia="Calibri"/>
          <w:b/>
          <w:i/>
          <w:sz w:val="22"/>
          <w:szCs w:val="22"/>
          <w:u w:val="single"/>
          <w:lang w:eastAsia="en-US"/>
        </w:rPr>
      </w:pPr>
    </w:p>
    <w:p w14:paraId="17833C99" w14:textId="77777777" w:rsidR="00CC407B" w:rsidRDefault="00CC407B" w:rsidP="007E1591">
      <w:pPr>
        <w:jc w:val="both"/>
        <w:rPr>
          <w:rFonts w:eastAsia="Calibri"/>
          <w:b/>
          <w:i/>
          <w:sz w:val="22"/>
          <w:szCs w:val="22"/>
          <w:u w:val="single"/>
          <w:lang w:eastAsia="en-US"/>
        </w:rPr>
      </w:pPr>
    </w:p>
    <w:p w14:paraId="39CBA1DB" w14:textId="77777777" w:rsidR="00CC407B" w:rsidRDefault="00CC407B" w:rsidP="007E1591">
      <w:pPr>
        <w:jc w:val="both"/>
        <w:rPr>
          <w:rFonts w:eastAsia="Calibri"/>
          <w:b/>
          <w:i/>
          <w:sz w:val="22"/>
          <w:szCs w:val="22"/>
          <w:u w:val="single"/>
          <w:lang w:eastAsia="en-US"/>
        </w:rPr>
      </w:pPr>
    </w:p>
    <w:p w14:paraId="2CC48744" w14:textId="77777777" w:rsidR="00CC407B" w:rsidRDefault="00CC407B" w:rsidP="007E1591">
      <w:pPr>
        <w:jc w:val="both"/>
        <w:rPr>
          <w:rFonts w:eastAsia="Calibri"/>
          <w:b/>
          <w:i/>
          <w:sz w:val="22"/>
          <w:szCs w:val="22"/>
          <w:u w:val="single"/>
          <w:lang w:eastAsia="en-US"/>
        </w:rPr>
      </w:pPr>
    </w:p>
    <w:p w14:paraId="47474201" w14:textId="23DCFB4E" w:rsidR="007E1591" w:rsidRPr="0084576F" w:rsidRDefault="007E1591" w:rsidP="007E1591">
      <w:pPr>
        <w:jc w:val="both"/>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1</w:t>
      </w:r>
      <w:r w:rsidRPr="0084576F">
        <w:rPr>
          <w:rFonts w:eastAsia="Calibri"/>
          <w:b/>
          <w:i/>
          <w:sz w:val="22"/>
          <w:szCs w:val="22"/>
          <w:u w:val="single"/>
          <w:lang w:eastAsia="en-US"/>
        </w:rPr>
        <w:t>] – Manual mixing and loading from drums/bottles to buckets/machines’ tank</w:t>
      </w:r>
    </w:p>
    <w:p w14:paraId="13BBEC1E"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4962"/>
        <w:gridCol w:w="1134"/>
        <w:gridCol w:w="2065"/>
      </w:tblGrid>
      <w:tr w:rsidR="007E1591" w14:paraId="513AA042"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2B5E06E1" w14:textId="538C9B19" w:rsidR="007E1591" w:rsidRDefault="007E1591" w:rsidP="00CC407B">
            <w:pPr>
              <w:spacing w:line="260" w:lineRule="atLeast"/>
            </w:pPr>
            <w:r>
              <w:rPr>
                <w:rFonts w:eastAsia="Calibri"/>
                <w:b/>
                <w:lang w:eastAsia="en-US"/>
              </w:rPr>
              <w:t xml:space="preserve">Description of </w:t>
            </w:r>
            <w:r w:rsidR="00CC407B">
              <w:rPr>
                <w:rFonts w:eastAsia="Calibri"/>
                <w:b/>
                <w:lang w:eastAsia="en-US"/>
              </w:rPr>
              <w:t>Scenario [1</w:t>
            </w:r>
            <w:r>
              <w:rPr>
                <w:rFonts w:eastAsia="Calibri"/>
                <w:b/>
                <w:lang w:eastAsia="en-US"/>
              </w:rPr>
              <w:t>]</w:t>
            </w:r>
          </w:p>
        </w:tc>
      </w:tr>
      <w:tr w:rsidR="007E1591" w14:paraId="432FB888"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5122D87F" w14:textId="77777777" w:rsidR="007E1591" w:rsidRDefault="007E1591" w:rsidP="00CC407B">
            <w:pPr>
              <w:keepNext/>
              <w:widowControl w:val="0"/>
              <w:tabs>
                <w:tab w:val="center" w:pos="4536"/>
                <w:tab w:val="right" w:pos="9072"/>
              </w:tabs>
              <w:snapToGrid w:val="0"/>
              <w:jc w:val="both"/>
              <w:rPr>
                <w:bCs/>
                <w:color w:val="000000"/>
                <w:lang w:val="en-US" w:eastAsia="en-GB"/>
              </w:rPr>
            </w:pPr>
            <w:r>
              <w:rPr>
                <w:bCs/>
                <w:color w:val="000000"/>
                <w:lang w:val="en-US" w:eastAsia="en-GB"/>
              </w:rPr>
              <w:t xml:space="preserve">According to the applicant, the product must be diluted at 8% with water before application. Therefore, the final concentration of </w:t>
            </w:r>
            <w:r w:rsidRPr="00A92AD6">
              <w:rPr>
                <w:bCs/>
                <w:color w:val="000000"/>
                <w:lang w:val="en-US" w:eastAsia="en-GB"/>
              </w:rPr>
              <w:t xml:space="preserve">2-butoxyethoxy)ethanol </w:t>
            </w:r>
            <w:r>
              <w:rPr>
                <w:bCs/>
                <w:color w:val="000000"/>
                <w:lang w:val="en-US" w:eastAsia="en-GB"/>
              </w:rPr>
              <w:t xml:space="preserve">after dilution is 0.08 </w:t>
            </w:r>
            <w:r>
              <w:rPr>
                <w:bCs/>
                <w:color w:val="000000"/>
                <w:lang w:val="en-US" w:eastAsia="en-GB"/>
              </w:rPr>
              <w:sym w:font="Symbol" w:char="F0B4"/>
            </w:r>
            <w:r>
              <w:rPr>
                <w:bCs/>
                <w:color w:val="000000"/>
                <w:lang w:val="en-US" w:eastAsia="en-GB"/>
              </w:rPr>
              <w:t xml:space="preserve"> 5.5 = 0.44%.</w:t>
            </w:r>
          </w:p>
          <w:p w14:paraId="40D855C8" w14:textId="77777777" w:rsidR="007E1591" w:rsidRPr="00F874D8" w:rsidRDefault="007E1591" w:rsidP="00CC407B">
            <w:pPr>
              <w:keepNext/>
              <w:widowControl w:val="0"/>
              <w:tabs>
                <w:tab w:val="center" w:pos="4536"/>
                <w:tab w:val="right" w:pos="9072"/>
              </w:tabs>
              <w:snapToGrid w:val="0"/>
              <w:jc w:val="both"/>
              <w:rPr>
                <w:bCs/>
                <w:color w:val="000000"/>
                <w:lang w:val="en-US" w:eastAsia="en-GB"/>
              </w:rPr>
            </w:pPr>
          </w:p>
          <w:p w14:paraId="465FA4BC" w14:textId="77777777" w:rsidR="007E1591" w:rsidRDefault="007E1591" w:rsidP="00CC407B">
            <w:pPr>
              <w:keepNext/>
              <w:widowControl w:val="0"/>
              <w:tabs>
                <w:tab w:val="center" w:pos="4536"/>
                <w:tab w:val="right" w:pos="9072"/>
              </w:tabs>
              <w:snapToGrid w:val="0"/>
              <w:jc w:val="both"/>
              <w:rPr>
                <w:bCs/>
                <w:color w:val="000000"/>
                <w:lang w:val="en-US" w:eastAsia="en-GB"/>
              </w:rPr>
            </w:pPr>
            <w:r>
              <w:rPr>
                <w:bCs/>
                <w:color w:val="000000"/>
                <w:lang w:val="en-US" w:eastAsia="en-GB"/>
              </w:rPr>
              <w:t>P</w:t>
            </w:r>
            <w:r w:rsidRPr="00F36D85">
              <w:rPr>
                <w:bCs/>
                <w:color w:val="000000"/>
                <w:lang w:val="en-US" w:eastAsia="en-GB"/>
              </w:rPr>
              <w:t>roduct</w:t>
            </w:r>
            <w:r>
              <w:rPr>
                <w:bCs/>
                <w:color w:val="000000"/>
                <w:lang w:val="en-US" w:eastAsia="en-GB"/>
              </w:rPr>
              <w:t>s of meta SPC 13</w:t>
            </w:r>
            <w:r w:rsidRPr="00F36D85">
              <w:rPr>
                <w:bCs/>
                <w:color w:val="000000"/>
                <w:lang w:val="en-US" w:eastAsia="en-GB"/>
              </w:rPr>
              <w:t xml:space="preserve"> </w:t>
            </w:r>
            <w:r>
              <w:rPr>
                <w:bCs/>
                <w:color w:val="000000"/>
                <w:lang w:val="en-US" w:eastAsia="en-GB"/>
              </w:rPr>
              <w:t>contained in</w:t>
            </w:r>
            <w:r w:rsidRPr="00F36D85">
              <w:rPr>
                <w:bCs/>
                <w:color w:val="000000"/>
                <w:lang w:val="en-US" w:eastAsia="en-GB"/>
              </w:rPr>
              <w:t xml:space="preserve"> drum</w:t>
            </w:r>
            <w:r>
              <w:rPr>
                <w:bCs/>
                <w:color w:val="000000"/>
                <w:lang w:val="en-US" w:eastAsia="en-GB"/>
              </w:rPr>
              <w:t>s</w:t>
            </w:r>
            <w:r w:rsidRPr="00F36D85">
              <w:rPr>
                <w:bCs/>
                <w:color w:val="000000"/>
                <w:lang w:val="en-US" w:eastAsia="en-GB"/>
              </w:rPr>
              <w:t xml:space="preserve"> of 5L</w:t>
            </w:r>
            <w:r>
              <w:rPr>
                <w:bCs/>
                <w:color w:val="000000"/>
                <w:lang w:val="en-US" w:eastAsia="en-GB"/>
              </w:rPr>
              <w:t xml:space="preserve"> to 20L, barrels of 20L</w:t>
            </w:r>
            <w:r w:rsidRPr="00F36D85">
              <w:rPr>
                <w:bCs/>
                <w:color w:val="000000"/>
                <w:lang w:val="en-US" w:eastAsia="en-GB"/>
              </w:rPr>
              <w:t xml:space="preserve"> or </w:t>
            </w:r>
            <w:r>
              <w:rPr>
                <w:bCs/>
                <w:color w:val="000000"/>
                <w:lang w:val="en-US" w:eastAsia="en-GB"/>
              </w:rPr>
              <w:t>in</w:t>
            </w:r>
            <w:r w:rsidRPr="00F36D85">
              <w:rPr>
                <w:bCs/>
                <w:color w:val="000000"/>
                <w:lang w:val="en-US" w:eastAsia="en-GB"/>
              </w:rPr>
              <w:t xml:space="preserve"> bottle</w:t>
            </w:r>
            <w:r>
              <w:rPr>
                <w:bCs/>
                <w:color w:val="000000"/>
                <w:lang w:val="en-US" w:eastAsia="en-GB"/>
              </w:rPr>
              <w:t xml:space="preserve">s of 250 mL to </w:t>
            </w:r>
            <w:r w:rsidRPr="00F36D85">
              <w:rPr>
                <w:bCs/>
                <w:color w:val="000000"/>
                <w:lang w:val="en-US" w:eastAsia="en-GB"/>
              </w:rPr>
              <w:t xml:space="preserve">1L </w:t>
            </w:r>
            <w:r>
              <w:rPr>
                <w:bCs/>
                <w:color w:val="000000"/>
                <w:lang w:val="en-US" w:eastAsia="en-GB"/>
              </w:rPr>
              <w:t xml:space="preserve">are </w:t>
            </w:r>
            <w:r w:rsidRPr="00F36D85">
              <w:rPr>
                <w:bCs/>
                <w:color w:val="000000"/>
                <w:u w:val="single"/>
                <w:lang w:val="en-US" w:eastAsia="en-GB"/>
              </w:rPr>
              <w:t>manually</w:t>
            </w:r>
            <w:r w:rsidRPr="00F36D85">
              <w:rPr>
                <w:bCs/>
                <w:color w:val="000000"/>
                <w:lang w:val="en-US" w:eastAsia="en-GB"/>
              </w:rPr>
              <w:t xml:space="preserve"> loaded and mixed with water in a bucket or machine</w:t>
            </w:r>
            <w:r>
              <w:rPr>
                <w:bCs/>
                <w:color w:val="000000"/>
                <w:lang w:val="en-US" w:eastAsia="en-GB"/>
              </w:rPr>
              <w:t>’s tank</w:t>
            </w:r>
            <w:r w:rsidRPr="00F36D85">
              <w:rPr>
                <w:bCs/>
                <w:color w:val="000000"/>
                <w:lang w:val="en-US" w:eastAsia="en-GB"/>
              </w:rPr>
              <w:t xml:space="preserve"> </w:t>
            </w:r>
            <w:r w:rsidRPr="00F36D85">
              <w:rPr>
                <w:rFonts w:eastAsia="Calibri"/>
                <w:color w:val="000000"/>
                <w:lang w:eastAsia="en-GB"/>
              </w:rPr>
              <w:t>(scrubber-dryers, single-disk scrubbers, high or</w:t>
            </w:r>
            <w:r>
              <w:rPr>
                <w:rFonts w:eastAsia="Calibri"/>
                <w:color w:val="000000"/>
                <w:lang w:eastAsia="en-GB"/>
              </w:rPr>
              <w:t>-</w:t>
            </w:r>
            <w:r w:rsidRPr="00F36D85">
              <w:rPr>
                <w:rFonts w:eastAsia="Calibri"/>
                <w:color w:val="000000"/>
                <w:lang w:eastAsia="en-GB"/>
              </w:rPr>
              <w:t>low pressure sprayers)</w:t>
            </w:r>
            <w:r>
              <w:rPr>
                <w:bCs/>
                <w:color w:val="000000"/>
                <w:lang w:val="en-US" w:eastAsia="en-GB"/>
              </w:rPr>
              <w:t>.</w:t>
            </w:r>
          </w:p>
          <w:p w14:paraId="5E3F9A49" w14:textId="77777777" w:rsidR="007E1591" w:rsidRDefault="007E1591" w:rsidP="00CC407B">
            <w:pPr>
              <w:spacing w:line="260" w:lineRule="atLeast"/>
              <w:jc w:val="both"/>
              <w:rPr>
                <w:rFonts w:eastAsia="Calibri"/>
                <w:lang w:eastAsia="en-US"/>
              </w:rPr>
            </w:pPr>
          </w:p>
          <w:p w14:paraId="490EC221" w14:textId="77777777" w:rsidR="007E1591" w:rsidRDefault="007E1591" w:rsidP="00CC407B">
            <w:pPr>
              <w:spacing w:line="260" w:lineRule="atLeast"/>
              <w:jc w:val="both"/>
              <w:rPr>
                <w:rFonts w:eastAsia="Calibri"/>
                <w:lang w:eastAsia="en-US"/>
              </w:rPr>
            </w:pPr>
            <w:r>
              <w:rPr>
                <w:rFonts w:eastAsia="Calibri"/>
                <w:lang w:eastAsia="en-US"/>
              </w:rPr>
              <w:t>I</w:t>
            </w:r>
            <w:r w:rsidRPr="008A7CEF">
              <w:rPr>
                <w:rFonts w:eastAsia="Calibri"/>
                <w:lang w:eastAsia="en-US"/>
              </w:rPr>
              <w:t xml:space="preserve">nhalation exposure to aerosols </w:t>
            </w:r>
            <w:r>
              <w:rPr>
                <w:rFonts w:eastAsia="Calibri"/>
                <w:lang w:eastAsia="en-US"/>
              </w:rPr>
              <w:t>is expected to be low but considered</w:t>
            </w:r>
            <w:r w:rsidRPr="008A7CEF">
              <w:rPr>
                <w:rFonts w:eastAsia="Calibri"/>
                <w:lang w:eastAsia="en-US"/>
              </w:rPr>
              <w:t xml:space="preserve"> </w:t>
            </w:r>
            <w:r>
              <w:rPr>
                <w:rFonts w:eastAsia="Calibri"/>
                <w:lang w:eastAsia="en-US"/>
              </w:rPr>
              <w:t>relevant</w:t>
            </w:r>
            <w:r w:rsidRPr="008A7CEF">
              <w:rPr>
                <w:rFonts w:eastAsia="Calibri"/>
                <w:lang w:eastAsia="en-US"/>
              </w:rPr>
              <w:t xml:space="preserve">. </w:t>
            </w:r>
          </w:p>
          <w:p w14:paraId="563A3D22" w14:textId="30900781" w:rsidR="007E1591" w:rsidRDefault="007E1591" w:rsidP="00CC407B">
            <w:pPr>
              <w:spacing w:line="260" w:lineRule="atLeast"/>
              <w:jc w:val="both"/>
              <w:rPr>
                <w:rFonts w:eastAsia="Calibri"/>
                <w:lang w:eastAsia="en-US"/>
              </w:rPr>
            </w:pPr>
            <w:r>
              <w:rPr>
                <w:rFonts w:eastAsia="Calibri"/>
                <w:lang w:eastAsia="en-US"/>
              </w:rPr>
              <w:t>Inhalation exposure to vapors is also considered and assessed in</w:t>
            </w:r>
            <w:r w:rsidR="00CC407B">
              <w:rPr>
                <w:rFonts w:eastAsia="Calibri"/>
                <w:lang w:eastAsia="en-US"/>
              </w:rPr>
              <w:t xml:space="preserve"> scenario 3</w:t>
            </w:r>
            <w:r>
              <w:rPr>
                <w:rFonts w:eastAsia="Calibri"/>
                <w:lang w:eastAsia="en-US"/>
              </w:rPr>
              <w:t>.</w:t>
            </w:r>
          </w:p>
          <w:p w14:paraId="134836B1" w14:textId="77777777" w:rsidR="007E1591" w:rsidRPr="004177BD" w:rsidRDefault="007E1591" w:rsidP="00CC407B">
            <w:pPr>
              <w:spacing w:line="260" w:lineRule="atLeast"/>
              <w:jc w:val="both"/>
              <w:rPr>
                <w:rFonts w:eastAsia="Calibri"/>
                <w:lang w:eastAsia="en-US"/>
              </w:rPr>
            </w:pPr>
          </w:p>
          <w:p w14:paraId="5466E902"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the exposure during </w:t>
            </w:r>
            <w:r>
              <w:rPr>
                <w:rFonts w:eastAsia="Calibri"/>
                <w:lang w:eastAsia="en-US"/>
              </w:rPr>
              <w:t>this task, according to the HEEG Opinion 1 (2008), Mixing and Loading Model 7 has been used.</w:t>
            </w:r>
          </w:p>
          <w:p w14:paraId="0B05E139" w14:textId="77777777" w:rsidR="007E1591" w:rsidRDefault="007E1591" w:rsidP="00CC407B">
            <w:pPr>
              <w:spacing w:line="260" w:lineRule="atLeast"/>
              <w:jc w:val="both"/>
              <w:rPr>
                <w:rFonts w:eastAsia="Calibri"/>
                <w:lang w:eastAsia="en-US"/>
              </w:rPr>
            </w:pPr>
          </w:p>
          <w:p w14:paraId="7B9E05F8" w14:textId="77777777" w:rsidR="007E1591" w:rsidRPr="004177BD" w:rsidRDefault="007E1591" w:rsidP="00CC407B">
            <w:pPr>
              <w:spacing w:line="260" w:lineRule="atLeast"/>
              <w:jc w:val="both"/>
              <w:rPr>
                <w:rFonts w:eastAsia="Calibri"/>
                <w:lang w:eastAsia="en-US"/>
              </w:rPr>
            </w:pPr>
            <w:r w:rsidRPr="004177BD">
              <w:rPr>
                <w:rFonts w:eastAsia="Calibri"/>
                <w:lang w:eastAsia="en-US"/>
              </w:rPr>
              <w:t>The indicative ex</w:t>
            </w:r>
            <w:r>
              <w:rPr>
                <w:rFonts w:eastAsia="Calibri"/>
                <w:lang w:eastAsia="en-US"/>
              </w:rPr>
              <w:t>posure value from the model is</w:t>
            </w:r>
            <w:r w:rsidRPr="004177BD">
              <w:rPr>
                <w:rFonts w:eastAsia="Calibri"/>
                <w:lang w:eastAsia="en-US"/>
              </w:rPr>
              <w:t xml:space="preserve"> as follows:</w:t>
            </w:r>
          </w:p>
          <w:p w14:paraId="7857F91F" w14:textId="77777777" w:rsidR="007E1591" w:rsidRPr="004177BD" w:rsidRDefault="007E1591" w:rsidP="00CC407B">
            <w:pPr>
              <w:spacing w:line="260" w:lineRule="atLeast"/>
              <w:jc w:val="both"/>
              <w:rPr>
                <w:rFonts w:eastAsia="Calibri"/>
                <w:lang w:eastAsia="en-US"/>
              </w:rPr>
            </w:pPr>
          </w:p>
          <w:p w14:paraId="61FD082E" w14:textId="77777777" w:rsidR="007E1591" w:rsidRPr="002A0706" w:rsidRDefault="007E1591" w:rsidP="00CC407B">
            <w:pPr>
              <w:spacing w:line="260" w:lineRule="atLeast"/>
              <w:jc w:val="both"/>
              <w:rPr>
                <w:rFonts w:eastAsia="Calibri"/>
                <w:lang w:eastAsia="en-US"/>
              </w:rPr>
            </w:pPr>
            <w:r>
              <w:rPr>
                <w:rFonts w:eastAsia="Calibri"/>
                <w:lang w:eastAsia="en-US"/>
              </w:rPr>
              <w:t>- Inhalation exposure: 0.94 mg/m</w:t>
            </w:r>
            <w:r w:rsidRPr="00BB58FA">
              <w:rPr>
                <w:rFonts w:eastAsia="Calibri"/>
                <w:vertAlign w:val="superscript"/>
                <w:lang w:eastAsia="en-US"/>
              </w:rPr>
              <w:t>3</w:t>
            </w:r>
          </w:p>
        </w:tc>
      </w:tr>
      <w:tr w:rsidR="007E1591" w14:paraId="6F7D6B15" w14:textId="77777777" w:rsidTr="00E91F85">
        <w:tc>
          <w:tcPr>
            <w:tcW w:w="1134" w:type="dxa"/>
            <w:tcBorders>
              <w:top w:val="single" w:sz="4" w:space="0" w:color="000000"/>
              <w:left w:val="single" w:sz="4" w:space="0" w:color="000000"/>
              <w:bottom w:val="single" w:sz="4" w:space="0" w:color="auto"/>
            </w:tcBorders>
            <w:shd w:val="clear" w:color="auto" w:fill="auto"/>
          </w:tcPr>
          <w:p w14:paraId="18C721DC" w14:textId="77777777" w:rsidR="007E1591" w:rsidRDefault="007E1591" w:rsidP="00CC407B">
            <w:pPr>
              <w:snapToGrid w:val="0"/>
              <w:spacing w:line="260" w:lineRule="atLeast"/>
              <w:rPr>
                <w:rFonts w:eastAsia="Calibri"/>
                <w:lang w:eastAsia="en-US"/>
              </w:rPr>
            </w:pPr>
          </w:p>
        </w:tc>
        <w:tc>
          <w:tcPr>
            <w:tcW w:w="4962" w:type="dxa"/>
            <w:tcBorders>
              <w:top w:val="single" w:sz="4" w:space="0" w:color="000000"/>
              <w:left w:val="single" w:sz="4" w:space="0" w:color="000000"/>
              <w:bottom w:val="single" w:sz="4" w:space="0" w:color="000000"/>
            </w:tcBorders>
            <w:shd w:val="clear" w:color="auto" w:fill="auto"/>
          </w:tcPr>
          <w:p w14:paraId="2A6AB057" w14:textId="77777777" w:rsidR="007E1591" w:rsidRDefault="007E1591" w:rsidP="00CC407B">
            <w:pPr>
              <w:spacing w:line="260" w:lineRule="atLeast"/>
              <w:rPr>
                <w:rFonts w:eastAsia="Calibri"/>
                <w:lang w:eastAsia="en-US"/>
              </w:rPr>
            </w:pPr>
            <w:r>
              <w:rPr>
                <w:rFonts w:eastAsia="Calibri"/>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FBD504" w14:textId="77777777" w:rsidR="007E1591" w:rsidRDefault="007E1591" w:rsidP="00CC407B">
            <w:pPr>
              <w:spacing w:line="260" w:lineRule="atLeast"/>
            </w:pPr>
            <w:r>
              <w:rPr>
                <w:rFonts w:eastAsia="Calibri"/>
                <w:lang w:eastAsia="en-US"/>
              </w:rPr>
              <w:t>Value</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2D27EB5F" w14:textId="77777777" w:rsidR="007E1591" w:rsidRDefault="007E1591" w:rsidP="00CC407B">
            <w:pPr>
              <w:spacing w:line="260" w:lineRule="atLeast"/>
            </w:pPr>
            <w:r>
              <w:t>Reference</w:t>
            </w:r>
          </w:p>
        </w:tc>
      </w:tr>
      <w:tr w:rsidR="007E1591" w14:paraId="186E3359"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820116" w14:textId="77777777" w:rsidR="007E1591" w:rsidRDefault="007E1591" w:rsidP="00CC407B">
            <w:pPr>
              <w:spacing w:line="260" w:lineRule="atLeast"/>
              <w:rPr>
                <w:rFonts w:eastAsia="Calibri"/>
                <w:lang w:eastAsia="en-US"/>
              </w:rPr>
            </w:pPr>
            <w:r>
              <w:rPr>
                <w:rFonts w:eastAsia="Calibri"/>
                <w:lang w:eastAsia="en-US"/>
              </w:rPr>
              <w:t>Tier 1</w:t>
            </w:r>
          </w:p>
        </w:tc>
        <w:tc>
          <w:tcPr>
            <w:tcW w:w="4962" w:type="dxa"/>
            <w:tcBorders>
              <w:top w:val="single" w:sz="4" w:space="0" w:color="000000"/>
              <w:left w:val="single" w:sz="4" w:space="0" w:color="auto"/>
              <w:bottom w:val="single" w:sz="4" w:space="0" w:color="000000"/>
            </w:tcBorders>
            <w:shd w:val="clear" w:color="auto" w:fill="auto"/>
          </w:tcPr>
          <w:p w14:paraId="4B707797"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84576F">
              <w:rPr>
                <w:rFonts w:eastAsia="Calibri"/>
                <w:b/>
                <w:bCs/>
                <w:iCs/>
                <w:lang w:eastAsia="en-US"/>
              </w:rPr>
              <w:t>2-(</w:t>
            </w:r>
            <w:r w:rsidRPr="0084576F">
              <w:rPr>
                <w:rFonts w:eastAsia="Calibri"/>
                <w:b/>
                <w:lang w:eastAsia="en-US"/>
              </w:rPr>
              <w:t>2-butoxyethoxy)ethanol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A8CA73" w14:textId="77777777" w:rsidR="007E1591" w:rsidRDefault="007E1591" w:rsidP="00CC407B">
            <w:pPr>
              <w:snapToGrid w:val="0"/>
              <w:spacing w:line="260" w:lineRule="atLeast"/>
              <w:rPr>
                <w:rFonts w:eastAsia="Calibri"/>
                <w:lang w:eastAsia="en-US"/>
              </w:rPr>
            </w:pPr>
            <w:r>
              <w:rPr>
                <w:rFonts w:eastAsia="Calibri"/>
                <w:lang w:eastAsia="en-US"/>
              </w:rPr>
              <w:t>5.5%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4A6B7B83" w14:textId="77777777" w:rsidR="007E1591" w:rsidRDefault="007E1591" w:rsidP="00CC407B">
            <w:pPr>
              <w:snapToGrid w:val="0"/>
              <w:spacing w:line="260" w:lineRule="atLeast"/>
              <w:rPr>
                <w:rFonts w:eastAsia="Calibri"/>
                <w:lang w:eastAsia="en-US"/>
              </w:rPr>
            </w:pPr>
          </w:p>
        </w:tc>
      </w:tr>
    </w:tbl>
    <w:p w14:paraId="56B4A03E" w14:textId="77777777" w:rsidR="007E1591" w:rsidRPr="00B27CB1" w:rsidRDefault="007E1591" w:rsidP="007E1591">
      <w:pPr>
        <w:spacing w:line="260" w:lineRule="atLeast"/>
        <w:rPr>
          <w:rFonts w:ascii="Times New Roman" w:eastAsia="Calibri" w:hAnsi="Times New Roman" w:cs="Times New Roman"/>
          <w:i/>
          <w:iCs/>
          <w:lang w:eastAsia="en-US"/>
        </w:rPr>
      </w:pPr>
    </w:p>
    <w:p w14:paraId="182ECA37" w14:textId="11D2E7CF" w:rsidR="00CC407B" w:rsidRPr="00B27CB1" w:rsidRDefault="00CC407B" w:rsidP="00CC407B">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Pr>
          <w:rFonts w:eastAsia="Calibri"/>
          <w:b/>
          <w:i/>
          <w:sz w:val="22"/>
          <w:szCs w:val="22"/>
          <w:lang w:eastAsia="en-US"/>
        </w:rPr>
        <w:t>1</w:t>
      </w:r>
      <w:r w:rsidRPr="00B27CB1">
        <w:rPr>
          <w:rFonts w:eastAsia="Calibri"/>
          <w:b/>
          <w:i/>
          <w:sz w:val="22"/>
          <w:szCs w:val="22"/>
          <w:lang w:eastAsia="en-US"/>
        </w:rPr>
        <w:t>]</w:t>
      </w:r>
    </w:p>
    <w:p w14:paraId="6A744C3A"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4EDB516A"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A9D47E2"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54AD1C35"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4ECF1EB5"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7AD9DF5D"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135AFC48"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84576F">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248D159F"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538348D5"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6E8DE593" w14:textId="77777777" w:rsidR="007E1591" w:rsidRPr="00B27CB1" w:rsidRDefault="007E1591" w:rsidP="00CC407B">
            <w:pPr>
              <w:spacing w:line="260" w:lineRule="atLeast"/>
            </w:pPr>
            <w:r>
              <w:rPr>
                <w:rFonts w:eastAsia="Calibri"/>
                <w:b/>
                <w:lang w:eastAsia="en-US"/>
              </w:rPr>
              <w:t>Estimated total uptake (mg/m</w:t>
            </w:r>
            <w:r w:rsidRPr="0084576F">
              <w:rPr>
                <w:rFonts w:eastAsia="Calibri"/>
                <w:b/>
                <w:vertAlign w:val="superscript"/>
                <w:lang w:eastAsia="en-US"/>
              </w:rPr>
              <w:t>3</w:t>
            </w:r>
            <w:r>
              <w:rPr>
                <w:rFonts w:eastAsia="Calibri"/>
                <w:b/>
                <w:lang w:eastAsia="en-US"/>
              </w:rPr>
              <w:t>)</w:t>
            </w:r>
          </w:p>
        </w:tc>
      </w:tr>
      <w:tr w:rsidR="007E1591" w:rsidRPr="00B27CB1" w14:paraId="40E8A544"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101FF500" w14:textId="6BC8A87E" w:rsidR="007E1591" w:rsidRPr="00B27CB1" w:rsidRDefault="007E1591" w:rsidP="00CC407B">
            <w:pPr>
              <w:spacing w:line="260" w:lineRule="atLeast"/>
              <w:rPr>
                <w:rFonts w:eastAsia="Calibri"/>
                <w:lang w:eastAsia="en-US"/>
              </w:rPr>
            </w:pPr>
            <w:r w:rsidRPr="00B27CB1">
              <w:rPr>
                <w:rFonts w:eastAsia="Calibri"/>
                <w:lang w:eastAsia="en-US"/>
              </w:rPr>
              <w:t>Scenario [</w:t>
            </w:r>
            <w:r>
              <w:rPr>
                <w:rFonts w:eastAsia="Calibri"/>
                <w:lang w:eastAsia="en-US"/>
              </w:rPr>
              <w:t>1</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3506A903"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5B8EB1C7" w14:textId="77777777" w:rsidR="007E1591" w:rsidRPr="00B27CB1" w:rsidRDefault="007E1591" w:rsidP="00CC407B">
            <w:pPr>
              <w:snapToGrid w:val="0"/>
              <w:spacing w:line="260" w:lineRule="atLeast"/>
              <w:rPr>
                <w:rFonts w:eastAsia="Calibri"/>
                <w:lang w:eastAsia="en-US"/>
              </w:rPr>
            </w:pPr>
            <w:r>
              <w:t>0.05</w:t>
            </w:r>
          </w:p>
        </w:tc>
        <w:tc>
          <w:tcPr>
            <w:tcW w:w="1705" w:type="dxa"/>
            <w:tcBorders>
              <w:top w:val="single" w:sz="6" w:space="0" w:color="000000"/>
              <w:left w:val="single" w:sz="6" w:space="0" w:color="000000"/>
              <w:bottom w:val="single" w:sz="6" w:space="0" w:color="000000"/>
            </w:tcBorders>
            <w:shd w:val="clear" w:color="auto" w:fill="auto"/>
          </w:tcPr>
          <w:p w14:paraId="0C470965"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6" w:space="0" w:color="000000"/>
              <w:left w:val="single" w:sz="6" w:space="0" w:color="000000"/>
              <w:bottom w:val="single" w:sz="6" w:space="0" w:color="000000"/>
            </w:tcBorders>
            <w:shd w:val="clear" w:color="auto" w:fill="auto"/>
          </w:tcPr>
          <w:p w14:paraId="1C4022F6"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638A04D7" w14:textId="77777777" w:rsidR="007E1591" w:rsidRPr="00B27CB1" w:rsidRDefault="007E1591" w:rsidP="00CC407B">
            <w:pPr>
              <w:snapToGrid w:val="0"/>
              <w:spacing w:line="260" w:lineRule="atLeast"/>
              <w:rPr>
                <w:rFonts w:eastAsia="Calibri"/>
                <w:lang w:eastAsia="en-US"/>
              </w:rPr>
            </w:pPr>
            <w:r>
              <w:rPr>
                <w:rFonts w:eastAsia="Calibri"/>
                <w:lang w:eastAsia="en-US"/>
              </w:rPr>
              <w:t>0.05</w:t>
            </w:r>
          </w:p>
        </w:tc>
      </w:tr>
    </w:tbl>
    <w:p w14:paraId="3818F087" w14:textId="77777777" w:rsidR="007E1591" w:rsidRDefault="007E1591" w:rsidP="007E1591">
      <w:pPr>
        <w:rPr>
          <w:rFonts w:eastAsia="Calibri"/>
          <w:b/>
          <w:i/>
          <w:sz w:val="22"/>
          <w:szCs w:val="22"/>
          <w:lang w:val="fr-FR" w:eastAsia="en-US"/>
        </w:rPr>
      </w:pPr>
    </w:p>
    <w:p w14:paraId="2FD0482E" w14:textId="5EF2BE3D" w:rsidR="007E1591" w:rsidRPr="00B27CB1" w:rsidRDefault="007E1591" w:rsidP="007E1591">
      <w:pPr>
        <w:jc w:val="both"/>
        <w:rPr>
          <w:rFonts w:ascii="Times New Roman" w:eastAsia="Calibri" w:hAnsi="Times New Roman" w:cs="Times New Roman"/>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2</w:t>
      </w:r>
      <w:r w:rsidRPr="0084576F">
        <w:rPr>
          <w:rFonts w:eastAsia="Calibri"/>
          <w:b/>
          <w:i/>
          <w:sz w:val="22"/>
          <w:szCs w:val="22"/>
          <w:u w:val="single"/>
          <w:lang w:eastAsia="en-US"/>
        </w:rPr>
        <w:t>] – Semi-automatic</w:t>
      </w:r>
      <w:r>
        <w:rPr>
          <w:rFonts w:eastAsia="Calibri"/>
          <w:i/>
          <w:sz w:val="22"/>
          <w:szCs w:val="22"/>
          <w:u w:val="single"/>
          <w:lang w:eastAsia="en-US"/>
        </w:rPr>
        <w:t xml:space="preserve"> </w:t>
      </w:r>
      <w:r w:rsidRPr="00E91F85">
        <w:rPr>
          <w:rFonts w:eastAsia="Calibri"/>
          <w:b/>
          <w:i/>
          <w:sz w:val="22"/>
          <w:szCs w:val="22"/>
          <w:u w:val="single"/>
          <w:lang w:eastAsia="en-US"/>
        </w:rPr>
        <w:t>mixing and loading of the product from barrel/IBC to buckets/machines’ tank</w:t>
      </w:r>
    </w:p>
    <w:p w14:paraId="646DDE15"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5245"/>
        <w:gridCol w:w="992"/>
        <w:gridCol w:w="1924"/>
      </w:tblGrid>
      <w:tr w:rsidR="007E1591" w14:paraId="6A72ECEF"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65EDAF82" w14:textId="02B72B87" w:rsidR="007E1591" w:rsidRDefault="007E1591" w:rsidP="00CC407B">
            <w:pPr>
              <w:spacing w:line="260" w:lineRule="atLeast"/>
            </w:pPr>
            <w:r>
              <w:rPr>
                <w:rFonts w:eastAsia="Calibri"/>
                <w:b/>
                <w:lang w:eastAsia="en-US"/>
              </w:rPr>
              <w:t>Descript</w:t>
            </w:r>
            <w:r w:rsidR="00CC407B">
              <w:rPr>
                <w:rFonts w:eastAsia="Calibri"/>
                <w:b/>
                <w:lang w:eastAsia="en-US"/>
              </w:rPr>
              <w:t>ion of Scenario [2</w:t>
            </w:r>
            <w:r>
              <w:rPr>
                <w:rFonts w:eastAsia="Calibri"/>
                <w:b/>
                <w:lang w:eastAsia="en-US"/>
              </w:rPr>
              <w:t>]</w:t>
            </w:r>
          </w:p>
        </w:tc>
      </w:tr>
      <w:tr w:rsidR="007E1591" w14:paraId="2D104934"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55F87D71" w14:textId="77777777" w:rsidR="007E1591" w:rsidRPr="0084576F" w:rsidRDefault="007E1591" w:rsidP="00CC407B">
            <w:pPr>
              <w:spacing w:line="260" w:lineRule="atLeast"/>
              <w:jc w:val="both"/>
              <w:rPr>
                <w:rFonts w:eastAsia="Calibri"/>
                <w:lang w:eastAsia="en-US"/>
              </w:rPr>
            </w:pPr>
            <w:r>
              <w:rPr>
                <w:rFonts w:eastAsia="Calibri"/>
                <w:lang w:eastAsia="en-US"/>
              </w:rPr>
              <w:t xml:space="preserve">Meta SPC 3 products are also delivered in barrels (120 to 220L) and IBC (1000L). </w:t>
            </w:r>
          </w:p>
          <w:p w14:paraId="38F1321E" w14:textId="77777777" w:rsidR="007E1591" w:rsidRDefault="007E1591" w:rsidP="00CC407B">
            <w:pPr>
              <w:keepNext/>
              <w:widowControl w:val="0"/>
              <w:tabs>
                <w:tab w:val="center" w:pos="4536"/>
                <w:tab w:val="right" w:pos="9072"/>
              </w:tabs>
              <w:snapToGrid w:val="0"/>
              <w:jc w:val="both"/>
              <w:rPr>
                <w:bCs/>
                <w:color w:val="000000"/>
                <w:lang w:eastAsia="en-GB"/>
              </w:rPr>
            </w:pPr>
          </w:p>
          <w:p w14:paraId="181C691D" w14:textId="77777777" w:rsidR="007E1591" w:rsidRDefault="007E1591" w:rsidP="00CC407B">
            <w:pPr>
              <w:keepNext/>
              <w:widowControl w:val="0"/>
              <w:tabs>
                <w:tab w:val="center" w:pos="4536"/>
                <w:tab w:val="right" w:pos="9072"/>
              </w:tabs>
              <w:snapToGrid w:val="0"/>
              <w:jc w:val="both"/>
              <w:rPr>
                <w:bCs/>
                <w:color w:val="000000"/>
                <w:lang w:val="en-US" w:eastAsia="en-GB"/>
              </w:rPr>
            </w:pPr>
            <w:r>
              <w:rPr>
                <w:rFonts w:eastAsia="Calibri"/>
                <w:lang w:eastAsia="en-US"/>
              </w:rPr>
              <w:t xml:space="preserve">Considering the high volume of these packagings, </w:t>
            </w:r>
            <w:r>
              <w:rPr>
                <w:bCs/>
                <w:color w:val="000000"/>
                <w:lang w:eastAsia="en-GB"/>
              </w:rPr>
              <w:t>p</w:t>
            </w:r>
            <w:r w:rsidRPr="00BB58FA">
              <w:rPr>
                <w:bCs/>
                <w:color w:val="000000"/>
                <w:lang w:val="en-US" w:eastAsia="en-GB"/>
              </w:rPr>
              <w:t>roduct</w:t>
            </w:r>
            <w:r>
              <w:rPr>
                <w:bCs/>
                <w:color w:val="000000"/>
                <w:lang w:val="en-US" w:eastAsia="en-GB"/>
              </w:rPr>
              <w:t>s</w:t>
            </w:r>
            <w:r w:rsidRPr="00BB58FA">
              <w:rPr>
                <w:bCs/>
                <w:color w:val="000000"/>
                <w:lang w:val="en-US" w:eastAsia="en-GB"/>
              </w:rPr>
              <w:t xml:space="preserve"> </w:t>
            </w:r>
            <w:r>
              <w:rPr>
                <w:bCs/>
                <w:color w:val="000000"/>
                <w:lang w:val="en-US" w:eastAsia="en-GB"/>
              </w:rPr>
              <w:t>of meta SPC 13 contained in</w:t>
            </w:r>
            <w:r w:rsidRPr="00BB58FA">
              <w:rPr>
                <w:bCs/>
                <w:color w:val="000000"/>
                <w:lang w:val="en-US" w:eastAsia="en-GB"/>
              </w:rPr>
              <w:t xml:space="preserve"> </w:t>
            </w:r>
            <w:r>
              <w:rPr>
                <w:bCs/>
                <w:color w:val="000000"/>
                <w:lang w:val="en-US" w:eastAsia="en-GB"/>
              </w:rPr>
              <w:t>barrels</w:t>
            </w:r>
            <w:r w:rsidRPr="00BB58FA">
              <w:rPr>
                <w:bCs/>
                <w:color w:val="000000"/>
                <w:lang w:val="en-US" w:eastAsia="en-GB"/>
              </w:rPr>
              <w:t xml:space="preserve"> </w:t>
            </w:r>
            <w:r>
              <w:rPr>
                <w:bCs/>
                <w:color w:val="000000"/>
                <w:lang w:val="en-US" w:eastAsia="en-GB"/>
              </w:rPr>
              <w:t xml:space="preserve">or in IBC are considered </w:t>
            </w:r>
            <w:r>
              <w:rPr>
                <w:bCs/>
                <w:color w:val="000000"/>
                <w:u w:val="single"/>
                <w:lang w:val="en-US" w:eastAsia="en-GB"/>
              </w:rPr>
              <w:t>semi-automatically</w:t>
            </w:r>
            <w:r w:rsidRPr="00BB58FA">
              <w:rPr>
                <w:bCs/>
                <w:color w:val="000000"/>
                <w:lang w:val="en-US" w:eastAsia="en-GB"/>
              </w:rPr>
              <w:t xml:space="preserve"> loaded and mixed with water </w:t>
            </w:r>
            <w:r>
              <w:rPr>
                <w:bCs/>
                <w:color w:val="000000"/>
                <w:lang w:val="en-US" w:eastAsia="en-GB"/>
              </w:rPr>
              <w:t xml:space="preserve">and then transferred </w:t>
            </w:r>
            <w:r w:rsidRPr="00BB58FA">
              <w:rPr>
                <w:bCs/>
                <w:color w:val="000000"/>
                <w:lang w:val="en-US" w:eastAsia="en-GB"/>
              </w:rPr>
              <w:t>in bucket</w:t>
            </w:r>
            <w:r>
              <w:rPr>
                <w:bCs/>
                <w:color w:val="000000"/>
                <w:lang w:val="en-US" w:eastAsia="en-GB"/>
              </w:rPr>
              <w:t>s</w:t>
            </w:r>
            <w:r w:rsidRPr="00BB58FA">
              <w:rPr>
                <w:bCs/>
                <w:color w:val="000000"/>
                <w:lang w:val="en-US" w:eastAsia="en-GB"/>
              </w:rPr>
              <w:t xml:space="preserve"> or machine</w:t>
            </w:r>
            <w:r>
              <w:rPr>
                <w:bCs/>
                <w:color w:val="000000"/>
                <w:lang w:val="en-US" w:eastAsia="en-GB"/>
              </w:rPr>
              <w:t>’s tank</w:t>
            </w:r>
            <w:r w:rsidRPr="00BB58FA">
              <w:rPr>
                <w:bCs/>
                <w:color w:val="000000"/>
                <w:lang w:val="en-US" w:eastAsia="en-GB"/>
              </w:rPr>
              <w:t xml:space="preserve"> </w:t>
            </w:r>
            <w:r w:rsidRPr="00BB58FA">
              <w:rPr>
                <w:rFonts w:eastAsia="Calibri"/>
                <w:color w:val="000000"/>
                <w:lang w:eastAsia="en-GB"/>
              </w:rPr>
              <w:t>(scrubber-dryers, single-disk scrubbers, high or</w:t>
            </w:r>
            <w:r>
              <w:rPr>
                <w:rFonts w:eastAsia="Calibri"/>
                <w:color w:val="000000"/>
                <w:lang w:eastAsia="en-GB"/>
              </w:rPr>
              <w:t>-</w:t>
            </w:r>
            <w:r w:rsidRPr="00BB58FA">
              <w:rPr>
                <w:rFonts w:eastAsia="Calibri"/>
                <w:color w:val="000000"/>
                <w:lang w:eastAsia="en-GB"/>
              </w:rPr>
              <w:t>low pressure sprayers)</w:t>
            </w:r>
            <w:r>
              <w:rPr>
                <w:bCs/>
                <w:color w:val="000000"/>
                <w:lang w:val="en-US" w:eastAsia="en-GB"/>
              </w:rPr>
              <w:t>.</w:t>
            </w:r>
          </w:p>
          <w:p w14:paraId="14F94A90" w14:textId="77777777" w:rsidR="007E1591" w:rsidRPr="0084576F" w:rsidRDefault="007E1591" w:rsidP="00CC407B">
            <w:pPr>
              <w:spacing w:line="260" w:lineRule="atLeast"/>
              <w:jc w:val="both"/>
              <w:rPr>
                <w:rFonts w:eastAsia="Calibri"/>
                <w:lang w:val="en-US" w:eastAsia="en-US"/>
              </w:rPr>
            </w:pPr>
          </w:p>
          <w:p w14:paraId="3AAE45AA" w14:textId="77777777" w:rsidR="007E1591" w:rsidRDefault="007E1591" w:rsidP="00CC407B">
            <w:pPr>
              <w:spacing w:line="260" w:lineRule="atLeast"/>
              <w:jc w:val="both"/>
              <w:rPr>
                <w:rFonts w:eastAsia="Calibri"/>
                <w:lang w:eastAsia="en-US"/>
              </w:rPr>
            </w:pPr>
            <w:r w:rsidRPr="00A92AD6">
              <w:rPr>
                <w:rFonts w:eastAsia="Calibri"/>
                <w:lang w:eastAsia="en-US"/>
              </w:rPr>
              <w:lastRenderedPageBreak/>
              <w:t xml:space="preserve">Inhalation exposure to aerosols is expected to be low but considered relevant. </w:t>
            </w:r>
          </w:p>
          <w:p w14:paraId="4AB34BF2" w14:textId="13615FF8" w:rsidR="007E1591" w:rsidRDefault="007E1591" w:rsidP="00CC407B">
            <w:pPr>
              <w:spacing w:line="260" w:lineRule="atLeast"/>
              <w:jc w:val="both"/>
              <w:rPr>
                <w:rFonts w:eastAsia="Calibri"/>
                <w:lang w:eastAsia="en-US"/>
              </w:rPr>
            </w:pPr>
            <w:r>
              <w:rPr>
                <w:rFonts w:eastAsia="Calibri"/>
                <w:lang w:eastAsia="en-US"/>
              </w:rPr>
              <w:t>Inhalation exposure to vapors is also consid</w:t>
            </w:r>
            <w:r w:rsidR="00CC407B">
              <w:rPr>
                <w:rFonts w:eastAsia="Calibri"/>
                <w:lang w:eastAsia="en-US"/>
              </w:rPr>
              <w:t>ered and assessed in scenario 3</w:t>
            </w:r>
            <w:r>
              <w:rPr>
                <w:rFonts w:eastAsia="Calibri"/>
                <w:lang w:eastAsia="en-US"/>
              </w:rPr>
              <w:t>.</w:t>
            </w:r>
          </w:p>
          <w:p w14:paraId="5B755DCD" w14:textId="77777777" w:rsidR="007E1591" w:rsidRPr="004177BD" w:rsidRDefault="007E1591" w:rsidP="00CC407B">
            <w:pPr>
              <w:spacing w:line="260" w:lineRule="atLeast"/>
              <w:jc w:val="both"/>
              <w:rPr>
                <w:rFonts w:eastAsia="Calibri"/>
                <w:lang w:eastAsia="en-US"/>
              </w:rPr>
            </w:pPr>
          </w:p>
          <w:p w14:paraId="409C67FA"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the exposure during </w:t>
            </w:r>
            <w:r>
              <w:rPr>
                <w:rFonts w:eastAsia="Calibri"/>
                <w:lang w:eastAsia="en-US"/>
              </w:rPr>
              <w:t>this task, Mixing and Loading Model 7 (pumping) has been used according to the HEEG Opinion 1 (2008).</w:t>
            </w:r>
          </w:p>
          <w:p w14:paraId="4B4DA7E1" w14:textId="77777777" w:rsidR="007E1591" w:rsidRDefault="007E1591" w:rsidP="00CC407B">
            <w:pPr>
              <w:spacing w:line="260" w:lineRule="atLeast"/>
              <w:jc w:val="both"/>
              <w:rPr>
                <w:rFonts w:eastAsia="Calibri"/>
                <w:lang w:eastAsia="en-US"/>
              </w:rPr>
            </w:pPr>
          </w:p>
          <w:p w14:paraId="7D2E3634" w14:textId="77777777" w:rsidR="007E1591" w:rsidRDefault="007E1591" w:rsidP="00CC407B">
            <w:pPr>
              <w:spacing w:line="260" w:lineRule="atLeast"/>
              <w:jc w:val="both"/>
              <w:rPr>
                <w:rFonts w:eastAsia="Calibri"/>
                <w:lang w:eastAsia="en-US"/>
              </w:rPr>
            </w:pPr>
            <w:r w:rsidRPr="004177BD">
              <w:rPr>
                <w:rFonts w:eastAsia="Calibri"/>
                <w:lang w:eastAsia="en-US"/>
              </w:rPr>
              <w:t>The indicative ex</w:t>
            </w:r>
            <w:r>
              <w:rPr>
                <w:rFonts w:eastAsia="Calibri"/>
                <w:lang w:eastAsia="en-US"/>
              </w:rPr>
              <w:t>posure value from the model is</w:t>
            </w:r>
            <w:r w:rsidRPr="004177BD">
              <w:rPr>
                <w:rFonts w:eastAsia="Calibri"/>
                <w:lang w:eastAsia="en-US"/>
              </w:rPr>
              <w:t xml:space="preserve"> as f</w:t>
            </w:r>
            <w:r>
              <w:rPr>
                <w:rFonts w:eastAsia="Calibri"/>
                <w:lang w:eastAsia="en-US"/>
              </w:rPr>
              <w:t>ollows:</w:t>
            </w:r>
          </w:p>
          <w:p w14:paraId="70E2766D" w14:textId="77777777" w:rsidR="007E1591" w:rsidRPr="004177BD" w:rsidRDefault="007E1591" w:rsidP="00CC407B">
            <w:pPr>
              <w:spacing w:line="260" w:lineRule="atLeast"/>
              <w:jc w:val="both"/>
              <w:rPr>
                <w:rFonts w:eastAsia="Calibri"/>
                <w:lang w:eastAsia="en-US"/>
              </w:rPr>
            </w:pPr>
          </w:p>
          <w:p w14:paraId="3AE63872" w14:textId="77777777" w:rsidR="007E1591" w:rsidRPr="002A0706" w:rsidRDefault="007E1591" w:rsidP="00CC407B">
            <w:pPr>
              <w:spacing w:line="260" w:lineRule="atLeast"/>
              <w:jc w:val="both"/>
              <w:rPr>
                <w:rFonts w:eastAsia="Calibri"/>
                <w:lang w:eastAsia="en-US"/>
              </w:rPr>
            </w:pPr>
            <w:r>
              <w:rPr>
                <w:rFonts w:eastAsia="Calibri"/>
                <w:lang w:eastAsia="en-US"/>
              </w:rPr>
              <w:t>- Inhalation exposure: 22 mg/m</w:t>
            </w:r>
            <w:r w:rsidRPr="00BB58FA">
              <w:rPr>
                <w:rFonts w:eastAsia="Calibri"/>
                <w:vertAlign w:val="superscript"/>
                <w:lang w:eastAsia="en-US"/>
              </w:rPr>
              <w:t>3</w:t>
            </w:r>
          </w:p>
        </w:tc>
      </w:tr>
      <w:tr w:rsidR="007E1591" w14:paraId="535273BF" w14:textId="77777777" w:rsidTr="00E91F85">
        <w:tc>
          <w:tcPr>
            <w:tcW w:w="1134" w:type="dxa"/>
            <w:tcBorders>
              <w:top w:val="single" w:sz="4" w:space="0" w:color="000000"/>
              <w:left w:val="single" w:sz="4" w:space="0" w:color="000000"/>
              <w:bottom w:val="single" w:sz="4" w:space="0" w:color="auto"/>
            </w:tcBorders>
            <w:shd w:val="clear" w:color="auto" w:fill="auto"/>
          </w:tcPr>
          <w:p w14:paraId="64D516EC" w14:textId="77777777" w:rsidR="007E1591" w:rsidRDefault="007E1591" w:rsidP="00CC407B">
            <w:pPr>
              <w:snapToGrid w:val="0"/>
              <w:spacing w:line="260" w:lineRule="atLeast"/>
              <w:rPr>
                <w:rFonts w:eastAsia="Calibri"/>
                <w:lang w:eastAsia="en-US"/>
              </w:rPr>
            </w:pPr>
          </w:p>
        </w:tc>
        <w:tc>
          <w:tcPr>
            <w:tcW w:w="5245" w:type="dxa"/>
            <w:tcBorders>
              <w:top w:val="single" w:sz="4" w:space="0" w:color="000000"/>
              <w:left w:val="single" w:sz="4" w:space="0" w:color="000000"/>
              <w:bottom w:val="single" w:sz="4" w:space="0" w:color="000000"/>
            </w:tcBorders>
            <w:shd w:val="clear" w:color="auto" w:fill="auto"/>
          </w:tcPr>
          <w:p w14:paraId="5DDD3D11" w14:textId="77777777" w:rsidR="007E1591" w:rsidRDefault="007E1591" w:rsidP="00CC407B">
            <w:pPr>
              <w:spacing w:line="260" w:lineRule="atLeast"/>
              <w:rPr>
                <w:rFonts w:eastAsia="Calibri"/>
                <w:lang w:eastAsia="en-US"/>
              </w:rPr>
            </w:pPr>
            <w:r>
              <w:rPr>
                <w:rFonts w:eastAsia="Calibri"/>
                <w:lang w:eastAsia="en-US"/>
              </w:rPr>
              <w:t>Parameters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C8D25" w14:textId="77777777" w:rsidR="007E1591" w:rsidRDefault="007E1591" w:rsidP="00CC407B">
            <w:pPr>
              <w:spacing w:line="260" w:lineRule="atLeast"/>
            </w:pPr>
            <w:r>
              <w:rPr>
                <w:rFonts w:eastAsia="Calibri"/>
                <w:lang w:eastAsia="en-US"/>
              </w:rPr>
              <w:t>Value</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43F815C" w14:textId="77777777" w:rsidR="007E1591" w:rsidRDefault="007E1591" w:rsidP="00CC407B">
            <w:pPr>
              <w:spacing w:line="260" w:lineRule="atLeast"/>
            </w:pPr>
            <w:r>
              <w:t>Reference</w:t>
            </w:r>
          </w:p>
        </w:tc>
      </w:tr>
      <w:tr w:rsidR="007E1591" w14:paraId="0CC241A9"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D2F519D" w14:textId="77777777" w:rsidR="007E1591" w:rsidRDefault="007E1591" w:rsidP="00CC407B">
            <w:pPr>
              <w:spacing w:line="260" w:lineRule="atLeast"/>
              <w:rPr>
                <w:rFonts w:eastAsia="Calibri"/>
                <w:lang w:eastAsia="en-US"/>
              </w:rPr>
            </w:pPr>
            <w:r>
              <w:rPr>
                <w:rFonts w:eastAsia="Calibri"/>
                <w:lang w:eastAsia="en-US"/>
              </w:rPr>
              <w:t>Tier 1</w:t>
            </w:r>
          </w:p>
        </w:tc>
        <w:tc>
          <w:tcPr>
            <w:tcW w:w="5245" w:type="dxa"/>
            <w:tcBorders>
              <w:top w:val="single" w:sz="4" w:space="0" w:color="000000"/>
              <w:left w:val="single" w:sz="4" w:space="0" w:color="auto"/>
              <w:bottom w:val="single" w:sz="4" w:space="0" w:color="000000"/>
            </w:tcBorders>
            <w:shd w:val="clear" w:color="auto" w:fill="auto"/>
          </w:tcPr>
          <w:p w14:paraId="3B5AA4BD"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84576F">
              <w:rPr>
                <w:rFonts w:eastAsia="Calibri"/>
                <w:b/>
                <w:bCs/>
                <w:iCs/>
                <w:lang w:eastAsia="en-US"/>
              </w:rPr>
              <w:t>2-(</w:t>
            </w:r>
            <w:r w:rsidRPr="0084576F">
              <w:rPr>
                <w:rFonts w:eastAsia="Calibri"/>
                <w:b/>
                <w:lang w:eastAsia="en-US"/>
              </w:rPr>
              <w:t>2-butoxyethoxy)ethanol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6EC30D" w14:textId="77777777" w:rsidR="007E1591" w:rsidRDefault="007E1591" w:rsidP="00CC407B">
            <w:pPr>
              <w:snapToGrid w:val="0"/>
              <w:spacing w:line="260" w:lineRule="atLeast"/>
              <w:rPr>
                <w:rFonts w:eastAsia="Calibri"/>
                <w:lang w:eastAsia="en-US"/>
              </w:rPr>
            </w:pPr>
            <w:r>
              <w:rPr>
                <w:rFonts w:eastAsia="Calibri"/>
                <w:lang w:eastAsia="en-US"/>
              </w:rPr>
              <w:t>5.5%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73D7BC6" w14:textId="77777777" w:rsidR="007E1591" w:rsidRDefault="007E1591" w:rsidP="00CC407B">
            <w:pPr>
              <w:snapToGrid w:val="0"/>
              <w:spacing w:line="260" w:lineRule="atLeast"/>
              <w:rPr>
                <w:rFonts w:eastAsia="Calibri"/>
                <w:lang w:eastAsia="en-US"/>
              </w:rPr>
            </w:pPr>
          </w:p>
        </w:tc>
      </w:tr>
    </w:tbl>
    <w:p w14:paraId="135DA512" w14:textId="77777777" w:rsidR="007E1591" w:rsidRPr="00B27CB1" w:rsidRDefault="007E1591" w:rsidP="007E1591">
      <w:pPr>
        <w:spacing w:line="260" w:lineRule="atLeast"/>
        <w:rPr>
          <w:rFonts w:ascii="Times New Roman" w:eastAsia="Calibri" w:hAnsi="Times New Roman" w:cs="Times New Roman"/>
          <w:i/>
          <w:iCs/>
          <w:lang w:eastAsia="en-US"/>
        </w:rPr>
      </w:pPr>
    </w:p>
    <w:p w14:paraId="4E4CF5D0" w14:textId="779900D0" w:rsidR="00CC407B" w:rsidRPr="00B27CB1" w:rsidRDefault="00CC407B" w:rsidP="00CC407B">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Pr>
          <w:rFonts w:eastAsia="Calibri"/>
          <w:b/>
          <w:i/>
          <w:sz w:val="22"/>
          <w:szCs w:val="22"/>
          <w:lang w:eastAsia="en-US"/>
        </w:rPr>
        <w:t>2</w:t>
      </w:r>
      <w:r w:rsidRPr="00B27CB1">
        <w:rPr>
          <w:rFonts w:eastAsia="Calibri"/>
          <w:b/>
          <w:i/>
          <w:sz w:val="22"/>
          <w:szCs w:val="22"/>
          <w:lang w:eastAsia="en-US"/>
        </w:rPr>
        <w:t>]</w:t>
      </w:r>
    </w:p>
    <w:p w14:paraId="0A92719E"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1899AA34"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F1D7837"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5935BE66"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5A2346A9"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165A9CF6"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2D443B7F"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2DAB3E78"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1D885870"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12B5882C" w14:textId="77777777" w:rsidR="007E1591" w:rsidRPr="00B27CB1" w:rsidRDefault="007E1591" w:rsidP="00CC407B">
            <w:pPr>
              <w:spacing w:line="260" w:lineRule="atLeast"/>
            </w:pPr>
            <w:r>
              <w:rPr>
                <w:rFonts w:eastAsia="Calibri"/>
                <w:b/>
                <w:lang w:eastAsia="en-US"/>
              </w:rPr>
              <w:t>Estimated total uptake (mg/m</w:t>
            </w:r>
            <w:r w:rsidRPr="0084576F">
              <w:rPr>
                <w:rFonts w:eastAsia="Calibri"/>
                <w:b/>
                <w:vertAlign w:val="superscript"/>
                <w:lang w:eastAsia="en-US"/>
              </w:rPr>
              <w:t>3</w:t>
            </w:r>
            <w:r>
              <w:rPr>
                <w:rFonts w:eastAsia="Calibri"/>
                <w:b/>
                <w:lang w:eastAsia="en-US"/>
              </w:rPr>
              <w:t>)</w:t>
            </w:r>
          </w:p>
        </w:tc>
      </w:tr>
      <w:tr w:rsidR="007E1591" w:rsidRPr="00B27CB1" w14:paraId="344AC63B"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DD634A7" w14:textId="6D895105"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2</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1DAEF690"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5C35AA95" w14:textId="77777777" w:rsidR="007E1591" w:rsidRPr="00B27CB1" w:rsidRDefault="007E1591" w:rsidP="00CC407B">
            <w:pPr>
              <w:snapToGrid w:val="0"/>
              <w:spacing w:line="260" w:lineRule="atLeast"/>
              <w:rPr>
                <w:rFonts w:eastAsia="Calibri"/>
                <w:lang w:eastAsia="en-US"/>
              </w:rPr>
            </w:pPr>
            <w:r>
              <w:t>1.2</w:t>
            </w:r>
          </w:p>
        </w:tc>
        <w:tc>
          <w:tcPr>
            <w:tcW w:w="1705" w:type="dxa"/>
            <w:tcBorders>
              <w:top w:val="single" w:sz="6" w:space="0" w:color="000000"/>
              <w:left w:val="single" w:sz="6" w:space="0" w:color="000000"/>
              <w:bottom w:val="single" w:sz="6" w:space="0" w:color="000000"/>
            </w:tcBorders>
            <w:shd w:val="clear" w:color="auto" w:fill="auto"/>
          </w:tcPr>
          <w:p w14:paraId="11DDFFC8"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6" w:space="0" w:color="000000"/>
              <w:left w:val="single" w:sz="6" w:space="0" w:color="000000"/>
              <w:bottom w:val="single" w:sz="6" w:space="0" w:color="000000"/>
            </w:tcBorders>
            <w:shd w:val="clear" w:color="auto" w:fill="auto"/>
          </w:tcPr>
          <w:p w14:paraId="0CAA537B"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7D515585" w14:textId="77777777" w:rsidR="007E1591" w:rsidRPr="00B27CB1" w:rsidRDefault="007E1591" w:rsidP="00CC407B">
            <w:pPr>
              <w:snapToGrid w:val="0"/>
              <w:spacing w:line="260" w:lineRule="atLeast"/>
              <w:rPr>
                <w:rFonts w:eastAsia="Calibri"/>
                <w:lang w:eastAsia="en-US"/>
              </w:rPr>
            </w:pPr>
            <w:r>
              <w:t>1.2</w:t>
            </w:r>
          </w:p>
        </w:tc>
      </w:tr>
    </w:tbl>
    <w:p w14:paraId="33A3831A" w14:textId="77777777" w:rsidR="007E1591" w:rsidRDefault="007E1591" w:rsidP="007E1591">
      <w:pPr>
        <w:rPr>
          <w:rFonts w:eastAsia="Calibri"/>
          <w:b/>
          <w:i/>
          <w:sz w:val="22"/>
          <w:szCs w:val="22"/>
          <w:lang w:val="fr-FR" w:eastAsia="en-US"/>
        </w:rPr>
      </w:pPr>
    </w:p>
    <w:p w14:paraId="22E942BB" w14:textId="23F32AF0" w:rsidR="007E1591" w:rsidRPr="0084576F" w:rsidRDefault="007E1591" w:rsidP="007E1591">
      <w:pPr>
        <w:jc w:val="both"/>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3</w:t>
      </w:r>
      <w:r w:rsidRPr="0084576F">
        <w:rPr>
          <w:rFonts w:eastAsia="Calibri"/>
          <w:b/>
          <w:i/>
          <w:sz w:val="22"/>
          <w:szCs w:val="22"/>
          <w:u w:val="single"/>
          <w:lang w:eastAsia="en-US"/>
        </w:rPr>
        <w:t>] – Inhalation exposure to vapors generated during manual and semi-automatic mixing and loading</w:t>
      </w:r>
    </w:p>
    <w:p w14:paraId="69B1C1F1"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4678"/>
        <w:gridCol w:w="1103"/>
        <w:gridCol w:w="2380"/>
      </w:tblGrid>
      <w:tr w:rsidR="007E1591" w14:paraId="7D822E1A"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636A3BBA" w14:textId="7F4015AF" w:rsidR="007E1591" w:rsidRDefault="00CC407B" w:rsidP="00CC407B">
            <w:pPr>
              <w:spacing w:line="260" w:lineRule="atLeast"/>
            </w:pPr>
            <w:r>
              <w:rPr>
                <w:rFonts w:eastAsia="Calibri"/>
                <w:b/>
                <w:lang w:eastAsia="en-US"/>
              </w:rPr>
              <w:t>Description of Scenario [3</w:t>
            </w:r>
            <w:r w:rsidR="007E1591">
              <w:rPr>
                <w:rFonts w:eastAsia="Calibri"/>
                <w:b/>
                <w:lang w:eastAsia="en-US"/>
              </w:rPr>
              <w:t>]</w:t>
            </w:r>
          </w:p>
        </w:tc>
      </w:tr>
      <w:tr w:rsidR="007E1591" w14:paraId="705604F9"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062F8BFE" w14:textId="77777777" w:rsidR="007E1591" w:rsidRDefault="007E1591" w:rsidP="00CC407B">
            <w:pPr>
              <w:spacing w:line="260" w:lineRule="atLeast"/>
              <w:jc w:val="both"/>
              <w:rPr>
                <w:rFonts w:eastAsia="Calibri"/>
                <w:lang w:eastAsia="en-US"/>
              </w:rPr>
            </w:pPr>
            <w:r>
              <w:rPr>
                <w:rFonts w:eastAsia="Calibri"/>
                <w:lang w:eastAsia="en-US"/>
              </w:rPr>
              <w:t>Due to the</w:t>
            </w:r>
            <w:r w:rsidRPr="00DB5859">
              <w:rPr>
                <w:rFonts w:eastAsia="Calibri"/>
                <w:lang w:eastAsia="en-US"/>
              </w:rPr>
              <w:t xml:space="preserve"> volatility of </w:t>
            </w:r>
            <w:r w:rsidRPr="00DD31D4">
              <w:rPr>
                <w:rFonts w:eastAsia="Calibri"/>
                <w:bCs/>
                <w:iCs/>
                <w:lang w:eastAsia="en-US"/>
              </w:rPr>
              <w:t>2-(</w:t>
            </w:r>
            <w:r w:rsidRPr="00DD31D4">
              <w:rPr>
                <w:rFonts w:eastAsia="Calibri"/>
                <w:lang w:eastAsia="en-US"/>
              </w:rPr>
              <w:t>2-butoxyethoxy)ethanol</w:t>
            </w:r>
            <w:r w:rsidRPr="00DB5859">
              <w:rPr>
                <w:rFonts w:eastAsia="Calibri"/>
                <w:lang w:eastAsia="en-US"/>
              </w:rPr>
              <w:t xml:space="preserve">, the </w:t>
            </w:r>
            <w:r>
              <w:rPr>
                <w:rFonts w:eastAsia="Calibri"/>
                <w:lang w:eastAsia="en-US"/>
              </w:rPr>
              <w:t xml:space="preserve">inhalation </w:t>
            </w:r>
            <w:r w:rsidRPr="00DB5859">
              <w:rPr>
                <w:rFonts w:eastAsia="Calibri"/>
                <w:lang w:eastAsia="en-US"/>
              </w:rPr>
              <w:t xml:space="preserve">exposure to vapor during </w:t>
            </w:r>
            <w:r>
              <w:rPr>
                <w:rFonts w:eastAsia="Calibri"/>
                <w:lang w:eastAsia="en-US"/>
              </w:rPr>
              <w:t>mixing and loading</w:t>
            </w:r>
            <w:r w:rsidRPr="00DB5859">
              <w:rPr>
                <w:rFonts w:eastAsia="Calibri"/>
                <w:lang w:eastAsia="en-US"/>
              </w:rPr>
              <w:t xml:space="preserve"> has been assessed using ConsExpo web and th</w:t>
            </w:r>
            <w:r>
              <w:rPr>
                <w:rFonts w:eastAsia="Calibri"/>
                <w:lang w:eastAsia="en-US"/>
              </w:rPr>
              <w:t>e model for all purpose cleaning liquid – mixing and loading</w:t>
            </w:r>
            <w:r w:rsidRPr="00DB5859">
              <w:rPr>
                <w:rFonts w:eastAsia="Calibri"/>
                <w:lang w:eastAsia="en-US"/>
              </w:rPr>
              <w:t>.</w:t>
            </w:r>
          </w:p>
          <w:p w14:paraId="691A3C27" w14:textId="77777777" w:rsidR="007E1591" w:rsidRDefault="007E1591" w:rsidP="00CC407B">
            <w:pPr>
              <w:spacing w:line="260" w:lineRule="atLeast"/>
              <w:jc w:val="both"/>
              <w:rPr>
                <w:rFonts w:eastAsia="Calibri"/>
                <w:lang w:eastAsia="en-US"/>
              </w:rPr>
            </w:pPr>
          </w:p>
          <w:p w14:paraId="2E829CCE" w14:textId="77777777" w:rsidR="007E1591" w:rsidRDefault="007E1591" w:rsidP="00CC407B">
            <w:pPr>
              <w:spacing w:line="260" w:lineRule="atLeast"/>
              <w:jc w:val="both"/>
              <w:rPr>
                <w:rFonts w:eastAsia="Calibri"/>
                <w:lang w:eastAsia="en-US"/>
              </w:rPr>
            </w:pPr>
            <w:r>
              <w:rPr>
                <w:rFonts w:eastAsia="Calibri"/>
                <w:lang w:eastAsia="en-US"/>
              </w:rPr>
              <w:t xml:space="preserve">Vapor pressure of </w:t>
            </w:r>
            <w:r w:rsidRPr="0084576F">
              <w:rPr>
                <w:rFonts w:eastAsia="Calibri"/>
                <w:bCs/>
                <w:iCs/>
                <w:lang w:eastAsia="en-US"/>
              </w:rPr>
              <w:t>2-(</w:t>
            </w:r>
            <w:r w:rsidRPr="0084576F">
              <w:rPr>
                <w:rFonts w:eastAsia="Calibri"/>
                <w:lang w:eastAsia="en-US"/>
              </w:rPr>
              <w:t>2-butoxyethoxy)ethanol</w:t>
            </w:r>
            <w:r>
              <w:rPr>
                <w:rFonts w:eastAsia="Calibri"/>
                <w:lang w:eastAsia="en-US"/>
              </w:rPr>
              <w:t xml:space="preserve"> is 2.9 Pa at 25°C, which is lower than vapour pressure of water (3.17 kPa at 25°C). Therefore, according to the Ad Hoc Recommendation 16, the model option “product is substance in pure form” has been chosen.</w:t>
            </w:r>
          </w:p>
          <w:p w14:paraId="63C64F3E" w14:textId="77777777" w:rsidR="007E1591" w:rsidRDefault="007E1591" w:rsidP="00CC407B">
            <w:pPr>
              <w:spacing w:line="260" w:lineRule="atLeast"/>
              <w:jc w:val="both"/>
              <w:rPr>
                <w:rFonts w:eastAsia="Calibri"/>
                <w:lang w:eastAsia="en-US"/>
              </w:rPr>
            </w:pPr>
          </w:p>
          <w:p w14:paraId="49DAF782" w14:textId="77777777" w:rsidR="007E1591" w:rsidRPr="002A0706" w:rsidRDefault="007E1591" w:rsidP="00CC407B">
            <w:pPr>
              <w:spacing w:line="260" w:lineRule="atLeast"/>
              <w:jc w:val="both"/>
              <w:rPr>
                <w:rFonts w:eastAsia="Calibri"/>
                <w:lang w:eastAsia="en-US"/>
              </w:rPr>
            </w:pPr>
            <w:r>
              <w:rPr>
                <w:rFonts w:eastAsia="Calibri"/>
                <w:lang w:eastAsia="en-US"/>
              </w:rPr>
              <w:t>Constant release area mode has been considered because of surface area does not increase over time during mixing and loading (ConsExpo Web Consumer Exposure models model documentation).</w:t>
            </w:r>
          </w:p>
        </w:tc>
      </w:tr>
      <w:tr w:rsidR="007E1591" w14:paraId="78DD42FE" w14:textId="77777777" w:rsidTr="00E91F85">
        <w:tc>
          <w:tcPr>
            <w:tcW w:w="1134" w:type="dxa"/>
            <w:tcBorders>
              <w:top w:val="single" w:sz="4" w:space="0" w:color="000000"/>
              <w:left w:val="single" w:sz="4" w:space="0" w:color="000000"/>
              <w:bottom w:val="single" w:sz="4" w:space="0" w:color="000000"/>
            </w:tcBorders>
            <w:shd w:val="clear" w:color="auto" w:fill="auto"/>
          </w:tcPr>
          <w:p w14:paraId="2F09C0FD" w14:textId="77777777" w:rsidR="007E1591" w:rsidRDefault="007E1591" w:rsidP="00CC407B">
            <w:pPr>
              <w:snapToGrid w:val="0"/>
              <w:spacing w:line="260" w:lineRule="atLeast"/>
              <w:rPr>
                <w:rFonts w:eastAsia="Calibri"/>
                <w:lang w:eastAsia="en-US"/>
              </w:rPr>
            </w:pPr>
          </w:p>
        </w:tc>
        <w:tc>
          <w:tcPr>
            <w:tcW w:w="4678" w:type="dxa"/>
            <w:tcBorders>
              <w:top w:val="single" w:sz="4" w:space="0" w:color="000000"/>
              <w:left w:val="single" w:sz="4" w:space="0" w:color="000000"/>
              <w:bottom w:val="single" w:sz="4" w:space="0" w:color="000000"/>
            </w:tcBorders>
            <w:shd w:val="clear" w:color="auto" w:fill="auto"/>
          </w:tcPr>
          <w:p w14:paraId="243D7F8E" w14:textId="77777777" w:rsidR="007E1591" w:rsidRDefault="007E1591" w:rsidP="00CC407B">
            <w:pPr>
              <w:spacing w:line="260" w:lineRule="atLeast"/>
              <w:rPr>
                <w:rFonts w:eastAsia="Calibri"/>
                <w:lang w:eastAsia="en-US"/>
              </w:rPr>
            </w:pPr>
            <w:r>
              <w:rPr>
                <w:rFonts w:eastAsia="Calibri"/>
                <w:lang w:eastAsia="en-US"/>
              </w:rPr>
              <w:t>Parameters</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665335A9" w14:textId="77777777" w:rsidR="007E1591" w:rsidRDefault="007E1591" w:rsidP="00CC407B">
            <w:pPr>
              <w:spacing w:line="260" w:lineRule="atLeast"/>
            </w:pPr>
            <w:r>
              <w:rPr>
                <w:rFonts w:eastAsia="Calibri"/>
                <w:lang w:eastAsia="en-US"/>
              </w:rPr>
              <w:t>Value</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13E94C0" w14:textId="77777777" w:rsidR="007E1591" w:rsidRDefault="007E1591" w:rsidP="00CC407B">
            <w:pPr>
              <w:spacing w:line="260" w:lineRule="atLeast"/>
            </w:pPr>
            <w:r>
              <w:t>Reference</w:t>
            </w:r>
          </w:p>
        </w:tc>
      </w:tr>
      <w:tr w:rsidR="00CC407B" w14:paraId="5C9EABB2" w14:textId="77777777" w:rsidTr="00E91F85">
        <w:trPr>
          <w:cantSplit/>
        </w:trPr>
        <w:tc>
          <w:tcPr>
            <w:tcW w:w="1134" w:type="dxa"/>
            <w:vMerge w:val="restart"/>
            <w:tcBorders>
              <w:top w:val="single" w:sz="4" w:space="0" w:color="000000"/>
              <w:left w:val="single" w:sz="4" w:space="0" w:color="000000"/>
              <w:bottom w:val="single" w:sz="4" w:space="0" w:color="auto"/>
              <w:right w:val="single" w:sz="4" w:space="0" w:color="auto"/>
            </w:tcBorders>
            <w:shd w:val="clear" w:color="auto" w:fill="auto"/>
          </w:tcPr>
          <w:p w14:paraId="5B6001C8" w14:textId="77777777" w:rsidR="00CC407B" w:rsidRDefault="00CC407B" w:rsidP="00CC407B">
            <w:pPr>
              <w:spacing w:line="260" w:lineRule="atLeast"/>
              <w:rPr>
                <w:rFonts w:eastAsia="Calibri"/>
                <w:lang w:eastAsia="en-US"/>
              </w:rPr>
            </w:pPr>
            <w:r>
              <w:rPr>
                <w:rFonts w:eastAsia="Calibri"/>
                <w:lang w:eastAsia="en-US"/>
              </w:rPr>
              <w:t>Tier 1</w:t>
            </w:r>
          </w:p>
        </w:tc>
        <w:tc>
          <w:tcPr>
            <w:tcW w:w="4678" w:type="dxa"/>
            <w:tcBorders>
              <w:top w:val="single" w:sz="4" w:space="0" w:color="000000"/>
              <w:left w:val="single" w:sz="4" w:space="0" w:color="auto"/>
              <w:bottom w:val="single" w:sz="4" w:space="0" w:color="000000"/>
            </w:tcBorders>
            <w:shd w:val="clear" w:color="auto" w:fill="auto"/>
          </w:tcPr>
          <w:p w14:paraId="0D314B13" w14:textId="77777777" w:rsidR="00CC407B" w:rsidRDefault="00CC407B" w:rsidP="00CC407B">
            <w:pPr>
              <w:snapToGrid w:val="0"/>
              <w:spacing w:line="260" w:lineRule="atLeast"/>
              <w:rPr>
                <w:rFonts w:eastAsia="Calibri"/>
                <w:lang w:eastAsia="en-US"/>
              </w:rPr>
            </w:pPr>
            <w:r>
              <w:rPr>
                <w:rFonts w:eastAsia="Calibri"/>
                <w:lang w:eastAsia="en-US"/>
              </w:rPr>
              <w:t xml:space="preserve">Concentration of </w:t>
            </w:r>
            <w:r w:rsidRPr="0084576F">
              <w:rPr>
                <w:rFonts w:eastAsia="Calibri"/>
                <w:b/>
                <w:bCs/>
                <w:iCs/>
                <w:lang w:eastAsia="en-US"/>
              </w:rPr>
              <w:t>2-(</w:t>
            </w:r>
            <w:r w:rsidRPr="0084576F">
              <w:rPr>
                <w:rFonts w:eastAsia="Calibri"/>
                <w:b/>
                <w:lang w:eastAsia="en-US"/>
              </w:rPr>
              <w:t>2-butoxyethoxy)ethanol</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719BD38" w14:textId="77777777" w:rsidR="00CC407B" w:rsidRDefault="00CC407B" w:rsidP="00CC407B">
            <w:pPr>
              <w:snapToGrid w:val="0"/>
              <w:spacing w:line="260" w:lineRule="atLeast"/>
              <w:rPr>
                <w:rFonts w:eastAsia="Calibri"/>
                <w:lang w:eastAsia="en-US"/>
              </w:rPr>
            </w:pPr>
            <w:r>
              <w:rPr>
                <w:rFonts w:eastAsia="Calibri"/>
                <w:lang w:eastAsia="en-US"/>
              </w:rPr>
              <w:t>5.5%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717CD25A" w14:textId="77777777" w:rsidR="00CC407B" w:rsidRDefault="00CC407B" w:rsidP="00CC407B">
            <w:pPr>
              <w:snapToGrid w:val="0"/>
              <w:spacing w:line="260" w:lineRule="atLeast"/>
              <w:rPr>
                <w:rFonts w:eastAsia="Calibri"/>
                <w:lang w:eastAsia="en-US"/>
              </w:rPr>
            </w:pPr>
          </w:p>
        </w:tc>
      </w:tr>
      <w:tr w:rsidR="00CC407B" w14:paraId="23BE20E6"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4E2DC62C"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4D185F26" w14:textId="77777777" w:rsidR="00CC407B" w:rsidRDefault="00CC407B" w:rsidP="00CC407B">
            <w:pPr>
              <w:snapToGrid w:val="0"/>
              <w:spacing w:line="260" w:lineRule="atLeast"/>
              <w:rPr>
                <w:rFonts w:eastAsia="Calibri"/>
                <w:lang w:eastAsia="en-US"/>
              </w:rPr>
            </w:pPr>
            <w:r>
              <w:rPr>
                <w:rFonts w:eastAsia="Calibri"/>
                <w:lang w:eastAsia="en-US"/>
              </w:rPr>
              <w:t>Molecular weight (g/mol)</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B07147D" w14:textId="77777777" w:rsidR="00CC407B" w:rsidRDefault="00CC407B" w:rsidP="00CC407B">
            <w:pPr>
              <w:snapToGrid w:val="0"/>
              <w:spacing w:line="260" w:lineRule="atLeast"/>
              <w:rPr>
                <w:rFonts w:eastAsia="Calibri"/>
                <w:lang w:eastAsia="en-US"/>
              </w:rPr>
            </w:pPr>
            <w:r>
              <w:rPr>
                <w:rFonts w:eastAsia="Calibri"/>
                <w:lang w:eastAsia="en-US"/>
              </w:rPr>
              <w:t>162.23</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19A9D787" w14:textId="77777777" w:rsidR="00CC407B" w:rsidRDefault="00CC407B" w:rsidP="00CC407B">
            <w:pPr>
              <w:snapToGrid w:val="0"/>
              <w:spacing w:line="260" w:lineRule="atLeast"/>
              <w:rPr>
                <w:rFonts w:eastAsia="Calibri"/>
                <w:lang w:eastAsia="en-US"/>
              </w:rPr>
            </w:pPr>
            <w:r>
              <w:rPr>
                <w:rFonts w:eastAsia="Calibri"/>
                <w:lang w:eastAsia="en-US"/>
              </w:rPr>
              <w:t>REACH Registration dossier</w:t>
            </w:r>
          </w:p>
        </w:tc>
      </w:tr>
      <w:tr w:rsidR="00CC407B" w14:paraId="0081366E"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5000DCA3"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4C1D4530" w14:textId="77777777" w:rsidR="00CC407B" w:rsidRDefault="00CC407B" w:rsidP="00CC407B">
            <w:pPr>
              <w:snapToGrid w:val="0"/>
              <w:spacing w:line="260" w:lineRule="atLeast"/>
              <w:rPr>
                <w:rFonts w:eastAsia="Calibri"/>
                <w:lang w:eastAsia="en-US"/>
              </w:rPr>
            </w:pPr>
            <w:r>
              <w:rPr>
                <w:rFonts w:eastAsia="Calibri"/>
                <w:lang w:eastAsia="en-US"/>
              </w:rPr>
              <w:t>Exposure duration (min)</w:t>
            </w:r>
          </w:p>
          <w:p w14:paraId="19F41277" w14:textId="77777777" w:rsidR="00CC407B" w:rsidRDefault="00CC407B" w:rsidP="00CC407B">
            <w:pPr>
              <w:snapToGrid w:val="0"/>
              <w:spacing w:line="260" w:lineRule="atLeast"/>
              <w:rPr>
                <w:rFonts w:eastAsia="Calibri"/>
                <w:lang w:eastAsia="en-US"/>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43751268" w14:textId="77777777" w:rsidR="00CC407B" w:rsidRDefault="00CC407B" w:rsidP="00CC407B">
            <w:pPr>
              <w:snapToGrid w:val="0"/>
              <w:spacing w:line="260" w:lineRule="atLeast"/>
              <w:rPr>
                <w:rFonts w:eastAsia="Calibri"/>
                <w:lang w:eastAsia="en-US"/>
              </w:rPr>
            </w:pPr>
            <w:r>
              <w:rPr>
                <w:rFonts w:eastAsia="Calibri"/>
                <w:lang w:eastAsia="en-US"/>
              </w:rPr>
              <w:t>0.75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7D4FFBF1" w14:textId="77777777" w:rsidR="00CC407B" w:rsidRDefault="00CC407B" w:rsidP="00CC407B">
            <w:pPr>
              <w:snapToGrid w:val="0"/>
              <w:spacing w:line="260" w:lineRule="atLeast"/>
              <w:rPr>
                <w:rFonts w:eastAsia="Calibri"/>
                <w:lang w:eastAsia="en-US"/>
              </w:rPr>
            </w:pPr>
            <w:r>
              <w:rPr>
                <w:rFonts w:eastAsia="Calibri"/>
                <w:lang w:eastAsia="en-US"/>
              </w:rPr>
              <w:t>ConsExpo default value</w:t>
            </w:r>
          </w:p>
        </w:tc>
      </w:tr>
      <w:tr w:rsidR="00CC407B" w14:paraId="0B8E6819"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7811C065"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5C0EE9DD" w14:textId="77777777" w:rsidR="00CC407B" w:rsidRDefault="00CC407B" w:rsidP="00CC407B">
            <w:pPr>
              <w:snapToGrid w:val="0"/>
              <w:spacing w:line="260" w:lineRule="atLeast"/>
              <w:rPr>
                <w:rFonts w:eastAsia="Calibri"/>
                <w:lang w:eastAsia="en-US"/>
              </w:rPr>
            </w:pPr>
            <w:r>
              <w:rPr>
                <w:rFonts w:eastAsia="Calibri"/>
                <w:lang w:eastAsia="en-US"/>
              </w:rPr>
              <w:t>Release area (m</w:t>
            </w:r>
            <w:r w:rsidRPr="00441F9B">
              <w:rPr>
                <w:rFonts w:eastAsia="Calibri"/>
                <w:vertAlign w:val="superscript"/>
                <w:lang w:eastAsia="en-US"/>
              </w:rPr>
              <w:t>2</w:t>
            </w:r>
            <w:r>
              <w:rPr>
                <w:rFonts w:eastAsia="Calibri"/>
                <w:lang w:eastAsia="en-US"/>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432E9C60" w14:textId="77777777" w:rsidR="00CC407B" w:rsidRDefault="00CC407B" w:rsidP="00CC407B">
            <w:pPr>
              <w:snapToGrid w:val="0"/>
              <w:spacing w:line="260" w:lineRule="atLeast"/>
              <w:rPr>
                <w:rFonts w:eastAsia="Calibri"/>
                <w:lang w:eastAsia="en-US"/>
              </w:rPr>
            </w:pPr>
            <w:r>
              <w:rPr>
                <w:rFonts w:eastAsia="Calibri"/>
                <w:lang w:eastAsia="en-US"/>
              </w:rPr>
              <w:t>0.002</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6E31E796" w14:textId="77777777" w:rsidR="00CC407B" w:rsidRDefault="00CC407B" w:rsidP="00CC407B">
            <w:pPr>
              <w:snapToGrid w:val="0"/>
              <w:spacing w:line="260" w:lineRule="atLeast"/>
              <w:rPr>
                <w:rFonts w:eastAsia="Calibri"/>
                <w:lang w:eastAsia="en-US"/>
              </w:rPr>
            </w:pPr>
            <w:r>
              <w:rPr>
                <w:rFonts w:eastAsia="Calibri"/>
                <w:lang w:eastAsia="en-US"/>
              </w:rPr>
              <w:t>ConsExpo default value</w:t>
            </w:r>
          </w:p>
        </w:tc>
      </w:tr>
      <w:tr w:rsidR="00CC407B" w:rsidRPr="00B34485" w14:paraId="63D0DAF3"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713C2B45"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2C54EC01" w14:textId="77777777" w:rsidR="00CC407B" w:rsidRDefault="00CC407B" w:rsidP="00CC407B">
            <w:pPr>
              <w:snapToGrid w:val="0"/>
              <w:spacing w:line="260" w:lineRule="atLeast"/>
              <w:rPr>
                <w:rFonts w:eastAsia="Calibri"/>
                <w:lang w:eastAsia="en-US"/>
              </w:rPr>
            </w:pPr>
            <w:r>
              <w:rPr>
                <w:rFonts w:eastAsia="Calibri"/>
                <w:lang w:eastAsia="en-US"/>
              </w:rPr>
              <w:t>Release area mode</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0EEB89B" w14:textId="77777777" w:rsidR="00CC407B" w:rsidRDefault="00CC407B" w:rsidP="00CC407B">
            <w:pPr>
              <w:snapToGrid w:val="0"/>
              <w:spacing w:line="260" w:lineRule="atLeast"/>
              <w:rPr>
                <w:rFonts w:eastAsia="Calibri"/>
                <w:lang w:eastAsia="en-US"/>
              </w:rPr>
            </w:pPr>
            <w:r>
              <w:rPr>
                <w:rFonts w:eastAsia="Calibri"/>
                <w:lang w:eastAsia="en-US"/>
              </w:rPr>
              <w:t>Constant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712CEEC4" w14:textId="77777777" w:rsidR="00CC407B" w:rsidRPr="0084576F" w:rsidRDefault="00CC407B" w:rsidP="00CC407B">
            <w:pPr>
              <w:snapToGrid w:val="0"/>
              <w:spacing w:line="260" w:lineRule="atLeast"/>
              <w:rPr>
                <w:rFonts w:eastAsia="Calibri"/>
                <w:lang w:val="fr-FR" w:eastAsia="en-US"/>
              </w:rPr>
            </w:pPr>
          </w:p>
        </w:tc>
      </w:tr>
      <w:tr w:rsidR="00CC407B" w14:paraId="0B4A2BBD"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5E6C7EF5" w14:textId="77777777" w:rsidR="00CC407B" w:rsidRPr="0084576F" w:rsidRDefault="00CC407B" w:rsidP="00CC407B">
            <w:pPr>
              <w:spacing w:line="260" w:lineRule="atLeast"/>
              <w:rPr>
                <w:rFonts w:eastAsia="Calibri"/>
                <w:lang w:val="fr-FR" w:eastAsia="en-US"/>
              </w:rPr>
            </w:pPr>
          </w:p>
        </w:tc>
        <w:tc>
          <w:tcPr>
            <w:tcW w:w="4678" w:type="dxa"/>
            <w:tcBorders>
              <w:top w:val="single" w:sz="4" w:space="0" w:color="000000"/>
              <w:left w:val="single" w:sz="4" w:space="0" w:color="auto"/>
              <w:bottom w:val="single" w:sz="4" w:space="0" w:color="000000"/>
            </w:tcBorders>
            <w:shd w:val="clear" w:color="auto" w:fill="auto"/>
          </w:tcPr>
          <w:p w14:paraId="034F5F50" w14:textId="77777777" w:rsidR="00CC407B" w:rsidRDefault="00CC407B" w:rsidP="00CC407B">
            <w:pPr>
              <w:snapToGrid w:val="0"/>
              <w:spacing w:line="260" w:lineRule="atLeast"/>
              <w:rPr>
                <w:rFonts w:eastAsia="Calibri"/>
                <w:lang w:eastAsia="en-US"/>
              </w:rPr>
            </w:pPr>
            <w:r w:rsidRPr="00476EB8">
              <w:rPr>
                <w:rFonts w:eastAsia="Calibri"/>
                <w:lang w:eastAsia="en-US"/>
              </w:rPr>
              <w:t>Room volume (m</w:t>
            </w:r>
            <w:r w:rsidRPr="00441F9B">
              <w:rPr>
                <w:rFonts w:eastAsia="Calibri"/>
                <w:vertAlign w:val="superscript"/>
                <w:lang w:eastAsia="en-US"/>
              </w:rPr>
              <w:t>3</w:t>
            </w:r>
            <w:r w:rsidRPr="00476EB8">
              <w:rPr>
                <w:rFonts w:eastAsia="Calibri"/>
                <w:lang w:eastAsia="en-US"/>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17083F88" w14:textId="77777777" w:rsidR="00CC407B" w:rsidRDefault="00CC407B" w:rsidP="00CC407B">
            <w:pPr>
              <w:snapToGrid w:val="0"/>
              <w:spacing w:line="260" w:lineRule="atLeast"/>
              <w:rPr>
                <w:rFonts w:eastAsia="Calibri"/>
                <w:lang w:eastAsia="en-US"/>
              </w:rPr>
            </w:pPr>
            <w:r>
              <w:rPr>
                <w:rFonts w:eastAsia="Calibri"/>
                <w:lang w:eastAsia="en-US"/>
              </w:rPr>
              <w:t>1</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3279F21E" w14:textId="77777777" w:rsidR="00CC407B" w:rsidRDefault="00CC407B" w:rsidP="00CC407B">
            <w:pPr>
              <w:snapToGrid w:val="0"/>
              <w:spacing w:line="260" w:lineRule="atLeast"/>
              <w:rPr>
                <w:rFonts w:eastAsia="Calibri"/>
                <w:lang w:eastAsia="en-US"/>
              </w:rPr>
            </w:pPr>
            <w:r>
              <w:rPr>
                <w:rFonts w:eastAsia="Calibri"/>
                <w:lang w:eastAsia="en-US"/>
              </w:rPr>
              <w:t>ConsExpo default value</w:t>
            </w:r>
          </w:p>
        </w:tc>
      </w:tr>
      <w:tr w:rsidR="00CC407B" w14:paraId="60F24DB3"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377CA609"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43FA7FD6" w14:textId="77777777" w:rsidR="00CC407B" w:rsidRDefault="00CC407B" w:rsidP="00CC407B">
            <w:pPr>
              <w:snapToGrid w:val="0"/>
              <w:spacing w:line="260" w:lineRule="atLeast"/>
              <w:rPr>
                <w:rFonts w:eastAsia="Calibri"/>
                <w:lang w:eastAsia="en-US"/>
              </w:rPr>
            </w:pPr>
            <w:r>
              <w:rPr>
                <w:rFonts w:eastAsia="Calibri"/>
                <w:lang w:eastAsia="en-US"/>
              </w:rPr>
              <w:t>Ventilation rate (/h)</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7C07030A" w14:textId="77777777" w:rsidR="00CC407B" w:rsidRDefault="00CC407B" w:rsidP="00CC407B">
            <w:pPr>
              <w:snapToGrid w:val="0"/>
              <w:spacing w:line="260" w:lineRule="atLeast"/>
              <w:rPr>
                <w:rFonts w:eastAsia="Calibri"/>
                <w:lang w:eastAsia="en-US"/>
              </w:rPr>
            </w:pPr>
            <w:r>
              <w:rPr>
                <w:rFonts w:eastAsia="Calibri"/>
                <w:lang w:eastAsia="en-US"/>
              </w:rPr>
              <w:t>0.5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340C8FB8" w14:textId="77777777" w:rsidR="00CC407B" w:rsidRDefault="00CC407B" w:rsidP="00CC407B">
            <w:pPr>
              <w:snapToGrid w:val="0"/>
              <w:spacing w:line="260" w:lineRule="atLeast"/>
              <w:rPr>
                <w:rFonts w:eastAsia="Calibri"/>
                <w:lang w:eastAsia="en-US"/>
              </w:rPr>
            </w:pPr>
            <w:r>
              <w:rPr>
                <w:rFonts w:eastAsia="Calibri"/>
                <w:lang w:eastAsia="en-US"/>
              </w:rPr>
              <w:t>ConsExpo default value</w:t>
            </w:r>
          </w:p>
        </w:tc>
      </w:tr>
      <w:tr w:rsidR="00CC407B" w14:paraId="34165479"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4A9BAD49"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51539A84" w14:textId="77777777" w:rsidR="00CC407B" w:rsidRDefault="00CC407B" w:rsidP="00CC407B">
            <w:pPr>
              <w:snapToGrid w:val="0"/>
              <w:spacing w:line="260" w:lineRule="atLeast"/>
              <w:rPr>
                <w:rFonts w:eastAsia="Calibri"/>
                <w:lang w:eastAsia="en-US"/>
              </w:rPr>
            </w:pPr>
            <w:r>
              <w:rPr>
                <w:rFonts w:eastAsia="Calibri"/>
                <w:lang w:eastAsia="en-US"/>
              </w:rPr>
              <w:t>Vapor pressure (Pa) of</w:t>
            </w:r>
            <w:r w:rsidRPr="0084576F">
              <w:rPr>
                <w:rFonts w:eastAsia="Calibri"/>
                <w:sz w:val="22"/>
                <w:lang w:eastAsia="en-US"/>
              </w:rPr>
              <w:t xml:space="preserve"> </w:t>
            </w:r>
            <w:r w:rsidRPr="0084576F">
              <w:rPr>
                <w:rFonts w:eastAsia="Calibri"/>
                <w:b/>
                <w:bCs/>
                <w:iCs/>
                <w:lang w:eastAsia="en-US"/>
              </w:rPr>
              <w:t>2-(</w:t>
            </w:r>
            <w:r w:rsidRPr="0084576F">
              <w:rPr>
                <w:rFonts w:eastAsia="Calibri"/>
                <w:b/>
                <w:lang w:eastAsia="en-US"/>
              </w:rPr>
              <w:t>2-butoxyethoxy)ethanol</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0F5BA15C" w14:textId="77777777" w:rsidR="00CC407B" w:rsidRDefault="00CC407B" w:rsidP="00CC407B">
            <w:pPr>
              <w:snapToGrid w:val="0"/>
              <w:spacing w:line="260" w:lineRule="atLeast"/>
              <w:rPr>
                <w:rFonts w:eastAsia="Calibri"/>
                <w:lang w:eastAsia="en-US"/>
              </w:rPr>
            </w:pPr>
            <w:r>
              <w:rPr>
                <w:rFonts w:eastAsia="Calibri"/>
                <w:lang w:eastAsia="en-US"/>
              </w:rPr>
              <w:t>2.9</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4949ED02" w14:textId="77777777" w:rsidR="00CC407B" w:rsidRDefault="00CC407B" w:rsidP="00CC407B">
            <w:pPr>
              <w:snapToGrid w:val="0"/>
              <w:spacing w:line="260" w:lineRule="atLeast"/>
              <w:rPr>
                <w:rFonts w:eastAsia="Calibri"/>
                <w:lang w:eastAsia="en-US"/>
              </w:rPr>
            </w:pPr>
            <w:r>
              <w:rPr>
                <w:rFonts w:eastAsia="Calibri"/>
                <w:lang w:eastAsia="en-US"/>
              </w:rPr>
              <w:t>REACH Registration dossier</w:t>
            </w:r>
          </w:p>
        </w:tc>
      </w:tr>
      <w:tr w:rsidR="00CC407B" w14:paraId="59A43523"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57B36B44"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1926EA38" w14:textId="77777777" w:rsidR="00CC407B" w:rsidRDefault="00CC407B" w:rsidP="00CC407B">
            <w:pPr>
              <w:snapToGrid w:val="0"/>
              <w:spacing w:line="260" w:lineRule="atLeast"/>
              <w:rPr>
                <w:rFonts w:eastAsia="Calibri"/>
                <w:lang w:eastAsia="en-US"/>
              </w:rPr>
            </w:pPr>
            <w:r>
              <w:rPr>
                <w:rFonts w:eastAsia="Calibri"/>
                <w:lang w:eastAsia="en-US"/>
              </w:rPr>
              <w:t>Emission duration (min)</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04F42A02" w14:textId="77777777" w:rsidR="00CC407B" w:rsidRDefault="00CC407B" w:rsidP="00CC407B">
            <w:pPr>
              <w:snapToGrid w:val="0"/>
              <w:spacing w:line="260" w:lineRule="atLeast"/>
              <w:rPr>
                <w:rFonts w:eastAsia="Calibri"/>
                <w:lang w:eastAsia="en-US"/>
              </w:rPr>
            </w:pPr>
            <w:r>
              <w:rPr>
                <w:rFonts w:eastAsia="Calibri"/>
                <w:lang w:eastAsia="en-US"/>
              </w:rPr>
              <w:t>0.25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5FC4307" w14:textId="77777777" w:rsidR="00CC407B" w:rsidRDefault="00CC407B" w:rsidP="00CC407B">
            <w:pPr>
              <w:snapToGrid w:val="0"/>
              <w:spacing w:line="260" w:lineRule="atLeast"/>
              <w:rPr>
                <w:rFonts w:eastAsia="Calibri"/>
                <w:lang w:eastAsia="en-US"/>
              </w:rPr>
            </w:pPr>
            <w:r>
              <w:rPr>
                <w:rFonts w:eastAsia="Calibri"/>
                <w:lang w:eastAsia="en-US"/>
              </w:rPr>
              <w:t>ConsExpo default value</w:t>
            </w:r>
          </w:p>
        </w:tc>
      </w:tr>
      <w:tr w:rsidR="00CC407B" w14:paraId="76280105"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0B977881"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4CF698D9" w14:textId="77777777" w:rsidR="00CC407B" w:rsidRDefault="00CC407B" w:rsidP="00CC407B">
            <w:pPr>
              <w:snapToGrid w:val="0"/>
              <w:spacing w:line="260" w:lineRule="atLeast"/>
              <w:rPr>
                <w:rFonts w:eastAsia="Calibri"/>
                <w:lang w:eastAsia="en-US"/>
              </w:rPr>
            </w:pPr>
            <w:r>
              <w:rPr>
                <w:rFonts w:eastAsia="Calibri"/>
                <w:lang w:eastAsia="en-US"/>
              </w:rPr>
              <w:t>Body weight (kg)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2B528836" w14:textId="77777777" w:rsidR="00CC407B" w:rsidRDefault="00CC407B" w:rsidP="00CC407B">
            <w:pPr>
              <w:snapToGrid w:val="0"/>
              <w:spacing w:line="260" w:lineRule="atLeast"/>
              <w:rPr>
                <w:rFonts w:eastAsia="Calibri"/>
                <w:lang w:eastAsia="en-US"/>
              </w:rPr>
            </w:pPr>
            <w:r>
              <w:rPr>
                <w:rFonts w:eastAsia="Calibri"/>
                <w:lang w:eastAsia="en-US"/>
              </w:rPr>
              <w:t xml:space="preserve">60 </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18404F1E" w14:textId="77777777" w:rsidR="00CC407B" w:rsidRDefault="00CC407B" w:rsidP="00CC407B">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CC407B" w14:paraId="20F6F974" w14:textId="77777777" w:rsidTr="00E91F85">
        <w:trPr>
          <w:cantSplit/>
        </w:trPr>
        <w:tc>
          <w:tcPr>
            <w:tcW w:w="1134" w:type="dxa"/>
            <w:vMerge/>
            <w:tcBorders>
              <w:left w:val="single" w:sz="4" w:space="0" w:color="000000"/>
              <w:bottom w:val="single" w:sz="4" w:space="0" w:color="auto"/>
              <w:right w:val="single" w:sz="4" w:space="0" w:color="auto"/>
            </w:tcBorders>
            <w:shd w:val="clear" w:color="auto" w:fill="auto"/>
          </w:tcPr>
          <w:p w14:paraId="77BC15D3" w14:textId="77777777" w:rsidR="00CC407B" w:rsidRDefault="00CC407B" w:rsidP="00CC407B">
            <w:pPr>
              <w:spacing w:line="260" w:lineRule="atLeast"/>
              <w:rPr>
                <w:rFonts w:eastAsia="Calibri"/>
                <w:lang w:eastAsia="en-US"/>
              </w:rPr>
            </w:pPr>
          </w:p>
        </w:tc>
        <w:tc>
          <w:tcPr>
            <w:tcW w:w="4678" w:type="dxa"/>
            <w:tcBorders>
              <w:top w:val="single" w:sz="4" w:space="0" w:color="000000"/>
              <w:left w:val="single" w:sz="4" w:space="0" w:color="auto"/>
              <w:bottom w:val="single" w:sz="4" w:space="0" w:color="000000"/>
            </w:tcBorders>
            <w:shd w:val="clear" w:color="auto" w:fill="auto"/>
          </w:tcPr>
          <w:p w14:paraId="059E26FB" w14:textId="77777777" w:rsidR="00CC407B" w:rsidRDefault="00CC407B" w:rsidP="00CC407B">
            <w:pPr>
              <w:snapToGrid w:val="0"/>
              <w:spacing w:line="260" w:lineRule="atLeast"/>
              <w:rPr>
                <w:rFonts w:eastAsia="Calibri"/>
                <w:lang w:eastAsia="en-US"/>
              </w:rPr>
            </w:pPr>
            <w:r>
              <w:rPr>
                <w:rFonts w:eastAsia="Calibri"/>
                <w:lang w:eastAsia="en-US"/>
              </w:rPr>
              <w:t>Inhalation rate (m</w:t>
            </w:r>
            <w:r w:rsidRPr="00BB58FA">
              <w:rPr>
                <w:rFonts w:eastAsia="Calibri"/>
                <w:vertAlign w:val="superscript"/>
                <w:lang w:eastAsia="en-US"/>
              </w:rPr>
              <w:t>3</w:t>
            </w:r>
            <w:r>
              <w:rPr>
                <w:rFonts w:eastAsia="Calibri"/>
                <w:lang w:eastAsia="en-US"/>
              </w:rPr>
              <w:t>/hr)</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1F4A313E" w14:textId="77777777" w:rsidR="00CC407B" w:rsidRDefault="00CC407B" w:rsidP="00CC407B">
            <w:pPr>
              <w:snapToGrid w:val="0"/>
              <w:spacing w:line="260" w:lineRule="atLeast"/>
              <w:rPr>
                <w:rFonts w:eastAsia="Calibri"/>
                <w:lang w:eastAsia="en-US"/>
              </w:rPr>
            </w:pPr>
            <w:r>
              <w:rPr>
                <w:rFonts w:eastAsia="Calibri"/>
                <w:lang w:eastAsia="en-US"/>
              </w:rPr>
              <w:t>1.25</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7C4FEAFD" w14:textId="77777777" w:rsidR="00CC407B" w:rsidRDefault="00CC407B" w:rsidP="00CC407B">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bl>
    <w:p w14:paraId="3DCC8F43" w14:textId="77777777" w:rsidR="007E1591" w:rsidRPr="00B27CB1" w:rsidRDefault="007E1591" w:rsidP="007E1591">
      <w:pPr>
        <w:spacing w:line="260" w:lineRule="atLeast"/>
        <w:rPr>
          <w:rFonts w:ascii="Times New Roman" w:eastAsia="Calibri" w:hAnsi="Times New Roman" w:cs="Times New Roman"/>
          <w:i/>
          <w:iCs/>
          <w:lang w:eastAsia="en-US"/>
        </w:rPr>
      </w:pPr>
    </w:p>
    <w:p w14:paraId="53B572B2" w14:textId="447CF6C3" w:rsidR="00CC407B" w:rsidRPr="00B27CB1" w:rsidRDefault="00CC407B" w:rsidP="00CC407B">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Pr>
          <w:rFonts w:eastAsia="Calibri"/>
          <w:b/>
          <w:i/>
          <w:sz w:val="22"/>
          <w:szCs w:val="22"/>
          <w:lang w:eastAsia="en-US"/>
        </w:rPr>
        <w:t>3</w:t>
      </w:r>
      <w:r w:rsidRPr="00B27CB1">
        <w:rPr>
          <w:rFonts w:eastAsia="Calibri"/>
          <w:b/>
          <w:i/>
          <w:sz w:val="22"/>
          <w:szCs w:val="22"/>
          <w:lang w:eastAsia="en-US"/>
        </w:rPr>
        <w:t>]</w:t>
      </w:r>
    </w:p>
    <w:p w14:paraId="6BA0D90D"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4C2CCD55"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4B3AE27"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6D0C3250" w14:textId="77777777" w:rsidTr="00E91F85">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6DCE1470"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4" w:space="0" w:color="auto"/>
            </w:tcBorders>
            <w:shd w:val="clear" w:color="auto" w:fill="auto"/>
          </w:tcPr>
          <w:p w14:paraId="15F2EF5F"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4" w:space="0" w:color="auto"/>
            </w:tcBorders>
            <w:shd w:val="clear" w:color="auto" w:fill="auto"/>
          </w:tcPr>
          <w:p w14:paraId="23D5CB88"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4" w:space="0" w:color="auto"/>
            </w:tcBorders>
            <w:shd w:val="clear" w:color="auto" w:fill="auto"/>
          </w:tcPr>
          <w:p w14:paraId="5BEDE6D6"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4" w:space="0" w:color="auto"/>
            </w:tcBorders>
            <w:shd w:val="clear" w:color="auto" w:fill="auto"/>
          </w:tcPr>
          <w:p w14:paraId="50BD960E"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4" w:space="0" w:color="auto"/>
              <w:right w:val="single" w:sz="6" w:space="0" w:color="000000"/>
            </w:tcBorders>
            <w:shd w:val="clear" w:color="auto" w:fill="auto"/>
          </w:tcPr>
          <w:p w14:paraId="143269A9" w14:textId="77777777" w:rsidR="007E1591" w:rsidRPr="00B27CB1" w:rsidRDefault="007E1591" w:rsidP="00CC407B">
            <w:pPr>
              <w:spacing w:line="260" w:lineRule="atLeast"/>
            </w:pPr>
            <w:r>
              <w:rPr>
                <w:rFonts w:eastAsia="Calibri"/>
                <w:b/>
                <w:lang w:eastAsia="en-US"/>
              </w:rPr>
              <w:t>Estimated total uptake (mg/m</w:t>
            </w:r>
            <w:r w:rsidRPr="00F36D85">
              <w:rPr>
                <w:rFonts w:eastAsia="Calibri"/>
                <w:b/>
                <w:vertAlign w:val="superscript"/>
                <w:lang w:eastAsia="en-US"/>
              </w:rPr>
              <w:t>3</w:t>
            </w:r>
            <w:r>
              <w:rPr>
                <w:rFonts w:eastAsia="Calibri"/>
                <w:b/>
                <w:lang w:eastAsia="en-US"/>
              </w:rPr>
              <w:t>)</w:t>
            </w:r>
          </w:p>
        </w:tc>
      </w:tr>
      <w:tr w:rsidR="007E1591" w:rsidRPr="00B27CB1" w14:paraId="6B3DAF15" w14:textId="77777777" w:rsidTr="00E91F85">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right w:val="single" w:sz="4" w:space="0" w:color="auto"/>
            </w:tcBorders>
            <w:shd w:val="clear" w:color="auto" w:fill="auto"/>
          </w:tcPr>
          <w:p w14:paraId="07F31091" w14:textId="7D71ED7E"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3</w:t>
            </w:r>
            <w:r w:rsidRPr="00B27CB1">
              <w:rPr>
                <w:rFonts w:eastAsia="Calibri"/>
                <w:lang w:eastAsia="en-US"/>
              </w:rPr>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12CF3490"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2204065" w14:textId="77777777" w:rsidR="007E1591" w:rsidRPr="00B27CB1" w:rsidRDefault="007E1591" w:rsidP="00CC407B">
            <w:pPr>
              <w:snapToGrid w:val="0"/>
              <w:spacing w:line="260" w:lineRule="atLeast"/>
              <w:rPr>
                <w:rFonts w:eastAsia="Calibri"/>
                <w:lang w:eastAsia="en-US"/>
              </w:rPr>
            </w:pPr>
            <w:r>
              <w:t>0.01</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A53327E"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4C4D069"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D7C0E4F" w14:textId="77777777" w:rsidR="007E1591" w:rsidRPr="00B27CB1" w:rsidRDefault="007E1591" w:rsidP="00CC407B">
            <w:pPr>
              <w:snapToGrid w:val="0"/>
              <w:spacing w:line="260" w:lineRule="atLeast"/>
              <w:rPr>
                <w:rFonts w:eastAsia="Calibri"/>
                <w:lang w:eastAsia="en-US"/>
              </w:rPr>
            </w:pPr>
            <w:r>
              <w:t>0.01</w:t>
            </w:r>
          </w:p>
        </w:tc>
      </w:tr>
    </w:tbl>
    <w:p w14:paraId="3872B649" w14:textId="77777777" w:rsidR="007E1591" w:rsidRDefault="007E1591" w:rsidP="007E1591">
      <w:pPr>
        <w:rPr>
          <w:rFonts w:eastAsia="Calibri"/>
          <w:i/>
          <w:sz w:val="22"/>
          <w:szCs w:val="22"/>
          <w:u w:val="single"/>
          <w:lang w:eastAsia="en-US"/>
        </w:rPr>
      </w:pPr>
    </w:p>
    <w:p w14:paraId="23C7D986" w14:textId="7A7F0735" w:rsidR="007E1591" w:rsidRPr="0084576F" w:rsidRDefault="007E1591" w:rsidP="007E1591">
      <w:pPr>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4</w:t>
      </w:r>
      <w:r w:rsidRPr="0084576F">
        <w:rPr>
          <w:rFonts w:eastAsia="Calibri"/>
          <w:b/>
          <w:i/>
          <w:sz w:val="22"/>
          <w:szCs w:val="22"/>
          <w:u w:val="single"/>
          <w:lang w:eastAsia="en-US"/>
        </w:rPr>
        <w:t>] – Spray application with low-pressure sprayer</w:t>
      </w:r>
    </w:p>
    <w:p w14:paraId="44F0BCB3"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5245"/>
        <w:gridCol w:w="1134"/>
        <w:gridCol w:w="1782"/>
      </w:tblGrid>
      <w:tr w:rsidR="007E1591" w14:paraId="7D6A9D3F"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628402C1" w14:textId="151D4067" w:rsidR="007E1591" w:rsidRDefault="00CC407B" w:rsidP="00CC407B">
            <w:pPr>
              <w:spacing w:line="260" w:lineRule="atLeast"/>
            </w:pPr>
            <w:r>
              <w:rPr>
                <w:rFonts w:eastAsia="Calibri"/>
                <w:b/>
                <w:lang w:eastAsia="en-US"/>
              </w:rPr>
              <w:t>Description of Scenario [4</w:t>
            </w:r>
            <w:r w:rsidR="007E1591">
              <w:rPr>
                <w:rFonts w:eastAsia="Calibri"/>
                <w:b/>
                <w:lang w:eastAsia="en-US"/>
              </w:rPr>
              <w:t>]</w:t>
            </w:r>
          </w:p>
        </w:tc>
      </w:tr>
      <w:tr w:rsidR="007E1591" w14:paraId="0C7FFD0B"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7E1F72BE" w14:textId="77777777" w:rsidR="007E1591" w:rsidRDefault="007E1591" w:rsidP="00CC407B">
            <w:pPr>
              <w:spacing w:line="260" w:lineRule="atLeast"/>
              <w:jc w:val="both"/>
              <w:rPr>
                <w:rFonts w:eastAsia="Calibri"/>
                <w:lang w:eastAsia="en-US"/>
              </w:rPr>
            </w:pPr>
            <w:r>
              <w:rPr>
                <w:rFonts w:eastAsia="Calibri"/>
                <w:lang w:eastAsia="en-US"/>
              </w:rPr>
              <w:t>Products of meta SPC 13 can be applied by indoors spraying on</w:t>
            </w:r>
            <w:r w:rsidRPr="004177BD">
              <w:rPr>
                <w:rFonts w:eastAsia="Calibri"/>
                <w:lang w:eastAsia="en-US"/>
              </w:rPr>
              <w:t xml:space="preserve"> </w:t>
            </w:r>
            <w:r>
              <w:rPr>
                <w:rFonts w:eastAsia="Calibri"/>
                <w:lang w:eastAsia="en-US"/>
              </w:rPr>
              <w:t>hard surfaces</w:t>
            </w:r>
            <w:r w:rsidRPr="004177BD">
              <w:rPr>
                <w:rFonts w:eastAsia="Calibri"/>
                <w:lang w:eastAsia="en-US"/>
              </w:rPr>
              <w:t xml:space="preserve"> to dis</w:t>
            </w:r>
            <w:r>
              <w:rPr>
                <w:rFonts w:eastAsia="Calibri"/>
                <w:lang w:eastAsia="en-US"/>
              </w:rPr>
              <w:t>infect them using a low-pressure sprayer.</w:t>
            </w:r>
          </w:p>
          <w:p w14:paraId="1781E2C7" w14:textId="77777777" w:rsidR="007E1591" w:rsidRDefault="007E1591" w:rsidP="00CC407B">
            <w:pPr>
              <w:spacing w:line="260" w:lineRule="atLeast"/>
              <w:jc w:val="both"/>
              <w:rPr>
                <w:rFonts w:eastAsia="Calibri"/>
                <w:lang w:eastAsia="en-US"/>
              </w:rPr>
            </w:pPr>
          </w:p>
          <w:p w14:paraId="6CE5BA97" w14:textId="77777777" w:rsidR="007E1591" w:rsidRDefault="007E1591" w:rsidP="00CC407B">
            <w:pPr>
              <w:spacing w:line="260" w:lineRule="atLeast"/>
              <w:jc w:val="both"/>
              <w:rPr>
                <w:rFonts w:eastAsia="Calibri"/>
                <w:lang w:eastAsia="en-US"/>
              </w:rPr>
            </w:pPr>
            <w:r>
              <w:rPr>
                <w:rFonts w:eastAsia="Calibri"/>
                <w:lang w:eastAsia="en-US"/>
              </w:rPr>
              <w:t>Inhalation exposure to the aerosols is considered.</w:t>
            </w:r>
          </w:p>
          <w:p w14:paraId="44342BF1" w14:textId="77777777" w:rsidR="007E1591" w:rsidRPr="004177BD" w:rsidRDefault="007E1591" w:rsidP="00CC407B">
            <w:pPr>
              <w:spacing w:line="260" w:lineRule="atLeast"/>
              <w:jc w:val="both"/>
              <w:rPr>
                <w:rFonts w:eastAsia="Calibri"/>
                <w:lang w:eastAsia="en-US"/>
              </w:rPr>
            </w:pPr>
          </w:p>
          <w:p w14:paraId="20868469"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the exposure during the spray application with a trigger spray, the </w:t>
            </w:r>
            <w:r>
              <w:rPr>
                <w:rFonts w:eastAsia="Calibri"/>
                <w:lang w:eastAsia="en-US"/>
              </w:rPr>
              <w:t>Spraying Model 1</w:t>
            </w:r>
            <w:r w:rsidRPr="004177BD">
              <w:rPr>
                <w:rFonts w:eastAsia="Calibri"/>
                <w:lang w:eastAsia="en-US"/>
              </w:rPr>
              <w:t xml:space="preserve"> from the </w:t>
            </w:r>
            <w:r>
              <w:rPr>
                <w:rFonts w:eastAsia="Calibri"/>
                <w:lang w:eastAsia="en-US"/>
              </w:rPr>
              <w:t xml:space="preserve">BHHEM (2015) has been used. </w:t>
            </w:r>
          </w:p>
          <w:p w14:paraId="63926B09" w14:textId="77777777" w:rsidR="007E1591" w:rsidRPr="004177BD" w:rsidRDefault="007E1591" w:rsidP="00CC407B">
            <w:pPr>
              <w:spacing w:line="260" w:lineRule="atLeast"/>
              <w:jc w:val="both"/>
              <w:rPr>
                <w:rFonts w:eastAsia="Calibri"/>
                <w:lang w:eastAsia="en-US"/>
              </w:rPr>
            </w:pPr>
          </w:p>
          <w:p w14:paraId="03212FA2" w14:textId="77777777" w:rsidR="007E1591" w:rsidRPr="004177BD" w:rsidRDefault="007E1591" w:rsidP="00CC407B">
            <w:pPr>
              <w:spacing w:line="260" w:lineRule="atLeast"/>
              <w:jc w:val="both"/>
              <w:rPr>
                <w:rFonts w:eastAsia="Calibri"/>
                <w:lang w:eastAsia="en-US"/>
              </w:rPr>
            </w:pPr>
            <w:r w:rsidRPr="004177BD">
              <w:rPr>
                <w:rFonts w:eastAsia="Calibri"/>
                <w:lang w:eastAsia="en-US"/>
              </w:rPr>
              <w:t>The indicative ex</w:t>
            </w:r>
            <w:r>
              <w:rPr>
                <w:rFonts w:eastAsia="Calibri"/>
                <w:lang w:eastAsia="en-US"/>
              </w:rPr>
              <w:t>posure value from the model is</w:t>
            </w:r>
            <w:r w:rsidRPr="004177BD">
              <w:rPr>
                <w:rFonts w:eastAsia="Calibri"/>
                <w:lang w:eastAsia="en-US"/>
              </w:rPr>
              <w:t xml:space="preserve"> as follows:</w:t>
            </w:r>
          </w:p>
          <w:p w14:paraId="2B2D1AE4" w14:textId="77777777" w:rsidR="007E1591" w:rsidRPr="004177BD" w:rsidRDefault="007E1591" w:rsidP="00CC407B">
            <w:pPr>
              <w:spacing w:line="260" w:lineRule="atLeast"/>
              <w:jc w:val="both"/>
              <w:rPr>
                <w:rFonts w:eastAsia="Calibri"/>
                <w:lang w:eastAsia="en-US"/>
              </w:rPr>
            </w:pPr>
          </w:p>
          <w:p w14:paraId="7C6D69C7" w14:textId="77777777" w:rsidR="007E1591" w:rsidRPr="002A0706" w:rsidRDefault="007E1591" w:rsidP="00CC407B">
            <w:pPr>
              <w:spacing w:line="260" w:lineRule="atLeast"/>
              <w:jc w:val="both"/>
              <w:rPr>
                <w:rFonts w:eastAsia="Calibri"/>
                <w:lang w:eastAsia="en-US"/>
              </w:rPr>
            </w:pPr>
            <w:r>
              <w:rPr>
                <w:rFonts w:eastAsia="Calibri"/>
                <w:lang w:eastAsia="en-US"/>
              </w:rPr>
              <w:t xml:space="preserve">- </w:t>
            </w:r>
            <w:r w:rsidRPr="004177BD">
              <w:rPr>
                <w:rFonts w:eastAsia="Calibri"/>
                <w:lang w:eastAsia="en-US"/>
              </w:rPr>
              <w:t>10</w:t>
            </w:r>
            <w:r>
              <w:rPr>
                <w:rFonts w:eastAsia="Calibri"/>
                <w:lang w:eastAsia="en-US"/>
              </w:rPr>
              <w:t>4</w:t>
            </w:r>
            <w:r w:rsidRPr="004177BD">
              <w:rPr>
                <w:rFonts w:eastAsia="Calibri"/>
                <w:lang w:eastAsia="en-US"/>
              </w:rPr>
              <w:t xml:space="preserve"> mg bp/</w:t>
            </w:r>
            <w:r w:rsidRPr="00816258">
              <w:rPr>
                <w:rFonts w:eastAsia="Calibri"/>
                <w:lang w:eastAsia="en-US"/>
              </w:rPr>
              <w:t>m</w:t>
            </w:r>
            <w:r w:rsidRPr="00441F9B">
              <w:rPr>
                <w:rFonts w:eastAsia="Calibri"/>
                <w:vertAlign w:val="superscript"/>
                <w:lang w:eastAsia="en-US"/>
              </w:rPr>
              <w:t>3</w:t>
            </w:r>
            <w:r w:rsidRPr="004177BD">
              <w:rPr>
                <w:rFonts w:eastAsia="Calibri"/>
                <w:lang w:eastAsia="en-US"/>
              </w:rPr>
              <w:t xml:space="preserve"> (inhalation</w:t>
            </w:r>
            <w:r>
              <w:rPr>
                <w:rFonts w:eastAsia="Calibri"/>
                <w:lang w:eastAsia="en-US"/>
              </w:rPr>
              <w:t>)</w:t>
            </w:r>
          </w:p>
        </w:tc>
      </w:tr>
      <w:tr w:rsidR="007E1591" w14:paraId="55178806" w14:textId="77777777" w:rsidTr="00E91F85">
        <w:tc>
          <w:tcPr>
            <w:tcW w:w="1134" w:type="dxa"/>
            <w:tcBorders>
              <w:top w:val="single" w:sz="4" w:space="0" w:color="000000"/>
              <w:left w:val="single" w:sz="4" w:space="0" w:color="000000"/>
              <w:bottom w:val="single" w:sz="4" w:space="0" w:color="auto"/>
            </w:tcBorders>
            <w:shd w:val="clear" w:color="auto" w:fill="auto"/>
          </w:tcPr>
          <w:p w14:paraId="251B4B51" w14:textId="77777777" w:rsidR="007E1591" w:rsidRDefault="007E1591" w:rsidP="00CC407B">
            <w:pPr>
              <w:snapToGrid w:val="0"/>
              <w:spacing w:line="260" w:lineRule="atLeast"/>
              <w:rPr>
                <w:rFonts w:eastAsia="Calibri"/>
                <w:lang w:eastAsia="en-US"/>
              </w:rPr>
            </w:pPr>
          </w:p>
        </w:tc>
        <w:tc>
          <w:tcPr>
            <w:tcW w:w="5245" w:type="dxa"/>
            <w:tcBorders>
              <w:top w:val="single" w:sz="4" w:space="0" w:color="000000"/>
              <w:left w:val="single" w:sz="4" w:space="0" w:color="000000"/>
              <w:bottom w:val="single" w:sz="4" w:space="0" w:color="000000"/>
            </w:tcBorders>
            <w:shd w:val="clear" w:color="auto" w:fill="auto"/>
          </w:tcPr>
          <w:p w14:paraId="23251E5F" w14:textId="77777777" w:rsidR="007E1591" w:rsidRDefault="007E1591" w:rsidP="00CC407B">
            <w:pPr>
              <w:spacing w:line="260" w:lineRule="atLeast"/>
              <w:rPr>
                <w:rFonts w:eastAsia="Calibri"/>
                <w:lang w:eastAsia="en-US"/>
              </w:rPr>
            </w:pPr>
            <w:r>
              <w:rPr>
                <w:rFonts w:eastAsia="Calibri"/>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0AE1F9" w14:textId="77777777" w:rsidR="007E1591" w:rsidRDefault="007E1591" w:rsidP="00CC407B">
            <w:pPr>
              <w:spacing w:line="260" w:lineRule="atLeast"/>
            </w:pPr>
            <w:r>
              <w:rPr>
                <w:rFonts w:eastAsia="Calibri"/>
                <w:lang w:eastAsia="en-US"/>
              </w:rPr>
              <w:t>Value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68C07E4" w14:textId="77777777" w:rsidR="007E1591" w:rsidRDefault="007E1591" w:rsidP="00CC407B">
            <w:pPr>
              <w:spacing w:line="260" w:lineRule="atLeast"/>
            </w:pPr>
            <w:r>
              <w:t>Reference</w:t>
            </w:r>
          </w:p>
        </w:tc>
      </w:tr>
      <w:tr w:rsidR="007E1591" w14:paraId="2D9B5A28"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2CA31FD" w14:textId="77777777" w:rsidR="007E1591" w:rsidRDefault="007E1591" w:rsidP="00CC407B">
            <w:pPr>
              <w:spacing w:line="260" w:lineRule="atLeast"/>
              <w:rPr>
                <w:rFonts w:eastAsia="Calibri"/>
                <w:lang w:eastAsia="en-US"/>
              </w:rPr>
            </w:pPr>
            <w:r>
              <w:rPr>
                <w:rFonts w:eastAsia="Calibri"/>
                <w:lang w:eastAsia="en-US"/>
              </w:rPr>
              <w:t>Tier 1</w:t>
            </w:r>
          </w:p>
        </w:tc>
        <w:tc>
          <w:tcPr>
            <w:tcW w:w="5245" w:type="dxa"/>
            <w:tcBorders>
              <w:top w:val="single" w:sz="4" w:space="0" w:color="000000"/>
              <w:left w:val="single" w:sz="4" w:space="0" w:color="auto"/>
              <w:bottom w:val="single" w:sz="4" w:space="0" w:color="000000"/>
            </w:tcBorders>
            <w:shd w:val="clear" w:color="auto" w:fill="auto"/>
          </w:tcPr>
          <w:p w14:paraId="21EC684A"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84576F">
              <w:rPr>
                <w:rFonts w:eastAsia="Calibri"/>
                <w:b/>
                <w:bCs/>
                <w:iCs/>
                <w:lang w:eastAsia="en-US"/>
              </w:rPr>
              <w:t>2-(</w:t>
            </w:r>
            <w:r w:rsidRPr="0084576F">
              <w:rPr>
                <w:rFonts w:eastAsia="Calibri"/>
                <w:b/>
                <w:lang w:eastAsia="en-US"/>
              </w:rPr>
              <w:t>2-butoxyethoxy)ethanol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9AD44" w14:textId="77777777" w:rsidR="007E1591" w:rsidRDefault="007E1591" w:rsidP="00CC407B">
            <w:pPr>
              <w:snapToGrid w:val="0"/>
              <w:spacing w:line="260" w:lineRule="atLeast"/>
              <w:rPr>
                <w:rFonts w:eastAsia="Calibri"/>
                <w:lang w:eastAsia="en-US"/>
              </w:rPr>
            </w:pPr>
            <w:r>
              <w:rPr>
                <w:rFonts w:eastAsia="Calibri"/>
                <w:lang w:eastAsia="en-US"/>
              </w:rPr>
              <w:t>0.44%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228ADAB" w14:textId="77777777" w:rsidR="007E1591" w:rsidRDefault="007E1591" w:rsidP="00CC407B">
            <w:pPr>
              <w:snapToGrid w:val="0"/>
              <w:spacing w:line="260" w:lineRule="atLeast"/>
              <w:rPr>
                <w:rFonts w:eastAsia="Calibri"/>
                <w:lang w:eastAsia="en-US"/>
              </w:rPr>
            </w:pPr>
          </w:p>
        </w:tc>
      </w:tr>
    </w:tbl>
    <w:p w14:paraId="3BDE6CA0" w14:textId="77777777" w:rsidR="007E1591" w:rsidRPr="00B27CB1" w:rsidRDefault="007E1591" w:rsidP="007E1591">
      <w:pPr>
        <w:spacing w:line="260" w:lineRule="atLeast"/>
        <w:rPr>
          <w:rFonts w:ascii="Times New Roman" w:eastAsia="Calibri" w:hAnsi="Times New Roman" w:cs="Times New Roman"/>
          <w:i/>
          <w:iCs/>
          <w:lang w:eastAsia="en-US"/>
        </w:rPr>
      </w:pPr>
    </w:p>
    <w:p w14:paraId="5EFA0386" w14:textId="1799CA6E" w:rsidR="007E1591" w:rsidRPr="00B27CB1" w:rsidRDefault="007E1591" w:rsidP="007E1591">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sidR="00CC407B">
        <w:rPr>
          <w:rFonts w:eastAsia="Calibri"/>
          <w:b/>
          <w:i/>
          <w:sz w:val="22"/>
          <w:szCs w:val="22"/>
          <w:lang w:eastAsia="en-US"/>
        </w:rPr>
        <w:t>4</w:t>
      </w:r>
      <w:r w:rsidRPr="00B27CB1">
        <w:rPr>
          <w:rFonts w:eastAsia="Calibri"/>
          <w:b/>
          <w:i/>
          <w:sz w:val="22"/>
          <w:szCs w:val="22"/>
          <w:lang w:eastAsia="en-US"/>
        </w:rPr>
        <w:t>]</w:t>
      </w:r>
    </w:p>
    <w:p w14:paraId="38661DDF"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26A181C4"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094C6F5"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2B4468E9"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1CFC1119"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0D28BE35"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6F15ADB9"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2DB6946F"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50693479"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6F0EF11A" w14:textId="77777777" w:rsidR="007E1591" w:rsidRPr="00B27CB1" w:rsidRDefault="007E1591" w:rsidP="00CC407B">
            <w:pPr>
              <w:spacing w:line="260" w:lineRule="atLeast"/>
            </w:pPr>
            <w:r>
              <w:rPr>
                <w:rFonts w:eastAsia="Calibri"/>
                <w:b/>
                <w:lang w:eastAsia="en-US"/>
              </w:rPr>
              <w:t>Estimated total uptake (mg/m</w:t>
            </w:r>
            <w:r w:rsidRPr="0084576F">
              <w:rPr>
                <w:rFonts w:eastAsia="Calibri"/>
                <w:b/>
                <w:vertAlign w:val="superscript"/>
                <w:lang w:eastAsia="en-US"/>
              </w:rPr>
              <w:t>3</w:t>
            </w:r>
            <w:r>
              <w:rPr>
                <w:rFonts w:eastAsia="Calibri"/>
                <w:b/>
                <w:lang w:eastAsia="en-US"/>
              </w:rPr>
              <w:t>)</w:t>
            </w:r>
          </w:p>
        </w:tc>
      </w:tr>
      <w:tr w:rsidR="007E1591" w:rsidRPr="00B27CB1" w14:paraId="4C0DBF2C"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A796CDC" w14:textId="2520C91E"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4</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1F52394C"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306CD860" w14:textId="77777777" w:rsidR="007E1591" w:rsidRPr="00B27CB1" w:rsidRDefault="007E1591" w:rsidP="00CC407B">
            <w:pPr>
              <w:snapToGrid w:val="0"/>
              <w:spacing w:line="260" w:lineRule="atLeast"/>
              <w:rPr>
                <w:rFonts w:eastAsia="Calibri"/>
                <w:lang w:eastAsia="en-US"/>
              </w:rPr>
            </w:pPr>
            <w:r>
              <w:t>0.46</w:t>
            </w:r>
          </w:p>
        </w:tc>
        <w:tc>
          <w:tcPr>
            <w:tcW w:w="1705" w:type="dxa"/>
            <w:tcBorders>
              <w:top w:val="single" w:sz="6" w:space="0" w:color="000000"/>
              <w:left w:val="single" w:sz="6" w:space="0" w:color="000000"/>
              <w:bottom w:val="single" w:sz="6" w:space="0" w:color="000000"/>
            </w:tcBorders>
            <w:shd w:val="clear" w:color="auto" w:fill="auto"/>
          </w:tcPr>
          <w:p w14:paraId="5AB5A474"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6" w:space="0" w:color="000000"/>
              <w:left w:val="single" w:sz="6" w:space="0" w:color="000000"/>
              <w:bottom w:val="single" w:sz="6" w:space="0" w:color="000000"/>
            </w:tcBorders>
            <w:shd w:val="clear" w:color="auto" w:fill="auto"/>
          </w:tcPr>
          <w:p w14:paraId="0572DE38"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22C3C949" w14:textId="77777777" w:rsidR="007E1591" w:rsidRPr="00B27CB1" w:rsidRDefault="007E1591" w:rsidP="00CC407B">
            <w:pPr>
              <w:snapToGrid w:val="0"/>
              <w:spacing w:line="260" w:lineRule="atLeast"/>
              <w:rPr>
                <w:rFonts w:eastAsia="Calibri"/>
                <w:lang w:eastAsia="en-US"/>
              </w:rPr>
            </w:pPr>
            <w:r>
              <w:t>0.46</w:t>
            </w:r>
          </w:p>
        </w:tc>
      </w:tr>
    </w:tbl>
    <w:p w14:paraId="466BEA07" w14:textId="77777777" w:rsidR="007E1591" w:rsidRDefault="007E1591" w:rsidP="007E1591">
      <w:pPr>
        <w:rPr>
          <w:rFonts w:eastAsia="Calibri"/>
          <w:b/>
          <w:i/>
          <w:sz w:val="22"/>
          <w:szCs w:val="22"/>
          <w:lang w:val="fr-FR" w:eastAsia="en-US"/>
        </w:rPr>
      </w:pPr>
    </w:p>
    <w:p w14:paraId="34FDEFBA" w14:textId="12082639" w:rsidR="007E1591" w:rsidRPr="0084576F" w:rsidRDefault="007E1591" w:rsidP="007E1591">
      <w:pPr>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5</w:t>
      </w:r>
      <w:r w:rsidRPr="0084576F">
        <w:rPr>
          <w:rFonts w:eastAsia="Calibri"/>
          <w:b/>
          <w:i/>
          <w:sz w:val="22"/>
          <w:szCs w:val="22"/>
          <w:u w:val="single"/>
          <w:lang w:eastAsia="en-US"/>
        </w:rPr>
        <w:t>] – Spray application with high-pressure sprayer</w:t>
      </w:r>
    </w:p>
    <w:p w14:paraId="0CE27C9A"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5245"/>
        <w:gridCol w:w="1134"/>
        <w:gridCol w:w="1782"/>
      </w:tblGrid>
      <w:tr w:rsidR="007E1591" w14:paraId="20AC0963"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67D2E51A" w14:textId="153A47DA" w:rsidR="007E1591" w:rsidRDefault="007E1591" w:rsidP="00CC407B">
            <w:pPr>
              <w:spacing w:line="260" w:lineRule="atLeast"/>
            </w:pPr>
            <w:r>
              <w:rPr>
                <w:rFonts w:eastAsia="Calibri"/>
                <w:b/>
                <w:lang w:eastAsia="en-US"/>
              </w:rPr>
              <w:t>Description of Scenario [</w:t>
            </w:r>
            <w:r w:rsidR="00CC407B">
              <w:rPr>
                <w:rFonts w:eastAsia="Calibri"/>
                <w:b/>
                <w:lang w:eastAsia="en-US"/>
              </w:rPr>
              <w:t>5</w:t>
            </w:r>
            <w:r>
              <w:rPr>
                <w:rFonts w:eastAsia="Calibri"/>
                <w:b/>
                <w:lang w:eastAsia="en-US"/>
              </w:rPr>
              <w:t>]</w:t>
            </w:r>
          </w:p>
        </w:tc>
      </w:tr>
      <w:tr w:rsidR="007E1591" w14:paraId="3BF65C75"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02F0E6DF" w14:textId="77777777" w:rsidR="007E1591" w:rsidRDefault="007E1591" w:rsidP="00CC407B">
            <w:pPr>
              <w:spacing w:line="260" w:lineRule="atLeast"/>
              <w:jc w:val="both"/>
              <w:rPr>
                <w:rFonts w:eastAsia="Calibri"/>
                <w:lang w:eastAsia="en-US"/>
              </w:rPr>
            </w:pPr>
            <w:r>
              <w:rPr>
                <w:rFonts w:eastAsia="Calibri"/>
                <w:lang w:eastAsia="en-US"/>
              </w:rPr>
              <w:t>Products of meta SPC 13 can be applied by indoors spraying on</w:t>
            </w:r>
            <w:r w:rsidRPr="004177BD">
              <w:rPr>
                <w:rFonts w:eastAsia="Calibri"/>
                <w:lang w:eastAsia="en-US"/>
              </w:rPr>
              <w:t xml:space="preserve"> </w:t>
            </w:r>
            <w:r>
              <w:rPr>
                <w:rFonts w:eastAsia="Calibri"/>
                <w:lang w:eastAsia="en-US"/>
              </w:rPr>
              <w:t>hard surfaces</w:t>
            </w:r>
            <w:r w:rsidRPr="004177BD">
              <w:rPr>
                <w:rFonts w:eastAsia="Calibri"/>
                <w:lang w:eastAsia="en-US"/>
              </w:rPr>
              <w:t xml:space="preserve"> </w:t>
            </w:r>
            <w:r>
              <w:rPr>
                <w:rFonts w:eastAsia="Calibri"/>
                <w:lang w:eastAsia="en-US"/>
              </w:rPr>
              <w:t xml:space="preserve">or on outdoors surfaces like roadways </w:t>
            </w:r>
            <w:r w:rsidRPr="004177BD">
              <w:rPr>
                <w:rFonts w:eastAsia="Calibri"/>
                <w:lang w:eastAsia="en-US"/>
              </w:rPr>
              <w:t>to dis</w:t>
            </w:r>
            <w:r>
              <w:rPr>
                <w:rFonts w:eastAsia="Calibri"/>
                <w:lang w:eastAsia="en-US"/>
              </w:rPr>
              <w:t>infect them using a high-pressure sprayer.</w:t>
            </w:r>
          </w:p>
          <w:p w14:paraId="6ED5AC8F" w14:textId="77777777" w:rsidR="007E1591" w:rsidRDefault="007E1591" w:rsidP="00CC407B">
            <w:pPr>
              <w:spacing w:line="260" w:lineRule="atLeast"/>
              <w:jc w:val="both"/>
              <w:rPr>
                <w:rFonts w:eastAsia="Calibri"/>
                <w:lang w:eastAsia="en-US"/>
              </w:rPr>
            </w:pPr>
          </w:p>
          <w:p w14:paraId="1649E8F5" w14:textId="77777777" w:rsidR="007E1591" w:rsidRDefault="007E1591" w:rsidP="00CC407B">
            <w:pPr>
              <w:spacing w:line="260" w:lineRule="atLeast"/>
              <w:jc w:val="both"/>
              <w:rPr>
                <w:rFonts w:eastAsia="Calibri"/>
                <w:lang w:eastAsia="en-US"/>
              </w:rPr>
            </w:pPr>
            <w:r>
              <w:rPr>
                <w:rFonts w:eastAsia="Calibri"/>
                <w:lang w:eastAsia="en-US"/>
              </w:rPr>
              <w:t>Inhalation exposure to the aerosols is considered.</w:t>
            </w:r>
          </w:p>
          <w:p w14:paraId="2C7AC4EA" w14:textId="77777777" w:rsidR="007E1591" w:rsidRPr="004177BD" w:rsidRDefault="007E1591" w:rsidP="00CC407B">
            <w:pPr>
              <w:spacing w:line="260" w:lineRule="atLeast"/>
              <w:jc w:val="both"/>
              <w:rPr>
                <w:rFonts w:eastAsia="Calibri"/>
                <w:lang w:eastAsia="en-US"/>
              </w:rPr>
            </w:pPr>
          </w:p>
          <w:p w14:paraId="7CE10A8A"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the exposure during the spray application with a trigger spray, the </w:t>
            </w:r>
            <w:r>
              <w:rPr>
                <w:rFonts w:eastAsia="Calibri"/>
                <w:lang w:eastAsia="en-US"/>
              </w:rPr>
              <w:t>Spraying Model 2</w:t>
            </w:r>
            <w:r w:rsidRPr="004177BD">
              <w:rPr>
                <w:rFonts w:eastAsia="Calibri"/>
                <w:lang w:eastAsia="en-US"/>
              </w:rPr>
              <w:t xml:space="preserve"> from the </w:t>
            </w:r>
            <w:r>
              <w:rPr>
                <w:rFonts w:eastAsia="Calibri"/>
                <w:lang w:eastAsia="en-US"/>
              </w:rPr>
              <w:t xml:space="preserve">BHHEM (2015) has been used. </w:t>
            </w:r>
          </w:p>
          <w:p w14:paraId="605E3F8D" w14:textId="77777777" w:rsidR="007E1591" w:rsidRPr="004177BD" w:rsidRDefault="007E1591" w:rsidP="00CC407B">
            <w:pPr>
              <w:spacing w:line="260" w:lineRule="atLeast"/>
              <w:jc w:val="both"/>
              <w:rPr>
                <w:rFonts w:eastAsia="Calibri"/>
                <w:lang w:eastAsia="en-US"/>
              </w:rPr>
            </w:pPr>
          </w:p>
          <w:p w14:paraId="1AB8E1F6" w14:textId="77777777" w:rsidR="007E1591" w:rsidRPr="004177BD" w:rsidRDefault="007E1591" w:rsidP="00CC407B">
            <w:pPr>
              <w:spacing w:line="260" w:lineRule="atLeast"/>
              <w:jc w:val="both"/>
              <w:rPr>
                <w:rFonts w:eastAsia="Calibri"/>
                <w:lang w:eastAsia="en-US"/>
              </w:rPr>
            </w:pPr>
            <w:r w:rsidRPr="004177BD">
              <w:rPr>
                <w:rFonts w:eastAsia="Calibri"/>
                <w:lang w:eastAsia="en-US"/>
              </w:rPr>
              <w:t>The indicative ex</w:t>
            </w:r>
            <w:r>
              <w:rPr>
                <w:rFonts w:eastAsia="Calibri"/>
                <w:lang w:eastAsia="en-US"/>
              </w:rPr>
              <w:t>posure value from the model is</w:t>
            </w:r>
            <w:r w:rsidRPr="004177BD">
              <w:rPr>
                <w:rFonts w:eastAsia="Calibri"/>
                <w:lang w:eastAsia="en-US"/>
              </w:rPr>
              <w:t xml:space="preserve"> as follows:</w:t>
            </w:r>
          </w:p>
          <w:p w14:paraId="41C156C2" w14:textId="77777777" w:rsidR="007E1591" w:rsidRDefault="007E1591" w:rsidP="00CC407B">
            <w:pPr>
              <w:spacing w:line="260" w:lineRule="atLeast"/>
              <w:jc w:val="both"/>
              <w:rPr>
                <w:rFonts w:eastAsia="Calibri"/>
                <w:lang w:eastAsia="en-US"/>
              </w:rPr>
            </w:pPr>
          </w:p>
          <w:p w14:paraId="312A39C1" w14:textId="77777777" w:rsidR="007E1591" w:rsidRPr="002A0706" w:rsidRDefault="007E1591" w:rsidP="00CC407B">
            <w:pPr>
              <w:spacing w:line="260" w:lineRule="atLeast"/>
              <w:jc w:val="both"/>
              <w:rPr>
                <w:rFonts w:eastAsia="Calibri"/>
                <w:lang w:eastAsia="en-US"/>
              </w:rPr>
            </w:pPr>
            <w:r>
              <w:rPr>
                <w:rFonts w:eastAsia="Calibri"/>
                <w:lang w:eastAsia="en-US"/>
              </w:rPr>
              <w:t>- 76</w:t>
            </w:r>
            <w:r w:rsidRPr="004177BD">
              <w:rPr>
                <w:rFonts w:eastAsia="Calibri"/>
                <w:lang w:eastAsia="en-US"/>
              </w:rPr>
              <w:t xml:space="preserve"> mg bp/</w:t>
            </w:r>
            <w:r w:rsidRPr="00816258">
              <w:rPr>
                <w:rFonts w:eastAsia="Calibri"/>
                <w:lang w:eastAsia="en-US"/>
              </w:rPr>
              <w:t>m</w:t>
            </w:r>
            <w:r w:rsidRPr="00441F9B">
              <w:rPr>
                <w:rFonts w:eastAsia="Calibri"/>
                <w:vertAlign w:val="superscript"/>
                <w:lang w:eastAsia="en-US"/>
              </w:rPr>
              <w:t>3</w:t>
            </w:r>
            <w:r w:rsidRPr="004177BD">
              <w:rPr>
                <w:rFonts w:eastAsia="Calibri"/>
                <w:lang w:eastAsia="en-US"/>
              </w:rPr>
              <w:t xml:space="preserve"> (inhalation</w:t>
            </w:r>
            <w:r>
              <w:rPr>
                <w:rFonts w:eastAsia="Calibri"/>
                <w:lang w:eastAsia="en-US"/>
              </w:rPr>
              <w:t>)</w:t>
            </w:r>
          </w:p>
        </w:tc>
      </w:tr>
      <w:tr w:rsidR="007E1591" w14:paraId="2AA76DC2" w14:textId="77777777" w:rsidTr="00E91F85">
        <w:tc>
          <w:tcPr>
            <w:tcW w:w="1134" w:type="dxa"/>
            <w:tcBorders>
              <w:top w:val="single" w:sz="4" w:space="0" w:color="000000"/>
              <w:left w:val="single" w:sz="4" w:space="0" w:color="000000"/>
              <w:bottom w:val="single" w:sz="4" w:space="0" w:color="auto"/>
            </w:tcBorders>
            <w:shd w:val="clear" w:color="auto" w:fill="auto"/>
          </w:tcPr>
          <w:p w14:paraId="7545C8F2" w14:textId="77777777" w:rsidR="007E1591" w:rsidRDefault="007E1591" w:rsidP="00CC407B">
            <w:pPr>
              <w:snapToGrid w:val="0"/>
              <w:spacing w:line="260" w:lineRule="atLeast"/>
              <w:rPr>
                <w:rFonts w:eastAsia="Calibri"/>
                <w:lang w:eastAsia="en-US"/>
              </w:rPr>
            </w:pPr>
          </w:p>
        </w:tc>
        <w:tc>
          <w:tcPr>
            <w:tcW w:w="5245" w:type="dxa"/>
            <w:tcBorders>
              <w:top w:val="single" w:sz="4" w:space="0" w:color="000000"/>
              <w:left w:val="single" w:sz="4" w:space="0" w:color="000000"/>
              <w:bottom w:val="single" w:sz="4" w:space="0" w:color="000000"/>
            </w:tcBorders>
            <w:shd w:val="clear" w:color="auto" w:fill="auto"/>
          </w:tcPr>
          <w:p w14:paraId="113AE0F5" w14:textId="77777777" w:rsidR="007E1591" w:rsidRDefault="007E1591" w:rsidP="00CC407B">
            <w:pPr>
              <w:spacing w:line="260" w:lineRule="atLeast"/>
              <w:rPr>
                <w:rFonts w:eastAsia="Calibri"/>
                <w:lang w:eastAsia="en-US"/>
              </w:rPr>
            </w:pPr>
            <w:r>
              <w:rPr>
                <w:rFonts w:eastAsia="Calibri"/>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D4BFFE" w14:textId="77777777" w:rsidR="007E1591" w:rsidRDefault="007E1591" w:rsidP="00CC407B">
            <w:pPr>
              <w:spacing w:line="260" w:lineRule="atLeast"/>
            </w:pPr>
            <w:r>
              <w:rPr>
                <w:rFonts w:eastAsia="Calibri"/>
                <w:lang w:eastAsia="en-US"/>
              </w:rPr>
              <w:t>Value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ED63475" w14:textId="77777777" w:rsidR="007E1591" w:rsidRDefault="007E1591" w:rsidP="00CC407B">
            <w:pPr>
              <w:spacing w:line="260" w:lineRule="atLeast"/>
            </w:pPr>
            <w:r>
              <w:t>Reference</w:t>
            </w:r>
          </w:p>
        </w:tc>
      </w:tr>
      <w:tr w:rsidR="007E1591" w14:paraId="226F04A2"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42A6BB0" w14:textId="77777777" w:rsidR="007E1591" w:rsidRDefault="007E1591" w:rsidP="00CC407B">
            <w:pPr>
              <w:spacing w:line="260" w:lineRule="atLeast"/>
              <w:rPr>
                <w:rFonts w:eastAsia="Calibri"/>
                <w:lang w:eastAsia="en-US"/>
              </w:rPr>
            </w:pPr>
            <w:r>
              <w:rPr>
                <w:rFonts w:eastAsia="Calibri"/>
                <w:lang w:eastAsia="en-US"/>
              </w:rPr>
              <w:t>Tier 1</w:t>
            </w:r>
          </w:p>
        </w:tc>
        <w:tc>
          <w:tcPr>
            <w:tcW w:w="5245" w:type="dxa"/>
            <w:tcBorders>
              <w:top w:val="single" w:sz="4" w:space="0" w:color="000000"/>
              <w:left w:val="single" w:sz="4" w:space="0" w:color="auto"/>
              <w:bottom w:val="single" w:sz="4" w:space="0" w:color="000000"/>
            </w:tcBorders>
            <w:shd w:val="clear" w:color="auto" w:fill="auto"/>
          </w:tcPr>
          <w:p w14:paraId="1A723254"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DD31D4">
              <w:rPr>
                <w:rFonts w:eastAsia="Calibri"/>
                <w:b/>
                <w:bCs/>
                <w:iCs/>
                <w:lang w:eastAsia="en-US"/>
              </w:rPr>
              <w:t>2-(</w:t>
            </w:r>
            <w:r w:rsidRPr="00DD31D4">
              <w:rPr>
                <w:rFonts w:eastAsia="Calibri"/>
                <w:b/>
                <w:lang w:eastAsia="en-US"/>
              </w:rPr>
              <w:t>2-butoxyethoxy)ethanol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18FDE" w14:textId="77777777" w:rsidR="007E1591" w:rsidRDefault="007E1591" w:rsidP="00CC407B">
            <w:pPr>
              <w:snapToGrid w:val="0"/>
              <w:spacing w:line="260" w:lineRule="atLeast"/>
              <w:rPr>
                <w:rFonts w:eastAsia="Calibri"/>
                <w:lang w:eastAsia="en-US"/>
              </w:rPr>
            </w:pPr>
            <w:r>
              <w:rPr>
                <w:rFonts w:eastAsia="Calibri"/>
                <w:lang w:eastAsia="en-US"/>
              </w:rPr>
              <w:t>0.44%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8F8F8D7" w14:textId="77777777" w:rsidR="007E1591" w:rsidRDefault="007E1591" w:rsidP="00CC407B">
            <w:pPr>
              <w:snapToGrid w:val="0"/>
              <w:spacing w:line="260" w:lineRule="atLeast"/>
              <w:rPr>
                <w:rFonts w:eastAsia="Calibri"/>
                <w:lang w:eastAsia="en-US"/>
              </w:rPr>
            </w:pPr>
          </w:p>
        </w:tc>
      </w:tr>
    </w:tbl>
    <w:p w14:paraId="18117AFE" w14:textId="77777777" w:rsidR="007E1591" w:rsidRPr="00B27CB1" w:rsidRDefault="007E1591" w:rsidP="007E1591">
      <w:pPr>
        <w:spacing w:line="260" w:lineRule="atLeast"/>
        <w:rPr>
          <w:rFonts w:ascii="Times New Roman" w:eastAsia="Calibri" w:hAnsi="Times New Roman" w:cs="Times New Roman"/>
          <w:i/>
          <w:iCs/>
          <w:lang w:eastAsia="en-US"/>
        </w:rPr>
      </w:pPr>
    </w:p>
    <w:p w14:paraId="71A82854" w14:textId="77777777" w:rsidR="007E1591" w:rsidRDefault="007E1591" w:rsidP="007E1591">
      <w:pPr>
        <w:spacing w:line="260" w:lineRule="atLeast"/>
        <w:rPr>
          <w:rFonts w:ascii="Times New Roman" w:eastAsia="Calibri" w:hAnsi="Times New Roman" w:cs="Times New Roman"/>
          <w:i/>
          <w:iCs/>
          <w:lang w:eastAsia="en-US"/>
        </w:rPr>
      </w:pPr>
    </w:p>
    <w:p w14:paraId="5B201859" w14:textId="0FB8F513" w:rsidR="007E1591" w:rsidRPr="00B27CB1" w:rsidRDefault="007E1591" w:rsidP="007E1591">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sidR="00CC407B">
        <w:rPr>
          <w:rFonts w:eastAsia="Calibri"/>
          <w:b/>
          <w:i/>
          <w:sz w:val="22"/>
          <w:szCs w:val="22"/>
          <w:lang w:eastAsia="en-US"/>
        </w:rPr>
        <w:t>5</w:t>
      </w:r>
      <w:r w:rsidRPr="00B27CB1">
        <w:rPr>
          <w:rFonts w:eastAsia="Calibri"/>
          <w:b/>
          <w:i/>
          <w:sz w:val="22"/>
          <w:szCs w:val="22"/>
          <w:lang w:eastAsia="en-US"/>
        </w:rPr>
        <w:t>]</w:t>
      </w:r>
    </w:p>
    <w:p w14:paraId="7952F5A8"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6BABC7E3"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EA71A60"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1C7DF4A5"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382048C6"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4994B0C4"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684E2B10"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19D6F92E"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6722108E"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20E2164B" w14:textId="77777777" w:rsidR="007E1591" w:rsidRPr="00B27CB1" w:rsidRDefault="007E1591" w:rsidP="00CC407B">
            <w:pPr>
              <w:spacing w:line="260" w:lineRule="atLeast"/>
            </w:pPr>
            <w:r>
              <w:rPr>
                <w:rFonts w:eastAsia="Calibri"/>
                <w:b/>
                <w:lang w:eastAsia="en-US"/>
              </w:rPr>
              <w:t>Estimated total uptake (mg/m3)</w:t>
            </w:r>
          </w:p>
        </w:tc>
      </w:tr>
      <w:tr w:rsidR="007E1591" w:rsidRPr="00B27CB1" w14:paraId="379286B6"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71F16AA" w14:textId="2055F709"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5</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6EB53E7D"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3A2B2D3C" w14:textId="77777777" w:rsidR="007E1591" w:rsidRPr="00B27CB1" w:rsidRDefault="007E1591" w:rsidP="00CC407B">
            <w:pPr>
              <w:snapToGrid w:val="0"/>
              <w:spacing w:line="260" w:lineRule="atLeast"/>
              <w:rPr>
                <w:rFonts w:eastAsia="Calibri"/>
                <w:lang w:eastAsia="en-US"/>
              </w:rPr>
            </w:pPr>
            <w:r>
              <w:t>0.33</w:t>
            </w:r>
          </w:p>
        </w:tc>
        <w:tc>
          <w:tcPr>
            <w:tcW w:w="1705" w:type="dxa"/>
            <w:tcBorders>
              <w:top w:val="single" w:sz="6" w:space="0" w:color="000000"/>
              <w:left w:val="single" w:sz="6" w:space="0" w:color="000000"/>
              <w:bottom w:val="single" w:sz="6" w:space="0" w:color="000000"/>
            </w:tcBorders>
            <w:shd w:val="clear" w:color="auto" w:fill="auto"/>
          </w:tcPr>
          <w:p w14:paraId="257318F6" w14:textId="77777777" w:rsidR="007E1591" w:rsidRPr="00B27CB1" w:rsidRDefault="007E1591" w:rsidP="00CC407B">
            <w:pPr>
              <w:snapToGrid w:val="0"/>
              <w:spacing w:line="260" w:lineRule="atLeast"/>
              <w:rPr>
                <w:rFonts w:eastAsia="Calibri"/>
                <w:lang w:eastAsia="en-US"/>
              </w:rPr>
            </w:pPr>
            <w:r>
              <w:t>7.43E-02</w:t>
            </w:r>
          </w:p>
        </w:tc>
        <w:tc>
          <w:tcPr>
            <w:tcW w:w="1707" w:type="dxa"/>
            <w:tcBorders>
              <w:top w:val="single" w:sz="6" w:space="0" w:color="000000"/>
              <w:left w:val="single" w:sz="6" w:space="0" w:color="000000"/>
              <w:bottom w:val="single" w:sz="6" w:space="0" w:color="000000"/>
            </w:tcBorders>
            <w:shd w:val="clear" w:color="auto" w:fill="auto"/>
          </w:tcPr>
          <w:p w14:paraId="4B9157C1"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21E05E68" w14:textId="77777777" w:rsidR="007E1591" w:rsidRPr="00B27CB1" w:rsidRDefault="007E1591" w:rsidP="00CC407B">
            <w:pPr>
              <w:snapToGrid w:val="0"/>
              <w:spacing w:line="260" w:lineRule="atLeast"/>
              <w:rPr>
                <w:rFonts w:eastAsia="Calibri"/>
                <w:lang w:eastAsia="en-US"/>
              </w:rPr>
            </w:pPr>
            <w:r>
              <w:t>0.33</w:t>
            </w:r>
          </w:p>
        </w:tc>
      </w:tr>
    </w:tbl>
    <w:p w14:paraId="0B46C02C" w14:textId="77777777" w:rsidR="007E1591" w:rsidRDefault="007E1591" w:rsidP="007E1591">
      <w:pPr>
        <w:rPr>
          <w:rFonts w:eastAsia="Calibri"/>
          <w:b/>
          <w:i/>
          <w:sz w:val="22"/>
          <w:szCs w:val="22"/>
          <w:lang w:val="fr-FR" w:eastAsia="en-US"/>
        </w:rPr>
      </w:pPr>
    </w:p>
    <w:p w14:paraId="3D8C0414" w14:textId="293E886D" w:rsidR="007E1591" w:rsidRPr="0084576F" w:rsidRDefault="007E1591" w:rsidP="007E1591">
      <w:pPr>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6</w:t>
      </w:r>
      <w:r w:rsidRPr="0084576F">
        <w:rPr>
          <w:rFonts w:eastAsia="Calibri"/>
          <w:b/>
          <w:i/>
          <w:sz w:val="22"/>
          <w:szCs w:val="22"/>
          <w:u w:val="single"/>
          <w:lang w:eastAsia="en-US"/>
        </w:rPr>
        <w:t>] – Cleaning of spray equipment</w:t>
      </w:r>
    </w:p>
    <w:p w14:paraId="3F853AD3" w14:textId="77777777" w:rsidR="007E1591" w:rsidRPr="00B27CB1" w:rsidRDefault="007E1591" w:rsidP="007E1591">
      <w:pPr>
        <w:spacing w:line="260" w:lineRule="atLeast"/>
        <w:rPr>
          <w:rFonts w:ascii="Times New Roman" w:eastAsia="Calibri" w:hAnsi="Times New Roman" w:cs="Times New Roman"/>
          <w:i/>
          <w:iCs/>
          <w:lang w:eastAsia="en-US"/>
        </w:rPr>
      </w:pPr>
    </w:p>
    <w:p w14:paraId="752E7608" w14:textId="77777777" w:rsidR="007E1591" w:rsidRPr="0084576F" w:rsidRDefault="007E1591" w:rsidP="007E1591">
      <w:pPr>
        <w:rPr>
          <w:rFonts w:eastAsia="Calibri"/>
          <w:szCs w:val="22"/>
          <w:lang w:eastAsia="en-US"/>
        </w:rPr>
      </w:pPr>
      <w:r>
        <w:rPr>
          <w:rFonts w:eastAsia="Calibri"/>
          <w:szCs w:val="22"/>
          <w:lang w:eastAsia="en-US"/>
        </w:rPr>
        <w:t>I</w:t>
      </w:r>
      <w:r w:rsidRPr="0084576F">
        <w:rPr>
          <w:rFonts w:eastAsia="Calibri"/>
          <w:szCs w:val="22"/>
          <w:lang w:eastAsia="en-US"/>
        </w:rPr>
        <w:t>nhalation exposure during cleaning of spray equipment</w:t>
      </w:r>
      <w:r>
        <w:rPr>
          <w:rFonts w:eastAsia="Calibri"/>
          <w:szCs w:val="22"/>
          <w:lang w:eastAsia="en-US"/>
        </w:rPr>
        <w:t xml:space="preserve"> (low or high-pressure sprayer)</w:t>
      </w:r>
      <w:r w:rsidRPr="0007338F">
        <w:rPr>
          <w:rFonts w:eastAsia="Calibri"/>
          <w:szCs w:val="22"/>
          <w:lang w:eastAsia="en-US"/>
        </w:rPr>
        <w:t xml:space="preserve"> </w:t>
      </w:r>
      <w:r w:rsidRPr="00461DBF">
        <w:rPr>
          <w:rFonts w:eastAsia="Calibri"/>
          <w:szCs w:val="22"/>
          <w:lang w:eastAsia="en-US"/>
        </w:rPr>
        <w:t>is expected</w:t>
      </w:r>
      <w:r>
        <w:rPr>
          <w:rFonts w:eastAsia="Calibri"/>
          <w:szCs w:val="22"/>
          <w:lang w:eastAsia="en-US"/>
        </w:rPr>
        <w:t xml:space="preserve"> to be negligible.</w:t>
      </w:r>
    </w:p>
    <w:p w14:paraId="127318C1" w14:textId="77777777" w:rsidR="007E1591" w:rsidRDefault="007E1591" w:rsidP="007E1591">
      <w:pPr>
        <w:rPr>
          <w:rFonts w:eastAsia="Calibri"/>
          <w:i/>
          <w:sz w:val="22"/>
          <w:szCs w:val="22"/>
          <w:u w:val="single"/>
          <w:lang w:eastAsia="en-US"/>
        </w:rPr>
      </w:pPr>
    </w:p>
    <w:p w14:paraId="648963BA" w14:textId="0C9119B5" w:rsidR="007E1591" w:rsidRPr="0084576F" w:rsidRDefault="007E1591" w:rsidP="007E1591">
      <w:pPr>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7</w:t>
      </w:r>
      <w:r w:rsidRPr="0084576F">
        <w:rPr>
          <w:rFonts w:eastAsia="Calibri"/>
          <w:b/>
          <w:i/>
          <w:sz w:val="22"/>
          <w:szCs w:val="22"/>
          <w:u w:val="single"/>
          <w:lang w:eastAsia="en-US"/>
        </w:rPr>
        <w:t>] – Application by wiping</w:t>
      </w:r>
    </w:p>
    <w:p w14:paraId="05C3B895"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5387"/>
        <w:gridCol w:w="1134"/>
        <w:gridCol w:w="1640"/>
      </w:tblGrid>
      <w:tr w:rsidR="007E1591" w14:paraId="7509AA65"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408CCFB8" w14:textId="0F125325" w:rsidR="007E1591" w:rsidRDefault="007E1591" w:rsidP="00CC407B">
            <w:pPr>
              <w:spacing w:line="260" w:lineRule="atLeast"/>
            </w:pPr>
            <w:r>
              <w:rPr>
                <w:rFonts w:eastAsia="Calibri"/>
                <w:b/>
                <w:lang w:eastAsia="en-US"/>
              </w:rPr>
              <w:t>Description of Scenario [</w:t>
            </w:r>
            <w:r w:rsidR="00CC407B">
              <w:rPr>
                <w:rFonts w:eastAsia="Calibri"/>
                <w:b/>
                <w:lang w:eastAsia="en-US"/>
              </w:rPr>
              <w:t>7</w:t>
            </w:r>
            <w:r>
              <w:rPr>
                <w:rFonts w:eastAsia="Calibri"/>
                <w:b/>
                <w:lang w:eastAsia="en-US"/>
              </w:rPr>
              <w:t>]</w:t>
            </w:r>
          </w:p>
        </w:tc>
      </w:tr>
      <w:tr w:rsidR="007E1591" w14:paraId="671C8FD4"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0EDADBC1" w14:textId="77777777" w:rsidR="007E1591" w:rsidRDefault="007E1591" w:rsidP="00CC407B">
            <w:pPr>
              <w:spacing w:line="260" w:lineRule="atLeast"/>
              <w:jc w:val="both"/>
              <w:rPr>
                <w:rFonts w:eastAsia="Calibri"/>
                <w:lang w:eastAsia="en-US"/>
              </w:rPr>
            </w:pPr>
            <w:r>
              <w:rPr>
                <w:rFonts w:eastAsia="Calibri"/>
                <w:lang w:eastAsia="en-US"/>
              </w:rPr>
              <w:t>Products of meta SPC 13 are applied by indoors wiping on</w:t>
            </w:r>
            <w:r w:rsidRPr="004177BD">
              <w:rPr>
                <w:rFonts w:eastAsia="Calibri"/>
                <w:lang w:eastAsia="en-US"/>
              </w:rPr>
              <w:t xml:space="preserve"> </w:t>
            </w:r>
            <w:r>
              <w:rPr>
                <w:rFonts w:eastAsia="Calibri"/>
                <w:lang w:eastAsia="en-US"/>
              </w:rPr>
              <w:t>hard surfaces</w:t>
            </w:r>
            <w:r w:rsidRPr="004177BD">
              <w:rPr>
                <w:rFonts w:eastAsia="Calibri"/>
                <w:lang w:eastAsia="en-US"/>
              </w:rPr>
              <w:t xml:space="preserve"> to dis</w:t>
            </w:r>
            <w:r>
              <w:rPr>
                <w:rFonts w:eastAsia="Calibri"/>
                <w:lang w:eastAsia="en-US"/>
              </w:rPr>
              <w:t>infect them using a cloth which has been previously soaked in the product or sprayed by the trigger spray.</w:t>
            </w:r>
          </w:p>
          <w:p w14:paraId="7D2D46B6" w14:textId="77777777" w:rsidR="007E1591" w:rsidRDefault="007E1591" w:rsidP="00CC407B">
            <w:pPr>
              <w:spacing w:line="260" w:lineRule="atLeast"/>
              <w:jc w:val="both"/>
              <w:rPr>
                <w:rFonts w:eastAsia="Calibri"/>
                <w:lang w:eastAsia="en-US"/>
              </w:rPr>
            </w:pPr>
          </w:p>
          <w:p w14:paraId="4CFEBEE2" w14:textId="77777777" w:rsidR="007E1591" w:rsidRDefault="007E1591" w:rsidP="00CC407B">
            <w:pPr>
              <w:spacing w:line="260" w:lineRule="atLeast"/>
              <w:jc w:val="both"/>
              <w:rPr>
                <w:rFonts w:eastAsia="Calibri"/>
                <w:lang w:eastAsia="en-US"/>
              </w:rPr>
            </w:pPr>
            <w:r>
              <w:rPr>
                <w:rFonts w:eastAsia="Calibri"/>
                <w:lang w:eastAsia="en-US"/>
              </w:rPr>
              <w:t>Inhalation exposure to dropplets is considered.</w:t>
            </w:r>
          </w:p>
          <w:p w14:paraId="63EDCD39" w14:textId="77777777" w:rsidR="007E1591" w:rsidRPr="004177BD" w:rsidRDefault="007E1591" w:rsidP="00CC407B">
            <w:pPr>
              <w:spacing w:line="260" w:lineRule="atLeast"/>
              <w:jc w:val="both"/>
              <w:rPr>
                <w:rFonts w:eastAsia="Calibri"/>
                <w:lang w:eastAsia="en-US"/>
              </w:rPr>
            </w:pPr>
          </w:p>
          <w:p w14:paraId="34E6FDD7"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the exposure during </w:t>
            </w:r>
            <w:r>
              <w:rPr>
                <w:rFonts w:eastAsia="Calibri"/>
                <w:lang w:eastAsia="en-US"/>
              </w:rPr>
              <w:t>wiping</w:t>
            </w:r>
            <w:r w:rsidRPr="004177BD">
              <w:rPr>
                <w:rFonts w:eastAsia="Calibri"/>
                <w:lang w:eastAsia="en-US"/>
              </w:rPr>
              <w:t xml:space="preserve">, </w:t>
            </w:r>
            <w:r w:rsidRPr="007F5F1C">
              <w:rPr>
                <w:rFonts w:eastAsia="Calibri"/>
                <w:lang w:eastAsia="en-US"/>
              </w:rPr>
              <w:t xml:space="preserve">Surface </w:t>
            </w:r>
            <w:r>
              <w:rPr>
                <w:rFonts w:eastAsia="Calibri"/>
                <w:lang w:eastAsia="en-US"/>
              </w:rPr>
              <w:t>D</w:t>
            </w:r>
            <w:r w:rsidRPr="007F5F1C">
              <w:rPr>
                <w:rFonts w:eastAsia="Calibri"/>
                <w:lang w:eastAsia="en-US"/>
              </w:rPr>
              <w:t>esinfection Model 1</w:t>
            </w:r>
            <w:r>
              <w:rPr>
                <w:rFonts w:eastAsia="Calibri"/>
                <w:lang w:eastAsia="en-US"/>
              </w:rPr>
              <w:t xml:space="preserve"> </w:t>
            </w:r>
            <w:r w:rsidRPr="004177BD">
              <w:rPr>
                <w:rFonts w:eastAsia="Calibri"/>
                <w:lang w:eastAsia="en-US"/>
              </w:rPr>
              <w:t xml:space="preserve">from the </w:t>
            </w:r>
            <w:r>
              <w:rPr>
                <w:rFonts w:eastAsia="Calibri"/>
                <w:lang w:eastAsia="en-US"/>
              </w:rPr>
              <w:t xml:space="preserve">BHHEM (2015) has been used. </w:t>
            </w:r>
          </w:p>
          <w:p w14:paraId="1CA4FDCB" w14:textId="77777777" w:rsidR="007E1591" w:rsidRPr="004177BD" w:rsidRDefault="007E1591" w:rsidP="00CC407B">
            <w:pPr>
              <w:spacing w:line="260" w:lineRule="atLeast"/>
              <w:jc w:val="both"/>
              <w:rPr>
                <w:rFonts w:eastAsia="Calibri"/>
                <w:lang w:eastAsia="en-US"/>
              </w:rPr>
            </w:pPr>
          </w:p>
          <w:p w14:paraId="00A922AD" w14:textId="77777777" w:rsidR="007E1591" w:rsidRPr="004177BD" w:rsidRDefault="007E1591" w:rsidP="00CC407B">
            <w:pPr>
              <w:spacing w:line="260" w:lineRule="atLeast"/>
              <w:jc w:val="both"/>
              <w:rPr>
                <w:rFonts w:eastAsia="Calibri"/>
                <w:lang w:eastAsia="en-US"/>
              </w:rPr>
            </w:pPr>
            <w:r>
              <w:rPr>
                <w:rFonts w:eastAsia="Calibri"/>
                <w:lang w:eastAsia="en-US"/>
              </w:rPr>
              <w:t>The indicative exposure value</w:t>
            </w:r>
            <w:r w:rsidRPr="004177BD">
              <w:rPr>
                <w:rFonts w:eastAsia="Calibri"/>
                <w:lang w:eastAsia="en-US"/>
              </w:rPr>
              <w:t xml:space="preserve"> from the model </w:t>
            </w:r>
            <w:r>
              <w:rPr>
                <w:rFonts w:eastAsia="Calibri"/>
                <w:lang w:eastAsia="en-US"/>
              </w:rPr>
              <w:t>is</w:t>
            </w:r>
            <w:r w:rsidRPr="004177BD">
              <w:rPr>
                <w:rFonts w:eastAsia="Calibri"/>
                <w:lang w:eastAsia="en-US"/>
              </w:rPr>
              <w:t xml:space="preserve"> as follows:</w:t>
            </w:r>
          </w:p>
          <w:p w14:paraId="73A3F6B9" w14:textId="77777777" w:rsidR="007E1591" w:rsidRDefault="007E1591" w:rsidP="00CC407B">
            <w:pPr>
              <w:spacing w:line="260" w:lineRule="atLeast"/>
              <w:jc w:val="both"/>
              <w:rPr>
                <w:rFonts w:eastAsia="Calibri"/>
                <w:lang w:eastAsia="en-US"/>
              </w:rPr>
            </w:pPr>
          </w:p>
          <w:p w14:paraId="743D1A08" w14:textId="77777777" w:rsidR="007E1591" w:rsidRPr="002A0706" w:rsidRDefault="007E1591" w:rsidP="00CC407B">
            <w:pPr>
              <w:spacing w:line="260" w:lineRule="atLeast"/>
              <w:jc w:val="both"/>
              <w:rPr>
                <w:rFonts w:eastAsia="Calibri"/>
                <w:lang w:eastAsia="en-US"/>
              </w:rPr>
            </w:pPr>
            <w:r>
              <w:rPr>
                <w:rFonts w:eastAsia="Calibri"/>
                <w:lang w:eastAsia="en-US"/>
              </w:rPr>
              <w:t>- 22.2</w:t>
            </w:r>
            <w:r w:rsidRPr="004177BD">
              <w:rPr>
                <w:rFonts w:eastAsia="Calibri"/>
                <w:lang w:eastAsia="en-US"/>
              </w:rPr>
              <w:t xml:space="preserve"> mg bp/</w:t>
            </w:r>
            <w:r w:rsidRPr="00816258">
              <w:rPr>
                <w:rFonts w:eastAsia="Calibri"/>
                <w:lang w:eastAsia="en-US"/>
              </w:rPr>
              <w:t>m</w:t>
            </w:r>
            <w:r w:rsidRPr="00441F9B">
              <w:rPr>
                <w:rFonts w:eastAsia="Calibri"/>
                <w:vertAlign w:val="superscript"/>
                <w:lang w:eastAsia="en-US"/>
              </w:rPr>
              <w:t>3</w:t>
            </w:r>
            <w:r w:rsidRPr="004177BD">
              <w:rPr>
                <w:rFonts w:eastAsia="Calibri"/>
                <w:lang w:eastAsia="en-US"/>
              </w:rPr>
              <w:t xml:space="preserve"> (inhalation</w:t>
            </w:r>
            <w:r>
              <w:rPr>
                <w:rFonts w:eastAsia="Calibri"/>
                <w:lang w:eastAsia="en-US"/>
              </w:rPr>
              <w:t>)</w:t>
            </w:r>
          </w:p>
        </w:tc>
      </w:tr>
      <w:tr w:rsidR="007E1591" w14:paraId="6657FDDD" w14:textId="77777777" w:rsidTr="00E91F85">
        <w:tc>
          <w:tcPr>
            <w:tcW w:w="1134" w:type="dxa"/>
            <w:tcBorders>
              <w:top w:val="single" w:sz="4" w:space="0" w:color="000000"/>
              <w:left w:val="single" w:sz="4" w:space="0" w:color="000000"/>
              <w:bottom w:val="single" w:sz="4" w:space="0" w:color="auto"/>
            </w:tcBorders>
            <w:shd w:val="clear" w:color="auto" w:fill="auto"/>
          </w:tcPr>
          <w:p w14:paraId="4DC699A6" w14:textId="77777777" w:rsidR="007E1591" w:rsidRDefault="007E1591" w:rsidP="00CC407B">
            <w:pPr>
              <w:snapToGrid w:val="0"/>
              <w:spacing w:line="260" w:lineRule="atLeast"/>
              <w:rPr>
                <w:rFonts w:eastAsia="Calibri"/>
                <w:lang w:eastAsia="en-US"/>
              </w:rPr>
            </w:pPr>
          </w:p>
        </w:tc>
        <w:tc>
          <w:tcPr>
            <w:tcW w:w="5387" w:type="dxa"/>
            <w:tcBorders>
              <w:top w:val="single" w:sz="4" w:space="0" w:color="000000"/>
              <w:left w:val="single" w:sz="4" w:space="0" w:color="000000"/>
              <w:bottom w:val="single" w:sz="4" w:space="0" w:color="000000"/>
            </w:tcBorders>
            <w:shd w:val="clear" w:color="auto" w:fill="auto"/>
          </w:tcPr>
          <w:p w14:paraId="570142C8" w14:textId="77777777" w:rsidR="007E1591" w:rsidRDefault="007E1591" w:rsidP="00CC407B">
            <w:pPr>
              <w:spacing w:line="260" w:lineRule="atLeast"/>
              <w:rPr>
                <w:rFonts w:eastAsia="Calibri"/>
                <w:lang w:eastAsia="en-US"/>
              </w:rPr>
            </w:pPr>
            <w:r>
              <w:rPr>
                <w:rFonts w:eastAsia="Calibri"/>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6BC573" w14:textId="77777777" w:rsidR="007E1591" w:rsidRDefault="007E1591" w:rsidP="00CC407B">
            <w:pPr>
              <w:spacing w:line="260" w:lineRule="atLeast"/>
            </w:pPr>
            <w:r>
              <w:rPr>
                <w:rFonts w:eastAsia="Calibri"/>
                <w:lang w:eastAsia="en-US"/>
              </w:rPr>
              <w:t>Value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F82C1F7" w14:textId="77777777" w:rsidR="007E1591" w:rsidRDefault="007E1591" w:rsidP="00CC407B">
            <w:pPr>
              <w:spacing w:line="260" w:lineRule="atLeast"/>
            </w:pPr>
            <w:r>
              <w:t>Reference</w:t>
            </w:r>
          </w:p>
        </w:tc>
      </w:tr>
      <w:tr w:rsidR="007E1591" w14:paraId="0BA1A60F"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8B2FF05" w14:textId="77777777" w:rsidR="007E1591" w:rsidRDefault="007E1591" w:rsidP="00CC407B">
            <w:pPr>
              <w:spacing w:line="260" w:lineRule="atLeast"/>
              <w:rPr>
                <w:rFonts w:eastAsia="Calibri"/>
                <w:lang w:eastAsia="en-US"/>
              </w:rPr>
            </w:pPr>
            <w:r>
              <w:rPr>
                <w:rFonts w:eastAsia="Calibri"/>
                <w:lang w:eastAsia="en-US"/>
              </w:rPr>
              <w:t>Tier 1</w:t>
            </w:r>
          </w:p>
        </w:tc>
        <w:tc>
          <w:tcPr>
            <w:tcW w:w="5387" w:type="dxa"/>
            <w:tcBorders>
              <w:top w:val="single" w:sz="4" w:space="0" w:color="000000"/>
              <w:left w:val="single" w:sz="4" w:space="0" w:color="auto"/>
              <w:bottom w:val="single" w:sz="4" w:space="0" w:color="000000"/>
            </w:tcBorders>
            <w:shd w:val="clear" w:color="auto" w:fill="auto"/>
          </w:tcPr>
          <w:p w14:paraId="65EE46B2"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DD31D4">
              <w:rPr>
                <w:rFonts w:eastAsia="Calibri"/>
                <w:b/>
                <w:bCs/>
                <w:iCs/>
                <w:lang w:eastAsia="en-US"/>
              </w:rPr>
              <w:t>2-(</w:t>
            </w:r>
            <w:r w:rsidRPr="00DD31D4">
              <w:rPr>
                <w:rFonts w:eastAsia="Calibri"/>
                <w:b/>
                <w:lang w:eastAsia="en-US"/>
              </w:rPr>
              <w:t>2-butoxyethoxy)ethanol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AF961" w14:textId="77777777" w:rsidR="007E1591" w:rsidRDefault="007E1591" w:rsidP="00CC407B">
            <w:pPr>
              <w:snapToGrid w:val="0"/>
              <w:spacing w:line="260" w:lineRule="atLeast"/>
              <w:rPr>
                <w:rFonts w:eastAsia="Calibri"/>
                <w:lang w:eastAsia="en-US"/>
              </w:rPr>
            </w:pPr>
            <w:r>
              <w:rPr>
                <w:rFonts w:eastAsia="Calibri"/>
                <w:lang w:eastAsia="en-US"/>
              </w:rPr>
              <w:t>0.44%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2DDA222" w14:textId="77777777" w:rsidR="007E1591" w:rsidRDefault="007E1591" w:rsidP="00CC407B">
            <w:pPr>
              <w:snapToGrid w:val="0"/>
              <w:spacing w:line="260" w:lineRule="atLeast"/>
              <w:rPr>
                <w:rFonts w:eastAsia="Calibri"/>
                <w:lang w:eastAsia="en-US"/>
              </w:rPr>
            </w:pPr>
          </w:p>
        </w:tc>
      </w:tr>
    </w:tbl>
    <w:p w14:paraId="536C32CC" w14:textId="77777777" w:rsidR="007E1591" w:rsidRPr="00B27CB1" w:rsidRDefault="007E1591" w:rsidP="007E1591">
      <w:pPr>
        <w:spacing w:line="260" w:lineRule="atLeast"/>
        <w:rPr>
          <w:rFonts w:ascii="Times New Roman" w:eastAsia="Calibri" w:hAnsi="Times New Roman" w:cs="Times New Roman"/>
          <w:i/>
          <w:iCs/>
          <w:lang w:eastAsia="en-US"/>
        </w:rPr>
      </w:pPr>
    </w:p>
    <w:p w14:paraId="78E5A727" w14:textId="44717AAB" w:rsidR="007E1591" w:rsidRPr="00B27CB1" w:rsidRDefault="007E1591" w:rsidP="007E1591">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sidR="00CC407B">
        <w:rPr>
          <w:rFonts w:eastAsia="Calibri"/>
          <w:b/>
          <w:i/>
          <w:sz w:val="22"/>
          <w:szCs w:val="22"/>
          <w:lang w:eastAsia="en-US"/>
        </w:rPr>
        <w:t>7</w:t>
      </w:r>
      <w:r w:rsidRPr="00B27CB1">
        <w:rPr>
          <w:rFonts w:eastAsia="Calibri"/>
          <w:b/>
          <w:i/>
          <w:sz w:val="22"/>
          <w:szCs w:val="22"/>
          <w:lang w:eastAsia="en-US"/>
        </w:rPr>
        <w:t>]</w:t>
      </w:r>
    </w:p>
    <w:p w14:paraId="1D4A6B3F"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02A5848B"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B010EE7"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7D9DF40F"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2DA8D0F"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356233A5"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13641E74"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02F115FF"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75E5808B"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00815B73" w14:textId="77777777" w:rsidR="007E1591" w:rsidRPr="00B27CB1" w:rsidRDefault="007E1591" w:rsidP="00CC407B">
            <w:pPr>
              <w:spacing w:line="260" w:lineRule="atLeast"/>
            </w:pPr>
            <w:r>
              <w:rPr>
                <w:rFonts w:eastAsia="Calibri"/>
                <w:b/>
                <w:lang w:eastAsia="en-US"/>
              </w:rPr>
              <w:t>Estimated total uptake (mg/m</w:t>
            </w:r>
            <w:r w:rsidRPr="0084576F">
              <w:rPr>
                <w:rFonts w:eastAsia="Calibri"/>
                <w:b/>
                <w:vertAlign w:val="superscript"/>
                <w:lang w:eastAsia="en-US"/>
              </w:rPr>
              <w:t>3</w:t>
            </w:r>
            <w:r>
              <w:rPr>
                <w:rFonts w:eastAsia="Calibri"/>
                <w:b/>
                <w:lang w:eastAsia="en-US"/>
              </w:rPr>
              <w:t>)</w:t>
            </w:r>
          </w:p>
        </w:tc>
      </w:tr>
      <w:tr w:rsidR="007E1591" w:rsidRPr="00B27CB1" w14:paraId="26A51A32"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FA8E6E0" w14:textId="2E659E61"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7</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7DADF550"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15A90B61" w14:textId="77777777" w:rsidR="007E1591" w:rsidRPr="00B27CB1" w:rsidRDefault="007E1591" w:rsidP="00CC407B">
            <w:pPr>
              <w:snapToGrid w:val="0"/>
              <w:spacing w:line="260" w:lineRule="atLeast"/>
              <w:rPr>
                <w:rFonts w:eastAsia="Calibri"/>
                <w:lang w:eastAsia="en-US"/>
              </w:rPr>
            </w:pPr>
            <w:r>
              <w:t>0.1</w:t>
            </w:r>
          </w:p>
        </w:tc>
        <w:tc>
          <w:tcPr>
            <w:tcW w:w="1705" w:type="dxa"/>
            <w:tcBorders>
              <w:top w:val="single" w:sz="6" w:space="0" w:color="000000"/>
              <w:left w:val="single" w:sz="6" w:space="0" w:color="000000"/>
              <w:bottom w:val="single" w:sz="6" w:space="0" w:color="000000"/>
            </w:tcBorders>
            <w:shd w:val="clear" w:color="auto" w:fill="auto"/>
          </w:tcPr>
          <w:p w14:paraId="112651E5"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6" w:space="0" w:color="000000"/>
              <w:left w:val="single" w:sz="6" w:space="0" w:color="000000"/>
              <w:bottom w:val="single" w:sz="6" w:space="0" w:color="000000"/>
            </w:tcBorders>
            <w:shd w:val="clear" w:color="auto" w:fill="auto"/>
          </w:tcPr>
          <w:p w14:paraId="062086E0"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28E2FA32" w14:textId="77777777" w:rsidR="007E1591" w:rsidRPr="00B27CB1" w:rsidRDefault="007E1591" w:rsidP="00CC407B">
            <w:pPr>
              <w:snapToGrid w:val="0"/>
              <w:spacing w:line="260" w:lineRule="atLeast"/>
              <w:rPr>
                <w:rFonts w:eastAsia="Calibri"/>
                <w:lang w:eastAsia="en-US"/>
              </w:rPr>
            </w:pPr>
            <w:r>
              <w:t>0.1</w:t>
            </w:r>
          </w:p>
        </w:tc>
      </w:tr>
    </w:tbl>
    <w:p w14:paraId="26EAB553" w14:textId="77777777" w:rsidR="007E1591" w:rsidRDefault="007E1591" w:rsidP="007E1591">
      <w:pPr>
        <w:rPr>
          <w:rFonts w:eastAsia="Calibri"/>
          <w:i/>
          <w:sz w:val="22"/>
          <w:szCs w:val="22"/>
          <w:u w:val="single"/>
          <w:lang w:eastAsia="en-US"/>
        </w:rPr>
      </w:pPr>
    </w:p>
    <w:p w14:paraId="153AFDBB" w14:textId="5789640C" w:rsidR="007E1591" w:rsidRPr="0084576F" w:rsidRDefault="007E1591" w:rsidP="007E1591">
      <w:pPr>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8</w:t>
      </w:r>
      <w:r w:rsidRPr="0084576F">
        <w:rPr>
          <w:rFonts w:eastAsia="Calibri"/>
          <w:b/>
          <w:i/>
          <w:sz w:val="22"/>
          <w:szCs w:val="22"/>
          <w:u w:val="single"/>
          <w:lang w:eastAsia="en-US"/>
        </w:rPr>
        <w:t>] – Application by manual mopping</w:t>
      </w:r>
    </w:p>
    <w:p w14:paraId="1324BAD7"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295" w:type="dxa"/>
        <w:tblInd w:w="-5" w:type="dxa"/>
        <w:tblLayout w:type="fixed"/>
        <w:tblCellMar>
          <w:top w:w="57" w:type="dxa"/>
          <w:left w:w="70" w:type="dxa"/>
          <w:bottom w:w="57" w:type="dxa"/>
          <w:right w:w="70" w:type="dxa"/>
        </w:tblCellMar>
        <w:tblLook w:val="0000" w:firstRow="0" w:lastRow="0" w:firstColumn="0" w:lastColumn="0" w:noHBand="0" w:noVBand="0"/>
      </w:tblPr>
      <w:tblGrid>
        <w:gridCol w:w="1134"/>
        <w:gridCol w:w="5387"/>
        <w:gridCol w:w="1134"/>
        <w:gridCol w:w="1640"/>
      </w:tblGrid>
      <w:tr w:rsidR="007E1591" w14:paraId="10816EAD" w14:textId="77777777" w:rsidTr="00CC407B">
        <w:trPr>
          <w:tblHeader/>
        </w:trPr>
        <w:tc>
          <w:tcPr>
            <w:tcW w:w="9295" w:type="dxa"/>
            <w:gridSpan w:val="4"/>
            <w:tcBorders>
              <w:top w:val="single" w:sz="4" w:space="0" w:color="000000"/>
              <w:left w:val="single" w:sz="4" w:space="0" w:color="000000"/>
              <w:bottom w:val="single" w:sz="4" w:space="0" w:color="000000"/>
              <w:right w:val="single" w:sz="4" w:space="0" w:color="000000"/>
            </w:tcBorders>
            <w:shd w:val="clear" w:color="auto" w:fill="FFFFCC"/>
          </w:tcPr>
          <w:p w14:paraId="03207DA9" w14:textId="3213246F" w:rsidR="007E1591" w:rsidRDefault="00CC407B" w:rsidP="00CC407B">
            <w:pPr>
              <w:spacing w:line="260" w:lineRule="atLeast"/>
            </w:pPr>
            <w:r>
              <w:rPr>
                <w:rFonts w:eastAsia="Calibri"/>
                <w:b/>
                <w:lang w:eastAsia="en-US"/>
              </w:rPr>
              <w:t>Description of Scenario [8</w:t>
            </w:r>
            <w:r w:rsidR="007E1591">
              <w:rPr>
                <w:rFonts w:eastAsia="Calibri"/>
                <w:b/>
                <w:lang w:eastAsia="en-US"/>
              </w:rPr>
              <w:t>]</w:t>
            </w:r>
          </w:p>
        </w:tc>
      </w:tr>
      <w:tr w:rsidR="007E1591" w14:paraId="188A9DF5" w14:textId="77777777" w:rsidTr="00CC407B">
        <w:tc>
          <w:tcPr>
            <w:tcW w:w="9295" w:type="dxa"/>
            <w:gridSpan w:val="4"/>
            <w:tcBorders>
              <w:top w:val="single" w:sz="4" w:space="0" w:color="000000"/>
              <w:left w:val="single" w:sz="4" w:space="0" w:color="000000"/>
              <w:bottom w:val="single" w:sz="4" w:space="0" w:color="000000"/>
              <w:right w:val="single" w:sz="4" w:space="0" w:color="000000"/>
            </w:tcBorders>
            <w:shd w:val="clear" w:color="auto" w:fill="auto"/>
          </w:tcPr>
          <w:p w14:paraId="507F91C1" w14:textId="77777777" w:rsidR="007E1591" w:rsidRDefault="007E1591" w:rsidP="00CC407B">
            <w:pPr>
              <w:spacing w:line="260" w:lineRule="atLeast"/>
              <w:jc w:val="both"/>
              <w:rPr>
                <w:rFonts w:eastAsia="Calibri"/>
                <w:lang w:eastAsia="en-US"/>
              </w:rPr>
            </w:pPr>
            <w:r>
              <w:rPr>
                <w:rFonts w:eastAsia="Calibri"/>
                <w:lang w:eastAsia="en-US"/>
              </w:rPr>
              <w:t xml:space="preserve">Products of meta SPC 13 can be applied by indoors wiping </w:t>
            </w:r>
            <w:r w:rsidRPr="00F95342">
              <w:rPr>
                <w:rFonts w:eastAsia="Calibri"/>
                <w:lang w:eastAsia="en-US"/>
              </w:rPr>
              <w:t>mopping/washing on floors to disinfect them using a mop which has been p</w:t>
            </w:r>
            <w:r>
              <w:rPr>
                <w:rFonts w:eastAsia="Calibri"/>
                <w:lang w:eastAsia="en-US"/>
              </w:rPr>
              <w:t>reviously soaked in the product or sprayed by the trigger spray.</w:t>
            </w:r>
          </w:p>
          <w:p w14:paraId="49077EB7" w14:textId="77777777" w:rsidR="007E1591" w:rsidRDefault="007E1591" w:rsidP="00CC407B">
            <w:pPr>
              <w:spacing w:line="260" w:lineRule="atLeast"/>
              <w:jc w:val="both"/>
              <w:rPr>
                <w:rFonts w:eastAsia="Calibri"/>
                <w:lang w:eastAsia="en-US"/>
              </w:rPr>
            </w:pPr>
          </w:p>
          <w:p w14:paraId="3F951802" w14:textId="77777777" w:rsidR="007E1591" w:rsidRDefault="007E1591" w:rsidP="00CC407B">
            <w:pPr>
              <w:spacing w:line="260" w:lineRule="atLeast"/>
              <w:jc w:val="both"/>
              <w:rPr>
                <w:rFonts w:eastAsia="Calibri"/>
                <w:lang w:eastAsia="en-US"/>
              </w:rPr>
            </w:pPr>
            <w:r>
              <w:rPr>
                <w:rFonts w:eastAsia="Calibri"/>
                <w:lang w:eastAsia="en-US"/>
              </w:rPr>
              <w:t>Inhalation exposure to dropplets is considered.</w:t>
            </w:r>
          </w:p>
          <w:p w14:paraId="55C6E349" w14:textId="77777777" w:rsidR="007E1591" w:rsidRPr="004177BD" w:rsidRDefault="007E1591" w:rsidP="00CC407B">
            <w:pPr>
              <w:spacing w:line="260" w:lineRule="atLeast"/>
              <w:jc w:val="both"/>
              <w:rPr>
                <w:rFonts w:eastAsia="Calibri"/>
                <w:lang w:eastAsia="en-US"/>
              </w:rPr>
            </w:pPr>
          </w:p>
          <w:p w14:paraId="4A0A4A33" w14:textId="77777777" w:rsidR="007E1591" w:rsidRDefault="007E1591" w:rsidP="00CC407B">
            <w:pPr>
              <w:spacing w:line="260" w:lineRule="atLeast"/>
              <w:jc w:val="both"/>
              <w:rPr>
                <w:rFonts w:eastAsia="Calibri"/>
                <w:lang w:eastAsia="en-US"/>
              </w:rPr>
            </w:pPr>
            <w:r w:rsidRPr="004177BD">
              <w:rPr>
                <w:rFonts w:eastAsia="Calibri"/>
                <w:lang w:eastAsia="en-US"/>
              </w:rPr>
              <w:t xml:space="preserve">To assess </w:t>
            </w:r>
            <w:r>
              <w:rPr>
                <w:rFonts w:eastAsia="Calibri"/>
                <w:lang w:eastAsia="en-US"/>
              </w:rPr>
              <w:t>inhalation</w:t>
            </w:r>
            <w:r w:rsidRPr="004177BD">
              <w:rPr>
                <w:rFonts w:eastAsia="Calibri"/>
                <w:lang w:eastAsia="en-US"/>
              </w:rPr>
              <w:t xml:space="preserve"> exposure during </w:t>
            </w:r>
            <w:r>
              <w:rPr>
                <w:rFonts w:eastAsia="Calibri"/>
                <w:lang w:eastAsia="en-US"/>
              </w:rPr>
              <w:t>mopping</w:t>
            </w:r>
            <w:r w:rsidRPr="004177BD">
              <w:rPr>
                <w:rFonts w:eastAsia="Calibri"/>
                <w:lang w:eastAsia="en-US"/>
              </w:rPr>
              <w:t xml:space="preserve">, </w:t>
            </w:r>
            <w:r w:rsidRPr="007F5F1C">
              <w:rPr>
                <w:rFonts w:eastAsia="Calibri"/>
                <w:lang w:eastAsia="en-US"/>
              </w:rPr>
              <w:t xml:space="preserve">Surface </w:t>
            </w:r>
            <w:r>
              <w:rPr>
                <w:rFonts w:eastAsia="Calibri"/>
                <w:lang w:eastAsia="en-US"/>
              </w:rPr>
              <w:t>D</w:t>
            </w:r>
            <w:r w:rsidRPr="007F5F1C">
              <w:rPr>
                <w:rFonts w:eastAsia="Calibri"/>
                <w:lang w:eastAsia="en-US"/>
              </w:rPr>
              <w:t>esinfection Model 1</w:t>
            </w:r>
            <w:r>
              <w:rPr>
                <w:rFonts w:eastAsia="Calibri"/>
                <w:lang w:eastAsia="en-US"/>
              </w:rPr>
              <w:t xml:space="preserve"> </w:t>
            </w:r>
            <w:r w:rsidRPr="004177BD">
              <w:rPr>
                <w:rFonts w:eastAsia="Calibri"/>
                <w:lang w:eastAsia="en-US"/>
              </w:rPr>
              <w:t xml:space="preserve">from the </w:t>
            </w:r>
            <w:r>
              <w:rPr>
                <w:rFonts w:eastAsia="Calibri"/>
                <w:lang w:eastAsia="en-US"/>
              </w:rPr>
              <w:t xml:space="preserve">BHHEM (2015) has been used. </w:t>
            </w:r>
          </w:p>
          <w:p w14:paraId="07CD68D6" w14:textId="77777777" w:rsidR="007E1591" w:rsidRPr="004177BD" w:rsidRDefault="007E1591" w:rsidP="00CC407B">
            <w:pPr>
              <w:spacing w:line="260" w:lineRule="atLeast"/>
              <w:jc w:val="both"/>
              <w:rPr>
                <w:rFonts w:eastAsia="Calibri"/>
                <w:lang w:eastAsia="en-US"/>
              </w:rPr>
            </w:pPr>
          </w:p>
          <w:p w14:paraId="6E3B9934" w14:textId="77777777" w:rsidR="007E1591" w:rsidRPr="004177BD" w:rsidRDefault="007E1591" w:rsidP="00CC407B">
            <w:pPr>
              <w:spacing w:line="260" w:lineRule="atLeast"/>
              <w:jc w:val="both"/>
              <w:rPr>
                <w:rFonts w:eastAsia="Calibri"/>
                <w:lang w:eastAsia="en-US"/>
              </w:rPr>
            </w:pPr>
            <w:r>
              <w:rPr>
                <w:rFonts w:eastAsia="Calibri"/>
                <w:lang w:eastAsia="en-US"/>
              </w:rPr>
              <w:lastRenderedPageBreak/>
              <w:t>The indicative exposure value</w:t>
            </w:r>
            <w:r w:rsidRPr="004177BD">
              <w:rPr>
                <w:rFonts w:eastAsia="Calibri"/>
                <w:lang w:eastAsia="en-US"/>
              </w:rPr>
              <w:t xml:space="preserve"> from the model </w:t>
            </w:r>
            <w:r>
              <w:rPr>
                <w:rFonts w:eastAsia="Calibri"/>
                <w:lang w:eastAsia="en-US"/>
              </w:rPr>
              <w:t>is</w:t>
            </w:r>
            <w:r w:rsidRPr="004177BD">
              <w:rPr>
                <w:rFonts w:eastAsia="Calibri"/>
                <w:lang w:eastAsia="en-US"/>
              </w:rPr>
              <w:t xml:space="preserve"> as follows:</w:t>
            </w:r>
          </w:p>
          <w:p w14:paraId="7F715A52" w14:textId="77777777" w:rsidR="007E1591" w:rsidRDefault="007E1591" w:rsidP="00CC407B">
            <w:pPr>
              <w:spacing w:line="260" w:lineRule="atLeast"/>
              <w:jc w:val="both"/>
              <w:rPr>
                <w:rFonts w:eastAsia="Calibri"/>
                <w:lang w:eastAsia="en-US"/>
              </w:rPr>
            </w:pPr>
          </w:p>
          <w:p w14:paraId="3AA2F480" w14:textId="77777777" w:rsidR="007E1591" w:rsidRPr="002A0706" w:rsidRDefault="007E1591" w:rsidP="00CC407B">
            <w:pPr>
              <w:spacing w:line="260" w:lineRule="atLeast"/>
              <w:jc w:val="both"/>
              <w:rPr>
                <w:rFonts w:eastAsia="Calibri"/>
                <w:lang w:eastAsia="en-US"/>
              </w:rPr>
            </w:pPr>
            <w:r>
              <w:rPr>
                <w:rFonts w:eastAsia="Calibri"/>
                <w:lang w:eastAsia="en-US"/>
              </w:rPr>
              <w:t>- 22.2</w:t>
            </w:r>
            <w:r w:rsidRPr="004177BD">
              <w:rPr>
                <w:rFonts w:eastAsia="Calibri"/>
                <w:lang w:eastAsia="en-US"/>
              </w:rPr>
              <w:t xml:space="preserve"> mg bp/</w:t>
            </w:r>
            <w:r w:rsidRPr="00816258">
              <w:rPr>
                <w:rFonts w:eastAsia="Calibri"/>
                <w:lang w:eastAsia="en-US"/>
              </w:rPr>
              <w:t>m</w:t>
            </w:r>
            <w:r w:rsidRPr="00441F9B">
              <w:rPr>
                <w:rFonts w:eastAsia="Calibri"/>
                <w:vertAlign w:val="superscript"/>
                <w:lang w:eastAsia="en-US"/>
              </w:rPr>
              <w:t>3</w:t>
            </w:r>
            <w:r w:rsidRPr="004177BD">
              <w:rPr>
                <w:rFonts w:eastAsia="Calibri"/>
                <w:lang w:eastAsia="en-US"/>
              </w:rPr>
              <w:t xml:space="preserve"> (inhalation</w:t>
            </w:r>
            <w:r>
              <w:rPr>
                <w:rFonts w:eastAsia="Calibri"/>
                <w:lang w:eastAsia="en-US"/>
              </w:rPr>
              <w:t>)</w:t>
            </w:r>
          </w:p>
        </w:tc>
      </w:tr>
      <w:tr w:rsidR="007E1591" w14:paraId="59BD3782" w14:textId="77777777" w:rsidTr="00E91F85">
        <w:tc>
          <w:tcPr>
            <w:tcW w:w="1134" w:type="dxa"/>
            <w:tcBorders>
              <w:top w:val="single" w:sz="4" w:space="0" w:color="000000"/>
              <w:left w:val="single" w:sz="4" w:space="0" w:color="000000"/>
              <w:bottom w:val="single" w:sz="4" w:space="0" w:color="auto"/>
            </w:tcBorders>
            <w:shd w:val="clear" w:color="auto" w:fill="auto"/>
          </w:tcPr>
          <w:p w14:paraId="18DA701C" w14:textId="77777777" w:rsidR="007E1591" w:rsidRDefault="007E1591" w:rsidP="00CC407B">
            <w:pPr>
              <w:snapToGrid w:val="0"/>
              <w:spacing w:line="260" w:lineRule="atLeast"/>
              <w:rPr>
                <w:rFonts w:eastAsia="Calibri"/>
                <w:lang w:eastAsia="en-US"/>
              </w:rPr>
            </w:pPr>
          </w:p>
        </w:tc>
        <w:tc>
          <w:tcPr>
            <w:tcW w:w="5387" w:type="dxa"/>
            <w:tcBorders>
              <w:top w:val="single" w:sz="4" w:space="0" w:color="000000"/>
              <w:left w:val="single" w:sz="4" w:space="0" w:color="000000"/>
              <w:bottom w:val="single" w:sz="4" w:space="0" w:color="000000"/>
            </w:tcBorders>
            <w:shd w:val="clear" w:color="auto" w:fill="auto"/>
          </w:tcPr>
          <w:p w14:paraId="0F0BAD2E" w14:textId="77777777" w:rsidR="007E1591" w:rsidRDefault="007E1591" w:rsidP="00CC407B">
            <w:pPr>
              <w:spacing w:line="260" w:lineRule="atLeast"/>
              <w:rPr>
                <w:rFonts w:eastAsia="Calibri"/>
                <w:lang w:eastAsia="en-US"/>
              </w:rPr>
            </w:pPr>
            <w:r>
              <w:rPr>
                <w:rFonts w:eastAsia="Calibri"/>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FF6A5E" w14:textId="77777777" w:rsidR="007E1591" w:rsidRDefault="007E1591" w:rsidP="00CC407B">
            <w:pPr>
              <w:spacing w:line="260" w:lineRule="atLeast"/>
            </w:pPr>
            <w:r>
              <w:rPr>
                <w:rFonts w:eastAsia="Calibri"/>
                <w:lang w:eastAsia="en-US"/>
              </w:rPr>
              <w:t>Value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AA07BE0" w14:textId="77777777" w:rsidR="007E1591" w:rsidRDefault="007E1591" w:rsidP="00CC407B">
            <w:pPr>
              <w:spacing w:line="260" w:lineRule="atLeast"/>
            </w:pPr>
            <w:r>
              <w:t>Reference</w:t>
            </w:r>
          </w:p>
        </w:tc>
      </w:tr>
      <w:tr w:rsidR="007E1591" w14:paraId="2D42AE37" w14:textId="77777777" w:rsidTr="00E91F8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076F16" w14:textId="77777777" w:rsidR="007E1591" w:rsidRDefault="007E1591" w:rsidP="00CC407B">
            <w:pPr>
              <w:spacing w:line="260" w:lineRule="atLeast"/>
              <w:rPr>
                <w:rFonts w:eastAsia="Calibri"/>
                <w:lang w:eastAsia="en-US"/>
              </w:rPr>
            </w:pPr>
            <w:r>
              <w:rPr>
                <w:rFonts w:eastAsia="Calibri"/>
                <w:lang w:eastAsia="en-US"/>
              </w:rPr>
              <w:t>Tier 1</w:t>
            </w:r>
          </w:p>
        </w:tc>
        <w:tc>
          <w:tcPr>
            <w:tcW w:w="5387" w:type="dxa"/>
            <w:tcBorders>
              <w:top w:val="single" w:sz="4" w:space="0" w:color="000000"/>
              <w:left w:val="single" w:sz="4" w:space="0" w:color="auto"/>
              <w:bottom w:val="single" w:sz="4" w:space="0" w:color="000000"/>
            </w:tcBorders>
            <w:shd w:val="clear" w:color="auto" w:fill="auto"/>
          </w:tcPr>
          <w:p w14:paraId="773D784E" w14:textId="77777777" w:rsidR="007E1591" w:rsidRDefault="007E1591" w:rsidP="00CC407B">
            <w:pPr>
              <w:snapToGrid w:val="0"/>
              <w:spacing w:line="260" w:lineRule="atLeast"/>
              <w:rPr>
                <w:rFonts w:eastAsia="Calibri"/>
                <w:lang w:eastAsia="en-US"/>
              </w:rPr>
            </w:pPr>
            <w:r>
              <w:rPr>
                <w:rFonts w:eastAsia="Calibri"/>
                <w:lang w:eastAsia="en-US"/>
              </w:rPr>
              <w:t xml:space="preserve">Concentration of </w:t>
            </w:r>
            <w:r w:rsidRPr="00DD31D4">
              <w:rPr>
                <w:rFonts w:eastAsia="Calibri"/>
                <w:b/>
                <w:bCs/>
                <w:iCs/>
                <w:lang w:eastAsia="en-US"/>
              </w:rPr>
              <w:t>2-(</w:t>
            </w:r>
            <w:r w:rsidRPr="00DD31D4">
              <w:rPr>
                <w:rFonts w:eastAsia="Calibri"/>
                <w:b/>
                <w:lang w:eastAsia="en-US"/>
              </w:rPr>
              <w:t>2-butoxyethoxy)ethanol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D35F6" w14:textId="77777777" w:rsidR="007E1591" w:rsidRDefault="007E1591" w:rsidP="00CC407B">
            <w:pPr>
              <w:snapToGrid w:val="0"/>
              <w:spacing w:line="260" w:lineRule="atLeast"/>
              <w:rPr>
                <w:rFonts w:eastAsia="Calibri"/>
                <w:lang w:eastAsia="en-US"/>
              </w:rPr>
            </w:pPr>
            <w:r>
              <w:rPr>
                <w:rFonts w:eastAsia="Calibri"/>
                <w:lang w:eastAsia="en-US"/>
              </w:rPr>
              <w:t>0.44%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34BC7F4" w14:textId="77777777" w:rsidR="007E1591" w:rsidRDefault="007E1591" w:rsidP="00CC407B">
            <w:pPr>
              <w:snapToGrid w:val="0"/>
              <w:spacing w:line="260" w:lineRule="atLeast"/>
              <w:rPr>
                <w:rFonts w:eastAsia="Calibri"/>
                <w:lang w:eastAsia="en-US"/>
              </w:rPr>
            </w:pPr>
          </w:p>
        </w:tc>
      </w:tr>
    </w:tbl>
    <w:p w14:paraId="72222DE6" w14:textId="77777777" w:rsidR="007E1591" w:rsidRPr="00B27CB1" w:rsidRDefault="007E1591" w:rsidP="007E1591">
      <w:pPr>
        <w:spacing w:line="260" w:lineRule="atLeast"/>
        <w:rPr>
          <w:rFonts w:ascii="Times New Roman" w:eastAsia="Calibri" w:hAnsi="Times New Roman" w:cs="Times New Roman"/>
          <w:i/>
          <w:iCs/>
          <w:lang w:eastAsia="en-US"/>
        </w:rPr>
      </w:pPr>
    </w:p>
    <w:p w14:paraId="2447BA0E" w14:textId="7CFED71E" w:rsidR="007E1591" w:rsidRPr="00B27CB1" w:rsidRDefault="007E1591" w:rsidP="007E1591">
      <w:pPr>
        <w:rPr>
          <w:rFonts w:ascii="Times New Roman" w:eastAsia="Calibri" w:hAnsi="Times New Roman" w:cs="Times New Roman"/>
          <w:i/>
          <w:iCs/>
          <w:lang w:eastAsia="en-US"/>
        </w:rPr>
      </w:pPr>
      <w:r w:rsidRPr="00B27CB1">
        <w:rPr>
          <w:rFonts w:eastAsia="Calibri"/>
          <w:b/>
          <w:i/>
          <w:sz w:val="22"/>
          <w:szCs w:val="22"/>
          <w:lang w:eastAsia="en-US"/>
        </w:rPr>
        <w:t>Calculations for Scenario [</w:t>
      </w:r>
      <w:r w:rsidR="00CC407B">
        <w:rPr>
          <w:rFonts w:eastAsia="Calibri"/>
          <w:b/>
          <w:i/>
          <w:sz w:val="22"/>
          <w:szCs w:val="22"/>
          <w:lang w:eastAsia="en-US"/>
        </w:rPr>
        <w:t>8</w:t>
      </w:r>
      <w:r w:rsidRPr="00B27CB1">
        <w:rPr>
          <w:rFonts w:eastAsia="Calibri"/>
          <w:b/>
          <w:i/>
          <w:sz w:val="22"/>
          <w:szCs w:val="22"/>
          <w:lang w:eastAsia="en-US"/>
        </w:rPr>
        <w:t>]</w:t>
      </w:r>
    </w:p>
    <w:p w14:paraId="6EB97B55" w14:textId="77777777" w:rsidR="007E1591" w:rsidRPr="00B27CB1" w:rsidRDefault="007E1591" w:rsidP="007E1591">
      <w:pPr>
        <w:spacing w:line="260" w:lineRule="atLeast"/>
        <w:rPr>
          <w:rFonts w:ascii="Times New Roman" w:eastAsia="Calibri" w:hAnsi="Times New Roman" w:cs="Times New Roman"/>
          <w:i/>
          <w:i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7E1591" w:rsidRPr="00B27CB1" w14:paraId="673EF219" w14:textId="77777777" w:rsidTr="00CC407B">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CBD5A52" w14:textId="77777777" w:rsidR="007E1591" w:rsidRPr="00B27CB1" w:rsidRDefault="007E1591" w:rsidP="00CC407B">
            <w:pPr>
              <w:spacing w:line="260" w:lineRule="atLeast"/>
              <w:jc w:val="center"/>
            </w:pPr>
            <w:r w:rsidRPr="00B27CB1">
              <w:rPr>
                <w:rFonts w:eastAsia="Calibri"/>
                <w:b/>
                <w:lang w:eastAsia="en-US"/>
              </w:rPr>
              <w:t>Summary table: estimated exposure from industrial uses</w:t>
            </w:r>
          </w:p>
        </w:tc>
      </w:tr>
      <w:tr w:rsidR="007E1591" w:rsidRPr="00B27CB1" w14:paraId="6E214F15"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4DAA203" w14:textId="77777777" w:rsidR="007E1591" w:rsidRPr="00B27CB1" w:rsidRDefault="007E1591" w:rsidP="00CC407B">
            <w:pPr>
              <w:spacing w:line="260" w:lineRule="atLeast"/>
              <w:rPr>
                <w:rFonts w:eastAsia="Calibri"/>
                <w:b/>
                <w:lang w:eastAsia="en-US"/>
              </w:rPr>
            </w:pPr>
            <w:r w:rsidRPr="00B27CB1">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028653BD" w14:textId="77777777" w:rsidR="007E1591" w:rsidRPr="00B27CB1" w:rsidRDefault="007E1591" w:rsidP="00CC407B">
            <w:pPr>
              <w:spacing w:line="260" w:lineRule="atLeast"/>
              <w:rPr>
                <w:rFonts w:eastAsia="Calibri"/>
                <w:b/>
                <w:lang w:eastAsia="en-US"/>
              </w:rPr>
            </w:pPr>
            <w:r w:rsidRPr="00B27CB1">
              <w:rPr>
                <w:rFonts w:eastAsia="Calibri"/>
                <w:b/>
                <w:lang w:eastAsia="en-US"/>
              </w:rPr>
              <w:t>Tier/PPE</w:t>
            </w:r>
          </w:p>
        </w:tc>
        <w:tc>
          <w:tcPr>
            <w:tcW w:w="1697" w:type="dxa"/>
            <w:tcBorders>
              <w:top w:val="single" w:sz="6" w:space="0" w:color="000000"/>
              <w:left w:val="single" w:sz="6" w:space="0" w:color="000000"/>
              <w:bottom w:val="single" w:sz="6" w:space="0" w:color="000000"/>
            </w:tcBorders>
            <w:shd w:val="clear" w:color="auto" w:fill="auto"/>
          </w:tcPr>
          <w:p w14:paraId="76473CDE" w14:textId="77777777" w:rsidR="007E1591" w:rsidRPr="00B27CB1" w:rsidRDefault="007E1591" w:rsidP="00CC407B">
            <w:pPr>
              <w:spacing w:line="260" w:lineRule="atLeast"/>
              <w:rPr>
                <w:rFonts w:eastAsia="Calibri"/>
                <w:b/>
                <w:lang w:eastAsia="en-US"/>
              </w:rPr>
            </w:pPr>
            <w:r>
              <w:rPr>
                <w:rFonts w:eastAsia="Calibri"/>
                <w:b/>
                <w:lang w:eastAsia="en-US"/>
              </w:rPr>
              <w:t>Estimated inhalation uptake (mg/m</w:t>
            </w:r>
            <w:r w:rsidRPr="00F36D85">
              <w:rPr>
                <w:rFonts w:eastAsia="Calibri"/>
                <w:b/>
                <w:vertAlign w:val="superscript"/>
                <w:lang w:eastAsia="en-US"/>
              </w:rPr>
              <w:t>3</w:t>
            </w:r>
            <w:r>
              <w:rPr>
                <w:rFonts w:eastAsia="Calibri"/>
                <w:b/>
                <w:lang w:eastAsia="en-US"/>
              </w:rPr>
              <w:t>)</w:t>
            </w:r>
          </w:p>
        </w:tc>
        <w:tc>
          <w:tcPr>
            <w:tcW w:w="1705" w:type="dxa"/>
            <w:tcBorders>
              <w:top w:val="single" w:sz="6" w:space="0" w:color="000000"/>
              <w:left w:val="single" w:sz="6" w:space="0" w:color="000000"/>
              <w:bottom w:val="single" w:sz="6" w:space="0" w:color="000000"/>
            </w:tcBorders>
            <w:shd w:val="clear" w:color="auto" w:fill="auto"/>
          </w:tcPr>
          <w:p w14:paraId="25F70E3C" w14:textId="77777777" w:rsidR="007E1591" w:rsidRPr="00B27CB1" w:rsidRDefault="007E1591" w:rsidP="00CC407B">
            <w:pPr>
              <w:spacing w:line="260" w:lineRule="atLeast"/>
              <w:rPr>
                <w:rFonts w:eastAsia="Calibri"/>
                <w:b/>
                <w:lang w:eastAsia="en-US"/>
              </w:rPr>
            </w:pPr>
            <w:r>
              <w:rPr>
                <w:rFonts w:eastAsia="Calibri"/>
                <w:b/>
                <w:lang w:eastAsia="en-US"/>
              </w:rPr>
              <w:t>Estimated dermal uptake (mg/kg bw/d)</w:t>
            </w:r>
          </w:p>
        </w:tc>
        <w:tc>
          <w:tcPr>
            <w:tcW w:w="1707" w:type="dxa"/>
            <w:tcBorders>
              <w:top w:val="single" w:sz="6" w:space="0" w:color="000000"/>
              <w:left w:val="single" w:sz="6" w:space="0" w:color="000000"/>
              <w:bottom w:val="single" w:sz="6" w:space="0" w:color="000000"/>
            </w:tcBorders>
            <w:shd w:val="clear" w:color="auto" w:fill="auto"/>
          </w:tcPr>
          <w:p w14:paraId="11E9C879" w14:textId="77777777" w:rsidR="007E1591" w:rsidRPr="00B27CB1" w:rsidRDefault="007E1591" w:rsidP="00CC407B">
            <w:pPr>
              <w:spacing w:line="260" w:lineRule="atLeast"/>
              <w:rPr>
                <w:rFonts w:eastAsia="Calibri"/>
                <w:b/>
                <w:lang w:eastAsia="en-US"/>
              </w:rPr>
            </w:pPr>
            <w:r>
              <w:rPr>
                <w:rFonts w:eastAsia="Calibri"/>
                <w:b/>
                <w:lang w:eastAsia="en-US"/>
              </w:rPr>
              <w:t>Estimated oral uptake (mg/kg bw/d)</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50BC9808" w14:textId="77777777" w:rsidR="007E1591" w:rsidRPr="00B27CB1" w:rsidRDefault="007E1591" w:rsidP="00CC407B">
            <w:pPr>
              <w:spacing w:line="260" w:lineRule="atLeast"/>
            </w:pPr>
            <w:r>
              <w:rPr>
                <w:rFonts w:eastAsia="Calibri"/>
                <w:b/>
                <w:lang w:eastAsia="en-US"/>
              </w:rPr>
              <w:t>Estimated total uptake (mg/m</w:t>
            </w:r>
            <w:r w:rsidRPr="0084576F">
              <w:rPr>
                <w:rFonts w:eastAsia="Calibri"/>
                <w:b/>
                <w:vertAlign w:val="superscript"/>
                <w:lang w:eastAsia="en-US"/>
              </w:rPr>
              <w:t>3</w:t>
            </w:r>
            <w:r>
              <w:rPr>
                <w:rFonts w:eastAsia="Calibri"/>
                <w:b/>
                <w:lang w:eastAsia="en-US"/>
              </w:rPr>
              <w:t>)</w:t>
            </w:r>
          </w:p>
        </w:tc>
      </w:tr>
      <w:tr w:rsidR="007E1591" w:rsidRPr="00B27CB1" w14:paraId="13D4F977" w14:textId="77777777" w:rsidTr="00CC407B">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0EE3D337" w14:textId="1F37B1B8" w:rsidR="007E1591" w:rsidRPr="00B27CB1" w:rsidRDefault="007E1591" w:rsidP="00CC407B">
            <w:pPr>
              <w:spacing w:line="260" w:lineRule="atLeast"/>
              <w:rPr>
                <w:rFonts w:eastAsia="Calibri"/>
                <w:lang w:eastAsia="en-US"/>
              </w:rPr>
            </w:pPr>
            <w:r w:rsidRPr="00B27CB1">
              <w:rPr>
                <w:rFonts w:eastAsia="Calibri"/>
                <w:lang w:eastAsia="en-US"/>
              </w:rPr>
              <w:t>Scenario [</w:t>
            </w:r>
            <w:r w:rsidR="00CC407B">
              <w:rPr>
                <w:rFonts w:eastAsia="Calibri"/>
                <w:lang w:eastAsia="en-US"/>
              </w:rPr>
              <w:t>8</w:t>
            </w:r>
            <w:r w:rsidRPr="00B27CB1">
              <w:rPr>
                <w:rFonts w:eastAsia="Calibri"/>
                <w:lang w:eastAsia="en-US"/>
              </w:rPr>
              <w:t>]</w:t>
            </w:r>
          </w:p>
        </w:tc>
        <w:tc>
          <w:tcPr>
            <w:tcW w:w="1145" w:type="dxa"/>
            <w:tcBorders>
              <w:top w:val="single" w:sz="6" w:space="0" w:color="000000"/>
              <w:left w:val="single" w:sz="6" w:space="0" w:color="000000"/>
              <w:bottom w:val="single" w:sz="6" w:space="0" w:color="000000"/>
            </w:tcBorders>
            <w:shd w:val="clear" w:color="auto" w:fill="auto"/>
          </w:tcPr>
          <w:p w14:paraId="552A9EC0" w14:textId="77777777" w:rsidR="007E1591" w:rsidRPr="00B27CB1" w:rsidRDefault="007E1591" w:rsidP="00CC407B">
            <w:pPr>
              <w:snapToGrid w:val="0"/>
              <w:spacing w:line="260" w:lineRule="atLeast"/>
              <w:rPr>
                <w:rFonts w:eastAsia="Calibri"/>
                <w:lang w:eastAsia="en-US"/>
              </w:rPr>
            </w:pPr>
            <w:r>
              <w:rPr>
                <w:rFonts w:eastAsia="Calibri"/>
                <w:lang w:eastAsia="en-US"/>
              </w:rPr>
              <w:t>1/no PPE</w:t>
            </w:r>
          </w:p>
        </w:tc>
        <w:tc>
          <w:tcPr>
            <w:tcW w:w="1697" w:type="dxa"/>
            <w:tcBorders>
              <w:top w:val="single" w:sz="6" w:space="0" w:color="000000"/>
              <w:left w:val="single" w:sz="6" w:space="0" w:color="000000"/>
              <w:bottom w:val="single" w:sz="6" w:space="0" w:color="000000"/>
            </w:tcBorders>
            <w:shd w:val="clear" w:color="auto" w:fill="auto"/>
          </w:tcPr>
          <w:p w14:paraId="5F190750" w14:textId="77777777" w:rsidR="007E1591" w:rsidRPr="00B27CB1" w:rsidRDefault="007E1591" w:rsidP="00CC407B">
            <w:pPr>
              <w:snapToGrid w:val="0"/>
              <w:spacing w:line="260" w:lineRule="atLeast"/>
              <w:rPr>
                <w:rFonts w:eastAsia="Calibri"/>
                <w:lang w:eastAsia="en-US"/>
              </w:rPr>
            </w:pPr>
            <w:r>
              <w:t>0.1</w:t>
            </w:r>
          </w:p>
        </w:tc>
        <w:tc>
          <w:tcPr>
            <w:tcW w:w="1705" w:type="dxa"/>
            <w:tcBorders>
              <w:top w:val="single" w:sz="6" w:space="0" w:color="000000"/>
              <w:left w:val="single" w:sz="6" w:space="0" w:color="000000"/>
              <w:bottom w:val="single" w:sz="6" w:space="0" w:color="000000"/>
            </w:tcBorders>
            <w:shd w:val="clear" w:color="auto" w:fill="auto"/>
          </w:tcPr>
          <w:p w14:paraId="5E3A608D" w14:textId="77777777" w:rsidR="007E1591" w:rsidRPr="00B27CB1" w:rsidRDefault="007E1591" w:rsidP="00CC407B">
            <w:pPr>
              <w:snapToGrid w:val="0"/>
              <w:spacing w:line="260" w:lineRule="atLeast"/>
              <w:rPr>
                <w:rFonts w:eastAsia="Calibri"/>
                <w:lang w:eastAsia="en-US"/>
              </w:rPr>
            </w:pPr>
            <w:r>
              <w:t>n.a</w:t>
            </w:r>
          </w:p>
        </w:tc>
        <w:tc>
          <w:tcPr>
            <w:tcW w:w="1707" w:type="dxa"/>
            <w:tcBorders>
              <w:top w:val="single" w:sz="6" w:space="0" w:color="000000"/>
              <w:left w:val="single" w:sz="6" w:space="0" w:color="000000"/>
              <w:bottom w:val="single" w:sz="6" w:space="0" w:color="000000"/>
            </w:tcBorders>
            <w:shd w:val="clear" w:color="auto" w:fill="auto"/>
          </w:tcPr>
          <w:p w14:paraId="0096EEEC" w14:textId="77777777" w:rsidR="007E1591" w:rsidRPr="00B27CB1" w:rsidRDefault="007E1591" w:rsidP="00CC407B">
            <w:pPr>
              <w:snapToGrid w:val="0"/>
              <w:spacing w:line="260" w:lineRule="atLeast"/>
              <w:rPr>
                <w:rFonts w:eastAsia="Calibri"/>
                <w:lang w:eastAsia="en-US"/>
              </w:rPr>
            </w:pPr>
            <w:r>
              <w:rPr>
                <w:rFonts w:eastAsia="Calibri"/>
                <w:lang w:eastAsia="en-US"/>
              </w:rPr>
              <w:t>n.a</w:t>
            </w:r>
          </w:p>
        </w:tc>
        <w:tc>
          <w:tcPr>
            <w:tcW w:w="1934" w:type="dxa"/>
            <w:tcBorders>
              <w:top w:val="single" w:sz="6" w:space="0" w:color="000000"/>
              <w:left w:val="single" w:sz="6" w:space="0" w:color="000000"/>
              <w:bottom w:val="single" w:sz="6" w:space="0" w:color="000000"/>
              <w:right w:val="single" w:sz="6" w:space="0" w:color="000000"/>
            </w:tcBorders>
            <w:shd w:val="clear" w:color="auto" w:fill="auto"/>
          </w:tcPr>
          <w:p w14:paraId="39588437" w14:textId="77777777" w:rsidR="007E1591" w:rsidRPr="00B27CB1" w:rsidRDefault="007E1591" w:rsidP="00CC407B">
            <w:pPr>
              <w:snapToGrid w:val="0"/>
              <w:spacing w:line="260" w:lineRule="atLeast"/>
              <w:rPr>
                <w:rFonts w:eastAsia="Calibri"/>
                <w:lang w:eastAsia="en-US"/>
              </w:rPr>
            </w:pPr>
            <w:r>
              <w:t>0.1</w:t>
            </w:r>
          </w:p>
        </w:tc>
      </w:tr>
    </w:tbl>
    <w:p w14:paraId="6C73141B" w14:textId="77777777" w:rsidR="007E1591" w:rsidRDefault="007E1591" w:rsidP="007E1591">
      <w:pPr>
        <w:spacing w:line="260" w:lineRule="atLeast"/>
        <w:rPr>
          <w:rFonts w:eastAsia="Calibri"/>
          <w:b/>
          <w:i/>
          <w:sz w:val="22"/>
          <w:szCs w:val="22"/>
          <w:lang w:eastAsia="en-US"/>
        </w:rPr>
      </w:pPr>
    </w:p>
    <w:p w14:paraId="15D753C3" w14:textId="05345931" w:rsidR="007E1591" w:rsidRPr="0084576F" w:rsidRDefault="007E1591" w:rsidP="007E1591">
      <w:pPr>
        <w:jc w:val="both"/>
        <w:rPr>
          <w:rFonts w:ascii="Times New Roman" w:eastAsia="Calibri" w:hAnsi="Times New Roman" w:cs="Times New Roman"/>
          <w:b/>
          <w:i/>
          <w:iCs/>
          <w:lang w:eastAsia="en-US"/>
        </w:rPr>
      </w:pPr>
      <w:r w:rsidRPr="0084576F">
        <w:rPr>
          <w:rFonts w:eastAsia="Calibri"/>
          <w:b/>
          <w:i/>
          <w:sz w:val="22"/>
          <w:szCs w:val="22"/>
          <w:u w:val="single"/>
          <w:lang w:eastAsia="en-US"/>
        </w:rPr>
        <w:t>Scenario [</w:t>
      </w:r>
      <w:r w:rsidR="00CC407B">
        <w:rPr>
          <w:rFonts w:eastAsia="Calibri"/>
          <w:b/>
          <w:i/>
          <w:sz w:val="22"/>
          <w:szCs w:val="22"/>
          <w:u w:val="single"/>
          <w:lang w:eastAsia="en-US"/>
        </w:rPr>
        <w:t>9</w:t>
      </w:r>
      <w:r w:rsidRPr="0084576F">
        <w:rPr>
          <w:rFonts w:eastAsia="Calibri"/>
          <w:b/>
          <w:i/>
          <w:sz w:val="22"/>
          <w:szCs w:val="22"/>
          <w:u w:val="single"/>
          <w:lang w:eastAsia="en-US"/>
        </w:rPr>
        <w:t>] – Application by semi-automatic mopping</w:t>
      </w:r>
    </w:p>
    <w:p w14:paraId="00B50E60" w14:textId="77777777" w:rsidR="007E1591" w:rsidRPr="0084576F" w:rsidRDefault="007E1591" w:rsidP="007E1591">
      <w:pPr>
        <w:jc w:val="both"/>
        <w:rPr>
          <w:rFonts w:eastAsia="Calibri"/>
          <w:b/>
          <w:i/>
          <w:sz w:val="22"/>
          <w:szCs w:val="22"/>
          <w:lang w:eastAsia="en-US"/>
        </w:rPr>
      </w:pPr>
    </w:p>
    <w:p w14:paraId="3CF524A2" w14:textId="77777777" w:rsidR="007E1591" w:rsidRDefault="007E1591" w:rsidP="007E1591">
      <w:pPr>
        <w:jc w:val="both"/>
        <w:rPr>
          <w:rFonts w:eastAsia="Calibri"/>
          <w:bCs/>
          <w:iCs/>
          <w:szCs w:val="22"/>
          <w:lang w:val="en-US" w:eastAsia="en-US"/>
        </w:rPr>
      </w:pPr>
      <w:r>
        <w:rPr>
          <w:rFonts w:eastAsia="Calibri"/>
          <w:bCs/>
          <w:iCs/>
          <w:szCs w:val="22"/>
          <w:lang w:eastAsia="en-US"/>
        </w:rPr>
        <w:t>A</w:t>
      </w:r>
      <w:r>
        <w:rPr>
          <w:rFonts w:eastAsia="Calibri"/>
          <w:bCs/>
          <w:iCs/>
          <w:szCs w:val="22"/>
          <w:lang w:val="en-US" w:eastAsia="en-US"/>
        </w:rPr>
        <w:t>pplication of</w:t>
      </w:r>
      <w:r w:rsidRPr="0084576F">
        <w:rPr>
          <w:rFonts w:eastAsia="Calibri"/>
          <w:bCs/>
          <w:iCs/>
          <w:szCs w:val="22"/>
          <w:lang w:val="en-US" w:eastAsia="en-US"/>
        </w:rPr>
        <w:t xml:space="preserve"> </w:t>
      </w:r>
      <w:r>
        <w:rPr>
          <w:rFonts w:eastAsia="Calibri"/>
          <w:lang w:eastAsia="en-US"/>
        </w:rPr>
        <w:t xml:space="preserve">products of meta SPC 13 </w:t>
      </w:r>
      <w:r w:rsidRPr="0084576F">
        <w:rPr>
          <w:rFonts w:eastAsia="Calibri"/>
          <w:bCs/>
          <w:iCs/>
          <w:szCs w:val="22"/>
          <w:lang w:val="en-US" w:eastAsia="en-US"/>
        </w:rPr>
        <w:t>with scrubber-dryers or single-disk scrubbers i</w:t>
      </w:r>
      <w:r>
        <w:rPr>
          <w:rFonts w:eastAsia="Calibri"/>
          <w:bCs/>
          <w:iCs/>
          <w:szCs w:val="22"/>
          <w:lang w:val="en-US" w:eastAsia="en-US"/>
        </w:rPr>
        <w:t>s considered as a semi-automatic</w:t>
      </w:r>
      <w:r w:rsidRPr="0084576F">
        <w:rPr>
          <w:rFonts w:eastAsia="Calibri"/>
          <w:bCs/>
          <w:iCs/>
          <w:szCs w:val="22"/>
          <w:lang w:val="en-US" w:eastAsia="en-US"/>
        </w:rPr>
        <w:t xml:space="preserve"> application, where no </w:t>
      </w:r>
      <w:r>
        <w:rPr>
          <w:rFonts w:eastAsia="Calibri"/>
          <w:bCs/>
          <w:iCs/>
          <w:szCs w:val="22"/>
          <w:lang w:val="en-US" w:eastAsia="en-US"/>
        </w:rPr>
        <w:t>significant</w:t>
      </w:r>
      <w:r w:rsidRPr="0084576F">
        <w:rPr>
          <w:rFonts w:eastAsia="Calibri"/>
          <w:bCs/>
          <w:iCs/>
          <w:szCs w:val="22"/>
          <w:lang w:val="en-US" w:eastAsia="en-US"/>
        </w:rPr>
        <w:t xml:space="preserve"> inhalation exposure is expe</w:t>
      </w:r>
      <w:r>
        <w:rPr>
          <w:rFonts w:eastAsia="Calibri"/>
          <w:bCs/>
          <w:iCs/>
          <w:szCs w:val="22"/>
          <w:lang w:val="en-US" w:eastAsia="en-US"/>
        </w:rPr>
        <w:t>c</w:t>
      </w:r>
      <w:r w:rsidRPr="0084576F">
        <w:rPr>
          <w:rFonts w:eastAsia="Calibri"/>
          <w:bCs/>
          <w:iCs/>
          <w:szCs w:val="22"/>
          <w:lang w:val="en-US" w:eastAsia="en-US"/>
        </w:rPr>
        <w:t xml:space="preserve">ted. </w:t>
      </w:r>
    </w:p>
    <w:p w14:paraId="238B37B1" w14:textId="77777777" w:rsidR="007E1591" w:rsidRDefault="007E1591" w:rsidP="007E1591">
      <w:pPr>
        <w:jc w:val="both"/>
        <w:rPr>
          <w:rFonts w:eastAsia="Calibri"/>
          <w:bCs/>
          <w:iCs/>
          <w:szCs w:val="22"/>
          <w:lang w:val="en-US" w:eastAsia="en-US"/>
        </w:rPr>
      </w:pPr>
    </w:p>
    <w:p w14:paraId="2EE44244" w14:textId="77777777" w:rsidR="007E1591" w:rsidRPr="0084576F" w:rsidRDefault="007E1591" w:rsidP="007E1591">
      <w:pPr>
        <w:jc w:val="both"/>
        <w:rPr>
          <w:rFonts w:eastAsia="Calibri"/>
          <w:bCs/>
          <w:iCs/>
          <w:szCs w:val="22"/>
          <w:lang w:val="en-US" w:eastAsia="en-US"/>
        </w:rPr>
      </w:pPr>
      <w:r w:rsidRPr="0084576F">
        <w:rPr>
          <w:rFonts w:eastAsia="Calibri"/>
          <w:bCs/>
          <w:iCs/>
          <w:szCs w:val="22"/>
          <w:lang w:val="en-US" w:eastAsia="en-US"/>
        </w:rPr>
        <w:t xml:space="preserve">Only </w:t>
      </w:r>
      <w:r>
        <w:rPr>
          <w:rFonts w:eastAsia="Calibri"/>
          <w:bCs/>
          <w:iCs/>
          <w:szCs w:val="22"/>
          <w:lang w:val="en-US" w:eastAsia="en-US"/>
        </w:rPr>
        <w:t xml:space="preserve">inhalation </w:t>
      </w:r>
      <w:r w:rsidRPr="0084576F">
        <w:rPr>
          <w:rFonts w:eastAsia="Calibri"/>
          <w:bCs/>
          <w:iCs/>
          <w:szCs w:val="22"/>
          <w:lang w:val="en-US" w:eastAsia="en-US"/>
        </w:rPr>
        <w:t>exposure</w:t>
      </w:r>
      <w:r>
        <w:rPr>
          <w:rFonts w:eastAsia="Calibri"/>
          <w:bCs/>
          <w:iCs/>
          <w:szCs w:val="22"/>
          <w:lang w:val="en-US" w:eastAsia="en-US"/>
        </w:rPr>
        <w:t xml:space="preserve"> to aerosols and vapors of </w:t>
      </w:r>
      <w:r w:rsidRPr="00293504">
        <w:rPr>
          <w:rFonts w:eastAsia="Calibri"/>
          <w:bCs/>
          <w:iCs/>
          <w:szCs w:val="22"/>
          <w:lang w:val="en-US" w:eastAsia="en-US"/>
        </w:rPr>
        <w:t xml:space="preserve">2-(2-butoxyethoxy)ethanol </w:t>
      </w:r>
      <w:r>
        <w:rPr>
          <w:rFonts w:eastAsia="Calibri"/>
          <w:bCs/>
          <w:iCs/>
          <w:szCs w:val="22"/>
          <w:lang w:val="en-US" w:eastAsia="en-US"/>
        </w:rPr>
        <w:t>during manual or semi-automatic</w:t>
      </w:r>
      <w:r w:rsidRPr="0084576F">
        <w:rPr>
          <w:rFonts w:eastAsia="Calibri"/>
          <w:bCs/>
          <w:iCs/>
          <w:szCs w:val="22"/>
          <w:lang w:val="en-US" w:eastAsia="en-US"/>
        </w:rPr>
        <w:t xml:space="preserve"> loading of these machines is </w:t>
      </w:r>
      <w:r>
        <w:rPr>
          <w:rFonts w:eastAsia="Calibri"/>
          <w:bCs/>
          <w:iCs/>
          <w:szCs w:val="22"/>
          <w:lang w:val="en-US" w:eastAsia="en-US"/>
        </w:rPr>
        <w:t>considered</w:t>
      </w:r>
      <w:r w:rsidRPr="0084576F">
        <w:rPr>
          <w:rFonts w:eastAsia="Calibri"/>
          <w:bCs/>
          <w:iCs/>
          <w:szCs w:val="22"/>
          <w:lang w:val="en-US" w:eastAsia="en-US"/>
        </w:rPr>
        <w:t xml:space="preserve"> (see scenario </w:t>
      </w:r>
      <w:r>
        <w:rPr>
          <w:rFonts w:eastAsia="Calibri"/>
          <w:bCs/>
          <w:iCs/>
          <w:szCs w:val="22"/>
          <w:lang w:val="en-US" w:eastAsia="en-US"/>
        </w:rPr>
        <w:t>15-16-17</w:t>
      </w:r>
      <w:r w:rsidRPr="0084576F">
        <w:rPr>
          <w:rFonts w:eastAsia="Calibri"/>
          <w:bCs/>
          <w:iCs/>
          <w:szCs w:val="22"/>
          <w:lang w:val="en-US" w:eastAsia="en-US"/>
        </w:rPr>
        <w:t>).</w:t>
      </w:r>
    </w:p>
    <w:p w14:paraId="05CEF0B1" w14:textId="77777777" w:rsidR="007E1591" w:rsidRDefault="007E1591" w:rsidP="007E1591">
      <w:pPr>
        <w:jc w:val="both"/>
        <w:rPr>
          <w:rFonts w:eastAsia="Calibri"/>
          <w:iCs/>
          <w:sz w:val="16"/>
          <w:vertAlign w:val="superscript"/>
          <w:lang w:eastAsia="en-US"/>
        </w:rPr>
      </w:pPr>
    </w:p>
    <w:p w14:paraId="6EF45C70" w14:textId="77777777" w:rsidR="007E1591" w:rsidRDefault="007E1591" w:rsidP="007E1591">
      <w:pPr>
        <w:jc w:val="both"/>
        <w:rPr>
          <w:rFonts w:eastAsia="Calibri"/>
          <w:i/>
          <w:sz w:val="22"/>
          <w:szCs w:val="22"/>
          <w:u w:val="single"/>
          <w:lang w:eastAsia="en-US"/>
        </w:rPr>
      </w:pPr>
      <w:r>
        <w:rPr>
          <w:rFonts w:eastAsia="Calibri"/>
          <w:i/>
          <w:sz w:val="22"/>
          <w:szCs w:val="22"/>
          <w:u w:val="single"/>
          <w:lang w:eastAsia="en-US"/>
        </w:rPr>
        <w:t>Combined scenarios</w:t>
      </w:r>
    </w:p>
    <w:p w14:paraId="2F8B1FFC" w14:textId="77777777" w:rsidR="007E1591" w:rsidRDefault="007E1591" w:rsidP="007E1591">
      <w:pPr>
        <w:jc w:val="both"/>
        <w:rPr>
          <w:rFonts w:eastAsia="Calibri"/>
          <w:iCs/>
          <w:sz w:val="16"/>
          <w:vertAlign w:val="superscript"/>
          <w:lang w:eastAsia="en-US"/>
        </w:rPr>
      </w:pPr>
    </w:p>
    <w:p w14:paraId="0756E496" w14:textId="77777777" w:rsidR="007E1591" w:rsidRPr="0084576F" w:rsidRDefault="007E1591" w:rsidP="007E1591">
      <w:pPr>
        <w:jc w:val="both"/>
        <w:rPr>
          <w:rFonts w:eastAsia="Calibri"/>
          <w:iCs/>
          <w:lang w:eastAsia="en-US"/>
        </w:rPr>
      </w:pPr>
      <w:r>
        <w:rPr>
          <w:rFonts w:eastAsia="Calibri"/>
          <w:iCs/>
          <w:lang w:eastAsia="en-US"/>
        </w:rPr>
        <w:t xml:space="preserve">The </w:t>
      </w:r>
      <w:r w:rsidRPr="0084576F">
        <w:rPr>
          <w:rFonts w:eastAsia="Calibri"/>
          <w:iCs/>
          <w:lang w:eastAsia="en-US"/>
        </w:rPr>
        <w:t>effects</w:t>
      </w:r>
      <w:r>
        <w:rPr>
          <w:rFonts w:eastAsia="Calibri"/>
          <w:iCs/>
          <w:lang w:eastAsia="en-US"/>
        </w:rPr>
        <w:t xml:space="preserve"> of </w:t>
      </w:r>
      <w:r w:rsidRPr="00293504">
        <w:rPr>
          <w:rFonts w:eastAsia="Calibri"/>
          <w:bCs/>
          <w:iCs/>
          <w:szCs w:val="22"/>
          <w:lang w:val="en-US" w:eastAsia="en-US"/>
        </w:rPr>
        <w:t>2-(2-butoxyethoxy)ethanol</w:t>
      </w:r>
      <w:r w:rsidRPr="0084576F">
        <w:rPr>
          <w:rFonts w:eastAsia="Calibri"/>
          <w:iCs/>
          <w:lang w:eastAsia="en-US"/>
        </w:rPr>
        <w:t xml:space="preserve"> are rather concentration than time-dependent</w:t>
      </w:r>
      <w:r>
        <w:rPr>
          <w:rFonts w:eastAsia="Calibri"/>
          <w:iCs/>
          <w:lang w:eastAsia="en-US"/>
        </w:rPr>
        <w:t xml:space="preserve"> (EU IOELV converted in mg/m</w:t>
      </w:r>
      <w:r w:rsidRPr="0084576F">
        <w:rPr>
          <w:rFonts w:eastAsia="Calibri"/>
          <w:iCs/>
          <w:vertAlign w:val="superscript"/>
          <w:lang w:eastAsia="en-US"/>
        </w:rPr>
        <w:t>3</w:t>
      </w:r>
      <w:r>
        <w:rPr>
          <w:rFonts w:eastAsia="Calibri"/>
          <w:iCs/>
          <w:lang w:eastAsia="en-US"/>
        </w:rPr>
        <w:t>)</w:t>
      </w:r>
      <w:r w:rsidRPr="0084576F">
        <w:rPr>
          <w:rFonts w:eastAsia="Calibri"/>
          <w:iCs/>
          <w:lang w:eastAsia="en-US"/>
        </w:rPr>
        <w:t>.</w:t>
      </w:r>
      <w:r>
        <w:rPr>
          <w:rFonts w:eastAsia="Calibri"/>
          <w:iCs/>
          <w:lang w:eastAsia="en-US"/>
        </w:rPr>
        <w:t xml:space="preserve"> Therefore, combined scenarios have been considered as not relevant. </w:t>
      </w:r>
    </w:p>
    <w:p w14:paraId="356E25B3" w14:textId="77777777" w:rsidR="009D0C0B" w:rsidRPr="00B27CB1" w:rsidRDefault="009D0C0B">
      <w:pPr>
        <w:spacing w:line="260" w:lineRule="atLeast"/>
        <w:rPr>
          <w:rFonts w:eastAsia="Calibri"/>
          <w:b/>
          <w:i/>
          <w:sz w:val="22"/>
          <w:szCs w:val="22"/>
          <w:shd w:val="clear" w:color="auto" w:fill="00FFFF"/>
          <w:lang w:eastAsia="en-US"/>
        </w:rPr>
      </w:pPr>
    </w:p>
    <w:p w14:paraId="37064669" w14:textId="77777777" w:rsidR="009D0C0B" w:rsidRPr="00B27CB1" w:rsidRDefault="009D0C0B">
      <w:pPr>
        <w:spacing w:line="260" w:lineRule="atLeast"/>
        <w:rPr>
          <w:rFonts w:ascii="Times New Roman" w:eastAsia="Calibri" w:hAnsi="Times New Roman" w:cs="Times New Roman"/>
          <w:i/>
          <w:iCs/>
          <w:shd w:val="clear" w:color="auto" w:fill="00FFFF"/>
          <w:lang w:eastAsia="en-US"/>
        </w:rPr>
      </w:pPr>
    </w:p>
    <w:p w14:paraId="653EC7D3" w14:textId="3FB842BB" w:rsidR="00F22323" w:rsidRDefault="00FA480B" w:rsidP="00F22323">
      <w:pPr>
        <w:rPr>
          <w:rFonts w:eastAsia="Calibri"/>
          <w:iCs/>
          <w:lang w:eastAsia="en-US"/>
        </w:rPr>
      </w:pPr>
      <w:r w:rsidRPr="00E91F85">
        <w:rPr>
          <w:rFonts w:eastAsia="Calibri"/>
          <w:b/>
          <w:i/>
          <w:sz w:val="22"/>
          <w:szCs w:val="22"/>
          <w:lang w:val="en-US" w:eastAsia="en-US"/>
        </w:rPr>
        <w:t xml:space="preserve">Non-professional </w:t>
      </w:r>
      <w:r w:rsidRPr="003213B9">
        <w:rPr>
          <w:rFonts w:eastAsia="Calibri"/>
          <w:b/>
          <w:i/>
          <w:sz w:val="22"/>
          <w:szCs w:val="22"/>
          <w:lang w:val="en-US" w:eastAsia="en-US"/>
        </w:rPr>
        <w:t>exposure</w:t>
      </w:r>
      <w:r w:rsidR="00F22323" w:rsidRPr="003213B9" w:rsidDel="00F22323">
        <w:rPr>
          <w:rFonts w:eastAsia="Calibri"/>
          <w:szCs w:val="22"/>
          <w:lang w:val="en-US" w:eastAsia="en-US"/>
        </w:rPr>
        <w:t xml:space="preserve"> </w:t>
      </w:r>
    </w:p>
    <w:p w14:paraId="6BB39335" w14:textId="2AC321CF" w:rsidR="00F22323" w:rsidRPr="00E91F85" w:rsidRDefault="00F22323" w:rsidP="00F22323">
      <w:pPr>
        <w:rPr>
          <w:rFonts w:eastAsia="Calibri"/>
          <w:iCs/>
          <w:lang w:eastAsia="en-US"/>
        </w:rPr>
      </w:pPr>
      <w:r w:rsidRPr="00E91F85">
        <w:rPr>
          <w:rFonts w:eastAsia="Calibri"/>
          <w:iCs/>
          <w:lang w:eastAsia="en-US"/>
        </w:rPr>
        <w:t xml:space="preserve">Not </w:t>
      </w:r>
      <w:r>
        <w:rPr>
          <w:rFonts w:eastAsia="Calibri"/>
          <w:iCs/>
          <w:lang w:eastAsia="en-US"/>
        </w:rPr>
        <w:t>relevant.</w:t>
      </w:r>
    </w:p>
    <w:p w14:paraId="14846BB4" w14:textId="1626E9A7" w:rsidR="00F22323" w:rsidRPr="00E91F85" w:rsidRDefault="00F22323" w:rsidP="00F22323">
      <w:pPr>
        <w:rPr>
          <w:rFonts w:eastAsia="Calibri"/>
          <w:iCs/>
          <w:sz w:val="16"/>
          <w:lang w:eastAsia="en-US"/>
        </w:rPr>
      </w:pPr>
    </w:p>
    <w:p w14:paraId="7D6F54C6" w14:textId="77777777" w:rsidR="009D0C0B" w:rsidRPr="00B27CB1" w:rsidRDefault="00FA480B">
      <w:pPr>
        <w:rPr>
          <w:rFonts w:eastAsia="Calibri"/>
          <w:b/>
          <w:i/>
          <w:sz w:val="22"/>
          <w:szCs w:val="22"/>
          <w:shd w:val="clear" w:color="auto" w:fill="00FFFF"/>
          <w:lang w:eastAsia="en-US"/>
        </w:rPr>
      </w:pPr>
      <w:r w:rsidRPr="00B27CB1">
        <w:rPr>
          <w:rFonts w:eastAsia="Calibri"/>
          <w:b/>
          <w:i/>
          <w:sz w:val="22"/>
          <w:szCs w:val="22"/>
          <w:lang w:eastAsia="en-US"/>
        </w:rPr>
        <w:t>Exposure of the general public</w:t>
      </w:r>
    </w:p>
    <w:p w14:paraId="33142AF7" w14:textId="77777777" w:rsidR="009D0C0B" w:rsidRPr="00B27CB1" w:rsidRDefault="009D0C0B">
      <w:pPr>
        <w:spacing w:line="260" w:lineRule="atLeast"/>
        <w:rPr>
          <w:rFonts w:eastAsia="Calibri"/>
          <w:b/>
          <w:i/>
          <w:sz w:val="22"/>
          <w:szCs w:val="22"/>
          <w:shd w:val="clear" w:color="auto" w:fill="00FFFF"/>
          <w:lang w:eastAsia="en-US"/>
        </w:rPr>
      </w:pPr>
    </w:p>
    <w:p w14:paraId="141FE337" w14:textId="77777777" w:rsidR="00F22323" w:rsidRPr="00E91F85" w:rsidRDefault="00F22323" w:rsidP="00F22323">
      <w:pPr>
        <w:spacing w:line="260" w:lineRule="atLeast"/>
        <w:rPr>
          <w:rFonts w:eastAsia="Calibri"/>
          <w:b/>
          <w:i/>
          <w:iCs/>
          <w:u w:val="single"/>
          <w:lang w:eastAsia="en-US"/>
        </w:rPr>
      </w:pPr>
      <w:r w:rsidRPr="00E91F85">
        <w:rPr>
          <w:rFonts w:eastAsia="Calibri"/>
          <w:b/>
          <w:i/>
          <w:iCs/>
          <w:u w:val="single"/>
          <w:lang w:eastAsia="en-US"/>
        </w:rPr>
        <w:t>Meta SPC 13</w:t>
      </w:r>
    </w:p>
    <w:p w14:paraId="265C6396" w14:textId="77777777" w:rsidR="00F22323" w:rsidRPr="00F22323" w:rsidRDefault="00F22323" w:rsidP="00F22323">
      <w:pPr>
        <w:spacing w:line="260" w:lineRule="atLeast"/>
        <w:rPr>
          <w:rFonts w:eastAsia="Calibri"/>
          <w:iCs/>
          <w:lang w:eastAsia="en-US"/>
        </w:rPr>
      </w:pPr>
    </w:p>
    <w:p w14:paraId="1B1E8615" w14:textId="292B9246" w:rsidR="009D0C0B" w:rsidRPr="00B27CB1" w:rsidRDefault="00F22323" w:rsidP="00E91F85">
      <w:pPr>
        <w:spacing w:line="260" w:lineRule="atLeast"/>
        <w:jc w:val="both"/>
        <w:rPr>
          <w:rFonts w:ascii="Times New Roman" w:eastAsia="Calibri" w:hAnsi="Times New Roman" w:cs="Times New Roman"/>
          <w:i/>
          <w:iCs/>
          <w:shd w:val="clear" w:color="auto" w:fill="00FFFF"/>
          <w:lang w:eastAsia="en-US"/>
        </w:rPr>
      </w:pPr>
      <w:r w:rsidRPr="00F22323">
        <w:rPr>
          <w:rFonts w:eastAsia="Calibri"/>
          <w:iCs/>
          <w:lang w:eastAsia="en-US"/>
        </w:rPr>
        <w:t>The EU IOELV of 2-(2-butoxyethoxy)ethanol (67.5 mg/m</w:t>
      </w:r>
      <w:r w:rsidRPr="00E91F85">
        <w:rPr>
          <w:rFonts w:eastAsia="Calibri"/>
          <w:iCs/>
          <w:vertAlign w:val="superscript"/>
          <w:lang w:eastAsia="en-US"/>
        </w:rPr>
        <w:t>3</w:t>
      </w:r>
      <w:r w:rsidRPr="00F22323">
        <w:rPr>
          <w:rFonts w:eastAsia="Calibri"/>
          <w:iCs/>
          <w:lang w:eastAsia="en-US"/>
        </w:rPr>
        <w:t>) is only applicable for industrial/professional users. Therefore, no assessment of secondary exposure is required for general public.</w:t>
      </w:r>
    </w:p>
    <w:p w14:paraId="091CEBA3" w14:textId="77777777" w:rsidR="00F22323" w:rsidRDefault="00F22323">
      <w:pPr>
        <w:rPr>
          <w:rFonts w:eastAsia="Calibri"/>
          <w:b/>
          <w:i/>
          <w:sz w:val="22"/>
          <w:szCs w:val="22"/>
          <w:lang w:eastAsia="en-US"/>
        </w:rPr>
      </w:pPr>
    </w:p>
    <w:p w14:paraId="3388D333" w14:textId="77777777" w:rsidR="00135833" w:rsidRDefault="00135833">
      <w:pPr>
        <w:rPr>
          <w:rFonts w:eastAsia="Calibri"/>
          <w:b/>
          <w:i/>
          <w:szCs w:val="22"/>
          <w:u w:val="single"/>
          <w:lang w:val="en-US" w:eastAsia="en-US"/>
        </w:rPr>
      </w:pPr>
    </w:p>
    <w:p w14:paraId="1A2AD358" w14:textId="77777777" w:rsidR="00135833" w:rsidRDefault="00135833">
      <w:pPr>
        <w:rPr>
          <w:rFonts w:eastAsia="Calibri"/>
          <w:b/>
          <w:i/>
          <w:szCs w:val="22"/>
          <w:u w:val="single"/>
          <w:lang w:val="en-US" w:eastAsia="en-US"/>
        </w:rPr>
      </w:pPr>
    </w:p>
    <w:p w14:paraId="0704C7BB" w14:textId="10DA1A2C" w:rsidR="00A06D53" w:rsidRPr="00E91F85" w:rsidRDefault="00A06D53">
      <w:pPr>
        <w:rPr>
          <w:rFonts w:eastAsia="Calibri"/>
          <w:b/>
          <w:i/>
          <w:szCs w:val="22"/>
          <w:u w:val="single"/>
          <w:lang w:val="en-US" w:eastAsia="en-US"/>
        </w:rPr>
      </w:pPr>
      <w:r w:rsidRPr="00E91F85">
        <w:rPr>
          <w:rFonts w:eastAsia="Calibri"/>
          <w:b/>
          <w:i/>
          <w:szCs w:val="22"/>
          <w:u w:val="single"/>
          <w:lang w:val="en-US" w:eastAsia="en-US"/>
        </w:rPr>
        <w:t xml:space="preserve">Meta SPC </w:t>
      </w:r>
      <w:r w:rsidRPr="00E91F85">
        <w:rPr>
          <w:rFonts w:eastAsia="Calibri"/>
          <w:b/>
          <w:i/>
          <w:u w:val="single"/>
          <w:lang w:val="en-US" w:eastAsia="en-US"/>
        </w:rPr>
        <w:t>2</w:t>
      </w:r>
      <w:r w:rsidR="00760FDC" w:rsidRPr="00E91F85">
        <w:rPr>
          <w:b/>
          <w:i/>
          <w:u w:val="single"/>
          <w:lang w:val="en-US"/>
        </w:rPr>
        <w:t>–3-4-6-7-8–9-10</w:t>
      </w:r>
      <w:r w:rsidR="00760FDC" w:rsidRPr="00E91F85">
        <w:rPr>
          <w:rFonts w:eastAsia="Calibri"/>
          <w:b/>
          <w:i/>
          <w:u w:val="single"/>
          <w:lang w:val="en-US" w:eastAsia="en-US"/>
        </w:rPr>
        <w:t>-11-12-13</w:t>
      </w:r>
    </w:p>
    <w:p w14:paraId="33A57547" w14:textId="2099D89E" w:rsidR="00A06D53" w:rsidRPr="00E91F85" w:rsidRDefault="00A06D53">
      <w:pPr>
        <w:rPr>
          <w:rFonts w:eastAsia="Calibri"/>
          <w:b/>
          <w:i/>
          <w:szCs w:val="22"/>
          <w:u w:val="single"/>
          <w:lang w:val="en-US" w:eastAsia="en-US"/>
        </w:rPr>
      </w:pPr>
    </w:p>
    <w:p w14:paraId="4917E46A" w14:textId="7C20A0F7" w:rsidR="00760FDC" w:rsidRPr="00E91F85" w:rsidRDefault="00A41921" w:rsidP="00E91F85">
      <w:pPr>
        <w:jc w:val="both"/>
        <w:rPr>
          <w:rFonts w:eastAsia="Calibri"/>
          <w:szCs w:val="22"/>
          <w:lang w:val="en-US" w:eastAsia="en-US"/>
        </w:rPr>
      </w:pPr>
      <w:r>
        <w:rPr>
          <w:rFonts w:eastAsia="Calibri"/>
          <w:szCs w:val="22"/>
          <w:lang w:val="en-US" w:eastAsia="en-US"/>
        </w:rPr>
        <w:lastRenderedPageBreak/>
        <w:t>When applied</w:t>
      </w:r>
      <w:r w:rsidR="00760FDC">
        <w:rPr>
          <w:rFonts w:eastAsia="Calibri"/>
          <w:szCs w:val="22"/>
          <w:lang w:val="en-US" w:eastAsia="en-US"/>
        </w:rPr>
        <w:t>, products of m</w:t>
      </w:r>
      <w:r w:rsidR="00760FDC" w:rsidRPr="00E91F85">
        <w:rPr>
          <w:rFonts w:eastAsia="Calibri"/>
          <w:szCs w:val="22"/>
          <w:lang w:val="en-US" w:eastAsia="en-US"/>
        </w:rPr>
        <w:t xml:space="preserve">eta SPC 2–3-4-6-7-8–9-10-11-12-13 </w:t>
      </w:r>
      <w:r w:rsidR="00760FDC" w:rsidRPr="00D863BE">
        <w:rPr>
          <w:rFonts w:eastAsia="Calibri"/>
          <w:szCs w:val="22"/>
          <w:lang w:val="en-US" w:eastAsia="en-US"/>
        </w:rPr>
        <w:t>are classified</w:t>
      </w:r>
      <w:r w:rsidR="00760FDC">
        <w:rPr>
          <w:rFonts w:eastAsia="Calibri"/>
          <w:szCs w:val="22"/>
          <w:lang w:val="en-US" w:eastAsia="en-US"/>
        </w:rPr>
        <w:t xml:space="preserve">. Therefore, dermal exposure of the general public </w:t>
      </w:r>
      <w:r w:rsidR="00135833">
        <w:rPr>
          <w:rFonts w:eastAsia="Calibri"/>
          <w:szCs w:val="22"/>
          <w:lang w:val="en-US" w:eastAsia="en-US"/>
        </w:rPr>
        <w:t xml:space="preserve">when touching treated surfaces </w:t>
      </w:r>
      <w:r w:rsidR="00760FDC">
        <w:rPr>
          <w:rFonts w:eastAsia="Calibri"/>
          <w:szCs w:val="22"/>
          <w:lang w:val="en-US" w:eastAsia="en-US"/>
        </w:rPr>
        <w:t>can occur after application by professionals or non-professionals.</w:t>
      </w:r>
    </w:p>
    <w:p w14:paraId="0A1F4B0A" w14:textId="77777777" w:rsidR="00F22323" w:rsidRPr="00E91F85" w:rsidRDefault="00F22323">
      <w:pPr>
        <w:rPr>
          <w:rFonts w:eastAsia="Calibri"/>
          <w:b/>
          <w:i/>
          <w:szCs w:val="22"/>
          <w:u w:val="single"/>
          <w:lang w:val="en-US" w:eastAsia="en-US"/>
        </w:rPr>
      </w:pPr>
    </w:p>
    <w:p w14:paraId="7D0A86F4" w14:textId="359E047F" w:rsidR="009D0C0B" w:rsidRPr="00B27CB1" w:rsidRDefault="00FA480B">
      <w:pPr>
        <w:rPr>
          <w:rFonts w:ascii="Times New Roman" w:eastAsia="Calibri" w:hAnsi="Times New Roman" w:cs="Times New Roman"/>
          <w:i/>
          <w:iCs/>
          <w:lang w:eastAsia="en-US"/>
        </w:rPr>
      </w:pPr>
      <w:r w:rsidRPr="00B27CB1">
        <w:rPr>
          <w:rFonts w:eastAsia="Calibri"/>
          <w:b/>
          <w:i/>
          <w:sz w:val="22"/>
          <w:szCs w:val="22"/>
          <w:lang w:eastAsia="en-US"/>
        </w:rPr>
        <w:t>Monitoring data</w:t>
      </w:r>
    </w:p>
    <w:p w14:paraId="20CB3FE5" w14:textId="77777777" w:rsidR="00F22323" w:rsidRDefault="00F22323">
      <w:pPr>
        <w:spacing w:line="260" w:lineRule="atLeast"/>
        <w:rPr>
          <w:rFonts w:ascii="Times New Roman" w:eastAsia="Calibri" w:hAnsi="Times New Roman" w:cs="Times New Roman"/>
          <w:i/>
          <w:iCs/>
          <w:lang w:eastAsia="en-US"/>
        </w:rPr>
      </w:pPr>
    </w:p>
    <w:p w14:paraId="45225B76" w14:textId="2C6B14AB" w:rsidR="00F22323" w:rsidRPr="00E91F85" w:rsidRDefault="00F22323">
      <w:pPr>
        <w:spacing w:line="260" w:lineRule="atLeast"/>
        <w:rPr>
          <w:rFonts w:eastAsia="Calibri" w:cs="Times New Roman"/>
          <w:iCs/>
          <w:lang w:eastAsia="en-US"/>
        </w:rPr>
      </w:pPr>
      <w:r w:rsidRPr="00E91F85">
        <w:rPr>
          <w:rFonts w:eastAsia="Calibri" w:cs="Times New Roman"/>
          <w:iCs/>
          <w:lang w:eastAsia="en-US"/>
        </w:rPr>
        <w:t xml:space="preserve">Not </w:t>
      </w:r>
      <w:r>
        <w:rPr>
          <w:rFonts w:eastAsia="Calibri" w:cs="Times New Roman"/>
          <w:iCs/>
          <w:lang w:eastAsia="en-US"/>
        </w:rPr>
        <w:t>applicable.</w:t>
      </w:r>
    </w:p>
    <w:p w14:paraId="7258C6C7" w14:textId="45844FB7" w:rsidR="00F22323" w:rsidRDefault="00F22323">
      <w:pPr>
        <w:rPr>
          <w:rFonts w:eastAsia="Calibri"/>
          <w:b/>
          <w:i/>
          <w:sz w:val="22"/>
          <w:szCs w:val="22"/>
          <w:lang w:eastAsia="en-US"/>
        </w:rPr>
      </w:pPr>
    </w:p>
    <w:p w14:paraId="199756BA" w14:textId="6AC067BE" w:rsidR="009D0C0B" w:rsidRPr="00B27CB1" w:rsidRDefault="00FA480B">
      <w:pPr>
        <w:rPr>
          <w:rFonts w:ascii="Times New Roman" w:eastAsia="Calibri" w:hAnsi="Times New Roman" w:cs="Times New Roman"/>
          <w:i/>
          <w:iCs/>
          <w:lang w:eastAsia="en-US"/>
        </w:rPr>
      </w:pPr>
      <w:r w:rsidRPr="00B27CB1">
        <w:rPr>
          <w:rFonts w:eastAsia="Calibri"/>
          <w:b/>
          <w:i/>
          <w:sz w:val="22"/>
          <w:szCs w:val="22"/>
          <w:lang w:eastAsia="en-US"/>
        </w:rPr>
        <w:t>Dietary exposure</w:t>
      </w:r>
    </w:p>
    <w:p w14:paraId="08DB7AF8" w14:textId="77777777" w:rsidR="001A0D2D" w:rsidRDefault="001A0D2D" w:rsidP="00B363D6">
      <w:pPr>
        <w:jc w:val="both"/>
        <w:rPr>
          <w:lang w:val="en-US"/>
        </w:rPr>
      </w:pPr>
      <w:r>
        <w:rPr>
          <w:lang w:val="en-US"/>
        </w:rPr>
        <w:t xml:space="preserve">By definition PT 02 is for application on surfaces that are not used for direct contact with food or feeding stuffs. Therefore, residue in food or feed are not expected for LACTIC ACID BASED PRODUCTS for PT 2 uses. </w:t>
      </w:r>
    </w:p>
    <w:p w14:paraId="670942FA" w14:textId="77777777" w:rsidR="001A0D2D" w:rsidRDefault="001A0D2D" w:rsidP="00B363D6">
      <w:pPr>
        <w:jc w:val="both"/>
        <w:rPr>
          <w:lang w:val="en-US"/>
        </w:rPr>
      </w:pPr>
    </w:p>
    <w:p w14:paraId="695B4FB7" w14:textId="77777777" w:rsidR="001A0D2D" w:rsidRDefault="001A0D2D" w:rsidP="00B363D6">
      <w:pPr>
        <w:jc w:val="both"/>
        <w:rPr>
          <w:lang w:val="en-US"/>
        </w:rPr>
      </w:pPr>
      <w:r>
        <w:rPr>
          <w:lang w:val="en-US"/>
        </w:rPr>
        <w:t xml:space="preserve">Regarding the uses on PT 3 and 4, residues in food or feed might be expected. </w:t>
      </w:r>
    </w:p>
    <w:p w14:paraId="6F0E0E5F" w14:textId="77777777" w:rsidR="001A0D2D" w:rsidRDefault="001A0D2D" w:rsidP="00B363D6">
      <w:pPr>
        <w:jc w:val="both"/>
        <w:rPr>
          <w:lang w:val="en-US"/>
        </w:rPr>
      </w:pPr>
    </w:p>
    <w:p w14:paraId="094A4C20" w14:textId="77777777" w:rsidR="001A0D2D" w:rsidRDefault="001A0D2D" w:rsidP="00B363D6">
      <w:pPr>
        <w:jc w:val="both"/>
        <w:rPr>
          <w:lang w:val="en-US"/>
        </w:rPr>
      </w:pPr>
      <w:r>
        <w:rPr>
          <w:lang w:val="en-US"/>
        </w:rPr>
        <w:t xml:space="preserve">For L(+) lactic acid, the following evaluation was provided in the Assessment Report, 2007: </w:t>
      </w:r>
    </w:p>
    <w:p w14:paraId="0257139D" w14:textId="3023AB05" w:rsidR="001A0D2D" w:rsidRPr="00E91F85" w:rsidRDefault="001A0D2D" w:rsidP="00B363D6">
      <w:pPr>
        <w:jc w:val="both"/>
        <w:rPr>
          <w:rFonts w:eastAsia="Calibri"/>
          <w:i/>
          <w:iCs/>
        </w:rPr>
      </w:pPr>
      <w:r>
        <w:rPr>
          <w:lang w:val="en-US"/>
        </w:rPr>
        <w:t>“</w:t>
      </w:r>
      <w:r>
        <w:rPr>
          <w:i/>
          <w:lang w:val="en-US"/>
        </w:rPr>
        <w:t>L(+) lactic acid is a naturally occurring alpha-hydroxy acid found in plants, animals and humans. Major sources of L(+) lactic acid in the human organism are endogenous production (e.g. via anaerobic catabolism of glycogen and glucose) production by gastro intestinal microorganisms and uptake via food. The production of L(+) lactic acid as an intermediary metabolite in a 70 kg resting man is estimated to be in the range of 117-230 g/</w:t>
      </w:r>
      <w:r w:rsidR="00C97335">
        <w:rPr>
          <w:i/>
          <w:lang w:val="en-US"/>
        </w:rPr>
        <w:t>d</w:t>
      </w:r>
      <w:r>
        <w:rPr>
          <w:i/>
          <w:lang w:val="en-US"/>
        </w:rPr>
        <w:t xml:space="preserve"> but can be much higher during exercise. The mean daily per capita intake of L(+) lactic acid and D(-) lactic acid from milk and milk products has been estimated to be approximately 1 g</w:t>
      </w:r>
      <w:r w:rsidRPr="000138DE">
        <w:rPr>
          <w:rFonts w:ascii="Times New Roman" w:eastAsia="Calibri" w:hAnsi="Times New Roman"/>
          <w:i/>
          <w:iCs/>
        </w:rPr>
        <w:t xml:space="preserve"> </w:t>
      </w:r>
      <w:r w:rsidRPr="00E91F85">
        <w:rPr>
          <w:rFonts w:eastAsia="Calibri"/>
          <w:i/>
          <w:iCs/>
        </w:rPr>
        <w:t xml:space="preserve">in Switzeland (Walther, 2006). The estimated overall intake via food in the EU and the USA is estimated to be 1.65-2.76 g/person/day. </w:t>
      </w:r>
    </w:p>
    <w:p w14:paraId="6198130C" w14:textId="77777777" w:rsidR="001A0D2D" w:rsidRPr="00E91F85" w:rsidRDefault="001A0D2D" w:rsidP="00B363D6">
      <w:pPr>
        <w:jc w:val="both"/>
        <w:rPr>
          <w:rFonts w:eastAsia="Calibri"/>
          <w:i/>
          <w:iCs/>
        </w:rPr>
      </w:pPr>
    </w:p>
    <w:p w14:paraId="221FA93A" w14:textId="77777777" w:rsidR="001A0D2D" w:rsidRPr="00E91F85" w:rsidRDefault="001A0D2D" w:rsidP="00B363D6">
      <w:pPr>
        <w:jc w:val="both"/>
        <w:rPr>
          <w:rFonts w:eastAsia="Calibri"/>
          <w:i/>
          <w:iCs/>
        </w:rPr>
      </w:pPr>
      <w:r w:rsidRPr="00E91F85">
        <w:rPr>
          <w:rFonts w:eastAsia="Calibri"/>
          <w:i/>
          <w:iCs/>
        </w:rPr>
        <w:t xml:space="preserve">L(+) lactic acid has been approved in the EU as a food additive without an ADI or upper limit (quantum satis; Dir. 95/2/EC), as a cosmetics ingredient, and as veterinary medicinal product without the requirement for MRL setting (EMEA 2008).” </w:t>
      </w:r>
    </w:p>
    <w:p w14:paraId="33ABD5D6" w14:textId="77777777" w:rsidR="001A0D2D" w:rsidRPr="00E91F85" w:rsidRDefault="001A0D2D" w:rsidP="00B363D6">
      <w:pPr>
        <w:jc w:val="both"/>
        <w:rPr>
          <w:rFonts w:eastAsia="Calibri"/>
          <w:i/>
          <w:iCs/>
        </w:rPr>
      </w:pPr>
    </w:p>
    <w:p w14:paraId="62373C52" w14:textId="77777777" w:rsidR="001A0D2D" w:rsidRPr="00E91F85" w:rsidRDefault="001A0D2D" w:rsidP="00B363D6">
      <w:pPr>
        <w:jc w:val="both"/>
        <w:rPr>
          <w:rFonts w:eastAsia="Calibri"/>
          <w:iCs/>
        </w:rPr>
      </w:pPr>
      <w:r w:rsidRPr="00E91F85">
        <w:rPr>
          <w:rFonts w:eastAsia="Calibri"/>
          <w:iCs/>
        </w:rPr>
        <w:t>Moreover, “</w:t>
      </w:r>
      <w:r w:rsidRPr="00E91F85">
        <w:rPr>
          <w:rFonts w:eastAsia="Calibri"/>
          <w:i/>
          <w:iCs/>
        </w:rPr>
        <w:t xml:space="preserve">Because of the very low systemic toxicity of L(+) lactic acid, derivation of any systemic toxicological reference dose was regarded unnecessary. Considering the intended uses, exposure is estimated to be clearly below endogenous production (&gt;100 g/person/day) and dietary exposure (&gt;1 g/person/day). Therefore, neither an ADI nor an ARfD have been set”. </w:t>
      </w:r>
    </w:p>
    <w:p w14:paraId="7C11FDDC" w14:textId="77777777" w:rsidR="001A0D2D" w:rsidRDefault="001A0D2D" w:rsidP="001A0D2D">
      <w:pPr>
        <w:rPr>
          <w:i/>
        </w:rPr>
      </w:pPr>
    </w:p>
    <w:p w14:paraId="46133845" w14:textId="77777777" w:rsidR="001A0D2D" w:rsidRPr="00C33658" w:rsidRDefault="001A0D2D" w:rsidP="001A0D2D">
      <w:pPr>
        <w:rPr>
          <w:b/>
          <w:u w:val="single"/>
        </w:rPr>
      </w:pPr>
      <w:r w:rsidRPr="00C33658">
        <w:rPr>
          <w:b/>
          <w:u w:val="single"/>
        </w:rPr>
        <w:t>Substances of concern (SOC)</w:t>
      </w:r>
    </w:p>
    <w:p w14:paraId="63F4BF00" w14:textId="77777777" w:rsidR="001A0D2D" w:rsidRDefault="001A0D2D" w:rsidP="001A0D2D">
      <w:pPr>
        <w:rPr>
          <w:lang w:val="en-US"/>
        </w:rPr>
      </w:pPr>
    </w:p>
    <w:p w14:paraId="3F505D35" w14:textId="77777777" w:rsidR="001A0D2D" w:rsidRDefault="001A0D2D" w:rsidP="001A0D2D">
      <w:pPr>
        <w:pStyle w:val="Paragraphedeliste"/>
        <w:widowControl w:val="0"/>
        <w:numPr>
          <w:ilvl w:val="0"/>
          <w:numId w:val="10"/>
        </w:numPr>
        <w:suppressAutoHyphens w:val="0"/>
        <w:contextualSpacing/>
        <w:jc w:val="both"/>
        <w:rPr>
          <w:lang w:val="en-US"/>
        </w:rPr>
      </w:pPr>
      <w:r>
        <w:rPr>
          <w:lang w:val="en-US"/>
        </w:rPr>
        <w:t>2-(2-butoxythoxy)ethanol</w:t>
      </w:r>
    </w:p>
    <w:p w14:paraId="09149DEA" w14:textId="58993516" w:rsidR="001A0D2D" w:rsidRDefault="001A0D2D" w:rsidP="00CC6631">
      <w:pPr>
        <w:jc w:val="both"/>
        <w:rPr>
          <w:lang w:val="en-US"/>
        </w:rPr>
      </w:pPr>
      <w:r w:rsidRPr="001422D3">
        <w:rPr>
          <w:lang w:val="en-US"/>
        </w:rPr>
        <w:t>2-(2-butoxythoxy)ethanol</w:t>
      </w:r>
      <w:r>
        <w:rPr>
          <w:lang w:val="en-US"/>
        </w:rPr>
        <w:t xml:space="preserve"> is considered as a SOC because it has an IOELV. </w:t>
      </w:r>
      <w:r w:rsidRPr="001422D3">
        <w:rPr>
          <w:lang w:val="en-US"/>
        </w:rPr>
        <w:t>2-(2-butoxythoxy)</w:t>
      </w:r>
      <w:r>
        <w:rPr>
          <w:lang w:val="en-US"/>
        </w:rPr>
        <w:t xml:space="preserve">ethanol is not relevant for dietary exposure assessment. </w:t>
      </w:r>
    </w:p>
    <w:p w14:paraId="79E0572F" w14:textId="77777777" w:rsidR="009D0C0B" w:rsidRPr="00E91F85" w:rsidRDefault="009D0C0B">
      <w:pPr>
        <w:spacing w:line="260" w:lineRule="atLeast"/>
        <w:rPr>
          <w:rFonts w:ascii="Times New Roman" w:eastAsia="Calibri" w:hAnsi="Times New Roman" w:cs="Times New Roman"/>
          <w:i/>
          <w:iCs/>
          <w:lang w:val="en-US" w:eastAsia="en-US"/>
        </w:rPr>
      </w:pPr>
    </w:p>
    <w:p w14:paraId="005498AF" w14:textId="77777777" w:rsidR="009D0C0B" w:rsidRPr="00B27CB1" w:rsidRDefault="009D0C0B">
      <w:pPr>
        <w:spacing w:line="260" w:lineRule="atLeast"/>
        <w:rPr>
          <w:rFonts w:eastAsia="Calibri"/>
          <w:lang w:eastAsia="en-US"/>
        </w:rPr>
      </w:pPr>
    </w:p>
    <w:p w14:paraId="487225CD" w14:textId="3777F2B3" w:rsidR="009D0C0B" w:rsidRDefault="00FA480B">
      <w:pPr>
        <w:rPr>
          <w:rFonts w:eastAsia="Calibri"/>
          <w:i/>
          <w:sz w:val="22"/>
          <w:szCs w:val="22"/>
          <w:u w:val="single"/>
          <w:lang w:eastAsia="en-US"/>
        </w:rPr>
      </w:pPr>
      <w:r w:rsidRPr="00B27CB1">
        <w:rPr>
          <w:rFonts w:eastAsia="Calibri"/>
          <w:i/>
          <w:sz w:val="22"/>
          <w:szCs w:val="22"/>
          <w:u w:val="single"/>
          <w:lang w:eastAsia="en-US"/>
        </w:rPr>
        <w:t>List of scenarios</w:t>
      </w:r>
    </w:p>
    <w:p w14:paraId="0FA67F44" w14:textId="2753C828" w:rsidR="00381FD4" w:rsidRPr="003213B9" w:rsidRDefault="00381FD4">
      <w:pPr>
        <w:rPr>
          <w:rFonts w:eastAsia="Calibri"/>
          <w:sz w:val="22"/>
          <w:szCs w:val="22"/>
          <w:lang w:eastAsia="en-US"/>
        </w:rPr>
      </w:pPr>
      <w:r w:rsidRPr="003213B9">
        <w:rPr>
          <w:rFonts w:eastAsia="Calibri"/>
          <w:sz w:val="22"/>
          <w:szCs w:val="22"/>
          <w:lang w:eastAsia="en-US"/>
        </w:rPr>
        <w:t>Not relevant</w:t>
      </w:r>
    </w:p>
    <w:p w14:paraId="5DF34F9F" w14:textId="77777777" w:rsidR="009D0C0B" w:rsidRPr="00B27CB1" w:rsidRDefault="009D0C0B">
      <w:pPr>
        <w:spacing w:line="260" w:lineRule="atLeast"/>
        <w:rPr>
          <w:rFonts w:ascii="Times New Roman" w:eastAsia="Calibri" w:hAnsi="Times New Roman" w:cs="Times New Roman"/>
          <w:i/>
          <w:iCs/>
          <w:sz w:val="18"/>
          <w:lang w:eastAsia="en-US"/>
        </w:rPr>
      </w:pPr>
    </w:p>
    <w:p w14:paraId="426F03DD" w14:textId="77777777" w:rsidR="009D0C0B" w:rsidRPr="00B27CB1" w:rsidRDefault="009D0C0B">
      <w:pPr>
        <w:spacing w:line="260" w:lineRule="atLeast"/>
        <w:rPr>
          <w:rFonts w:ascii="Times New Roman" w:eastAsia="Calibri" w:hAnsi="Times New Roman" w:cs="Times New Roman"/>
          <w:i/>
          <w:iCs/>
          <w:lang w:eastAsia="en-US"/>
        </w:rPr>
      </w:pPr>
    </w:p>
    <w:p w14:paraId="37F40D40" w14:textId="77777777" w:rsidR="009D0C0B" w:rsidRPr="00B27CB1" w:rsidRDefault="009D0C0B">
      <w:pPr>
        <w:spacing w:line="260" w:lineRule="atLeast"/>
        <w:rPr>
          <w:rFonts w:eastAsia="Calibri"/>
          <w:lang w:eastAsia="en-US"/>
        </w:rPr>
      </w:pPr>
    </w:p>
    <w:p w14:paraId="28AD3388" w14:textId="77777777" w:rsidR="009D0C0B" w:rsidRPr="00B27CB1" w:rsidRDefault="00FA480B">
      <w:pPr>
        <w:rPr>
          <w:rFonts w:ascii="Times New Roman" w:eastAsia="Calibri" w:hAnsi="Times New Roman" w:cs="Times New Roman"/>
          <w:i/>
          <w:iCs/>
          <w:lang w:eastAsia="en-US"/>
        </w:rPr>
      </w:pPr>
      <w:r w:rsidRPr="00B27CB1">
        <w:rPr>
          <w:rFonts w:eastAsia="Calibri"/>
          <w:i/>
          <w:sz w:val="22"/>
          <w:szCs w:val="22"/>
          <w:u w:val="single"/>
          <w:lang w:eastAsia="en-US"/>
        </w:rPr>
        <w:t>Information of non-biocidal use of the active substance</w:t>
      </w:r>
    </w:p>
    <w:p w14:paraId="3B2CECF8" w14:textId="5E16C5DA" w:rsidR="009D0C0B" w:rsidRPr="00B27CB1" w:rsidRDefault="009D0C0B">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rsidRPr="00B27CB1" w14:paraId="1D1867F5" w14:textId="77777777" w:rsidTr="001A0D2D">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458BBE82" w14:textId="77777777" w:rsidR="009D0C0B" w:rsidRPr="00B27CB1" w:rsidRDefault="00FA480B">
            <w:pPr>
              <w:spacing w:line="260" w:lineRule="atLeast"/>
              <w:jc w:val="center"/>
            </w:pPr>
            <w:r w:rsidRPr="00B27CB1">
              <w:rPr>
                <w:rFonts w:eastAsia="Calibri"/>
                <w:b/>
                <w:lang w:eastAsia="en-US"/>
              </w:rPr>
              <w:t>Summary table of other (non-biocidal) uses</w:t>
            </w:r>
          </w:p>
        </w:tc>
      </w:tr>
      <w:tr w:rsidR="009D0C0B" w:rsidRPr="00B27CB1" w14:paraId="0B0BB3A8" w14:textId="77777777" w:rsidTr="001A0D2D">
        <w:tc>
          <w:tcPr>
            <w:tcW w:w="911" w:type="dxa"/>
            <w:tcBorders>
              <w:top w:val="single" w:sz="6" w:space="0" w:color="000000"/>
              <w:left w:val="single" w:sz="6" w:space="0" w:color="000000"/>
              <w:bottom w:val="single" w:sz="6" w:space="0" w:color="000000"/>
            </w:tcBorders>
            <w:shd w:val="clear" w:color="auto" w:fill="auto"/>
          </w:tcPr>
          <w:p w14:paraId="4C58D69A" w14:textId="77777777" w:rsidR="009D0C0B" w:rsidRPr="00B27CB1"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072DBF6B" w14:textId="77777777" w:rsidR="009D0C0B" w:rsidRPr="00B27CB1" w:rsidRDefault="00FA480B">
            <w:pPr>
              <w:spacing w:line="260" w:lineRule="atLeast"/>
              <w:rPr>
                <w:rFonts w:eastAsia="Calibri"/>
                <w:b/>
                <w:lang w:eastAsia="en-US"/>
              </w:rPr>
            </w:pPr>
            <w:r w:rsidRPr="00B27CB1">
              <w:rPr>
                <w:rFonts w:eastAsia="Calibri"/>
                <w:b/>
                <w:lang w:eastAsia="en-US"/>
              </w:rPr>
              <w:t>Sector of use</w:t>
            </w:r>
            <w:r w:rsidRPr="00B27CB1">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01152DD0" w14:textId="77777777" w:rsidR="009D0C0B" w:rsidRPr="00B27CB1" w:rsidRDefault="00FA480B">
            <w:pPr>
              <w:spacing w:line="260" w:lineRule="atLeast"/>
              <w:rPr>
                <w:rFonts w:eastAsia="Calibri"/>
                <w:b/>
                <w:lang w:eastAsia="en-US"/>
              </w:rPr>
            </w:pPr>
            <w:r w:rsidRPr="00B27CB1">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48B320C" w14:textId="77777777" w:rsidR="009D0C0B" w:rsidRPr="00B27CB1" w:rsidRDefault="00FA480B">
            <w:pPr>
              <w:spacing w:line="260" w:lineRule="atLeast"/>
            </w:pPr>
            <w:r w:rsidRPr="00B27CB1">
              <w:rPr>
                <w:rFonts w:eastAsia="Calibri"/>
                <w:b/>
                <w:lang w:eastAsia="en-US"/>
              </w:rPr>
              <w:t xml:space="preserve">Reference value(s) </w:t>
            </w:r>
            <w:r w:rsidRPr="00B27CB1">
              <w:rPr>
                <w:rFonts w:eastAsia="Calibri"/>
                <w:b/>
                <w:vertAlign w:val="superscript"/>
                <w:lang w:eastAsia="en-US"/>
              </w:rPr>
              <w:t>2</w:t>
            </w:r>
          </w:p>
        </w:tc>
      </w:tr>
      <w:tr w:rsidR="001A0D2D" w:rsidRPr="00B27CB1" w14:paraId="3BF78323" w14:textId="77777777" w:rsidTr="001A0D2D">
        <w:tc>
          <w:tcPr>
            <w:tcW w:w="911" w:type="dxa"/>
            <w:tcBorders>
              <w:top w:val="single" w:sz="6" w:space="0" w:color="000000"/>
              <w:left w:val="single" w:sz="6" w:space="0" w:color="000000"/>
              <w:bottom w:val="single" w:sz="6" w:space="0" w:color="000000"/>
            </w:tcBorders>
            <w:shd w:val="clear" w:color="auto" w:fill="auto"/>
          </w:tcPr>
          <w:p w14:paraId="5AF7E2F9" w14:textId="77777777" w:rsidR="001A0D2D" w:rsidRPr="00B27CB1" w:rsidRDefault="001A0D2D" w:rsidP="001A0D2D">
            <w:pPr>
              <w:spacing w:line="260" w:lineRule="atLeast"/>
              <w:rPr>
                <w:rFonts w:eastAsia="Calibri"/>
                <w:lang w:eastAsia="en-US"/>
              </w:rPr>
            </w:pPr>
            <w:r w:rsidRPr="00B27CB1">
              <w:rPr>
                <w:rFonts w:eastAsia="Calibri"/>
                <w:lang w:eastAsia="en-US"/>
              </w:rPr>
              <w:lastRenderedPageBreak/>
              <w:t>1.</w:t>
            </w:r>
          </w:p>
        </w:tc>
        <w:tc>
          <w:tcPr>
            <w:tcW w:w="1474" w:type="dxa"/>
            <w:tcBorders>
              <w:top w:val="single" w:sz="6" w:space="0" w:color="000000"/>
              <w:left w:val="single" w:sz="6" w:space="0" w:color="000000"/>
              <w:bottom w:val="single" w:sz="6" w:space="0" w:color="000000"/>
            </w:tcBorders>
            <w:shd w:val="clear" w:color="auto" w:fill="auto"/>
          </w:tcPr>
          <w:p w14:paraId="72CB4FB8" w14:textId="4EC8EAA9" w:rsidR="001A0D2D" w:rsidRPr="00B27CB1" w:rsidRDefault="001A0D2D" w:rsidP="001A0D2D">
            <w:pPr>
              <w:snapToGrid w:val="0"/>
              <w:spacing w:line="260" w:lineRule="atLeast"/>
              <w:rPr>
                <w:rFonts w:eastAsia="Calibri"/>
                <w:lang w:eastAsia="en-US"/>
              </w:rPr>
            </w:pPr>
            <w:r>
              <w:rPr>
                <w:rFonts w:eastAsia="Calibri"/>
              </w:rPr>
              <w:t xml:space="preserve">Food </w:t>
            </w:r>
          </w:p>
        </w:tc>
        <w:tc>
          <w:tcPr>
            <w:tcW w:w="3749" w:type="dxa"/>
            <w:tcBorders>
              <w:top w:val="single" w:sz="6" w:space="0" w:color="000000"/>
              <w:left w:val="single" w:sz="6" w:space="0" w:color="000000"/>
              <w:bottom w:val="single" w:sz="6" w:space="0" w:color="000000"/>
            </w:tcBorders>
            <w:shd w:val="clear" w:color="auto" w:fill="auto"/>
          </w:tcPr>
          <w:p w14:paraId="7CBE4585" w14:textId="0CDF2F3D" w:rsidR="001A0D2D" w:rsidRPr="00B27CB1" w:rsidRDefault="001A0D2D" w:rsidP="001A0D2D">
            <w:pPr>
              <w:snapToGrid w:val="0"/>
              <w:spacing w:line="260" w:lineRule="atLeast"/>
              <w:rPr>
                <w:rFonts w:eastAsia="Calibri"/>
                <w:lang w:eastAsia="en-US"/>
              </w:rPr>
            </w:pPr>
            <w:r w:rsidRPr="00A54B14">
              <w:rPr>
                <w:rFonts w:eastAsia="Calibri"/>
                <w:lang w:val="en-US"/>
              </w:rPr>
              <w:t xml:space="preserve">Lactic Acid (E 270) – Food additive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A7DECF0" w14:textId="6923E277" w:rsidR="001A0D2D" w:rsidRPr="00B27CB1" w:rsidRDefault="001A0D2D" w:rsidP="001A0D2D">
            <w:pPr>
              <w:snapToGrid w:val="0"/>
              <w:spacing w:line="260" w:lineRule="atLeast"/>
              <w:rPr>
                <w:rFonts w:eastAsia="Calibri"/>
                <w:lang w:eastAsia="en-US"/>
              </w:rPr>
            </w:pPr>
            <w:r>
              <w:rPr>
                <w:rFonts w:eastAsia="Calibri"/>
                <w:lang w:val="en-US"/>
              </w:rPr>
              <w:t>Quantum satis (Regulation (EU) 1129/2011)</w:t>
            </w:r>
          </w:p>
        </w:tc>
      </w:tr>
      <w:tr w:rsidR="001A0D2D" w:rsidRPr="00B27CB1" w14:paraId="7A2228D5" w14:textId="77777777" w:rsidTr="001A0D2D">
        <w:tc>
          <w:tcPr>
            <w:tcW w:w="911" w:type="dxa"/>
            <w:tcBorders>
              <w:top w:val="single" w:sz="6" w:space="0" w:color="000000"/>
              <w:left w:val="single" w:sz="6" w:space="0" w:color="000000"/>
              <w:bottom w:val="single" w:sz="6" w:space="0" w:color="000000"/>
            </w:tcBorders>
            <w:shd w:val="clear" w:color="auto" w:fill="auto"/>
          </w:tcPr>
          <w:p w14:paraId="216EA84A" w14:textId="77777777" w:rsidR="001A0D2D" w:rsidRPr="00B27CB1" w:rsidRDefault="001A0D2D" w:rsidP="001A0D2D">
            <w:pPr>
              <w:spacing w:line="260" w:lineRule="atLeast"/>
              <w:rPr>
                <w:rFonts w:eastAsia="Calibri"/>
                <w:lang w:eastAsia="en-US"/>
              </w:rPr>
            </w:pPr>
            <w:r w:rsidRPr="00B27CB1">
              <w:rPr>
                <w:rFonts w:eastAsia="Calibri"/>
                <w:lang w:eastAsia="en-US"/>
              </w:rPr>
              <w:t>2.</w:t>
            </w:r>
          </w:p>
        </w:tc>
        <w:tc>
          <w:tcPr>
            <w:tcW w:w="1474" w:type="dxa"/>
            <w:tcBorders>
              <w:top w:val="single" w:sz="6" w:space="0" w:color="000000"/>
              <w:left w:val="single" w:sz="6" w:space="0" w:color="000000"/>
              <w:bottom w:val="single" w:sz="6" w:space="0" w:color="000000"/>
            </w:tcBorders>
            <w:shd w:val="clear" w:color="auto" w:fill="auto"/>
          </w:tcPr>
          <w:p w14:paraId="2D3AD8CE" w14:textId="20B3EEFC" w:rsidR="001A0D2D" w:rsidRPr="00B27CB1" w:rsidRDefault="001A0D2D" w:rsidP="001A0D2D">
            <w:pPr>
              <w:snapToGrid w:val="0"/>
              <w:spacing w:line="260" w:lineRule="atLeast"/>
              <w:rPr>
                <w:rFonts w:eastAsia="Calibri"/>
                <w:lang w:eastAsia="en-US"/>
              </w:rPr>
            </w:pPr>
            <w:r>
              <w:rPr>
                <w:rFonts w:eastAsia="Calibri"/>
              </w:rPr>
              <w:t xml:space="preserve">Veterinary </w:t>
            </w:r>
          </w:p>
        </w:tc>
        <w:tc>
          <w:tcPr>
            <w:tcW w:w="3749" w:type="dxa"/>
            <w:tcBorders>
              <w:top w:val="single" w:sz="6" w:space="0" w:color="000000"/>
              <w:left w:val="single" w:sz="6" w:space="0" w:color="000000"/>
              <w:bottom w:val="single" w:sz="6" w:space="0" w:color="000000"/>
            </w:tcBorders>
            <w:shd w:val="clear" w:color="auto" w:fill="auto"/>
          </w:tcPr>
          <w:p w14:paraId="459C19F9" w14:textId="31E407C6" w:rsidR="001A0D2D" w:rsidRPr="00B27CB1" w:rsidRDefault="001A0D2D" w:rsidP="001A0D2D">
            <w:pPr>
              <w:snapToGrid w:val="0"/>
              <w:spacing w:line="260" w:lineRule="atLeast"/>
              <w:rPr>
                <w:rFonts w:eastAsia="Calibri"/>
                <w:lang w:eastAsia="en-US"/>
              </w:rPr>
            </w:pPr>
            <w:r w:rsidRPr="00A54B14">
              <w:rPr>
                <w:rFonts w:eastAsia="Calibri"/>
                <w:lang w:val="en-US"/>
              </w:rPr>
              <w:t>Lactic Acid</w:t>
            </w:r>
            <w:r>
              <w:rPr>
                <w:rFonts w:eastAsia="Calibri"/>
                <w:lang w:val="en-US"/>
              </w:rPr>
              <w:t xml:space="preserve"> </w:t>
            </w:r>
            <w:r w:rsidRPr="00A54B14">
              <w:rPr>
                <w:rFonts w:eastAsia="Calibri"/>
                <w:lang w:val="en-US"/>
              </w:rPr>
              <w:t>-</w:t>
            </w:r>
            <w:r>
              <w:rPr>
                <w:rFonts w:eastAsia="Calibri"/>
                <w:lang w:val="en-US"/>
              </w:rPr>
              <w:t xml:space="preserve"> </w:t>
            </w:r>
            <w:r w:rsidRPr="00A54B14">
              <w:rPr>
                <w:rFonts w:eastAsia="Calibri"/>
                <w:lang w:val="en-US"/>
              </w:rPr>
              <w:t>All food producing species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09D35B5" w14:textId="140B02AF" w:rsidR="001A0D2D" w:rsidRPr="00B27CB1" w:rsidRDefault="001A0D2D" w:rsidP="001A0D2D">
            <w:pPr>
              <w:snapToGrid w:val="0"/>
              <w:spacing w:line="260" w:lineRule="atLeast"/>
              <w:rPr>
                <w:rFonts w:eastAsia="Calibri"/>
                <w:lang w:eastAsia="en-US"/>
              </w:rPr>
            </w:pPr>
            <w:r>
              <w:rPr>
                <w:rFonts w:eastAsia="Calibri"/>
                <w:lang w:val="en-US"/>
              </w:rPr>
              <w:t>No MRL required (Regulation (EC) No 37/2010)</w:t>
            </w:r>
          </w:p>
        </w:tc>
      </w:tr>
      <w:tr w:rsidR="001A0D2D" w:rsidRPr="00B27CB1" w14:paraId="580A6FE0" w14:textId="77777777" w:rsidTr="001A0D2D">
        <w:tc>
          <w:tcPr>
            <w:tcW w:w="911" w:type="dxa"/>
            <w:tcBorders>
              <w:top w:val="single" w:sz="6" w:space="0" w:color="000000"/>
              <w:left w:val="single" w:sz="6" w:space="0" w:color="000000"/>
              <w:bottom w:val="single" w:sz="6" w:space="0" w:color="000000"/>
            </w:tcBorders>
            <w:shd w:val="clear" w:color="auto" w:fill="auto"/>
          </w:tcPr>
          <w:p w14:paraId="4BB804FA" w14:textId="617E9794" w:rsidR="001A0D2D" w:rsidRPr="00B27CB1" w:rsidRDefault="001A0D2D" w:rsidP="001A0D2D">
            <w:pPr>
              <w:spacing w:line="260" w:lineRule="atLeast"/>
              <w:rPr>
                <w:rFonts w:eastAsia="Calibri"/>
                <w:lang w:eastAsia="en-US"/>
              </w:rPr>
            </w:pPr>
            <w:r>
              <w:rPr>
                <w:rFonts w:eastAsia="Calibri"/>
                <w:lang w:eastAsia="en-US"/>
              </w:rPr>
              <w:t>3.</w:t>
            </w:r>
          </w:p>
        </w:tc>
        <w:tc>
          <w:tcPr>
            <w:tcW w:w="1474" w:type="dxa"/>
            <w:tcBorders>
              <w:top w:val="single" w:sz="6" w:space="0" w:color="000000"/>
              <w:left w:val="single" w:sz="6" w:space="0" w:color="000000"/>
              <w:bottom w:val="single" w:sz="6" w:space="0" w:color="000000"/>
            </w:tcBorders>
            <w:shd w:val="clear" w:color="auto" w:fill="auto"/>
          </w:tcPr>
          <w:p w14:paraId="6DA3B570" w14:textId="2372C4A9" w:rsidR="001A0D2D" w:rsidRDefault="001A0D2D" w:rsidP="001A0D2D">
            <w:pPr>
              <w:snapToGrid w:val="0"/>
              <w:spacing w:line="260" w:lineRule="atLeast"/>
              <w:rPr>
                <w:rFonts w:eastAsia="Calibri"/>
              </w:rPr>
            </w:pPr>
            <w:r>
              <w:rPr>
                <w:rFonts w:eastAsia="Calibri"/>
                <w:lang w:val="en-US"/>
              </w:rPr>
              <w:t xml:space="preserve">Cosmetic </w:t>
            </w:r>
          </w:p>
        </w:tc>
        <w:tc>
          <w:tcPr>
            <w:tcW w:w="3749" w:type="dxa"/>
            <w:tcBorders>
              <w:top w:val="single" w:sz="6" w:space="0" w:color="000000"/>
              <w:left w:val="single" w:sz="6" w:space="0" w:color="000000"/>
              <w:bottom w:val="single" w:sz="6" w:space="0" w:color="000000"/>
            </w:tcBorders>
            <w:shd w:val="clear" w:color="auto" w:fill="auto"/>
          </w:tcPr>
          <w:p w14:paraId="3C74774F" w14:textId="04EF4A89" w:rsidR="001A0D2D" w:rsidRPr="00A54B14" w:rsidRDefault="001A0D2D" w:rsidP="001A0D2D">
            <w:pPr>
              <w:snapToGrid w:val="0"/>
              <w:spacing w:line="260" w:lineRule="atLeast"/>
              <w:rPr>
                <w:rFonts w:eastAsia="Calibri"/>
                <w:lang w:val="en-US"/>
              </w:rPr>
            </w:pPr>
            <w:r>
              <w:rPr>
                <w:rFonts w:eastAsia="Calibri"/>
                <w:lang w:val="en-US"/>
              </w:rPr>
              <w:t>Lactic Acid – Used as buffering humectant or skin conditioning</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5B11E1A5" w14:textId="6B0B13A7" w:rsidR="001A0D2D" w:rsidRDefault="001A0D2D" w:rsidP="001A0D2D">
            <w:pPr>
              <w:snapToGrid w:val="0"/>
              <w:spacing w:line="260" w:lineRule="atLeast"/>
              <w:rPr>
                <w:rFonts w:eastAsia="Calibri"/>
                <w:lang w:val="en-US"/>
              </w:rPr>
            </w:pPr>
            <w:r>
              <w:rPr>
                <w:rFonts w:eastAsia="Calibri"/>
                <w:lang w:val="en-US"/>
              </w:rPr>
              <w:t xml:space="preserve">Up to a maximum level of 2.5% and a pH </w:t>
            </w:r>
            <w:r>
              <w:rPr>
                <w:rFonts w:eastAsia="Calibri" w:cstheme="minorHAnsi"/>
                <w:lang w:val="en-US"/>
              </w:rPr>
              <w:t>≥</w:t>
            </w:r>
            <w:r>
              <w:rPr>
                <w:rFonts w:eastAsia="Calibri"/>
                <w:lang w:val="en-US"/>
              </w:rPr>
              <w:t xml:space="preserve"> 5 (SCCBFP, 2000)</w:t>
            </w:r>
          </w:p>
        </w:tc>
      </w:tr>
    </w:tbl>
    <w:p w14:paraId="0B85698B" w14:textId="77777777" w:rsidR="009D0C0B" w:rsidRPr="00B27CB1" w:rsidRDefault="00FA480B">
      <w:pPr>
        <w:spacing w:line="260" w:lineRule="atLeast"/>
        <w:rPr>
          <w:rFonts w:eastAsia="Calibri"/>
          <w:iCs/>
          <w:sz w:val="16"/>
          <w:vertAlign w:val="superscript"/>
          <w:lang w:eastAsia="en-US"/>
        </w:rPr>
      </w:pPr>
      <w:r w:rsidRPr="00B27CB1">
        <w:rPr>
          <w:rFonts w:eastAsia="Calibri"/>
          <w:iCs/>
          <w:sz w:val="16"/>
          <w:vertAlign w:val="superscript"/>
          <w:lang w:eastAsia="en-US"/>
        </w:rPr>
        <w:t>1</w:t>
      </w:r>
      <w:r w:rsidRPr="00B27CB1">
        <w:rPr>
          <w:rFonts w:eastAsia="Calibri"/>
          <w:iCs/>
          <w:sz w:val="16"/>
          <w:lang w:eastAsia="en-US"/>
        </w:rPr>
        <w:t xml:space="preserve"> e.g. plant protection products, veterinary use, food or feed additives</w:t>
      </w:r>
    </w:p>
    <w:p w14:paraId="182EBE35" w14:textId="77777777" w:rsidR="009D0C0B" w:rsidRPr="00B27CB1" w:rsidRDefault="00FA480B">
      <w:pPr>
        <w:spacing w:line="260" w:lineRule="atLeast"/>
        <w:rPr>
          <w:rFonts w:eastAsia="Calibri"/>
          <w:sz w:val="18"/>
          <w:lang w:eastAsia="en-US"/>
        </w:rPr>
      </w:pPr>
      <w:r w:rsidRPr="00B27CB1">
        <w:rPr>
          <w:rFonts w:eastAsia="Calibri"/>
          <w:iCs/>
          <w:sz w:val="16"/>
          <w:vertAlign w:val="superscript"/>
          <w:lang w:eastAsia="en-US"/>
        </w:rPr>
        <w:t>2</w:t>
      </w:r>
      <w:r w:rsidRPr="00B27CB1">
        <w:rPr>
          <w:rFonts w:eastAsia="Calibri"/>
          <w:iCs/>
          <w:sz w:val="16"/>
          <w:lang w:eastAsia="en-US"/>
        </w:rPr>
        <w:t xml:space="preserve"> e.g. MRLs. Use footnotes for references</w:t>
      </w:r>
      <w:r w:rsidRPr="00B27CB1">
        <w:rPr>
          <w:rFonts w:eastAsia="Calibri"/>
          <w:sz w:val="18"/>
          <w:lang w:eastAsia="en-US"/>
        </w:rPr>
        <w:t>.</w:t>
      </w:r>
    </w:p>
    <w:p w14:paraId="5443C062" w14:textId="77777777" w:rsidR="009D0C0B" w:rsidRPr="00B27CB1" w:rsidRDefault="009D0C0B">
      <w:pPr>
        <w:spacing w:line="260" w:lineRule="atLeast"/>
        <w:rPr>
          <w:rFonts w:eastAsia="Calibri"/>
          <w:sz w:val="18"/>
          <w:lang w:eastAsia="en-US"/>
        </w:rPr>
      </w:pPr>
    </w:p>
    <w:p w14:paraId="4638543B" w14:textId="77777777" w:rsidR="009D0C0B" w:rsidRPr="00B27CB1" w:rsidRDefault="009D0C0B">
      <w:pPr>
        <w:spacing w:line="260" w:lineRule="atLeast"/>
        <w:rPr>
          <w:rFonts w:eastAsia="Calibri"/>
          <w:lang w:eastAsia="en-US"/>
        </w:rPr>
      </w:pPr>
    </w:p>
    <w:p w14:paraId="7A043319" w14:textId="77777777" w:rsidR="009D0C0B" w:rsidRPr="00B27CB1" w:rsidRDefault="00FA480B" w:rsidP="00B363D6">
      <w:pPr>
        <w:jc w:val="both"/>
        <w:rPr>
          <w:rFonts w:eastAsia="Calibri"/>
          <w:b/>
          <w:bCs/>
          <w:i/>
          <w:sz w:val="22"/>
          <w:szCs w:val="22"/>
          <w:u w:val="single"/>
          <w:lang w:eastAsia="en-US"/>
        </w:rPr>
      </w:pPr>
      <w:r w:rsidRPr="00B27CB1">
        <w:rPr>
          <w:rFonts w:eastAsia="Calibri"/>
          <w:i/>
          <w:sz w:val="22"/>
          <w:szCs w:val="22"/>
          <w:u w:val="single"/>
          <w:lang w:eastAsia="en-US"/>
        </w:rPr>
        <w:t>Estimating Livestock Exposure to Active Substances used in Biocidal Products</w:t>
      </w:r>
    </w:p>
    <w:p w14:paraId="5DBAEB45" w14:textId="77777777" w:rsidR="001A0D2D" w:rsidRPr="00451622" w:rsidRDefault="001A0D2D" w:rsidP="00B363D6">
      <w:pPr>
        <w:jc w:val="both"/>
        <w:rPr>
          <w:rFonts w:eastAsia="Calibri"/>
          <w:i/>
          <w:u w:val="single"/>
        </w:rPr>
      </w:pPr>
      <w:r>
        <w:rPr>
          <w:rFonts w:eastAsia="Calibri"/>
        </w:rPr>
        <w:t>Not relevant</w:t>
      </w:r>
    </w:p>
    <w:p w14:paraId="0E2933DB" w14:textId="77777777" w:rsidR="009D0C0B" w:rsidRPr="00B27CB1" w:rsidRDefault="009D0C0B" w:rsidP="00B363D6">
      <w:pPr>
        <w:spacing w:line="260" w:lineRule="atLeast"/>
        <w:jc w:val="both"/>
        <w:rPr>
          <w:rFonts w:eastAsia="Calibri"/>
          <w:b/>
          <w:bCs/>
          <w:i/>
          <w:sz w:val="22"/>
          <w:szCs w:val="22"/>
          <w:u w:val="single"/>
          <w:lang w:eastAsia="en-US"/>
        </w:rPr>
      </w:pPr>
    </w:p>
    <w:p w14:paraId="5DE484BD" w14:textId="77777777" w:rsidR="009D0C0B" w:rsidRPr="00B27CB1" w:rsidRDefault="00FA480B" w:rsidP="00B363D6">
      <w:pPr>
        <w:jc w:val="both"/>
        <w:rPr>
          <w:rFonts w:eastAsia="Calibri"/>
          <w:i/>
          <w:sz w:val="22"/>
          <w:szCs w:val="22"/>
          <w:u w:val="single"/>
          <w:lang w:eastAsia="en-US"/>
        </w:rPr>
      </w:pPr>
      <w:r w:rsidRPr="00B27CB1">
        <w:rPr>
          <w:rFonts w:eastAsia="Calibri"/>
          <w:i/>
          <w:sz w:val="22"/>
          <w:szCs w:val="22"/>
          <w:u w:val="single"/>
          <w:lang w:eastAsia="en-US"/>
        </w:rPr>
        <w:t>Estimating transfer of biocidal active substances into foods as a result of professional and/or industrial application(s)</w:t>
      </w:r>
    </w:p>
    <w:p w14:paraId="13A5C958" w14:textId="77777777" w:rsidR="001A0D2D" w:rsidRPr="00451622" w:rsidRDefault="001A0D2D" w:rsidP="00B363D6">
      <w:pPr>
        <w:jc w:val="both"/>
        <w:rPr>
          <w:rFonts w:eastAsia="Calibri"/>
          <w:i/>
          <w:u w:val="single"/>
        </w:rPr>
      </w:pPr>
      <w:r>
        <w:rPr>
          <w:rFonts w:eastAsia="Calibri"/>
        </w:rPr>
        <w:t>Not relevant</w:t>
      </w:r>
    </w:p>
    <w:p w14:paraId="5E996F66" w14:textId="77777777" w:rsidR="009D0C0B" w:rsidRPr="00B27CB1" w:rsidRDefault="009D0C0B" w:rsidP="00B363D6">
      <w:pPr>
        <w:spacing w:line="260" w:lineRule="atLeast"/>
        <w:jc w:val="both"/>
        <w:rPr>
          <w:rFonts w:eastAsia="Calibri"/>
          <w:lang w:eastAsia="en-US"/>
        </w:rPr>
      </w:pPr>
    </w:p>
    <w:p w14:paraId="3F53725F" w14:textId="77777777" w:rsidR="009D0C0B" w:rsidRPr="00B27CB1" w:rsidRDefault="00FA480B" w:rsidP="00B363D6">
      <w:pPr>
        <w:jc w:val="both"/>
        <w:rPr>
          <w:rFonts w:eastAsia="Calibri"/>
          <w:b/>
          <w:i/>
          <w:sz w:val="22"/>
          <w:szCs w:val="22"/>
          <w:u w:val="single"/>
          <w:lang w:eastAsia="en-US"/>
        </w:rPr>
      </w:pPr>
      <w:r w:rsidRPr="00B27CB1">
        <w:rPr>
          <w:rFonts w:eastAsia="Calibri"/>
          <w:i/>
          <w:sz w:val="22"/>
          <w:szCs w:val="22"/>
          <w:u w:val="single"/>
          <w:lang w:eastAsia="en-US"/>
        </w:rPr>
        <w:t>Estimating transfer of biocidal active substances into foods as a result of non-professional use</w:t>
      </w:r>
    </w:p>
    <w:p w14:paraId="0EFA0067" w14:textId="77777777" w:rsidR="001A0D2D" w:rsidRPr="00451622" w:rsidRDefault="001A0D2D" w:rsidP="00B363D6">
      <w:pPr>
        <w:jc w:val="both"/>
        <w:rPr>
          <w:rFonts w:eastAsia="Calibri"/>
          <w:i/>
          <w:u w:val="single"/>
        </w:rPr>
      </w:pPr>
      <w:r>
        <w:rPr>
          <w:rFonts w:eastAsia="Calibri"/>
        </w:rPr>
        <w:t>Not relevant</w:t>
      </w:r>
    </w:p>
    <w:p w14:paraId="0244D376" w14:textId="77777777" w:rsidR="009D0C0B" w:rsidRPr="00B27CB1" w:rsidRDefault="00FA480B">
      <w:pPr>
        <w:pageBreakBefore/>
        <w:jc w:val="both"/>
        <w:rPr>
          <w:rFonts w:eastAsia="Calibri"/>
          <w:b/>
          <w:bCs/>
          <w:i/>
          <w:sz w:val="22"/>
          <w:szCs w:val="22"/>
          <w:lang w:eastAsia="en-US"/>
        </w:rPr>
      </w:pPr>
      <w:r w:rsidRPr="00B27CB1">
        <w:rPr>
          <w:rFonts w:eastAsia="Calibri"/>
          <w:b/>
          <w:i/>
          <w:sz w:val="22"/>
          <w:szCs w:val="22"/>
          <w:lang w:eastAsia="en-US"/>
        </w:rPr>
        <w:lastRenderedPageBreak/>
        <w:t>Exposure associated with production, formulation and disposal of the biocidal product</w:t>
      </w:r>
    </w:p>
    <w:p w14:paraId="25710766" w14:textId="77777777" w:rsidR="009D0C0B" w:rsidRPr="00B27CB1" w:rsidRDefault="009D0C0B">
      <w:pPr>
        <w:spacing w:line="260" w:lineRule="atLeast"/>
        <w:rPr>
          <w:rFonts w:eastAsia="Calibri"/>
          <w:b/>
          <w:bCs/>
          <w:i/>
          <w:sz w:val="22"/>
          <w:szCs w:val="22"/>
          <w:lang w:eastAsia="en-US"/>
        </w:rPr>
      </w:pPr>
    </w:p>
    <w:p w14:paraId="4E3690FC" w14:textId="306EE51B" w:rsidR="009D0C0B" w:rsidRPr="00E91F85" w:rsidRDefault="00F22323">
      <w:pPr>
        <w:spacing w:line="260" w:lineRule="atLeast"/>
        <w:rPr>
          <w:rFonts w:eastAsia="Calibri"/>
          <w:iCs/>
          <w:lang w:eastAsia="en-US"/>
        </w:rPr>
      </w:pPr>
      <w:r w:rsidRPr="00E91F85">
        <w:rPr>
          <w:rFonts w:eastAsia="Calibri"/>
          <w:iCs/>
          <w:lang w:eastAsia="en-US"/>
        </w:rPr>
        <w:t>Not applicable.</w:t>
      </w:r>
    </w:p>
    <w:p w14:paraId="2957FAA0" w14:textId="77777777" w:rsidR="00F22323" w:rsidRPr="00B27CB1" w:rsidRDefault="00F22323">
      <w:pPr>
        <w:spacing w:line="260" w:lineRule="atLeast"/>
        <w:rPr>
          <w:rFonts w:eastAsia="Calibri"/>
          <w:i/>
          <w:iCs/>
          <w:sz w:val="16"/>
          <w:lang w:eastAsia="en-US"/>
        </w:rPr>
      </w:pPr>
    </w:p>
    <w:p w14:paraId="1E64F0FC" w14:textId="77777777" w:rsidR="009D0C0B" w:rsidRPr="00B27CB1" w:rsidRDefault="00FA480B">
      <w:pPr>
        <w:rPr>
          <w:rFonts w:ascii="Times New Roman" w:eastAsia="Calibri" w:hAnsi="Times New Roman" w:cs="Times New Roman"/>
          <w:i/>
          <w:lang w:eastAsia="en-US"/>
        </w:rPr>
      </w:pPr>
      <w:r w:rsidRPr="00B27CB1">
        <w:rPr>
          <w:rFonts w:eastAsia="Calibri"/>
          <w:b/>
          <w:i/>
          <w:sz w:val="22"/>
          <w:szCs w:val="22"/>
          <w:lang w:eastAsia="en-US"/>
        </w:rPr>
        <w:t>Aggregated exposure</w:t>
      </w:r>
    </w:p>
    <w:p w14:paraId="3AC8BB27" w14:textId="77777777" w:rsidR="00F22323" w:rsidRDefault="00F22323">
      <w:pPr>
        <w:rPr>
          <w:rFonts w:ascii="Times New Roman" w:eastAsia="Calibri" w:hAnsi="Times New Roman" w:cs="Times New Roman"/>
          <w:i/>
          <w:lang w:eastAsia="en-US"/>
        </w:rPr>
      </w:pPr>
    </w:p>
    <w:p w14:paraId="7431653F" w14:textId="77777777" w:rsidR="00F22323" w:rsidRPr="004D0CAC" w:rsidRDefault="00F22323" w:rsidP="00F22323">
      <w:pPr>
        <w:spacing w:line="260" w:lineRule="atLeast"/>
        <w:rPr>
          <w:rFonts w:eastAsia="Calibri"/>
          <w:iCs/>
          <w:lang w:eastAsia="en-US"/>
        </w:rPr>
      </w:pPr>
      <w:r w:rsidRPr="004D0CAC">
        <w:rPr>
          <w:rFonts w:eastAsia="Calibri"/>
          <w:iCs/>
          <w:lang w:eastAsia="en-US"/>
        </w:rPr>
        <w:t>Not applicable.</w:t>
      </w:r>
    </w:p>
    <w:p w14:paraId="711DAD91" w14:textId="0CABB637" w:rsidR="009D0C0B" w:rsidRPr="00B27CB1" w:rsidRDefault="00F22323">
      <w:pPr>
        <w:rPr>
          <w:rFonts w:ascii="Times New Roman" w:eastAsia="Calibri" w:hAnsi="Times New Roman" w:cs="Times New Roman"/>
          <w:i/>
          <w:lang w:eastAsia="en-US"/>
        </w:rPr>
      </w:pPr>
      <w:r w:rsidRPr="00B27CB1" w:rsidDel="00F22323">
        <w:rPr>
          <w:rFonts w:ascii="Times New Roman" w:eastAsia="Calibri" w:hAnsi="Times New Roman" w:cs="Times New Roman"/>
          <w:i/>
          <w:lang w:eastAsia="en-US"/>
        </w:rPr>
        <w:t xml:space="preserve"> </w:t>
      </w:r>
    </w:p>
    <w:p w14:paraId="1A98898A" w14:textId="77777777" w:rsidR="009D0C0B" w:rsidRPr="00B27CB1" w:rsidRDefault="00FA480B">
      <w:pPr>
        <w:rPr>
          <w:rFonts w:eastAsia="Calibri"/>
          <w:b/>
          <w:i/>
          <w:sz w:val="22"/>
          <w:szCs w:val="22"/>
          <w:shd w:val="clear" w:color="auto" w:fill="00FF00"/>
          <w:lang w:eastAsia="en-US"/>
        </w:rPr>
      </w:pPr>
      <w:r w:rsidRPr="00B27CB1">
        <w:rPr>
          <w:rFonts w:eastAsia="Calibri"/>
          <w:b/>
          <w:i/>
          <w:sz w:val="22"/>
          <w:szCs w:val="22"/>
          <w:lang w:eastAsia="en-US"/>
        </w:rPr>
        <w:t>Summary of exposure assessment</w:t>
      </w:r>
    </w:p>
    <w:p w14:paraId="68E14254" w14:textId="77777777" w:rsidR="009D0C0B" w:rsidRPr="00B27CB1" w:rsidRDefault="009D0C0B">
      <w:pPr>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22"/>
        <w:gridCol w:w="3167"/>
        <w:gridCol w:w="2735"/>
        <w:gridCol w:w="2245"/>
      </w:tblGrid>
      <w:tr w:rsidR="009D0C0B" w:rsidRPr="00B27CB1" w14:paraId="244614E8" w14:textId="77777777" w:rsidTr="00E318A3">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24BA907F" w14:textId="77777777" w:rsidR="009D0C0B" w:rsidRPr="00B27CB1" w:rsidRDefault="00FA480B">
            <w:pPr>
              <w:spacing w:line="260" w:lineRule="atLeast"/>
            </w:pPr>
            <w:r w:rsidRPr="00B27CB1">
              <w:rPr>
                <w:rFonts w:eastAsia="Calibri"/>
                <w:b/>
                <w:lang w:eastAsia="en-US"/>
              </w:rPr>
              <w:t>Scenarios and values to be used in risk assessment</w:t>
            </w:r>
          </w:p>
        </w:tc>
      </w:tr>
      <w:tr w:rsidR="009D0C0B" w:rsidRPr="00B27CB1" w14:paraId="62B7CDBA" w14:textId="77777777" w:rsidTr="00E318A3">
        <w:tc>
          <w:tcPr>
            <w:tcW w:w="1222" w:type="dxa"/>
            <w:tcBorders>
              <w:top w:val="single" w:sz="6" w:space="0" w:color="000000"/>
              <w:left w:val="single" w:sz="6" w:space="0" w:color="000000"/>
              <w:bottom w:val="single" w:sz="6" w:space="0" w:color="000000"/>
            </w:tcBorders>
            <w:shd w:val="clear" w:color="auto" w:fill="auto"/>
          </w:tcPr>
          <w:p w14:paraId="2F9CC7AC" w14:textId="77777777" w:rsidR="009D0C0B" w:rsidRPr="00B27CB1" w:rsidRDefault="00FA480B">
            <w:pPr>
              <w:spacing w:line="260" w:lineRule="atLeast"/>
              <w:rPr>
                <w:rFonts w:eastAsia="Calibri"/>
                <w:b/>
                <w:lang w:eastAsia="en-US"/>
              </w:rPr>
            </w:pPr>
            <w:r w:rsidRPr="00B27CB1">
              <w:rPr>
                <w:rFonts w:eastAsia="Calibri"/>
                <w:b/>
                <w:lang w:eastAsia="en-US"/>
              </w:rPr>
              <w:t>Scenario number</w:t>
            </w:r>
          </w:p>
        </w:tc>
        <w:tc>
          <w:tcPr>
            <w:tcW w:w="3167" w:type="dxa"/>
            <w:tcBorders>
              <w:top w:val="single" w:sz="6" w:space="0" w:color="000000"/>
              <w:left w:val="single" w:sz="6" w:space="0" w:color="000000"/>
              <w:bottom w:val="single" w:sz="6" w:space="0" w:color="000000"/>
            </w:tcBorders>
            <w:shd w:val="clear" w:color="auto" w:fill="auto"/>
          </w:tcPr>
          <w:p w14:paraId="2CA4DE96" w14:textId="77777777" w:rsidR="009D0C0B" w:rsidRPr="00B27CB1" w:rsidRDefault="00FA480B">
            <w:pPr>
              <w:spacing w:line="260" w:lineRule="atLeast"/>
              <w:rPr>
                <w:rFonts w:eastAsia="Calibri"/>
                <w:b/>
                <w:lang w:eastAsia="en-US"/>
              </w:rPr>
            </w:pPr>
            <w:r w:rsidRPr="00B27CB1">
              <w:rPr>
                <w:rFonts w:eastAsia="Calibri"/>
                <w:b/>
                <w:lang w:eastAsia="en-US"/>
              </w:rPr>
              <w:t>Exposed group</w:t>
            </w:r>
          </w:p>
          <w:p w14:paraId="4BFBF6CF" w14:textId="77777777" w:rsidR="009D0C0B" w:rsidRPr="00B27CB1" w:rsidRDefault="00FA480B">
            <w:pPr>
              <w:spacing w:line="260" w:lineRule="atLeast"/>
              <w:rPr>
                <w:rFonts w:eastAsia="Calibri"/>
                <w:b/>
                <w:lang w:eastAsia="en-US"/>
              </w:rPr>
            </w:pPr>
            <w:r w:rsidRPr="00B27CB1">
              <w:rPr>
                <w:rFonts w:eastAsia="Calibri"/>
                <w:b/>
                <w:lang w:eastAsia="en-US"/>
              </w:rPr>
              <w:t>(e.g. professionals, non-professionals, bystanders)</w:t>
            </w:r>
          </w:p>
        </w:tc>
        <w:tc>
          <w:tcPr>
            <w:tcW w:w="2735" w:type="dxa"/>
            <w:tcBorders>
              <w:top w:val="single" w:sz="6" w:space="0" w:color="000000"/>
              <w:left w:val="single" w:sz="6" w:space="0" w:color="000000"/>
              <w:bottom w:val="single" w:sz="6" w:space="0" w:color="000000"/>
            </w:tcBorders>
            <w:shd w:val="clear" w:color="auto" w:fill="auto"/>
          </w:tcPr>
          <w:p w14:paraId="1C3846A2" w14:textId="327A0A70" w:rsidR="009D0C0B" w:rsidRPr="00B27CB1" w:rsidRDefault="00FA480B">
            <w:pPr>
              <w:spacing w:line="260" w:lineRule="atLeast"/>
              <w:rPr>
                <w:rFonts w:eastAsia="Calibri"/>
                <w:b/>
                <w:lang w:eastAsia="en-US"/>
              </w:rPr>
            </w:pPr>
            <w:r w:rsidRPr="00B27CB1">
              <w:rPr>
                <w:rFonts w:eastAsia="Calibri"/>
                <w:b/>
                <w:lang w:eastAsia="en-US"/>
              </w:rPr>
              <w:t>Tier/</w:t>
            </w:r>
            <w:r w:rsidR="00E318A3">
              <w:rPr>
                <w:rFonts w:eastAsia="Calibri"/>
                <w:b/>
                <w:lang w:eastAsia="en-US"/>
              </w:rPr>
              <w:t>R</w:t>
            </w:r>
            <w:r w:rsidRPr="00B27CB1">
              <w:rPr>
                <w:rFonts w:eastAsia="Calibri"/>
                <w:b/>
                <w:lang w:eastAsia="en-US"/>
              </w:rPr>
              <w:t>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35FA69C0" w14:textId="0EEF35D8" w:rsidR="009D0C0B" w:rsidRPr="00B27CB1" w:rsidRDefault="00FA480B">
            <w:pPr>
              <w:spacing w:line="260" w:lineRule="atLeast"/>
            </w:pPr>
            <w:r w:rsidRPr="00B27CB1">
              <w:rPr>
                <w:rFonts w:eastAsia="Calibri"/>
                <w:b/>
                <w:lang w:eastAsia="en-US"/>
              </w:rPr>
              <w:t xml:space="preserve">Estimated </w:t>
            </w:r>
            <w:r w:rsidR="00E318A3">
              <w:rPr>
                <w:rFonts w:eastAsia="Calibri"/>
                <w:b/>
                <w:lang w:eastAsia="en-US"/>
              </w:rPr>
              <w:t>uptake (mg/m</w:t>
            </w:r>
            <w:r w:rsidR="00E318A3" w:rsidRPr="00E91F85">
              <w:rPr>
                <w:rFonts w:eastAsia="Calibri"/>
                <w:b/>
                <w:vertAlign w:val="superscript"/>
                <w:lang w:eastAsia="en-US"/>
              </w:rPr>
              <w:t>3</w:t>
            </w:r>
            <w:r w:rsidR="00E318A3">
              <w:rPr>
                <w:rFonts w:eastAsia="Calibri"/>
                <w:b/>
                <w:lang w:eastAsia="en-US"/>
              </w:rPr>
              <w:t>)</w:t>
            </w:r>
          </w:p>
        </w:tc>
      </w:tr>
      <w:tr w:rsidR="00E318A3" w:rsidRPr="00B27CB1" w14:paraId="46E62911" w14:textId="77777777" w:rsidTr="00E91F85">
        <w:tc>
          <w:tcPr>
            <w:tcW w:w="9369"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A48D37D" w14:textId="3A7ED9DC" w:rsidR="00E318A3" w:rsidRPr="00E91F85" w:rsidRDefault="00E318A3">
            <w:pPr>
              <w:snapToGrid w:val="0"/>
              <w:spacing w:line="260" w:lineRule="atLeast"/>
              <w:rPr>
                <w:rFonts w:eastAsia="Calibri"/>
                <w:b/>
                <w:i/>
                <w:lang w:eastAsia="en-US"/>
              </w:rPr>
            </w:pPr>
            <w:r w:rsidRPr="00E91F85">
              <w:rPr>
                <w:rFonts w:eastAsia="Calibri"/>
                <w:b/>
                <w:i/>
                <w:lang w:eastAsia="en-US"/>
              </w:rPr>
              <w:t>Meta SPC 13</w:t>
            </w:r>
          </w:p>
        </w:tc>
      </w:tr>
      <w:tr w:rsidR="009D0C0B" w:rsidRPr="00B27CB1" w14:paraId="2C39BB63" w14:textId="77777777" w:rsidTr="00E318A3">
        <w:tc>
          <w:tcPr>
            <w:tcW w:w="1222" w:type="dxa"/>
            <w:tcBorders>
              <w:top w:val="single" w:sz="6" w:space="0" w:color="000000"/>
              <w:left w:val="single" w:sz="6" w:space="0" w:color="000000"/>
              <w:bottom w:val="single" w:sz="6" w:space="0" w:color="000000"/>
            </w:tcBorders>
            <w:shd w:val="clear" w:color="auto" w:fill="auto"/>
          </w:tcPr>
          <w:p w14:paraId="405C56C0" w14:textId="09F15A11" w:rsidR="009D0C0B" w:rsidRPr="00B27CB1" w:rsidRDefault="00FA480B">
            <w:pPr>
              <w:spacing w:line="260" w:lineRule="atLeast"/>
              <w:rPr>
                <w:rFonts w:eastAsia="Calibri"/>
                <w:lang w:eastAsia="en-US"/>
              </w:rPr>
            </w:pPr>
            <w:r w:rsidRPr="00B27CB1">
              <w:rPr>
                <w:rFonts w:eastAsia="Calibri"/>
                <w:lang w:eastAsia="en-US"/>
              </w:rPr>
              <w:t>1</w:t>
            </w:r>
            <w:r w:rsidR="00F22323">
              <w:rPr>
                <w:rFonts w:eastAsia="Calibri"/>
                <w:lang w:eastAsia="en-US"/>
              </w:rPr>
              <w:t>.</w:t>
            </w:r>
          </w:p>
        </w:tc>
        <w:tc>
          <w:tcPr>
            <w:tcW w:w="3167" w:type="dxa"/>
            <w:tcBorders>
              <w:top w:val="single" w:sz="6" w:space="0" w:color="000000"/>
              <w:left w:val="single" w:sz="6" w:space="0" w:color="000000"/>
              <w:bottom w:val="single" w:sz="6" w:space="0" w:color="000000"/>
            </w:tcBorders>
            <w:shd w:val="clear" w:color="auto" w:fill="auto"/>
          </w:tcPr>
          <w:p w14:paraId="3178D918" w14:textId="236385B9" w:rsidR="009D0C0B" w:rsidRPr="00B27CB1" w:rsidRDefault="00E318A3">
            <w:pPr>
              <w:snapToGrid w:val="0"/>
              <w:spacing w:line="260" w:lineRule="atLeast"/>
              <w:rPr>
                <w:rFonts w:eastAsia="Calibri"/>
                <w:lang w:eastAsia="en-US"/>
              </w:rPr>
            </w:pPr>
            <w:r>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042D434A" w14:textId="23835077" w:rsidR="009D0C0B" w:rsidRPr="00B27CB1" w:rsidRDefault="00E318A3">
            <w:pPr>
              <w:snapToGrid w:val="0"/>
              <w:spacing w:line="260" w:lineRule="atLeast"/>
              <w:rPr>
                <w:rFonts w:eastAsia="Calibri"/>
                <w:lang w:eastAsia="en-US"/>
              </w:rPr>
            </w:pPr>
            <w:r>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77B31FE" w14:textId="3C31051F" w:rsidR="009D0C0B" w:rsidRPr="00B27CB1" w:rsidRDefault="00E318A3">
            <w:pPr>
              <w:snapToGrid w:val="0"/>
              <w:spacing w:line="260" w:lineRule="atLeast"/>
              <w:rPr>
                <w:rFonts w:eastAsia="Calibri"/>
                <w:lang w:eastAsia="en-US"/>
              </w:rPr>
            </w:pPr>
            <w:r>
              <w:rPr>
                <w:rFonts w:eastAsia="Calibri"/>
                <w:lang w:eastAsia="en-US"/>
              </w:rPr>
              <w:t>0.05</w:t>
            </w:r>
          </w:p>
        </w:tc>
      </w:tr>
      <w:tr w:rsidR="00E318A3" w:rsidRPr="00B27CB1" w14:paraId="22BEAC86" w14:textId="77777777" w:rsidTr="00E318A3">
        <w:tc>
          <w:tcPr>
            <w:tcW w:w="1222" w:type="dxa"/>
            <w:tcBorders>
              <w:top w:val="single" w:sz="6" w:space="0" w:color="000000"/>
              <w:left w:val="single" w:sz="6" w:space="0" w:color="000000"/>
              <w:bottom w:val="single" w:sz="6" w:space="0" w:color="000000"/>
            </w:tcBorders>
            <w:shd w:val="clear" w:color="auto" w:fill="auto"/>
          </w:tcPr>
          <w:p w14:paraId="3DD67DD6" w14:textId="0B18F34E" w:rsidR="00E318A3" w:rsidRPr="00B27CB1" w:rsidRDefault="00E318A3" w:rsidP="00E318A3">
            <w:pPr>
              <w:spacing w:line="260" w:lineRule="atLeast"/>
              <w:rPr>
                <w:rFonts w:eastAsia="Calibri"/>
                <w:lang w:eastAsia="en-US"/>
              </w:rPr>
            </w:pPr>
            <w:r w:rsidRPr="00B27CB1">
              <w:rPr>
                <w:rFonts w:eastAsia="Calibri"/>
                <w:lang w:eastAsia="en-US"/>
              </w:rPr>
              <w:t>2</w:t>
            </w:r>
            <w:r>
              <w:rPr>
                <w:rFonts w:eastAsia="Calibri"/>
                <w:lang w:eastAsia="en-US"/>
              </w:rPr>
              <w:t>.</w:t>
            </w:r>
          </w:p>
        </w:tc>
        <w:tc>
          <w:tcPr>
            <w:tcW w:w="3167" w:type="dxa"/>
            <w:tcBorders>
              <w:top w:val="single" w:sz="6" w:space="0" w:color="000000"/>
              <w:left w:val="single" w:sz="6" w:space="0" w:color="000000"/>
              <w:bottom w:val="single" w:sz="6" w:space="0" w:color="000000"/>
            </w:tcBorders>
            <w:shd w:val="clear" w:color="auto" w:fill="auto"/>
          </w:tcPr>
          <w:p w14:paraId="68A64F69" w14:textId="57185C84"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4F4152B9" w14:textId="305D02AC"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180F6C69" w14:textId="7B31EE90" w:rsidR="00E318A3" w:rsidRPr="00B27CB1" w:rsidRDefault="00E318A3" w:rsidP="00E318A3">
            <w:pPr>
              <w:snapToGrid w:val="0"/>
              <w:spacing w:line="260" w:lineRule="atLeast"/>
              <w:rPr>
                <w:rFonts w:eastAsia="Calibri"/>
                <w:lang w:eastAsia="en-US"/>
              </w:rPr>
            </w:pPr>
            <w:r>
              <w:rPr>
                <w:rFonts w:eastAsia="Calibri"/>
                <w:lang w:eastAsia="en-US"/>
              </w:rPr>
              <w:t>1.2</w:t>
            </w:r>
          </w:p>
        </w:tc>
      </w:tr>
      <w:tr w:rsidR="00E318A3" w:rsidRPr="00B27CB1" w14:paraId="40A4D99D" w14:textId="77777777" w:rsidTr="00E318A3">
        <w:tc>
          <w:tcPr>
            <w:tcW w:w="1222" w:type="dxa"/>
            <w:tcBorders>
              <w:top w:val="single" w:sz="6" w:space="0" w:color="000000"/>
              <w:left w:val="single" w:sz="6" w:space="0" w:color="000000"/>
              <w:bottom w:val="single" w:sz="6" w:space="0" w:color="000000"/>
            </w:tcBorders>
            <w:shd w:val="clear" w:color="auto" w:fill="auto"/>
          </w:tcPr>
          <w:p w14:paraId="28E12451" w14:textId="259E0622" w:rsidR="00E318A3" w:rsidRPr="00B27CB1" w:rsidRDefault="00E318A3" w:rsidP="00E318A3">
            <w:pPr>
              <w:spacing w:line="260" w:lineRule="atLeast"/>
              <w:rPr>
                <w:rFonts w:eastAsia="Calibri"/>
                <w:lang w:eastAsia="en-US"/>
              </w:rPr>
            </w:pPr>
            <w:r>
              <w:rPr>
                <w:rFonts w:eastAsia="Calibri"/>
                <w:lang w:eastAsia="en-US"/>
              </w:rPr>
              <w:t>3.</w:t>
            </w:r>
          </w:p>
        </w:tc>
        <w:tc>
          <w:tcPr>
            <w:tcW w:w="3167" w:type="dxa"/>
            <w:tcBorders>
              <w:top w:val="single" w:sz="6" w:space="0" w:color="000000"/>
              <w:left w:val="single" w:sz="6" w:space="0" w:color="000000"/>
              <w:bottom w:val="single" w:sz="6" w:space="0" w:color="000000"/>
            </w:tcBorders>
            <w:shd w:val="clear" w:color="auto" w:fill="auto"/>
          </w:tcPr>
          <w:p w14:paraId="603B0E31" w14:textId="5CA21642"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549C54AD" w14:textId="7B3C409F"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0C6959C0" w14:textId="022BB634" w:rsidR="00E318A3" w:rsidRPr="00B27CB1" w:rsidRDefault="00E318A3" w:rsidP="00E318A3">
            <w:pPr>
              <w:snapToGrid w:val="0"/>
              <w:spacing w:line="260" w:lineRule="atLeast"/>
              <w:rPr>
                <w:rFonts w:eastAsia="Calibri"/>
                <w:lang w:eastAsia="en-US"/>
              </w:rPr>
            </w:pPr>
            <w:r>
              <w:rPr>
                <w:rFonts w:eastAsia="Calibri"/>
                <w:lang w:eastAsia="en-US"/>
              </w:rPr>
              <w:t>0.01</w:t>
            </w:r>
          </w:p>
        </w:tc>
      </w:tr>
      <w:tr w:rsidR="00E318A3" w:rsidRPr="00B27CB1" w14:paraId="28F889B8" w14:textId="77777777" w:rsidTr="00E318A3">
        <w:tc>
          <w:tcPr>
            <w:tcW w:w="1222" w:type="dxa"/>
            <w:tcBorders>
              <w:top w:val="single" w:sz="6" w:space="0" w:color="000000"/>
              <w:left w:val="single" w:sz="6" w:space="0" w:color="000000"/>
              <w:bottom w:val="single" w:sz="6" w:space="0" w:color="000000"/>
            </w:tcBorders>
            <w:shd w:val="clear" w:color="auto" w:fill="auto"/>
          </w:tcPr>
          <w:p w14:paraId="65644170" w14:textId="6B0A8CF2" w:rsidR="00E318A3" w:rsidRPr="00B27CB1" w:rsidRDefault="00E318A3" w:rsidP="00E318A3">
            <w:pPr>
              <w:spacing w:line="260" w:lineRule="atLeast"/>
              <w:rPr>
                <w:rFonts w:eastAsia="Calibri"/>
                <w:lang w:eastAsia="en-US"/>
              </w:rPr>
            </w:pPr>
            <w:r>
              <w:rPr>
                <w:rFonts w:eastAsia="Calibri"/>
                <w:lang w:eastAsia="en-US"/>
              </w:rPr>
              <w:t>4.</w:t>
            </w:r>
          </w:p>
        </w:tc>
        <w:tc>
          <w:tcPr>
            <w:tcW w:w="3167" w:type="dxa"/>
            <w:tcBorders>
              <w:top w:val="single" w:sz="6" w:space="0" w:color="000000"/>
              <w:left w:val="single" w:sz="6" w:space="0" w:color="000000"/>
              <w:bottom w:val="single" w:sz="6" w:space="0" w:color="000000"/>
            </w:tcBorders>
            <w:shd w:val="clear" w:color="auto" w:fill="auto"/>
          </w:tcPr>
          <w:p w14:paraId="522F6032" w14:textId="513CC7CE"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7E8A3753" w14:textId="5188002F"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17797134" w14:textId="29161B8A" w:rsidR="00E318A3" w:rsidRPr="00B27CB1" w:rsidRDefault="00E318A3" w:rsidP="00E318A3">
            <w:pPr>
              <w:snapToGrid w:val="0"/>
              <w:spacing w:line="260" w:lineRule="atLeast"/>
              <w:rPr>
                <w:rFonts w:eastAsia="Calibri"/>
                <w:lang w:eastAsia="en-US"/>
              </w:rPr>
            </w:pPr>
            <w:r>
              <w:rPr>
                <w:rFonts w:eastAsia="Calibri"/>
                <w:lang w:eastAsia="en-US"/>
              </w:rPr>
              <w:t>0.46</w:t>
            </w:r>
          </w:p>
        </w:tc>
      </w:tr>
      <w:tr w:rsidR="00E318A3" w:rsidRPr="00B27CB1" w14:paraId="0F4F7B4E" w14:textId="77777777" w:rsidTr="00E318A3">
        <w:tc>
          <w:tcPr>
            <w:tcW w:w="1222" w:type="dxa"/>
            <w:tcBorders>
              <w:top w:val="single" w:sz="6" w:space="0" w:color="000000"/>
              <w:left w:val="single" w:sz="6" w:space="0" w:color="000000"/>
              <w:bottom w:val="single" w:sz="6" w:space="0" w:color="000000"/>
            </w:tcBorders>
            <w:shd w:val="clear" w:color="auto" w:fill="auto"/>
          </w:tcPr>
          <w:p w14:paraId="355A94F5" w14:textId="7664754A" w:rsidR="00E318A3" w:rsidRPr="00B27CB1" w:rsidRDefault="00E318A3" w:rsidP="00E318A3">
            <w:pPr>
              <w:spacing w:line="260" w:lineRule="atLeast"/>
              <w:rPr>
                <w:rFonts w:eastAsia="Calibri"/>
                <w:lang w:eastAsia="en-US"/>
              </w:rPr>
            </w:pPr>
            <w:r>
              <w:rPr>
                <w:rFonts w:eastAsia="Calibri"/>
                <w:lang w:eastAsia="en-US"/>
              </w:rPr>
              <w:t>5.</w:t>
            </w:r>
          </w:p>
        </w:tc>
        <w:tc>
          <w:tcPr>
            <w:tcW w:w="3167" w:type="dxa"/>
            <w:tcBorders>
              <w:top w:val="single" w:sz="6" w:space="0" w:color="000000"/>
              <w:left w:val="single" w:sz="6" w:space="0" w:color="000000"/>
              <w:bottom w:val="single" w:sz="6" w:space="0" w:color="000000"/>
            </w:tcBorders>
            <w:shd w:val="clear" w:color="auto" w:fill="auto"/>
          </w:tcPr>
          <w:p w14:paraId="6F1151B2" w14:textId="23C9FDE8"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0677F993" w14:textId="697BDE9E"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43AE430F" w14:textId="650F45BF" w:rsidR="00E318A3" w:rsidRPr="00B27CB1" w:rsidRDefault="00E318A3" w:rsidP="00E318A3">
            <w:pPr>
              <w:snapToGrid w:val="0"/>
              <w:spacing w:line="260" w:lineRule="atLeast"/>
              <w:rPr>
                <w:rFonts w:eastAsia="Calibri"/>
                <w:lang w:eastAsia="en-US"/>
              </w:rPr>
            </w:pPr>
            <w:r>
              <w:rPr>
                <w:rFonts w:eastAsia="Calibri"/>
                <w:lang w:eastAsia="en-US"/>
              </w:rPr>
              <w:t>0.33</w:t>
            </w:r>
          </w:p>
        </w:tc>
      </w:tr>
      <w:tr w:rsidR="00E318A3" w:rsidRPr="00B27CB1" w14:paraId="77FA1E00" w14:textId="77777777" w:rsidTr="00E318A3">
        <w:tc>
          <w:tcPr>
            <w:tcW w:w="1222" w:type="dxa"/>
            <w:tcBorders>
              <w:top w:val="single" w:sz="6" w:space="0" w:color="000000"/>
              <w:left w:val="single" w:sz="6" w:space="0" w:color="000000"/>
              <w:bottom w:val="single" w:sz="6" w:space="0" w:color="000000"/>
            </w:tcBorders>
            <w:shd w:val="clear" w:color="auto" w:fill="auto"/>
          </w:tcPr>
          <w:p w14:paraId="79D7A3F7" w14:textId="09605D8B" w:rsidR="00E318A3" w:rsidRPr="00B27CB1" w:rsidRDefault="00E318A3" w:rsidP="00E318A3">
            <w:pPr>
              <w:spacing w:line="260" w:lineRule="atLeast"/>
              <w:rPr>
                <w:rFonts w:eastAsia="Calibri"/>
                <w:lang w:eastAsia="en-US"/>
              </w:rPr>
            </w:pPr>
            <w:r>
              <w:rPr>
                <w:rFonts w:eastAsia="Calibri"/>
                <w:lang w:eastAsia="en-US"/>
              </w:rPr>
              <w:t>6.</w:t>
            </w:r>
          </w:p>
        </w:tc>
        <w:tc>
          <w:tcPr>
            <w:tcW w:w="3167" w:type="dxa"/>
            <w:tcBorders>
              <w:top w:val="single" w:sz="6" w:space="0" w:color="000000"/>
              <w:left w:val="single" w:sz="6" w:space="0" w:color="000000"/>
              <w:bottom w:val="single" w:sz="6" w:space="0" w:color="000000"/>
            </w:tcBorders>
            <w:shd w:val="clear" w:color="auto" w:fill="auto"/>
          </w:tcPr>
          <w:p w14:paraId="60BA2102" w14:textId="171E7F7B"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5F912151" w14:textId="5018418B"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DB8073A" w14:textId="189CD92F" w:rsidR="00E318A3" w:rsidRPr="00B27CB1" w:rsidRDefault="00E318A3" w:rsidP="00E318A3">
            <w:pPr>
              <w:snapToGrid w:val="0"/>
              <w:spacing w:line="260" w:lineRule="atLeast"/>
              <w:rPr>
                <w:rFonts w:eastAsia="Calibri"/>
                <w:lang w:eastAsia="en-US"/>
              </w:rPr>
            </w:pPr>
            <w:r>
              <w:rPr>
                <w:rFonts w:eastAsia="Calibri"/>
                <w:lang w:eastAsia="en-US"/>
              </w:rPr>
              <w:t>Negligible</w:t>
            </w:r>
          </w:p>
        </w:tc>
      </w:tr>
      <w:tr w:rsidR="00E318A3" w:rsidRPr="00B27CB1" w14:paraId="7876F75B" w14:textId="77777777" w:rsidTr="00E318A3">
        <w:tc>
          <w:tcPr>
            <w:tcW w:w="1222" w:type="dxa"/>
            <w:tcBorders>
              <w:top w:val="single" w:sz="6" w:space="0" w:color="000000"/>
              <w:left w:val="single" w:sz="6" w:space="0" w:color="000000"/>
              <w:bottom w:val="single" w:sz="6" w:space="0" w:color="000000"/>
            </w:tcBorders>
            <w:shd w:val="clear" w:color="auto" w:fill="auto"/>
          </w:tcPr>
          <w:p w14:paraId="472C4044" w14:textId="7AC0C6AA" w:rsidR="00E318A3" w:rsidRPr="00B27CB1" w:rsidRDefault="00E318A3" w:rsidP="00E318A3">
            <w:pPr>
              <w:spacing w:line="260" w:lineRule="atLeast"/>
              <w:rPr>
                <w:rFonts w:eastAsia="Calibri"/>
                <w:lang w:eastAsia="en-US"/>
              </w:rPr>
            </w:pPr>
            <w:r>
              <w:rPr>
                <w:rFonts w:eastAsia="Calibri"/>
                <w:lang w:eastAsia="en-US"/>
              </w:rPr>
              <w:t>7.</w:t>
            </w:r>
          </w:p>
        </w:tc>
        <w:tc>
          <w:tcPr>
            <w:tcW w:w="3167" w:type="dxa"/>
            <w:tcBorders>
              <w:top w:val="single" w:sz="6" w:space="0" w:color="000000"/>
              <w:left w:val="single" w:sz="6" w:space="0" w:color="000000"/>
              <w:bottom w:val="single" w:sz="6" w:space="0" w:color="000000"/>
            </w:tcBorders>
            <w:shd w:val="clear" w:color="auto" w:fill="auto"/>
          </w:tcPr>
          <w:p w14:paraId="07AA5BEE" w14:textId="080D4F21"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2D956A2A" w14:textId="4D974BC9"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816A9A5" w14:textId="74AFBE20" w:rsidR="00E318A3" w:rsidRPr="00B27CB1" w:rsidRDefault="00E318A3" w:rsidP="00E318A3">
            <w:pPr>
              <w:snapToGrid w:val="0"/>
              <w:spacing w:line="260" w:lineRule="atLeast"/>
              <w:rPr>
                <w:rFonts w:eastAsia="Calibri"/>
                <w:lang w:eastAsia="en-US"/>
              </w:rPr>
            </w:pPr>
            <w:r>
              <w:rPr>
                <w:rFonts w:eastAsia="Calibri"/>
                <w:lang w:eastAsia="en-US"/>
              </w:rPr>
              <w:t>0.1</w:t>
            </w:r>
          </w:p>
        </w:tc>
      </w:tr>
      <w:tr w:rsidR="00E318A3" w:rsidRPr="00B27CB1" w14:paraId="4533C45B" w14:textId="77777777" w:rsidTr="00E318A3">
        <w:tc>
          <w:tcPr>
            <w:tcW w:w="1222" w:type="dxa"/>
            <w:tcBorders>
              <w:top w:val="single" w:sz="6" w:space="0" w:color="000000"/>
              <w:left w:val="single" w:sz="6" w:space="0" w:color="000000"/>
              <w:bottom w:val="single" w:sz="6" w:space="0" w:color="000000"/>
            </w:tcBorders>
            <w:shd w:val="clear" w:color="auto" w:fill="auto"/>
          </w:tcPr>
          <w:p w14:paraId="381123B4" w14:textId="03ADB147" w:rsidR="00E318A3" w:rsidRPr="00B27CB1" w:rsidRDefault="00E318A3" w:rsidP="00E318A3">
            <w:pPr>
              <w:spacing w:line="260" w:lineRule="atLeast"/>
              <w:rPr>
                <w:rFonts w:eastAsia="Calibri"/>
                <w:lang w:eastAsia="en-US"/>
              </w:rPr>
            </w:pPr>
            <w:r>
              <w:rPr>
                <w:rFonts w:eastAsia="Calibri"/>
                <w:lang w:eastAsia="en-US"/>
              </w:rPr>
              <w:t>8.</w:t>
            </w:r>
          </w:p>
        </w:tc>
        <w:tc>
          <w:tcPr>
            <w:tcW w:w="3167" w:type="dxa"/>
            <w:tcBorders>
              <w:top w:val="single" w:sz="6" w:space="0" w:color="000000"/>
              <w:left w:val="single" w:sz="6" w:space="0" w:color="000000"/>
              <w:bottom w:val="single" w:sz="6" w:space="0" w:color="000000"/>
            </w:tcBorders>
            <w:shd w:val="clear" w:color="auto" w:fill="auto"/>
          </w:tcPr>
          <w:p w14:paraId="0493952C" w14:textId="01A1565F"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2CCE783A" w14:textId="40433323"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07E7083D" w14:textId="4F9450CF" w:rsidR="00E318A3" w:rsidRPr="00B27CB1" w:rsidRDefault="00E318A3" w:rsidP="00E318A3">
            <w:pPr>
              <w:snapToGrid w:val="0"/>
              <w:spacing w:line="260" w:lineRule="atLeast"/>
              <w:rPr>
                <w:rFonts w:eastAsia="Calibri"/>
                <w:lang w:eastAsia="en-US"/>
              </w:rPr>
            </w:pPr>
            <w:r>
              <w:rPr>
                <w:rFonts w:eastAsia="Calibri"/>
                <w:lang w:eastAsia="en-US"/>
              </w:rPr>
              <w:t>0.1</w:t>
            </w:r>
          </w:p>
        </w:tc>
      </w:tr>
      <w:tr w:rsidR="00E318A3" w:rsidRPr="00B27CB1" w14:paraId="5BB40E8E" w14:textId="77777777" w:rsidTr="00E318A3">
        <w:tc>
          <w:tcPr>
            <w:tcW w:w="1222" w:type="dxa"/>
            <w:tcBorders>
              <w:top w:val="single" w:sz="6" w:space="0" w:color="000000"/>
              <w:left w:val="single" w:sz="6" w:space="0" w:color="000000"/>
              <w:bottom w:val="single" w:sz="6" w:space="0" w:color="000000"/>
            </w:tcBorders>
            <w:shd w:val="clear" w:color="auto" w:fill="auto"/>
          </w:tcPr>
          <w:p w14:paraId="4EB5F22B" w14:textId="751B5DE5" w:rsidR="00E318A3" w:rsidRDefault="00E318A3" w:rsidP="00E318A3">
            <w:pPr>
              <w:spacing w:line="260" w:lineRule="atLeast"/>
              <w:rPr>
                <w:rFonts w:eastAsia="Calibri"/>
                <w:lang w:eastAsia="en-US"/>
              </w:rPr>
            </w:pPr>
            <w:r>
              <w:rPr>
                <w:rFonts w:eastAsia="Calibri"/>
                <w:lang w:eastAsia="en-US"/>
              </w:rPr>
              <w:t>9.</w:t>
            </w:r>
          </w:p>
        </w:tc>
        <w:tc>
          <w:tcPr>
            <w:tcW w:w="3167" w:type="dxa"/>
            <w:tcBorders>
              <w:top w:val="single" w:sz="6" w:space="0" w:color="000000"/>
              <w:left w:val="single" w:sz="6" w:space="0" w:color="000000"/>
              <w:bottom w:val="single" w:sz="6" w:space="0" w:color="000000"/>
            </w:tcBorders>
            <w:shd w:val="clear" w:color="auto" w:fill="auto"/>
          </w:tcPr>
          <w:p w14:paraId="3518383C" w14:textId="257B2286" w:rsidR="00E318A3" w:rsidRPr="00B27CB1" w:rsidRDefault="00E318A3" w:rsidP="00E318A3">
            <w:pPr>
              <w:snapToGrid w:val="0"/>
              <w:spacing w:line="260" w:lineRule="atLeast"/>
              <w:rPr>
                <w:rFonts w:eastAsia="Calibri"/>
                <w:lang w:eastAsia="en-US"/>
              </w:rPr>
            </w:pPr>
            <w:r w:rsidRPr="00C6799F">
              <w:rPr>
                <w:rFonts w:eastAsia="Calibri"/>
                <w:lang w:eastAsia="en-US"/>
              </w:rPr>
              <w:t>Industrials/professionals</w:t>
            </w:r>
          </w:p>
        </w:tc>
        <w:tc>
          <w:tcPr>
            <w:tcW w:w="2735" w:type="dxa"/>
            <w:tcBorders>
              <w:top w:val="single" w:sz="6" w:space="0" w:color="000000"/>
              <w:left w:val="single" w:sz="6" w:space="0" w:color="000000"/>
              <w:bottom w:val="single" w:sz="6" w:space="0" w:color="000000"/>
            </w:tcBorders>
            <w:shd w:val="clear" w:color="auto" w:fill="auto"/>
          </w:tcPr>
          <w:p w14:paraId="7D321CC0" w14:textId="6D0DACBD" w:rsidR="00E318A3" w:rsidRPr="00B27CB1" w:rsidRDefault="00E318A3" w:rsidP="00E318A3">
            <w:pPr>
              <w:snapToGrid w:val="0"/>
              <w:spacing w:line="260" w:lineRule="atLeast"/>
              <w:rPr>
                <w:rFonts w:eastAsia="Calibri"/>
                <w:lang w:eastAsia="en-US"/>
              </w:rPr>
            </w:pPr>
            <w:r w:rsidRPr="00325A3B">
              <w:rPr>
                <w:rFonts w:eastAsia="Calibri"/>
                <w:lang w:eastAsia="en-US"/>
              </w:rPr>
              <w:t>1/no RPE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0685F27B" w14:textId="246C71AD" w:rsidR="00E318A3" w:rsidRPr="00B27CB1" w:rsidRDefault="00E318A3" w:rsidP="00E318A3">
            <w:pPr>
              <w:snapToGrid w:val="0"/>
              <w:spacing w:line="260" w:lineRule="atLeast"/>
              <w:rPr>
                <w:rFonts w:eastAsia="Calibri"/>
                <w:lang w:eastAsia="en-US"/>
              </w:rPr>
            </w:pPr>
            <w:r>
              <w:rPr>
                <w:rFonts w:eastAsia="Calibri"/>
                <w:lang w:eastAsia="en-US"/>
              </w:rPr>
              <w:t>Negligible</w:t>
            </w:r>
          </w:p>
        </w:tc>
      </w:tr>
    </w:tbl>
    <w:p w14:paraId="342BA667" w14:textId="77777777" w:rsidR="009D0C0B" w:rsidRPr="00B27CB1" w:rsidRDefault="00FA480B">
      <w:pPr>
        <w:pStyle w:val="Titre4"/>
        <w:pageBreakBefore/>
        <w:rPr>
          <w:lang w:val="en-GB"/>
        </w:rPr>
      </w:pPr>
      <w:bookmarkStart w:id="178" w:name="_Toc87361205"/>
      <w:r w:rsidRPr="00B27CB1">
        <w:rPr>
          <w:lang w:val="en-GB"/>
        </w:rPr>
        <w:lastRenderedPageBreak/>
        <w:t>Risk characterisation for human health</w:t>
      </w:r>
      <w:bookmarkEnd w:id="178"/>
    </w:p>
    <w:p w14:paraId="099B9024" w14:textId="1C7E0B40" w:rsidR="009D0C0B" w:rsidRDefault="00FA480B">
      <w:pPr>
        <w:spacing w:line="260" w:lineRule="atLeast"/>
      </w:pPr>
      <w:r w:rsidRPr="00B27CB1">
        <w:t>Reference values to be used in Risk Characterisation</w:t>
      </w:r>
    </w:p>
    <w:p w14:paraId="4EA3190C" w14:textId="77777777" w:rsidR="00533628" w:rsidRDefault="00533628">
      <w:pPr>
        <w:spacing w:line="260" w:lineRule="atLeast"/>
        <w:rPr>
          <w:rFonts w:eastAsia="Calibri"/>
          <w:b/>
          <w:lang w:eastAsia="en-US"/>
        </w:rPr>
      </w:pPr>
    </w:p>
    <w:p w14:paraId="2A824E39" w14:textId="49E0C2EF" w:rsidR="00533628" w:rsidRDefault="00533628">
      <w:pPr>
        <w:spacing w:line="260" w:lineRule="atLeast"/>
        <w:rPr>
          <w:rFonts w:eastAsia="Calibri"/>
          <w:b/>
          <w:lang w:eastAsia="en-US"/>
        </w:rPr>
      </w:pPr>
      <w:r>
        <w:rPr>
          <w:rFonts w:eastAsia="Calibri"/>
          <w:b/>
          <w:lang w:eastAsia="en-US"/>
        </w:rPr>
        <w:t>Lactic acid</w:t>
      </w:r>
    </w:p>
    <w:p w14:paraId="605F2422" w14:textId="77777777" w:rsidR="00533628" w:rsidRPr="00B27CB1" w:rsidRDefault="00533628">
      <w:pPr>
        <w:spacing w:line="260" w:lineRule="atLeast"/>
        <w:rPr>
          <w:rFonts w:eastAsia="Calibri"/>
          <w:b/>
          <w:lang w:eastAsia="en-US"/>
        </w:rPr>
      </w:pP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9D0C0B" w:rsidRPr="00B27CB1" w14:paraId="02DC1855" w14:textId="77777777">
        <w:tc>
          <w:tcPr>
            <w:tcW w:w="1684" w:type="dxa"/>
            <w:tcBorders>
              <w:top w:val="single" w:sz="4" w:space="0" w:color="000000"/>
              <w:left w:val="single" w:sz="4" w:space="0" w:color="000000"/>
              <w:bottom w:val="single" w:sz="4" w:space="0" w:color="000000"/>
            </w:tcBorders>
            <w:shd w:val="clear" w:color="auto" w:fill="FFFFCC"/>
          </w:tcPr>
          <w:p w14:paraId="2FF57CF0" w14:textId="77777777" w:rsidR="009D0C0B" w:rsidRPr="00B27CB1" w:rsidRDefault="00FA480B">
            <w:pPr>
              <w:spacing w:line="260" w:lineRule="atLeast"/>
              <w:rPr>
                <w:rFonts w:eastAsia="Calibri"/>
                <w:b/>
                <w:lang w:eastAsia="en-US"/>
              </w:rPr>
            </w:pPr>
            <w:r w:rsidRPr="00B27CB1">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77C6BE14" w14:textId="77777777" w:rsidR="009D0C0B" w:rsidRPr="00B27CB1" w:rsidRDefault="00FA480B">
            <w:pPr>
              <w:spacing w:line="260" w:lineRule="atLeast"/>
              <w:rPr>
                <w:rFonts w:eastAsia="Calibri"/>
                <w:b/>
                <w:lang w:eastAsia="en-US"/>
              </w:rPr>
            </w:pPr>
            <w:r w:rsidRPr="00B27CB1">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1E76FCA1" w14:textId="77777777" w:rsidR="009D0C0B" w:rsidRPr="00B27CB1" w:rsidRDefault="00FA480B">
            <w:pPr>
              <w:spacing w:line="260" w:lineRule="atLeast"/>
              <w:rPr>
                <w:rFonts w:eastAsia="Calibri"/>
                <w:b/>
                <w:lang w:eastAsia="en-US"/>
              </w:rPr>
            </w:pPr>
            <w:r w:rsidRPr="00B27CB1">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55C66D9A" w14:textId="3832AB35" w:rsidR="009D0C0B" w:rsidRPr="00B27CB1" w:rsidRDefault="00FA480B">
            <w:pPr>
              <w:spacing w:line="260" w:lineRule="atLeast"/>
              <w:rPr>
                <w:rFonts w:eastAsia="Calibri"/>
                <w:b/>
                <w:lang w:eastAsia="en-US"/>
              </w:rPr>
            </w:pPr>
            <w:r w:rsidRPr="00B27CB1">
              <w:rPr>
                <w:rFonts w:eastAsia="Calibri"/>
                <w:b/>
                <w:lang w:eastAsia="en-US"/>
              </w:rPr>
              <w:t>AF</w:t>
            </w:r>
          </w:p>
        </w:tc>
        <w:tc>
          <w:tcPr>
            <w:tcW w:w="2341" w:type="dxa"/>
            <w:tcBorders>
              <w:top w:val="single" w:sz="4" w:space="0" w:color="000000"/>
              <w:left w:val="single" w:sz="4" w:space="0" w:color="000000"/>
              <w:bottom w:val="single" w:sz="4" w:space="0" w:color="000000"/>
            </w:tcBorders>
            <w:shd w:val="clear" w:color="auto" w:fill="FFFFCC"/>
          </w:tcPr>
          <w:p w14:paraId="386780DE" w14:textId="77777777" w:rsidR="009D0C0B" w:rsidRPr="00B27CB1" w:rsidRDefault="00FA480B">
            <w:pPr>
              <w:spacing w:line="260" w:lineRule="atLeast"/>
              <w:rPr>
                <w:rFonts w:eastAsia="Calibri"/>
                <w:b/>
                <w:lang w:eastAsia="en-US"/>
              </w:rPr>
            </w:pPr>
            <w:r w:rsidRPr="00B27CB1">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75C788E8" w14:textId="77777777" w:rsidR="009D0C0B" w:rsidRPr="00B27CB1" w:rsidRDefault="00FA480B">
            <w:pPr>
              <w:spacing w:line="260" w:lineRule="atLeast"/>
            </w:pPr>
            <w:r w:rsidRPr="00B27CB1">
              <w:rPr>
                <w:rFonts w:eastAsia="Calibri"/>
                <w:b/>
                <w:lang w:eastAsia="en-US"/>
              </w:rPr>
              <w:t>Value</w:t>
            </w:r>
          </w:p>
        </w:tc>
      </w:tr>
      <w:tr w:rsidR="00533628" w:rsidRPr="00B27CB1" w14:paraId="2B4D29DB" w14:textId="77777777">
        <w:tc>
          <w:tcPr>
            <w:tcW w:w="1684" w:type="dxa"/>
            <w:tcBorders>
              <w:top w:val="single" w:sz="4" w:space="0" w:color="000000"/>
              <w:left w:val="single" w:sz="4" w:space="0" w:color="000000"/>
              <w:bottom w:val="single" w:sz="4" w:space="0" w:color="000000"/>
            </w:tcBorders>
            <w:shd w:val="clear" w:color="auto" w:fill="auto"/>
          </w:tcPr>
          <w:p w14:paraId="509E25A8" w14:textId="0ADEDD0F" w:rsidR="00533628" w:rsidRPr="00B27CB1" w:rsidRDefault="00533628" w:rsidP="00533628">
            <w:pPr>
              <w:spacing w:line="260" w:lineRule="atLeast"/>
              <w:rPr>
                <w:rFonts w:eastAsia="Calibri"/>
                <w:lang w:eastAsia="en-US"/>
              </w:rPr>
            </w:pPr>
            <w:r>
              <w:rPr>
                <w:rFonts w:eastAsia="Calibri"/>
                <w:lang w:eastAsia="en-US"/>
              </w:rPr>
              <w:t>NOAEC</w:t>
            </w:r>
            <w:r w:rsidRPr="000D3719">
              <w:rPr>
                <w:rFonts w:eastAsia="Calibri"/>
                <w:vertAlign w:val="subscript"/>
                <w:lang w:eastAsia="en-US"/>
              </w:rPr>
              <w:t>dermal</w:t>
            </w:r>
            <w:r>
              <w:rPr>
                <w:rFonts w:eastAsia="Calibri"/>
                <w:vertAlign w:val="subscript"/>
                <w:lang w:eastAsia="en-US"/>
              </w:rPr>
              <w:t>*</w:t>
            </w:r>
          </w:p>
        </w:tc>
        <w:tc>
          <w:tcPr>
            <w:tcW w:w="1538" w:type="dxa"/>
            <w:tcBorders>
              <w:top w:val="single" w:sz="4" w:space="0" w:color="000000"/>
              <w:left w:val="single" w:sz="4" w:space="0" w:color="000000"/>
              <w:bottom w:val="single" w:sz="4" w:space="0" w:color="000000"/>
            </w:tcBorders>
            <w:shd w:val="clear" w:color="auto" w:fill="auto"/>
          </w:tcPr>
          <w:p w14:paraId="5E178163" w14:textId="31A481A4" w:rsidR="00533628" w:rsidRPr="00B27CB1" w:rsidRDefault="00533628" w:rsidP="00533628">
            <w:pPr>
              <w:snapToGrid w:val="0"/>
              <w:spacing w:line="260" w:lineRule="atLeast"/>
              <w:rPr>
                <w:rFonts w:eastAsia="Calibri"/>
                <w:lang w:eastAsia="en-US"/>
              </w:rPr>
            </w:pPr>
            <w:r>
              <w:rPr>
                <w:rFonts w:eastAsia="Calibri"/>
                <w:lang w:eastAsia="en-US"/>
              </w:rPr>
              <w:t>Derived from rabbit irritation/corrosion studies</w:t>
            </w:r>
          </w:p>
        </w:tc>
        <w:tc>
          <w:tcPr>
            <w:tcW w:w="1538" w:type="dxa"/>
            <w:tcBorders>
              <w:top w:val="single" w:sz="4" w:space="0" w:color="000000"/>
              <w:left w:val="single" w:sz="4" w:space="0" w:color="000000"/>
              <w:bottom w:val="single" w:sz="4" w:space="0" w:color="000000"/>
            </w:tcBorders>
            <w:shd w:val="clear" w:color="auto" w:fill="auto"/>
          </w:tcPr>
          <w:p w14:paraId="46CB9E43" w14:textId="22B9FF98" w:rsidR="00533628" w:rsidRPr="00B27CB1" w:rsidRDefault="00533628" w:rsidP="00533628">
            <w:pPr>
              <w:snapToGrid w:val="0"/>
              <w:spacing w:line="260" w:lineRule="atLeast"/>
              <w:rPr>
                <w:rFonts w:eastAsia="Calibri"/>
                <w:lang w:eastAsia="en-US"/>
              </w:rPr>
            </w:pPr>
            <w:r>
              <w:rPr>
                <w:rFonts w:eastAsia="Calibri"/>
                <w:lang w:eastAsia="en-US"/>
              </w:rPr>
              <w:t>10%</w:t>
            </w:r>
          </w:p>
        </w:tc>
        <w:tc>
          <w:tcPr>
            <w:tcW w:w="735" w:type="dxa"/>
            <w:tcBorders>
              <w:top w:val="single" w:sz="4" w:space="0" w:color="000000"/>
              <w:left w:val="single" w:sz="4" w:space="0" w:color="000000"/>
              <w:bottom w:val="single" w:sz="4" w:space="0" w:color="000000"/>
            </w:tcBorders>
            <w:shd w:val="clear" w:color="auto" w:fill="auto"/>
          </w:tcPr>
          <w:p w14:paraId="0C834E61" w14:textId="548F390B" w:rsidR="00533628" w:rsidRPr="00B27CB1" w:rsidRDefault="00533628" w:rsidP="00533628">
            <w:pPr>
              <w:snapToGrid w:val="0"/>
              <w:spacing w:line="260" w:lineRule="atLeast"/>
              <w:rPr>
                <w:rFonts w:eastAsia="Calibri"/>
                <w:lang w:eastAsia="en-US"/>
              </w:rPr>
            </w:pPr>
            <w:r>
              <w:rPr>
                <w:rFonts w:eastAsia="Calibri"/>
                <w:lang w:eastAsia="en-US"/>
              </w:rPr>
              <w:t>1</w:t>
            </w:r>
          </w:p>
        </w:tc>
        <w:tc>
          <w:tcPr>
            <w:tcW w:w="2341" w:type="dxa"/>
            <w:tcBorders>
              <w:top w:val="single" w:sz="4" w:space="0" w:color="000000"/>
              <w:left w:val="single" w:sz="4" w:space="0" w:color="000000"/>
              <w:bottom w:val="single" w:sz="4" w:space="0" w:color="000000"/>
            </w:tcBorders>
            <w:shd w:val="clear" w:color="auto" w:fill="auto"/>
          </w:tcPr>
          <w:p w14:paraId="24629124" w14:textId="77777777" w:rsidR="00533628" w:rsidRPr="00B27CB1" w:rsidRDefault="00533628" w:rsidP="00533628">
            <w:pPr>
              <w:snapToGrid w:val="0"/>
              <w:spacing w:line="260" w:lineRule="atLeast"/>
              <w:rPr>
                <w:rFonts w:eastAsia="Calibri"/>
                <w:lang w:eastAsia="en-U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7466EADE" w14:textId="78892DDE" w:rsidR="00533628" w:rsidRPr="00B27CB1" w:rsidRDefault="00533628" w:rsidP="00533628">
            <w:pPr>
              <w:snapToGrid w:val="0"/>
              <w:spacing w:line="260" w:lineRule="atLeast"/>
              <w:rPr>
                <w:rFonts w:eastAsia="Calibri"/>
                <w:lang w:eastAsia="en-US"/>
              </w:rPr>
            </w:pPr>
          </w:p>
        </w:tc>
      </w:tr>
      <w:tr w:rsidR="00533628" w:rsidRPr="00B27CB1" w14:paraId="1E71DA0D" w14:textId="77777777">
        <w:tc>
          <w:tcPr>
            <w:tcW w:w="1684" w:type="dxa"/>
            <w:tcBorders>
              <w:top w:val="single" w:sz="4" w:space="0" w:color="000000"/>
              <w:left w:val="single" w:sz="4" w:space="0" w:color="000000"/>
              <w:bottom w:val="single" w:sz="4" w:space="0" w:color="000000"/>
            </w:tcBorders>
            <w:shd w:val="clear" w:color="auto" w:fill="auto"/>
          </w:tcPr>
          <w:p w14:paraId="4A4B7CEA" w14:textId="22D342E5" w:rsidR="00533628" w:rsidRPr="00B27CB1" w:rsidRDefault="00533628" w:rsidP="00533628">
            <w:pPr>
              <w:spacing w:line="260" w:lineRule="atLeast"/>
              <w:rPr>
                <w:rFonts w:eastAsia="Calibri"/>
                <w:lang w:eastAsia="en-US"/>
              </w:rPr>
            </w:pPr>
          </w:p>
        </w:tc>
        <w:tc>
          <w:tcPr>
            <w:tcW w:w="1538" w:type="dxa"/>
            <w:tcBorders>
              <w:top w:val="single" w:sz="4" w:space="0" w:color="000000"/>
              <w:left w:val="single" w:sz="4" w:space="0" w:color="000000"/>
              <w:bottom w:val="single" w:sz="4" w:space="0" w:color="000000"/>
            </w:tcBorders>
            <w:shd w:val="clear" w:color="auto" w:fill="auto"/>
          </w:tcPr>
          <w:p w14:paraId="4D040C5A" w14:textId="2FE8CED6" w:rsidR="00533628" w:rsidRPr="00B27CB1" w:rsidRDefault="00533628" w:rsidP="00533628">
            <w:pPr>
              <w:snapToGrid w:val="0"/>
              <w:spacing w:line="260" w:lineRule="atLeast"/>
              <w:rPr>
                <w:rFonts w:eastAsia="Calibri"/>
                <w:lang w:eastAsia="en-US"/>
              </w:rPr>
            </w:pPr>
          </w:p>
        </w:tc>
        <w:tc>
          <w:tcPr>
            <w:tcW w:w="1538" w:type="dxa"/>
            <w:tcBorders>
              <w:top w:val="single" w:sz="4" w:space="0" w:color="000000"/>
              <w:left w:val="single" w:sz="4" w:space="0" w:color="000000"/>
              <w:bottom w:val="single" w:sz="4" w:space="0" w:color="000000"/>
            </w:tcBorders>
            <w:shd w:val="clear" w:color="auto" w:fill="auto"/>
          </w:tcPr>
          <w:p w14:paraId="2F5AAF64" w14:textId="1900B263" w:rsidR="00533628" w:rsidRPr="00B27CB1" w:rsidRDefault="00533628" w:rsidP="00533628">
            <w:pPr>
              <w:snapToGrid w:val="0"/>
              <w:spacing w:line="260" w:lineRule="atLeast"/>
              <w:rPr>
                <w:rFonts w:eastAsia="Calibri"/>
                <w:lang w:eastAsia="en-US"/>
              </w:rPr>
            </w:pPr>
          </w:p>
        </w:tc>
        <w:tc>
          <w:tcPr>
            <w:tcW w:w="735" w:type="dxa"/>
            <w:tcBorders>
              <w:top w:val="single" w:sz="4" w:space="0" w:color="000000"/>
              <w:left w:val="single" w:sz="4" w:space="0" w:color="000000"/>
              <w:bottom w:val="single" w:sz="4" w:space="0" w:color="000000"/>
            </w:tcBorders>
            <w:shd w:val="clear" w:color="auto" w:fill="auto"/>
          </w:tcPr>
          <w:p w14:paraId="450748E0" w14:textId="12695B3B" w:rsidR="00533628" w:rsidRPr="00B27CB1" w:rsidRDefault="00533628" w:rsidP="00533628">
            <w:pPr>
              <w:snapToGrid w:val="0"/>
              <w:spacing w:line="260" w:lineRule="atLeast"/>
              <w:rPr>
                <w:rFonts w:eastAsia="Calibri"/>
                <w:lang w:eastAsia="en-US"/>
              </w:rPr>
            </w:pPr>
          </w:p>
        </w:tc>
        <w:tc>
          <w:tcPr>
            <w:tcW w:w="2341" w:type="dxa"/>
            <w:tcBorders>
              <w:top w:val="single" w:sz="4" w:space="0" w:color="000000"/>
              <w:left w:val="single" w:sz="4" w:space="0" w:color="000000"/>
              <w:bottom w:val="single" w:sz="4" w:space="0" w:color="000000"/>
            </w:tcBorders>
            <w:shd w:val="clear" w:color="auto" w:fill="auto"/>
          </w:tcPr>
          <w:p w14:paraId="43838008" w14:textId="31011AAE" w:rsidR="00533628" w:rsidRPr="00B27CB1" w:rsidRDefault="00533628" w:rsidP="00533628">
            <w:pPr>
              <w:snapToGrid w:val="0"/>
              <w:spacing w:line="260" w:lineRule="atLeast"/>
              <w:rPr>
                <w:rFonts w:eastAsia="Calibri"/>
                <w:lang w:eastAsia="en-U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26D397C3" w14:textId="3974D57A" w:rsidR="00533628" w:rsidRPr="00B27CB1" w:rsidRDefault="00533628" w:rsidP="00533628">
            <w:pPr>
              <w:snapToGrid w:val="0"/>
              <w:spacing w:line="260" w:lineRule="atLeast"/>
              <w:rPr>
                <w:rFonts w:eastAsia="Calibri"/>
                <w:lang w:eastAsia="en-US"/>
              </w:rPr>
            </w:pPr>
          </w:p>
        </w:tc>
      </w:tr>
      <w:tr w:rsidR="00533628" w:rsidRPr="00B27CB1" w14:paraId="649664D3" w14:textId="77777777">
        <w:tc>
          <w:tcPr>
            <w:tcW w:w="1684" w:type="dxa"/>
            <w:tcBorders>
              <w:top w:val="single" w:sz="4" w:space="0" w:color="000000"/>
              <w:left w:val="single" w:sz="4" w:space="0" w:color="000000"/>
              <w:bottom w:val="single" w:sz="4" w:space="0" w:color="000000"/>
            </w:tcBorders>
            <w:shd w:val="clear" w:color="auto" w:fill="auto"/>
          </w:tcPr>
          <w:p w14:paraId="10C6DFC5" w14:textId="1DBA18BF" w:rsidR="00533628" w:rsidRPr="00B27CB1" w:rsidRDefault="00533628" w:rsidP="00533628">
            <w:pPr>
              <w:spacing w:line="260" w:lineRule="atLeast"/>
              <w:rPr>
                <w:rFonts w:eastAsia="Calibri"/>
                <w:lang w:eastAsia="en-US"/>
              </w:rPr>
            </w:pPr>
          </w:p>
        </w:tc>
        <w:tc>
          <w:tcPr>
            <w:tcW w:w="1538" w:type="dxa"/>
            <w:tcBorders>
              <w:top w:val="single" w:sz="4" w:space="0" w:color="000000"/>
              <w:left w:val="single" w:sz="4" w:space="0" w:color="000000"/>
              <w:bottom w:val="single" w:sz="4" w:space="0" w:color="000000"/>
            </w:tcBorders>
            <w:shd w:val="clear" w:color="auto" w:fill="auto"/>
          </w:tcPr>
          <w:p w14:paraId="38834123" w14:textId="77777777" w:rsidR="00533628" w:rsidRPr="00B27CB1" w:rsidRDefault="00533628" w:rsidP="00533628">
            <w:pPr>
              <w:snapToGrid w:val="0"/>
              <w:spacing w:line="260" w:lineRule="atLeast"/>
              <w:rPr>
                <w:rFonts w:eastAsia="Calibri"/>
                <w:lang w:eastAsia="en-US"/>
              </w:rPr>
            </w:pPr>
          </w:p>
        </w:tc>
        <w:tc>
          <w:tcPr>
            <w:tcW w:w="1538" w:type="dxa"/>
            <w:tcBorders>
              <w:top w:val="single" w:sz="4" w:space="0" w:color="000000"/>
              <w:left w:val="single" w:sz="4" w:space="0" w:color="000000"/>
              <w:bottom w:val="single" w:sz="4" w:space="0" w:color="000000"/>
            </w:tcBorders>
            <w:shd w:val="clear" w:color="auto" w:fill="auto"/>
          </w:tcPr>
          <w:p w14:paraId="1E66BAE0" w14:textId="77777777" w:rsidR="00533628" w:rsidRPr="00B27CB1" w:rsidRDefault="00533628" w:rsidP="00533628">
            <w:pPr>
              <w:snapToGrid w:val="0"/>
              <w:spacing w:line="260" w:lineRule="atLeast"/>
              <w:rPr>
                <w:rFonts w:eastAsia="Calibri"/>
                <w:lang w:eastAsia="en-US"/>
              </w:rPr>
            </w:pPr>
          </w:p>
        </w:tc>
        <w:tc>
          <w:tcPr>
            <w:tcW w:w="735" w:type="dxa"/>
            <w:tcBorders>
              <w:top w:val="single" w:sz="4" w:space="0" w:color="000000"/>
              <w:left w:val="single" w:sz="4" w:space="0" w:color="000000"/>
              <w:bottom w:val="single" w:sz="4" w:space="0" w:color="000000"/>
            </w:tcBorders>
            <w:shd w:val="clear" w:color="auto" w:fill="auto"/>
          </w:tcPr>
          <w:p w14:paraId="661BF113" w14:textId="77777777" w:rsidR="00533628" w:rsidRPr="00B27CB1" w:rsidRDefault="00533628" w:rsidP="00533628">
            <w:pPr>
              <w:snapToGrid w:val="0"/>
              <w:spacing w:line="260" w:lineRule="atLeast"/>
              <w:rPr>
                <w:rFonts w:eastAsia="Calibri"/>
                <w:lang w:eastAsia="en-US"/>
              </w:rPr>
            </w:pPr>
          </w:p>
        </w:tc>
        <w:tc>
          <w:tcPr>
            <w:tcW w:w="2341" w:type="dxa"/>
            <w:tcBorders>
              <w:top w:val="single" w:sz="4" w:space="0" w:color="000000"/>
              <w:left w:val="single" w:sz="4" w:space="0" w:color="000000"/>
              <w:bottom w:val="single" w:sz="4" w:space="0" w:color="000000"/>
            </w:tcBorders>
            <w:shd w:val="clear" w:color="auto" w:fill="auto"/>
          </w:tcPr>
          <w:p w14:paraId="58FC4D9A" w14:textId="77777777" w:rsidR="00533628" w:rsidRPr="00B27CB1" w:rsidRDefault="00533628" w:rsidP="00533628">
            <w:pPr>
              <w:snapToGrid w:val="0"/>
              <w:spacing w:line="260" w:lineRule="atLeast"/>
              <w:rPr>
                <w:rFonts w:eastAsia="Calibri"/>
                <w:lang w:eastAsia="en-U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6239F5C5" w14:textId="5CB295D8" w:rsidR="00533628" w:rsidRPr="00B27CB1" w:rsidRDefault="00533628" w:rsidP="00533628">
            <w:pPr>
              <w:snapToGrid w:val="0"/>
              <w:spacing w:line="260" w:lineRule="atLeast"/>
              <w:rPr>
                <w:rFonts w:eastAsia="Calibri"/>
                <w:lang w:eastAsia="en-US"/>
              </w:rPr>
            </w:pPr>
          </w:p>
        </w:tc>
      </w:tr>
      <w:tr w:rsidR="00533628" w:rsidRPr="00B27CB1" w14:paraId="2AA30867" w14:textId="77777777" w:rsidTr="00434119">
        <w:tc>
          <w:tcPr>
            <w:tcW w:w="1684" w:type="dxa"/>
            <w:tcBorders>
              <w:top w:val="single" w:sz="4" w:space="0" w:color="000000"/>
              <w:left w:val="single" w:sz="4" w:space="0" w:color="000000"/>
              <w:bottom w:val="single" w:sz="4" w:space="0" w:color="000000"/>
            </w:tcBorders>
            <w:shd w:val="clear" w:color="auto" w:fill="auto"/>
          </w:tcPr>
          <w:p w14:paraId="78A6DFD2" w14:textId="7691166E" w:rsidR="00533628" w:rsidRPr="00B27CB1" w:rsidRDefault="00533628" w:rsidP="00533628">
            <w:pPr>
              <w:spacing w:line="260" w:lineRule="atLeast"/>
              <w:rPr>
                <w:rFonts w:eastAsia="Calibri"/>
                <w:lang w:eastAsia="en-US"/>
              </w:rPr>
            </w:pPr>
            <w:r w:rsidRPr="00B27CB1">
              <w:rPr>
                <w:rFonts w:eastAsia="Calibri"/>
                <w:lang w:eastAsia="en-US"/>
              </w:rPr>
              <w:t>ARfD</w:t>
            </w:r>
          </w:p>
        </w:tc>
        <w:tc>
          <w:tcPr>
            <w:tcW w:w="7700" w:type="dxa"/>
            <w:gridSpan w:val="5"/>
            <w:vMerge w:val="restart"/>
            <w:tcBorders>
              <w:top w:val="single" w:sz="4" w:space="0" w:color="000000"/>
              <w:left w:val="single" w:sz="4" w:space="0" w:color="000000"/>
              <w:right w:val="single" w:sz="4" w:space="0" w:color="000000"/>
            </w:tcBorders>
            <w:shd w:val="clear" w:color="auto" w:fill="auto"/>
          </w:tcPr>
          <w:p w14:paraId="00A73B85" w14:textId="44BF3640" w:rsidR="00533628" w:rsidRPr="00B27CB1" w:rsidRDefault="00533628" w:rsidP="00533628">
            <w:pPr>
              <w:snapToGrid w:val="0"/>
              <w:spacing w:line="260" w:lineRule="atLeast"/>
              <w:rPr>
                <w:rFonts w:eastAsia="Calibri"/>
                <w:lang w:eastAsia="en-US"/>
              </w:rPr>
            </w:pPr>
            <w:r>
              <w:rPr>
                <w:lang w:val="en-US" w:eastAsia="fr-FR"/>
              </w:rPr>
              <w:t xml:space="preserve">According to the </w:t>
            </w:r>
            <w:r w:rsidRPr="00AA392F">
              <w:rPr>
                <w:rFonts w:eastAsia="Calibri"/>
                <w:lang w:val="en-US"/>
              </w:rPr>
              <w:t>Assessment Report of L(+) lactic acid for PTs 2,</w:t>
            </w:r>
            <w:r>
              <w:rPr>
                <w:rFonts w:eastAsia="Calibri"/>
                <w:lang w:val="en-US"/>
              </w:rPr>
              <w:t xml:space="preserve"> </w:t>
            </w:r>
            <w:r w:rsidRPr="00AA392F">
              <w:rPr>
                <w:rFonts w:eastAsia="Calibri"/>
                <w:lang w:val="en-US"/>
              </w:rPr>
              <w:t>3 and 4</w:t>
            </w:r>
            <w:r>
              <w:rPr>
                <w:rFonts w:eastAsia="Calibri"/>
                <w:lang w:val="en-US"/>
              </w:rPr>
              <w:t>:</w:t>
            </w:r>
            <w:r>
              <w:rPr>
                <w:lang w:val="en-US" w:eastAsia="fr-FR"/>
              </w:rPr>
              <w:t xml:space="preserve">  “</w:t>
            </w:r>
            <w:r w:rsidRPr="00975C8C">
              <w:rPr>
                <w:rFonts w:cs="Times New Roman"/>
                <w:lang w:val="en-US" w:eastAsia="fr-FR"/>
              </w:rPr>
              <w:t>Because of the very low systemic toxicity of L(+) lactic acid, derivation of any systemic</w:t>
            </w:r>
            <w:r>
              <w:rPr>
                <w:lang w:val="en-US" w:eastAsia="fr-FR"/>
              </w:rPr>
              <w:t xml:space="preserve"> </w:t>
            </w:r>
            <w:r w:rsidRPr="00975C8C">
              <w:rPr>
                <w:rFonts w:cs="Times New Roman"/>
                <w:lang w:val="en-US" w:eastAsia="fr-FR"/>
              </w:rPr>
              <w:t>toxicological reference dose was regarded unnecessary. Considering the intended uses,</w:t>
            </w:r>
            <w:r>
              <w:rPr>
                <w:lang w:val="en-US" w:eastAsia="fr-FR"/>
              </w:rPr>
              <w:t xml:space="preserve"> </w:t>
            </w:r>
            <w:r w:rsidRPr="00975C8C">
              <w:rPr>
                <w:rFonts w:cs="Times New Roman"/>
                <w:lang w:val="en-US" w:eastAsia="fr-FR"/>
              </w:rPr>
              <w:t>exposure i</w:t>
            </w:r>
            <w:r w:rsidRPr="007C0E98">
              <w:rPr>
                <w:lang w:val="en-US" w:eastAsia="fr-FR"/>
              </w:rPr>
              <w:t xml:space="preserve">s estimated to be clearly below </w:t>
            </w:r>
            <w:r w:rsidRPr="00975C8C">
              <w:rPr>
                <w:rFonts w:cs="Times New Roman"/>
                <w:lang w:val="en-US" w:eastAsia="fr-FR"/>
              </w:rPr>
              <w:t>endogenous production (&gt;100 g/person/day) and</w:t>
            </w:r>
            <w:r>
              <w:rPr>
                <w:lang w:val="en-US" w:eastAsia="fr-FR"/>
              </w:rPr>
              <w:t xml:space="preserve"> </w:t>
            </w:r>
            <w:r w:rsidRPr="00975C8C">
              <w:rPr>
                <w:rFonts w:cs="Times New Roman"/>
                <w:lang w:val="en-US" w:eastAsia="fr-FR"/>
              </w:rPr>
              <w:t>dietary exposure (&gt;1 g/person/day). Therefore, neither an ADI nor an ARfD have been set</w:t>
            </w:r>
            <w:r>
              <w:rPr>
                <w:lang w:val="en-US" w:eastAsia="fr-FR"/>
              </w:rPr>
              <w:t>”.</w:t>
            </w:r>
          </w:p>
        </w:tc>
      </w:tr>
      <w:tr w:rsidR="00533628" w:rsidRPr="00B27CB1" w14:paraId="180B7F63" w14:textId="77777777" w:rsidTr="00434119">
        <w:tc>
          <w:tcPr>
            <w:tcW w:w="1684" w:type="dxa"/>
            <w:tcBorders>
              <w:top w:val="single" w:sz="4" w:space="0" w:color="000000"/>
              <w:left w:val="single" w:sz="4" w:space="0" w:color="000000"/>
              <w:bottom w:val="single" w:sz="4" w:space="0" w:color="000000"/>
            </w:tcBorders>
            <w:shd w:val="clear" w:color="auto" w:fill="auto"/>
          </w:tcPr>
          <w:p w14:paraId="4B861BE7" w14:textId="7081F5CA" w:rsidR="00533628" w:rsidRPr="00B27CB1" w:rsidRDefault="00533628" w:rsidP="00533628">
            <w:pPr>
              <w:spacing w:line="260" w:lineRule="atLeast"/>
              <w:rPr>
                <w:rFonts w:eastAsia="Calibri"/>
                <w:lang w:eastAsia="en-US"/>
              </w:rPr>
            </w:pPr>
            <w:r w:rsidRPr="00B27CB1">
              <w:rPr>
                <w:rFonts w:eastAsia="Calibri"/>
                <w:lang w:eastAsia="en-US"/>
              </w:rPr>
              <w:t>ADI</w:t>
            </w:r>
          </w:p>
        </w:tc>
        <w:tc>
          <w:tcPr>
            <w:tcW w:w="7700" w:type="dxa"/>
            <w:gridSpan w:val="5"/>
            <w:vMerge/>
            <w:tcBorders>
              <w:left w:val="single" w:sz="4" w:space="0" w:color="000000"/>
              <w:bottom w:val="single" w:sz="4" w:space="0" w:color="000000"/>
              <w:right w:val="single" w:sz="4" w:space="0" w:color="000000"/>
            </w:tcBorders>
            <w:shd w:val="clear" w:color="auto" w:fill="auto"/>
          </w:tcPr>
          <w:p w14:paraId="32E1B5E2" w14:textId="77777777" w:rsidR="00533628" w:rsidRPr="00B27CB1" w:rsidRDefault="00533628" w:rsidP="00533628">
            <w:pPr>
              <w:snapToGrid w:val="0"/>
              <w:spacing w:line="260" w:lineRule="atLeast"/>
              <w:rPr>
                <w:rFonts w:eastAsia="Calibri"/>
                <w:lang w:eastAsia="en-US"/>
              </w:rPr>
            </w:pPr>
          </w:p>
        </w:tc>
      </w:tr>
    </w:tbl>
    <w:p w14:paraId="79074353" w14:textId="77777777" w:rsidR="00533628" w:rsidRDefault="00533628" w:rsidP="00533628">
      <w:pPr>
        <w:spacing w:line="260" w:lineRule="atLeast"/>
        <w:rPr>
          <w:rFonts w:eastAsia="Calibri"/>
          <w:iCs/>
          <w:sz w:val="18"/>
          <w:lang w:eastAsia="en-US"/>
        </w:rPr>
      </w:pPr>
      <w:r w:rsidRPr="000D3719">
        <w:rPr>
          <w:rFonts w:eastAsia="Calibri"/>
          <w:iCs/>
          <w:sz w:val="18"/>
          <w:lang w:eastAsia="en-US"/>
        </w:rPr>
        <w:t>*</w:t>
      </w:r>
      <w:r>
        <w:rPr>
          <w:rFonts w:eastAsia="Calibri"/>
          <w:iCs/>
          <w:sz w:val="18"/>
          <w:lang w:eastAsia="en-US"/>
        </w:rPr>
        <w:t>M</w:t>
      </w:r>
      <w:r w:rsidRPr="000D3719">
        <w:rPr>
          <w:rFonts w:eastAsia="Calibri"/>
          <w:iCs/>
          <w:sz w:val="18"/>
          <w:lang w:eastAsia="en-US"/>
        </w:rPr>
        <w:t>eta S</w:t>
      </w:r>
      <w:r>
        <w:rPr>
          <w:rFonts w:eastAsia="Calibri"/>
          <w:iCs/>
          <w:sz w:val="18"/>
          <w:lang w:eastAsia="en-US"/>
        </w:rPr>
        <w:t>P</w:t>
      </w:r>
      <w:r w:rsidRPr="000D3719">
        <w:rPr>
          <w:rFonts w:eastAsia="Calibri"/>
          <w:iCs/>
          <w:sz w:val="18"/>
          <w:lang w:eastAsia="en-US"/>
        </w:rPr>
        <w:t>C</w:t>
      </w:r>
      <w:r>
        <w:rPr>
          <w:rFonts w:eastAsia="Calibri"/>
          <w:iCs/>
          <w:sz w:val="18"/>
          <w:lang w:eastAsia="en-US"/>
        </w:rPr>
        <w:t xml:space="preserve"> 2-3-6-7-8-9-10-11-12-13</w:t>
      </w:r>
      <w:r w:rsidRPr="000D3719">
        <w:rPr>
          <w:rFonts w:eastAsia="Calibri"/>
          <w:iCs/>
          <w:sz w:val="18"/>
          <w:lang w:eastAsia="en-US"/>
        </w:rPr>
        <w:t xml:space="preserve"> being </w:t>
      </w:r>
      <w:r>
        <w:rPr>
          <w:rFonts w:eastAsia="Calibri"/>
          <w:iCs/>
          <w:sz w:val="18"/>
          <w:lang w:eastAsia="en-US"/>
        </w:rPr>
        <w:t xml:space="preserve">already </w:t>
      </w:r>
      <w:r w:rsidRPr="000D3719">
        <w:rPr>
          <w:rFonts w:eastAsia="Calibri"/>
          <w:iCs/>
          <w:sz w:val="18"/>
          <w:lang w:eastAsia="en-US"/>
        </w:rPr>
        <w:t xml:space="preserve">classified </w:t>
      </w:r>
      <w:r>
        <w:rPr>
          <w:rFonts w:eastAsia="Calibri"/>
          <w:iCs/>
          <w:sz w:val="18"/>
          <w:lang w:eastAsia="en-US"/>
        </w:rPr>
        <w:t xml:space="preserve">for skin corrosion (H314) or skin irritation (H315), </w:t>
      </w:r>
      <w:r w:rsidRPr="000D3719">
        <w:rPr>
          <w:rFonts w:eastAsia="Calibri"/>
          <w:iCs/>
          <w:sz w:val="18"/>
          <w:lang w:eastAsia="en-US"/>
        </w:rPr>
        <w:t xml:space="preserve">dermal NOAEC has </w:t>
      </w:r>
      <w:r>
        <w:rPr>
          <w:rFonts w:eastAsia="Calibri"/>
          <w:iCs/>
          <w:sz w:val="18"/>
          <w:lang w:eastAsia="en-US"/>
        </w:rPr>
        <w:t>only</w:t>
      </w:r>
      <w:r w:rsidRPr="000D3719">
        <w:rPr>
          <w:rFonts w:eastAsia="Calibri"/>
          <w:iCs/>
          <w:sz w:val="18"/>
          <w:lang w:eastAsia="en-US"/>
        </w:rPr>
        <w:t xml:space="preserve"> be</w:t>
      </w:r>
      <w:r>
        <w:rPr>
          <w:rFonts w:eastAsia="Calibri"/>
          <w:iCs/>
          <w:sz w:val="18"/>
          <w:lang w:eastAsia="en-US"/>
        </w:rPr>
        <w:t>en</w:t>
      </w:r>
      <w:r w:rsidRPr="000D3719">
        <w:rPr>
          <w:rFonts w:eastAsia="Calibri"/>
          <w:iCs/>
          <w:sz w:val="18"/>
          <w:lang w:eastAsia="en-US"/>
        </w:rPr>
        <w:t xml:space="preserve"> used for the </w:t>
      </w:r>
      <w:r>
        <w:rPr>
          <w:rFonts w:eastAsia="Calibri"/>
          <w:iCs/>
          <w:sz w:val="18"/>
          <w:lang w:eastAsia="en-US"/>
        </w:rPr>
        <w:t xml:space="preserve">semi-quantitative local </w:t>
      </w:r>
      <w:r w:rsidRPr="000D3719">
        <w:rPr>
          <w:rFonts w:eastAsia="Calibri"/>
          <w:iCs/>
          <w:sz w:val="18"/>
          <w:lang w:eastAsia="en-US"/>
        </w:rPr>
        <w:t>risk assessment</w:t>
      </w:r>
      <w:r>
        <w:rPr>
          <w:rFonts w:eastAsia="Calibri"/>
          <w:iCs/>
          <w:sz w:val="18"/>
          <w:lang w:eastAsia="en-US"/>
        </w:rPr>
        <w:t xml:space="preserve"> of meta SPC 1 and 4, which are not classified for skin effects</w:t>
      </w:r>
      <w:r w:rsidRPr="000D3719">
        <w:rPr>
          <w:rFonts w:eastAsia="Calibri"/>
          <w:iCs/>
          <w:sz w:val="18"/>
          <w:lang w:eastAsia="en-US"/>
        </w:rPr>
        <w:t>.</w:t>
      </w:r>
    </w:p>
    <w:p w14:paraId="2B9701B2" w14:textId="77777777" w:rsidR="009D0C0B" w:rsidRPr="00B27CB1" w:rsidRDefault="009D0C0B">
      <w:pPr>
        <w:spacing w:line="260" w:lineRule="atLeast"/>
        <w:rPr>
          <w:rFonts w:ascii="Times New Roman" w:eastAsia="Calibri" w:hAnsi="Times New Roman" w:cs="Times New Roman"/>
          <w:i/>
          <w:iCs/>
          <w:sz w:val="16"/>
          <w:lang w:eastAsia="en-US"/>
        </w:rPr>
      </w:pPr>
    </w:p>
    <w:p w14:paraId="72BE962A" w14:textId="77777777" w:rsidR="00533628" w:rsidRPr="001F2CB5" w:rsidRDefault="00533628" w:rsidP="00533628">
      <w:pPr>
        <w:spacing w:line="260" w:lineRule="atLeast"/>
        <w:rPr>
          <w:rFonts w:eastAsia="Calibri" w:cs="Times New Roman"/>
          <w:b/>
          <w:iCs/>
          <w:u w:val="single"/>
          <w:lang w:eastAsia="en-US"/>
        </w:rPr>
      </w:pPr>
      <w:r w:rsidRPr="001F2CB5">
        <w:rPr>
          <w:rFonts w:eastAsia="Calibri" w:cs="Times New Roman"/>
          <w:b/>
          <w:iCs/>
          <w:u w:val="single"/>
          <w:lang w:eastAsia="en-US"/>
        </w:rPr>
        <w:t>2-(2-butoxyethoxy)ethanol</w:t>
      </w:r>
    </w:p>
    <w:p w14:paraId="1493CC89" w14:textId="77777777" w:rsidR="00533628" w:rsidRDefault="00533628" w:rsidP="00533628">
      <w:pPr>
        <w:spacing w:line="260" w:lineRule="atLeast"/>
        <w:rPr>
          <w:rFonts w:eastAsia="Calibri" w:cs="Times New Roman"/>
          <w:iCs/>
          <w:lang w:eastAsia="en-US"/>
        </w:rPr>
      </w:pPr>
    </w:p>
    <w:p w14:paraId="051A603E" w14:textId="77777777" w:rsidR="00533628" w:rsidRPr="001F2CB5" w:rsidRDefault="00533628" w:rsidP="00533628">
      <w:pPr>
        <w:spacing w:line="260" w:lineRule="atLeast"/>
        <w:rPr>
          <w:rFonts w:eastAsia="Calibri" w:cs="Times New Roman"/>
          <w:iCs/>
          <w:lang w:eastAsia="en-US"/>
        </w:rPr>
      </w:pPr>
      <w:r>
        <w:rPr>
          <w:rFonts w:eastAsia="Calibri" w:cs="Times New Roman"/>
          <w:iCs/>
          <w:lang w:eastAsia="en-US"/>
        </w:rPr>
        <w:t xml:space="preserve">EU IOELV = </w:t>
      </w:r>
      <w:r w:rsidRPr="001F2CB5">
        <w:rPr>
          <w:rFonts w:eastAsia="Calibri" w:cs="Times New Roman"/>
          <w:iCs/>
          <w:lang w:eastAsia="en-US"/>
        </w:rPr>
        <w:t>67.5 mg/m</w:t>
      </w:r>
      <w:r w:rsidRPr="001F2CB5">
        <w:rPr>
          <w:rFonts w:eastAsia="Calibri" w:cs="Times New Roman"/>
          <w:iCs/>
          <w:vertAlign w:val="superscript"/>
          <w:lang w:eastAsia="en-US"/>
        </w:rPr>
        <w:t>3</w:t>
      </w:r>
    </w:p>
    <w:p w14:paraId="48035C2F" w14:textId="77777777" w:rsidR="009D0C0B" w:rsidRPr="00B27CB1" w:rsidRDefault="009D0C0B">
      <w:pPr>
        <w:spacing w:line="260" w:lineRule="atLeast"/>
        <w:rPr>
          <w:rFonts w:ascii="Times New Roman" w:eastAsia="Calibri" w:hAnsi="Times New Roman" w:cs="Times New Roman"/>
          <w:i/>
          <w:iCs/>
          <w:lang w:eastAsia="en-US"/>
        </w:rPr>
      </w:pPr>
    </w:p>
    <w:p w14:paraId="43F46212" w14:textId="77777777" w:rsidR="009D0C0B" w:rsidRPr="00B27CB1" w:rsidRDefault="00FA480B">
      <w:pPr>
        <w:spacing w:line="260" w:lineRule="atLeast"/>
        <w:rPr>
          <w:rFonts w:eastAsia="Calibri"/>
          <w:b/>
          <w:bCs/>
          <w:lang w:eastAsia="en-US"/>
        </w:rPr>
      </w:pPr>
      <w:r w:rsidRPr="00B27CB1">
        <w:rPr>
          <w:rFonts w:eastAsia="Calibri"/>
          <w:b/>
          <w:bCs/>
          <w:lang w:eastAsia="en-US"/>
        </w:rPr>
        <w:t>Maximum residue limits or equivalent</w:t>
      </w:r>
    </w:p>
    <w:p w14:paraId="742EA8A1" w14:textId="77777777" w:rsidR="001A0D2D" w:rsidRPr="00AA392F" w:rsidRDefault="001A0D2D" w:rsidP="001A0D2D">
      <w:pPr>
        <w:rPr>
          <w:bCs/>
          <w:lang w:val="en-US"/>
        </w:rPr>
      </w:pPr>
      <w:r>
        <w:rPr>
          <w:bCs/>
          <w:lang w:val="en-US"/>
        </w:rPr>
        <w:t>Not relevant.</w:t>
      </w:r>
    </w:p>
    <w:p w14:paraId="11633511" w14:textId="77777777" w:rsidR="009D0C0B" w:rsidRPr="00B27CB1" w:rsidRDefault="009D0C0B">
      <w:pPr>
        <w:spacing w:line="260" w:lineRule="atLeast"/>
        <w:rPr>
          <w:rFonts w:eastAsia="Calibri"/>
          <w:b/>
          <w:bCs/>
          <w:lang w:eastAsia="en-US"/>
        </w:rPr>
      </w:pPr>
    </w:p>
    <w:p w14:paraId="13142DC1" w14:textId="77777777" w:rsidR="009D0C0B" w:rsidRPr="00B27CB1" w:rsidRDefault="00FA480B">
      <w:pPr>
        <w:spacing w:line="260" w:lineRule="atLeast"/>
        <w:rPr>
          <w:rFonts w:eastAsia="Calibri"/>
          <w:i/>
          <w:lang w:eastAsia="en-US"/>
        </w:rPr>
      </w:pPr>
      <w:r w:rsidRPr="00B27CB1">
        <w:rPr>
          <w:rFonts w:eastAsia="Calibri"/>
          <w:b/>
          <w:bCs/>
          <w:lang w:eastAsia="en-US"/>
        </w:rPr>
        <w:t>Specific reference value for groundwater</w:t>
      </w:r>
    </w:p>
    <w:p w14:paraId="2CD8045E" w14:textId="274866FB" w:rsidR="00CC53DE" w:rsidRDefault="00CC53DE">
      <w:pPr>
        <w:jc w:val="both"/>
        <w:rPr>
          <w:rFonts w:eastAsia="Calibri"/>
          <w:i/>
          <w:lang w:eastAsia="en-US"/>
        </w:rPr>
      </w:pPr>
    </w:p>
    <w:p w14:paraId="082BF944" w14:textId="450D5DE5" w:rsidR="009D0C0B" w:rsidRPr="003213B9" w:rsidRDefault="00CC53DE">
      <w:pPr>
        <w:jc w:val="both"/>
        <w:rPr>
          <w:rFonts w:eastAsia="Calibri"/>
          <w:lang w:eastAsia="en-US"/>
        </w:rPr>
      </w:pPr>
      <w:r w:rsidRPr="003213B9">
        <w:rPr>
          <w:rFonts w:eastAsia="Calibri"/>
          <w:lang w:eastAsia="en-US"/>
        </w:rPr>
        <w:t>Not relevant</w:t>
      </w:r>
    </w:p>
    <w:p w14:paraId="1A06695E" w14:textId="77777777" w:rsidR="009D0C0B" w:rsidRPr="00B27CB1" w:rsidRDefault="009D0C0B">
      <w:pPr>
        <w:spacing w:line="260" w:lineRule="atLeast"/>
        <w:jc w:val="both"/>
        <w:rPr>
          <w:rFonts w:eastAsia="Calibri"/>
          <w:i/>
          <w:lang w:eastAsia="en-US"/>
        </w:rPr>
      </w:pPr>
    </w:p>
    <w:p w14:paraId="0304EF74" w14:textId="77777777" w:rsidR="009D0C0B" w:rsidRPr="00B27CB1" w:rsidRDefault="009D0C0B">
      <w:pPr>
        <w:spacing w:line="260" w:lineRule="atLeast"/>
        <w:jc w:val="both"/>
        <w:rPr>
          <w:rFonts w:eastAsia="Calibri"/>
          <w:lang w:eastAsia="en-US"/>
        </w:rPr>
      </w:pPr>
    </w:p>
    <w:p w14:paraId="6F62E05F" w14:textId="4897ECD2" w:rsidR="009D0C0B" w:rsidRPr="00B27CB1" w:rsidRDefault="00FA480B">
      <w:pPr>
        <w:rPr>
          <w:rFonts w:eastAsia="Calibri"/>
          <w:b/>
          <w:i/>
          <w:sz w:val="22"/>
          <w:szCs w:val="22"/>
        </w:rPr>
      </w:pPr>
      <w:r w:rsidRPr="00B27CB1">
        <w:rPr>
          <w:rFonts w:eastAsia="Calibri"/>
          <w:b/>
          <w:i/>
          <w:sz w:val="22"/>
          <w:szCs w:val="22"/>
        </w:rPr>
        <w:t>Risk for industrial</w:t>
      </w:r>
      <w:r w:rsidR="004D0A54">
        <w:rPr>
          <w:rFonts w:eastAsia="Calibri"/>
          <w:b/>
          <w:i/>
          <w:sz w:val="22"/>
          <w:szCs w:val="22"/>
        </w:rPr>
        <w:t>/professional</w:t>
      </w:r>
      <w:r w:rsidRPr="00B27CB1">
        <w:rPr>
          <w:rFonts w:eastAsia="Calibri"/>
          <w:b/>
          <w:i/>
          <w:sz w:val="22"/>
          <w:szCs w:val="22"/>
        </w:rPr>
        <w:t xml:space="preserve"> users</w:t>
      </w:r>
    </w:p>
    <w:p w14:paraId="3F46954D" w14:textId="77777777" w:rsidR="009D0C0B" w:rsidRPr="00B27CB1" w:rsidRDefault="009D0C0B">
      <w:pPr>
        <w:rPr>
          <w:rFonts w:eastAsia="Calibri"/>
          <w:b/>
          <w:i/>
          <w:sz w:val="22"/>
          <w:szCs w:val="22"/>
        </w:rPr>
      </w:pPr>
    </w:p>
    <w:p w14:paraId="11DA6E09" w14:textId="67B2068B" w:rsidR="009D0C0B" w:rsidRDefault="00FA480B">
      <w:pPr>
        <w:spacing w:line="260" w:lineRule="atLeast"/>
        <w:rPr>
          <w:b/>
        </w:rPr>
      </w:pPr>
      <w:r w:rsidRPr="00E91F85">
        <w:rPr>
          <w:b/>
        </w:rPr>
        <w:t xml:space="preserve">Systemic effects </w:t>
      </w:r>
    </w:p>
    <w:p w14:paraId="33B1E1CE" w14:textId="4349E316" w:rsidR="00E318A3" w:rsidRDefault="00E318A3">
      <w:pPr>
        <w:spacing w:line="260" w:lineRule="atLeast"/>
        <w:rPr>
          <w:b/>
        </w:rPr>
      </w:pPr>
    </w:p>
    <w:p w14:paraId="04998FCC" w14:textId="6C7EAC53" w:rsidR="00E318A3" w:rsidRDefault="00E318A3">
      <w:pPr>
        <w:spacing w:line="260" w:lineRule="atLeast"/>
      </w:pPr>
      <w:r w:rsidRPr="00E91F85">
        <w:t>Not relevant.</w:t>
      </w:r>
    </w:p>
    <w:p w14:paraId="52A5E649" w14:textId="77777777" w:rsidR="00E318A3" w:rsidRDefault="00E318A3">
      <w:pPr>
        <w:spacing w:line="260" w:lineRule="atLeast"/>
      </w:pPr>
    </w:p>
    <w:p w14:paraId="5069ADB8" w14:textId="77777777" w:rsidR="00E318A3" w:rsidRDefault="00E318A3">
      <w:pPr>
        <w:spacing w:line="260" w:lineRule="atLeast"/>
        <w:rPr>
          <w:b/>
        </w:rPr>
      </w:pPr>
    </w:p>
    <w:p w14:paraId="1C8F522A" w14:textId="04EE797F" w:rsidR="00E318A3" w:rsidRDefault="00E318A3">
      <w:pPr>
        <w:spacing w:line="260" w:lineRule="atLeast"/>
        <w:rPr>
          <w:b/>
        </w:rPr>
      </w:pPr>
      <w:r w:rsidRPr="00E91F85">
        <w:rPr>
          <w:b/>
        </w:rPr>
        <w:t>Local effects</w:t>
      </w:r>
    </w:p>
    <w:p w14:paraId="72C97199" w14:textId="0D695AE3" w:rsidR="00E318A3" w:rsidRDefault="00E318A3">
      <w:pPr>
        <w:spacing w:line="260" w:lineRule="atLeast"/>
        <w:rPr>
          <w:b/>
        </w:rPr>
      </w:pPr>
    </w:p>
    <w:p w14:paraId="124BD0B0" w14:textId="77777777" w:rsidR="00E318A3" w:rsidRDefault="00E318A3" w:rsidP="00E318A3">
      <w:pPr>
        <w:spacing w:line="260" w:lineRule="atLeast"/>
        <w:rPr>
          <w:rFonts w:eastAsia="Calibri" w:cs="Times New Roman"/>
          <w:i/>
          <w:iCs/>
          <w:u w:val="single"/>
          <w:lang w:eastAsia="en-US"/>
        </w:rPr>
      </w:pPr>
      <w:r w:rsidRPr="0084576F">
        <w:rPr>
          <w:rFonts w:eastAsia="Calibri" w:cs="Times New Roman"/>
          <w:i/>
          <w:iCs/>
          <w:u w:val="single"/>
          <w:lang w:eastAsia="en-US"/>
        </w:rPr>
        <w:t>Quantitative assessment</w:t>
      </w:r>
      <w:r>
        <w:rPr>
          <w:rFonts w:eastAsia="Calibri" w:cs="Times New Roman"/>
          <w:i/>
          <w:iCs/>
          <w:u w:val="single"/>
          <w:lang w:eastAsia="en-US"/>
        </w:rPr>
        <w:t xml:space="preserve"> (for </w:t>
      </w:r>
      <w:r w:rsidRPr="00843724">
        <w:rPr>
          <w:rFonts w:eastAsia="Calibri" w:cs="Times New Roman"/>
          <w:i/>
          <w:iCs/>
          <w:u w:val="single"/>
          <w:lang w:eastAsia="en-US"/>
        </w:rPr>
        <w:t>2-(2-butoxyethoxy)ethanol</w:t>
      </w:r>
      <w:r>
        <w:rPr>
          <w:rFonts w:eastAsia="Calibri" w:cs="Times New Roman"/>
          <w:i/>
          <w:iCs/>
          <w:u w:val="single"/>
          <w:lang w:eastAsia="en-US"/>
        </w:rPr>
        <w:t>)</w:t>
      </w:r>
    </w:p>
    <w:p w14:paraId="0191B4CD" w14:textId="77777777" w:rsidR="00E318A3" w:rsidRDefault="00E318A3" w:rsidP="00E318A3">
      <w:pPr>
        <w:spacing w:line="260" w:lineRule="atLeast"/>
        <w:rPr>
          <w:rFonts w:eastAsia="Calibri" w:cs="Times New Roman"/>
          <w:i/>
          <w:iCs/>
          <w:u w:val="single"/>
          <w:lang w:eastAsia="en-US"/>
        </w:rPr>
      </w:pPr>
    </w:p>
    <w:tbl>
      <w:tblPr>
        <w:tblW w:w="9214"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694"/>
        <w:gridCol w:w="1417"/>
        <w:gridCol w:w="1418"/>
        <w:gridCol w:w="1842"/>
        <w:gridCol w:w="1843"/>
      </w:tblGrid>
      <w:tr w:rsidR="00E318A3" w:rsidRPr="00B27CB1" w14:paraId="4BAC37DF" w14:textId="77777777" w:rsidTr="005F31A2">
        <w:tc>
          <w:tcPr>
            <w:tcW w:w="2694" w:type="dxa"/>
            <w:shd w:val="clear" w:color="auto" w:fill="FFFFCC"/>
          </w:tcPr>
          <w:p w14:paraId="4DD1CD2D" w14:textId="77777777" w:rsidR="00E318A3" w:rsidRPr="00B27CB1" w:rsidRDefault="00E318A3" w:rsidP="00681F00">
            <w:pPr>
              <w:spacing w:line="260" w:lineRule="atLeast"/>
              <w:rPr>
                <w:rFonts w:eastAsia="Calibri"/>
                <w:b/>
                <w:lang w:eastAsia="en-US"/>
              </w:rPr>
            </w:pPr>
            <w:r w:rsidRPr="00B27CB1">
              <w:rPr>
                <w:rFonts w:eastAsia="Calibri"/>
                <w:b/>
                <w:lang w:eastAsia="en-US"/>
              </w:rPr>
              <w:t>Scenarios combined</w:t>
            </w:r>
          </w:p>
        </w:tc>
        <w:tc>
          <w:tcPr>
            <w:tcW w:w="1417" w:type="dxa"/>
            <w:shd w:val="clear" w:color="auto" w:fill="FFFFCC"/>
          </w:tcPr>
          <w:p w14:paraId="04B913BD" w14:textId="77777777" w:rsidR="00E318A3" w:rsidRPr="00B27CB1" w:rsidRDefault="00E318A3" w:rsidP="00681F00">
            <w:pPr>
              <w:spacing w:line="260" w:lineRule="atLeast"/>
              <w:rPr>
                <w:rFonts w:eastAsia="Calibri"/>
                <w:b/>
                <w:lang w:eastAsia="en-US"/>
              </w:rPr>
            </w:pPr>
            <w:r w:rsidRPr="00B27CB1">
              <w:rPr>
                <w:rFonts w:eastAsia="Calibri"/>
                <w:b/>
                <w:lang w:eastAsia="en-US"/>
              </w:rPr>
              <w:t>Tier</w:t>
            </w:r>
          </w:p>
        </w:tc>
        <w:tc>
          <w:tcPr>
            <w:tcW w:w="1418" w:type="dxa"/>
            <w:shd w:val="clear" w:color="auto" w:fill="FFFFCC"/>
          </w:tcPr>
          <w:p w14:paraId="4B36F72D" w14:textId="46EC62D4" w:rsidR="00E318A3" w:rsidRPr="00B27CB1" w:rsidRDefault="002531D8" w:rsidP="00681F00">
            <w:pPr>
              <w:spacing w:line="260" w:lineRule="atLeast"/>
              <w:rPr>
                <w:rFonts w:eastAsia="Calibri"/>
                <w:b/>
                <w:lang w:eastAsia="en-US"/>
              </w:rPr>
            </w:pPr>
            <w:r w:rsidRPr="002531D8">
              <w:rPr>
                <w:rFonts w:eastAsia="Calibri"/>
                <w:b/>
                <w:lang w:eastAsia="en-US"/>
              </w:rPr>
              <w:t>EU IOELV</w:t>
            </w:r>
          </w:p>
          <w:p w14:paraId="16B5580F" w14:textId="77777777" w:rsidR="00E318A3" w:rsidRPr="00506922" w:rsidRDefault="00E318A3" w:rsidP="00681F00">
            <w:pPr>
              <w:spacing w:line="260" w:lineRule="atLeast"/>
              <w:rPr>
                <w:rFonts w:eastAsia="Calibri"/>
                <w:b/>
                <w:lang w:eastAsia="en-US"/>
              </w:rPr>
            </w:pPr>
            <w:r>
              <w:rPr>
                <w:rFonts w:eastAsia="Calibri"/>
                <w:b/>
                <w:lang w:eastAsia="en-US"/>
              </w:rPr>
              <w:t>(</w:t>
            </w:r>
            <w:r w:rsidRPr="00B27CB1">
              <w:rPr>
                <w:rFonts w:eastAsia="Calibri"/>
                <w:b/>
                <w:lang w:eastAsia="en-US"/>
              </w:rPr>
              <w:t>mg/</w:t>
            </w:r>
            <w:r>
              <w:rPr>
                <w:rFonts w:eastAsia="Calibri"/>
                <w:b/>
                <w:lang w:eastAsia="en-US"/>
              </w:rPr>
              <w:t>m</w:t>
            </w:r>
            <w:r w:rsidRPr="0084576F">
              <w:rPr>
                <w:rFonts w:eastAsia="Calibri"/>
                <w:b/>
                <w:vertAlign w:val="superscript"/>
                <w:lang w:eastAsia="en-US"/>
              </w:rPr>
              <w:t>3</w:t>
            </w:r>
            <w:r>
              <w:rPr>
                <w:rFonts w:eastAsia="Calibri"/>
                <w:b/>
                <w:lang w:eastAsia="en-US"/>
              </w:rPr>
              <w:t>)</w:t>
            </w:r>
          </w:p>
        </w:tc>
        <w:tc>
          <w:tcPr>
            <w:tcW w:w="1842" w:type="dxa"/>
            <w:shd w:val="clear" w:color="auto" w:fill="FFFFCC"/>
          </w:tcPr>
          <w:p w14:paraId="460001B4" w14:textId="77777777" w:rsidR="00E318A3" w:rsidRPr="00506922" w:rsidRDefault="00E318A3" w:rsidP="00681F00">
            <w:pPr>
              <w:spacing w:line="260" w:lineRule="atLeast"/>
              <w:rPr>
                <w:rFonts w:eastAsia="Calibri"/>
                <w:b/>
                <w:lang w:eastAsia="en-US"/>
              </w:rPr>
            </w:pPr>
            <w:r w:rsidRPr="00B27CB1">
              <w:rPr>
                <w:rFonts w:eastAsia="Calibri"/>
                <w:b/>
                <w:lang w:eastAsia="en-US"/>
              </w:rPr>
              <w:t>Estimated uptake</w:t>
            </w:r>
            <w:r>
              <w:rPr>
                <w:rFonts w:eastAsia="Calibri"/>
                <w:b/>
                <w:lang w:eastAsia="en-US"/>
              </w:rPr>
              <w:t xml:space="preserve"> (</w:t>
            </w:r>
            <w:r w:rsidRPr="00B27CB1">
              <w:rPr>
                <w:rFonts w:eastAsia="Calibri"/>
                <w:b/>
                <w:lang w:eastAsia="en-US"/>
              </w:rPr>
              <w:t>mg/</w:t>
            </w:r>
            <w:r>
              <w:rPr>
                <w:rFonts w:eastAsia="Calibri"/>
                <w:b/>
                <w:lang w:eastAsia="en-US"/>
              </w:rPr>
              <w:t>m</w:t>
            </w:r>
            <w:r w:rsidRPr="0084576F">
              <w:rPr>
                <w:rFonts w:eastAsia="Calibri"/>
                <w:b/>
                <w:vertAlign w:val="superscript"/>
                <w:lang w:eastAsia="en-US"/>
              </w:rPr>
              <w:t>3</w:t>
            </w:r>
            <w:r>
              <w:rPr>
                <w:rFonts w:eastAsia="Calibri"/>
                <w:b/>
                <w:lang w:eastAsia="en-US"/>
              </w:rPr>
              <w:t>)</w:t>
            </w:r>
          </w:p>
        </w:tc>
        <w:tc>
          <w:tcPr>
            <w:tcW w:w="1843" w:type="dxa"/>
            <w:shd w:val="clear" w:color="auto" w:fill="FFFFCC"/>
          </w:tcPr>
          <w:p w14:paraId="094E3075" w14:textId="31310A54" w:rsidR="00E318A3" w:rsidRPr="00B27CB1" w:rsidRDefault="00E318A3" w:rsidP="00681F00">
            <w:pPr>
              <w:spacing w:line="260" w:lineRule="atLeast"/>
              <w:rPr>
                <w:rFonts w:eastAsia="Calibri"/>
                <w:b/>
                <w:lang w:eastAsia="en-US"/>
              </w:rPr>
            </w:pPr>
            <w:r w:rsidRPr="00B27CB1">
              <w:rPr>
                <w:rFonts w:eastAsia="Calibri"/>
                <w:b/>
                <w:lang w:eastAsia="en-US"/>
              </w:rPr>
              <w:t xml:space="preserve">Estimated uptake/ </w:t>
            </w:r>
            <w:r w:rsidR="003002DE" w:rsidRPr="00E91F85">
              <w:rPr>
                <w:rFonts w:eastAsia="Calibri" w:cs="Times New Roman"/>
                <w:b/>
                <w:iCs/>
                <w:lang w:eastAsia="en-US"/>
              </w:rPr>
              <w:t>EU IOELV</w:t>
            </w:r>
            <w:r w:rsidRPr="00B27CB1">
              <w:rPr>
                <w:rFonts w:eastAsia="Calibri"/>
                <w:b/>
                <w:lang w:eastAsia="en-US"/>
              </w:rPr>
              <w:t xml:space="preserve"> </w:t>
            </w:r>
          </w:p>
          <w:p w14:paraId="17A5B8B8" w14:textId="77777777" w:rsidR="00E318A3" w:rsidRPr="00B27CB1" w:rsidRDefault="00E318A3" w:rsidP="00681F00">
            <w:pPr>
              <w:spacing w:line="260" w:lineRule="atLeast"/>
              <w:rPr>
                <w:rFonts w:eastAsia="Calibri"/>
                <w:b/>
                <w:lang w:eastAsia="en-US"/>
              </w:rPr>
            </w:pPr>
            <w:r w:rsidRPr="00B27CB1">
              <w:rPr>
                <w:rFonts w:eastAsia="Calibri"/>
                <w:b/>
                <w:lang w:eastAsia="en-US"/>
              </w:rPr>
              <w:lastRenderedPageBreak/>
              <w:t>(%)</w:t>
            </w:r>
          </w:p>
        </w:tc>
      </w:tr>
      <w:tr w:rsidR="00E318A3" w:rsidRPr="00B27CB1" w14:paraId="6F53F1F8" w14:textId="77777777" w:rsidTr="00681F00">
        <w:tc>
          <w:tcPr>
            <w:tcW w:w="9214" w:type="dxa"/>
            <w:gridSpan w:val="5"/>
            <w:shd w:val="clear" w:color="auto" w:fill="A6A6A6" w:themeFill="background1" w:themeFillShade="A6"/>
          </w:tcPr>
          <w:p w14:paraId="28E8355D" w14:textId="77777777" w:rsidR="00E318A3" w:rsidRPr="00E20CE8" w:rsidRDefault="00E318A3" w:rsidP="00681F00">
            <w:pPr>
              <w:snapToGrid w:val="0"/>
              <w:spacing w:line="260" w:lineRule="atLeast"/>
              <w:rPr>
                <w:rFonts w:eastAsia="Calibri"/>
                <w:b/>
                <w:lang w:eastAsia="en-US"/>
              </w:rPr>
            </w:pPr>
            <w:r w:rsidRPr="00E20CE8">
              <w:rPr>
                <w:rFonts w:eastAsia="Calibri"/>
                <w:b/>
                <w:lang w:eastAsia="en-US"/>
              </w:rPr>
              <w:lastRenderedPageBreak/>
              <w:t xml:space="preserve">Meta SPC </w:t>
            </w:r>
            <w:r>
              <w:rPr>
                <w:rFonts w:eastAsia="Calibri"/>
                <w:b/>
                <w:lang w:eastAsia="en-US"/>
              </w:rPr>
              <w:t>1</w:t>
            </w:r>
            <w:r w:rsidRPr="00E20CE8">
              <w:rPr>
                <w:rFonts w:eastAsia="Calibri"/>
                <w:b/>
                <w:lang w:eastAsia="en-US"/>
              </w:rPr>
              <w:t>3</w:t>
            </w:r>
            <w:r>
              <w:rPr>
                <w:rFonts w:eastAsia="Calibri"/>
                <w:b/>
                <w:lang w:eastAsia="en-US"/>
              </w:rPr>
              <w:t xml:space="preserve"> (</w:t>
            </w:r>
            <w:r w:rsidRPr="00EA0E83">
              <w:rPr>
                <w:rFonts w:eastAsia="Calibri"/>
                <w:b/>
                <w:lang w:eastAsia="en-US"/>
              </w:rPr>
              <w:t>2-(2-butoxyethoxy)ethanol</w:t>
            </w:r>
            <w:r>
              <w:rPr>
                <w:rFonts w:eastAsia="Calibri"/>
                <w:b/>
                <w:lang w:eastAsia="en-US"/>
              </w:rPr>
              <w:t>)</w:t>
            </w:r>
          </w:p>
        </w:tc>
      </w:tr>
      <w:tr w:rsidR="00E318A3" w:rsidRPr="00B27CB1" w14:paraId="7030F2DB" w14:textId="77777777" w:rsidTr="005F31A2">
        <w:tc>
          <w:tcPr>
            <w:tcW w:w="2694" w:type="dxa"/>
            <w:shd w:val="clear" w:color="auto" w:fill="auto"/>
          </w:tcPr>
          <w:p w14:paraId="0276B859" w14:textId="19D25707" w:rsidR="00E318A3" w:rsidRPr="00E20CE8" w:rsidRDefault="00E318A3" w:rsidP="00681F00">
            <w:pPr>
              <w:snapToGrid w:val="0"/>
              <w:spacing w:line="260" w:lineRule="atLeast"/>
              <w:rPr>
                <w:rFonts w:eastAsia="Calibri"/>
                <w:lang w:eastAsia="en-US"/>
              </w:rPr>
            </w:pPr>
            <w:r>
              <w:rPr>
                <w:rFonts w:eastAsia="Calibri"/>
                <w:lang w:eastAsia="en-US"/>
              </w:rPr>
              <w:t>1 - Manual mixing and loading</w:t>
            </w:r>
          </w:p>
        </w:tc>
        <w:tc>
          <w:tcPr>
            <w:tcW w:w="1417" w:type="dxa"/>
            <w:vMerge w:val="restart"/>
            <w:shd w:val="clear" w:color="auto" w:fill="auto"/>
          </w:tcPr>
          <w:p w14:paraId="1F8AEE8C" w14:textId="1935DCA4" w:rsidR="00E318A3" w:rsidRPr="00B27CB1" w:rsidRDefault="00E318A3" w:rsidP="00681F00">
            <w:pPr>
              <w:snapToGrid w:val="0"/>
              <w:spacing w:line="260" w:lineRule="atLeast"/>
              <w:rPr>
                <w:rFonts w:eastAsia="Calibri"/>
                <w:lang w:eastAsia="en-US"/>
              </w:rPr>
            </w:pPr>
            <w:r>
              <w:rPr>
                <w:rFonts w:eastAsia="Calibri"/>
                <w:lang w:eastAsia="en-US"/>
              </w:rPr>
              <w:t>1/no RPE</w:t>
            </w:r>
          </w:p>
        </w:tc>
        <w:tc>
          <w:tcPr>
            <w:tcW w:w="1418" w:type="dxa"/>
            <w:vMerge w:val="restart"/>
            <w:shd w:val="clear" w:color="auto" w:fill="auto"/>
          </w:tcPr>
          <w:p w14:paraId="2FEE3DE4" w14:textId="77777777" w:rsidR="00E318A3" w:rsidRPr="00B27CB1" w:rsidRDefault="00E318A3" w:rsidP="00681F00">
            <w:pPr>
              <w:snapToGrid w:val="0"/>
              <w:spacing w:line="260" w:lineRule="atLeast"/>
              <w:rPr>
                <w:rFonts w:eastAsia="Calibri"/>
                <w:lang w:eastAsia="en-US"/>
              </w:rPr>
            </w:pPr>
            <w:r>
              <w:rPr>
                <w:rFonts w:eastAsia="Calibri"/>
                <w:lang w:eastAsia="en-US"/>
              </w:rPr>
              <w:t>67.5</w:t>
            </w:r>
          </w:p>
        </w:tc>
        <w:tc>
          <w:tcPr>
            <w:tcW w:w="1842" w:type="dxa"/>
            <w:shd w:val="clear" w:color="auto" w:fill="auto"/>
          </w:tcPr>
          <w:p w14:paraId="61C913D1" w14:textId="77777777" w:rsidR="00E318A3" w:rsidRPr="00B27CB1" w:rsidRDefault="00E318A3" w:rsidP="00681F00">
            <w:pPr>
              <w:snapToGrid w:val="0"/>
              <w:spacing w:line="260" w:lineRule="atLeast"/>
              <w:rPr>
                <w:rFonts w:eastAsia="Calibri"/>
                <w:lang w:eastAsia="en-US"/>
              </w:rPr>
            </w:pPr>
            <w:r>
              <w:rPr>
                <w:rFonts w:eastAsia="Calibri"/>
                <w:lang w:eastAsia="en-US"/>
              </w:rPr>
              <w:t>0.05</w:t>
            </w:r>
          </w:p>
        </w:tc>
        <w:tc>
          <w:tcPr>
            <w:tcW w:w="1843" w:type="dxa"/>
            <w:shd w:val="clear" w:color="auto" w:fill="auto"/>
          </w:tcPr>
          <w:p w14:paraId="7A0A1768" w14:textId="77777777" w:rsidR="00E318A3" w:rsidRPr="00B27CB1" w:rsidRDefault="00E318A3" w:rsidP="00681F00">
            <w:pPr>
              <w:snapToGrid w:val="0"/>
              <w:spacing w:line="260" w:lineRule="atLeast"/>
              <w:rPr>
                <w:rFonts w:eastAsia="Calibri"/>
                <w:lang w:eastAsia="en-US"/>
              </w:rPr>
            </w:pPr>
            <w:r>
              <w:rPr>
                <w:rFonts w:eastAsia="Calibri"/>
                <w:lang w:eastAsia="en-US"/>
              </w:rPr>
              <w:t>0.08</w:t>
            </w:r>
          </w:p>
        </w:tc>
      </w:tr>
      <w:tr w:rsidR="00E318A3" w:rsidRPr="00B27CB1" w14:paraId="72FAEC15" w14:textId="77777777" w:rsidTr="005F31A2">
        <w:tc>
          <w:tcPr>
            <w:tcW w:w="2694" w:type="dxa"/>
            <w:shd w:val="clear" w:color="auto" w:fill="auto"/>
          </w:tcPr>
          <w:p w14:paraId="20E1A1FD" w14:textId="7289505F" w:rsidR="00E318A3" w:rsidRPr="00B27CB1" w:rsidRDefault="00E318A3" w:rsidP="00681F00">
            <w:pPr>
              <w:snapToGrid w:val="0"/>
              <w:spacing w:line="260" w:lineRule="atLeast"/>
              <w:rPr>
                <w:rFonts w:eastAsia="Calibri"/>
                <w:lang w:eastAsia="en-US"/>
              </w:rPr>
            </w:pPr>
            <w:r>
              <w:rPr>
                <w:rFonts w:eastAsia="Calibri"/>
                <w:lang w:eastAsia="en-US"/>
              </w:rPr>
              <w:t>2 – Semi-automatic mixing and loading</w:t>
            </w:r>
          </w:p>
        </w:tc>
        <w:tc>
          <w:tcPr>
            <w:tcW w:w="1417" w:type="dxa"/>
            <w:vMerge/>
            <w:shd w:val="clear" w:color="auto" w:fill="auto"/>
          </w:tcPr>
          <w:p w14:paraId="0B102614"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05918577"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3AB9E28C" w14:textId="77777777" w:rsidR="00E318A3" w:rsidRPr="00B27CB1" w:rsidRDefault="00E318A3" w:rsidP="00681F00">
            <w:pPr>
              <w:snapToGrid w:val="0"/>
              <w:spacing w:line="260" w:lineRule="atLeast"/>
              <w:rPr>
                <w:rFonts w:eastAsia="Calibri"/>
                <w:lang w:eastAsia="en-US"/>
              </w:rPr>
            </w:pPr>
            <w:r>
              <w:rPr>
                <w:rFonts w:eastAsia="Calibri"/>
                <w:lang w:eastAsia="en-US"/>
              </w:rPr>
              <w:t>1.2</w:t>
            </w:r>
          </w:p>
        </w:tc>
        <w:tc>
          <w:tcPr>
            <w:tcW w:w="1843" w:type="dxa"/>
            <w:shd w:val="clear" w:color="auto" w:fill="auto"/>
          </w:tcPr>
          <w:p w14:paraId="0834F72B" w14:textId="77777777" w:rsidR="00E318A3" w:rsidRPr="00B27CB1" w:rsidRDefault="00E318A3" w:rsidP="00681F00">
            <w:pPr>
              <w:snapToGrid w:val="0"/>
              <w:spacing w:line="260" w:lineRule="atLeast"/>
              <w:rPr>
                <w:rFonts w:eastAsia="Calibri"/>
                <w:lang w:eastAsia="en-US"/>
              </w:rPr>
            </w:pPr>
            <w:r>
              <w:rPr>
                <w:rFonts w:eastAsia="Calibri"/>
                <w:lang w:eastAsia="en-US"/>
              </w:rPr>
              <w:t>1.79</w:t>
            </w:r>
          </w:p>
        </w:tc>
      </w:tr>
      <w:tr w:rsidR="00E318A3" w:rsidRPr="00B27CB1" w14:paraId="6C2AD5EB" w14:textId="77777777" w:rsidTr="005F31A2">
        <w:tc>
          <w:tcPr>
            <w:tcW w:w="2694" w:type="dxa"/>
            <w:shd w:val="clear" w:color="auto" w:fill="auto"/>
          </w:tcPr>
          <w:p w14:paraId="1F3FDC10" w14:textId="6C28B7BF" w:rsidR="00E318A3" w:rsidRPr="00B27CB1" w:rsidRDefault="00E318A3" w:rsidP="00681F00">
            <w:pPr>
              <w:snapToGrid w:val="0"/>
              <w:spacing w:line="260" w:lineRule="atLeast"/>
              <w:rPr>
                <w:rFonts w:eastAsia="Calibri"/>
                <w:lang w:eastAsia="en-US"/>
              </w:rPr>
            </w:pPr>
            <w:r>
              <w:rPr>
                <w:rFonts w:eastAsia="Calibri"/>
                <w:lang w:eastAsia="en-US"/>
              </w:rPr>
              <w:t>3 – Mixing and loading (vapors)</w:t>
            </w:r>
          </w:p>
        </w:tc>
        <w:tc>
          <w:tcPr>
            <w:tcW w:w="1417" w:type="dxa"/>
            <w:vMerge/>
            <w:shd w:val="clear" w:color="auto" w:fill="auto"/>
          </w:tcPr>
          <w:p w14:paraId="6FEA2428"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047A0447"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5802C114" w14:textId="77777777" w:rsidR="00E318A3" w:rsidRPr="00B27CB1" w:rsidRDefault="00E318A3" w:rsidP="00681F00">
            <w:pPr>
              <w:snapToGrid w:val="0"/>
              <w:spacing w:line="260" w:lineRule="atLeast"/>
              <w:rPr>
                <w:rFonts w:eastAsia="Calibri"/>
                <w:lang w:eastAsia="en-US"/>
              </w:rPr>
            </w:pPr>
            <w:r>
              <w:rPr>
                <w:rFonts w:eastAsia="Calibri"/>
                <w:lang w:eastAsia="en-US"/>
              </w:rPr>
              <w:t>0.01</w:t>
            </w:r>
          </w:p>
        </w:tc>
        <w:tc>
          <w:tcPr>
            <w:tcW w:w="1843" w:type="dxa"/>
            <w:shd w:val="clear" w:color="auto" w:fill="auto"/>
          </w:tcPr>
          <w:p w14:paraId="7CB5F953" w14:textId="77777777" w:rsidR="00E318A3" w:rsidRPr="00B27CB1" w:rsidRDefault="00E318A3" w:rsidP="00681F00">
            <w:pPr>
              <w:snapToGrid w:val="0"/>
              <w:spacing w:line="260" w:lineRule="atLeast"/>
              <w:rPr>
                <w:rFonts w:eastAsia="Calibri"/>
                <w:lang w:eastAsia="en-US"/>
              </w:rPr>
            </w:pPr>
            <w:r>
              <w:rPr>
                <w:rFonts w:eastAsia="Calibri"/>
                <w:lang w:eastAsia="en-US"/>
              </w:rPr>
              <w:t>0.04</w:t>
            </w:r>
          </w:p>
        </w:tc>
      </w:tr>
      <w:tr w:rsidR="00E318A3" w:rsidRPr="00B27CB1" w14:paraId="06F8D898" w14:textId="77777777" w:rsidTr="005F31A2">
        <w:tc>
          <w:tcPr>
            <w:tcW w:w="2694" w:type="dxa"/>
            <w:shd w:val="clear" w:color="auto" w:fill="auto"/>
          </w:tcPr>
          <w:p w14:paraId="425D8072" w14:textId="52580858" w:rsidR="00E318A3" w:rsidRDefault="00E318A3" w:rsidP="00681F00">
            <w:pPr>
              <w:snapToGrid w:val="0"/>
              <w:spacing w:line="260" w:lineRule="atLeast"/>
              <w:rPr>
                <w:rFonts w:eastAsia="Calibri"/>
                <w:lang w:eastAsia="en-US"/>
              </w:rPr>
            </w:pPr>
            <w:r>
              <w:rPr>
                <w:rFonts w:eastAsia="Calibri"/>
                <w:lang w:eastAsia="en-US"/>
              </w:rPr>
              <w:t>4 - Spraying (low-pressure)</w:t>
            </w:r>
          </w:p>
        </w:tc>
        <w:tc>
          <w:tcPr>
            <w:tcW w:w="1417" w:type="dxa"/>
            <w:vMerge/>
            <w:shd w:val="clear" w:color="auto" w:fill="auto"/>
          </w:tcPr>
          <w:p w14:paraId="18157ACB"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0B148E5F"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2EA69713" w14:textId="77777777" w:rsidR="00E318A3" w:rsidRDefault="00E318A3" w:rsidP="00681F00">
            <w:pPr>
              <w:snapToGrid w:val="0"/>
              <w:spacing w:line="260" w:lineRule="atLeast"/>
              <w:rPr>
                <w:rFonts w:eastAsia="Calibri"/>
                <w:lang w:eastAsia="en-US"/>
              </w:rPr>
            </w:pPr>
            <w:r>
              <w:rPr>
                <w:rFonts w:eastAsia="Calibri"/>
                <w:lang w:eastAsia="en-US"/>
              </w:rPr>
              <w:t>0.46</w:t>
            </w:r>
          </w:p>
        </w:tc>
        <w:tc>
          <w:tcPr>
            <w:tcW w:w="1843" w:type="dxa"/>
            <w:shd w:val="clear" w:color="auto" w:fill="auto"/>
          </w:tcPr>
          <w:p w14:paraId="47FE6F18" w14:textId="77777777" w:rsidR="00E318A3" w:rsidRDefault="00E318A3" w:rsidP="00681F00">
            <w:pPr>
              <w:snapToGrid w:val="0"/>
              <w:spacing w:line="260" w:lineRule="atLeast"/>
              <w:rPr>
                <w:rFonts w:eastAsia="Calibri"/>
                <w:lang w:eastAsia="en-US"/>
              </w:rPr>
            </w:pPr>
            <w:r>
              <w:rPr>
                <w:rFonts w:eastAsia="Calibri"/>
                <w:lang w:eastAsia="en-US"/>
              </w:rPr>
              <w:t>0.68</w:t>
            </w:r>
          </w:p>
        </w:tc>
      </w:tr>
      <w:tr w:rsidR="00E318A3" w:rsidRPr="00B27CB1" w14:paraId="30842A72" w14:textId="77777777" w:rsidTr="005F31A2">
        <w:tc>
          <w:tcPr>
            <w:tcW w:w="2694" w:type="dxa"/>
            <w:shd w:val="clear" w:color="auto" w:fill="auto"/>
          </w:tcPr>
          <w:p w14:paraId="1399EFC6" w14:textId="362C2B1A" w:rsidR="00E318A3" w:rsidRDefault="00E318A3" w:rsidP="00681F00">
            <w:pPr>
              <w:snapToGrid w:val="0"/>
              <w:spacing w:line="260" w:lineRule="atLeast"/>
              <w:rPr>
                <w:rFonts w:eastAsia="Calibri"/>
                <w:lang w:eastAsia="en-US"/>
              </w:rPr>
            </w:pPr>
            <w:r>
              <w:rPr>
                <w:rFonts w:eastAsia="Calibri"/>
                <w:lang w:eastAsia="en-US"/>
              </w:rPr>
              <w:t>5 - Spraying (high</w:t>
            </w:r>
            <w:r w:rsidRPr="00321540">
              <w:rPr>
                <w:rFonts w:eastAsia="Calibri"/>
                <w:lang w:eastAsia="en-US"/>
              </w:rPr>
              <w:t>-pressure)</w:t>
            </w:r>
          </w:p>
        </w:tc>
        <w:tc>
          <w:tcPr>
            <w:tcW w:w="1417" w:type="dxa"/>
            <w:vMerge/>
            <w:shd w:val="clear" w:color="auto" w:fill="auto"/>
          </w:tcPr>
          <w:p w14:paraId="13904D62"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21F562E6"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5DDFD12B" w14:textId="77777777" w:rsidR="00E318A3" w:rsidRDefault="00E318A3" w:rsidP="00681F00">
            <w:pPr>
              <w:snapToGrid w:val="0"/>
              <w:spacing w:line="260" w:lineRule="atLeast"/>
              <w:rPr>
                <w:rFonts w:eastAsia="Calibri"/>
                <w:lang w:eastAsia="en-US"/>
              </w:rPr>
            </w:pPr>
            <w:r>
              <w:rPr>
                <w:rFonts w:eastAsia="Calibri"/>
                <w:lang w:eastAsia="en-US"/>
              </w:rPr>
              <w:t>0.33</w:t>
            </w:r>
          </w:p>
        </w:tc>
        <w:tc>
          <w:tcPr>
            <w:tcW w:w="1843" w:type="dxa"/>
            <w:shd w:val="clear" w:color="auto" w:fill="auto"/>
          </w:tcPr>
          <w:p w14:paraId="6E6840A0" w14:textId="77777777" w:rsidR="00E318A3" w:rsidRDefault="00E318A3" w:rsidP="00681F00">
            <w:pPr>
              <w:snapToGrid w:val="0"/>
              <w:spacing w:line="260" w:lineRule="atLeast"/>
              <w:rPr>
                <w:rFonts w:eastAsia="Calibri"/>
                <w:lang w:eastAsia="en-US"/>
              </w:rPr>
            </w:pPr>
            <w:r>
              <w:rPr>
                <w:rFonts w:eastAsia="Calibri"/>
                <w:lang w:eastAsia="en-US"/>
              </w:rPr>
              <w:t>0.50</w:t>
            </w:r>
          </w:p>
        </w:tc>
      </w:tr>
      <w:tr w:rsidR="00E318A3" w:rsidRPr="00B27CB1" w14:paraId="70FC1C9C" w14:textId="77777777" w:rsidTr="005F31A2">
        <w:tc>
          <w:tcPr>
            <w:tcW w:w="2694" w:type="dxa"/>
            <w:shd w:val="clear" w:color="auto" w:fill="auto"/>
          </w:tcPr>
          <w:p w14:paraId="595D15AE" w14:textId="1B1F87B2" w:rsidR="00E318A3" w:rsidRDefault="00E318A3" w:rsidP="00681F00">
            <w:pPr>
              <w:snapToGrid w:val="0"/>
              <w:spacing w:line="260" w:lineRule="atLeast"/>
              <w:rPr>
                <w:rFonts w:eastAsia="Calibri"/>
                <w:lang w:eastAsia="en-US"/>
              </w:rPr>
            </w:pPr>
            <w:r>
              <w:rPr>
                <w:rFonts w:eastAsia="Calibri"/>
                <w:lang w:eastAsia="en-US"/>
              </w:rPr>
              <w:t>6 – Cleaning of spray equipment</w:t>
            </w:r>
          </w:p>
        </w:tc>
        <w:tc>
          <w:tcPr>
            <w:tcW w:w="1417" w:type="dxa"/>
            <w:vMerge/>
            <w:shd w:val="clear" w:color="auto" w:fill="auto"/>
          </w:tcPr>
          <w:p w14:paraId="63158BE0"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4CA3FE25"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4A59AF40" w14:textId="77777777" w:rsidR="00E318A3" w:rsidRDefault="00E318A3" w:rsidP="00681F00">
            <w:pPr>
              <w:snapToGrid w:val="0"/>
              <w:spacing w:line="260" w:lineRule="atLeast"/>
              <w:rPr>
                <w:rFonts w:eastAsia="Calibri"/>
                <w:lang w:eastAsia="en-US"/>
              </w:rPr>
            </w:pPr>
            <w:r>
              <w:t>Negligible</w:t>
            </w:r>
          </w:p>
        </w:tc>
        <w:tc>
          <w:tcPr>
            <w:tcW w:w="1843" w:type="dxa"/>
            <w:shd w:val="clear" w:color="auto" w:fill="auto"/>
          </w:tcPr>
          <w:p w14:paraId="6DA513F9" w14:textId="77777777" w:rsidR="00E318A3" w:rsidRDefault="00E318A3" w:rsidP="00681F00">
            <w:pPr>
              <w:snapToGrid w:val="0"/>
              <w:spacing w:line="260" w:lineRule="atLeast"/>
              <w:rPr>
                <w:rFonts w:eastAsia="Calibri"/>
                <w:lang w:eastAsia="en-US"/>
              </w:rPr>
            </w:pPr>
            <w:r>
              <w:rPr>
                <w:rFonts w:eastAsia="Calibri"/>
                <w:lang w:eastAsia="en-US"/>
              </w:rPr>
              <w:t>-</w:t>
            </w:r>
          </w:p>
        </w:tc>
      </w:tr>
      <w:tr w:rsidR="00E318A3" w:rsidRPr="00B27CB1" w14:paraId="3FA52D2C" w14:textId="77777777" w:rsidTr="005F31A2">
        <w:tc>
          <w:tcPr>
            <w:tcW w:w="2694" w:type="dxa"/>
            <w:shd w:val="clear" w:color="auto" w:fill="auto"/>
          </w:tcPr>
          <w:p w14:paraId="12E26EE8" w14:textId="35FE758E" w:rsidR="00E318A3" w:rsidRDefault="00E318A3" w:rsidP="00681F00">
            <w:pPr>
              <w:snapToGrid w:val="0"/>
              <w:spacing w:line="260" w:lineRule="atLeast"/>
              <w:rPr>
                <w:rFonts w:eastAsia="Calibri"/>
                <w:lang w:eastAsia="en-US"/>
              </w:rPr>
            </w:pPr>
            <w:r>
              <w:rPr>
                <w:rFonts w:eastAsia="Calibri"/>
                <w:lang w:eastAsia="en-US"/>
              </w:rPr>
              <w:t>7 - Wiping</w:t>
            </w:r>
          </w:p>
        </w:tc>
        <w:tc>
          <w:tcPr>
            <w:tcW w:w="1417" w:type="dxa"/>
            <w:vMerge/>
            <w:shd w:val="clear" w:color="auto" w:fill="auto"/>
          </w:tcPr>
          <w:p w14:paraId="13C572DB"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18D3F45B"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165214C3" w14:textId="77777777" w:rsidR="00E318A3" w:rsidRDefault="00E318A3" w:rsidP="00681F00">
            <w:pPr>
              <w:snapToGrid w:val="0"/>
              <w:spacing w:line="260" w:lineRule="atLeast"/>
              <w:rPr>
                <w:rFonts w:eastAsia="Calibri"/>
                <w:lang w:eastAsia="en-US"/>
              </w:rPr>
            </w:pPr>
            <w:r>
              <w:rPr>
                <w:rFonts w:eastAsia="Calibri"/>
                <w:lang w:eastAsia="en-US"/>
              </w:rPr>
              <w:t>0.1</w:t>
            </w:r>
          </w:p>
        </w:tc>
        <w:tc>
          <w:tcPr>
            <w:tcW w:w="1843" w:type="dxa"/>
            <w:shd w:val="clear" w:color="auto" w:fill="auto"/>
          </w:tcPr>
          <w:p w14:paraId="65F33E2D" w14:textId="77777777" w:rsidR="00E318A3" w:rsidRDefault="00E318A3" w:rsidP="00681F00">
            <w:pPr>
              <w:snapToGrid w:val="0"/>
              <w:spacing w:line="260" w:lineRule="atLeast"/>
              <w:rPr>
                <w:rFonts w:eastAsia="Calibri"/>
                <w:lang w:eastAsia="en-US"/>
              </w:rPr>
            </w:pPr>
            <w:r>
              <w:rPr>
                <w:rFonts w:eastAsia="Calibri"/>
                <w:lang w:eastAsia="en-US"/>
              </w:rPr>
              <w:t>0.14</w:t>
            </w:r>
          </w:p>
        </w:tc>
      </w:tr>
      <w:tr w:rsidR="00E318A3" w:rsidRPr="00B27CB1" w14:paraId="22A019D4" w14:textId="77777777" w:rsidTr="005F31A2">
        <w:tc>
          <w:tcPr>
            <w:tcW w:w="2694" w:type="dxa"/>
            <w:shd w:val="clear" w:color="auto" w:fill="auto"/>
          </w:tcPr>
          <w:p w14:paraId="3EC2CF3F" w14:textId="2DA355B2" w:rsidR="00E318A3" w:rsidRDefault="00E318A3" w:rsidP="00681F00">
            <w:pPr>
              <w:snapToGrid w:val="0"/>
              <w:spacing w:line="260" w:lineRule="atLeast"/>
              <w:rPr>
                <w:rFonts w:eastAsia="Calibri"/>
                <w:lang w:eastAsia="en-US"/>
              </w:rPr>
            </w:pPr>
            <w:r>
              <w:rPr>
                <w:rFonts w:eastAsia="Calibri"/>
                <w:lang w:eastAsia="en-US"/>
              </w:rPr>
              <w:t>8 – Manual mopping</w:t>
            </w:r>
          </w:p>
        </w:tc>
        <w:tc>
          <w:tcPr>
            <w:tcW w:w="1417" w:type="dxa"/>
            <w:vMerge/>
            <w:shd w:val="clear" w:color="auto" w:fill="auto"/>
          </w:tcPr>
          <w:p w14:paraId="52956AB1"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492AFB17"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10EF85B0" w14:textId="77777777" w:rsidR="00E318A3" w:rsidRDefault="00E318A3" w:rsidP="00681F00">
            <w:pPr>
              <w:snapToGrid w:val="0"/>
              <w:spacing w:line="260" w:lineRule="atLeast"/>
              <w:rPr>
                <w:rFonts w:eastAsia="Calibri"/>
                <w:lang w:eastAsia="en-US"/>
              </w:rPr>
            </w:pPr>
            <w:r>
              <w:rPr>
                <w:rFonts w:eastAsia="Calibri"/>
                <w:lang w:eastAsia="en-US"/>
              </w:rPr>
              <w:t>0.1</w:t>
            </w:r>
          </w:p>
        </w:tc>
        <w:tc>
          <w:tcPr>
            <w:tcW w:w="1843" w:type="dxa"/>
            <w:shd w:val="clear" w:color="auto" w:fill="auto"/>
          </w:tcPr>
          <w:p w14:paraId="4FE86CBB" w14:textId="77777777" w:rsidR="00E318A3" w:rsidRDefault="00E318A3" w:rsidP="00681F00">
            <w:pPr>
              <w:snapToGrid w:val="0"/>
              <w:spacing w:line="260" w:lineRule="atLeast"/>
              <w:rPr>
                <w:rFonts w:eastAsia="Calibri"/>
                <w:lang w:eastAsia="en-US"/>
              </w:rPr>
            </w:pPr>
            <w:r>
              <w:rPr>
                <w:rFonts w:eastAsia="Calibri"/>
                <w:lang w:eastAsia="en-US"/>
              </w:rPr>
              <w:t>0.14</w:t>
            </w:r>
          </w:p>
        </w:tc>
      </w:tr>
      <w:tr w:rsidR="00E318A3" w:rsidRPr="00B27CB1" w14:paraId="5D1B2A82" w14:textId="77777777" w:rsidTr="005F31A2">
        <w:tc>
          <w:tcPr>
            <w:tcW w:w="2694" w:type="dxa"/>
            <w:shd w:val="clear" w:color="auto" w:fill="auto"/>
          </w:tcPr>
          <w:p w14:paraId="730B8FF6" w14:textId="3335B254" w:rsidR="00E318A3" w:rsidRDefault="00E318A3" w:rsidP="00681F00">
            <w:pPr>
              <w:snapToGrid w:val="0"/>
              <w:spacing w:line="260" w:lineRule="atLeast"/>
              <w:rPr>
                <w:rFonts w:eastAsia="Calibri"/>
                <w:lang w:eastAsia="en-US"/>
              </w:rPr>
            </w:pPr>
            <w:r>
              <w:rPr>
                <w:rFonts w:eastAsia="Calibri"/>
                <w:lang w:eastAsia="en-US"/>
              </w:rPr>
              <w:t>9 – Semi-automatic mopping</w:t>
            </w:r>
          </w:p>
        </w:tc>
        <w:tc>
          <w:tcPr>
            <w:tcW w:w="1417" w:type="dxa"/>
            <w:vMerge/>
            <w:shd w:val="clear" w:color="auto" w:fill="auto"/>
          </w:tcPr>
          <w:p w14:paraId="1D9EC82E" w14:textId="77777777" w:rsidR="00E318A3" w:rsidRPr="00B27CB1" w:rsidRDefault="00E318A3" w:rsidP="00681F00">
            <w:pPr>
              <w:snapToGrid w:val="0"/>
              <w:spacing w:line="260" w:lineRule="atLeast"/>
              <w:rPr>
                <w:rFonts w:eastAsia="Calibri"/>
                <w:lang w:eastAsia="en-US"/>
              </w:rPr>
            </w:pPr>
          </w:p>
        </w:tc>
        <w:tc>
          <w:tcPr>
            <w:tcW w:w="1418" w:type="dxa"/>
            <w:vMerge/>
            <w:shd w:val="clear" w:color="auto" w:fill="auto"/>
          </w:tcPr>
          <w:p w14:paraId="6F725145" w14:textId="77777777" w:rsidR="00E318A3" w:rsidRPr="00B27CB1" w:rsidRDefault="00E318A3" w:rsidP="00681F00">
            <w:pPr>
              <w:snapToGrid w:val="0"/>
              <w:spacing w:line="260" w:lineRule="atLeast"/>
              <w:rPr>
                <w:rFonts w:eastAsia="Calibri"/>
                <w:lang w:eastAsia="en-US"/>
              </w:rPr>
            </w:pPr>
          </w:p>
        </w:tc>
        <w:tc>
          <w:tcPr>
            <w:tcW w:w="1842" w:type="dxa"/>
            <w:shd w:val="clear" w:color="auto" w:fill="auto"/>
          </w:tcPr>
          <w:p w14:paraId="0FA4A5A0" w14:textId="77777777" w:rsidR="00E318A3" w:rsidRDefault="00E318A3" w:rsidP="00681F00">
            <w:pPr>
              <w:snapToGrid w:val="0"/>
              <w:spacing w:line="260" w:lineRule="atLeast"/>
              <w:rPr>
                <w:rFonts w:eastAsia="Calibri"/>
                <w:lang w:eastAsia="en-US"/>
              </w:rPr>
            </w:pPr>
            <w:r>
              <w:t>Negligible</w:t>
            </w:r>
          </w:p>
        </w:tc>
        <w:tc>
          <w:tcPr>
            <w:tcW w:w="1843" w:type="dxa"/>
            <w:shd w:val="clear" w:color="auto" w:fill="auto"/>
          </w:tcPr>
          <w:p w14:paraId="3A72B1C8" w14:textId="77777777" w:rsidR="00E318A3" w:rsidRDefault="00E318A3" w:rsidP="00681F00">
            <w:pPr>
              <w:snapToGrid w:val="0"/>
              <w:spacing w:line="260" w:lineRule="atLeast"/>
              <w:rPr>
                <w:rFonts w:eastAsia="Calibri"/>
                <w:lang w:eastAsia="en-US"/>
              </w:rPr>
            </w:pPr>
            <w:r>
              <w:rPr>
                <w:rFonts w:eastAsia="Calibri"/>
                <w:lang w:eastAsia="en-US"/>
              </w:rPr>
              <w:t>-</w:t>
            </w:r>
          </w:p>
        </w:tc>
      </w:tr>
    </w:tbl>
    <w:p w14:paraId="763AA9CB" w14:textId="77777777" w:rsidR="00E318A3" w:rsidRPr="0084576F" w:rsidRDefault="00E318A3" w:rsidP="00E318A3">
      <w:pPr>
        <w:spacing w:line="260" w:lineRule="atLeast"/>
        <w:rPr>
          <w:rFonts w:eastAsia="Calibri" w:cs="Times New Roman"/>
          <w:i/>
          <w:iCs/>
          <w:u w:val="single"/>
          <w:lang w:eastAsia="en-US"/>
        </w:rPr>
      </w:pPr>
    </w:p>
    <w:p w14:paraId="4390D884" w14:textId="77777777" w:rsidR="00E318A3" w:rsidRDefault="00E318A3" w:rsidP="00E318A3">
      <w:pPr>
        <w:spacing w:line="260" w:lineRule="atLeast"/>
        <w:rPr>
          <w:rFonts w:eastAsia="Calibri" w:cs="Times New Roman"/>
          <w:iCs/>
          <w:lang w:eastAsia="en-US"/>
        </w:rPr>
      </w:pPr>
      <w:r>
        <w:rPr>
          <w:rFonts w:eastAsia="Calibri" w:cs="Times New Roman"/>
          <w:iCs/>
          <w:lang w:eastAsia="en-US"/>
        </w:rPr>
        <w:t xml:space="preserve">Inhalation exposure is inferior to the </w:t>
      </w:r>
      <w:r w:rsidRPr="00B54B7E">
        <w:rPr>
          <w:rFonts w:eastAsia="Calibri" w:cs="Times New Roman"/>
          <w:iCs/>
          <w:lang w:eastAsia="en-US"/>
        </w:rPr>
        <w:t>EU IOELV</w:t>
      </w:r>
      <w:r>
        <w:rPr>
          <w:rFonts w:eastAsia="Calibri" w:cs="Times New Roman"/>
          <w:iCs/>
          <w:lang w:eastAsia="en-US"/>
        </w:rPr>
        <w:t xml:space="preserve"> of</w:t>
      </w:r>
      <w:r w:rsidRPr="000D3719">
        <w:rPr>
          <w:rFonts w:eastAsia="Calibri" w:cs="Times New Roman"/>
          <w:iCs/>
          <w:lang w:eastAsia="en-US"/>
        </w:rPr>
        <w:t xml:space="preserve"> </w:t>
      </w:r>
      <w:r w:rsidRPr="001935DA">
        <w:rPr>
          <w:rFonts w:eastAsia="Calibri" w:cs="Times New Roman"/>
          <w:iCs/>
          <w:lang w:eastAsia="en-US"/>
        </w:rPr>
        <w:t xml:space="preserve">2-(2-butoxyethoxy)ethanol </w:t>
      </w:r>
      <w:r>
        <w:rPr>
          <w:rFonts w:eastAsia="Calibri" w:cs="Times New Roman"/>
          <w:iCs/>
          <w:lang w:eastAsia="en-US"/>
        </w:rPr>
        <w:t>without RPE for all scenarios.</w:t>
      </w:r>
    </w:p>
    <w:p w14:paraId="72E0C99F" w14:textId="457A2CF7" w:rsidR="00E318A3" w:rsidRDefault="00E318A3" w:rsidP="00E318A3">
      <w:pPr>
        <w:spacing w:line="260" w:lineRule="atLeast"/>
        <w:rPr>
          <w:rFonts w:eastAsia="Calibri" w:cs="Times New Roman"/>
          <w:i/>
          <w:iCs/>
          <w:u w:val="single"/>
          <w:lang w:val="en-US" w:eastAsia="en-US"/>
        </w:rPr>
      </w:pPr>
    </w:p>
    <w:p w14:paraId="34A3CCD4" w14:textId="77777777" w:rsidR="00E318A3" w:rsidRPr="0084576F" w:rsidRDefault="00E318A3" w:rsidP="00E318A3">
      <w:pPr>
        <w:spacing w:line="260" w:lineRule="atLeast"/>
        <w:rPr>
          <w:rFonts w:eastAsia="Calibri" w:cs="Times New Roman"/>
          <w:i/>
          <w:iCs/>
          <w:u w:val="single"/>
          <w:lang w:val="en-US" w:eastAsia="en-US"/>
        </w:rPr>
      </w:pPr>
      <w:r w:rsidRPr="0084576F">
        <w:rPr>
          <w:rFonts w:eastAsia="Calibri" w:cs="Times New Roman"/>
          <w:i/>
          <w:iCs/>
          <w:u w:val="single"/>
          <w:lang w:val="en-US" w:eastAsia="en-US"/>
        </w:rPr>
        <w:t>Semi-quantitative assessment (for lactic acid)</w:t>
      </w:r>
    </w:p>
    <w:p w14:paraId="0AF5A26E" w14:textId="77777777" w:rsidR="00E318A3" w:rsidRPr="0084576F" w:rsidRDefault="00E318A3" w:rsidP="00E318A3">
      <w:pPr>
        <w:spacing w:line="260" w:lineRule="atLeast"/>
        <w:rPr>
          <w:rFonts w:eastAsia="Calibri" w:cs="Times New Roman"/>
          <w:i/>
          <w:iCs/>
          <w:u w:val="single"/>
          <w:lang w:val="en-US" w:eastAsia="en-US"/>
        </w:rPr>
      </w:pPr>
    </w:p>
    <w:p w14:paraId="0C651F65" w14:textId="5002B891" w:rsidR="00E318A3" w:rsidRDefault="00E318A3" w:rsidP="00E318A3">
      <w:pPr>
        <w:spacing w:line="260" w:lineRule="atLeast"/>
        <w:jc w:val="both"/>
        <w:rPr>
          <w:rFonts w:eastAsia="Calibri" w:cs="Times New Roman"/>
          <w:iCs/>
          <w:lang w:val="en-US" w:eastAsia="en-US"/>
        </w:rPr>
      </w:pPr>
      <w:r w:rsidRPr="0084576F">
        <w:rPr>
          <w:rFonts w:eastAsia="Calibri" w:cs="Times New Roman"/>
          <w:iCs/>
          <w:lang w:val="en-US" w:eastAsia="en-US"/>
        </w:rPr>
        <w:t xml:space="preserve">Meta SPC </w:t>
      </w:r>
      <w:r>
        <w:rPr>
          <w:rFonts w:eastAsia="Calibri" w:cs="Times New Roman"/>
          <w:iCs/>
          <w:lang w:val="en-US" w:eastAsia="en-US"/>
        </w:rPr>
        <w:t>4 contains 4% of lactic acid. This is below the dermal NOAEC of 10%. Therefore, no risk is expected for dermal effects of lactic acid.</w:t>
      </w:r>
    </w:p>
    <w:p w14:paraId="1E721978" w14:textId="77777777" w:rsidR="00E318A3" w:rsidRPr="0084576F" w:rsidRDefault="00E318A3" w:rsidP="00E318A3">
      <w:pPr>
        <w:spacing w:line="260" w:lineRule="atLeast"/>
        <w:rPr>
          <w:rFonts w:eastAsia="Calibri" w:cs="Times New Roman"/>
          <w:iCs/>
          <w:lang w:val="en-US" w:eastAsia="en-US"/>
        </w:rPr>
      </w:pPr>
    </w:p>
    <w:p w14:paraId="42CC58E2" w14:textId="016600F8" w:rsidR="004D0A54" w:rsidRDefault="004D0A54" w:rsidP="004D0A54">
      <w:pPr>
        <w:spacing w:line="260" w:lineRule="atLeast"/>
        <w:rPr>
          <w:rFonts w:eastAsia="Calibri" w:cs="Times New Roman"/>
          <w:i/>
          <w:iCs/>
          <w:u w:val="single"/>
          <w:lang w:val="en-US" w:eastAsia="en-US"/>
        </w:rPr>
      </w:pPr>
      <w:r w:rsidRPr="0084576F">
        <w:rPr>
          <w:rFonts w:eastAsia="Calibri" w:cs="Times New Roman"/>
          <w:i/>
          <w:iCs/>
          <w:u w:val="single"/>
          <w:lang w:val="en-US" w:eastAsia="en-US"/>
        </w:rPr>
        <w:t>Qualitative assessment</w:t>
      </w:r>
    </w:p>
    <w:p w14:paraId="19316431" w14:textId="3BB3064E" w:rsidR="00EE6487" w:rsidRDefault="00EE6487">
      <w:pPr>
        <w:spacing w:line="260" w:lineRule="atLeast"/>
        <w:rPr>
          <w:b/>
          <w:lang w:val="en-US"/>
        </w:rPr>
      </w:pPr>
    </w:p>
    <w:p w14:paraId="3AD26837" w14:textId="20D34E5C" w:rsidR="00EE6487" w:rsidRDefault="00EE6487" w:rsidP="00EE6487">
      <w:pPr>
        <w:spacing w:line="260" w:lineRule="atLeast"/>
        <w:rPr>
          <w:rFonts w:eastAsia="Calibri" w:cs="Times New Roman"/>
          <w:iCs/>
          <w:lang w:val="en-US" w:eastAsia="en-US"/>
        </w:rPr>
      </w:pPr>
      <w:r>
        <w:rPr>
          <w:rFonts w:eastAsia="Calibri" w:cs="Times New Roman"/>
          <w:iCs/>
          <w:lang w:val="en-US" w:eastAsia="en-US"/>
        </w:rPr>
        <w:t xml:space="preserve">Because of the classification of meta SPC 2 (H315), meta SPC 3 (H315-H318), meta SPC 4 (H318) and meta SPC 6-7-11-12-13 (H314/H318), a qualitative risk assessment has been performed according to the Guidance on BPR: Volume III Part B+C. </w:t>
      </w:r>
    </w:p>
    <w:p w14:paraId="1970572C" w14:textId="77777777" w:rsidR="003213B9" w:rsidRDefault="003213B9" w:rsidP="00EE6487">
      <w:pPr>
        <w:spacing w:line="260" w:lineRule="atLeast"/>
        <w:rPr>
          <w:rFonts w:eastAsia="Calibri" w:cs="Times New Roman"/>
          <w:iCs/>
          <w:lang w:val="en-US" w:eastAsia="en-US"/>
        </w:rPr>
        <w:sectPr w:rsidR="003213B9" w:rsidSect="003213B9">
          <w:pgSz w:w="11906" w:h="16838"/>
          <w:pgMar w:top="2013" w:right="1446" w:bottom="1474" w:left="1247" w:header="851" w:footer="851" w:gutter="0"/>
          <w:cols w:space="720"/>
          <w:docGrid w:linePitch="272"/>
        </w:sectPr>
      </w:pPr>
    </w:p>
    <w:p w14:paraId="6571F01E" w14:textId="4A82DD4B" w:rsidR="003213B9" w:rsidRDefault="003213B9" w:rsidP="00EE6487">
      <w:pPr>
        <w:spacing w:line="260" w:lineRule="atLeast"/>
        <w:rPr>
          <w:rFonts w:eastAsia="Calibri" w:cs="Times New Roman"/>
          <w:iCs/>
          <w:lang w:val="en-US" w:eastAsia="en-US"/>
        </w:rPr>
      </w:pPr>
    </w:p>
    <w:p w14:paraId="34F4EB36" w14:textId="77777777" w:rsidR="00EE6487" w:rsidRDefault="00EE6487" w:rsidP="00EE6487">
      <w:pPr>
        <w:spacing w:line="260" w:lineRule="atLeast"/>
        <w:rPr>
          <w:rFonts w:eastAsia="Calibri" w:cs="Times New Roman"/>
          <w:iCs/>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709"/>
        <w:gridCol w:w="992"/>
        <w:gridCol w:w="1134"/>
        <w:gridCol w:w="851"/>
        <w:gridCol w:w="1843"/>
        <w:gridCol w:w="1300"/>
        <w:gridCol w:w="17"/>
        <w:gridCol w:w="3748"/>
      </w:tblGrid>
      <w:tr w:rsidR="00EE6487" w14:paraId="27E11C46" w14:textId="77777777" w:rsidTr="00EE6487">
        <w:trPr>
          <w:trHeight w:val="750"/>
          <w:jc w:val="center"/>
        </w:trPr>
        <w:tc>
          <w:tcPr>
            <w:tcW w:w="988" w:type="dxa"/>
            <w:tcBorders>
              <w:top w:val="single" w:sz="4" w:space="0" w:color="auto"/>
              <w:left w:val="single" w:sz="4" w:space="0" w:color="auto"/>
              <w:bottom w:val="single" w:sz="4" w:space="0" w:color="auto"/>
              <w:right w:val="single" w:sz="4" w:space="0" w:color="auto"/>
            </w:tcBorders>
            <w:shd w:val="clear" w:color="auto" w:fill="FFFF00"/>
            <w:hideMark/>
          </w:tcPr>
          <w:p w14:paraId="32F0394E" w14:textId="77777777" w:rsidR="00EE6487" w:rsidRDefault="00EE6487">
            <w:pPr>
              <w:rPr>
                <w:b/>
                <w:sz w:val="16"/>
                <w:szCs w:val="16"/>
              </w:rPr>
            </w:pPr>
            <w:r>
              <w:rPr>
                <w:b/>
                <w:sz w:val="16"/>
                <w:szCs w:val="16"/>
              </w:rPr>
              <w:t>Hazard</w:t>
            </w:r>
          </w:p>
        </w:tc>
        <w:tc>
          <w:tcPr>
            <w:tcW w:w="5528" w:type="dxa"/>
            <w:gridSpan w:val="6"/>
            <w:tcBorders>
              <w:top w:val="single" w:sz="4" w:space="0" w:color="auto"/>
              <w:left w:val="single" w:sz="4" w:space="0" w:color="auto"/>
              <w:bottom w:val="single" w:sz="4" w:space="0" w:color="auto"/>
              <w:right w:val="single" w:sz="4" w:space="0" w:color="auto"/>
            </w:tcBorders>
            <w:shd w:val="clear" w:color="auto" w:fill="FFFF00"/>
            <w:hideMark/>
          </w:tcPr>
          <w:p w14:paraId="44D33223" w14:textId="77777777" w:rsidR="00EE6487" w:rsidRDefault="00EE6487">
            <w:pPr>
              <w:rPr>
                <w:b/>
                <w:sz w:val="16"/>
                <w:szCs w:val="16"/>
              </w:rPr>
            </w:pPr>
            <w:r>
              <w:rPr>
                <w:rFonts w:cs="Arial"/>
                <w:b/>
                <w:iCs/>
                <w:sz w:val="18"/>
                <w:szCs w:val="18"/>
                <w:lang w:val="en-US"/>
              </w:rPr>
              <w:t>Characteristics of the product</w:t>
            </w:r>
          </w:p>
        </w:tc>
        <w:tc>
          <w:tcPr>
            <w:tcW w:w="316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5374985" w14:textId="77777777" w:rsidR="00EE6487" w:rsidRDefault="00EE6487">
            <w:pPr>
              <w:rPr>
                <w:b/>
                <w:sz w:val="16"/>
                <w:szCs w:val="16"/>
              </w:rPr>
            </w:pPr>
            <w:r>
              <w:rPr>
                <w:rFonts w:cs="Arial"/>
                <w:b/>
                <w:iCs/>
                <w:sz w:val="18"/>
                <w:szCs w:val="18"/>
                <w:lang w:val="en-US"/>
              </w:rPr>
              <w:t>Recommendations for acceptable risk (according to BPR Guidance Vol III Part B+C)</w:t>
            </w:r>
          </w:p>
        </w:tc>
        <w:tc>
          <w:tcPr>
            <w:tcW w:w="3748" w:type="dxa"/>
            <w:tcBorders>
              <w:top w:val="single" w:sz="4" w:space="0" w:color="auto"/>
              <w:left w:val="single" w:sz="4" w:space="0" w:color="auto"/>
              <w:bottom w:val="single" w:sz="4" w:space="0" w:color="auto"/>
              <w:right w:val="single" w:sz="4" w:space="0" w:color="auto"/>
            </w:tcBorders>
            <w:shd w:val="clear" w:color="auto" w:fill="FFFF00"/>
            <w:hideMark/>
          </w:tcPr>
          <w:p w14:paraId="650C673B" w14:textId="77777777" w:rsidR="00EE6487" w:rsidRDefault="00EE6487">
            <w:pPr>
              <w:rPr>
                <w:b/>
                <w:sz w:val="16"/>
                <w:szCs w:val="16"/>
              </w:rPr>
            </w:pPr>
            <w:r>
              <w:rPr>
                <w:b/>
                <w:sz w:val="16"/>
                <w:szCs w:val="16"/>
              </w:rPr>
              <w:t>Risk</w:t>
            </w:r>
          </w:p>
        </w:tc>
      </w:tr>
      <w:tr w:rsidR="00EE6487" w14:paraId="3C39A7F6" w14:textId="77777777" w:rsidTr="00EE6487">
        <w:trPr>
          <w:trHeight w:val="1654"/>
          <w:jc w:val="center"/>
        </w:trPr>
        <w:tc>
          <w:tcPr>
            <w:tcW w:w="988" w:type="dxa"/>
            <w:tcBorders>
              <w:top w:val="single" w:sz="4" w:space="0" w:color="auto"/>
              <w:left w:val="single" w:sz="4" w:space="0" w:color="auto"/>
              <w:bottom w:val="single" w:sz="4" w:space="0" w:color="auto"/>
              <w:right w:val="single" w:sz="4" w:space="0" w:color="auto"/>
            </w:tcBorders>
            <w:shd w:val="clear" w:color="auto" w:fill="FFFF00"/>
            <w:hideMark/>
          </w:tcPr>
          <w:p w14:paraId="02067B1B" w14:textId="77777777" w:rsidR="00EE6487" w:rsidRDefault="00EE6487">
            <w:pPr>
              <w:rPr>
                <w:i/>
                <w:sz w:val="16"/>
                <w:szCs w:val="16"/>
              </w:rPr>
            </w:pPr>
            <w:r>
              <w:rPr>
                <w:i/>
                <w:sz w:val="16"/>
                <w:szCs w:val="16"/>
              </w:rPr>
              <w:t>Hazard category</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DAD6DD6" w14:textId="77777777" w:rsidR="00EE6487" w:rsidRDefault="00EE6487">
            <w:pPr>
              <w:rPr>
                <w:i/>
                <w:sz w:val="16"/>
                <w:szCs w:val="16"/>
              </w:rPr>
            </w:pPr>
            <w:r>
              <w:rPr>
                <w:i/>
                <w:sz w:val="16"/>
                <w:szCs w:val="16"/>
              </w:rPr>
              <w:t>Effects in terms of C&amp;L</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14:paraId="115B78F9" w14:textId="77777777" w:rsidR="00EE6487" w:rsidRDefault="00EE6487">
            <w:pPr>
              <w:rPr>
                <w:i/>
                <w:sz w:val="16"/>
                <w:szCs w:val="16"/>
              </w:rPr>
            </w:pPr>
            <w:r>
              <w:rPr>
                <w:i/>
                <w:sz w:val="16"/>
                <w:szCs w:val="16"/>
              </w:rPr>
              <w:t>Additional relevant hazard information</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7D3CA4D9" w14:textId="77777777" w:rsidR="00EE6487" w:rsidRDefault="00EE6487">
            <w:pPr>
              <w:rPr>
                <w:i/>
                <w:sz w:val="16"/>
                <w:szCs w:val="16"/>
              </w:rPr>
            </w:pPr>
            <w:r>
              <w:rPr>
                <w:i/>
                <w:sz w:val="16"/>
                <w:szCs w:val="16"/>
              </w:rPr>
              <w:t xml:space="preserve">PT  </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A8D021C" w14:textId="77777777" w:rsidR="00EE6487" w:rsidRDefault="00EE6487">
            <w:pPr>
              <w:rPr>
                <w:i/>
                <w:sz w:val="16"/>
                <w:szCs w:val="16"/>
              </w:rPr>
            </w:pPr>
            <w:r>
              <w:rPr>
                <w:i/>
                <w:sz w:val="16"/>
                <w:szCs w:val="16"/>
              </w:rPr>
              <w:t xml:space="preserve">Who is </w:t>
            </w:r>
          </w:p>
          <w:p w14:paraId="2E96A797" w14:textId="77777777" w:rsidR="00EE6487" w:rsidRDefault="00EE6487">
            <w:pPr>
              <w:rPr>
                <w:i/>
                <w:sz w:val="16"/>
                <w:szCs w:val="16"/>
              </w:rPr>
            </w:pPr>
            <w:r>
              <w:rPr>
                <w:i/>
                <w:sz w:val="16"/>
                <w:szCs w:val="16"/>
              </w:rPr>
              <w:t>exposed?</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64A82744" w14:textId="77777777" w:rsidR="00EE6487" w:rsidRDefault="00EE6487">
            <w:pPr>
              <w:rPr>
                <w:i/>
                <w:sz w:val="16"/>
                <w:szCs w:val="16"/>
              </w:rPr>
            </w:pPr>
            <w:r>
              <w:rPr>
                <w:i/>
                <w:sz w:val="16"/>
                <w:szCs w:val="16"/>
              </w:rPr>
              <w:t xml:space="preserve">Tasks, </w:t>
            </w:r>
          </w:p>
          <w:p w14:paraId="21F74C9F" w14:textId="77777777" w:rsidR="00EE6487" w:rsidRDefault="00EE6487">
            <w:pPr>
              <w:rPr>
                <w:i/>
                <w:sz w:val="16"/>
                <w:szCs w:val="16"/>
              </w:rPr>
            </w:pPr>
            <w:r>
              <w:rPr>
                <w:i/>
                <w:sz w:val="16"/>
                <w:szCs w:val="16"/>
              </w:rPr>
              <w:t xml:space="preserve">uses, </w:t>
            </w:r>
          </w:p>
          <w:p w14:paraId="27433F56" w14:textId="77777777" w:rsidR="00EE6487" w:rsidRDefault="00EE6487">
            <w:pPr>
              <w:rPr>
                <w:i/>
                <w:sz w:val="16"/>
                <w:szCs w:val="16"/>
              </w:rPr>
            </w:pPr>
            <w:r>
              <w:rPr>
                <w:i/>
                <w:sz w:val="16"/>
                <w:szCs w:val="16"/>
              </w:rPr>
              <w:t>processes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59E19C55" w14:textId="77777777" w:rsidR="00EE6487" w:rsidRDefault="00EE6487">
            <w:pPr>
              <w:rPr>
                <w:i/>
                <w:sz w:val="16"/>
                <w:szCs w:val="16"/>
              </w:rPr>
            </w:pPr>
            <w:r>
              <w:rPr>
                <w:i/>
                <w:sz w:val="16"/>
                <w:szCs w:val="16"/>
              </w:rPr>
              <w:t xml:space="preserve">Potential </w:t>
            </w:r>
          </w:p>
          <w:p w14:paraId="3F375DC4" w14:textId="77777777" w:rsidR="00EE6487" w:rsidRDefault="00EE6487">
            <w:pPr>
              <w:rPr>
                <w:i/>
                <w:sz w:val="16"/>
                <w:szCs w:val="16"/>
              </w:rPr>
            </w:pPr>
            <w:r>
              <w:rPr>
                <w:i/>
                <w:sz w:val="16"/>
                <w:szCs w:val="16"/>
              </w:rPr>
              <w:t xml:space="preserve">exposure </w:t>
            </w:r>
          </w:p>
          <w:p w14:paraId="4A150FD4" w14:textId="77777777" w:rsidR="00EE6487" w:rsidRDefault="00EE6487">
            <w:pPr>
              <w:rPr>
                <w:i/>
                <w:sz w:val="16"/>
                <w:szCs w:val="16"/>
              </w:rPr>
            </w:pPr>
            <w:r>
              <w:rPr>
                <w:i/>
                <w:sz w:val="16"/>
                <w:szCs w:val="16"/>
              </w:rPr>
              <w:t>route</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250D19E0" w14:textId="77777777" w:rsidR="00EE6487" w:rsidRDefault="00EE6487">
            <w:pPr>
              <w:rPr>
                <w:i/>
                <w:sz w:val="16"/>
                <w:szCs w:val="16"/>
              </w:rPr>
            </w:pPr>
            <w:r>
              <w:rPr>
                <w:i/>
                <w:sz w:val="16"/>
                <w:szCs w:val="16"/>
              </w:rPr>
              <w:t xml:space="preserve">Frequency </w:t>
            </w:r>
          </w:p>
          <w:p w14:paraId="02A66266" w14:textId="77777777" w:rsidR="00EE6487" w:rsidRDefault="00EE6487">
            <w:pPr>
              <w:rPr>
                <w:i/>
                <w:sz w:val="16"/>
                <w:szCs w:val="16"/>
              </w:rPr>
            </w:pPr>
            <w:r>
              <w:rPr>
                <w:i/>
                <w:sz w:val="16"/>
                <w:szCs w:val="16"/>
              </w:rPr>
              <w:t xml:space="preserve">and </w:t>
            </w:r>
          </w:p>
          <w:p w14:paraId="44198320" w14:textId="77777777" w:rsidR="00EE6487" w:rsidRDefault="00EE6487">
            <w:pPr>
              <w:rPr>
                <w:i/>
                <w:sz w:val="16"/>
                <w:szCs w:val="16"/>
              </w:rPr>
            </w:pPr>
            <w:r>
              <w:rPr>
                <w:i/>
                <w:sz w:val="16"/>
                <w:szCs w:val="16"/>
              </w:rPr>
              <w:t xml:space="preserve">duration </w:t>
            </w:r>
          </w:p>
          <w:p w14:paraId="21C83294" w14:textId="77777777" w:rsidR="00EE6487" w:rsidRDefault="00EE6487">
            <w:pPr>
              <w:rPr>
                <w:i/>
                <w:sz w:val="16"/>
                <w:szCs w:val="16"/>
              </w:rPr>
            </w:pPr>
            <w:r>
              <w:rPr>
                <w:i/>
                <w:sz w:val="16"/>
                <w:szCs w:val="16"/>
              </w:rPr>
              <w:t xml:space="preserve">of </w:t>
            </w:r>
          </w:p>
          <w:p w14:paraId="18491AFB" w14:textId="77777777" w:rsidR="00EE6487" w:rsidRDefault="00EE6487">
            <w:pPr>
              <w:rPr>
                <w:i/>
                <w:sz w:val="16"/>
                <w:szCs w:val="16"/>
              </w:rPr>
            </w:pPr>
            <w:r>
              <w:rPr>
                <w:i/>
                <w:sz w:val="16"/>
                <w:szCs w:val="16"/>
              </w:rPr>
              <w:t xml:space="preserve">potential </w:t>
            </w:r>
          </w:p>
          <w:p w14:paraId="479CC009" w14:textId="77777777" w:rsidR="00EE6487" w:rsidRDefault="00EE6487">
            <w:pPr>
              <w:rPr>
                <w:i/>
                <w:sz w:val="16"/>
                <w:szCs w:val="16"/>
              </w:rPr>
            </w:pPr>
            <w:r>
              <w:rPr>
                <w:i/>
                <w:sz w:val="16"/>
                <w:szCs w:val="16"/>
              </w:rPr>
              <w:t>exposure</w:t>
            </w:r>
          </w:p>
        </w:tc>
        <w:tc>
          <w:tcPr>
            <w:tcW w:w="1300" w:type="dxa"/>
            <w:tcBorders>
              <w:top w:val="single" w:sz="4" w:space="0" w:color="auto"/>
              <w:left w:val="single" w:sz="4" w:space="0" w:color="auto"/>
              <w:bottom w:val="single" w:sz="4" w:space="0" w:color="auto"/>
              <w:right w:val="single" w:sz="4" w:space="0" w:color="auto"/>
            </w:tcBorders>
            <w:shd w:val="clear" w:color="auto" w:fill="FFFF00"/>
            <w:hideMark/>
          </w:tcPr>
          <w:p w14:paraId="63800397" w14:textId="77777777" w:rsidR="00EE6487" w:rsidRDefault="00EE6487">
            <w:pPr>
              <w:rPr>
                <w:i/>
                <w:sz w:val="16"/>
                <w:szCs w:val="16"/>
              </w:rPr>
            </w:pPr>
            <w:r>
              <w:rPr>
                <w:i/>
                <w:sz w:val="16"/>
                <w:szCs w:val="16"/>
              </w:rPr>
              <w:t xml:space="preserve">Degree </w:t>
            </w:r>
          </w:p>
          <w:p w14:paraId="4116AE64" w14:textId="77777777" w:rsidR="00EE6487" w:rsidRDefault="00EE6487">
            <w:pPr>
              <w:rPr>
                <w:i/>
                <w:sz w:val="16"/>
                <w:szCs w:val="16"/>
              </w:rPr>
            </w:pPr>
            <w:r>
              <w:rPr>
                <w:i/>
                <w:sz w:val="16"/>
                <w:szCs w:val="16"/>
              </w:rPr>
              <w:t xml:space="preserve">of potential </w:t>
            </w:r>
          </w:p>
          <w:p w14:paraId="1E2D19CE" w14:textId="77777777" w:rsidR="00EE6487" w:rsidRDefault="00EE6487">
            <w:pPr>
              <w:rPr>
                <w:i/>
                <w:sz w:val="16"/>
                <w:szCs w:val="16"/>
              </w:rPr>
            </w:pPr>
            <w:r>
              <w:rPr>
                <w:i/>
                <w:sz w:val="16"/>
                <w:szCs w:val="16"/>
              </w:rPr>
              <w:t>exposure</w:t>
            </w:r>
          </w:p>
          <w:p w14:paraId="4343C7C1" w14:textId="77777777" w:rsidR="00EE6487" w:rsidRDefault="00EE6487">
            <w:pPr>
              <w:rPr>
                <w:i/>
                <w:sz w:val="16"/>
                <w:szCs w:val="16"/>
              </w:rPr>
            </w:pPr>
            <w:r>
              <w:rPr>
                <w:i/>
                <w:sz w:val="16"/>
                <w:szCs w:val="16"/>
              </w:rPr>
              <w:t>(mg/m</w:t>
            </w:r>
            <w:r>
              <w:rPr>
                <w:i/>
                <w:sz w:val="16"/>
                <w:szCs w:val="16"/>
                <w:vertAlign w:val="superscript"/>
              </w:rPr>
              <w:t>3</w:t>
            </w:r>
            <w:r>
              <w:rPr>
                <w:i/>
                <w:sz w:val="16"/>
                <w:szCs w:val="16"/>
              </w:rPr>
              <w:t>)</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00"/>
          </w:tcPr>
          <w:p w14:paraId="1A5321BD" w14:textId="77777777" w:rsidR="00EE6487" w:rsidRDefault="00EE6487">
            <w:pPr>
              <w:rPr>
                <w:i/>
                <w:sz w:val="16"/>
                <w:szCs w:val="16"/>
              </w:rPr>
            </w:pPr>
            <w:r>
              <w:rPr>
                <w:i/>
                <w:sz w:val="16"/>
                <w:szCs w:val="16"/>
              </w:rPr>
              <w:t xml:space="preserve">Conclusion on risk assessment </w:t>
            </w:r>
          </w:p>
          <w:p w14:paraId="02421559" w14:textId="77777777" w:rsidR="00EE6487" w:rsidRDefault="00EE6487">
            <w:pPr>
              <w:rPr>
                <w:i/>
                <w:sz w:val="16"/>
                <w:szCs w:val="16"/>
              </w:rPr>
            </w:pPr>
          </w:p>
        </w:tc>
      </w:tr>
      <w:tr w:rsidR="00EE6487" w:rsidRPr="00EE6487" w14:paraId="4F33DB8F" w14:textId="77777777" w:rsidTr="00EE6487">
        <w:trPr>
          <w:trHeight w:val="233"/>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ED5DCB" w14:textId="77777777" w:rsidR="00EE6487" w:rsidRDefault="00EE6487">
            <w:pPr>
              <w:rPr>
                <w:i/>
                <w:sz w:val="16"/>
                <w:szCs w:val="16"/>
              </w:rPr>
            </w:pPr>
            <w:r>
              <w:rPr>
                <w:rFonts w:cs="Arial"/>
                <w:b/>
                <w:iCs/>
                <w:sz w:val="18"/>
                <w:szCs w:val="18"/>
                <w:lang w:val="en-US"/>
              </w:rPr>
              <w:t xml:space="preserve">Meta SPC 2 – Application by spraying/wiping/brushing/scrubbing/mopping (RTU) </w:t>
            </w:r>
            <w:r>
              <w:rPr>
                <w:rFonts w:cs="Arial"/>
                <w:iCs/>
                <w:sz w:val="18"/>
                <w:szCs w:val="18"/>
                <w:lang w:val="en-US"/>
              </w:rPr>
              <w:t>– Uses #3-4</w:t>
            </w:r>
          </w:p>
        </w:tc>
      </w:tr>
      <w:tr w:rsidR="00EE6487" w14:paraId="566C82D4" w14:textId="77777777" w:rsidTr="00EE6487">
        <w:trPr>
          <w:trHeight w:val="412"/>
          <w:jc w:val="center"/>
        </w:trPr>
        <w:tc>
          <w:tcPr>
            <w:tcW w:w="988" w:type="dxa"/>
            <w:tcBorders>
              <w:top w:val="single" w:sz="4" w:space="0" w:color="auto"/>
              <w:left w:val="single" w:sz="4" w:space="0" w:color="auto"/>
              <w:bottom w:val="single" w:sz="4" w:space="0" w:color="auto"/>
              <w:right w:val="single" w:sz="4" w:space="0" w:color="auto"/>
            </w:tcBorders>
            <w:hideMark/>
          </w:tcPr>
          <w:p w14:paraId="137ADA3D" w14:textId="77777777" w:rsidR="00EE6487" w:rsidRDefault="00EE6487">
            <w:pPr>
              <w:rPr>
                <w:sz w:val="16"/>
                <w:szCs w:val="16"/>
              </w:rPr>
            </w:pPr>
            <w:r>
              <w:rPr>
                <w:sz w:val="16"/>
                <w:szCs w:val="16"/>
              </w:rPr>
              <w:t>Low</w:t>
            </w:r>
          </w:p>
        </w:tc>
        <w:tc>
          <w:tcPr>
            <w:tcW w:w="992" w:type="dxa"/>
            <w:tcBorders>
              <w:top w:val="single" w:sz="4" w:space="0" w:color="auto"/>
              <w:left w:val="single" w:sz="4" w:space="0" w:color="auto"/>
              <w:bottom w:val="single" w:sz="4" w:space="0" w:color="auto"/>
              <w:right w:val="single" w:sz="4" w:space="0" w:color="auto"/>
            </w:tcBorders>
          </w:tcPr>
          <w:p w14:paraId="6B130F1A"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55375A72" w14:textId="77777777" w:rsidR="00EE6487" w:rsidRDefault="00EE6487">
            <w:pPr>
              <w:rPr>
                <w:rFonts w:cs="Arial"/>
                <w:iCs/>
                <w:spacing w:val="1"/>
                <w:sz w:val="16"/>
                <w:szCs w:val="16"/>
                <w:lang w:val="fr-FR" w:eastAsia="fr-FR"/>
              </w:rPr>
            </w:pPr>
          </w:p>
          <w:p w14:paraId="4795A6F3" w14:textId="77777777" w:rsidR="00EE6487" w:rsidRDefault="00EE6487">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3328275"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53C39599"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114EF948" w14:textId="77777777" w:rsidR="00EE6487" w:rsidRDefault="00EE6487">
            <w:pPr>
              <w:rPr>
                <w:sz w:val="16"/>
                <w:szCs w:val="16"/>
              </w:rPr>
            </w:pPr>
            <w:r>
              <w:rPr>
                <w:sz w:val="16"/>
                <w:szCs w:val="16"/>
              </w:rPr>
              <w:t>Professionals</w:t>
            </w:r>
          </w:p>
          <w:p w14:paraId="1DBE0BCF" w14:textId="77777777" w:rsidR="00EE6487" w:rsidRDefault="00EE6487">
            <w:pPr>
              <w:rPr>
                <w:sz w:val="16"/>
                <w:szCs w:val="16"/>
              </w:rPr>
            </w:pPr>
          </w:p>
          <w:p w14:paraId="1ED7D712" w14:textId="77777777" w:rsidR="00EE6487" w:rsidRDefault="00EE6487">
            <w:pPr>
              <w:rPr>
                <w:sz w:val="16"/>
                <w:szCs w:val="16"/>
              </w:rPr>
            </w:pPr>
          </w:p>
          <w:p w14:paraId="5962A355" w14:textId="77777777" w:rsidR="00EE6487" w:rsidRDefault="00EE6487">
            <w:pPr>
              <w:rPr>
                <w:sz w:val="16"/>
                <w:szCs w:val="16"/>
              </w:rPr>
            </w:pPr>
          </w:p>
          <w:p w14:paraId="3820CCE5"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613EF0" w14:textId="77777777" w:rsidR="00EE6487" w:rsidRDefault="00EE6487">
            <w:pPr>
              <w:rPr>
                <w:sz w:val="16"/>
                <w:szCs w:val="16"/>
              </w:rPr>
            </w:pPr>
            <w:r>
              <w:rPr>
                <w:sz w:val="16"/>
                <w:szCs w:val="16"/>
              </w:rPr>
              <w:t xml:space="preserve">Spraying on hard surfaces </w:t>
            </w:r>
          </w:p>
          <w:p w14:paraId="76B85D8B" w14:textId="77777777" w:rsidR="00EE6487" w:rsidRDefault="00EE6487">
            <w:pPr>
              <w:rPr>
                <w:sz w:val="16"/>
                <w:szCs w:val="16"/>
              </w:rPr>
            </w:pPr>
          </w:p>
          <w:p w14:paraId="19E98DF7" w14:textId="77777777" w:rsidR="00EE6487" w:rsidRDefault="00EE6487">
            <w:pPr>
              <w:rPr>
                <w:sz w:val="16"/>
                <w:szCs w:val="16"/>
              </w:rPr>
            </w:pPr>
            <w:r>
              <w:rPr>
                <w:sz w:val="16"/>
                <w:szCs w:val="16"/>
              </w:rPr>
              <w:t xml:space="preserve">Wiping on hard surfaces </w:t>
            </w:r>
          </w:p>
          <w:p w14:paraId="2FF808EF" w14:textId="77777777" w:rsidR="00EE6487" w:rsidRDefault="00EE6487">
            <w:pPr>
              <w:rPr>
                <w:sz w:val="16"/>
                <w:szCs w:val="16"/>
              </w:rPr>
            </w:pPr>
          </w:p>
          <w:p w14:paraId="597B883F" w14:textId="77777777" w:rsidR="00EE6487" w:rsidRDefault="00EE6487">
            <w:pPr>
              <w:rPr>
                <w:sz w:val="16"/>
                <w:szCs w:val="16"/>
              </w:rPr>
            </w:pPr>
            <w:r>
              <w:rPr>
                <w:sz w:val="16"/>
                <w:szCs w:val="16"/>
              </w:rPr>
              <w:t>Brushing</w:t>
            </w:r>
          </w:p>
          <w:p w14:paraId="7326C767" w14:textId="77777777" w:rsidR="00EE6487" w:rsidRDefault="00EE6487">
            <w:pPr>
              <w:rPr>
                <w:sz w:val="16"/>
                <w:szCs w:val="16"/>
              </w:rPr>
            </w:pPr>
          </w:p>
          <w:p w14:paraId="31BCB78D" w14:textId="77777777" w:rsidR="00EE6487" w:rsidRDefault="00EE6487">
            <w:pPr>
              <w:rPr>
                <w:sz w:val="16"/>
                <w:szCs w:val="16"/>
              </w:rPr>
            </w:pPr>
            <w:r>
              <w:rPr>
                <w:sz w:val="16"/>
                <w:szCs w:val="16"/>
              </w:rPr>
              <w:t>Scrubbing</w:t>
            </w:r>
          </w:p>
          <w:p w14:paraId="2FDA5CE3" w14:textId="77777777" w:rsidR="00EE6487" w:rsidRDefault="00EE6487">
            <w:pPr>
              <w:rPr>
                <w:sz w:val="16"/>
                <w:szCs w:val="16"/>
              </w:rPr>
            </w:pPr>
          </w:p>
          <w:p w14:paraId="672A40F0" w14:textId="77777777" w:rsidR="00EE6487" w:rsidRDefault="00EE6487">
            <w:pPr>
              <w:rPr>
                <w:sz w:val="16"/>
                <w:szCs w:val="16"/>
              </w:rPr>
            </w:pPr>
            <w:r>
              <w:rPr>
                <w:sz w:val="16"/>
                <w:szCs w:val="16"/>
              </w:rPr>
              <w:t>Mopping</w:t>
            </w:r>
          </w:p>
          <w:p w14:paraId="5B0A142C" w14:textId="77777777" w:rsidR="00EE6487" w:rsidRDefault="00EE6487">
            <w:pPr>
              <w:rPr>
                <w:sz w:val="16"/>
                <w:szCs w:val="16"/>
              </w:rPr>
            </w:pPr>
          </w:p>
          <w:p w14:paraId="2CB4C5C9" w14:textId="77777777" w:rsidR="00EE6487" w:rsidRDefault="00EE6487">
            <w:pPr>
              <w:rPr>
                <w:sz w:val="16"/>
                <w:szCs w:val="16"/>
              </w:rPr>
            </w:pPr>
            <w:r>
              <w:rPr>
                <w:sz w:val="16"/>
                <w:szCs w:val="16"/>
              </w:rPr>
              <w:t>Cleaning of toilet bowls (spraying + brushing)</w:t>
            </w:r>
          </w:p>
          <w:p w14:paraId="2E1475C7" w14:textId="77777777" w:rsidR="00EE6487" w:rsidRDefault="00EE6487">
            <w:pPr>
              <w:rPr>
                <w:sz w:val="16"/>
                <w:szCs w:val="16"/>
              </w:rPr>
            </w:pPr>
          </w:p>
          <w:p w14:paraId="61F73140" w14:textId="77777777" w:rsidR="00EE6487" w:rsidRDefault="00EE6487">
            <w:pPr>
              <w:rPr>
                <w:sz w:val="16"/>
                <w:szCs w:val="16"/>
              </w:rPr>
            </w:pPr>
          </w:p>
          <w:p w14:paraId="63295BE9" w14:textId="77777777" w:rsidR="00EE6487" w:rsidRDefault="00EE6487">
            <w:pPr>
              <w:rPr>
                <w:sz w:val="16"/>
                <w:szCs w:val="16"/>
              </w:rPr>
            </w:pPr>
          </w:p>
          <w:p w14:paraId="44B7D68E" w14:textId="77777777" w:rsidR="00EE6487" w:rsidRDefault="00EE6487">
            <w:pPr>
              <w:rPr>
                <w:sz w:val="16"/>
                <w:szCs w:val="16"/>
              </w:rPr>
            </w:pPr>
          </w:p>
          <w:p w14:paraId="5BAEE86A" w14:textId="77777777" w:rsidR="00EE6487" w:rsidRDefault="00EE6487">
            <w:pPr>
              <w:rPr>
                <w:sz w:val="16"/>
                <w:szCs w:val="16"/>
              </w:rPr>
            </w:pPr>
          </w:p>
          <w:p w14:paraId="60171AC0" w14:textId="77777777" w:rsidR="00EE6487" w:rsidRDefault="00EE6487">
            <w:pPr>
              <w:rPr>
                <w:sz w:val="16"/>
                <w:szCs w:val="16"/>
              </w:rPr>
            </w:pPr>
          </w:p>
          <w:p w14:paraId="716A1555" w14:textId="77777777" w:rsidR="00EE6487" w:rsidRDefault="00EE648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C15910" w14:textId="77777777" w:rsidR="00EE6487" w:rsidRDefault="00EE6487">
            <w:pPr>
              <w:rPr>
                <w:sz w:val="16"/>
                <w:szCs w:val="16"/>
              </w:rPr>
            </w:pPr>
            <w:r>
              <w:rPr>
                <w:sz w:val="16"/>
                <w:szCs w:val="16"/>
              </w:rPr>
              <w:t>Dermal</w:t>
            </w:r>
          </w:p>
          <w:p w14:paraId="4D8285F7" w14:textId="77777777" w:rsidR="00EE6487" w:rsidRDefault="00EE6487">
            <w:pPr>
              <w:rPr>
                <w:sz w:val="16"/>
                <w:szCs w:val="16"/>
              </w:rPr>
            </w:pPr>
          </w:p>
          <w:p w14:paraId="235A35B1"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56CA7C6D"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3114331F" w14:textId="77777777" w:rsidR="00EE6487" w:rsidRDefault="00EE6487">
            <w:pPr>
              <w:rPr>
                <w:sz w:val="16"/>
                <w:szCs w:val="16"/>
              </w:rPr>
            </w:pPr>
            <w:r>
              <w:rPr>
                <w:sz w:val="16"/>
                <w:szCs w:val="16"/>
              </w:rPr>
              <w:t>Controlled exposure,</w:t>
            </w:r>
          </w:p>
          <w:p w14:paraId="6EF9F7B6" w14:textId="77777777" w:rsidR="00EE6487" w:rsidRDefault="00EE6487">
            <w:pPr>
              <w:rPr>
                <w:sz w:val="16"/>
                <w:szCs w:val="16"/>
              </w:rPr>
            </w:pPr>
          </w:p>
          <w:p w14:paraId="06A0FDF4" w14:textId="77777777" w:rsidR="00EE6487" w:rsidRDefault="00EE6487">
            <w:pPr>
              <w:rPr>
                <w:sz w:val="16"/>
                <w:szCs w:val="16"/>
              </w:rPr>
            </w:pPr>
            <w:r>
              <w:rPr>
                <w:sz w:val="16"/>
                <w:szCs w:val="16"/>
              </w:rPr>
              <w:t>e.g respiratory exposure below or similar to spray application with high ventilation or technical RMM and PPE</w:t>
            </w:r>
          </w:p>
          <w:p w14:paraId="693B1E6E" w14:textId="77777777" w:rsidR="00EE6487" w:rsidRDefault="00EE6487">
            <w:pPr>
              <w:rPr>
                <w:sz w:val="16"/>
                <w:szCs w:val="16"/>
              </w:rPr>
            </w:pPr>
          </w:p>
          <w:p w14:paraId="1C0B42EC"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77130CDB"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30E12572" w14:textId="77777777" w:rsidR="00EE6487" w:rsidRDefault="00EE6487">
            <w:pPr>
              <w:pStyle w:val="Paragraphedeliste"/>
              <w:ind w:left="0"/>
              <w:jc w:val="both"/>
              <w:rPr>
                <w:rFonts w:cs="Arial"/>
                <w:iCs/>
                <w:sz w:val="16"/>
                <w:szCs w:val="16"/>
                <w:lang w:val="en-US"/>
              </w:rPr>
            </w:pPr>
          </w:p>
          <w:p w14:paraId="486651DE" w14:textId="5C3BCBC9"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splashes and spills during loading of the trigger spray</w:t>
            </w:r>
          </w:p>
          <w:p w14:paraId="185F881E"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23F5B1E7" w14:textId="77777777"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Avoidance of contact with freshly treated surfaces (for bystanders)</w:t>
            </w:r>
          </w:p>
          <w:p w14:paraId="23B6BDF1" w14:textId="77777777" w:rsidR="00EE6487" w:rsidRDefault="00EE6487">
            <w:pPr>
              <w:jc w:val="both"/>
              <w:rPr>
                <w:rFonts w:cs="Arial"/>
                <w:iCs/>
                <w:sz w:val="16"/>
                <w:szCs w:val="16"/>
                <w:lang w:val="en-US"/>
              </w:rPr>
            </w:pPr>
          </w:p>
          <w:p w14:paraId="34A183EB"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334E9F25" w14:textId="77777777" w:rsidR="00EE6487" w:rsidRDefault="00EE6487">
            <w:pPr>
              <w:jc w:val="both"/>
              <w:rPr>
                <w:rFonts w:cs="Arial"/>
                <w:iCs/>
                <w:sz w:val="16"/>
                <w:szCs w:val="16"/>
                <w:lang w:val="en-US"/>
              </w:rPr>
            </w:pPr>
          </w:p>
          <w:p w14:paraId="6A3C20EF"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1FC87081"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6790CC1E"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38F39123" w14:textId="77777777" w:rsidR="00EE6487" w:rsidRDefault="00EE6487">
            <w:pPr>
              <w:jc w:val="both"/>
              <w:rPr>
                <w:rFonts w:cs="Arial"/>
                <w:iCs/>
                <w:sz w:val="16"/>
                <w:szCs w:val="16"/>
                <w:lang w:val="en-US"/>
              </w:rPr>
            </w:pPr>
          </w:p>
          <w:p w14:paraId="7313B751" w14:textId="77777777" w:rsidR="00EE6487" w:rsidRDefault="00EE6487">
            <w:pPr>
              <w:rPr>
                <w:sz w:val="16"/>
                <w:szCs w:val="16"/>
              </w:rPr>
            </w:pPr>
          </w:p>
        </w:tc>
      </w:tr>
      <w:tr w:rsidR="00EE6487" w:rsidRPr="00EE6487" w14:paraId="114D80DA" w14:textId="77777777" w:rsidTr="00EE6487">
        <w:trPr>
          <w:trHeight w:val="243"/>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E3E824" w14:textId="77777777" w:rsidR="00EE6487" w:rsidRDefault="00EE6487">
            <w:pPr>
              <w:pStyle w:val="Paragraphedeliste"/>
              <w:rPr>
                <w:rFonts w:cs="Arial"/>
                <w:b/>
                <w:iCs/>
                <w:sz w:val="18"/>
                <w:szCs w:val="18"/>
                <w:lang w:val="en-US"/>
              </w:rPr>
            </w:pPr>
            <w:r>
              <w:rPr>
                <w:rFonts w:cs="Arial"/>
                <w:b/>
                <w:iCs/>
                <w:sz w:val="18"/>
                <w:szCs w:val="18"/>
                <w:lang w:val="en-US"/>
              </w:rPr>
              <w:t xml:space="preserve">Meta SPC 3 – Application by spraying/wiping/brushing/scrubbing/mopping/ (RTU) </w:t>
            </w:r>
            <w:r>
              <w:rPr>
                <w:rFonts w:cs="Arial"/>
                <w:iCs/>
                <w:sz w:val="18"/>
                <w:szCs w:val="18"/>
                <w:lang w:val="en-US"/>
              </w:rPr>
              <w:t>- Uses #1-2</w:t>
            </w:r>
          </w:p>
        </w:tc>
      </w:tr>
      <w:tr w:rsidR="00EE6487" w14:paraId="25EDFA2B" w14:textId="77777777" w:rsidTr="00EE6487">
        <w:trPr>
          <w:trHeight w:val="2903"/>
          <w:jc w:val="center"/>
        </w:trPr>
        <w:tc>
          <w:tcPr>
            <w:tcW w:w="988" w:type="dxa"/>
            <w:tcBorders>
              <w:top w:val="single" w:sz="4" w:space="0" w:color="auto"/>
              <w:left w:val="single" w:sz="4" w:space="0" w:color="auto"/>
              <w:bottom w:val="single" w:sz="4" w:space="0" w:color="auto"/>
              <w:right w:val="single" w:sz="4" w:space="0" w:color="auto"/>
            </w:tcBorders>
            <w:hideMark/>
          </w:tcPr>
          <w:p w14:paraId="6554E184" w14:textId="77777777" w:rsidR="00EE6487" w:rsidRDefault="00EE6487">
            <w:pPr>
              <w:rPr>
                <w:sz w:val="16"/>
                <w:szCs w:val="16"/>
              </w:rPr>
            </w:pPr>
            <w:r>
              <w:rPr>
                <w:sz w:val="16"/>
                <w:szCs w:val="16"/>
              </w:rPr>
              <w:lastRenderedPageBreak/>
              <w:t>Low</w:t>
            </w:r>
          </w:p>
        </w:tc>
        <w:tc>
          <w:tcPr>
            <w:tcW w:w="992" w:type="dxa"/>
            <w:tcBorders>
              <w:top w:val="single" w:sz="4" w:space="0" w:color="auto"/>
              <w:left w:val="single" w:sz="4" w:space="0" w:color="auto"/>
              <w:bottom w:val="single" w:sz="4" w:space="0" w:color="auto"/>
              <w:right w:val="single" w:sz="4" w:space="0" w:color="auto"/>
            </w:tcBorders>
          </w:tcPr>
          <w:p w14:paraId="045C793F"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6AA415C3" w14:textId="77777777" w:rsidR="00EE6487" w:rsidRDefault="00EE6487">
            <w:pPr>
              <w:rPr>
                <w:rFonts w:cs="Arial"/>
                <w:iCs/>
                <w:spacing w:val="1"/>
                <w:sz w:val="16"/>
                <w:szCs w:val="16"/>
                <w:lang w:val="fr-FR" w:eastAsia="fr-FR"/>
              </w:rPr>
            </w:pPr>
          </w:p>
          <w:p w14:paraId="33E3DCAA" w14:textId="77777777" w:rsidR="00EE6487" w:rsidRDefault="00EE6487">
            <w:pPr>
              <w:rPr>
                <w:sz w:val="16"/>
                <w:szCs w:val="16"/>
                <w:lang w:val="fr-FR"/>
              </w:rPr>
            </w:pPr>
          </w:p>
        </w:tc>
        <w:tc>
          <w:tcPr>
            <w:tcW w:w="850" w:type="dxa"/>
            <w:tcBorders>
              <w:top w:val="single" w:sz="4" w:space="0" w:color="auto"/>
              <w:left w:val="single" w:sz="4" w:space="0" w:color="auto"/>
              <w:bottom w:val="single" w:sz="4" w:space="0" w:color="auto"/>
              <w:right w:val="single" w:sz="4" w:space="0" w:color="auto"/>
            </w:tcBorders>
            <w:hideMark/>
          </w:tcPr>
          <w:p w14:paraId="47954524"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48A58AF"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0A790CEA" w14:textId="77777777" w:rsidR="00EE6487" w:rsidRDefault="00EE6487">
            <w:pPr>
              <w:rPr>
                <w:sz w:val="16"/>
                <w:szCs w:val="16"/>
              </w:rPr>
            </w:pPr>
            <w:r>
              <w:rPr>
                <w:sz w:val="16"/>
                <w:szCs w:val="16"/>
              </w:rPr>
              <w:t>Professionals</w:t>
            </w:r>
          </w:p>
          <w:p w14:paraId="60F13097" w14:textId="77777777" w:rsidR="00EE6487" w:rsidRDefault="00EE6487">
            <w:pPr>
              <w:rPr>
                <w:sz w:val="16"/>
                <w:szCs w:val="16"/>
              </w:rPr>
            </w:pPr>
          </w:p>
          <w:p w14:paraId="1FE20AEA" w14:textId="77777777" w:rsidR="00EE6487" w:rsidRDefault="00EE6487">
            <w:pPr>
              <w:rPr>
                <w:sz w:val="16"/>
                <w:szCs w:val="16"/>
              </w:rPr>
            </w:pPr>
          </w:p>
          <w:p w14:paraId="3DC988BA" w14:textId="77777777" w:rsidR="00EE6487" w:rsidRDefault="00EE6487">
            <w:pPr>
              <w:rPr>
                <w:sz w:val="16"/>
                <w:szCs w:val="16"/>
              </w:rPr>
            </w:pPr>
          </w:p>
          <w:p w14:paraId="778F199D"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D69844" w14:textId="77777777" w:rsidR="00EE6487" w:rsidRDefault="00EE6487">
            <w:pPr>
              <w:rPr>
                <w:sz w:val="16"/>
                <w:szCs w:val="16"/>
              </w:rPr>
            </w:pPr>
            <w:r>
              <w:rPr>
                <w:sz w:val="16"/>
                <w:szCs w:val="16"/>
              </w:rPr>
              <w:t xml:space="preserve">Spraying on hard surfaces </w:t>
            </w:r>
          </w:p>
          <w:p w14:paraId="0E9C48D7" w14:textId="77777777" w:rsidR="00EE6487" w:rsidRDefault="00EE6487">
            <w:pPr>
              <w:rPr>
                <w:sz w:val="16"/>
                <w:szCs w:val="16"/>
              </w:rPr>
            </w:pPr>
          </w:p>
          <w:p w14:paraId="1CA3154F" w14:textId="77777777" w:rsidR="00EE6487" w:rsidRDefault="00EE6487">
            <w:pPr>
              <w:rPr>
                <w:sz w:val="16"/>
                <w:szCs w:val="16"/>
              </w:rPr>
            </w:pPr>
            <w:r>
              <w:rPr>
                <w:sz w:val="16"/>
                <w:szCs w:val="16"/>
              </w:rPr>
              <w:t xml:space="preserve">Wiping on hard surfaces </w:t>
            </w:r>
          </w:p>
          <w:p w14:paraId="377529D4" w14:textId="77777777" w:rsidR="00EE6487" w:rsidRDefault="00EE6487">
            <w:pPr>
              <w:rPr>
                <w:sz w:val="16"/>
                <w:szCs w:val="16"/>
              </w:rPr>
            </w:pPr>
          </w:p>
          <w:p w14:paraId="24D27159" w14:textId="77777777" w:rsidR="00EE6487" w:rsidRDefault="00EE6487">
            <w:pPr>
              <w:rPr>
                <w:sz w:val="16"/>
                <w:szCs w:val="16"/>
              </w:rPr>
            </w:pPr>
            <w:r>
              <w:rPr>
                <w:sz w:val="16"/>
                <w:szCs w:val="16"/>
              </w:rPr>
              <w:t>Brushing</w:t>
            </w:r>
          </w:p>
          <w:p w14:paraId="38533A2D" w14:textId="77777777" w:rsidR="00EE6487" w:rsidRDefault="00EE6487">
            <w:pPr>
              <w:rPr>
                <w:sz w:val="16"/>
                <w:szCs w:val="16"/>
              </w:rPr>
            </w:pPr>
          </w:p>
          <w:p w14:paraId="6BEB97D4" w14:textId="77777777" w:rsidR="00EE6487" w:rsidRDefault="00EE6487">
            <w:pPr>
              <w:rPr>
                <w:sz w:val="16"/>
                <w:szCs w:val="16"/>
              </w:rPr>
            </w:pPr>
            <w:r>
              <w:rPr>
                <w:sz w:val="16"/>
                <w:szCs w:val="16"/>
              </w:rPr>
              <w:t>Scrubbing</w:t>
            </w:r>
          </w:p>
          <w:p w14:paraId="482C84CB" w14:textId="77777777" w:rsidR="00EE6487" w:rsidRDefault="00EE6487">
            <w:pPr>
              <w:rPr>
                <w:sz w:val="16"/>
                <w:szCs w:val="16"/>
              </w:rPr>
            </w:pPr>
          </w:p>
          <w:p w14:paraId="6EEF456C" w14:textId="77777777" w:rsidR="00EE6487" w:rsidRDefault="00EE6487">
            <w:pPr>
              <w:rPr>
                <w:sz w:val="16"/>
                <w:szCs w:val="16"/>
              </w:rPr>
            </w:pPr>
            <w:r>
              <w:rPr>
                <w:sz w:val="16"/>
                <w:szCs w:val="16"/>
              </w:rPr>
              <w:t>Mopping</w:t>
            </w:r>
          </w:p>
          <w:p w14:paraId="6C472CBA" w14:textId="77777777" w:rsidR="00EE6487" w:rsidRDefault="00EE6487">
            <w:pPr>
              <w:rPr>
                <w:sz w:val="16"/>
                <w:szCs w:val="16"/>
              </w:rPr>
            </w:pPr>
          </w:p>
          <w:p w14:paraId="018BDC60" w14:textId="77777777" w:rsidR="00EE6487" w:rsidRDefault="00EE6487">
            <w:pPr>
              <w:rPr>
                <w:sz w:val="16"/>
                <w:szCs w:val="16"/>
              </w:rPr>
            </w:pPr>
            <w:r>
              <w:rPr>
                <w:sz w:val="16"/>
                <w:szCs w:val="16"/>
              </w:rPr>
              <w:t>Cleaning of toilet bowls (spraying + brushing)</w:t>
            </w:r>
          </w:p>
          <w:p w14:paraId="6D920BA4" w14:textId="77777777" w:rsidR="00EE6487" w:rsidRDefault="00EE6487">
            <w:pPr>
              <w:rPr>
                <w:sz w:val="16"/>
                <w:szCs w:val="16"/>
              </w:rPr>
            </w:pPr>
          </w:p>
          <w:p w14:paraId="16D57856" w14:textId="77777777" w:rsidR="00EE6487" w:rsidRDefault="00EE6487">
            <w:pPr>
              <w:rPr>
                <w:sz w:val="16"/>
                <w:szCs w:val="16"/>
              </w:rPr>
            </w:pPr>
          </w:p>
          <w:p w14:paraId="16762D86" w14:textId="77777777" w:rsidR="00EE6487" w:rsidRDefault="00EE6487">
            <w:pPr>
              <w:rPr>
                <w:sz w:val="16"/>
                <w:szCs w:val="16"/>
              </w:rPr>
            </w:pPr>
          </w:p>
          <w:p w14:paraId="4EBD1C96" w14:textId="77777777" w:rsidR="00EE6487" w:rsidRDefault="00EE6487">
            <w:pPr>
              <w:rPr>
                <w:sz w:val="16"/>
                <w:szCs w:val="16"/>
              </w:rPr>
            </w:pPr>
          </w:p>
          <w:p w14:paraId="47FE7518" w14:textId="77777777" w:rsidR="00EE6487" w:rsidRDefault="00EE6487">
            <w:pPr>
              <w:rPr>
                <w:sz w:val="16"/>
                <w:szCs w:val="16"/>
              </w:rPr>
            </w:pPr>
          </w:p>
          <w:p w14:paraId="07DEE1F4" w14:textId="77777777" w:rsidR="00EE6487" w:rsidRDefault="00EE648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C8F0504" w14:textId="77777777" w:rsidR="00EE6487" w:rsidRDefault="00EE6487">
            <w:pPr>
              <w:rPr>
                <w:sz w:val="16"/>
                <w:szCs w:val="16"/>
              </w:rPr>
            </w:pPr>
            <w:r>
              <w:rPr>
                <w:sz w:val="16"/>
                <w:szCs w:val="16"/>
              </w:rPr>
              <w:t>Dermal</w:t>
            </w:r>
          </w:p>
          <w:p w14:paraId="65C026D8" w14:textId="77777777" w:rsidR="00EE6487" w:rsidRDefault="00EE6487">
            <w:pPr>
              <w:rPr>
                <w:sz w:val="16"/>
                <w:szCs w:val="16"/>
              </w:rPr>
            </w:pPr>
          </w:p>
          <w:p w14:paraId="179F15BF"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4D11FBBB"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45F30961" w14:textId="77777777" w:rsidR="00EE6487" w:rsidRDefault="00EE6487">
            <w:pPr>
              <w:rPr>
                <w:sz w:val="16"/>
                <w:szCs w:val="16"/>
              </w:rPr>
            </w:pPr>
            <w:r>
              <w:rPr>
                <w:sz w:val="16"/>
                <w:szCs w:val="16"/>
              </w:rPr>
              <w:t>Controlled exposure,</w:t>
            </w:r>
          </w:p>
          <w:p w14:paraId="17BB9CEA" w14:textId="77777777" w:rsidR="00EE6487" w:rsidRDefault="00EE6487">
            <w:pPr>
              <w:rPr>
                <w:sz w:val="16"/>
                <w:szCs w:val="16"/>
              </w:rPr>
            </w:pPr>
          </w:p>
          <w:p w14:paraId="137F8C36" w14:textId="77777777" w:rsidR="00EE6487" w:rsidRDefault="00EE6487">
            <w:pPr>
              <w:rPr>
                <w:sz w:val="16"/>
                <w:szCs w:val="16"/>
              </w:rPr>
            </w:pPr>
            <w:r>
              <w:rPr>
                <w:sz w:val="16"/>
                <w:szCs w:val="16"/>
              </w:rPr>
              <w:t>e.g respiratory exposure below or similar to spray application with high ventilation or technical RMM and PPE</w:t>
            </w:r>
          </w:p>
          <w:p w14:paraId="1F32A6DF" w14:textId="77777777" w:rsidR="00EE6487" w:rsidRDefault="00EE6487">
            <w:pPr>
              <w:rPr>
                <w:sz w:val="16"/>
                <w:szCs w:val="16"/>
              </w:rPr>
            </w:pPr>
          </w:p>
          <w:p w14:paraId="753875C7"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120B390C"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53984E9C" w14:textId="77777777" w:rsidR="00EE6487" w:rsidRDefault="00EE6487">
            <w:pPr>
              <w:pStyle w:val="Paragraphedeliste"/>
              <w:ind w:left="0"/>
              <w:jc w:val="both"/>
              <w:rPr>
                <w:rFonts w:cs="Arial"/>
                <w:iCs/>
                <w:sz w:val="16"/>
                <w:szCs w:val="16"/>
                <w:lang w:val="en-US"/>
              </w:rPr>
            </w:pPr>
          </w:p>
          <w:p w14:paraId="150C9AEE"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 xml:space="preserve">Minimisation of splashes and spills during loading of the trigger spray </w:t>
            </w:r>
          </w:p>
          <w:p w14:paraId="1FA0514A"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645B3988" w14:textId="4D2B2A7F"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 xml:space="preserve">Avoidance of contact with freshly </w:t>
            </w:r>
            <w:r w:rsidR="00135833">
              <w:rPr>
                <w:rFonts w:cs="Arial"/>
                <w:iCs/>
                <w:sz w:val="16"/>
                <w:szCs w:val="16"/>
                <w:lang w:val="en-US"/>
              </w:rPr>
              <w:t>treated</w:t>
            </w:r>
            <w:r>
              <w:rPr>
                <w:rFonts w:cs="Arial"/>
                <w:iCs/>
                <w:sz w:val="16"/>
                <w:szCs w:val="16"/>
                <w:lang w:val="en-US"/>
              </w:rPr>
              <w:t xml:space="preserve"> surfaces (for bystanders)</w:t>
            </w:r>
          </w:p>
          <w:p w14:paraId="1ABAF259" w14:textId="77777777" w:rsidR="00EE6487" w:rsidRDefault="00EE6487">
            <w:pPr>
              <w:jc w:val="both"/>
              <w:rPr>
                <w:rFonts w:cs="Arial"/>
                <w:iCs/>
                <w:sz w:val="16"/>
                <w:szCs w:val="16"/>
                <w:lang w:val="en-US"/>
              </w:rPr>
            </w:pPr>
          </w:p>
          <w:p w14:paraId="10EFEEF1"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5FAE4647" w14:textId="77777777" w:rsidR="00EE6487" w:rsidRDefault="00EE6487">
            <w:pPr>
              <w:jc w:val="both"/>
              <w:rPr>
                <w:rFonts w:cs="Arial"/>
                <w:iCs/>
                <w:sz w:val="16"/>
                <w:szCs w:val="16"/>
                <w:lang w:val="en-US"/>
              </w:rPr>
            </w:pPr>
          </w:p>
          <w:p w14:paraId="3BCAEA8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72935976"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19DBF4B6"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2647B2E0" w14:textId="77777777" w:rsidR="00EE6487" w:rsidRDefault="00EE6487">
            <w:pPr>
              <w:jc w:val="both"/>
              <w:rPr>
                <w:rFonts w:cs="Arial"/>
                <w:iCs/>
                <w:sz w:val="16"/>
                <w:szCs w:val="16"/>
                <w:lang w:val="en-US"/>
              </w:rPr>
            </w:pPr>
          </w:p>
          <w:p w14:paraId="27A5FD2A" w14:textId="77777777" w:rsidR="00EE6487" w:rsidRDefault="00EE6487">
            <w:pPr>
              <w:jc w:val="both"/>
              <w:rPr>
                <w:rFonts w:cs="Arial"/>
                <w:iCs/>
                <w:sz w:val="16"/>
                <w:szCs w:val="16"/>
                <w:lang w:eastAsia="en-US"/>
              </w:rPr>
            </w:pPr>
          </w:p>
        </w:tc>
      </w:tr>
      <w:tr w:rsidR="00EE6487" w14:paraId="76272B59" w14:textId="77777777" w:rsidTr="00EE6487">
        <w:trPr>
          <w:trHeight w:val="558"/>
          <w:jc w:val="center"/>
        </w:trPr>
        <w:tc>
          <w:tcPr>
            <w:tcW w:w="988" w:type="dxa"/>
            <w:tcBorders>
              <w:top w:val="single" w:sz="4" w:space="0" w:color="auto"/>
              <w:left w:val="single" w:sz="4" w:space="0" w:color="auto"/>
              <w:bottom w:val="single" w:sz="4" w:space="0" w:color="auto"/>
              <w:right w:val="single" w:sz="4" w:space="0" w:color="auto"/>
            </w:tcBorders>
            <w:hideMark/>
          </w:tcPr>
          <w:p w14:paraId="35A30928" w14:textId="77777777" w:rsidR="00EE6487" w:rsidRDefault="00EE6487">
            <w:pPr>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hideMark/>
          </w:tcPr>
          <w:p w14:paraId="4AA30C96" w14:textId="77777777" w:rsidR="00EE6487" w:rsidRDefault="00EE6487">
            <w:pPr>
              <w:rPr>
                <w:rFonts w:cs="Arial"/>
                <w:iCs/>
                <w:spacing w:val="1"/>
                <w:sz w:val="16"/>
                <w:szCs w:val="16"/>
                <w:lang w:val="fr-FR" w:eastAsia="fr-FR"/>
              </w:rPr>
            </w:pPr>
            <w:r>
              <w:rPr>
                <w:rFonts w:cs="Arial"/>
                <w:iCs/>
                <w:spacing w:val="1"/>
                <w:sz w:val="16"/>
                <w:szCs w:val="16"/>
                <w:lang w:val="fr-FR" w:eastAsia="fr-FR"/>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6C26B426"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23DA17F5"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00D5D91D" w14:textId="77777777" w:rsidR="00EE6487" w:rsidRDefault="00EE6487">
            <w:pPr>
              <w:rPr>
                <w:sz w:val="16"/>
                <w:szCs w:val="16"/>
              </w:rPr>
            </w:pPr>
            <w:r>
              <w:rPr>
                <w:sz w:val="16"/>
                <w:szCs w:val="16"/>
              </w:rPr>
              <w:t>Professionals</w:t>
            </w:r>
          </w:p>
          <w:p w14:paraId="26F6EF79" w14:textId="77777777" w:rsidR="00EE6487" w:rsidRDefault="00EE6487">
            <w:pPr>
              <w:rPr>
                <w:sz w:val="16"/>
                <w:szCs w:val="16"/>
              </w:rPr>
            </w:pPr>
          </w:p>
          <w:p w14:paraId="6A4DC8CD" w14:textId="77777777" w:rsidR="00EE6487" w:rsidRDefault="00EE6487">
            <w:pPr>
              <w:rPr>
                <w:sz w:val="16"/>
                <w:szCs w:val="16"/>
              </w:rPr>
            </w:pPr>
          </w:p>
          <w:p w14:paraId="451D4FA1" w14:textId="77777777" w:rsidR="00EE6487" w:rsidRDefault="00EE6487">
            <w:pPr>
              <w:rPr>
                <w:sz w:val="16"/>
                <w:szCs w:val="16"/>
              </w:rPr>
            </w:pPr>
          </w:p>
          <w:p w14:paraId="1084ABE8"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CC3A3A5" w14:textId="77777777" w:rsidR="00EE6487" w:rsidRDefault="00EE6487">
            <w:pPr>
              <w:rPr>
                <w:sz w:val="16"/>
                <w:szCs w:val="16"/>
              </w:rPr>
            </w:pPr>
            <w:r>
              <w:rPr>
                <w:sz w:val="16"/>
                <w:szCs w:val="16"/>
              </w:rPr>
              <w:t xml:space="preserve">Spraying on hard surfaces </w:t>
            </w:r>
          </w:p>
          <w:p w14:paraId="0869CBE8" w14:textId="77777777" w:rsidR="00EE6487" w:rsidRDefault="00EE6487">
            <w:pPr>
              <w:rPr>
                <w:sz w:val="16"/>
                <w:szCs w:val="16"/>
              </w:rPr>
            </w:pPr>
          </w:p>
          <w:p w14:paraId="5DC04A63" w14:textId="77777777" w:rsidR="00EE6487" w:rsidRDefault="00EE6487">
            <w:pPr>
              <w:rPr>
                <w:sz w:val="16"/>
                <w:szCs w:val="16"/>
              </w:rPr>
            </w:pPr>
            <w:r>
              <w:rPr>
                <w:sz w:val="16"/>
                <w:szCs w:val="16"/>
              </w:rPr>
              <w:t xml:space="preserve">Wiping on hard surfaces </w:t>
            </w:r>
          </w:p>
          <w:p w14:paraId="34F2A044" w14:textId="77777777" w:rsidR="00EE6487" w:rsidRDefault="00EE6487">
            <w:pPr>
              <w:rPr>
                <w:sz w:val="16"/>
                <w:szCs w:val="16"/>
              </w:rPr>
            </w:pPr>
          </w:p>
          <w:p w14:paraId="5AFB248C" w14:textId="77777777" w:rsidR="00EE6487" w:rsidRDefault="00EE6487">
            <w:pPr>
              <w:rPr>
                <w:sz w:val="16"/>
                <w:szCs w:val="16"/>
              </w:rPr>
            </w:pPr>
            <w:r>
              <w:rPr>
                <w:sz w:val="16"/>
                <w:szCs w:val="16"/>
              </w:rPr>
              <w:t>Brushing</w:t>
            </w:r>
          </w:p>
          <w:p w14:paraId="6FB5F283" w14:textId="77777777" w:rsidR="00EE6487" w:rsidRDefault="00EE6487">
            <w:pPr>
              <w:rPr>
                <w:sz w:val="16"/>
                <w:szCs w:val="16"/>
              </w:rPr>
            </w:pPr>
          </w:p>
          <w:p w14:paraId="32257BC2" w14:textId="77777777" w:rsidR="00EE6487" w:rsidRDefault="00EE6487">
            <w:pPr>
              <w:rPr>
                <w:sz w:val="16"/>
                <w:szCs w:val="16"/>
              </w:rPr>
            </w:pPr>
            <w:r>
              <w:rPr>
                <w:sz w:val="16"/>
                <w:szCs w:val="16"/>
              </w:rPr>
              <w:t>Mopping</w:t>
            </w:r>
          </w:p>
          <w:p w14:paraId="6309982B" w14:textId="77777777" w:rsidR="00EE6487" w:rsidRDefault="00EE6487">
            <w:pPr>
              <w:rPr>
                <w:sz w:val="16"/>
                <w:szCs w:val="16"/>
              </w:rPr>
            </w:pPr>
          </w:p>
          <w:p w14:paraId="021F8989" w14:textId="77777777" w:rsidR="00EE6487" w:rsidRDefault="00EE6487">
            <w:pPr>
              <w:rPr>
                <w:sz w:val="16"/>
                <w:szCs w:val="16"/>
              </w:rPr>
            </w:pPr>
            <w:r>
              <w:rPr>
                <w:sz w:val="16"/>
                <w:szCs w:val="16"/>
              </w:rPr>
              <w:t>Scrubbing</w:t>
            </w:r>
          </w:p>
          <w:p w14:paraId="0EEBED11" w14:textId="77777777" w:rsidR="00EE6487" w:rsidRDefault="00EE6487">
            <w:pPr>
              <w:rPr>
                <w:sz w:val="16"/>
                <w:szCs w:val="16"/>
              </w:rPr>
            </w:pPr>
          </w:p>
          <w:p w14:paraId="0BF263AC" w14:textId="77777777" w:rsidR="00EE6487" w:rsidRDefault="00EE6487">
            <w:pPr>
              <w:rPr>
                <w:sz w:val="16"/>
                <w:szCs w:val="16"/>
              </w:rPr>
            </w:pPr>
            <w:r>
              <w:rPr>
                <w:sz w:val="16"/>
                <w:szCs w:val="16"/>
              </w:rPr>
              <w:t>Cleaning of toilet bowls (spraying + brushing)</w:t>
            </w:r>
          </w:p>
          <w:p w14:paraId="6CE67454" w14:textId="77777777" w:rsidR="00EE6487" w:rsidRDefault="00EE6487">
            <w:pPr>
              <w:rPr>
                <w:sz w:val="16"/>
                <w:szCs w:val="16"/>
              </w:rPr>
            </w:pPr>
          </w:p>
          <w:p w14:paraId="6009B938" w14:textId="77777777" w:rsidR="00EE6487" w:rsidRDefault="00EE6487">
            <w:pPr>
              <w:rPr>
                <w:sz w:val="16"/>
                <w:szCs w:val="16"/>
              </w:rPr>
            </w:pPr>
          </w:p>
          <w:p w14:paraId="7013792D" w14:textId="77777777" w:rsidR="00EE6487" w:rsidRDefault="00EE6487">
            <w:pPr>
              <w:rPr>
                <w:sz w:val="16"/>
                <w:szCs w:val="16"/>
              </w:rPr>
            </w:pPr>
          </w:p>
          <w:p w14:paraId="361C9967" w14:textId="77777777" w:rsidR="00EE6487" w:rsidRDefault="00EE6487">
            <w:pPr>
              <w:rPr>
                <w:sz w:val="16"/>
                <w:szCs w:val="16"/>
              </w:rPr>
            </w:pPr>
          </w:p>
          <w:p w14:paraId="0235C72F" w14:textId="77777777" w:rsidR="00EE6487" w:rsidRDefault="00EE6487">
            <w:pPr>
              <w:rPr>
                <w:sz w:val="16"/>
                <w:szCs w:val="16"/>
              </w:rPr>
            </w:pPr>
          </w:p>
          <w:p w14:paraId="6427037B" w14:textId="77777777" w:rsidR="00EE6487" w:rsidRDefault="00EE6487">
            <w:pPr>
              <w:rPr>
                <w:sz w:val="16"/>
                <w:szCs w:val="16"/>
              </w:rPr>
            </w:pPr>
          </w:p>
          <w:p w14:paraId="47BD625F" w14:textId="77777777" w:rsidR="00EE6487" w:rsidRDefault="00EE6487">
            <w:pPr>
              <w:rPr>
                <w:sz w:val="16"/>
                <w:szCs w:val="16"/>
              </w:rPr>
            </w:pPr>
          </w:p>
          <w:p w14:paraId="4773BB71" w14:textId="77777777" w:rsidR="00EE6487" w:rsidRDefault="00EE6487">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3DEAAB3A" w14:textId="77777777" w:rsidR="00EE6487" w:rsidRDefault="00EE6487">
            <w:pPr>
              <w:rPr>
                <w:sz w:val="16"/>
                <w:szCs w:val="16"/>
              </w:rPr>
            </w:pPr>
            <w:r>
              <w:rPr>
                <w:sz w:val="16"/>
                <w:szCs w:val="16"/>
              </w:rPr>
              <w:lastRenderedPageBreak/>
              <w:t>Ocular</w:t>
            </w:r>
          </w:p>
        </w:tc>
        <w:tc>
          <w:tcPr>
            <w:tcW w:w="1843" w:type="dxa"/>
            <w:tcBorders>
              <w:top w:val="single" w:sz="4" w:space="0" w:color="auto"/>
              <w:left w:val="single" w:sz="4" w:space="0" w:color="auto"/>
              <w:bottom w:val="single" w:sz="4" w:space="0" w:color="auto"/>
              <w:right w:val="single" w:sz="4" w:space="0" w:color="auto"/>
            </w:tcBorders>
            <w:hideMark/>
          </w:tcPr>
          <w:p w14:paraId="6EB7AD5A" w14:textId="77777777" w:rsidR="00EE6487" w:rsidRDefault="00EE6487">
            <w:pPr>
              <w:rPr>
                <w:sz w:val="16"/>
                <w:szCs w:val="16"/>
              </w:rPr>
            </w:pPr>
            <w:r>
              <w:rPr>
                <w:sz w:val="16"/>
                <w:szCs w:val="16"/>
              </w:rPr>
              <w:t>Few minutes per day or less</w:t>
            </w:r>
          </w:p>
        </w:tc>
        <w:tc>
          <w:tcPr>
            <w:tcW w:w="1300" w:type="dxa"/>
            <w:tcBorders>
              <w:top w:val="single" w:sz="4" w:space="0" w:color="auto"/>
              <w:left w:val="single" w:sz="4" w:space="0" w:color="auto"/>
              <w:bottom w:val="single" w:sz="4" w:space="0" w:color="auto"/>
              <w:right w:val="single" w:sz="4" w:space="0" w:color="auto"/>
            </w:tcBorders>
          </w:tcPr>
          <w:p w14:paraId="17825B5F" w14:textId="77777777" w:rsidR="00EE6487" w:rsidRDefault="00EE6487">
            <w:pPr>
              <w:rPr>
                <w:sz w:val="16"/>
                <w:szCs w:val="16"/>
              </w:rPr>
            </w:pPr>
            <w:r>
              <w:rPr>
                <w:sz w:val="16"/>
                <w:szCs w:val="16"/>
              </w:rPr>
              <w:t>High level of containment, practically no exposure; no splashes, no hand to eye transfer, no(liquid or solid) aerosol formation</w:t>
            </w:r>
          </w:p>
          <w:p w14:paraId="7EF800C8" w14:textId="77777777" w:rsidR="00EE6487" w:rsidRDefault="00EE6487">
            <w:pPr>
              <w:rPr>
                <w:sz w:val="16"/>
                <w:szCs w:val="16"/>
              </w:rPr>
            </w:pPr>
          </w:p>
          <w:p w14:paraId="0B42FE7B" w14:textId="77777777" w:rsidR="00EE6487" w:rsidRDefault="00EE6487">
            <w:pPr>
              <w:rPr>
                <w:sz w:val="16"/>
                <w:szCs w:val="16"/>
              </w:rPr>
            </w:pPr>
            <w:r>
              <w:rPr>
                <w:sz w:val="16"/>
                <w:szCs w:val="16"/>
              </w:rPr>
              <w:t xml:space="preserve">e.g exposure below or similar to brief contact with technical RMM and PPE as touching of </w:t>
            </w:r>
            <w:r>
              <w:rPr>
                <w:sz w:val="16"/>
                <w:szCs w:val="16"/>
              </w:rPr>
              <w:lastRenderedPageBreak/>
              <w:t>contaminated surfaces</w:t>
            </w:r>
          </w:p>
        </w:tc>
        <w:tc>
          <w:tcPr>
            <w:tcW w:w="3765" w:type="dxa"/>
            <w:gridSpan w:val="2"/>
            <w:tcBorders>
              <w:top w:val="single" w:sz="4" w:space="0" w:color="auto"/>
              <w:left w:val="single" w:sz="4" w:space="0" w:color="auto"/>
              <w:bottom w:val="single" w:sz="4" w:space="0" w:color="auto"/>
              <w:right w:val="single" w:sz="4" w:space="0" w:color="auto"/>
            </w:tcBorders>
          </w:tcPr>
          <w:p w14:paraId="2429780C" w14:textId="77777777" w:rsidR="00EE6487" w:rsidRDefault="00EE6487">
            <w:pPr>
              <w:pStyle w:val="Paragraphedeliste"/>
              <w:ind w:left="0"/>
              <w:jc w:val="both"/>
              <w:rPr>
                <w:rFonts w:cs="Arial"/>
                <w:iCs/>
                <w:sz w:val="16"/>
                <w:szCs w:val="16"/>
                <w:lang w:val="en-US"/>
              </w:rPr>
            </w:pPr>
            <w:r>
              <w:rPr>
                <w:rFonts w:cs="Arial"/>
                <w:iCs/>
                <w:sz w:val="16"/>
                <w:szCs w:val="16"/>
                <w:lang w:val="en-US"/>
              </w:rPr>
              <w:lastRenderedPageBreak/>
              <w:t>Considering that the product will be applied by a professional, RMM must be applied:</w:t>
            </w:r>
          </w:p>
          <w:p w14:paraId="65EF2326" w14:textId="77777777" w:rsidR="00EE6487" w:rsidRDefault="00EE6487">
            <w:pPr>
              <w:pStyle w:val="Paragraphedeliste"/>
              <w:ind w:left="0"/>
              <w:jc w:val="both"/>
              <w:rPr>
                <w:rFonts w:cs="Arial"/>
                <w:iCs/>
                <w:sz w:val="16"/>
                <w:szCs w:val="16"/>
                <w:lang w:val="en-US"/>
              </w:rPr>
            </w:pPr>
          </w:p>
          <w:p w14:paraId="22244AE3"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 xml:space="preserve">Minimisation of splashes and spills </w:t>
            </w:r>
          </w:p>
          <w:p w14:paraId="6559B763"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3DDD3166" w14:textId="77777777" w:rsidR="00EE6487" w:rsidRDefault="00EE6487">
            <w:pPr>
              <w:jc w:val="both"/>
              <w:rPr>
                <w:rFonts w:cs="Arial"/>
                <w:iCs/>
                <w:sz w:val="16"/>
                <w:szCs w:val="16"/>
                <w:lang w:val="en-US"/>
              </w:rPr>
            </w:pPr>
          </w:p>
          <w:p w14:paraId="69BCE720"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0EFBA4FF" w14:textId="77777777" w:rsidR="00EE6487" w:rsidRDefault="00EE6487">
            <w:pPr>
              <w:jc w:val="both"/>
              <w:rPr>
                <w:rFonts w:cs="Arial"/>
                <w:iCs/>
                <w:sz w:val="16"/>
                <w:szCs w:val="16"/>
                <w:lang w:val="en-US"/>
              </w:rPr>
            </w:pPr>
          </w:p>
          <w:p w14:paraId="66F59377"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goggles</w:t>
            </w:r>
          </w:p>
        </w:tc>
      </w:tr>
      <w:tr w:rsidR="00EE6487" w:rsidRPr="00EE6487" w14:paraId="1D5BA41B"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B6DD7B" w14:textId="77777777" w:rsidR="00EE6487" w:rsidRDefault="00EE6487">
            <w:pPr>
              <w:pStyle w:val="Paragraphedeliste"/>
              <w:ind w:left="0"/>
              <w:rPr>
                <w:rFonts w:cs="Arial"/>
                <w:b/>
                <w:iCs/>
                <w:sz w:val="16"/>
                <w:lang w:val="en-US"/>
              </w:rPr>
            </w:pPr>
            <w:r>
              <w:rPr>
                <w:rFonts w:cs="Arial"/>
                <w:b/>
                <w:iCs/>
                <w:sz w:val="18"/>
                <w:szCs w:val="18"/>
                <w:lang w:val="en-US"/>
              </w:rPr>
              <w:t xml:space="preserve">Meta SPC 4 – Application by spraying/wiping/brushing/scrubbing/mopping (RTU) </w:t>
            </w:r>
            <w:r>
              <w:rPr>
                <w:rFonts w:cs="Arial"/>
                <w:iCs/>
                <w:sz w:val="18"/>
                <w:szCs w:val="18"/>
                <w:lang w:val="en-US"/>
              </w:rPr>
              <w:t>– Use #1</w:t>
            </w:r>
          </w:p>
        </w:tc>
      </w:tr>
      <w:tr w:rsidR="00EE6487" w14:paraId="1F32B6AE"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5FB37347" w14:textId="77777777" w:rsidR="00EE6487" w:rsidRDefault="00EE6487">
            <w:pPr>
              <w:tabs>
                <w:tab w:val="center" w:pos="610"/>
              </w:tabs>
              <w:rPr>
                <w:rFonts w:cs="Arial"/>
                <w:iCs/>
                <w:sz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hideMark/>
          </w:tcPr>
          <w:p w14:paraId="025A51F9" w14:textId="77777777" w:rsidR="00EE6487" w:rsidRDefault="00EE6487">
            <w:pPr>
              <w:rPr>
                <w:rFonts w:cs="Arial"/>
                <w:iCs/>
                <w:spacing w:val="1"/>
                <w:sz w:val="16"/>
                <w:szCs w:val="16"/>
                <w:lang w:eastAsia="fr-FR"/>
              </w:rPr>
            </w:pPr>
            <w:r>
              <w:rPr>
                <w:rFonts w:cs="Arial"/>
                <w:iCs/>
                <w:sz w:val="16"/>
                <w:lang w:val="en-US"/>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5E077580" w14:textId="77777777" w:rsidR="00EE6487" w:rsidRDefault="00EE6487">
            <w:pPr>
              <w:rPr>
                <w:sz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5F33AA9C" w14:textId="77777777" w:rsidR="00EE6487" w:rsidRDefault="00EE6487">
            <w:pPr>
              <w:rPr>
                <w:sz w:val="16"/>
                <w:szCs w:val="16"/>
              </w:rPr>
            </w:pPr>
            <w:r>
              <w:rPr>
                <w:sz w:val="16"/>
                <w:szCs w:val="16"/>
              </w:rPr>
              <w:t>2-4</w:t>
            </w:r>
          </w:p>
          <w:p w14:paraId="5C24FDDC"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2BBCF0" w14:textId="77777777" w:rsidR="00EE6487" w:rsidRDefault="00EE6487">
            <w:pPr>
              <w:rPr>
                <w:sz w:val="16"/>
                <w:szCs w:val="16"/>
              </w:rPr>
            </w:pPr>
            <w:r>
              <w:rPr>
                <w:sz w:val="16"/>
                <w:szCs w:val="16"/>
              </w:rPr>
              <w:t>Professionals</w:t>
            </w:r>
          </w:p>
          <w:p w14:paraId="32FBF8C3" w14:textId="77777777" w:rsidR="00EE6487" w:rsidRDefault="00EE6487">
            <w:pPr>
              <w:rPr>
                <w:sz w:val="16"/>
              </w:rPr>
            </w:pPr>
          </w:p>
        </w:tc>
        <w:tc>
          <w:tcPr>
            <w:tcW w:w="1134" w:type="dxa"/>
            <w:tcBorders>
              <w:top w:val="single" w:sz="4" w:space="0" w:color="auto"/>
              <w:left w:val="single" w:sz="4" w:space="0" w:color="auto"/>
              <w:bottom w:val="single" w:sz="4" w:space="0" w:color="auto"/>
              <w:right w:val="single" w:sz="4" w:space="0" w:color="auto"/>
            </w:tcBorders>
          </w:tcPr>
          <w:p w14:paraId="078325D0" w14:textId="77777777" w:rsidR="00EE6487" w:rsidRDefault="00EE6487">
            <w:pPr>
              <w:rPr>
                <w:sz w:val="16"/>
              </w:rPr>
            </w:pPr>
            <w:r>
              <w:rPr>
                <w:sz w:val="16"/>
              </w:rPr>
              <w:t>Spraying on hard surfaces</w:t>
            </w:r>
          </w:p>
          <w:p w14:paraId="4D4E4F4A" w14:textId="77777777" w:rsidR="00EE6487" w:rsidRDefault="00EE6487">
            <w:pPr>
              <w:rPr>
                <w:sz w:val="16"/>
              </w:rPr>
            </w:pPr>
          </w:p>
          <w:p w14:paraId="5044A299" w14:textId="77777777" w:rsidR="00EE6487" w:rsidRDefault="00EE6487">
            <w:pPr>
              <w:rPr>
                <w:sz w:val="16"/>
                <w:szCs w:val="16"/>
              </w:rPr>
            </w:pPr>
            <w:r>
              <w:rPr>
                <w:sz w:val="16"/>
                <w:szCs w:val="16"/>
              </w:rPr>
              <w:t>Wiping on hard surfaces</w:t>
            </w:r>
          </w:p>
          <w:p w14:paraId="741EA3D1" w14:textId="77777777" w:rsidR="00EE6487" w:rsidRDefault="00EE6487">
            <w:pPr>
              <w:rPr>
                <w:sz w:val="16"/>
                <w:szCs w:val="16"/>
              </w:rPr>
            </w:pPr>
          </w:p>
          <w:p w14:paraId="567F79C4" w14:textId="77777777" w:rsidR="00EE6487" w:rsidRDefault="00EE6487">
            <w:pPr>
              <w:rPr>
                <w:sz w:val="16"/>
                <w:szCs w:val="16"/>
              </w:rPr>
            </w:pPr>
            <w:r>
              <w:rPr>
                <w:sz w:val="16"/>
                <w:szCs w:val="16"/>
              </w:rPr>
              <w:t>Brushing</w:t>
            </w:r>
          </w:p>
          <w:p w14:paraId="736F4352" w14:textId="77777777" w:rsidR="00EE6487" w:rsidRDefault="00EE6487">
            <w:pPr>
              <w:rPr>
                <w:sz w:val="16"/>
                <w:szCs w:val="16"/>
              </w:rPr>
            </w:pPr>
          </w:p>
          <w:p w14:paraId="0E7688F1" w14:textId="77777777" w:rsidR="00EE6487" w:rsidRDefault="00EE6487">
            <w:pPr>
              <w:rPr>
                <w:sz w:val="16"/>
                <w:szCs w:val="16"/>
              </w:rPr>
            </w:pPr>
            <w:r>
              <w:rPr>
                <w:sz w:val="16"/>
                <w:szCs w:val="16"/>
              </w:rPr>
              <w:t>Scrubbing</w:t>
            </w:r>
          </w:p>
          <w:p w14:paraId="74704B9B" w14:textId="77777777" w:rsidR="00EE6487" w:rsidRDefault="00EE6487">
            <w:pPr>
              <w:rPr>
                <w:sz w:val="16"/>
                <w:szCs w:val="16"/>
              </w:rPr>
            </w:pPr>
          </w:p>
          <w:p w14:paraId="13117325" w14:textId="77777777" w:rsidR="00EE6487" w:rsidRDefault="00EE6487">
            <w:pPr>
              <w:rPr>
                <w:sz w:val="16"/>
                <w:szCs w:val="16"/>
              </w:rPr>
            </w:pPr>
            <w:r>
              <w:rPr>
                <w:sz w:val="16"/>
                <w:szCs w:val="16"/>
              </w:rPr>
              <w:t>Mopping</w:t>
            </w:r>
          </w:p>
          <w:p w14:paraId="1F7B1368"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4FA442C3" w14:textId="77777777" w:rsidR="00EE6487" w:rsidRDefault="00EE6487">
            <w:pPr>
              <w:rPr>
                <w:sz w:val="16"/>
                <w:szCs w:val="16"/>
              </w:rPr>
            </w:pPr>
            <w:r>
              <w:rPr>
                <w:sz w:val="16"/>
                <w:szCs w:val="16"/>
              </w:rPr>
              <w:t>Ocular</w:t>
            </w:r>
          </w:p>
          <w:p w14:paraId="6BA225B4" w14:textId="77777777" w:rsidR="00EE6487" w:rsidRDefault="00EE6487">
            <w:pPr>
              <w:rPr>
                <w:sz w:val="16"/>
              </w:rPr>
            </w:pPr>
          </w:p>
        </w:tc>
        <w:tc>
          <w:tcPr>
            <w:tcW w:w="1843" w:type="dxa"/>
            <w:tcBorders>
              <w:top w:val="single" w:sz="4" w:space="0" w:color="auto"/>
              <w:left w:val="single" w:sz="4" w:space="0" w:color="auto"/>
              <w:bottom w:val="single" w:sz="4" w:space="0" w:color="auto"/>
              <w:right w:val="single" w:sz="4" w:space="0" w:color="auto"/>
            </w:tcBorders>
            <w:hideMark/>
          </w:tcPr>
          <w:p w14:paraId="468D55B0" w14:textId="77777777" w:rsidR="00EE6487" w:rsidRDefault="00EE6487">
            <w:pPr>
              <w:rPr>
                <w:rFonts w:cs="Arial"/>
                <w:iCs/>
                <w:sz w:val="16"/>
                <w:lang w:val="en-US"/>
              </w:rPr>
            </w:pPr>
            <w:r>
              <w:rPr>
                <w:sz w:val="16"/>
                <w:szCs w:val="16"/>
              </w:rPr>
              <w:t>Few minutes per day or less</w:t>
            </w:r>
          </w:p>
        </w:tc>
        <w:tc>
          <w:tcPr>
            <w:tcW w:w="1300" w:type="dxa"/>
            <w:tcBorders>
              <w:top w:val="single" w:sz="4" w:space="0" w:color="auto"/>
              <w:left w:val="single" w:sz="4" w:space="0" w:color="auto"/>
              <w:bottom w:val="single" w:sz="4" w:space="0" w:color="auto"/>
              <w:right w:val="single" w:sz="4" w:space="0" w:color="auto"/>
            </w:tcBorders>
          </w:tcPr>
          <w:p w14:paraId="371D1EF9" w14:textId="77777777" w:rsidR="00EE6487" w:rsidRDefault="00EE6487">
            <w:pPr>
              <w:rPr>
                <w:sz w:val="16"/>
                <w:szCs w:val="16"/>
              </w:rPr>
            </w:pPr>
            <w:r>
              <w:rPr>
                <w:sz w:val="16"/>
                <w:szCs w:val="16"/>
              </w:rPr>
              <w:t>High level of containment, practically no exposure; no splashes, no hand to eye transfer, no(liquid or solid) aerosol formation</w:t>
            </w:r>
          </w:p>
          <w:p w14:paraId="733A0EB8" w14:textId="77777777" w:rsidR="00EE6487" w:rsidRDefault="00EE6487">
            <w:pPr>
              <w:rPr>
                <w:sz w:val="16"/>
                <w:szCs w:val="16"/>
              </w:rPr>
            </w:pPr>
          </w:p>
          <w:p w14:paraId="1553A800" w14:textId="77777777" w:rsidR="00EE6487" w:rsidRDefault="00EE6487">
            <w:pPr>
              <w:rPr>
                <w:rFonts w:cs="Arial"/>
                <w:iCs/>
                <w:sz w:val="16"/>
                <w:lang w:val="en-US"/>
              </w:rPr>
            </w:pPr>
            <w:r>
              <w:rPr>
                <w:sz w:val="16"/>
                <w:szCs w:val="16"/>
              </w:rPr>
              <w:t>e.g exposure below or similar to brief contact with technical RMM and PPE as touching of contaminated surfaces</w:t>
            </w:r>
          </w:p>
        </w:tc>
        <w:tc>
          <w:tcPr>
            <w:tcW w:w="3765" w:type="dxa"/>
            <w:gridSpan w:val="2"/>
            <w:tcBorders>
              <w:top w:val="single" w:sz="4" w:space="0" w:color="auto"/>
              <w:left w:val="single" w:sz="4" w:space="0" w:color="auto"/>
              <w:bottom w:val="single" w:sz="4" w:space="0" w:color="auto"/>
              <w:right w:val="single" w:sz="4" w:space="0" w:color="auto"/>
            </w:tcBorders>
          </w:tcPr>
          <w:p w14:paraId="4560C4EB"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2C6F38B3" w14:textId="77777777" w:rsidR="00EE6487" w:rsidRDefault="00EE6487">
            <w:pPr>
              <w:pStyle w:val="Paragraphedeliste"/>
              <w:ind w:left="0"/>
              <w:jc w:val="both"/>
              <w:rPr>
                <w:rFonts w:cs="Arial"/>
                <w:iCs/>
                <w:sz w:val="16"/>
                <w:szCs w:val="16"/>
                <w:lang w:val="en-US"/>
              </w:rPr>
            </w:pPr>
          </w:p>
          <w:p w14:paraId="41DEEFE3"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 xml:space="preserve">Minimisation of splashes and spills during loading of the trigger spray </w:t>
            </w:r>
          </w:p>
          <w:p w14:paraId="20A5AE89"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0F2573CC" w14:textId="77777777" w:rsidR="00EE6487" w:rsidRDefault="00EE6487">
            <w:pPr>
              <w:jc w:val="both"/>
              <w:rPr>
                <w:rFonts w:cs="Arial"/>
                <w:iCs/>
                <w:sz w:val="16"/>
                <w:szCs w:val="16"/>
                <w:lang w:val="en-US"/>
              </w:rPr>
            </w:pPr>
          </w:p>
          <w:p w14:paraId="2AD80B2A"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3D310A9F" w14:textId="77777777" w:rsidR="00EE6487" w:rsidRDefault="00EE6487">
            <w:pPr>
              <w:jc w:val="both"/>
              <w:rPr>
                <w:rFonts w:cs="Arial"/>
                <w:iCs/>
                <w:sz w:val="16"/>
                <w:szCs w:val="16"/>
                <w:lang w:val="en-US"/>
              </w:rPr>
            </w:pPr>
          </w:p>
          <w:p w14:paraId="1D7150BA" w14:textId="77777777" w:rsidR="00EE6487" w:rsidRDefault="00EE6487" w:rsidP="00EE6487">
            <w:pPr>
              <w:pStyle w:val="Paragraphedeliste"/>
              <w:numPr>
                <w:ilvl w:val="0"/>
                <w:numId w:val="40"/>
              </w:numPr>
              <w:ind w:left="785"/>
              <w:jc w:val="both"/>
              <w:rPr>
                <w:rFonts w:cs="Arial"/>
                <w:iCs/>
                <w:sz w:val="16"/>
                <w:lang w:val="en-US"/>
              </w:rPr>
            </w:pPr>
            <w:r>
              <w:rPr>
                <w:rFonts w:cs="Arial"/>
                <w:iCs/>
                <w:sz w:val="16"/>
                <w:szCs w:val="16"/>
                <w:lang w:val="en-US"/>
              </w:rPr>
              <w:t>goggles</w:t>
            </w:r>
          </w:p>
        </w:tc>
      </w:tr>
      <w:tr w:rsidR="00EE6487" w:rsidRPr="00EE6487" w14:paraId="74FACCA6"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96F325" w14:textId="77777777" w:rsidR="00EE6487" w:rsidRDefault="00EE6487">
            <w:pPr>
              <w:pStyle w:val="Paragraphedeliste"/>
              <w:ind w:left="0"/>
              <w:rPr>
                <w:rFonts w:cs="Arial"/>
                <w:b/>
                <w:iCs/>
                <w:sz w:val="16"/>
                <w:lang w:val="en-US"/>
              </w:rPr>
            </w:pPr>
            <w:r>
              <w:rPr>
                <w:rFonts w:cs="Arial"/>
                <w:b/>
                <w:iCs/>
                <w:sz w:val="18"/>
                <w:szCs w:val="18"/>
                <w:lang w:val="en-US"/>
              </w:rPr>
              <w:t xml:space="preserve">Meta SPC 6 – Application by spraying/wiping/brushing/scrubbing/mopping </w:t>
            </w:r>
            <w:r>
              <w:rPr>
                <w:rFonts w:cs="Arial"/>
                <w:iCs/>
                <w:sz w:val="18"/>
                <w:szCs w:val="18"/>
                <w:lang w:val="en-US"/>
              </w:rPr>
              <w:t>– Uses #1-2-3-4</w:t>
            </w:r>
          </w:p>
        </w:tc>
      </w:tr>
      <w:tr w:rsidR="00EE6487" w14:paraId="48648A1E"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E009" w14:textId="77777777" w:rsidR="00EE6487" w:rsidRDefault="00EE6487">
            <w:pPr>
              <w:pStyle w:val="Paragraphedeliste"/>
              <w:ind w:left="0"/>
              <w:rPr>
                <w:rFonts w:cs="Arial"/>
                <w:b/>
                <w:iCs/>
                <w:sz w:val="18"/>
                <w:szCs w:val="18"/>
                <w:lang w:val="en-US"/>
              </w:rPr>
            </w:pPr>
            <w:r>
              <w:rPr>
                <w:rFonts w:cs="Arial"/>
                <w:b/>
                <w:iCs/>
                <w:sz w:val="18"/>
                <w:szCs w:val="18"/>
                <w:lang w:val="en-US"/>
              </w:rPr>
              <w:t xml:space="preserve">Concentrate </w:t>
            </w:r>
          </w:p>
        </w:tc>
      </w:tr>
      <w:tr w:rsidR="00EE6487" w14:paraId="1689A120"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54137A5D" w14:textId="77777777" w:rsidR="00EE6487" w:rsidRDefault="00EE6487">
            <w:pPr>
              <w:tabs>
                <w:tab w:val="center" w:pos="610"/>
              </w:tabs>
              <w:rPr>
                <w:rFonts w:cs="Arial"/>
                <w:iCs/>
                <w:sz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tcPr>
          <w:p w14:paraId="0A4A16FB" w14:textId="77777777" w:rsidR="00EE6487" w:rsidRDefault="00EE6487">
            <w:pPr>
              <w:rPr>
                <w:rFonts w:cs="Arial"/>
                <w:iCs/>
                <w:spacing w:val="1"/>
                <w:sz w:val="16"/>
                <w:szCs w:val="16"/>
                <w:lang w:eastAsia="fr-FR"/>
              </w:rPr>
            </w:pPr>
            <w:r>
              <w:rPr>
                <w:rFonts w:cs="Arial"/>
                <w:iCs/>
                <w:spacing w:val="1"/>
                <w:sz w:val="16"/>
                <w:szCs w:val="16"/>
                <w:lang w:eastAsia="fr-FR"/>
              </w:rPr>
              <w:t>Skin Corr. 1C, H314</w:t>
            </w:r>
          </w:p>
          <w:p w14:paraId="576062D0" w14:textId="77777777" w:rsidR="00EE6487" w:rsidRDefault="00EE6487">
            <w:pPr>
              <w:rPr>
                <w:rFonts w:cs="Arial"/>
                <w:iCs/>
                <w:spacing w:val="1"/>
                <w:sz w:val="16"/>
                <w:szCs w:val="16"/>
                <w:lang w:eastAsia="fr-FR"/>
              </w:rPr>
            </w:pPr>
          </w:p>
          <w:p w14:paraId="27BBB848" w14:textId="77777777" w:rsidR="00EE6487" w:rsidRDefault="00EE6487">
            <w:pPr>
              <w:rPr>
                <w:rFonts w:cs="Arial"/>
                <w:iCs/>
                <w:sz w:val="16"/>
                <w:lang w:val="en-US"/>
              </w:rPr>
            </w:pPr>
            <w:r>
              <w:rPr>
                <w:rFonts w:cs="Arial"/>
                <w:iCs/>
                <w:sz w:val="16"/>
                <w:lang w:val="en-US"/>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67995927" w14:textId="77777777" w:rsidR="00EE6487" w:rsidRDefault="00EE6487">
            <w:pPr>
              <w:rPr>
                <w:sz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00FE1373"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2E3CD3EF" w14:textId="77777777" w:rsidR="00EE6487" w:rsidRDefault="00EE6487">
            <w:pPr>
              <w:rPr>
                <w:sz w:val="16"/>
                <w:szCs w:val="16"/>
              </w:rPr>
            </w:pPr>
            <w:r>
              <w:rPr>
                <w:sz w:val="16"/>
                <w:szCs w:val="16"/>
              </w:rPr>
              <w:t>Professionals</w:t>
            </w:r>
          </w:p>
          <w:p w14:paraId="6E9B314B" w14:textId="77777777" w:rsidR="00EE6487" w:rsidRDefault="00EE6487">
            <w:pPr>
              <w:rPr>
                <w:sz w:val="16"/>
              </w:rPr>
            </w:pPr>
          </w:p>
        </w:tc>
        <w:tc>
          <w:tcPr>
            <w:tcW w:w="1134" w:type="dxa"/>
            <w:tcBorders>
              <w:top w:val="single" w:sz="4" w:space="0" w:color="auto"/>
              <w:left w:val="single" w:sz="4" w:space="0" w:color="auto"/>
              <w:bottom w:val="single" w:sz="4" w:space="0" w:color="auto"/>
              <w:right w:val="single" w:sz="4" w:space="0" w:color="auto"/>
            </w:tcBorders>
          </w:tcPr>
          <w:p w14:paraId="52BEFBCD" w14:textId="77777777" w:rsidR="00EE6487" w:rsidRDefault="00EE6487">
            <w:pPr>
              <w:rPr>
                <w:sz w:val="16"/>
                <w:szCs w:val="16"/>
              </w:rPr>
            </w:pPr>
            <w:r>
              <w:rPr>
                <w:sz w:val="16"/>
                <w:szCs w:val="16"/>
              </w:rPr>
              <w:t>Mixing and loading</w:t>
            </w:r>
          </w:p>
          <w:p w14:paraId="03CEB8C6" w14:textId="77777777" w:rsidR="00EE6487" w:rsidRDefault="00EE6487">
            <w:pPr>
              <w:rPr>
                <w:sz w:val="16"/>
                <w:szCs w:val="16"/>
              </w:rPr>
            </w:pPr>
          </w:p>
          <w:p w14:paraId="2C933A7B"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27373D27" w14:textId="77777777" w:rsidR="00EE6487" w:rsidRDefault="00EE6487">
            <w:pPr>
              <w:rPr>
                <w:sz w:val="16"/>
                <w:szCs w:val="16"/>
              </w:rPr>
            </w:pPr>
            <w:r>
              <w:rPr>
                <w:sz w:val="16"/>
                <w:szCs w:val="16"/>
              </w:rPr>
              <w:t>Dermal</w:t>
            </w:r>
          </w:p>
          <w:p w14:paraId="0D31CB0D" w14:textId="77777777" w:rsidR="00EE6487" w:rsidRDefault="00EE6487">
            <w:pPr>
              <w:rPr>
                <w:sz w:val="16"/>
                <w:szCs w:val="16"/>
              </w:rPr>
            </w:pPr>
          </w:p>
          <w:p w14:paraId="4A4768F2" w14:textId="77777777" w:rsidR="00EE6487" w:rsidRDefault="00EE6487">
            <w:pPr>
              <w:rPr>
                <w:sz w:val="16"/>
                <w:szCs w:val="16"/>
              </w:rPr>
            </w:pPr>
            <w:r>
              <w:rPr>
                <w:sz w:val="16"/>
                <w:szCs w:val="16"/>
              </w:rPr>
              <w:t>Ocular</w:t>
            </w:r>
          </w:p>
          <w:p w14:paraId="3091E0BC" w14:textId="77777777" w:rsidR="00EE6487" w:rsidRDefault="00EE6487">
            <w:pPr>
              <w:rPr>
                <w:sz w:val="16"/>
                <w:szCs w:val="16"/>
              </w:rPr>
            </w:pPr>
          </w:p>
          <w:p w14:paraId="67675773" w14:textId="77777777" w:rsidR="00EE6487" w:rsidRDefault="00EE6487">
            <w:pPr>
              <w:rPr>
                <w:sz w:val="16"/>
              </w:rPr>
            </w:pPr>
          </w:p>
        </w:tc>
        <w:tc>
          <w:tcPr>
            <w:tcW w:w="1843" w:type="dxa"/>
            <w:tcBorders>
              <w:top w:val="single" w:sz="4" w:space="0" w:color="auto"/>
              <w:left w:val="single" w:sz="4" w:space="0" w:color="auto"/>
              <w:bottom w:val="single" w:sz="4" w:space="0" w:color="auto"/>
              <w:right w:val="single" w:sz="4" w:space="0" w:color="auto"/>
            </w:tcBorders>
            <w:hideMark/>
          </w:tcPr>
          <w:p w14:paraId="0292B7BD" w14:textId="77777777" w:rsidR="00EE6487" w:rsidRDefault="00EE6487">
            <w:pPr>
              <w:rPr>
                <w:rFonts w:cs="Arial"/>
                <w:iCs/>
                <w:sz w:val="16"/>
                <w:lang w:val="en-US"/>
              </w:rPr>
            </w:pPr>
            <w:r>
              <w:rPr>
                <w:sz w:val="16"/>
                <w:szCs w:val="16"/>
              </w:rPr>
              <w:t>Few minutes per day or less</w:t>
            </w:r>
          </w:p>
        </w:tc>
        <w:tc>
          <w:tcPr>
            <w:tcW w:w="1300" w:type="dxa"/>
            <w:tcBorders>
              <w:top w:val="single" w:sz="4" w:space="0" w:color="auto"/>
              <w:left w:val="single" w:sz="4" w:space="0" w:color="auto"/>
              <w:bottom w:val="single" w:sz="4" w:space="0" w:color="auto"/>
              <w:right w:val="single" w:sz="4" w:space="0" w:color="auto"/>
            </w:tcBorders>
          </w:tcPr>
          <w:p w14:paraId="519F82C9" w14:textId="77777777" w:rsidR="00EE6487" w:rsidRDefault="00EE6487">
            <w:pPr>
              <w:rPr>
                <w:sz w:val="16"/>
                <w:szCs w:val="16"/>
              </w:rPr>
            </w:pPr>
            <w:r>
              <w:rPr>
                <w:sz w:val="16"/>
                <w:szCs w:val="16"/>
              </w:rPr>
              <w:t>High level of containment, practically no exposure; no splashes, no hand to eye transfer, no(liquid or solid) aerosol formation</w:t>
            </w:r>
          </w:p>
          <w:p w14:paraId="6F692A8B" w14:textId="77777777" w:rsidR="00EE6487" w:rsidRDefault="00EE6487">
            <w:pPr>
              <w:rPr>
                <w:sz w:val="16"/>
                <w:szCs w:val="16"/>
              </w:rPr>
            </w:pPr>
          </w:p>
          <w:p w14:paraId="3091F8F4" w14:textId="77777777" w:rsidR="00EE6487" w:rsidRDefault="00EE6487">
            <w:pPr>
              <w:rPr>
                <w:rFonts w:cs="Arial"/>
                <w:iCs/>
                <w:sz w:val="16"/>
                <w:lang w:val="en-US"/>
              </w:rPr>
            </w:pPr>
            <w:r>
              <w:rPr>
                <w:sz w:val="16"/>
                <w:szCs w:val="16"/>
              </w:rPr>
              <w:t xml:space="preserve">e.g exposure below or similar to brief contact </w:t>
            </w:r>
            <w:r>
              <w:rPr>
                <w:sz w:val="16"/>
                <w:szCs w:val="16"/>
              </w:rPr>
              <w:lastRenderedPageBreak/>
              <w:t>with technical RMM and PPE as touching of contaminate surfaces</w:t>
            </w:r>
          </w:p>
        </w:tc>
        <w:tc>
          <w:tcPr>
            <w:tcW w:w="3765" w:type="dxa"/>
            <w:gridSpan w:val="2"/>
            <w:tcBorders>
              <w:top w:val="single" w:sz="4" w:space="0" w:color="auto"/>
              <w:left w:val="single" w:sz="4" w:space="0" w:color="auto"/>
              <w:bottom w:val="single" w:sz="4" w:space="0" w:color="auto"/>
              <w:right w:val="single" w:sz="4" w:space="0" w:color="auto"/>
            </w:tcBorders>
          </w:tcPr>
          <w:p w14:paraId="6B087630" w14:textId="77777777" w:rsidR="00EE6487" w:rsidRDefault="00EE6487">
            <w:pPr>
              <w:pStyle w:val="Paragraphedeliste"/>
              <w:ind w:left="0"/>
              <w:jc w:val="both"/>
              <w:rPr>
                <w:rFonts w:cs="Arial"/>
                <w:iCs/>
                <w:sz w:val="16"/>
                <w:szCs w:val="16"/>
                <w:lang w:val="en-US"/>
              </w:rPr>
            </w:pPr>
            <w:r>
              <w:rPr>
                <w:rFonts w:cs="Arial"/>
                <w:iCs/>
                <w:sz w:val="16"/>
                <w:szCs w:val="16"/>
                <w:lang w:val="en-US"/>
              </w:rPr>
              <w:lastRenderedPageBreak/>
              <w:t>Considering that the product will be applied by a professional, RMM must be applied:</w:t>
            </w:r>
          </w:p>
          <w:p w14:paraId="3EAB0F91" w14:textId="77777777" w:rsidR="00EE6487" w:rsidRDefault="00EE6487">
            <w:pPr>
              <w:pStyle w:val="Paragraphedeliste"/>
              <w:ind w:left="0"/>
              <w:jc w:val="both"/>
              <w:rPr>
                <w:rFonts w:cs="Arial"/>
                <w:iCs/>
                <w:sz w:val="16"/>
                <w:szCs w:val="16"/>
                <w:lang w:val="en-US"/>
              </w:rPr>
            </w:pPr>
          </w:p>
          <w:p w14:paraId="4380F887"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splashes and spills</w:t>
            </w:r>
          </w:p>
          <w:p w14:paraId="45CB3E7D"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manual phases</w:t>
            </w:r>
          </w:p>
          <w:p w14:paraId="21292D62" w14:textId="77777777" w:rsidR="00EE6487" w:rsidRDefault="00EE6487">
            <w:pPr>
              <w:jc w:val="both"/>
              <w:rPr>
                <w:rFonts w:cs="Arial"/>
                <w:iCs/>
                <w:sz w:val="16"/>
                <w:szCs w:val="16"/>
                <w:lang w:val="en-US"/>
              </w:rPr>
            </w:pPr>
          </w:p>
          <w:p w14:paraId="43BED8A0"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0B894BAB" w14:textId="77777777" w:rsidR="00EE6487" w:rsidRDefault="00EE6487">
            <w:pPr>
              <w:jc w:val="both"/>
              <w:rPr>
                <w:rFonts w:cs="Arial"/>
                <w:iCs/>
                <w:sz w:val="16"/>
                <w:szCs w:val="16"/>
                <w:lang w:val="en-US"/>
              </w:rPr>
            </w:pPr>
          </w:p>
          <w:p w14:paraId="2D2894EC"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08E5E540"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76986E9C"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50D856E0" w14:textId="77777777" w:rsidR="00EE6487" w:rsidRDefault="00EE6487">
            <w:pPr>
              <w:rPr>
                <w:lang w:eastAsia="en-US"/>
              </w:rPr>
            </w:pPr>
          </w:p>
        </w:tc>
      </w:tr>
      <w:tr w:rsidR="00EE6487" w14:paraId="772C57DD"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hideMark/>
          </w:tcPr>
          <w:p w14:paraId="38F7029F" w14:textId="77777777" w:rsidR="00EE6487" w:rsidRDefault="00EE6487">
            <w:pPr>
              <w:pStyle w:val="Paragraphedeliste"/>
              <w:ind w:left="0"/>
              <w:jc w:val="both"/>
              <w:rPr>
                <w:rFonts w:cs="Arial"/>
                <w:b/>
                <w:iCs/>
                <w:sz w:val="16"/>
                <w:szCs w:val="16"/>
                <w:lang w:val="en-US"/>
              </w:rPr>
            </w:pPr>
            <w:r>
              <w:rPr>
                <w:rFonts w:cs="Arial"/>
                <w:b/>
                <w:iCs/>
                <w:sz w:val="18"/>
                <w:szCs w:val="16"/>
                <w:lang w:val="en-US"/>
              </w:rPr>
              <w:t>After dilution</w:t>
            </w:r>
          </w:p>
        </w:tc>
      </w:tr>
      <w:tr w:rsidR="00EE6487" w14:paraId="2AEAD53B"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7B33ABC6" w14:textId="77777777" w:rsidR="00EE6487" w:rsidRDefault="00EE6487">
            <w:pPr>
              <w:tabs>
                <w:tab w:val="center" w:pos="610"/>
              </w:tabs>
              <w:rPr>
                <w:sz w:val="16"/>
                <w:szCs w:val="16"/>
              </w:rPr>
            </w:pPr>
            <w:r>
              <w:rPr>
                <w:sz w:val="16"/>
                <w:szCs w:val="16"/>
              </w:rPr>
              <w:t>Low</w:t>
            </w:r>
          </w:p>
        </w:tc>
        <w:tc>
          <w:tcPr>
            <w:tcW w:w="992" w:type="dxa"/>
            <w:tcBorders>
              <w:top w:val="single" w:sz="4" w:space="0" w:color="auto"/>
              <w:left w:val="single" w:sz="4" w:space="0" w:color="auto"/>
              <w:bottom w:val="single" w:sz="4" w:space="0" w:color="auto"/>
              <w:right w:val="single" w:sz="4" w:space="0" w:color="auto"/>
            </w:tcBorders>
          </w:tcPr>
          <w:p w14:paraId="0851B9C1"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424FC71A" w14:textId="77777777" w:rsidR="00EE6487" w:rsidRDefault="00EE6487">
            <w:pPr>
              <w:rPr>
                <w:rFonts w:cs="Arial"/>
                <w:iCs/>
                <w:spacing w:val="1"/>
                <w:sz w:val="16"/>
                <w:szCs w:val="16"/>
                <w:lang w:val="fr-FR" w:eastAsia="fr-FR"/>
              </w:rPr>
            </w:pPr>
          </w:p>
          <w:p w14:paraId="09960DCF" w14:textId="77777777" w:rsidR="00EE6487" w:rsidRDefault="00EE6487">
            <w:pPr>
              <w:rPr>
                <w:rFonts w:cs="Arial"/>
                <w:iCs/>
                <w:spacing w:val="1"/>
                <w:sz w:val="16"/>
                <w:szCs w:val="16"/>
                <w:lang w:val="fr-FR" w:eastAsia="fr-FR"/>
              </w:rPr>
            </w:pPr>
            <w:r>
              <w:rPr>
                <w:rFonts w:cs="Arial"/>
                <w:iCs/>
                <w:sz w:val="16"/>
                <w:lang w:val="fr-FR"/>
              </w:rPr>
              <w:t>Eye Irrit.2, H319</w:t>
            </w:r>
          </w:p>
          <w:p w14:paraId="5C9C7E1D" w14:textId="77777777" w:rsidR="00EE6487" w:rsidRDefault="00EE6487">
            <w:pPr>
              <w:rPr>
                <w:rFonts w:cs="Arial"/>
                <w:iCs/>
                <w:spacing w:val="1"/>
                <w:sz w:val="16"/>
                <w:szCs w:val="16"/>
                <w:lang w:val="fr-FR" w:eastAsia="fr-FR"/>
              </w:rPr>
            </w:pPr>
          </w:p>
          <w:p w14:paraId="7A9EF60C" w14:textId="77777777" w:rsidR="00EE6487" w:rsidRPr="00E91F85" w:rsidRDefault="00EE6487">
            <w:pPr>
              <w:rPr>
                <w:rFonts w:cs="Arial"/>
                <w:iCs/>
                <w:spacing w:val="1"/>
                <w:sz w:val="16"/>
                <w:szCs w:val="16"/>
                <w:lang w:val="fr-FR" w:eastAsia="fr-FR"/>
              </w:rPr>
            </w:pPr>
          </w:p>
        </w:tc>
        <w:tc>
          <w:tcPr>
            <w:tcW w:w="850" w:type="dxa"/>
            <w:tcBorders>
              <w:top w:val="single" w:sz="4" w:space="0" w:color="auto"/>
              <w:left w:val="single" w:sz="4" w:space="0" w:color="auto"/>
              <w:bottom w:val="single" w:sz="4" w:space="0" w:color="auto"/>
              <w:right w:val="single" w:sz="4" w:space="0" w:color="auto"/>
            </w:tcBorders>
            <w:hideMark/>
          </w:tcPr>
          <w:p w14:paraId="3F52308E"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F1D9DB6"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3E383F0F" w14:textId="77777777" w:rsidR="00EE6487" w:rsidRDefault="00EE6487">
            <w:pPr>
              <w:rPr>
                <w:sz w:val="16"/>
                <w:szCs w:val="16"/>
              </w:rPr>
            </w:pPr>
            <w:r>
              <w:rPr>
                <w:sz w:val="16"/>
                <w:szCs w:val="16"/>
              </w:rPr>
              <w:t>Professionals</w:t>
            </w:r>
          </w:p>
          <w:p w14:paraId="0ED80A87" w14:textId="77777777" w:rsidR="00EE6487" w:rsidRDefault="00EE6487">
            <w:pPr>
              <w:rPr>
                <w:sz w:val="16"/>
                <w:szCs w:val="16"/>
              </w:rPr>
            </w:pPr>
          </w:p>
          <w:p w14:paraId="11189BFC" w14:textId="77777777" w:rsidR="00EE6487" w:rsidRDefault="00EE6487">
            <w:pPr>
              <w:rPr>
                <w:sz w:val="16"/>
                <w:szCs w:val="16"/>
              </w:rPr>
            </w:pPr>
          </w:p>
          <w:p w14:paraId="7824DC33" w14:textId="77777777" w:rsidR="00EE6487" w:rsidRDefault="00EE6487">
            <w:pPr>
              <w:rPr>
                <w:sz w:val="16"/>
                <w:szCs w:val="16"/>
              </w:rPr>
            </w:pPr>
          </w:p>
          <w:p w14:paraId="39207F92"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CAE55F" w14:textId="77777777" w:rsidR="00EE6487" w:rsidRDefault="00EE6487">
            <w:pPr>
              <w:rPr>
                <w:sz w:val="16"/>
                <w:szCs w:val="16"/>
              </w:rPr>
            </w:pPr>
            <w:r>
              <w:rPr>
                <w:sz w:val="16"/>
                <w:szCs w:val="16"/>
              </w:rPr>
              <w:t>Spraying on hard surfaces</w:t>
            </w:r>
          </w:p>
          <w:p w14:paraId="38CE457A" w14:textId="77777777" w:rsidR="00EE6487" w:rsidRDefault="00EE6487">
            <w:pPr>
              <w:rPr>
                <w:sz w:val="16"/>
                <w:szCs w:val="16"/>
              </w:rPr>
            </w:pPr>
          </w:p>
          <w:p w14:paraId="5C4C3C99" w14:textId="77777777" w:rsidR="00EE6487" w:rsidRDefault="00EE6487">
            <w:pPr>
              <w:rPr>
                <w:sz w:val="16"/>
                <w:szCs w:val="16"/>
              </w:rPr>
            </w:pPr>
            <w:r>
              <w:rPr>
                <w:sz w:val="16"/>
                <w:szCs w:val="16"/>
              </w:rPr>
              <w:t>Cleaning of spray equipment</w:t>
            </w:r>
          </w:p>
          <w:p w14:paraId="73BDAD45" w14:textId="77777777" w:rsidR="00EE6487" w:rsidRDefault="00EE6487">
            <w:pPr>
              <w:rPr>
                <w:sz w:val="16"/>
                <w:szCs w:val="16"/>
              </w:rPr>
            </w:pPr>
          </w:p>
          <w:p w14:paraId="4EAD1B4A" w14:textId="77777777" w:rsidR="00EE6487" w:rsidRDefault="00EE6487">
            <w:pPr>
              <w:rPr>
                <w:sz w:val="16"/>
                <w:szCs w:val="16"/>
              </w:rPr>
            </w:pPr>
            <w:r>
              <w:rPr>
                <w:sz w:val="16"/>
                <w:szCs w:val="16"/>
              </w:rPr>
              <w:t xml:space="preserve">Wiping on hard surfaces </w:t>
            </w:r>
          </w:p>
          <w:p w14:paraId="61FCBD06" w14:textId="77777777" w:rsidR="00EE6487" w:rsidRDefault="00EE6487">
            <w:pPr>
              <w:rPr>
                <w:sz w:val="16"/>
                <w:szCs w:val="16"/>
              </w:rPr>
            </w:pPr>
          </w:p>
          <w:p w14:paraId="37EC7289" w14:textId="77777777" w:rsidR="00EE6487" w:rsidRDefault="00EE6487">
            <w:pPr>
              <w:rPr>
                <w:sz w:val="16"/>
                <w:szCs w:val="16"/>
              </w:rPr>
            </w:pPr>
            <w:r>
              <w:rPr>
                <w:sz w:val="16"/>
                <w:szCs w:val="16"/>
              </w:rPr>
              <w:t xml:space="preserve">Brushing </w:t>
            </w:r>
          </w:p>
          <w:p w14:paraId="04F2C611" w14:textId="77777777" w:rsidR="00EE6487" w:rsidRDefault="00EE6487">
            <w:pPr>
              <w:rPr>
                <w:sz w:val="16"/>
                <w:szCs w:val="16"/>
              </w:rPr>
            </w:pPr>
          </w:p>
          <w:p w14:paraId="70A53AE9" w14:textId="77777777" w:rsidR="00EE6487" w:rsidRDefault="00EE6487">
            <w:pPr>
              <w:rPr>
                <w:sz w:val="16"/>
                <w:szCs w:val="16"/>
              </w:rPr>
            </w:pPr>
            <w:r>
              <w:rPr>
                <w:sz w:val="16"/>
                <w:szCs w:val="16"/>
              </w:rPr>
              <w:t>Scrubbing</w:t>
            </w:r>
          </w:p>
          <w:p w14:paraId="0DD1FA74" w14:textId="77777777" w:rsidR="00EE6487" w:rsidRDefault="00EE6487">
            <w:pPr>
              <w:rPr>
                <w:sz w:val="16"/>
                <w:szCs w:val="16"/>
              </w:rPr>
            </w:pPr>
          </w:p>
          <w:p w14:paraId="4B81E6B8" w14:textId="77777777" w:rsidR="00EE6487" w:rsidRDefault="00EE6487">
            <w:pPr>
              <w:rPr>
                <w:sz w:val="16"/>
                <w:szCs w:val="16"/>
              </w:rPr>
            </w:pPr>
            <w:r>
              <w:rPr>
                <w:sz w:val="16"/>
                <w:szCs w:val="16"/>
              </w:rPr>
              <w:t>Mopping</w:t>
            </w:r>
          </w:p>
          <w:p w14:paraId="517CEB9F" w14:textId="77777777" w:rsidR="00EE6487" w:rsidRDefault="00EE6487">
            <w:pPr>
              <w:rPr>
                <w:sz w:val="16"/>
                <w:szCs w:val="16"/>
              </w:rPr>
            </w:pPr>
          </w:p>
          <w:p w14:paraId="4068173E" w14:textId="77777777" w:rsidR="00EE6487" w:rsidRDefault="00EE6487">
            <w:pPr>
              <w:rPr>
                <w:sz w:val="16"/>
                <w:szCs w:val="16"/>
              </w:rPr>
            </w:pPr>
            <w:r>
              <w:rPr>
                <w:sz w:val="16"/>
                <w:szCs w:val="16"/>
              </w:rPr>
              <w:t>Cleaning of toilet bowls (spraying + brushing)</w:t>
            </w:r>
          </w:p>
          <w:p w14:paraId="74506F40" w14:textId="77777777" w:rsidR="00EE6487" w:rsidRDefault="00EE6487">
            <w:pPr>
              <w:rPr>
                <w:sz w:val="16"/>
                <w:szCs w:val="16"/>
              </w:rPr>
            </w:pPr>
          </w:p>
          <w:p w14:paraId="4CC8E043" w14:textId="77777777" w:rsidR="00EE6487" w:rsidRDefault="00EE6487">
            <w:pPr>
              <w:rPr>
                <w:sz w:val="16"/>
                <w:szCs w:val="16"/>
              </w:rPr>
            </w:pPr>
          </w:p>
          <w:p w14:paraId="5150477A" w14:textId="77777777" w:rsidR="00EE6487" w:rsidRDefault="00EE6487">
            <w:pPr>
              <w:rPr>
                <w:sz w:val="16"/>
                <w:szCs w:val="16"/>
              </w:rPr>
            </w:pPr>
          </w:p>
          <w:p w14:paraId="0FD2E4B2" w14:textId="77777777" w:rsidR="00EE6487" w:rsidRDefault="00EE6487">
            <w:pPr>
              <w:rPr>
                <w:sz w:val="16"/>
                <w:szCs w:val="16"/>
              </w:rPr>
            </w:pPr>
          </w:p>
          <w:p w14:paraId="289C3E2F" w14:textId="77777777" w:rsidR="00EE6487" w:rsidRDefault="00EE6487">
            <w:pPr>
              <w:rPr>
                <w:sz w:val="16"/>
                <w:szCs w:val="16"/>
              </w:rPr>
            </w:pPr>
          </w:p>
          <w:p w14:paraId="0D0A496C" w14:textId="77777777" w:rsidR="00EE6487" w:rsidRDefault="00EE6487">
            <w:pPr>
              <w:rPr>
                <w:sz w:val="16"/>
                <w:szCs w:val="16"/>
              </w:rPr>
            </w:pPr>
          </w:p>
          <w:p w14:paraId="5EAF7E7D" w14:textId="77777777" w:rsidR="00EE6487" w:rsidRDefault="00EE648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945B7A" w14:textId="77777777" w:rsidR="00EE6487" w:rsidRDefault="00EE6487">
            <w:pPr>
              <w:rPr>
                <w:sz w:val="16"/>
                <w:szCs w:val="16"/>
              </w:rPr>
            </w:pPr>
            <w:r>
              <w:rPr>
                <w:sz w:val="16"/>
                <w:szCs w:val="16"/>
              </w:rPr>
              <w:t>Dermal</w:t>
            </w:r>
          </w:p>
          <w:p w14:paraId="0F86178A" w14:textId="77777777" w:rsidR="00EE6487" w:rsidRDefault="00EE6487">
            <w:pPr>
              <w:rPr>
                <w:sz w:val="16"/>
                <w:szCs w:val="16"/>
              </w:rPr>
            </w:pPr>
          </w:p>
          <w:p w14:paraId="2641AFCC"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4101F475"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030C140F" w14:textId="77777777" w:rsidR="00EE6487" w:rsidRDefault="00EE6487">
            <w:pPr>
              <w:rPr>
                <w:sz w:val="16"/>
                <w:szCs w:val="16"/>
              </w:rPr>
            </w:pPr>
            <w:r>
              <w:rPr>
                <w:sz w:val="16"/>
                <w:szCs w:val="16"/>
              </w:rPr>
              <w:t>Controlled exposure,</w:t>
            </w:r>
          </w:p>
          <w:p w14:paraId="016A37FA" w14:textId="77777777" w:rsidR="00EE6487" w:rsidRDefault="00EE6487">
            <w:pPr>
              <w:rPr>
                <w:sz w:val="16"/>
                <w:szCs w:val="16"/>
              </w:rPr>
            </w:pPr>
          </w:p>
          <w:p w14:paraId="62F231F6" w14:textId="77777777" w:rsidR="00EE6487" w:rsidRDefault="00EE6487">
            <w:pPr>
              <w:rPr>
                <w:sz w:val="16"/>
                <w:szCs w:val="16"/>
              </w:rPr>
            </w:pPr>
            <w:r>
              <w:rPr>
                <w:sz w:val="16"/>
                <w:szCs w:val="16"/>
              </w:rPr>
              <w:t>e.g respiratory exposure below or similar to spray application with high ventilation or technical RMM and PPE</w:t>
            </w:r>
          </w:p>
          <w:p w14:paraId="0073876D" w14:textId="77777777" w:rsidR="00EE6487" w:rsidRDefault="00EE6487">
            <w:pPr>
              <w:rPr>
                <w:sz w:val="16"/>
                <w:szCs w:val="16"/>
              </w:rPr>
            </w:pPr>
          </w:p>
          <w:p w14:paraId="6B1F17E4"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22E487FB"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34417AD5" w14:textId="77777777" w:rsidR="00EE6487" w:rsidRDefault="00EE6487">
            <w:pPr>
              <w:pStyle w:val="Paragraphedeliste"/>
              <w:ind w:left="0"/>
              <w:jc w:val="both"/>
              <w:rPr>
                <w:rFonts w:cs="Arial"/>
                <w:iCs/>
                <w:sz w:val="16"/>
                <w:szCs w:val="16"/>
                <w:lang w:val="en-US"/>
              </w:rPr>
            </w:pPr>
          </w:p>
          <w:p w14:paraId="4F11FE44"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00545C16" w14:textId="4D36C0E3"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 xml:space="preserve">Avoidance of contact with freshly </w:t>
            </w:r>
            <w:r w:rsidR="00135833">
              <w:rPr>
                <w:rFonts w:cs="Arial"/>
                <w:iCs/>
                <w:sz w:val="16"/>
                <w:szCs w:val="16"/>
                <w:lang w:val="en-US"/>
              </w:rPr>
              <w:t>treated</w:t>
            </w:r>
            <w:r>
              <w:rPr>
                <w:rFonts w:cs="Arial"/>
                <w:iCs/>
                <w:sz w:val="16"/>
                <w:szCs w:val="16"/>
                <w:lang w:val="en-US"/>
              </w:rPr>
              <w:t xml:space="preserve"> surfaces (for bystanders)</w:t>
            </w:r>
          </w:p>
          <w:p w14:paraId="3F5D6241" w14:textId="77777777" w:rsidR="00EE6487" w:rsidRDefault="00EE6487">
            <w:pPr>
              <w:jc w:val="both"/>
              <w:rPr>
                <w:rFonts w:cs="Arial"/>
                <w:iCs/>
                <w:sz w:val="16"/>
                <w:szCs w:val="16"/>
                <w:lang w:val="en-US"/>
              </w:rPr>
            </w:pPr>
          </w:p>
          <w:p w14:paraId="7C8F1C2C"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1938B3EE" w14:textId="77777777" w:rsidR="00EE6487" w:rsidRDefault="00EE6487">
            <w:pPr>
              <w:jc w:val="both"/>
              <w:rPr>
                <w:rFonts w:cs="Arial"/>
                <w:iCs/>
                <w:sz w:val="16"/>
                <w:szCs w:val="16"/>
                <w:lang w:val="en-US"/>
              </w:rPr>
            </w:pPr>
          </w:p>
          <w:p w14:paraId="2F5B7353"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62640407"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31FB685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14DDDB39" w14:textId="77777777" w:rsidR="00EE6487" w:rsidRDefault="00EE6487">
            <w:pPr>
              <w:jc w:val="both"/>
              <w:rPr>
                <w:rFonts w:cs="Arial"/>
                <w:iCs/>
                <w:sz w:val="16"/>
                <w:szCs w:val="16"/>
                <w:lang w:val="en-US"/>
              </w:rPr>
            </w:pPr>
          </w:p>
          <w:p w14:paraId="1E2FCD7C" w14:textId="77777777" w:rsidR="00EE6487" w:rsidRDefault="00EE6487">
            <w:pPr>
              <w:pStyle w:val="Paragraphedeliste"/>
              <w:ind w:left="0"/>
              <w:jc w:val="both"/>
              <w:rPr>
                <w:rFonts w:cs="Arial"/>
                <w:iCs/>
                <w:sz w:val="16"/>
                <w:szCs w:val="16"/>
                <w:lang w:val="en-US"/>
              </w:rPr>
            </w:pPr>
          </w:p>
        </w:tc>
      </w:tr>
      <w:tr w:rsidR="00EE6487" w:rsidRPr="00EE6487" w14:paraId="24573655"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030158" w14:textId="77777777" w:rsidR="00EE6487" w:rsidRDefault="00EE6487">
            <w:pPr>
              <w:pStyle w:val="Paragraphedeliste"/>
              <w:ind w:left="0"/>
              <w:jc w:val="both"/>
              <w:rPr>
                <w:rFonts w:cs="Arial"/>
                <w:iCs/>
                <w:sz w:val="16"/>
                <w:szCs w:val="16"/>
                <w:lang w:val="en-US"/>
              </w:rPr>
            </w:pPr>
            <w:r>
              <w:rPr>
                <w:rFonts w:cs="Arial"/>
                <w:b/>
                <w:iCs/>
                <w:sz w:val="18"/>
                <w:szCs w:val="18"/>
                <w:lang w:val="en-US"/>
              </w:rPr>
              <w:t xml:space="preserve">Meta SPC 7 – Application by spraying/wiping/brushing/scrubbing/mopping - </w:t>
            </w:r>
            <w:r>
              <w:rPr>
                <w:rFonts w:cs="Arial"/>
                <w:iCs/>
                <w:sz w:val="18"/>
                <w:szCs w:val="18"/>
                <w:lang w:val="en-US"/>
              </w:rPr>
              <w:t>Uses #1-2-3-4</w:t>
            </w:r>
          </w:p>
        </w:tc>
      </w:tr>
      <w:tr w:rsidR="00EE6487" w14:paraId="70D67924"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C188C" w14:textId="77777777" w:rsidR="00EE6487" w:rsidRDefault="00EE6487">
            <w:pPr>
              <w:pStyle w:val="Paragraphedeliste"/>
              <w:ind w:left="0"/>
              <w:jc w:val="both"/>
              <w:rPr>
                <w:rFonts w:cs="Arial"/>
                <w:b/>
                <w:iCs/>
                <w:sz w:val="18"/>
                <w:szCs w:val="18"/>
                <w:lang w:val="en-US"/>
              </w:rPr>
            </w:pPr>
            <w:r>
              <w:rPr>
                <w:rFonts w:cs="Arial"/>
                <w:b/>
                <w:iCs/>
                <w:sz w:val="18"/>
                <w:szCs w:val="18"/>
                <w:lang w:val="en-US"/>
              </w:rPr>
              <w:t>Concentrate</w:t>
            </w:r>
          </w:p>
        </w:tc>
      </w:tr>
      <w:tr w:rsidR="00EE6487" w14:paraId="240C9716"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6EF24273" w14:textId="77777777" w:rsidR="00EE6487" w:rsidRDefault="00EE6487">
            <w:pPr>
              <w:tabs>
                <w:tab w:val="center" w:pos="610"/>
              </w:tabs>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tcPr>
          <w:p w14:paraId="5EEC3707" w14:textId="77777777" w:rsidR="00EE6487" w:rsidRDefault="00EE6487">
            <w:pPr>
              <w:rPr>
                <w:rFonts w:cs="Arial"/>
                <w:iCs/>
                <w:spacing w:val="1"/>
                <w:sz w:val="16"/>
                <w:szCs w:val="16"/>
                <w:lang w:eastAsia="fr-FR"/>
              </w:rPr>
            </w:pPr>
            <w:r>
              <w:rPr>
                <w:rFonts w:cs="Arial"/>
                <w:iCs/>
                <w:spacing w:val="1"/>
                <w:sz w:val="16"/>
                <w:szCs w:val="16"/>
                <w:lang w:eastAsia="fr-FR"/>
              </w:rPr>
              <w:t>Skin Corr. 1C, H314</w:t>
            </w:r>
          </w:p>
          <w:p w14:paraId="2707EE1F" w14:textId="77777777" w:rsidR="00EE6487" w:rsidRDefault="00EE6487">
            <w:pPr>
              <w:rPr>
                <w:rFonts w:cs="Arial"/>
                <w:iCs/>
                <w:sz w:val="16"/>
                <w:lang w:val="en-US"/>
              </w:rPr>
            </w:pPr>
          </w:p>
          <w:p w14:paraId="7646E849" w14:textId="77777777" w:rsidR="00EE6487" w:rsidRDefault="00EE6487">
            <w:pPr>
              <w:rPr>
                <w:rFonts w:cs="Arial"/>
                <w:iCs/>
                <w:spacing w:val="1"/>
                <w:sz w:val="16"/>
                <w:szCs w:val="16"/>
                <w:lang w:eastAsia="fr-FR"/>
              </w:rPr>
            </w:pPr>
            <w:r>
              <w:rPr>
                <w:rFonts w:cs="Arial"/>
                <w:iCs/>
                <w:sz w:val="16"/>
                <w:lang w:val="en-US"/>
              </w:rPr>
              <w:lastRenderedPageBreak/>
              <w:t>Eye Dam.1, H318</w:t>
            </w:r>
          </w:p>
        </w:tc>
        <w:tc>
          <w:tcPr>
            <w:tcW w:w="850" w:type="dxa"/>
            <w:tcBorders>
              <w:top w:val="single" w:sz="4" w:space="0" w:color="auto"/>
              <w:left w:val="single" w:sz="4" w:space="0" w:color="auto"/>
              <w:bottom w:val="single" w:sz="4" w:space="0" w:color="auto"/>
              <w:right w:val="single" w:sz="4" w:space="0" w:color="auto"/>
            </w:tcBorders>
            <w:hideMark/>
          </w:tcPr>
          <w:p w14:paraId="194A2E3C" w14:textId="77777777" w:rsidR="00EE6487" w:rsidRDefault="00EE6487">
            <w:pPr>
              <w:rPr>
                <w:sz w:val="16"/>
                <w:szCs w:val="16"/>
              </w:rPr>
            </w:pPr>
            <w:r>
              <w:rPr>
                <w:sz w:val="16"/>
                <w:szCs w:val="16"/>
              </w:rPr>
              <w:lastRenderedPageBreak/>
              <w:t>-</w:t>
            </w:r>
          </w:p>
        </w:tc>
        <w:tc>
          <w:tcPr>
            <w:tcW w:w="709" w:type="dxa"/>
            <w:tcBorders>
              <w:top w:val="single" w:sz="4" w:space="0" w:color="auto"/>
              <w:left w:val="single" w:sz="4" w:space="0" w:color="auto"/>
              <w:bottom w:val="single" w:sz="4" w:space="0" w:color="auto"/>
              <w:right w:val="single" w:sz="4" w:space="0" w:color="auto"/>
            </w:tcBorders>
          </w:tcPr>
          <w:p w14:paraId="4DDC750F" w14:textId="77777777" w:rsidR="00EE6487" w:rsidRDefault="00EE6487">
            <w:pPr>
              <w:rPr>
                <w:sz w:val="16"/>
                <w:szCs w:val="16"/>
              </w:rPr>
            </w:pPr>
            <w:r>
              <w:rPr>
                <w:sz w:val="16"/>
                <w:szCs w:val="16"/>
              </w:rPr>
              <w:t>2-4</w:t>
            </w:r>
          </w:p>
          <w:p w14:paraId="1D83A24F"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F66CB7" w14:textId="77777777" w:rsidR="00EE6487" w:rsidRDefault="00EE6487">
            <w:pPr>
              <w:rPr>
                <w:sz w:val="16"/>
                <w:szCs w:val="16"/>
              </w:rPr>
            </w:pPr>
            <w:r>
              <w:rPr>
                <w:sz w:val="16"/>
                <w:szCs w:val="16"/>
              </w:rPr>
              <w:t>Professionals</w:t>
            </w:r>
          </w:p>
          <w:p w14:paraId="51B59547"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2C94BE" w14:textId="77777777" w:rsidR="00EE6487" w:rsidRDefault="00EE6487">
            <w:pPr>
              <w:rPr>
                <w:sz w:val="16"/>
              </w:rPr>
            </w:pPr>
            <w:r>
              <w:rPr>
                <w:sz w:val="16"/>
              </w:rPr>
              <w:t>Mixing and Loading</w:t>
            </w:r>
          </w:p>
          <w:p w14:paraId="4F530F98" w14:textId="77777777" w:rsidR="00EE6487" w:rsidRDefault="00EE6487">
            <w:pPr>
              <w:rPr>
                <w:sz w:val="16"/>
              </w:rPr>
            </w:pPr>
          </w:p>
          <w:p w14:paraId="408A1A80" w14:textId="77777777" w:rsidR="00EE6487" w:rsidRDefault="00EE648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278A01" w14:textId="77777777" w:rsidR="00EE6487" w:rsidRDefault="00EE6487">
            <w:pPr>
              <w:rPr>
                <w:sz w:val="16"/>
                <w:szCs w:val="16"/>
              </w:rPr>
            </w:pPr>
            <w:r>
              <w:rPr>
                <w:sz w:val="16"/>
                <w:szCs w:val="16"/>
              </w:rPr>
              <w:t>Dermal</w:t>
            </w:r>
          </w:p>
          <w:p w14:paraId="40E5F240" w14:textId="77777777" w:rsidR="00EE6487" w:rsidRDefault="00EE6487">
            <w:pPr>
              <w:rPr>
                <w:sz w:val="16"/>
                <w:szCs w:val="16"/>
              </w:rPr>
            </w:pPr>
          </w:p>
          <w:p w14:paraId="508B4955" w14:textId="77777777" w:rsidR="00EE6487" w:rsidRDefault="00EE6487">
            <w:pPr>
              <w:rPr>
                <w:sz w:val="16"/>
                <w:szCs w:val="16"/>
              </w:rPr>
            </w:pPr>
            <w:r>
              <w:rPr>
                <w:sz w:val="16"/>
                <w:szCs w:val="16"/>
              </w:rPr>
              <w:t>Ocular</w:t>
            </w:r>
          </w:p>
          <w:p w14:paraId="0A8911AE"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477804D8" w14:textId="77777777" w:rsidR="00EE6487" w:rsidRDefault="00EE6487">
            <w:pPr>
              <w:rPr>
                <w:sz w:val="16"/>
                <w:szCs w:val="16"/>
              </w:rPr>
            </w:pPr>
            <w:r>
              <w:rPr>
                <w:sz w:val="16"/>
                <w:szCs w:val="16"/>
              </w:rPr>
              <w:t>Equal to or less than one once per week and equal to or less than few minutes per day</w:t>
            </w:r>
          </w:p>
        </w:tc>
        <w:tc>
          <w:tcPr>
            <w:tcW w:w="1300" w:type="dxa"/>
            <w:tcBorders>
              <w:top w:val="single" w:sz="4" w:space="0" w:color="auto"/>
              <w:left w:val="single" w:sz="4" w:space="0" w:color="auto"/>
              <w:bottom w:val="single" w:sz="4" w:space="0" w:color="auto"/>
              <w:right w:val="single" w:sz="4" w:space="0" w:color="auto"/>
            </w:tcBorders>
            <w:hideMark/>
          </w:tcPr>
          <w:p w14:paraId="625EBAFE" w14:textId="77777777" w:rsidR="00EE6487" w:rsidRDefault="00EE6487">
            <w:pPr>
              <w:rPr>
                <w:sz w:val="16"/>
                <w:szCs w:val="16"/>
              </w:rPr>
            </w:pPr>
            <w:r>
              <w:rPr>
                <w:sz w:val="16"/>
                <w:szCs w:val="16"/>
              </w:rPr>
              <w:t>Pratically no exposure,</w:t>
            </w:r>
          </w:p>
          <w:p w14:paraId="67388B05" w14:textId="77777777" w:rsidR="00EE6487" w:rsidRDefault="00EE6487">
            <w:pPr>
              <w:rPr>
                <w:sz w:val="16"/>
                <w:szCs w:val="16"/>
              </w:rPr>
            </w:pPr>
            <w:r>
              <w:rPr>
                <w:sz w:val="16"/>
                <w:szCs w:val="16"/>
              </w:rPr>
              <w:t xml:space="preserve">e.g use of toilet cleaners </w:t>
            </w:r>
          </w:p>
        </w:tc>
        <w:tc>
          <w:tcPr>
            <w:tcW w:w="3765" w:type="dxa"/>
            <w:gridSpan w:val="2"/>
            <w:tcBorders>
              <w:top w:val="single" w:sz="4" w:space="0" w:color="auto"/>
              <w:left w:val="single" w:sz="4" w:space="0" w:color="auto"/>
              <w:bottom w:val="single" w:sz="4" w:space="0" w:color="auto"/>
              <w:right w:val="single" w:sz="4" w:space="0" w:color="auto"/>
            </w:tcBorders>
          </w:tcPr>
          <w:p w14:paraId="7F3A3C78"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782EB8E2" w14:textId="77777777" w:rsidR="00EE6487" w:rsidRDefault="00EE6487">
            <w:pPr>
              <w:pStyle w:val="Paragraphedeliste"/>
              <w:ind w:left="0"/>
              <w:jc w:val="both"/>
              <w:rPr>
                <w:rFonts w:cs="Arial"/>
                <w:iCs/>
                <w:sz w:val="16"/>
                <w:szCs w:val="16"/>
                <w:lang w:val="en-US"/>
              </w:rPr>
            </w:pPr>
          </w:p>
          <w:p w14:paraId="3377A885"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splashes and spills</w:t>
            </w:r>
          </w:p>
          <w:p w14:paraId="1088B7E2"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manual phases</w:t>
            </w:r>
          </w:p>
          <w:p w14:paraId="68030A1A" w14:textId="77777777" w:rsidR="00EE6487" w:rsidRDefault="00EE6487">
            <w:pPr>
              <w:jc w:val="both"/>
              <w:rPr>
                <w:rFonts w:cs="Arial"/>
                <w:iCs/>
                <w:sz w:val="16"/>
                <w:szCs w:val="16"/>
                <w:lang w:val="en-US"/>
              </w:rPr>
            </w:pPr>
          </w:p>
          <w:p w14:paraId="57A77FB4" w14:textId="77777777" w:rsidR="00EE6487" w:rsidRDefault="00EE6487">
            <w:pPr>
              <w:jc w:val="both"/>
              <w:rPr>
                <w:rFonts w:cs="Arial"/>
                <w:iCs/>
                <w:sz w:val="16"/>
                <w:szCs w:val="16"/>
                <w:lang w:val="en-US"/>
              </w:rPr>
            </w:pPr>
            <w:r>
              <w:rPr>
                <w:rFonts w:cs="Arial"/>
                <w:iCs/>
                <w:sz w:val="16"/>
                <w:szCs w:val="16"/>
                <w:lang w:val="en-US"/>
              </w:rPr>
              <w:lastRenderedPageBreak/>
              <w:t>The risk is acceptable considering the following PPE:</w:t>
            </w:r>
          </w:p>
          <w:p w14:paraId="4FDB0AAF" w14:textId="77777777" w:rsidR="00EE6487" w:rsidRDefault="00EE6487">
            <w:pPr>
              <w:jc w:val="both"/>
              <w:rPr>
                <w:rFonts w:cs="Arial"/>
                <w:iCs/>
                <w:sz w:val="16"/>
                <w:szCs w:val="16"/>
                <w:lang w:val="en-US"/>
              </w:rPr>
            </w:pPr>
          </w:p>
          <w:p w14:paraId="2135C3CD"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26A55C5A"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30D4AA1C"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698EBD99" w14:textId="77777777" w:rsidR="00EE6487" w:rsidRDefault="00EE6487">
            <w:pPr>
              <w:jc w:val="both"/>
              <w:rPr>
                <w:rFonts w:cs="Arial"/>
                <w:iCs/>
                <w:sz w:val="16"/>
                <w:szCs w:val="16"/>
                <w:lang w:val="en-US"/>
              </w:rPr>
            </w:pPr>
          </w:p>
        </w:tc>
      </w:tr>
      <w:tr w:rsidR="00EE6487" w14:paraId="1519FD41"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hideMark/>
          </w:tcPr>
          <w:p w14:paraId="120CEE2D" w14:textId="77777777" w:rsidR="00EE6487" w:rsidRDefault="00EE6487">
            <w:pPr>
              <w:pStyle w:val="Paragraphedeliste"/>
              <w:ind w:left="0"/>
              <w:jc w:val="both"/>
              <w:rPr>
                <w:rFonts w:cs="Arial"/>
                <w:b/>
                <w:iCs/>
                <w:sz w:val="16"/>
                <w:szCs w:val="16"/>
                <w:lang w:val="en-US"/>
              </w:rPr>
            </w:pPr>
            <w:r>
              <w:rPr>
                <w:rFonts w:cs="Arial"/>
                <w:b/>
                <w:iCs/>
                <w:sz w:val="18"/>
                <w:szCs w:val="16"/>
                <w:lang w:val="en-US"/>
              </w:rPr>
              <w:lastRenderedPageBreak/>
              <w:t>After dilution</w:t>
            </w:r>
          </w:p>
        </w:tc>
      </w:tr>
      <w:tr w:rsidR="00EE6487" w14:paraId="066F0085"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21157657" w14:textId="77777777" w:rsidR="00EE6487" w:rsidRDefault="00EE6487">
            <w:pPr>
              <w:tabs>
                <w:tab w:val="center" w:pos="610"/>
              </w:tabs>
              <w:rPr>
                <w:sz w:val="16"/>
                <w:szCs w:val="16"/>
              </w:rPr>
            </w:pPr>
            <w:r>
              <w:rPr>
                <w:sz w:val="16"/>
                <w:szCs w:val="16"/>
              </w:rPr>
              <w:t>Low</w:t>
            </w:r>
          </w:p>
        </w:tc>
        <w:tc>
          <w:tcPr>
            <w:tcW w:w="992" w:type="dxa"/>
            <w:tcBorders>
              <w:top w:val="single" w:sz="4" w:space="0" w:color="auto"/>
              <w:left w:val="single" w:sz="4" w:space="0" w:color="auto"/>
              <w:bottom w:val="single" w:sz="4" w:space="0" w:color="auto"/>
              <w:right w:val="single" w:sz="4" w:space="0" w:color="auto"/>
            </w:tcBorders>
          </w:tcPr>
          <w:p w14:paraId="4F69A545"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22F634B7" w14:textId="77777777" w:rsidR="00EE6487" w:rsidRDefault="00EE6487">
            <w:pPr>
              <w:rPr>
                <w:rFonts w:cs="Arial"/>
                <w:iCs/>
                <w:spacing w:val="1"/>
                <w:sz w:val="16"/>
                <w:szCs w:val="16"/>
                <w:lang w:val="fr-FR" w:eastAsia="fr-FR"/>
              </w:rPr>
            </w:pPr>
          </w:p>
          <w:p w14:paraId="5A51127E" w14:textId="77777777" w:rsidR="00EE6487" w:rsidRDefault="00EE6487">
            <w:pPr>
              <w:rPr>
                <w:rFonts w:cs="Arial"/>
                <w:iCs/>
                <w:spacing w:val="1"/>
                <w:sz w:val="16"/>
                <w:szCs w:val="16"/>
                <w:lang w:val="fr-FR" w:eastAsia="fr-FR"/>
              </w:rPr>
            </w:pPr>
            <w:r>
              <w:rPr>
                <w:rFonts w:cs="Arial"/>
                <w:iCs/>
                <w:sz w:val="16"/>
                <w:lang w:val="fr-FR"/>
              </w:rPr>
              <w:t>Eye Irrit.2, H319</w:t>
            </w:r>
          </w:p>
          <w:p w14:paraId="733F4695" w14:textId="77777777" w:rsidR="00EE6487" w:rsidRDefault="00EE6487">
            <w:pPr>
              <w:rPr>
                <w:rFonts w:cs="Arial"/>
                <w:iCs/>
                <w:spacing w:val="1"/>
                <w:sz w:val="16"/>
                <w:szCs w:val="16"/>
                <w:lang w:val="fr-FR" w:eastAsia="fr-FR"/>
              </w:rPr>
            </w:pPr>
          </w:p>
          <w:p w14:paraId="5D83C806" w14:textId="77777777" w:rsidR="00EE6487" w:rsidRDefault="00EE6487">
            <w:pPr>
              <w:rPr>
                <w:rFonts w:cs="Arial"/>
                <w:iCs/>
                <w:spacing w:val="1"/>
                <w:sz w:val="16"/>
                <w:szCs w:val="16"/>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239D7ECD"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6C16322C"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2A8FA890" w14:textId="77777777" w:rsidR="00EE6487" w:rsidRDefault="00EE6487">
            <w:pPr>
              <w:rPr>
                <w:sz w:val="16"/>
                <w:szCs w:val="16"/>
              </w:rPr>
            </w:pPr>
            <w:r>
              <w:rPr>
                <w:sz w:val="16"/>
                <w:szCs w:val="16"/>
              </w:rPr>
              <w:t>Professionals</w:t>
            </w:r>
          </w:p>
          <w:p w14:paraId="64426969" w14:textId="77777777" w:rsidR="00EE6487" w:rsidRDefault="00EE6487">
            <w:pPr>
              <w:rPr>
                <w:sz w:val="16"/>
                <w:szCs w:val="16"/>
              </w:rPr>
            </w:pPr>
          </w:p>
          <w:p w14:paraId="62D2DDD3" w14:textId="77777777" w:rsidR="00EE6487" w:rsidRDefault="00EE6487">
            <w:pPr>
              <w:rPr>
                <w:sz w:val="16"/>
                <w:szCs w:val="16"/>
              </w:rPr>
            </w:pPr>
          </w:p>
          <w:p w14:paraId="4E94CB15" w14:textId="77777777" w:rsidR="00EE6487" w:rsidRDefault="00EE6487">
            <w:pPr>
              <w:rPr>
                <w:sz w:val="16"/>
                <w:szCs w:val="16"/>
              </w:rPr>
            </w:pPr>
          </w:p>
          <w:p w14:paraId="3D3FBFE4"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1B170CF" w14:textId="77777777" w:rsidR="00EE6487" w:rsidRDefault="00EE6487">
            <w:pPr>
              <w:rPr>
                <w:sz w:val="16"/>
                <w:szCs w:val="16"/>
              </w:rPr>
            </w:pPr>
            <w:r>
              <w:rPr>
                <w:sz w:val="16"/>
                <w:szCs w:val="16"/>
              </w:rPr>
              <w:t xml:space="preserve">Spraying on hard surfaces </w:t>
            </w:r>
          </w:p>
          <w:p w14:paraId="1F418D04" w14:textId="77777777" w:rsidR="00EE6487" w:rsidRDefault="00EE6487">
            <w:pPr>
              <w:rPr>
                <w:sz w:val="16"/>
                <w:szCs w:val="16"/>
              </w:rPr>
            </w:pPr>
          </w:p>
          <w:p w14:paraId="30CBA7CC" w14:textId="77777777" w:rsidR="00EE6487" w:rsidRDefault="00EE6487">
            <w:pPr>
              <w:rPr>
                <w:sz w:val="16"/>
                <w:szCs w:val="16"/>
              </w:rPr>
            </w:pPr>
            <w:r>
              <w:rPr>
                <w:sz w:val="16"/>
                <w:szCs w:val="16"/>
              </w:rPr>
              <w:t xml:space="preserve">Cleaning of spray equipment </w:t>
            </w:r>
          </w:p>
          <w:p w14:paraId="0FF112AE" w14:textId="77777777" w:rsidR="00EE6487" w:rsidRDefault="00EE6487">
            <w:pPr>
              <w:rPr>
                <w:sz w:val="16"/>
                <w:szCs w:val="16"/>
              </w:rPr>
            </w:pPr>
          </w:p>
          <w:p w14:paraId="2E666152" w14:textId="77777777" w:rsidR="00EE6487" w:rsidRDefault="00EE6487">
            <w:pPr>
              <w:rPr>
                <w:sz w:val="16"/>
                <w:szCs w:val="16"/>
              </w:rPr>
            </w:pPr>
            <w:r>
              <w:rPr>
                <w:sz w:val="16"/>
                <w:szCs w:val="16"/>
              </w:rPr>
              <w:t xml:space="preserve">Wiping on hard surfaces </w:t>
            </w:r>
          </w:p>
          <w:p w14:paraId="28B064E7" w14:textId="77777777" w:rsidR="00EE6487" w:rsidRDefault="00EE6487">
            <w:pPr>
              <w:rPr>
                <w:sz w:val="16"/>
                <w:szCs w:val="16"/>
              </w:rPr>
            </w:pPr>
          </w:p>
          <w:p w14:paraId="121BAACB" w14:textId="77777777" w:rsidR="00EE6487" w:rsidRDefault="00EE6487">
            <w:pPr>
              <w:rPr>
                <w:sz w:val="16"/>
                <w:szCs w:val="16"/>
              </w:rPr>
            </w:pPr>
            <w:r>
              <w:rPr>
                <w:sz w:val="16"/>
                <w:szCs w:val="16"/>
              </w:rPr>
              <w:t xml:space="preserve">Brushing </w:t>
            </w:r>
          </w:p>
          <w:p w14:paraId="4A73DC0D" w14:textId="77777777" w:rsidR="00EE6487" w:rsidRDefault="00EE6487">
            <w:pPr>
              <w:rPr>
                <w:sz w:val="16"/>
                <w:szCs w:val="16"/>
              </w:rPr>
            </w:pPr>
          </w:p>
          <w:p w14:paraId="59CDC24D" w14:textId="77777777" w:rsidR="00EE6487" w:rsidRDefault="00EE6487">
            <w:pPr>
              <w:rPr>
                <w:sz w:val="16"/>
                <w:szCs w:val="16"/>
              </w:rPr>
            </w:pPr>
            <w:r>
              <w:rPr>
                <w:sz w:val="16"/>
                <w:szCs w:val="16"/>
              </w:rPr>
              <w:t>Scrubbing</w:t>
            </w:r>
          </w:p>
          <w:p w14:paraId="45A3ED2C" w14:textId="77777777" w:rsidR="00EE6487" w:rsidRDefault="00EE6487">
            <w:pPr>
              <w:rPr>
                <w:sz w:val="16"/>
                <w:szCs w:val="16"/>
              </w:rPr>
            </w:pPr>
          </w:p>
          <w:p w14:paraId="3CCE8BB9" w14:textId="77777777" w:rsidR="00EE6487" w:rsidRDefault="00EE6487">
            <w:pPr>
              <w:rPr>
                <w:sz w:val="16"/>
                <w:szCs w:val="16"/>
              </w:rPr>
            </w:pPr>
            <w:r>
              <w:rPr>
                <w:sz w:val="16"/>
                <w:szCs w:val="16"/>
              </w:rPr>
              <w:t>Mopping</w:t>
            </w:r>
          </w:p>
          <w:p w14:paraId="5AD310C5" w14:textId="77777777" w:rsidR="00EE6487" w:rsidRDefault="00EE6487">
            <w:pPr>
              <w:rPr>
                <w:sz w:val="16"/>
                <w:szCs w:val="16"/>
              </w:rPr>
            </w:pPr>
          </w:p>
          <w:p w14:paraId="6E374A3A" w14:textId="77777777" w:rsidR="00EE6487" w:rsidRDefault="00EE6487">
            <w:pPr>
              <w:rPr>
                <w:sz w:val="16"/>
                <w:szCs w:val="16"/>
              </w:rPr>
            </w:pPr>
            <w:r>
              <w:rPr>
                <w:sz w:val="16"/>
                <w:szCs w:val="16"/>
              </w:rPr>
              <w:t xml:space="preserve">Cleaning of toilet bowls </w:t>
            </w:r>
          </w:p>
          <w:p w14:paraId="5A278C27" w14:textId="77777777" w:rsidR="00EE6487" w:rsidRDefault="00EE6487">
            <w:pPr>
              <w:rPr>
                <w:sz w:val="16"/>
                <w:szCs w:val="16"/>
              </w:rPr>
            </w:pPr>
          </w:p>
          <w:p w14:paraId="3A38A263" w14:textId="77777777" w:rsidR="00EE6487" w:rsidRDefault="00EE6487">
            <w:pPr>
              <w:rPr>
                <w:sz w:val="16"/>
                <w:szCs w:val="16"/>
              </w:rPr>
            </w:pPr>
          </w:p>
          <w:p w14:paraId="29BA9139" w14:textId="77777777" w:rsidR="00EE6487" w:rsidRDefault="00EE6487">
            <w:pPr>
              <w:rPr>
                <w:sz w:val="16"/>
                <w:szCs w:val="16"/>
              </w:rPr>
            </w:pPr>
          </w:p>
          <w:p w14:paraId="756208B4" w14:textId="77777777" w:rsidR="00EE6487" w:rsidRDefault="00EE6487">
            <w:pPr>
              <w:rPr>
                <w:sz w:val="16"/>
                <w:szCs w:val="16"/>
              </w:rPr>
            </w:pPr>
          </w:p>
          <w:p w14:paraId="4CF4C8CB" w14:textId="77777777" w:rsidR="00EE6487" w:rsidRDefault="00EE6487">
            <w:pPr>
              <w:rPr>
                <w:sz w:val="16"/>
                <w:szCs w:val="16"/>
              </w:rPr>
            </w:pPr>
          </w:p>
          <w:p w14:paraId="65C7E0B2" w14:textId="77777777" w:rsidR="00EE6487" w:rsidRDefault="00EE6487">
            <w:pPr>
              <w:rPr>
                <w:sz w:val="16"/>
                <w:szCs w:val="16"/>
              </w:rPr>
            </w:pPr>
          </w:p>
          <w:p w14:paraId="4003FB69"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73D0B073" w14:textId="77777777" w:rsidR="00EE6487" w:rsidRDefault="00EE6487">
            <w:pPr>
              <w:rPr>
                <w:sz w:val="16"/>
                <w:szCs w:val="16"/>
              </w:rPr>
            </w:pPr>
            <w:r>
              <w:rPr>
                <w:sz w:val="16"/>
                <w:szCs w:val="16"/>
              </w:rPr>
              <w:t>Dermal</w:t>
            </w:r>
          </w:p>
          <w:p w14:paraId="280E2CA8" w14:textId="77777777" w:rsidR="00EE6487" w:rsidRDefault="00EE6487">
            <w:pPr>
              <w:rPr>
                <w:sz w:val="16"/>
                <w:szCs w:val="16"/>
              </w:rPr>
            </w:pPr>
          </w:p>
          <w:p w14:paraId="42D3ECB1"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572C1CF7"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52600154" w14:textId="77777777" w:rsidR="00EE6487" w:rsidRDefault="00EE6487">
            <w:pPr>
              <w:rPr>
                <w:sz w:val="16"/>
                <w:szCs w:val="16"/>
              </w:rPr>
            </w:pPr>
            <w:r>
              <w:rPr>
                <w:sz w:val="16"/>
                <w:szCs w:val="16"/>
              </w:rPr>
              <w:t>Controlled exposure,</w:t>
            </w:r>
          </w:p>
          <w:p w14:paraId="481FC5F0" w14:textId="77777777" w:rsidR="00EE6487" w:rsidRDefault="00EE6487">
            <w:pPr>
              <w:rPr>
                <w:sz w:val="16"/>
                <w:szCs w:val="16"/>
              </w:rPr>
            </w:pPr>
          </w:p>
          <w:p w14:paraId="05F95A8A" w14:textId="77777777" w:rsidR="00EE6487" w:rsidRDefault="00EE6487">
            <w:pPr>
              <w:rPr>
                <w:sz w:val="16"/>
                <w:szCs w:val="16"/>
              </w:rPr>
            </w:pPr>
            <w:r>
              <w:rPr>
                <w:sz w:val="16"/>
                <w:szCs w:val="16"/>
              </w:rPr>
              <w:t>e.g respiratory exposure below or similar to spray application with high ventilation or technical RMM and PPE</w:t>
            </w:r>
          </w:p>
          <w:p w14:paraId="4A130526" w14:textId="77777777" w:rsidR="00EE6487" w:rsidRDefault="00EE6487">
            <w:pPr>
              <w:rPr>
                <w:sz w:val="16"/>
                <w:szCs w:val="16"/>
              </w:rPr>
            </w:pPr>
          </w:p>
          <w:p w14:paraId="56B9524D"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1E974976"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2CEA0684" w14:textId="77777777" w:rsidR="00EE6487" w:rsidRDefault="00EE6487">
            <w:pPr>
              <w:pStyle w:val="Paragraphedeliste"/>
              <w:ind w:left="0"/>
              <w:jc w:val="both"/>
              <w:rPr>
                <w:rFonts w:cs="Arial"/>
                <w:iCs/>
                <w:sz w:val="16"/>
                <w:szCs w:val="16"/>
                <w:lang w:val="en-US"/>
              </w:rPr>
            </w:pPr>
          </w:p>
          <w:p w14:paraId="2908B6D8"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4E5B3B7C" w14:textId="6AE1F41C"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 xml:space="preserve">Avoidance of contact with freshly </w:t>
            </w:r>
            <w:r w:rsidR="00135833">
              <w:rPr>
                <w:rFonts w:cs="Arial"/>
                <w:iCs/>
                <w:sz w:val="16"/>
                <w:szCs w:val="16"/>
                <w:lang w:val="en-US"/>
              </w:rPr>
              <w:t>treated</w:t>
            </w:r>
            <w:r>
              <w:rPr>
                <w:rFonts w:cs="Arial"/>
                <w:iCs/>
                <w:sz w:val="16"/>
                <w:szCs w:val="16"/>
                <w:lang w:val="en-US"/>
              </w:rPr>
              <w:t xml:space="preserve"> surfaces (for bystanders)</w:t>
            </w:r>
          </w:p>
          <w:p w14:paraId="1D05D4AC" w14:textId="77777777" w:rsidR="00EE6487" w:rsidRDefault="00EE6487">
            <w:pPr>
              <w:jc w:val="both"/>
              <w:rPr>
                <w:rFonts w:cs="Arial"/>
                <w:iCs/>
                <w:sz w:val="16"/>
                <w:szCs w:val="16"/>
                <w:lang w:val="en-US"/>
              </w:rPr>
            </w:pPr>
          </w:p>
          <w:p w14:paraId="03BC8F0C"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73C87A8D" w14:textId="77777777" w:rsidR="00EE6487" w:rsidRDefault="00EE6487">
            <w:pPr>
              <w:jc w:val="both"/>
              <w:rPr>
                <w:rFonts w:cs="Arial"/>
                <w:iCs/>
                <w:sz w:val="16"/>
                <w:szCs w:val="16"/>
                <w:lang w:val="en-US"/>
              </w:rPr>
            </w:pPr>
          </w:p>
          <w:p w14:paraId="6D126017"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74FD4FB5"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34E7CE9D"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3BEE1A41" w14:textId="77777777" w:rsidR="00EE6487" w:rsidRDefault="00EE6487">
            <w:pPr>
              <w:jc w:val="both"/>
              <w:rPr>
                <w:rFonts w:cs="Arial"/>
                <w:iCs/>
                <w:sz w:val="16"/>
                <w:szCs w:val="16"/>
                <w:lang w:val="en-US"/>
              </w:rPr>
            </w:pPr>
          </w:p>
          <w:p w14:paraId="3871F273" w14:textId="77777777" w:rsidR="00EE6487" w:rsidRDefault="00EE6487">
            <w:pPr>
              <w:pStyle w:val="Paragraphedeliste"/>
              <w:ind w:left="0"/>
              <w:jc w:val="both"/>
              <w:rPr>
                <w:rFonts w:cs="Arial"/>
                <w:iCs/>
                <w:sz w:val="16"/>
                <w:szCs w:val="16"/>
                <w:lang w:val="en-US"/>
              </w:rPr>
            </w:pPr>
          </w:p>
        </w:tc>
      </w:tr>
      <w:tr w:rsidR="00EE6487" w:rsidRPr="00EE6487" w14:paraId="4DE1DC9E"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73A084" w14:textId="77777777" w:rsidR="00EE6487" w:rsidRDefault="00EE6487">
            <w:pPr>
              <w:pStyle w:val="Paragraphedeliste"/>
              <w:jc w:val="both"/>
              <w:rPr>
                <w:rFonts w:cs="Arial"/>
                <w:iCs/>
                <w:sz w:val="16"/>
                <w:szCs w:val="16"/>
                <w:lang w:val="en-US"/>
              </w:rPr>
            </w:pPr>
            <w:r>
              <w:rPr>
                <w:rFonts w:cs="Arial"/>
                <w:b/>
                <w:iCs/>
                <w:sz w:val="18"/>
                <w:szCs w:val="18"/>
                <w:lang w:val="en-US"/>
              </w:rPr>
              <w:t xml:space="preserve">Meta SPC 11 – Application by spraying/wiping/brushing/scrubbing/mopping </w:t>
            </w:r>
            <w:r>
              <w:rPr>
                <w:rFonts w:cs="Arial"/>
                <w:iCs/>
                <w:sz w:val="18"/>
                <w:szCs w:val="18"/>
                <w:lang w:val="en-US"/>
              </w:rPr>
              <w:t>– Use #1</w:t>
            </w:r>
          </w:p>
        </w:tc>
      </w:tr>
      <w:tr w:rsidR="00EE6487" w14:paraId="6C1888FC"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96C31" w14:textId="77777777" w:rsidR="00EE6487" w:rsidRDefault="00EE6487">
            <w:pPr>
              <w:pStyle w:val="Paragraphedeliste"/>
              <w:ind w:left="0"/>
              <w:jc w:val="both"/>
              <w:rPr>
                <w:rFonts w:cs="Arial"/>
                <w:b/>
                <w:iCs/>
                <w:sz w:val="18"/>
                <w:szCs w:val="18"/>
                <w:lang w:val="en-US"/>
              </w:rPr>
            </w:pPr>
            <w:r>
              <w:rPr>
                <w:rFonts w:cs="Arial"/>
                <w:b/>
                <w:iCs/>
                <w:sz w:val="18"/>
                <w:szCs w:val="18"/>
                <w:lang w:val="en-US"/>
              </w:rPr>
              <w:t>Concentrate</w:t>
            </w:r>
          </w:p>
        </w:tc>
      </w:tr>
      <w:tr w:rsidR="00EE6487" w14:paraId="43086BB2"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044C2F0D" w14:textId="77777777" w:rsidR="00EE6487" w:rsidRDefault="00EE6487">
            <w:pPr>
              <w:tabs>
                <w:tab w:val="center" w:pos="610"/>
              </w:tabs>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tcPr>
          <w:p w14:paraId="79B5B0CE" w14:textId="77777777" w:rsidR="00EE6487" w:rsidRDefault="00EE6487">
            <w:pPr>
              <w:rPr>
                <w:rFonts w:cs="Arial"/>
                <w:iCs/>
                <w:spacing w:val="1"/>
                <w:sz w:val="16"/>
                <w:szCs w:val="16"/>
                <w:lang w:eastAsia="fr-FR"/>
              </w:rPr>
            </w:pPr>
            <w:r>
              <w:rPr>
                <w:rFonts w:cs="Arial"/>
                <w:iCs/>
                <w:spacing w:val="1"/>
                <w:sz w:val="16"/>
                <w:szCs w:val="16"/>
                <w:lang w:eastAsia="fr-FR"/>
              </w:rPr>
              <w:t>Skin Corr. 1C, H314</w:t>
            </w:r>
          </w:p>
          <w:p w14:paraId="4A4CB9AF" w14:textId="77777777" w:rsidR="00EE6487" w:rsidRDefault="00EE6487">
            <w:pPr>
              <w:rPr>
                <w:rFonts w:cs="Arial"/>
                <w:iCs/>
                <w:sz w:val="16"/>
                <w:lang w:val="en-US"/>
              </w:rPr>
            </w:pPr>
          </w:p>
          <w:p w14:paraId="7C7C494F" w14:textId="77777777" w:rsidR="00EE6487" w:rsidRDefault="00EE6487">
            <w:pPr>
              <w:rPr>
                <w:rFonts w:cs="Arial"/>
                <w:iCs/>
                <w:spacing w:val="1"/>
                <w:sz w:val="16"/>
                <w:szCs w:val="16"/>
                <w:lang w:eastAsia="fr-FR"/>
              </w:rPr>
            </w:pPr>
            <w:r>
              <w:rPr>
                <w:rFonts w:cs="Arial"/>
                <w:iCs/>
                <w:sz w:val="16"/>
                <w:lang w:val="en-US"/>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47155AA1"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1942A0F1" w14:textId="77777777" w:rsidR="00EE6487" w:rsidRDefault="00EE6487">
            <w:pPr>
              <w:rPr>
                <w:sz w:val="16"/>
                <w:szCs w:val="16"/>
              </w:rPr>
            </w:pPr>
            <w:r>
              <w:rPr>
                <w:sz w:val="16"/>
                <w:szCs w:val="16"/>
              </w:rPr>
              <w:t>2-4</w:t>
            </w:r>
          </w:p>
          <w:p w14:paraId="2C24F7D9"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44FF73" w14:textId="77777777" w:rsidR="00EE6487" w:rsidRDefault="00EE6487">
            <w:pPr>
              <w:rPr>
                <w:sz w:val="16"/>
                <w:szCs w:val="16"/>
              </w:rPr>
            </w:pPr>
            <w:r>
              <w:rPr>
                <w:sz w:val="16"/>
                <w:szCs w:val="16"/>
              </w:rPr>
              <w:t>Professionals</w:t>
            </w:r>
          </w:p>
          <w:p w14:paraId="6F089A6B"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18EB30" w14:textId="77777777" w:rsidR="00EE6487" w:rsidRDefault="00EE6487">
            <w:pPr>
              <w:rPr>
                <w:sz w:val="16"/>
              </w:rPr>
            </w:pPr>
            <w:r>
              <w:rPr>
                <w:sz w:val="16"/>
              </w:rPr>
              <w:t>Mixing and Loading</w:t>
            </w:r>
          </w:p>
          <w:p w14:paraId="2F037511" w14:textId="77777777" w:rsidR="00EE6487" w:rsidRDefault="00EE6487">
            <w:pPr>
              <w:rPr>
                <w:sz w:val="16"/>
              </w:rPr>
            </w:pPr>
          </w:p>
          <w:p w14:paraId="32AEE4D8"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7A8DF9DF" w14:textId="77777777" w:rsidR="00EE6487" w:rsidRDefault="00EE6487">
            <w:pPr>
              <w:rPr>
                <w:sz w:val="16"/>
                <w:szCs w:val="16"/>
              </w:rPr>
            </w:pPr>
            <w:r>
              <w:rPr>
                <w:sz w:val="16"/>
                <w:szCs w:val="16"/>
              </w:rPr>
              <w:t>Dermal</w:t>
            </w:r>
          </w:p>
          <w:p w14:paraId="33B7E430" w14:textId="77777777" w:rsidR="00EE6487" w:rsidRDefault="00EE6487">
            <w:pPr>
              <w:rPr>
                <w:sz w:val="16"/>
                <w:szCs w:val="16"/>
              </w:rPr>
            </w:pPr>
          </w:p>
          <w:p w14:paraId="30B9C8CD" w14:textId="77777777" w:rsidR="00EE6487" w:rsidRDefault="00EE6487">
            <w:pPr>
              <w:rPr>
                <w:sz w:val="16"/>
                <w:szCs w:val="16"/>
              </w:rPr>
            </w:pPr>
            <w:r>
              <w:rPr>
                <w:sz w:val="16"/>
                <w:szCs w:val="16"/>
              </w:rPr>
              <w:t>Ocular</w:t>
            </w:r>
          </w:p>
        </w:tc>
        <w:tc>
          <w:tcPr>
            <w:tcW w:w="1843" w:type="dxa"/>
            <w:tcBorders>
              <w:top w:val="single" w:sz="4" w:space="0" w:color="auto"/>
              <w:left w:val="single" w:sz="4" w:space="0" w:color="auto"/>
              <w:bottom w:val="single" w:sz="4" w:space="0" w:color="auto"/>
              <w:right w:val="single" w:sz="4" w:space="0" w:color="auto"/>
            </w:tcBorders>
            <w:hideMark/>
          </w:tcPr>
          <w:p w14:paraId="62591F43" w14:textId="77777777" w:rsidR="00EE6487" w:rsidRDefault="00EE6487">
            <w:pPr>
              <w:rPr>
                <w:sz w:val="16"/>
                <w:szCs w:val="16"/>
              </w:rPr>
            </w:pPr>
            <w:r>
              <w:rPr>
                <w:sz w:val="16"/>
                <w:szCs w:val="16"/>
              </w:rPr>
              <w:t>Equal to or less than one once per week and equal to or less than few minutes per day</w:t>
            </w:r>
          </w:p>
        </w:tc>
        <w:tc>
          <w:tcPr>
            <w:tcW w:w="1300" w:type="dxa"/>
            <w:tcBorders>
              <w:top w:val="single" w:sz="4" w:space="0" w:color="auto"/>
              <w:left w:val="single" w:sz="4" w:space="0" w:color="auto"/>
              <w:bottom w:val="single" w:sz="4" w:space="0" w:color="auto"/>
              <w:right w:val="single" w:sz="4" w:space="0" w:color="auto"/>
            </w:tcBorders>
            <w:hideMark/>
          </w:tcPr>
          <w:p w14:paraId="10112F6D" w14:textId="77777777" w:rsidR="00EE6487" w:rsidRDefault="00EE6487">
            <w:pPr>
              <w:rPr>
                <w:sz w:val="16"/>
                <w:szCs w:val="16"/>
              </w:rPr>
            </w:pPr>
            <w:r>
              <w:rPr>
                <w:sz w:val="16"/>
                <w:szCs w:val="16"/>
              </w:rPr>
              <w:t>Pratically no exposure,</w:t>
            </w:r>
          </w:p>
          <w:p w14:paraId="7E551327" w14:textId="77777777" w:rsidR="00EE6487" w:rsidRDefault="00EE6487">
            <w:pPr>
              <w:rPr>
                <w:sz w:val="16"/>
                <w:szCs w:val="16"/>
              </w:rPr>
            </w:pPr>
            <w:r>
              <w:rPr>
                <w:sz w:val="16"/>
                <w:szCs w:val="16"/>
              </w:rPr>
              <w:t xml:space="preserve">e.g use of toilet cleaners </w:t>
            </w:r>
          </w:p>
        </w:tc>
        <w:tc>
          <w:tcPr>
            <w:tcW w:w="3765" w:type="dxa"/>
            <w:gridSpan w:val="2"/>
            <w:tcBorders>
              <w:top w:val="single" w:sz="4" w:space="0" w:color="auto"/>
              <w:left w:val="single" w:sz="4" w:space="0" w:color="auto"/>
              <w:bottom w:val="single" w:sz="4" w:space="0" w:color="auto"/>
              <w:right w:val="single" w:sz="4" w:space="0" w:color="auto"/>
            </w:tcBorders>
          </w:tcPr>
          <w:p w14:paraId="20CCC5F7"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6AD365E0" w14:textId="77777777" w:rsidR="00EE6487" w:rsidRDefault="00EE6487">
            <w:pPr>
              <w:pStyle w:val="Paragraphedeliste"/>
              <w:ind w:left="0"/>
              <w:jc w:val="both"/>
              <w:rPr>
                <w:rFonts w:cs="Arial"/>
                <w:iCs/>
                <w:sz w:val="16"/>
                <w:szCs w:val="16"/>
                <w:lang w:val="en-US"/>
              </w:rPr>
            </w:pPr>
          </w:p>
          <w:p w14:paraId="4AF837B6"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splashes and spills</w:t>
            </w:r>
          </w:p>
          <w:p w14:paraId="2F7E2C57"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manual phases</w:t>
            </w:r>
          </w:p>
          <w:p w14:paraId="1677DCAD" w14:textId="77777777" w:rsidR="00EE6487" w:rsidRDefault="00EE6487">
            <w:pPr>
              <w:jc w:val="both"/>
              <w:rPr>
                <w:rFonts w:cs="Arial"/>
                <w:iCs/>
                <w:sz w:val="16"/>
                <w:szCs w:val="16"/>
                <w:lang w:val="en-US"/>
              </w:rPr>
            </w:pPr>
          </w:p>
          <w:p w14:paraId="0F598EE0"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79CAD96D" w14:textId="77777777" w:rsidR="00EE6487" w:rsidRDefault="00EE6487">
            <w:pPr>
              <w:jc w:val="both"/>
              <w:rPr>
                <w:rFonts w:cs="Arial"/>
                <w:iCs/>
                <w:sz w:val="16"/>
                <w:szCs w:val="16"/>
                <w:lang w:val="en-US"/>
              </w:rPr>
            </w:pPr>
          </w:p>
          <w:p w14:paraId="7604115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lastRenderedPageBreak/>
              <w:t>face shield</w:t>
            </w:r>
          </w:p>
          <w:p w14:paraId="15197831"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0D24BDF4"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5597FE6C" w14:textId="77777777" w:rsidR="00EE6487" w:rsidRDefault="00EE6487">
            <w:pPr>
              <w:rPr>
                <w:lang w:val="en-US"/>
              </w:rPr>
            </w:pPr>
          </w:p>
        </w:tc>
      </w:tr>
      <w:tr w:rsidR="00EE6487" w14:paraId="04FAAC07"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hideMark/>
          </w:tcPr>
          <w:p w14:paraId="35186C2C" w14:textId="77777777" w:rsidR="00EE6487" w:rsidRDefault="00EE6487">
            <w:pPr>
              <w:pStyle w:val="Paragraphedeliste"/>
              <w:ind w:left="0"/>
              <w:jc w:val="both"/>
              <w:rPr>
                <w:rFonts w:cs="Arial"/>
                <w:b/>
                <w:iCs/>
                <w:sz w:val="16"/>
                <w:szCs w:val="16"/>
                <w:lang w:val="en-US"/>
              </w:rPr>
            </w:pPr>
            <w:r>
              <w:rPr>
                <w:rFonts w:cs="Arial"/>
                <w:b/>
                <w:iCs/>
                <w:sz w:val="18"/>
                <w:szCs w:val="16"/>
                <w:lang w:val="en-US"/>
              </w:rPr>
              <w:lastRenderedPageBreak/>
              <w:t>After dilution</w:t>
            </w:r>
          </w:p>
        </w:tc>
      </w:tr>
      <w:tr w:rsidR="00EE6487" w14:paraId="2FD90EAC"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1FA64C6E" w14:textId="77777777" w:rsidR="00EE6487" w:rsidRDefault="00EE6487">
            <w:pPr>
              <w:tabs>
                <w:tab w:val="center" w:pos="610"/>
              </w:tabs>
              <w:rPr>
                <w:sz w:val="16"/>
                <w:szCs w:val="16"/>
              </w:rPr>
            </w:pPr>
            <w:r>
              <w:rPr>
                <w:sz w:val="16"/>
                <w:szCs w:val="16"/>
              </w:rPr>
              <w:t>Low</w:t>
            </w:r>
          </w:p>
        </w:tc>
        <w:tc>
          <w:tcPr>
            <w:tcW w:w="992" w:type="dxa"/>
            <w:tcBorders>
              <w:top w:val="single" w:sz="4" w:space="0" w:color="auto"/>
              <w:left w:val="single" w:sz="4" w:space="0" w:color="auto"/>
              <w:bottom w:val="single" w:sz="4" w:space="0" w:color="auto"/>
              <w:right w:val="single" w:sz="4" w:space="0" w:color="auto"/>
            </w:tcBorders>
          </w:tcPr>
          <w:p w14:paraId="49CEE12A"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20A0F3DB" w14:textId="77777777" w:rsidR="00EE6487" w:rsidRDefault="00EE6487">
            <w:pPr>
              <w:rPr>
                <w:rFonts w:cs="Arial"/>
                <w:iCs/>
                <w:spacing w:val="1"/>
                <w:sz w:val="16"/>
                <w:szCs w:val="16"/>
                <w:lang w:val="fr-FR" w:eastAsia="fr-FR"/>
              </w:rPr>
            </w:pPr>
          </w:p>
          <w:p w14:paraId="59B7EC1A" w14:textId="77777777" w:rsidR="00EE6487" w:rsidRDefault="00EE6487">
            <w:pPr>
              <w:rPr>
                <w:rFonts w:cs="Arial"/>
                <w:iCs/>
                <w:spacing w:val="1"/>
                <w:sz w:val="16"/>
                <w:szCs w:val="16"/>
                <w:lang w:val="fr-FR" w:eastAsia="fr-FR"/>
              </w:rPr>
            </w:pPr>
            <w:r>
              <w:rPr>
                <w:rFonts w:cs="Arial"/>
                <w:iCs/>
                <w:sz w:val="16"/>
                <w:lang w:val="fr-FR"/>
              </w:rPr>
              <w:t>Eye Irrit.2, H319</w:t>
            </w:r>
          </w:p>
          <w:p w14:paraId="7FE98F96" w14:textId="77777777" w:rsidR="00EE6487" w:rsidRDefault="00EE6487">
            <w:pPr>
              <w:rPr>
                <w:rFonts w:cs="Arial"/>
                <w:iCs/>
                <w:spacing w:val="1"/>
                <w:sz w:val="16"/>
                <w:szCs w:val="16"/>
                <w:lang w:val="fr-FR" w:eastAsia="fr-FR"/>
              </w:rPr>
            </w:pPr>
          </w:p>
          <w:p w14:paraId="3E366E25" w14:textId="77777777" w:rsidR="00EE6487" w:rsidRDefault="00EE6487">
            <w:pPr>
              <w:rPr>
                <w:rFonts w:cs="Arial"/>
                <w:iCs/>
                <w:spacing w:val="1"/>
                <w:sz w:val="16"/>
                <w:szCs w:val="16"/>
                <w:lang w:val="fr-FR" w:eastAsia="fr-FR"/>
              </w:rPr>
            </w:pPr>
          </w:p>
        </w:tc>
        <w:tc>
          <w:tcPr>
            <w:tcW w:w="850" w:type="dxa"/>
            <w:tcBorders>
              <w:top w:val="single" w:sz="4" w:space="0" w:color="auto"/>
              <w:left w:val="single" w:sz="4" w:space="0" w:color="auto"/>
              <w:bottom w:val="single" w:sz="4" w:space="0" w:color="auto"/>
              <w:right w:val="single" w:sz="4" w:space="0" w:color="auto"/>
            </w:tcBorders>
            <w:hideMark/>
          </w:tcPr>
          <w:p w14:paraId="492C56A2"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50472D9"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56B6BB2F" w14:textId="77777777" w:rsidR="00EE6487" w:rsidRDefault="00EE6487">
            <w:pPr>
              <w:rPr>
                <w:sz w:val="16"/>
                <w:szCs w:val="16"/>
              </w:rPr>
            </w:pPr>
            <w:r>
              <w:rPr>
                <w:sz w:val="16"/>
                <w:szCs w:val="16"/>
              </w:rPr>
              <w:t>Professionals</w:t>
            </w:r>
          </w:p>
          <w:p w14:paraId="3B37D76F" w14:textId="77777777" w:rsidR="00EE6487" w:rsidRDefault="00EE6487">
            <w:pPr>
              <w:rPr>
                <w:sz w:val="16"/>
                <w:szCs w:val="16"/>
              </w:rPr>
            </w:pPr>
          </w:p>
          <w:p w14:paraId="6850A399" w14:textId="77777777" w:rsidR="00EE6487" w:rsidRDefault="00EE6487">
            <w:pPr>
              <w:rPr>
                <w:sz w:val="16"/>
                <w:szCs w:val="16"/>
              </w:rPr>
            </w:pPr>
          </w:p>
          <w:p w14:paraId="78A12275" w14:textId="77777777" w:rsidR="00EE6487" w:rsidRDefault="00EE6487">
            <w:pPr>
              <w:rPr>
                <w:sz w:val="16"/>
                <w:szCs w:val="16"/>
              </w:rPr>
            </w:pPr>
          </w:p>
          <w:p w14:paraId="58B3E8B3"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F30129" w14:textId="77777777" w:rsidR="00EE6487" w:rsidRDefault="00EE6487">
            <w:pPr>
              <w:rPr>
                <w:sz w:val="16"/>
                <w:szCs w:val="16"/>
              </w:rPr>
            </w:pPr>
            <w:r>
              <w:rPr>
                <w:sz w:val="16"/>
                <w:szCs w:val="16"/>
              </w:rPr>
              <w:t>Spraying on hard surfaces</w:t>
            </w:r>
          </w:p>
          <w:p w14:paraId="6D80251C" w14:textId="77777777" w:rsidR="00EE6487" w:rsidRDefault="00EE6487">
            <w:pPr>
              <w:rPr>
                <w:sz w:val="16"/>
                <w:szCs w:val="16"/>
              </w:rPr>
            </w:pPr>
          </w:p>
          <w:p w14:paraId="681C8B3F" w14:textId="77777777" w:rsidR="00EE6487" w:rsidRDefault="00EE6487">
            <w:pPr>
              <w:rPr>
                <w:sz w:val="16"/>
                <w:szCs w:val="16"/>
              </w:rPr>
            </w:pPr>
            <w:r>
              <w:rPr>
                <w:sz w:val="16"/>
                <w:szCs w:val="16"/>
              </w:rPr>
              <w:t xml:space="preserve">Cleaning of spray equipment  </w:t>
            </w:r>
          </w:p>
          <w:p w14:paraId="2A16D544" w14:textId="77777777" w:rsidR="00EE6487" w:rsidRDefault="00EE6487">
            <w:pPr>
              <w:rPr>
                <w:sz w:val="16"/>
                <w:szCs w:val="16"/>
              </w:rPr>
            </w:pPr>
          </w:p>
          <w:p w14:paraId="2EC8F514" w14:textId="77777777" w:rsidR="00EE6487" w:rsidRDefault="00EE6487">
            <w:pPr>
              <w:rPr>
                <w:sz w:val="16"/>
                <w:szCs w:val="16"/>
              </w:rPr>
            </w:pPr>
          </w:p>
          <w:p w14:paraId="6E6EBB75" w14:textId="77777777" w:rsidR="00EE6487" w:rsidRDefault="00EE6487">
            <w:pPr>
              <w:rPr>
                <w:sz w:val="16"/>
                <w:szCs w:val="16"/>
              </w:rPr>
            </w:pPr>
            <w:r>
              <w:rPr>
                <w:sz w:val="16"/>
                <w:szCs w:val="16"/>
              </w:rPr>
              <w:t>Brushing</w:t>
            </w:r>
          </w:p>
          <w:p w14:paraId="291A6460" w14:textId="77777777" w:rsidR="00EE6487" w:rsidRDefault="00EE6487">
            <w:pPr>
              <w:rPr>
                <w:sz w:val="16"/>
                <w:szCs w:val="16"/>
              </w:rPr>
            </w:pPr>
          </w:p>
          <w:p w14:paraId="74898DDD" w14:textId="77777777" w:rsidR="00EE6487" w:rsidRDefault="00EE6487">
            <w:pPr>
              <w:rPr>
                <w:sz w:val="16"/>
                <w:szCs w:val="16"/>
              </w:rPr>
            </w:pPr>
            <w:r>
              <w:rPr>
                <w:sz w:val="16"/>
                <w:szCs w:val="16"/>
              </w:rPr>
              <w:t>Scrubbing</w:t>
            </w:r>
          </w:p>
          <w:p w14:paraId="5C145311" w14:textId="77777777" w:rsidR="00EE6487" w:rsidRDefault="00EE6487">
            <w:pPr>
              <w:rPr>
                <w:sz w:val="16"/>
                <w:szCs w:val="16"/>
              </w:rPr>
            </w:pPr>
          </w:p>
          <w:p w14:paraId="12C38FB7" w14:textId="77777777" w:rsidR="00EE6487" w:rsidRDefault="00EE6487">
            <w:pPr>
              <w:rPr>
                <w:sz w:val="16"/>
                <w:szCs w:val="16"/>
              </w:rPr>
            </w:pPr>
            <w:r>
              <w:rPr>
                <w:sz w:val="16"/>
                <w:szCs w:val="16"/>
              </w:rPr>
              <w:t>Mopping</w:t>
            </w:r>
          </w:p>
          <w:p w14:paraId="736D1F77" w14:textId="77777777" w:rsidR="00EE6487" w:rsidRDefault="00EE6487">
            <w:pPr>
              <w:rPr>
                <w:sz w:val="16"/>
                <w:szCs w:val="16"/>
              </w:rPr>
            </w:pPr>
          </w:p>
          <w:p w14:paraId="3C5D1D14" w14:textId="77777777" w:rsidR="00EE6487" w:rsidRDefault="00EE6487">
            <w:pPr>
              <w:rPr>
                <w:sz w:val="16"/>
                <w:szCs w:val="16"/>
              </w:rPr>
            </w:pPr>
            <w:r>
              <w:rPr>
                <w:sz w:val="16"/>
                <w:szCs w:val="16"/>
              </w:rPr>
              <w:t xml:space="preserve">Cleaning of toilet bowls </w:t>
            </w:r>
          </w:p>
          <w:p w14:paraId="5B31640D" w14:textId="77777777" w:rsidR="00EE6487" w:rsidRDefault="00EE6487">
            <w:pPr>
              <w:rPr>
                <w:sz w:val="16"/>
                <w:szCs w:val="16"/>
              </w:rPr>
            </w:pPr>
          </w:p>
          <w:p w14:paraId="10D8341F" w14:textId="77777777" w:rsidR="00EE6487" w:rsidRDefault="00EE6487">
            <w:pPr>
              <w:rPr>
                <w:sz w:val="16"/>
                <w:szCs w:val="16"/>
              </w:rPr>
            </w:pPr>
          </w:p>
          <w:p w14:paraId="5154443B" w14:textId="77777777" w:rsidR="00EE6487" w:rsidRDefault="00EE6487">
            <w:pPr>
              <w:rPr>
                <w:sz w:val="16"/>
                <w:szCs w:val="16"/>
              </w:rPr>
            </w:pPr>
          </w:p>
          <w:p w14:paraId="28CA6367" w14:textId="77777777" w:rsidR="00EE6487" w:rsidRDefault="00EE6487">
            <w:pPr>
              <w:rPr>
                <w:sz w:val="16"/>
                <w:szCs w:val="16"/>
              </w:rPr>
            </w:pPr>
          </w:p>
          <w:p w14:paraId="77542355" w14:textId="77777777" w:rsidR="00EE6487" w:rsidRDefault="00EE6487">
            <w:pPr>
              <w:rPr>
                <w:sz w:val="16"/>
                <w:szCs w:val="16"/>
              </w:rPr>
            </w:pPr>
          </w:p>
          <w:p w14:paraId="71DC6791" w14:textId="77777777" w:rsidR="00EE6487" w:rsidRDefault="00EE6487">
            <w:pPr>
              <w:rPr>
                <w:sz w:val="16"/>
                <w:szCs w:val="16"/>
              </w:rPr>
            </w:pPr>
          </w:p>
          <w:p w14:paraId="2F7E10E6"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125B1EB3" w14:textId="77777777" w:rsidR="00EE6487" w:rsidRDefault="00EE6487">
            <w:pPr>
              <w:rPr>
                <w:sz w:val="16"/>
                <w:szCs w:val="16"/>
              </w:rPr>
            </w:pPr>
            <w:r>
              <w:rPr>
                <w:sz w:val="16"/>
                <w:szCs w:val="16"/>
              </w:rPr>
              <w:t>Dermal</w:t>
            </w:r>
          </w:p>
          <w:p w14:paraId="4CB57605" w14:textId="77777777" w:rsidR="00EE6487" w:rsidRDefault="00EE6487">
            <w:pPr>
              <w:rPr>
                <w:sz w:val="16"/>
                <w:szCs w:val="16"/>
              </w:rPr>
            </w:pPr>
          </w:p>
          <w:p w14:paraId="687D721C"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2F8F8346"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2FABEBDF" w14:textId="77777777" w:rsidR="00EE6487" w:rsidRDefault="00EE6487">
            <w:pPr>
              <w:rPr>
                <w:sz w:val="16"/>
                <w:szCs w:val="16"/>
              </w:rPr>
            </w:pPr>
            <w:r>
              <w:rPr>
                <w:sz w:val="16"/>
                <w:szCs w:val="16"/>
              </w:rPr>
              <w:t>Controlled exposure,</w:t>
            </w:r>
          </w:p>
          <w:p w14:paraId="7184A2E0" w14:textId="77777777" w:rsidR="00EE6487" w:rsidRDefault="00EE6487">
            <w:pPr>
              <w:rPr>
                <w:sz w:val="16"/>
                <w:szCs w:val="16"/>
              </w:rPr>
            </w:pPr>
          </w:p>
          <w:p w14:paraId="0869558D" w14:textId="77777777" w:rsidR="00EE6487" w:rsidRDefault="00EE6487">
            <w:pPr>
              <w:rPr>
                <w:sz w:val="16"/>
                <w:szCs w:val="16"/>
              </w:rPr>
            </w:pPr>
            <w:r>
              <w:rPr>
                <w:sz w:val="16"/>
                <w:szCs w:val="16"/>
              </w:rPr>
              <w:t>e.g respiratory exposure below or similar to spray application with high ventilation or technical RMM and PPE</w:t>
            </w:r>
          </w:p>
          <w:p w14:paraId="4C03C489" w14:textId="77777777" w:rsidR="00EE6487" w:rsidRDefault="00EE6487">
            <w:pPr>
              <w:rPr>
                <w:sz w:val="16"/>
                <w:szCs w:val="16"/>
              </w:rPr>
            </w:pPr>
          </w:p>
          <w:p w14:paraId="47978C18"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1BE643C5"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6BC2A83E" w14:textId="77777777" w:rsidR="00EE6487" w:rsidRDefault="00EE6487">
            <w:pPr>
              <w:jc w:val="both"/>
              <w:rPr>
                <w:rFonts w:cs="Arial"/>
                <w:iCs/>
                <w:sz w:val="16"/>
                <w:szCs w:val="16"/>
                <w:lang w:val="en-US"/>
              </w:rPr>
            </w:pPr>
          </w:p>
          <w:p w14:paraId="25BD3DE6"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67FC5F44" w14:textId="3491903A"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 xml:space="preserve">Avoidance of contact with freshly </w:t>
            </w:r>
            <w:r w:rsidR="00135833">
              <w:rPr>
                <w:rFonts w:cs="Arial"/>
                <w:iCs/>
                <w:sz w:val="16"/>
                <w:szCs w:val="16"/>
                <w:lang w:val="en-US"/>
              </w:rPr>
              <w:t>treated</w:t>
            </w:r>
            <w:r>
              <w:rPr>
                <w:rFonts w:cs="Arial"/>
                <w:iCs/>
                <w:sz w:val="16"/>
                <w:szCs w:val="16"/>
                <w:lang w:val="en-US"/>
              </w:rPr>
              <w:t xml:space="preserve"> surfaces (for bystanders)</w:t>
            </w:r>
          </w:p>
          <w:p w14:paraId="57DFB52E" w14:textId="77777777" w:rsidR="00EE6487" w:rsidRDefault="00EE6487">
            <w:pPr>
              <w:jc w:val="both"/>
              <w:rPr>
                <w:rFonts w:cs="Arial"/>
                <w:iCs/>
                <w:sz w:val="16"/>
                <w:szCs w:val="16"/>
                <w:lang w:val="en-US"/>
              </w:rPr>
            </w:pPr>
          </w:p>
          <w:p w14:paraId="3C367AC1"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11101E2D" w14:textId="77777777" w:rsidR="00EE6487" w:rsidRDefault="00EE6487">
            <w:pPr>
              <w:jc w:val="both"/>
              <w:rPr>
                <w:rFonts w:cs="Arial"/>
                <w:iCs/>
                <w:sz w:val="16"/>
                <w:szCs w:val="16"/>
                <w:lang w:val="en-US"/>
              </w:rPr>
            </w:pPr>
          </w:p>
          <w:p w14:paraId="32625294"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0106D46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7E0E5431" w14:textId="77777777" w:rsidR="00EE6487" w:rsidRDefault="00EE6487" w:rsidP="00EE6487">
            <w:pPr>
              <w:pStyle w:val="Paragraphedeliste"/>
              <w:numPr>
                <w:ilvl w:val="0"/>
                <w:numId w:val="40"/>
              </w:numPr>
              <w:ind w:left="785"/>
              <w:jc w:val="both"/>
              <w:rPr>
                <w:lang w:val="en-US"/>
              </w:rPr>
            </w:pPr>
            <w:r>
              <w:rPr>
                <w:rFonts w:cs="Arial"/>
                <w:iCs/>
                <w:sz w:val="16"/>
                <w:szCs w:val="16"/>
                <w:lang w:val="en-US"/>
              </w:rPr>
              <w:t>protection coverall</w:t>
            </w:r>
          </w:p>
          <w:p w14:paraId="06C0DC88" w14:textId="77777777" w:rsidR="00EE6487" w:rsidRDefault="00EE6487">
            <w:pPr>
              <w:pStyle w:val="Paragraphedeliste"/>
              <w:ind w:left="0"/>
              <w:jc w:val="both"/>
              <w:rPr>
                <w:rFonts w:cs="Arial"/>
                <w:iCs/>
                <w:sz w:val="16"/>
                <w:szCs w:val="16"/>
                <w:lang w:val="en-US"/>
              </w:rPr>
            </w:pPr>
          </w:p>
        </w:tc>
      </w:tr>
      <w:tr w:rsidR="00EE6487" w:rsidRPr="00EE6487" w14:paraId="72173433"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497FA" w14:textId="77777777" w:rsidR="00EE6487" w:rsidRDefault="00EE6487">
            <w:pPr>
              <w:pStyle w:val="Paragraphedeliste"/>
              <w:ind w:left="0"/>
              <w:jc w:val="both"/>
              <w:rPr>
                <w:rFonts w:cs="Arial"/>
                <w:iCs/>
                <w:sz w:val="16"/>
                <w:szCs w:val="16"/>
                <w:lang w:val="en-US"/>
              </w:rPr>
            </w:pPr>
            <w:r>
              <w:rPr>
                <w:rFonts w:cs="Arial"/>
                <w:b/>
                <w:iCs/>
                <w:sz w:val="18"/>
                <w:szCs w:val="18"/>
                <w:lang w:val="en-US"/>
              </w:rPr>
              <w:t xml:space="preserve">Meta SPC 12 – Application by brushing/scrubbing (RTU) </w:t>
            </w:r>
            <w:r>
              <w:rPr>
                <w:rFonts w:cs="Arial"/>
                <w:iCs/>
                <w:sz w:val="18"/>
                <w:szCs w:val="18"/>
                <w:lang w:val="en-US"/>
              </w:rPr>
              <w:t>– Use #1</w:t>
            </w:r>
          </w:p>
        </w:tc>
      </w:tr>
      <w:tr w:rsidR="00EE6487" w14:paraId="7FD40AFE"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7F3A7552" w14:textId="77777777" w:rsidR="00EE6487" w:rsidRDefault="00EE6487">
            <w:pPr>
              <w:tabs>
                <w:tab w:val="center" w:pos="610"/>
              </w:tabs>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tcPr>
          <w:p w14:paraId="00B3C11B" w14:textId="77777777" w:rsidR="00EE6487" w:rsidRDefault="00EE6487">
            <w:pPr>
              <w:rPr>
                <w:rFonts w:cs="Arial"/>
                <w:iCs/>
                <w:spacing w:val="1"/>
                <w:sz w:val="16"/>
                <w:szCs w:val="16"/>
                <w:lang w:eastAsia="fr-FR"/>
              </w:rPr>
            </w:pPr>
            <w:r>
              <w:rPr>
                <w:rFonts w:cs="Arial"/>
                <w:iCs/>
                <w:spacing w:val="1"/>
                <w:sz w:val="16"/>
                <w:szCs w:val="16"/>
                <w:lang w:eastAsia="fr-FR"/>
              </w:rPr>
              <w:t>Skin Corr. 1C, H314</w:t>
            </w:r>
          </w:p>
          <w:p w14:paraId="0B03D518" w14:textId="77777777" w:rsidR="00EE6487" w:rsidRDefault="00EE6487">
            <w:pPr>
              <w:rPr>
                <w:rFonts w:cs="Arial"/>
                <w:iCs/>
                <w:sz w:val="16"/>
                <w:lang w:val="en-US"/>
              </w:rPr>
            </w:pPr>
          </w:p>
          <w:p w14:paraId="2D12BA9C" w14:textId="77777777" w:rsidR="00EE6487" w:rsidRDefault="00EE6487">
            <w:pPr>
              <w:rPr>
                <w:rFonts w:cs="Arial"/>
                <w:iCs/>
                <w:spacing w:val="1"/>
                <w:sz w:val="16"/>
                <w:szCs w:val="16"/>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428DBD30"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529FB9B5" w14:textId="77777777" w:rsidR="00EE6487" w:rsidRDefault="00EE6487">
            <w:pPr>
              <w:rPr>
                <w:sz w:val="16"/>
                <w:szCs w:val="16"/>
              </w:rPr>
            </w:pPr>
            <w:r>
              <w:rPr>
                <w:sz w:val="16"/>
                <w:szCs w:val="16"/>
              </w:rPr>
              <w:t>2</w:t>
            </w:r>
          </w:p>
          <w:p w14:paraId="54A4400D"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3A10C2" w14:textId="77777777" w:rsidR="00EE6487" w:rsidRDefault="00EE6487">
            <w:pPr>
              <w:rPr>
                <w:sz w:val="16"/>
                <w:szCs w:val="16"/>
              </w:rPr>
            </w:pPr>
            <w:r>
              <w:rPr>
                <w:sz w:val="16"/>
                <w:szCs w:val="16"/>
              </w:rPr>
              <w:t>Professionals</w:t>
            </w:r>
          </w:p>
          <w:p w14:paraId="1AA1BABF"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85E3D0" w14:textId="77777777" w:rsidR="00EE6487" w:rsidRDefault="00EE6487">
            <w:pPr>
              <w:rPr>
                <w:sz w:val="16"/>
                <w:szCs w:val="16"/>
              </w:rPr>
            </w:pPr>
            <w:r>
              <w:rPr>
                <w:sz w:val="16"/>
              </w:rPr>
              <w:t>Cleaning of toilet bowls (pouring and brushing)</w:t>
            </w:r>
          </w:p>
          <w:p w14:paraId="308185C5"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73F59CEC" w14:textId="77777777" w:rsidR="00EE6487" w:rsidRDefault="00EE6487">
            <w:pPr>
              <w:rPr>
                <w:sz w:val="16"/>
                <w:szCs w:val="16"/>
              </w:rPr>
            </w:pPr>
            <w:r>
              <w:rPr>
                <w:sz w:val="16"/>
                <w:szCs w:val="16"/>
              </w:rPr>
              <w:t>Dermal</w:t>
            </w:r>
          </w:p>
          <w:p w14:paraId="3091F914" w14:textId="77777777" w:rsidR="00EE6487" w:rsidRDefault="00EE6487">
            <w:pPr>
              <w:rPr>
                <w:sz w:val="16"/>
                <w:szCs w:val="16"/>
              </w:rPr>
            </w:pPr>
          </w:p>
          <w:p w14:paraId="6B0D4B1B"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780738A6" w14:textId="77777777" w:rsidR="00EE6487" w:rsidRDefault="00EE6487">
            <w:pPr>
              <w:rPr>
                <w:sz w:val="16"/>
                <w:szCs w:val="16"/>
              </w:rPr>
            </w:pPr>
            <w:r>
              <w:rPr>
                <w:sz w:val="16"/>
                <w:szCs w:val="16"/>
              </w:rPr>
              <w:t>Equal to or less than one once per week and equal to or less than few minutes per day</w:t>
            </w:r>
          </w:p>
        </w:tc>
        <w:tc>
          <w:tcPr>
            <w:tcW w:w="1300" w:type="dxa"/>
            <w:tcBorders>
              <w:top w:val="single" w:sz="4" w:space="0" w:color="auto"/>
              <w:left w:val="single" w:sz="4" w:space="0" w:color="auto"/>
              <w:bottom w:val="single" w:sz="4" w:space="0" w:color="auto"/>
              <w:right w:val="single" w:sz="4" w:space="0" w:color="auto"/>
            </w:tcBorders>
            <w:hideMark/>
          </w:tcPr>
          <w:p w14:paraId="48154399" w14:textId="622712FF" w:rsidR="00EE6487" w:rsidRDefault="00EE6487">
            <w:pPr>
              <w:rPr>
                <w:sz w:val="16"/>
                <w:szCs w:val="16"/>
              </w:rPr>
            </w:pPr>
            <w:r>
              <w:rPr>
                <w:sz w:val="16"/>
                <w:szCs w:val="16"/>
              </w:rPr>
              <w:t>Pra</w:t>
            </w:r>
            <w:r w:rsidR="005B3692">
              <w:rPr>
                <w:sz w:val="16"/>
                <w:szCs w:val="16"/>
              </w:rPr>
              <w:t>c</w:t>
            </w:r>
            <w:r>
              <w:rPr>
                <w:sz w:val="16"/>
                <w:szCs w:val="16"/>
              </w:rPr>
              <w:t>tically no exposure,</w:t>
            </w:r>
          </w:p>
          <w:p w14:paraId="72CF11D5" w14:textId="77777777" w:rsidR="00EE6487" w:rsidRDefault="00EE6487">
            <w:pPr>
              <w:rPr>
                <w:sz w:val="16"/>
                <w:szCs w:val="16"/>
              </w:rPr>
            </w:pPr>
            <w:r>
              <w:rPr>
                <w:sz w:val="16"/>
                <w:szCs w:val="16"/>
              </w:rPr>
              <w:t xml:space="preserve">e.g use of toilet cleaners </w:t>
            </w:r>
          </w:p>
        </w:tc>
        <w:tc>
          <w:tcPr>
            <w:tcW w:w="3765" w:type="dxa"/>
            <w:gridSpan w:val="2"/>
            <w:tcBorders>
              <w:top w:val="single" w:sz="4" w:space="0" w:color="auto"/>
              <w:left w:val="single" w:sz="4" w:space="0" w:color="auto"/>
              <w:bottom w:val="single" w:sz="4" w:space="0" w:color="auto"/>
              <w:right w:val="single" w:sz="4" w:space="0" w:color="auto"/>
            </w:tcBorders>
          </w:tcPr>
          <w:p w14:paraId="0CEBFCA3" w14:textId="77777777" w:rsidR="00EE6487" w:rsidRDefault="00EE6487">
            <w:pPr>
              <w:jc w:val="both"/>
              <w:rPr>
                <w:rFonts w:cs="Arial"/>
                <w:iCs/>
                <w:sz w:val="16"/>
                <w:szCs w:val="16"/>
                <w:lang w:val="en-US"/>
              </w:rPr>
            </w:pPr>
            <w:r>
              <w:rPr>
                <w:rFonts w:cs="Arial"/>
                <w:iCs/>
                <w:sz w:val="16"/>
                <w:szCs w:val="16"/>
                <w:lang w:val="en-US"/>
              </w:rPr>
              <w:t xml:space="preserve">Considering the protection offered by the cap with directional nozzle of the bottle to pour the product in toilet bowls and following PPE : </w:t>
            </w:r>
          </w:p>
          <w:p w14:paraId="5447AE30" w14:textId="77777777" w:rsidR="00EE6487" w:rsidRDefault="00EE6487">
            <w:pPr>
              <w:jc w:val="both"/>
              <w:rPr>
                <w:rFonts w:cs="Arial"/>
                <w:iCs/>
                <w:sz w:val="16"/>
                <w:szCs w:val="16"/>
                <w:lang w:val="en-US"/>
              </w:rPr>
            </w:pPr>
          </w:p>
          <w:p w14:paraId="5CF2516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572916A9"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5E57271C" w14:textId="77777777" w:rsidR="00EE6487" w:rsidRDefault="00EE6487">
            <w:pPr>
              <w:rPr>
                <w:rFonts w:cs="Arial"/>
                <w:iCs/>
                <w:sz w:val="16"/>
                <w:szCs w:val="16"/>
                <w:lang w:val="en-US"/>
              </w:rPr>
            </w:pPr>
          </w:p>
          <w:p w14:paraId="50845595" w14:textId="77777777" w:rsidR="00EE6487" w:rsidRDefault="00EE6487">
            <w:pPr>
              <w:rPr>
                <w:rFonts w:cs="Arial"/>
                <w:iCs/>
                <w:sz w:val="16"/>
                <w:szCs w:val="16"/>
                <w:lang w:val="en-US"/>
              </w:rPr>
            </w:pPr>
            <w:r>
              <w:rPr>
                <w:rFonts w:cs="Arial"/>
                <w:iCs/>
                <w:sz w:val="16"/>
                <w:szCs w:val="16"/>
                <w:lang w:val="en-US"/>
              </w:rPr>
              <w:t>; the risk is acceptable.</w:t>
            </w:r>
          </w:p>
        </w:tc>
      </w:tr>
      <w:tr w:rsidR="00EE6487" w:rsidRPr="00EE6487" w14:paraId="74124AB3"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04B6B8A0" w14:textId="77777777" w:rsidR="00EE6487" w:rsidRDefault="00EE6487">
            <w:pPr>
              <w:tabs>
                <w:tab w:val="center" w:pos="610"/>
              </w:tabs>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hideMark/>
          </w:tcPr>
          <w:p w14:paraId="70D57976" w14:textId="77777777" w:rsidR="00EE6487" w:rsidRDefault="00EE6487">
            <w:pPr>
              <w:rPr>
                <w:rFonts w:cs="Arial"/>
                <w:iCs/>
                <w:spacing w:val="1"/>
                <w:sz w:val="16"/>
                <w:szCs w:val="16"/>
                <w:lang w:eastAsia="fr-FR"/>
              </w:rPr>
            </w:pPr>
            <w:r>
              <w:rPr>
                <w:rFonts w:cs="Arial"/>
                <w:iCs/>
                <w:sz w:val="16"/>
                <w:lang w:val="en-US"/>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48A18B91"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874227F" w14:textId="77777777" w:rsidR="00EE6487" w:rsidRDefault="00EE6487">
            <w:pPr>
              <w:rPr>
                <w:sz w:val="16"/>
                <w:szCs w:val="16"/>
              </w:rPr>
            </w:pPr>
            <w:r>
              <w:rPr>
                <w:sz w:val="16"/>
                <w:szCs w:val="16"/>
              </w:rPr>
              <w:t>2</w:t>
            </w:r>
          </w:p>
          <w:p w14:paraId="1A5C66C3"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DF0DCC" w14:textId="77777777" w:rsidR="00EE6487" w:rsidRDefault="00EE6487">
            <w:pPr>
              <w:rPr>
                <w:sz w:val="16"/>
                <w:szCs w:val="16"/>
              </w:rPr>
            </w:pPr>
            <w:r>
              <w:rPr>
                <w:sz w:val="16"/>
                <w:szCs w:val="16"/>
              </w:rPr>
              <w:t>Professionals</w:t>
            </w:r>
          </w:p>
          <w:p w14:paraId="39212579"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A76F0B" w14:textId="77777777" w:rsidR="00EE6487" w:rsidRDefault="00EE6487">
            <w:pPr>
              <w:rPr>
                <w:sz w:val="16"/>
                <w:szCs w:val="16"/>
              </w:rPr>
            </w:pPr>
            <w:r>
              <w:rPr>
                <w:sz w:val="16"/>
              </w:rPr>
              <w:t>Cleaning of toilet bowls (pouring and brushing)</w:t>
            </w:r>
          </w:p>
          <w:p w14:paraId="7D5BDBE6"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hideMark/>
          </w:tcPr>
          <w:p w14:paraId="480FFDC4" w14:textId="77777777" w:rsidR="00EE6487" w:rsidRDefault="00EE6487">
            <w:pPr>
              <w:rPr>
                <w:sz w:val="16"/>
                <w:szCs w:val="16"/>
              </w:rPr>
            </w:pPr>
            <w:r>
              <w:rPr>
                <w:sz w:val="16"/>
                <w:szCs w:val="16"/>
              </w:rPr>
              <w:t>Ocular</w:t>
            </w:r>
          </w:p>
        </w:tc>
        <w:tc>
          <w:tcPr>
            <w:tcW w:w="1843" w:type="dxa"/>
            <w:tcBorders>
              <w:top w:val="single" w:sz="4" w:space="0" w:color="auto"/>
              <w:left w:val="single" w:sz="4" w:space="0" w:color="auto"/>
              <w:bottom w:val="single" w:sz="4" w:space="0" w:color="auto"/>
              <w:right w:val="single" w:sz="4" w:space="0" w:color="auto"/>
            </w:tcBorders>
            <w:hideMark/>
          </w:tcPr>
          <w:p w14:paraId="288721BF" w14:textId="77777777" w:rsidR="00EE6487" w:rsidRDefault="00EE6487">
            <w:pPr>
              <w:rPr>
                <w:sz w:val="16"/>
                <w:szCs w:val="16"/>
              </w:rPr>
            </w:pPr>
            <w:r>
              <w:rPr>
                <w:sz w:val="16"/>
                <w:szCs w:val="16"/>
              </w:rPr>
              <w:t>Equal to or less than one once per week and equal to or less than few minutes per day</w:t>
            </w:r>
          </w:p>
        </w:tc>
        <w:tc>
          <w:tcPr>
            <w:tcW w:w="1300" w:type="dxa"/>
            <w:tcBorders>
              <w:top w:val="single" w:sz="4" w:space="0" w:color="auto"/>
              <w:left w:val="single" w:sz="4" w:space="0" w:color="auto"/>
              <w:bottom w:val="single" w:sz="4" w:space="0" w:color="auto"/>
              <w:right w:val="single" w:sz="4" w:space="0" w:color="auto"/>
            </w:tcBorders>
            <w:hideMark/>
          </w:tcPr>
          <w:p w14:paraId="6326522F" w14:textId="53A6B739" w:rsidR="00EE6487" w:rsidRDefault="00EE6487">
            <w:pPr>
              <w:rPr>
                <w:sz w:val="16"/>
                <w:szCs w:val="16"/>
              </w:rPr>
            </w:pPr>
            <w:r>
              <w:rPr>
                <w:sz w:val="16"/>
                <w:szCs w:val="16"/>
              </w:rPr>
              <w:t>Pra</w:t>
            </w:r>
            <w:r w:rsidR="005B3692">
              <w:rPr>
                <w:sz w:val="16"/>
                <w:szCs w:val="16"/>
              </w:rPr>
              <w:t>c</w:t>
            </w:r>
            <w:r>
              <w:rPr>
                <w:sz w:val="16"/>
                <w:szCs w:val="16"/>
              </w:rPr>
              <w:t>tically no exposure,</w:t>
            </w:r>
          </w:p>
          <w:p w14:paraId="502BBEF2" w14:textId="77777777" w:rsidR="00EE6487" w:rsidRDefault="00EE6487">
            <w:pPr>
              <w:rPr>
                <w:sz w:val="16"/>
                <w:szCs w:val="16"/>
              </w:rPr>
            </w:pPr>
            <w:r>
              <w:rPr>
                <w:sz w:val="16"/>
                <w:szCs w:val="16"/>
              </w:rPr>
              <w:t xml:space="preserve">e.g use of toilet cleaners </w:t>
            </w:r>
          </w:p>
        </w:tc>
        <w:tc>
          <w:tcPr>
            <w:tcW w:w="3765" w:type="dxa"/>
            <w:gridSpan w:val="2"/>
            <w:tcBorders>
              <w:top w:val="single" w:sz="4" w:space="0" w:color="auto"/>
              <w:left w:val="single" w:sz="4" w:space="0" w:color="auto"/>
              <w:bottom w:val="single" w:sz="4" w:space="0" w:color="auto"/>
              <w:right w:val="single" w:sz="4" w:space="0" w:color="auto"/>
            </w:tcBorders>
          </w:tcPr>
          <w:p w14:paraId="39493D01"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the type of application, no ocular exposure is expected.</w:t>
            </w:r>
          </w:p>
          <w:p w14:paraId="49B62934" w14:textId="77777777" w:rsidR="00EE6487" w:rsidRDefault="00EE6487">
            <w:pPr>
              <w:pStyle w:val="Paragraphedeliste"/>
              <w:ind w:left="0"/>
              <w:jc w:val="both"/>
              <w:rPr>
                <w:rFonts w:cs="Arial"/>
                <w:iCs/>
                <w:sz w:val="16"/>
                <w:szCs w:val="16"/>
                <w:lang w:val="en-US"/>
              </w:rPr>
            </w:pPr>
          </w:p>
          <w:p w14:paraId="6C57818F" w14:textId="77777777" w:rsidR="00EE6487" w:rsidRDefault="00EE6487">
            <w:pPr>
              <w:pStyle w:val="Paragraphedeliste"/>
              <w:ind w:left="0"/>
              <w:jc w:val="both"/>
              <w:rPr>
                <w:rFonts w:cs="Arial"/>
                <w:iCs/>
                <w:sz w:val="16"/>
                <w:szCs w:val="16"/>
                <w:lang w:val="en-US"/>
              </w:rPr>
            </w:pPr>
            <w:r>
              <w:rPr>
                <w:rFonts w:cs="Arial"/>
                <w:iCs/>
                <w:sz w:val="16"/>
                <w:szCs w:val="16"/>
                <w:lang w:val="en-US"/>
              </w:rPr>
              <w:t>The risk is considered acceptable.</w:t>
            </w:r>
          </w:p>
        </w:tc>
      </w:tr>
      <w:tr w:rsidR="00EE6487" w:rsidRPr="00EE6487" w14:paraId="3922BE19"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C8A9B0" w14:textId="77777777" w:rsidR="00EE6487" w:rsidRDefault="00EE6487">
            <w:pPr>
              <w:pStyle w:val="Paragraphedeliste"/>
              <w:ind w:left="0"/>
              <w:jc w:val="both"/>
              <w:rPr>
                <w:rFonts w:cs="Arial"/>
                <w:iCs/>
                <w:sz w:val="16"/>
                <w:szCs w:val="16"/>
                <w:lang w:val="en-US"/>
              </w:rPr>
            </w:pPr>
            <w:r>
              <w:rPr>
                <w:rFonts w:cs="Arial"/>
                <w:b/>
                <w:iCs/>
                <w:sz w:val="18"/>
                <w:szCs w:val="18"/>
                <w:lang w:val="en-US"/>
              </w:rPr>
              <w:lastRenderedPageBreak/>
              <w:t xml:space="preserve">Meta SPC 13 – Application by spraying/wiping/brushing/scrubbing/mopping </w:t>
            </w:r>
            <w:r>
              <w:rPr>
                <w:rFonts w:cs="Arial"/>
                <w:iCs/>
                <w:sz w:val="18"/>
                <w:szCs w:val="18"/>
                <w:lang w:val="en-US"/>
              </w:rPr>
              <w:t>– Use #1</w:t>
            </w:r>
          </w:p>
        </w:tc>
      </w:tr>
      <w:tr w:rsidR="00EE6487" w14:paraId="29B0E84A"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hideMark/>
          </w:tcPr>
          <w:p w14:paraId="04E393FC" w14:textId="77777777" w:rsidR="00EE6487" w:rsidRDefault="00EE6487">
            <w:pPr>
              <w:pStyle w:val="Paragraphedeliste"/>
              <w:ind w:left="0"/>
              <w:jc w:val="both"/>
              <w:rPr>
                <w:rFonts w:cs="Arial"/>
                <w:b/>
                <w:iCs/>
                <w:sz w:val="16"/>
                <w:szCs w:val="16"/>
                <w:lang w:val="en-US"/>
              </w:rPr>
            </w:pPr>
            <w:r>
              <w:rPr>
                <w:rFonts w:cs="Arial"/>
                <w:b/>
                <w:iCs/>
                <w:sz w:val="18"/>
                <w:szCs w:val="16"/>
                <w:lang w:val="en-US"/>
              </w:rPr>
              <w:t>Concentrate</w:t>
            </w:r>
          </w:p>
        </w:tc>
      </w:tr>
      <w:tr w:rsidR="00EE6487" w14:paraId="25C3F724"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02CC2C23" w14:textId="77777777" w:rsidR="00EE6487" w:rsidRDefault="00EE6487">
            <w:pPr>
              <w:tabs>
                <w:tab w:val="center" w:pos="610"/>
              </w:tabs>
              <w:rPr>
                <w:sz w:val="16"/>
                <w:szCs w:val="16"/>
              </w:rPr>
            </w:pPr>
            <w:r>
              <w:rPr>
                <w:sz w:val="16"/>
                <w:szCs w:val="16"/>
              </w:rPr>
              <w:t>Very high</w:t>
            </w:r>
          </w:p>
        </w:tc>
        <w:tc>
          <w:tcPr>
            <w:tcW w:w="992" w:type="dxa"/>
            <w:tcBorders>
              <w:top w:val="single" w:sz="4" w:space="0" w:color="auto"/>
              <w:left w:val="single" w:sz="4" w:space="0" w:color="auto"/>
              <w:bottom w:val="single" w:sz="4" w:space="0" w:color="auto"/>
              <w:right w:val="single" w:sz="4" w:space="0" w:color="auto"/>
            </w:tcBorders>
          </w:tcPr>
          <w:p w14:paraId="6DC5F89A" w14:textId="77777777" w:rsidR="00EE6487" w:rsidRDefault="00EE6487">
            <w:pPr>
              <w:rPr>
                <w:rFonts w:cs="Arial"/>
                <w:iCs/>
                <w:spacing w:val="1"/>
                <w:sz w:val="16"/>
                <w:szCs w:val="16"/>
                <w:lang w:eastAsia="fr-FR"/>
              </w:rPr>
            </w:pPr>
            <w:r>
              <w:rPr>
                <w:rFonts w:cs="Arial"/>
                <w:iCs/>
                <w:spacing w:val="1"/>
                <w:sz w:val="16"/>
                <w:szCs w:val="16"/>
                <w:lang w:eastAsia="fr-FR"/>
              </w:rPr>
              <w:t>Skin Corr. 1C, H314</w:t>
            </w:r>
          </w:p>
          <w:p w14:paraId="5EDF2D7F" w14:textId="77777777" w:rsidR="00EE6487" w:rsidRDefault="00EE6487">
            <w:pPr>
              <w:rPr>
                <w:rFonts w:cs="Arial"/>
                <w:iCs/>
                <w:sz w:val="16"/>
                <w:lang w:val="en-US"/>
              </w:rPr>
            </w:pPr>
          </w:p>
          <w:p w14:paraId="32E15427" w14:textId="77777777" w:rsidR="00EE6487" w:rsidRDefault="00EE6487">
            <w:pPr>
              <w:rPr>
                <w:rFonts w:cs="Arial"/>
                <w:iCs/>
                <w:spacing w:val="1"/>
                <w:sz w:val="16"/>
                <w:szCs w:val="16"/>
                <w:lang w:eastAsia="fr-FR"/>
              </w:rPr>
            </w:pPr>
            <w:r>
              <w:rPr>
                <w:rFonts w:cs="Arial"/>
                <w:iCs/>
                <w:sz w:val="16"/>
                <w:lang w:val="en-US"/>
              </w:rPr>
              <w:t>Eye Dam.1, H318</w:t>
            </w:r>
          </w:p>
        </w:tc>
        <w:tc>
          <w:tcPr>
            <w:tcW w:w="850" w:type="dxa"/>
            <w:tcBorders>
              <w:top w:val="single" w:sz="4" w:space="0" w:color="auto"/>
              <w:left w:val="single" w:sz="4" w:space="0" w:color="auto"/>
              <w:bottom w:val="single" w:sz="4" w:space="0" w:color="auto"/>
              <w:right w:val="single" w:sz="4" w:space="0" w:color="auto"/>
            </w:tcBorders>
            <w:hideMark/>
          </w:tcPr>
          <w:p w14:paraId="09662F0B"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3027686D" w14:textId="77777777" w:rsidR="00EE6487" w:rsidRDefault="00EE6487">
            <w:pPr>
              <w:rPr>
                <w:sz w:val="16"/>
                <w:szCs w:val="16"/>
              </w:rPr>
            </w:pPr>
            <w:r>
              <w:rPr>
                <w:sz w:val="16"/>
                <w:szCs w:val="16"/>
              </w:rPr>
              <w:t>2</w:t>
            </w:r>
          </w:p>
          <w:p w14:paraId="72DDF69C" w14:textId="77777777" w:rsidR="00EE6487" w:rsidRDefault="00EE64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84AB6C8" w14:textId="77777777" w:rsidR="00EE6487" w:rsidRDefault="00EE6487">
            <w:pPr>
              <w:rPr>
                <w:sz w:val="16"/>
                <w:szCs w:val="16"/>
              </w:rPr>
            </w:pPr>
            <w:r>
              <w:rPr>
                <w:sz w:val="16"/>
                <w:szCs w:val="16"/>
              </w:rPr>
              <w:t>Professionals</w:t>
            </w:r>
          </w:p>
          <w:p w14:paraId="7552F716"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ADDFE6E" w14:textId="77777777" w:rsidR="00EE6487" w:rsidRDefault="00EE6487">
            <w:pPr>
              <w:rPr>
                <w:sz w:val="16"/>
              </w:rPr>
            </w:pPr>
            <w:r>
              <w:rPr>
                <w:sz w:val="16"/>
              </w:rPr>
              <w:t>Mixing and Loading</w:t>
            </w:r>
          </w:p>
          <w:p w14:paraId="01768A1F" w14:textId="77777777" w:rsidR="00EE6487" w:rsidRDefault="00EE6487">
            <w:pPr>
              <w:rPr>
                <w:sz w:val="16"/>
              </w:rPr>
            </w:pPr>
          </w:p>
          <w:p w14:paraId="3B9D77AA"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23049BA3" w14:textId="77777777" w:rsidR="00EE6487" w:rsidRDefault="00EE6487">
            <w:pPr>
              <w:rPr>
                <w:sz w:val="16"/>
                <w:szCs w:val="16"/>
              </w:rPr>
            </w:pPr>
            <w:r>
              <w:rPr>
                <w:sz w:val="16"/>
                <w:szCs w:val="16"/>
              </w:rPr>
              <w:t>Dermal</w:t>
            </w:r>
          </w:p>
          <w:p w14:paraId="02D38A38" w14:textId="77777777" w:rsidR="00EE6487" w:rsidRDefault="00EE6487">
            <w:pPr>
              <w:rPr>
                <w:sz w:val="16"/>
                <w:szCs w:val="16"/>
              </w:rPr>
            </w:pPr>
          </w:p>
          <w:p w14:paraId="086A3D32" w14:textId="77777777" w:rsidR="00EE6487" w:rsidRDefault="00EE6487">
            <w:pPr>
              <w:rPr>
                <w:sz w:val="16"/>
                <w:szCs w:val="16"/>
              </w:rPr>
            </w:pPr>
            <w:r>
              <w:rPr>
                <w:sz w:val="16"/>
                <w:szCs w:val="16"/>
              </w:rPr>
              <w:t>Ocular</w:t>
            </w:r>
          </w:p>
        </w:tc>
        <w:tc>
          <w:tcPr>
            <w:tcW w:w="1843" w:type="dxa"/>
            <w:tcBorders>
              <w:top w:val="single" w:sz="4" w:space="0" w:color="auto"/>
              <w:left w:val="single" w:sz="4" w:space="0" w:color="auto"/>
              <w:bottom w:val="single" w:sz="4" w:space="0" w:color="auto"/>
              <w:right w:val="single" w:sz="4" w:space="0" w:color="auto"/>
            </w:tcBorders>
            <w:hideMark/>
          </w:tcPr>
          <w:p w14:paraId="6EBA5924" w14:textId="77777777" w:rsidR="00EE6487" w:rsidRDefault="00EE6487">
            <w:pPr>
              <w:rPr>
                <w:sz w:val="16"/>
                <w:szCs w:val="16"/>
              </w:rPr>
            </w:pPr>
            <w:r>
              <w:rPr>
                <w:sz w:val="16"/>
                <w:szCs w:val="16"/>
              </w:rPr>
              <w:t>Equal to or less than one once per week and equal to or less than few minutes per day</w:t>
            </w:r>
          </w:p>
        </w:tc>
        <w:tc>
          <w:tcPr>
            <w:tcW w:w="1300" w:type="dxa"/>
            <w:tcBorders>
              <w:top w:val="single" w:sz="4" w:space="0" w:color="auto"/>
              <w:left w:val="single" w:sz="4" w:space="0" w:color="auto"/>
              <w:bottom w:val="single" w:sz="4" w:space="0" w:color="auto"/>
              <w:right w:val="single" w:sz="4" w:space="0" w:color="auto"/>
            </w:tcBorders>
            <w:hideMark/>
          </w:tcPr>
          <w:p w14:paraId="7DFAB0D4" w14:textId="4D994893" w:rsidR="00EE6487" w:rsidRDefault="00EE6487">
            <w:pPr>
              <w:rPr>
                <w:sz w:val="16"/>
                <w:szCs w:val="16"/>
              </w:rPr>
            </w:pPr>
            <w:r>
              <w:rPr>
                <w:sz w:val="16"/>
                <w:szCs w:val="16"/>
              </w:rPr>
              <w:t>Pra</w:t>
            </w:r>
            <w:r w:rsidR="005B3692">
              <w:rPr>
                <w:sz w:val="16"/>
                <w:szCs w:val="16"/>
              </w:rPr>
              <w:t>c</w:t>
            </w:r>
            <w:r>
              <w:rPr>
                <w:sz w:val="16"/>
                <w:szCs w:val="16"/>
              </w:rPr>
              <w:t>tically no exposure,</w:t>
            </w:r>
          </w:p>
          <w:p w14:paraId="155EA230" w14:textId="77777777" w:rsidR="00EE6487" w:rsidRDefault="00EE6487">
            <w:pPr>
              <w:rPr>
                <w:sz w:val="16"/>
                <w:szCs w:val="16"/>
              </w:rPr>
            </w:pPr>
            <w:r>
              <w:rPr>
                <w:sz w:val="16"/>
                <w:szCs w:val="16"/>
              </w:rPr>
              <w:t xml:space="preserve">e.g use of toilet cleaners </w:t>
            </w:r>
          </w:p>
        </w:tc>
        <w:tc>
          <w:tcPr>
            <w:tcW w:w="3765" w:type="dxa"/>
            <w:gridSpan w:val="2"/>
            <w:tcBorders>
              <w:top w:val="single" w:sz="4" w:space="0" w:color="auto"/>
              <w:left w:val="single" w:sz="4" w:space="0" w:color="auto"/>
              <w:bottom w:val="single" w:sz="4" w:space="0" w:color="auto"/>
              <w:right w:val="single" w:sz="4" w:space="0" w:color="auto"/>
            </w:tcBorders>
          </w:tcPr>
          <w:p w14:paraId="6A80D7F0"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6BE8FD7C" w14:textId="77777777" w:rsidR="00EE6487" w:rsidRDefault="00EE6487">
            <w:pPr>
              <w:pStyle w:val="Paragraphedeliste"/>
              <w:ind w:left="0"/>
              <w:jc w:val="both"/>
              <w:rPr>
                <w:rFonts w:cs="Arial"/>
                <w:iCs/>
                <w:sz w:val="16"/>
                <w:szCs w:val="16"/>
                <w:lang w:val="en-US"/>
              </w:rPr>
            </w:pPr>
          </w:p>
          <w:p w14:paraId="64515C14"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splashes and spills</w:t>
            </w:r>
          </w:p>
          <w:p w14:paraId="204669F9"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Minimisation of manual phases</w:t>
            </w:r>
          </w:p>
          <w:p w14:paraId="485C2EDA" w14:textId="77777777" w:rsidR="00EE6487" w:rsidRDefault="00EE6487">
            <w:pPr>
              <w:jc w:val="both"/>
              <w:rPr>
                <w:rFonts w:cs="Arial"/>
                <w:iCs/>
                <w:sz w:val="16"/>
                <w:szCs w:val="16"/>
                <w:lang w:val="en-US"/>
              </w:rPr>
            </w:pPr>
          </w:p>
          <w:p w14:paraId="137E4048"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6D74D0E3" w14:textId="77777777" w:rsidR="00EE6487" w:rsidRDefault="00EE6487">
            <w:pPr>
              <w:jc w:val="both"/>
              <w:rPr>
                <w:rFonts w:cs="Arial"/>
                <w:iCs/>
                <w:sz w:val="16"/>
                <w:szCs w:val="16"/>
                <w:lang w:val="en-US"/>
              </w:rPr>
            </w:pPr>
          </w:p>
          <w:p w14:paraId="357E804A"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510C590B"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61C0E3BE"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3FEDEDAE" w14:textId="77777777" w:rsidR="00EE6487" w:rsidRDefault="00EE6487">
            <w:pPr>
              <w:pStyle w:val="Paragraphedeliste"/>
              <w:ind w:left="785"/>
              <w:jc w:val="both"/>
              <w:rPr>
                <w:rFonts w:cs="Arial"/>
                <w:iCs/>
                <w:sz w:val="16"/>
                <w:szCs w:val="16"/>
                <w:lang w:val="en-US"/>
              </w:rPr>
            </w:pPr>
          </w:p>
        </w:tc>
      </w:tr>
      <w:tr w:rsidR="00EE6487" w14:paraId="412B95D7" w14:textId="77777777" w:rsidTr="00EE6487">
        <w:trPr>
          <w:jc w:val="center"/>
        </w:trPr>
        <w:tc>
          <w:tcPr>
            <w:tcW w:w="13424" w:type="dxa"/>
            <w:gridSpan w:val="11"/>
            <w:tcBorders>
              <w:top w:val="single" w:sz="4" w:space="0" w:color="auto"/>
              <w:left w:val="single" w:sz="4" w:space="0" w:color="auto"/>
              <w:bottom w:val="single" w:sz="4" w:space="0" w:color="auto"/>
              <w:right w:val="single" w:sz="4" w:space="0" w:color="auto"/>
            </w:tcBorders>
            <w:hideMark/>
          </w:tcPr>
          <w:p w14:paraId="69ECEC21" w14:textId="77777777" w:rsidR="00EE6487" w:rsidRDefault="00EE6487">
            <w:pPr>
              <w:pStyle w:val="Paragraphedeliste"/>
              <w:ind w:left="0"/>
              <w:jc w:val="both"/>
              <w:rPr>
                <w:rFonts w:cs="Arial"/>
                <w:b/>
                <w:iCs/>
                <w:sz w:val="16"/>
                <w:szCs w:val="16"/>
                <w:lang w:val="en-US"/>
              </w:rPr>
            </w:pPr>
            <w:r>
              <w:rPr>
                <w:rFonts w:cs="Arial"/>
                <w:b/>
                <w:iCs/>
                <w:sz w:val="18"/>
                <w:szCs w:val="16"/>
                <w:lang w:val="en-US"/>
              </w:rPr>
              <w:t>After dilution</w:t>
            </w:r>
          </w:p>
        </w:tc>
      </w:tr>
      <w:tr w:rsidR="00EE6487" w14:paraId="5E0BF366" w14:textId="77777777" w:rsidTr="00EE6487">
        <w:trPr>
          <w:jc w:val="center"/>
        </w:trPr>
        <w:tc>
          <w:tcPr>
            <w:tcW w:w="988" w:type="dxa"/>
            <w:tcBorders>
              <w:top w:val="single" w:sz="4" w:space="0" w:color="auto"/>
              <w:left w:val="single" w:sz="4" w:space="0" w:color="auto"/>
              <w:bottom w:val="single" w:sz="4" w:space="0" w:color="auto"/>
              <w:right w:val="single" w:sz="4" w:space="0" w:color="auto"/>
            </w:tcBorders>
            <w:hideMark/>
          </w:tcPr>
          <w:p w14:paraId="40202981" w14:textId="77777777" w:rsidR="00EE6487" w:rsidRDefault="00EE6487">
            <w:pPr>
              <w:tabs>
                <w:tab w:val="center" w:pos="610"/>
              </w:tabs>
              <w:rPr>
                <w:sz w:val="16"/>
                <w:szCs w:val="16"/>
              </w:rPr>
            </w:pPr>
            <w:r>
              <w:rPr>
                <w:sz w:val="16"/>
                <w:szCs w:val="16"/>
              </w:rPr>
              <w:t>Low</w:t>
            </w:r>
          </w:p>
        </w:tc>
        <w:tc>
          <w:tcPr>
            <w:tcW w:w="992" w:type="dxa"/>
            <w:tcBorders>
              <w:top w:val="single" w:sz="4" w:space="0" w:color="auto"/>
              <w:left w:val="single" w:sz="4" w:space="0" w:color="auto"/>
              <w:bottom w:val="single" w:sz="4" w:space="0" w:color="auto"/>
              <w:right w:val="single" w:sz="4" w:space="0" w:color="auto"/>
            </w:tcBorders>
          </w:tcPr>
          <w:p w14:paraId="2CE50FE2" w14:textId="77777777" w:rsidR="00EE6487" w:rsidRDefault="00EE6487">
            <w:pPr>
              <w:rPr>
                <w:rFonts w:cs="Arial"/>
                <w:iCs/>
                <w:spacing w:val="1"/>
                <w:sz w:val="16"/>
                <w:szCs w:val="16"/>
                <w:lang w:val="fr-FR" w:eastAsia="fr-FR"/>
              </w:rPr>
            </w:pPr>
            <w:r>
              <w:rPr>
                <w:rFonts w:cs="Arial"/>
                <w:iCs/>
                <w:spacing w:val="1"/>
                <w:sz w:val="16"/>
                <w:szCs w:val="16"/>
                <w:lang w:val="fr-FR" w:eastAsia="fr-FR"/>
              </w:rPr>
              <w:t>Skin Irrit.2, H315</w:t>
            </w:r>
          </w:p>
          <w:p w14:paraId="6A9F18A8" w14:textId="77777777" w:rsidR="00EE6487" w:rsidRDefault="00EE6487">
            <w:pPr>
              <w:rPr>
                <w:rFonts w:cs="Arial"/>
                <w:iCs/>
                <w:spacing w:val="1"/>
                <w:sz w:val="16"/>
                <w:szCs w:val="16"/>
                <w:lang w:val="fr-FR" w:eastAsia="fr-FR"/>
              </w:rPr>
            </w:pPr>
          </w:p>
          <w:p w14:paraId="7481D0C6" w14:textId="77777777" w:rsidR="00EE6487" w:rsidRDefault="00EE6487">
            <w:pPr>
              <w:rPr>
                <w:rFonts w:cs="Arial"/>
                <w:iCs/>
                <w:spacing w:val="1"/>
                <w:sz w:val="16"/>
                <w:szCs w:val="16"/>
                <w:lang w:val="fr-FR" w:eastAsia="fr-FR"/>
              </w:rPr>
            </w:pPr>
            <w:r>
              <w:rPr>
                <w:rFonts w:cs="Arial"/>
                <w:iCs/>
                <w:sz w:val="16"/>
                <w:lang w:val="fr-FR"/>
              </w:rPr>
              <w:t>Eye Irrit.2, H319</w:t>
            </w:r>
          </w:p>
          <w:p w14:paraId="333343C7" w14:textId="77777777" w:rsidR="00EE6487" w:rsidRDefault="00EE6487">
            <w:pPr>
              <w:rPr>
                <w:rFonts w:cs="Arial"/>
                <w:iCs/>
                <w:spacing w:val="1"/>
                <w:sz w:val="16"/>
                <w:szCs w:val="16"/>
                <w:lang w:val="fr-FR" w:eastAsia="fr-FR"/>
              </w:rPr>
            </w:pPr>
          </w:p>
          <w:p w14:paraId="50BBE8E8" w14:textId="77777777" w:rsidR="00EE6487" w:rsidRDefault="00EE6487">
            <w:pPr>
              <w:rPr>
                <w:rFonts w:cs="Arial"/>
                <w:iCs/>
                <w:spacing w:val="1"/>
                <w:sz w:val="16"/>
                <w:szCs w:val="16"/>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53E2EE49" w14:textId="77777777" w:rsidR="00EE6487" w:rsidRDefault="00EE6487">
            <w:pP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3DC56D6" w14:textId="77777777" w:rsidR="00EE6487" w:rsidRDefault="00EE6487">
            <w:pPr>
              <w:rPr>
                <w:sz w:val="16"/>
                <w:szCs w:val="16"/>
              </w:rPr>
            </w:pPr>
            <w:r>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14:paraId="76FC344B" w14:textId="77777777" w:rsidR="00EE6487" w:rsidRDefault="00EE6487">
            <w:pPr>
              <w:rPr>
                <w:sz w:val="16"/>
                <w:szCs w:val="16"/>
              </w:rPr>
            </w:pPr>
            <w:r>
              <w:rPr>
                <w:sz w:val="16"/>
                <w:szCs w:val="16"/>
              </w:rPr>
              <w:t>Professionals</w:t>
            </w:r>
          </w:p>
          <w:p w14:paraId="446F184F" w14:textId="77777777" w:rsidR="00EE6487" w:rsidRDefault="00EE6487">
            <w:pPr>
              <w:rPr>
                <w:sz w:val="16"/>
                <w:szCs w:val="16"/>
              </w:rPr>
            </w:pPr>
          </w:p>
          <w:p w14:paraId="75045A4D" w14:textId="77777777" w:rsidR="00EE6487" w:rsidRDefault="00EE6487">
            <w:pPr>
              <w:rPr>
                <w:sz w:val="16"/>
                <w:szCs w:val="16"/>
              </w:rPr>
            </w:pPr>
          </w:p>
          <w:p w14:paraId="43092060" w14:textId="77777777" w:rsidR="00EE6487" w:rsidRDefault="00EE6487">
            <w:pPr>
              <w:rPr>
                <w:sz w:val="16"/>
                <w:szCs w:val="16"/>
              </w:rPr>
            </w:pPr>
          </w:p>
          <w:p w14:paraId="502BEC00" w14:textId="77777777" w:rsidR="00EE6487" w:rsidRDefault="00EE648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098FC5" w14:textId="77777777" w:rsidR="00EE6487" w:rsidRDefault="00EE6487">
            <w:pPr>
              <w:rPr>
                <w:sz w:val="16"/>
                <w:szCs w:val="16"/>
              </w:rPr>
            </w:pPr>
            <w:r>
              <w:rPr>
                <w:sz w:val="16"/>
                <w:szCs w:val="16"/>
              </w:rPr>
              <w:t>Spraying on hard surfaces</w:t>
            </w:r>
          </w:p>
          <w:p w14:paraId="49DD5541" w14:textId="77777777" w:rsidR="00EE6487" w:rsidRDefault="00EE6487">
            <w:pPr>
              <w:rPr>
                <w:sz w:val="16"/>
                <w:szCs w:val="16"/>
              </w:rPr>
            </w:pPr>
          </w:p>
          <w:p w14:paraId="4B1C6C8A" w14:textId="77777777" w:rsidR="00EE6487" w:rsidRDefault="00EE6487">
            <w:pPr>
              <w:rPr>
                <w:sz w:val="16"/>
                <w:szCs w:val="16"/>
              </w:rPr>
            </w:pPr>
            <w:r>
              <w:rPr>
                <w:sz w:val="16"/>
                <w:szCs w:val="16"/>
              </w:rPr>
              <w:t xml:space="preserve">Cleaning of spray equipment  </w:t>
            </w:r>
          </w:p>
          <w:p w14:paraId="1C7CC061" w14:textId="77777777" w:rsidR="00EE6487" w:rsidRDefault="00EE6487">
            <w:pPr>
              <w:rPr>
                <w:sz w:val="16"/>
                <w:szCs w:val="16"/>
              </w:rPr>
            </w:pPr>
          </w:p>
          <w:p w14:paraId="78ECFF55" w14:textId="77777777" w:rsidR="00EE6487" w:rsidRDefault="00EE6487">
            <w:pPr>
              <w:rPr>
                <w:sz w:val="16"/>
                <w:szCs w:val="16"/>
              </w:rPr>
            </w:pPr>
            <w:r>
              <w:rPr>
                <w:sz w:val="16"/>
                <w:szCs w:val="16"/>
              </w:rPr>
              <w:t xml:space="preserve">Wiping on hard surfaces </w:t>
            </w:r>
          </w:p>
          <w:p w14:paraId="370C65A0" w14:textId="77777777" w:rsidR="00EE6487" w:rsidRDefault="00EE6487">
            <w:pPr>
              <w:rPr>
                <w:sz w:val="16"/>
                <w:szCs w:val="16"/>
              </w:rPr>
            </w:pPr>
          </w:p>
          <w:p w14:paraId="71A38DCE" w14:textId="77777777" w:rsidR="00EE6487" w:rsidRDefault="00EE6487">
            <w:pPr>
              <w:rPr>
                <w:sz w:val="16"/>
                <w:szCs w:val="16"/>
              </w:rPr>
            </w:pPr>
            <w:r>
              <w:rPr>
                <w:sz w:val="16"/>
                <w:szCs w:val="16"/>
              </w:rPr>
              <w:t xml:space="preserve">Brushing </w:t>
            </w:r>
          </w:p>
          <w:p w14:paraId="2A83FA25" w14:textId="77777777" w:rsidR="00EE6487" w:rsidRDefault="00EE6487">
            <w:pPr>
              <w:rPr>
                <w:sz w:val="16"/>
                <w:szCs w:val="16"/>
              </w:rPr>
            </w:pPr>
          </w:p>
          <w:p w14:paraId="24201CE8" w14:textId="77777777" w:rsidR="00EE6487" w:rsidRDefault="00EE6487">
            <w:pPr>
              <w:rPr>
                <w:sz w:val="16"/>
                <w:szCs w:val="16"/>
              </w:rPr>
            </w:pPr>
            <w:r>
              <w:rPr>
                <w:sz w:val="16"/>
                <w:szCs w:val="16"/>
              </w:rPr>
              <w:t>Scrubbing</w:t>
            </w:r>
          </w:p>
          <w:p w14:paraId="7F01C459" w14:textId="77777777" w:rsidR="00EE6487" w:rsidRDefault="00EE6487">
            <w:pPr>
              <w:rPr>
                <w:sz w:val="16"/>
                <w:szCs w:val="16"/>
              </w:rPr>
            </w:pPr>
          </w:p>
          <w:p w14:paraId="01D682E5" w14:textId="77777777" w:rsidR="00EE6487" w:rsidRDefault="00EE6487">
            <w:pPr>
              <w:rPr>
                <w:sz w:val="16"/>
                <w:szCs w:val="16"/>
              </w:rPr>
            </w:pPr>
            <w:r>
              <w:rPr>
                <w:sz w:val="16"/>
                <w:szCs w:val="16"/>
              </w:rPr>
              <w:t>Mopping</w:t>
            </w:r>
          </w:p>
          <w:p w14:paraId="1D6848B6" w14:textId="77777777" w:rsidR="00EE6487" w:rsidRDefault="00EE6487">
            <w:pPr>
              <w:rPr>
                <w:sz w:val="16"/>
                <w:szCs w:val="16"/>
              </w:rPr>
            </w:pPr>
          </w:p>
          <w:p w14:paraId="44BA2677" w14:textId="77777777" w:rsidR="00EE6487" w:rsidRDefault="00EE6487">
            <w:pPr>
              <w:rPr>
                <w:sz w:val="16"/>
                <w:szCs w:val="16"/>
              </w:rPr>
            </w:pPr>
          </w:p>
          <w:p w14:paraId="3462847D" w14:textId="77777777" w:rsidR="00EE6487" w:rsidRDefault="00EE6487">
            <w:pPr>
              <w:rPr>
                <w:sz w:val="16"/>
                <w:szCs w:val="16"/>
              </w:rPr>
            </w:pPr>
          </w:p>
          <w:p w14:paraId="42818068" w14:textId="77777777" w:rsidR="00EE6487" w:rsidRDefault="00EE6487">
            <w:pPr>
              <w:rPr>
                <w:sz w:val="16"/>
                <w:szCs w:val="16"/>
              </w:rPr>
            </w:pPr>
          </w:p>
          <w:p w14:paraId="7D27FD2E" w14:textId="77777777" w:rsidR="00EE6487" w:rsidRDefault="00EE6487">
            <w:pPr>
              <w:rPr>
                <w:sz w:val="16"/>
                <w:szCs w:val="16"/>
              </w:rPr>
            </w:pPr>
          </w:p>
          <w:p w14:paraId="0228C108" w14:textId="77777777" w:rsidR="00EE6487" w:rsidRDefault="00EE6487">
            <w:pPr>
              <w:rPr>
                <w:sz w:val="16"/>
                <w:szCs w:val="16"/>
              </w:rPr>
            </w:pPr>
          </w:p>
          <w:p w14:paraId="7081F1FF" w14:textId="77777777" w:rsidR="00EE6487" w:rsidRDefault="00EE6487">
            <w:pPr>
              <w:rPr>
                <w:sz w:val="16"/>
              </w:rPr>
            </w:pPr>
          </w:p>
        </w:tc>
        <w:tc>
          <w:tcPr>
            <w:tcW w:w="851" w:type="dxa"/>
            <w:tcBorders>
              <w:top w:val="single" w:sz="4" w:space="0" w:color="auto"/>
              <w:left w:val="single" w:sz="4" w:space="0" w:color="auto"/>
              <w:bottom w:val="single" w:sz="4" w:space="0" w:color="auto"/>
              <w:right w:val="single" w:sz="4" w:space="0" w:color="auto"/>
            </w:tcBorders>
          </w:tcPr>
          <w:p w14:paraId="442DB648" w14:textId="77777777" w:rsidR="00EE6487" w:rsidRDefault="00EE6487">
            <w:pPr>
              <w:rPr>
                <w:sz w:val="16"/>
                <w:szCs w:val="16"/>
              </w:rPr>
            </w:pPr>
            <w:r>
              <w:rPr>
                <w:sz w:val="16"/>
                <w:szCs w:val="16"/>
              </w:rPr>
              <w:t>Dermal</w:t>
            </w:r>
          </w:p>
          <w:p w14:paraId="28B6AF44" w14:textId="77777777" w:rsidR="00EE6487" w:rsidRDefault="00EE6487">
            <w:pPr>
              <w:rPr>
                <w:sz w:val="16"/>
                <w:szCs w:val="16"/>
              </w:rPr>
            </w:pPr>
          </w:p>
          <w:p w14:paraId="036E85A5" w14:textId="77777777" w:rsidR="00EE6487" w:rsidRDefault="00EE6487">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4209B86C" w14:textId="77777777" w:rsidR="00EE6487" w:rsidRDefault="00EE6487">
            <w:pPr>
              <w:rPr>
                <w:sz w:val="16"/>
                <w:szCs w:val="16"/>
              </w:rPr>
            </w:pPr>
            <w:r>
              <w:rPr>
                <w:sz w:val="16"/>
                <w:szCs w:val="16"/>
              </w:rPr>
              <w:t>More than few minutes but equal to or less than few hours per day</w:t>
            </w:r>
          </w:p>
        </w:tc>
        <w:tc>
          <w:tcPr>
            <w:tcW w:w="1300" w:type="dxa"/>
            <w:tcBorders>
              <w:top w:val="single" w:sz="4" w:space="0" w:color="auto"/>
              <w:left w:val="single" w:sz="4" w:space="0" w:color="auto"/>
              <w:bottom w:val="single" w:sz="4" w:space="0" w:color="auto"/>
              <w:right w:val="single" w:sz="4" w:space="0" w:color="auto"/>
            </w:tcBorders>
          </w:tcPr>
          <w:p w14:paraId="09F4EAE5" w14:textId="77777777" w:rsidR="00EE6487" w:rsidRDefault="00EE6487">
            <w:pPr>
              <w:rPr>
                <w:sz w:val="16"/>
                <w:szCs w:val="16"/>
              </w:rPr>
            </w:pPr>
            <w:r>
              <w:rPr>
                <w:sz w:val="16"/>
                <w:szCs w:val="16"/>
              </w:rPr>
              <w:t>Controlled exposure,</w:t>
            </w:r>
          </w:p>
          <w:p w14:paraId="13E3F6A3" w14:textId="77777777" w:rsidR="00EE6487" w:rsidRDefault="00EE6487">
            <w:pPr>
              <w:rPr>
                <w:sz w:val="16"/>
                <w:szCs w:val="16"/>
              </w:rPr>
            </w:pPr>
          </w:p>
          <w:p w14:paraId="2B797B78" w14:textId="77777777" w:rsidR="00EE6487" w:rsidRDefault="00EE6487">
            <w:pPr>
              <w:rPr>
                <w:sz w:val="16"/>
                <w:szCs w:val="16"/>
              </w:rPr>
            </w:pPr>
            <w:r>
              <w:rPr>
                <w:sz w:val="16"/>
                <w:szCs w:val="16"/>
              </w:rPr>
              <w:t>e.g respiratory exposure below or similar to spray application with high ventilation or technical RMM and PPE</w:t>
            </w:r>
          </w:p>
          <w:p w14:paraId="6E828388" w14:textId="77777777" w:rsidR="00EE6487" w:rsidRDefault="00EE6487">
            <w:pPr>
              <w:rPr>
                <w:sz w:val="16"/>
                <w:szCs w:val="16"/>
              </w:rPr>
            </w:pPr>
          </w:p>
          <w:p w14:paraId="1FFCE98D" w14:textId="77777777" w:rsidR="00EE6487" w:rsidRDefault="00EE6487">
            <w:pPr>
              <w:rPr>
                <w:sz w:val="16"/>
                <w:szCs w:val="16"/>
              </w:rPr>
            </w:pPr>
            <w:r>
              <w:rPr>
                <w:sz w:val="16"/>
                <w:szCs w:val="16"/>
              </w:rPr>
              <w:t>e.g cleaning and maintenance work with high ventilation or technical RMM and PPE</w:t>
            </w:r>
          </w:p>
        </w:tc>
        <w:tc>
          <w:tcPr>
            <w:tcW w:w="3765" w:type="dxa"/>
            <w:gridSpan w:val="2"/>
            <w:tcBorders>
              <w:top w:val="single" w:sz="4" w:space="0" w:color="auto"/>
              <w:left w:val="single" w:sz="4" w:space="0" w:color="auto"/>
              <w:bottom w:val="single" w:sz="4" w:space="0" w:color="auto"/>
              <w:right w:val="single" w:sz="4" w:space="0" w:color="auto"/>
            </w:tcBorders>
          </w:tcPr>
          <w:p w14:paraId="4498847D" w14:textId="77777777" w:rsidR="00EE6487" w:rsidRDefault="00EE6487">
            <w:pPr>
              <w:pStyle w:val="Paragraphedeliste"/>
              <w:ind w:left="0"/>
              <w:jc w:val="both"/>
              <w:rPr>
                <w:rFonts w:cs="Arial"/>
                <w:iCs/>
                <w:sz w:val="16"/>
                <w:szCs w:val="16"/>
                <w:lang w:val="en-US"/>
              </w:rPr>
            </w:pPr>
            <w:r>
              <w:rPr>
                <w:rFonts w:cs="Arial"/>
                <w:iCs/>
                <w:sz w:val="16"/>
                <w:szCs w:val="16"/>
                <w:lang w:val="en-US"/>
              </w:rPr>
              <w:t>Considering that the product will be applied by a professional, RMM must be applied:</w:t>
            </w:r>
          </w:p>
          <w:p w14:paraId="2A1F8714" w14:textId="77777777" w:rsidR="00EE6487" w:rsidRDefault="00EE6487">
            <w:pPr>
              <w:pStyle w:val="Paragraphedeliste"/>
              <w:ind w:left="0"/>
              <w:jc w:val="both"/>
              <w:rPr>
                <w:rFonts w:cs="Arial"/>
                <w:iCs/>
                <w:sz w:val="16"/>
                <w:szCs w:val="16"/>
                <w:lang w:val="en-US"/>
              </w:rPr>
            </w:pPr>
          </w:p>
          <w:p w14:paraId="168DD1AD" w14:textId="77777777" w:rsidR="00EE6487" w:rsidRDefault="00EE6487" w:rsidP="00EE6487">
            <w:pPr>
              <w:pStyle w:val="Paragraphedeliste"/>
              <w:numPr>
                <w:ilvl w:val="0"/>
                <w:numId w:val="40"/>
              </w:numPr>
              <w:jc w:val="both"/>
              <w:rPr>
                <w:rFonts w:cs="Arial"/>
                <w:iCs/>
                <w:sz w:val="16"/>
                <w:szCs w:val="16"/>
                <w:lang w:val="en-US"/>
              </w:rPr>
            </w:pPr>
            <w:r>
              <w:rPr>
                <w:rFonts w:cs="Arial"/>
                <w:iCs/>
                <w:sz w:val="16"/>
                <w:szCs w:val="16"/>
                <w:lang w:val="en-US"/>
              </w:rPr>
              <w:t>The spray application must be downward in order to avoid any facial exposure.</w:t>
            </w:r>
          </w:p>
          <w:p w14:paraId="59B1914B" w14:textId="7440F629" w:rsidR="00EE6487" w:rsidRDefault="00EE6487" w:rsidP="00EE6487">
            <w:pPr>
              <w:pStyle w:val="Paragraphedeliste"/>
              <w:numPr>
                <w:ilvl w:val="0"/>
                <w:numId w:val="40"/>
              </w:numPr>
              <w:rPr>
                <w:rFonts w:cs="Arial"/>
                <w:iCs/>
                <w:sz w:val="16"/>
                <w:szCs w:val="16"/>
                <w:lang w:val="en-US"/>
              </w:rPr>
            </w:pPr>
            <w:r>
              <w:rPr>
                <w:rFonts w:cs="Arial"/>
                <w:iCs/>
                <w:sz w:val="16"/>
                <w:szCs w:val="16"/>
                <w:lang w:val="en-US"/>
              </w:rPr>
              <w:t xml:space="preserve">Avoidance of contact with freshly </w:t>
            </w:r>
            <w:r w:rsidR="00135833">
              <w:rPr>
                <w:rFonts w:cs="Arial"/>
                <w:iCs/>
                <w:sz w:val="16"/>
                <w:szCs w:val="16"/>
                <w:lang w:val="en-US"/>
              </w:rPr>
              <w:t>treate</w:t>
            </w:r>
            <w:r>
              <w:rPr>
                <w:rFonts w:cs="Arial"/>
                <w:iCs/>
                <w:sz w:val="16"/>
                <w:szCs w:val="16"/>
                <w:lang w:val="en-US"/>
              </w:rPr>
              <w:t>d surfaces (for bystanders)</w:t>
            </w:r>
          </w:p>
          <w:p w14:paraId="0C1FD3F9" w14:textId="77777777" w:rsidR="00EE6487" w:rsidRDefault="00EE6487">
            <w:pPr>
              <w:jc w:val="both"/>
              <w:rPr>
                <w:rFonts w:cs="Arial"/>
                <w:iCs/>
                <w:sz w:val="16"/>
                <w:szCs w:val="16"/>
                <w:lang w:val="en-US"/>
              </w:rPr>
            </w:pPr>
          </w:p>
          <w:p w14:paraId="3C13B63F" w14:textId="77777777" w:rsidR="00EE6487" w:rsidRDefault="00EE6487">
            <w:pPr>
              <w:jc w:val="both"/>
              <w:rPr>
                <w:rFonts w:cs="Arial"/>
                <w:iCs/>
                <w:sz w:val="16"/>
                <w:szCs w:val="16"/>
                <w:lang w:val="en-US"/>
              </w:rPr>
            </w:pPr>
            <w:r>
              <w:rPr>
                <w:rFonts w:cs="Arial"/>
                <w:iCs/>
                <w:sz w:val="16"/>
                <w:szCs w:val="16"/>
                <w:lang w:val="en-US"/>
              </w:rPr>
              <w:t>The risk is acceptable considering the following PPE:</w:t>
            </w:r>
          </w:p>
          <w:p w14:paraId="5B4370F7" w14:textId="77777777" w:rsidR="00EE6487" w:rsidRDefault="00EE6487">
            <w:pPr>
              <w:jc w:val="both"/>
              <w:rPr>
                <w:rFonts w:cs="Arial"/>
                <w:iCs/>
                <w:sz w:val="16"/>
                <w:szCs w:val="16"/>
                <w:lang w:val="en-US"/>
              </w:rPr>
            </w:pPr>
          </w:p>
          <w:p w14:paraId="4551AB04"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face shield</w:t>
            </w:r>
          </w:p>
          <w:p w14:paraId="691A98E2"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substance/task appropriate gloves</w:t>
            </w:r>
          </w:p>
          <w:p w14:paraId="3C680D8A" w14:textId="77777777" w:rsidR="00EE6487" w:rsidRDefault="00EE6487" w:rsidP="00EE6487">
            <w:pPr>
              <w:pStyle w:val="Paragraphedeliste"/>
              <w:numPr>
                <w:ilvl w:val="0"/>
                <w:numId w:val="40"/>
              </w:numPr>
              <w:ind w:left="785"/>
              <w:jc w:val="both"/>
              <w:rPr>
                <w:rFonts w:cs="Arial"/>
                <w:iCs/>
                <w:sz w:val="16"/>
                <w:szCs w:val="16"/>
                <w:lang w:val="en-US"/>
              </w:rPr>
            </w:pPr>
            <w:r>
              <w:rPr>
                <w:rFonts w:cs="Arial"/>
                <w:iCs/>
                <w:sz w:val="16"/>
                <w:szCs w:val="16"/>
                <w:lang w:val="en-US"/>
              </w:rPr>
              <w:t>protection coverall</w:t>
            </w:r>
          </w:p>
          <w:p w14:paraId="7EDC2F23" w14:textId="77777777" w:rsidR="00EE6487" w:rsidRDefault="00EE6487">
            <w:pPr>
              <w:jc w:val="both"/>
              <w:rPr>
                <w:rFonts w:cs="Arial"/>
                <w:iCs/>
                <w:sz w:val="16"/>
                <w:szCs w:val="16"/>
                <w:lang w:val="en-US"/>
              </w:rPr>
            </w:pPr>
          </w:p>
          <w:p w14:paraId="600940E8" w14:textId="77777777" w:rsidR="00EE6487" w:rsidRDefault="00EE6487">
            <w:pPr>
              <w:pStyle w:val="Paragraphedeliste"/>
              <w:ind w:left="0"/>
              <w:jc w:val="both"/>
              <w:rPr>
                <w:rFonts w:cs="Arial"/>
                <w:iCs/>
                <w:sz w:val="16"/>
                <w:szCs w:val="16"/>
                <w:lang w:val="en-US"/>
              </w:rPr>
            </w:pPr>
          </w:p>
        </w:tc>
      </w:tr>
    </w:tbl>
    <w:p w14:paraId="7398DEE9" w14:textId="77777777" w:rsidR="00314D43" w:rsidRDefault="00314D43">
      <w:pPr>
        <w:spacing w:line="260" w:lineRule="atLeast"/>
        <w:rPr>
          <w:rFonts w:eastAsia="Calibri"/>
          <w:b/>
          <w:bCs/>
          <w:lang w:eastAsia="en-US"/>
        </w:rPr>
        <w:sectPr w:rsidR="00314D43" w:rsidSect="003213B9">
          <w:pgSz w:w="16838" w:h="11906" w:orient="landscape"/>
          <w:pgMar w:top="1446" w:right="1474" w:bottom="1247" w:left="2013" w:header="851" w:footer="851" w:gutter="0"/>
          <w:cols w:space="720"/>
          <w:docGrid w:linePitch="272"/>
        </w:sectPr>
      </w:pPr>
    </w:p>
    <w:p w14:paraId="7AD517D5" w14:textId="4207B509" w:rsidR="009D0C0B" w:rsidRPr="00B27CB1" w:rsidRDefault="00FA480B">
      <w:pPr>
        <w:spacing w:line="260" w:lineRule="atLeast"/>
        <w:rPr>
          <w:rFonts w:ascii="Times New Roman" w:eastAsia="Calibri" w:hAnsi="Times New Roman" w:cs="Times New Roman"/>
          <w:i/>
          <w:iCs/>
          <w:lang w:eastAsia="en-US"/>
        </w:rPr>
      </w:pPr>
      <w:r w:rsidRPr="00B27CB1">
        <w:rPr>
          <w:rFonts w:eastAsia="Calibri"/>
          <w:b/>
          <w:bCs/>
          <w:lang w:eastAsia="en-US"/>
        </w:rPr>
        <w:lastRenderedPageBreak/>
        <w:t>Conclusion</w:t>
      </w:r>
      <w:r w:rsidR="008607FE">
        <w:rPr>
          <w:rFonts w:eastAsia="Calibri"/>
          <w:b/>
          <w:bCs/>
          <w:lang w:eastAsia="en-US"/>
        </w:rPr>
        <w:t xml:space="preserve"> for industrial/professional users</w:t>
      </w:r>
    </w:p>
    <w:p w14:paraId="67811055" w14:textId="77777777" w:rsidR="00D64D93" w:rsidRDefault="00D64D93">
      <w:pPr>
        <w:spacing w:line="260" w:lineRule="atLeast"/>
        <w:rPr>
          <w:rFonts w:ascii="Times New Roman" w:eastAsia="Calibri" w:hAnsi="Times New Roman" w:cs="Times New Roman"/>
          <w:i/>
          <w:iCs/>
          <w:lang w:eastAsia="en-US"/>
        </w:rPr>
      </w:pPr>
    </w:p>
    <w:p w14:paraId="7F5B8CF4" w14:textId="77777777" w:rsidR="00D64D93" w:rsidRDefault="00D64D93" w:rsidP="00D64D93">
      <w:pPr>
        <w:jc w:val="both"/>
      </w:pPr>
      <w:r>
        <w:t>The risk is considered acceptable considering systemic and local effects for all meta SPC.</w:t>
      </w:r>
    </w:p>
    <w:p w14:paraId="763B5AB5" w14:textId="77777777" w:rsidR="00D64D93" w:rsidRDefault="00D64D93" w:rsidP="00D64D93">
      <w:pPr>
        <w:spacing w:line="260" w:lineRule="atLeast"/>
        <w:rPr>
          <w:highlight w:val="lightGray"/>
        </w:rPr>
      </w:pPr>
    </w:p>
    <w:p w14:paraId="5E13CB83" w14:textId="77777777" w:rsidR="00D64D93" w:rsidRDefault="00D64D93" w:rsidP="00D64D93">
      <w:pPr>
        <w:jc w:val="both"/>
        <w:rPr>
          <w:b/>
        </w:rPr>
      </w:pPr>
      <w:r>
        <w:rPr>
          <w:b/>
        </w:rPr>
        <w:t xml:space="preserve">The following PPE and RMM are needed: </w:t>
      </w:r>
    </w:p>
    <w:p w14:paraId="387340E0" w14:textId="77777777" w:rsidR="00D64D93" w:rsidRDefault="00D64D93" w:rsidP="00D64D93">
      <w:pPr>
        <w:jc w:val="both"/>
      </w:pPr>
    </w:p>
    <w:p w14:paraId="388C9483" w14:textId="77777777" w:rsidR="00D64D93" w:rsidRDefault="00D64D93" w:rsidP="00D64D93">
      <w:pPr>
        <w:jc w:val="both"/>
        <w:rPr>
          <w:i/>
          <w:u w:val="single"/>
        </w:rPr>
      </w:pPr>
      <w:r>
        <w:rPr>
          <w:i/>
          <w:u w:val="single"/>
        </w:rPr>
        <w:t xml:space="preserve">Meta SPC </w:t>
      </w:r>
      <w:r>
        <w:rPr>
          <w:b/>
          <w:i/>
          <w:u w:val="single"/>
        </w:rPr>
        <w:t>2</w:t>
      </w:r>
      <w:r>
        <w:rPr>
          <w:i/>
          <w:u w:val="single"/>
        </w:rPr>
        <w:t xml:space="preserve"> (Uses #3-4) - </w:t>
      </w:r>
      <w:r>
        <w:rPr>
          <w:b/>
          <w:i/>
          <w:u w:val="single"/>
        </w:rPr>
        <w:t>3</w:t>
      </w:r>
      <w:r>
        <w:rPr>
          <w:i/>
          <w:u w:val="single"/>
        </w:rPr>
        <w:t xml:space="preserve"> (Uses #1-2)</w:t>
      </w:r>
    </w:p>
    <w:p w14:paraId="042A35D8" w14:textId="77777777" w:rsidR="00D64D93" w:rsidRDefault="00D64D93" w:rsidP="00D64D93">
      <w:pPr>
        <w:jc w:val="both"/>
      </w:pPr>
    </w:p>
    <w:p w14:paraId="6260412F" w14:textId="77777777" w:rsidR="00D64D93" w:rsidRDefault="00D64D93" w:rsidP="00D64D93">
      <w:pPr>
        <w:ind w:firstLine="360"/>
        <w:jc w:val="both"/>
      </w:pPr>
      <w:r>
        <w:t>PPE</w:t>
      </w:r>
      <w:r w:rsidRPr="00E7364E">
        <w:t xml:space="preserve"> </w:t>
      </w:r>
      <w:r>
        <w:t>during loading of the trigger spray and application:</w:t>
      </w:r>
    </w:p>
    <w:p w14:paraId="21B19E3D" w14:textId="77777777" w:rsidR="00D64D93" w:rsidRDefault="00D64D93" w:rsidP="00D64D93">
      <w:pPr>
        <w:ind w:firstLine="360"/>
        <w:jc w:val="both"/>
      </w:pPr>
    </w:p>
    <w:p w14:paraId="36104ECC" w14:textId="77777777" w:rsidR="00D64D93" w:rsidRDefault="00D64D93" w:rsidP="00D64D93">
      <w:pPr>
        <w:numPr>
          <w:ilvl w:val="0"/>
          <w:numId w:val="42"/>
        </w:numPr>
        <w:jc w:val="both"/>
        <w:rPr>
          <w:rFonts w:eastAsia="Calibri"/>
        </w:rPr>
      </w:pPr>
      <w:r>
        <w:rPr>
          <w:rFonts w:eastAsia="Calibri"/>
        </w:rPr>
        <w:t>Face shield</w:t>
      </w:r>
    </w:p>
    <w:p w14:paraId="2AABAA46" w14:textId="77777777" w:rsidR="00D64D93" w:rsidRDefault="00D64D93" w:rsidP="00D64D93">
      <w:pPr>
        <w:numPr>
          <w:ilvl w:val="0"/>
          <w:numId w:val="42"/>
        </w:numPr>
        <w:jc w:val="both"/>
        <w:rPr>
          <w:rFonts w:eastAsia="Calibri"/>
        </w:rPr>
      </w:pPr>
      <w:r>
        <w:rPr>
          <w:rFonts w:eastAsia="Calibri"/>
        </w:rPr>
        <w:t>Substance/task appropriate gloves</w:t>
      </w:r>
    </w:p>
    <w:p w14:paraId="16B001D2" w14:textId="77777777" w:rsidR="00D64D93" w:rsidRDefault="00D64D93" w:rsidP="00D64D93">
      <w:pPr>
        <w:numPr>
          <w:ilvl w:val="0"/>
          <w:numId w:val="42"/>
        </w:numPr>
        <w:jc w:val="both"/>
        <w:rPr>
          <w:rFonts w:eastAsia="Calibri"/>
        </w:rPr>
      </w:pPr>
      <w:r>
        <w:rPr>
          <w:rFonts w:eastAsia="Calibri"/>
        </w:rPr>
        <w:t>Protection coverall</w:t>
      </w:r>
    </w:p>
    <w:p w14:paraId="79428637" w14:textId="77777777" w:rsidR="00D64D93" w:rsidRDefault="00D64D93" w:rsidP="00D64D93">
      <w:pPr>
        <w:jc w:val="both"/>
      </w:pPr>
    </w:p>
    <w:p w14:paraId="0823DD47" w14:textId="77777777" w:rsidR="00D64D93" w:rsidRDefault="00D64D93" w:rsidP="00D64D93">
      <w:pPr>
        <w:ind w:firstLine="360"/>
        <w:jc w:val="both"/>
      </w:pPr>
      <w:r>
        <w:t>RMM:</w:t>
      </w:r>
    </w:p>
    <w:p w14:paraId="62EC927B" w14:textId="77777777" w:rsidR="00D64D93" w:rsidRDefault="00D64D93" w:rsidP="00D64D93">
      <w:pPr>
        <w:jc w:val="both"/>
      </w:pPr>
    </w:p>
    <w:p w14:paraId="28BC6089" w14:textId="77777777" w:rsidR="00D64D93" w:rsidRDefault="00D64D93" w:rsidP="00D64D93">
      <w:pPr>
        <w:numPr>
          <w:ilvl w:val="0"/>
          <w:numId w:val="40"/>
        </w:numPr>
        <w:jc w:val="both"/>
        <w:rPr>
          <w:rFonts w:cs="Arial"/>
          <w:iCs/>
          <w:szCs w:val="16"/>
          <w:lang w:val="en-US"/>
        </w:rPr>
      </w:pPr>
      <w:r>
        <w:rPr>
          <w:rFonts w:cs="Arial"/>
          <w:iCs/>
          <w:szCs w:val="16"/>
        </w:rPr>
        <w:t>M</w:t>
      </w:r>
      <w:r>
        <w:rPr>
          <w:rFonts w:cs="Arial"/>
          <w:iCs/>
          <w:szCs w:val="16"/>
          <w:lang w:val="en-US"/>
        </w:rPr>
        <w:t>inimisation of splashes and spills during loading of the trigger spray</w:t>
      </w:r>
    </w:p>
    <w:p w14:paraId="5DD0382B" w14:textId="77777777" w:rsidR="00D64D93" w:rsidRDefault="00D64D93" w:rsidP="00D64D93">
      <w:pPr>
        <w:numPr>
          <w:ilvl w:val="0"/>
          <w:numId w:val="40"/>
        </w:numPr>
        <w:jc w:val="both"/>
        <w:rPr>
          <w:rFonts w:cs="Arial"/>
          <w:iCs/>
          <w:szCs w:val="16"/>
          <w:lang w:val="en-US"/>
        </w:rPr>
      </w:pPr>
      <w:r>
        <w:rPr>
          <w:rFonts w:cs="Arial"/>
          <w:iCs/>
          <w:szCs w:val="16"/>
          <w:lang w:val="en-US"/>
        </w:rPr>
        <w:t>The spray application must be downward in order to avoid any facial exposure.</w:t>
      </w:r>
    </w:p>
    <w:p w14:paraId="18079FA4" w14:textId="77777777" w:rsidR="00D64D93" w:rsidRDefault="00D64D93" w:rsidP="00D64D93">
      <w:pPr>
        <w:numPr>
          <w:ilvl w:val="0"/>
          <w:numId w:val="40"/>
        </w:numPr>
        <w:ind w:left="785"/>
        <w:jc w:val="both"/>
        <w:rPr>
          <w:rFonts w:cs="Arial"/>
          <w:iCs/>
          <w:szCs w:val="16"/>
          <w:lang w:val="en-US"/>
        </w:rPr>
      </w:pPr>
      <w:r>
        <w:rPr>
          <w:rFonts w:cs="Arial"/>
          <w:iCs/>
          <w:szCs w:val="16"/>
          <w:lang w:val="en-US"/>
        </w:rPr>
        <w:t>Avoidance of contact with freshly treated surfaces (for bystanders)</w:t>
      </w:r>
    </w:p>
    <w:p w14:paraId="77841E22" w14:textId="77777777" w:rsidR="00D64D93" w:rsidRDefault="00D64D93" w:rsidP="00D64D93">
      <w:pPr>
        <w:jc w:val="both"/>
        <w:rPr>
          <w:rFonts w:ascii="Times New Roman" w:eastAsia="Calibri" w:hAnsi="Times New Roman" w:cs="Times New Roman"/>
          <w:i/>
          <w:iCs/>
          <w:lang w:val="en-US"/>
        </w:rPr>
      </w:pPr>
    </w:p>
    <w:p w14:paraId="2284EA1A" w14:textId="77777777" w:rsidR="00D64D93" w:rsidRDefault="00D64D93" w:rsidP="00D64D93">
      <w:pPr>
        <w:jc w:val="both"/>
        <w:rPr>
          <w:i/>
          <w:u w:val="single"/>
        </w:rPr>
      </w:pPr>
      <w:r>
        <w:rPr>
          <w:rFonts w:ascii="Times New Roman" w:eastAsia="Calibri" w:hAnsi="Times New Roman" w:cs="Times New Roman"/>
          <w:i/>
          <w:iCs/>
          <w:lang w:val="en-US"/>
        </w:rPr>
        <w:t xml:space="preserve"> </w:t>
      </w:r>
      <w:r>
        <w:rPr>
          <w:i/>
          <w:u w:val="single"/>
        </w:rPr>
        <w:t xml:space="preserve">Meta SPC </w:t>
      </w:r>
      <w:r>
        <w:rPr>
          <w:b/>
          <w:i/>
          <w:u w:val="single"/>
        </w:rPr>
        <w:t>4</w:t>
      </w:r>
      <w:r>
        <w:rPr>
          <w:i/>
          <w:u w:val="single"/>
        </w:rPr>
        <w:t xml:space="preserve"> (Use #1)</w:t>
      </w:r>
    </w:p>
    <w:p w14:paraId="6015A2B6" w14:textId="77777777" w:rsidR="00D64D93" w:rsidRDefault="00D64D93" w:rsidP="00D64D93">
      <w:pPr>
        <w:jc w:val="both"/>
      </w:pPr>
    </w:p>
    <w:p w14:paraId="391013F5" w14:textId="77777777" w:rsidR="00D64D93" w:rsidRDefault="00D64D93" w:rsidP="00D64D93">
      <w:pPr>
        <w:ind w:firstLine="360"/>
        <w:jc w:val="both"/>
      </w:pPr>
      <w:r>
        <w:t>PPE during loading of the trigger spray and application:</w:t>
      </w:r>
    </w:p>
    <w:p w14:paraId="38DA70CD" w14:textId="77777777" w:rsidR="00D64D93" w:rsidRDefault="00D64D93" w:rsidP="00D64D93">
      <w:pPr>
        <w:jc w:val="both"/>
      </w:pPr>
    </w:p>
    <w:p w14:paraId="2F26374C" w14:textId="77777777" w:rsidR="00D64D93" w:rsidRDefault="00D64D93" w:rsidP="00D64D93">
      <w:pPr>
        <w:numPr>
          <w:ilvl w:val="0"/>
          <w:numId w:val="39"/>
        </w:numPr>
        <w:jc w:val="both"/>
        <w:rPr>
          <w:rFonts w:eastAsia="Calibri"/>
        </w:rPr>
      </w:pPr>
      <w:r>
        <w:rPr>
          <w:rFonts w:eastAsia="Calibri"/>
        </w:rPr>
        <w:t>Goggles</w:t>
      </w:r>
    </w:p>
    <w:p w14:paraId="68243BBE" w14:textId="77777777" w:rsidR="00D64D93" w:rsidRDefault="00D64D93" w:rsidP="00D64D93">
      <w:pPr>
        <w:jc w:val="both"/>
      </w:pPr>
    </w:p>
    <w:p w14:paraId="5114DFC2" w14:textId="77777777" w:rsidR="00D64D93" w:rsidRDefault="00D64D93" w:rsidP="00D64D93">
      <w:pPr>
        <w:ind w:firstLine="360"/>
        <w:jc w:val="both"/>
      </w:pPr>
      <w:r>
        <w:t>RMM:</w:t>
      </w:r>
    </w:p>
    <w:p w14:paraId="28D8F95C" w14:textId="77777777" w:rsidR="00D64D93" w:rsidRDefault="00D64D93" w:rsidP="00D64D93">
      <w:pPr>
        <w:jc w:val="both"/>
      </w:pPr>
    </w:p>
    <w:p w14:paraId="26E2F6C5" w14:textId="77777777" w:rsidR="00D64D93" w:rsidRDefault="00D64D93" w:rsidP="00D64D93">
      <w:pPr>
        <w:numPr>
          <w:ilvl w:val="0"/>
          <w:numId w:val="40"/>
        </w:numPr>
        <w:jc w:val="both"/>
        <w:rPr>
          <w:rFonts w:cs="Arial"/>
          <w:iCs/>
          <w:szCs w:val="16"/>
          <w:lang w:val="en-US"/>
        </w:rPr>
      </w:pPr>
      <w:r>
        <w:rPr>
          <w:rFonts w:cs="Arial"/>
          <w:iCs/>
          <w:szCs w:val="16"/>
        </w:rPr>
        <w:t>M</w:t>
      </w:r>
      <w:r>
        <w:rPr>
          <w:rFonts w:cs="Arial"/>
          <w:iCs/>
          <w:szCs w:val="16"/>
          <w:lang w:val="en-US"/>
        </w:rPr>
        <w:t>inimisation of splashes and spills during loading of the trigger spray</w:t>
      </w:r>
    </w:p>
    <w:p w14:paraId="6C21ADD1" w14:textId="77777777" w:rsidR="00D64D93" w:rsidRDefault="00D64D93" w:rsidP="00D64D93">
      <w:pPr>
        <w:numPr>
          <w:ilvl w:val="0"/>
          <w:numId w:val="40"/>
        </w:numPr>
        <w:jc w:val="both"/>
        <w:rPr>
          <w:rFonts w:cs="Arial"/>
          <w:iCs/>
          <w:szCs w:val="16"/>
          <w:lang w:val="en-US"/>
        </w:rPr>
      </w:pPr>
      <w:r>
        <w:rPr>
          <w:rFonts w:cs="Arial"/>
          <w:iCs/>
          <w:szCs w:val="16"/>
          <w:lang w:val="en-US"/>
        </w:rPr>
        <w:t>The spray application must be downward in order to avoid any facial exposure.</w:t>
      </w:r>
    </w:p>
    <w:p w14:paraId="63162B5A" w14:textId="77777777" w:rsidR="00D64D93" w:rsidRDefault="00D64D93" w:rsidP="00D64D93">
      <w:pPr>
        <w:jc w:val="both"/>
        <w:rPr>
          <w:lang w:val="en-US"/>
        </w:rPr>
      </w:pPr>
    </w:p>
    <w:p w14:paraId="648A026C" w14:textId="77777777" w:rsidR="00D64D93" w:rsidRDefault="00D64D93" w:rsidP="00D64D93">
      <w:pPr>
        <w:jc w:val="both"/>
        <w:rPr>
          <w:rFonts w:ascii="Times New Roman" w:eastAsia="Calibri" w:hAnsi="Times New Roman" w:cs="Times New Roman"/>
          <w:i/>
          <w:iCs/>
        </w:rPr>
      </w:pPr>
      <w:r>
        <w:rPr>
          <w:rFonts w:ascii="Times New Roman" w:eastAsia="Calibri" w:hAnsi="Times New Roman" w:cs="Times New Roman"/>
          <w:i/>
          <w:iCs/>
          <w:lang w:val="en-US"/>
        </w:rPr>
        <w:t xml:space="preserve"> </w:t>
      </w:r>
    </w:p>
    <w:p w14:paraId="1D8BC433" w14:textId="77777777" w:rsidR="00D64D93" w:rsidRDefault="00D64D93" w:rsidP="00D64D93">
      <w:pPr>
        <w:jc w:val="both"/>
        <w:rPr>
          <w:i/>
          <w:u w:val="single"/>
        </w:rPr>
      </w:pPr>
      <w:r>
        <w:rPr>
          <w:i/>
          <w:u w:val="single"/>
        </w:rPr>
        <w:t xml:space="preserve">Meta SPC </w:t>
      </w:r>
      <w:r>
        <w:rPr>
          <w:b/>
          <w:i/>
          <w:u w:val="single"/>
        </w:rPr>
        <w:t>6</w:t>
      </w:r>
      <w:r>
        <w:rPr>
          <w:i/>
          <w:u w:val="single"/>
        </w:rPr>
        <w:t xml:space="preserve"> (Uses #1-2-3-4) - </w:t>
      </w:r>
      <w:r>
        <w:rPr>
          <w:b/>
          <w:i/>
          <w:u w:val="single"/>
        </w:rPr>
        <w:t>7</w:t>
      </w:r>
      <w:r>
        <w:rPr>
          <w:i/>
          <w:u w:val="single"/>
        </w:rPr>
        <w:t xml:space="preserve"> (Uses #1-2-3-4) - </w:t>
      </w:r>
      <w:r>
        <w:rPr>
          <w:b/>
          <w:i/>
          <w:u w:val="single"/>
        </w:rPr>
        <w:t>11</w:t>
      </w:r>
      <w:r>
        <w:rPr>
          <w:i/>
          <w:u w:val="single"/>
        </w:rPr>
        <w:t xml:space="preserve"> (Use #1) -</w:t>
      </w:r>
      <w:r>
        <w:rPr>
          <w:b/>
          <w:i/>
          <w:u w:val="single"/>
        </w:rPr>
        <w:t>13</w:t>
      </w:r>
      <w:r>
        <w:rPr>
          <w:i/>
          <w:u w:val="single"/>
        </w:rPr>
        <w:t xml:space="preserve"> (Use #1)</w:t>
      </w:r>
    </w:p>
    <w:p w14:paraId="15F29FA3" w14:textId="77777777" w:rsidR="00D64D93" w:rsidRDefault="00D64D93" w:rsidP="00D64D93">
      <w:pPr>
        <w:jc w:val="both"/>
        <w:rPr>
          <w:i/>
          <w:u w:val="single"/>
        </w:rPr>
      </w:pPr>
    </w:p>
    <w:p w14:paraId="17E2F228" w14:textId="77777777" w:rsidR="00D64D93" w:rsidRDefault="00D64D93" w:rsidP="00D64D93">
      <w:pPr>
        <w:jc w:val="both"/>
        <w:rPr>
          <w:u w:val="single"/>
        </w:rPr>
      </w:pPr>
      <w:r>
        <w:rPr>
          <w:u w:val="single"/>
        </w:rPr>
        <w:t>During mixing and loading:</w:t>
      </w:r>
    </w:p>
    <w:p w14:paraId="78709602" w14:textId="77777777" w:rsidR="00D64D93" w:rsidRDefault="00D64D93" w:rsidP="00D64D93">
      <w:pPr>
        <w:jc w:val="both"/>
      </w:pPr>
    </w:p>
    <w:p w14:paraId="1237D4BF" w14:textId="77777777" w:rsidR="00D64D93" w:rsidRDefault="00D64D93" w:rsidP="00D64D93">
      <w:pPr>
        <w:ind w:firstLine="360"/>
        <w:jc w:val="both"/>
      </w:pPr>
      <w:r>
        <w:t>PPE:</w:t>
      </w:r>
    </w:p>
    <w:p w14:paraId="02E96D58" w14:textId="77777777" w:rsidR="00D64D93" w:rsidRDefault="00D64D93" w:rsidP="00D64D93">
      <w:pPr>
        <w:jc w:val="both"/>
      </w:pPr>
    </w:p>
    <w:p w14:paraId="50148729" w14:textId="77777777" w:rsidR="00D64D93" w:rsidRDefault="00D64D93" w:rsidP="00D64D93">
      <w:pPr>
        <w:numPr>
          <w:ilvl w:val="0"/>
          <w:numId w:val="39"/>
        </w:numPr>
        <w:jc w:val="both"/>
        <w:rPr>
          <w:rFonts w:eastAsia="Calibri"/>
        </w:rPr>
      </w:pPr>
      <w:r>
        <w:rPr>
          <w:rFonts w:eastAsia="Calibri"/>
        </w:rPr>
        <w:t>Face shield</w:t>
      </w:r>
    </w:p>
    <w:p w14:paraId="3E920098" w14:textId="77777777" w:rsidR="00D64D93" w:rsidRDefault="00D64D93" w:rsidP="00D64D93">
      <w:pPr>
        <w:numPr>
          <w:ilvl w:val="0"/>
          <w:numId w:val="39"/>
        </w:numPr>
        <w:jc w:val="both"/>
        <w:rPr>
          <w:rFonts w:eastAsia="Calibri"/>
        </w:rPr>
      </w:pPr>
      <w:r>
        <w:rPr>
          <w:rFonts w:eastAsia="Calibri"/>
        </w:rPr>
        <w:t>Substance/task appropriate gloves</w:t>
      </w:r>
    </w:p>
    <w:p w14:paraId="022DA9C1" w14:textId="77777777" w:rsidR="00D64D93" w:rsidRDefault="00D64D93" w:rsidP="00D64D93">
      <w:pPr>
        <w:numPr>
          <w:ilvl w:val="0"/>
          <w:numId w:val="39"/>
        </w:numPr>
        <w:jc w:val="both"/>
        <w:rPr>
          <w:rFonts w:eastAsia="Calibri"/>
        </w:rPr>
      </w:pPr>
      <w:r>
        <w:rPr>
          <w:rFonts w:eastAsia="Calibri"/>
        </w:rPr>
        <w:t>Protection coverall</w:t>
      </w:r>
    </w:p>
    <w:p w14:paraId="2CD5FF1F" w14:textId="77777777" w:rsidR="00D64D93" w:rsidRDefault="00D64D93" w:rsidP="00D64D93">
      <w:pPr>
        <w:jc w:val="both"/>
      </w:pPr>
    </w:p>
    <w:p w14:paraId="28A90FF9" w14:textId="77777777" w:rsidR="00D64D93" w:rsidRDefault="00D64D93" w:rsidP="00D64D93">
      <w:pPr>
        <w:ind w:firstLine="360"/>
        <w:jc w:val="both"/>
      </w:pPr>
      <w:r>
        <w:t>RMM:</w:t>
      </w:r>
    </w:p>
    <w:p w14:paraId="78D6876A" w14:textId="77777777" w:rsidR="00D64D93" w:rsidRDefault="00D64D93" w:rsidP="00D64D93">
      <w:pPr>
        <w:jc w:val="both"/>
      </w:pPr>
    </w:p>
    <w:p w14:paraId="5915E40B" w14:textId="77777777" w:rsidR="00D64D93" w:rsidRDefault="00D64D93" w:rsidP="00D64D93">
      <w:pPr>
        <w:numPr>
          <w:ilvl w:val="0"/>
          <w:numId w:val="40"/>
        </w:numPr>
        <w:jc w:val="both"/>
        <w:rPr>
          <w:rFonts w:cs="Arial"/>
          <w:iCs/>
          <w:szCs w:val="16"/>
          <w:lang w:val="en-US"/>
        </w:rPr>
      </w:pPr>
      <w:r>
        <w:rPr>
          <w:rFonts w:cs="Arial"/>
          <w:iCs/>
          <w:szCs w:val="16"/>
        </w:rPr>
        <w:t>M</w:t>
      </w:r>
      <w:r>
        <w:rPr>
          <w:rFonts w:cs="Arial"/>
          <w:iCs/>
          <w:szCs w:val="16"/>
          <w:lang w:val="en-US"/>
        </w:rPr>
        <w:t xml:space="preserve">inimisation of splashes and spills </w:t>
      </w:r>
    </w:p>
    <w:p w14:paraId="37DA619F" w14:textId="77777777" w:rsidR="00D64D93" w:rsidRDefault="00D64D93" w:rsidP="00D64D93">
      <w:pPr>
        <w:numPr>
          <w:ilvl w:val="0"/>
          <w:numId w:val="40"/>
        </w:numPr>
        <w:jc w:val="both"/>
        <w:rPr>
          <w:rFonts w:cs="Arial"/>
          <w:iCs/>
          <w:szCs w:val="16"/>
          <w:lang w:val="en-US"/>
        </w:rPr>
      </w:pPr>
      <w:r>
        <w:rPr>
          <w:rFonts w:cs="Arial"/>
          <w:iCs/>
          <w:szCs w:val="16"/>
          <w:lang w:val="en-US"/>
        </w:rPr>
        <w:t>Minimisation of manual phases</w:t>
      </w:r>
    </w:p>
    <w:p w14:paraId="4FDFF29E" w14:textId="77777777" w:rsidR="00D64D93" w:rsidRDefault="00D64D93" w:rsidP="00D64D93">
      <w:pPr>
        <w:jc w:val="both"/>
      </w:pPr>
    </w:p>
    <w:p w14:paraId="5D6B79C7" w14:textId="77777777" w:rsidR="00D64D93" w:rsidRDefault="00D64D93" w:rsidP="00D64D93">
      <w:pPr>
        <w:jc w:val="both"/>
        <w:rPr>
          <w:u w:val="single"/>
        </w:rPr>
      </w:pPr>
      <w:r>
        <w:rPr>
          <w:u w:val="single"/>
        </w:rPr>
        <w:t>During application and cleaning of spray equipment:</w:t>
      </w:r>
    </w:p>
    <w:p w14:paraId="7F2BB416" w14:textId="77777777" w:rsidR="00D64D93" w:rsidRDefault="00D64D93" w:rsidP="00D64D93">
      <w:pPr>
        <w:jc w:val="both"/>
      </w:pPr>
    </w:p>
    <w:p w14:paraId="4AA8A64E" w14:textId="77777777" w:rsidR="00D64D93" w:rsidRDefault="00D64D93" w:rsidP="00D64D93">
      <w:pPr>
        <w:ind w:firstLine="360"/>
        <w:jc w:val="both"/>
      </w:pPr>
      <w:r>
        <w:t>PPE:</w:t>
      </w:r>
    </w:p>
    <w:p w14:paraId="4300D0FB" w14:textId="77777777" w:rsidR="00D64D93" w:rsidRDefault="00D64D93" w:rsidP="00D64D93">
      <w:pPr>
        <w:jc w:val="both"/>
      </w:pPr>
    </w:p>
    <w:p w14:paraId="115E1470" w14:textId="77777777" w:rsidR="00D64D93" w:rsidRDefault="00D64D93" w:rsidP="00D64D93">
      <w:pPr>
        <w:numPr>
          <w:ilvl w:val="0"/>
          <w:numId w:val="39"/>
        </w:numPr>
        <w:jc w:val="both"/>
        <w:rPr>
          <w:rFonts w:eastAsia="Calibri"/>
        </w:rPr>
      </w:pPr>
      <w:r>
        <w:rPr>
          <w:rFonts w:eastAsia="Calibri"/>
        </w:rPr>
        <w:t>Face shield</w:t>
      </w:r>
    </w:p>
    <w:p w14:paraId="6142CBB3" w14:textId="77777777" w:rsidR="00D64D93" w:rsidRDefault="00D64D93" w:rsidP="00D64D93">
      <w:pPr>
        <w:numPr>
          <w:ilvl w:val="0"/>
          <w:numId w:val="39"/>
        </w:numPr>
        <w:jc w:val="both"/>
        <w:rPr>
          <w:rFonts w:eastAsia="Calibri"/>
        </w:rPr>
      </w:pPr>
      <w:r>
        <w:rPr>
          <w:rFonts w:eastAsia="Calibri"/>
        </w:rPr>
        <w:t>Substance/task appropriate gloves</w:t>
      </w:r>
    </w:p>
    <w:p w14:paraId="5A8D8903" w14:textId="77777777" w:rsidR="00D64D93" w:rsidRDefault="00D64D93" w:rsidP="00D64D93">
      <w:pPr>
        <w:numPr>
          <w:ilvl w:val="0"/>
          <w:numId w:val="39"/>
        </w:numPr>
        <w:jc w:val="both"/>
        <w:rPr>
          <w:rFonts w:eastAsia="Calibri"/>
        </w:rPr>
      </w:pPr>
      <w:r>
        <w:rPr>
          <w:rFonts w:eastAsia="Calibri"/>
        </w:rPr>
        <w:t>Protection coverall</w:t>
      </w:r>
    </w:p>
    <w:p w14:paraId="02CE2304" w14:textId="77777777" w:rsidR="00D64D93" w:rsidRDefault="00D64D93" w:rsidP="00D64D93">
      <w:pPr>
        <w:jc w:val="both"/>
      </w:pPr>
    </w:p>
    <w:p w14:paraId="39220BA6" w14:textId="77777777" w:rsidR="00D64D93" w:rsidRDefault="00D64D93" w:rsidP="00D64D93">
      <w:pPr>
        <w:ind w:firstLine="360"/>
        <w:jc w:val="both"/>
      </w:pPr>
      <w:r>
        <w:t>RMM:</w:t>
      </w:r>
    </w:p>
    <w:p w14:paraId="6A25A5D0" w14:textId="77777777" w:rsidR="00D64D93" w:rsidRDefault="00D64D93" w:rsidP="00D64D93">
      <w:pPr>
        <w:jc w:val="both"/>
      </w:pPr>
    </w:p>
    <w:p w14:paraId="41570A7C" w14:textId="77777777" w:rsidR="00D64D93" w:rsidRDefault="00D64D93" w:rsidP="00D64D93">
      <w:pPr>
        <w:numPr>
          <w:ilvl w:val="0"/>
          <w:numId w:val="40"/>
        </w:numPr>
        <w:jc w:val="both"/>
        <w:rPr>
          <w:rFonts w:cs="Arial"/>
          <w:iCs/>
          <w:szCs w:val="16"/>
          <w:lang w:val="en-US"/>
        </w:rPr>
      </w:pPr>
      <w:r>
        <w:rPr>
          <w:rFonts w:cs="Arial"/>
          <w:iCs/>
          <w:szCs w:val="16"/>
          <w:lang w:val="en-US"/>
        </w:rPr>
        <w:t>The spray application must be downward in order to avoid any facial exposure.</w:t>
      </w:r>
    </w:p>
    <w:p w14:paraId="4339FC6E" w14:textId="77777777" w:rsidR="00D64D93" w:rsidRDefault="00D64D93" w:rsidP="00D64D93">
      <w:pPr>
        <w:numPr>
          <w:ilvl w:val="0"/>
          <w:numId w:val="40"/>
        </w:numPr>
        <w:ind w:left="785"/>
        <w:jc w:val="both"/>
        <w:rPr>
          <w:rFonts w:cs="Arial"/>
          <w:iCs/>
          <w:szCs w:val="16"/>
          <w:lang w:val="en-US"/>
        </w:rPr>
      </w:pPr>
      <w:r>
        <w:rPr>
          <w:rFonts w:cs="Arial"/>
          <w:iCs/>
          <w:szCs w:val="16"/>
          <w:lang w:val="en-US"/>
        </w:rPr>
        <w:t>Avoidance of contact with freshly treated surfaces (for bystanders)</w:t>
      </w:r>
    </w:p>
    <w:p w14:paraId="2295E972" w14:textId="77777777" w:rsidR="00D64D93" w:rsidRDefault="00D64D93" w:rsidP="00D64D93">
      <w:pPr>
        <w:ind w:left="786"/>
        <w:jc w:val="both"/>
        <w:rPr>
          <w:rFonts w:cs="Arial"/>
          <w:iCs/>
          <w:szCs w:val="16"/>
          <w:lang w:val="en-US"/>
        </w:rPr>
      </w:pPr>
    </w:p>
    <w:p w14:paraId="6C2979F3" w14:textId="77777777" w:rsidR="00D64D93" w:rsidRDefault="00D64D93" w:rsidP="00D64D93">
      <w:pPr>
        <w:spacing w:line="260" w:lineRule="atLeast"/>
        <w:rPr>
          <w:rFonts w:ascii="Times New Roman" w:eastAsia="Calibri" w:hAnsi="Times New Roman" w:cs="Times New Roman"/>
          <w:i/>
          <w:iCs/>
        </w:rPr>
      </w:pPr>
    </w:p>
    <w:p w14:paraId="0E3860AF" w14:textId="77777777" w:rsidR="00D64D93" w:rsidRDefault="00D64D93" w:rsidP="00D64D93">
      <w:pPr>
        <w:jc w:val="both"/>
        <w:rPr>
          <w:i/>
          <w:u w:val="single"/>
        </w:rPr>
      </w:pPr>
      <w:r>
        <w:rPr>
          <w:rFonts w:ascii="Times New Roman" w:eastAsia="Calibri" w:hAnsi="Times New Roman" w:cs="Times New Roman"/>
          <w:i/>
          <w:iCs/>
        </w:rPr>
        <w:t xml:space="preserve"> </w:t>
      </w:r>
      <w:r>
        <w:rPr>
          <w:i/>
          <w:u w:val="single"/>
        </w:rPr>
        <w:t xml:space="preserve">Meta SPC </w:t>
      </w:r>
      <w:r>
        <w:rPr>
          <w:b/>
          <w:i/>
          <w:u w:val="single"/>
        </w:rPr>
        <w:t>12</w:t>
      </w:r>
      <w:r>
        <w:rPr>
          <w:i/>
          <w:u w:val="single"/>
        </w:rPr>
        <w:t xml:space="preserve"> (Use #1)</w:t>
      </w:r>
    </w:p>
    <w:p w14:paraId="23E1C15D" w14:textId="77777777" w:rsidR="00D64D93" w:rsidRDefault="00D64D93" w:rsidP="00D64D93">
      <w:pPr>
        <w:jc w:val="both"/>
      </w:pPr>
    </w:p>
    <w:p w14:paraId="26C3D192" w14:textId="77777777" w:rsidR="00D64D93" w:rsidRDefault="00D64D93" w:rsidP="00D64D93">
      <w:pPr>
        <w:jc w:val="both"/>
      </w:pPr>
      <w:r>
        <w:t>PPE during application:</w:t>
      </w:r>
    </w:p>
    <w:p w14:paraId="414B9E23" w14:textId="77777777" w:rsidR="00D64D93" w:rsidRDefault="00D64D93" w:rsidP="00D64D93">
      <w:pPr>
        <w:jc w:val="both"/>
      </w:pPr>
    </w:p>
    <w:p w14:paraId="0CFE853A" w14:textId="77777777" w:rsidR="00D64D93" w:rsidRDefault="00D64D93" w:rsidP="00D64D93">
      <w:pPr>
        <w:numPr>
          <w:ilvl w:val="0"/>
          <w:numId w:val="39"/>
        </w:numPr>
        <w:jc w:val="both"/>
        <w:rPr>
          <w:rFonts w:eastAsia="Calibri"/>
        </w:rPr>
      </w:pPr>
      <w:r>
        <w:rPr>
          <w:rFonts w:eastAsia="Calibri"/>
        </w:rPr>
        <w:t>Substance/task appropriate gloves</w:t>
      </w:r>
    </w:p>
    <w:p w14:paraId="1B49B3C0" w14:textId="77777777" w:rsidR="00D64D93" w:rsidRDefault="00D64D93" w:rsidP="00D64D93">
      <w:pPr>
        <w:numPr>
          <w:ilvl w:val="0"/>
          <w:numId w:val="39"/>
        </w:numPr>
        <w:jc w:val="both"/>
        <w:rPr>
          <w:rFonts w:eastAsia="Calibri"/>
        </w:rPr>
      </w:pPr>
      <w:r>
        <w:rPr>
          <w:rFonts w:eastAsia="Calibri"/>
        </w:rPr>
        <w:t>Protection coverall</w:t>
      </w:r>
    </w:p>
    <w:p w14:paraId="758190A2" w14:textId="77777777" w:rsidR="00D64D93" w:rsidRDefault="00D64D93" w:rsidP="00D64D93">
      <w:pPr>
        <w:rPr>
          <w:rFonts w:eastAsia="Calibri"/>
          <w:b/>
          <w:i/>
          <w:u w:val="single"/>
          <w:lang w:eastAsia="en-US"/>
        </w:rPr>
      </w:pPr>
    </w:p>
    <w:p w14:paraId="5C23A0DC" w14:textId="7C874809" w:rsidR="009D0C0B" w:rsidRPr="00B27CB1" w:rsidRDefault="00D64D93">
      <w:pPr>
        <w:spacing w:line="260" w:lineRule="atLeast"/>
        <w:rPr>
          <w:rFonts w:eastAsia="Calibri"/>
          <w:lang w:eastAsia="en-US"/>
        </w:rPr>
      </w:pPr>
      <w:r w:rsidRPr="00B27CB1" w:rsidDel="00D64D93">
        <w:rPr>
          <w:rFonts w:ascii="Times New Roman" w:eastAsia="Calibri" w:hAnsi="Times New Roman" w:cs="Times New Roman"/>
          <w:i/>
          <w:iCs/>
          <w:lang w:eastAsia="en-US"/>
        </w:rPr>
        <w:t xml:space="preserve"> </w:t>
      </w:r>
    </w:p>
    <w:p w14:paraId="6C19E5FE" w14:textId="3BDEF7D9" w:rsidR="009D0C0B" w:rsidRPr="00B27CB1" w:rsidRDefault="00FA480B" w:rsidP="00E91F85">
      <w:pPr>
        <w:rPr>
          <w:rFonts w:eastAsia="Calibri"/>
          <w:b/>
          <w:i/>
          <w:sz w:val="22"/>
          <w:szCs w:val="22"/>
          <w:lang w:eastAsia="en-US"/>
        </w:rPr>
      </w:pPr>
      <w:r w:rsidRPr="00B27CB1">
        <w:rPr>
          <w:rFonts w:eastAsia="Calibri"/>
          <w:b/>
          <w:i/>
          <w:sz w:val="22"/>
          <w:szCs w:val="22"/>
          <w:lang w:eastAsia="en-US"/>
        </w:rPr>
        <w:t xml:space="preserve">Risk for non-professional users </w:t>
      </w:r>
    </w:p>
    <w:p w14:paraId="3C93E6EF" w14:textId="77777777" w:rsidR="009D0C0B" w:rsidRPr="00B27CB1" w:rsidRDefault="009D0C0B">
      <w:pPr>
        <w:spacing w:line="260" w:lineRule="atLeast"/>
        <w:rPr>
          <w:rFonts w:ascii="Times New Roman" w:eastAsia="Calibri" w:hAnsi="Times New Roman" w:cs="Times New Roman"/>
          <w:i/>
          <w:iCs/>
          <w:lang w:eastAsia="en-US"/>
        </w:rPr>
      </w:pPr>
    </w:p>
    <w:p w14:paraId="18C62BB5" w14:textId="77777777" w:rsidR="004D0A54" w:rsidRPr="0084576F" w:rsidRDefault="004D0A54" w:rsidP="004D0A54">
      <w:pPr>
        <w:spacing w:line="260" w:lineRule="atLeast"/>
        <w:jc w:val="both"/>
        <w:rPr>
          <w:rFonts w:eastAsia="Calibri" w:cs="Times New Roman"/>
          <w:i/>
          <w:iCs/>
          <w:u w:val="single"/>
          <w:lang w:eastAsia="en-US"/>
        </w:rPr>
      </w:pPr>
      <w:r w:rsidRPr="0084576F">
        <w:rPr>
          <w:rFonts w:eastAsia="Calibri" w:cs="Times New Roman"/>
          <w:i/>
          <w:iCs/>
          <w:u w:val="single"/>
          <w:lang w:eastAsia="en-US"/>
        </w:rPr>
        <w:t>Systemic effects</w:t>
      </w:r>
    </w:p>
    <w:p w14:paraId="058773F5" w14:textId="77777777" w:rsidR="004D0A54" w:rsidRDefault="004D0A54" w:rsidP="004D0A54">
      <w:pPr>
        <w:spacing w:line="260" w:lineRule="atLeast"/>
        <w:jc w:val="both"/>
        <w:rPr>
          <w:rFonts w:eastAsia="Calibri" w:cs="Times New Roman"/>
          <w:iCs/>
          <w:lang w:eastAsia="en-US"/>
        </w:rPr>
      </w:pPr>
    </w:p>
    <w:p w14:paraId="38783022" w14:textId="1D6E2D09" w:rsidR="004D0A54" w:rsidRDefault="004D0A54" w:rsidP="004D0A54">
      <w:pPr>
        <w:spacing w:line="260" w:lineRule="atLeast"/>
        <w:jc w:val="both"/>
        <w:rPr>
          <w:rFonts w:eastAsia="Calibri" w:cs="Times New Roman"/>
          <w:iCs/>
          <w:lang w:eastAsia="en-US"/>
        </w:rPr>
      </w:pPr>
      <w:r>
        <w:rPr>
          <w:rFonts w:eastAsia="Calibri" w:cs="Times New Roman"/>
          <w:iCs/>
          <w:lang w:eastAsia="en-US"/>
        </w:rPr>
        <w:t xml:space="preserve">Systemic exposure </w:t>
      </w:r>
      <w:r w:rsidRPr="000C3F21">
        <w:rPr>
          <w:rFonts w:eastAsia="Calibri" w:cs="Times New Roman"/>
          <w:iCs/>
          <w:lang w:eastAsia="en-US"/>
        </w:rPr>
        <w:t>of L(+)-lactic acid</w:t>
      </w:r>
      <w:r>
        <w:rPr>
          <w:rFonts w:eastAsia="Calibri" w:cs="Times New Roman"/>
          <w:iCs/>
          <w:lang w:eastAsia="en-US"/>
        </w:rPr>
        <w:t xml:space="preserve"> is expected to be negligible. Therefore, for meta SPC with non-professional uses (meta SPC 1-2-8-9-10), no risk is expected for systemic effects </w:t>
      </w:r>
      <w:r w:rsidRPr="000C3F21">
        <w:rPr>
          <w:rFonts w:eastAsia="Calibri" w:cs="Times New Roman"/>
          <w:iCs/>
          <w:lang w:eastAsia="en-US"/>
        </w:rPr>
        <w:t>of L(+)-lactic</w:t>
      </w:r>
      <w:r w:rsidR="0073563E">
        <w:rPr>
          <w:rFonts w:eastAsia="Calibri" w:cs="Times New Roman"/>
          <w:iCs/>
          <w:lang w:eastAsia="en-US"/>
        </w:rPr>
        <w:t xml:space="preserve"> acid</w:t>
      </w:r>
      <w:r>
        <w:rPr>
          <w:rFonts w:eastAsia="Calibri" w:cs="Times New Roman"/>
          <w:iCs/>
          <w:lang w:eastAsia="en-US"/>
        </w:rPr>
        <w:t>.</w:t>
      </w:r>
    </w:p>
    <w:p w14:paraId="75DB4FAE" w14:textId="77777777" w:rsidR="004D0A54" w:rsidRPr="004D0CAC" w:rsidRDefault="004D0A54" w:rsidP="004D0A54">
      <w:pPr>
        <w:spacing w:line="260" w:lineRule="atLeast"/>
        <w:rPr>
          <w:rFonts w:eastAsia="Calibri" w:cs="Times New Roman"/>
          <w:i/>
          <w:iCs/>
          <w:u w:val="single"/>
          <w:lang w:eastAsia="en-US"/>
        </w:rPr>
      </w:pPr>
    </w:p>
    <w:p w14:paraId="798CC36A" w14:textId="77777777" w:rsidR="004D0A54" w:rsidRPr="00877A6A" w:rsidRDefault="004D0A54" w:rsidP="004D0A54">
      <w:pPr>
        <w:spacing w:line="260" w:lineRule="atLeast"/>
        <w:rPr>
          <w:rFonts w:eastAsia="Calibri" w:cs="Times New Roman"/>
          <w:i/>
          <w:iCs/>
          <w:u w:val="single"/>
          <w:lang w:val="en-US" w:eastAsia="en-US"/>
        </w:rPr>
      </w:pPr>
      <w:r w:rsidRPr="00877A6A">
        <w:rPr>
          <w:rFonts w:eastAsia="Calibri" w:cs="Times New Roman"/>
          <w:i/>
          <w:iCs/>
          <w:u w:val="single"/>
          <w:lang w:val="en-US" w:eastAsia="en-US"/>
        </w:rPr>
        <w:t>Semi-quantitative assessment (for lactic acid)</w:t>
      </w:r>
    </w:p>
    <w:p w14:paraId="2831A76E" w14:textId="77777777" w:rsidR="004D0A54" w:rsidRPr="00877A6A" w:rsidRDefault="004D0A54" w:rsidP="004D0A54">
      <w:pPr>
        <w:spacing w:line="260" w:lineRule="atLeast"/>
        <w:rPr>
          <w:rFonts w:eastAsia="Calibri" w:cs="Times New Roman"/>
          <w:i/>
          <w:iCs/>
          <w:u w:val="single"/>
          <w:lang w:val="en-US" w:eastAsia="en-US"/>
        </w:rPr>
      </w:pPr>
    </w:p>
    <w:p w14:paraId="13F0EC6C" w14:textId="77777777" w:rsidR="004D0A54" w:rsidRDefault="004D0A54" w:rsidP="004D0A54">
      <w:pPr>
        <w:spacing w:line="260" w:lineRule="atLeast"/>
        <w:jc w:val="both"/>
        <w:rPr>
          <w:rFonts w:eastAsia="Calibri" w:cs="Times New Roman"/>
          <w:iCs/>
          <w:lang w:val="en-US" w:eastAsia="en-US"/>
        </w:rPr>
      </w:pPr>
      <w:r w:rsidRPr="00877A6A">
        <w:rPr>
          <w:rFonts w:eastAsia="Calibri" w:cs="Times New Roman"/>
          <w:iCs/>
          <w:lang w:val="en-US" w:eastAsia="en-US"/>
        </w:rPr>
        <w:t xml:space="preserve">Meta SPC </w:t>
      </w:r>
      <w:r>
        <w:rPr>
          <w:rFonts w:eastAsia="Calibri" w:cs="Times New Roman"/>
          <w:iCs/>
          <w:lang w:val="en-US" w:eastAsia="en-US"/>
        </w:rPr>
        <w:t>1 contains 2.4% of lactic acid. This is below the dermal NOAEC of 10%. Therefore, no risk is expected for dermal effects of lactic acid.</w:t>
      </w:r>
    </w:p>
    <w:p w14:paraId="1CAAAD53" w14:textId="77777777" w:rsidR="004D0A54" w:rsidRDefault="004D0A54" w:rsidP="004D0A54">
      <w:pPr>
        <w:spacing w:line="260" w:lineRule="atLeast"/>
        <w:rPr>
          <w:rFonts w:eastAsia="Calibri" w:cs="Times New Roman"/>
          <w:i/>
          <w:iCs/>
          <w:u w:val="single"/>
          <w:lang w:val="en-US" w:eastAsia="en-US"/>
        </w:rPr>
      </w:pPr>
    </w:p>
    <w:p w14:paraId="6B1F7501" w14:textId="77777777" w:rsidR="004D0A54" w:rsidRDefault="004D0A54" w:rsidP="004D0A54">
      <w:pPr>
        <w:rPr>
          <w:rFonts w:eastAsia="Calibri" w:cs="Times New Roman"/>
          <w:i/>
          <w:iCs/>
          <w:u w:val="single"/>
          <w:lang w:val="en-US" w:eastAsia="en-US"/>
        </w:rPr>
        <w:sectPr w:rsidR="004D0A54" w:rsidSect="003213B9">
          <w:pgSz w:w="11906" w:h="16838"/>
          <w:pgMar w:top="1474" w:right="1247" w:bottom="2013" w:left="1446" w:header="851" w:footer="851" w:gutter="0"/>
          <w:cols w:space="720"/>
          <w:docGrid w:linePitch="272"/>
        </w:sectPr>
      </w:pPr>
    </w:p>
    <w:p w14:paraId="5AC80492" w14:textId="1D3A92D3" w:rsidR="004D0A54" w:rsidRPr="0084576F" w:rsidRDefault="004D0A54" w:rsidP="004D0A54">
      <w:pPr>
        <w:rPr>
          <w:rFonts w:eastAsia="Calibri"/>
          <w:b/>
          <w:i/>
          <w:sz w:val="22"/>
          <w:szCs w:val="22"/>
        </w:rPr>
      </w:pPr>
      <w:r w:rsidRPr="00877A6A">
        <w:rPr>
          <w:rFonts w:eastAsia="Calibri" w:cs="Times New Roman"/>
          <w:i/>
          <w:iCs/>
          <w:u w:val="single"/>
          <w:lang w:val="en-US" w:eastAsia="en-US"/>
        </w:rPr>
        <w:lastRenderedPageBreak/>
        <w:t>Qualitative assessment</w:t>
      </w:r>
    </w:p>
    <w:p w14:paraId="46643074" w14:textId="77777777" w:rsidR="004D0A54" w:rsidRPr="00877A6A" w:rsidRDefault="004D0A54" w:rsidP="004D0A54">
      <w:pPr>
        <w:spacing w:line="260" w:lineRule="atLeast"/>
        <w:rPr>
          <w:rFonts w:eastAsia="Calibri" w:cs="Times New Roman"/>
          <w:i/>
          <w:iCs/>
          <w:u w:val="single"/>
          <w:lang w:val="en-US" w:eastAsia="en-US"/>
        </w:rPr>
      </w:pPr>
    </w:p>
    <w:p w14:paraId="0CA39CB3" w14:textId="57EE9C7A" w:rsidR="004D0A54" w:rsidRDefault="004D0A54" w:rsidP="004D0A54">
      <w:pPr>
        <w:spacing w:line="260" w:lineRule="atLeast"/>
        <w:rPr>
          <w:rFonts w:eastAsia="Calibri" w:cs="Times New Roman"/>
          <w:iCs/>
          <w:lang w:val="en-US" w:eastAsia="en-US"/>
        </w:rPr>
      </w:pPr>
      <w:r w:rsidRPr="00877A6A">
        <w:rPr>
          <w:rFonts w:eastAsia="Calibri" w:cs="Times New Roman"/>
          <w:iCs/>
          <w:lang w:val="en-US" w:eastAsia="en-US"/>
        </w:rPr>
        <w:t xml:space="preserve">Because of the classification of meta SPC 2 (H315), </w:t>
      </w:r>
      <w:r>
        <w:rPr>
          <w:rFonts w:eastAsia="Calibri" w:cs="Times New Roman"/>
          <w:iCs/>
          <w:lang w:val="en-US" w:eastAsia="en-US"/>
        </w:rPr>
        <w:t xml:space="preserve">meta SPC 9 (H315-H319) and meta SPC </w:t>
      </w:r>
      <w:r w:rsidRPr="00877A6A">
        <w:rPr>
          <w:rFonts w:eastAsia="Calibri" w:cs="Times New Roman"/>
          <w:iCs/>
          <w:lang w:val="en-US" w:eastAsia="en-US"/>
        </w:rPr>
        <w:t>8</w:t>
      </w:r>
      <w:r>
        <w:rPr>
          <w:rFonts w:eastAsia="Calibri" w:cs="Times New Roman"/>
          <w:iCs/>
          <w:lang w:val="en-US" w:eastAsia="en-US"/>
        </w:rPr>
        <w:t>-</w:t>
      </w:r>
      <w:r w:rsidRPr="00877A6A">
        <w:rPr>
          <w:rFonts w:eastAsia="Calibri" w:cs="Times New Roman"/>
          <w:iCs/>
          <w:lang w:val="en-US" w:eastAsia="en-US"/>
        </w:rPr>
        <w:t>10</w:t>
      </w:r>
      <w:r>
        <w:rPr>
          <w:rFonts w:eastAsia="Calibri" w:cs="Times New Roman"/>
          <w:iCs/>
          <w:lang w:val="en-US" w:eastAsia="en-US"/>
        </w:rPr>
        <w:t xml:space="preserve"> (H314/H318)</w:t>
      </w:r>
      <w:r w:rsidRPr="00877A6A">
        <w:rPr>
          <w:rFonts w:eastAsia="Calibri" w:cs="Times New Roman"/>
          <w:iCs/>
          <w:lang w:val="en-US" w:eastAsia="en-US"/>
        </w:rPr>
        <w:t>, a qualitative risk assessment has been performed according to the Guidance on BPR: Volume III Part B+C.</w:t>
      </w:r>
      <w:r w:rsidRPr="00877A6A" w:rsidDel="00DE2ED0">
        <w:rPr>
          <w:rFonts w:eastAsia="Calibri" w:cs="Times New Roman"/>
          <w:iCs/>
          <w:lang w:val="en-US" w:eastAsia="en-US"/>
        </w:rPr>
        <w:t xml:space="preserve"> </w:t>
      </w:r>
    </w:p>
    <w:p w14:paraId="23B9AD62" w14:textId="77777777" w:rsidR="004D0A54" w:rsidRPr="00E91F85" w:rsidRDefault="004D0A54">
      <w:pPr>
        <w:spacing w:line="260" w:lineRule="atLeast"/>
        <w:rPr>
          <w:rFonts w:eastAsia="Calibri"/>
          <w:lang w:val="en-US" w:eastAsia="en-US"/>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709"/>
        <w:gridCol w:w="992"/>
        <w:gridCol w:w="1134"/>
        <w:gridCol w:w="851"/>
        <w:gridCol w:w="1843"/>
        <w:gridCol w:w="1300"/>
        <w:gridCol w:w="17"/>
        <w:gridCol w:w="3748"/>
      </w:tblGrid>
      <w:tr w:rsidR="004D0A54" w:rsidRPr="00A344A6" w14:paraId="21C42E75" w14:textId="77777777" w:rsidTr="002B147A">
        <w:trPr>
          <w:trHeight w:val="750"/>
          <w:jc w:val="center"/>
        </w:trPr>
        <w:tc>
          <w:tcPr>
            <w:tcW w:w="988" w:type="dxa"/>
            <w:shd w:val="clear" w:color="auto" w:fill="FFFF00"/>
          </w:tcPr>
          <w:p w14:paraId="137214F7" w14:textId="77777777" w:rsidR="004D0A54" w:rsidRPr="00A344A6" w:rsidRDefault="004D0A54" w:rsidP="002B147A">
            <w:pPr>
              <w:rPr>
                <w:b/>
                <w:sz w:val="16"/>
                <w:szCs w:val="16"/>
              </w:rPr>
            </w:pPr>
            <w:r w:rsidRPr="00A344A6">
              <w:rPr>
                <w:b/>
                <w:sz w:val="16"/>
                <w:szCs w:val="16"/>
              </w:rPr>
              <w:t>Hazard</w:t>
            </w:r>
          </w:p>
        </w:tc>
        <w:tc>
          <w:tcPr>
            <w:tcW w:w="5528" w:type="dxa"/>
            <w:gridSpan w:val="6"/>
            <w:shd w:val="clear" w:color="auto" w:fill="FFFF00"/>
          </w:tcPr>
          <w:p w14:paraId="1A9AF657" w14:textId="77777777" w:rsidR="004D0A54" w:rsidRPr="00A344A6" w:rsidRDefault="004D0A54" w:rsidP="002B147A">
            <w:pPr>
              <w:rPr>
                <w:b/>
                <w:sz w:val="16"/>
                <w:szCs w:val="16"/>
              </w:rPr>
            </w:pPr>
            <w:r w:rsidRPr="00171ED8">
              <w:rPr>
                <w:rFonts w:cs="Arial"/>
                <w:b/>
                <w:iCs/>
                <w:sz w:val="18"/>
                <w:szCs w:val="18"/>
                <w:lang w:val="en-US"/>
              </w:rPr>
              <w:t>Characteristics of the product</w:t>
            </w:r>
          </w:p>
        </w:tc>
        <w:tc>
          <w:tcPr>
            <w:tcW w:w="3160" w:type="dxa"/>
            <w:gridSpan w:val="3"/>
            <w:shd w:val="clear" w:color="auto" w:fill="FFFF00"/>
          </w:tcPr>
          <w:p w14:paraId="45E91A55" w14:textId="77777777" w:rsidR="004D0A54" w:rsidRPr="00A344A6" w:rsidRDefault="004D0A54" w:rsidP="002B147A">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FFFF00"/>
          </w:tcPr>
          <w:p w14:paraId="1AA40799" w14:textId="77777777" w:rsidR="004D0A54" w:rsidRPr="00A344A6" w:rsidRDefault="004D0A54" w:rsidP="002B147A">
            <w:pPr>
              <w:rPr>
                <w:b/>
                <w:sz w:val="16"/>
                <w:szCs w:val="16"/>
              </w:rPr>
            </w:pPr>
            <w:r w:rsidRPr="00A344A6">
              <w:rPr>
                <w:b/>
                <w:sz w:val="16"/>
                <w:szCs w:val="16"/>
              </w:rPr>
              <w:t>Risk</w:t>
            </w:r>
          </w:p>
        </w:tc>
      </w:tr>
      <w:tr w:rsidR="004D0A54" w:rsidRPr="005B291A" w14:paraId="6A8E5742" w14:textId="77777777" w:rsidTr="002B147A">
        <w:trPr>
          <w:trHeight w:val="1654"/>
          <w:jc w:val="center"/>
        </w:trPr>
        <w:tc>
          <w:tcPr>
            <w:tcW w:w="988" w:type="dxa"/>
            <w:shd w:val="clear" w:color="auto" w:fill="FFFF00"/>
          </w:tcPr>
          <w:p w14:paraId="7E3708FB" w14:textId="77777777" w:rsidR="004D0A54" w:rsidRPr="004B38E8" w:rsidRDefault="004D0A54" w:rsidP="002B147A">
            <w:pPr>
              <w:rPr>
                <w:i/>
                <w:sz w:val="16"/>
                <w:szCs w:val="16"/>
              </w:rPr>
            </w:pPr>
            <w:r w:rsidRPr="004B38E8">
              <w:rPr>
                <w:i/>
                <w:sz w:val="16"/>
                <w:szCs w:val="16"/>
              </w:rPr>
              <w:t>Hazard category</w:t>
            </w:r>
          </w:p>
        </w:tc>
        <w:tc>
          <w:tcPr>
            <w:tcW w:w="992" w:type="dxa"/>
            <w:shd w:val="clear" w:color="auto" w:fill="FFFF00"/>
          </w:tcPr>
          <w:p w14:paraId="20607428" w14:textId="77777777" w:rsidR="004D0A54" w:rsidRPr="004B38E8" w:rsidRDefault="004D0A54" w:rsidP="002B147A">
            <w:pPr>
              <w:rPr>
                <w:i/>
                <w:sz w:val="16"/>
                <w:szCs w:val="16"/>
              </w:rPr>
            </w:pPr>
            <w:r w:rsidRPr="004B38E8">
              <w:rPr>
                <w:i/>
                <w:sz w:val="16"/>
                <w:szCs w:val="16"/>
              </w:rPr>
              <w:t>Effects in terms of C&amp;L</w:t>
            </w:r>
          </w:p>
        </w:tc>
        <w:tc>
          <w:tcPr>
            <w:tcW w:w="850" w:type="dxa"/>
            <w:shd w:val="clear" w:color="auto" w:fill="FFFF00"/>
          </w:tcPr>
          <w:p w14:paraId="2F54D675" w14:textId="77777777" w:rsidR="004D0A54" w:rsidRPr="004B38E8" w:rsidRDefault="004D0A54" w:rsidP="002B147A">
            <w:pPr>
              <w:rPr>
                <w:i/>
                <w:sz w:val="16"/>
                <w:szCs w:val="16"/>
              </w:rPr>
            </w:pPr>
            <w:r w:rsidRPr="004B38E8">
              <w:rPr>
                <w:i/>
                <w:sz w:val="16"/>
                <w:szCs w:val="16"/>
              </w:rPr>
              <w:t>Additional relevant hazard information</w:t>
            </w:r>
          </w:p>
        </w:tc>
        <w:tc>
          <w:tcPr>
            <w:tcW w:w="709" w:type="dxa"/>
            <w:shd w:val="clear" w:color="auto" w:fill="FFFF00"/>
          </w:tcPr>
          <w:p w14:paraId="64B41B9F" w14:textId="77777777" w:rsidR="004D0A54" w:rsidRPr="005B291A" w:rsidRDefault="004D0A54" w:rsidP="002B147A">
            <w:pPr>
              <w:rPr>
                <w:i/>
                <w:sz w:val="16"/>
                <w:szCs w:val="16"/>
              </w:rPr>
            </w:pPr>
            <w:r w:rsidRPr="005B291A">
              <w:rPr>
                <w:i/>
                <w:sz w:val="16"/>
                <w:szCs w:val="16"/>
              </w:rPr>
              <w:t xml:space="preserve">PT  </w:t>
            </w:r>
          </w:p>
        </w:tc>
        <w:tc>
          <w:tcPr>
            <w:tcW w:w="992" w:type="dxa"/>
            <w:shd w:val="clear" w:color="auto" w:fill="FFFF00"/>
          </w:tcPr>
          <w:p w14:paraId="6C9489C9" w14:textId="77777777" w:rsidR="004D0A54" w:rsidRPr="005B291A" w:rsidRDefault="004D0A54" w:rsidP="002B147A">
            <w:pPr>
              <w:rPr>
                <w:i/>
                <w:sz w:val="16"/>
                <w:szCs w:val="16"/>
              </w:rPr>
            </w:pPr>
            <w:r w:rsidRPr="005B291A">
              <w:rPr>
                <w:i/>
                <w:sz w:val="16"/>
                <w:szCs w:val="16"/>
              </w:rPr>
              <w:t xml:space="preserve">Who is </w:t>
            </w:r>
          </w:p>
          <w:p w14:paraId="1976DADC" w14:textId="77777777" w:rsidR="004D0A54" w:rsidRPr="005B291A" w:rsidRDefault="004D0A54" w:rsidP="002B147A">
            <w:pPr>
              <w:rPr>
                <w:i/>
                <w:sz w:val="16"/>
                <w:szCs w:val="16"/>
              </w:rPr>
            </w:pPr>
            <w:r w:rsidRPr="005B291A">
              <w:rPr>
                <w:i/>
                <w:sz w:val="16"/>
                <w:szCs w:val="16"/>
              </w:rPr>
              <w:t>exposed?</w:t>
            </w:r>
          </w:p>
        </w:tc>
        <w:tc>
          <w:tcPr>
            <w:tcW w:w="1134" w:type="dxa"/>
            <w:shd w:val="clear" w:color="auto" w:fill="FFFF00"/>
          </w:tcPr>
          <w:p w14:paraId="7FB6E0B1" w14:textId="77777777" w:rsidR="004D0A54" w:rsidRPr="005B291A" w:rsidRDefault="004D0A54" w:rsidP="002B147A">
            <w:pPr>
              <w:rPr>
                <w:i/>
                <w:sz w:val="16"/>
                <w:szCs w:val="16"/>
              </w:rPr>
            </w:pPr>
            <w:r w:rsidRPr="005B291A">
              <w:rPr>
                <w:i/>
                <w:sz w:val="16"/>
                <w:szCs w:val="16"/>
              </w:rPr>
              <w:t xml:space="preserve">Tasks, </w:t>
            </w:r>
          </w:p>
          <w:p w14:paraId="25D6DE0A" w14:textId="77777777" w:rsidR="004D0A54" w:rsidRPr="005B291A" w:rsidRDefault="004D0A54" w:rsidP="002B147A">
            <w:pPr>
              <w:rPr>
                <w:i/>
                <w:sz w:val="16"/>
                <w:szCs w:val="16"/>
              </w:rPr>
            </w:pPr>
            <w:r w:rsidRPr="005B291A">
              <w:rPr>
                <w:i/>
                <w:sz w:val="16"/>
                <w:szCs w:val="16"/>
              </w:rPr>
              <w:t xml:space="preserve">uses, </w:t>
            </w:r>
          </w:p>
          <w:p w14:paraId="3F10E34D" w14:textId="77777777" w:rsidR="004D0A54" w:rsidRPr="005B291A" w:rsidRDefault="004D0A54" w:rsidP="002B147A">
            <w:pPr>
              <w:rPr>
                <w:i/>
                <w:sz w:val="16"/>
                <w:szCs w:val="16"/>
              </w:rPr>
            </w:pPr>
            <w:r w:rsidRPr="005B291A">
              <w:rPr>
                <w:i/>
                <w:sz w:val="16"/>
                <w:szCs w:val="16"/>
              </w:rPr>
              <w:t>processes</w:t>
            </w:r>
          </w:p>
        </w:tc>
        <w:tc>
          <w:tcPr>
            <w:tcW w:w="851" w:type="dxa"/>
            <w:shd w:val="clear" w:color="auto" w:fill="FFFF00"/>
          </w:tcPr>
          <w:p w14:paraId="05ECC742" w14:textId="77777777" w:rsidR="004D0A54" w:rsidRPr="005B291A" w:rsidRDefault="004D0A54" w:rsidP="002B147A">
            <w:pPr>
              <w:rPr>
                <w:i/>
                <w:sz w:val="16"/>
                <w:szCs w:val="16"/>
              </w:rPr>
            </w:pPr>
            <w:r w:rsidRPr="005B291A">
              <w:rPr>
                <w:i/>
                <w:sz w:val="16"/>
                <w:szCs w:val="16"/>
              </w:rPr>
              <w:t xml:space="preserve">Potential </w:t>
            </w:r>
          </w:p>
          <w:p w14:paraId="67A4F0FC" w14:textId="77777777" w:rsidR="004D0A54" w:rsidRPr="005B291A" w:rsidRDefault="004D0A54" w:rsidP="002B147A">
            <w:pPr>
              <w:rPr>
                <w:i/>
                <w:sz w:val="16"/>
                <w:szCs w:val="16"/>
              </w:rPr>
            </w:pPr>
            <w:r w:rsidRPr="005B291A">
              <w:rPr>
                <w:i/>
                <w:sz w:val="16"/>
                <w:szCs w:val="16"/>
              </w:rPr>
              <w:t xml:space="preserve">exposure </w:t>
            </w:r>
          </w:p>
          <w:p w14:paraId="3DBDF4B9" w14:textId="77777777" w:rsidR="004D0A54" w:rsidRPr="005B291A" w:rsidRDefault="004D0A54" w:rsidP="002B147A">
            <w:pPr>
              <w:rPr>
                <w:i/>
                <w:sz w:val="16"/>
                <w:szCs w:val="16"/>
              </w:rPr>
            </w:pPr>
            <w:r w:rsidRPr="005B291A">
              <w:rPr>
                <w:i/>
                <w:sz w:val="16"/>
                <w:szCs w:val="16"/>
              </w:rPr>
              <w:t>route</w:t>
            </w:r>
          </w:p>
        </w:tc>
        <w:tc>
          <w:tcPr>
            <w:tcW w:w="1843" w:type="dxa"/>
            <w:shd w:val="clear" w:color="auto" w:fill="FFFF00"/>
          </w:tcPr>
          <w:p w14:paraId="3B623CBE" w14:textId="77777777" w:rsidR="004D0A54" w:rsidRPr="005B291A" w:rsidRDefault="004D0A54" w:rsidP="002B147A">
            <w:pPr>
              <w:rPr>
                <w:i/>
                <w:sz w:val="16"/>
                <w:szCs w:val="16"/>
              </w:rPr>
            </w:pPr>
            <w:r w:rsidRPr="005B291A">
              <w:rPr>
                <w:i/>
                <w:sz w:val="16"/>
                <w:szCs w:val="16"/>
              </w:rPr>
              <w:t xml:space="preserve">Frequency </w:t>
            </w:r>
          </w:p>
          <w:p w14:paraId="42C10F34" w14:textId="77777777" w:rsidR="004D0A54" w:rsidRPr="005B291A" w:rsidRDefault="004D0A54" w:rsidP="002B147A">
            <w:pPr>
              <w:rPr>
                <w:i/>
                <w:sz w:val="16"/>
                <w:szCs w:val="16"/>
              </w:rPr>
            </w:pPr>
            <w:r w:rsidRPr="005B291A">
              <w:rPr>
                <w:i/>
                <w:sz w:val="16"/>
                <w:szCs w:val="16"/>
              </w:rPr>
              <w:t xml:space="preserve">and </w:t>
            </w:r>
          </w:p>
          <w:p w14:paraId="037110FD" w14:textId="77777777" w:rsidR="004D0A54" w:rsidRPr="005B291A" w:rsidRDefault="004D0A54" w:rsidP="002B147A">
            <w:pPr>
              <w:rPr>
                <w:i/>
                <w:sz w:val="16"/>
                <w:szCs w:val="16"/>
              </w:rPr>
            </w:pPr>
            <w:r w:rsidRPr="005B291A">
              <w:rPr>
                <w:i/>
                <w:sz w:val="16"/>
                <w:szCs w:val="16"/>
              </w:rPr>
              <w:t xml:space="preserve">duration </w:t>
            </w:r>
          </w:p>
          <w:p w14:paraId="23A57E3F" w14:textId="77777777" w:rsidR="004D0A54" w:rsidRPr="005B291A" w:rsidRDefault="004D0A54" w:rsidP="002B147A">
            <w:pPr>
              <w:rPr>
                <w:i/>
                <w:sz w:val="16"/>
                <w:szCs w:val="16"/>
              </w:rPr>
            </w:pPr>
            <w:r w:rsidRPr="005B291A">
              <w:rPr>
                <w:i/>
                <w:sz w:val="16"/>
                <w:szCs w:val="16"/>
              </w:rPr>
              <w:t xml:space="preserve">of </w:t>
            </w:r>
          </w:p>
          <w:p w14:paraId="1EE9038A" w14:textId="77777777" w:rsidR="004D0A54" w:rsidRPr="005B291A" w:rsidRDefault="004D0A54" w:rsidP="002B147A">
            <w:pPr>
              <w:rPr>
                <w:i/>
                <w:sz w:val="16"/>
                <w:szCs w:val="16"/>
              </w:rPr>
            </w:pPr>
            <w:r w:rsidRPr="005B291A">
              <w:rPr>
                <w:i/>
                <w:sz w:val="16"/>
                <w:szCs w:val="16"/>
              </w:rPr>
              <w:t xml:space="preserve">potential </w:t>
            </w:r>
          </w:p>
          <w:p w14:paraId="6C399800" w14:textId="77777777" w:rsidR="004D0A54" w:rsidRPr="005B291A" w:rsidRDefault="004D0A54" w:rsidP="002B147A">
            <w:pPr>
              <w:rPr>
                <w:i/>
                <w:sz w:val="16"/>
                <w:szCs w:val="16"/>
              </w:rPr>
            </w:pPr>
            <w:r w:rsidRPr="005B291A">
              <w:rPr>
                <w:i/>
                <w:sz w:val="16"/>
                <w:szCs w:val="16"/>
              </w:rPr>
              <w:t>exposure</w:t>
            </w:r>
          </w:p>
        </w:tc>
        <w:tc>
          <w:tcPr>
            <w:tcW w:w="1300" w:type="dxa"/>
            <w:shd w:val="clear" w:color="auto" w:fill="FFFF00"/>
          </w:tcPr>
          <w:p w14:paraId="78893427" w14:textId="77777777" w:rsidR="004D0A54" w:rsidRPr="005B291A" w:rsidRDefault="004D0A54" w:rsidP="002B147A">
            <w:pPr>
              <w:rPr>
                <w:i/>
                <w:sz w:val="16"/>
                <w:szCs w:val="16"/>
              </w:rPr>
            </w:pPr>
            <w:r>
              <w:rPr>
                <w:i/>
                <w:sz w:val="16"/>
                <w:szCs w:val="16"/>
              </w:rPr>
              <w:t>D</w:t>
            </w:r>
            <w:r w:rsidRPr="005B291A">
              <w:rPr>
                <w:i/>
                <w:sz w:val="16"/>
                <w:szCs w:val="16"/>
              </w:rPr>
              <w:t xml:space="preserve">egree </w:t>
            </w:r>
          </w:p>
          <w:p w14:paraId="42A2BB9F" w14:textId="77777777" w:rsidR="004D0A54" w:rsidRPr="005B291A" w:rsidRDefault="004D0A54" w:rsidP="002B147A">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78049B8C" w14:textId="77777777" w:rsidR="004D0A54" w:rsidRPr="005B291A" w:rsidRDefault="004D0A54" w:rsidP="002B147A">
            <w:pPr>
              <w:rPr>
                <w:i/>
                <w:sz w:val="16"/>
                <w:szCs w:val="16"/>
              </w:rPr>
            </w:pPr>
            <w:r w:rsidRPr="005B291A">
              <w:rPr>
                <w:i/>
                <w:sz w:val="16"/>
                <w:szCs w:val="16"/>
              </w:rPr>
              <w:t>exposure</w:t>
            </w:r>
          </w:p>
          <w:p w14:paraId="63D0536D" w14:textId="77777777" w:rsidR="004D0A54" w:rsidRPr="005B291A" w:rsidRDefault="004D0A54" w:rsidP="002B147A">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65" w:type="dxa"/>
            <w:gridSpan w:val="2"/>
            <w:shd w:val="clear" w:color="auto" w:fill="FFFF00"/>
          </w:tcPr>
          <w:p w14:paraId="4A1D6951" w14:textId="77777777" w:rsidR="004D0A54" w:rsidRPr="005B291A" w:rsidRDefault="004D0A54" w:rsidP="002B147A">
            <w:pPr>
              <w:rPr>
                <w:i/>
                <w:sz w:val="16"/>
                <w:szCs w:val="16"/>
              </w:rPr>
            </w:pPr>
            <w:r>
              <w:rPr>
                <w:i/>
                <w:sz w:val="16"/>
                <w:szCs w:val="16"/>
              </w:rPr>
              <w:t xml:space="preserve">Conclusion on risk assessment </w:t>
            </w:r>
          </w:p>
          <w:p w14:paraId="655E37C4" w14:textId="77777777" w:rsidR="004D0A54" w:rsidRPr="005B291A" w:rsidRDefault="004D0A54" w:rsidP="002B147A">
            <w:pPr>
              <w:rPr>
                <w:i/>
                <w:sz w:val="16"/>
                <w:szCs w:val="16"/>
              </w:rPr>
            </w:pPr>
          </w:p>
        </w:tc>
      </w:tr>
      <w:tr w:rsidR="004D0A54" w:rsidRPr="004B38E8" w14:paraId="7C62F11E" w14:textId="77777777" w:rsidTr="002B147A">
        <w:trPr>
          <w:trHeight w:val="243"/>
          <w:jc w:val="center"/>
        </w:trPr>
        <w:tc>
          <w:tcPr>
            <w:tcW w:w="13424" w:type="dxa"/>
            <w:gridSpan w:val="11"/>
            <w:shd w:val="clear" w:color="auto" w:fill="BFBFBF" w:themeFill="background1" w:themeFillShade="BF"/>
          </w:tcPr>
          <w:p w14:paraId="71B65EE2" w14:textId="77777777" w:rsidR="004D0A54" w:rsidRPr="005E4736" w:rsidRDefault="004D0A54" w:rsidP="002B147A">
            <w:pPr>
              <w:pStyle w:val="Paragraphedeliste"/>
              <w:ind w:left="0"/>
              <w:rPr>
                <w:rFonts w:cs="Arial"/>
                <w:b/>
                <w:iCs/>
                <w:sz w:val="18"/>
                <w:szCs w:val="18"/>
                <w:lang w:val="en-US"/>
              </w:rPr>
            </w:pPr>
            <w:r>
              <w:rPr>
                <w:rFonts w:cs="Arial"/>
                <w:b/>
                <w:iCs/>
                <w:sz w:val="18"/>
                <w:szCs w:val="18"/>
                <w:lang w:val="en-US"/>
              </w:rPr>
              <w:t xml:space="preserve">Meta SPC 2 – Application by spraying/wiping/brushing/scrubbing (RTU) </w:t>
            </w:r>
            <w:r w:rsidRPr="004D0CAC">
              <w:rPr>
                <w:rFonts w:cs="Arial"/>
                <w:iCs/>
                <w:sz w:val="18"/>
                <w:szCs w:val="18"/>
                <w:lang w:val="en-US"/>
              </w:rPr>
              <w:t>– Use #1-2</w:t>
            </w:r>
          </w:p>
        </w:tc>
      </w:tr>
      <w:tr w:rsidR="004D0A54" w:rsidRPr="000A1E40" w14:paraId="55950C8B" w14:textId="77777777" w:rsidTr="008607FE">
        <w:trPr>
          <w:trHeight w:val="60"/>
          <w:jc w:val="center"/>
        </w:trPr>
        <w:tc>
          <w:tcPr>
            <w:tcW w:w="988" w:type="dxa"/>
            <w:shd w:val="clear" w:color="auto" w:fill="auto"/>
          </w:tcPr>
          <w:p w14:paraId="7AC91730" w14:textId="77777777" w:rsidR="004D0A54" w:rsidRDefault="004D0A54" w:rsidP="002B147A">
            <w:pPr>
              <w:rPr>
                <w:sz w:val="16"/>
                <w:szCs w:val="16"/>
              </w:rPr>
            </w:pPr>
            <w:r>
              <w:rPr>
                <w:sz w:val="16"/>
                <w:szCs w:val="16"/>
              </w:rPr>
              <w:t>Low</w:t>
            </w:r>
          </w:p>
        </w:tc>
        <w:tc>
          <w:tcPr>
            <w:tcW w:w="992" w:type="dxa"/>
            <w:shd w:val="clear" w:color="auto" w:fill="auto"/>
          </w:tcPr>
          <w:p w14:paraId="0F8B800E" w14:textId="77777777" w:rsidR="004D0A54" w:rsidRPr="005E4736" w:rsidRDefault="004D0A54" w:rsidP="002B147A">
            <w:pPr>
              <w:rPr>
                <w:rFonts w:cs="Arial"/>
                <w:iCs/>
                <w:spacing w:val="1"/>
                <w:sz w:val="16"/>
                <w:szCs w:val="16"/>
                <w:lang w:val="fr-FR" w:eastAsia="fr-FR"/>
              </w:rPr>
            </w:pPr>
            <w:r w:rsidRPr="005E4736">
              <w:rPr>
                <w:rFonts w:cs="Arial"/>
                <w:iCs/>
                <w:spacing w:val="1"/>
                <w:sz w:val="16"/>
                <w:szCs w:val="16"/>
                <w:lang w:val="fr-FR" w:eastAsia="fr-FR"/>
              </w:rPr>
              <w:t>Skin Irrit.2, H315</w:t>
            </w:r>
          </w:p>
          <w:p w14:paraId="75BC570C" w14:textId="77777777" w:rsidR="004D0A54" w:rsidRPr="005E4736" w:rsidRDefault="004D0A54" w:rsidP="002B147A">
            <w:pPr>
              <w:rPr>
                <w:rFonts w:cs="Arial"/>
                <w:iCs/>
                <w:spacing w:val="1"/>
                <w:sz w:val="16"/>
                <w:szCs w:val="16"/>
                <w:lang w:val="fr-FR" w:eastAsia="fr-FR"/>
              </w:rPr>
            </w:pPr>
          </w:p>
          <w:p w14:paraId="55646FE1" w14:textId="77777777" w:rsidR="004D0A54" w:rsidRPr="005E4736" w:rsidRDefault="004D0A54" w:rsidP="002B147A">
            <w:pPr>
              <w:rPr>
                <w:sz w:val="16"/>
                <w:szCs w:val="16"/>
                <w:lang w:val="fr-FR"/>
              </w:rPr>
            </w:pPr>
          </w:p>
        </w:tc>
        <w:tc>
          <w:tcPr>
            <w:tcW w:w="850" w:type="dxa"/>
            <w:shd w:val="clear" w:color="auto" w:fill="auto"/>
          </w:tcPr>
          <w:p w14:paraId="0924E2C8" w14:textId="77777777" w:rsidR="004D0A54" w:rsidRDefault="004D0A54" w:rsidP="002B147A">
            <w:pPr>
              <w:rPr>
                <w:sz w:val="16"/>
                <w:szCs w:val="16"/>
              </w:rPr>
            </w:pPr>
            <w:r>
              <w:rPr>
                <w:sz w:val="16"/>
                <w:szCs w:val="16"/>
              </w:rPr>
              <w:t>-</w:t>
            </w:r>
          </w:p>
        </w:tc>
        <w:tc>
          <w:tcPr>
            <w:tcW w:w="709" w:type="dxa"/>
            <w:shd w:val="clear" w:color="auto" w:fill="auto"/>
          </w:tcPr>
          <w:p w14:paraId="671CD68A" w14:textId="77777777" w:rsidR="004D0A54" w:rsidRDefault="004D0A54" w:rsidP="002B147A">
            <w:pPr>
              <w:rPr>
                <w:sz w:val="16"/>
                <w:szCs w:val="16"/>
              </w:rPr>
            </w:pPr>
            <w:r>
              <w:rPr>
                <w:sz w:val="16"/>
                <w:szCs w:val="16"/>
              </w:rPr>
              <w:t>2-4</w:t>
            </w:r>
          </w:p>
        </w:tc>
        <w:tc>
          <w:tcPr>
            <w:tcW w:w="992" w:type="dxa"/>
            <w:shd w:val="clear" w:color="auto" w:fill="auto"/>
          </w:tcPr>
          <w:p w14:paraId="585F5BB3" w14:textId="77777777" w:rsidR="004D0A54" w:rsidRDefault="004D0A54" w:rsidP="002B147A">
            <w:pPr>
              <w:rPr>
                <w:sz w:val="16"/>
                <w:szCs w:val="16"/>
              </w:rPr>
            </w:pPr>
            <w:r>
              <w:rPr>
                <w:sz w:val="16"/>
                <w:szCs w:val="16"/>
              </w:rPr>
              <w:t>Non-professional</w:t>
            </w:r>
          </w:p>
          <w:p w14:paraId="5D4DCD9F" w14:textId="77777777" w:rsidR="004D0A54" w:rsidRDefault="004D0A54" w:rsidP="002B147A">
            <w:pPr>
              <w:rPr>
                <w:sz w:val="16"/>
                <w:szCs w:val="16"/>
              </w:rPr>
            </w:pPr>
          </w:p>
          <w:p w14:paraId="0CD646AC" w14:textId="77777777" w:rsidR="004D0A54" w:rsidRDefault="004D0A54" w:rsidP="002B147A">
            <w:pPr>
              <w:rPr>
                <w:sz w:val="16"/>
                <w:szCs w:val="16"/>
              </w:rPr>
            </w:pPr>
          </w:p>
          <w:p w14:paraId="1361FC45" w14:textId="77777777" w:rsidR="004D0A54" w:rsidRDefault="004D0A54" w:rsidP="002B147A">
            <w:pPr>
              <w:rPr>
                <w:sz w:val="16"/>
                <w:szCs w:val="16"/>
              </w:rPr>
            </w:pPr>
          </w:p>
          <w:p w14:paraId="311796FE" w14:textId="77777777" w:rsidR="004D0A54" w:rsidRDefault="004D0A54" w:rsidP="002B147A">
            <w:pPr>
              <w:rPr>
                <w:sz w:val="16"/>
                <w:szCs w:val="16"/>
              </w:rPr>
            </w:pPr>
          </w:p>
          <w:p w14:paraId="71086364" w14:textId="77777777" w:rsidR="004D0A54" w:rsidRDefault="004D0A54" w:rsidP="002B147A">
            <w:pPr>
              <w:rPr>
                <w:sz w:val="16"/>
                <w:szCs w:val="16"/>
              </w:rPr>
            </w:pPr>
          </w:p>
        </w:tc>
        <w:tc>
          <w:tcPr>
            <w:tcW w:w="1134" w:type="dxa"/>
            <w:shd w:val="clear" w:color="auto" w:fill="auto"/>
          </w:tcPr>
          <w:p w14:paraId="69D9DA5A" w14:textId="77777777" w:rsidR="004D0A54" w:rsidRDefault="004D0A54" w:rsidP="002B147A">
            <w:pPr>
              <w:rPr>
                <w:sz w:val="16"/>
                <w:szCs w:val="16"/>
              </w:rPr>
            </w:pPr>
            <w:r>
              <w:rPr>
                <w:sz w:val="16"/>
                <w:szCs w:val="16"/>
              </w:rPr>
              <w:t xml:space="preserve">Spraying on hard surfaces </w:t>
            </w:r>
          </w:p>
          <w:p w14:paraId="659AA59B" w14:textId="77777777" w:rsidR="004D0A54" w:rsidRDefault="004D0A54" w:rsidP="002B147A">
            <w:pPr>
              <w:rPr>
                <w:sz w:val="16"/>
                <w:szCs w:val="16"/>
              </w:rPr>
            </w:pPr>
          </w:p>
          <w:p w14:paraId="78D00F43" w14:textId="45610A1A" w:rsidR="004D0A54" w:rsidRDefault="004D0A54" w:rsidP="002B147A">
            <w:pPr>
              <w:rPr>
                <w:sz w:val="16"/>
                <w:szCs w:val="16"/>
              </w:rPr>
            </w:pPr>
            <w:r>
              <w:rPr>
                <w:sz w:val="16"/>
                <w:szCs w:val="16"/>
              </w:rPr>
              <w:t xml:space="preserve">Wiping on hard surfaces </w:t>
            </w:r>
          </w:p>
          <w:p w14:paraId="5F955D8C" w14:textId="77777777" w:rsidR="00B00E6F" w:rsidRDefault="00B00E6F" w:rsidP="002B147A">
            <w:pPr>
              <w:rPr>
                <w:sz w:val="16"/>
                <w:szCs w:val="16"/>
              </w:rPr>
            </w:pPr>
          </w:p>
          <w:p w14:paraId="36CD4F27" w14:textId="6C8C5B3E" w:rsidR="00B00E6F" w:rsidRDefault="00B00E6F" w:rsidP="002B147A">
            <w:pPr>
              <w:rPr>
                <w:sz w:val="16"/>
                <w:szCs w:val="16"/>
              </w:rPr>
            </w:pPr>
            <w:r>
              <w:rPr>
                <w:sz w:val="16"/>
                <w:szCs w:val="16"/>
              </w:rPr>
              <w:t>Brushing</w:t>
            </w:r>
          </w:p>
          <w:p w14:paraId="60E66304" w14:textId="77777777" w:rsidR="004D0A54" w:rsidRDefault="004D0A54" w:rsidP="002B147A">
            <w:pPr>
              <w:rPr>
                <w:sz w:val="16"/>
                <w:szCs w:val="16"/>
              </w:rPr>
            </w:pPr>
          </w:p>
          <w:p w14:paraId="01717D07" w14:textId="77777777" w:rsidR="004D0A54" w:rsidRDefault="004D0A54" w:rsidP="002B147A">
            <w:pPr>
              <w:rPr>
                <w:sz w:val="16"/>
                <w:szCs w:val="16"/>
              </w:rPr>
            </w:pPr>
            <w:r>
              <w:rPr>
                <w:sz w:val="16"/>
                <w:szCs w:val="16"/>
              </w:rPr>
              <w:t>Scrubbing</w:t>
            </w:r>
          </w:p>
          <w:p w14:paraId="79D63095" w14:textId="77777777" w:rsidR="004D0A54" w:rsidRDefault="004D0A54" w:rsidP="002B147A">
            <w:pPr>
              <w:rPr>
                <w:sz w:val="16"/>
                <w:szCs w:val="16"/>
              </w:rPr>
            </w:pPr>
          </w:p>
          <w:p w14:paraId="43E31D2C" w14:textId="0AEE7EEA" w:rsidR="004D0A54" w:rsidRDefault="004D0A54" w:rsidP="002B147A">
            <w:pPr>
              <w:rPr>
                <w:sz w:val="16"/>
                <w:szCs w:val="16"/>
              </w:rPr>
            </w:pPr>
            <w:r>
              <w:rPr>
                <w:sz w:val="16"/>
                <w:szCs w:val="16"/>
              </w:rPr>
              <w:t>Cleaning of toilet bowls (spraying + brushing)</w:t>
            </w:r>
          </w:p>
          <w:p w14:paraId="7AE2F2CE" w14:textId="77777777" w:rsidR="004D0A54" w:rsidRDefault="004D0A54" w:rsidP="002B147A">
            <w:pPr>
              <w:rPr>
                <w:sz w:val="16"/>
                <w:szCs w:val="16"/>
              </w:rPr>
            </w:pPr>
          </w:p>
        </w:tc>
        <w:tc>
          <w:tcPr>
            <w:tcW w:w="851" w:type="dxa"/>
            <w:shd w:val="clear" w:color="auto" w:fill="auto"/>
          </w:tcPr>
          <w:p w14:paraId="6F89B029" w14:textId="77777777" w:rsidR="004D0A54" w:rsidRDefault="004D0A54" w:rsidP="002B147A">
            <w:pPr>
              <w:rPr>
                <w:sz w:val="16"/>
                <w:szCs w:val="16"/>
              </w:rPr>
            </w:pPr>
            <w:r>
              <w:rPr>
                <w:sz w:val="16"/>
                <w:szCs w:val="16"/>
              </w:rPr>
              <w:t>Dermal</w:t>
            </w:r>
          </w:p>
          <w:p w14:paraId="10380152" w14:textId="77777777" w:rsidR="004D0A54" w:rsidRDefault="004D0A54" w:rsidP="002B147A">
            <w:pPr>
              <w:rPr>
                <w:sz w:val="16"/>
                <w:szCs w:val="16"/>
              </w:rPr>
            </w:pPr>
          </w:p>
          <w:p w14:paraId="4F9753F8" w14:textId="77777777" w:rsidR="004D0A54" w:rsidRDefault="004D0A54" w:rsidP="002B147A">
            <w:pPr>
              <w:rPr>
                <w:sz w:val="16"/>
                <w:szCs w:val="16"/>
              </w:rPr>
            </w:pPr>
          </w:p>
        </w:tc>
        <w:tc>
          <w:tcPr>
            <w:tcW w:w="1843" w:type="dxa"/>
            <w:shd w:val="clear" w:color="auto" w:fill="auto"/>
          </w:tcPr>
          <w:p w14:paraId="7B7D3F3C" w14:textId="77777777" w:rsidR="004D0A54" w:rsidRDefault="004D0A54" w:rsidP="002B147A">
            <w:pPr>
              <w:rPr>
                <w:sz w:val="16"/>
                <w:szCs w:val="16"/>
              </w:rPr>
            </w:pPr>
            <w:r>
              <w:rPr>
                <w:sz w:val="16"/>
                <w:szCs w:val="16"/>
              </w:rPr>
              <w:t>Equal to or less than one hour per day</w:t>
            </w:r>
          </w:p>
        </w:tc>
        <w:tc>
          <w:tcPr>
            <w:tcW w:w="1300" w:type="dxa"/>
            <w:shd w:val="clear" w:color="auto" w:fill="auto"/>
          </w:tcPr>
          <w:p w14:paraId="0EEFE174" w14:textId="77777777" w:rsidR="004D0A54" w:rsidRDefault="004D0A54" w:rsidP="002B147A">
            <w:pPr>
              <w:rPr>
                <w:sz w:val="16"/>
                <w:szCs w:val="16"/>
              </w:rPr>
            </w:pPr>
            <w:r>
              <w:rPr>
                <w:sz w:val="16"/>
                <w:szCs w:val="16"/>
              </w:rPr>
              <w:t>e.g use of dish cleaning product or low volume outdoor spray application</w:t>
            </w:r>
          </w:p>
        </w:tc>
        <w:tc>
          <w:tcPr>
            <w:tcW w:w="3765" w:type="dxa"/>
            <w:gridSpan w:val="2"/>
            <w:shd w:val="clear" w:color="auto" w:fill="auto"/>
          </w:tcPr>
          <w:p w14:paraId="23A8CDF9" w14:textId="77777777" w:rsidR="004D0A54" w:rsidRDefault="004D0A54" w:rsidP="002B147A">
            <w:pPr>
              <w:pStyle w:val="Paragraphedeliste"/>
              <w:ind w:left="0"/>
              <w:jc w:val="both"/>
              <w:rPr>
                <w:rFonts w:cs="Arial"/>
                <w:iCs/>
                <w:sz w:val="16"/>
                <w:szCs w:val="16"/>
                <w:lang w:val="en-US"/>
              </w:rPr>
            </w:pPr>
            <w:r w:rsidRPr="007501C2">
              <w:rPr>
                <w:rFonts w:cs="Arial"/>
                <w:iCs/>
                <w:sz w:val="16"/>
                <w:szCs w:val="16"/>
                <w:lang w:val="en-US"/>
              </w:rPr>
              <w:t xml:space="preserve">Considering that the product will be applied by a </w:t>
            </w:r>
            <w:r>
              <w:rPr>
                <w:rFonts w:cs="Arial"/>
                <w:iCs/>
                <w:sz w:val="16"/>
                <w:szCs w:val="16"/>
                <w:lang w:val="en-US"/>
              </w:rPr>
              <w:t>non-</w:t>
            </w:r>
            <w:r w:rsidRPr="007501C2">
              <w:rPr>
                <w:rFonts w:cs="Arial"/>
                <w:iCs/>
                <w:sz w:val="16"/>
                <w:szCs w:val="16"/>
                <w:lang w:val="en-US"/>
              </w:rPr>
              <w:t xml:space="preserve">professional, </w:t>
            </w:r>
            <w:r>
              <w:rPr>
                <w:rFonts w:cs="Arial"/>
                <w:iCs/>
                <w:sz w:val="16"/>
                <w:szCs w:val="16"/>
                <w:lang w:val="en-US"/>
              </w:rPr>
              <w:t>RMM must be applied:</w:t>
            </w:r>
          </w:p>
          <w:p w14:paraId="1DF29117" w14:textId="77777777" w:rsidR="004D0A54" w:rsidRDefault="004D0A54" w:rsidP="002B147A">
            <w:pPr>
              <w:pStyle w:val="Paragraphedeliste"/>
              <w:ind w:left="0"/>
              <w:jc w:val="both"/>
              <w:rPr>
                <w:rFonts w:cs="Arial"/>
                <w:iCs/>
                <w:sz w:val="16"/>
                <w:szCs w:val="16"/>
                <w:lang w:val="en-US"/>
              </w:rPr>
            </w:pPr>
          </w:p>
          <w:p w14:paraId="1516368B" w14:textId="74D52255" w:rsidR="00516DC3" w:rsidRPr="00E91F85" w:rsidRDefault="00516DC3" w:rsidP="00E91F85">
            <w:pPr>
              <w:pStyle w:val="Paragraphedeliste"/>
              <w:numPr>
                <w:ilvl w:val="0"/>
                <w:numId w:val="43"/>
              </w:numPr>
              <w:jc w:val="both"/>
              <w:rPr>
                <w:rFonts w:cs="Arial"/>
                <w:iCs/>
                <w:sz w:val="16"/>
                <w:szCs w:val="16"/>
                <w:lang w:val="en-US"/>
              </w:rPr>
            </w:pPr>
            <w:r w:rsidRPr="00516DC3">
              <w:rPr>
                <w:rFonts w:cs="Arial"/>
                <w:iCs/>
                <w:sz w:val="16"/>
                <w:szCs w:val="16"/>
                <w:lang w:val="en-US"/>
              </w:rPr>
              <w:t>Minimisation of splashes and spills during loading of the trigger spray</w:t>
            </w:r>
          </w:p>
          <w:p w14:paraId="7DB4EBB4" w14:textId="26990413" w:rsidR="004D0A54" w:rsidRPr="00877A6A" w:rsidRDefault="004D0A54" w:rsidP="002B147A">
            <w:pPr>
              <w:pStyle w:val="Paragraphedeliste"/>
              <w:numPr>
                <w:ilvl w:val="0"/>
                <w:numId w:val="15"/>
              </w:numPr>
              <w:ind w:left="785"/>
              <w:rPr>
                <w:rFonts w:cs="Arial"/>
                <w:iCs/>
                <w:sz w:val="16"/>
                <w:szCs w:val="16"/>
                <w:lang w:val="en-US"/>
              </w:rPr>
            </w:pPr>
            <w:r>
              <w:rPr>
                <w:rFonts w:cs="Arial"/>
                <w:iCs/>
                <w:sz w:val="16"/>
                <w:szCs w:val="16"/>
                <w:lang w:val="en-US"/>
              </w:rPr>
              <w:t>T</w:t>
            </w:r>
            <w:r w:rsidRPr="00696000">
              <w:rPr>
                <w:rFonts w:cs="Arial"/>
                <w:iCs/>
                <w:sz w:val="16"/>
                <w:szCs w:val="16"/>
                <w:lang w:val="en-US"/>
              </w:rPr>
              <w:t xml:space="preserve">he spray application </w:t>
            </w:r>
            <w:r>
              <w:rPr>
                <w:rFonts w:cs="Arial"/>
                <w:iCs/>
                <w:sz w:val="16"/>
                <w:szCs w:val="16"/>
                <w:lang w:val="en-US"/>
              </w:rPr>
              <w:t>must</w:t>
            </w:r>
            <w:r w:rsidRPr="00696000">
              <w:rPr>
                <w:rFonts w:cs="Arial"/>
                <w:iCs/>
                <w:sz w:val="16"/>
                <w:szCs w:val="16"/>
                <w:lang w:val="en-US"/>
              </w:rPr>
              <w:t xml:space="preserve"> be downward in order to avoid any facial exposure</w:t>
            </w:r>
          </w:p>
          <w:p w14:paraId="20C35C1E" w14:textId="435A9039" w:rsidR="004D0A54" w:rsidRDefault="004D0A54" w:rsidP="002B147A">
            <w:pPr>
              <w:pStyle w:val="Paragraphedeliste"/>
              <w:numPr>
                <w:ilvl w:val="0"/>
                <w:numId w:val="15"/>
              </w:numPr>
              <w:jc w:val="both"/>
              <w:rPr>
                <w:rFonts w:cs="Arial"/>
                <w:iCs/>
                <w:sz w:val="16"/>
                <w:szCs w:val="16"/>
                <w:lang w:val="en-US"/>
              </w:rPr>
            </w:pPr>
            <w:r w:rsidRPr="00F11400">
              <w:rPr>
                <w:rFonts w:cs="Arial"/>
                <w:iCs/>
                <w:sz w:val="16"/>
                <w:szCs w:val="16"/>
                <w:lang w:val="en-US"/>
              </w:rPr>
              <w:t>Avoidance of contact with</w:t>
            </w:r>
            <w:r>
              <w:rPr>
                <w:rFonts w:cs="Arial"/>
                <w:iCs/>
                <w:sz w:val="16"/>
                <w:szCs w:val="16"/>
                <w:lang w:val="en-US"/>
              </w:rPr>
              <w:t xml:space="preserve"> </w:t>
            </w:r>
            <w:r w:rsidR="00B00E6F">
              <w:rPr>
                <w:rFonts w:cs="Arial"/>
                <w:iCs/>
                <w:sz w:val="16"/>
                <w:szCs w:val="16"/>
                <w:lang w:val="en-US"/>
              </w:rPr>
              <w:t>treated</w:t>
            </w:r>
            <w:r>
              <w:rPr>
                <w:rFonts w:cs="Arial"/>
                <w:iCs/>
                <w:sz w:val="16"/>
                <w:szCs w:val="16"/>
                <w:lang w:val="en-US"/>
              </w:rPr>
              <w:t xml:space="preserve"> surfaces</w:t>
            </w:r>
          </w:p>
          <w:p w14:paraId="01B1AAF7" w14:textId="77777777" w:rsidR="004D0A54" w:rsidRPr="00877A6A" w:rsidRDefault="004D0A54" w:rsidP="002B147A">
            <w:pPr>
              <w:pStyle w:val="Paragraphedeliste"/>
              <w:numPr>
                <w:ilvl w:val="0"/>
                <w:numId w:val="15"/>
              </w:numPr>
              <w:jc w:val="both"/>
              <w:rPr>
                <w:rFonts w:cs="Arial"/>
                <w:iCs/>
                <w:sz w:val="16"/>
                <w:szCs w:val="16"/>
                <w:lang w:val="en-US"/>
              </w:rPr>
            </w:pPr>
            <w:r w:rsidRPr="00877A6A">
              <w:rPr>
                <w:rFonts w:cs="Arial"/>
                <w:iCs/>
                <w:sz w:val="16"/>
                <w:szCs w:val="16"/>
                <w:lang w:val="en-US"/>
              </w:rPr>
              <w:t>Wash hands after application</w:t>
            </w:r>
          </w:p>
          <w:p w14:paraId="17F884D3" w14:textId="77777777" w:rsidR="004D0A54" w:rsidRPr="008D6B07" w:rsidRDefault="004D0A54" w:rsidP="002B147A">
            <w:pPr>
              <w:jc w:val="both"/>
              <w:rPr>
                <w:rFonts w:cs="Arial"/>
                <w:iCs/>
                <w:sz w:val="16"/>
                <w:szCs w:val="16"/>
                <w:lang w:val="en-US"/>
              </w:rPr>
            </w:pPr>
          </w:p>
          <w:p w14:paraId="340C43E2" w14:textId="77777777" w:rsidR="004D0A54" w:rsidRPr="000D3719" w:rsidRDefault="004D0A54" w:rsidP="002B147A">
            <w:pPr>
              <w:jc w:val="both"/>
              <w:rPr>
                <w:rFonts w:cs="Arial"/>
                <w:iCs/>
                <w:sz w:val="16"/>
                <w:szCs w:val="16"/>
                <w:lang w:eastAsia="en-US"/>
              </w:rPr>
            </w:pPr>
            <w:r w:rsidRPr="00E61C32">
              <w:rPr>
                <w:rFonts w:cs="Arial"/>
                <w:iCs/>
                <w:sz w:val="16"/>
                <w:szCs w:val="16"/>
                <w:lang w:eastAsia="en-US"/>
              </w:rPr>
              <w:t>Considering that these recommendations can be followed d</w:t>
            </w:r>
            <w:r>
              <w:rPr>
                <w:rFonts w:cs="Arial"/>
                <w:iCs/>
                <w:sz w:val="16"/>
                <w:szCs w:val="16"/>
                <w:lang w:eastAsia="en-US"/>
              </w:rPr>
              <w:t>uring this task</w:t>
            </w:r>
            <w:r w:rsidRPr="00E61C32">
              <w:rPr>
                <w:rFonts w:cs="Arial"/>
                <w:iCs/>
                <w:sz w:val="16"/>
                <w:szCs w:val="16"/>
                <w:lang w:eastAsia="en-US"/>
              </w:rPr>
              <w:t>, the risk is acceptable</w:t>
            </w:r>
            <w:r>
              <w:rPr>
                <w:rFonts w:cs="Arial"/>
                <w:iCs/>
                <w:sz w:val="16"/>
                <w:szCs w:val="16"/>
                <w:lang w:eastAsia="en-US"/>
              </w:rPr>
              <w:t>.</w:t>
            </w:r>
          </w:p>
        </w:tc>
      </w:tr>
      <w:tr w:rsidR="004D0A54" w:rsidRPr="00E805B0" w14:paraId="25E6F899" w14:textId="77777777" w:rsidTr="002B147A">
        <w:trPr>
          <w:jc w:val="center"/>
        </w:trPr>
        <w:tc>
          <w:tcPr>
            <w:tcW w:w="13424" w:type="dxa"/>
            <w:gridSpan w:val="11"/>
            <w:shd w:val="clear" w:color="auto" w:fill="BFBFBF" w:themeFill="background1" w:themeFillShade="BF"/>
          </w:tcPr>
          <w:p w14:paraId="520F095C" w14:textId="7671A39B" w:rsidR="004D0A54" w:rsidRPr="00011021" w:rsidRDefault="004D0A54" w:rsidP="002B147A">
            <w:pPr>
              <w:pStyle w:val="Paragraphedeliste"/>
              <w:ind w:left="0"/>
              <w:rPr>
                <w:rFonts w:cs="Arial"/>
                <w:b/>
                <w:iCs/>
                <w:sz w:val="16"/>
                <w:lang w:val="en-US"/>
              </w:rPr>
            </w:pPr>
            <w:r w:rsidRPr="005E4736">
              <w:rPr>
                <w:rFonts w:cs="Arial"/>
                <w:b/>
                <w:iCs/>
                <w:sz w:val="18"/>
                <w:szCs w:val="18"/>
                <w:lang w:val="en-US"/>
              </w:rPr>
              <w:t>Meta SPC</w:t>
            </w:r>
            <w:r>
              <w:rPr>
                <w:rFonts w:cs="Arial"/>
                <w:b/>
                <w:iCs/>
                <w:sz w:val="18"/>
                <w:szCs w:val="18"/>
                <w:lang w:val="en-US"/>
              </w:rPr>
              <w:t xml:space="preserve"> 8 – Application by wiping/</w:t>
            </w:r>
            <w:r w:rsidR="00B00E6F">
              <w:rPr>
                <w:rFonts w:cs="Arial"/>
                <w:b/>
                <w:iCs/>
                <w:sz w:val="18"/>
                <w:szCs w:val="18"/>
                <w:lang w:val="en-US"/>
              </w:rPr>
              <w:t>brushing/scrubbing/</w:t>
            </w:r>
            <w:r>
              <w:rPr>
                <w:rFonts w:cs="Arial"/>
                <w:b/>
                <w:iCs/>
                <w:sz w:val="18"/>
                <w:szCs w:val="18"/>
                <w:lang w:val="en-US"/>
              </w:rPr>
              <w:t xml:space="preserve">mopping </w:t>
            </w:r>
            <w:r w:rsidRPr="004D0CAC">
              <w:rPr>
                <w:rFonts w:cs="Arial"/>
                <w:iCs/>
                <w:sz w:val="18"/>
                <w:szCs w:val="18"/>
                <w:lang w:val="en-US"/>
              </w:rPr>
              <w:t>– Use #1</w:t>
            </w:r>
          </w:p>
        </w:tc>
      </w:tr>
      <w:tr w:rsidR="004D0A54" w:rsidRPr="00E805B0" w14:paraId="128D8CA6" w14:textId="77777777" w:rsidTr="002B147A">
        <w:trPr>
          <w:jc w:val="center"/>
        </w:trPr>
        <w:tc>
          <w:tcPr>
            <w:tcW w:w="13424" w:type="dxa"/>
            <w:gridSpan w:val="11"/>
            <w:shd w:val="clear" w:color="auto" w:fill="FFFFFF" w:themeFill="background1"/>
          </w:tcPr>
          <w:p w14:paraId="28DBC7D2" w14:textId="77777777" w:rsidR="004D0A54" w:rsidRPr="005E4736" w:rsidRDefault="004D0A54" w:rsidP="002B147A">
            <w:pPr>
              <w:pStyle w:val="Paragraphedeliste"/>
              <w:ind w:left="0"/>
              <w:rPr>
                <w:rFonts w:cs="Arial"/>
                <w:b/>
                <w:iCs/>
                <w:sz w:val="18"/>
                <w:szCs w:val="18"/>
                <w:lang w:val="en-US"/>
              </w:rPr>
            </w:pPr>
            <w:r>
              <w:rPr>
                <w:rFonts w:cs="Arial"/>
                <w:b/>
                <w:iCs/>
                <w:sz w:val="18"/>
                <w:szCs w:val="18"/>
                <w:lang w:val="en-US"/>
              </w:rPr>
              <w:t>Concentrate</w:t>
            </w:r>
          </w:p>
        </w:tc>
      </w:tr>
      <w:tr w:rsidR="004D0A54" w:rsidRPr="00DA4E6E" w14:paraId="74CCCF00" w14:textId="77777777" w:rsidTr="002B147A">
        <w:trPr>
          <w:jc w:val="center"/>
        </w:trPr>
        <w:tc>
          <w:tcPr>
            <w:tcW w:w="988" w:type="dxa"/>
            <w:shd w:val="clear" w:color="auto" w:fill="auto"/>
          </w:tcPr>
          <w:p w14:paraId="5B59691C" w14:textId="77777777" w:rsidR="004D0A54" w:rsidRDefault="004D0A54" w:rsidP="002B147A">
            <w:pPr>
              <w:tabs>
                <w:tab w:val="center" w:pos="610"/>
              </w:tabs>
              <w:rPr>
                <w:rFonts w:cs="Arial"/>
                <w:iCs/>
                <w:sz w:val="16"/>
              </w:rPr>
            </w:pPr>
            <w:r>
              <w:rPr>
                <w:sz w:val="16"/>
                <w:szCs w:val="16"/>
              </w:rPr>
              <w:t>High</w:t>
            </w:r>
          </w:p>
        </w:tc>
        <w:tc>
          <w:tcPr>
            <w:tcW w:w="992" w:type="dxa"/>
            <w:shd w:val="clear" w:color="auto" w:fill="auto"/>
          </w:tcPr>
          <w:p w14:paraId="102248D7" w14:textId="77777777" w:rsidR="004D0A54" w:rsidRDefault="004D0A54" w:rsidP="002B147A">
            <w:pPr>
              <w:rPr>
                <w:rFonts w:cs="Arial"/>
                <w:iCs/>
                <w:spacing w:val="1"/>
                <w:sz w:val="16"/>
                <w:szCs w:val="16"/>
                <w:lang w:eastAsia="fr-FR"/>
              </w:rPr>
            </w:pPr>
            <w:r w:rsidRPr="00D15E88">
              <w:rPr>
                <w:rFonts w:cs="Arial"/>
                <w:iCs/>
                <w:spacing w:val="1"/>
                <w:sz w:val="16"/>
                <w:szCs w:val="16"/>
                <w:lang w:eastAsia="fr-FR"/>
              </w:rPr>
              <w:t xml:space="preserve">Skin </w:t>
            </w:r>
            <w:r>
              <w:rPr>
                <w:rFonts w:cs="Arial"/>
                <w:iCs/>
                <w:spacing w:val="1"/>
                <w:sz w:val="16"/>
                <w:szCs w:val="16"/>
                <w:lang w:eastAsia="fr-FR"/>
              </w:rPr>
              <w:t>Corr. 1C, H314</w:t>
            </w:r>
          </w:p>
          <w:p w14:paraId="0E5128A4" w14:textId="77777777" w:rsidR="004D0A54" w:rsidRPr="00877A6A" w:rsidRDefault="004D0A54" w:rsidP="002B147A">
            <w:pPr>
              <w:rPr>
                <w:rFonts w:cs="Arial"/>
                <w:iCs/>
                <w:spacing w:val="1"/>
                <w:sz w:val="16"/>
                <w:szCs w:val="16"/>
                <w:lang w:eastAsia="fr-FR"/>
              </w:rPr>
            </w:pPr>
            <w:r w:rsidRPr="009348A3">
              <w:rPr>
                <w:rFonts w:cs="Arial"/>
                <w:iCs/>
                <w:sz w:val="16"/>
                <w:lang w:val="en-US"/>
              </w:rPr>
              <w:lastRenderedPageBreak/>
              <w:t>Eye Dam.1, H318</w:t>
            </w:r>
          </w:p>
        </w:tc>
        <w:tc>
          <w:tcPr>
            <w:tcW w:w="850" w:type="dxa"/>
            <w:shd w:val="clear" w:color="auto" w:fill="auto"/>
          </w:tcPr>
          <w:p w14:paraId="5A90C875" w14:textId="77777777" w:rsidR="004D0A54" w:rsidRDefault="004D0A54" w:rsidP="002B147A">
            <w:pPr>
              <w:rPr>
                <w:sz w:val="16"/>
              </w:rPr>
            </w:pPr>
            <w:r>
              <w:rPr>
                <w:sz w:val="16"/>
                <w:szCs w:val="16"/>
              </w:rPr>
              <w:lastRenderedPageBreak/>
              <w:t>-</w:t>
            </w:r>
          </w:p>
        </w:tc>
        <w:tc>
          <w:tcPr>
            <w:tcW w:w="709" w:type="dxa"/>
            <w:shd w:val="clear" w:color="auto" w:fill="auto"/>
          </w:tcPr>
          <w:p w14:paraId="7F672923" w14:textId="77777777" w:rsidR="004D0A54" w:rsidRDefault="004D0A54" w:rsidP="002B147A">
            <w:pPr>
              <w:rPr>
                <w:sz w:val="16"/>
                <w:szCs w:val="16"/>
              </w:rPr>
            </w:pPr>
            <w:r>
              <w:rPr>
                <w:sz w:val="16"/>
                <w:szCs w:val="16"/>
              </w:rPr>
              <w:t>2</w:t>
            </w:r>
          </w:p>
          <w:p w14:paraId="33A20E7D" w14:textId="77777777" w:rsidR="004D0A54" w:rsidRPr="00D966C9" w:rsidRDefault="004D0A54" w:rsidP="002B147A">
            <w:pPr>
              <w:rPr>
                <w:sz w:val="16"/>
                <w:szCs w:val="16"/>
              </w:rPr>
            </w:pPr>
          </w:p>
        </w:tc>
        <w:tc>
          <w:tcPr>
            <w:tcW w:w="992" w:type="dxa"/>
            <w:shd w:val="clear" w:color="auto" w:fill="auto"/>
          </w:tcPr>
          <w:p w14:paraId="6B12A51A" w14:textId="77777777" w:rsidR="004D0A54" w:rsidRPr="00DA4E6E" w:rsidRDefault="004D0A54" w:rsidP="002B147A">
            <w:pPr>
              <w:rPr>
                <w:sz w:val="16"/>
              </w:rPr>
            </w:pPr>
            <w:r>
              <w:rPr>
                <w:sz w:val="16"/>
                <w:szCs w:val="16"/>
              </w:rPr>
              <w:t>Non-professional</w:t>
            </w:r>
          </w:p>
        </w:tc>
        <w:tc>
          <w:tcPr>
            <w:tcW w:w="1134" w:type="dxa"/>
            <w:shd w:val="clear" w:color="auto" w:fill="auto"/>
          </w:tcPr>
          <w:p w14:paraId="4554D287" w14:textId="77777777" w:rsidR="004D0A54" w:rsidRDefault="004D0A54" w:rsidP="002B147A">
            <w:pPr>
              <w:rPr>
                <w:sz w:val="16"/>
              </w:rPr>
            </w:pPr>
            <w:r>
              <w:rPr>
                <w:sz w:val="16"/>
              </w:rPr>
              <w:t>Mixing and Loading</w:t>
            </w:r>
          </w:p>
          <w:p w14:paraId="621D5716" w14:textId="77777777" w:rsidR="004D0A54" w:rsidRDefault="004D0A54" w:rsidP="002B147A">
            <w:pPr>
              <w:rPr>
                <w:sz w:val="16"/>
              </w:rPr>
            </w:pPr>
          </w:p>
          <w:p w14:paraId="1AA2E33A" w14:textId="77777777" w:rsidR="004D0A54" w:rsidRPr="00DA4E6E" w:rsidRDefault="004D0A54" w:rsidP="002B147A">
            <w:pPr>
              <w:rPr>
                <w:sz w:val="16"/>
              </w:rPr>
            </w:pPr>
          </w:p>
        </w:tc>
        <w:tc>
          <w:tcPr>
            <w:tcW w:w="851" w:type="dxa"/>
            <w:shd w:val="clear" w:color="auto" w:fill="auto"/>
          </w:tcPr>
          <w:p w14:paraId="75F3E1B0" w14:textId="77777777" w:rsidR="004D0A54" w:rsidRDefault="004D0A54" w:rsidP="002B147A">
            <w:pPr>
              <w:rPr>
                <w:sz w:val="16"/>
                <w:szCs w:val="16"/>
              </w:rPr>
            </w:pPr>
            <w:r>
              <w:rPr>
                <w:sz w:val="16"/>
                <w:szCs w:val="16"/>
              </w:rPr>
              <w:t>Dermal</w:t>
            </w:r>
          </w:p>
          <w:p w14:paraId="282610EE" w14:textId="77777777" w:rsidR="004D0A54" w:rsidRDefault="004D0A54" w:rsidP="002B147A">
            <w:pPr>
              <w:rPr>
                <w:sz w:val="16"/>
                <w:szCs w:val="16"/>
              </w:rPr>
            </w:pPr>
          </w:p>
          <w:p w14:paraId="576434D4" w14:textId="77777777" w:rsidR="004D0A54" w:rsidRDefault="004D0A54" w:rsidP="002B147A">
            <w:pPr>
              <w:rPr>
                <w:sz w:val="16"/>
                <w:szCs w:val="16"/>
              </w:rPr>
            </w:pPr>
            <w:r>
              <w:rPr>
                <w:sz w:val="16"/>
                <w:szCs w:val="16"/>
              </w:rPr>
              <w:t>Ocular</w:t>
            </w:r>
          </w:p>
          <w:p w14:paraId="3A4B95F6" w14:textId="77777777" w:rsidR="004D0A54" w:rsidRPr="00DA4E6E" w:rsidRDefault="004D0A54" w:rsidP="002B147A">
            <w:pPr>
              <w:rPr>
                <w:sz w:val="16"/>
              </w:rPr>
            </w:pPr>
          </w:p>
        </w:tc>
        <w:tc>
          <w:tcPr>
            <w:tcW w:w="1843" w:type="dxa"/>
          </w:tcPr>
          <w:p w14:paraId="00C4DC42" w14:textId="77777777" w:rsidR="004D0A54" w:rsidRPr="00DA4E6E" w:rsidRDefault="004D0A54" w:rsidP="002B147A">
            <w:pPr>
              <w:rPr>
                <w:rFonts w:cs="Arial"/>
                <w:iCs/>
                <w:sz w:val="16"/>
                <w:lang w:val="en-US"/>
              </w:rPr>
            </w:pPr>
            <w:r>
              <w:rPr>
                <w:sz w:val="16"/>
                <w:szCs w:val="16"/>
              </w:rPr>
              <w:t>Equal to or less than one once per week and equal to or less than few minutes per day</w:t>
            </w:r>
          </w:p>
        </w:tc>
        <w:tc>
          <w:tcPr>
            <w:tcW w:w="1300" w:type="dxa"/>
          </w:tcPr>
          <w:p w14:paraId="1B4273F2" w14:textId="77777777" w:rsidR="004D0A54" w:rsidRDefault="004D0A54" w:rsidP="002B147A">
            <w:pPr>
              <w:rPr>
                <w:sz w:val="16"/>
                <w:szCs w:val="16"/>
              </w:rPr>
            </w:pPr>
            <w:r>
              <w:rPr>
                <w:sz w:val="16"/>
                <w:szCs w:val="16"/>
              </w:rPr>
              <w:t>Pratically no exposure,</w:t>
            </w:r>
          </w:p>
          <w:p w14:paraId="5F66C595" w14:textId="77777777" w:rsidR="004D0A54" w:rsidRPr="00DA4E6E" w:rsidRDefault="004D0A54" w:rsidP="002B147A">
            <w:pPr>
              <w:rPr>
                <w:rFonts w:cs="Arial"/>
                <w:iCs/>
                <w:sz w:val="16"/>
                <w:lang w:val="en-US"/>
              </w:rPr>
            </w:pPr>
            <w:r>
              <w:rPr>
                <w:sz w:val="16"/>
                <w:szCs w:val="16"/>
              </w:rPr>
              <w:t xml:space="preserve">e.g use of toilet cleaners </w:t>
            </w:r>
          </w:p>
        </w:tc>
        <w:tc>
          <w:tcPr>
            <w:tcW w:w="3765" w:type="dxa"/>
            <w:gridSpan w:val="2"/>
            <w:shd w:val="clear" w:color="auto" w:fill="auto"/>
          </w:tcPr>
          <w:p w14:paraId="04B6D317" w14:textId="251EF938" w:rsidR="004D0A54" w:rsidRPr="004D0CAC" w:rsidRDefault="004D0A54" w:rsidP="002B147A">
            <w:pPr>
              <w:pStyle w:val="Paragraphedeliste"/>
              <w:ind w:left="0"/>
              <w:jc w:val="both"/>
              <w:rPr>
                <w:rFonts w:cs="Arial"/>
                <w:iCs/>
                <w:sz w:val="16"/>
              </w:rPr>
            </w:pPr>
            <w:r w:rsidRPr="007501C2">
              <w:rPr>
                <w:rFonts w:cs="Arial"/>
                <w:iCs/>
                <w:sz w:val="16"/>
                <w:szCs w:val="16"/>
                <w:lang w:val="en-US"/>
              </w:rPr>
              <w:t xml:space="preserve">Considering that the product will be </w:t>
            </w:r>
            <w:r>
              <w:rPr>
                <w:rFonts w:cs="Arial"/>
                <w:iCs/>
                <w:sz w:val="16"/>
                <w:szCs w:val="16"/>
                <w:lang w:val="en-US"/>
              </w:rPr>
              <w:t>used</w:t>
            </w:r>
            <w:r w:rsidRPr="007501C2">
              <w:rPr>
                <w:rFonts w:cs="Arial"/>
                <w:iCs/>
                <w:sz w:val="16"/>
                <w:szCs w:val="16"/>
                <w:lang w:val="en-US"/>
              </w:rPr>
              <w:t xml:space="preserve"> by a </w:t>
            </w:r>
            <w:r>
              <w:rPr>
                <w:rFonts w:cs="Arial"/>
                <w:iCs/>
                <w:sz w:val="16"/>
                <w:szCs w:val="16"/>
                <w:lang w:val="en-US"/>
              </w:rPr>
              <w:t>non-</w:t>
            </w:r>
            <w:r w:rsidRPr="007501C2">
              <w:rPr>
                <w:rFonts w:cs="Arial"/>
                <w:iCs/>
                <w:sz w:val="16"/>
                <w:szCs w:val="16"/>
                <w:lang w:val="en-US"/>
              </w:rPr>
              <w:t>professional</w:t>
            </w:r>
            <w:r>
              <w:rPr>
                <w:rFonts w:cs="Arial"/>
                <w:iCs/>
                <w:sz w:val="16"/>
                <w:szCs w:val="16"/>
                <w:lang w:val="en-US"/>
              </w:rPr>
              <w:t xml:space="preserve"> and in the absence of a protection offered by a</w:t>
            </w:r>
            <w:r w:rsidRPr="00070F08">
              <w:rPr>
                <w:rFonts w:cs="Arial"/>
                <w:iCs/>
                <w:sz w:val="16"/>
                <w:szCs w:val="16"/>
                <w:lang w:val="en-US"/>
              </w:rPr>
              <w:t xml:space="preserve"> cap with directional nozzle of the bottle to pour the product</w:t>
            </w:r>
            <w:r>
              <w:rPr>
                <w:rFonts w:cs="Arial"/>
                <w:iCs/>
                <w:sz w:val="16"/>
                <w:szCs w:val="16"/>
                <w:lang w:val="en-US"/>
              </w:rPr>
              <w:t xml:space="preserve">, </w:t>
            </w:r>
            <w:r w:rsidRPr="00E91F85">
              <w:rPr>
                <w:rFonts w:cs="Arial"/>
                <w:b/>
                <w:iCs/>
                <w:sz w:val="16"/>
                <w:szCs w:val="16"/>
                <w:lang w:val="en-US"/>
              </w:rPr>
              <w:t xml:space="preserve">the </w:t>
            </w:r>
            <w:r w:rsidRPr="00E91F85">
              <w:rPr>
                <w:rFonts w:cs="Arial"/>
                <w:b/>
                <w:iCs/>
                <w:sz w:val="16"/>
                <w:szCs w:val="16"/>
                <w:lang w:val="en-US"/>
              </w:rPr>
              <w:lastRenderedPageBreak/>
              <w:t>risk is considered unacceptable</w:t>
            </w:r>
            <w:r w:rsidR="006747A4">
              <w:rPr>
                <w:rFonts w:cs="Arial"/>
                <w:iCs/>
                <w:sz w:val="16"/>
                <w:szCs w:val="16"/>
                <w:lang w:val="en-US"/>
              </w:rPr>
              <w:t xml:space="preserve"> </w:t>
            </w:r>
            <w:r w:rsidR="006747A4" w:rsidRPr="00CC6631">
              <w:rPr>
                <w:rFonts w:cs="Arial"/>
                <w:b/>
                <w:iCs/>
                <w:sz w:val="16"/>
                <w:szCs w:val="16"/>
                <w:lang w:val="en-US"/>
              </w:rPr>
              <w:t>(see confidential annex for more details).</w:t>
            </w:r>
          </w:p>
        </w:tc>
      </w:tr>
      <w:tr w:rsidR="004D0A54" w:rsidRPr="00DA4E6E" w14:paraId="37BFA004" w14:textId="77777777" w:rsidTr="002B147A">
        <w:trPr>
          <w:jc w:val="center"/>
        </w:trPr>
        <w:tc>
          <w:tcPr>
            <w:tcW w:w="13424" w:type="dxa"/>
            <w:gridSpan w:val="11"/>
            <w:shd w:val="clear" w:color="auto" w:fill="auto"/>
          </w:tcPr>
          <w:p w14:paraId="702E354C" w14:textId="77777777" w:rsidR="004D0A54" w:rsidRPr="00877A6A" w:rsidRDefault="004D0A54" w:rsidP="002B147A">
            <w:pPr>
              <w:pStyle w:val="Paragraphedeliste"/>
              <w:ind w:left="0"/>
              <w:rPr>
                <w:rFonts w:cs="Arial"/>
                <w:b/>
                <w:iCs/>
                <w:sz w:val="16"/>
                <w:szCs w:val="16"/>
                <w:lang w:val="en-US"/>
              </w:rPr>
            </w:pPr>
            <w:r w:rsidRPr="00877A6A">
              <w:rPr>
                <w:rFonts w:cs="Arial"/>
                <w:b/>
                <w:iCs/>
                <w:sz w:val="18"/>
                <w:szCs w:val="16"/>
                <w:lang w:val="en-US"/>
              </w:rPr>
              <w:lastRenderedPageBreak/>
              <w:t xml:space="preserve">After dilution </w:t>
            </w:r>
          </w:p>
        </w:tc>
      </w:tr>
      <w:tr w:rsidR="004D0A54" w:rsidRPr="00DA4E6E" w14:paraId="72B535DE" w14:textId="77777777" w:rsidTr="002B147A">
        <w:trPr>
          <w:jc w:val="center"/>
        </w:trPr>
        <w:tc>
          <w:tcPr>
            <w:tcW w:w="988" w:type="dxa"/>
            <w:shd w:val="clear" w:color="auto" w:fill="auto"/>
          </w:tcPr>
          <w:p w14:paraId="4D6A9996" w14:textId="77777777" w:rsidR="004D0A54" w:rsidRDefault="004D0A54" w:rsidP="002B147A">
            <w:pPr>
              <w:tabs>
                <w:tab w:val="center" w:pos="610"/>
              </w:tabs>
              <w:rPr>
                <w:sz w:val="16"/>
                <w:szCs w:val="16"/>
              </w:rPr>
            </w:pPr>
            <w:r>
              <w:rPr>
                <w:sz w:val="16"/>
                <w:szCs w:val="16"/>
              </w:rPr>
              <w:t>Low</w:t>
            </w:r>
          </w:p>
        </w:tc>
        <w:tc>
          <w:tcPr>
            <w:tcW w:w="992" w:type="dxa"/>
            <w:shd w:val="clear" w:color="auto" w:fill="auto"/>
          </w:tcPr>
          <w:p w14:paraId="0D92EB0F" w14:textId="77777777" w:rsidR="004D0A54" w:rsidRPr="005E4736" w:rsidRDefault="004D0A54" w:rsidP="002B147A">
            <w:pPr>
              <w:rPr>
                <w:rFonts w:cs="Arial"/>
                <w:iCs/>
                <w:spacing w:val="1"/>
                <w:sz w:val="16"/>
                <w:szCs w:val="16"/>
                <w:lang w:val="fr-FR" w:eastAsia="fr-FR"/>
              </w:rPr>
            </w:pPr>
            <w:r w:rsidRPr="005E4736">
              <w:rPr>
                <w:rFonts w:cs="Arial"/>
                <w:iCs/>
                <w:spacing w:val="1"/>
                <w:sz w:val="16"/>
                <w:szCs w:val="16"/>
                <w:lang w:val="fr-FR" w:eastAsia="fr-FR"/>
              </w:rPr>
              <w:t>Skin Irrit.2, H315</w:t>
            </w:r>
          </w:p>
          <w:p w14:paraId="58505093" w14:textId="77777777" w:rsidR="004D0A54" w:rsidRDefault="004D0A54" w:rsidP="002B147A">
            <w:pPr>
              <w:rPr>
                <w:rFonts w:cs="Arial"/>
                <w:iCs/>
                <w:spacing w:val="1"/>
                <w:sz w:val="16"/>
                <w:szCs w:val="16"/>
                <w:lang w:val="fr-FR" w:eastAsia="fr-FR"/>
              </w:rPr>
            </w:pPr>
          </w:p>
          <w:p w14:paraId="1C30051A" w14:textId="77777777" w:rsidR="004D0A54" w:rsidRPr="005E4736" w:rsidRDefault="004D0A54" w:rsidP="002B147A">
            <w:pPr>
              <w:rPr>
                <w:rFonts w:cs="Arial"/>
                <w:iCs/>
                <w:spacing w:val="1"/>
                <w:sz w:val="16"/>
                <w:szCs w:val="16"/>
                <w:lang w:val="fr-FR" w:eastAsia="fr-FR"/>
              </w:rPr>
            </w:pPr>
            <w:r w:rsidRPr="00877A6A">
              <w:rPr>
                <w:rFonts w:cs="Arial"/>
                <w:iCs/>
                <w:sz w:val="16"/>
                <w:lang w:val="fr-FR"/>
              </w:rPr>
              <w:t>Eye Irrit.2, H319</w:t>
            </w:r>
          </w:p>
          <w:p w14:paraId="794066EC" w14:textId="77777777" w:rsidR="004D0A54" w:rsidRPr="00877A6A" w:rsidRDefault="004D0A54" w:rsidP="002B147A">
            <w:pPr>
              <w:rPr>
                <w:rFonts w:cs="Arial"/>
                <w:iCs/>
                <w:spacing w:val="1"/>
                <w:sz w:val="16"/>
                <w:szCs w:val="16"/>
                <w:lang w:val="fr-FR" w:eastAsia="fr-FR"/>
              </w:rPr>
            </w:pPr>
          </w:p>
        </w:tc>
        <w:tc>
          <w:tcPr>
            <w:tcW w:w="850" w:type="dxa"/>
            <w:shd w:val="clear" w:color="auto" w:fill="auto"/>
          </w:tcPr>
          <w:p w14:paraId="36B95995" w14:textId="77777777" w:rsidR="004D0A54" w:rsidRDefault="004D0A54" w:rsidP="002B147A">
            <w:pPr>
              <w:rPr>
                <w:sz w:val="16"/>
                <w:szCs w:val="16"/>
              </w:rPr>
            </w:pPr>
            <w:r>
              <w:rPr>
                <w:sz w:val="16"/>
                <w:szCs w:val="16"/>
              </w:rPr>
              <w:t>-</w:t>
            </w:r>
          </w:p>
        </w:tc>
        <w:tc>
          <w:tcPr>
            <w:tcW w:w="709" w:type="dxa"/>
            <w:shd w:val="clear" w:color="auto" w:fill="auto"/>
          </w:tcPr>
          <w:p w14:paraId="7FAE67B1" w14:textId="77777777" w:rsidR="004D0A54" w:rsidRDefault="004D0A54" w:rsidP="002B147A">
            <w:pPr>
              <w:rPr>
                <w:sz w:val="16"/>
                <w:szCs w:val="16"/>
              </w:rPr>
            </w:pPr>
            <w:r>
              <w:rPr>
                <w:sz w:val="16"/>
                <w:szCs w:val="16"/>
              </w:rPr>
              <w:t>2</w:t>
            </w:r>
          </w:p>
        </w:tc>
        <w:tc>
          <w:tcPr>
            <w:tcW w:w="992" w:type="dxa"/>
            <w:shd w:val="clear" w:color="auto" w:fill="auto"/>
          </w:tcPr>
          <w:p w14:paraId="60CCE4D7" w14:textId="77777777" w:rsidR="004D0A54" w:rsidRDefault="004D0A54" w:rsidP="002B147A">
            <w:pPr>
              <w:rPr>
                <w:sz w:val="16"/>
                <w:szCs w:val="16"/>
              </w:rPr>
            </w:pPr>
            <w:r>
              <w:rPr>
                <w:sz w:val="16"/>
                <w:szCs w:val="16"/>
              </w:rPr>
              <w:t>Non-professional</w:t>
            </w:r>
          </w:p>
          <w:p w14:paraId="2F73E98B" w14:textId="77777777" w:rsidR="004D0A54" w:rsidRDefault="004D0A54" w:rsidP="002B147A">
            <w:pPr>
              <w:rPr>
                <w:sz w:val="16"/>
                <w:szCs w:val="16"/>
              </w:rPr>
            </w:pPr>
          </w:p>
          <w:p w14:paraId="0CD34062" w14:textId="77777777" w:rsidR="004D0A54" w:rsidRDefault="004D0A54" w:rsidP="002B147A">
            <w:pPr>
              <w:rPr>
                <w:sz w:val="16"/>
                <w:szCs w:val="16"/>
              </w:rPr>
            </w:pPr>
          </w:p>
          <w:p w14:paraId="1F599CA3" w14:textId="77777777" w:rsidR="004D0A54" w:rsidRDefault="004D0A54" w:rsidP="002B147A">
            <w:pPr>
              <w:rPr>
                <w:sz w:val="16"/>
                <w:szCs w:val="16"/>
              </w:rPr>
            </w:pPr>
          </w:p>
          <w:p w14:paraId="4BDAD30F" w14:textId="77777777" w:rsidR="004D0A54" w:rsidRDefault="004D0A54" w:rsidP="002B147A">
            <w:pPr>
              <w:rPr>
                <w:sz w:val="16"/>
                <w:szCs w:val="16"/>
              </w:rPr>
            </w:pPr>
          </w:p>
          <w:p w14:paraId="24DFC8FB" w14:textId="77777777" w:rsidR="004D0A54" w:rsidRDefault="004D0A54" w:rsidP="002B147A">
            <w:pPr>
              <w:rPr>
                <w:sz w:val="16"/>
                <w:szCs w:val="16"/>
              </w:rPr>
            </w:pPr>
          </w:p>
        </w:tc>
        <w:tc>
          <w:tcPr>
            <w:tcW w:w="1134" w:type="dxa"/>
            <w:shd w:val="clear" w:color="auto" w:fill="auto"/>
          </w:tcPr>
          <w:p w14:paraId="50582491" w14:textId="585CC5E0" w:rsidR="004D0A54" w:rsidRDefault="004D0A54" w:rsidP="002B147A">
            <w:pPr>
              <w:rPr>
                <w:sz w:val="16"/>
                <w:szCs w:val="16"/>
              </w:rPr>
            </w:pPr>
            <w:r>
              <w:rPr>
                <w:sz w:val="16"/>
                <w:szCs w:val="16"/>
              </w:rPr>
              <w:t xml:space="preserve">Wiping on hard surfaces </w:t>
            </w:r>
          </w:p>
          <w:p w14:paraId="7A2011A4" w14:textId="3507FA39" w:rsidR="00662157" w:rsidRDefault="00662157" w:rsidP="002B147A">
            <w:pPr>
              <w:rPr>
                <w:sz w:val="16"/>
                <w:szCs w:val="16"/>
              </w:rPr>
            </w:pPr>
          </w:p>
          <w:p w14:paraId="0E172B3C" w14:textId="796225CF" w:rsidR="00662157" w:rsidRDefault="00662157" w:rsidP="002B147A">
            <w:pPr>
              <w:rPr>
                <w:sz w:val="16"/>
                <w:szCs w:val="16"/>
              </w:rPr>
            </w:pPr>
            <w:r>
              <w:rPr>
                <w:sz w:val="16"/>
                <w:szCs w:val="16"/>
              </w:rPr>
              <w:t>Brushing</w:t>
            </w:r>
          </w:p>
          <w:p w14:paraId="607FA7EA" w14:textId="77777777" w:rsidR="004D0A54" w:rsidRDefault="004D0A54" w:rsidP="002B147A">
            <w:pPr>
              <w:rPr>
                <w:sz w:val="16"/>
                <w:szCs w:val="16"/>
              </w:rPr>
            </w:pPr>
          </w:p>
          <w:p w14:paraId="358676F9" w14:textId="77777777" w:rsidR="00662157" w:rsidRDefault="00662157" w:rsidP="00662157">
            <w:pPr>
              <w:rPr>
                <w:sz w:val="16"/>
                <w:szCs w:val="16"/>
              </w:rPr>
            </w:pPr>
            <w:r>
              <w:rPr>
                <w:sz w:val="16"/>
                <w:szCs w:val="16"/>
              </w:rPr>
              <w:t>Scrubbing</w:t>
            </w:r>
          </w:p>
          <w:p w14:paraId="5B941B68" w14:textId="77777777" w:rsidR="00662157" w:rsidRDefault="00662157" w:rsidP="002B147A">
            <w:pPr>
              <w:rPr>
                <w:sz w:val="16"/>
                <w:szCs w:val="16"/>
              </w:rPr>
            </w:pPr>
          </w:p>
          <w:p w14:paraId="1C59A2A9" w14:textId="61CB9EB3" w:rsidR="004D0A54" w:rsidRDefault="004D0A54" w:rsidP="002B147A">
            <w:pPr>
              <w:rPr>
                <w:sz w:val="16"/>
                <w:szCs w:val="16"/>
              </w:rPr>
            </w:pPr>
            <w:r>
              <w:rPr>
                <w:sz w:val="16"/>
                <w:szCs w:val="16"/>
              </w:rPr>
              <w:t>Mopping</w:t>
            </w:r>
          </w:p>
          <w:p w14:paraId="42D34383" w14:textId="78E67A97" w:rsidR="004D0A54" w:rsidRDefault="004D0A54" w:rsidP="002B147A">
            <w:pPr>
              <w:rPr>
                <w:sz w:val="16"/>
                <w:szCs w:val="16"/>
              </w:rPr>
            </w:pPr>
          </w:p>
          <w:p w14:paraId="3DD1D008" w14:textId="186D9876" w:rsidR="004D0A54" w:rsidRDefault="004D0A54" w:rsidP="002B147A">
            <w:pPr>
              <w:rPr>
                <w:sz w:val="16"/>
                <w:szCs w:val="16"/>
              </w:rPr>
            </w:pPr>
            <w:r>
              <w:rPr>
                <w:sz w:val="16"/>
                <w:szCs w:val="16"/>
              </w:rPr>
              <w:t>Cleaning of toilet bowls (</w:t>
            </w:r>
            <w:r w:rsidR="009A192E">
              <w:rPr>
                <w:sz w:val="16"/>
                <w:szCs w:val="16"/>
              </w:rPr>
              <w:t xml:space="preserve">pouring + </w:t>
            </w:r>
            <w:r>
              <w:rPr>
                <w:sz w:val="16"/>
                <w:szCs w:val="16"/>
              </w:rPr>
              <w:t>brushing)</w:t>
            </w:r>
          </w:p>
          <w:p w14:paraId="04F070B3" w14:textId="77777777" w:rsidR="004D0A54" w:rsidRDefault="004D0A54" w:rsidP="002B147A">
            <w:pPr>
              <w:rPr>
                <w:sz w:val="16"/>
              </w:rPr>
            </w:pPr>
          </w:p>
        </w:tc>
        <w:tc>
          <w:tcPr>
            <w:tcW w:w="851" w:type="dxa"/>
            <w:shd w:val="clear" w:color="auto" w:fill="auto"/>
          </w:tcPr>
          <w:p w14:paraId="17202FD6" w14:textId="77777777" w:rsidR="004D0A54" w:rsidRDefault="004D0A54" w:rsidP="002B147A">
            <w:pPr>
              <w:rPr>
                <w:sz w:val="16"/>
                <w:szCs w:val="16"/>
              </w:rPr>
            </w:pPr>
            <w:r>
              <w:rPr>
                <w:sz w:val="16"/>
                <w:szCs w:val="16"/>
              </w:rPr>
              <w:t>Dermal</w:t>
            </w:r>
          </w:p>
          <w:p w14:paraId="48D7F00B" w14:textId="77777777" w:rsidR="004D0A54" w:rsidRDefault="004D0A54" w:rsidP="002B147A">
            <w:pPr>
              <w:rPr>
                <w:sz w:val="16"/>
                <w:szCs w:val="16"/>
              </w:rPr>
            </w:pPr>
          </w:p>
          <w:p w14:paraId="1F20C4E4" w14:textId="77777777" w:rsidR="004D0A54" w:rsidRDefault="004D0A54" w:rsidP="002B147A">
            <w:pPr>
              <w:rPr>
                <w:sz w:val="16"/>
                <w:szCs w:val="16"/>
              </w:rPr>
            </w:pPr>
            <w:r>
              <w:rPr>
                <w:sz w:val="16"/>
                <w:szCs w:val="16"/>
              </w:rPr>
              <w:t>Ocular</w:t>
            </w:r>
          </w:p>
          <w:p w14:paraId="472E3213" w14:textId="77777777" w:rsidR="004D0A54" w:rsidRDefault="004D0A54" w:rsidP="002B147A">
            <w:pPr>
              <w:rPr>
                <w:sz w:val="16"/>
                <w:szCs w:val="16"/>
              </w:rPr>
            </w:pPr>
          </w:p>
          <w:p w14:paraId="5243D52C" w14:textId="77777777" w:rsidR="004D0A54" w:rsidRDefault="004D0A54" w:rsidP="002B147A">
            <w:pPr>
              <w:rPr>
                <w:sz w:val="16"/>
                <w:szCs w:val="16"/>
              </w:rPr>
            </w:pPr>
          </w:p>
        </w:tc>
        <w:tc>
          <w:tcPr>
            <w:tcW w:w="1843" w:type="dxa"/>
          </w:tcPr>
          <w:p w14:paraId="0F55E3C3" w14:textId="77777777" w:rsidR="004D0A54" w:rsidRDefault="004D0A54" w:rsidP="002B147A">
            <w:pPr>
              <w:rPr>
                <w:sz w:val="16"/>
                <w:szCs w:val="16"/>
              </w:rPr>
            </w:pPr>
            <w:r>
              <w:rPr>
                <w:sz w:val="16"/>
                <w:szCs w:val="16"/>
              </w:rPr>
              <w:t>Equal to or less than one hour per day</w:t>
            </w:r>
          </w:p>
        </w:tc>
        <w:tc>
          <w:tcPr>
            <w:tcW w:w="1300" w:type="dxa"/>
          </w:tcPr>
          <w:p w14:paraId="6D0F5D18" w14:textId="77777777" w:rsidR="004D0A54" w:rsidRDefault="004D0A54" w:rsidP="002B147A">
            <w:pPr>
              <w:rPr>
                <w:sz w:val="16"/>
                <w:szCs w:val="16"/>
              </w:rPr>
            </w:pPr>
            <w:r>
              <w:rPr>
                <w:sz w:val="16"/>
                <w:szCs w:val="16"/>
              </w:rPr>
              <w:t>e.g use of dish cleaning product or low volume outdoor spray application</w:t>
            </w:r>
          </w:p>
        </w:tc>
        <w:tc>
          <w:tcPr>
            <w:tcW w:w="3765" w:type="dxa"/>
            <w:gridSpan w:val="2"/>
            <w:shd w:val="clear" w:color="auto" w:fill="auto"/>
          </w:tcPr>
          <w:p w14:paraId="017356D6" w14:textId="77777777" w:rsidR="004D0A54" w:rsidRDefault="004D0A54" w:rsidP="002B147A">
            <w:pPr>
              <w:pStyle w:val="Paragraphedeliste"/>
              <w:ind w:left="0"/>
              <w:jc w:val="both"/>
              <w:rPr>
                <w:rFonts w:cs="Arial"/>
                <w:iCs/>
                <w:sz w:val="16"/>
                <w:szCs w:val="16"/>
                <w:lang w:val="en-US"/>
              </w:rPr>
            </w:pPr>
            <w:r w:rsidRPr="007501C2">
              <w:rPr>
                <w:rFonts w:cs="Arial"/>
                <w:iCs/>
                <w:sz w:val="16"/>
                <w:szCs w:val="16"/>
                <w:lang w:val="en-US"/>
              </w:rPr>
              <w:t xml:space="preserve">Considering that the product will be applied by a </w:t>
            </w:r>
            <w:r>
              <w:rPr>
                <w:rFonts w:cs="Arial"/>
                <w:iCs/>
                <w:sz w:val="16"/>
                <w:szCs w:val="16"/>
                <w:lang w:val="en-US"/>
              </w:rPr>
              <w:t>non-</w:t>
            </w:r>
            <w:r w:rsidRPr="007501C2">
              <w:rPr>
                <w:rFonts w:cs="Arial"/>
                <w:iCs/>
                <w:sz w:val="16"/>
                <w:szCs w:val="16"/>
                <w:lang w:val="en-US"/>
              </w:rPr>
              <w:t xml:space="preserve">professional, </w:t>
            </w:r>
            <w:r>
              <w:rPr>
                <w:rFonts w:cs="Arial"/>
                <w:iCs/>
                <w:sz w:val="16"/>
                <w:szCs w:val="16"/>
                <w:lang w:val="en-US"/>
              </w:rPr>
              <w:t>RMM must be applied:</w:t>
            </w:r>
          </w:p>
          <w:p w14:paraId="40D6FF9F" w14:textId="77777777" w:rsidR="004D0A54" w:rsidRDefault="004D0A54" w:rsidP="002B147A">
            <w:pPr>
              <w:pStyle w:val="Paragraphedeliste"/>
              <w:ind w:left="0"/>
              <w:jc w:val="both"/>
              <w:rPr>
                <w:rFonts w:cs="Arial"/>
                <w:iCs/>
                <w:sz w:val="16"/>
                <w:szCs w:val="16"/>
                <w:lang w:val="en-US"/>
              </w:rPr>
            </w:pPr>
          </w:p>
          <w:p w14:paraId="4D9A9C8E" w14:textId="1AE45BB1" w:rsidR="004D0A54" w:rsidRDefault="004D0A54" w:rsidP="002B147A">
            <w:pPr>
              <w:pStyle w:val="Paragraphedeliste"/>
              <w:numPr>
                <w:ilvl w:val="0"/>
                <w:numId w:val="15"/>
              </w:numPr>
              <w:jc w:val="both"/>
              <w:rPr>
                <w:rFonts w:cs="Arial"/>
                <w:iCs/>
                <w:sz w:val="16"/>
                <w:szCs w:val="16"/>
                <w:lang w:val="en-US"/>
              </w:rPr>
            </w:pPr>
            <w:r w:rsidRPr="00F11400">
              <w:rPr>
                <w:rFonts w:cs="Arial"/>
                <w:iCs/>
                <w:sz w:val="16"/>
                <w:szCs w:val="16"/>
                <w:lang w:val="en-US"/>
              </w:rPr>
              <w:t>Avoidance of contact with</w:t>
            </w:r>
            <w:r>
              <w:rPr>
                <w:rFonts w:cs="Arial"/>
                <w:iCs/>
                <w:sz w:val="16"/>
                <w:szCs w:val="16"/>
                <w:lang w:val="en-US"/>
              </w:rPr>
              <w:t xml:space="preserve"> </w:t>
            </w:r>
            <w:r w:rsidR="00451C51">
              <w:rPr>
                <w:rFonts w:cs="Arial"/>
                <w:iCs/>
                <w:sz w:val="16"/>
                <w:szCs w:val="16"/>
                <w:lang w:val="en-US"/>
              </w:rPr>
              <w:t>treated</w:t>
            </w:r>
            <w:r>
              <w:rPr>
                <w:rFonts w:cs="Arial"/>
                <w:iCs/>
                <w:sz w:val="16"/>
                <w:szCs w:val="16"/>
                <w:lang w:val="en-US"/>
              </w:rPr>
              <w:t xml:space="preserve"> surfaces</w:t>
            </w:r>
          </w:p>
          <w:p w14:paraId="3F74CE2D" w14:textId="77777777" w:rsidR="004D0A54" w:rsidRPr="00877A6A" w:rsidRDefault="004D0A54" w:rsidP="002B147A">
            <w:pPr>
              <w:pStyle w:val="Paragraphedeliste"/>
              <w:numPr>
                <w:ilvl w:val="0"/>
                <w:numId w:val="15"/>
              </w:numPr>
              <w:jc w:val="both"/>
              <w:rPr>
                <w:rFonts w:cs="Arial"/>
                <w:iCs/>
                <w:sz w:val="16"/>
                <w:szCs w:val="16"/>
                <w:lang w:val="en-US"/>
              </w:rPr>
            </w:pPr>
            <w:r w:rsidRPr="00877A6A">
              <w:rPr>
                <w:rFonts w:cs="Arial"/>
                <w:iCs/>
                <w:sz w:val="16"/>
                <w:szCs w:val="16"/>
                <w:lang w:val="en-US"/>
              </w:rPr>
              <w:t>Avoid touching the eyes with hands</w:t>
            </w:r>
            <w:r>
              <w:rPr>
                <w:rFonts w:cs="Arial"/>
                <w:iCs/>
                <w:sz w:val="16"/>
                <w:szCs w:val="16"/>
                <w:lang w:val="en-US"/>
              </w:rPr>
              <w:t xml:space="preserve"> during application</w:t>
            </w:r>
          </w:p>
          <w:p w14:paraId="7F165EF9" w14:textId="77777777" w:rsidR="004D0A54" w:rsidRPr="005D0878" w:rsidRDefault="004D0A54" w:rsidP="002B147A">
            <w:pPr>
              <w:pStyle w:val="Paragraphedeliste"/>
              <w:numPr>
                <w:ilvl w:val="0"/>
                <w:numId w:val="15"/>
              </w:numPr>
              <w:jc w:val="both"/>
              <w:rPr>
                <w:rFonts w:cs="Arial"/>
                <w:iCs/>
                <w:sz w:val="16"/>
                <w:szCs w:val="16"/>
                <w:lang w:val="en-US"/>
              </w:rPr>
            </w:pPr>
            <w:r w:rsidRPr="005D0878">
              <w:rPr>
                <w:rFonts w:cs="Arial"/>
                <w:iCs/>
                <w:sz w:val="16"/>
                <w:szCs w:val="16"/>
                <w:lang w:val="en-US"/>
              </w:rPr>
              <w:t>Wash hands after application</w:t>
            </w:r>
          </w:p>
          <w:p w14:paraId="1846735E" w14:textId="77777777" w:rsidR="004D0A54" w:rsidRPr="008D6B07" w:rsidRDefault="004D0A54" w:rsidP="002B147A">
            <w:pPr>
              <w:jc w:val="both"/>
              <w:rPr>
                <w:rFonts w:cs="Arial"/>
                <w:iCs/>
                <w:sz w:val="16"/>
                <w:szCs w:val="16"/>
                <w:lang w:val="en-US"/>
              </w:rPr>
            </w:pPr>
          </w:p>
          <w:p w14:paraId="61C488D4" w14:textId="77777777" w:rsidR="004D0A54" w:rsidRDefault="004D0A54" w:rsidP="002B147A">
            <w:pPr>
              <w:pStyle w:val="Paragraphedeliste"/>
              <w:ind w:left="0"/>
              <w:jc w:val="both"/>
              <w:rPr>
                <w:rFonts w:cs="Arial"/>
                <w:iCs/>
                <w:sz w:val="16"/>
                <w:szCs w:val="16"/>
                <w:lang w:eastAsia="en-US"/>
              </w:rPr>
            </w:pPr>
            <w:r w:rsidRPr="00E61C32">
              <w:rPr>
                <w:rFonts w:cs="Arial"/>
                <w:iCs/>
                <w:sz w:val="16"/>
                <w:szCs w:val="16"/>
                <w:lang w:eastAsia="en-US"/>
              </w:rPr>
              <w:t>Considering that these recommendations can be followed d</w:t>
            </w:r>
            <w:r>
              <w:rPr>
                <w:rFonts w:cs="Arial"/>
                <w:iCs/>
                <w:sz w:val="16"/>
                <w:szCs w:val="16"/>
                <w:lang w:eastAsia="en-US"/>
              </w:rPr>
              <w:t>uring this task</w:t>
            </w:r>
            <w:r w:rsidRPr="00E61C32">
              <w:rPr>
                <w:rFonts w:cs="Arial"/>
                <w:iCs/>
                <w:sz w:val="16"/>
                <w:szCs w:val="16"/>
                <w:lang w:eastAsia="en-US"/>
              </w:rPr>
              <w:t>, the risk is acceptable</w:t>
            </w:r>
            <w:r>
              <w:rPr>
                <w:rFonts w:cs="Arial"/>
                <w:iCs/>
                <w:sz w:val="16"/>
                <w:szCs w:val="16"/>
                <w:lang w:eastAsia="en-US"/>
              </w:rPr>
              <w:t>.</w:t>
            </w:r>
          </w:p>
          <w:p w14:paraId="4BC2293F" w14:textId="77777777" w:rsidR="004D0A54" w:rsidRPr="007501C2" w:rsidRDefault="004D0A54" w:rsidP="002B147A">
            <w:pPr>
              <w:pStyle w:val="Paragraphedeliste"/>
              <w:ind w:left="0"/>
              <w:jc w:val="both"/>
              <w:rPr>
                <w:rFonts w:cs="Arial"/>
                <w:iCs/>
                <w:sz w:val="16"/>
                <w:szCs w:val="16"/>
                <w:lang w:val="en-US"/>
              </w:rPr>
            </w:pPr>
          </w:p>
        </w:tc>
      </w:tr>
      <w:tr w:rsidR="004D0A54" w14:paraId="3AA742F3" w14:textId="77777777" w:rsidTr="002B147A">
        <w:trPr>
          <w:jc w:val="center"/>
        </w:trPr>
        <w:tc>
          <w:tcPr>
            <w:tcW w:w="13424" w:type="dxa"/>
            <w:gridSpan w:val="11"/>
            <w:shd w:val="clear" w:color="auto" w:fill="BFBFBF" w:themeFill="background1" w:themeFillShade="BF"/>
          </w:tcPr>
          <w:p w14:paraId="2CE079A4" w14:textId="77FA7AAA" w:rsidR="004D0A54" w:rsidRPr="005E4736" w:rsidRDefault="004D0A54" w:rsidP="002B147A">
            <w:pPr>
              <w:pStyle w:val="Paragraphedeliste"/>
              <w:ind w:left="0"/>
              <w:rPr>
                <w:rFonts w:cs="Arial"/>
                <w:b/>
                <w:iCs/>
                <w:sz w:val="16"/>
                <w:lang w:val="en-US"/>
              </w:rPr>
            </w:pPr>
            <w:r w:rsidRPr="005E4736">
              <w:rPr>
                <w:rFonts w:cs="Arial"/>
                <w:b/>
                <w:iCs/>
                <w:sz w:val="18"/>
                <w:szCs w:val="18"/>
                <w:lang w:val="en-US"/>
              </w:rPr>
              <w:t>Meta SPC</w:t>
            </w:r>
            <w:r>
              <w:rPr>
                <w:rFonts w:cs="Arial"/>
                <w:b/>
                <w:iCs/>
                <w:sz w:val="18"/>
                <w:szCs w:val="18"/>
                <w:lang w:val="en-US"/>
              </w:rPr>
              <w:t xml:space="preserve"> 9 – Application by </w:t>
            </w:r>
            <w:r w:rsidR="00662157">
              <w:rPr>
                <w:rFonts w:cs="Arial"/>
                <w:b/>
                <w:iCs/>
                <w:sz w:val="18"/>
                <w:szCs w:val="18"/>
                <w:lang w:val="en-US"/>
              </w:rPr>
              <w:t>spraying/</w:t>
            </w:r>
            <w:r>
              <w:rPr>
                <w:rFonts w:cs="Arial"/>
                <w:b/>
                <w:iCs/>
                <w:sz w:val="18"/>
                <w:szCs w:val="18"/>
                <w:lang w:val="en-US"/>
              </w:rPr>
              <w:t>wiping/</w:t>
            </w:r>
            <w:r w:rsidR="009A192E">
              <w:rPr>
                <w:rFonts w:cs="Arial"/>
                <w:b/>
                <w:iCs/>
                <w:sz w:val="18"/>
                <w:szCs w:val="18"/>
                <w:lang w:val="en-US"/>
              </w:rPr>
              <w:t>brushing/scrubbing/</w:t>
            </w:r>
            <w:r>
              <w:rPr>
                <w:rFonts w:cs="Arial"/>
                <w:b/>
                <w:iCs/>
                <w:sz w:val="18"/>
                <w:szCs w:val="18"/>
                <w:lang w:val="en-US"/>
              </w:rPr>
              <w:t>mopping (RTU)</w:t>
            </w:r>
            <w:r w:rsidRPr="003B031B">
              <w:rPr>
                <w:rFonts w:cs="Arial"/>
                <w:iCs/>
                <w:sz w:val="18"/>
                <w:szCs w:val="18"/>
                <w:lang w:val="en-US"/>
              </w:rPr>
              <w:t xml:space="preserve"> – Use</w:t>
            </w:r>
            <w:r>
              <w:rPr>
                <w:rFonts w:cs="Arial"/>
                <w:iCs/>
                <w:sz w:val="18"/>
                <w:szCs w:val="18"/>
                <w:lang w:val="en-US"/>
              </w:rPr>
              <w:t>s</w:t>
            </w:r>
            <w:r w:rsidRPr="003B031B">
              <w:rPr>
                <w:rFonts w:cs="Arial"/>
                <w:iCs/>
                <w:sz w:val="18"/>
                <w:szCs w:val="18"/>
                <w:lang w:val="en-US"/>
              </w:rPr>
              <w:t xml:space="preserve"> #1</w:t>
            </w:r>
            <w:r>
              <w:rPr>
                <w:rFonts w:cs="Arial"/>
                <w:iCs/>
                <w:sz w:val="18"/>
                <w:szCs w:val="18"/>
                <w:lang w:val="en-US"/>
              </w:rPr>
              <w:t>-2</w:t>
            </w:r>
          </w:p>
        </w:tc>
      </w:tr>
      <w:tr w:rsidR="004D0A54" w14:paraId="717788C4" w14:textId="77777777" w:rsidTr="008607FE">
        <w:trPr>
          <w:trHeight w:val="3251"/>
          <w:jc w:val="center"/>
        </w:trPr>
        <w:tc>
          <w:tcPr>
            <w:tcW w:w="988" w:type="dxa"/>
            <w:shd w:val="clear" w:color="auto" w:fill="auto"/>
          </w:tcPr>
          <w:p w14:paraId="3DC02ADC" w14:textId="77777777" w:rsidR="004D0A54" w:rsidRDefault="004D0A54" w:rsidP="002B147A">
            <w:pPr>
              <w:tabs>
                <w:tab w:val="center" w:pos="610"/>
              </w:tabs>
              <w:rPr>
                <w:rFonts w:cs="Arial"/>
                <w:iCs/>
                <w:sz w:val="16"/>
              </w:rPr>
            </w:pPr>
            <w:r>
              <w:rPr>
                <w:sz w:val="16"/>
                <w:szCs w:val="16"/>
              </w:rPr>
              <w:t>Low</w:t>
            </w:r>
          </w:p>
        </w:tc>
        <w:tc>
          <w:tcPr>
            <w:tcW w:w="992" w:type="dxa"/>
            <w:shd w:val="clear" w:color="auto" w:fill="auto"/>
          </w:tcPr>
          <w:p w14:paraId="103917CF" w14:textId="77777777" w:rsidR="004D0A54" w:rsidRPr="00877A6A" w:rsidRDefault="004D0A54" w:rsidP="002B147A">
            <w:pPr>
              <w:rPr>
                <w:rFonts w:cs="Arial"/>
                <w:iCs/>
                <w:spacing w:val="1"/>
                <w:sz w:val="16"/>
                <w:szCs w:val="16"/>
                <w:lang w:val="fr-FR" w:eastAsia="fr-FR"/>
              </w:rPr>
            </w:pPr>
            <w:r w:rsidRPr="00877A6A">
              <w:rPr>
                <w:rFonts w:cs="Arial"/>
                <w:iCs/>
                <w:spacing w:val="1"/>
                <w:sz w:val="16"/>
                <w:szCs w:val="16"/>
                <w:lang w:val="fr-FR" w:eastAsia="fr-FR"/>
              </w:rPr>
              <w:t>Skin Irrit.2, H315</w:t>
            </w:r>
          </w:p>
          <w:p w14:paraId="79532A86" w14:textId="77777777" w:rsidR="004D0A54" w:rsidRPr="00877A6A" w:rsidRDefault="004D0A54" w:rsidP="002B147A">
            <w:pPr>
              <w:rPr>
                <w:rFonts w:cs="Arial"/>
                <w:iCs/>
                <w:spacing w:val="1"/>
                <w:sz w:val="16"/>
                <w:szCs w:val="16"/>
                <w:lang w:val="fr-FR" w:eastAsia="fr-FR"/>
              </w:rPr>
            </w:pPr>
          </w:p>
          <w:p w14:paraId="06935E14" w14:textId="77777777" w:rsidR="004D0A54" w:rsidRPr="00877A6A" w:rsidRDefault="004D0A54" w:rsidP="002B147A">
            <w:pPr>
              <w:rPr>
                <w:rFonts w:cs="Arial"/>
                <w:iCs/>
                <w:sz w:val="16"/>
                <w:lang w:val="fr-FR"/>
              </w:rPr>
            </w:pPr>
            <w:r w:rsidRPr="00877A6A">
              <w:rPr>
                <w:rFonts w:cs="Arial"/>
                <w:iCs/>
                <w:sz w:val="16"/>
                <w:lang w:val="fr-FR"/>
              </w:rPr>
              <w:t>Eye Irrit.2, H319</w:t>
            </w:r>
          </w:p>
        </w:tc>
        <w:tc>
          <w:tcPr>
            <w:tcW w:w="850" w:type="dxa"/>
            <w:shd w:val="clear" w:color="auto" w:fill="auto"/>
          </w:tcPr>
          <w:p w14:paraId="5E8CE16E" w14:textId="77777777" w:rsidR="004D0A54" w:rsidRDefault="004D0A54" w:rsidP="002B147A">
            <w:pPr>
              <w:rPr>
                <w:sz w:val="16"/>
              </w:rPr>
            </w:pPr>
            <w:r>
              <w:rPr>
                <w:sz w:val="16"/>
                <w:szCs w:val="16"/>
              </w:rPr>
              <w:t>-</w:t>
            </w:r>
          </w:p>
        </w:tc>
        <w:tc>
          <w:tcPr>
            <w:tcW w:w="709" w:type="dxa"/>
            <w:shd w:val="clear" w:color="auto" w:fill="auto"/>
          </w:tcPr>
          <w:p w14:paraId="5DB133B1" w14:textId="77777777" w:rsidR="004D0A54" w:rsidRPr="00D966C9" w:rsidRDefault="004D0A54" w:rsidP="002B147A">
            <w:pPr>
              <w:rPr>
                <w:sz w:val="16"/>
                <w:szCs w:val="16"/>
              </w:rPr>
            </w:pPr>
            <w:r>
              <w:rPr>
                <w:sz w:val="16"/>
                <w:szCs w:val="16"/>
              </w:rPr>
              <w:t>2-3</w:t>
            </w:r>
          </w:p>
        </w:tc>
        <w:tc>
          <w:tcPr>
            <w:tcW w:w="992" w:type="dxa"/>
            <w:shd w:val="clear" w:color="auto" w:fill="auto"/>
          </w:tcPr>
          <w:p w14:paraId="7218FB5E" w14:textId="77777777" w:rsidR="004D0A54" w:rsidRPr="007501C2" w:rsidRDefault="004D0A54" w:rsidP="002B147A">
            <w:pPr>
              <w:rPr>
                <w:sz w:val="16"/>
              </w:rPr>
            </w:pPr>
            <w:r>
              <w:rPr>
                <w:sz w:val="16"/>
                <w:szCs w:val="16"/>
              </w:rPr>
              <w:t>Non-professional</w:t>
            </w:r>
          </w:p>
        </w:tc>
        <w:tc>
          <w:tcPr>
            <w:tcW w:w="1134" w:type="dxa"/>
            <w:shd w:val="clear" w:color="auto" w:fill="auto"/>
          </w:tcPr>
          <w:p w14:paraId="43703ED5" w14:textId="6D6087E2" w:rsidR="004D0A54" w:rsidRDefault="004D0A54" w:rsidP="002B147A">
            <w:pPr>
              <w:rPr>
                <w:sz w:val="16"/>
                <w:szCs w:val="16"/>
              </w:rPr>
            </w:pPr>
          </w:p>
          <w:p w14:paraId="43A4D095" w14:textId="5E5A579F" w:rsidR="006E3B50" w:rsidRDefault="006E3B50" w:rsidP="002B147A">
            <w:pPr>
              <w:rPr>
                <w:sz w:val="16"/>
                <w:szCs w:val="16"/>
              </w:rPr>
            </w:pPr>
          </w:p>
          <w:p w14:paraId="4AE0472D" w14:textId="243A46DD" w:rsidR="006E3B50" w:rsidRDefault="006E3B50" w:rsidP="002B147A">
            <w:pPr>
              <w:rPr>
                <w:sz w:val="16"/>
                <w:szCs w:val="16"/>
              </w:rPr>
            </w:pPr>
            <w:r>
              <w:rPr>
                <w:sz w:val="16"/>
                <w:szCs w:val="16"/>
              </w:rPr>
              <w:t>Cleaning of spray equipment</w:t>
            </w:r>
          </w:p>
          <w:p w14:paraId="44274A9E" w14:textId="77777777" w:rsidR="004D0A54" w:rsidRDefault="004D0A54" w:rsidP="002B147A">
            <w:pPr>
              <w:rPr>
                <w:sz w:val="16"/>
                <w:szCs w:val="16"/>
              </w:rPr>
            </w:pPr>
          </w:p>
          <w:p w14:paraId="3266760D" w14:textId="77777777" w:rsidR="004D0A54" w:rsidRDefault="004D0A54" w:rsidP="002B147A">
            <w:pPr>
              <w:rPr>
                <w:sz w:val="16"/>
                <w:szCs w:val="16"/>
              </w:rPr>
            </w:pPr>
            <w:r>
              <w:rPr>
                <w:sz w:val="16"/>
                <w:szCs w:val="16"/>
              </w:rPr>
              <w:t>Wiping on hard surfaces</w:t>
            </w:r>
          </w:p>
          <w:p w14:paraId="1FCBA4B8" w14:textId="77777777" w:rsidR="004D0A54" w:rsidRDefault="004D0A54" w:rsidP="002B147A">
            <w:pPr>
              <w:rPr>
                <w:sz w:val="16"/>
                <w:szCs w:val="16"/>
              </w:rPr>
            </w:pPr>
          </w:p>
          <w:p w14:paraId="627AF212" w14:textId="77777777" w:rsidR="004D0A54" w:rsidRDefault="004D0A54" w:rsidP="002B147A">
            <w:pPr>
              <w:rPr>
                <w:sz w:val="16"/>
                <w:szCs w:val="16"/>
              </w:rPr>
            </w:pPr>
            <w:r>
              <w:rPr>
                <w:sz w:val="16"/>
                <w:szCs w:val="16"/>
              </w:rPr>
              <w:t>Mopping</w:t>
            </w:r>
          </w:p>
          <w:p w14:paraId="21A58477" w14:textId="77777777" w:rsidR="004D0A54" w:rsidRDefault="004D0A54" w:rsidP="002B147A">
            <w:pPr>
              <w:rPr>
                <w:sz w:val="16"/>
                <w:szCs w:val="16"/>
              </w:rPr>
            </w:pPr>
          </w:p>
          <w:p w14:paraId="65D7A098" w14:textId="77777777" w:rsidR="004D0A54" w:rsidRDefault="004D0A54" w:rsidP="002B147A">
            <w:pPr>
              <w:rPr>
                <w:sz w:val="16"/>
                <w:szCs w:val="16"/>
              </w:rPr>
            </w:pPr>
            <w:r>
              <w:rPr>
                <w:sz w:val="16"/>
                <w:szCs w:val="16"/>
              </w:rPr>
              <w:t>Scrubbing</w:t>
            </w:r>
          </w:p>
          <w:p w14:paraId="1C38DF7B" w14:textId="77777777" w:rsidR="004D0A54" w:rsidRDefault="004D0A54" w:rsidP="002B147A">
            <w:pPr>
              <w:rPr>
                <w:sz w:val="16"/>
                <w:szCs w:val="16"/>
              </w:rPr>
            </w:pPr>
          </w:p>
          <w:p w14:paraId="2787E36B" w14:textId="6406528E" w:rsidR="004D0A54" w:rsidRDefault="004D0A54" w:rsidP="008607FE">
            <w:pPr>
              <w:rPr>
                <w:sz w:val="16"/>
              </w:rPr>
            </w:pPr>
            <w:r>
              <w:rPr>
                <w:sz w:val="16"/>
                <w:szCs w:val="16"/>
              </w:rPr>
              <w:t>Cleaning of toilet bowls (brushing)</w:t>
            </w:r>
          </w:p>
        </w:tc>
        <w:tc>
          <w:tcPr>
            <w:tcW w:w="851" w:type="dxa"/>
            <w:shd w:val="clear" w:color="auto" w:fill="auto"/>
          </w:tcPr>
          <w:p w14:paraId="232C48EE" w14:textId="77777777" w:rsidR="004D0A54" w:rsidRDefault="004D0A54" w:rsidP="002B147A">
            <w:pPr>
              <w:rPr>
                <w:sz w:val="16"/>
                <w:szCs w:val="16"/>
              </w:rPr>
            </w:pPr>
            <w:r>
              <w:rPr>
                <w:sz w:val="16"/>
                <w:szCs w:val="16"/>
              </w:rPr>
              <w:t>Dermal</w:t>
            </w:r>
          </w:p>
          <w:p w14:paraId="74F689C1" w14:textId="77777777" w:rsidR="004D0A54" w:rsidRDefault="004D0A54" w:rsidP="002B147A">
            <w:pPr>
              <w:rPr>
                <w:sz w:val="16"/>
                <w:szCs w:val="16"/>
              </w:rPr>
            </w:pPr>
          </w:p>
          <w:p w14:paraId="310FB344" w14:textId="77777777" w:rsidR="004D0A54" w:rsidRDefault="004D0A54" w:rsidP="002B147A">
            <w:pPr>
              <w:rPr>
                <w:sz w:val="16"/>
                <w:szCs w:val="16"/>
              </w:rPr>
            </w:pPr>
            <w:r>
              <w:rPr>
                <w:sz w:val="16"/>
                <w:szCs w:val="16"/>
              </w:rPr>
              <w:t>Ocular</w:t>
            </w:r>
          </w:p>
          <w:p w14:paraId="425CFECF" w14:textId="77777777" w:rsidR="004D0A54" w:rsidRPr="007501C2" w:rsidRDefault="004D0A54" w:rsidP="002B147A">
            <w:pPr>
              <w:rPr>
                <w:sz w:val="16"/>
              </w:rPr>
            </w:pPr>
          </w:p>
        </w:tc>
        <w:tc>
          <w:tcPr>
            <w:tcW w:w="1843" w:type="dxa"/>
          </w:tcPr>
          <w:p w14:paraId="04A83381" w14:textId="77777777" w:rsidR="004D0A54" w:rsidRPr="007501C2" w:rsidRDefault="004D0A54" w:rsidP="002B147A">
            <w:pPr>
              <w:rPr>
                <w:rFonts w:cs="Arial"/>
                <w:iCs/>
                <w:sz w:val="16"/>
                <w:lang w:val="en-US"/>
              </w:rPr>
            </w:pPr>
            <w:r>
              <w:rPr>
                <w:sz w:val="16"/>
                <w:szCs w:val="16"/>
              </w:rPr>
              <w:t>Equal to or less than one hour per day</w:t>
            </w:r>
          </w:p>
        </w:tc>
        <w:tc>
          <w:tcPr>
            <w:tcW w:w="1300" w:type="dxa"/>
          </w:tcPr>
          <w:p w14:paraId="43CC8958" w14:textId="77777777" w:rsidR="004D0A54" w:rsidRPr="007501C2" w:rsidRDefault="004D0A54" w:rsidP="002B147A">
            <w:pPr>
              <w:rPr>
                <w:rFonts w:cs="Arial"/>
                <w:iCs/>
                <w:sz w:val="16"/>
                <w:lang w:val="en-US"/>
              </w:rPr>
            </w:pPr>
            <w:r>
              <w:rPr>
                <w:sz w:val="16"/>
                <w:szCs w:val="16"/>
              </w:rPr>
              <w:t>e.g use of dish cleaning product or low volume outdoor spray application</w:t>
            </w:r>
          </w:p>
        </w:tc>
        <w:tc>
          <w:tcPr>
            <w:tcW w:w="3765" w:type="dxa"/>
            <w:gridSpan w:val="2"/>
            <w:shd w:val="clear" w:color="auto" w:fill="auto"/>
          </w:tcPr>
          <w:p w14:paraId="18BDD8A0" w14:textId="77777777" w:rsidR="004D0A54" w:rsidRDefault="004D0A54" w:rsidP="002B147A">
            <w:pPr>
              <w:pStyle w:val="Paragraphedeliste"/>
              <w:ind w:left="0"/>
              <w:jc w:val="both"/>
              <w:rPr>
                <w:rFonts w:cs="Arial"/>
                <w:iCs/>
                <w:sz w:val="16"/>
                <w:szCs w:val="16"/>
                <w:lang w:val="en-US"/>
              </w:rPr>
            </w:pPr>
            <w:r w:rsidRPr="007501C2">
              <w:rPr>
                <w:rFonts w:cs="Arial"/>
                <w:iCs/>
                <w:sz w:val="16"/>
                <w:szCs w:val="16"/>
                <w:lang w:val="en-US"/>
              </w:rPr>
              <w:t xml:space="preserve">Considering that the product will be applied by a </w:t>
            </w:r>
            <w:r>
              <w:rPr>
                <w:rFonts w:cs="Arial"/>
                <w:iCs/>
                <w:sz w:val="16"/>
                <w:szCs w:val="16"/>
                <w:lang w:val="en-US"/>
              </w:rPr>
              <w:t>non-</w:t>
            </w:r>
            <w:r w:rsidRPr="007501C2">
              <w:rPr>
                <w:rFonts w:cs="Arial"/>
                <w:iCs/>
                <w:sz w:val="16"/>
                <w:szCs w:val="16"/>
                <w:lang w:val="en-US"/>
              </w:rPr>
              <w:t xml:space="preserve">professional, </w:t>
            </w:r>
            <w:r>
              <w:rPr>
                <w:rFonts w:cs="Arial"/>
                <w:iCs/>
                <w:sz w:val="16"/>
                <w:szCs w:val="16"/>
                <w:lang w:val="en-US"/>
              </w:rPr>
              <w:t>RMM must be applied:</w:t>
            </w:r>
          </w:p>
          <w:p w14:paraId="462C3BEE" w14:textId="77777777" w:rsidR="004D0A54" w:rsidRPr="00877A6A" w:rsidRDefault="004D0A54" w:rsidP="002B147A">
            <w:pPr>
              <w:rPr>
                <w:rFonts w:cs="Arial"/>
                <w:iCs/>
                <w:sz w:val="16"/>
                <w:szCs w:val="16"/>
                <w:lang w:val="en-US"/>
              </w:rPr>
            </w:pPr>
          </w:p>
          <w:p w14:paraId="2A03F014" w14:textId="54C3EC46" w:rsidR="004D0A54" w:rsidRDefault="004D0A54" w:rsidP="002B147A">
            <w:pPr>
              <w:pStyle w:val="Paragraphedeliste"/>
              <w:numPr>
                <w:ilvl w:val="0"/>
                <w:numId w:val="15"/>
              </w:numPr>
              <w:jc w:val="both"/>
              <w:rPr>
                <w:rFonts w:cs="Arial"/>
                <w:iCs/>
                <w:sz w:val="16"/>
                <w:szCs w:val="16"/>
                <w:lang w:val="en-US"/>
              </w:rPr>
            </w:pPr>
            <w:r w:rsidRPr="00F819E6">
              <w:rPr>
                <w:rFonts w:cs="Arial"/>
                <w:iCs/>
                <w:sz w:val="16"/>
                <w:szCs w:val="16"/>
                <w:lang w:val="en-US"/>
              </w:rPr>
              <w:t>Minimisation of splashes and spills</w:t>
            </w:r>
            <w:r>
              <w:rPr>
                <w:rFonts w:cs="Arial"/>
                <w:iCs/>
                <w:sz w:val="16"/>
                <w:szCs w:val="16"/>
                <w:lang w:val="en-US"/>
              </w:rPr>
              <w:t xml:space="preserve"> </w:t>
            </w:r>
            <w:r w:rsidR="00662157">
              <w:rPr>
                <w:rFonts w:cs="Arial"/>
                <w:iCs/>
                <w:sz w:val="16"/>
                <w:szCs w:val="16"/>
                <w:lang w:val="en-US"/>
              </w:rPr>
              <w:t>during loading of trigger spray</w:t>
            </w:r>
            <w:r w:rsidR="00A06D53">
              <w:rPr>
                <w:rFonts w:cs="Arial"/>
                <w:iCs/>
                <w:sz w:val="16"/>
                <w:szCs w:val="16"/>
                <w:lang w:val="en-US"/>
              </w:rPr>
              <w:t xml:space="preserve"> or knapsack sprayer</w:t>
            </w:r>
          </w:p>
          <w:p w14:paraId="741E0834" w14:textId="77777777" w:rsidR="004D0A54" w:rsidRDefault="004D0A54" w:rsidP="002B147A">
            <w:pPr>
              <w:pStyle w:val="Paragraphedeliste"/>
              <w:numPr>
                <w:ilvl w:val="0"/>
                <w:numId w:val="15"/>
              </w:numPr>
              <w:jc w:val="both"/>
              <w:rPr>
                <w:rFonts w:cs="Arial"/>
                <w:iCs/>
                <w:sz w:val="16"/>
                <w:szCs w:val="16"/>
                <w:lang w:val="en-US"/>
              </w:rPr>
            </w:pPr>
            <w:r>
              <w:rPr>
                <w:rFonts w:cs="Arial"/>
                <w:iCs/>
                <w:sz w:val="16"/>
                <w:szCs w:val="16"/>
                <w:lang w:val="en-US"/>
              </w:rPr>
              <w:t>T</w:t>
            </w:r>
            <w:r w:rsidRPr="00696000">
              <w:rPr>
                <w:rFonts w:cs="Arial"/>
                <w:iCs/>
                <w:sz w:val="16"/>
                <w:szCs w:val="16"/>
                <w:lang w:val="en-US"/>
              </w:rPr>
              <w:t xml:space="preserve">he spray application </w:t>
            </w:r>
            <w:r>
              <w:rPr>
                <w:rFonts w:cs="Arial"/>
                <w:iCs/>
                <w:sz w:val="16"/>
                <w:szCs w:val="16"/>
                <w:lang w:val="en-US"/>
              </w:rPr>
              <w:t>must</w:t>
            </w:r>
            <w:r w:rsidRPr="00696000">
              <w:rPr>
                <w:rFonts w:cs="Arial"/>
                <w:iCs/>
                <w:sz w:val="16"/>
                <w:szCs w:val="16"/>
                <w:lang w:val="en-US"/>
              </w:rPr>
              <w:t xml:space="preserve"> be downward in order to avoid any facial exposure.</w:t>
            </w:r>
          </w:p>
          <w:p w14:paraId="3F2DA408" w14:textId="3C143416" w:rsidR="004D0A54" w:rsidRDefault="004D0A54" w:rsidP="002B147A">
            <w:pPr>
              <w:pStyle w:val="Paragraphedeliste"/>
              <w:numPr>
                <w:ilvl w:val="0"/>
                <w:numId w:val="15"/>
              </w:numPr>
              <w:jc w:val="both"/>
              <w:rPr>
                <w:rFonts w:cs="Arial"/>
                <w:iCs/>
                <w:sz w:val="16"/>
                <w:szCs w:val="16"/>
                <w:lang w:val="en-US"/>
              </w:rPr>
            </w:pPr>
            <w:r w:rsidRPr="00F11400">
              <w:rPr>
                <w:rFonts w:cs="Arial"/>
                <w:iCs/>
                <w:sz w:val="16"/>
                <w:szCs w:val="16"/>
                <w:lang w:val="en-US"/>
              </w:rPr>
              <w:t>Avoidance of contact with</w:t>
            </w:r>
            <w:r>
              <w:rPr>
                <w:rFonts w:cs="Arial"/>
                <w:iCs/>
                <w:sz w:val="16"/>
                <w:szCs w:val="16"/>
                <w:lang w:val="en-US"/>
              </w:rPr>
              <w:t xml:space="preserve"> </w:t>
            </w:r>
            <w:r w:rsidR="00451C51">
              <w:rPr>
                <w:rFonts w:cs="Arial"/>
                <w:iCs/>
                <w:sz w:val="16"/>
                <w:szCs w:val="16"/>
                <w:lang w:val="en-US"/>
              </w:rPr>
              <w:t>treated</w:t>
            </w:r>
            <w:r>
              <w:rPr>
                <w:rFonts w:cs="Arial"/>
                <w:iCs/>
                <w:sz w:val="16"/>
                <w:szCs w:val="16"/>
                <w:lang w:val="en-US"/>
              </w:rPr>
              <w:t xml:space="preserve"> surfaces</w:t>
            </w:r>
          </w:p>
          <w:p w14:paraId="54FAAB89" w14:textId="77777777" w:rsidR="004D0A54" w:rsidRPr="00877A6A" w:rsidRDefault="004D0A54" w:rsidP="002B147A">
            <w:pPr>
              <w:pStyle w:val="Paragraphedeliste"/>
              <w:numPr>
                <w:ilvl w:val="0"/>
                <w:numId w:val="15"/>
              </w:numPr>
              <w:jc w:val="both"/>
              <w:rPr>
                <w:rFonts w:cs="Arial"/>
                <w:iCs/>
                <w:sz w:val="16"/>
                <w:szCs w:val="16"/>
                <w:lang w:val="en-US"/>
              </w:rPr>
            </w:pPr>
            <w:r w:rsidRPr="00877A6A">
              <w:rPr>
                <w:rFonts w:cs="Arial"/>
                <w:iCs/>
                <w:sz w:val="16"/>
                <w:szCs w:val="16"/>
                <w:lang w:val="en-US"/>
              </w:rPr>
              <w:t>Avoid touching the eyes with hands</w:t>
            </w:r>
            <w:r>
              <w:rPr>
                <w:rFonts w:cs="Arial"/>
                <w:iCs/>
                <w:sz w:val="16"/>
                <w:szCs w:val="16"/>
                <w:lang w:val="en-US"/>
              </w:rPr>
              <w:t xml:space="preserve"> during application</w:t>
            </w:r>
          </w:p>
          <w:p w14:paraId="2F937E70" w14:textId="77777777" w:rsidR="004D0A54" w:rsidRDefault="004D0A54" w:rsidP="002B147A">
            <w:pPr>
              <w:pStyle w:val="Paragraphedeliste"/>
              <w:numPr>
                <w:ilvl w:val="0"/>
                <w:numId w:val="15"/>
              </w:numPr>
              <w:jc w:val="both"/>
              <w:rPr>
                <w:rFonts w:cs="Arial"/>
                <w:iCs/>
                <w:sz w:val="16"/>
                <w:szCs w:val="16"/>
                <w:lang w:val="en-US"/>
              </w:rPr>
            </w:pPr>
            <w:r>
              <w:rPr>
                <w:rFonts w:cs="Arial"/>
                <w:iCs/>
                <w:sz w:val="16"/>
                <w:szCs w:val="16"/>
                <w:lang w:val="en-US"/>
              </w:rPr>
              <w:t>Wash hands after application</w:t>
            </w:r>
          </w:p>
          <w:p w14:paraId="48665618" w14:textId="77777777" w:rsidR="004D0A54" w:rsidRDefault="004D0A54" w:rsidP="002B147A">
            <w:pPr>
              <w:jc w:val="both"/>
              <w:rPr>
                <w:rFonts w:cs="Arial"/>
                <w:iCs/>
                <w:sz w:val="16"/>
                <w:szCs w:val="16"/>
                <w:lang w:val="en-US"/>
              </w:rPr>
            </w:pPr>
          </w:p>
          <w:p w14:paraId="1901B488" w14:textId="77777777" w:rsidR="004D0A54" w:rsidRPr="000D3719" w:rsidRDefault="004D0A54" w:rsidP="002B147A">
            <w:pPr>
              <w:pStyle w:val="Paragraphedeliste"/>
              <w:ind w:left="0"/>
              <w:rPr>
                <w:rFonts w:cs="Arial"/>
                <w:iCs/>
                <w:sz w:val="16"/>
                <w:szCs w:val="16"/>
                <w:lang w:eastAsia="en-US"/>
              </w:rPr>
            </w:pPr>
            <w:r w:rsidRPr="00E61C32">
              <w:rPr>
                <w:rFonts w:cs="Arial"/>
                <w:iCs/>
                <w:sz w:val="16"/>
                <w:szCs w:val="16"/>
                <w:lang w:eastAsia="en-US"/>
              </w:rPr>
              <w:t>Considering that these recommendations can be followed d</w:t>
            </w:r>
            <w:r>
              <w:rPr>
                <w:rFonts w:cs="Arial"/>
                <w:iCs/>
                <w:sz w:val="16"/>
                <w:szCs w:val="16"/>
                <w:lang w:eastAsia="en-US"/>
              </w:rPr>
              <w:t>uring this task</w:t>
            </w:r>
            <w:r w:rsidRPr="00E61C32">
              <w:rPr>
                <w:rFonts w:cs="Arial"/>
                <w:iCs/>
                <w:sz w:val="16"/>
                <w:szCs w:val="16"/>
                <w:lang w:eastAsia="en-US"/>
              </w:rPr>
              <w:t>, the risk is acceptable according to RMMs</w:t>
            </w:r>
            <w:r>
              <w:rPr>
                <w:rFonts w:cs="Arial"/>
                <w:iCs/>
                <w:sz w:val="16"/>
                <w:szCs w:val="16"/>
                <w:lang w:eastAsia="en-US"/>
              </w:rPr>
              <w:t>.</w:t>
            </w:r>
          </w:p>
        </w:tc>
      </w:tr>
      <w:tr w:rsidR="004D0A54" w14:paraId="0DCF014B" w14:textId="77777777" w:rsidTr="002B147A">
        <w:trPr>
          <w:jc w:val="center"/>
        </w:trPr>
        <w:tc>
          <w:tcPr>
            <w:tcW w:w="13424" w:type="dxa"/>
            <w:gridSpan w:val="11"/>
            <w:shd w:val="clear" w:color="auto" w:fill="BFBFBF" w:themeFill="background1" w:themeFillShade="BF"/>
          </w:tcPr>
          <w:p w14:paraId="11C6AC5C" w14:textId="5ECB8441" w:rsidR="004D0A54" w:rsidRDefault="004D0A54" w:rsidP="002B147A">
            <w:pPr>
              <w:pStyle w:val="Paragraphedeliste"/>
              <w:ind w:left="0"/>
              <w:jc w:val="both"/>
              <w:rPr>
                <w:rFonts w:cs="Arial"/>
                <w:iCs/>
                <w:sz w:val="16"/>
                <w:szCs w:val="16"/>
                <w:lang w:val="en-US"/>
              </w:rPr>
            </w:pPr>
            <w:r w:rsidRPr="005E4736">
              <w:rPr>
                <w:rFonts w:cs="Arial"/>
                <w:b/>
                <w:iCs/>
                <w:sz w:val="18"/>
                <w:szCs w:val="18"/>
                <w:lang w:val="en-US"/>
              </w:rPr>
              <w:t>Meta SPC</w:t>
            </w:r>
            <w:r>
              <w:rPr>
                <w:rFonts w:cs="Arial"/>
                <w:b/>
                <w:iCs/>
                <w:sz w:val="18"/>
                <w:szCs w:val="18"/>
                <w:lang w:val="en-US"/>
              </w:rPr>
              <w:t xml:space="preserve"> 10 – Application by spraying/wiping/</w:t>
            </w:r>
            <w:r w:rsidR="00A34894">
              <w:rPr>
                <w:rFonts w:cs="Arial"/>
                <w:b/>
                <w:iCs/>
                <w:sz w:val="18"/>
                <w:szCs w:val="18"/>
                <w:lang w:val="en-US"/>
              </w:rPr>
              <w:t>brushing/scrubbing/</w:t>
            </w:r>
            <w:r>
              <w:rPr>
                <w:rFonts w:cs="Arial"/>
                <w:b/>
                <w:iCs/>
                <w:sz w:val="18"/>
                <w:szCs w:val="18"/>
                <w:lang w:val="en-US"/>
              </w:rPr>
              <w:t xml:space="preserve">mopping (concentrate) </w:t>
            </w:r>
            <w:r w:rsidR="00A34894" w:rsidRPr="003B031B">
              <w:rPr>
                <w:rFonts w:cs="Arial"/>
                <w:iCs/>
                <w:sz w:val="18"/>
                <w:szCs w:val="18"/>
                <w:lang w:val="en-US"/>
              </w:rPr>
              <w:t>– Use</w:t>
            </w:r>
            <w:r w:rsidR="00A34894">
              <w:rPr>
                <w:rFonts w:cs="Arial"/>
                <w:iCs/>
                <w:sz w:val="18"/>
                <w:szCs w:val="18"/>
                <w:lang w:val="en-US"/>
              </w:rPr>
              <w:t>s</w:t>
            </w:r>
            <w:r w:rsidR="00A34894" w:rsidRPr="003B031B">
              <w:rPr>
                <w:rFonts w:cs="Arial"/>
                <w:iCs/>
                <w:sz w:val="18"/>
                <w:szCs w:val="18"/>
                <w:lang w:val="en-US"/>
              </w:rPr>
              <w:t xml:space="preserve"> #1</w:t>
            </w:r>
            <w:r w:rsidR="00A34894">
              <w:rPr>
                <w:rFonts w:cs="Arial"/>
                <w:iCs/>
                <w:sz w:val="18"/>
                <w:szCs w:val="18"/>
                <w:lang w:val="en-US"/>
              </w:rPr>
              <w:t>-2</w:t>
            </w:r>
          </w:p>
        </w:tc>
      </w:tr>
      <w:tr w:rsidR="004D0A54" w14:paraId="6B801B36" w14:textId="77777777" w:rsidTr="002B147A">
        <w:trPr>
          <w:jc w:val="center"/>
        </w:trPr>
        <w:tc>
          <w:tcPr>
            <w:tcW w:w="13424" w:type="dxa"/>
            <w:gridSpan w:val="11"/>
            <w:shd w:val="clear" w:color="auto" w:fill="FFFFFF" w:themeFill="background1"/>
          </w:tcPr>
          <w:p w14:paraId="597152BE" w14:textId="77777777" w:rsidR="004D0A54" w:rsidRPr="005E4736" w:rsidRDefault="004D0A54" w:rsidP="002B147A">
            <w:pPr>
              <w:pStyle w:val="Paragraphedeliste"/>
              <w:ind w:left="0"/>
              <w:jc w:val="both"/>
              <w:rPr>
                <w:rFonts w:cs="Arial"/>
                <w:b/>
                <w:iCs/>
                <w:sz w:val="18"/>
                <w:szCs w:val="18"/>
                <w:lang w:val="en-US"/>
              </w:rPr>
            </w:pPr>
            <w:r>
              <w:rPr>
                <w:rFonts w:cs="Arial"/>
                <w:b/>
                <w:iCs/>
                <w:sz w:val="18"/>
                <w:szCs w:val="18"/>
                <w:lang w:val="en-US"/>
              </w:rPr>
              <w:t>Concentrate</w:t>
            </w:r>
          </w:p>
        </w:tc>
      </w:tr>
      <w:tr w:rsidR="004D0A54" w14:paraId="53C7A401" w14:textId="77777777" w:rsidTr="002B147A">
        <w:trPr>
          <w:jc w:val="center"/>
        </w:trPr>
        <w:tc>
          <w:tcPr>
            <w:tcW w:w="988" w:type="dxa"/>
            <w:shd w:val="clear" w:color="auto" w:fill="auto"/>
          </w:tcPr>
          <w:p w14:paraId="2CA0DECE" w14:textId="77777777" w:rsidR="004D0A54" w:rsidRDefault="004D0A54" w:rsidP="002B147A">
            <w:pPr>
              <w:tabs>
                <w:tab w:val="center" w:pos="610"/>
              </w:tabs>
              <w:rPr>
                <w:sz w:val="16"/>
                <w:szCs w:val="16"/>
              </w:rPr>
            </w:pPr>
            <w:r>
              <w:rPr>
                <w:sz w:val="16"/>
                <w:szCs w:val="16"/>
              </w:rPr>
              <w:t>High</w:t>
            </w:r>
          </w:p>
        </w:tc>
        <w:tc>
          <w:tcPr>
            <w:tcW w:w="992" w:type="dxa"/>
            <w:shd w:val="clear" w:color="auto" w:fill="auto"/>
          </w:tcPr>
          <w:p w14:paraId="329045CD" w14:textId="77777777" w:rsidR="004D0A54" w:rsidRDefault="004D0A54" w:rsidP="002B147A">
            <w:pPr>
              <w:rPr>
                <w:rFonts w:cs="Arial"/>
                <w:iCs/>
                <w:spacing w:val="1"/>
                <w:sz w:val="16"/>
                <w:szCs w:val="16"/>
                <w:lang w:eastAsia="fr-FR"/>
              </w:rPr>
            </w:pPr>
            <w:r w:rsidRPr="00D15E88">
              <w:rPr>
                <w:rFonts w:cs="Arial"/>
                <w:iCs/>
                <w:spacing w:val="1"/>
                <w:sz w:val="16"/>
                <w:szCs w:val="16"/>
                <w:lang w:eastAsia="fr-FR"/>
              </w:rPr>
              <w:t xml:space="preserve">Skin </w:t>
            </w:r>
            <w:r>
              <w:rPr>
                <w:rFonts w:cs="Arial"/>
                <w:iCs/>
                <w:spacing w:val="1"/>
                <w:sz w:val="16"/>
                <w:szCs w:val="16"/>
                <w:lang w:eastAsia="fr-FR"/>
              </w:rPr>
              <w:t>Corr. 1C, H314</w:t>
            </w:r>
          </w:p>
          <w:p w14:paraId="63D28F74" w14:textId="77777777" w:rsidR="004D0A54" w:rsidRDefault="004D0A54" w:rsidP="002B147A">
            <w:pPr>
              <w:rPr>
                <w:rFonts w:cs="Arial"/>
                <w:iCs/>
                <w:sz w:val="16"/>
                <w:lang w:val="en-US"/>
              </w:rPr>
            </w:pPr>
          </w:p>
          <w:p w14:paraId="1FD64802" w14:textId="77777777" w:rsidR="004D0A54" w:rsidRDefault="004D0A54" w:rsidP="002B147A">
            <w:pPr>
              <w:rPr>
                <w:rFonts w:cs="Arial"/>
                <w:iCs/>
                <w:spacing w:val="1"/>
                <w:sz w:val="16"/>
                <w:szCs w:val="16"/>
                <w:lang w:eastAsia="fr-FR"/>
              </w:rPr>
            </w:pPr>
            <w:r w:rsidRPr="009348A3">
              <w:rPr>
                <w:rFonts w:cs="Arial"/>
                <w:iCs/>
                <w:sz w:val="16"/>
                <w:lang w:val="en-US"/>
              </w:rPr>
              <w:lastRenderedPageBreak/>
              <w:t>Eye Dam.1, H318</w:t>
            </w:r>
          </w:p>
        </w:tc>
        <w:tc>
          <w:tcPr>
            <w:tcW w:w="850" w:type="dxa"/>
            <w:shd w:val="clear" w:color="auto" w:fill="auto"/>
          </w:tcPr>
          <w:p w14:paraId="7A9539A8" w14:textId="77777777" w:rsidR="004D0A54" w:rsidRDefault="004D0A54" w:rsidP="002B147A">
            <w:pPr>
              <w:rPr>
                <w:sz w:val="16"/>
                <w:szCs w:val="16"/>
              </w:rPr>
            </w:pPr>
            <w:r>
              <w:rPr>
                <w:sz w:val="16"/>
                <w:szCs w:val="16"/>
              </w:rPr>
              <w:lastRenderedPageBreak/>
              <w:t>-</w:t>
            </w:r>
          </w:p>
        </w:tc>
        <w:tc>
          <w:tcPr>
            <w:tcW w:w="709" w:type="dxa"/>
            <w:shd w:val="clear" w:color="auto" w:fill="auto"/>
          </w:tcPr>
          <w:p w14:paraId="49D1E66E" w14:textId="77777777" w:rsidR="004D0A54" w:rsidRDefault="004D0A54" w:rsidP="002B147A">
            <w:pPr>
              <w:rPr>
                <w:sz w:val="16"/>
                <w:szCs w:val="16"/>
              </w:rPr>
            </w:pPr>
            <w:r>
              <w:rPr>
                <w:sz w:val="16"/>
                <w:szCs w:val="16"/>
              </w:rPr>
              <w:t>2-3</w:t>
            </w:r>
          </w:p>
          <w:p w14:paraId="1481E24E" w14:textId="77777777" w:rsidR="004D0A54" w:rsidRDefault="004D0A54" w:rsidP="002B147A">
            <w:pPr>
              <w:rPr>
                <w:sz w:val="16"/>
                <w:szCs w:val="16"/>
              </w:rPr>
            </w:pPr>
          </w:p>
        </w:tc>
        <w:tc>
          <w:tcPr>
            <w:tcW w:w="992" w:type="dxa"/>
            <w:shd w:val="clear" w:color="auto" w:fill="auto"/>
          </w:tcPr>
          <w:p w14:paraId="55D383BB" w14:textId="77777777" w:rsidR="004D0A54" w:rsidRDefault="004D0A54" w:rsidP="002B147A">
            <w:pPr>
              <w:rPr>
                <w:sz w:val="16"/>
                <w:szCs w:val="16"/>
              </w:rPr>
            </w:pPr>
            <w:r>
              <w:rPr>
                <w:sz w:val="16"/>
                <w:szCs w:val="16"/>
              </w:rPr>
              <w:t>Non-professional</w:t>
            </w:r>
          </w:p>
        </w:tc>
        <w:tc>
          <w:tcPr>
            <w:tcW w:w="1134" w:type="dxa"/>
            <w:shd w:val="clear" w:color="auto" w:fill="auto"/>
          </w:tcPr>
          <w:p w14:paraId="2E717C05" w14:textId="77777777" w:rsidR="004D0A54" w:rsidRDefault="004D0A54" w:rsidP="002B147A">
            <w:pPr>
              <w:rPr>
                <w:sz w:val="16"/>
              </w:rPr>
            </w:pPr>
            <w:r>
              <w:rPr>
                <w:sz w:val="16"/>
              </w:rPr>
              <w:t>Mixing and Loading</w:t>
            </w:r>
          </w:p>
          <w:p w14:paraId="52AF928C" w14:textId="77777777" w:rsidR="004D0A54" w:rsidRDefault="004D0A54" w:rsidP="002B147A">
            <w:pPr>
              <w:rPr>
                <w:sz w:val="16"/>
              </w:rPr>
            </w:pPr>
          </w:p>
          <w:p w14:paraId="3495F0AF" w14:textId="77777777" w:rsidR="004D0A54" w:rsidRDefault="004D0A54" w:rsidP="002B147A">
            <w:pPr>
              <w:rPr>
                <w:sz w:val="16"/>
                <w:szCs w:val="16"/>
              </w:rPr>
            </w:pPr>
          </w:p>
        </w:tc>
        <w:tc>
          <w:tcPr>
            <w:tcW w:w="851" w:type="dxa"/>
            <w:shd w:val="clear" w:color="auto" w:fill="auto"/>
          </w:tcPr>
          <w:p w14:paraId="773F2BA8" w14:textId="77777777" w:rsidR="004D0A54" w:rsidRDefault="004D0A54" w:rsidP="002B147A">
            <w:pPr>
              <w:rPr>
                <w:sz w:val="16"/>
                <w:szCs w:val="16"/>
              </w:rPr>
            </w:pPr>
            <w:r>
              <w:rPr>
                <w:sz w:val="16"/>
                <w:szCs w:val="16"/>
              </w:rPr>
              <w:t>Dermal</w:t>
            </w:r>
          </w:p>
          <w:p w14:paraId="4D7AD42D" w14:textId="77777777" w:rsidR="004D0A54" w:rsidRDefault="004D0A54" w:rsidP="002B147A">
            <w:pPr>
              <w:rPr>
                <w:sz w:val="16"/>
                <w:szCs w:val="16"/>
              </w:rPr>
            </w:pPr>
          </w:p>
        </w:tc>
        <w:tc>
          <w:tcPr>
            <w:tcW w:w="1843" w:type="dxa"/>
          </w:tcPr>
          <w:p w14:paraId="7C2A9DD5" w14:textId="77777777" w:rsidR="004D0A54" w:rsidRDefault="004D0A54" w:rsidP="002B147A">
            <w:pPr>
              <w:rPr>
                <w:sz w:val="16"/>
                <w:szCs w:val="16"/>
              </w:rPr>
            </w:pPr>
            <w:r>
              <w:rPr>
                <w:sz w:val="16"/>
                <w:szCs w:val="16"/>
              </w:rPr>
              <w:t>Equal to or less than one once per week and equal to or less than few minutes per day</w:t>
            </w:r>
          </w:p>
        </w:tc>
        <w:tc>
          <w:tcPr>
            <w:tcW w:w="1300" w:type="dxa"/>
          </w:tcPr>
          <w:p w14:paraId="09F5EC45" w14:textId="77777777" w:rsidR="004D0A54" w:rsidRDefault="004D0A54" w:rsidP="002B147A">
            <w:pPr>
              <w:rPr>
                <w:sz w:val="16"/>
                <w:szCs w:val="16"/>
              </w:rPr>
            </w:pPr>
            <w:r>
              <w:rPr>
                <w:sz w:val="16"/>
                <w:szCs w:val="16"/>
              </w:rPr>
              <w:t>Pratically no exposure,</w:t>
            </w:r>
          </w:p>
          <w:p w14:paraId="3A75B828" w14:textId="77777777" w:rsidR="004D0A54" w:rsidRDefault="004D0A54" w:rsidP="002B147A">
            <w:pPr>
              <w:rPr>
                <w:sz w:val="16"/>
                <w:szCs w:val="16"/>
              </w:rPr>
            </w:pPr>
            <w:r>
              <w:rPr>
                <w:sz w:val="16"/>
                <w:szCs w:val="16"/>
              </w:rPr>
              <w:t xml:space="preserve">e.g use of toilet cleaners </w:t>
            </w:r>
          </w:p>
        </w:tc>
        <w:tc>
          <w:tcPr>
            <w:tcW w:w="3765" w:type="dxa"/>
            <w:gridSpan w:val="2"/>
            <w:shd w:val="clear" w:color="auto" w:fill="auto"/>
          </w:tcPr>
          <w:p w14:paraId="5126ACFF" w14:textId="1794520E" w:rsidR="004D0A54" w:rsidRPr="004D0CAC" w:rsidRDefault="004D0A54" w:rsidP="002B147A">
            <w:pPr>
              <w:pStyle w:val="Paragraphedeliste"/>
              <w:ind w:left="0"/>
              <w:jc w:val="both"/>
              <w:rPr>
                <w:rFonts w:cs="Arial"/>
                <w:iCs/>
                <w:sz w:val="16"/>
                <w:szCs w:val="16"/>
              </w:rPr>
            </w:pPr>
            <w:r w:rsidRPr="007501C2">
              <w:rPr>
                <w:rFonts w:cs="Arial"/>
                <w:iCs/>
                <w:sz w:val="16"/>
                <w:szCs w:val="16"/>
                <w:lang w:val="en-US"/>
              </w:rPr>
              <w:t xml:space="preserve">Considering that the product will be </w:t>
            </w:r>
            <w:r>
              <w:rPr>
                <w:rFonts w:cs="Arial"/>
                <w:iCs/>
                <w:sz w:val="16"/>
                <w:szCs w:val="16"/>
                <w:lang w:val="en-US"/>
              </w:rPr>
              <w:t>used</w:t>
            </w:r>
            <w:r w:rsidRPr="007501C2">
              <w:rPr>
                <w:rFonts w:cs="Arial"/>
                <w:iCs/>
                <w:sz w:val="16"/>
                <w:szCs w:val="16"/>
                <w:lang w:val="en-US"/>
              </w:rPr>
              <w:t xml:space="preserve"> by a </w:t>
            </w:r>
            <w:r>
              <w:rPr>
                <w:rFonts w:cs="Arial"/>
                <w:iCs/>
                <w:sz w:val="16"/>
                <w:szCs w:val="16"/>
                <w:lang w:val="en-US"/>
              </w:rPr>
              <w:t>non-</w:t>
            </w:r>
            <w:r w:rsidRPr="007501C2">
              <w:rPr>
                <w:rFonts w:cs="Arial"/>
                <w:iCs/>
                <w:sz w:val="16"/>
                <w:szCs w:val="16"/>
                <w:lang w:val="en-US"/>
              </w:rPr>
              <w:t>professional</w:t>
            </w:r>
            <w:r>
              <w:rPr>
                <w:rFonts w:cs="Arial"/>
                <w:iCs/>
                <w:sz w:val="16"/>
                <w:szCs w:val="16"/>
                <w:lang w:val="en-US"/>
              </w:rPr>
              <w:t xml:space="preserve"> and in the absence of a protection offered by a</w:t>
            </w:r>
            <w:r w:rsidRPr="00070F08">
              <w:rPr>
                <w:rFonts w:cs="Arial"/>
                <w:iCs/>
                <w:sz w:val="16"/>
                <w:szCs w:val="16"/>
                <w:lang w:val="en-US"/>
              </w:rPr>
              <w:t xml:space="preserve"> cap with directional nozzle of the bottle to pour the product</w:t>
            </w:r>
            <w:r>
              <w:rPr>
                <w:rFonts w:cs="Arial"/>
                <w:iCs/>
                <w:sz w:val="16"/>
                <w:szCs w:val="16"/>
                <w:lang w:val="en-US"/>
              </w:rPr>
              <w:t xml:space="preserve">, </w:t>
            </w:r>
            <w:r w:rsidRPr="00E91F85">
              <w:rPr>
                <w:rFonts w:cs="Arial"/>
                <w:b/>
                <w:iCs/>
                <w:sz w:val="16"/>
                <w:szCs w:val="16"/>
                <w:lang w:val="en-US"/>
              </w:rPr>
              <w:t xml:space="preserve">the </w:t>
            </w:r>
            <w:r w:rsidRPr="00E91F85">
              <w:rPr>
                <w:rFonts w:cs="Arial"/>
                <w:b/>
                <w:iCs/>
                <w:sz w:val="16"/>
                <w:szCs w:val="16"/>
                <w:lang w:val="en-US"/>
              </w:rPr>
              <w:lastRenderedPageBreak/>
              <w:t>risk is considered unacceptable</w:t>
            </w:r>
            <w:r w:rsidR="006747A4">
              <w:rPr>
                <w:rFonts w:cs="Arial"/>
                <w:b/>
                <w:iCs/>
                <w:sz w:val="16"/>
                <w:szCs w:val="16"/>
                <w:lang w:val="en-US"/>
              </w:rPr>
              <w:t xml:space="preserve"> </w:t>
            </w:r>
            <w:r w:rsidR="006747A4" w:rsidRPr="005C12EE">
              <w:rPr>
                <w:rFonts w:cs="Arial"/>
                <w:b/>
                <w:iCs/>
                <w:sz w:val="16"/>
                <w:szCs w:val="16"/>
                <w:lang w:val="en-US"/>
              </w:rPr>
              <w:t>(see confidential annex for more details)</w:t>
            </w:r>
            <w:r w:rsidRPr="00E91F85">
              <w:rPr>
                <w:rFonts w:cs="Arial"/>
                <w:b/>
                <w:iCs/>
                <w:sz w:val="16"/>
                <w:szCs w:val="16"/>
                <w:lang w:val="en-US"/>
              </w:rPr>
              <w:t>.</w:t>
            </w:r>
            <w:r w:rsidRPr="007501C2">
              <w:rPr>
                <w:rFonts w:cs="Arial"/>
                <w:iCs/>
                <w:sz w:val="16"/>
                <w:szCs w:val="16"/>
                <w:lang w:val="en-US"/>
              </w:rPr>
              <w:t xml:space="preserve"> </w:t>
            </w:r>
          </w:p>
        </w:tc>
      </w:tr>
      <w:tr w:rsidR="004D0A54" w14:paraId="639BCC54" w14:textId="77777777" w:rsidTr="002B147A">
        <w:trPr>
          <w:jc w:val="center"/>
        </w:trPr>
        <w:tc>
          <w:tcPr>
            <w:tcW w:w="13424" w:type="dxa"/>
            <w:gridSpan w:val="11"/>
            <w:shd w:val="clear" w:color="auto" w:fill="auto"/>
          </w:tcPr>
          <w:p w14:paraId="2CEB8D63" w14:textId="77777777" w:rsidR="004D0A54" w:rsidRPr="00877A6A" w:rsidRDefault="004D0A54" w:rsidP="002B147A">
            <w:pPr>
              <w:pStyle w:val="Paragraphedeliste"/>
              <w:ind w:left="0"/>
              <w:jc w:val="both"/>
              <w:rPr>
                <w:rFonts w:cs="Arial"/>
                <w:b/>
                <w:iCs/>
                <w:sz w:val="16"/>
                <w:szCs w:val="16"/>
                <w:lang w:val="en-US"/>
              </w:rPr>
            </w:pPr>
            <w:r w:rsidRPr="00877A6A">
              <w:rPr>
                <w:rFonts w:cs="Arial"/>
                <w:b/>
                <w:iCs/>
                <w:sz w:val="18"/>
                <w:szCs w:val="16"/>
                <w:lang w:val="en-US"/>
              </w:rPr>
              <w:lastRenderedPageBreak/>
              <w:t xml:space="preserve">After dilution </w:t>
            </w:r>
          </w:p>
        </w:tc>
      </w:tr>
      <w:tr w:rsidR="004D0A54" w14:paraId="1F7F9931" w14:textId="77777777" w:rsidTr="002B147A">
        <w:trPr>
          <w:jc w:val="center"/>
        </w:trPr>
        <w:tc>
          <w:tcPr>
            <w:tcW w:w="988" w:type="dxa"/>
            <w:shd w:val="clear" w:color="auto" w:fill="auto"/>
          </w:tcPr>
          <w:p w14:paraId="6AFAA9A6" w14:textId="77777777" w:rsidR="004D0A54" w:rsidRDefault="004D0A54" w:rsidP="002B147A">
            <w:pPr>
              <w:tabs>
                <w:tab w:val="center" w:pos="610"/>
              </w:tabs>
              <w:rPr>
                <w:sz w:val="16"/>
                <w:szCs w:val="16"/>
              </w:rPr>
            </w:pPr>
            <w:r>
              <w:rPr>
                <w:sz w:val="16"/>
                <w:szCs w:val="16"/>
              </w:rPr>
              <w:t>Low</w:t>
            </w:r>
          </w:p>
        </w:tc>
        <w:tc>
          <w:tcPr>
            <w:tcW w:w="992" w:type="dxa"/>
            <w:shd w:val="clear" w:color="auto" w:fill="auto"/>
          </w:tcPr>
          <w:p w14:paraId="2D4B3E2A" w14:textId="77777777" w:rsidR="004D0A54" w:rsidRPr="005D0878" w:rsidRDefault="004D0A54" w:rsidP="002B147A">
            <w:pPr>
              <w:rPr>
                <w:rFonts w:cs="Arial"/>
                <w:iCs/>
                <w:spacing w:val="1"/>
                <w:sz w:val="16"/>
                <w:szCs w:val="16"/>
                <w:lang w:val="fr-FR" w:eastAsia="fr-FR"/>
              </w:rPr>
            </w:pPr>
            <w:r w:rsidRPr="005D0878">
              <w:rPr>
                <w:rFonts w:cs="Arial"/>
                <w:iCs/>
                <w:spacing w:val="1"/>
                <w:sz w:val="16"/>
                <w:szCs w:val="16"/>
                <w:lang w:val="fr-FR" w:eastAsia="fr-FR"/>
              </w:rPr>
              <w:t>Skin Irrit.2, H315</w:t>
            </w:r>
          </w:p>
          <w:p w14:paraId="3A9CAAA6" w14:textId="77777777" w:rsidR="004D0A54" w:rsidRPr="005D0878" w:rsidRDefault="004D0A54" w:rsidP="002B147A">
            <w:pPr>
              <w:rPr>
                <w:rFonts w:cs="Arial"/>
                <w:iCs/>
                <w:spacing w:val="1"/>
                <w:sz w:val="16"/>
                <w:szCs w:val="16"/>
                <w:lang w:val="fr-FR" w:eastAsia="fr-FR"/>
              </w:rPr>
            </w:pPr>
          </w:p>
          <w:p w14:paraId="274B7088" w14:textId="77777777" w:rsidR="004D0A54" w:rsidRPr="00877A6A" w:rsidRDefault="004D0A54" w:rsidP="002B147A">
            <w:pPr>
              <w:rPr>
                <w:rFonts w:cs="Arial"/>
                <w:iCs/>
                <w:spacing w:val="1"/>
                <w:sz w:val="16"/>
                <w:szCs w:val="16"/>
                <w:lang w:val="fr-FR" w:eastAsia="fr-FR"/>
              </w:rPr>
            </w:pPr>
            <w:r w:rsidRPr="005D0878">
              <w:rPr>
                <w:rFonts w:cs="Arial"/>
                <w:iCs/>
                <w:sz w:val="16"/>
                <w:lang w:val="fr-FR"/>
              </w:rPr>
              <w:t>Eye Irrit.2, H319</w:t>
            </w:r>
          </w:p>
        </w:tc>
        <w:tc>
          <w:tcPr>
            <w:tcW w:w="850" w:type="dxa"/>
            <w:shd w:val="clear" w:color="auto" w:fill="auto"/>
          </w:tcPr>
          <w:p w14:paraId="1428DD29" w14:textId="77777777" w:rsidR="004D0A54" w:rsidRDefault="004D0A54" w:rsidP="002B147A">
            <w:pPr>
              <w:rPr>
                <w:sz w:val="16"/>
                <w:szCs w:val="16"/>
              </w:rPr>
            </w:pPr>
            <w:r>
              <w:rPr>
                <w:sz w:val="16"/>
                <w:szCs w:val="16"/>
              </w:rPr>
              <w:t>-</w:t>
            </w:r>
          </w:p>
        </w:tc>
        <w:tc>
          <w:tcPr>
            <w:tcW w:w="709" w:type="dxa"/>
            <w:shd w:val="clear" w:color="auto" w:fill="auto"/>
          </w:tcPr>
          <w:p w14:paraId="7EB939DE" w14:textId="77777777" w:rsidR="004D0A54" w:rsidRDefault="004D0A54" w:rsidP="002B147A">
            <w:pPr>
              <w:rPr>
                <w:sz w:val="16"/>
                <w:szCs w:val="16"/>
              </w:rPr>
            </w:pPr>
            <w:r>
              <w:rPr>
                <w:sz w:val="16"/>
                <w:szCs w:val="16"/>
              </w:rPr>
              <w:t>2-3</w:t>
            </w:r>
          </w:p>
        </w:tc>
        <w:tc>
          <w:tcPr>
            <w:tcW w:w="992" w:type="dxa"/>
            <w:shd w:val="clear" w:color="auto" w:fill="auto"/>
          </w:tcPr>
          <w:p w14:paraId="22EE00E5" w14:textId="77777777" w:rsidR="004D0A54" w:rsidRDefault="004D0A54" w:rsidP="002B147A">
            <w:pPr>
              <w:rPr>
                <w:sz w:val="16"/>
                <w:szCs w:val="16"/>
              </w:rPr>
            </w:pPr>
            <w:r>
              <w:rPr>
                <w:sz w:val="16"/>
                <w:szCs w:val="16"/>
              </w:rPr>
              <w:t>Non-professional</w:t>
            </w:r>
          </w:p>
        </w:tc>
        <w:tc>
          <w:tcPr>
            <w:tcW w:w="1134" w:type="dxa"/>
            <w:shd w:val="clear" w:color="auto" w:fill="auto"/>
          </w:tcPr>
          <w:p w14:paraId="1FA525CA" w14:textId="30E9B71D" w:rsidR="004D0A54" w:rsidRDefault="004D0A54" w:rsidP="002B147A">
            <w:pPr>
              <w:rPr>
                <w:sz w:val="16"/>
                <w:szCs w:val="16"/>
              </w:rPr>
            </w:pPr>
            <w:r>
              <w:rPr>
                <w:sz w:val="16"/>
                <w:szCs w:val="16"/>
              </w:rPr>
              <w:t xml:space="preserve">Spraying </w:t>
            </w:r>
          </w:p>
          <w:p w14:paraId="1DA76CA2" w14:textId="77777777" w:rsidR="004D0A54" w:rsidRDefault="004D0A54" w:rsidP="002B147A">
            <w:pPr>
              <w:rPr>
                <w:sz w:val="16"/>
                <w:szCs w:val="16"/>
              </w:rPr>
            </w:pPr>
          </w:p>
          <w:p w14:paraId="3AFF49CF" w14:textId="77777777" w:rsidR="004D0A54" w:rsidRDefault="004D0A54" w:rsidP="002B147A">
            <w:pPr>
              <w:rPr>
                <w:sz w:val="16"/>
                <w:szCs w:val="16"/>
              </w:rPr>
            </w:pPr>
            <w:r>
              <w:rPr>
                <w:sz w:val="16"/>
                <w:szCs w:val="16"/>
              </w:rPr>
              <w:t>Wiping on hard surfaces</w:t>
            </w:r>
          </w:p>
          <w:p w14:paraId="1A7A6AB4" w14:textId="1B14277E" w:rsidR="00451C51" w:rsidRDefault="00451C51" w:rsidP="002B147A">
            <w:pPr>
              <w:rPr>
                <w:sz w:val="16"/>
                <w:szCs w:val="16"/>
              </w:rPr>
            </w:pPr>
          </w:p>
          <w:p w14:paraId="6F3BC21F" w14:textId="49C0DC00" w:rsidR="00451C51" w:rsidRDefault="00451C51" w:rsidP="002B147A">
            <w:pPr>
              <w:rPr>
                <w:sz w:val="16"/>
                <w:szCs w:val="16"/>
              </w:rPr>
            </w:pPr>
            <w:r>
              <w:rPr>
                <w:sz w:val="16"/>
                <w:szCs w:val="16"/>
              </w:rPr>
              <w:t>Brushing</w:t>
            </w:r>
          </w:p>
          <w:p w14:paraId="6EBF648F" w14:textId="77777777" w:rsidR="004D0A54" w:rsidRDefault="004D0A54" w:rsidP="002B147A">
            <w:pPr>
              <w:rPr>
                <w:sz w:val="16"/>
                <w:szCs w:val="16"/>
              </w:rPr>
            </w:pPr>
          </w:p>
          <w:p w14:paraId="3F81C466" w14:textId="77777777" w:rsidR="004D0A54" w:rsidRDefault="004D0A54" w:rsidP="002B147A">
            <w:pPr>
              <w:rPr>
                <w:sz w:val="16"/>
                <w:szCs w:val="16"/>
              </w:rPr>
            </w:pPr>
            <w:r>
              <w:rPr>
                <w:sz w:val="16"/>
                <w:szCs w:val="16"/>
              </w:rPr>
              <w:t>Mopping</w:t>
            </w:r>
          </w:p>
          <w:p w14:paraId="70586008" w14:textId="77777777" w:rsidR="004D0A54" w:rsidRDefault="004D0A54" w:rsidP="002B147A">
            <w:pPr>
              <w:rPr>
                <w:sz w:val="16"/>
                <w:szCs w:val="16"/>
              </w:rPr>
            </w:pPr>
          </w:p>
          <w:p w14:paraId="745675AB" w14:textId="795CCCBE" w:rsidR="004D0A54" w:rsidRDefault="004D0A54" w:rsidP="002B147A">
            <w:pPr>
              <w:rPr>
                <w:sz w:val="16"/>
                <w:szCs w:val="16"/>
              </w:rPr>
            </w:pPr>
            <w:r>
              <w:rPr>
                <w:sz w:val="16"/>
                <w:szCs w:val="16"/>
              </w:rPr>
              <w:t>Scrubbing</w:t>
            </w:r>
          </w:p>
          <w:p w14:paraId="33ED0753" w14:textId="77777777" w:rsidR="004D0A54" w:rsidRDefault="004D0A54" w:rsidP="002B147A">
            <w:pPr>
              <w:rPr>
                <w:sz w:val="16"/>
                <w:szCs w:val="16"/>
              </w:rPr>
            </w:pPr>
          </w:p>
          <w:p w14:paraId="273ECBB4" w14:textId="77777777" w:rsidR="004D0A54" w:rsidRDefault="004D0A54" w:rsidP="002B147A">
            <w:pPr>
              <w:rPr>
                <w:sz w:val="16"/>
                <w:szCs w:val="16"/>
              </w:rPr>
            </w:pPr>
          </w:p>
          <w:p w14:paraId="2F1975FC" w14:textId="77777777" w:rsidR="004D0A54" w:rsidRDefault="004D0A54" w:rsidP="002B147A">
            <w:pPr>
              <w:rPr>
                <w:sz w:val="16"/>
              </w:rPr>
            </w:pPr>
          </w:p>
        </w:tc>
        <w:tc>
          <w:tcPr>
            <w:tcW w:w="851" w:type="dxa"/>
            <w:shd w:val="clear" w:color="auto" w:fill="auto"/>
          </w:tcPr>
          <w:p w14:paraId="7ED003DC" w14:textId="77777777" w:rsidR="004D0A54" w:rsidRDefault="004D0A54" w:rsidP="002B147A">
            <w:pPr>
              <w:rPr>
                <w:sz w:val="16"/>
                <w:szCs w:val="16"/>
              </w:rPr>
            </w:pPr>
            <w:r>
              <w:rPr>
                <w:sz w:val="16"/>
                <w:szCs w:val="16"/>
              </w:rPr>
              <w:t>Dermal</w:t>
            </w:r>
          </w:p>
          <w:p w14:paraId="0D30FB6C" w14:textId="77777777" w:rsidR="004D0A54" w:rsidRDefault="004D0A54" w:rsidP="002B147A">
            <w:pPr>
              <w:rPr>
                <w:sz w:val="16"/>
                <w:szCs w:val="16"/>
              </w:rPr>
            </w:pPr>
          </w:p>
          <w:p w14:paraId="2B2A1250" w14:textId="77777777" w:rsidR="004D0A54" w:rsidRDefault="004D0A54" w:rsidP="002B147A">
            <w:pPr>
              <w:rPr>
                <w:sz w:val="16"/>
                <w:szCs w:val="16"/>
              </w:rPr>
            </w:pPr>
            <w:r>
              <w:rPr>
                <w:sz w:val="16"/>
                <w:szCs w:val="16"/>
              </w:rPr>
              <w:t>Ocular</w:t>
            </w:r>
          </w:p>
          <w:p w14:paraId="080D43C2" w14:textId="77777777" w:rsidR="004D0A54" w:rsidRDefault="004D0A54" w:rsidP="002B147A">
            <w:pPr>
              <w:rPr>
                <w:sz w:val="16"/>
                <w:szCs w:val="16"/>
              </w:rPr>
            </w:pPr>
          </w:p>
        </w:tc>
        <w:tc>
          <w:tcPr>
            <w:tcW w:w="1843" w:type="dxa"/>
          </w:tcPr>
          <w:p w14:paraId="7FED21E5" w14:textId="77777777" w:rsidR="004D0A54" w:rsidRDefault="004D0A54" w:rsidP="002B147A">
            <w:pPr>
              <w:rPr>
                <w:sz w:val="16"/>
                <w:szCs w:val="16"/>
              </w:rPr>
            </w:pPr>
            <w:r>
              <w:rPr>
                <w:sz w:val="16"/>
                <w:szCs w:val="16"/>
              </w:rPr>
              <w:t>Equal to or less than one hour per day</w:t>
            </w:r>
          </w:p>
        </w:tc>
        <w:tc>
          <w:tcPr>
            <w:tcW w:w="1300" w:type="dxa"/>
          </w:tcPr>
          <w:p w14:paraId="473A45C7" w14:textId="77777777" w:rsidR="004D0A54" w:rsidRDefault="004D0A54" w:rsidP="002B147A">
            <w:pPr>
              <w:rPr>
                <w:sz w:val="16"/>
                <w:szCs w:val="16"/>
              </w:rPr>
            </w:pPr>
            <w:r>
              <w:rPr>
                <w:sz w:val="16"/>
                <w:szCs w:val="16"/>
              </w:rPr>
              <w:t>e.g use of dish cleaning product or low volume outdoor spray application</w:t>
            </w:r>
          </w:p>
        </w:tc>
        <w:tc>
          <w:tcPr>
            <w:tcW w:w="3765" w:type="dxa"/>
            <w:gridSpan w:val="2"/>
            <w:shd w:val="clear" w:color="auto" w:fill="auto"/>
          </w:tcPr>
          <w:p w14:paraId="2193B93D" w14:textId="77777777" w:rsidR="004D0A54" w:rsidRDefault="004D0A54" w:rsidP="002B147A">
            <w:pPr>
              <w:pStyle w:val="Paragraphedeliste"/>
              <w:ind w:left="0"/>
              <w:jc w:val="both"/>
              <w:rPr>
                <w:rFonts w:cs="Arial"/>
                <w:iCs/>
                <w:sz w:val="16"/>
                <w:szCs w:val="16"/>
                <w:lang w:val="en-US"/>
              </w:rPr>
            </w:pPr>
            <w:r w:rsidRPr="007501C2">
              <w:rPr>
                <w:rFonts w:cs="Arial"/>
                <w:iCs/>
                <w:sz w:val="16"/>
                <w:szCs w:val="16"/>
                <w:lang w:val="en-US"/>
              </w:rPr>
              <w:t xml:space="preserve">Considering that the product will be applied by a </w:t>
            </w:r>
            <w:r>
              <w:rPr>
                <w:rFonts w:cs="Arial"/>
                <w:iCs/>
                <w:sz w:val="16"/>
                <w:szCs w:val="16"/>
                <w:lang w:val="en-US"/>
              </w:rPr>
              <w:t>non-</w:t>
            </w:r>
            <w:r w:rsidRPr="007501C2">
              <w:rPr>
                <w:rFonts w:cs="Arial"/>
                <w:iCs/>
                <w:sz w:val="16"/>
                <w:szCs w:val="16"/>
                <w:lang w:val="en-US"/>
              </w:rPr>
              <w:t xml:space="preserve">professional, </w:t>
            </w:r>
            <w:r>
              <w:rPr>
                <w:rFonts w:cs="Arial"/>
                <w:iCs/>
                <w:sz w:val="16"/>
                <w:szCs w:val="16"/>
                <w:lang w:val="en-US"/>
              </w:rPr>
              <w:t>RMM must be applied:</w:t>
            </w:r>
          </w:p>
          <w:p w14:paraId="3B3619C0" w14:textId="77777777" w:rsidR="004D0A54" w:rsidRPr="005D0878" w:rsidRDefault="004D0A54" w:rsidP="002B147A">
            <w:pPr>
              <w:rPr>
                <w:rFonts w:cs="Arial"/>
                <w:iCs/>
                <w:sz w:val="16"/>
                <w:szCs w:val="16"/>
                <w:lang w:val="en-US"/>
              </w:rPr>
            </w:pPr>
          </w:p>
          <w:p w14:paraId="2586A442" w14:textId="77777777" w:rsidR="004D0A54" w:rsidRDefault="004D0A54" w:rsidP="002B147A">
            <w:pPr>
              <w:pStyle w:val="Paragraphedeliste"/>
              <w:numPr>
                <w:ilvl w:val="0"/>
                <w:numId w:val="15"/>
              </w:numPr>
              <w:jc w:val="both"/>
              <w:rPr>
                <w:rFonts w:cs="Arial"/>
                <w:iCs/>
                <w:sz w:val="16"/>
                <w:szCs w:val="16"/>
                <w:lang w:val="en-US"/>
              </w:rPr>
            </w:pPr>
            <w:r>
              <w:rPr>
                <w:rFonts w:cs="Arial"/>
                <w:iCs/>
                <w:sz w:val="16"/>
                <w:szCs w:val="16"/>
                <w:lang w:val="en-US"/>
              </w:rPr>
              <w:t>T</w:t>
            </w:r>
            <w:r w:rsidRPr="00696000">
              <w:rPr>
                <w:rFonts w:cs="Arial"/>
                <w:iCs/>
                <w:sz w:val="16"/>
                <w:szCs w:val="16"/>
                <w:lang w:val="en-US"/>
              </w:rPr>
              <w:t xml:space="preserve">he spray application </w:t>
            </w:r>
            <w:r>
              <w:rPr>
                <w:rFonts w:cs="Arial"/>
                <w:iCs/>
                <w:sz w:val="16"/>
                <w:szCs w:val="16"/>
                <w:lang w:val="en-US"/>
              </w:rPr>
              <w:t>must</w:t>
            </w:r>
            <w:r w:rsidRPr="00696000">
              <w:rPr>
                <w:rFonts w:cs="Arial"/>
                <w:iCs/>
                <w:sz w:val="16"/>
                <w:szCs w:val="16"/>
                <w:lang w:val="en-US"/>
              </w:rPr>
              <w:t xml:space="preserve"> be downward in order to avoid any facial exposure.</w:t>
            </w:r>
          </w:p>
          <w:p w14:paraId="395832B9" w14:textId="18DA9210" w:rsidR="004D0A54" w:rsidRDefault="004D0A54" w:rsidP="002B147A">
            <w:pPr>
              <w:pStyle w:val="Paragraphedeliste"/>
              <w:numPr>
                <w:ilvl w:val="0"/>
                <w:numId w:val="15"/>
              </w:numPr>
              <w:jc w:val="both"/>
              <w:rPr>
                <w:rFonts w:cs="Arial"/>
                <w:iCs/>
                <w:sz w:val="16"/>
                <w:szCs w:val="16"/>
                <w:lang w:val="en-US"/>
              </w:rPr>
            </w:pPr>
            <w:r w:rsidRPr="00F11400">
              <w:rPr>
                <w:rFonts w:cs="Arial"/>
                <w:iCs/>
                <w:sz w:val="16"/>
                <w:szCs w:val="16"/>
                <w:lang w:val="en-US"/>
              </w:rPr>
              <w:t>Avoidance of contact with</w:t>
            </w:r>
            <w:r>
              <w:rPr>
                <w:rFonts w:cs="Arial"/>
                <w:iCs/>
                <w:sz w:val="16"/>
                <w:szCs w:val="16"/>
                <w:lang w:val="en-US"/>
              </w:rPr>
              <w:t xml:space="preserve"> </w:t>
            </w:r>
            <w:r w:rsidR="00451C51">
              <w:rPr>
                <w:rFonts w:cs="Arial"/>
                <w:iCs/>
                <w:sz w:val="16"/>
                <w:szCs w:val="16"/>
                <w:lang w:val="en-US"/>
              </w:rPr>
              <w:t>treated</w:t>
            </w:r>
            <w:r>
              <w:rPr>
                <w:rFonts w:cs="Arial"/>
                <w:iCs/>
                <w:sz w:val="16"/>
                <w:szCs w:val="16"/>
                <w:lang w:val="en-US"/>
              </w:rPr>
              <w:t xml:space="preserve"> surfaces</w:t>
            </w:r>
          </w:p>
          <w:p w14:paraId="079EA646" w14:textId="77777777" w:rsidR="004D0A54" w:rsidRPr="005D0878" w:rsidRDefault="004D0A54" w:rsidP="002B147A">
            <w:pPr>
              <w:pStyle w:val="Paragraphedeliste"/>
              <w:numPr>
                <w:ilvl w:val="0"/>
                <w:numId w:val="15"/>
              </w:numPr>
              <w:jc w:val="both"/>
              <w:rPr>
                <w:rFonts w:cs="Arial"/>
                <w:iCs/>
                <w:sz w:val="16"/>
                <w:szCs w:val="16"/>
                <w:lang w:val="en-US"/>
              </w:rPr>
            </w:pPr>
            <w:r w:rsidRPr="005D0878">
              <w:rPr>
                <w:rFonts w:cs="Arial"/>
                <w:iCs/>
                <w:sz w:val="16"/>
                <w:szCs w:val="16"/>
                <w:lang w:val="en-US"/>
              </w:rPr>
              <w:t>Avoid touching the eyes with hands</w:t>
            </w:r>
            <w:r>
              <w:rPr>
                <w:rFonts w:cs="Arial"/>
                <w:iCs/>
                <w:sz w:val="16"/>
                <w:szCs w:val="16"/>
                <w:lang w:val="en-US"/>
              </w:rPr>
              <w:t xml:space="preserve"> during application</w:t>
            </w:r>
          </w:p>
          <w:p w14:paraId="6C5D6E58" w14:textId="77777777" w:rsidR="004D0A54" w:rsidRDefault="004D0A54" w:rsidP="002B147A">
            <w:pPr>
              <w:pStyle w:val="Paragraphedeliste"/>
              <w:numPr>
                <w:ilvl w:val="0"/>
                <w:numId w:val="15"/>
              </w:numPr>
              <w:jc w:val="both"/>
              <w:rPr>
                <w:rFonts w:cs="Arial"/>
                <w:iCs/>
                <w:sz w:val="16"/>
                <w:szCs w:val="16"/>
                <w:lang w:val="en-US"/>
              </w:rPr>
            </w:pPr>
            <w:r>
              <w:rPr>
                <w:rFonts w:cs="Arial"/>
                <w:iCs/>
                <w:sz w:val="16"/>
                <w:szCs w:val="16"/>
                <w:lang w:val="en-US"/>
              </w:rPr>
              <w:t>Wash hands after application</w:t>
            </w:r>
          </w:p>
          <w:p w14:paraId="575F1888" w14:textId="77777777" w:rsidR="004D0A54" w:rsidRDefault="004D0A54" w:rsidP="002B147A">
            <w:pPr>
              <w:jc w:val="both"/>
              <w:rPr>
                <w:rFonts w:cs="Arial"/>
                <w:iCs/>
                <w:sz w:val="16"/>
                <w:szCs w:val="16"/>
                <w:lang w:val="en-US"/>
              </w:rPr>
            </w:pPr>
          </w:p>
          <w:p w14:paraId="763D0F44" w14:textId="77777777" w:rsidR="004D0A54" w:rsidRPr="007501C2" w:rsidRDefault="004D0A54" w:rsidP="002B147A">
            <w:pPr>
              <w:pStyle w:val="Paragraphedeliste"/>
              <w:ind w:left="0"/>
              <w:jc w:val="both"/>
              <w:rPr>
                <w:rFonts w:cs="Arial"/>
                <w:iCs/>
                <w:sz w:val="16"/>
                <w:szCs w:val="16"/>
                <w:lang w:val="en-US"/>
              </w:rPr>
            </w:pPr>
            <w:r w:rsidRPr="00E61C32">
              <w:rPr>
                <w:rFonts w:cs="Arial"/>
                <w:iCs/>
                <w:sz w:val="16"/>
                <w:szCs w:val="16"/>
                <w:lang w:eastAsia="en-US"/>
              </w:rPr>
              <w:t>Considering that these recommendations can be followed d</w:t>
            </w:r>
            <w:r>
              <w:rPr>
                <w:rFonts w:cs="Arial"/>
                <w:iCs/>
                <w:sz w:val="16"/>
                <w:szCs w:val="16"/>
                <w:lang w:eastAsia="en-US"/>
              </w:rPr>
              <w:t>uring this task</w:t>
            </w:r>
            <w:r w:rsidRPr="00E61C32">
              <w:rPr>
                <w:rFonts w:cs="Arial"/>
                <w:iCs/>
                <w:sz w:val="16"/>
                <w:szCs w:val="16"/>
                <w:lang w:eastAsia="en-US"/>
              </w:rPr>
              <w:t>, the risk is acceptable according to RMMs</w:t>
            </w:r>
            <w:r>
              <w:rPr>
                <w:rFonts w:cs="Arial"/>
                <w:iCs/>
                <w:sz w:val="16"/>
                <w:szCs w:val="16"/>
                <w:lang w:eastAsia="en-US"/>
              </w:rPr>
              <w:t>.</w:t>
            </w:r>
          </w:p>
        </w:tc>
      </w:tr>
    </w:tbl>
    <w:p w14:paraId="4A4A348E" w14:textId="77777777" w:rsidR="004D0A54" w:rsidRDefault="004D0A54">
      <w:pPr>
        <w:spacing w:line="260" w:lineRule="atLeast"/>
        <w:rPr>
          <w:rFonts w:eastAsia="Calibri"/>
          <w:b/>
          <w:bCs/>
          <w:lang w:eastAsia="en-US"/>
        </w:rPr>
        <w:sectPr w:rsidR="004D0A54" w:rsidSect="00E91F85">
          <w:pgSz w:w="16838" w:h="11906" w:orient="landscape"/>
          <w:pgMar w:top="1446" w:right="1474" w:bottom="1247" w:left="2013" w:header="851" w:footer="851" w:gutter="0"/>
          <w:cols w:space="720"/>
          <w:docGrid w:linePitch="272"/>
        </w:sectPr>
      </w:pPr>
    </w:p>
    <w:p w14:paraId="25ECC8CE" w14:textId="23204908" w:rsidR="00451C51" w:rsidRDefault="00451C51" w:rsidP="00451C51">
      <w:pPr>
        <w:spacing w:line="260" w:lineRule="atLeast"/>
        <w:rPr>
          <w:rFonts w:eastAsia="Calibri"/>
          <w:b/>
          <w:bCs/>
          <w:lang w:eastAsia="en-US"/>
        </w:rPr>
      </w:pPr>
      <w:r>
        <w:rPr>
          <w:rFonts w:eastAsia="Calibri"/>
          <w:b/>
          <w:bCs/>
          <w:lang w:eastAsia="en-US"/>
        </w:rPr>
        <w:lastRenderedPageBreak/>
        <w:t>Conclusion</w:t>
      </w:r>
      <w:r w:rsidR="008607FE">
        <w:rPr>
          <w:rFonts w:eastAsia="Calibri"/>
          <w:b/>
          <w:bCs/>
          <w:lang w:eastAsia="en-US"/>
        </w:rPr>
        <w:t xml:space="preserve"> for non professional users</w:t>
      </w:r>
    </w:p>
    <w:p w14:paraId="3E0D111E" w14:textId="70EEC282" w:rsidR="00AD44D2" w:rsidRDefault="00AD44D2" w:rsidP="00451C51">
      <w:pPr>
        <w:spacing w:line="260" w:lineRule="atLeast"/>
        <w:rPr>
          <w:rFonts w:ascii="Times New Roman" w:eastAsia="Calibri" w:hAnsi="Times New Roman" w:cs="Times New Roman"/>
          <w:i/>
          <w:iCs/>
          <w:lang w:eastAsia="en-US"/>
        </w:rPr>
      </w:pPr>
    </w:p>
    <w:p w14:paraId="44F4A9E2" w14:textId="01C8761D" w:rsidR="00AD44D2" w:rsidRDefault="00AD44D2" w:rsidP="00AD44D2">
      <w:pPr>
        <w:jc w:val="both"/>
        <w:rPr>
          <w:i/>
          <w:u w:val="single"/>
        </w:rPr>
      </w:pPr>
      <w:r>
        <w:rPr>
          <w:i/>
          <w:u w:val="single"/>
        </w:rPr>
        <w:t xml:space="preserve">Meta SPC </w:t>
      </w:r>
      <w:r>
        <w:rPr>
          <w:b/>
          <w:i/>
          <w:u w:val="single"/>
        </w:rPr>
        <w:t>1</w:t>
      </w:r>
      <w:r>
        <w:rPr>
          <w:i/>
          <w:u w:val="single"/>
        </w:rPr>
        <w:t xml:space="preserve"> (</w:t>
      </w:r>
      <w:r w:rsidR="00065D21">
        <w:rPr>
          <w:i/>
          <w:u w:val="single"/>
        </w:rPr>
        <w:t>Use #1</w:t>
      </w:r>
      <w:r>
        <w:rPr>
          <w:i/>
          <w:u w:val="single"/>
        </w:rPr>
        <w:t>)</w:t>
      </w:r>
    </w:p>
    <w:p w14:paraId="12A8F91A" w14:textId="77777777" w:rsidR="00AD44D2" w:rsidRDefault="00AD44D2" w:rsidP="00451C51">
      <w:pPr>
        <w:spacing w:line="260" w:lineRule="atLeast"/>
        <w:rPr>
          <w:rFonts w:ascii="Times New Roman" w:eastAsia="Calibri" w:hAnsi="Times New Roman" w:cs="Times New Roman"/>
          <w:i/>
          <w:iCs/>
          <w:lang w:eastAsia="en-US"/>
        </w:rPr>
      </w:pPr>
    </w:p>
    <w:p w14:paraId="45BE8076" w14:textId="75E243CD" w:rsidR="00451C51" w:rsidRPr="00E91F85" w:rsidRDefault="00AD44D2" w:rsidP="00451C51">
      <w:pPr>
        <w:spacing w:line="260" w:lineRule="atLeast"/>
        <w:rPr>
          <w:rFonts w:ascii="Times New Roman" w:eastAsia="Calibri" w:hAnsi="Times New Roman" w:cs="Times New Roman"/>
          <w:iCs/>
          <w:lang w:eastAsia="en-US"/>
        </w:rPr>
      </w:pPr>
      <w:r w:rsidRPr="00E91F85">
        <w:rPr>
          <w:rFonts w:eastAsia="Calibri" w:cs="Times New Roman"/>
          <w:iCs/>
          <w:lang w:eastAsia="en-US"/>
        </w:rPr>
        <w:t xml:space="preserve">The risk is acceptable considering </w:t>
      </w:r>
      <w:r w:rsidRPr="00E160A1">
        <w:t>systemic and local effects</w:t>
      </w:r>
      <w:r w:rsidR="00463E99">
        <w:t xml:space="preserve"> without RMM.</w:t>
      </w:r>
    </w:p>
    <w:p w14:paraId="09E92B25" w14:textId="77777777" w:rsidR="00AD44D2" w:rsidRDefault="00AD44D2" w:rsidP="00451C51">
      <w:pPr>
        <w:jc w:val="both"/>
        <w:rPr>
          <w:i/>
          <w:u w:val="single"/>
        </w:rPr>
      </w:pPr>
    </w:p>
    <w:p w14:paraId="2670450F" w14:textId="73471B24" w:rsidR="00451C51" w:rsidRDefault="00451C51" w:rsidP="00451C51">
      <w:pPr>
        <w:jc w:val="both"/>
        <w:rPr>
          <w:i/>
          <w:u w:val="single"/>
        </w:rPr>
      </w:pPr>
      <w:r>
        <w:rPr>
          <w:i/>
          <w:u w:val="single"/>
        </w:rPr>
        <w:t xml:space="preserve">Meta SPC </w:t>
      </w:r>
      <w:r w:rsidRPr="00E91F85">
        <w:rPr>
          <w:b/>
          <w:i/>
          <w:u w:val="single"/>
        </w:rPr>
        <w:t>2</w:t>
      </w:r>
      <w:r>
        <w:rPr>
          <w:i/>
          <w:u w:val="single"/>
        </w:rPr>
        <w:t xml:space="preserve"> (</w:t>
      </w:r>
      <w:r w:rsidR="00A06D53">
        <w:rPr>
          <w:i/>
          <w:u w:val="single"/>
        </w:rPr>
        <w:t>Uses #1-2</w:t>
      </w:r>
      <w:r>
        <w:rPr>
          <w:i/>
          <w:u w:val="single"/>
        </w:rPr>
        <w:t>)</w:t>
      </w:r>
    </w:p>
    <w:p w14:paraId="4A59E8BF" w14:textId="77777777" w:rsidR="00451C51" w:rsidRDefault="00451C51" w:rsidP="00451C51">
      <w:pPr>
        <w:spacing w:line="260" w:lineRule="atLeast"/>
        <w:rPr>
          <w:rFonts w:ascii="Times New Roman" w:eastAsia="Calibri" w:hAnsi="Times New Roman" w:cs="Times New Roman"/>
          <w:i/>
          <w:iCs/>
          <w:lang w:eastAsia="en-US"/>
        </w:rPr>
      </w:pPr>
    </w:p>
    <w:p w14:paraId="3852F959" w14:textId="23B0B40E" w:rsidR="00451C51" w:rsidRDefault="00451C51" w:rsidP="00451C51">
      <w:pPr>
        <w:jc w:val="both"/>
      </w:pPr>
      <w:r>
        <w:t>The risk is considered acceptable considering systemic and local effects.</w:t>
      </w:r>
    </w:p>
    <w:p w14:paraId="623493F0" w14:textId="77777777" w:rsidR="00451C51" w:rsidRDefault="00451C51" w:rsidP="00451C51">
      <w:pPr>
        <w:pStyle w:val="Paragraphedeliste"/>
        <w:jc w:val="both"/>
      </w:pPr>
      <w:r>
        <w:t xml:space="preserve"> </w:t>
      </w:r>
    </w:p>
    <w:p w14:paraId="161C3867" w14:textId="77777777" w:rsidR="00451C51" w:rsidRDefault="00451C51" w:rsidP="00451C51">
      <w:pPr>
        <w:jc w:val="both"/>
      </w:pPr>
      <w:r>
        <w:t xml:space="preserve">The following RMM are needed: </w:t>
      </w:r>
    </w:p>
    <w:p w14:paraId="62C25CC0" w14:textId="3C15D439" w:rsidR="00451C51" w:rsidRDefault="00451C51" w:rsidP="00451C51">
      <w:pPr>
        <w:jc w:val="both"/>
        <w:rPr>
          <w:i/>
          <w:u w:val="single"/>
        </w:rPr>
      </w:pPr>
    </w:p>
    <w:p w14:paraId="61367457" w14:textId="76B20871" w:rsidR="00451C51" w:rsidRDefault="00451C51" w:rsidP="00451C51">
      <w:pPr>
        <w:pStyle w:val="Paragraphedeliste"/>
        <w:numPr>
          <w:ilvl w:val="0"/>
          <w:numId w:val="44"/>
        </w:numPr>
        <w:rPr>
          <w:rFonts w:cs="Arial"/>
          <w:iCs/>
          <w:szCs w:val="16"/>
          <w:lang w:val="en-US"/>
        </w:rPr>
      </w:pPr>
      <w:r w:rsidRPr="00451C51">
        <w:rPr>
          <w:rFonts w:cs="Arial"/>
          <w:iCs/>
          <w:szCs w:val="16"/>
          <w:lang w:val="en-US"/>
        </w:rPr>
        <w:t>Minimisation of splashes and spills during loading of the trigger spray</w:t>
      </w:r>
    </w:p>
    <w:p w14:paraId="556D1242" w14:textId="3FA96939" w:rsidR="00451C51" w:rsidRDefault="00451C51" w:rsidP="00451C51">
      <w:pPr>
        <w:pStyle w:val="Paragraphedeliste"/>
        <w:numPr>
          <w:ilvl w:val="0"/>
          <w:numId w:val="44"/>
        </w:numPr>
        <w:ind w:left="785"/>
        <w:rPr>
          <w:rFonts w:cs="Arial"/>
          <w:iCs/>
          <w:szCs w:val="16"/>
          <w:lang w:val="en-US"/>
        </w:rPr>
      </w:pPr>
      <w:r>
        <w:rPr>
          <w:rFonts w:cs="Arial"/>
          <w:iCs/>
          <w:szCs w:val="16"/>
          <w:lang w:val="en-US"/>
        </w:rPr>
        <w:t xml:space="preserve">The spray application must be downward in order to avoid any facial exposure. </w:t>
      </w:r>
    </w:p>
    <w:p w14:paraId="54624604" w14:textId="24986D0C" w:rsidR="00451C51" w:rsidRDefault="00451C51" w:rsidP="00451C51">
      <w:pPr>
        <w:pStyle w:val="Paragraphedeliste"/>
        <w:numPr>
          <w:ilvl w:val="0"/>
          <w:numId w:val="44"/>
        </w:numPr>
        <w:jc w:val="both"/>
        <w:rPr>
          <w:rFonts w:cs="Arial"/>
          <w:iCs/>
          <w:szCs w:val="16"/>
          <w:lang w:val="en-US"/>
        </w:rPr>
      </w:pPr>
      <w:r>
        <w:rPr>
          <w:rFonts w:cs="Arial"/>
          <w:iCs/>
          <w:szCs w:val="16"/>
          <w:lang w:val="en-US"/>
        </w:rPr>
        <w:t>Avoidance of contact with treated surfaces</w:t>
      </w:r>
    </w:p>
    <w:p w14:paraId="5924F1B3" w14:textId="77777777" w:rsidR="00451C51" w:rsidRDefault="00451C51" w:rsidP="00451C51">
      <w:pPr>
        <w:pStyle w:val="Paragraphedeliste"/>
        <w:numPr>
          <w:ilvl w:val="0"/>
          <w:numId w:val="44"/>
        </w:numPr>
        <w:jc w:val="both"/>
        <w:rPr>
          <w:rFonts w:cs="Arial"/>
          <w:iCs/>
          <w:szCs w:val="16"/>
          <w:lang w:val="en-US"/>
        </w:rPr>
      </w:pPr>
      <w:r>
        <w:rPr>
          <w:rFonts w:cs="Arial"/>
          <w:iCs/>
          <w:szCs w:val="16"/>
          <w:lang w:val="en-US"/>
        </w:rPr>
        <w:t>Wash hands after application</w:t>
      </w:r>
    </w:p>
    <w:p w14:paraId="5BDABAE8" w14:textId="77777777" w:rsidR="00451C51" w:rsidRDefault="00451C51" w:rsidP="00451C51">
      <w:pPr>
        <w:spacing w:line="260" w:lineRule="atLeast"/>
        <w:rPr>
          <w:rFonts w:ascii="Times New Roman" w:eastAsia="Calibri" w:hAnsi="Times New Roman" w:cs="Times New Roman"/>
          <w:i/>
          <w:iCs/>
          <w:lang w:eastAsia="en-US"/>
        </w:rPr>
      </w:pPr>
    </w:p>
    <w:p w14:paraId="714134C3" w14:textId="3393D446" w:rsidR="00451C51" w:rsidRDefault="00451C51" w:rsidP="00451C51">
      <w:pPr>
        <w:jc w:val="both"/>
        <w:rPr>
          <w:i/>
          <w:u w:val="single"/>
        </w:rPr>
      </w:pPr>
      <w:r>
        <w:rPr>
          <w:i/>
          <w:u w:val="single"/>
        </w:rPr>
        <w:t xml:space="preserve">Meta SPC </w:t>
      </w:r>
      <w:r w:rsidRPr="00E91F85">
        <w:rPr>
          <w:b/>
          <w:i/>
          <w:u w:val="single"/>
        </w:rPr>
        <w:t>9</w:t>
      </w:r>
      <w:r w:rsidR="00A06D53">
        <w:rPr>
          <w:i/>
          <w:u w:val="single"/>
        </w:rPr>
        <w:t xml:space="preserve"> (Uses #1-2)</w:t>
      </w:r>
    </w:p>
    <w:p w14:paraId="5E859367" w14:textId="7E3BCA7A" w:rsidR="00A06D53" w:rsidRDefault="00A06D53" w:rsidP="00451C51">
      <w:pPr>
        <w:jc w:val="both"/>
        <w:rPr>
          <w:i/>
          <w:u w:val="single"/>
        </w:rPr>
      </w:pPr>
    </w:p>
    <w:p w14:paraId="56D39F82" w14:textId="2A1EFEE2" w:rsidR="00A06D53" w:rsidRPr="00E91F85" w:rsidRDefault="00A06D53" w:rsidP="00451C51">
      <w:pPr>
        <w:jc w:val="both"/>
      </w:pPr>
      <w:r>
        <w:t>The risk is considered acceptable considering systemic and local effects.</w:t>
      </w:r>
    </w:p>
    <w:p w14:paraId="6D921EEA" w14:textId="77777777" w:rsidR="00451C51" w:rsidRDefault="00451C51" w:rsidP="00451C51">
      <w:pPr>
        <w:spacing w:line="260" w:lineRule="atLeast"/>
      </w:pPr>
    </w:p>
    <w:p w14:paraId="19B8DD70" w14:textId="5E689C50" w:rsidR="00451C51" w:rsidRDefault="00451C51" w:rsidP="00451C51">
      <w:pPr>
        <w:pStyle w:val="Paragraphedeliste"/>
        <w:numPr>
          <w:ilvl w:val="0"/>
          <w:numId w:val="44"/>
        </w:numPr>
        <w:jc w:val="both"/>
        <w:rPr>
          <w:rFonts w:cs="Arial"/>
          <w:iCs/>
          <w:szCs w:val="16"/>
          <w:lang w:val="en-US"/>
        </w:rPr>
      </w:pPr>
      <w:r>
        <w:rPr>
          <w:rFonts w:cs="Arial"/>
          <w:iCs/>
          <w:szCs w:val="16"/>
          <w:lang w:val="en-US"/>
        </w:rPr>
        <w:t>Minimisation of splashes and spills during loading of the trigger spray or knapsack sprayer.</w:t>
      </w:r>
    </w:p>
    <w:p w14:paraId="6413D0DA" w14:textId="77777777" w:rsidR="00451C51" w:rsidRDefault="00451C51" w:rsidP="00451C51">
      <w:pPr>
        <w:pStyle w:val="Paragraphedeliste"/>
        <w:numPr>
          <w:ilvl w:val="0"/>
          <w:numId w:val="44"/>
        </w:numPr>
        <w:jc w:val="both"/>
        <w:rPr>
          <w:rFonts w:cs="Arial"/>
          <w:iCs/>
          <w:szCs w:val="16"/>
          <w:lang w:val="en-US"/>
        </w:rPr>
      </w:pPr>
      <w:r>
        <w:rPr>
          <w:rFonts w:cs="Arial"/>
          <w:iCs/>
          <w:szCs w:val="16"/>
          <w:lang w:val="en-US"/>
        </w:rPr>
        <w:t>The spray application must be downward in order to avoid any facial exposure.</w:t>
      </w:r>
    </w:p>
    <w:p w14:paraId="674019C1" w14:textId="296298ED" w:rsidR="00451C51" w:rsidRDefault="00451C51" w:rsidP="00451C51">
      <w:pPr>
        <w:pStyle w:val="Paragraphedeliste"/>
        <w:numPr>
          <w:ilvl w:val="0"/>
          <w:numId w:val="44"/>
        </w:numPr>
        <w:jc w:val="both"/>
        <w:rPr>
          <w:rFonts w:cs="Arial"/>
          <w:iCs/>
          <w:szCs w:val="16"/>
          <w:lang w:val="en-US"/>
        </w:rPr>
      </w:pPr>
      <w:r>
        <w:rPr>
          <w:rFonts w:cs="Arial"/>
          <w:iCs/>
          <w:szCs w:val="16"/>
          <w:lang w:val="en-US"/>
        </w:rPr>
        <w:t xml:space="preserve">Avoidance of contact with </w:t>
      </w:r>
      <w:r w:rsidR="00A06D53">
        <w:rPr>
          <w:rFonts w:cs="Arial"/>
          <w:iCs/>
          <w:szCs w:val="16"/>
          <w:lang w:val="en-US"/>
        </w:rPr>
        <w:t>treated</w:t>
      </w:r>
      <w:r>
        <w:rPr>
          <w:rFonts w:cs="Arial"/>
          <w:iCs/>
          <w:szCs w:val="16"/>
          <w:lang w:val="en-US"/>
        </w:rPr>
        <w:t xml:space="preserve"> surfaces</w:t>
      </w:r>
    </w:p>
    <w:p w14:paraId="2128E3CC" w14:textId="77777777" w:rsidR="00451C51" w:rsidRDefault="00451C51" w:rsidP="00451C51">
      <w:pPr>
        <w:pStyle w:val="Paragraphedeliste"/>
        <w:numPr>
          <w:ilvl w:val="0"/>
          <w:numId w:val="44"/>
        </w:numPr>
        <w:jc w:val="both"/>
        <w:rPr>
          <w:rFonts w:cs="Arial"/>
          <w:iCs/>
          <w:szCs w:val="16"/>
          <w:lang w:val="en-US"/>
        </w:rPr>
      </w:pPr>
      <w:r>
        <w:rPr>
          <w:rFonts w:cs="Arial"/>
          <w:iCs/>
          <w:szCs w:val="16"/>
          <w:lang w:val="en-US"/>
        </w:rPr>
        <w:t>Avoid touching the eyes with hands during application</w:t>
      </w:r>
    </w:p>
    <w:p w14:paraId="38B7C50E" w14:textId="77777777" w:rsidR="00451C51" w:rsidRDefault="00451C51" w:rsidP="00451C51">
      <w:pPr>
        <w:pStyle w:val="Paragraphedeliste"/>
        <w:numPr>
          <w:ilvl w:val="0"/>
          <w:numId w:val="44"/>
        </w:numPr>
        <w:jc w:val="both"/>
        <w:rPr>
          <w:rFonts w:cs="Arial"/>
          <w:iCs/>
          <w:szCs w:val="16"/>
          <w:lang w:val="en-US"/>
        </w:rPr>
      </w:pPr>
      <w:r>
        <w:rPr>
          <w:rFonts w:cs="Arial"/>
          <w:iCs/>
          <w:szCs w:val="16"/>
          <w:lang w:val="en-US"/>
        </w:rPr>
        <w:t>Wash hands after application</w:t>
      </w:r>
    </w:p>
    <w:p w14:paraId="7D0F698C" w14:textId="77777777" w:rsidR="00451C51" w:rsidRDefault="00451C51" w:rsidP="00451C51">
      <w:pPr>
        <w:spacing w:line="260" w:lineRule="atLeast"/>
        <w:rPr>
          <w:rFonts w:ascii="Times New Roman" w:eastAsia="Calibri" w:hAnsi="Times New Roman" w:cs="Times New Roman"/>
          <w:i/>
          <w:iCs/>
          <w:lang w:eastAsia="en-US"/>
        </w:rPr>
      </w:pPr>
    </w:p>
    <w:p w14:paraId="60A4D924" w14:textId="12222AC5" w:rsidR="00451C51" w:rsidRDefault="00451C51" w:rsidP="00451C51">
      <w:pPr>
        <w:jc w:val="both"/>
        <w:rPr>
          <w:i/>
          <w:u w:val="single"/>
        </w:rPr>
      </w:pPr>
      <w:r>
        <w:rPr>
          <w:i/>
          <w:u w:val="single"/>
        </w:rPr>
        <w:t xml:space="preserve">Meta SPC </w:t>
      </w:r>
      <w:r w:rsidRPr="00E91F85">
        <w:rPr>
          <w:b/>
          <w:i/>
          <w:u w:val="single"/>
        </w:rPr>
        <w:t>8</w:t>
      </w:r>
      <w:r w:rsidR="00A06D53">
        <w:rPr>
          <w:i/>
          <w:u w:val="single"/>
        </w:rPr>
        <w:t xml:space="preserve"> (Use #1) – </w:t>
      </w:r>
      <w:r w:rsidR="00A06D53" w:rsidRPr="00E91F85">
        <w:rPr>
          <w:b/>
          <w:i/>
          <w:u w:val="single"/>
        </w:rPr>
        <w:t>10</w:t>
      </w:r>
      <w:r w:rsidR="00A06D53">
        <w:rPr>
          <w:i/>
          <w:u w:val="single"/>
        </w:rPr>
        <w:t xml:space="preserve"> (Uses #1-2)</w:t>
      </w:r>
    </w:p>
    <w:p w14:paraId="2F2B2560" w14:textId="77777777" w:rsidR="00451C51" w:rsidRDefault="00451C51" w:rsidP="00451C51">
      <w:pPr>
        <w:jc w:val="both"/>
      </w:pPr>
    </w:p>
    <w:p w14:paraId="05D1917C" w14:textId="76595E7E" w:rsidR="00451C51" w:rsidRDefault="00A06D53" w:rsidP="00E91F85">
      <w:pPr>
        <w:jc w:val="both"/>
        <w:rPr>
          <w:rFonts w:cs="Arial"/>
          <w:szCs w:val="16"/>
          <w:lang w:val="en-US"/>
        </w:rPr>
      </w:pPr>
      <w:r w:rsidRPr="00E160A1">
        <w:rPr>
          <w:rFonts w:cs="Arial"/>
          <w:iCs/>
          <w:szCs w:val="16"/>
          <w:lang w:val="en-US"/>
        </w:rPr>
        <w:t>The risk is acceptable</w:t>
      </w:r>
      <w:r>
        <w:rPr>
          <w:rFonts w:cs="Arial"/>
          <w:iCs/>
          <w:szCs w:val="16"/>
          <w:lang w:val="en-US"/>
        </w:rPr>
        <w:t xml:space="preserve"> considering systemic effects but unacceptable considering local effects due to the lack of a protection offered by a cap with directional nozzle of the bottle to pour the product and avoid a dermal/ocular exposure to the concentrate product which is corrosive.</w:t>
      </w:r>
    </w:p>
    <w:p w14:paraId="53511A4B" w14:textId="77777777" w:rsidR="00451C51" w:rsidRDefault="00451C51" w:rsidP="00451C51">
      <w:pPr>
        <w:spacing w:line="260" w:lineRule="atLeast"/>
        <w:rPr>
          <w:rFonts w:ascii="Times New Roman" w:eastAsia="Calibri" w:hAnsi="Times New Roman" w:cs="Times New Roman"/>
          <w:i/>
          <w:iCs/>
          <w:lang w:eastAsia="en-US"/>
        </w:rPr>
      </w:pPr>
    </w:p>
    <w:p w14:paraId="0876A266" w14:textId="77777777" w:rsidR="00451C51" w:rsidRDefault="00451C51" w:rsidP="00451C51">
      <w:pPr>
        <w:jc w:val="both"/>
        <w:rPr>
          <w:rFonts w:cs="Arial"/>
          <w:iCs/>
          <w:sz w:val="16"/>
          <w:szCs w:val="16"/>
          <w:lang w:val="en-US"/>
        </w:rPr>
      </w:pPr>
    </w:p>
    <w:p w14:paraId="1737018E" w14:textId="77777777" w:rsidR="009D0C0B" w:rsidRPr="00B27CB1" w:rsidRDefault="009D0C0B">
      <w:pPr>
        <w:spacing w:line="260" w:lineRule="atLeast"/>
        <w:rPr>
          <w:rFonts w:ascii="Times New Roman" w:eastAsia="Calibri" w:hAnsi="Times New Roman" w:cs="Times New Roman"/>
          <w:i/>
          <w:iCs/>
          <w:lang w:eastAsia="en-US"/>
        </w:rPr>
      </w:pPr>
    </w:p>
    <w:p w14:paraId="3443519E" w14:textId="0BB9D679" w:rsidR="009D0C0B" w:rsidRPr="00B27CB1" w:rsidRDefault="00FA480B">
      <w:pPr>
        <w:pageBreakBefore/>
        <w:rPr>
          <w:rFonts w:eastAsia="Calibri"/>
          <w:b/>
          <w:i/>
          <w:sz w:val="22"/>
          <w:szCs w:val="22"/>
          <w:lang w:eastAsia="en-US"/>
        </w:rPr>
      </w:pPr>
      <w:r w:rsidRPr="00B27CB1">
        <w:rPr>
          <w:rFonts w:eastAsia="Calibri"/>
          <w:b/>
          <w:i/>
          <w:sz w:val="22"/>
          <w:szCs w:val="22"/>
          <w:lang w:eastAsia="en-US"/>
        </w:rPr>
        <w:lastRenderedPageBreak/>
        <w:t xml:space="preserve">Risk for the general public </w:t>
      </w:r>
      <w:r w:rsidR="003F7D38">
        <w:rPr>
          <w:rFonts w:eastAsia="Calibri"/>
          <w:b/>
          <w:i/>
          <w:sz w:val="22"/>
          <w:szCs w:val="22"/>
          <w:lang w:eastAsia="en-US"/>
        </w:rPr>
        <w:t>(secondary exposure)</w:t>
      </w:r>
    </w:p>
    <w:p w14:paraId="159EFA9C" w14:textId="77777777" w:rsidR="009D0C0B" w:rsidRPr="00B27CB1" w:rsidRDefault="009D0C0B">
      <w:pPr>
        <w:spacing w:line="260" w:lineRule="atLeast"/>
        <w:rPr>
          <w:rFonts w:eastAsia="Calibri"/>
          <w:b/>
          <w:i/>
          <w:sz w:val="22"/>
          <w:szCs w:val="22"/>
          <w:lang w:eastAsia="en-US"/>
        </w:rPr>
      </w:pPr>
    </w:p>
    <w:p w14:paraId="47147554" w14:textId="77777777" w:rsidR="009F0ECD" w:rsidRDefault="009F0ECD" w:rsidP="009F0ECD">
      <w:pPr>
        <w:suppressAutoHyphens w:val="0"/>
        <w:rPr>
          <w:i/>
          <w:u w:val="single"/>
        </w:rPr>
      </w:pPr>
      <w:r w:rsidRPr="005D115E">
        <w:rPr>
          <w:i/>
          <w:u w:val="single"/>
        </w:rPr>
        <w:t xml:space="preserve">Meta SPC </w:t>
      </w:r>
      <w:r w:rsidRPr="005D115E">
        <w:rPr>
          <w:b/>
          <w:i/>
          <w:u w:val="single"/>
        </w:rPr>
        <w:t>1</w:t>
      </w:r>
      <w:r>
        <w:rPr>
          <w:b/>
          <w:i/>
          <w:u w:val="single"/>
        </w:rPr>
        <w:t xml:space="preserve"> </w:t>
      </w:r>
      <w:r w:rsidRPr="005D115E">
        <w:rPr>
          <w:i/>
          <w:u w:val="single"/>
        </w:rPr>
        <w:t>(Use #1)</w:t>
      </w:r>
    </w:p>
    <w:p w14:paraId="76E604AF" w14:textId="77777777" w:rsidR="009F0ECD" w:rsidRDefault="009F0ECD" w:rsidP="009F0ECD">
      <w:pPr>
        <w:suppressAutoHyphens w:val="0"/>
        <w:rPr>
          <w:i/>
          <w:u w:val="single"/>
        </w:rPr>
      </w:pPr>
    </w:p>
    <w:p w14:paraId="714EA05D" w14:textId="2A227B82" w:rsidR="009F0ECD" w:rsidRDefault="009F0ECD" w:rsidP="009F0ECD">
      <w:pPr>
        <w:suppressAutoHyphens w:val="0"/>
        <w:rPr>
          <w:rFonts w:eastAsia="Calibri"/>
          <w:lang w:val="en-US"/>
        </w:rPr>
      </w:pPr>
      <w:r>
        <w:rPr>
          <w:rFonts w:eastAsia="Calibri"/>
          <w:lang w:val="en-US"/>
        </w:rPr>
        <w:t>The risk is acceptable without RMM.</w:t>
      </w:r>
    </w:p>
    <w:p w14:paraId="07E8EB45" w14:textId="0F66CDD9" w:rsidR="009F0ECD" w:rsidRDefault="009F0ECD" w:rsidP="009F0ECD">
      <w:pPr>
        <w:suppressAutoHyphens w:val="0"/>
        <w:rPr>
          <w:rFonts w:eastAsia="Calibri"/>
          <w:lang w:val="en-US"/>
        </w:rPr>
      </w:pPr>
    </w:p>
    <w:p w14:paraId="67A259D7" w14:textId="77777777" w:rsidR="009F0ECD" w:rsidRPr="005D115E" w:rsidRDefault="009F0ECD" w:rsidP="009F0ECD">
      <w:pPr>
        <w:rPr>
          <w:rFonts w:eastAsia="Calibri"/>
          <w:i/>
          <w:szCs w:val="22"/>
          <w:u w:val="single"/>
          <w:lang w:val="en-US" w:eastAsia="en-US"/>
        </w:rPr>
      </w:pPr>
      <w:r w:rsidRPr="005D115E">
        <w:rPr>
          <w:rFonts w:eastAsia="Calibri"/>
          <w:i/>
          <w:szCs w:val="22"/>
          <w:u w:val="single"/>
          <w:lang w:val="en-US" w:eastAsia="en-US"/>
        </w:rPr>
        <w:t xml:space="preserve">Meta SPC </w:t>
      </w:r>
      <w:r w:rsidRPr="005D115E">
        <w:rPr>
          <w:rFonts w:eastAsia="Calibri"/>
          <w:b/>
          <w:i/>
          <w:u w:val="single"/>
          <w:lang w:val="en-US" w:eastAsia="en-US"/>
        </w:rPr>
        <w:t>2</w:t>
      </w:r>
      <w:r w:rsidRPr="005D115E">
        <w:rPr>
          <w:i/>
          <w:u w:val="single"/>
          <w:lang w:val="en-US"/>
        </w:rPr>
        <w:t>–</w:t>
      </w:r>
      <w:r w:rsidRPr="005D115E">
        <w:rPr>
          <w:b/>
          <w:i/>
          <w:u w:val="single"/>
          <w:lang w:val="en-US"/>
        </w:rPr>
        <w:t>3</w:t>
      </w:r>
      <w:r w:rsidRPr="005D115E">
        <w:rPr>
          <w:i/>
          <w:u w:val="single"/>
          <w:lang w:val="en-US"/>
        </w:rPr>
        <w:t>-</w:t>
      </w:r>
      <w:r w:rsidRPr="005D115E">
        <w:rPr>
          <w:b/>
          <w:i/>
          <w:u w:val="single"/>
          <w:lang w:val="en-US"/>
        </w:rPr>
        <w:t>4</w:t>
      </w:r>
      <w:r w:rsidRPr="005D115E">
        <w:rPr>
          <w:i/>
          <w:u w:val="single"/>
          <w:lang w:val="en-US"/>
        </w:rPr>
        <w:t>-</w:t>
      </w:r>
      <w:r w:rsidRPr="005D115E">
        <w:rPr>
          <w:b/>
          <w:i/>
          <w:u w:val="single"/>
          <w:lang w:val="en-US"/>
        </w:rPr>
        <w:t>6</w:t>
      </w:r>
      <w:r w:rsidRPr="005D115E">
        <w:rPr>
          <w:i/>
          <w:u w:val="single"/>
          <w:lang w:val="en-US"/>
        </w:rPr>
        <w:t>-</w:t>
      </w:r>
      <w:r w:rsidRPr="005D115E">
        <w:rPr>
          <w:b/>
          <w:i/>
          <w:u w:val="single"/>
          <w:lang w:val="en-US"/>
        </w:rPr>
        <w:t>7</w:t>
      </w:r>
      <w:r w:rsidRPr="005D115E">
        <w:rPr>
          <w:i/>
          <w:u w:val="single"/>
          <w:lang w:val="en-US"/>
        </w:rPr>
        <w:t>-</w:t>
      </w:r>
      <w:r w:rsidRPr="005D115E">
        <w:rPr>
          <w:b/>
          <w:i/>
          <w:u w:val="single"/>
          <w:lang w:val="en-US"/>
        </w:rPr>
        <w:t>8</w:t>
      </w:r>
      <w:r w:rsidRPr="005D115E">
        <w:rPr>
          <w:i/>
          <w:u w:val="single"/>
          <w:lang w:val="en-US"/>
        </w:rPr>
        <w:t>–</w:t>
      </w:r>
      <w:r w:rsidRPr="005D115E">
        <w:rPr>
          <w:b/>
          <w:i/>
          <w:u w:val="single"/>
          <w:lang w:val="en-US"/>
        </w:rPr>
        <w:t>9</w:t>
      </w:r>
      <w:r w:rsidRPr="005D115E">
        <w:rPr>
          <w:i/>
          <w:u w:val="single"/>
          <w:lang w:val="en-US"/>
        </w:rPr>
        <w:t>-</w:t>
      </w:r>
      <w:r w:rsidRPr="005D115E">
        <w:rPr>
          <w:b/>
          <w:i/>
          <w:u w:val="single"/>
          <w:lang w:val="en-US"/>
        </w:rPr>
        <w:t>10</w:t>
      </w:r>
      <w:r w:rsidRPr="005D115E">
        <w:rPr>
          <w:rFonts w:eastAsia="Calibri"/>
          <w:i/>
          <w:u w:val="single"/>
          <w:lang w:val="en-US" w:eastAsia="en-US"/>
        </w:rPr>
        <w:t>-</w:t>
      </w:r>
      <w:r w:rsidRPr="005D115E">
        <w:rPr>
          <w:rFonts w:eastAsia="Calibri"/>
          <w:b/>
          <w:i/>
          <w:u w:val="single"/>
          <w:lang w:val="en-US" w:eastAsia="en-US"/>
        </w:rPr>
        <w:t>11</w:t>
      </w:r>
      <w:r w:rsidRPr="005D115E">
        <w:rPr>
          <w:rFonts w:eastAsia="Calibri"/>
          <w:i/>
          <w:u w:val="single"/>
          <w:lang w:val="en-US" w:eastAsia="en-US"/>
        </w:rPr>
        <w:t>-</w:t>
      </w:r>
      <w:r w:rsidRPr="005D115E">
        <w:rPr>
          <w:rFonts w:eastAsia="Calibri"/>
          <w:b/>
          <w:i/>
          <w:u w:val="single"/>
          <w:lang w:val="en-US" w:eastAsia="en-US"/>
        </w:rPr>
        <w:t>12</w:t>
      </w:r>
      <w:r w:rsidRPr="005D115E">
        <w:rPr>
          <w:rFonts w:eastAsia="Calibri"/>
          <w:i/>
          <w:u w:val="single"/>
          <w:lang w:val="en-US" w:eastAsia="en-US"/>
        </w:rPr>
        <w:t>-</w:t>
      </w:r>
      <w:r w:rsidRPr="005D115E">
        <w:rPr>
          <w:rFonts w:eastAsia="Calibri"/>
          <w:b/>
          <w:i/>
          <w:u w:val="single"/>
          <w:lang w:val="en-US" w:eastAsia="en-US"/>
        </w:rPr>
        <w:t>13</w:t>
      </w:r>
      <w:r>
        <w:rPr>
          <w:rFonts w:eastAsia="Calibri"/>
          <w:b/>
          <w:i/>
          <w:u w:val="single"/>
          <w:lang w:val="en-US" w:eastAsia="en-US"/>
        </w:rPr>
        <w:t xml:space="preserve"> </w:t>
      </w:r>
      <w:r w:rsidRPr="005D115E">
        <w:rPr>
          <w:rFonts w:eastAsia="Calibri"/>
          <w:i/>
          <w:u w:val="single"/>
          <w:lang w:val="en-US" w:eastAsia="en-US"/>
        </w:rPr>
        <w:t>(all uses)</w:t>
      </w:r>
    </w:p>
    <w:p w14:paraId="75F3BEA4" w14:textId="77777777" w:rsidR="009F0ECD" w:rsidRPr="005D115E" w:rsidRDefault="009F0ECD" w:rsidP="005F31A2">
      <w:pPr>
        <w:suppressAutoHyphens w:val="0"/>
        <w:jc w:val="both"/>
        <w:rPr>
          <w:i/>
          <w:u w:val="single"/>
        </w:rPr>
      </w:pPr>
    </w:p>
    <w:p w14:paraId="50B6FF5B" w14:textId="40459E66" w:rsidR="00135833" w:rsidRDefault="00A41921" w:rsidP="005F31A2">
      <w:pPr>
        <w:jc w:val="both"/>
        <w:rPr>
          <w:rFonts w:eastAsia="Calibri"/>
          <w:szCs w:val="22"/>
          <w:lang w:val="en-US" w:eastAsia="en-US"/>
        </w:rPr>
      </w:pPr>
      <w:r>
        <w:rPr>
          <w:rFonts w:eastAsia="Calibri"/>
          <w:szCs w:val="22"/>
          <w:lang w:val="en-US" w:eastAsia="en-US"/>
        </w:rPr>
        <w:t>When applied</w:t>
      </w:r>
      <w:r w:rsidR="00135833">
        <w:rPr>
          <w:rFonts w:eastAsia="Calibri"/>
          <w:szCs w:val="22"/>
          <w:lang w:val="en-US" w:eastAsia="en-US"/>
        </w:rPr>
        <w:t>, products of m</w:t>
      </w:r>
      <w:r w:rsidR="00135833" w:rsidRPr="005D115E">
        <w:rPr>
          <w:rFonts w:eastAsia="Calibri"/>
          <w:szCs w:val="22"/>
          <w:lang w:val="en-US" w:eastAsia="en-US"/>
        </w:rPr>
        <w:t xml:space="preserve">eta SPC 2–3-4-6-7-8–9-10-11-12-13 </w:t>
      </w:r>
      <w:r w:rsidR="00135833" w:rsidRPr="00D863BE">
        <w:rPr>
          <w:rFonts w:eastAsia="Calibri"/>
          <w:szCs w:val="22"/>
          <w:lang w:val="en-US" w:eastAsia="en-US"/>
        </w:rPr>
        <w:t>are classified</w:t>
      </w:r>
      <w:r w:rsidR="00135833">
        <w:rPr>
          <w:rFonts w:eastAsia="Calibri"/>
          <w:szCs w:val="22"/>
          <w:lang w:val="en-US" w:eastAsia="en-US"/>
        </w:rPr>
        <w:t>. Therefore, dermal exposure of the general public when touching treated surfaces can occur after application by professionals or non-professionals.</w:t>
      </w:r>
      <w:r w:rsidR="001B2D31">
        <w:rPr>
          <w:rFonts w:eastAsia="Calibri"/>
          <w:szCs w:val="22"/>
          <w:lang w:val="en-US" w:eastAsia="en-US"/>
        </w:rPr>
        <w:t xml:space="preserve"> </w:t>
      </w:r>
    </w:p>
    <w:p w14:paraId="02FB4586" w14:textId="3B5E3DF6" w:rsidR="00135833" w:rsidRDefault="00135833" w:rsidP="005F31A2">
      <w:pPr>
        <w:jc w:val="both"/>
        <w:rPr>
          <w:rFonts w:eastAsia="Calibri"/>
          <w:szCs w:val="22"/>
          <w:lang w:val="en-US" w:eastAsia="en-US"/>
        </w:rPr>
      </w:pPr>
    </w:p>
    <w:p w14:paraId="4A86F4C0" w14:textId="3F8C1744" w:rsidR="00135833" w:rsidRPr="005D115E" w:rsidRDefault="001B2D31" w:rsidP="005F31A2">
      <w:pPr>
        <w:jc w:val="both"/>
        <w:rPr>
          <w:rFonts w:eastAsia="Calibri"/>
          <w:szCs w:val="22"/>
          <w:lang w:val="en-US" w:eastAsia="en-US"/>
        </w:rPr>
      </w:pPr>
      <w:r>
        <w:rPr>
          <w:rFonts w:eastAsia="Calibri"/>
          <w:szCs w:val="22"/>
          <w:lang w:val="en-US" w:eastAsia="en-US"/>
        </w:rPr>
        <w:t>Considering</w:t>
      </w:r>
      <w:r w:rsidR="00135833">
        <w:rPr>
          <w:rFonts w:eastAsia="Calibri"/>
          <w:szCs w:val="22"/>
          <w:lang w:val="en-US" w:eastAsia="en-US"/>
        </w:rPr>
        <w:t xml:space="preserve"> the </w:t>
      </w:r>
      <w:r>
        <w:rPr>
          <w:rFonts w:eastAsia="Calibri"/>
          <w:szCs w:val="22"/>
          <w:lang w:val="en-US" w:eastAsia="en-US"/>
        </w:rPr>
        <w:t xml:space="preserve">addition of </w:t>
      </w:r>
      <w:r w:rsidR="00135833">
        <w:rPr>
          <w:rFonts w:eastAsia="Calibri"/>
          <w:szCs w:val="22"/>
          <w:lang w:val="en-US" w:eastAsia="en-US"/>
        </w:rPr>
        <w:t>RMM “</w:t>
      </w:r>
      <w:r w:rsidR="00135833" w:rsidRPr="00135833">
        <w:rPr>
          <w:rFonts w:eastAsia="Calibri"/>
          <w:szCs w:val="22"/>
          <w:lang w:val="en-US" w:eastAsia="en-US"/>
        </w:rPr>
        <w:t>Avoidance of contact with treated surfaces</w:t>
      </w:r>
      <w:r w:rsidR="00135833">
        <w:rPr>
          <w:rFonts w:eastAsia="Calibri"/>
          <w:szCs w:val="22"/>
          <w:lang w:val="en-US" w:eastAsia="en-US"/>
        </w:rPr>
        <w:t>”</w:t>
      </w:r>
      <w:r>
        <w:rPr>
          <w:rFonts w:eastAsia="Calibri"/>
          <w:szCs w:val="22"/>
          <w:lang w:val="en-US" w:eastAsia="en-US"/>
        </w:rPr>
        <w:t>, the risk is acceptable.</w:t>
      </w:r>
      <w:r w:rsidR="00135833">
        <w:rPr>
          <w:rFonts w:eastAsia="Calibri"/>
          <w:szCs w:val="22"/>
          <w:lang w:val="en-US" w:eastAsia="en-US"/>
        </w:rPr>
        <w:t xml:space="preserve"> </w:t>
      </w:r>
    </w:p>
    <w:p w14:paraId="7510BD6D" w14:textId="77777777" w:rsidR="004D0A54" w:rsidRPr="00E91F85" w:rsidRDefault="004D0A54" w:rsidP="005F31A2">
      <w:pPr>
        <w:spacing w:line="260" w:lineRule="atLeast"/>
        <w:jc w:val="both"/>
        <w:rPr>
          <w:rFonts w:eastAsia="Calibri"/>
          <w:lang w:val="en-US" w:eastAsia="en-US"/>
        </w:rPr>
      </w:pPr>
    </w:p>
    <w:p w14:paraId="4C08CAE6" w14:textId="7E157EC5" w:rsidR="009D0C0B" w:rsidRPr="00B27CB1" w:rsidRDefault="00FA480B" w:rsidP="005F31A2">
      <w:pPr>
        <w:jc w:val="both"/>
        <w:rPr>
          <w:rFonts w:eastAsia="Calibri"/>
          <w:b/>
          <w:i/>
          <w:sz w:val="22"/>
          <w:szCs w:val="22"/>
          <w:lang w:eastAsia="en-US"/>
        </w:rPr>
      </w:pPr>
      <w:r w:rsidRPr="00B27CB1">
        <w:rPr>
          <w:rFonts w:eastAsia="Calibri"/>
          <w:b/>
          <w:i/>
          <w:sz w:val="22"/>
          <w:szCs w:val="22"/>
          <w:lang w:eastAsia="en-US"/>
        </w:rPr>
        <w:t>Risk for consumers via residues in food</w:t>
      </w:r>
    </w:p>
    <w:p w14:paraId="3A20D26F" w14:textId="77777777" w:rsidR="001A0D2D" w:rsidRDefault="001A0D2D" w:rsidP="005F31A2">
      <w:pPr>
        <w:jc w:val="both"/>
        <w:rPr>
          <w:lang w:val="en-US"/>
        </w:rPr>
      </w:pPr>
      <w:r w:rsidRPr="003F161B">
        <w:rPr>
          <w:lang w:val="en-US"/>
        </w:rPr>
        <w:t xml:space="preserve">By </w:t>
      </w:r>
      <w:r>
        <w:rPr>
          <w:lang w:val="en-US"/>
        </w:rPr>
        <w:t>definition, PT 02 biocidal product is not intended for direct application to humans or animals and is not used for direct contact with food or feeding stuffs.</w:t>
      </w:r>
    </w:p>
    <w:p w14:paraId="1835B528" w14:textId="77777777" w:rsidR="001A0D2D" w:rsidRDefault="001A0D2D" w:rsidP="005F31A2">
      <w:pPr>
        <w:jc w:val="both"/>
        <w:rPr>
          <w:lang w:val="en-US"/>
        </w:rPr>
      </w:pPr>
    </w:p>
    <w:p w14:paraId="5F738849" w14:textId="7865F575" w:rsidR="001A0D2D" w:rsidRPr="003F161B" w:rsidRDefault="001A0D2D" w:rsidP="005F31A2">
      <w:pPr>
        <w:jc w:val="both"/>
        <w:rPr>
          <w:lang w:val="en-US"/>
        </w:rPr>
      </w:pPr>
      <w:r>
        <w:rPr>
          <w:lang w:val="en-US"/>
        </w:rPr>
        <w:t>Regarding PT 03 and 04 uses, considering properties of L(+) lactic acid, no significant exposure via food is expected. Based on the low concentration of L(+) lactic acid, the endogenous production and the authorized used of this active substa</w:t>
      </w:r>
      <w:r w:rsidR="001371E5">
        <w:rPr>
          <w:lang w:val="en-US"/>
        </w:rPr>
        <w:t>n</w:t>
      </w:r>
      <w:r>
        <w:rPr>
          <w:lang w:val="en-US"/>
        </w:rPr>
        <w:t xml:space="preserve">ce as food additive (E 270), significant indirect exposure in food is not expected. </w:t>
      </w:r>
    </w:p>
    <w:p w14:paraId="7562541F" w14:textId="77777777" w:rsidR="009D0C0B" w:rsidRPr="00E91F85" w:rsidRDefault="009D0C0B">
      <w:pPr>
        <w:spacing w:line="260" w:lineRule="atLeast"/>
        <w:rPr>
          <w:rFonts w:ascii="Times New Roman" w:eastAsia="Calibri" w:hAnsi="Times New Roman" w:cs="Times New Roman"/>
          <w:i/>
          <w:lang w:val="en-US" w:eastAsia="en-US"/>
        </w:rPr>
      </w:pPr>
    </w:p>
    <w:p w14:paraId="5842221F" w14:textId="77777777" w:rsidR="009D0C0B" w:rsidRPr="00B27CB1" w:rsidRDefault="00FA480B">
      <w:pPr>
        <w:rPr>
          <w:rFonts w:eastAsia="Verdana"/>
          <w:lang w:eastAsia="en-US"/>
        </w:rPr>
      </w:pPr>
      <w:r w:rsidRPr="00B27CB1">
        <w:rPr>
          <w:rFonts w:eastAsia="Calibri"/>
          <w:b/>
          <w:i/>
          <w:sz w:val="22"/>
          <w:szCs w:val="22"/>
          <w:lang w:eastAsia="en-US"/>
        </w:rPr>
        <w:t xml:space="preserve">Risk characterisation from combined exposure to several active substances or substances of concern within a biocidal product </w:t>
      </w:r>
    </w:p>
    <w:p w14:paraId="457BB097" w14:textId="77777777" w:rsidR="00FE6B83" w:rsidRDefault="00FE6B83">
      <w:pPr>
        <w:spacing w:line="260" w:lineRule="atLeast"/>
        <w:rPr>
          <w:rFonts w:eastAsia="Verdana"/>
          <w:lang w:eastAsia="en-US"/>
        </w:rPr>
      </w:pPr>
    </w:p>
    <w:p w14:paraId="063B4CE6" w14:textId="10D5C147" w:rsidR="009D0C0B" w:rsidRPr="00B27CB1" w:rsidRDefault="00FE6B83">
      <w:pPr>
        <w:spacing w:line="260" w:lineRule="atLeast"/>
        <w:rPr>
          <w:rFonts w:ascii="Times New Roman" w:eastAsia="Calibri" w:hAnsi="Times New Roman" w:cs="Times New Roman"/>
          <w:i/>
          <w:iCs/>
          <w:lang w:eastAsia="en-US"/>
        </w:rPr>
      </w:pPr>
      <w:r>
        <w:rPr>
          <w:rFonts w:eastAsia="Verdana"/>
          <w:lang w:eastAsia="en-US"/>
        </w:rPr>
        <w:t>Not relevant.</w:t>
      </w:r>
    </w:p>
    <w:p w14:paraId="2C01B8F2" w14:textId="77777777" w:rsidR="009D0C0B" w:rsidRPr="00B27CB1" w:rsidRDefault="009D0C0B">
      <w:pPr>
        <w:spacing w:line="260" w:lineRule="atLeast"/>
        <w:rPr>
          <w:rFonts w:ascii="Times New Roman" w:eastAsia="Calibri" w:hAnsi="Times New Roman" w:cs="Times New Roman"/>
          <w:i/>
          <w:iCs/>
          <w:lang w:eastAsia="en-US"/>
        </w:rPr>
      </w:pPr>
    </w:p>
    <w:p w14:paraId="5920E7E4" w14:textId="5CAB79B8" w:rsidR="009D0C0B" w:rsidRDefault="00FA480B">
      <w:pPr>
        <w:pStyle w:val="Titre3"/>
        <w:rPr>
          <w:lang w:val="en-GB"/>
        </w:rPr>
      </w:pPr>
      <w:bookmarkStart w:id="179" w:name="_Toc87361206"/>
      <w:r w:rsidRPr="00B27CB1">
        <w:rPr>
          <w:lang w:val="en-GB"/>
        </w:rPr>
        <w:t>Risk assessment for animal health</w:t>
      </w:r>
      <w:bookmarkEnd w:id="179"/>
    </w:p>
    <w:p w14:paraId="39697FA8" w14:textId="6A8D2289" w:rsidR="00E160A1" w:rsidRDefault="00E160A1" w:rsidP="00E91F85">
      <w:pPr>
        <w:pStyle w:val="Absatz"/>
        <w:rPr>
          <w:rFonts w:eastAsia="Calibri"/>
        </w:rPr>
      </w:pPr>
    </w:p>
    <w:p w14:paraId="4372DAA1" w14:textId="522FDF3F" w:rsidR="00E160A1" w:rsidRPr="00E91F85" w:rsidRDefault="00E160A1" w:rsidP="00E91F85">
      <w:pPr>
        <w:pStyle w:val="Absatz"/>
        <w:ind w:left="0"/>
        <w:rPr>
          <w:rFonts w:eastAsia="Calibri"/>
          <w:i/>
          <w:u w:val="single"/>
        </w:rPr>
      </w:pPr>
      <w:r w:rsidRPr="00E91F85">
        <w:rPr>
          <w:rFonts w:ascii="Verdana" w:eastAsia="Calibri" w:hAnsi="Verdana"/>
          <w:i/>
          <w:u w:val="single"/>
        </w:rPr>
        <w:t>Systemic effects</w:t>
      </w:r>
    </w:p>
    <w:p w14:paraId="119460E9" w14:textId="77777777" w:rsidR="00E160A1" w:rsidRPr="00E91F85" w:rsidRDefault="00E160A1" w:rsidP="00E91F85">
      <w:pPr>
        <w:pStyle w:val="Absatz"/>
        <w:ind w:left="0"/>
        <w:rPr>
          <w:rFonts w:eastAsia="Calibri"/>
        </w:rPr>
      </w:pPr>
    </w:p>
    <w:p w14:paraId="4C1382B0" w14:textId="77777777" w:rsidR="00A07426" w:rsidRPr="00E91F85" w:rsidRDefault="00A07426" w:rsidP="00A07426">
      <w:pPr>
        <w:spacing w:line="260" w:lineRule="atLeast"/>
        <w:jc w:val="both"/>
        <w:rPr>
          <w:rFonts w:eastAsia="Calibri" w:cs="Times New Roman"/>
          <w:iCs/>
          <w:lang w:eastAsia="en-US"/>
        </w:rPr>
      </w:pPr>
      <w:r w:rsidRPr="00E91F85">
        <w:rPr>
          <w:rFonts w:eastAsia="Calibri" w:cs="Times New Roman"/>
          <w:iCs/>
          <w:lang w:eastAsia="en-US"/>
        </w:rPr>
        <w:t>Only meta SPC 9 and 10 lead to potential secondary exposure of companion animals (dogs/cats) or livestock animals like rabbits or poultry after treatment of their housings (hutches, henhouses, kennels, etc).</w:t>
      </w:r>
    </w:p>
    <w:p w14:paraId="23896D09" w14:textId="77777777" w:rsidR="00A07426" w:rsidRPr="00E91F85" w:rsidRDefault="00A07426" w:rsidP="00A07426">
      <w:pPr>
        <w:spacing w:line="260" w:lineRule="atLeast"/>
        <w:jc w:val="both"/>
        <w:rPr>
          <w:rFonts w:eastAsia="Calibri" w:cs="Times New Roman"/>
          <w:iCs/>
          <w:lang w:eastAsia="en-US"/>
        </w:rPr>
      </w:pPr>
      <w:r w:rsidRPr="00E91F85">
        <w:rPr>
          <w:rFonts w:eastAsia="Calibri" w:cs="Times New Roman"/>
          <w:iCs/>
          <w:lang w:eastAsia="en-US"/>
        </w:rPr>
        <w:t xml:space="preserve">No SoCs are present in meta SPC 9 and 10. Therefore, only exposure to L(+) lactic acid is expected. </w:t>
      </w:r>
    </w:p>
    <w:p w14:paraId="6A28B69A" w14:textId="77777777" w:rsidR="00A07426" w:rsidRPr="00E91F85" w:rsidRDefault="00A07426" w:rsidP="00A07426">
      <w:pPr>
        <w:spacing w:line="260" w:lineRule="atLeast"/>
        <w:jc w:val="both"/>
        <w:rPr>
          <w:rFonts w:eastAsia="Calibri" w:cs="Times New Roman"/>
          <w:iCs/>
          <w:lang w:eastAsia="en-US"/>
        </w:rPr>
      </w:pPr>
      <w:r w:rsidRPr="00E91F85">
        <w:rPr>
          <w:rFonts w:eastAsia="Calibri" w:cs="Times New Roman"/>
          <w:iCs/>
          <w:lang w:eastAsia="en-US"/>
        </w:rPr>
        <w:t>For kitten or puppy, dermal exposure by contact and oral exposure by licking and grooming is expected. For rabbits and poultrys, only dermal exposure is expected due to the absence of licking comportment.</w:t>
      </w:r>
    </w:p>
    <w:p w14:paraId="36F224F6" w14:textId="77777777" w:rsidR="00A07426" w:rsidRPr="00E91F85" w:rsidRDefault="00A07426" w:rsidP="00A07426">
      <w:pPr>
        <w:spacing w:line="260" w:lineRule="atLeast"/>
        <w:jc w:val="both"/>
        <w:rPr>
          <w:rFonts w:eastAsia="Calibri" w:cs="Times New Roman"/>
          <w:iCs/>
          <w:lang w:eastAsia="en-US"/>
        </w:rPr>
      </w:pPr>
      <w:r w:rsidRPr="00E91F85">
        <w:rPr>
          <w:rFonts w:eastAsia="Calibri" w:cs="Times New Roman"/>
          <w:iCs/>
          <w:lang w:eastAsia="en-US"/>
        </w:rPr>
        <w:t xml:space="preserve">According to the assessment report of L(+) lactic acid (2017), the endogenous production of lactic acid for dogs and rats is 3 and 6 g/kg bw/d respectively. This is clearly superior to the endogenous production of humans (1.67 g/kg bw/d). </w:t>
      </w:r>
    </w:p>
    <w:p w14:paraId="0280C43E" w14:textId="77777777" w:rsidR="00A07426" w:rsidRPr="00E91F85" w:rsidRDefault="00A07426" w:rsidP="00A07426">
      <w:pPr>
        <w:spacing w:line="260" w:lineRule="atLeast"/>
        <w:jc w:val="both"/>
        <w:rPr>
          <w:rFonts w:eastAsia="Calibri" w:cs="Times New Roman"/>
          <w:iCs/>
          <w:lang w:eastAsia="en-US"/>
        </w:rPr>
      </w:pPr>
      <w:r w:rsidRPr="00E91F85">
        <w:rPr>
          <w:rFonts w:eastAsia="Calibri" w:cs="Times New Roman"/>
          <w:iCs/>
          <w:lang w:eastAsia="en-US"/>
        </w:rPr>
        <w:t xml:space="preserve">In absence of data, the endogenous production for kittens, rabbits and poultry has been considered similar to those of dogs, and consequently superior to endogenous production for humans. </w:t>
      </w:r>
    </w:p>
    <w:p w14:paraId="0E71A4B7" w14:textId="4A9731A6" w:rsidR="00A07426" w:rsidRDefault="00A07426" w:rsidP="00A07426">
      <w:pPr>
        <w:spacing w:line="260" w:lineRule="atLeast"/>
        <w:jc w:val="both"/>
        <w:rPr>
          <w:rFonts w:eastAsia="Calibri" w:cs="Times New Roman"/>
          <w:iCs/>
          <w:lang w:eastAsia="en-US"/>
        </w:rPr>
      </w:pPr>
      <w:r w:rsidRPr="00E91F85">
        <w:rPr>
          <w:rFonts w:eastAsia="Calibri" w:cs="Times New Roman"/>
          <w:iCs/>
          <w:lang w:eastAsia="en-US"/>
        </w:rPr>
        <w:t xml:space="preserve">Therefore, considering that for humans, systemic exposure to L(+) lactic acid is negligible compared to the endogenous production and an acceptable risk has been considered for all exposed persons (adults and infants), the risk for animal health is considered to be covered by human health assessment. </w:t>
      </w:r>
    </w:p>
    <w:p w14:paraId="255879E2" w14:textId="5F0D4A1A" w:rsidR="00E160A1" w:rsidRDefault="00E160A1" w:rsidP="00A07426">
      <w:pPr>
        <w:spacing w:line="260" w:lineRule="atLeast"/>
        <w:jc w:val="both"/>
        <w:rPr>
          <w:rFonts w:eastAsia="Calibri" w:cs="Times New Roman"/>
          <w:iCs/>
          <w:lang w:eastAsia="en-US"/>
        </w:rPr>
      </w:pPr>
    </w:p>
    <w:p w14:paraId="1BE0AB07" w14:textId="60C52C22" w:rsidR="00E160A1" w:rsidRPr="00E91F85" w:rsidRDefault="00E160A1" w:rsidP="00A07426">
      <w:pPr>
        <w:spacing w:line="260" w:lineRule="atLeast"/>
        <w:jc w:val="both"/>
        <w:rPr>
          <w:rFonts w:eastAsia="Calibri" w:cs="Times New Roman"/>
          <w:i/>
          <w:iCs/>
          <w:u w:val="single"/>
          <w:lang w:eastAsia="en-US"/>
        </w:rPr>
      </w:pPr>
      <w:r w:rsidRPr="00E91F85">
        <w:rPr>
          <w:rFonts w:eastAsia="Calibri" w:cs="Times New Roman"/>
          <w:i/>
          <w:iCs/>
          <w:u w:val="single"/>
          <w:lang w:eastAsia="en-US"/>
        </w:rPr>
        <w:t>Local effects</w:t>
      </w:r>
    </w:p>
    <w:p w14:paraId="073AFFCD" w14:textId="77777777" w:rsidR="00E160A1" w:rsidRDefault="00E160A1" w:rsidP="00A07426">
      <w:pPr>
        <w:spacing w:line="260" w:lineRule="atLeast"/>
        <w:jc w:val="both"/>
        <w:rPr>
          <w:rFonts w:eastAsia="Calibri" w:cs="Times New Roman"/>
          <w:iCs/>
          <w:lang w:eastAsia="en-US"/>
        </w:rPr>
      </w:pPr>
    </w:p>
    <w:p w14:paraId="0F3736D6" w14:textId="566F31D1" w:rsidR="00E160A1" w:rsidRDefault="00E160A1" w:rsidP="00E160A1">
      <w:pPr>
        <w:jc w:val="both"/>
        <w:rPr>
          <w:rFonts w:eastAsia="Calibri"/>
          <w:szCs w:val="22"/>
          <w:lang w:val="en-US" w:eastAsia="en-US"/>
        </w:rPr>
      </w:pPr>
      <w:r>
        <w:rPr>
          <w:rFonts w:eastAsia="Calibri"/>
          <w:szCs w:val="22"/>
          <w:lang w:val="en-US" w:eastAsia="en-US"/>
        </w:rPr>
        <w:t>During their application, products of m</w:t>
      </w:r>
      <w:r w:rsidRPr="005D115E">
        <w:rPr>
          <w:rFonts w:eastAsia="Calibri"/>
          <w:szCs w:val="22"/>
          <w:lang w:val="en-US" w:eastAsia="en-US"/>
        </w:rPr>
        <w:t>eta SPC 9</w:t>
      </w:r>
      <w:r w:rsidR="00A6057F">
        <w:rPr>
          <w:rFonts w:eastAsia="Calibri"/>
          <w:szCs w:val="22"/>
          <w:lang w:val="en-US" w:eastAsia="en-US"/>
        </w:rPr>
        <w:t xml:space="preserve"> (</w:t>
      </w:r>
      <w:r w:rsidR="00A6057F" w:rsidRPr="005D115E">
        <w:rPr>
          <w:i/>
          <w:u w:val="single"/>
        </w:rPr>
        <w:t>Use</w:t>
      </w:r>
      <w:r w:rsidR="00A6057F">
        <w:rPr>
          <w:i/>
          <w:u w:val="single"/>
        </w:rPr>
        <w:t xml:space="preserve"> #2</w:t>
      </w:r>
      <w:r w:rsidR="00A6057F" w:rsidRPr="005D115E">
        <w:rPr>
          <w:i/>
          <w:u w:val="single"/>
        </w:rPr>
        <w:t>)</w:t>
      </w:r>
      <w:r w:rsidR="00A6057F">
        <w:t xml:space="preserve"> </w:t>
      </w:r>
      <w:r w:rsidR="00A6057F">
        <w:rPr>
          <w:rFonts w:eastAsia="Calibri"/>
          <w:szCs w:val="22"/>
          <w:lang w:val="en-US" w:eastAsia="en-US"/>
        </w:rPr>
        <w:t xml:space="preserve">and meta SPC </w:t>
      </w:r>
      <w:r w:rsidRPr="005D115E">
        <w:rPr>
          <w:rFonts w:eastAsia="Calibri"/>
          <w:szCs w:val="22"/>
          <w:lang w:val="en-US" w:eastAsia="en-US"/>
        </w:rPr>
        <w:t>10</w:t>
      </w:r>
      <w:r>
        <w:rPr>
          <w:rFonts w:eastAsia="Calibri"/>
          <w:szCs w:val="22"/>
          <w:lang w:val="en-US" w:eastAsia="en-US"/>
        </w:rPr>
        <w:t xml:space="preserve"> </w:t>
      </w:r>
      <w:r w:rsidR="00A6057F">
        <w:rPr>
          <w:rFonts w:eastAsia="Calibri"/>
          <w:szCs w:val="22"/>
          <w:lang w:val="en-US" w:eastAsia="en-US"/>
        </w:rPr>
        <w:t>(</w:t>
      </w:r>
      <w:r w:rsidR="00A6057F" w:rsidRPr="005D115E">
        <w:rPr>
          <w:i/>
          <w:u w:val="single"/>
        </w:rPr>
        <w:t>Use</w:t>
      </w:r>
      <w:r w:rsidR="00A6057F">
        <w:rPr>
          <w:i/>
          <w:u w:val="single"/>
        </w:rPr>
        <w:t xml:space="preserve"> #2</w:t>
      </w:r>
      <w:r w:rsidR="00A6057F" w:rsidRPr="005D115E">
        <w:rPr>
          <w:i/>
          <w:u w:val="single"/>
        </w:rPr>
        <w:t>)</w:t>
      </w:r>
      <w:r w:rsidR="00A6057F">
        <w:rPr>
          <w:i/>
          <w:u w:val="single"/>
        </w:rPr>
        <w:t xml:space="preserve"> </w:t>
      </w:r>
      <w:r w:rsidRPr="00D863BE">
        <w:rPr>
          <w:rFonts w:eastAsia="Calibri"/>
          <w:szCs w:val="22"/>
          <w:lang w:val="en-US" w:eastAsia="en-US"/>
        </w:rPr>
        <w:t>are classified</w:t>
      </w:r>
      <w:r w:rsidRPr="005D115E">
        <w:rPr>
          <w:rFonts w:eastAsia="Calibri"/>
          <w:szCs w:val="22"/>
          <w:lang w:val="en-US" w:eastAsia="en-US"/>
        </w:rPr>
        <w:t xml:space="preserve"> </w:t>
      </w:r>
      <w:r>
        <w:rPr>
          <w:rFonts w:eastAsia="Calibri"/>
          <w:szCs w:val="22"/>
          <w:lang w:val="en-US" w:eastAsia="en-US"/>
        </w:rPr>
        <w:t>for skin irritation (H315). Therefore, dermal exposure of companion’s animals during contact of treated surfaces and therefore to the irritant products can occur after application by non-professionals.</w:t>
      </w:r>
    </w:p>
    <w:p w14:paraId="543F695C" w14:textId="77777777" w:rsidR="00E160A1" w:rsidRDefault="00E160A1" w:rsidP="00E160A1">
      <w:pPr>
        <w:jc w:val="both"/>
        <w:rPr>
          <w:rFonts w:eastAsia="Calibri"/>
          <w:szCs w:val="22"/>
          <w:lang w:val="en-US" w:eastAsia="en-US"/>
        </w:rPr>
      </w:pPr>
    </w:p>
    <w:p w14:paraId="1FB9E26A" w14:textId="216F0BC2" w:rsidR="00E160A1" w:rsidRDefault="00E160A1" w:rsidP="00E160A1">
      <w:pPr>
        <w:jc w:val="both"/>
        <w:rPr>
          <w:rFonts w:eastAsia="Calibri"/>
          <w:szCs w:val="22"/>
          <w:lang w:val="en-US" w:eastAsia="en-US"/>
        </w:rPr>
      </w:pPr>
      <w:r>
        <w:rPr>
          <w:rFonts w:eastAsia="Calibri"/>
          <w:szCs w:val="22"/>
          <w:lang w:val="en-US" w:eastAsia="en-US"/>
        </w:rPr>
        <w:t>To avoid such exposure, the RMM “</w:t>
      </w:r>
      <w:r w:rsidR="00DD4E5F">
        <w:rPr>
          <w:rFonts w:eastAsia="Calibri"/>
          <w:szCs w:val="22"/>
          <w:lang w:val="en-US" w:eastAsia="en-US"/>
        </w:rPr>
        <w:t xml:space="preserve">Keep companion’s animal away from </w:t>
      </w:r>
      <w:r w:rsidR="00262D42">
        <w:rPr>
          <w:rFonts w:eastAsia="Calibri"/>
          <w:szCs w:val="22"/>
          <w:lang w:val="en-US" w:eastAsia="en-US"/>
        </w:rPr>
        <w:t>fresly</w:t>
      </w:r>
      <w:r w:rsidR="00DD4E5F">
        <w:rPr>
          <w:rFonts w:eastAsia="Calibri"/>
          <w:szCs w:val="22"/>
          <w:lang w:val="en-US" w:eastAsia="en-US"/>
        </w:rPr>
        <w:t xml:space="preserve"> treated surfaces until dry</w:t>
      </w:r>
      <w:r>
        <w:rPr>
          <w:rFonts w:eastAsia="Calibri"/>
          <w:szCs w:val="22"/>
          <w:lang w:val="en-US" w:eastAsia="en-US"/>
        </w:rPr>
        <w:t>” is needed.</w:t>
      </w:r>
    </w:p>
    <w:p w14:paraId="154178A4" w14:textId="77777777" w:rsidR="009D0C0B" w:rsidRPr="00B27CB1" w:rsidRDefault="009D0C0B" w:rsidP="00E91F85">
      <w:pPr>
        <w:spacing w:line="260" w:lineRule="atLeast"/>
        <w:jc w:val="both"/>
        <w:rPr>
          <w:rFonts w:ascii="Times New Roman" w:eastAsia="Calibri" w:hAnsi="Times New Roman" w:cs="Times New Roman"/>
          <w:i/>
          <w:iCs/>
          <w:lang w:eastAsia="en-US"/>
        </w:rPr>
      </w:pPr>
    </w:p>
    <w:p w14:paraId="0BBDDADD" w14:textId="77777777" w:rsidR="009D0C0B" w:rsidRPr="00B27CB1" w:rsidRDefault="009D0C0B">
      <w:pPr>
        <w:spacing w:line="260" w:lineRule="atLeast"/>
        <w:rPr>
          <w:rFonts w:ascii="Times New Roman" w:eastAsia="Calibri" w:hAnsi="Times New Roman" w:cs="Times New Roman"/>
          <w:i/>
          <w:iCs/>
          <w:lang w:eastAsia="en-US"/>
        </w:rPr>
      </w:pPr>
    </w:p>
    <w:p w14:paraId="0D81F501" w14:textId="58F24007" w:rsidR="009D0C0B" w:rsidRDefault="00FA480B">
      <w:pPr>
        <w:pStyle w:val="Titre3"/>
        <w:rPr>
          <w:lang w:val="en-GB"/>
        </w:rPr>
      </w:pPr>
      <w:bookmarkStart w:id="180" w:name="_Toc87361207"/>
      <w:r w:rsidRPr="00B27CB1">
        <w:rPr>
          <w:lang w:val="en-GB"/>
        </w:rPr>
        <w:t>Risk assessment for the environment</w:t>
      </w:r>
      <w:bookmarkEnd w:id="180"/>
    </w:p>
    <w:p w14:paraId="608F40AE" w14:textId="318CC3E1" w:rsidR="00DE0BD6" w:rsidRDefault="00DE0BD6" w:rsidP="00F068A9">
      <w:pPr>
        <w:pStyle w:val="Absatz"/>
        <w:rPr>
          <w:rFonts w:eastAsia="Calibri"/>
        </w:rPr>
      </w:pPr>
    </w:p>
    <w:p w14:paraId="4AA6F9D0" w14:textId="3A004FA5" w:rsidR="00FF0264" w:rsidRPr="009D0AAA" w:rsidRDefault="00FF0264" w:rsidP="00FF0264">
      <w:pPr>
        <w:pStyle w:val="Absatz"/>
        <w:ind w:left="0"/>
        <w:jc w:val="both"/>
        <w:rPr>
          <w:rFonts w:ascii="Verdana" w:hAnsi="Verdana"/>
          <w:b/>
          <w:color w:val="00B0F0"/>
        </w:rPr>
      </w:pPr>
      <w:r w:rsidRPr="009D0AAA">
        <w:rPr>
          <w:rFonts w:ascii="Verdana" w:hAnsi="Verdana"/>
          <w:b/>
          <w:color w:val="00B0F0"/>
        </w:rPr>
        <w:t>The application methods claimed were revised by the applicant during the evaluation of the</w:t>
      </w:r>
      <w:r>
        <w:rPr>
          <w:rFonts w:ascii="Verdana" w:hAnsi="Verdana"/>
          <w:b/>
          <w:color w:val="00B0F0"/>
        </w:rPr>
        <w:t xml:space="preserve"> </w:t>
      </w:r>
      <w:r w:rsidRPr="009D0AAA">
        <w:rPr>
          <w:rFonts w:ascii="Verdana" w:hAnsi="Verdana"/>
          <w:b/>
          <w:color w:val="00B0F0"/>
        </w:rPr>
        <w:t xml:space="preserve">dossier. These updated claims correspond to deletion of some application methods in various meta SPCs. These modification are </w:t>
      </w:r>
      <w:r>
        <w:rPr>
          <w:rFonts w:ascii="Verdana" w:hAnsi="Verdana"/>
          <w:b/>
          <w:color w:val="00B0F0"/>
        </w:rPr>
        <w:t xml:space="preserve">included and </w:t>
      </w:r>
      <w:r w:rsidRPr="009D0AAA">
        <w:rPr>
          <w:rFonts w:ascii="Verdana" w:hAnsi="Verdana"/>
          <w:b/>
          <w:color w:val="00B0F0"/>
        </w:rPr>
        <w:t xml:space="preserve">materialized as strikethrough text </w:t>
      </w:r>
      <w:r w:rsidR="00F068A9">
        <w:rPr>
          <w:rFonts w:ascii="Verdana" w:hAnsi="Verdana"/>
          <w:b/>
          <w:color w:val="00B0F0"/>
        </w:rPr>
        <w:t>in the Intented uses part (see 2.2.1)</w:t>
      </w:r>
      <w:r w:rsidRPr="009D0AAA">
        <w:rPr>
          <w:rFonts w:ascii="Verdana" w:hAnsi="Verdana"/>
          <w:b/>
          <w:color w:val="00B0F0"/>
        </w:rPr>
        <w:t xml:space="preserve">. </w:t>
      </w:r>
    </w:p>
    <w:p w14:paraId="02CA7190" w14:textId="77777777" w:rsidR="00FF0264" w:rsidRPr="009D0AAA" w:rsidRDefault="00FF0264" w:rsidP="00FF0264">
      <w:pPr>
        <w:pStyle w:val="Absatz"/>
        <w:ind w:left="0"/>
        <w:jc w:val="both"/>
        <w:rPr>
          <w:rFonts w:ascii="Verdana" w:hAnsi="Verdana"/>
          <w:b/>
          <w:color w:val="00B0F0"/>
        </w:rPr>
      </w:pPr>
    </w:p>
    <w:p w14:paraId="74AB5AED" w14:textId="6BC9ADE2" w:rsidR="00DE0BD6" w:rsidRPr="00F068A9" w:rsidRDefault="00FF0264" w:rsidP="00DE0BD6">
      <w:pPr>
        <w:pStyle w:val="Absatz"/>
        <w:ind w:left="0"/>
        <w:jc w:val="both"/>
        <w:rPr>
          <w:rFonts w:ascii="Verdana" w:hAnsi="Verdana"/>
          <w:b/>
          <w:color w:val="00B0F0"/>
          <w:lang w:val="en-US"/>
        </w:rPr>
      </w:pPr>
      <w:r w:rsidRPr="009D0AAA">
        <w:rPr>
          <w:rFonts w:ascii="Verdana" w:hAnsi="Verdana"/>
          <w:b/>
          <w:color w:val="00B0F0"/>
        </w:rPr>
        <w:t xml:space="preserve">These changes were considered in the efficacy section but not </w:t>
      </w:r>
      <w:r>
        <w:rPr>
          <w:rFonts w:ascii="Verdana" w:hAnsi="Verdana"/>
          <w:b/>
          <w:color w:val="00B0F0"/>
        </w:rPr>
        <w:t xml:space="preserve">systematically </w:t>
      </w:r>
      <w:r w:rsidRPr="009D0AAA">
        <w:rPr>
          <w:rFonts w:ascii="Verdana" w:hAnsi="Verdana"/>
          <w:b/>
          <w:color w:val="00B0F0"/>
        </w:rPr>
        <w:t>in human health and environment sections</w:t>
      </w:r>
      <w:r>
        <w:rPr>
          <w:rFonts w:ascii="Verdana" w:hAnsi="Verdana"/>
          <w:b/>
          <w:color w:val="00B0F0"/>
        </w:rPr>
        <w:t>, as a risk envelop approach was performed</w:t>
      </w:r>
      <w:r w:rsidRPr="009D0AAA">
        <w:rPr>
          <w:rFonts w:ascii="Verdana" w:hAnsi="Verdana"/>
          <w:b/>
          <w:color w:val="00B0F0"/>
        </w:rPr>
        <w:t>.  However, this has no impact on the overall conclusions which consider only the updated claims.</w:t>
      </w:r>
    </w:p>
    <w:p w14:paraId="00434B82" w14:textId="77777777" w:rsidR="00DE0BD6" w:rsidRPr="00F068A9" w:rsidRDefault="00DE0BD6" w:rsidP="00F068A9">
      <w:pPr>
        <w:pStyle w:val="Absatz"/>
        <w:rPr>
          <w:rFonts w:eastAsia="Calibri"/>
          <w:lang w:val="en-US"/>
        </w:rPr>
      </w:pPr>
    </w:p>
    <w:p w14:paraId="48D9DAC3" w14:textId="715323DF" w:rsidR="009B2E87" w:rsidRDefault="009B2E87" w:rsidP="009B2E87">
      <w:pPr>
        <w:spacing w:line="260" w:lineRule="atLeast"/>
        <w:jc w:val="both"/>
        <w:rPr>
          <w:rFonts w:eastAsia="Verdana"/>
          <w:lang w:eastAsia="fr-FR"/>
        </w:rPr>
      </w:pPr>
      <w:r>
        <w:rPr>
          <w:rFonts w:eastAsia="Calibri" w:cs="Times New Roman"/>
          <w:iCs/>
          <w:lang w:eastAsia="en-US"/>
        </w:rPr>
        <w:t>The products</w:t>
      </w:r>
      <w:r w:rsidRPr="007F286A">
        <w:rPr>
          <w:rFonts w:eastAsia="Calibri" w:cs="Times New Roman"/>
          <w:iCs/>
          <w:lang w:eastAsia="en-US"/>
        </w:rPr>
        <w:t xml:space="preserve"> </w:t>
      </w:r>
      <w:r>
        <w:rPr>
          <w:rFonts w:eastAsia="Calibri" w:cs="Times New Roman"/>
          <w:iCs/>
          <w:lang w:eastAsia="en-US"/>
        </w:rPr>
        <w:t>from LACTIC ACID BASED FAMILY are PT02, PT03, and</w:t>
      </w:r>
      <w:r w:rsidRPr="007F286A">
        <w:rPr>
          <w:rFonts w:eastAsia="Calibri" w:cs="Times New Roman"/>
          <w:iCs/>
          <w:lang w:eastAsia="en-US"/>
        </w:rPr>
        <w:t xml:space="preserve"> PT</w:t>
      </w:r>
      <w:r>
        <w:rPr>
          <w:rFonts w:eastAsia="Calibri" w:cs="Times New Roman"/>
          <w:iCs/>
          <w:lang w:eastAsia="en-US"/>
        </w:rPr>
        <w:t>0</w:t>
      </w:r>
      <w:r w:rsidRPr="007F286A">
        <w:rPr>
          <w:rFonts w:eastAsia="Calibri" w:cs="Times New Roman"/>
          <w:iCs/>
          <w:lang w:eastAsia="en-US"/>
        </w:rPr>
        <w:t>4 disinfectants containing L(+) Lactic acid that are applied for the disinfection of hard surfaces not intended for direct application to humans or animals (PT2)</w:t>
      </w:r>
      <w:r>
        <w:rPr>
          <w:rFonts w:eastAsia="Calibri" w:cs="Times New Roman"/>
          <w:iCs/>
          <w:lang w:eastAsia="en-US"/>
        </w:rPr>
        <w:t xml:space="preserve">, </w:t>
      </w:r>
      <w:r w:rsidRPr="00141829">
        <w:rPr>
          <w:rFonts w:eastAsia="Calibri" w:cs="Times New Roman"/>
          <w:iCs/>
          <w:lang w:eastAsia="en-US"/>
        </w:rPr>
        <w:t>disinfection for</w:t>
      </w:r>
      <w:r>
        <w:rPr>
          <w:rFonts w:eastAsia="Calibri" w:cs="Times New Roman"/>
          <w:iCs/>
          <w:lang w:eastAsia="en-US"/>
        </w:rPr>
        <w:t xml:space="preserve"> veterinary hygiene (PT3)</w:t>
      </w:r>
      <w:r w:rsidRPr="007F286A">
        <w:rPr>
          <w:rFonts w:eastAsia="Calibri" w:cs="Times New Roman"/>
          <w:iCs/>
          <w:lang w:eastAsia="en-US"/>
        </w:rPr>
        <w:t xml:space="preserve"> and </w:t>
      </w:r>
      <w:r>
        <w:rPr>
          <w:rFonts w:eastAsia="Calibri" w:cs="Times New Roman"/>
          <w:iCs/>
          <w:lang w:eastAsia="en-US"/>
        </w:rPr>
        <w:t>disinfectants in</w:t>
      </w:r>
      <w:r w:rsidRPr="007F286A">
        <w:rPr>
          <w:rFonts w:eastAsia="Calibri" w:cs="Times New Roman"/>
          <w:iCs/>
          <w:lang w:eastAsia="en-US"/>
        </w:rPr>
        <w:t xml:space="preserve"> food and feed area (TP4).</w:t>
      </w:r>
      <w:r w:rsidRPr="007F286A">
        <w:rPr>
          <w:rFonts w:eastAsia="Calibri" w:cs="Times New Roman"/>
          <w:i/>
          <w:iCs/>
          <w:lang w:eastAsia="en-US"/>
        </w:rPr>
        <w:t xml:space="preserve"> </w:t>
      </w:r>
      <w:r w:rsidRPr="00390A6D">
        <w:rPr>
          <w:rFonts w:eastAsia="Verdana"/>
          <w:lang w:eastAsia="fr-FR"/>
        </w:rPr>
        <w:t>The biocidal product family (BPF) contain</w:t>
      </w:r>
      <w:r>
        <w:rPr>
          <w:rFonts w:eastAsia="Verdana"/>
          <w:lang w:eastAsia="fr-FR"/>
        </w:rPr>
        <w:t>s</w:t>
      </w:r>
      <w:r w:rsidRPr="00390A6D">
        <w:rPr>
          <w:rFonts w:eastAsia="Verdana"/>
          <w:lang w:eastAsia="fr-FR"/>
        </w:rPr>
        <w:t xml:space="preserve"> several biocidal</w:t>
      </w:r>
      <w:r>
        <w:rPr>
          <w:rFonts w:eastAsia="Verdana"/>
          <w:lang w:eastAsia="fr-FR"/>
        </w:rPr>
        <w:t xml:space="preserve"> products (BP) grouped into </w:t>
      </w:r>
      <w:r w:rsidDel="00CC6483">
        <w:rPr>
          <w:rFonts w:eastAsia="Verdana"/>
          <w:lang w:eastAsia="fr-FR"/>
        </w:rPr>
        <w:t>twelve</w:t>
      </w:r>
      <w:r w:rsidRPr="00390A6D" w:rsidDel="00CC6483">
        <w:rPr>
          <w:rFonts w:eastAsia="Verdana"/>
          <w:lang w:eastAsia="fr-FR"/>
        </w:rPr>
        <w:t xml:space="preserve"> </w:t>
      </w:r>
      <w:r w:rsidRPr="00390A6D">
        <w:rPr>
          <w:rFonts w:eastAsia="Verdana"/>
          <w:lang w:eastAsia="fr-FR"/>
        </w:rPr>
        <w:t>sub-groups (</w:t>
      </w:r>
      <w:r>
        <w:rPr>
          <w:rFonts w:eastAsia="Verdana"/>
          <w:lang w:eastAsia="fr-FR"/>
        </w:rPr>
        <w:t>M</w:t>
      </w:r>
      <w:r w:rsidRPr="00390A6D">
        <w:rPr>
          <w:rFonts w:eastAsia="Verdana"/>
          <w:lang w:eastAsia="fr-FR"/>
        </w:rPr>
        <w:t xml:space="preserve">eta-SPC). The data on active substance are provided by the assessment report of L(+) </w:t>
      </w:r>
      <w:r>
        <w:rPr>
          <w:rFonts w:eastAsia="Verdana"/>
          <w:lang w:eastAsia="fr-FR"/>
        </w:rPr>
        <w:t>L</w:t>
      </w:r>
      <w:r w:rsidRPr="00390A6D">
        <w:rPr>
          <w:rFonts w:eastAsia="Verdana"/>
          <w:lang w:eastAsia="fr-FR"/>
        </w:rPr>
        <w:t>actic acid for PT02, 03, 04</w:t>
      </w:r>
      <w:r>
        <w:rPr>
          <w:rFonts w:eastAsia="Verdana"/>
          <w:lang w:eastAsia="fr-FR"/>
        </w:rPr>
        <w:t xml:space="preserve"> (</w:t>
      </w:r>
      <w:r>
        <w:t>Regulation (EU) No 528/2012 concerning the making available on the market and use of biocidal products, Assessment Report L(+) Lactic acid Product-type 02, 03 and 04, June 2017)</w:t>
      </w:r>
      <w:r w:rsidRPr="00390A6D">
        <w:rPr>
          <w:rFonts w:eastAsia="Verdana"/>
          <w:lang w:eastAsia="fr-FR"/>
        </w:rPr>
        <w:t>. The available ecotoxicological information</w:t>
      </w:r>
      <w:r>
        <w:rPr>
          <w:rFonts w:eastAsia="Verdana"/>
          <w:lang w:eastAsia="fr-FR"/>
        </w:rPr>
        <w:t xml:space="preserve"> and e-fate data</w:t>
      </w:r>
      <w:r w:rsidRPr="00390A6D">
        <w:rPr>
          <w:rFonts w:eastAsia="Verdana"/>
          <w:lang w:eastAsia="fr-FR"/>
        </w:rPr>
        <w:t xml:space="preserve"> are used for risk assessment for the environment. </w:t>
      </w:r>
    </w:p>
    <w:p w14:paraId="68AA4281" w14:textId="77777777" w:rsidR="009B2E87" w:rsidRDefault="009B2E87" w:rsidP="009B2E87">
      <w:pPr>
        <w:jc w:val="both"/>
        <w:rPr>
          <w:color w:val="000000" w:themeColor="text1"/>
        </w:rPr>
      </w:pPr>
    </w:p>
    <w:p w14:paraId="66C63CA2" w14:textId="6245AF7D" w:rsidR="009B2E87" w:rsidRPr="00A63C30" w:rsidRDefault="006459D7" w:rsidP="009B2E87">
      <w:pPr>
        <w:jc w:val="both"/>
        <w:rPr>
          <w:color w:val="000000" w:themeColor="text1"/>
        </w:rPr>
      </w:pPr>
      <w:r>
        <w:rPr>
          <w:color w:val="000000" w:themeColor="text1"/>
        </w:rPr>
        <w:t>Two</w:t>
      </w:r>
      <w:r w:rsidRPr="00A63C30">
        <w:rPr>
          <w:color w:val="000000" w:themeColor="text1"/>
        </w:rPr>
        <w:t xml:space="preserve"> </w:t>
      </w:r>
      <w:r w:rsidR="009B2E87" w:rsidRPr="00A63C30">
        <w:rPr>
          <w:color w:val="000000" w:themeColor="text1"/>
        </w:rPr>
        <w:t xml:space="preserve">environmental substances of concern (SoC) have been identified for the </w:t>
      </w:r>
      <w:r w:rsidR="009B2E87" w:rsidRPr="00A63C30">
        <w:rPr>
          <w:rFonts w:eastAsia="Calibri" w:cs="Times New Roman"/>
          <w:iCs/>
          <w:lang w:eastAsia="en-US"/>
        </w:rPr>
        <w:t>LACTIC ACID BASED FAMILY</w:t>
      </w:r>
      <w:r w:rsidR="009B2E87" w:rsidRPr="00A63C30">
        <w:rPr>
          <w:color w:val="000000" w:themeColor="text1"/>
        </w:rPr>
        <w:t>:</w:t>
      </w:r>
    </w:p>
    <w:p w14:paraId="74EB8C0E" w14:textId="5C6B7731" w:rsidR="00924D67" w:rsidRDefault="00924D67" w:rsidP="009B2E87">
      <w:pPr>
        <w:jc w:val="both"/>
      </w:pPr>
      <w:r>
        <w:rPr>
          <w:rFonts w:eastAsia="Calibri" w:cs="Times New Roman"/>
          <w:lang w:eastAsia="en-US"/>
        </w:rPr>
        <w:t xml:space="preserve">- </w:t>
      </w:r>
      <w:r w:rsidR="009B2E87" w:rsidRPr="00A63C30">
        <w:t>Amines, coco alkyldimethyl, N-oxides (meta-SPC 11</w:t>
      </w:r>
      <w:r>
        <w:t>;</w:t>
      </w:r>
      <w:r w:rsidR="009B2E87" w:rsidRPr="00A63C30">
        <w:t xml:space="preserve"> CAS 61788-90-7) and</w:t>
      </w:r>
    </w:p>
    <w:p w14:paraId="5BBCF12E" w14:textId="141D1A99" w:rsidR="00924D67" w:rsidRDefault="00924D67" w:rsidP="009B2E87">
      <w:pPr>
        <w:jc w:val="both"/>
        <w:rPr>
          <w:rFonts w:eastAsia="Calibri" w:cs="Times New Roman"/>
          <w:lang w:eastAsia="en-US"/>
        </w:rPr>
      </w:pPr>
      <w:r>
        <w:t xml:space="preserve">- </w:t>
      </w:r>
      <w:r w:rsidR="009B2E87">
        <w:rPr>
          <w:rFonts w:eastAsia="Calibri" w:cs="Times New Roman"/>
          <w:lang w:eastAsia="en-US"/>
        </w:rPr>
        <w:t>OTNE</w:t>
      </w:r>
      <w:r w:rsidR="009B2E87" w:rsidRPr="004B6BA0">
        <w:rPr>
          <w:rFonts w:eastAsia="Calibri" w:cs="Times New Roman"/>
          <w:lang w:eastAsia="en-US"/>
        </w:rPr>
        <w:t xml:space="preserve"> (</w:t>
      </w:r>
      <w:r w:rsidR="009B2E87">
        <w:rPr>
          <w:rFonts w:eastAsia="Calibri" w:cs="Times New Roman"/>
          <w:lang w:eastAsia="en-US"/>
        </w:rPr>
        <w:t>meta-</w:t>
      </w:r>
      <w:r w:rsidR="009B2E87" w:rsidRPr="004B6BA0">
        <w:rPr>
          <w:rFonts w:eastAsia="Calibri" w:cs="Times New Roman"/>
          <w:lang w:eastAsia="en-US"/>
        </w:rPr>
        <w:t>SPC 9, 10, 13</w:t>
      </w:r>
      <w:r>
        <w:rPr>
          <w:rFonts w:eastAsia="Calibri" w:cs="Times New Roman"/>
          <w:lang w:eastAsia="en-US"/>
        </w:rPr>
        <w:t>;</w:t>
      </w:r>
      <w:r w:rsidR="009B2E87" w:rsidRPr="004B6BA0">
        <w:rPr>
          <w:rFonts w:eastAsia="Calibri" w:cs="Times New Roman"/>
          <w:lang w:eastAsia="en-US"/>
        </w:rPr>
        <w:t xml:space="preserve"> EC:</w:t>
      </w:r>
      <w:r w:rsidR="00513739">
        <w:rPr>
          <w:rFonts w:eastAsia="Calibri" w:cs="Times New Roman"/>
          <w:lang w:eastAsia="en-US"/>
        </w:rPr>
        <w:t xml:space="preserve"> </w:t>
      </w:r>
      <w:r w:rsidR="009B2E87" w:rsidRPr="002526D9">
        <w:rPr>
          <w:rFonts w:eastAsia="Calibri" w:cs="Times New Roman"/>
          <w:lang w:eastAsia="en-US"/>
        </w:rPr>
        <w:t>915-730-3)</w:t>
      </w:r>
      <w:r w:rsidR="009B2E87">
        <w:rPr>
          <w:rFonts w:eastAsia="Calibri" w:cs="Times New Roman"/>
          <w:lang w:eastAsia="en-US"/>
        </w:rPr>
        <w:t xml:space="preserve">. </w:t>
      </w:r>
    </w:p>
    <w:p w14:paraId="67846E70" w14:textId="77777777" w:rsidR="00924D67" w:rsidRDefault="00924D67" w:rsidP="009B2E87">
      <w:pPr>
        <w:jc w:val="both"/>
        <w:rPr>
          <w:rFonts w:eastAsia="Calibri" w:cs="Times New Roman"/>
          <w:lang w:eastAsia="en-US"/>
        </w:rPr>
      </w:pPr>
    </w:p>
    <w:p w14:paraId="5E10F0A9" w14:textId="246F93C3" w:rsidR="009B2E87" w:rsidRDefault="009B2E87" w:rsidP="009B2E87">
      <w:pPr>
        <w:jc w:val="both"/>
        <w:rPr>
          <w:color w:val="000000" w:themeColor="text1"/>
        </w:rPr>
      </w:pPr>
      <w:r>
        <w:rPr>
          <w:color w:val="000000" w:themeColor="text1"/>
        </w:rPr>
        <w:t>A quantitative assessment of these constituents has been performed.</w:t>
      </w:r>
      <w:r w:rsidRPr="008753D9">
        <w:rPr>
          <w:color w:val="000000" w:themeColor="text1"/>
        </w:rPr>
        <w:t xml:space="preserve"> </w:t>
      </w:r>
    </w:p>
    <w:p w14:paraId="4AED6D1E" w14:textId="77777777" w:rsidR="009B2E87" w:rsidRDefault="009B2E87" w:rsidP="009B2E87">
      <w:pPr>
        <w:jc w:val="both"/>
        <w:rPr>
          <w:color w:val="000000" w:themeColor="text1"/>
        </w:rPr>
      </w:pPr>
    </w:p>
    <w:p w14:paraId="117FFD0E" w14:textId="7A6AA725" w:rsidR="009B2E87" w:rsidRDefault="009B2E87" w:rsidP="009B2E87">
      <w:pPr>
        <w:jc w:val="both"/>
        <w:rPr>
          <w:color w:val="000000" w:themeColor="text1"/>
        </w:rPr>
      </w:pPr>
      <w:r>
        <w:rPr>
          <w:color w:val="000000" w:themeColor="text1"/>
        </w:rPr>
        <w:t>D</w:t>
      </w:r>
      <w:r w:rsidRPr="006C2ABA">
        <w:rPr>
          <w:color w:val="000000" w:themeColor="text1"/>
        </w:rPr>
        <w:t>etails about th</w:t>
      </w:r>
      <w:r>
        <w:rPr>
          <w:color w:val="000000" w:themeColor="text1"/>
        </w:rPr>
        <w:t xml:space="preserve">e classification of </w:t>
      </w:r>
      <w:r w:rsidRPr="006C2ABA">
        <w:rPr>
          <w:color w:val="000000" w:themeColor="text1"/>
        </w:rPr>
        <w:t>co-formulant</w:t>
      </w:r>
      <w:r>
        <w:rPr>
          <w:color w:val="000000" w:themeColor="text1"/>
        </w:rPr>
        <w:t>s as substance of concern (SoC)</w:t>
      </w:r>
      <w:r w:rsidR="00924D67">
        <w:rPr>
          <w:color w:val="000000" w:themeColor="text1"/>
        </w:rPr>
        <w:t xml:space="preserve"> or not</w:t>
      </w:r>
      <w:r>
        <w:rPr>
          <w:color w:val="000000" w:themeColor="text1"/>
        </w:rPr>
        <w:t xml:space="preserve"> </w:t>
      </w:r>
      <w:r w:rsidRPr="006C2ABA">
        <w:rPr>
          <w:color w:val="000000" w:themeColor="text1"/>
        </w:rPr>
        <w:t>can be found in the confidential PAR.</w:t>
      </w:r>
    </w:p>
    <w:p w14:paraId="783352AA" w14:textId="77777777" w:rsidR="00D1372D" w:rsidRDefault="00D1372D">
      <w:pPr>
        <w:spacing w:line="260" w:lineRule="atLeast"/>
        <w:jc w:val="both"/>
        <w:rPr>
          <w:rFonts w:ascii="Times New Roman" w:eastAsia="Calibri" w:hAnsi="Times New Roman" w:cs="Times New Roman"/>
          <w:i/>
          <w:iCs/>
          <w:lang w:eastAsia="en-US"/>
        </w:rPr>
      </w:pPr>
    </w:p>
    <w:p w14:paraId="41EAF7F0" w14:textId="77777777" w:rsidR="009D0C0B" w:rsidRPr="00B27CB1" w:rsidRDefault="009D0C0B">
      <w:pPr>
        <w:spacing w:line="260" w:lineRule="atLeast"/>
        <w:rPr>
          <w:rFonts w:eastAsia="Calibri"/>
          <w:lang w:eastAsia="en-US"/>
        </w:rPr>
      </w:pPr>
    </w:p>
    <w:p w14:paraId="6E36776B" w14:textId="77777777" w:rsidR="009D0C0B" w:rsidRPr="00B27CB1" w:rsidRDefault="00FA480B">
      <w:pPr>
        <w:pStyle w:val="Titre4"/>
        <w:rPr>
          <w:rFonts w:ascii="Times New Roman" w:hAnsi="Times New Roman" w:cs="Times New Roman"/>
          <w:i/>
          <w:iCs/>
          <w:lang w:val="en-GB" w:eastAsia="en-US"/>
        </w:rPr>
      </w:pPr>
      <w:bookmarkStart w:id="181" w:name="_Toc87361208"/>
      <w:r w:rsidRPr="00B27CB1">
        <w:rPr>
          <w:lang w:val="en-GB"/>
        </w:rPr>
        <w:t>Effects assessment on the environment</w:t>
      </w:r>
      <w:bookmarkEnd w:id="181"/>
    </w:p>
    <w:p w14:paraId="3A903DC8" w14:textId="77777777" w:rsidR="009D0C0B" w:rsidRPr="00B27CB1" w:rsidRDefault="009D0C0B">
      <w:pPr>
        <w:spacing w:line="260" w:lineRule="atLeast"/>
        <w:contextualSpacing/>
        <w:jc w:val="both"/>
        <w:rPr>
          <w:rFonts w:ascii="Times New Roman" w:eastAsia="Calibri" w:hAnsi="Times New Roman" w:cs="Times New Roman"/>
          <w:i/>
          <w:iCs/>
          <w:lang w:eastAsia="en-US"/>
        </w:rPr>
      </w:pPr>
    </w:p>
    <w:p w14:paraId="7053D07A" w14:textId="77777777" w:rsidR="0073642B" w:rsidRPr="00B27CB1" w:rsidRDefault="0073642B" w:rsidP="0073642B">
      <w:pPr>
        <w:rPr>
          <w:rFonts w:eastAsia="Calibri"/>
          <w:b/>
          <w:i/>
          <w:sz w:val="22"/>
          <w:szCs w:val="22"/>
          <w:lang w:eastAsia="en-US"/>
        </w:rPr>
      </w:pPr>
      <w:r w:rsidRPr="00B27CB1">
        <w:rPr>
          <w:rFonts w:eastAsia="Calibri"/>
          <w:b/>
          <w:i/>
          <w:sz w:val="22"/>
          <w:szCs w:val="22"/>
          <w:lang w:eastAsia="en-US"/>
        </w:rPr>
        <w:lastRenderedPageBreak/>
        <w:t>Information relating to the ecotoxicity of the biocidal product which is sufficient to enable a decision to be made concerning the classification of the product is required</w:t>
      </w:r>
    </w:p>
    <w:p w14:paraId="5A71CD5B" w14:textId="77777777" w:rsidR="0073642B" w:rsidRPr="00B27CB1" w:rsidRDefault="0073642B" w:rsidP="0073642B">
      <w:pPr>
        <w:rPr>
          <w:rFonts w:eastAsia="Calibri"/>
          <w:b/>
          <w:i/>
          <w:sz w:val="22"/>
          <w:szCs w:val="22"/>
          <w:lang w:eastAsia="en-US"/>
        </w:rPr>
      </w:pPr>
    </w:p>
    <w:p w14:paraId="5AE011C5" w14:textId="3AAF4159" w:rsidR="0073642B" w:rsidRDefault="0073642B" w:rsidP="0073642B">
      <w:pPr>
        <w:jc w:val="both"/>
        <w:rPr>
          <w:rFonts w:eastAsia="Calibri"/>
          <w:lang w:eastAsia="en-US"/>
        </w:rPr>
      </w:pPr>
      <w:r>
        <w:rPr>
          <w:rFonts w:eastAsia="Calibri"/>
          <w:lang w:eastAsia="en-US"/>
        </w:rPr>
        <w:t xml:space="preserve">No new environmental studies have been carried out with the products of the </w:t>
      </w:r>
      <w:r>
        <w:rPr>
          <w:rFonts w:eastAsia="Calibri" w:cs="Times New Roman"/>
          <w:iCs/>
          <w:lang w:eastAsia="en-US"/>
        </w:rPr>
        <w:t>LACTIC ACID BASED FAMILY</w:t>
      </w:r>
      <w:r>
        <w:rPr>
          <w:rFonts w:eastAsia="Calibri"/>
          <w:lang w:eastAsia="en-US"/>
        </w:rPr>
        <w:t xml:space="preserve">. </w:t>
      </w:r>
      <w:r w:rsidR="00924D67">
        <w:rPr>
          <w:rFonts w:eastAsia="Calibri"/>
          <w:lang w:eastAsia="en-US"/>
        </w:rPr>
        <w:t>The classification of the different meta-SPC has been calculated from classifications of the active substance and co-formulants (see the table below</w:t>
      </w:r>
      <w:r w:rsidR="00A576DC">
        <w:rPr>
          <w:rFonts w:eastAsia="Calibri"/>
          <w:lang w:eastAsia="en-US"/>
        </w:rPr>
        <w:t xml:space="preserve"> and the detailed composition in the confidential annex</w:t>
      </w:r>
      <w:r w:rsidR="00924D67">
        <w:rPr>
          <w:rFonts w:eastAsia="Calibri"/>
          <w:lang w:eastAsia="en-US"/>
        </w:rPr>
        <w:t>).</w:t>
      </w:r>
    </w:p>
    <w:p w14:paraId="61169A1E" w14:textId="37C8CAC9" w:rsidR="0073642B" w:rsidRDefault="0073642B" w:rsidP="0073642B">
      <w:pPr>
        <w:spacing w:line="260" w:lineRule="atLeast"/>
        <w:rPr>
          <w:rFonts w:eastAsia="Calibri"/>
          <w:lang w:eastAsia="en-US"/>
        </w:rPr>
      </w:pPr>
    </w:p>
    <w:tbl>
      <w:tblPr>
        <w:tblStyle w:val="Grilledutableau"/>
        <w:tblW w:w="9669" w:type="dxa"/>
        <w:tblInd w:w="-176" w:type="dxa"/>
        <w:tblLook w:val="04A0" w:firstRow="1" w:lastRow="0" w:firstColumn="1" w:lastColumn="0" w:noHBand="0" w:noVBand="1"/>
      </w:tblPr>
      <w:tblGrid>
        <w:gridCol w:w="1395"/>
        <w:gridCol w:w="736"/>
        <w:gridCol w:w="736"/>
        <w:gridCol w:w="736"/>
        <w:gridCol w:w="736"/>
        <w:gridCol w:w="736"/>
        <w:gridCol w:w="736"/>
        <w:gridCol w:w="736"/>
        <w:gridCol w:w="736"/>
        <w:gridCol w:w="736"/>
        <w:gridCol w:w="736"/>
        <w:gridCol w:w="736"/>
        <w:gridCol w:w="736"/>
      </w:tblGrid>
      <w:tr w:rsidR="009A6698" w:rsidRPr="00815DCB" w14:paraId="30443D6E" w14:textId="4D90B753" w:rsidTr="00240849">
        <w:trPr>
          <w:trHeight w:val="57"/>
        </w:trPr>
        <w:tc>
          <w:tcPr>
            <w:tcW w:w="1361" w:type="dxa"/>
            <w:tcBorders>
              <w:bottom w:val="single" w:sz="4" w:space="0" w:color="auto"/>
            </w:tcBorders>
            <w:vAlign w:val="center"/>
          </w:tcPr>
          <w:p w14:paraId="2CFC7224" w14:textId="6BCD11BF" w:rsidR="006458E0" w:rsidRPr="00D17F8B" w:rsidRDefault="006458E0" w:rsidP="006458E0">
            <w:pPr>
              <w:spacing w:before="240" w:after="60" w:line="260" w:lineRule="atLeast"/>
              <w:jc w:val="center"/>
              <w:outlineLvl w:val="0"/>
              <w:rPr>
                <w:sz w:val="18"/>
                <w:szCs w:val="18"/>
              </w:rPr>
            </w:pPr>
          </w:p>
        </w:tc>
        <w:tc>
          <w:tcPr>
            <w:tcW w:w="693" w:type="dxa"/>
            <w:tcBorders>
              <w:bottom w:val="single" w:sz="4" w:space="0" w:color="auto"/>
            </w:tcBorders>
            <w:vAlign w:val="center"/>
          </w:tcPr>
          <w:p w14:paraId="6BB3A16C" w14:textId="77777777" w:rsidR="006458E0" w:rsidRPr="00815DCB" w:rsidRDefault="006458E0" w:rsidP="006458E0">
            <w:pPr>
              <w:spacing w:line="260" w:lineRule="atLeast"/>
              <w:jc w:val="center"/>
              <w:outlineLvl w:val="0"/>
              <w:rPr>
                <w:sz w:val="18"/>
                <w:szCs w:val="18"/>
              </w:rPr>
            </w:pPr>
            <w:r w:rsidRPr="00815DCB">
              <w:rPr>
                <w:sz w:val="18"/>
                <w:szCs w:val="18"/>
              </w:rPr>
              <w:t>Meta-SPC 1</w:t>
            </w:r>
          </w:p>
        </w:tc>
        <w:tc>
          <w:tcPr>
            <w:tcW w:w="0" w:type="auto"/>
            <w:tcBorders>
              <w:bottom w:val="single" w:sz="4" w:space="0" w:color="auto"/>
            </w:tcBorders>
            <w:vAlign w:val="center"/>
          </w:tcPr>
          <w:p w14:paraId="65449DF9" w14:textId="77777777" w:rsidR="006458E0" w:rsidRPr="00815DCB" w:rsidRDefault="006458E0" w:rsidP="006458E0">
            <w:pPr>
              <w:spacing w:line="260" w:lineRule="atLeast"/>
              <w:jc w:val="center"/>
              <w:outlineLvl w:val="0"/>
              <w:rPr>
                <w:sz w:val="18"/>
                <w:szCs w:val="18"/>
              </w:rPr>
            </w:pPr>
            <w:r w:rsidRPr="00815DCB">
              <w:rPr>
                <w:sz w:val="18"/>
                <w:szCs w:val="18"/>
              </w:rPr>
              <w:t>Meta-SPC 2</w:t>
            </w:r>
          </w:p>
        </w:tc>
        <w:tc>
          <w:tcPr>
            <w:tcW w:w="0" w:type="auto"/>
            <w:tcBorders>
              <w:bottom w:val="single" w:sz="4" w:space="0" w:color="auto"/>
            </w:tcBorders>
            <w:vAlign w:val="center"/>
          </w:tcPr>
          <w:p w14:paraId="146D4F79" w14:textId="77777777" w:rsidR="006458E0" w:rsidRPr="00815DCB" w:rsidRDefault="006458E0" w:rsidP="006458E0">
            <w:pPr>
              <w:spacing w:line="260" w:lineRule="atLeast"/>
              <w:jc w:val="center"/>
              <w:outlineLvl w:val="0"/>
              <w:rPr>
                <w:sz w:val="18"/>
                <w:szCs w:val="18"/>
              </w:rPr>
            </w:pPr>
            <w:r w:rsidRPr="00815DCB">
              <w:rPr>
                <w:sz w:val="18"/>
                <w:szCs w:val="18"/>
              </w:rPr>
              <w:t>Meta-SPC 3</w:t>
            </w:r>
          </w:p>
        </w:tc>
        <w:tc>
          <w:tcPr>
            <w:tcW w:w="0" w:type="auto"/>
            <w:tcBorders>
              <w:bottom w:val="single" w:sz="4" w:space="0" w:color="auto"/>
            </w:tcBorders>
            <w:vAlign w:val="center"/>
          </w:tcPr>
          <w:p w14:paraId="408E8BA8" w14:textId="77777777" w:rsidR="006458E0" w:rsidRPr="00815DCB" w:rsidRDefault="006458E0" w:rsidP="006458E0">
            <w:pPr>
              <w:spacing w:line="260" w:lineRule="atLeast"/>
              <w:jc w:val="center"/>
              <w:outlineLvl w:val="0"/>
              <w:rPr>
                <w:sz w:val="18"/>
                <w:szCs w:val="18"/>
              </w:rPr>
            </w:pPr>
            <w:r w:rsidRPr="00815DCB">
              <w:rPr>
                <w:sz w:val="18"/>
                <w:szCs w:val="18"/>
              </w:rPr>
              <w:t>Meta-SPC 4</w:t>
            </w:r>
          </w:p>
        </w:tc>
        <w:tc>
          <w:tcPr>
            <w:tcW w:w="0" w:type="auto"/>
            <w:tcBorders>
              <w:bottom w:val="single" w:sz="4" w:space="0" w:color="auto"/>
            </w:tcBorders>
            <w:vAlign w:val="center"/>
          </w:tcPr>
          <w:p w14:paraId="37907670" w14:textId="77777777" w:rsidR="006458E0" w:rsidRPr="00815DCB" w:rsidRDefault="006458E0" w:rsidP="006458E0">
            <w:pPr>
              <w:spacing w:line="260" w:lineRule="atLeast"/>
              <w:jc w:val="center"/>
              <w:outlineLvl w:val="0"/>
              <w:rPr>
                <w:sz w:val="18"/>
                <w:szCs w:val="18"/>
              </w:rPr>
            </w:pPr>
            <w:r w:rsidRPr="00815DCB">
              <w:rPr>
                <w:sz w:val="18"/>
                <w:szCs w:val="18"/>
              </w:rPr>
              <w:t>Meta-SPC 6</w:t>
            </w:r>
          </w:p>
        </w:tc>
        <w:tc>
          <w:tcPr>
            <w:tcW w:w="0" w:type="auto"/>
            <w:tcBorders>
              <w:bottom w:val="single" w:sz="4" w:space="0" w:color="auto"/>
            </w:tcBorders>
            <w:vAlign w:val="center"/>
          </w:tcPr>
          <w:p w14:paraId="3C1C6853" w14:textId="77777777" w:rsidR="006458E0" w:rsidRPr="00815DCB" w:rsidRDefault="006458E0" w:rsidP="006458E0">
            <w:pPr>
              <w:spacing w:line="260" w:lineRule="atLeast"/>
              <w:jc w:val="center"/>
              <w:outlineLvl w:val="0"/>
              <w:rPr>
                <w:sz w:val="18"/>
                <w:szCs w:val="18"/>
              </w:rPr>
            </w:pPr>
            <w:r w:rsidRPr="00815DCB">
              <w:rPr>
                <w:sz w:val="18"/>
                <w:szCs w:val="18"/>
              </w:rPr>
              <w:t>Meta-SPC 7</w:t>
            </w:r>
          </w:p>
        </w:tc>
        <w:tc>
          <w:tcPr>
            <w:tcW w:w="0" w:type="auto"/>
            <w:tcBorders>
              <w:bottom w:val="single" w:sz="4" w:space="0" w:color="auto"/>
            </w:tcBorders>
            <w:vAlign w:val="center"/>
          </w:tcPr>
          <w:p w14:paraId="28DB167D" w14:textId="77777777" w:rsidR="006458E0" w:rsidRPr="00815DCB" w:rsidRDefault="006458E0" w:rsidP="006458E0">
            <w:pPr>
              <w:spacing w:line="260" w:lineRule="atLeast"/>
              <w:jc w:val="center"/>
              <w:outlineLvl w:val="0"/>
              <w:rPr>
                <w:sz w:val="18"/>
                <w:szCs w:val="18"/>
              </w:rPr>
            </w:pPr>
            <w:r w:rsidRPr="00815DCB">
              <w:rPr>
                <w:sz w:val="18"/>
                <w:szCs w:val="18"/>
              </w:rPr>
              <w:t>Meta-SPC 8</w:t>
            </w:r>
          </w:p>
        </w:tc>
        <w:tc>
          <w:tcPr>
            <w:tcW w:w="0" w:type="auto"/>
            <w:tcBorders>
              <w:bottom w:val="single" w:sz="4" w:space="0" w:color="auto"/>
            </w:tcBorders>
            <w:vAlign w:val="center"/>
          </w:tcPr>
          <w:p w14:paraId="77FA872F" w14:textId="77777777" w:rsidR="006458E0" w:rsidRPr="00815DCB" w:rsidRDefault="006458E0" w:rsidP="006458E0">
            <w:pPr>
              <w:spacing w:line="260" w:lineRule="atLeast"/>
              <w:jc w:val="center"/>
              <w:outlineLvl w:val="0"/>
              <w:rPr>
                <w:sz w:val="18"/>
                <w:szCs w:val="18"/>
              </w:rPr>
            </w:pPr>
            <w:r w:rsidRPr="00815DCB">
              <w:rPr>
                <w:sz w:val="18"/>
                <w:szCs w:val="18"/>
              </w:rPr>
              <w:t>Meta-SPC 9</w:t>
            </w:r>
          </w:p>
        </w:tc>
        <w:tc>
          <w:tcPr>
            <w:tcW w:w="0" w:type="auto"/>
            <w:tcBorders>
              <w:bottom w:val="single" w:sz="4" w:space="0" w:color="auto"/>
            </w:tcBorders>
            <w:vAlign w:val="center"/>
          </w:tcPr>
          <w:p w14:paraId="612104BE" w14:textId="77777777" w:rsidR="006458E0" w:rsidRPr="00815DCB" w:rsidRDefault="006458E0" w:rsidP="006458E0">
            <w:pPr>
              <w:spacing w:line="260" w:lineRule="atLeast"/>
              <w:jc w:val="center"/>
              <w:outlineLvl w:val="0"/>
              <w:rPr>
                <w:sz w:val="18"/>
                <w:szCs w:val="18"/>
              </w:rPr>
            </w:pPr>
            <w:r w:rsidRPr="00815DCB">
              <w:rPr>
                <w:sz w:val="18"/>
                <w:szCs w:val="18"/>
              </w:rPr>
              <w:t>Meta-SPC 10</w:t>
            </w:r>
          </w:p>
        </w:tc>
        <w:tc>
          <w:tcPr>
            <w:tcW w:w="0" w:type="auto"/>
            <w:tcBorders>
              <w:bottom w:val="single" w:sz="4" w:space="0" w:color="auto"/>
            </w:tcBorders>
            <w:vAlign w:val="center"/>
          </w:tcPr>
          <w:p w14:paraId="4ABFD1CD" w14:textId="77777777" w:rsidR="006458E0" w:rsidRPr="00815DCB" w:rsidRDefault="006458E0" w:rsidP="006458E0">
            <w:pPr>
              <w:spacing w:line="260" w:lineRule="atLeast"/>
              <w:jc w:val="center"/>
              <w:outlineLvl w:val="0"/>
              <w:rPr>
                <w:sz w:val="18"/>
                <w:szCs w:val="18"/>
              </w:rPr>
            </w:pPr>
            <w:r w:rsidRPr="00815DCB">
              <w:rPr>
                <w:sz w:val="18"/>
                <w:szCs w:val="18"/>
              </w:rPr>
              <w:t>Meta-SPC 11</w:t>
            </w:r>
          </w:p>
        </w:tc>
        <w:tc>
          <w:tcPr>
            <w:tcW w:w="0" w:type="auto"/>
            <w:tcBorders>
              <w:bottom w:val="single" w:sz="4" w:space="0" w:color="auto"/>
            </w:tcBorders>
            <w:vAlign w:val="center"/>
          </w:tcPr>
          <w:p w14:paraId="3BE08B13" w14:textId="50BC12C7" w:rsidR="006458E0" w:rsidRPr="00815DCB" w:rsidRDefault="006458E0" w:rsidP="006458E0">
            <w:pPr>
              <w:spacing w:line="260" w:lineRule="atLeast"/>
              <w:jc w:val="center"/>
              <w:outlineLvl w:val="0"/>
              <w:rPr>
                <w:sz w:val="18"/>
                <w:szCs w:val="18"/>
              </w:rPr>
            </w:pPr>
            <w:r w:rsidRPr="00815DCB">
              <w:rPr>
                <w:sz w:val="18"/>
                <w:szCs w:val="18"/>
              </w:rPr>
              <w:t>Meta-SPC 12</w:t>
            </w:r>
          </w:p>
        </w:tc>
        <w:tc>
          <w:tcPr>
            <w:tcW w:w="0" w:type="auto"/>
            <w:tcBorders>
              <w:bottom w:val="single" w:sz="4" w:space="0" w:color="auto"/>
            </w:tcBorders>
            <w:vAlign w:val="center"/>
          </w:tcPr>
          <w:p w14:paraId="43D5D613" w14:textId="04D7A7A1" w:rsidR="006458E0" w:rsidRPr="00815DCB" w:rsidRDefault="006458E0" w:rsidP="006458E0">
            <w:pPr>
              <w:spacing w:line="260" w:lineRule="atLeast"/>
              <w:jc w:val="center"/>
              <w:outlineLvl w:val="0"/>
              <w:rPr>
                <w:sz w:val="18"/>
                <w:szCs w:val="18"/>
              </w:rPr>
            </w:pPr>
            <w:r w:rsidRPr="00815DCB">
              <w:rPr>
                <w:sz w:val="18"/>
                <w:szCs w:val="18"/>
              </w:rPr>
              <w:t>Meta-SPC 13</w:t>
            </w:r>
          </w:p>
        </w:tc>
      </w:tr>
      <w:tr w:rsidR="009A6698" w:rsidRPr="00861606" w14:paraId="5D9C6A0D" w14:textId="6091F2DD" w:rsidTr="00240849">
        <w:trPr>
          <w:trHeight w:val="57"/>
        </w:trPr>
        <w:tc>
          <w:tcPr>
            <w:tcW w:w="1361" w:type="dxa"/>
            <w:tcBorders>
              <w:top w:val="single" w:sz="4" w:space="0" w:color="auto"/>
              <w:left w:val="single" w:sz="4" w:space="0" w:color="auto"/>
              <w:bottom w:val="single" w:sz="4" w:space="0" w:color="auto"/>
            </w:tcBorders>
            <w:vAlign w:val="center"/>
          </w:tcPr>
          <w:p w14:paraId="7499E2AD" w14:textId="5E829159" w:rsidR="006458E0" w:rsidRPr="00D17F8B" w:rsidRDefault="006458E0" w:rsidP="006458E0">
            <w:pPr>
              <w:spacing w:before="240" w:after="60" w:line="260" w:lineRule="atLeast"/>
              <w:jc w:val="center"/>
              <w:outlineLvl w:val="0"/>
              <w:rPr>
                <w:sz w:val="18"/>
                <w:szCs w:val="18"/>
              </w:rPr>
            </w:pPr>
            <w:r>
              <w:rPr>
                <w:sz w:val="18"/>
                <w:szCs w:val="18"/>
              </w:rPr>
              <w:t>Classification</w:t>
            </w:r>
          </w:p>
        </w:tc>
        <w:tc>
          <w:tcPr>
            <w:tcW w:w="693" w:type="dxa"/>
            <w:tcBorders>
              <w:top w:val="single" w:sz="4" w:space="0" w:color="auto"/>
              <w:bottom w:val="single" w:sz="4" w:space="0" w:color="auto"/>
            </w:tcBorders>
            <w:vAlign w:val="center"/>
          </w:tcPr>
          <w:p w14:paraId="4E9A027B" w14:textId="1F84DE4A" w:rsidR="006458E0" w:rsidRPr="00D17F8B" w:rsidRDefault="006F4205" w:rsidP="006458E0">
            <w:pPr>
              <w:spacing w:before="240" w:after="60" w:line="260" w:lineRule="atLeast"/>
              <w:jc w:val="center"/>
              <w:outlineLvl w:val="0"/>
              <w:rPr>
                <w:sz w:val="18"/>
                <w:szCs w:val="18"/>
              </w:rPr>
            </w:pPr>
            <w:r>
              <w:rPr>
                <w:sz w:val="18"/>
                <w:szCs w:val="18"/>
              </w:rPr>
              <w:t>n.c.</w:t>
            </w:r>
          </w:p>
        </w:tc>
        <w:tc>
          <w:tcPr>
            <w:tcW w:w="0" w:type="auto"/>
            <w:tcBorders>
              <w:top w:val="single" w:sz="4" w:space="0" w:color="auto"/>
              <w:bottom w:val="single" w:sz="4" w:space="0" w:color="auto"/>
            </w:tcBorders>
          </w:tcPr>
          <w:p w14:paraId="055DF770" w14:textId="3EA8207B"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tcPr>
          <w:p w14:paraId="00EA337F" w14:textId="538EB89A"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tcPr>
          <w:p w14:paraId="33C63E45" w14:textId="244E2096"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vAlign w:val="center"/>
          </w:tcPr>
          <w:p w14:paraId="574F9A35" w14:textId="4064A484"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vAlign w:val="center"/>
          </w:tcPr>
          <w:p w14:paraId="23DBD0FD" w14:textId="69FB5C56"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vAlign w:val="center"/>
          </w:tcPr>
          <w:p w14:paraId="42ED4118" w14:textId="0205EDE3"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tcBorders>
            <w:vAlign w:val="center"/>
          </w:tcPr>
          <w:p w14:paraId="22E6FEA0" w14:textId="4AA9FDF5" w:rsidR="006458E0" w:rsidRPr="00D17F8B" w:rsidRDefault="006458E0" w:rsidP="006458E0">
            <w:pPr>
              <w:spacing w:before="240" w:after="60" w:line="260" w:lineRule="atLeast"/>
              <w:jc w:val="center"/>
              <w:outlineLvl w:val="0"/>
              <w:rPr>
                <w:rFonts w:eastAsia="Calibri" w:cs="Times New Roman"/>
                <w:sz w:val="18"/>
                <w:szCs w:val="18"/>
                <w:lang w:eastAsia="en-US"/>
              </w:rPr>
            </w:pPr>
            <w:r>
              <w:rPr>
                <w:sz w:val="18"/>
                <w:szCs w:val="18"/>
              </w:rPr>
              <w:t>H412</w:t>
            </w:r>
          </w:p>
        </w:tc>
        <w:tc>
          <w:tcPr>
            <w:tcW w:w="0" w:type="auto"/>
            <w:tcBorders>
              <w:top w:val="single" w:sz="4" w:space="0" w:color="auto"/>
              <w:bottom w:val="single" w:sz="4" w:space="0" w:color="auto"/>
            </w:tcBorders>
            <w:vAlign w:val="center"/>
          </w:tcPr>
          <w:p w14:paraId="12C30FDA" w14:textId="362EE16D" w:rsidR="006458E0" w:rsidRPr="00D17F8B" w:rsidRDefault="006458E0" w:rsidP="006458E0">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H412</w:t>
            </w:r>
          </w:p>
        </w:tc>
        <w:tc>
          <w:tcPr>
            <w:tcW w:w="0" w:type="auto"/>
            <w:tcBorders>
              <w:top w:val="single" w:sz="4" w:space="0" w:color="auto"/>
              <w:bottom w:val="single" w:sz="4" w:space="0" w:color="auto"/>
            </w:tcBorders>
            <w:vAlign w:val="center"/>
          </w:tcPr>
          <w:p w14:paraId="6043DBDC" w14:textId="5096D0D1" w:rsidR="006458E0" w:rsidRPr="00D17F8B" w:rsidRDefault="006458E0" w:rsidP="006458E0">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H412</w:t>
            </w:r>
          </w:p>
        </w:tc>
        <w:tc>
          <w:tcPr>
            <w:tcW w:w="0" w:type="auto"/>
            <w:tcBorders>
              <w:top w:val="single" w:sz="4" w:space="0" w:color="auto"/>
              <w:bottom w:val="single" w:sz="4" w:space="0" w:color="auto"/>
            </w:tcBorders>
            <w:vAlign w:val="center"/>
          </w:tcPr>
          <w:p w14:paraId="26567392" w14:textId="485DCA0C" w:rsidR="006458E0" w:rsidRPr="00D17F8B" w:rsidRDefault="006F4205" w:rsidP="006458E0">
            <w:pPr>
              <w:spacing w:before="240" w:after="60" w:line="260" w:lineRule="atLeast"/>
              <w:jc w:val="center"/>
              <w:outlineLvl w:val="0"/>
              <w:rPr>
                <w:rFonts w:eastAsia="Calibri" w:cs="Times New Roman"/>
                <w:sz w:val="18"/>
                <w:szCs w:val="18"/>
                <w:lang w:eastAsia="en-US"/>
              </w:rPr>
            </w:pPr>
            <w:r>
              <w:rPr>
                <w:sz w:val="18"/>
                <w:szCs w:val="18"/>
              </w:rPr>
              <w:t>n.c.</w:t>
            </w:r>
          </w:p>
        </w:tc>
        <w:tc>
          <w:tcPr>
            <w:tcW w:w="0" w:type="auto"/>
            <w:tcBorders>
              <w:top w:val="single" w:sz="4" w:space="0" w:color="auto"/>
              <w:bottom w:val="single" w:sz="4" w:space="0" w:color="auto"/>
              <w:right w:val="single" w:sz="4" w:space="0" w:color="auto"/>
            </w:tcBorders>
          </w:tcPr>
          <w:p w14:paraId="5A1F0411" w14:textId="4735DD9F" w:rsidR="006458E0" w:rsidRPr="00D17F8B" w:rsidRDefault="006458E0" w:rsidP="006458E0">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H412</w:t>
            </w:r>
          </w:p>
        </w:tc>
      </w:tr>
    </w:tbl>
    <w:p w14:paraId="1C01D8C1" w14:textId="68BFD7DB" w:rsidR="009A6698" w:rsidRPr="009A6698" w:rsidRDefault="006F4205" w:rsidP="00815DCB">
      <w:pPr>
        <w:spacing w:line="260" w:lineRule="atLeast"/>
        <w:jc w:val="both"/>
        <w:rPr>
          <w:rFonts w:eastAsia="Calibri"/>
          <w:lang w:eastAsia="en-US"/>
        </w:rPr>
      </w:pPr>
      <w:r>
        <w:rPr>
          <w:rFonts w:eastAsia="Calibri"/>
          <w:lang w:eastAsia="en-US"/>
        </w:rPr>
        <w:t xml:space="preserve">n.c.: Not classified </w:t>
      </w:r>
    </w:p>
    <w:p w14:paraId="5202BC40" w14:textId="77777777" w:rsidR="006F4205" w:rsidRDefault="006F4205" w:rsidP="0073642B">
      <w:pPr>
        <w:rPr>
          <w:rFonts w:eastAsia="Calibri"/>
          <w:b/>
          <w:i/>
          <w:sz w:val="22"/>
          <w:szCs w:val="22"/>
          <w:lang w:eastAsia="en-US"/>
        </w:rPr>
      </w:pPr>
    </w:p>
    <w:p w14:paraId="3B234BC9" w14:textId="62CF9E8F" w:rsidR="0073642B" w:rsidRPr="00B27CB1" w:rsidRDefault="0073642B" w:rsidP="0073642B">
      <w:pPr>
        <w:rPr>
          <w:rFonts w:ascii="Times New Roman" w:eastAsia="Calibri" w:hAnsi="Times New Roman" w:cs="Times New Roman"/>
          <w:b/>
          <w:i/>
          <w:iCs/>
          <w:sz w:val="22"/>
          <w:szCs w:val="22"/>
          <w:lang w:eastAsia="en-US"/>
        </w:rPr>
      </w:pPr>
      <w:r w:rsidRPr="00B27CB1">
        <w:rPr>
          <w:rFonts w:eastAsia="Calibri"/>
          <w:b/>
          <w:i/>
          <w:sz w:val="22"/>
          <w:szCs w:val="22"/>
          <w:lang w:eastAsia="en-US"/>
        </w:rPr>
        <w:t>Further Ecotoxicological studies</w:t>
      </w:r>
    </w:p>
    <w:p w14:paraId="541F4485" w14:textId="77777777" w:rsidR="0073642B" w:rsidRPr="00B27CB1" w:rsidRDefault="0073642B" w:rsidP="0073642B">
      <w:pPr>
        <w:spacing w:line="260" w:lineRule="atLeast"/>
        <w:rPr>
          <w:rFonts w:ascii="Times New Roman" w:eastAsia="Calibri" w:hAnsi="Times New Roman" w:cs="Times New Roman"/>
          <w:b/>
          <w:i/>
          <w:iCs/>
          <w:sz w:val="22"/>
          <w:szCs w:val="22"/>
          <w:lang w:eastAsia="en-US"/>
        </w:rPr>
      </w:pPr>
    </w:p>
    <w:p w14:paraId="4E948EBD" w14:textId="77777777" w:rsidR="0073642B" w:rsidRDefault="0073642B" w:rsidP="0073642B">
      <w:pPr>
        <w:spacing w:line="260" w:lineRule="atLeast"/>
        <w:rPr>
          <w:rFonts w:ascii="Times New Roman" w:eastAsia="Calibri" w:hAnsi="Times New Roman" w:cs="Times New Roman"/>
          <w:b/>
          <w:bCs/>
          <w:i/>
          <w:iCs/>
          <w:sz w:val="18"/>
          <w:szCs w:val="18"/>
          <w:lang w:eastAsia="en-US"/>
        </w:rPr>
      </w:pPr>
      <w:r>
        <w:rPr>
          <w:rFonts w:eastAsia="Calibri" w:cs="Times New Roman"/>
          <w:iCs/>
          <w:lang w:eastAsia="en-US"/>
        </w:rPr>
        <w:t>No new data is available</w:t>
      </w:r>
    </w:p>
    <w:p w14:paraId="3434BC22" w14:textId="77777777" w:rsidR="0073642B" w:rsidRPr="00B27CB1" w:rsidRDefault="0073642B" w:rsidP="0073642B">
      <w:pPr>
        <w:spacing w:line="260" w:lineRule="atLeast"/>
        <w:rPr>
          <w:rFonts w:ascii="Times New Roman" w:eastAsia="Calibri" w:hAnsi="Times New Roman" w:cs="Times New Roman"/>
          <w:i/>
          <w:iCs/>
          <w:lang w:eastAsia="en-US"/>
        </w:rPr>
      </w:pPr>
    </w:p>
    <w:p w14:paraId="6622252A" w14:textId="77777777" w:rsidR="0073642B" w:rsidRPr="00B27CB1" w:rsidRDefault="0073642B" w:rsidP="0073642B">
      <w:pPr>
        <w:rPr>
          <w:rFonts w:ascii="Times New Roman" w:eastAsia="Calibri" w:hAnsi="Times New Roman" w:cs="Times New Roman"/>
          <w:b/>
          <w:i/>
          <w:iCs/>
          <w:sz w:val="22"/>
          <w:szCs w:val="22"/>
          <w:lang w:eastAsia="en-US"/>
        </w:rPr>
      </w:pPr>
      <w:r w:rsidRPr="00B27CB1">
        <w:rPr>
          <w:rFonts w:eastAsia="Calibri"/>
          <w:b/>
          <w:i/>
          <w:sz w:val="22"/>
          <w:szCs w:val="22"/>
          <w:lang w:eastAsia="en-US"/>
        </w:rPr>
        <w:t>Effects on any other specific, non-target organisms (flora and fauna) believed to be at risk (ADS)</w:t>
      </w:r>
    </w:p>
    <w:p w14:paraId="46F89AAB" w14:textId="77777777" w:rsidR="0073642B" w:rsidRPr="00B27CB1" w:rsidRDefault="0073642B" w:rsidP="0073642B">
      <w:pPr>
        <w:spacing w:line="260" w:lineRule="atLeast"/>
        <w:rPr>
          <w:rFonts w:ascii="Times New Roman" w:eastAsia="Calibri" w:hAnsi="Times New Roman" w:cs="Times New Roman"/>
          <w:b/>
          <w:i/>
          <w:iCs/>
          <w:sz w:val="22"/>
          <w:szCs w:val="22"/>
          <w:lang w:eastAsia="en-US"/>
        </w:rPr>
      </w:pPr>
    </w:p>
    <w:p w14:paraId="4A5266DD" w14:textId="77777777" w:rsidR="0073642B" w:rsidRDefault="0073642B" w:rsidP="0073642B">
      <w:pPr>
        <w:spacing w:line="260" w:lineRule="atLeast"/>
        <w:rPr>
          <w:rFonts w:ascii="Times New Roman" w:eastAsia="Calibri" w:hAnsi="Times New Roman" w:cs="Times New Roman"/>
          <w:i/>
          <w:iCs/>
          <w:lang w:eastAsia="en-US"/>
        </w:rPr>
      </w:pPr>
      <w:r>
        <w:rPr>
          <w:rFonts w:eastAsia="Calibri" w:cs="Times New Roman"/>
          <w:iCs/>
          <w:lang w:eastAsia="en-US"/>
        </w:rPr>
        <w:t>No new data is available</w:t>
      </w:r>
      <w:r>
        <w:rPr>
          <w:rFonts w:ascii="Times New Roman" w:eastAsia="Calibri" w:hAnsi="Times New Roman" w:cs="Times New Roman"/>
          <w:i/>
          <w:iCs/>
          <w:lang w:eastAsia="en-US"/>
        </w:rPr>
        <w:t xml:space="preserve"> </w:t>
      </w:r>
    </w:p>
    <w:p w14:paraId="564116D5" w14:textId="77777777" w:rsidR="0073642B" w:rsidRPr="00B27CB1" w:rsidRDefault="0073642B" w:rsidP="0073642B">
      <w:pPr>
        <w:spacing w:line="260" w:lineRule="atLeast"/>
        <w:rPr>
          <w:rFonts w:ascii="Times New Roman" w:eastAsia="Calibri" w:hAnsi="Times New Roman" w:cs="Times New Roman"/>
          <w:i/>
          <w:iCs/>
          <w:lang w:eastAsia="en-US"/>
        </w:rPr>
      </w:pPr>
    </w:p>
    <w:p w14:paraId="1A15CE76" w14:textId="77777777" w:rsidR="0073642B" w:rsidRPr="00B27CB1" w:rsidRDefault="0073642B" w:rsidP="0073642B">
      <w:pPr>
        <w:jc w:val="both"/>
        <w:rPr>
          <w:rFonts w:ascii="Times New Roman" w:eastAsia="Calibri" w:hAnsi="Times New Roman" w:cs="Times New Roman"/>
          <w:b/>
          <w:i/>
          <w:iCs/>
          <w:sz w:val="22"/>
          <w:szCs w:val="22"/>
          <w:lang w:eastAsia="en-US"/>
        </w:rPr>
      </w:pPr>
      <w:r w:rsidRPr="00B27CB1">
        <w:rPr>
          <w:rFonts w:eastAsia="Calibri"/>
          <w:b/>
          <w:i/>
          <w:sz w:val="22"/>
          <w:szCs w:val="22"/>
          <w:lang w:eastAsia="en-US"/>
        </w:rPr>
        <w:t>Supervised trials to assess risks to non-target organisms under field conditions</w:t>
      </w:r>
    </w:p>
    <w:p w14:paraId="519E399E" w14:textId="77777777" w:rsidR="0073642B" w:rsidRPr="00B27CB1" w:rsidRDefault="0073642B" w:rsidP="0073642B">
      <w:pPr>
        <w:spacing w:line="260" w:lineRule="atLeast"/>
        <w:rPr>
          <w:rFonts w:ascii="Times New Roman" w:eastAsia="Calibri" w:hAnsi="Times New Roman" w:cs="Times New Roman"/>
          <w:b/>
          <w:i/>
          <w:iCs/>
          <w:sz w:val="22"/>
          <w:szCs w:val="22"/>
          <w:lang w:eastAsia="en-US"/>
        </w:rPr>
      </w:pPr>
    </w:p>
    <w:p w14:paraId="3E153771" w14:textId="77777777" w:rsidR="0073642B" w:rsidRDefault="0073642B" w:rsidP="0073642B">
      <w:pPr>
        <w:spacing w:line="260" w:lineRule="atLeast"/>
        <w:rPr>
          <w:rFonts w:ascii="Times New Roman" w:eastAsia="Calibri" w:hAnsi="Times New Roman" w:cs="Times New Roman"/>
          <w:i/>
          <w:iCs/>
          <w:lang w:eastAsia="en-US"/>
        </w:rPr>
      </w:pPr>
      <w:r>
        <w:rPr>
          <w:rFonts w:eastAsia="Calibri" w:cs="Times New Roman"/>
          <w:iCs/>
          <w:lang w:eastAsia="en-US"/>
        </w:rPr>
        <w:t>No new data is available</w:t>
      </w:r>
      <w:r>
        <w:rPr>
          <w:rFonts w:ascii="Times New Roman" w:eastAsia="Calibri" w:hAnsi="Times New Roman" w:cs="Times New Roman"/>
          <w:i/>
          <w:iCs/>
          <w:lang w:eastAsia="en-US"/>
        </w:rPr>
        <w:t xml:space="preserve"> </w:t>
      </w:r>
    </w:p>
    <w:p w14:paraId="4EFCCA1C" w14:textId="77777777" w:rsidR="0073642B" w:rsidRPr="00B27CB1" w:rsidRDefault="0073642B" w:rsidP="0073642B">
      <w:pPr>
        <w:spacing w:line="260" w:lineRule="atLeast"/>
        <w:rPr>
          <w:rFonts w:ascii="Times New Roman" w:eastAsia="Calibri" w:hAnsi="Times New Roman" w:cs="Times New Roman"/>
          <w:i/>
          <w:iCs/>
          <w:lang w:eastAsia="en-US"/>
        </w:rPr>
      </w:pPr>
    </w:p>
    <w:p w14:paraId="52E268C4" w14:textId="77777777" w:rsidR="0073642B" w:rsidRPr="00B27CB1" w:rsidRDefault="0073642B" w:rsidP="0073642B">
      <w:pPr>
        <w:jc w:val="both"/>
        <w:rPr>
          <w:rFonts w:eastAsia="Calibri"/>
          <w:b/>
          <w:i/>
          <w:sz w:val="22"/>
          <w:szCs w:val="22"/>
          <w:lang w:eastAsia="en-US"/>
        </w:rPr>
      </w:pPr>
      <w:r w:rsidRPr="00B27CB1">
        <w:rPr>
          <w:rFonts w:eastAsia="Calibri"/>
          <w:b/>
          <w:i/>
          <w:sz w:val="22"/>
          <w:szCs w:val="22"/>
          <w:lang w:eastAsia="en-US"/>
        </w:rPr>
        <w:t>Studies on acceptance by ingestion of the biocidal product by any non-target organisms thought to be at risk</w:t>
      </w:r>
    </w:p>
    <w:p w14:paraId="52DA03D0" w14:textId="77777777" w:rsidR="0073642B" w:rsidRPr="00B27CB1" w:rsidRDefault="0073642B" w:rsidP="0073642B">
      <w:pPr>
        <w:rPr>
          <w:rFonts w:eastAsia="Calibri"/>
          <w:b/>
          <w:i/>
          <w:sz w:val="22"/>
          <w:szCs w:val="22"/>
          <w:lang w:eastAsia="en-US"/>
        </w:rPr>
      </w:pPr>
    </w:p>
    <w:p w14:paraId="10D12FE3" w14:textId="77777777" w:rsidR="0073642B" w:rsidRPr="00B27CB1" w:rsidRDefault="0073642B" w:rsidP="0073642B">
      <w:pPr>
        <w:spacing w:line="260" w:lineRule="atLeast"/>
        <w:rPr>
          <w:rFonts w:ascii="Times New Roman" w:eastAsia="Calibri" w:hAnsi="Times New Roman" w:cs="Times New Roman"/>
          <w:i/>
          <w:iCs/>
          <w:lang w:eastAsia="en-US"/>
        </w:rPr>
      </w:pPr>
      <w:r>
        <w:rPr>
          <w:rFonts w:eastAsia="Calibri" w:cs="Times New Roman"/>
          <w:iCs/>
          <w:lang w:eastAsia="en-US"/>
        </w:rPr>
        <w:t>No new data is available</w:t>
      </w:r>
      <w:r>
        <w:rPr>
          <w:rFonts w:ascii="Times New Roman" w:eastAsia="Calibri" w:hAnsi="Times New Roman" w:cs="Times New Roman"/>
          <w:i/>
          <w:iCs/>
          <w:lang w:eastAsia="en-US"/>
        </w:rPr>
        <w:t xml:space="preserve"> </w:t>
      </w:r>
    </w:p>
    <w:p w14:paraId="4426CB77" w14:textId="77777777" w:rsidR="0073642B" w:rsidRPr="00B27CB1" w:rsidRDefault="0073642B" w:rsidP="0073642B">
      <w:pPr>
        <w:spacing w:line="260" w:lineRule="atLeast"/>
        <w:rPr>
          <w:rFonts w:ascii="Times New Roman" w:eastAsia="Calibri" w:hAnsi="Times New Roman" w:cs="Times New Roman"/>
          <w:i/>
          <w:iCs/>
          <w:lang w:eastAsia="en-US"/>
        </w:rPr>
      </w:pPr>
    </w:p>
    <w:p w14:paraId="1F587052" w14:textId="77777777" w:rsidR="0073642B" w:rsidRPr="00B27CB1" w:rsidRDefault="0073642B" w:rsidP="0073642B">
      <w:pPr>
        <w:jc w:val="both"/>
        <w:rPr>
          <w:rFonts w:eastAsia="Calibri"/>
          <w:b/>
          <w:i/>
          <w:sz w:val="22"/>
          <w:szCs w:val="22"/>
          <w:lang w:eastAsia="en-US"/>
        </w:rPr>
      </w:pPr>
      <w:r w:rsidRPr="00B27CB1">
        <w:rPr>
          <w:rFonts w:eastAsia="Calibri"/>
          <w:b/>
          <w:i/>
          <w:sz w:val="22"/>
          <w:szCs w:val="22"/>
          <w:lang w:eastAsia="en-US"/>
        </w:rPr>
        <w:t>Secondary ecological effect e.g. when a large proportion of a specific habitat type is treated (ADS)</w:t>
      </w:r>
    </w:p>
    <w:p w14:paraId="1ED9B655" w14:textId="77777777" w:rsidR="0073642B" w:rsidRPr="00B27CB1" w:rsidRDefault="0073642B" w:rsidP="0073642B">
      <w:pPr>
        <w:spacing w:line="260" w:lineRule="atLeast"/>
        <w:rPr>
          <w:rFonts w:eastAsia="Calibri"/>
          <w:b/>
          <w:i/>
          <w:sz w:val="22"/>
          <w:szCs w:val="22"/>
          <w:lang w:eastAsia="en-US"/>
        </w:rPr>
      </w:pPr>
    </w:p>
    <w:p w14:paraId="2134ABBB" w14:textId="77777777" w:rsidR="0073642B" w:rsidRDefault="0073642B" w:rsidP="0073642B">
      <w:pPr>
        <w:spacing w:line="260" w:lineRule="atLeast"/>
        <w:rPr>
          <w:rFonts w:eastAsia="Calibri" w:cs="Times New Roman"/>
          <w:iCs/>
          <w:lang w:eastAsia="en-US"/>
        </w:rPr>
      </w:pPr>
      <w:r>
        <w:rPr>
          <w:rFonts w:eastAsia="Calibri" w:cs="Times New Roman"/>
          <w:iCs/>
          <w:lang w:eastAsia="en-US"/>
        </w:rPr>
        <w:t>No new data is available</w:t>
      </w:r>
    </w:p>
    <w:p w14:paraId="7CACD808" w14:textId="77777777" w:rsidR="0073642B" w:rsidRPr="00B27CB1" w:rsidRDefault="0073642B" w:rsidP="0073642B">
      <w:pPr>
        <w:spacing w:line="260" w:lineRule="atLeast"/>
        <w:rPr>
          <w:rFonts w:ascii="Times New Roman" w:eastAsia="Calibri" w:hAnsi="Times New Roman" w:cs="Times New Roman"/>
          <w:i/>
          <w:iCs/>
          <w:lang w:eastAsia="en-US"/>
        </w:rPr>
      </w:pPr>
    </w:p>
    <w:p w14:paraId="0DE8A677" w14:textId="77777777" w:rsidR="0073642B" w:rsidRPr="00B27CB1" w:rsidRDefault="0073642B" w:rsidP="0073642B">
      <w:pPr>
        <w:jc w:val="both"/>
        <w:rPr>
          <w:rFonts w:ascii="Times New Roman" w:eastAsia="Calibri" w:hAnsi="Times New Roman" w:cs="Times New Roman"/>
          <w:b/>
          <w:i/>
          <w:iCs/>
          <w:sz w:val="22"/>
          <w:szCs w:val="22"/>
          <w:lang w:eastAsia="en-US"/>
        </w:rPr>
      </w:pPr>
      <w:r w:rsidRPr="00B27CB1">
        <w:rPr>
          <w:rFonts w:eastAsia="Calibri"/>
          <w:b/>
          <w:i/>
          <w:sz w:val="22"/>
          <w:szCs w:val="22"/>
          <w:lang w:eastAsia="en-US"/>
        </w:rPr>
        <w:t>Foreseeable routes of entry into the environment on the basis of the use envisaged</w:t>
      </w:r>
    </w:p>
    <w:p w14:paraId="3146EAF0" w14:textId="77777777" w:rsidR="0073642B" w:rsidRPr="00B27CB1" w:rsidRDefault="0073642B" w:rsidP="0073642B">
      <w:pPr>
        <w:spacing w:line="260" w:lineRule="atLeast"/>
        <w:rPr>
          <w:rFonts w:ascii="Times New Roman" w:eastAsia="Calibri" w:hAnsi="Times New Roman" w:cs="Times New Roman"/>
          <w:b/>
          <w:i/>
          <w:iCs/>
          <w:sz w:val="22"/>
          <w:szCs w:val="22"/>
          <w:lang w:eastAsia="en-US"/>
        </w:rPr>
      </w:pPr>
    </w:p>
    <w:p w14:paraId="08AFCC83" w14:textId="77777777" w:rsidR="0073642B" w:rsidRPr="00B27CB1" w:rsidRDefault="0073642B" w:rsidP="0073642B">
      <w:pPr>
        <w:spacing w:line="260" w:lineRule="atLeast"/>
        <w:rPr>
          <w:rFonts w:ascii="Times New Roman" w:eastAsia="Calibri" w:hAnsi="Times New Roman" w:cs="Times New Roman"/>
          <w:i/>
          <w:iCs/>
          <w:lang w:eastAsia="en-US"/>
        </w:rPr>
      </w:pPr>
      <w:r>
        <w:rPr>
          <w:rFonts w:eastAsia="Calibri" w:cs="Times New Roman"/>
          <w:iCs/>
          <w:lang w:eastAsia="en-US"/>
        </w:rPr>
        <w:t>Refer to the exposure assessment below</w:t>
      </w:r>
    </w:p>
    <w:p w14:paraId="5B457077" w14:textId="77777777" w:rsidR="0073642B" w:rsidRPr="00B27CB1" w:rsidRDefault="0073642B" w:rsidP="0073642B">
      <w:pPr>
        <w:spacing w:before="60" w:line="276" w:lineRule="auto"/>
        <w:ind w:left="142"/>
        <w:rPr>
          <w:rFonts w:ascii="Times New Roman" w:eastAsia="Calibri" w:hAnsi="Times New Roman" w:cs="Times New Roman"/>
          <w:i/>
          <w:iCs/>
          <w:lang w:eastAsia="en-US"/>
        </w:rPr>
      </w:pPr>
    </w:p>
    <w:p w14:paraId="11F86BE3" w14:textId="77777777" w:rsidR="0073642B" w:rsidRPr="00B27CB1" w:rsidRDefault="0073642B" w:rsidP="0073642B">
      <w:pPr>
        <w:rPr>
          <w:rFonts w:eastAsia="Calibri"/>
          <w:b/>
          <w:i/>
          <w:sz w:val="22"/>
          <w:szCs w:val="22"/>
          <w:lang w:eastAsia="en-US"/>
        </w:rPr>
      </w:pPr>
      <w:r w:rsidRPr="00B27CB1">
        <w:rPr>
          <w:rFonts w:eastAsia="Calibri"/>
          <w:b/>
          <w:i/>
          <w:sz w:val="22"/>
          <w:szCs w:val="22"/>
          <w:lang w:eastAsia="en-US"/>
        </w:rPr>
        <w:t>Further studies on fate and behaviour in the environment (ADS)</w:t>
      </w:r>
    </w:p>
    <w:p w14:paraId="221CB9A1" w14:textId="77777777" w:rsidR="0073642B" w:rsidRDefault="0073642B" w:rsidP="0073642B">
      <w:pPr>
        <w:spacing w:line="260" w:lineRule="atLeast"/>
        <w:rPr>
          <w:rFonts w:eastAsia="Calibri" w:cs="Times New Roman"/>
          <w:iCs/>
          <w:lang w:eastAsia="en-US"/>
        </w:rPr>
      </w:pPr>
    </w:p>
    <w:p w14:paraId="430A1D7F" w14:textId="77777777" w:rsidR="0073642B" w:rsidRDefault="0073642B" w:rsidP="0073642B">
      <w:pPr>
        <w:spacing w:line="260" w:lineRule="atLeast"/>
        <w:jc w:val="both"/>
        <w:rPr>
          <w:rFonts w:eastAsia="Calibri" w:cs="Times New Roman"/>
          <w:iCs/>
          <w:lang w:eastAsia="en-US"/>
        </w:rPr>
      </w:pPr>
      <w:r>
        <w:rPr>
          <w:rFonts w:eastAsia="Calibri" w:cs="Times New Roman"/>
          <w:iCs/>
          <w:lang w:eastAsia="en-US"/>
        </w:rPr>
        <w:t xml:space="preserve">At WGII2020, it was stated that </w:t>
      </w:r>
      <w:r w:rsidRPr="001E28FC">
        <w:rPr>
          <w:rFonts w:eastAsia="Calibri" w:cs="Times New Roman"/>
          <w:iCs/>
          <w:lang w:eastAsia="en-US"/>
        </w:rPr>
        <w:t xml:space="preserve">Lactic acid is a naturally occurring simple organic acid found in plants, animals and humans. It is an endogenous metabolite in many organisms, a common naturally occurring food constituent and also a growth regulator intended to </w:t>
      </w:r>
      <w:r w:rsidRPr="001E28FC">
        <w:rPr>
          <w:rFonts w:eastAsia="Calibri" w:cs="Times New Roman"/>
          <w:iCs/>
          <w:lang w:eastAsia="en-US"/>
        </w:rPr>
        <w:lastRenderedPageBreak/>
        <w:t xml:space="preserve">increase nut and fruit set. Furthermore, the environment is exposed to Lactic acid via the excretion of faeces and urine by humans (and their subsequent release from the STPs), as well as the direct disposal of excreta by other mammals. In soils, L(+) </w:t>
      </w:r>
      <w:r>
        <w:rPr>
          <w:rFonts w:eastAsia="Calibri" w:cs="Times New Roman"/>
          <w:iCs/>
          <w:lang w:eastAsia="en-US"/>
        </w:rPr>
        <w:t>L</w:t>
      </w:r>
      <w:r w:rsidRPr="001E28FC">
        <w:rPr>
          <w:rFonts w:eastAsia="Calibri" w:cs="Times New Roman"/>
          <w:iCs/>
          <w:lang w:eastAsia="en-US"/>
        </w:rPr>
        <w:t>actic acid naturally occurs as a fermentation by-product of anaerobic degradation of organic matter. This substance may covalent bind with organic material in sewage sludge, manure, and soils. In microorganisms, lactate formation is one of the usual pathways for NAD+ regeneration and when formed, lactate can be further metabolized through the pathway of pyruvate metabolism. As lactate is metabolized by microorganisms, its degradation in the environment is rapid. It should also be noted that biodegradation during storage of sludge as well as transformation and dilution in deeper soil layers is not</w:t>
      </w:r>
      <w:r>
        <w:rPr>
          <w:rFonts w:eastAsia="Calibri" w:cs="Times New Roman"/>
          <w:iCs/>
          <w:lang w:eastAsia="en-US"/>
        </w:rPr>
        <w:t xml:space="preserve"> </w:t>
      </w:r>
      <w:r w:rsidRPr="001E28FC">
        <w:rPr>
          <w:rFonts w:eastAsia="Calibri" w:cs="Times New Roman"/>
          <w:iCs/>
          <w:lang w:eastAsia="en-US"/>
        </w:rPr>
        <w:t>be taken into account in soil concentration calculations – and thus in subseq</w:t>
      </w:r>
      <w:r>
        <w:rPr>
          <w:rFonts w:eastAsia="Calibri" w:cs="Times New Roman"/>
          <w:iCs/>
          <w:lang w:eastAsia="en-US"/>
        </w:rPr>
        <w:t>uent groundwater concentrations</w:t>
      </w:r>
      <w:r w:rsidRPr="001E28FC">
        <w:rPr>
          <w:rFonts w:eastAsia="Calibri" w:cs="Times New Roman"/>
          <w:iCs/>
          <w:lang w:eastAsia="en-US"/>
        </w:rPr>
        <w:t xml:space="preserve"> (</w:t>
      </w:r>
      <w:r>
        <w:rPr>
          <w:rFonts w:eastAsia="Calibri" w:cs="Times New Roman"/>
          <w:iCs/>
          <w:lang w:eastAsia="en-US"/>
        </w:rPr>
        <w:t>T</w:t>
      </w:r>
      <w:r w:rsidRPr="001E28FC">
        <w:rPr>
          <w:rFonts w:eastAsia="Calibri" w:cs="Times New Roman"/>
          <w:iCs/>
          <w:lang w:eastAsia="en-US"/>
        </w:rPr>
        <w:t xml:space="preserve">ier 1). Modelling of groundwater exposure in case of </w:t>
      </w:r>
      <w:r>
        <w:rPr>
          <w:rFonts w:eastAsia="Calibri" w:cs="Times New Roman"/>
          <w:iCs/>
          <w:lang w:eastAsia="en-US"/>
        </w:rPr>
        <w:t>L</w:t>
      </w:r>
      <w:r w:rsidRPr="001E28FC">
        <w:rPr>
          <w:rFonts w:eastAsia="Calibri" w:cs="Times New Roman"/>
          <w:iCs/>
          <w:lang w:eastAsia="en-US"/>
        </w:rPr>
        <w:t>actic acid largely overestimates concentrations and is considered unrealistic.</w:t>
      </w:r>
    </w:p>
    <w:p w14:paraId="761A59F7" w14:textId="77777777" w:rsidR="0073642B" w:rsidRPr="001E28FC" w:rsidRDefault="0073642B" w:rsidP="0073642B">
      <w:pPr>
        <w:spacing w:line="260" w:lineRule="atLeast"/>
        <w:jc w:val="both"/>
        <w:rPr>
          <w:rFonts w:eastAsia="Calibri" w:cs="Times New Roman"/>
          <w:iCs/>
          <w:lang w:eastAsia="en-US"/>
        </w:rPr>
      </w:pPr>
    </w:p>
    <w:p w14:paraId="6BFA47D9" w14:textId="77777777" w:rsidR="0073642B" w:rsidRDefault="0073642B" w:rsidP="0073642B">
      <w:pPr>
        <w:spacing w:line="260" w:lineRule="atLeast"/>
        <w:jc w:val="both"/>
        <w:rPr>
          <w:rFonts w:eastAsia="Calibri" w:cs="Times New Roman"/>
          <w:iCs/>
          <w:lang w:eastAsia="en-US"/>
        </w:rPr>
      </w:pPr>
      <w:r w:rsidRPr="001E28FC">
        <w:rPr>
          <w:rFonts w:eastAsia="Calibri" w:cs="Times New Roman"/>
          <w:iCs/>
          <w:lang w:eastAsia="en-US"/>
        </w:rPr>
        <w:t>For all these reasons, it can be stated that Lactic acid does not cause unacceptable risk for groundwater</w:t>
      </w:r>
      <w:r>
        <w:rPr>
          <w:rFonts w:eastAsia="Calibri" w:cs="Times New Roman"/>
          <w:iCs/>
          <w:lang w:eastAsia="en-US"/>
        </w:rPr>
        <w:t>,</w:t>
      </w:r>
      <w:r w:rsidRPr="001E28FC">
        <w:rPr>
          <w:rFonts w:eastAsia="Calibri" w:cs="Times New Roman"/>
          <w:iCs/>
          <w:lang w:eastAsia="en-US"/>
        </w:rPr>
        <w:t xml:space="preserve"> </w:t>
      </w:r>
      <w:r>
        <w:rPr>
          <w:rFonts w:eastAsia="Calibri" w:cs="Times New Roman"/>
          <w:iCs/>
          <w:lang w:eastAsia="en-US"/>
        </w:rPr>
        <w:t>without need for further calculations.</w:t>
      </w:r>
    </w:p>
    <w:p w14:paraId="7BA3380E" w14:textId="77777777" w:rsidR="0073642B" w:rsidRDefault="0073642B" w:rsidP="0073642B">
      <w:pPr>
        <w:spacing w:line="260" w:lineRule="atLeast"/>
        <w:jc w:val="both"/>
        <w:rPr>
          <w:rFonts w:eastAsia="Calibri" w:cs="Times New Roman"/>
          <w:iCs/>
          <w:lang w:eastAsia="en-US"/>
        </w:rPr>
      </w:pPr>
    </w:p>
    <w:p w14:paraId="3FAA6467" w14:textId="70D0CA07" w:rsidR="0073642B" w:rsidRDefault="0073642B" w:rsidP="0073642B">
      <w:pPr>
        <w:spacing w:line="260" w:lineRule="atLeast"/>
        <w:jc w:val="both"/>
        <w:rPr>
          <w:rFonts w:eastAsia="Calibri" w:cs="Times New Roman"/>
          <w:iCs/>
          <w:lang w:eastAsia="en-US"/>
        </w:rPr>
      </w:pPr>
      <w:r>
        <w:rPr>
          <w:rFonts w:eastAsia="Calibri" w:cs="Times New Roman"/>
          <w:iCs/>
          <w:lang w:eastAsia="en-US"/>
        </w:rPr>
        <w:t xml:space="preserve">For soil </w:t>
      </w:r>
      <w:r w:rsidR="006E4ABF">
        <w:rPr>
          <w:rFonts w:eastAsia="Calibri" w:cs="Times New Roman"/>
          <w:iCs/>
          <w:lang w:eastAsia="en-US"/>
        </w:rPr>
        <w:t xml:space="preserve">concentration </w:t>
      </w:r>
      <w:r>
        <w:rPr>
          <w:rFonts w:eastAsia="Calibri" w:cs="Times New Roman"/>
          <w:iCs/>
          <w:lang w:eastAsia="en-US"/>
        </w:rPr>
        <w:t>calculations, a DT50 of 30 days was stated without the need of further studies.</w:t>
      </w:r>
    </w:p>
    <w:p w14:paraId="06DA8BE1" w14:textId="77777777" w:rsidR="0073642B" w:rsidRPr="00B27CB1" w:rsidRDefault="0073642B" w:rsidP="0073642B">
      <w:pPr>
        <w:spacing w:line="260" w:lineRule="atLeast"/>
        <w:rPr>
          <w:rFonts w:ascii="Times New Roman" w:eastAsia="Calibri" w:hAnsi="Times New Roman" w:cs="Times New Roman"/>
          <w:i/>
          <w:iCs/>
          <w:lang w:eastAsia="en-US"/>
        </w:rPr>
      </w:pPr>
    </w:p>
    <w:p w14:paraId="0934DCA8" w14:textId="77777777" w:rsidR="0073642B" w:rsidRPr="00B27CB1" w:rsidRDefault="0073642B" w:rsidP="0073642B">
      <w:pPr>
        <w:spacing w:line="260" w:lineRule="atLeast"/>
        <w:rPr>
          <w:rFonts w:ascii="Times New Roman" w:eastAsia="Calibri" w:hAnsi="Times New Roman" w:cs="Times New Roman"/>
          <w:i/>
          <w:iCs/>
          <w:lang w:eastAsia="en-US"/>
        </w:rPr>
      </w:pPr>
    </w:p>
    <w:p w14:paraId="4C01C90F" w14:textId="77777777" w:rsidR="0073642B" w:rsidRPr="00B27CB1" w:rsidRDefault="0073642B" w:rsidP="0073642B">
      <w:pPr>
        <w:rPr>
          <w:rFonts w:ascii="Times New Roman" w:eastAsia="Calibri" w:hAnsi="Times New Roman" w:cs="Times New Roman"/>
          <w:i/>
          <w:iCs/>
          <w:lang w:eastAsia="en-US"/>
        </w:rPr>
      </w:pPr>
      <w:r w:rsidRPr="00B27CB1">
        <w:rPr>
          <w:rFonts w:eastAsia="Calibri"/>
          <w:b/>
          <w:i/>
          <w:sz w:val="22"/>
          <w:szCs w:val="22"/>
          <w:lang w:eastAsia="en-US"/>
        </w:rPr>
        <w:t>Leaching behaviour (ADS)</w:t>
      </w:r>
    </w:p>
    <w:p w14:paraId="7B8B2ED8" w14:textId="77777777" w:rsidR="0073642B" w:rsidRDefault="0073642B" w:rsidP="0073642B">
      <w:pPr>
        <w:spacing w:line="260" w:lineRule="atLeast"/>
        <w:rPr>
          <w:rFonts w:eastAsia="Calibri" w:cs="Times New Roman"/>
          <w:iCs/>
          <w:lang w:eastAsia="en-US"/>
        </w:rPr>
      </w:pPr>
    </w:p>
    <w:p w14:paraId="259111FA" w14:textId="77777777" w:rsidR="0073642B" w:rsidRPr="00B27CB1" w:rsidRDefault="0073642B" w:rsidP="0073642B">
      <w:pPr>
        <w:spacing w:line="260" w:lineRule="atLeast"/>
        <w:rPr>
          <w:rFonts w:ascii="Times New Roman" w:eastAsia="Calibri" w:hAnsi="Times New Roman" w:cs="Times New Roman"/>
          <w:i/>
          <w:iCs/>
          <w:lang w:eastAsia="en-US"/>
        </w:rPr>
      </w:pPr>
      <w:r>
        <w:rPr>
          <w:rFonts w:eastAsia="Calibri" w:cs="Times New Roman"/>
          <w:iCs/>
          <w:lang w:eastAsia="en-US"/>
        </w:rPr>
        <w:t>No new data is available</w:t>
      </w:r>
    </w:p>
    <w:p w14:paraId="496B60E3" w14:textId="77777777" w:rsidR="0073642B" w:rsidRPr="00B27CB1" w:rsidRDefault="0073642B" w:rsidP="0073642B">
      <w:pPr>
        <w:spacing w:line="260" w:lineRule="atLeast"/>
        <w:rPr>
          <w:rFonts w:ascii="Times New Roman" w:eastAsia="Calibri" w:hAnsi="Times New Roman" w:cs="Times New Roman"/>
          <w:i/>
          <w:iCs/>
          <w:lang w:eastAsia="en-US"/>
        </w:rPr>
      </w:pPr>
    </w:p>
    <w:p w14:paraId="3770BFBA" w14:textId="77777777" w:rsidR="0073642B" w:rsidRPr="00B27CB1" w:rsidRDefault="0073642B" w:rsidP="0073642B">
      <w:pPr>
        <w:rPr>
          <w:rFonts w:eastAsia="Calibri"/>
          <w:b/>
          <w:i/>
          <w:sz w:val="22"/>
          <w:szCs w:val="22"/>
          <w:lang w:eastAsia="en-US"/>
        </w:rPr>
      </w:pPr>
      <w:r w:rsidRPr="00B27CB1">
        <w:rPr>
          <w:rFonts w:eastAsia="Calibri"/>
          <w:b/>
          <w:i/>
          <w:sz w:val="22"/>
          <w:szCs w:val="22"/>
          <w:lang w:eastAsia="en-US"/>
        </w:rPr>
        <w:t>Testing for distribution and dissipation in soil (ADS)</w:t>
      </w:r>
    </w:p>
    <w:p w14:paraId="7B78258C" w14:textId="77777777" w:rsidR="0073642B" w:rsidRPr="00B27CB1" w:rsidRDefault="0073642B" w:rsidP="0073642B">
      <w:pPr>
        <w:rPr>
          <w:rFonts w:eastAsia="Calibri"/>
          <w:b/>
          <w:i/>
          <w:sz w:val="22"/>
          <w:szCs w:val="22"/>
          <w:lang w:eastAsia="en-US"/>
        </w:rPr>
      </w:pPr>
    </w:p>
    <w:p w14:paraId="4B456A0A" w14:textId="77777777" w:rsidR="0073642B" w:rsidRPr="00B27CB1" w:rsidRDefault="0073642B" w:rsidP="0073642B">
      <w:pPr>
        <w:rPr>
          <w:rFonts w:ascii="Times New Roman" w:eastAsia="Calibri" w:hAnsi="Times New Roman" w:cs="Times New Roman"/>
          <w:i/>
          <w:iCs/>
          <w:lang w:eastAsia="en-US"/>
        </w:rPr>
      </w:pPr>
      <w:r>
        <w:rPr>
          <w:rFonts w:eastAsia="Calibri" w:cs="Times New Roman"/>
          <w:iCs/>
          <w:lang w:eastAsia="en-US"/>
        </w:rPr>
        <w:t>No new data is available</w:t>
      </w:r>
    </w:p>
    <w:p w14:paraId="4101D6FA" w14:textId="77777777" w:rsidR="0073642B" w:rsidRDefault="0073642B" w:rsidP="0073642B">
      <w:pPr>
        <w:rPr>
          <w:rFonts w:eastAsia="Calibri"/>
          <w:b/>
          <w:i/>
          <w:sz w:val="22"/>
          <w:szCs w:val="22"/>
          <w:lang w:eastAsia="en-US"/>
        </w:rPr>
      </w:pPr>
    </w:p>
    <w:p w14:paraId="7EA10A63" w14:textId="77777777" w:rsidR="0073642B" w:rsidRPr="00B27CB1" w:rsidRDefault="0073642B" w:rsidP="0073642B">
      <w:pPr>
        <w:rPr>
          <w:rFonts w:eastAsia="Calibri"/>
          <w:b/>
          <w:i/>
          <w:sz w:val="22"/>
          <w:szCs w:val="22"/>
          <w:lang w:eastAsia="en-US"/>
        </w:rPr>
      </w:pPr>
      <w:r w:rsidRPr="00B27CB1">
        <w:rPr>
          <w:rFonts w:eastAsia="Calibri"/>
          <w:b/>
          <w:i/>
          <w:sz w:val="22"/>
          <w:szCs w:val="22"/>
          <w:lang w:eastAsia="en-US"/>
        </w:rPr>
        <w:t>Testing for distribution and dissipation in water and sediment (ADS)</w:t>
      </w:r>
    </w:p>
    <w:p w14:paraId="03186271" w14:textId="77777777" w:rsidR="0073642B" w:rsidRPr="00B27CB1" w:rsidRDefault="0073642B" w:rsidP="0073642B">
      <w:pPr>
        <w:spacing w:line="260" w:lineRule="atLeast"/>
        <w:ind w:left="360"/>
        <w:contextualSpacing/>
        <w:rPr>
          <w:rFonts w:eastAsia="Calibri"/>
          <w:b/>
          <w:i/>
          <w:sz w:val="22"/>
          <w:szCs w:val="22"/>
          <w:lang w:eastAsia="en-US"/>
        </w:rPr>
      </w:pPr>
    </w:p>
    <w:p w14:paraId="598540DF" w14:textId="77777777" w:rsidR="0073642B" w:rsidRPr="00B27CB1" w:rsidRDefault="0073642B" w:rsidP="0073642B">
      <w:pPr>
        <w:rPr>
          <w:rFonts w:ascii="Times New Roman" w:eastAsia="Calibri" w:hAnsi="Times New Roman" w:cs="Times New Roman"/>
          <w:i/>
          <w:iCs/>
          <w:lang w:eastAsia="en-US"/>
        </w:rPr>
      </w:pPr>
      <w:r>
        <w:rPr>
          <w:rFonts w:eastAsia="Calibri" w:cs="Times New Roman"/>
          <w:iCs/>
          <w:lang w:eastAsia="en-US"/>
        </w:rPr>
        <w:t>No new data is available</w:t>
      </w:r>
      <w:r>
        <w:rPr>
          <w:rFonts w:ascii="Times New Roman" w:eastAsia="Calibri" w:hAnsi="Times New Roman" w:cs="Times New Roman"/>
          <w:i/>
          <w:iCs/>
          <w:lang w:eastAsia="en-US"/>
        </w:rPr>
        <w:t xml:space="preserve"> </w:t>
      </w:r>
    </w:p>
    <w:p w14:paraId="68169137" w14:textId="77777777" w:rsidR="0073642B" w:rsidRDefault="0073642B" w:rsidP="0073642B">
      <w:pPr>
        <w:rPr>
          <w:rFonts w:eastAsia="Calibri"/>
          <w:b/>
          <w:i/>
          <w:sz w:val="22"/>
          <w:szCs w:val="22"/>
          <w:lang w:eastAsia="en-US"/>
        </w:rPr>
      </w:pPr>
    </w:p>
    <w:p w14:paraId="44CDD288" w14:textId="77777777" w:rsidR="0073642B" w:rsidRDefault="0073642B" w:rsidP="0073642B">
      <w:pPr>
        <w:rPr>
          <w:rFonts w:eastAsia="Calibri" w:cs="Times New Roman"/>
          <w:iCs/>
          <w:lang w:eastAsia="en-US"/>
        </w:rPr>
      </w:pPr>
      <w:r w:rsidRPr="00B27CB1">
        <w:rPr>
          <w:rFonts w:eastAsia="Calibri"/>
          <w:b/>
          <w:i/>
          <w:sz w:val="22"/>
          <w:szCs w:val="22"/>
          <w:lang w:eastAsia="en-US"/>
        </w:rPr>
        <w:t>Testing for distribution and dissipation in air (ADS)</w:t>
      </w:r>
      <w:r w:rsidRPr="00B27CB1" w:rsidDel="006129DF">
        <w:rPr>
          <w:rFonts w:ascii="Times New Roman" w:eastAsia="Calibri" w:hAnsi="Times New Roman" w:cs="Times New Roman"/>
          <w:i/>
          <w:iCs/>
          <w:lang w:eastAsia="en-US"/>
        </w:rPr>
        <w:t xml:space="preserve"> </w:t>
      </w:r>
    </w:p>
    <w:p w14:paraId="2712864C" w14:textId="77777777" w:rsidR="0073642B" w:rsidRDefault="0073642B" w:rsidP="0073642B">
      <w:pPr>
        <w:rPr>
          <w:rFonts w:eastAsia="Calibri" w:cs="Times New Roman"/>
          <w:iCs/>
          <w:lang w:eastAsia="en-US"/>
        </w:rPr>
      </w:pPr>
    </w:p>
    <w:p w14:paraId="0CB6D1C0" w14:textId="77777777" w:rsidR="0073642B" w:rsidRDefault="0073642B" w:rsidP="0073642B">
      <w:pPr>
        <w:rPr>
          <w:rFonts w:ascii="Times New Roman" w:eastAsia="Calibri" w:hAnsi="Times New Roman" w:cs="Times New Roman"/>
          <w:i/>
          <w:iCs/>
          <w:lang w:eastAsia="en-US"/>
        </w:rPr>
      </w:pPr>
      <w:r>
        <w:rPr>
          <w:rFonts w:eastAsia="Calibri" w:cs="Times New Roman"/>
          <w:iCs/>
          <w:lang w:eastAsia="en-US"/>
        </w:rPr>
        <w:t>No new data is available</w:t>
      </w:r>
      <w:r>
        <w:rPr>
          <w:rFonts w:ascii="Times New Roman" w:eastAsia="Calibri" w:hAnsi="Times New Roman" w:cs="Times New Roman"/>
          <w:i/>
          <w:iCs/>
          <w:lang w:eastAsia="en-US"/>
        </w:rPr>
        <w:t xml:space="preserve"> </w:t>
      </w:r>
    </w:p>
    <w:p w14:paraId="5C9978CE" w14:textId="77777777" w:rsidR="0073642B" w:rsidRDefault="0073642B" w:rsidP="0073642B">
      <w:pPr>
        <w:rPr>
          <w:rFonts w:ascii="Times New Roman" w:eastAsia="Calibri" w:hAnsi="Times New Roman" w:cs="Times New Roman"/>
          <w:i/>
          <w:iCs/>
          <w:lang w:eastAsia="en-US"/>
        </w:rPr>
      </w:pPr>
    </w:p>
    <w:p w14:paraId="06BC70AC" w14:textId="77777777" w:rsidR="0073642B" w:rsidRPr="00B27CB1" w:rsidRDefault="0073642B" w:rsidP="0073642B">
      <w:pPr>
        <w:rPr>
          <w:rFonts w:eastAsia="Calibri"/>
          <w:b/>
          <w:i/>
          <w:sz w:val="22"/>
          <w:szCs w:val="22"/>
          <w:lang w:eastAsia="en-US"/>
        </w:rPr>
      </w:pPr>
      <w:r w:rsidRPr="00B27CB1">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063B374D" w14:textId="77777777" w:rsidR="0073642B" w:rsidRPr="00B27CB1" w:rsidRDefault="0073642B" w:rsidP="0073642B">
      <w:pPr>
        <w:spacing w:line="260" w:lineRule="atLeast"/>
        <w:rPr>
          <w:rFonts w:eastAsia="Calibri"/>
          <w:b/>
          <w:i/>
          <w:sz w:val="22"/>
          <w:szCs w:val="22"/>
          <w:lang w:eastAsia="en-US"/>
        </w:rPr>
      </w:pPr>
    </w:p>
    <w:p w14:paraId="28C53D05" w14:textId="77777777" w:rsidR="0073642B" w:rsidRDefault="0073642B" w:rsidP="0073642B">
      <w:pPr>
        <w:spacing w:line="260" w:lineRule="atLeast"/>
        <w:rPr>
          <w:rFonts w:eastAsia="Calibri"/>
          <w:lang w:eastAsia="en-US"/>
        </w:rPr>
      </w:pPr>
      <w:r>
        <w:rPr>
          <w:rFonts w:eastAsia="Calibri"/>
          <w:lang w:eastAsia="en-US"/>
        </w:rPr>
        <w:t>Not relevant</w:t>
      </w:r>
    </w:p>
    <w:p w14:paraId="31C2BD90" w14:textId="77777777" w:rsidR="0073642B" w:rsidRPr="00B27CB1" w:rsidRDefault="0073642B" w:rsidP="0073642B">
      <w:pPr>
        <w:spacing w:line="260" w:lineRule="atLeast"/>
        <w:rPr>
          <w:rFonts w:ascii="Times New Roman" w:eastAsia="Calibri" w:hAnsi="Times New Roman" w:cs="Times New Roman"/>
          <w:i/>
          <w:iCs/>
          <w:lang w:eastAsia="en-US"/>
        </w:rPr>
      </w:pPr>
    </w:p>
    <w:p w14:paraId="16EF0180" w14:textId="77777777" w:rsidR="0073642B" w:rsidRPr="00B27CB1" w:rsidRDefault="0073642B" w:rsidP="0073642B">
      <w:pPr>
        <w:jc w:val="both"/>
        <w:rPr>
          <w:rFonts w:ascii="Times New Roman" w:eastAsia="Calibri" w:hAnsi="Times New Roman" w:cs="Times New Roman"/>
          <w:i/>
          <w:iCs/>
          <w:lang w:eastAsia="en-US"/>
        </w:rPr>
      </w:pPr>
      <w:r w:rsidRPr="00B27CB1">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6A194A36" w14:textId="77777777" w:rsidR="0073642B" w:rsidRDefault="0073642B" w:rsidP="0073642B">
      <w:pPr>
        <w:spacing w:line="260" w:lineRule="atLeast"/>
        <w:rPr>
          <w:rFonts w:eastAsia="Calibri"/>
          <w:lang w:eastAsia="en-US"/>
        </w:rPr>
      </w:pPr>
    </w:p>
    <w:p w14:paraId="6740FB17" w14:textId="77777777" w:rsidR="0073642B" w:rsidRDefault="0073642B" w:rsidP="0073642B">
      <w:pPr>
        <w:spacing w:line="260" w:lineRule="atLeast"/>
        <w:rPr>
          <w:rFonts w:eastAsia="Calibri"/>
          <w:lang w:eastAsia="en-US"/>
        </w:rPr>
      </w:pPr>
      <w:r>
        <w:rPr>
          <w:rFonts w:eastAsia="Calibri"/>
          <w:lang w:eastAsia="en-US"/>
        </w:rPr>
        <w:t>Not relevant</w:t>
      </w:r>
    </w:p>
    <w:p w14:paraId="42ED9CC3" w14:textId="77777777" w:rsidR="0073642B" w:rsidRPr="00B27CB1" w:rsidRDefault="0073642B" w:rsidP="0073642B">
      <w:pPr>
        <w:spacing w:line="260" w:lineRule="atLeast"/>
        <w:rPr>
          <w:rFonts w:ascii="Times New Roman" w:eastAsia="Calibri" w:hAnsi="Times New Roman" w:cs="Times New Roman"/>
          <w:i/>
          <w:iCs/>
          <w:lang w:eastAsia="en-US"/>
        </w:rPr>
      </w:pPr>
    </w:p>
    <w:p w14:paraId="30A3C4E6" w14:textId="77777777" w:rsidR="0073642B" w:rsidRDefault="0073642B" w:rsidP="00DD2106">
      <w:pPr>
        <w:spacing w:line="260" w:lineRule="atLeast"/>
        <w:jc w:val="both"/>
        <w:rPr>
          <w:rFonts w:eastAsia="Calibri"/>
          <w:lang w:eastAsia="en-US"/>
        </w:rPr>
      </w:pPr>
      <w:r>
        <w:rPr>
          <w:rFonts w:eastAsia="Calibri"/>
          <w:lang w:eastAsia="en-US"/>
        </w:rPr>
        <w:lastRenderedPageBreak/>
        <w:t>Based on the L(+) Lactic acid assessment report, the relevant PNECs for the environmental risk characterisation are reported below.</w:t>
      </w:r>
    </w:p>
    <w:p w14:paraId="15C58027" w14:textId="77777777" w:rsidR="0073642B" w:rsidRDefault="0073642B" w:rsidP="0073642B">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297"/>
        <w:gridCol w:w="2441"/>
        <w:gridCol w:w="2441"/>
      </w:tblGrid>
      <w:tr w:rsidR="0073642B" w:rsidRPr="006129DF" w14:paraId="197FE5D5" w14:textId="77777777" w:rsidTr="00476D22">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54D20E6A" w14:textId="77777777" w:rsidR="0073642B" w:rsidRDefault="0073642B" w:rsidP="00476D22">
            <w:pPr>
              <w:autoSpaceDE w:val="0"/>
              <w:spacing w:before="60" w:after="60" w:line="260" w:lineRule="atLeast"/>
              <w:jc w:val="center"/>
              <w:rPr>
                <w:rFonts w:eastAsia="Calibri" w:cs="Arial"/>
                <w:b/>
                <w:bCs/>
                <w:sz w:val="18"/>
                <w:szCs w:val="18"/>
                <w:lang w:eastAsia="en-GB"/>
              </w:rPr>
            </w:pPr>
            <w:r>
              <w:rPr>
                <w:rFonts w:eastAsia="Calibri" w:cs="Arial"/>
                <w:b/>
                <w:bCs/>
                <w:sz w:val="18"/>
                <w:szCs w:val="18"/>
                <w:lang w:eastAsia="en-GB"/>
              </w:rPr>
              <w:t xml:space="preserve">Summary table on PNEC values for </w:t>
            </w:r>
            <w:r>
              <w:rPr>
                <w:rFonts w:eastAsia="Calibri" w:cs="Times New Roman"/>
                <w:b/>
                <w:iCs/>
                <w:sz w:val="18"/>
                <w:szCs w:val="18"/>
                <w:lang w:eastAsia="en-US"/>
              </w:rPr>
              <w:t>L(+) Lactic acid</w:t>
            </w:r>
          </w:p>
        </w:tc>
      </w:tr>
      <w:tr w:rsidR="0073642B" w14:paraId="70850112" w14:textId="77777777" w:rsidTr="00476D22">
        <w:trPr>
          <w:trHeight w:val="68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A0D061" w14:textId="77777777" w:rsidR="0073642B" w:rsidRDefault="0073642B" w:rsidP="00476D22">
            <w:pPr>
              <w:autoSpaceDE w:val="0"/>
              <w:autoSpaceDN w:val="0"/>
              <w:adjustRightInd w:val="0"/>
              <w:spacing w:before="60" w:after="60" w:line="260" w:lineRule="atLeast"/>
              <w:jc w:val="center"/>
              <w:rPr>
                <w:rFonts w:eastAsia="Calibri" w:cs="Arial"/>
                <w:bCs/>
                <w:color w:val="000000"/>
                <w:lang w:eastAsia="en-GB"/>
              </w:rPr>
            </w:pPr>
            <w:r>
              <w:rPr>
                <w:rFonts w:eastAsia="Calibri" w:cs="Arial"/>
                <w:b/>
                <w:bCs/>
                <w:color w:val="000000"/>
                <w:lang w:eastAsia="en-GB"/>
              </w:rPr>
              <w:t>PNEC</w:t>
            </w:r>
            <w:r>
              <w:rPr>
                <w:rFonts w:eastAsia="Calibri" w:cs="Arial"/>
                <w:b/>
                <w:bCs/>
                <w:color w:val="000000"/>
                <w:vertAlign w:val="subscript"/>
                <w:lang w:eastAsia="en-GB"/>
              </w:rPr>
              <w:t>STP</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66F553" w14:textId="77777777" w:rsidR="0073642B" w:rsidRDefault="0073642B" w:rsidP="00476D22">
            <w:pPr>
              <w:spacing w:before="60" w:after="60" w:line="276" w:lineRule="auto"/>
              <w:jc w:val="center"/>
              <w:rPr>
                <w:rFonts w:eastAsia="Calibri" w:cs="Arial"/>
                <w:lang w:eastAsia="en-GB"/>
              </w:rPr>
            </w:pPr>
            <w:r>
              <w:rPr>
                <w:rFonts w:eastAsia="Calibri" w:cs="Arial"/>
                <w:b/>
                <w:bCs/>
                <w:lang w:eastAsia="en-GB"/>
              </w:rPr>
              <w:t>PNEC</w:t>
            </w:r>
            <w:r>
              <w:rPr>
                <w:rFonts w:eastAsia="Calibri" w:cs="Arial"/>
                <w:b/>
                <w:bCs/>
                <w:vertAlign w:val="subscript"/>
                <w:lang w:eastAsia="en-GB"/>
              </w:rPr>
              <w:t>water</w:t>
            </w: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DE540F" w14:textId="77777777" w:rsidR="0073642B" w:rsidRDefault="0073642B" w:rsidP="00476D22">
            <w:pPr>
              <w:spacing w:before="60" w:after="60" w:line="276" w:lineRule="auto"/>
              <w:jc w:val="center"/>
              <w:rPr>
                <w:rFonts w:eastAsia="Calibri" w:cs="Arial"/>
                <w:b/>
                <w:lang w:eastAsia="en-GB"/>
              </w:rPr>
            </w:pPr>
            <w:r>
              <w:rPr>
                <w:rFonts w:eastAsia="Calibri" w:cs="Arial"/>
                <w:b/>
                <w:lang w:eastAsia="en-GB"/>
              </w:rPr>
              <w:t>PNEC</w:t>
            </w:r>
            <w:r>
              <w:rPr>
                <w:rFonts w:eastAsia="Calibri" w:cs="Arial"/>
                <w:b/>
                <w:vertAlign w:val="subscript"/>
                <w:lang w:eastAsia="en-GB"/>
              </w:rPr>
              <w:t>sed</w:t>
            </w: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4B944B" w14:textId="77777777" w:rsidR="0073642B" w:rsidRDefault="0073642B" w:rsidP="00476D22">
            <w:pPr>
              <w:spacing w:before="60" w:after="60" w:line="276" w:lineRule="auto"/>
              <w:jc w:val="center"/>
              <w:rPr>
                <w:rFonts w:eastAsia="Calibri" w:cs="Arial"/>
                <w:lang w:eastAsia="en-GB"/>
              </w:rPr>
            </w:pPr>
            <w:r>
              <w:rPr>
                <w:rFonts w:eastAsia="Calibri" w:cs="Arial"/>
                <w:b/>
                <w:bCs/>
                <w:lang w:eastAsia="en-GB"/>
              </w:rPr>
              <w:t>PNEC</w:t>
            </w:r>
            <w:r>
              <w:rPr>
                <w:rFonts w:eastAsia="Calibri" w:cs="Arial"/>
                <w:b/>
                <w:bCs/>
                <w:vertAlign w:val="subscript"/>
                <w:lang w:eastAsia="en-GB"/>
              </w:rPr>
              <w:t>soil</w:t>
            </w:r>
          </w:p>
        </w:tc>
      </w:tr>
      <w:tr w:rsidR="0073642B" w14:paraId="7E05C236" w14:textId="77777777" w:rsidTr="00476D22">
        <w:trPr>
          <w:trHeight w:val="68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870B19" w14:textId="77777777" w:rsidR="0073642B" w:rsidRDefault="0073642B" w:rsidP="00476D22">
            <w:pPr>
              <w:autoSpaceDE w:val="0"/>
              <w:autoSpaceDN w:val="0"/>
              <w:adjustRightInd w:val="0"/>
              <w:spacing w:before="60" w:after="60" w:line="260" w:lineRule="atLeast"/>
              <w:jc w:val="center"/>
              <w:rPr>
                <w:rFonts w:eastAsia="Calibri" w:cs="Arial"/>
                <w:color w:val="000000"/>
                <w:lang w:eastAsia="en-GB"/>
              </w:rPr>
            </w:pPr>
            <w:r>
              <w:rPr>
                <w:rFonts w:eastAsia="Calibri" w:cs="Arial"/>
                <w:bCs/>
                <w:color w:val="000000"/>
                <w:lang w:eastAsia="en-GB"/>
              </w:rPr>
              <w:t>[mg/L]</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C185CB" w14:textId="77777777" w:rsidR="0073642B" w:rsidRDefault="0073642B" w:rsidP="00476D22">
            <w:pPr>
              <w:autoSpaceDE w:val="0"/>
              <w:autoSpaceDN w:val="0"/>
              <w:adjustRightInd w:val="0"/>
              <w:spacing w:before="60" w:after="60" w:line="260" w:lineRule="atLeast"/>
              <w:jc w:val="center"/>
              <w:rPr>
                <w:rFonts w:eastAsia="Calibri" w:cs="Arial"/>
                <w:bCs/>
                <w:color w:val="000000"/>
                <w:lang w:eastAsia="en-GB"/>
              </w:rPr>
            </w:pPr>
            <w:r>
              <w:rPr>
                <w:rFonts w:eastAsia="Calibri" w:cs="Arial"/>
                <w:bCs/>
                <w:color w:val="000000"/>
                <w:lang w:eastAsia="en-GB"/>
              </w:rPr>
              <w:t>[mg/L]</w:t>
            </w: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3669B3" w14:textId="77777777" w:rsidR="0073642B" w:rsidRDefault="0073642B" w:rsidP="00476D22">
            <w:pPr>
              <w:autoSpaceDE w:val="0"/>
              <w:autoSpaceDN w:val="0"/>
              <w:adjustRightInd w:val="0"/>
              <w:spacing w:before="60" w:after="60" w:line="260" w:lineRule="atLeast"/>
              <w:jc w:val="center"/>
              <w:rPr>
                <w:rFonts w:eastAsia="Calibri" w:cs="Arial"/>
                <w:color w:val="000000"/>
                <w:lang w:eastAsia="en-GB"/>
              </w:rPr>
            </w:pPr>
            <w:r>
              <w:rPr>
                <w:rFonts w:eastAsia="Calibri" w:cs="Arial"/>
                <w:bCs/>
                <w:color w:val="000000"/>
                <w:lang w:eastAsia="en-GB"/>
              </w:rPr>
              <w:t>[mg/kg</w:t>
            </w:r>
            <w:r>
              <w:rPr>
                <w:rFonts w:eastAsia="Calibri" w:cs="Arial"/>
                <w:bCs/>
                <w:color w:val="000000"/>
                <w:vertAlign w:val="subscript"/>
                <w:lang w:eastAsia="en-GB"/>
              </w:rPr>
              <w:t>wwt</w:t>
            </w:r>
            <w:r>
              <w:rPr>
                <w:rFonts w:eastAsia="Calibri" w:cs="Arial"/>
                <w:bCs/>
                <w:color w:val="000000"/>
                <w:lang w:eastAsia="en-GB"/>
              </w:rPr>
              <w:t>]</w:t>
            </w: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81F7A0" w14:textId="77777777" w:rsidR="0073642B" w:rsidRDefault="0073642B" w:rsidP="00476D22">
            <w:pPr>
              <w:autoSpaceDE w:val="0"/>
              <w:autoSpaceDN w:val="0"/>
              <w:adjustRightInd w:val="0"/>
              <w:spacing w:before="60" w:after="60" w:line="260" w:lineRule="atLeast"/>
              <w:jc w:val="center"/>
              <w:rPr>
                <w:rFonts w:eastAsia="Calibri" w:cs="Arial"/>
                <w:bCs/>
                <w:color w:val="000000"/>
                <w:lang w:eastAsia="en-GB"/>
              </w:rPr>
            </w:pPr>
            <w:r>
              <w:rPr>
                <w:rFonts w:eastAsia="Calibri" w:cs="Arial"/>
                <w:bCs/>
                <w:color w:val="000000"/>
                <w:lang w:eastAsia="en-GB"/>
              </w:rPr>
              <w:t>[mg/kg</w:t>
            </w:r>
            <w:r>
              <w:rPr>
                <w:rFonts w:eastAsia="Calibri" w:cs="Arial"/>
                <w:bCs/>
                <w:color w:val="000000"/>
                <w:vertAlign w:val="subscript"/>
                <w:lang w:eastAsia="en-GB"/>
              </w:rPr>
              <w:t>wwt</w:t>
            </w:r>
            <w:r>
              <w:rPr>
                <w:rFonts w:eastAsia="Calibri" w:cs="Arial"/>
                <w:bCs/>
                <w:color w:val="000000"/>
                <w:lang w:eastAsia="en-GB"/>
              </w:rPr>
              <w:t>]</w:t>
            </w:r>
          </w:p>
        </w:tc>
      </w:tr>
      <w:tr w:rsidR="0073642B" w14:paraId="7B889F3F" w14:textId="77777777" w:rsidTr="00476D22">
        <w:trPr>
          <w:trHeight w:val="68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F89305" w14:textId="77777777" w:rsidR="0073642B" w:rsidRDefault="0073642B" w:rsidP="00476D22">
            <w:pPr>
              <w:autoSpaceDE w:val="0"/>
              <w:autoSpaceDN w:val="0"/>
              <w:adjustRightInd w:val="0"/>
              <w:spacing w:before="60" w:after="60" w:line="260" w:lineRule="atLeast"/>
              <w:jc w:val="center"/>
              <w:rPr>
                <w:rFonts w:eastAsia="Calibri" w:cs="Arial"/>
                <w:color w:val="000000"/>
                <w:lang w:eastAsia="en-GB"/>
              </w:rPr>
            </w:pPr>
            <w:r>
              <w:rPr>
                <w:rFonts w:eastAsia="Calibri" w:cs="Arial"/>
                <w:color w:val="000000"/>
                <w:lang w:eastAsia="en-GB"/>
              </w:rPr>
              <w:t>10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2CF4F8" w14:textId="77777777" w:rsidR="0073642B" w:rsidRDefault="0073642B" w:rsidP="00476D22">
            <w:pPr>
              <w:spacing w:before="60" w:after="60" w:line="276" w:lineRule="auto"/>
              <w:jc w:val="center"/>
              <w:rPr>
                <w:rFonts w:eastAsia="Calibri" w:cs="Arial"/>
                <w:vertAlign w:val="superscript"/>
                <w:lang w:eastAsia="en-GB"/>
              </w:rPr>
            </w:pPr>
            <w:r>
              <w:rPr>
                <w:rFonts w:eastAsia="Calibri" w:cs="Arial"/>
                <w:lang w:eastAsia="en-GB"/>
              </w:rPr>
              <w:t>3.9</w:t>
            </w:r>
          </w:p>
        </w:tc>
        <w:tc>
          <w:tcPr>
            <w:tcW w:w="13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BE92E1" w14:textId="77777777" w:rsidR="0073642B" w:rsidRDefault="0073642B" w:rsidP="00476D22">
            <w:pPr>
              <w:spacing w:before="60" w:after="60" w:line="276" w:lineRule="auto"/>
              <w:jc w:val="center"/>
              <w:rPr>
                <w:rFonts w:eastAsia="Calibri" w:cs="Arial"/>
                <w:lang w:eastAsia="en-GB"/>
              </w:rPr>
            </w:pPr>
            <w:r>
              <w:rPr>
                <w:rFonts w:eastAsia="Calibri" w:cs="Arial"/>
                <w:lang w:eastAsia="en-GB"/>
              </w:rPr>
              <w:t>4.8*</w:t>
            </w:r>
          </w:p>
        </w:tc>
        <w:tc>
          <w:tcPr>
            <w:tcW w:w="1326" w:type="pct"/>
            <w:tcBorders>
              <w:top w:val="single" w:sz="4" w:space="0" w:color="auto"/>
              <w:left w:val="single" w:sz="4" w:space="0" w:color="auto"/>
              <w:bottom w:val="single" w:sz="4" w:space="0" w:color="auto"/>
              <w:right w:val="single" w:sz="4" w:space="0" w:color="auto"/>
            </w:tcBorders>
            <w:vAlign w:val="center"/>
            <w:hideMark/>
          </w:tcPr>
          <w:p w14:paraId="691591D6" w14:textId="77777777" w:rsidR="0073642B" w:rsidRDefault="0073642B" w:rsidP="00476D22">
            <w:pPr>
              <w:spacing w:before="60" w:after="60" w:line="276" w:lineRule="auto"/>
              <w:jc w:val="center"/>
              <w:rPr>
                <w:rFonts w:eastAsia="Calibri" w:cs="Arial"/>
                <w:lang w:eastAsia="en-GB"/>
              </w:rPr>
            </w:pPr>
            <w:r>
              <w:rPr>
                <w:rFonts w:eastAsia="Calibri" w:cs="Arial"/>
                <w:lang w:eastAsia="en-GB"/>
              </w:rPr>
              <w:t>1.9*</w:t>
            </w:r>
          </w:p>
        </w:tc>
      </w:tr>
    </w:tbl>
    <w:p w14:paraId="4352324A" w14:textId="60541B27" w:rsidR="0073642B" w:rsidRPr="004E2CF1" w:rsidRDefault="0073642B" w:rsidP="004E2CF1">
      <w:pPr>
        <w:spacing w:line="260" w:lineRule="atLeast"/>
        <w:rPr>
          <w:rFonts w:eastAsia="Calibri"/>
          <w:lang w:eastAsia="en-US"/>
        </w:rPr>
      </w:pPr>
      <w:r w:rsidRPr="004E2CF1">
        <w:rPr>
          <w:rFonts w:eastAsia="Calibri"/>
          <w:lang w:eastAsia="en-US"/>
        </w:rPr>
        <w:t>* The PNECsoil and the PNECsediment are derived using the equilibrium partitioning method (ECHA Guidance on BPR Vol IV, Part B, v2.0, 2017, equations 89 and 91).</w:t>
      </w:r>
    </w:p>
    <w:p w14:paraId="01887B45" w14:textId="77777777" w:rsidR="00FA314B" w:rsidRDefault="00FA314B" w:rsidP="004E2CF1">
      <w:pPr>
        <w:spacing w:after="60" w:line="260" w:lineRule="atLeast"/>
        <w:jc w:val="both"/>
      </w:pPr>
    </w:p>
    <w:p w14:paraId="4B06D598" w14:textId="38013D4F" w:rsidR="00FA314B" w:rsidRPr="004E2CF1" w:rsidRDefault="0073642B" w:rsidP="004E2CF1">
      <w:pPr>
        <w:spacing w:after="60" w:line="260" w:lineRule="atLeast"/>
        <w:jc w:val="both"/>
        <w:rPr>
          <w:rFonts w:eastAsia="Calibri"/>
          <w:lang w:eastAsia="en-US"/>
        </w:rPr>
      </w:pPr>
      <w:r w:rsidRPr="004E2CF1">
        <w:rPr>
          <w:rFonts w:eastAsia="Calibri"/>
          <w:lang w:eastAsia="en-US"/>
        </w:rPr>
        <w:t>The PNEC values for</w:t>
      </w:r>
      <w:r w:rsidR="006F4205">
        <w:rPr>
          <w:rFonts w:eastAsia="Calibri"/>
          <w:lang w:eastAsia="en-US"/>
        </w:rPr>
        <w:t>:</w:t>
      </w:r>
      <w:r w:rsidRPr="004E2CF1">
        <w:rPr>
          <w:rFonts w:eastAsia="Calibri"/>
          <w:lang w:eastAsia="en-US"/>
        </w:rPr>
        <w:t xml:space="preserve"> </w:t>
      </w:r>
    </w:p>
    <w:p w14:paraId="1942EE7D" w14:textId="49CC795A" w:rsidR="00FA314B" w:rsidRPr="004E2CF1" w:rsidRDefault="00FA314B" w:rsidP="004E2CF1">
      <w:pPr>
        <w:spacing w:after="60" w:line="260" w:lineRule="atLeast"/>
        <w:jc w:val="both"/>
        <w:rPr>
          <w:rFonts w:eastAsia="Calibri"/>
          <w:lang w:eastAsia="en-US"/>
        </w:rPr>
      </w:pPr>
      <w:r w:rsidRPr="004E2CF1">
        <w:rPr>
          <w:rFonts w:eastAsia="Calibri"/>
          <w:lang w:eastAsia="en-US"/>
        </w:rPr>
        <w:t xml:space="preserve">- </w:t>
      </w:r>
      <w:r w:rsidR="0073642B" w:rsidRPr="004E2CF1">
        <w:rPr>
          <w:rFonts w:eastAsia="Calibri"/>
          <w:lang w:eastAsia="en-US"/>
        </w:rPr>
        <w:t>Amines, coco alkyldimethyl, N-oxides (CAS 61788-90-7) are from updated data from ECHA registration dossier of the similar substance: Amines, C12-14 (even numbered)-alkyldimethyl, N-oxides (CAS 308062-28-4</w:t>
      </w:r>
      <w:r w:rsidR="006F4205">
        <w:rPr>
          <w:rFonts w:eastAsia="Calibri"/>
          <w:lang w:eastAsia="en-US"/>
        </w:rPr>
        <w:t>)</w:t>
      </w:r>
      <w:r w:rsidR="0073642B" w:rsidRPr="004E2CF1">
        <w:rPr>
          <w:rFonts w:eastAsia="Calibri"/>
          <w:lang w:eastAsia="en-US"/>
        </w:rPr>
        <w:t xml:space="preserve"> https://echa.europa.eu/fr/registration-dossier/-/registered-dossier/15191)</w:t>
      </w:r>
      <w:r w:rsidR="00C63C36">
        <w:rPr>
          <w:rFonts w:eastAsia="Calibri"/>
          <w:lang w:eastAsia="en-US"/>
        </w:rPr>
        <w:t xml:space="preserve"> – 07/2020,</w:t>
      </w:r>
    </w:p>
    <w:p w14:paraId="43602B35" w14:textId="1296D6F4" w:rsidR="0073642B" w:rsidRPr="004E2CF1" w:rsidRDefault="00FA314B" w:rsidP="004E2CF1">
      <w:pPr>
        <w:spacing w:after="60" w:line="260" w:lineRule="atLeast"/>
        <w:jc w:val="both"/>
        <w:rPr>
          <w:rFonts w:eastAsia="Calibri"/>
          <w:lang w:eastAsia="en-US"/>
        </w:rPr>
      </w:pPr>
      <w:r w:rsidRPr="004E2CF1">
        <w:rPr>
          <w:rFonts w:eastAsia="Calibri"/>
          <w:lang w:eastAsia="en-US"/>
        </w:rPr>
        <w:t xml:space="preserve">- </w:t>
      </w:r>
      <w:r w:rsidR="0073642B" w:rsidRPr="004E2CF1">
        <w:rPr>
          <w:rFonts w:eastAsia="Calibri"/>
          <w:lang w:eastAsia="en-US"/>
        </w:rPr>
        <w:t>OTNE (EC:</w:t>
      </w:r>
      <w:r w:rsidR="006F4205">
        <w:rPr>
          <w:rFonts w:eastAsia="Calibri"/>
          <w:lang w:eastAsia="en-US"/>
        </w:rPr>
        <w:t xml:space="preserve"> </w:t>
      </w:r>
      <w:r w:rsidR="0073642B" w:rsidRPr="004E2CF1">
        <w:rPr>
          <w:rFonts w:eastAsia="Calibri"/>
          <w:lang w:eastAsia="en-US"/>
        </w:rPr>
        <w:t>915-730-3) are from the updated data from ECHA registration dossier (https://echa.europa.eu/fr/registration-dossier/-/registered-dossier/15069)</w:t>
      </w:r>
      <w:r w:rsidR="00C63C36">
        <w:rPr>
          <w:rFonts w:eastAsia="Calibri"/>
          <w:lang w:eastAsia="en-US"/>
        </w:rPr>
        <w:t xml:space="preserve"> – 07/2020</w:t>
      </w:r>
      <w:r w:rsidR="0073642B" w:rsidRPr="004E2CF1">
        <w:rPr>
          <w:rFonts w:eastAsia="Calibri"/>
          <w:lang w:eastAsia="en-US"/>
        </w:rPr>
        <w:t>.</w:t>
      </w:r>
    </w:p>
    <w:p w14:paraId="5B66606D" w14:textId="77777777" w:rsidR="0073642B" w:rsidRPr="004E2CF1" w:rsidRDefault="0073642B" w:rsidP="004E2CF1">
      <w:pPr>
        <w:spacing w:line="276" w:lineRule="auto"/>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2"/>
        <w:gridCol w:w="1090"/>
        <w:gridCol w:w="1238"/>
        <w:gridCol w:w="1315"/>
        <w:gridCol w:w="1318"/>
      </w:tblGrid>
      <w:tr w:rsidR="0073642B" w:rsidRPr="00E56764" w14:paraId="0A63A3EB" w14:textId="77777777" w:rsidTr="00476D22">
        <w:trPr>
          <w:trHeight w:val="401"/>
        </w:trPr>
        <w:tc>
          <w:tcPr>
            <w:tcW w:w="2305" w:type="pct"/>
            <w:tcBorders>
              <w:top w:val="single" w:sz="4" w:space="0" w:color="auto"/>
              <w:left w:val="single" w:sz="4" w:space="0" w:color="auto"/>
              <w:bottom w:val="single" w:sz="4" w:space="0" w:color="auto"/>
            </w:tcBorders>
            <w:shd w:val="clear" w:color="auto" w:fill="FFFFCC"/>
          </w:tcPr>
          <w:p w14:paraId="018E1D14" w14:textId="77777777" w:rsidR="0073642B" w:rsidRPr="00E56764" w:rsidRDefault="0073642B" w:rsidP="00476D22">
            <w:pPr>
              <w:spacing w:before="240" w:after="60" w:line="260" w:lineRule="atLeast"/>
              <w:jc w:val="center"/>
              <w:outlineLvl w:val="0"/>
              <w:rPr>
                <w:b/>
                <w:bCs/>
                <w:sz w:val="18"/>
                <w:szCs w:val="18"/>
              </w:rPr>
            </w:pPr>
          </w:p>
        </w:tc>
        <w:tc>
          <w:tcPr>
            <w:tcW w:w="2695" w:type="pct"/>
            <w:gridSpan w:val="4"/>
            <w:tcBorders>
              <w:top w:val="single" w:sz="4" w:space="0" w:color="auto"/>
              <w:left w:val="single" w:sz="4" w:space="0" w:color="auto"/>
              <w:bottom w:val="single" w:sz="4" w:space="0" w:color="auto"/>
            </w:tcBorders>
            <w:shd w:val="clear" w:color="auto" w:fill="FFFFCC"/>
            <w:vAlign w:val="center"/>
          </w:tcPr>
          <w:p w14:paraId="43FE35D2" w14:textId="77777777" w:rsidR="0073642B" w:rsidRPr="00E56764" w:rsidRDefault="0073642B" w:rsidP="00476D22">
            <w:pPr>
              <w:spacing w:before="240" w:after="60" w:line="260" w:lineRule="atLeast"/>
              <w:jc w:val="center"/>
              <w:outlineLvl w:val="0"/>
              <w:rPr>
                <w:b/>
                <w:bCs/>
                <w:sz w:val="18"/>
                <w:szCs w:val="18"/>
              </w:rPr>
            </w:pPr>
            <w:r w:rsidRPr="00E56764">
              <w:rPr>
                <w:b/>
                <w:bCs/>
                <w:sz w:val="18"/>
                <w:szCs w:val="18"/>
              </w:rPr>
              <w:t>Summary table on PNEC values for substances of concern (SoC)</w:t>
            </w:r>
          </w:p>
        </w:tc>
      </w:tr>
      <w:tr w:rsidR="0073642B" w:rsidRPr="00E56764" w14:paraId="38CB9F97" w14:textId="77777777" w:rsidTr="004E2CF1">
        <w:trPr>
          <w:trHeight w:val="680"/>
        </w:trPr>
        <w:tc>
          <w:tcPr>
            <w:tcW w:w="2305" w:type="pct"/>
            <w:shd w:val="clear" w:color="auto" w:fill="FFFFFF"/>
          </w:tcPr>
          <w:p w14:paraId="2B941928" w14:textId="77777777" w:rsidR="0073642B" w:rsidRPr="00E56764" w:rsidRDefault="0073642B" w:rsidP="00476D22">
            <w:pPr>
              <w:spacing w:before="240" w:after="60" w:line="260" w:lineRule="atLeast"/>
              <w:outlineLvl w:val="0"/>
              <w:rPr>
                <w:b/>
                <w:bCs/>
              </w:rPr>
            </w:pPr>
          </w:p>
        </w:tc>
        <w:tc>
          <w:tcPr>
            <w:tcW w:w="592" w:type="pct"/>
            <w:shd w:val="clear" w:color="auto" w:fill="FFFFFF"/>
            <w:vAlign w:val="center"/>
          </w:tcPr>
          <w:p w14:paraId="6B95E281" w14:textId="77777777" w:rsidR="0073642B" w:rsidRPr="00E56764" w:rsidRDefault="0073642B" w:rsidP="004E2CF1">
            <w:pPr>
              <w:spacing w:before="240" w:after="60" w:line="260" w:lineRule="atLeast"/>
              <w:jc w:val="center"/>
              <w:outlineLvl w:val="0"/>
              <w:rPr>
                <w:bCs/>
              </w:rPr>
            </w:pPr>
            <w:r w:rsidRPr="00E56764">
              <w:rPr>
                <w:b/>
                <w:bCs/>
              </w:rPr>
              <w:t>PNEC</w:t>
            </w:r>
            <w:r w:rsidRPr="00E56764">
              <w:rPr>
                <w:b/>
                <w:bCs/>
                <w:vertAlign w:val="subscript"/>
              </w:rPr>
              <w:t>STP</w:t>
            </w:r>
          </w:p>
        </w:tc>
        <w:tc>
          <w:tcPr>
            <w:tcW w:w="673" w:type="pct"/>
            <w:shd w:val="clear" w:color="auto" w:fill="FFFFFF"/>
            <w:vAlign w:val="center"/>
          </w:tcPr>
          <w:p w14:paraId="701F59EF" w14:textId="77777777" w:rsidR="0073642B" w:rsidRPr="00E56764" w:rsidRDefault="0073642B" w:rsidP="004E2CF1">
            <w:pPr>
              <w:spacing w:before="240" w:after="60" w:line="260" w:lineRule="atLeast"/>
              <w:jc w:val="center"/>
              <w:outlineLvl w:val="0"/>
            </w:pPr>
            <w:r w:rsidRPr="00E56764">
              <w:rPr>
                <w:b/>
                <w:bCs/>
              </w:rPr>
              <w:t>PNEC</w:t>
            </w:r>
            <w:r w:rsidRPr="00E56764">
              <w:rPr>
                <w:b/>
                <w:bCs/>
                <w:vertAlign w:val="subscript"/>
              </w:rPr>
              <w:t>water</w:t>
            </w:r>
          </w:p>
        </w:tc>
        <w:tc>
          <w:tcPr>
            <w:tcW w:w="714" w:type="pct"/>
            <w:shd w:val="clear" w:color="auto" w:fill="FFFFFF"/>
            <w:vAlign w:val="center"/>
          </w:tcPr>
          <w:p w14:paraId="7DCA1564" w14:textId="77777777" w:rsidR="0073642B" w:rsidRPr="00E56764" w:rsidRDefault="0073642B" w:rsidP="004E2CF1">
            <w:pPr>
              <w:spacing w:before="240" w:after="60" w:line="260" w:lineRule="atLeast"/>
              <w:jc w:val="center"/>
              <w:outlineLvl w:val="0"/>
              <w:rPr>
                <w:b/>
              </w:rPr>
            </w:pPr>
            <w:r w:rsidRPr="00E56764">
              <w:rPr>
                <w:b/>
              </w:rPr>
              <w:t>PNEC</w:t>
            </w:r>
            <w:r w:rsidRPr="00E56764">
              <w:rPr>
                <w:b/>
                <w:vertAlign w:val="subscript"/>
              </w:rPr>
              <w:t>sed</w:t>
            </w:r>
          </w:p>
        </w:tc>
        <w:tc>
          <w:tcPr>
            <w:tcW w:w="716" w:type="pct"/>
            <w:shd w:val="clear" w:color="auto" w:fill="FFFFFF"/>
            <w:vAlign w:val="center"/>
          </w:tcPr>
          <w:p w14:paraId="4CA38900" w14:textId="77777777" w:rsidR="0073642B" w:rsidRPr="00E56764" w:rsidRDefault="0073642B" w:rsidP="004E2CF1">
            <w:pPr>
              <w:spacing w:before="240" w:after="60" w:line="260" w:lineRule="atLeast"/>
              <w:jc w:val="center"/>
              <w:outlineLvl w:val="0"/>
            </w:pPr>
            <w:r w:rsidRPr="00E56764">
              <w:rPr>
                <w:b/>
                <w:bCs/>
              </w:rPr>
              <w:t>PNEC</w:t>
            </w:r>
            <w:r w:rsidRPr="00E56764">
              <w:rPr>
                <w:b/>
                <w:bCs/>
                <w:vertAlign w:val="subscript"/>
              </w:rPr>
              <w:t>soil</w:t>
            </w:r>
          </w:p>
        </w:tc>
      </w:tr>
      <w:tr w:rsidR="0073642B" w:rsidRPr="00E56764" w14:paraId="54930CFD" w14:textId="77777777" w:rsidTr="004E2CF1">
        <w:trPr>
          <w:trHeight w:val="680"/>
        </w:trPr>
        <w:tc>
          <w:tcPr>
            <w:tcW w:w="2305" w:type="pct"/>
            <w:shd w:val="clear" w:color="auto" w:fill="FFFFFF"/>
          </w:tcPr>
          <w:p w14:paraId="76B62E7B" w14:textId="77777777" w:rsidR="0073642B" w:rsidRPr="00E56764" w:rsidRDefault="0073642B" w:rsidP="00476D22">
            <w:pPr>
              <w:spacing w:before="240" w:after="60" w:line="260" w:lineRule="atLeast"/>
              <w:outlineLvl w:val="0"/>
              <w:rPr>
                <w:bCs/>
              </w:rPr>
            </w:pPr>
            <w:r w:rsidRPr="00E56764">
              <w:rPr>
                <w:b/>
                <w:bCs/>
              </w:rPr>
              <w:t>Substance of concern (SoC)</w:t>
            </w:r>
          </w:p>
        </w:tc>
        <w:tc>
          <w:tcPr>
            <w:tcW w:w="592" w:type="pct"/>
            <w:shd w:val="clear" w:color="auto" w:fill="FFFFFF"/>
            <w:vAlign w:val="center"/>
          </w:tcPr>
          <w:p w14:paraId="46222197" w14:textId="77777777" w:rsidR="0073642B" w:rsidRPr="00E56764" w:rsidRDefault="0073642B" w:rsidP="004E2CF1">
            <w:pPr>
              <w:spacing w:before="240" w:after="60" w:line="260" w:lineRule="atLeast"/>
              <w:jc w:val="center"/>
              <w:outlineLvl w:val="0"/>
            </w:pPr>
            <w:r w:rsidRPr="00E56764">
              <w:rPr>
                <w:bCs/>
              </w:rPr>
              <w:t>[mg/L]</w:t>
            </w:r>
          </w:p>
        </w:tc>
        <w:tc>
          <w:tcPr>
            <w:tcW w:w="673" w:type="pct"/>
            <w:shd w:val="clear" w:color="auto" w:fill="FFFFFF"/>
            <w:vAlign w:val="center"/>
          </w:tcPr>
          <w:p w14:paraId="266F6FE7" w14:textId="77777777" w:rsidR="0073642B" w:rsidRPr="00E56764" w:rsidRDefault="0073642B" w:rsidP="004E2CF1">
            <w:pPr>
              <w:spacing w:before="240" w:after="60" w:line="260" w:lineRule="atLeast"/>
              <w:jc w:val="center"/>
              <w:outlineLvl w:val="0"/>
              <w:rPr>
                <w:bCs/>
              </w:rPr>
            </w:pPr>
            <w:r w:rsidRPr="00E56764">
              <w:rPr>
                <w:bCs/>
              </w:rPr>
              <w:t>[mg/L]</w:t>
            </w:r>
          </w:p>
        </w:tc>
        <w:tc>
          <w:tcPr>
            <w:tcW w:w="714" w:type="pct"/>
            <w:shd w:val="clear" w:color="auto" w:fill="FFFFFF"/>
            <w:vAlign w:val="center"/>
          </w:tcPr>
          <w:p w14:paraId="1C24C6CA" w14:textId="77777777" w:rsidR="0073642B" w:rsidRPr="00E56764" w:rsidRDefault="0073642B" w:rsidP="004E2CF1">
            <w:pPr>
              <w:spacing w:before="240" w:after="60" w:line="260" w:lineRule="atLeast"/>
              <w:jc w:val="center"/>
              <w:outlineLvl w:val="0"/>
            </w:pPr>
            <w:r w:rsidRPr="00E56764">
              <w:rPr>
                <w:bCs/>
              </w:rPr>
              <w:t>[mg/kg</w:t>
            </w:r>
            <w:r w:rsidRPr="00E56764">
              <w:rPr>
                <w:bCs/>
                <w:vertAlign w:val="subscript"/>
              </w:rPr>
              <w:t>wwt</w:t>
            </w:r>
            <w:r w:rsidRPr="00E56764">
              <w:rPr>
                <w:bCs/>
              </w:rPr>
              <w:t>]</w:t>
            </w:r>
          </w:p>
        </w:tc>
        <w:tc>
          <w:tcPr>
            <w:tcW w:w="716" w:type="pct"/>
            <w:shd w:val="clear" w:color="auto" w:fill="FFFFFF"/>
            <w:vAlign w:val="center"/>
          </w:tcPr>
          <w:p w14:paraId="49EAED01" w14:textId="77777777" w:rsidR="0073642B" w:rsidRPr="00E56764" w:rsidRDefault="0073642B" w:rsidP="004E2CF1">
            <w:pPr>
              <w:spacing w:before="240" w:after="60" w:line="260" w:lineRule="atLeast"/>
              <w:jc w:val="center"/>
              <w:outlineLvl w:val="0"/>
              <w:rPr>
                <w:bCs/>
              </w:rPr>
            </w:pPr>
            <w:r w:rsidRPr="00E56764">
              <w:rPr>
                <w:bCs/>
              </w:rPr>
              <w:t>[mg/kg</w:t>
            </w:r>
            <w:r w:rsidRPr="00E56764">
              <w:rPr>
                <w:bCs/>
                <w:vertAlign w:val="subscript"/>
              </w:rPr>
              <w:t>wwt</w:t>
            </w:r>
            <w:r w:rsidRPr="00E56764">
              <w:rPr>
                <w:bCs/>
              </w:rPr>
              <w:t>]</w:t>
            </w:r>
          </w:p>
        </w:tc>
      </w:tr>
      <w:tr w:rsidR="0073642B" w:rsidRPr="001A719F" w14:paraId="5EBF22F7" w14:textId="77777777" w:rsidTr="00476D22">
        <w:trPr>
          <w:trHeight w:val="680"/>
        </w:trPr>
        <w:tc>
          <w:tcPr>
            <w:tcW w:w="2305" w:type="pct"/>
            <w:shd w:val="clear" w:color="auto" w:fill="FFFFFF"/>
          </w:tcPr>
          <w:p w14:paraId="3758F75A" w14:textId="6B891600" w:rsidR="0073642B" w:rsidRPr="001A719F" w:rsidRDefault="0073642B" w:rsidP="00476D22">
            <w:pPr>
              <w:spacing w:before="240" w:after="60" w:line="260" w:lineRule="atLeast"/>
              <w:outlineLvl w:val="0"/>
              <w:rPr>
                <w:lang w:val="fr-FR"/>
              </w:rPr>
            </w:pPr>
            <w:r w:rsidRPr="001A719F">
              <w:rPr>
                <w:lang w:val="fr-FR"/>
              </w:rPr>
              <w:t>Amines, coco alkyldimethyl, N-oxides (</w:t>
            </w:r>
            <w:r w:rsidRPr="001A719F">
              <w:rPr>
                <w:b/>
                <w:lang w:val="fr-FR"/>
              </w:rPr>
              <w:t>M</w:t>
            </w:r>
            <w:r>
              <w:rPr>
                <w:b/>
                <w:lang w:val="fr-FR"/>
              </w:rPr>
              <w:t>eta-</w:t>
            </w:r>
            <w:r w:rsidRPr="001A719F">
              <w:rPr>
                <w:b/>
                <w:lang w:val="fr-FR"/>
              </w:rPr>
              <w:t>SPC 11</w:t>
            </w:r>
            <w:r w:rsidR="00FA314B">
              <w:rPr>
                <w:b/>
                <w:lang w:val="fr-FR"/>
              </w:rPr>
              <w:t> ;</w:t>
            </w:r>
            <w:r w:rsidRPr="001A719F">
              <w:rPr>
                <w:lang w:val="fr-FR"/>
              </w:rPr>
              <w:t xml:space="preserve"> CAS 61788-90-7)</w:t>
            </w:r>
          </w:p>
        </w:tc>
        <w:tc>
          <w:tcPr>
            <w:tcW w:w="592" w:type="pct"/>
            <w:shd w:val="clear" w:color="auto" w:fill="FFFFFF"/>
            <w:vAlign w:val="center"/>
          </w:tcPr>
          <w:p w14:paraId="6B15F6A2" w14:textId="77777777" w:rsidR="0073642B" w:rsidRPr="001A719F" w:rsidRDefault="0073642B" w:rsidP="004E2CF1">
            <w:pPr>
              <w:spacing w:before="240" w:after="60" w:line="260" w:lineRule="atLeast"/>
              <w:jc w:val="center"/>
              <w:outlineLvl w:val="0"/>
            </w:pPr>
            <w:r w:rsidRPr="001A719F">
              <w:t>24</w:t>
            </w:r>
          </w:p>
        </w:tc>
        <w:tc>
          <w:tcPr>
            <w:tcW w:w="673" w:type="pct"/>
            <w:shd w:val="clear" w:color="auto" w:fill="FFFFFF"/>
            <w:vAlign w:val="center"/>
          </w:tcPr>
          <w:p w14:paraId="44A394DF" w14:textId="77777777" w:rsidR="0073642B" w:rsidRPr="001A719F" w:rsidRDefault="0073642B" w:rsidP="004E2CF1">
            <w:pPr>
              <w:spacing w:before="240" w:after="60" w:line="260" w:lineRule="atLeast"/>
              <w:jc w:val="center"/>
              <w:outlineLvl w:val="0"/>
            </w:pPr>
            <w:r w:rsidRPr="001A719F">
              <w:t>3.4E-02</w:t>
            </w:r>
          </w:p>
        </w:tc>
        <w:tc>
          <w:tcPr>
            <w:tcW w:w="714" w:type="pct"/>
            <w:shd w:val="clear" w:color="auto" w:fill="FFFFFF"/>
            <w:vAlign w:val="center"/>
          </w:tcPr>
          <w:p w14:paraId="5292F7C4" w14:textId="77777777" w:rsidR="0073642B" w:rsidRPr="001A719F" w:rsidRDefault="0073642B" w:rsidP="004E2CF1">
            <w:pPr>
              <w:spacing w:before="240" w:after="60" w:line="260" w:lineRule="atLeast"/>
              <w:jc w:val="center"/>
              <w:outlineLvl w:val="0"/>
            </w:pPr>
            <w:r w:rsidRPr="001A719F">
              <w:t>1.32*</w:t>
            </w:r>
          </w:p>
        </w:tc>
        <w:tc>
          <w:tcPr>
            <w:tcW w:w="716" w:type="pct"/>
            <w:shd w:val="clear" w:color="auto" w:fill="auto"/>
            <w:vAlign w:val="center"/>
          </w:tcPr>
          <w:p w14:paraId="6B38025A" w14:textId="77777777" w:rsidR="0073642B" w:rsidRPr="001A719F" w:rsidRDefault="0073642B" w:rsidP="004E2CF1">
            <w:pPr>
              <w:spacing w:before="240" w:after="60" w:line="260" w:lineRule="atLeast"/>
              <w:jc w:val="center"/>
              <w:outlineLvl w:val="0"/>
            </w:pPr>
            <w:r w:rsidRPr="001A719F">
              <w:t>1.05*</w:t>
            </w:r>
          </w:p>
        </w:tc>
      </w:tr>
      <w:tr w:rsidR="0073642B" w:rsidRPr="001A719F" w14:paraId="7B6EDE86" w14:textId="77777777" w:rsidTr="00476D22">
        <w:trPr>
          <w:trHeight w:val="680"/>
        </w:trPr>
        <w:tc>
          <w:tcPr>
            <w:tcW w:w="2305" w:type="pct"/>
            <w:shd w:val="clear" w:color="auto" w:fill="FFFFFF"/>
          </w:tcPr>
          <w:p w14:paraId="65AD49B3" w14:textId="193AE33B" w:rsidR="0073642B" w:rsidRPr="004E2CF1" w:rsidRDefault="0073642B" w:rsidP="00476D22">
            <w:pPr>
              <w:spacing w:before="240" w:after="60" w:line="260" w:lineRule="atLeast"/>
              <w:outlineLvl w:val="0"/>
              <w:rPr>
                <w:rFonts w:eastAsia="Calibri" w:cs="Times New Roman"/>
                <w:b/>
                <w:lang w:eastAsia="en-US"/>
              </w:rPr>
            </w:pPr>
            <w:r w:rsidRPr="001A719F">
              <w:rPr>
                <w:rFonts w:eastAsia="Calibri" w:cs="Times New Roman"/>
                <w:lang w:eastAsia="en-US"/>
              </w:rPr>
              <w:t>OTNE (</w:t>
            </w:r>
            <w:r w:rsidRPr="001A719F">
              <w:rPr>
                <w:rFonts w:eastAsia="Calibri" w:cs="Times New Roman"/>
                <w:b/>
                <w:lang w:eastAsia="en-US"/>
              </w:rPr>
              <w:t>M</w:t>
            </w:r>
            <w:r>
              <w:rPr>
                <w:rFonts w:eastAsia="Calibri" w:cs="Times New Roman"/>
                <w:b/>
                <w:lang w:eastAsia="en-US"/>
              </w:rPr>
              <w:t>eta-</w:t>
            </w:r>
            <w:r w:rsidRPr="001A719F">
              <w:rPr>
                <w:rFonts w:eastAsia="Calibri" w:cs="Times New Roman"/>
                <w:b/>
                <w:lang w:eastAsia="en-US"/>
              </w:rPr>
              <w:t>SPC 9, 10, 13</w:t>
            </w:r>
            <w:r w:rsidR="00FA314B">
              <w:rPr>
                <w:rFonts w:eastAsia="Calibri" w:cs="Times New Roman"/>
                <w:b/>
                <w:lang w:eastAsia="en-US"/>
              </w:rPr>
              <w:t>;</w:t>
            </w:r>
            <w:r w:rsidRPr="001A719F">
              <w:rPr>
                <w:rFonts w:eastAsia="Calibri" w:cs="Times New Roman"/>
                <w:lang w:eastAsia="en-US"/>
              </w:rPr>
              <w:t xml:space="preserve"> EC:915-730-3)</w:t>
            </w:r>
          </w:p>
        </w:tc>
        <w:tc>
          <w:tcPr>
            <w:tcW w:w="592" w:type="pct"/>
            <w:shd w:val="clear" w:color="auto" w:fill="FFFFFF"/>
            <w:vAlign w:val="center"/>
          </w:tcPr>
          <w:p w14:paraId="43F14E6A" w14:textId="77777777" w:rsidR="0073642B" w:rsidRPr="001A719F" w:rsidRDefault="0073642B" w:rsidP="004E2CF1">
            <w:pPr>
              <w:spacing w:before="240" w:after="60" w:line="260" w:lineRule="atLeast"/>
              <w:jc w:val="center"/>
              <w:outlineLvl w:val="0"/>
            </w:pPr>
            <w:r w:rsidRPr="001A719F">
              <w:t>10</w:t>
            </w:r>
          </w:p>
        </w:tc>
        <w:tc>
          <w:tcPr>
            <w:tcW w:w="673" w:type="pct"/>
            <w:shd w:val="clear" w:color="auto" w:fill="FFFFFF"/>
            <w:vAlign w:val="center"/>
          </w:tcPr>
          <w:p w14:paraId="1B5A120D" w14:textId="77777777" w:rsidR="0073642B" w:rsidRPr="001A719F" w:rsidRDefault="0073642B" w:rsidP="004E2CF1">
            <w:pPr>
              <w:spacing w:before="240" w:after="60" w:line="260" w:lineRule="atLeast"/>
              <w:jc w:val="center"/>
              <w:outlineLvl w:val="0"/>
            </w:pPr>
            <w:r w:rsidRPr="001A719F">
              <w:t>4.4E-03</w:t>
            </w:r>
          </w:p>
        </w:tc>
        <w:tc>
          <w:tcPr>
            <w:tcW w:w="714" w:type="pct"/>
            <w:shd w:val="clear" w:color="auto" w:fill="FFFFFF"/>
            <w:vAlign w:val="center"/>
          </w:tcPr>
          <w:p w14:paraId="69733285" w14:textId="77777777" w:rsidR="0073642B" w:rsidRPr="001A719F" w:rsidRDefault="0073642B" w:rsidP="004E2CF1">
            <w:pPr>
              <w:spacing w:before="240" w:after="60" w:line="260" w:lineRule="atLeast"/>
              <w:jc w:val="center"/>
              <w:outlineLvl w:val="0"/>
            </w:pPr>
            <w:r w:rsidRPr="001A719F">
              <w:t>1.62</w:t>
            </w:r>
          </w:p>
        </w:tc>
        <w:tc>
          <w:tcPr>
            <w:tcW w:w="716" w:type="pct"/>
            <w:shd w:val="clear" w:color="auto" w:fill="auto"/>
            <w:vAlign w:val="center"/>
          </w:tcPr>
          <w:p w14:paraId="03660232" w14:textId="77777777" w:rsidR="0073642B" w:rsidRPr="001A719F" w:rsidRDefault="0073642B" w:rsidP="004E2CF1">
            <w:pPr>
              <w:spacing w:before="240" w:after="60" w:line="260" w:lineRule="atLeast"/>
              <w:jc w:val="center"/>
              <w:outlineLvl w:val="0"/>
            </w:pPr>
            <w:r w:rsidRPr="001A719F">
              <w:t>1.35</w:t>
            </w:r>
          </w:p>
        </w:tc>
      </w:tr>
    </w:tbl>
    <w:p w14:paraId="675BBAE1" w14:textId="366B0EB2" w:rsidR="0073642B" w:rsidRPr="004E2CF1" w:rsidRDefault="0073642B" w:rsidP="004E2CF1">
      <w:pPr>
        <w:spacing w:line="276" w:lineRule="auto"/>
        <w:jc w:val="both"/>
        <w:rPr>
          <w:rFonts w:eastAsia="Calibri"/>
          <w:sz w:val="18"/>
          <w:szCs w:val="18"/>
          <w:lang w:eastAsia="en-US"/>
        </w:rPr>
      </w:pPr>
      <w:r w:rsidRPr="004E2CF1">
        <w:rPr>
          <w:rFonts w:eastAsia="Calibri"/>
          <w:sz w:val="18"/>
          <w:szCs w:val="18"/>
          <w:lang w:eastAsia="en-US"/>
        </w:rPr>
        <w:t>* The PNECsoil and</w:t>
      </w:r>
      <w:r w:rsidR="006E4ABF">
        <w:rPr>
          <w:rFonts w:eastAsia="Calibri"/>
          <w:sz w:val="18"/>
          <w:szCs w:val="18"/>
          <w:lang w:eastAsia="en-US"/>
        </w:rPr>
        <w:t>/or</w:t>
      </w:r>
      <w:r w:rsidRPr="004E2CF1">
        <w:rPr>
          <w:rFonts w:eastAsia="Calibri"/>
          <w:sz w:val="18"/>
          <w:szCs w:val="18"/>
          <w:lang w:eastAsia="en-US"/>
        </w:rPr>
        <w:t xml:space="preserve"> the PNECsediment are derived using the equilibrium partitioning method (ECHA Guidance on BPR Vol IV, Part B, v2.0, 2017, equations 89 and 91).</w:t>
      </w:r>
    </w:p>
    <w:p w14:paraId="045119F3" w14:textId="77777777" w:rsidR="00D1372D" w:rsidRDefault="00D1372D">
      <w:pPr>
        <w:spacing w:line="260" w:lineRule="atLeast"/>
        <w:contextualSpacing/>
        <w:jc w:val="both"/>
        <w:rPr>
          <w:rFonts w:ascii="Times New Roman" w:eastAsia="Calibri" w:hAnsi="Times New Roman" w:cs="Times New Roman"/>
          <w:i/>
          <w:iCs/>
          <w:lang w:eastAsia="en-US"/>
        </w:rPr>
      </w:pPr>
    </w:p>
    <w:p w14:paraId="6284E834" w14:textId="2B4C0AAB" w:rsidR="009D0C0B" w:rsidRPr="00B27CB1" w:rsidRDefault="009D0C0B">
      <w:pPr>
        <w:spacing w:line="260" w:lineRule="atLeast"/>
        <w:rPr>
          <w:rFonts w:ascii="Times New Roman" w:eastAsia="Calibri" w:hAnsi="Times New Roman" w:cs="Times New Roman"/>
          <w:i/>
          <w:iCs/>
          <w:lang w:eastAsia="en-US"/>
        </w:rPr>
      </w:pPr>
    </w:p>
    <w:p w14:paraId="1FCCFD11" w14:textId="77777777" w:rsidR="009D0C0B" w:rsidRPr="00B27CB1" w:rsidRDefault="009D0C0B">
      <w:pPr>
        <w:spacing w:line="260" w:lineRule="atLeast"/>
        <w:rPr>
          <w:rFonts w:ascii="Times New Roman" w:eastAsia="Calibri" w:hAnsi="Times New Roman" w:cs="Times New Roman"/>
          <w:i/>
          <w:iCs/>
          <w:lang w:eastAsia="en-US"/>
        </w:rPr>
      </w:pPr>
    </w:p>
    <w:p w14:paraId="1615376A" w14:textId="77777777" w:rsidR="009D0C0B" w:rsidRPr="00B27CB1" w:rsidRDefault="00FA480B">
      <w:pPr>
        <w:pStyle w:val="Titre4"/>
        <w:rPr>
          <w:rFonts w:ascii="Times New Roman" w:hAnsi="Times New Roman" w:cs="Times New Roman"/>
          <w:lang w:val="en-GB" w:eastAsia="en-US"/>
        </w:rPr>
      </w:pPr>
      <w:bookmarkStart w:id="182" w:name="_Toc87361209"/>
      <w:r w:rsidRPr="00B27CB1">
        <w:rPr>
          <w:lang w:val="en-GB"/>
        </w:rPr>
        <w:t>Exposure assessment</w:t>
      </w:r>
      <w:bookmarkEnd w:id="182"/>
    </w:p>
    <w:p w14:paraId="46FBA6DD" w14:textId="77777777" w:rsidR="009D0C0B" w:rsidRPr="00B27CB1" w:rsidRDefault="009D0C0B">
      <w:pPr>
        <w:spacing w:line="276" w:lineRule="auto"/>
        <w:rPr>
          <w:rFonts w:ascii="Times New Roman" w:eastAsia="Calibri" w:hAnsi="Times New Roman" w:cs="Times New Roman"/>
          <w:lang w:eastAsia="en-US"/>
        </w:rPr>
      </w:pPr>
    </w:p>
    <w:p w14:paraId="370F8F54" w14:textId="77777777" w:rsidR="0073642B" w:rsidRDefault="0073642B" w:rsidP="0073642B">
      <w:pPr>
        <w:spacing w:line="276" w:lineRule="auto"/>
        <w:jc w:val="both"/>
        <w:rPr>
          <w:rFonts w:eastAsia="Calibri"/>
          <w:lang w:eastAsia="en-US"/>
        </w:rPr>
      </w:pPr>
      <w:r>
        <w:rPr>
          <w:rFonts w:eastAsia="Calibri"/>
          <w:lang w:eastAsia="en-US"/>
        </w:rPr>
        <w:t xml:space="preserve">The products of the </w:t>
      </w:r>
      <w:r>
        <w:rPr>
          <w:rFonts w:eastAsia="Calibri" w:cs="Times New Roman"/>
          <w:iCs/>
          <w:lang w:eastAsia="en-US"/>
        </w:rPr>
        <w:t>LACTIC ACID BASED FAMILY</w:t>
      </w:r>
      <w:r>
        <w:rPr>
          <w:rFonts w:eastAsia="Calibri"/>
          <w:lang w:eastAsia="en-US"/>
        </w:rPr>
        <w:t xml:space="preserve"> are PT02, PT03 and PT04 biocides divided in 12 Meta-SPC.</w:t>
      </w:r>
    </w:p>
    <w:p w14:paraId="6AFA4FB9" w14:textId="77777777" w:rsidR="0073642B" w:rsidRDefault="0073642B" w:rsidP="0073642B">
      <w:pPr>
        <w:spacing w:line="276" w:lineRule="auto"/>
        <w:jc w:val="both"/>
        <w:rPr>
          <w:rFonts w:eastAsia="Calibri"/>
          <w:lang w:eastAsia="en-US"/>
        </w:rPr>
      </w:pPr>
    </w:p>
    <w:p w14:paraId="1FD14D9E" w14:textId="77777777" w:rsidR="0073642B" w:rsidRDefault="0073642B" w:rsidP="0073642B">
      <w:pPr>
        <w:spacing w:line="276" w:lineRule="auto"/>
        <w:jc w:val="both"/>
        <w:rPr>
          <w:rFonts w:eastAsia="Calibri"/>
          <w:lang w:eastAsia="en-US"/>
        </w:rPr>
      </w:pPr>
      <w:r>
        <w:rPr>
          <w:rFonts w:eastAsia="Calibri"/>
          <w:lang w:eastAsia="en-US"/>
        </w:rPr>
        <w:lastRenderedPageBreak/>
        <w:t>The claimed uses and the scenarios covering each of them are presented in the following table:</w:t>
      </w:r>
    </w:p>
    <w:tbl>
      <w:tblPr>
        <w:tblStyle w:val="Grilledutableau"/>
        <w:tblW w:w="5350" w:type="pct"/>
        <w:jc w:val="center"/>
        <w:tblInd w:w="0" w:type="dxa"/>
        <w:tblLook w:val="04A0" w:firstRow="1" w:lastRow="0" w:firstColumn="1" w:lastColumn="0" w:noHBand="0" w:noVBand="1"/>
      </w:tblPr>
      <w:tblGrid>
        <w:gridCol w:w="1078"/>
        <w:gridCol w:w="679"/>
        <w:gridCol w:w="1485"/>
        <w:gridCol w:w="3192"/>
        <w:gridCol w:w="3413"/>
      </w:tblGrid>
      <w:tr w:rsidR="0073642B" w14:paraId="53986F04" w14:textId="77777777" w:rsidTr="00476D22">
        <w:trPr>
          <w:trHeight w:val="479"/>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3B9B5EF8" w14:textId="77777777" w:rsidR="0073642B" w:rsidRPr="00711870" w:rsidRDefault="0073642B" w:rsidP="00476D22">
            <w:pPr>
              <w:jc w:val="center"/>
              <w:rPr>
                <w:b/>
                <w:color w:val="17365D" w:themeColor="text2" w:themeShade="BF"/>
                <w:sz w:val="18"/>
                <w:szCs w:val="18"/>
              </w:rPr>
            </w:pPr>
            <w:r w:rsidRPr="00711870">
              <w:rPr>
                <w:b/>
                <w:color w:val="17365D" w:themeColor="text2" w:themeShade="BF"/>
                <w:sz w:val="18"/>
                <w:szCs w:val="18"/>
              </w:rPr>
              <w:t>Meta-SPC</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72F40" w14:textId="77777777" w:rsidR="0073642B" w:rsidRPr="00711870" w:rsidRDefault="0073642B" w:rsidP="00476D22">
            <w:pPr>
              <w:jc w:val="center"/>
              <w:rPr>
                <w:b/>
                <w:sz w:val="18"/>
                <w:szCs w:val="18"/>
              </w:rPr>
            </w:pPr>
            <w:r w:rsidRPr="00711870">
              <w:rPr>
                <w:b/>
                <w:sz w:val="18"/>
                <w:szCs w:val="18"/>
              </w:rPr>
              <w:t>PT</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FC9E51" w14:textId="57FB2B2C" w:rsidR="0073642B" w:rsidRPr="00711870" w:rsidRDefault="0073642B" w:rsidP="00476D22">
            <w:pPr>
              <w:jc w:val="center"/>
              <w:rPr>
                <w:b/>
                <w:sz w:val="18"/>
                <w:szCs w:val="18"/>
                <w:lang w:val="en-US"/>
              </w:rPr>
            </w:pPr>
            <w:r w:rsidRPr="00711870">
              <w:rPr>
                <w:b/>
                <w:sz w:val="18"/>
                <w:szCs w:val="18"/>
                <w:lang w:val="en-US"/>
              </w:rPr>
              <w:t>Claimed use</w:t>
            </w:r>
            <w:r w:rsidR="003F3E6C">
              <w:rPr>
                <w:b/>
                <w:sz w:val="18"/>
                <w:szCs w:val="18"/>
                <w:lang w:val="en-US"/>
              </w:rPr>
              <w:t xml:space="preserve"> from SPC</w:t>
            </w:r>
          </w:p>
        </w:tc>
        <w:tc>
          <w:tcPr>
            <w:tcW w:w="1621" w:type="pct"/>
            <w:tcBorders>
              <w:top w:val="single" w:sz="4" w:space="0" w:color="auto"/>
              <w:left w:val="single" w:sz="4" w:space="0" w:color="auto"/>
              <w:bottom w:val="single" w:sz="4" w:space="0" w:color="auto"/>
              <w:right w:val="single" w:sz="4" w:space="0" w:color="auto"/>
            </w:tcBorders>
            <w:vAlign w:val="center"/>
            <w:hideMark/>
          </w:tcPr>
          <w:p w14:paraId="52524AC3" w14:textId="77777777" w:rsidR="0073642B" w:rsidRPr="00711870" w:rsidRDefault="0073642B" w:rsidP="00476D22">
            <w:pPr>
              <w:jc w:val="center"/>
              <w:rPr>
                <w:b/>
                <w:sz w:val="18"/>
                <w:szCs w:val="18"/>
              </w:rPr>
            </w:pPr>
            <w:r w:rsidRPr="00711870">
              <w:rPr>
                <w:b/>
                <w:sz w:val="18"/>
                <w:szCs w:val="18"/>
              </w:rPr>
              <w:t>Description of use</w:t>
            </w:r>
          </w:p>
        </w:tc>
        <w:tc>
          <w:tcPr>
            <w:tcW w:w="1733" w:type="pct"/>
            <w:tcBorders>
              <w:top w:val="single" w:sz="4" w:space="0" w:color="auto"/>
              <w:left w:val="single" w:sz="4" w:space="0" w:color="auto"/>
              <w:bottom w:val="single" w:sz="4" w:space="0" w:color="auto"/>
              <w:right w:val="single" w:sz="4" w:space="0" w:color="auto"/>
            </w:tcBorders>
            <w:vAlign w:val="center"/>
            <w:hideMark/>
          </w:tcPr>
          <w:p w14:paraId="3A0B03AA" w14:textId="77777777" w:rsidR="0073642B" w:rsidRPr="00711870" w:rsidRDefault="0073642B" w:rsidP="00476D22">
            <w:pPr>
              <w:spacing w:after="120"/>
              <w:jc w:val="center"/>
              <w:rPr>
                <w:rFonts w:cstheme="minorHAnsi"/>
                <w:b/>
                <w:color w:val="221E1F"/>
                <w:sz w:val="18"/>
                <w:szCs w:val="18"/>
                <w:lang w:val="en-US"/>
              </w:rPr>
            </w:pPr>
            <w:r w:rsidRPr="00711870">
              <w:rPr>
                <w:rFonts w:cstheme="minorHAnsi"/>
                <w:b/>
                <w:color w:val="221E1F"/>
                <w:sz w:val="18"/>
                <w:szCs w:val="18"/>
                <w:lang w:val="en-US"/>
              </w:rPr>
              <w:t>Covered by</w:t>
            </w:r>
          </w:p>
        </w:tc>
      </w:tr>
      <w:tr w:rsidR="0073642B" w:rsidRPr="002D6BBB" w14:paraId="45DD7431" w14:textId="77777777" w:rsidTr="00DD2106">
        <w:trPr>
          <w:trHeight w:val="479"/>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19E7D9A0" w14:textId="77777777" w:rsidR="0073642B" w:rsidRPr="00711870" w:rsidRDefault="0073642B" w:rsidP="00476D22">
            <w:pPr>
              <w:jc w:val="center"/>
              <w:rPr>
                <w:color w:val="17365D" w:themeColor="text2" w:themeShade="BF"/>
                <w:sz w:val="18"/>
                <w:szCs w:val="18"/>
              </w:rPr>
            </w:pPr>
            <w:r w:rsidRPr="00711870">
              <w:rPr>
                <w:color w:val="17365D" w:themeColor="text2" w:themeShade="BF"/>
                <w:sz w:val="18"/>
                <w:szCs w:val="18"/>
                <w:lang w:val="en-US"/>
              </w:rPr>
              <w:t>1</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49B8D" w14:textId="77777777" w:rsidR="0073642B" w:rsidRPr="00711870" w:rsidRDefault="0073642B" w:rsidP="00476D22">
            <w:pPr>
              <w:jc w:val="center"/>
              <w:rPr>
                <w:sz w:val="18"/>
                <w:szCs w:val="18"/>
              </w:rPr>
            </w:pPr>
            <w:r w:rsidRPr="00711870">
              <w:rPr>
                <w:sz w:val="18"/>
                <w:szCs w:val="18"/>
              </w:rPr>
              <w:t>2</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0548D" w14:textId="77777777" w:rsidR="0073642B" w:rsidRPr="00711870" w:rsidRDefault="0073642B" w:rsidP="00476D22">
            <w:pPr>
              <w:jc w:val="center"/>
              <w:rPr>
                <w:sz w:val="18"/>
                <w:szCs w:val="18"/>
                <w:lang w:val="en-US"/>
              </w:rPr>
            </w:pPr>
            <w:r w:rsidRPr="00711870">
              <w:rPr>
                <w:sz w:val="18"/>
                <w:szCs w:val="18"/>
                <w:lang w:val="en-US"/>
              </w:rPr>
              <w:t>1.1</w:t>
            </w:r>
          </w:p>
        </w:tc>
        <w:tc>
          <w:tcPr>
            <w:tcW w:w="1621" w:type="pct"/>
            <w:tcBorders>
              <w:top w:val="single" w:sz="4" w:space="0" w:color="auto"/>
              <w:left w:val="single" w:sz="4" w:space="0" w:color="auto"/>
              <w:bottom w:val="single" w:sz="4" w:space="0" w:color="auto"/>
              <w:right w:val="single" w:sz="4" w:space="0" w:color="auto"/>
            </w:tcBorders>
            <w:vAlign w:val="center"/>
            <w:hideMark/>
          </w:tcPr>
          <w:p w14:paraId="31588774" w14:textId="2E7B900E" w:rsidR="0073642B" w:rsidRPr="00711870" w:rsidRDefault="00BA238F" w:rsidP="00476D22">
            <w:pPr>
              <w:rPr>
                <w:sz w:val="18"/>
                <w:szCs w:val="18"/>
              </w:rPr>
            </w:pPr>
            <w:r>
              <w:rPr>
                <w:sz w:val="18"/>
                <w:szCs w:val="18"/>
                <w:lang w:val="en-US"/>
              </w:rPr>
              <w:t>PT2 - RTU p</w:t>
            </w:r>
            <w:r w:rsidRPr="00047A32">
              <w:rPr>
                <w:sz w:val="18"/>
                <w:szCs w:val="18"/>
              </w:rPr>
              <w:t>roduct used for the disinfection of households surfaces including toilets bowls</w:t>
            </w:r>
            <w:r w:rsidRPr="00711870" w:rsidDel="00BA238F">
              <w:rPr>
                <w:sz w:val="18"/>
                <w:szCs w:val="18"/>
              </w:rPr>
              <w:t xml:space="preserve"> </w:t>
            </w:r>
            <w:r w:rsidR="0073642B" w:rsidRPr="00711870">
              <w:rPr>
                <w:sz w:val="18"/>
                <w:szCs w:val="18"/>
              </w:rPr>
              <w:t>(non-pro)</w:t>
            </w:r>
          </w:p>
        </w:tc>
        <w:tc>
          <w:tcPr>
            <w:tcW w:w="1733" w:type="pct"/>
            <w:tcBorders>
              <w:top w:val="single" w:sz="4" w:space="0" w:color="auto"/>
              <w:left w:val="single" w:sz="4" w:space="0" w:color="auto"/>
              <w:bottom w:val="single" w:sz="4" w:space="0" w:color="auto"/>
              <w:right w:val="single" w:sz="4" w:space="0" w:color="auto"/>
            </w:tcBorders>
          </w:tcPr>
          <w:p w14:paraId="2C514C00" w14:textId="261DDB5C" w:rsidR="0073642B" w:rsidRPr="00711870" w:rsidRDefault="0073642B">
            <w:pPr>
              <w:suppressAutoHyphens w:val="0"/>
              <w:spacing w:after="120"/>
              <w:contextualSpacing/>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w:t>
            </w:r>
            <w:r w:rsidRPr="00711870">
              <w:rPr>
                <w:rFonts w:eastAsia="Calibri"/>
                <w:sz w:val="18"/>
                <w:szCs w:val="18"/>
                <w:lang w:eastAsia="en-US"/>
              </w:rPr>
              <w:t>Disinfection of institutional areas - releases of disinfectants used for sanitary purposes based on average consumption</w:t>
            </w:r>
            <w:r w:rsidRPr="00711870">
              <w:rPr>
                <w:color w:val="221E1F"/>
                <w:sz w:val="18"/>
                <w:szCs w:val="18"/>
                <w:lang w:val="en-US"/>
              </w:rPr>
              <w:t xml:space="preserve"> </w:t>
            </w:r>
            <w:r w:rsidR="00E860AF">
              <w:rPr>
                <w:color w:val="221E1F"/>
                <w:sz w:val="18"/>
                <w:szCs w:val="18"/>
                <w:lang w:val="en-US"/>
              </w:rPr>
              <w:t>approach</w:t>
            </w:r>
          </w:p>
        </w:tc>
      </w:tr>
      <w:tr w:rsidR="0033064C" w:rsidRPr="002D6BBB" w14:paraId="22C1A5AE" w14:textId="77777777" w:rsidTr="0033064C">
        <w:trPr>
          <w:trHeight w:val="479"/>
          <w:jc w:val="center"/>
        </w:trPr>
        <w:tc>
          <w:tcPr>
            <w:tcW w:w="547" w:type="pct"/>
            <w:vMerge w:val="restart"/>
            <w:tcBorders>
              <w:top w:val="single" w:sz="4" w:space="0" w:color="auto"/>
              <w:left w:val="single" w:sz="4" w:space="0" w:color="auto"/>
              <w:right w:val="single" w:sz="4" w:space="0" w:color="auto"/>
            </w:tcBorders>
            <w:vAlign w:val="center"/>
            <w:hideMark/>
          </w:tcPr>
          <w:p w14:paraId="5BBF4D9F" w14:textId="77777777" w:rsidR="0033064C" w:rsidRPr="00711870" w:rsidRDefault="0033064C" w:rsidP="00476D22">
            <w:pPr>
              <w:jc w:val="center"/>
              <w:rPr>
                <w:color w:val="17365D" w:themeColor="text2" w:themeShade="BF"/>
                <w:sz w:val="18"/>
                <w:szCs w:val="18"/>
                <w:lang w:val="en-US"/>
              </w:rPr>
            </w:pPr>
            <w:r w:rsidRPr="00711870">
              <w:rPr>
                <w:color w:val="17365D" w:themeColor="text2" w:themeShade="BF"/>
                <w:sz w:val="18"/>
                <w:szCs w:val="18"/>
                <w:lang w:val="en-US"/>
              </w:rPr>
              <w:t>2</w:t>
            </w:r>
          </w:p>
        </w:tc>
        <w:tc>
          <w:tcPr>
            <w:tcW w:w="345"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511B416" w14:textId="77777777" w:rsidR="0033064C" w:rsidRPr="00711870" w:rsidRDefault="0033064C" w:rsidP="00476D22">
            <w:pPr>
              <w:jc w:val="center"/>
              <w:rPr>
                <w:sz w:val="18"/>
                <w:szCs w:val="18"/>
              </w:rPr>
            </w:pPr>
            <w:r w:rsidRPr="00711870">
              <w:rPr>
                <w:sz w:val="18"/>
                <w:szCs w:val="18"/>
              </w:rPr>
              <w:t>2, 4</w:t>
            </w:r>
          </w:p>
        </w:tc>
        <w:tc>
          <w:tcPr>
            <w:tcW w:w="754" w:type="pct"/>
            <w:tcBorders>
              <w:top w:val="single" w:sz="4" w:space="0" w:color="auto"/>
              <w:left w:val="single" w:sz="4" w:space="0" w:color="auto"/>
              <w:bottom w:val="nil"/>
              <w:right w:val="single" w:sz="4" w:space="0" w:color="auto"/>
            </w:tcBorders>
            <w:shd w:val="clear" w:color="auto" w:fill="F2F2F2" w:themeFill="background1" w:themeFillShade="F2"/>
            <w:hideMark/>
          </w:tcPr>
          <w:p w14:paraId="18806277" w14:textId="4C73A59B" w:rsidR="0033064C" w:rsidRDefault="0033064C">
            <w:pPr>
              <w:jc w:val="center"/>
              <w:rPr>
                <w:sz w:val="18"/>
                <w:szCs w:val="18"/>
                <w:lang w:val="en-US"/>
              </w:rPr>
            </w:pPr>
            <w:r w:rsidRPr="00711870">
              <w:rPr>
                <w:sz w:val="18"/>
                <w:szCs w:val="18"/>
                <w:lang w:val="en-US"/>
              </w:rPr>
              <w:t>2.1</w:t>
            </w:r>
          </w:p>
          <w:p w14:paraId="0C374333" w14:textId="7C327DB6" w:rsidR="0033064C" w:rsidRPr="00711870" w:rsidRDefault="0033064C" w:rsidP="0033064C">
            <w:pPr>
              <w:jc w:val="center"/>
              <w:rPr>
                <w:sz w:val="18"/>
                <w:szCs w:val="18"/>
                <w:lang w:val="en-US"/>
              </w:rPr>
            </w:pPr>
          </w:p>
        </w:tc>
        <w:tc>
          <w:tcPr>
            <w:tcW w:w="1621" w:type="pct"/>
            <w:tcBorders>
              <w:top w:val="single" w:sz="4" w:space="0" w:color="auto"/>
              <w:left w:val="single" w:sz="4" w:space="0" w:color="auto"/>
              <w:bottom w:val="nil"/>
              <w:right w:val="single" w:sz="4" w:space="0" w:color="auto"/>
            </w:tcBorders>
            <w:hideMark/>
          </w:tcPr>
          <w:p w14:paraId="6E5FA958" w14:textId="77777777" w:rsidR="0033064C" w:rsidRDefault="0033064C" w:rsidP="00BA238F">
            <w:pPr>
              <w:rPr>
                <w:sz w:val="18"/>
                <w:szCs w:val="18"/>
              </w:rPr>
            </w:pPr>
            <w:r>
              <w:rPr>
                <w:sz w:val="18"/>
                <w:szCs w:val="18"/>
              </w:rPr>
              <w:t>PT2 -</w:t>
            </w:r>
            <w:r>
              <w:rPr>
                <w:sz w:val="18"/>
                <w:szCs w:val="18"/>
                <w:lang w:val="en-US"/>
              </w:rPr>
              <w:t xml:space="preserve"> RTU p</w:t>
            </w:r>
            <w:r w:rsidRPr="00927EB1">
              <w:rPr>
                <w:sz w:val="18"/>
                <w:szCs w:val="18"/>
              </w:rPr>
              <w:t>roduct used for the disinfection of households surfaces including toilets bowls</w:t>
            </w:r>
            <w:r w:rsidRPr="00711870">
              <w:rPr>
                <w:sz w:val="18"/>
                <w:szCs w:val="18"/>
              </w:rPr>
              <w:t xml:space="preserve"> (non-pro)</w:t>
            </w:r>
          </w:p>
          <w:p w14:paraId="34281B2C" w14:textId="361568BB" w:rsidR="0033064C" w:rsidRPr="00711870" w:rsidRDefault="0033064C" w:rsidP="00BA238F">
            <w:pPr>
              <w:rPr>
                <w:sz w:val="18"/>
                <w:szCs w:val="18"/>
              </w:rPr>
            </w:pPr>
          </w:p>
        </w:tc>
        <w:tc>
          <w:tcPr>
            <w:tcW w:w="1733" w:type="pct"/>
            <w:vMerge w:val="restart"/>
            <w:tcBorders>
              <w:top w:val="single" w:sz="4" w:space="0" w:color="auto"/>
              <w:left w:val="single" w:sz="4" w:space="0" w:color="auto"/>
              <w:right w:val="single" w:sz="4" w:space="0" w:color="auto"/>
            </w:tcBorders>
            <w:hideMark/>
          </w:tcPr>
          <w:p w14:paraId="01A7483F" w14:textId="52DEBAF0" w:rsidR="0033064C" w:rsidRPr="00711870" w:rsidRDefault="0033064C" w:rsidP="00476D22">
            <w:pPr>
              <w:spacing w:after="12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7A2DAAC0" w14:textId="77777777" w:rsidR="0033064C" w:rsidRDefault="0033064C" w:rsidP="0033064C">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44FC7884" w14:textId="77777777" w:rsidR="0033064C" w:rsidRPr="00711870" w:rsidRDefault="0033064C" w:rsidP="0033064C">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12946BB6" w14:textId="77777777" w:rsidR="0033064C" w:rsidRPr="00711870" w:rsidRDefault="0033064C" w:rsidP="00BA238F">
            <w:pPr>
              <w:spacing w:after="120"/>
              <w:rPr>
                <w:rFonts w:cstheme="minorHAnsi"/>
                <w:color w:val="221E1F"/>
                <w:sz w:val="18"/>
                <w:szCs w:val="18"/>
              </w:rPr>
            </w:pPr>
            <w:r w:rsidRPr="00711870">
              <w:rPr>
                <w:rFonts w:eastAsia="Calibri"/>
                <w:bCs/>
                <w:sz w:val="18"/>
                <w:szCs w:val="18"/>
                <w:lang w:eastAsia="en-US"/>
              </w:rPr>
              <w:t xml:space="preserve">PT4- </w:t>
            </w:r>
            <w:r w:rsidRPr="00711870">
              <w:rPr>
                <w:rFonts w:eastAsia="Calibri"/>
                <w:sz w:val="18"/>
                <w:szCs w:val="18"/>
                <w:lang w:eastAsia="en-US"/>
              </w:rPr>
              <w:t xml:space="preserve">Scenario </w:t>
            </w:r>
            <w:r>
              <w:rPr>
                <w:rFonts w:eastAsia="Calibri"/>
                <w:sz w:val="18"/>
                <w:szCs w:val="18"/>
                <w:lang w:eastAsia="en-US"/>
              </w:rPr>
              <w:t>7</w:t>
            </w:r>
            <w:r w:rsidRPr="00711870">
              <w:rPr>
                <w:rFonts w:eastAsia="Calibri"/>
                <w:sz w:val="18"/>
                <w:szCs w:val="18"/>
                <w:lang w:eastAsia="en-US"/>
              </w:rPr>
              <w:t>: Indoor - Private use of disinfectants used in food and feed areas</w:t>
            </w:r>
          </w:p>
          <w:p w14:paraId="2182674C" w14:textId="3F0313A1" w:rsidR="0033064C" w:rsidRPr="00711870" w:rsidRDefault="0033064C" w:rsidP="00476D22">
            <w:pPr>
              <w:spacing w:after="120"/>
              <w:rPr>
                <w:rFonts w:cstheme="minorHAnsi"/>
                <w:color w:val="221E1F"/>
                <w:sz w:val="18"/>
                <w:szCs w:val="18"/>
                <w:lang w:val="en-US"/>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Pr>
                <w:sz w:val="18"/>
                <w:szCs w:val="18"/>
              </w:rPr>
              <w:t xml:space="preserve">in food and feed area </w:t>
            </w:r>
          </w:p>
        </w:tc>
      </w:tr>
      <w:tr w:rsidR="0033064C" w:rsidRPr="002D6BBB" w14:paraId="67A6C128" w14:textId="77777777" w:rsidTr="00DD2106">
        <w:trPr>
          <w:trHeight w:val="479"/>
          <w:jc w:val="center"/>
        </w:trPr>
        <w:tc>
          <w:tcPr>
            <w:tcW w:w="547" w:type="pct"/>
            <w:vMerge/>
            <w:tcBorders>
              <w:left w:val="single" w:sz="4" w:space="0" w:color="auto"/>
              <w:right w:val="single" w:sz="4" w:space="0" w:color="auto"/>
            </w:tcBorders>
            <w:vAlign w:val="center"/>
          </w:tcPr>
          <w:p w14:paraId="5B2D3EAC" w14:textId="77777777" w:rsidR="0033064C" w:rsidRPr="00711870" w:rsidRDefault="0033064C" w:rsidP="00476D22">
            <w:pPr>
              <w:jc w:val="center"/>
              <w:rPr>
                <w:color w:val="17365D" w:themeColor="text2" w:themeShade="BF"/>
                <w:sz w:val="18"/>
                <w:szCs w:val="18"/>
                <w:lang w:val="en-US"/>
              </w:rPr>
            </w:pPr>
          </w:p>
        </w:tc>
        <w:tc>
          <w:tcPr>
            <w:tcW w:w="345" w:type="pct"/>
            <w:vMerge/>
            <w:tcBorders>
              <w:left w:val="single" w:sz="4" w:space="0" w:color="auto"/>
              <w:right w:val="single" w:sz="4" w:space="0" w:color="auto"/>
            </w:tcBorders>
            <w:shd w:val="clear" w:color="auto" w:fill="F2F2F2" w:themeFill="background1" w:themeFillShade="F2"/>
            <w:vAlign w:val="center"/>
          </w:tcPr>
          <w:p w14:paraId="71CA2B91" w14:textId="77777777" w:rsidR="0033064C" w:rsidRPr="00711870" w:rsidRDefault="0033064C" w:rsidP="00476D22">
            <w:pPr>
              <w:jc w:val="center"/>
              <w:rPr>
                <w:sz w:val="18"/>
                <w:szCs w:val="18"/>
              </w:rPr>
            </w:pPr>
          </w:p>
        </w:tc>
        <w:tc>
          <w:tcPr>
            <w:tcW w:w="754" w:type="pct"/>
            <w:tcBorders>
              <w:top w:val="nil"/>
              <w:left w:val="single" w:sz="4" w:space="0" w:color="auto"/>
              <w:bottom w:val="nil"/>
              <w:right w:val="single" w:sz="4" w:space="0" w:color="auto"/>
            </w:tcBorders>
            <w:shd w:val="clear" w:color="auto" w:fill="F2F2F2" w:themeFill="background1" w:themeFillShade="F2"/>
          </w:tcPr>
          <w:p w14:paraId="73F646C5" w14:textId="538C323A" w:rsidR="0033064C" w:rsidRPr="00711870" w:rsidRDefault="0033064C">
            <w:pPr>
              <w:jc w:val="center"/>
              <w:rPr>
                <w:sz w:val="18"/>
                <w:szCs w:val="18"/>
                <w:lang w:val="en-US"/>
              </w:rPr>
            </w:pPr>
            <w:r w:rsidRPr="00711870">
              <w:rPr>
                <w:sz w:val="18"/>
                <w:szCs w:val="18"/>
                <w:lang w:val="en-US"/>
              </w:rPr>
              <w:t>2.2</w:t>
            </w:r>
          </w:p>
        </w:tc>
        <w:tc>
          <w:tcPr>
            <w:tcW w:w="1621" w:type="pct"/>
            <w:tcBorders>
              <w:top w:val="nil"/>
              <w:left w:val="single" w:sz="4" w:space="0" w:color="auto"/>
              <w:bottom w:val="nil"/>
              <w:right w:val="single" w:sz="4" w:space="0" w:color="auto"/>
            </w:tcBorders>
          </w:tcPr>
          <w:p w14:paraId="17F148A2" w14:textId="2ECC72AF" w:rsidR="0033064C" w:rsidRPr="00711870" w:rsidRDefault="0033064C" w:rsidP="00BA238F">
            <w:pPr>
              <w:rPr>
                <w:sz w:val="18"/>
                <w:szCs w:val="18"/>
              </w:rPr>
            </w:pPr>
            <w:r>
              <w:rPr>
                <w:sz w:val="18"/>
                <w:szCs w:val="18"/>
              </w:rPr>
              <w:t xml:space="preserve">PT2/4 - </w:t>
            </w:r>
            <w:r w:rsidRPr="00711870">
              <w:rPr>
                <w:sz w:val="18"/>
                <w:szCs w:val="18"/>
              </w:rPr>
              <w:t xml:space="preserve">RTU </w:t>
            </w:r>
            <w:r w:rsidRPr="00047A32">
              <w:rPr>
                <w:sz w:val="18"/>
                <w:szCs w:val="18"/>
              </w:rPr>
              <w:t>product used for the disinfection of households food contact surfaces</w:t>
            </w:r>
            <w:r>
              <w:rPr>
                <w:sz w:val="18"/>
                <w:szCs w:val="18"/>
              </w:rPr>
              <w:t xml:space="preserve"> </w:t>
            </w:r>
            <w:r w:rsidRPr="00864C9E">
              <w:rPr>
                <w:sz w:val="18"/>
                <w:szCs w:val="18"/>
              </w:rPr>
              <w:t>and devices for baby care and other risk groups.</w:t>
            </w:r>
            <w:r w:rsidRPr="00711870" w:rsidDel="00BA238F">
              <w:rPr>
                <w:sz w:val="18"/>
                <w:szCs w:val="18"/>
              </w:rPr>
              <w:t xml:space="preserve"> </w:t>
            </w:r>
            <w:r w:rsidRPr="00711870">
              <w:rPr>
                <w:sz w:val="18"/>
                <w:szCs w:val="18"/>
              </w:rPr>
              <w:t>(non-pro)</w:t>
            </w:r>
          </w:p>
          <w:p w14:paraId="4A05DF63" w14:textId="77777777" w:rsidR="0033064C" w:rsidRPr="00711870" w:rsidRDefault="0033064C" w:rsidP="00BA238F">
            <w:pPr>
              <w:rPr>
                <w:sz w:val="18"/>
                <w:szCs w:val="18"/>
              </w:rPr>
            </w:pPr>
          </w:p>
        </w:tc>
        <w:tc>
          <w:tcPr>
            <w:tcW w:w="1733" w:type="pct"/>
            <w:vMerge/>
            <w:tcBorders>
              <w:left w:val="single" w:sz="4" w:space="0" w:color="auto"/>
              <w:right w:val="single" w:sz="4" w:space="0" w:color="auto"/>
            </w:tcBorders>
          </w:tcPr>
          <w:p w14:paraId="5E57C17D" w14:textId="438D2A0A" w:rsidR="0033064C" w:rsidRPr="00711870" w:rsidRDefault="0033064C" w:rsidP="00476D22">
            <w:pPr>
              <w:spacing w:after="120"/>
              <w:rPr>
                <w:color w:val="221E1F"/>
                <w:sz w:val="18"/>
                <w:szCs w:val="18"/>
                <w:lang w:val="en-US"/>
              </w:rPr>
            </w:pPr>
          </w:p>
        </w:tc>
      </w:tr>
      <w:tr w:rsidR="0033064C" w:rsidRPr="002D6BBB" w14:paraId="07CF1993" w14:textId="77777777" w:rsidTr="00DD2106">
        <w:trPr>
          <w:trHeight w:val="1823"/>
          <w:jc w:val="center"/>
        </w:trPr>
        <w:tc>
          <w:tcPr>
            <w:tcW w:w="547" w:type="pct"/>
            <w:vMerge/>
            <w:tcBorders>
              <w:left w:val="single" w:sz="4" w:space="0" w:color="auto"/>
              <w:right w:val="single" w:sz="4" w:space="0" w:color="auto"/>
            </w:tcBorders>
            <w:vAlign w:val="center"/>
          </w:tcPr>
          <w:p w14:paraId="145783BA" w14:textId="77777777" w:rsidR="0033064C" w:rsidRPr="00711870" w:rsidRDefault="0033064C" w:rsidP="00476D22">
            <w:pPr>
              <w:jc w:val="center"/>
              <w:rPr>
                <w:color w:val="17365D" w:themeColor="text2" w:themeShade="BF"/>
                <w:sz w:val="18"/>
                <w:szCs w:val="18"/>
                <w:lang w:val="en-US"/>
              </w:rPr>
            </w:pPr>
          </w:p>
        </w:tc>
        <w:tc>
          <w:tcPr>
            <w:tcW w:w="345" w:type="pct"/>
            <w:vMerge/>
            <w:tcBorders>
              <w:left w:val="single" w:sz="4" w:space="0" w:color="auto"/>
              <w:right w:val="single" w:sz="4" w:space="0" w:color="auto"/>
            </w:tcBorders>
            <w:shd w:val="clear" w:color="auto" w:fill="F2F2F2" w:themeFill="background1" w:themeFillShade="F2"/>
            <w:vAlign w:val="center"/>
          </w:tcPr>
          <w:p w14:paraId="7C65283F" w14:textId="77777777" w:rsidR="0033064C" w:rsidRPr="00711870" w:rsidRDefault="0033064C" w:rsidP="00476D22">
            <w:pPr>
              <w:jc w:val="center"/>
              <w:rPr>
                <w:sz w:val="18"/>
                <w:szCs w:val="18"/>
              </w:rPr>
            </w:pPr>
          </w:p>
        </w:tc>
        <w:tc>
          <w:tcPr>
            <w:tcW w:w="754" w:type="pct"/>
            <w:tcBorders>
              <w:top w:val="nil"/>
              <w:left w:val="single" w:sz="4" w:space="0" w:color="auto"/>
              <w:bottom w:val="single" w:sz="4" w:space="0" w:color="auto"/>
              <w:right w:val="single" w:sz="4" w:space="0" w:color="auto"/>
            </w:tcBorders>
            <w:shd w:val="clear" w:color="auto" w:fill="F2F2F2" w:themeFill="background1" w:themeFillShade="F2"/>
          </w:tcPr>
          <w:p w14:paraId="3A347406" w14:textId="4CF271F5" w:rsidR="0033064C" w:rsidRDefault="0033064C" w:rsidP="00BA238F">
            <w:pPr>
              <w:jc w:val="center"/>
              <w:rPr>
                <w:sz w:val="18"/>
                <w:szCs w:val="18"/>
                <w:lang w:val="en-US"/>
              </w:rPr>
            </w:pPr>
            <w:r w:rsidRPr="00711870">
              <w:rPr>
                <w:sz w:val="18"/>
                <w:szCs w:val="18"/>
                <w:lang w:val="en-US"/>
              </w:rPr>
              <w:t>2.3</w:t>
            </w:r>
          </w:p>
          <w:p w14:paraId="4FC5E322" w14:textId="70B76B7C" w:rsidR="0033064C" w:rsidRPr="00711870" w:rsidRDefault="0033064C" w:rsidP="0033064C">
            <w:pPr>
              <w:jc w:val="center"/>
              <w:rPr>
                <w:sz w:val="18"/>
                <w:szCs w:val="18"/>
                <w:lang w:val="en-US"/>
              </w:rPr>
            </w:pPr>
            <w:r>
              <w:rPr>
                <w:sz w:val="18"/>
                <w:szCs w:val="18"/>
                <w:lang w:val="en-US"/>
              </w:rPr>
              <w:t>2.4</w:t>
            </w:r>
          </w:p>
        </w:tc>
        <w:tc>
          <w:tcPr>
            <w:tcW w:w="1621" w:type="pct"/>
            <w:tcBorders>
              <w:top w:val="nil"/>
              <w:left w:val="single" w:sz="4" w:space="0" w:color="auto"/>
              <w:bottom w:val="single" w:sz="4" w:space="0" w:color="auto"/>
              <w:right w:val="single" w:sz="4" w:space="0" w:color="auto"/>
            </w:tcBorders>
          </w:tcPr>
          <w:p w14:paraId="75A77F11" w14:textId="6D6BEEC5" w:rsidR="0033064C" w:rsidRPr="008469D8" w:rsidRDefault="0033064C" w:rsidP="00B5436B">
            <w:pPr>
              <w:suppressAutoHyphens w:val="0"/>
              <w:autoSpaceDE w:val="0"/>
              <w:autoSpaceDN w:val="0"/>
              <w:adjustRightInd w:val="0"/>
              <w:rPr>
                <w:sz w:val="18"/>
                <w:szCs w:val="18"/>
              </w:rPr>
            </w:pPr>
            <w:r w:rsidRPr="00047A32">
              <w:rPr>
                <w:sz w:val="18"/>
                <w:szCs w:val="18"/>
              </w:rPr>
              <w:t>PT2/4: RTU product used for the disinfection for industry, institution and healthcare facilities and food preparation and handling area.</w:t>
            </w:r>
          </w:p>
        </w:tc>
        <w:tc>
          <w:tcPr>
            <w:tcW w:w="1733" w:type="pct"/>
            <w:vMerge/>
            <w:tcBorders>
              <w:left w:val="single" w:sz="4" w:space="0" w:color="auto"/>
              <w:right w:val="single" w:sz="4" w:space="0" w:color="auto"/>
            </w:tcBorders>
          </w:tcPr>
          <w:p w14:paraId="35C2A8B6" w14:textId="5A8880D4" w:rsidR="0033064C" w:rsidRPr="00711870" w:rsidRDefault="0033064C" w:rsidP="00476D22">
            <w:pPr>
              <w:spacing w:after="120"/>
              <w:rPr>
                <w:color w:val="221E1F"/>
                <w:sz w:val="18"/>
                <w:szCs w:val="18"/>
                <w:lang w:val="en-US"/>
              </w:rPr>
            </w:pPr>
          </w:p>
        </w:tc>
      </w:tr>
      <w:tr w:rsidR="0073642B" w:rsidRPr="002D6BBB" w14:paraId="079BE99F" w14:textId="77777777" w:rsidTr="00DD2106">
        <w:trPr>
          <w:trHeight w:val="479"/>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79FDBA3B" w14:textId="77777777" w:rsidR="0073642B" w:rsidRPr="00711870" w:rsidRDefault="0073642B" w:rsidP="00476D22">
            <w:pPr>
              <w:jc w:val="center"/>
              <w:rPr>
                <w:color w:val="17365D" w:themeColor="text2" w:themeShade="BF"/>
                <w:sz w:val="18"/>
                <w:szCs w:val="18"/>
              </w:rPr>
            </w:pPr>
            <w:r w:rsidRPr="00711870">
              <w:rPr>
                <w:color w:val="17365D" w:themeColor="text2" w:themeShade="BF"/>
                <w:sz w:val="18"/>
                <w:szCs w:val="18"/>
                <w:lang w:val="en-US"/>
              </w:rPr>
              <w:t>3</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E6837" w14:textId="77777777" w:rsidR="0073642B" w:rsidRPr="00711870" w:rsidRDefault="0073642B" w:rsidP="00476D22">
            <w:pPr>
              <w:jc w:val="center"/>
              <w:rPr>
                <w:sz w:val="18"/>
                <w:szCs w:val="18"/>
              </w:rPr>
            </w:pPr>
            <w:r w:rsidRPr="00711870">
              <w:rPr>
                <w:sz w:val="18"/>
                <w:szCs w:val="18"/>
                <w:lang w:val="en-US"/>
              </w:rPr>
              <w:t>2, 4</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0C659" w14:textId="77777777" w:rsidR="0073642B" w:rsidRPr="00711870" w:rsidRDefault="0073642B" w:rsidP="00476D22">
            <w:pPr>
              <w:jc w:val="center"/>
              <w:rPr>
                <w:sz w:val="18"/>
                <w:szCs w:val="18"/>
                <w:lang w:val="en-US"/>
              </w:rPr>
            </w:pPr>
          </w:p>
          <w:p w14:paraId="05D5F8F0" w14:textId="77777777" w:rsidR="0073642B" w:rsidRPr="00711870" w:rsidRDefault="0073642B" w:rsidP="00476D22">
            <w:pPr>
              <w:jc w:val="center"/>
              <w:rPr>
                <w:sz w:val="18"/>
                <w:szCs w:val="18"/>
                <w:lang w:val="en-US"/>
              </w:rPr>
            </w:pPr>
            <w:r w:rsidRPr="00711870">
              <w:rPr>
                <w:sz w:val="18"/>
                <w:szCs w:val="18"/>
                <w:lang w:val="en-US"/>
              </w:rPr>
              <w:t>3.1</w:t>
            </w:r>
          </w:p>
          <w:p w14:paraId="7CBBAFEE" w14:textId="77777777" w:rsidR="0073642B" w:rsidRPr="00711870" w:rsidRDefault="0073642B" w:rsidP="00476D22">
            <w:pPr>
              <w:jc w:val="center"/>
              <w:rPr>
                <w:sz w:val="18"/>
                <w:szCs w:val="18"/>
                <w:lang w:val="en-US"/>
              </w:rPr>
            </w:pPr>
          </w:p>
          <w:p w14:paraId="475925C3" w14:textId="77777777" w:rsidR="0073642B" w:rsidRPr="00711870" w:rsidRDefault="0073642B" w:rsidP="00476D22">
            <w:pPr>
              <w:rPr>
                <w:sz w:val="18"/>
                <w:szCs w:val="18"/>
                <w:lang w:val="en-US"/>
              </w:rPr>
            </w:pPr>
          </w:p>
          <w:p w14:paraId="420A7DAF" w14:textId="77777777" w:rsidR="0073642B" w:rsidRPr="00711870" w:rsidRDefault="0073642B" w:rsidP="00476D22">
            <w:pPr>
              <w:rPr>
                <w:sz w:val="18"/>
                <w:szCs w:val="18"/>
                <w:lang w:val="en-US"/>
              </w:rPr>
            </w:pPr>
          </w:p>
          <w:p w14:paraId="2784863B" w14:textId="52C4B886" w:rsidR="0073642B" w:rsidRDefault="0073642B" w:rsidP="00476D22">
            <w:pPr>
              <w:jc w:val="center"/>
              <w:rPr>
                <w:sz w:val="18"/>
                <w:szCs w:val="18"/>
                <w:lang w:val="en-US"/>
              </w:rPr>
            </w:pPr>
          </w:p>
          <w:p w14:paraId="5FE7C41F" w14:textId="77777777" w:rsidR="006E4ABF" w:rsidRPr="00711870" w:rsidRDefault="006E4ABF" w:rsidP="00476D22">
            <w:pPr>
              <w:jc w:val="center"/>
              <w:rPr>
                <w:sz w:val="18"/>
                <w:szCs w:val="18"/>
                <w:lang w:val="en-US"/>
              </w:rPr>
            </w:pPr>
          </w:p>
          <w:p w14:paraId="221E4F3D" w14:textId="77777777" w:rsidR="0073642B" w:rsidRPr="00711870" w:rsidRDefault="0073642B" w:rsidP="00476D22">
            <w:pPr>
              <w:jc w:val="center"/>
              <w:rPr>
                <w:sz w:val="18"/>
                <w:szCs w:val="18"/>
                <w:lang w:val="en-US"/>
              </w:rPr>
            </w:pPr>
            <w:r w:rsidRPr="00711870">
              <w:rPr>
                <w:sz w:val="18"/>
                <w:szCs w:val="18"/>
                <w:lang w:val="en-US"/>
              </w:rPr>
              <w:t>3.2</w:t>
            </w:r>
          </w:p>
        </w:tc>
        <w:tc>
          <w:tcPr>
            <w:tcW w:w="1621" w:type="pct"/>
            <w:tcBorders>
              <w:top w:val="single" w:sz="4" w:space="0" w:color="auto"/>
              <w:left w:val="single" w:sz="4" w:space="0" w:color="auto"/>
              <w:bottom w:val="single" w:sz="4" w:space="0" w:color="auto"/>
              <w:right w:val="single" w:sz="4" w:space="0" w:color="auto"/>
            </w:tcBorders>
          </w:tcPr>
          <w:p w14:paraId="7FD2ADC6" w14:textId="0995B431" w:rsidR="0073642B" w:rsidRPr="00711870" w:rsidRDefault="0003334B" w:rsidP="00476D22">
            <w:pPr>
              <w:rPr>
                <w:sz w:val="18"/>
                <w:szCs w:val="18"/>
              </w:rPr>
            </w:pPr>
            <w:r>
              <w:rPr>
                <w:sz w:val="18"/>
                <w:szCs w:val="18"/>
              </w:rPr>
              <w:t xml:space="preserve">PT2/4 - </w:t>
            </w:r>
            <w:r w:rsidR="0073642B" w:rsidRPr="00711870">
              <w:rPr>
                <w:sz w:val="18"/>
                <w:szCs w:val="18"/>
              </w:rPr>
              <w:t>RTU disinfectants for hard surfaces for industry, institution, healthcare facilities, health care</w:t>
            </w:r>
            <w:r w:rsidR="00CC6EE5" w:rsidRPr="001644F6">
              <w:rPr>
                <w:sz w:val="18"/>
                <w:szCs w:val="18"/>
              </w:rPr>
              <w:t xml:space="preserve"> and food preparation and handling area</w:t>
            </w:r>
          </w:p>
          <w:p w14:paraId="5061843B" w14:textId="77777777" w:rsidR="0073642B" w:rsidRDefault="0073642B" w:rsidP="00476D22">
            <w:pPr>
              <w:rPr>
                <w:sz w:val="18"/>
                <w:szCs w:val="18"/>
              </w:rPr>
            </w:pPr>
          </w:p>
          <w:p w14:paraId="481ABCA6" w14:textId="77777777" w:rsidR="0073642B" w:rsidRDefault="0073642B" w:rsidP="00476D22">
            <w:pPr>
              <w:rPr>
                <w:sz w:val="18"/>
                <w:szCs w:val="18"/>
              </w:rPr>
            </w:pPr>
          </w:p>
          <w:p w14:paraId="44C417C0" w14:textId="22E109FE" w:rsidR="0073642B" w:rsidRPr="00711870" w:rsidRDefault="0003334B" w:rsidP="00476D22">
            <w:pPr>
              <w:rPr>
                <w:sz w:val="18"/>
                <w:szCs w:val="18"/>
              </w:rPr>
            </w:pPr>
            <w:r>
              <w:rPr>
                <w:sz w:val="18"/>
                <w:szCs w:val="18"/>
              </w:rPr>
              <w:t xml:space="preserve">PT2 - </w:t>
            </w:r>
            <w:r w:rsidR="0073642B" w:rsidRPr="00711870">
              <w:rPr>
                <w:sz w:val="18"/>
                <w:szCs w:val="18"/>
              </w:rPr>
              <w:t>RTU disinfectants for hard surfaces for industry, institution, healthcare facilities and health care</w:t>
            </w:r>
          </w:p>
        </w:tc>
        <w:tc>
          <w:tcPr>
            <w:tcW w:w="1733" w:type="pct"/>
            <w:tcBorders>
              <w:top w:val="single" w:sz="4" w:space="0" w:color="auto"/>
              <w:left w:val="single" w:sz="4" w:space="0" w:color="auto"/>
              <w:bottom w:val="single" w:sz="4" w:space="0" w:color="auto"/>
              <w:right w:val="single" w:sz="4" w:space="0" w:color="auto"/>
            </w:tcBorders>
            <w:vAlign w:val="center"/>
            <w:hideMark/>
          </w:tcPr>
          <w:p w14:paraId="31D00CB9" w14:textId="0B46B6FF" w:rsidR="0073642B" w:rsidRPr="00711870" w:rsidRDefault="0073642B" w:rsidP="00476D22">
            <w:pPr>
              <w:spacing w:after="12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E860AF">
              <w:rPr>
                <w:color w:val="221E1F"/>
                <w:sz w:val="18"/>
                <w:szCs w:val="18"/>
                <w:lang w:val="en-US"/>
              </w:rPr>
              <w:t>approach</w:t>
            </w:r>
          </w:p>
          <w:p w14:paraId="1584E53C" w14:textId="627C993B" w:rsidR="0073642B" w:rsidRDefault="0073642B" w:rsidP="00476D22">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15B6F6B5" w14:textId="3F583B91" w:rsidR="0003334B" w:rsidRPr="00711870" w:rsidRDefault="0003334B" w:rsidP="0003334B">
            <w:pPr>
              <w:spacing w:after="120"/>
              <w:rPr>
                <w:rFonts w:cstheme="minorHAnsi"/>
                <w:color w:val="221E1F"/>
                <w:sz w:val="18"/>
                <w:szCs w:val="18"/>
                <w:lang w:val="en-US"/>
              </w:rPr>
            </w:pPr>
            <w:r>
              <w:rPr>
                <w:rFonts w:eastAsia="Calibri"/>
                <w:sz w:val="18"/>
                <w:szCs w:val="18"/>
                <w:lang w:eastAsia="en-US"/>
              </w:rPr>
              <w:t xml:space="preserve">PT2- Scenario </w:t>
            </w:r>
            <w:r w:rsidR="009972F1">
              <w:rPr>
                <w:rFonts w:eastAsia="Calibri"/>
                <w:sz w:val="18"/>
                <w:szCs w:val="18"/>
                <w:lang w:eastAsia="en-US"/>
              </w:rPr>
              <w:t>3</w:t>
            </w:r>
            <w:r>
              <w:rPr>
                <w:rFonts w:eastAsia="Calibri"/>
                <w:sz w:val="18"/>
                <w:szCs w:val="18"/>
                <w:lang w:eastAsia="en-US"/>
              </w:rPr>
              <w:t>: Indoor – Disinfection of rooms, furniture and objects in medical sector</w:t>
            </w:r>
          </w:p>
          <w:p w14:paraId="265AE1FA" w14:textId="156DFC41" w:rsidR="0073642B" w:rsidRPr="00711870" w:rsidRDefault="0073642B" w:rsidP="00476D22">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sidR="004C0867">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AF686D">
              <w:rPr>
                <w:sz w:val="18"/>
                <w:szCs w:val="18"/>
              </w:rPr>
              <w:t>in food and feed area</w:t>
            </w:r>
          </w:p>
        </w:tc>
      </w:tr>
      <w:tr w:rsidR="0073642B" w:rsidRPr="002D6BBB" w14:paraId="52EB2EF4" w14:textId="77777777" w:rsidTr="00476D22">
        <w:trPr>
          <w:trHeight w:val="479"/>
          <w:jc w:val="center"/>
        </w:trPr>
        <w:tc>
          <w:tcPr>
            <w:tcW w:w="547" w:type="pct"/>
            <w:tcBorders>
              <w:top w:val="single" w:sz="4" w:space="0" w:color="auto"/>
              <w:left w:val="single" w:sz="4" w:space="0" w:color="auto"/>
              <w:bottom w:val="single" w:sz="4" w:space="0" w:color="auto"/>
              <w:right w:val="single" w:sz="4" w:space="0" w:color="auto"/>
            </w:tcBorders>
            <w:vAlign w:val="center"/>
          </w:tcPr>
          <w:p w14:paraId="035E3C47"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t>4</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1628" w14:textId="77777777" w:rsidR="0073642B" w:rsidRPr="00711870" w:rsidRDefault="0073642B" w:rsidP="00476D22">
            <w:pPr>
              <w:rPr>
                <w:sz w:val="18"/>
                <w:szCs w:val="18"/>
              </w:rPr>
            </w:pPr>
            <w:r w:rsidRPr="00711870">
              <w:rPr>
                <w:sz w:val="18"/>
                <w:szCs w:val="18"/>
                <w:lang w:val="en-US"/>
              </w:rPr>
              <w:t>2, 4</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DD65E" w14:textId="77777777" w:rsidR="0073642B" w:rsidRPr="00711870" w:rsidRDefault="0073642B" w:rsidP="00476D22">
            <w:pPr>
              <w:jc w:val="center"/>
              <w:rPr>
                <w:sz w:val="18"/>
                <w:szCs w:val="18"/>
                <w:lang w:val="en-US"/>
              </w:rPr>
            </w:pPr>
            <w:r w:rsidRPr="00711870">
              <w:rPr>
                <w:sz w:val="18"/>
                <w:szCs w:val="18"/>
                <w:lang w:val="en-US"/>
              </w:rPr>
              <w:t>4.1</w:t>
            </w:r>
          </w:p>
        </w:tc>
        <w:tc>
          <w:tcPr>
            <w:tcW w:w="1621" w:type="pct"/>
            <w:tcBorders>
              <w:top w:val="single" w:sz="4" w:space="0" w:color="auto"/>
              <w:left w:val="single" w:sz="4" w:space="0" w:color="auto"/>
              <w:bottom w:val="single" w:sz="4" w:space="0" w:color="auto"/>
              <w:right w:val="single" w:sz="4" w:space="0" w:color="auto"/>
            </w:tcBorders>
            <w:vAlign w:val="center"/>
          </w:tcPr>
          <w:p w14:paraId="0DA5CC30" w14:textId="3C7DAB9E" w:rsidR="0073642B" w:rsidRPr="00711870" w:rsidRDefault="00E860AF" w:rsidP="00476D22">
            <w:pPr>
              <w:suppressAutoHyphens w:val="0"/>
              <w:rPr>
                <w:sz w:val="18"/>
                <w:szCs w:val="18"/>
              </w:rPr>
            </w:pPr>
            <w:r>
              <w:rPr>
                <w:sz w:val="18"/>
                <w:szCs w:val="18"/>
              </w:rPr>
              <w:t xml:space="preserve">PT2/4 - </w:t>
            </w:r>
            <w:r w:rsidR="0073642B" w:rsidRPr="00711870">
              <w:rPr>
                <w:sz w:val="18"/>
                <w:szCs w:val="18"/>
              </w:rPr>
              <w:t xml:space="preserve">RTU disinfectants for hard surfaces of industry, institution, healthcare facilities </w:t>
            </w:r>
            <w:r w:rsidR="00CC6EE5" w:rsidRPr="001644F6">
              <w:rPr>
                <w:sz w:val="18"/>
                <w:szCs w:val="18"/>
              </w:rPr>
              <w:t>and food preparation and handling area</w:t>
            </w:r>
          </w:p>
        </w:tc>
        <w:tc>
          <w:tcPr>
            <w:tcW w:w="1733" w:type="pct"/>
            <w:tcBorders>
              <w:top w:val="single" w:sz="4" w:space="0" w:color="auto"/>
              <w:left w:val="single" w:sz="4" w:space="0" w:color="auto"/>
              <w:bottom w:val="single" w:sz="4" w:space="0" w:color="auto"/>
              <w:right w:val="single" w:sz="4" w:space="0" w:color="auto"/>
            </w:tcBorders>
            <w:vAlign w:val="center"/>
            <w:hideMark/>
          </w:tcPr>
          <w:p w14:paraId="2C970077" w14:textId="12D4BC1F" w:rsidR="0073642B" w:rsidRPr="00711870" w:rsidRDefault="0073642B" w:rsidP="00476D22">
            <w:pPr>
              <w:spacing w:after="12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E860AF">
              <w:rPr>
                <w:color w:val="221E1F"/>
                <w:sz w:val="18"/>
                <w:szCs w:val="18"/>
                <w:lang w:val="en-US"/>
              </w:rPr>
              <w:t>approach</w:t>
            </w:r>
          </w:p>
          <w:p w14:paraId="37F9A375" w14:textId="6AFD4C04" w:rsidR="0073642B" w:rsidRDefault="0073642B" w:rsidP="00476D22">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7BF9AD47" w14:textId="0EFE1E99" w:rsidR="00E860AF" w:rsidRPr="00711870" w:rsidRDefault="00E860AF" w:rsidP="00E860AF">
            <w:pPr>
              <w:spacing w:after="120"/>
              <w:rPr>
                <w:rFonts w:cstheme="minorHAnsi"/>
                <w:color w:val="221E1F"/>
                <w:sz w:val="18"/>
                <w:szCs w:val="18"/>
                <w:lang w:val="en-US"/>
              </w:rPr>
            </w:pPr>
            <w:r>
              <w:rPr>
                <w:rFonts w:eastAsia="Calibri"/>
                <w:sz w:val="18"/>
                <w:szCs w:val="18"/>
                <w:lang w:eastAsia="en-US"/>
              </w:rPr>
              <w:t xml:space="preserve">PT2- Scenario </w:t>
            </w:r>
            <w:r w:rsidR="009972F1">
              <w:rPr>
                <w:rFonts w:eastAsia="Calibri"/>
                <w:sz w:val="18"/>
                <w:szCs w:val="18"/>
                <w:lang w:eastAsia="en-US"/>
              </w:rPr>
              <w:t>3</w:t>
            </w:r>
            <w:r>
              <w:rPr>
                <w:rFonts w:eastAsia="Calibri"/>
                <w:sz w:val="18"/>
                <w:szCs w:val="18"/>
                <w:lang w:eastAsia="en-US"/>
              </w:rPr>
              <w:t>: Indoor – Disinfection of rooms, furniture and objects in medical sector</w:t>
            </w:r>
          </w:p>
          <w:p w14:paraId="7F008B41" w14:textId="5D1935A2" w:rsidR="0073642B" w:rsidRPr="00711870" w:rsidRDefault="0073642B" w:rsidP="00476D22">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sidR="004C0867">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AF686D">
              <w:rPr>
                <w:sz w:val="18"/>
                <w:szCs w:val="18"/>
              </w:rPr>
              <w:t>in food and feed area</w:t>
            </w:r>
          </w:p>
        </w:tc>
      </w:tr>
      <w:tr w:rsidR="0073642B" w:rsidRPr="002D6BBB" w14:paraId="535AB379" w14:textId="77777777" w:rsidTr="005450B5">
        <w:trPr>
          <w:trHeight w:val="975"/>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237527AD" w14:textId="77777777" w:rsidR="0073642B" w:rsidRPr="00711870" w:rsidRDefault="0073642B" w:rsidP="00476D22">
            <w:pPr>
              <w:jc w:val="center"/>
              <w:rPr>
                <w:color w:val="17365D" w:themeColor="text2" w:themeShade="BF"/>
                <w:sz w:val="18"/>
                <w:szCs w:val="18"/>
              </w:rPr>
            </w:pPr>
            <w:r w:rsidRPr="00711870">
              <w:rPr>
                <w:color w:val="17365D" w:themeColor="text2" w:themeShade="BF"/>
                <w:sz w:val="18"/>
                <w:szCs w:val="18"/>
              </w:rPr>
              <w:lastRenderedPageBreak/>
              <w:t>6</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FD3F0" w14:textId="77777777" w:rsidR="0073642B" w:rsidRPr="00711870" w:rsidRDefault="0073642B" w:rsidP="00476D22">
            <w:pPr>
              <w:jc w:val="center"/>
              <w:rPr>
                <w:sz w:val="18"/>
                <w:szCs w:val="18"/>
              </w:rPr>
            </w:pPr>
            <w:r w:rsidRPr="00711870">
              <w:rPr>
                <w:sz w:val="18"/>
                <w:szCs w:val="18"/>
              </w:rPr>
              <w:t>2, 4</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F291F4" w14:textId="77777777" w:rsidR="0073642B" w:rsidRPr="00711870" w:rsidRDefault="0073642B" w:rsidP="005450B5">
            <w:pPr>
              <w:jc w:val="center"/>
              <w:rPr>
                <w:sz w:val="18"/>
                <w:szCs w:val="18"/>
                <w:lang w:val="en-US"/>
              </w:rPr>
            </w:pPr>
            <w:r w:rsidRPr="00711870">
              <w:rPr>
                <w:sz w:val="18"/>
                <w:szCs w:val="18"/>
                <w:lang w:val="en-US"/>
              </w:rPr>
              <w:t>6.1</w:t>
            </w:r>
          </w:p>
          <w:p w14:paraId="58563316" w14:textId="77777777" w:rsidR="0073642B" w:rsidRPr="00711870" w:rsidRDefault="0073642B" w:rsidP="005450B5">
            <w:pPr>
              <w:jc w:val="center"/>
              <w:rPr>
                <w:sz w:val="18"/>
                <w:szCs w:val="18"/>
                <w:lang w:val="en-US"/>
              </w:rPr>
            </w:pPr>
            <w:r w:rsidRPr="00711870">
              <w:rPr>
                <w:sz w:val="18"/>
                <w:szCs w:val="18"/>
                <w:lang w:val="en-US"/>
              </w:rPr>
              <w:t>6.2</w:t>
            </w:r>
          </w:p>
          <w:p w14:paraId="7ECE9EBE" w14:textId="77777777" w:rsidR="0073642B" w:rsidRPr="00711870" w:rsidRDefault="0073642B" w:rsidP="005450B5">
            <w:pPr>
              <w:jc w:val="center"/>
              <w:rPr>
                <w:sz w:val="18"/>
                <w:szCs w:val="18"/>
                <w:lang w:val="en-US"/>
              </w:rPr>
            </w:pPr>
            <w:r w:rsidRPr="00711870">
              <w:rPr>
                <w:sz w:val="18"/>
                <w:szCs w:val="18"/>
                <w:lang w:val="en-US"/>
              </w:rPr>
              <w:t>6.3</w:t>
            </w:r>
          </w:p>
          <w:p w14:paraId="1D0C2F99" w14:textId="77777777" w:rsidR="0073642B" w:rsidRPr="00711870" w:rsidRDefault="0073642B" w:rsidP="005450B5">
            <w:pPr>
              <w:jc w:val="center"/>
              <w:rPr>
                <w:sz w:val="18"/>
                <w:szCs w:val="18"/>
                <w:lang w:val="en-US"/>
              </w:rPr>
            </w:pPr>
            <w:r w:rsidRPr="00711870">
              <w:rPr>
                <w:sz w:val="18"/>
                <w:szCs w:val="18"/>
                <w:lang w:val="en-US"/>
              </w:rPr>
              <w:t>6.4</w:t>
            </w:r>
          </w:p>
        </w:tc>
        <w:tc>
          <w:tcPr>
            <w:tcW w:w="1621" w:type="pct"/>
            <w:tcBorders>
              <w:top w:val="single" w:sz="4" w:space="0" w:color="auto"/>
              <w:left w:val="single" w:sz="4" w:space="0" w:color="auto"/>
              <w:bottom w:val="single" w:sz="4" w:space="0" w:color="auto"/>
              <w:right w:val="single" w:sz="4" w:space="0" w:color="auto"/>
            </w:tcBorders>
            <w:vAlign w:val="center"/>
            <w:hideMark/>
          </w:tcPr>
          <w:p w14:paraId="577C41F5" w14:textId="1DA6FF2D" w:rsidR="0073642B" w:rsidRPr="00711870" w:rsidRDefault="001A04DF" w:rsidP="00476D22">
            <w:pPr>
              <w:rPr>
                <w:rFonts w:cstheme="minorHAnsi"/>
                <w:sz w:val="18"/>
                <w:szCs w:val="18"/>
                <w:lang w:val="en-US"/>
              </w:rPr>
            </w:pPr>
            <w:r>
              <w:rPr>
                <w:rFonts w:cstheme="minorHAnsi"/>
                <w:sz w:val="18"/>
                <w:szCs w:val="18"/>
                <w:lang w:val="en-US"/>
              </w:rPr>
              <w:t xml:space="preserve">PT2/4 - </w:t>
            </w:r>
            <w:r w:rsidR="0073642B" w:rsidRPr="00711870">
              <w:rPr>
                <w:rFonts w:cstheme="minorHAnsi"/>
                <w:sz w:val="18"/>
                <w:szCs w:val="18"/>
                <w:lang w:val="en-US"/>
              </w:rPr>
              <w:t xml:space="preserve">Concentrated disinfectants for hard surfaces of industry, institution, healthcare facilities, health care and </w:t>
            </w:r>
            <w:r w:rsidRPr="001644F6">
              <w:rPr>
                <w:sz w:val="18"/>
                <w:szCs w:val="18"/>
              </w:rPr>
              <w:t>food preparation and handling area</w:t>
            </w:r>
          </w:p>
        </w:tc>
        <w:tc>
          <w:tcPr>
            <w:tcW w:w="1733" w:type="pct"/>
            <w:tcBorders>
              <w:top w:val="single" w:sz="4" w:space="0" w:color="auto"/>
              <w:left w:val="single" w:sz="4" w:space="0" w:color="auto"/>
              <w:bottom w:val="single" w:sz="4" w:space="0" w:color="auto"/>
              <w:right w:val="single" w:sz="4" w:space="0" w:color="auto"/>
            </w:tcBorders>
            <w:hideMark/>
          </w:tcPr>
          <w:p w14:paraId="54FB34BC" w14:textId="144AD863" w:rsidR="0073642B" w:rsidRPr="00711870" w:rsidRDefault="0073642B" w:rsidP="00476D22">
            <w:pPr>
              <w:spacing w:after="12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 </w:t>
            </w:r>
          </w:p>
          <w:p w14:paraId="4422FD3E" w14:textId="00FFB17B" w:rsidR="0073642B" w:rsidRDefault="0073642B" w:rsidP="00476D22">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7DC58D98" w14:textId="456AD9DE" w:rsidR="001A04DF" w:rsidRPr="00711870" w:rsidRDefault="001A04DF" w:rsidP="001A04DF">
            <w:pPr>
              <w:spacing w:after="120"/>
              <w:rPr>
                <w:rFonts w:cstheme="minorHAnsi"/>
                <w:color w:val="221E1F"/>
                <w:sz w:val="18"/>
                <w:szCs w:val="18"/>
                <w:lang w:val="en-US"/>
              </w:rPr>
            </w:pPr>
            <w:r>
              <w:rPr>
                <w:rFonts w:eastAsia="Calibri"/>
                <w:sz w:val="18"/>
                <w:szCs w:val="18"/>
                <w:lang w:eastAsia="en-US"/>
              </w:rPr>
              <w:t xml:space="preserve">PT2- Scenario </w:t>
            </w:r>
            <w:r w:rsidR="009972F1">
              <w:rPr>
                <w:rFonts w:eastAsia="Calibri"/>
                <w:sz w:val="18"/>
                <w:szCs w:val="18"/>
                <w:lang w:eastAsia="en-US"/>
              </w:rPr>
              <w:t>3</w:t>
            </w:r>
            <w:r>
              <w:rPr>
                <w:rFonts w:eastAsia="Calibri"/>
                <w:sz w:val="18"/>
                <w:szCs w:val="18"/>
                <w:lang w:eastAsia="en-US"/>
              </w:rPr>
              <w:t>: Indoor – Disinfection of rooms, furniture and objects in medical sector</w:t>
            </w:r>
          </w:p>
          <w:p w14:paraId="0D5A1169" w14:textId="57A21E39" w:rsidR="0073642B" w:rsidRPr="00711870" w:rsidRDefault="0073642B" w:rsidP="00476D22">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sidR="004C0867">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AF686D">
              <w:rPr>
                <w:sz w:val="18"/>
                <w:szCs w:val="18"/>
              </w:rPr>
              <w:t>in food and feed area</w:t>
            </w:r>
          </w:p>
        </w:tc>
      </w:tr>
      <w:tr w:rsidR="0073642B" w:rsidRPr="002D6BBB" w14:paraId="54E0669C" w14:textId="77777777" w:rsidTr="00476D22">
        <w:trPr>
          <w:trHeight w:val="468"/>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59A409FD"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rPr>
              <w:t>7</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0115F" w14:textId="77777777" w:rsidR="0073642B" w:rsidRPr="00711870" w:rsidRDefault="0073642B" w:rsidP="00476D22">
            <w:pPr>
              <w:jc w:val="center"/>
              <w:rPr>
                <w:sz w:val="18"/>
                <w:szCs w:val="18"/>
              </w:rPr>
            </w:pPr>
            <w:r w:rsidRPr="00711870">
              <w:rPr>
                <w:sz w:val="18"/>
                <w:szCs w:val="18"/>
              </w:rPr>
              <w:t>2, 4</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7108D" w14:textId="77777777" w:rsidR="0073642B" w:rsidRPr="00711870" w:rsidRDefault="0073642B" w:rsidP="00476D22">
            <w:pPr>
              <w:jc w:val="center"/>
              <w:rPr>
                <w:sz w:val="18"/>
                <w:szCs w:val="18"/>
              </w:rPr>
            </w:pPr>
            <w:r w:rsidRPr="00711870">
              <w:rPr>
                <w:sz w:val="18"/>
                <w:szCs w:val="18"/>
              </w:rPr>
              <w:t>7.1</w:t>
            </w:r>
          </w:p>
          <w:p w14:paraId="5AE11CFE" w14:textId="77777777" w:rsidR="0073642B" w:rsidRPr="00711870" w:rsidRDefault="0073642B" w:rsidP="00476D22">
            <w:pPr>
              <w:jc w:val="center"/>
              <w:rPr>
                <w:sz w:val="18"/>
                <w:szCs w:val="18"/>
              </w:rPr>
            </w:pPr>
            <w:r w:rsidRPr="00711870">
              <w:rPr>
                <w:sz w:val="18"/>
                <w:szCs w:val="18"/>
              </w:rPr>
              <w:t>7.2</w:t>
            </w:r>
          </w:p>
          <w:p w14:paraId="7FF17519" w14:textId="6214DF5C" w:rsidR="0073642B" w:rsidRPr="00711870" w:rsidRDefault="0073642B" w:rsidP="00476D22">
            <w:pPr>
              <w:jc w:val="center"/>
              <w:rPr>
                <w:sz w:val="18"/>
                <w:szCs w:val="18"/>
              </w:rPr>
            </w:pPr>
          </w:p>
          <w:p w14:paraId="6D262BC0" w14:textId="77777777" w:rsidR="0073642B" w:rsidRPr="00711870" w:rsidRDefault="0073642B" w:rsidP="00476D22">
            <w:pPr>
              <w:rPr>
                <w:sz w:val="18"/>
                <w:szCs w:val="18"/>
              </w:rPr>
            </w:pPr>
          </w:p>
          <w:p w14:paraId="6C6965B3" w14:textId="77777777" w:rsidR="0073642B" w:rsidRDefault="0073642B" w:rsidP="00476D22">
            <w:pPr>
              <w:jc w:val="center"/>
              <w:rPr>
                <w:sz w:val="18"/>
                <w:szCs w:val="18"/>
              </w:rPr>
            </w:pPr>
          </w:p>
          <w:p w14:paraId="226F7519" w14:textId="77777777" w:rsidR="0073642B" w:rsidRPr="00711870" w:rsidRDefault="0073642B" w:rsidP="00476D22">
            <w:pPr>
              <w:jc w:val="center"/>
              <w:rPr>
                <w:sz w:val="18"/>
                <w:szCs w:val="18"/>
              </w:rPr>
            </w:pPr>
          </w:p>
          <w:p w14:paraId="4F9F0E5E" w14:textId="77777777" w:rsidR="005450B5" w:rsidRDefault="005450B5" w:rsidP="00476D22">
            <w:pPr>
              <w:jc w:val="center"/>
              <w:rPr>
                <w:sz w:val="18"/>
                <w:szCs w:val="18"/>
              </w:rPr>
            </w:pPr>
            <w:r>
              <w:rPr>
                <w:sz w:val="18"/>
                <w:szCs w:val="18"/>
              </w:rPr>
              <w:t>7.3</w:t>
            </w:r>
          </w:p>
          <w:p w14:paraId="28EBF74E" w14:textId="254B2A36" w:rsidR="0073642B" w:rsidRPr="00711870" w:rsidRDefault="0073642B" w:rsidP="00476D22">
            <w:pPr>
              <w:jc w:val="center"/>
              <w:rPr>
                <w:sz w:val="18"/>
                <w:szCs w:val="18"/>
              </w:rPr>
            </w:pPr>
            <w:r w:rsidRPr="00711870">
              <w:rPr>
                <w:sz w:val="18"/>
                <w:szCs w:val="18"/>
              </w:rPr>
              <w:t>7.4</w:t>
            </w:r>
          </w:p>
          <w:p w14:paraId="7F7B4027" w14:textId="77777777" w:rsidR="0073642B" w:rsidRPr="00711870" w:rsidRDefault="0073642B" w:rsidP="00476D22">
            <w:pPr>
              <w:jc w:val="center"/>
              <w:rPr>
                <w:sz w:val="18"/>
                <w:szCs w:val="18"/>
              </w:rPr>
            </w:pPr>
          </w:p>
        </w:tc>
        <w:tc>
          <w:tcPr>
            <w:tcW w:w="1621" w:type="pct"/>
            <w:tcBorders>
              <w:top w:val="single" w:sz="4" w:space="0" w:color="auto"/>
              <w:left w:val="single" w:sz="4" w:space="0" w:color="auto"/>
              <w:bottom w:val="single" w:sz="4" w:space="0" w:color="auto"/>
              <w:right w:val="single" w:sz="4" w:space="0" w:color="auto"/>
            </w:tcBorders>
            <w:hideMark/>
          </w:tcPr>
          <w:p w14:paraId="365909AF" w14:textId="5315D7E2" w:rsidR="0073642B" w:rsidRPr="00711870" w:rsidRDefault="00F23C85" w:rsidP="00476D22">
            <w:pPr>
              <w:rPr>
                <w:rFonts w:cstheme="minorHAnsi"/>
                <w:sz w:val="18"/>
                <w:szCs w:val="18"/>
                <w:lang w:val="en-US"/>
              </w:rPr>
            </w:pPr>
            <w:r>
              <w:rPr>
                <w:rFonts w:cstheme="minorHAnsi"/>
                <w:sz w:val="18"/>
                <w:szCs w:val="18"/>
                <w:lang w:val="en-US"/>
              </w:rPr>
              <w:t xml:space="preserve">PT2/4 - </w:t>
            </w:r>
            <w:r w:rsidR="0073642B" w:rsidRPr="00711870">
              <w:rPr>
                <w:rFonts w:cstheme="minorHAnsi"/>
                <w:sz w:val="18"/>
                <w:szCs w:val="18"/>
                <w:lang w:val="en-US"/>
              </w:rPr>
              <w:t xml:space="preserve">Concentrated disinfectants for hard surfaces of industry, institution, healthcare facilities, health care and </w:t>
            </w:r>
            <w:r w:rsidR="0073642B" w:rsidRPr="001644F6">
              <w:rPr>
                <w:sz w:val="18"/>
                <w:szCs w:val="18"/>
              </w:rPr>
              <w:t>food</w:t>
            </w:r>
            <w:r w:rsidRPr="001644F6">
              <w:rPr>
                <w:sz w:val="18"/>
                <w:szCs w:val="18"/>
              </w:rPr>
              <w:t xml:space="preserve"> preparation and handling area</w:t>
            </w:r>
          </w:p>
          <w:p w14:paraId="36BFF3E9" w14:textId="77777777" w:rsidR="00F23C85" w:rsidRDefault="00F23C85" w:rsidP="00476D22">
            <w:pPr>
              <w:rPr>
                <w:rFonts w:cstheme="minorHAnsi"/>
                <w:sz w:val="18"/>
                <w:szCs w:val="18"/>
                <w:lang w:val="en-US"/>
              </w:rPr>
            </w:pPr>
          </w:p>
          <w:p w14:paraId="731AEF9A" w14:textId="26121EE3" w:rsidR="0073642B" w:rsidRPr="00711870" w:rsidRDefault="00F23C85" w:rsidP="00476D22">
            <w:pPr>
              <w:rPr>
                <w:rFonts w:cstheme="minorHAnsi"/>
                <w:sz w:val="18"/>
                <w:szCs w:val="18"/>
                <w:lang w:val="en-US"/>
              </w:rPr>
            </w:pPr>
            <w:r>
              <w:rPr>
                <w:rFonts w:cstheme="minorHAnsi"/>
                <w:sz w:val="18"/>
                <w:szCs w:val="18"/>
                <w:lang w:val="en-US"/>
              </w:rPr>
              <w:t xml:space="preserve">PT2 - </w:t>
            </w:r>
            <w:r w:rsidR="0073642B" w:rsidRPr="00711870">
              <w:rPr>
                <w:rFonts w:cstheme="minorHAnsi"/>
                <w:sz w:val="18"/>
                <w:szCs w:val="18"/>
                <w:lang w:val="en-US"/>
              </w:rPr>
              <w:t>Concentrated disinfectants for hard surfaces of industry, institution and healthcare facilities areas</w:t>
            </w:r>
          </w:p>
        </w:tc>
        <w:tc>
          <w:tcPr>
            <w:tcW w:w="1733" w:type="pct"/>
            <w:tcBorders>
              <w:top w:val="single" w:sz="4" w:space="0" w:color="auto"/>
              <w:left w:val="single" w:sz="4" w:space="0" w:color="auto"/>
              <w:bottom w:val="single" w:sz="4" w:space="0" w:color="auto"/>
              <w:right w:val="single" w:sz="4" w:space="0" w:color="auto"/>
            </w:tcBorders>
            <w:hideMark/>
          </w:tcPr>
          <w:p w14:paraId="6B66D922" w14:textId="059A9048" w:rsidR="0073642B" w:rsidRPr="00711870" w:rsidRDefault="0073642B" w:rsidP="00476D22">
            <w:pPr>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w:t>
            </w:r>
          </w:p>
          <w:p w14:paraId="63A4E6A9" w14:textId="77777777" w:rsidR="0073642B" w:rsidRPr="00711870" w:rsidRDefault="0073642B" w:rsidP="00476D22">
            <w:pPr>
              <w:rPr>
                <w:color w:val="221E1F"/>
                <w:sz w:val="18"/>
                <w:szCs w:val="18"/>
                <w:lang w:val="en-US"/>
              </w:rPr>
            </w:pPr>
          </w:p>
          <w:p w14:paraId="4831BE3B" w14:textId="6911A5FA" w:rsidR="0073642B" w:rsidRPr="00711870" w:rsidRDefault="0073642B" w:rsidP="00476D22">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w:t>
            </w:r>
            <w:r w:rsidRPr="00711870">
              <w:rPr>
                <w:rFonts w:cstheme="minorHAnsi"/>
                <w:color w:val="221E1F"/>
                <w:sz w:val="18"/>
                <w:szCs w:val="18"/>
                <w:lang w:val="en-US"/>
              </w:rPr>
              <w:t>s</w:t>
            </w:r>
          </w:p>
          <w:p w14:paraId="10DDF169" w14:textId="6DBC9860" w:rsidR="00F23C85" w:rsidRPr="00711870" w:rsidRDefault="00F23C85" w:rsidP="00F23C85">
            <w:pPr>
              <w:spacing w:after="120"/>
              <w:rPr>
                <w:rFonts w:cstheme="minorHAnsi"/>
                <w:color w:val="221E1F"/>
                <w:sz w:val="18"/>
                <w:szCs w:val="18"/>
                <w:lang w:val="en-US"/>
              </w:rPr>
            </w:pPr>
            <w:r>
              <w:rPr>
                <w:rFonts w:eastAsia="Calibri"/>
                <w:sz w:val="18"/>
                <w:szCs w:val="18"/>
                <w:lang w:eastAsia="en-US"/>
              </w:rPr>
              <w:t xml:space="preserve">PT2- Scenario </w:t>
            </w:r>
            <w:r w:rsidR="009972F1">
              <w:rPr>
                <w:rFonts w:eastAsia="Calibri"/>
                <w:sz w:val="18"/>
                <w:szCs w:val="18"/>
                <w:lang w:eastAsia="en-US"/>
              </w:rPr>
              <w:t>3</w:t>
            </w:r>
            <w:r>
              <w:rPr>
                <w:rFonts w:eastAsia="Calibri"/>
                <w:sz w:val="18"/>
                <w:szCs w:val="18"/>
                <w:lang w:eastAsia="en-US"/>
              </w:rPr>
              <w:t>: Indoor – Disinfection of rooms, furniture and objects in medical sector</w:t>
            </w:r>
          </w:p>
          <w:p w14:paraId="375BB94C" w14:textId="2866AE47" w:rsidR="0073642B" w:rsidRPr="00711870" w:rsidRDefault="0073642B" w:rsidP="00476D22">
            <w:pPr>
              <w:spacing w:after="120"/>
              <w:rPr>
                <w:color w:val="221E1F"/>
                <w:sz w:val="18"/>
                <w:szCs w:val="18"/>
                <w:lang w:val="en-US"/>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sidR="004C0867">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AF686D">
              <w:rPr>
                <w:sz w:val="18"/>
                <w:szCs w:val="18"/>
              </w:rPr>
              <w:t>in food and feed area</w:t>
            </w:r>
          </w:p>
        </w:tc>
      </w:tr>
      <w:tr w:rsidR="0073642B" w14:paraId="75AC0D12" w14:textId="77777777" w:rsidTr="00476D22">
        <w:trPr>
          <w:trHeight w:val="578"/>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3FCD4BE2" w14:textId="77777777" w:rsidR="0073642B" w:rsidRPr="00711870" w:rsidRDefault="0073642B" w:rsidP="00476D22">
            <w:pPr>
              <w:jc w:val="center"/>
              <w:rPr>
                <w:color w:val="17365D" w:themeColor="text2" w:themeShade="BF"/>
                <w:sz w:val="18"/>
                <w:szCs w:val="18"/>
              </w:rPr>
            </w:pPr>
            <w:r w:rsidRPr="00711870">
              <w:rPr>
                <w:color w:val="17365D" w:themeColor="text2" w:themeShade="BF"/>
                <w:sz w:val="18"/>
                <w:szCs w:val="18"/>
              </w:rPr>
              <w:t>8</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4F571" w14:textId="77777777" w:rsidR="0073642B" w:rsidRPr="00711870" w:rsidRDefault="0073642B" w:rsidP="00476D22">
            <w:pPr>
              <w:jc w:val="center"/>
              <w:rPr>
                <w:sz w:val="18"/>
                <w:szCs w:val="18"/>
              </w:rPr>
            </w:pPr>
            <w:r w:rsidRPr="00711870">
              <w:rPr>
                <w:sz w:val="18"/>
                <w:szCs w:val="18"/>
              </w:rPr>
              <w:t>2</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8CFD0" w14:textId="77777777" w:rsidR="0073642B" w:rsidRPr="00711870" w:rsidRDefault="0073642B" w:rsidP="00476D22">
            <w:pPr>
              <w:jc w:val="center"/>
              <w:rPr>
                <w:sz w:val="18"/>
                <w:szCs w:val="18"/>
              </w:rPr>
            </w:pPr>
            <w:r w:rsidRPr="00711870">
              <w:rPr>
                <w:sz w:val="18"/>
                <w:szCs w:val="18"/>
              </w:rPr>
              <w:t>8.1</w:t>
            </w:r>
          </w:p>
        </w:tc>
        <w:tc>
          <w:tcPr>
            <w:tcW w:w="1621" w:type="pct"/>
            <w:tcBorders>
              <w:top w:val="single" w:sz="4" w:space="0" w:color="auto"/>
              <w:left w:val="single" w:sz="4" w:space="0" w:color="auto"/>
              <w:bottom w:val="single" w:sz="4" w:space="0" w:color="auto"/>
              <w:right w:val="single" w:sz="4" w:space="0" w:color="auto"/>
            </w:tcBorders>
            <w:vAlign w:val="center"/>
            <w:hideMark/>
          </w:tcPr>
          <w:p w14:paraId="72391748" w14:textId="34A0C826" w:rsidR="0073642B" w:rsidRPr="00711870" w:rsidRDefault="003D6D39" w:rsidP="00476D22">
            <w:pPr>
              <w:widowControl w:val="0"/>
              <w:suppressAutoHyphens w:val="0"/>
              <w:autoSpaceDE w:val="0"/>
              <w:autoSpaceDN w:val="0"/>
              <w:adjustRightInd w:val="0"/>
              <w:rPr>
                <w:rFonts w:cstheme="minorHAnsi"/>
                <w:sz w:val="18"/>
                <w:szCs w:val="18"/>
              </w:rPr>
            </w:pPr>
            <w:r>
              <w:rPr>
                <w:rFonts w:cstheme="minorHAnsi"/>
                <w:sz w:val="18"/>
                <w:szCs w:val="18"/>
              </w:rPr>
              <w:t xml:space="preserve">PT2 - </w:t>
            </w:r>
            <w:r w:rsidR="0073642B" w:rsidRPr="00711870">
              <w:rPr>
                <w:rFonts w:cstheme="minorHAnsi"/>
                <w:sz w:val="18"/>
                <w:szCs w:val="18"/>
              </w:rPr>
              <w:t xml:space="preserve">Concentrated disinfectants for hard surfaces of domestic area </w:t>
            </w:r>
            <w:r w:rsidRPr="003D6D39">
              <w:rPr>
                <w:rFonts w:cstheme="minorHAnsi"/>
                <w:sz w:val="18"/>
                <w:szCs w:val="18"/>
              </w:rPr>
              <w:t xml:space="preserve">including toilets bowls </w:t>
            </w:r>
            <w:r w:rsidR="0073642B" w:rsidRPr="00711870">
              <w:rPr>
                <w:rFonts w:cstheme="minorHAnsi"/>
                <w:sz w:val="18"/>
                <w:szCs w:val="18"/>
              </w:rPr>
              <w:t>(non-pro)</w:t>
            </w:r>
          </w:p>
        </w:tc>
        <w:tc>
          <w:tcPr>
            <w:tcW w:w="1733" w:type="pct"/>
            <w:tcBorders>
              <w:top w:val="single" w:sz="4" w:space="0" w:color="auto"/>
              <w:left w:val="single" w:sz="4" w:space="0" w:color="auto"/>
              <w:bottom w:val="single" w:sz="4" w:space="0" w:color="auto"/>
              <w:right w:val="single" w:sz="4" w:space="0" w:color="auto"/>
            </w:tcBorders>
            <w:vAlign w:val="center"/>
            <w:hideMark/>
          </w:tcPr>
          <w:p w14:paraId="133F1241" w14:textId="471C4376" w:rsidR="0073642B" w:rsidRPr="00711870" w:rsidRDefault="0073642B" w:rsidP="00476D22">
            <w:pPr>
              <w:spacing w:after="12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F23C85">
              <w:rPr>
                <w:color w:val="221E1F"/>
                <w:sz w:val="18"/>
                <w:szCs w:val="18"/>
                <w:lang w:val="en-US"/>
              </w:rPr>
              <w:t>approach</w:t>
            </w:r>
          </w:p>
        </w:tc>
      </w:tr>
      <w:tr w:rsidR="0073642B" w14:paraId="420D2D70" w14:textId="77777777" w:rsidTr="00476D22">
        <w:trPr>
          <w:trHeight w:val="1809"/>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647E53FD"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t>9</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68F2D7" w14:textId="77777777" w:rsidR="0073642B" w:rsidRPr="00711870" w:rsidRDefault="0073642B" w:rsidP="00476D22">
            <w:pPr>
              <w:jc w:val="center"/>
              <w:rPr>
                <w:sz w:val="18"/>
                <w:szCs w:val="18"/>
                <w:lang w:val="en-US"/>
              </w:rPr>
            </w:pPr>
            <w:r w:rsidRPr="00711870">
              <w:rPr>
                <w:sz w:val="18"/>
                <w:szCs w:val="18"/>
              </w:rPr>
              <w:t>2, 3</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90B75" w14:textId="77777777" w:rsidR="0073642B" w:rsidRPr="00711870" w:rsidRDefault="0073642B" w:rsidP="00476D22">
            <w:pPr>
              <w:jc w:val="center"/>
              <w:rPr>
                <w:sz w:val="18"/>
                <w:szCs w:val="18"/>
                <w:lang w:val="en-US"/>
              </w:rPr>
            </w:pPr>
            <w:r w:rsidRPr="00711870">
              <w:rPr>
                <w:sz w:val="18"/>
                <w:szCs w:val="18"/>
                <w:lang w:val="en-US"/>
              </w:rPr>
              <w:t>9.1</w:t>
            </w:r>
          </w:p>
          <w:p w14:paraId="0D7949D2" w14:textId="77777777" w:rsidR="0073642B" w:rsidRPr="00711870" w:rsidRDefault="0073642B" w:rsidP="00476D22">
            <w:pPr>
              <w:jc w:val="center"/>
              <w:rPr>
                <w:sz w:val="18"/>
                <w:szCs w:val="18"/>
                <w:lang w:val="en-US"/>
              </w:rPr>
            </w:pPr>
          </w:p>
          <w:p w14:paraId="0111A741" w14:textId="77777777" w:rsidR="0073642B" w:rsidRDefault="0073642B" w:rsidP="00476D22">
            <w:pPr>
              <w:jc w:val="center"/>
              <w:rPr>
                <w:sz w:val="18"/>
                <w:szCs w:val="18"/>
                <w:lang w:val="en-US"/>
              </w:rPr>
            </w:pPr>
          </w:p>
          <w:p w14:paraId="1D4A114D" w14:textId="77777777" w:rsidR="0073642B" w:rsidRPr="00711870" w:rsidRDefault="0073642B" w:rsidP="00476D22">
            <w:pPr>
              <w:jc w:val="center"/>
              <w:rPr>
                <w:sz w:val="18"/>
                <w:szCs w:val="18"/>
                <w:lang w:val="en-US"/>
              </w:rPr>
            </w:pPr>
          </w:p>
          <w:p w14:paraId="3D8682A7" w14:textId="77777777" w:rsidR="0073642B" w:rsidRPr="00711870" w:rsidRDefault="0073642B" w:rsidP="00476D22">
            <w:pPr>
              <w:jc w:val="center"/>
              <w:rPr>
                <w:sz w:val="18"/>
                <w:szCs w:val="18"/>
                <w:lang w:val="en-US"/>
              </w:rPr>
            </w:pPr>
            <w:r w:rsidRPr="00711870">
              <w:rPr>
                <w:sz w:val="18"/>
                <w:szCs w:val="18"/>
                <w:lang w:val="en-US"/>
              </w:rPr>
              <w:t>9.2</w:t>
            </w:r>
          </w:p>
        </w:tc>
        <w:tc>
          <w:tcPr>
            <w:tcW w:w="1621" w:type="pct"/>
            <w:tcBorders>
              <w:top w:val="single" w:sz="4" w:space="0" w:color="auto"/>
              <w:left w:val="single" w:sz="4" w:space="0" w:color="auto"/>
              <w:bottom w:val="single" w:sz="4" w:space="0" w:color="auto"/>
              <w:right w:val="single" w:sz="4" w:space="0" w:color="auto"/>
            </w:tcBorders>
          </w:tcPr>
          <w:p w14:paraId="6C4F112D" w14:textId="304D79F7" w:rsidR="0073642B" w:rsidRPr="00711870" w:rsidRDefault="003D6D39" w:rsidP="00476D22">
            <w:pPr>
              <w:rPr>
                <w:sz w:val="18"/>
                <w:szCs w:val="18"/>
              </w:rPr>
            </w:pPr>
            <w:r>
              <w:rPr>
                <w:sz w:val="18"/>
                <w:szCs w:val="18"/>
              </w:rPr>
              <w:t xml:space="preserve">PT2 - </w:t>
            </w:r>
            <w:r w:rsidR="0073642B" w:rsidRPr="00711870">
              <w:rPr>
                <w:sz w:val="18"/>
                <w:szCs w:val="18"/>
              </w:rPr>
              <w:t xml:space="preserve">RTU disinfectants for hard surfaces of domestic area </w:t>
            </w:r>
            <w:r w:rsidR="00214CC6" w:rsidRPr="003D6D39">
              <w:rPr>
                <w:rFonts w:cstheme="minorHAnsi"/>
                <w:sz w:val="18"/>
                <w:szCs w:val="18"/>
              </w:rPr>
              <w:t xml:space="preserve">including toilets bowls </w:t>
            </w:r>
            <w:r w:rsidR="0073642B" w:rsidRPr="00711870">
              <w:rPr>
                <w:sz w:val="18"/>
                <w:szCs w:val="18"/>
              </w:rPr>
              <w:t>(non-pro)</w:t>
            </w:r>
          </w:p>
          <w:p w14:paraId="3052DF0A" w14:textId="77777777" w:rsidR="0073642B" w:rsidRDefault="0073642B" w:rsidP="00476D22">
            <w:pPr>
              <w:rPr>
                <w:sz w:val="18"/>
                <w:szCs w:val="18"/>
              </w:rPr>
            </w:pPr>
          </w:p>
          <w:p w14:paraId="7643477D" w14:textId="78923376" w:rsidR="0073642B" w:rsidRPr="00711870" w:rsidRDefault="003D6D39" w:rsidP="00476D22">
            <w:pPr>
              <w:rPr>
                <w:sz w:val="18"/>
                <w:szCs w:val="18"/>
              </w:rPr>
            </w:pPr>
            <w:r>
              <w:rPr>
                <w:sz w:val="18"/>
                <w:szCs w:val="18"/>
              </w:rPr>
              <w:t>PT</w:t>
            </w:r>
            <w:r w:rsidR="005450B5">
              <w:rPr>
                <w:sz w:val="18"/>
                <w:szCs w:val="18"/>
              </w:rPr>
              <w:t>2/</w:t>
            </w:r>
            <w:r>
              <w:rPr>
                <w:sz w:val="18"/>
                <w:szCs w:val="18"/>
              </w:rPr>
              <w:t xml:space="preserve">3 - </w:t>
            </w:r>
            <w:r w:rsidR="0073642B" w:rsidRPr="00711870">
              <w:rPr>
                <w:sz w:val="18"/>
                <w:szCs w:val="18"/>
              </w:rPr>
              <w:t>RTU disinfectants for hard surfaces in companion animals’ environment for private homes ( non-pro)</w:t>
            </w:r>
          </w:p>
        </w:tc>
        <w:tc>
          <w:tcPr>
            <w:tcW w:w="1733" w:type="pct"/>
            <w:tcBorders>
              <w:top w:val="single" w:sz="4" w:space="0" w:color="auto"/>
              <w:left w:val="single" w:sz="4" w:space="0" w:color="auto"/>
              <w:bottom w:val="single" w:sz="4" w:space="0" w:color="auto"/>
              <w:right w:val="single" w:sz="4" w:space="0" w:color="auto"/>
            </w:tcBorders>
            <w:vAlign w:val="center"/>
          </w:tcPr>
          <w:p w14:paraId="0E1A83D8" w14:textId="4F93F426" w:rsidR="0073642B" w:rsidRPr="00711870" w:rsidRDefault="0073642B" w:rsidP="00476D22">
            <w:pPr>
              <w:suppressAutoHyphens w:val="0"/>
              <w:spacing w:after="120"/>
              <w:contextualSpacing/>
              <w:rPr>
                <w:rFonts w:cstheme="minorHAnsi"/>
                <w:color w:val="191617"/>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w:t>
            </w:r>
          </w:p>
          <w:p w14:paraId="07C8C0F3" w14:textId="7BA823CB" w:rsidR="0073642B" w:rsidRPr="00711870" w:rsidRDefault="0073642B" w:rsidP="00476D22">
            <w:pPr>
              <w:suppressAutoHyphens w:val="0"/>
              <w:spacing w:after="120"/>
              <w:contextualSpacing/>
              <w:rPr>
                <w:sz w:val="18"/>
                <w:szCs w:val="18"/>
                <w:lang w:val="en-US"/>
              </w:rPr>
            </w:pPr>
          </w:p>
          <w:p w14:paraId="6C277DAC" w14:textId="1DF59BE7" w:rsidR="0073642B" w:rsidRPr="00711870" w:rsidRDefault="0073642B" w:rsidP="00476D22">
            <w:pPr>
              <w:suppressAutoHyphens w:val="0"/>
              <w:spacing w:after="120"/>
              <w:contextualSpacing/>
              <w:rPr>
                <w:sz w:val="18"/>
                <w:szCs w:val="18"/>
              </w:rPr>
            </w:pPr>
            <w:r w:rsidRPr="00711870">
              <w:rPr>
                <w:sz w:val="18"/>
                <w:szCs w:val="18"/>
              </w:rPr>
              <w:t xml:space="preserve">PT3- Scenario </w:t>
            </w:r>
            <w:r w:rsidR="004C0867">
              <w:rPr>
                <w:sz w:val="18"/>
                <w:szCs w:val="18"/>
              </w:rPr>
              <w:t>6</w:t>
            </w:r>
            <w:r w:rsidRPr="00711870">
              <w:rPr>
                <w:sz w:val="18"/>
                <w:szCs w:val="18"/>
              </w:rPr>
              <w:t xml:space="preserve">: </w:t>
            </w:r>
            <w:r w:rsidR="004C0867">
              <w:rPr>
                <w:sz w:val="18"/>
                <w:szCs w:val="18"/>
              </w:rPr>
              <w:t xml:space="preserve">Indoor &amp; </w:t>
            </w:r>
            <w:r w:rsidRPr="00711870">
              <w:rPr>
                <w:sz w:val="18"/>
                <w:szCs w:val="18"/>
              </w:rPr>
              <w:t>Outdoor - Disinfection of domestic animal housing - direct emission to soil</w:t>
            </w:r>
            <w:r w:rsidR="004C0867">
              <w:rPr>
                <w:sz w:val="18"/>
                <w:szCs w:val="18"/>
              </w:rPr>
              <w:t xml:space="preserve"> and indirect emission to the STP</w:t>
            </w:r>
          </w:p>
        </w:tc>
      </w:tr>
      <w:tr w:rsidR="0073642B" w14:paraId="37AA0A16" w14:textId="77777777" w:rsidTr="00476D22">
        <w:trPr>
          <w:trHeight w:val="732"/>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0E950891"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t>10</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766537" w14:textId="77777777" w:rsidR="0073642B" w:rsidRPr="00711870" w:rsidRDefault="0073642B" w:rsidP="00476D22">
            <w:pPr>
              <w:jc w:val="center"/>
              <w:rPr>
                <w:sz w:val="18"/>
                <w:szCs w:val="18"/>
                <w:lang w:val="en-US"/>
              </w:rPr>
            </w:pPr>
            <w:r w:rsidRPr="00711870">
              <w:rPr>
                <w:sz w:val="18"/>
                <w:szCs w:val="18"/>
                <w:lang w:val="en-US"/>
              </w:rPr>
              <w:t>2, 3</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5ADD9" w14:textId="77777777" w:rsidR="0073642B" w:rsidRPr="00711870" w:rsidRDefault="0073642B" w:rsidP="00476D22">
            <w:pPr>
              <w:jc w:val="center"/>
              <w:rPr>
                <w:sz w:val="18"/>
                <w:szCs w:val="18"/>
                <w:lang w:val="en-US"/>
              </w:rPr>
            </w:pPr>
            <w:r w:rsidRPr="00711870">
              <w:rPr>
                <w:sz w:val="18"/>
                <w:szCs w:val="18"/>
                <w:lang w:val="en-US"/>
              </w:rPr>
              <w:t>10.1</w:t>
            </w:r>
          </w:p>
          <w:p w14:paraId="65BB2084" w14:textId="77777777" w:rsidR="0073642B" w:rsidRPr="00711870" w:rsidRDefault="0073642B" w:rsidP="00476D22">
            <w:pPr>
              <w:jc w:val="center"/>
              <w:rPr>
                <w:sz w:val="18"/>
                <w:szCs w:val="18"/>
                <w:lang w:val="en-US"/>
              </w:rPr>
            </w:pPr>
          </w:p>
          <w:p w14:paraId="56DB5B1E" w14:textId="77777777" w:rsidR="0073642B" w:rsidRDefault="0073642B" w:rsidP="00476D22">
            <w:pPr>
              <w:jc w:val="center"/>
              <w:rPr>
                <w:sz w:val="18"/>
                <w:szCs w:val="18"/>
                <w:lang w:val="en-US"/>
              </w:rPr>
            </w:pPr>
          </w:p>
          <w:p w14:paraId="38436EB5" w14:textId="77777777" w:rsidR="0073642B" w:rsidRPr="00711870" w:rsidRDefault="0073642B" w:rsidP="00476D22">
            <w:pPr>
              <w:jc w:val="center"/>
              <w:rPr>
                <w:sz w:val="18"/>
                <w:szCs w:val="18"/>
                <w:lang w:val="en-US"/>
              </w:rPr>
            </w:pPr>
          </w:p>
          <w:p w14:paraId="0DFAE34F" w14:textId="77777777" w:rsidR="0073642B" w:rsidRPr="00711870" w:rsidRDefault="0073642B" w:rsidP="00476D22">
            <w:pPr>
              <w:jc w:val="center"/>
              <w:rPr>
                <w:sz w:val="18"/>
                <w:szCs w:val="18"/>
                <w:lang w:val="en-US"/>
              </w:rPr>
            </w:pPr>
            <w:r w:rsidRPr="00711870">
              <w:rPr>
                <w:sz w:val="18"/>
                <w:szCs w:val="18"/>
                <w:lang w:val="en-US"/>
              </w:rPr>
              <w:t>10.2</w:t>
            </w:r>
          </w:p>
        </w:tc>
        <w:tc>
          <w:tcPr>
            <w:tcW w:w="1621" w:type="pct"/>
            <w:tcBorders>
              <w:top w:val="single" w:sz="4" w:space="0" w:color="auto"/>
              <w:left w:val="single" w:sz="4" w:space="0" w:color="auto"/>
              <w:bottom w:val="single" w:sz="4" w:space="0" w:color="auto"/>
              <w:right w:val="single" w:sz="4" w:space="0" w:color="auto"/>
            </w:tcBorders>
            <w:hideMark/>
          </w:tcPr>
          <w:p w14:paraId="6CEF0119" w14:textId="333656F5" w:rsidR="0073642B" w:rsidRDefault="00214CC6" w:rsidP="00476D22">
            <w:pPr>
              <w:rPr>
                <w:sz w:val="18"/>
                <w:szCs w:val="18"/>
              </w:rPr>
            </w:pPr>
            <w:r>
              <w:rPr>
                <w:sz w:val="18"/>
                <w:szCs w:val="18"/>
              </w:rPr>
              <w:t xml:space="preserve">PT2 - </w:t>
            </w:r>
            <w:r w:rsidR="0073642B" w:rsidRPr="00711870">
              <w:rPr>
                <w:sz w:val="18"/>
                <w:szCs w:val="18"/>
              </w:rPr>
              <w:t>Concentrated disinfectants for hard surfaces of domestic area (non-pro)</w:t>
            </w:r>
          </w:p>
          <w:p w14:paraId="280A0D27" w14:textId="77777777" w:rsidR="0073642B" w:rsidRPr="00711870" w:rsidRDefault="0073642B" w:rsidP="00476D22">
            <w:pPr>
              <w:rPr>
                <w:sz w:val="18"/>
                <w:szCs w:val="18"/>
              </w:rPr>
            </w:pPr>
          </w:p>
          <w:p w14:paraId="24A74864" w14:textId="201F2B57" w:rsidR="0073642B" w:rsidRPr="00711870" w:rsidRDefault="00214CC6" w:rsidP="00476D22">
            <w:pPr>
              <w:rPr>
                <w:sz w:val="18"/>
                <w:szCs w:val="18"/>
              </w:rPr>
            </w:pPr>
            <w:r>
              <w:rPr>
                <w:sz w:val="18"/>
                <w:szCs w:val="18"/>
              </w:rPr>
              <w:t>PT</w:t>
            </w:r>
            <w:r w:rsidR="005450B5">
              <w:rPr>
                <w:sz w:val="18"/>
                <w:szCs w:val="18"/>
              </w:rPr>
              <w:t>2/</w:t>
            </w:r>
            <w:r>
              <w:rPr>
                <w:sz w:val="18"/>
                <w:szCs w:val="18"/>
              </w:rPr>
              <w:t xml:space="preserve">3 - </w:t>
            </w:r>
            <w:r w:rsidR="0073642B" w:rsidRPr="00711870">
              <w:rPr>
                <w:sz w:val="18"/>
                <w:szCs w:val="18"/>
              </w:rPr>
              <w:t>Concentrated disinfectants for hard surfaces in companion animals’ environment for private homes (non-pro)</w:t>
            </w:r>
          </w:p>
        </w:tc>
        <w:tc>
          <w:tcPr>
            <w:tcW w:w="1733" w:type="pct"/>
            <w:tcBorders>
              <w:top w:val="single" w:sz="4" w:space="0" w:color="auto"/>
              <w:left w:val="single" w:sz="4" w:space="0" w:color="auto"/>
              <w:bottom w:val="single" w:sz="4" w:space="0" w:color="auto"/>
              <w:right w:val="single" w:sz="4" w:space="0" w:color="auto"/>
            </w:tcBorders>
            <w:vAlign w:val="center"/>
          </w:tcPr>
          <w:p w14:paraId="4090F926" w14:textId="5449D06B" w:rsidR="0073642B" w:rsidRPr="00711870" w:rsidRDefault="0073642B" w:rsidP="00476D22">
            <w:pPr>
              <w:suppressAutoHyphens w:val="0"/>
              <w:spacing w:after="120"/>
              <w:contextualSpacing/>
              <w:rPr>
                <w:rFonts w:cstheme="minorHAnsi"/>
                <w:color w:val="191617"/>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7A5FF3">
              <w:rPr>
                <w:color w:val="221E1F"/>
                <w:sz w:val="18"/>
                <w:szCs w:val="18"/>
                <w:lang w:val="en-US"/>
              </w:rPr>
              <w:t>approach</w:t>
            </w:r>
          </w:p>
          <w:p w14:paraId="040BCCDC" w14:textId="3EB2B501" w:rsidR="0073642B" w:rsidRPr="00711870" w:rsidRDefault="0073642B" w:rsidP="00476D22">
            <w:pPr>
              <w:suppressAutoHyphens w:val="0"/>
              <w:spacing w:after="120"/>
              <w:contextualSpacing/>
              <w:rPr>
                <w:sz w:val="18"/>
                <w:szCs w:val="18"/>
                <w:lang w:val="en-US"/>
              </w:rPr>
            </w:pPr>
          </w:p>
          <w:p w14:paraId="57B55415" w14:textId="5BCAC2F3" w:rsidR="0073642B" w:rsidRPr="00711870" w:rsidRDefault="004C0867" w:rsidP="00476D22">
            <w:pPr>
              <w:suppressAutoHyphens w:val="0"/>
              <w:spacing w:after="120"/>
              <w:contextualSpacing/>
              <w:rPr>
                <w:sz w:val="18"/>
                <w:szCs w:val="18"/>
              </w:rPr>
            </w:pPr>
            <w:r w:rsidRPr="00711870">
              <w:rPr>
                <w:sz w:val="18"/>
                <w:szCs w:val="18"/>
              </w:rPr>
              <w:t xml:space="preserve">PT3- Scenario </w:t>
            </w:r>
            <w:r>
              <w:rPr>
                <w:sz w:val="18"/>
                <w:szCs w:val="18"/>
              </w:rPr>
              <w:t>6</w:t>
            </w:r>
            <w:r w:rsidRPr="00711870">
              <w:rPr>
                <w:sz w:val="18"/>
                <w:szCs w:val="18"/>
              </w:rPr>
              <w:t xml:space="preserve">: </w:t>
            </w:r>
            <w:r>
              <w:rPr>
                <w:sz w:val="18"/>
                <w:szCs w:val="18"/>
              </w:rPr>
              <w:t xml:space="preserve">Indoor &amp; </w:t>
            </w:r>
            <w:r w:rsidRPr="00711870">
              <w:rPr>
                <w:sz w:val="18"/>
                <w:szCs w:val="18"/>
              </w:rPr>
              <w:t>Outdoor - Disinfection of domestic animal housing - direct emission to soil</w:t>
            </w:r>
            <w:r>
              <w:rPr>
                <w:sz w:val="18"/>
                <w:szCs w:val="18"/>
              </w:rPr>
              <w:t xml:space="preserve"> and indirect emission to the STP</w:t>
            </w:r>
          </w:p>
          <w:p w14:paraId="62678018" w14:textId="3D7E5C9B" w:rsidR="0073642B" w:rsidRPr="00711870" w:rsidRDefault="0073642B" w:rsidP="00476D22">
            <w:pPr>
              <w:suppressAutoHyphens w:val="0"/>
              <w:spacing w:after="120"/>
              <w:contextualSpacing/>
              <w:rPr>
                <w:sz w:val="18"/>
                <w:szCs w:val="18"/>
              </w:rPr>
            </w:pPr>
          </w:p>
        </w:tc>
      </w:tr>
      <w:tr w:rsidR="0073642B" w:rsidRPr="002D6BBB" w14:paraId="5578B06B" w14:textId="77777777" w:rsidTr="00476D22">
        <w:trPr>
          <w:trHeight w:val="1111"/>
          <w:jc w:val="center"/>
        </w:trPr>
        <w:tc>
          <w:tcPr>
            <w:tcW w:w="547" w:type="pct"/>
            <w:tcBorders>
              <w:top w:val="single" w:sz="4" w:space="0" w:color="auto"/>
              <w:left w:val="single" w:sz="4" w:space="0" w:color="auto"/>
              <w:bottom w:val="single" w:sz="4" w:space="0" w:color="auto"/>
              <w:right w:val="single" w:sz="4" w:space="0" w:color="auto"/>
            </w:tcBorders>
            <w:vAlign w:val="center"/>
            <w:hideMark/>
          </w:tcPr>
          <w:p w14:paraId="1151C104"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t>11</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673D3" w14:textId="77777777" w:rsidR="0073642B" w:rsidRPr="00711870" w:rsidRDefault="0073642B" w:rsidP="00476D22">
            <w:pPr>
              <w:jc w:val="center"/>
              <w:rPr>
                <w:sz w:val="18"/>
                <w:szCs w:val="18"/>
                <w:lang w:val="en-US"/>
              </w:rPr>
            </w:pPr>
            <w:r w:rsidRPr="00711870">
              <w:rPr>
                <w:sz w:val="18"/>
                <w:szCs w:val="18"/>
                <w:lang w:val="en-US"/>
              </w:rPr>
              <w:t>2, 4</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6100F" w14:textId="77777777" w:rsidR="0073642B" w:rsidRPr="00711870" w:rsidRDefault="0073642B" w:rsidP="00476D22">
            <w:pPr>
              <w:jc w:val="center"/>
              <w:rPr>
                <w:sz w:val="18"/>
                <w:szCs w:val="18"/>
                <w:lang w:val="en-US"/>
              </w:rPr>
            </w:pPr>
            <w:r w:rsidRPr="00711870">
              <w:rPr>
                <w:sz w:val="18"/>
                <w:szCs w:val="18"/>
                <w:lang w:val="en-US"/>
              </w:rPr>
              <w:t>11.1</w:t>
            </w:r>
          </w:p>
        </w:tc>
        <w:tc>
          <w:tcPr>
            <w:tcW w:w="1621" w:type="pct"/>
            <w:tcBorders>
              <w:top w:val="single" w:sz="4" w:space="0" w:color="auto"/>
              <w:left w:val="single" w:sz="4" w:space="0" w:color="auto"/>
              <w:bottom w:val="single" w:sz="4" w:space="0" w:color="auto"/>
              <w:right w:val="single" w:sz="4" w:space="0" w:color="auto"/>
            </w:tcBorders>
            <w:vAlign w:val="center"/>
            <w:hideMark/>
          </w:tcPr>
          <w:p w14:paraId="15530850" w14:textId="59A0EBF0" w:rsidR="0073642B" w:rsidRPr="00711870" w:rsidRDefault="007A5FF3" w:rsidP="00476D22">
            <w:pPr>
              <w:rPr>
                <w:sz w:val="18"/>
                <w:szCs w:val="18"/>
              </w:rPr>
            </w:pPr>
            <w:r>
              <w:rPr>
                <w:sz w:val="18"/>
                <w:szCs w:val="18"/>
              </w:rPr>
              <w:t xml:space="preserve">PT2/4 - </w:t>
            </w:r>
            <w:r w:rsidR="0073642B" w:rsidRPr="00711870">
              <w:rPr>
                <w:sz w:val="18"/>
                <w:szCs w:val="18"/>
              </w:rPr>
              <w:t>Concentrated disinfectants for hard surfaces of industry, institution and healthcare facilities and food</w:t>
            </w:r>
            <w:r w:rsidRPr="001644F6">
              <w:rPr>
                <w:sz w:val="18"/>
                <w:szCs w:val="18"/>
              </w:rPr>
              <w:t xml:space="preserve"> preparation and handling area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29804" w14:textId="687C6301" w:rsidR="0073642B" w:rsidRPr="00711870" w:rsidRDefault="0073642B" w:rsidP="00476D22">
            <w:pPr>
              <w:suppressAutoHyphens w:val="0"/>
              <w:rPr>
                <w:color w:val="221E1F"/>
                <w:sz w:val="18"/>
                <w:szCs w:val="18"/>
                <w:lang w:val="en-US"/>
              </w:rPr>
            </w:pPr>
            <w:r w:rsidRPr="00711870">
              <w:rPr>
                <w:color w:val="221E1F"/>
                <w:sz w:val="18"/>
                <w:szCs w:val="18"/>
                <w:lang w:val="en-US"/>
              </w:rPr>
              <w:t>PT2- Scenario 1</w:t>
            </w:r>
            <w:r w:rsidR="005450B5">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7A5FF3">
              <w:rPr>
                <w:color w:val="221E1F"/>
                <w:sz w:val="18"/>
                <w:szCs w:val="18"/>
                <w:lang w:val="en-US"/>
              </w:rPr>
              <w:t>approach</w:t>
            </w:r>
          </w:p>
          <w:p w14:paraId="203E98B6" w14:textId="77777777" w:rsidR="0073642B" w:rsidRPr="00711870" w:rsidRDefault="0073642B" w:rsidP="00476D22">
            <w:pPr>
              <w:suppressAutoHyphens w:val="0"/>
              <w:rPr>
                <w:color w:val="221E1F"/>
                <w:sz w:val="18"/>
                <w:szCs w:val="18"/>
                <w:lang w:val="en-US"/>
              </w:rPr>
            </w:pPr>
          </w:p>
          <w:p w14:paraId="1C754DFE" w14:textId="77777777" w:rsidR="0073642B" w:rsidRPr="00711870" w:rsidRDefault="0073642B" w:rsidP="00476D22">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05F0E498" w14:textId="1CE28B3B" w:rsidR="007A5FF3" w:rsidRPr="00711870" w:rsidRDefault="007A5FF3" w:rsidP="007A5FF3">
            <w:pPr>
              <w:spacing w:after="120"/>
              <w:rPr>
                <w:rFonts w:cstheme="minorHAnsi"/>
                <w:color w:val="221E1F"/>
                <w:sz w:val="18"/>
                <w:szCs w:val="18"/>
                <w:lang w:val="en-US"/>
              </w:rPr>
            </w:pPr>
            <w:r>
              <w:rPr>
                <w:rFonts w:eastAsia="Calibri"/>
                <w:sz w:val="18"/>
                <w:szCs w:val="18"/>
                <w:lang w:eastAsia="en-US"/>
              </w:rPr>
              <w:t xml:space="preserve">PT2- Scenario </w:t>
            </w:r>
            <w:r w:rsidR="009972F1">
              <w:rPr>
                <w:rFonts w:eastAsia="Calibri"/>
                <w:sz w:val="18"/>
                <w:szCs w:val="18"/>
                <w:lang w:eastAsia="en-US"/>
              </w:rPr>
              <w:t>3</w:t>
            </w:r>
            <w:r>
              <w:rPr>
                <w:rFonts w:eastAsia="Calibri"/>
                <w:sz w:val="18"/>
                <w:szCs w:val="18"/>
                <w:lang w:eastAsia="en-US"/>
              </w:rPr>
              <w:t>: Indoor – Disinfection of rooms, furniture and objects in medical sector</w:t>
            </w:r>
          </w:p>
          <w:p w14:paraId="5B3DD4E0" w14:textId="77777777" w:rsidR="0073642B" w:rsidRPr="00711870" w:rsidRDefault="0073642B" w:rsidP="00476D22">
            <w:pPr>
              <w:spacing w:line="276" w:lineRule="auto"/>
              <w:rPr>
                <w:rFonts w:cstheme="minorHAnsi"/>
                <w:color w:val="221E1F"/>
                <w:sz w:val="18"/>
                <w:szCs w:val="18"/>
                <w:lang w:val="en-US"/>
              </w:rPr>
            </w:pPr>
          </w:p>
          <w:p w14:paraId="6E1C79C7" w14:textId="79FF8DA6" w:rsidR="0073642B" w:rsidRPr="00711870" w:rsidRDefault="0073642B" w:rsidP="00476D22">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sidR="004C0867">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AF686D">
              <w:rPr>
                <w:sz w:val="18"/>
                <w:szCs w:val="18"/>
              </w:rPr>
              <w:t>in food and feed area</w:t>
            </w:r>
          </w:p>
        </w:tc>
      </w:tr>
      <w:tr w:rsidR="0073642B" w:rsidRPr="002D6BBB" w14:paraId="331FC6FC" w14:textId="77777777" w:rsidTr="00476D22">
        <w:trPr>
          <w:trHeight w:val="1111"/>
          <w:jc w:val="center"/>
        </w:trPr>
        <w:tc>
          <w:tcPr>
            <w:tcW w:w="547" w:type="pct"/>
            <w:tcBorders>
              <w:top w:val="single" w:sz="4" w:space="0" w:color="auto"/>
              <w:left w:val="single" w:sz="4" w:space="0" w:color="auto"/>
              <w:bottom w:val="single" w:sz="4" w:space="0" w:color="auto"/>
              <w:right w:val="single" w:sz="4" w:space="0" w:color="auto"/>
            </w:tcBorders>
            <w:vAlign w:val="center"/>
          </w:tcPr>
          <w:p w14:paraId="1214CCB8"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lastRenderedPageBreak/>
              <w:t>12</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E6C23" w14:textId="77777777" w:rsidR="0073642B" w:rsidRPr="00711870" w:rsidRDefault="0073642B" w:rsidP="00476D22">
            <w:pPr>
              <w:jc w:val="center"/>
              <w:rPr>
                <w:sz w:val="18"/>
                <w:szCs w:val="18"/>
                <w:lang w:val="en-US"/>
              </w:rPr>
            </w:pPr>
            <w:r w:rsidRPr="00711870">
              <w:rPr>
                <w:sz w:val="18"/>
                <w:szCs w:val="18"/>
                <w:lang w:val="en-US"/>
              </w:rPr>
              <w:t>2</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74485" w14:textId="77777777" w:rsidR="0073642B" w:rsidRPr="00711870" w:rsidRDefault="0073642B" w:rsidP="00476D22">
            <w:pPr>
              <w:jc w:val="center"/>
              <w:rPr>
                <w:sz w:val="18"/>
                <w:szCs w:val="18"/>
                <w:lang w:val="en-US"/>
              </w:rPr>
            </w:pPr>
            <w:r w:rsidRPr="00711870">
              <w:rPr>
                <w:sz w:val="18"/>
                <w:szCs w:val="18"/>
                <w:lang w:val="en-US"/>
              </w:rPr>
              <w:t>12.1</w:t>
            </w:r>
          </w:p>
        </w:tc>
        <w:tc>
          <w:tcPr>
            <w:tcW w:w="1621" w:type="pct"/>
            <w:tcBorders>
              <w:top w:val="single" w:sz="4" w:space="0" w:color="auto"/>
              <w:left w:val="single" w:sz="4" w:space="0" w:color="auto"/>
              <w:bottom w:val="single" w:sz="4" w:space="0" w:color="auto"/>
              <w:right w:val="single" w:sz="4" w:space="0" w:color="auto"/>
            </w:tcBorders>
            <w:vAlign w:val="center"/>
          </w:tcPr>
          <w:p w14:paraId="215C78F0" w14:textId="01AB769B" w:rsidR="0073642B" w:rsidRPr="00711870" w:rsidRDefault="00164CB8" w:rsidP="009B4803">
            <w:pPr>
              <w:rPr>
                <w:sz w:val="18"/>
                <w:szCs w:val="18"/>
              </w:rPr>
            </w:pPr>
            <w:r>
              <w:rPr>
                <w:sz w:val="18"/>
                <w:szCs w:val="18"/>
                <w:lang w:val="en-US"/>
              </w:rPr>
              <w:t xml:space="preserve">PT2 - </w:t>
            </w:r>
            <w:r w:rsidR="0073642B" w:rsidRPr="00711870">
              <w:rPr>
                <w:sz w:val="18"/>
                <w:szCs w:val="18"/>
                <w:lang w:val="en-US"/>
              </w:rPr>
              <w:t>RTU</w:t>
            </w:r>
            <w:r w:rsidR="0073642B" w:rsidRPr="00711870">
              <w:rPr>
                <w:sz w:val="18"/>
                <w:szCs w:val="18"/>
              </w:rPr>
              <w:t xml:space="preserve"> disinfectants </w:t>
            </w:r>
            <w:r w:rsidR="00790E27" w:rsidRPr="00790E27">
              <w:rPr>
                <w:sz w:val="18"/>
                <w:szCs w:val="18"/>
              </w:rPr>
              <w:t>used for the disinfection of toilet bowls in industry, institution, healthcare facilities and health care</w:t>
            </w:r>
          </w:p>
        </w:tc>
        <w:tc>
          <w:tcPr>
            <w:tcW w:w="0" w:type="auto"/>
            <w:tcBorders>
              <w:top w:val="single" w:sz="4" w:space="0" w:color="auto"/>
              <w:left w:val="single" w:sz="4" w:space="0" w:color="auto"/>
              <w:bottom w:val="single" w:sz="4" w:space="0" w:color="auto"/>
              <w:right w:val="single" w:sz="4" w:space="0" w:color="auto"/>
            </w:tcBorders>
            <w:vAlign w:val="center"/>
          </w:tcPr>
          <w:p w14:paraId="739841C3" w14:textId="563189F5" w:rsidR="0073642B" w:rsidRPr="00711870" w:rsidRDefault="00164CB8" w:rsidP="00146FA5">
            <w:pPr>
              <w:suppressAutoHyphens w:val="0"/>
              <w:rPr>
                <w:iCs/>
                <w:sz w:val="18"/>
                <w:szCs w:val="18"/>
              </w:rPr>
            </w:pPr>
            <w:r w:rsidRPr="00711870">
              <w:rPr>
                <w:color w:val="221E1F"/>
                <w:sz w:val="18"/>
                <w:szCs w:val="18"/>
                <w:lang w:val="en-US"/>
              </w:rPr>
              <w:t>PT2- Scenario 1</w:t>
            </w:r>
            <w:r w:rsidR="005450B5">
              <w:rPr>
                <w:color w:val="221E1F"/>
                <w:sz w:val="18"/>
                <w:szCs w:val="18"/>
                <w:lang w:val="en-US"/>
              </w:rPr>
              <w:t>b</w:t>
            </w:r>
            <w:r w:rsidRPr="00711870">
              <w:rPr>
                <w:color w:val="221E1F"/>
                <w:sz w:val="18"/>
                <w:szCs w:val="18"/>
                <w:lang w:val="en-US"/>
              </w:rPr>
              <w:t xml:space="preserve">: </w:t>
            </w:r>
            <w:r w:rsidR="005450B5" w:rsidRPr="005450B5">
              <w:rPr>
                <w:color w:val="221E1F"/>
                <w:sz w:val="18"/>
                <w:szCs w:val="18"/>
                <w:lang w:val="en-US"/>
              </w:rPr>
              <w:t xml:space="preserve">Indoor - Disinfection of institutional areas - releases of disinfectants used for sanitary purposes based on average consumption approach (household and institutional applications) - Disinfection of the lavatory only </w:t>
            </w:r>
          </w:p>
        </w:tc>
      </w:tr>
      <w:tr w:rsidR="0073642B" w:rsidRPr="002D6BBB" w14:paraId="66EC146C" w14:textId="77777777" w:rsidTr="00476D22">
        <w:trPr>
          <w:trHeight w:val="1111"/>
          <w:jc w:val="center"/>
        </w:trPr>
        <w:tc>
          <w:tcPr>
            <w:tcW w:w="547" w:type="pct"/>
            <w:tcBorders>
              <w:top w:val="single" w:sz="4" w:space="0" w:color="auto"/>
              <w:left w:val="single" w:sz="4" w:space="0" w:color="auto"/>
              <w:bottom w:val="single" w:sz="4" w:space="0" w:color="auto"/>
              <w:right w:val="single" w:sz="4" w:space="0" w:color="auto"/>
            </w:tcBorders>
            <w:vAlign w:val="center"/>
          </w:tcPr>
          <w:p w14:paraId="65216FCF" w14:textId="77777777" w:rsidR="0073642B" w:rsidRPr="00711870" w:rsidRDefault="0073642B" w:rsidP="00476D22">
            <w:pPr>
              <w:jc w:val="center"/>
              <w:rPr>
                <w:color w:val="17365D" w:themeColor="text2" w:themeShade="BF"/>
                <w:sz w:val="18"/>
                <w:szCs w:val="18"/>
                <w:lang w:val="en-US"/>
              </w:rPr>
            </w:pPr>
            <w:r w:rsidRPr="00711870">
              <w:rPr>
                <w:color w:val="17365D" w:themeColor="text2" w:themeShade="BF"/>
                <w:sz w:val="18"/>
                <w:szCs w:val="18"/>
                <w:lang w:val="en-US"/>
              </w:rPr>
              <w:t>13</w:t>
            </w:r>
          </w:p>
        </w:tc>
        <w:tc>
          <w:tcPr>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B563A" w14:textId="77777777" w:rsidR="0073642B" w:rsidRPr="00711870" w:rsidRDefault="0073642B" w:rsidP="00476D22">
            <w:pPr>
              <w:jc w:val="center"/>
              <w:rPr>
                <w:sz w:val="18"/>
                <w:szCs w:val="18"/>
                <w:lang w:val="en-US"/>
              </w:rPr>
            </w:pPr>
            <w:r w:rsidRPr="00711870">
              <w:rPr>
                <w:sz w:val="18"/>
                <w:szCs w:val="18"/>
                <w:lang w:val="en-US"/>
              </w:rPr>
              <w:t>2</w:t>
            </w:r>
          </w:p>
        </w:tc>
        <w:tc>
          <w:tcPr>
            <w:tcW w:w="7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7DCD7" w14:textId="77777777" w:rsidR="0073642B" w:rsidRPr="00711870" w:rsidRDefault="0073642B" w:rsidP="00476D22">
            <w:pPr>
              <w:jc w:val="center"/>
              <w:rPr>
                <w:sz w:val="18"/>
                <w:szCs w:val="18"/>
                <w:lang w:val="en-US"/>
              </w:rPr>
            </w:pPr>
            <w:r w:rsidRPr="00711870">
              <w:rPr>
                <w:sz w:val="18"/>
                <w:szCs w:val="18"/>
                <w:lang w:val="en-US"/>
              </w:rPr>
              <w:t>13.1</w:t>
            </w:r>
          </w:p>
        </w:tc>
        <w:tc>
          <w:tcPr>
            <w:tcW w:w="1621" w:type="pct"/>
            <w:tcBorders>
              <w:top w:val="single" w:sz="4" w:space="0" w:color="auto"/>
              <w:left w:val="single" w:sz="4" w:space="0" w:color="auto"/>
              <w:bottom w:val="single" w:sz="4" w:space="0" w:color="auto"/>
              <w:right w:val="single" w:sz="4" w:space="0" w:color="auto"/>
            </w:tcBorders>
            <w:vAlign w:val="center"/>
          </w:tcPr>
          <w:p w14:paraId="7FA92342" w14:textId="46FFB00A" w:rsidR="00B5436B" w:rsidRPr="00B5436B" w:rsidRDefault="009972F1" w:rsidP="00B5436B">
            <w:pPr>
              <w:rPr>
                <w:sz w:val="18"/>
                <w:szCs w:val="18"/>
              </w:rPr>
            </w:pPr>
            <w:r>
              <w:rPr>
                <w:sz w:val="18"/>
                <w:szCs w:val="18"/>
              </w:rPr>
              <w:t xml:space="preserve">PT2 - </w:t>
            </w:r>
            <w:r w:rsidR="0073642B" w:rsidRPr="00711870">
              <w:rPr>
                <w:sz w:val="18"/>
                <w:szCs w:val="18"/>
              </w:rPr>
              <w:t xml:space="preserve">Concentrated </w:t>
            </w:r>
            <w:r w:rsidR="00B5436B">
              <w:rPr>
                <w:sz w:val="18"/>
                <w:szCs w:val="18"/>
              </w:rPr>
              <w:t>disinfectants</w:t>
            </w:r>
            <w:r w:rsidR="00B5436B" w:rsidRPr="00B5436B">
              <w:rPr>
                <w:sz w:val="18"/>
                <w:szCs w:val="18"/>
              </w:rPr>
              <w:t xml:space="preserve"> for </w:t>
            </w:r>
            <w:r>
              <w:rPr>
                <w:sz w:val="18"/>
                <w:szCs w:val="18"/>
              </w:rPr>
              <w:t>hard surfaces</w:t>
            </w:r>
            <w:r w:rsidR="00B5436B" w:rsidRPr="00B5436B">
              <w:rPr>
                <w:sz w:val="18"/>
                <w:szCs w:val="18"/>
              </w:rPr>
              <w:t xml:space="preserve"> of industry, institution and healthcare facilities including</w:t>
            </w:r>
          </w:p>
          <w:p w14:paraId="4DA001EA" w14:textId="50D99540" w:rsidR="0073642B" w:rsidRPr="00711870" w:rsidRDefault="00B5436B" w:rsidP="00B5436B">
            <w:pPr>
              <w:rPr>
                <w:sz w:val="18"/>
                <w:szCs w:val="18"/>
              </w:rPr>
            </w:pPr>
            <w:r w:rsidRPr="00B5436B">
              <w:rPr>
                <w:sz w:val="18"/>
                <w:szCs w:val="18"/>
              </w:rPr>
              <w:t>roadways (marketplaces, city events...) and waste containers and the floor around.</w:t>
            </w:r>
          </w:p>
        </w:tc>
        <w:tc>
          <w:tcPr>
            <w:tcW w:w="0" w:type="auto"/>
            <w:tcBorders>
              <w:top w:val="single" w:sz="4" w:space="0" w:color="auto"/>
              <w:left w:val="single" w:sz="4" w:space="0" w:color="auto"/>
              <w:bottom w:val="single" w:sz="4" w:space="0" w:color="auto"/>
              <w:right w:val="single" w:sz="4" w:space="0" w:color="auto"/>
            </w:tcBorders>
            <w:vAlign w:val="center"/>
          </w:tcPr>
          <w:p w14:paraId="0E7657BC" w14:textId="78563821" w:rsidR="0073642B" w:rsidRPr="00711870" w:rsidRDefault="0073642B" w:rsidP="00476D22">
            <w:pPr>
              <w:suppressAutoHyphens w:val="0"/>
              <w:spacing w:after="120"/>
              <w:contextualSpacing/>
              <w:rPr>
                <w:color w:val="221E1F"/>
                <w:sz w:val="18"/>
                <w:szCs w:val="18"/>
                <w:lang w:val="en-US"/>
              </w:rPr>
            </w:pPr>
            <w:r w:rsidRPr="00711870">
              <w:rPr>
                <w:sz w:val="18"/>
                <w:szCs w:val="18"/>
              </w:rPr>
              <w:t xml:space="preserve">PT2- </w:t>
            </w:r>
            <w:r w:rsidRPr="00711870">
              <w:rPr>
                <w:color w:val="221E1F"/>
                <w:sz w:val="18"/>
                <w:szCs w:val="18"/>
                <w:lang w:val="en-US"/>
              </w:rPr>
              <w:t>Scenario 1</w:t>
            </w:r>
            <w:r w:rsidR="005450B5">
              <w:rPr>
                <w:color w:val="221E1F"/>
                <w:sz w:val="18"/>
                <w:szCs w:val="18"/>
                <w:lang w:val="en-US"/>
              </w:rPr>
              <w:t>a</w:t>
            </w:r>
            <w:r w:rsidRPr="00711870">
              <w:rPr>
                <w:color w:val="221E1F"/>
                <w:sz w:val="18"/>
                <w:szCs w:val="18"/>
                <w:lang w:val="en-US"/>
              </w:rPr>
              <w:t xml:space="preserve">: Indoor - Disinfection of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sidR="007D561D">
              <w:rPr>
                <w:color w:val="221E1F"/>
                <w:sz w:val="18"/>
                <w:szCs w:val="18"/>
                <w:lang w:val="en-US"/>
              </w:rPr>
              <w:t>approach</w:t>
            </w:r>
          </w:p>
          <w:p w14:paraId="6D108616" w14:textId="77777777" w:rsidR="0073642B" w:rsidRPr="00711870" w:rsidRDefault="0073642B" w:rsidP="00476D22">
            <w:pPr>
              <w:spacing w:after="120"/>
              <w:rPr>
                <w:color w:val="221E1F"/>
                <w:sz w:val="18"/>
                <w:szCs w:val="18"/>
                <w:lang w:val="en-US"/>
              </w:rPr>
            </w:pPr>
          </w:p>
          <w:p w14:paraId="7D64356A" w14:textId="78F31F95" w:rsidR="005D1166" w:rsidRPr="00711870" w:rsidRDefault="0073642B" w:rsidP="00476D22">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67493818" w14:textId="77777777" w:rsidR="005D1166" w:rsidRPr="00711870" w:rsidRDefault="005D1166" w:rsidP="005D116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25AB95E7" w14:textId="77777777" w:rsidR="0073642B" w:rsidRPr="00711870" w:rsidRDefault="0073642B" w:rsidP="00476D22">
            <w:pPr>
              <w:suppressAutoHyphens w:val="0"/>
              <w:spacing w:after="120"/>
              <w:contextualSpacing/>
              <w:rPr>
                <w:color w:val="221E1F"/>
                <w:sz w:val="18"/>
                <w:szCs w:val="18"/>
                <w:lang w:val="en-US"/>
              </w:rPr>
            </w:pPr>
          </w:p>
          <w:p w14:paraId="42A27FF5" w14:textId="77777777" w:rsidR="0073642B" w:rsidRPr="00711870" w:rsidRDefault="0073642B" w:rsidP="00476D22">
            <w:pPr>
              <w:suppressAutoHyphens w:val="0"/>
              <w:spacing w:after="120"/>
              <w:contextualSpacing/>
              <w:rPr>
                <w:color w:val="221E1F"/>
                <w:sz w:val="18"/>
                <w:szCs w:val="18"/>
                <w:lang w:val="en-US"/>
              </w:rPr>
            </w:pPr>
            <w:r w:rsidRPr="00711870">
              <w:rPr>
                <w:sz w:val="18"/>
                <w:szCs w:val="18"/>
              </w:rPr>
              <w:t xml:space="preserve">PT2- </w:t>
            </w:r>
            <w:r w:rsidRPr="00711870">
              <w:rPr>
                <w:iCs/>
                <w:sz w:val="18"/>
                <w:szCs w:val="18"/>
              </w:rPr>
              <w:t xml:space="preserve">Scenario 4: Outdoor - </w:t>
            </w:r>
            <w:r w:rsidRPr="00711870">
              <w:rPr>
                <w:sz w:val="18"/>
                <w:szCs w:val="18"/>
              </w:rPr>
              <w:t>Disinfection of road ways indirect emission via STP</w:t>
            </w:r>
          </w:p>
          <w:p w14:paraId="6F13A6F4" w14:textId="77777777" w:rsidR="0073642B" w:rsidRPr="00711870" w:rsidRDefault="0073642B" w:rsidP="00476D22">
            <w:pPr>
              <w:spacing w:line="276" w:lineRule="auto"/>
              <w:rPr>
                <w:iCs/>
                <w:sz w:val="18"/>
                <w:szCs w:val="18"/>
              </w:rPr>
            </w:pPr>
          </w:p>
          <w:p w14:paraId="5FF8CD62" w14:textId="77777777" w:rsidR="0073642B" w:rsidRPr="00711870" w:rsidRDefault="0073642B" w:rsidP="00476D22">
            <w:pPr>
              <w:spacing w:line="276" w:lineRule="auto"/>
              <w:rPr>
                <w:iCs/>
                <w:sz w:val="18"/>
                <w:szCs w:val="18"/>
              </w:rPr>
            </w:pPr>
            <w:r w:rsidRPr="00711870">
              <w:rPr>
                <w:sz w:val="18"/>
                <w:szCs w:val="18"/>
              </w:rPr>
              <w:t xml:space="preserve">PT2- </w:t>
            </w:r>
            <w:r w:rsidRPr="00711870">
              <w:rPr>
                <w:iCs/>
                <w:sz w:val="18"/>
                <w:szCs w:val="18"/>
              </w:rPr>
              <w:t xml:space="preserve">Scenario 5: Outdoor - </w:t>
            </w:r>
            <w:r w:rsidRPr="00711870">
              <w:rPr>
                <w:sz w:val="18"/>
                <w:szCs w:val="18"/>
              </w:rPr>
              <w:t>Disinfection of road ways direct emission to surface water</w:t>
            </w:r>
          </w:p>
        </w:tc>
      </w:tr>
    </w:tbl>
    <w:p w14:paraId="09D85BB0" w14:textId="77777777" w:rsidR="0073642B" w:rsidRPr="00435E9A" w:rsidRDefault="0073642B" w:rsidP="0073642B">
      <w:pPr>
        <w:suppressAutoHyphens w:val="0"/>
        <w:spacing w:line="276" w:lineRule="auto"/>
        <w:ind w:left="720"/>
        <w:jc w:val="both"/>
        <w:rPr>
          <w:rFonts w:eastAsia="Calibri"/>
          <w:lang w:eastAsia="en-US"/>
        </w:rPr>
      </w:pPr>
    </w:p>
    <w:p w14:paraId="4C422A5B" w14:textId="77777777" w:rsidR="0073642B" w:rsidRPr="00435E9A" w:rsidRDefault="0073642B" w:rsidP="0073642B">
      <w:pPr>
        <w:spacing w:line="276" w:lineRule="auto"/>
        <w:rPr>
          <w:rFonts w:ascii="Times New Roman" w:eastAsia="Calibri" w:hAnsi="Times New Roman" w:cs="Times New Roman"/>
          <w:i/>
          <w:lang w:eastAsia="en-US"/>
        </w:rPr>
      </w:pPr>
    </w:p>
    <w:p w14:paraId="215FC079" w14:textId="071FFFC5" w:rsidR="0073642B" w:rsidRPr="00435E9A" w:rsidRDefault="0073642B" w:rsidP="0073642B">
      <w:pPr>
        <w:spacing w:line="276" w:lineRule="auto"/>
        <w:jc w:val="both"/>
        <w:rPr>
          <w:rFonts w:eastAsia="Calibri" w:cs="Times New Roman"/>
          <w:lang w:eastAsia="en-US"/>
        </w:rPr>
      </w:pPr>
      <w:r w:rsidRPr="00435E9A">
        <w:rPr>
          <w:rFonts w:eastAsia="Calibri" w:cs="Times New Roman"/>
          <w:lang w:eastAsia="en-US"/>
        </w:rPr>
        <w:t>In order to make a worst case risk assessment covering all the relevant M</w:t>
      </w:r>
      <w:r>
        <w:rPr>
          <w:rFonts w:eastAsia="Calibri" w:cs="Times New Roman"/>
          <w:lang w:eastAsia="en-US"/>
        </w:rPr>
        <w:t>eta</w:t>
      </w:r>
      <w:r w:rsidRPr="00435E9A">
        <w:rPr>
          <w:rFonts w:eastAsia="Calibri" w:cs="Times New Roman"/>
          <w:lang w:eastAsia="en-US"/>
        </w:rPr>
        <w:t xml:space="preserve">-SPC, a comparison of the different parameters has been done in each </w:t>
      </w:r>
      <w:r>
        <w:rPr>
          <w:rFonts w:eastAsia="Calibri" w:cs="Times New Roman"/>
          <w:lang w:eastAsia="en-US"/>
        </w:rPr>
        <w:t xml:space="preserve">relevant </w:t>
      </w:r>
      <w:r w:rsidRPr="00435E9A">
        <w:rPr>
          <w:rFonts w:eastAsia="Calibri" w:cs="Times New Roman"/>
          <w:lang w:eastAsia="en-US"/>
        </w:rPr>
        <w:t xml:space="preserve">scenario’s dedicated section for active substance L(+) Lactic acid and SoC </w:t>
      </w:r>
      <w:r>
        <w:rPr>
          <w:rFonts w:eastAsia="Calibri" w:cs="Times New Roman"/>
          <w:lang w:eastAsia="en-US"/>
        </w:rPr>
        <w:t>OTNE</w:t>
      </w:r>
      <w:r w:rsidRPr="00435E9A">
        <w:rPr>
          <w:rFonts w:eastAsia="Calibri" w:cs="Times New Roman"/>
          <w:lang w:eastAsia="en-US"/>
        </w:rPr>
        <w:t xml:space="preserve">. </w:t>
      </w:r>
      <w:r w:rsidR="006459D7">
        <w:rPr>
          <w:rFonts w:eastAsia="Calibri" w:cs="Times New Roman"/>
          <w:lang w:eastAsia="en-US"/>
        </w:rPr>
        <w:t>The other</w:t>
      </w:r>
      <w:r>
        <w:rPr>
          <w:rFonts w:eastAsia="Calibri" w:cs="Times New Roman"/>
          <w:lang w:eastAsia="en-US"/>
        </w:rPr>
        <w:t xml:space="preserve"> </w:t>
      </w:r>
      <w:r w:rsidRPr="00435E9A">
        <w:rPr>
          <w:rFonts w:eastAsia="Calibri" w:cs="Times New Roman"/>
          <w:lang w:eastAsia="en-US"/>
        </w:rPr>
        <w:t xml:space="preserve">SoC Amines, coco alkyldimethyl, N-oxides (Meta-SPC 11) </w:t>
      </w:r>
      <w:r w:rsidR="006459D7">
        <w:rPr>
          <w:rFonts w:eastAsia="Calibri" w:cs="Times New Roman"/>
          <w:lang w:eastAsia="en-US"/>
        </w:rPr>
        <w:t>is</w:t>
      </w:r>
      <w:r w:rsidR="005D6792">
        <w:rPr>
          <w:rFonts w:eastAsia="Calibri" w:cs="Times New Roman"/>
          <w:lang w:eastAsia="en-US"/>
        </w:rPr>
        <w:t xml:space="preserve"> present</w:t>
      </w:r>
      <w:r w:rsidR="005D6792" w:rsidRPr="00435E9A">
        <w:rPr>
          <w:rFonts w:eastAsia="Calibri" w:cs="Times New Roman"/>
          <w:lang w:eastAsia="en-US"/>
        </w:rPr>
        <w:t xml:space="preserve"> </w:t>
      </w:r>
      <w:r w:rsidRPr="00435E9A">
        <w:rPr>
          <w:rFonts w:eastAsia="Calibri" w:cs="Times New Roman"/>
          <w:lang w:eastAsia="en-US"/>
        </w:rPr>
        <w:t>in only one Meta</w:t>
      </w:r>
      <w:r>
        <w:rPr>
          <w:rFonts w:eastAsia="Calibri" w:cs="Times New Roman"/>
          <w:lang w:eastAsia="en-US"/>
        </w:rPr>
        <w:t>-</w:t>
      </w:r>
      <w:r w:rsidRPr="00435E9A">
        <w:rPr>
          <w:rFonts w:eastAsia="Calibri" w:cs="Times New Roman"/>
          <w:lang w:eastAsia="en-US"/>
        </w:rPr>
        <w:t>SPC.</w:t>
      </w:r>
    </w:p>
    <w:p w14:paraId="7167AC82" w14:textId="600C25A6" w:rsidR="0073642B" w:rsidRDefault="0073642B" w:rsidP="0073642B">
      <w:pPr>
        <w:spacing w:line="276" w:lineRule="auto"/>
        <w:rPr>
          <w:rFonts w:ascii="Times New Roman" w:eastAsia="Calibri" w:hAnsi="Times New Roman" w:cs="Times New Roman"/>
          <w:i/>
          <w:lang w:eastAsia="en-US"/>
        </w:rPr>
      </w:pPr>
    </w:p>
    <w:p w14:paraId="3151ED2A" w14:textId="77777777" w:rsidR="0073642B" w:rsidRDefault="0073642B" w:rsidP="0073642B">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6884"/>
      </w:tblGrid>
      <w:tr w:rsidR="00146FA5" w:rsidRPr="00FD2055" w14:paraId="0674E8C1" w14:textId="77777777" w:rsidTr="00146FA5">
        <w:tc>
          <w:tcPr>
            <w:tcW w:w="1260" w:type="pct"/>
            <w:shd w:val="clear" w:color="auto" w:fill="FFFFCC"/>
            <w:vAlign w:val="center"/>
          </w:tcPr>
          <w:p w14:paraId="2F043A80" w14:textId="77777777" w:rsidR="0073642B" w:rsidRPr="00FD2055" w:rsidRDefault="0073642B" w:rsidP="00476D22">
            <w:pPr>
              <w:spacing w:line="276" w:lineRule="auto"/>
              <w:rPr>
                <w:rFonts w:eastAsia="Calibri"/>
                <w:lang w:eastAsia="en-US"/>
              </w:rPr>
            </w:pPr>
            <w:r w:rsidRPr="00FD2055">
              <w:rPr>
                <w:rFonts w:eastAsia="Calibri"/>
                <w:lang w:eastAsia="en-US"/>
              </w:rPr>
              <w:t>Assessed PT</w:t>
            </w:r>
          </w:p>
        </w:tc>
        <w:tc>
          <w:tcPr>
            <w:tcW w:w="3740" w:type="pct"/>
            <w:shd w:val="clear" w:color="auto" w:fill="auto"/>
            <w:vAlign w:val="center"/>
          </w:tcPr>
          <w:p w14:paraId="50451CF6" w14:textId="77777777" w:rsidR="0073642B" w:rsidRPr="00A14C6C" w:rsidRDefault="0073642B" w:rsidP="00476D22">
            <w:pPr>
              <w:spacing w:line="276" w:lineRule="auto"/>
              <w:rPr>
                <w:rFonts w:ascii="Times New Roman" w:eastAsia="Calibri" w:hAnsi="Times New Roman"/>
                <w:i/>
                <w:color w:val="FF0000"/>
                <w:lang w:eastAsia="en-US"/>
              </w:rPr>
            </w:pPr>
            <w:r w:rsidRPr="00A14C6C">
              <w:t>PT 2</w:t>
            </w:r>
          </w:p>
        </w:tc>
      </w:tr>
      <w:tr w:rsidR="00146FA5" w:rsidRPr="00FD2055" w14:paraId="2BF291F5" w14:textId="77777777" w:rsidTr="00146FA5">
        <w:trPr>
          <w:trHeight w:val="2732"/>
        </w:trPr>
        <w:tc>
          <w:tcPr>
            <w:tcW w:w="1260" w:type="pct"/>
            <w:shd w:val="clear" w:color="auto" w:fill="FFFFCC"/>
            <w:vAlign w:val="center"/>
          </w:tcPr>
          <w:p w14:paraId="4E11F05B" w14:textId="77777777" w:rsidR="0073642B" w:rsidRPr="00FD2055" w:rsidRDefault="0073642B" w:rsidP="00476D22">
            <w:pPr>
              <w:spacing w:line="276" w:lineRule="auto"/>
              <w:rPr>
                <w:rFonts w:eastAsia="Calibri"/>
                <w:lang w:eastAsia="en-US"/>
              </w:rPr>
            </w:pPr>
            <w:r w:rsidRPr="00FD2055">
              <w:rPr>
                <w:rFonts w:eastAsia="Calibri"/>
                <w:lang w:eastAsia="en-US"/>
              </w:rPr>
              <w:lastRenderedPageBreak/>
              <w:t>Assessed scenarios</w:t>
            </w:r>
          </w:p>
        </w:tc>
        <w:tc>
          <w:tcPr>
            <w:tcW w:w="3740" w:type="pct"/>
            <w:shd w:val="clear" w:color="auto" w:fill="auto"/>
            <w:vAlign w:val="center"/>
          </w:tcPr>
          <w:p w14:paraId="7A1AD40F" w14:textId="77777777" w:rsidR="009972F1" w:rsidRPr="009972F1" w:rsidRDefault="0073642B" w:rsidP="009972F1">
            <w:pPr>
              <w:pStyle w:val="Titre5"/>
              <w:rPr>
                <w:b w:val="0"/>
                <w:bCs w:val="0"/>
              </w:rPr>
            </w:pPr>
            <w:r w:rsidRPr="00FF4A61">
              <w:rPr>
                <w:b w:val="0"/>
                <w:color w:val="221E1F"/>
                <w:lang w:val="en-US"/>
              </w:rPr>
              <w:t>Scenario 1</w:t>
            </w:r>
            <w:r w:rsidR="009972F1" w:rsidRPr="00FF4A61">
              <w:rPr>
                <w:b w:val="0"/>
                <w:color w:val="221E1F"/>
                <w:lang w:val="en-US"/>
              </w:rPr>
              <w:t>a</w:t>
            </w:r>
            <w:r w:rsidRPr="00FF4A61">
              <w:rPr>
                <w:b w:val="0"/>
                <w:color w:val="221E1F"/>
                <w:lang w:val="en-US"/>
              </w:rPr>
              <w:t>: Indoor - Disinfection of</w:t>
            </w:r>
            <w:r w:rsidRPr="00FF4A61">
              <w:rPr>
                <w:b w:val="0"/>
              </w:rPr>
              <w:t xml:space="preserve"> institutional areas - releases of disinfectants used for sanitary purposes based on average consumption</w:t>
            </w:r>
            <w:r w:rsidRPr="00FF4A61">
              <w:rPr>
                <w:b w:val="0"/>
                <w:color w:val="221E1F"/>
                <w:lang w:val="en-US"/>
              </w:rPr>
              <w:t xml:space="preserve"> </w:t>
            </w:r>
            <w:r w:rsidR="009972F1" w:rsidRPr="00FF4A61">
              <w:rPr>
                <w:b w:val="0"/>
              </w:rPr>
              <w:t>approach (household and institutional applications)</w:t>
            </w:r>
          </w:p>
          <w:p w14:paraId="213EAE66" w14:textId="0D000B64" w:rsidR="0073642B" w:rsidRDefault="0073642B" w:rsidP="00476D22">
            <w:pPr>
              <w:suppressAutoHyphens w:val="0"/>
              <w:spacing w:after="120"/>
              <w:contextualSpacing/>
              <w:rPr>
                <w:color w:val="221E1F"/>
                <w:lang w:val="en-US"/>
              </w:rPr>
            </w:pPr>
          </w:p>
          <w:p w14:paraId="29081B07" w14:textId="7C2E66D1" w:rsidR="009972F1" w:rsidRPr="009972F1" w:rsidRDefault="009972F1" w:rsidP="00476D22">
            <w:pPr>
              <w:suppressAutoHyphens w:val="0"/>
              <w:spacing w:after="120"/>
              <w:contextualSpacing/>
              <w:rPr>
                <w:color w:val="221E1F"/>
                <w:lang w:val="en-US"/>
              </w:rPr>
            </w:pPr>
            <w:r>
              <w:rPr>
                <w:color w:val="221E1F"/>
                <w:lang w:val="en-US"/>
              </w:rPr>
              <w:t>Scenario 1b</w:t>
            </w:r>
            <w:r w:rsidRPr="009972F1">
              <w:rPr>
                <w:color w:val="221E1F"/>
                <w:lang w:val="en-US"/>
              </w:rPr>
              <w:t>: Indoor - Disinfection of institutional areas - releases of disinfectants used for sanitary purposes based on average consumption approach (household and institutional applications) - Disinfection of the lavatory only (inside of toilet bowls)</w:t>
            </w:r>
          </w:p>
          <w:p w14:paraId="1337BA23" w14:textId="77777777" w:rsidR="00322012" w:rsidRDefault="00322012" w:rsidP="00476D22">
            <w:pPr>
              <w:suppressAutoHyphens w:val="0"/>
              <w:spacing w:after="120"/>
              <w:contextualSpacing/>
              <w:rPr>
                <w:color w:val="221E1F"/>
                <w:lang w:val="en-US"/>
              </w:rPr>
            </w:pPr>
          </w:p>
          <w:p w14:paraId="7CB542A3" w14:textId="32842978" w:rsidR="0073642B" w:rsidRPr="00152357" w:rsidRDefault="0073642B" w:rsidP="00476D22">
            <w:pPr>
              <w:suppressAutoHyphens w:val="0"/>
              <w:spacing w:after="120"/>
              <w:contextualSpacing/>
              <w:rPr>
                <w:color w:val="221E1F"/>
                <w:lang w:val="en-US"/>
              </w:rPr>
            </w:pPr>
            <w:r>
              <w:rPr>
                <w:color w:val="221E1F"/>
                <w:lang w:val="en-US"/>
              </w:rPr>
              <w:t xml:space="preserve">Scenario 2: Indoor - </w:t>
            </w:r>
            <w:r w:rsidRPr="00152357">
              <w:rPr>
                <w:color w:val="221E1F"/>
                <w:lang w:val="en-US"/>
              </w:rPr>
              <w:t>Disinfection of</w:t>
            </w:r>
            <w:r w:rsidRPr="00152357">
              <w:rPr>
                <w:rFonts w:eastAsia="Calibri"/>
                <w:lang w:eastAsia="en-US"/>
              </w:rPr>
              <w:t xml:space="preserve"> in</w:t>
            </w:r>
            <w:r>
              <w:rPr>
                <w:rFonts w:eastAsia="Calibri"/>
                <w:lang w:eastAsia="en-US"/>
              </w:rPr>
              <w:t>dustrial</w:t>
            </w:r>
            <w:r w:rsidRPr="00152357">
              <w:rPr>
                <w:rFonts w:eastAsia="Calibri"/>
                <w:lang w:eastAsia="en-US"/>
              </w:rPr>
              <w:t xml:space="preserve"> areas</w:t>
            </w:r>
          </w:p>
          <w:p w14:paraId="010BA9E5" w14:textId="77777777" w:rsidR="00322012" w:rsidRDefault="00322012" w:rsidP="00476D22">
            <w:pPr>
              <w:spacing w:line="276" w:lineRule="auto"/>
              <w:rPr>
                <w:iCs/>
                <w:lang w:val="en-US"/>
              </w:rPr>
            </w:pPr>
          </w:p>
          <w:p w14:paraId="50CA6146" w14:textId="2065EB96" w:rsidR="0073642B" w:rsidRPr="00152357" w:rsidRDefault="0073642B" w:rsidP="00476D22">
            <w:pPr>
              <w:spacing w:line="276" w:lineRule="auto"/>
              <w:rPr>
                <w:iCs/>
              </w:rPr>
            </w:pPr>
            <w:r w:rsidRPr="00152357">
              <w:rPr>
                <w:iCs/>
              </w:rPr>
              <w:t xml:space="preserve">Scenario </w:t>
            </w:r>
            <w:r>
              <w:rPr>
                <w:iCs/>
              </w:rPr>
              <w:t>3</w:t>
            </w:r>
            <w:r w:rsidRPr="00152357">
              <w:rPr>
                <w:iCs/>
              </w:rPr>
              <w:t xml:space="preserve">: </w:t>
            </w:r>
            <w:r w:rsidR="009972F1" w:rsidRPr="00DD2106">
              <w:rPr>
                <w:rFonts w:eastAsia="Calibri"/>
                <w:lang w:eastAsia="en-US"/>
              </w:rPr>
              <w:t>Indoor – Disinfection of rooms, furniture and objects in medical sector</w:t>
            </w:r>
          </w:p>
          <w:p w14:paraId="24444210" w14:textId="77777777" w:rsidR="00322012" w:rsidRDefault="00322012" w:rsidP="00476D22">
            <w:pPr>
              <w:spacing w:line="276" w:lineRule="auto"/>
              <w:rPr>
                <w:iCs/>
              </w:rPr>
            </w:pPr>
          </w:p>
          <w:p w14:paraId="7F029038" w14:textId="25F4328E" w:rsidR="0073642B" w:rsidRPr="00152357" w:rsidRDefault="0073642B" w:rsidP="00476D22">
            <w:pPr>
              <w:spacing w:line="276" w:lineRule="auto"/>
              <w:rPr>
                <w:iCs/>
              </w:rPr>
            </w:pPr>
            <w:r w:rsidRPr="00152357">
              <w:rPr>
                <w:iCs/>
              </w:rPr>
              <w:t xml:space="preserve">Scenario </w:t>
            </w:r>
            <w:r>
              <w:rPr>
                <w:iCs/>
              </w:rPr>
              <w:t>4</w:t>
            </w:r>
            <w:r w:rsidRPr="00152357">
              <w:rPr>
                <w:iCs/>
              </w:rPr>
              <w:t xml:space="preserve">: Outdoor - </w:t>
            </w:r>
            <w:r w:rsidRPr="003F1021">
              <w:t>Disinfection of road ways</w:t>
            </w:r>
            <w:r w:rsidRPr="00152357">
              <w:t xml:space="preserve"> indirect emission via STP</w:t>
            </w:r>
          </w:p>
          <w:p w14:paraId="4909E9FC" w14:textId="77777777" w:rsidR="00322012" w:rsidRDefault="00322012" w:rsidP="00476D22">
            <w:pPr>
              <w:spacing w:line="276" w:lineRule="auto"/>
              <w:rPr>
                <w:iCs/>
              </w:rPr>
            </w:pPr>
          </w:p>
          <w:p w14:paraId="2063B3B9" w14:textId="5663ADA8" w:rsidR="0073642B" w:rsidRPr="003F1021" w:rsidRDefault="0073642B" w:rsidP="00476D22">
            <w:pPr>
              <w:spacing w:line="276" w:lineRule="auto"/>
              <w:rPr>
                <w:iCs/>
              </w:rPr>
            </w:pPr>
            <w:r w:rsidRPr="00152357">
              <w:rPr>
                <w:iCs/>
              </w:rPr>
              <w:t xml:space="preserve">Scenario </w:t>
            </w:r>
            <w:r>
              <w:rPr>
                <w:iCs/>
              </w:rPr>
              <w:t>5</w:t>
            </w:r>
            <w:r w:rsidRPr="00152357">
              <w:rPr>
                <w:iCs/>
              </w:rPr>
              <w:t xml:space="preserve">: Outdoor - </w:t>
            </w:r>
            <w:r w:rsidRPr="003F1021">
              <w:t>Disinfection of road ways</w:t>
            </w:r>
            <w:r w:rsidRPr="00152357">
              <w:t xml:space="preserve"> </w:t>
            </w:r>
            <w:r w:rsidRPr="003F1021">
              <w:t>direct emission to surface water</w:t>
            </w:r>
          </w:p>
        </w:tc>
      </w:tr>
      <w:tr w:rsidR="00146FA5" w:rsidRPr="00FD2055" w14:paraId="6B192837" w14:textId="77777777" w:rsidTr="00146FA5">
        <w:tc>
          <w:tcPr>
            <w:tcW w:w="1260" w:type="pct"/>
            <w:shd w:val="clear" w:color="auto" w:fill="FFFFCC"/>
            <w:vAlign w:val="center"/>
          </w:tcPr>
          <w:p w14:paraId="13D61E00" w14:textId="77777777" w:rsidR="0073642B" w:rsidRPr="00FD2055" w:rsidRDefault="0073642B" w:rsidP="00476D22">
            <w:pPr>
              <w:spacing w:line="276" w:lineRule="auto"/>
              <w:rPr>
                <w:rFonts w:eastAsia="Calibri"/>
                <w:lang w:eastAsia="en-US"/>
              </w:rPr>
            </w:pPr>
            <w:r w:rsidRPr="00FD2055">
              <w:rPr>
                <w:rFonts w:eastAsia="Calibri"/>
                <w:lang w:eastAsia="en-US"/>
              </w:rPr>
              <w:t>ESD(s) used</w:t>
            </w:r>
          </w:p>
        </w:tc>
        <w:tc>
          <w:tcPr>
            <w:tcW w:w="3740" w:type="pct"/>
            <w:shd w:val="clear" w:color="auto" w:fill="auto"/>
            <w:vAlign w:val="center"/>
          </w:tcPr>
          <w:p w14:paraId="1849B01B" w14:textId="77777777" w:rsidR="0073642B" w:rsidRDefault="0073642B" w:rsidP="00476D22">
            <w:pPr>
              <w:suppressAutoHyphens w:val="0"/>
              <w:spacing w:line="276" w:lineRule="auto"/>
              <w:rPr>
                <w:rFonts w:eastAsia="Calibri"/>
                <w:lang w:eastAsia="en-US"/>
              </w:rPr>
            </w:pPr>
            <w:r w:rsidRPr="00581688">
              <w:rPr>
                <w:rFonts w:eastAsia="Calibri"/>
                <w:lang w:eastAsia="en-US"/>
              </w:rPr>
              <w:t xml:space="preserve">Emission Scenario Document for Product Type 2: Private and public health area disinfectants and other biocidal products (sanitary and medical sector), </w:t>
            </w:r>
            <w:r>
              <w:rPr>
                <w:rFonts w:eastAsia="Calibri"/>
                <w:lang w:eastAsia="en-US"/>
              </w:rPr>
              <w:t>2011</w:t>
            </w:r>
          </w:p>
          <w:p w14:paraId="1BD5B9A4" w14:textId="77777777" w:rsidR="000B02AF" w:rsidRDefault="000B02AF" w:rsidP="00476D22">
            <w:pPr>
              <w:suppressAutoHyphens w:val="0"/>
              <w:spacing w:line="276" w:lineRule="auto"/>
            </w:pPr>
          </w:p>
          <w:p w14:paraId="39040AA5" w14:textId="72F72914" w:rsidR="0073642B" w:rsidRPr="000F33CF" w:rsidRDefault="00146FA5" w:rsidP="00DD2106">
            <w:pPr>
              <w:suppressAutoHyphens w:val="0"/>
              <w:spacing w:line="276" w:lineRule="auto"/>
              <w:rPr>
                <w:rFonts w:eastAsia="Calibri"/>
                <w:lang w:eastAsia="en-US"/>
              </w:rPr>
            </w:pPr>
            <w:r w:rsidRPr="00146FA5">
              <w:t>https://echa.europa.eu/documents/10162/16908203/pt_6_7_8_9_10_assessment_of_direct_emission_surface_water_urban_areas_en.pdf/56073606-24c6-4b77-89ea-bfeec98d5943</w:t>
            </w:r>
            <w:r w:rsidR="000B02AF">
              <w:t>.  Assessment of direct emission to surface water in urban areas (UBA, 2014)</w:t>
            </w:r>
          </w:p>
        </w:tc>
      </w:tr>
      <w:tr w:rsidR="00146FA5" w:rsidRPr="00C7026F" w14:paraId="7E95B3AC" w14:textId="77777777" w:rsidTr="00146FA5">
        <w:tc>
          <w:tcPr>
            <w:tcW w:w="1260" w:type="pct"/>
            <w:shd w:val="clear" w:color="auto" w:fill="FFFFCC"/>
            <w:vAlign w:val="center"/>
          </w:tcPr>
          <w:p w14:paraId="3F28C2BD" w14:textId="77777777" w:rsidR="0073642B" w:rsidRPr="00FD2055" w:rsidRDefault="0073642B" w:rsidP="00476D22">
            <w:pPr>
              <w:spacing w:line="276" w:lineRule="auto"/>
              <w:rPr>
                <w:rFonts w:eastAsia="Calibri"/>
                <w:lang w:eastAsia="en-US"/>
              </w:rPr>
            </w:pPr>
            <w:r w:rsidRPr="00FD2055">
              <w:rPr>
                <w:rFonts w:eastAsia="Calibri"/>
                <w:lang w:eastAsia="en-US"/>
              </w:rPr>
              <w:t>Approach</w:t>
            </w:r>
          </w:p>
        </w:tc>
        <w:tc>
          <w:tcPr>
            <w:tcW w:w="3740" w:type="pct"/>
            <w:shd w:val="clear" w:color="auto" w:fill="auto"/>
            <w:vAlign w:val="center"/>
          </w:tcPr>
          <w:p w14:paraId="19C390C6" w14:textId="77777777" w:rsidR="0073642B" w:rsidRPr="00FD2055" w:rsidRDefault="0073642B" w:rsidP="00476D22">
            <w:pPr>
              <w:spacing w:after="120" w:line="260" w:lineRule="atLeast"/>
              <w:rPr>
                <w:rFonts w:ascii="Times New Roman" w:eastAsia="Calibri" w:hAnsi="Times New Roman"/>
                <w:b/>
                <w:color w:val="FF0000"/>
                <w:lang w:val="it-IT" w:eastAsia="en-US"/>
              </w:rPr>
            </w:pPr>
            <w:r w:rsidRPr="00581688">
              <w:rPr>
                <w:rFonts w:eastAsia="Calibri"/>
                <w:lang w:eastAsia="en-US"/>
              </w:rPr>
              <w:t>Average consumption</w:t>
            </w:r>
          </w:p>
        </w:tc>
      </w:tr>
      <w:tr w:rsidR="00146FA5" w:rsidRPr="00FD2055" w14:paraId="3685B639" w14:textId="77777777" w:rsidTr="00146FA5">
        <w:tc>
          <w:tcPr>
            <w:tcW w:w="1260" w:type="pct"/>
            <w:shd w:val="clear" w:color="auto" w:fill="FFFFCC"/>
            <w:vAlign w:val="center"/>
          </w:tcPr>
          <w:p w14:paraId="501AD315" w14:textId="77777777" w:rsidR="0073642B" w:rsidRPr="00FD2055" w:rsidRDefault="0073642B" w:rsidP="00476D22">
            <w:pPr>
              <w:spacing w:line="276" w:lineRule="auto"/>
              <w:rPr>
                <w:rFonts w:eastAsia="Calibri"/>
                <w:lang w:eastAsia="en-US"/>
              </w:rPr>
            </w:pPr>
            <w:r w:rsidRPr="00FD2055">
              <w:rPr>
                <w:rFonts w:eastAsia="Calibri"/>
                <w:lang w:eastAsia="en-US"/>
              </w:rPr>
              <w:t>Distribution in the environment</w:t>
            </w:r>
          </w:p>
        </w:tc>
        <w:tc>
          <w:tcPr>
            <w:tcW w:w="3740" w:type="pct"/>
            <w:shd w:val="clear" w:color="auto" w:fill="auto"/>
            <w:vAlign w:val="center"/>
          </w:tcPr>
          <w:p w14:paraId="3020A160" w14:textId="77777777" w:rsidR="0073642B" w:rsidRPr="00581688" w:rsidRDefault="0073642B" w:rsidP="00476D22">
            <w:pPr>
              <w:spacing w:line="276" w:lineRule="auto"/>
              <w:rPr>
                <w:rFonts w:eastAsia="Calibri"/>
                <w:lang w:eastAsia="en-US"/>
              </w:rPr>
            </w:pPr>
            <w:r w:rsidRPr="00581688">
              <w:rPr>
                <w:rFonts w:eastAsia="Calibri"/>
                <w:lang w:eastAsia="en-US"/>
              </w:rPr>
              <w:t>Calculated based on Guidance for BPR IV Part B+C (2017).</w:t>
            </w:r>
          </w:p>
          <w:p w14:paraId="6EDBA40F" w14:textId="77777777" w:rsidR="0073642B" w:rsidRDefault="0073642B" w:rsidP="00476D22">
            <w:pPr>
              <w:spacing w:line="276" w:lineRule="auto"/>
              <w:rPr>
                <w:rFonts w:eastAsia="Calibri"/>
                <w:lang w:eastAsia="en-US"/>
              </w:rPr>
            </w:pPr>
          </w:p>
          <w:p w14:paraId="7B31B886" w14:textId="77777777" w:rsidR="0073642B" w:rsidRDefault="0073642B" w:rsidP="00476D22">
            <w:pPr>
              <w:spacing w:line="276" w:lineRule="auto"/>
              <w:rPr>
                <w:rFonts w:eastAsia="Calibri"/>
                <w:lang w:eastAsia="en-US"/>
              </w:rPr>
            </w:pPr>
            <w:r w:rsidRPr="00581688">
              <w:rPr>
                <w:rFonts w:eastAsia="Calibri"/>
                <w:lang w:eastAsia="en-US"/>
              </w:rPr>
              <w:t xml:space="preserve">Assessment report: L(+) </w:t>
            </w:r>
            <w:r>
              <w:rPr>
                <w:rFonts w:eastAsia="Calibri"/>
                <w:lang w:eastAsia="en-US"/>
              </w:rPr>
              <w:t>L</w:t>
            </w:r>
            <w:r w:rsidRPr="00581688">
              <w:rPr>
                <w:rFonts w:eastAsia="Calibri"/>
                <w:lang w:eastAsia="en-US"/>
              </w:rPr>
              <w:t>actic acid Product-type 02, 03 and 04, June 2017</w:t>
            </w:r>
          </w:p>
          <w:p w14:paraId="3D80EE3B" w14:textId="77777777" w:rsidR="0073642B" w:rsidRPr="00581688" w:rsidRDefault="0073642B" w:rsidP="00476D22">
            <w:pPr>
              <w:spacing w:line="276" w:lineRule="auto"/>
              <w:rPr>
                <w:rFonts w:eastAsia="Calibri"/>
                <w:lang w:eastAsia="en-US"/>
              </w:rPr>
            </w:pPr>
          </w:p>
          <w:p w14:paraId="16402986" w14:textId="77777777" w:rsidR="0073642B" w:rsidRPr="00FD2055" w:rsidRDefault="0073642B" w:rsidP="00476D22">
            <w:pPr>
              <w:spacing w:line="276" w:lineRule="auto"/>
              <w:rPr>
                <w:rFonts w:ascii="Times New Roman" w:eastAsia="Calibri" w:hAnsi="Times New Roman"/>
                <w:i/>
                <w:color w:val="FF0000"/>
                <w:lang w:eastAsia="en-US"/>
              </w:rPr>
            </w:pPr>
            <w:r w:rsidRPr="00581688">
              <w:rPr>
                <w:rFonts w:eastAsia="Calibri"/>
                <w:lang w:eastAsia="en-US"/>
              </w:rPr>
              <w:t>Technical Agreements for Biocides v2.1, December 2019</w:t>
            </w:r>
          </w:p>
        </w:tc>
      </w:tr>
      <w:tr w:rsidR="00146FA5" w:rsidRPr="00FD2055" w14:paraId="7D1AC5EA" w14:textId="77777777" w:rsidTr="00146FA5">
        <w:tc>
          <w:tcPr>
            <w:tcW w:w="1260" w:type="pct"/>
            <w:shd w:val="clear" w:color="auto" w:fill="FFFFCC"/>
            <w:vAlign w:val="center"/>
          </w:tcPr>
          <w:p w14:paraId="42AC798E" w14:textId="77777777" w:rsidR="0073642B" w:rsidRPr="00FD2055" w:rsidRDefault="0073642B" w:rsidP="00476D22">
            <w:pPr>
              <w:spacing w:line="276" w:lineRule="auto"/>
              <w:rPr>
                <w:rFonts w:eastAsia="Calibri"/>
                <w:lang w:eastAsia="en-US"/>
              </w:rPr>
            </w:pPr>
            <w:r w:rsidRPr="00FD2055">
              <w:rPr>
                <w:rFonts w:eastAsia="Calibri"/>
                <w:lang w:eastAsia="en-US"/>
              </w:rPr>
              <w:t>Groundwater simulation</w:t>
            </w:r>
          </w:p>
        </w:tc>
        <w:tc>
          <w:tcPr>
            <w:tcW w:w="3740" w:type="pct"/>
            <w:shd w:val="clear" w:color="auto" w:fill="auto"/>
            <w:vAlign w:val="center"/>
          </w:tcPr>
          <w:p w14:paraId="6DC0160C" w14:textId="77777777" w:rsidR="0073642B" w:rsidRPr="00FD2055" w:rsidRDefault="0073642B" w:rsidP="00476D22">
            <w:pPr>
              <w:spacing w:line="276" w:lineRule="auto"/>
              <w:rPr>
                <w:rFonts w:ascii="Times New Roman" w:eastAsia="Calibri" w:hAnsi="Times New Roman"/>
                <w:i/>
                <w:color w:val="000000"/>
                <w:lang w:eastAsia="en-US"/>
              </w:rPr>
            </w:pPr>
            <w:r w:rsidRPr="00581688">
              <w:rPr>
                <w:rFonts w:eastAsia="Calibri"/>
                <w:lang w:eastAsia="en-US"/>
              </w:rPr>
              <w:t>FOCUS PEARL 4.4.4</w:t>
            </w:r>
          </w:p>
        </w:tc>
      </w:tr>
      <w:tr w:rsidR="00146FA5" w:rsidRPr="00FD2055" w14:paraId="0C718D9B" w14:textId="77777777" w:rsidTr="00146FA5">
        <w:tc>
          <w:tcPr>
            <w:tcW w:w="1260" w:type="pct"/>
            <w:shd w:val="clear" w:color="auto" w:fill="FFFFCC"/>
            <w:vAlign w:val="center"/>
          </w:tcPr>
          <w:p w14:paraId="07279015" w14:textId="77777777" w:rsidR="0073642B" w:rsidRPr="00FD2055" w:rsidRDefault="0073642B" w:rsidP="00476D22">
            <w:pPr>
              <w:spacing w:line="276" w:lineRule="auto"/>
              <w:rPr>
                <w:rFonts w:eastAsia="Calibri"/>
                <w:lang w:eastAsia="en-US"/>
              </w:rPr>
            </w:pPr>
            <w:r w:rsidRPr="00FD2055">
              <w:rPr>
                <w:rFonts w:eastAsia="Calibri"/>
                <w:lang w:eastAsia="en-US"/>
              </w:rPr>
              <w:t>Confidential Annexes</w:t>
            </w:r>
          </w:p>
        </w:tc>
        <w:tc>
          <w:tcPr>
            <w:tcW w:w="3740" w:type="pct"/>
            <w:shd w:val="clear" w:color="auto" w:fill="auto"/>
            <w:vAlign w:val="center"/>
          </w:tcPr>
          <w:p w14:paraId="13CF22AA" w14:textId="77777777" w:rsidR="0073642B" w:rsidRPr="00FD2055" w:rsidRDefault="0073642B" w:rsidP="00476D22">
            <w:pPr>
              <w:spacing w:line="276" w:lineRule="auto"/>
              <w:rPr>
                <w:rFonts w:ascii="Times New Roman" w:eastAsia="Calibri" w:hAnsi="Times New Roman"/>
                <w:b/>
                <w:i/>
                <w:color w:val="FF0000"/>
                <w:lang w:eastAsia="en-US"/>
              </w:rPr>
            </w:pPr>
            <w:r w:rsidRPr="00581688">
              <w:rPr>
                <w:rFonts w:eastAsia="Calibri"/>
                <w:lang w:eastAsia="en-US"/>
              </w:rPr>
              <w:t>N</w:t>
            </w:r>
            <w:r>
              <w:rPr>
                <w:rFonts w:eastAsia="Calibri"/>
                <w:lang w:eastAsia="en-US"/>
              </w:rPr>
              <w:t>o</w:t>
            </w:r>
          </w:p>
        </w:tc>
      </w:tr>
      <w:tr w:rsidR="00146FA5" w:rsidRPr="00FD2055" w14:paraId="17726AA4" w14:textId="77777777" w:rsidTr="00146FA5">
        <w:trPr>
          <w:trHeight w:val="175"/>
        </w:trPr>
        <w:tc>
          <w:tcPr>
            <w:tcW w:w="1260" w:type="pct"/>
            <w:shd w:val="clear" w:color="auto" w:fill="FFFFCC"/>
            <w:vAlign w:val="center"/>
          </w:tcPr>
          <w:p w14:paraId="7B522F79" w14:textId="77777777" w:rsidR="0073642B" w:rsidRPr="00FD2055" w:rsidRDefault="0073642B" w:rsidP="00476D22">
            <w:pPr>
              <w:spacing w:line="276" w:lineRule="auto"/>
              <w:rPr>
                <w:rFonts w:eastAsia="Calibri"/>
                <w:lang w:eastAsia="en-US"/>
              </w:rPr>
            </w:pPr>
            <w:r w:rsidRPr="00FD2055">
              <w:rPr>
                <w:rFonts w:eastAsia="Calibri"/>
                <w:lang w:eastAsia="en-US"/>
              </w:rPr>
              <w:t>Life cycle steps assessed</w:t>
            </w:r>
          </w:p>
        </w:tc>
        <w:tc>
          <w:tcPr>
            <w:tcW w:w="3740" w:type="pct"/>
            <w:shd w:val="clear" w:color="auto" w:fill="auto"/>
            <w:vAlign w:val="center"/>
          </w:tcPr>
          <w:p w14:paraId="1AF42FB1" w14:textId="77777777" w:rsidR="0073642B" w:rsidRPr="00581688" w:rsidRDefault="0073642B" w:rsidP="00476D22">
            <w:pPr>
              <w:spacing w:line="276" w:lineRule="auto"/>
              <w:rPr>
                <w:rFonts w:eastAsia="Calibri"/>
                <w:lang w:eastAsia="en-US"/>
              </w:rPr>
            </w:pPr>
            <w:r w:rsidRPr="00581688">
              <w:rPr>
                <w:rFonts w:eastAsia="Calibri"/>
                <w:lang w:eastAsia="en-US"/>
              </w:rPr>
              <w:t>Production: No</w:t>
            </w:r>
          </w:p>
          <w:p w14:paraId="24D66129" w14:textId="77777777" w:rsidR="0073642B" w:rsidRPr="00581688" w:rsidRDefault="0073642B" w:rsidP="00476D22">
            <w:pPr>
              <w:spacing w:line="276" w:lineRule="auto"/>
              <w:rPr>
                <w:rFonts w:eastAsia="Calibri"/>
                <w:lang w:eastAsia="en-US"/>
              </w:rPr>
            </w:pPr>
            <w:r w:rsidRPr="00581688">
              <w:rPr>
                <w:rFonts w:eastAsia="Calibri"/>
                <w:lang w:eastAsia="en-US"/>
              </w:rPr>
              <w:t>Formulation No</w:t>
            </w:r>
          </w:p>
          <w:p w14:paraId="4F5A1CCA" w14:textId="77777777" w:rsidR="0073642B" w:rsidRPr="00581688" w:rsidRDefault="0073642B" w:rsidP="00476D22">
            <w:pPr>
              <w:spacing w:line="276" w:lineRule="auto"/>
              <w:rPr>
                <w:rFonts w:eastAsia="Calibri"/>
                <w:lang w:eastAsia="en-US"/>
              </w:rPr>
            </w:pPr>
            <w:r w:rsidRPr="00581688">
              <w:rPr>
                <w:rFonts w:eastAsia="Calibri"/>
                <w:lang w:eastAsia="en-US"/>
              </w:rPr>
              <w:t>Use: Yes</w:t>
            </w:r>
          </w:p>
          <w:p w14:paraId="4F0F4261" w14:textId="77777777" w:rsidR="0073642B" w:rsidRPr="00FD2055" w:rsidRDefault="0073642B" w:rsidP="00476D22">
            <w:pPr>
              <w:spacing w:line="276" w:lineRule="auto"/>
              <w:rPr>
                <w:rFonts w:ascii="Times New Roman" w:eastAsia="Calibri" w:hAnsi="Times New Roman"/>
                <w:i/>
                <w:color w:val="FF0000"/>
                <w:lang w:eastAsia="en-US"/>
              </w:rPr>
            </w:pPr>
            <w:r w:rsidRPr="00581688">
              <w:rPr>
                <w:rFonts w:eastAsia="Calibri"/>
                <w:lang w:eastAsia="en-US"/>
              </w:rPr>
              <w:t>Service life: No</w:t>
            </w:r>
          </w:p>
        </w:tc>
      </w:tr>
      <w:tr w:rsidR="00146FA5" w:rsidRPr="00FD2055" w14:paraId="209161B2" w14:textId="77777777" w:rsidTr="00146FA5">
        <w:trPr>
          <w:trHeight w:val="175"/>
        </w:trPr>
        <w:tc>
          <w:tcPr>
            <w:tcW w:w="1260" w:type="pct"/>
            <w:shd w:val="clear" w:color="auto" w:fill="FFFFCC"/>
            <w:vAlign w:val="center"/>
          </w:tcPr>
          <w:p w14:paraId="1B71E288" w14:textId="77777777" w:rsidR="0073642B" w:rsidRPr="00FD2055" w:rsidRDefault="0073642B" w:rsidP="00476D22">
            <w:pPr>
              <w:spacing w:line="276" w:lineRule="auto"/>
              <w:rPr>
                <w:rFonts w:eastAsia="Calibri"/>
                <w:lang w:eastAsia="en-US"/>
              </w:rPr>
            </w:pPr>
            <w:r>
              <w:rPr>
                <w:rFonts w:eastAsia="Calibri"/>
                <w:lang w:eastAsia="en-US"/>
              </w:rPr>
              <w:t>Remarks</w:t>
            </w:r>
          </w:p>
        </w:tc>
        <w:tc>
          <w:tcPr>
            <w:tcW w:w="3740" w:type="pct"/>
            <w:shd w:val="clear" w:color="auto" w:fill="auto"/>
            <w:vAlign w:val="center"/>
          </w:tcPr>
          <w:p w14:paraId="7B0C43C9" w14:textId="77777777" w:rsidR="0073642B" w:rsidRPr="00581688" w:rsidRDefault="0073642B" w:rsidP="00476D22">
            <w:pPr>
              <w:spacing w:line="276" w:lineRule="auto"/>
              <w:rPr>
                <w:rFonts w:eastAsia="Calibri"/>
                <w:lang w:eastAsia="en-US"/>
              </w:rPr>
            </w:pPr>
            <w:r>
              <w:rPr>
                <w:rFonts w:eastAsia="Calibri"/>
                <w:lang w:eastAsia="en-US"/>
              </w:rPr>
              <w:t>/</w:t>
            </w:r>
          </w:p>
        </w:tc>
      </w:tr>
    </w:tbl>
    <w:p w14:paraId="045D9DE5" w14:textId="77777777" w:rsidR="0073642B" w:rsidRDefault="0073642B" w:rsidP="0073642B">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937"/>
      </w:tblGrid>
      <w:tr w:rsidR="0073642B" w:rsidRPr="006C2ABA" w14:paraId="646C8F54" w14:textId="77777777" w:rsidTr="00DD2106">
        <w:tc>
          <w:tcPr>
            <w:tcW w:w="1231" w:type="pct"/>
            <w:shd w:val="clear" w:color="auto" w:fill="FFFFCC"/>
            <w:vAlign w:val="center"/>
          </w:tcPr>
          <w:p w14:paraId="167EFE76" w14:textId="77777777" w:rsidR="0073642B" w:rsidRPr="006C2ABA" w:rsidRDefault="0073642B" w:rsidP="00476D22">
            <w:pPr>
              <w:spacing w:line="276" w:lineRule="auto"/>
            </w:pPr>
            <w:r w:rsidRPr="006C2ABA">
              <w:t>Assessed PT</w:t>
            </w:r>
          </w:p>
        </w:tc>
        <w:tc>
          <w:tcPr>
            <w:tcW w:w="3769" w:type="pct"/>
            <w:shd w:val="clear" w:color="auto" w:fill="auto"/>
            <w:vAlign w:val="center"/>
          </w:tcPr>
          <w:p w14:paraId="20F4A50C" w14:textId="77777777" w:rsidR="0073642B" w:rsidRPr="006C2ABA" w:rsidRDefault="0073642B" w:rsidP="00476D22">
            <w:pPr>
              <w:spacing w:line="276" w:lineRule="auto"/>
              <w:rPr>
                <w:iCs/>
              </w:rPr>
            </w:pPr>
            <w:r w:rsidRPr="006C2ABA">
              <w:rPr>
                <w:iCs/>
              </w:rPr>
              <w:t>PT 3</w:t>
            </w:r>
          </w:p>
        </w:tc>
      </w:tr>
      <w:tr w:rsidR="0073642B" w:rsidRPr="006C2ABA" w14:paraId="5989D5E6" w14:textId="77777777" w:rsidTr="00DD2106">
        <w:tc>
          <w:tcPr>
            <w:tcW w:w="1231" w:type="pct"/>
            <w:shd w:val="clear" w:color="auto" w:fill="FFFFCC"/>
            <w:vAlign w:val="center"/>
          </w:tcPr>
          <w:p w14:paraId="33C37EC8" w14:textId="77777777" w:rsidR="0073642B" w:rsidRPr="006C2ABA" w:rsidRDefault="0073642B" w:rsidP="00476D22">
            <w:pPr>
              <w:spacing w:line="276" w:lineRule="auto"/>
            </w:pPr>
            <w:r w:rsidRPr="006C2ABA">
              <w:t>Assessed scenarios</w:t>
            </w:r>
          </w:p>
        </w:tc>
        <w:tc>
          <w:tcPr>
            <w:tcW w:w="3769" w:type="pct"/>
            <w:shd w:val="clear" w:color="auto" w:fill="auto"/>
            <w:vAlign w:val="center"/>
          </w:tcPr>
          <w:p w14:paraId="4B28224E" w14:textId="4B420FBE" w:rsidR="0073642B" w:rsidRPr="00152357" w:rsidRDefault="0073642B" w:rsidP="00476D22">
            <w:pPr>
              <w:suppressAutoHyphens w:val="0"/>
              <w:spacing w:after="120"/>
              <w:contextualSpacing/>
            </w:pPr>
            <w:r w:rsidRPr="00152357">
              <w:t xml:space="preserve">Scenario </w:t>
            </w:r>
            <w:r w:rsidR="004C0867">
              <w:t>6</w:t>
            </w:r>
            <w:r w:rsidRPr="00152357">
              <w:t xml:space="preserve">: </w:t>
            </w:r>
            <w:r w:rsidR="004C0867">
              <w:t xml:space="preserve">Indoor &amp; </w:t>
            </w:r>
            <w:r w:rsidRPr="00152357">
              <w:t>Outdoor - Disinfection of domestic animal housing - direct emission to soil</w:t>
            </w:r>
            <w:r w:rsidR="004C0867">
              <w:t xml:space="preserve"> and indirect emission to the STP</w:t>
            </w:r>
          </w:p>
          <w:p w14:paraId="1AA8D1EB" w14:textId="77777777" w:rsidR="0073642B" w:rsidRPr="006C2ABA" w:rsidRDefault="0073642B" w:rsidP="00FC3194">
            <w:pPr>
              <w:suppressAutoHyphens w:val="0"/>
              <w:spacing w:after="120"/>
              <w:contextualSpacing/>
              <w:rPr>
                <w:iCs/>
              </w:rPr>
            </w:pPr>
          </w:p>
        </w:tc>
      </w:tr>
      <w:tr w:rsidR="0073642B" w:rsidRPr="006C2ABA" w14:paraId="709D1912" w14:textId="77777777" w:rsidTr="00DD2106">
        <w:tc>
          <w:tcPr>
            <w:tcW w:w="1231" w:type="pct"/>
            <w:shd w:val="clear" w:color="auto" w:fill="FFFFCC"/>
            <w:vAlign w:val="center"/>
          </w:tcPr>
          <w:p w14:paraId="17DFB4DE" w14:textId="77777777" w:rsidR="0073642B" w:rsidRPr="006C2ABA" w:rsidRDefault="0073642B" w:rsidP="00476D22">
            <w:pPr>
              <w:spacing w:line="276" w:lineRule="auto"/>
            </w:pPr>
            <w:r w:rsidRPr="006C2ABA">
              <w:lastRenderedPageBreak/>
              <w:t>ESD(s) used</w:t>
            </w:r>
          </w:p>
        </w:tc>
        <w:tc>
          <w:tcPr>
            <w:tcW w:w="3769" w:type="pct"/>
            <w:shd w:val="clear" w:color="auto" w:fill="auto"/>
            <w:vAlign w:val="center"/>
          </w:tcPr>
          <w:p w14:paraId="4DC6A673" w14:textId="0C15258A" w:rsidR="00155D44" w:rsidRPr="006C2ABA" w:rsidRDefault="00155D44" w:rsidP="00155D44">
            <w:pPr>
              <w:spacing w:line="276" w:lineRule="auto"/>
              <w:rPr>
                <w:iCs/>
              </w:rPr>
            </w:pPr>
          </w:p>
          <w:p w14:paraId="58EC65B7" w14:textId="3E69ADBA" w:rsidR="00155D44" w:rsidRPr="006C2ABA" w:rsidRDefault="0041686E" w:rsidP="00155D44">
            <w:pPr>
              <w:spacing w:line="276" w:lineRule="auto"/>
              <w:rPr>
                <w:iCs/>
              </w:rPr>
            </w:pPr>
            <w:r>
              <w:rPr>
                <w:iCs/>
              </w:rPr>
              <w:t xml:space="preserve">Adapted from </w:t>
            </w:r>
            <w:r w:rsidR="00155D44" w:rsidRPr="006C2ABA">
              <w:rPr>
                <w:iCs/>
              </w:rPr>
              <w:t>Emission Scenario Document for Product Type 2: Private and public health area disinfectants and other biocidal products (sanitary and medical sector), March 2001</w:t>
            </w:r>
          </w:p>
          <w:p w14:paraId="2267AD54" w14:textId="77777777" w:rsidR="00FF4A61" w:rsidRDefault="00FF4A61" w:rsidP="00476D22">
            <w:pPr>
              <w:spacing w:line="276" w:lineRule="auto"/>
              <w:rPr>
                <w:iCs/>
              </w:rPr>
            </w:pPr>
          </w:p>
          <w:p w14:paraId="42FFF66A" w14:textId="23861509" w:rsidR="0073642B" w:rsidRPr="00C61311" w:rsidRDefault="003F3AA2" w:rsidP="00476D22">
            <w:pPr>
              <w:spacing w:line="276" w:lineRule="auto"/>
              <w:rPr>
                <w:iCs/>
              </w:rPr>
            </w:pPr>
            <w:r w:rsidRPr="003F3AA2">
              <w:rPr>
                <w:iCs/>
              </w:rPr>
              <w:t>Adaptation of the Emission scenario document for biocides used as masonry preservatives, EUBEES, 2002</w:t>
            </w:r>
          </w:p>
        </w:tc>
      </w:tr>
      <w:tr w:rsidR="0073642B" w:rsidRPr="006C2ABA" w14:paraId="7120D3C2" w14:textId="77777777" w:rsidTr="00DD2106">
        <w:tc>
          <w:tcPr>
            <w:tcW w:w="1231" w:type="pct"/>
            <w:shd w:val="clear" w:color="auto" w:fill="FFFFCC"/>
            <w:vAlign w:val="center"/>
          </w:tcPr>
          <w:p w14:paraId="55D7BC34" w14:textId="77777777" w:rsidR="0073642B" w:rsidRPr="006C2ABA" w:rsidRDefault="0073642B" w:rsidP="00476D22">
            <w:pPr>
              <w:spacing w:line="276" w:lineRule="auto"/>
            </w:pPr>
            <w:r w:rsidRPr="006C2ABA">
              <w:t>Approach</w:t>
            </w:r>
          </w:p>
        </w:tc>
        <w:tc>
          <w:tcPr>
            <w:tcW w:w="3769" w:type="pct"/>
            <w:shd w:val="clear" w:color="auto" w:fill="auto"/>
            <w:vAlign w:val="center"/>
          </w:tcPr>
          <w:p w14:paraId="505BE9B0" w14:textId="77777777" w:rsidR="0073642B" w:rsidRPr="006C2ABA" w:rsidRDefault="0073642B" w:rsidP="00476D22">
            <w:pPr>
              <w:spacing w:line="276" w:lineRule="auto"/>
              <w:jc w:val="both"/>
              <w:rPr>
                <w:b/>
                <w:iCs/>
              </w:rPr>
            </w:pPr>
            <w:r w:rsidRPr="006C2ABA">
              <w:t>Average consumption</w:t>
            </w:r>
          </w:p>
        </w:tc>
      </w:tr>
      <w:tr w:rsidR="0073642B" w:rsidRPr="006C2ABA" w14:paraId="3747D3F1" w14:textId="77777777" w:rsidTr="00DD2106">
        <w:tc>
          <w:tcPr>
            <w:tcW w:w="1231" w:type="pct"/>
            <w:shd w:val="clear" w:color="auto" w:fill="FFFFCC"/>
            <w:vAlign w:val="center"/>
          </w:tcPr>
          <w:p w14:paraId="1368BCFB" w14:textId="77777777" w:rsidR="0073642B" w:rsidRPr="006C2ABA" w:rsidRDefault="0073642B" w:rsidP="00476D22">
            <w:pPr>
              <w:spacing w:line="276" w:lineRule="auto"/>
            </w:pPr>
            <w:r w:rsidRPr="006C2ABA">
              <w:t>Distribution in the environment</w:t>
            </w:r>
          </w:p>
        </w:tc>
        <w:tc>
          <w:tcPr>
            <w:tcW w:w="3769" w:type="pct"/>
            <w:shd w:val="clear" w:color="auto" w:fill="auto"/>
            <w:vAlign w:val="center"/>
          </w:tcPr>
          <w:p w14:paraId="34269445" w14:textId="77777777" w:rsidR="0073642B" w:rsidRPr="006C2ABA" w:rsidRDefault="0073642B" w:rsidP="00476D22">
            <w:pPr>
              <w:spacing w:line="276" w:lineRule="auto"/>
            </w:pPr>
            <w:r w:rsidRPr="006C2ABA">
              <w:t>Calculated based on Guidance for BPR IV Part B+C (2017).</w:t>
            </w:r>
          </w:p>
          <w:p w14:paraId="4712DF8D" w14:textId="77777777" w:rsidR="0073642B" w:rsidRDefault="0073642B" w:rsidP="00476D22">
            <w:pPr>
              <w:spacing w:line="276" w:lineRule="auto"/>
              <w:rPr>
                <w:rFonts w:eastAsia="Calibri"/>
                <w:lang w:eastAsia="en-US"/>
              </w:rPr>
            </w:pPr>
          </w:p>
          <w:p w14:paraId="3A16FED0" w14:textId="77777777" w:rsidR="0073642B" w:rsidRPr="00581688" w:rsidRDefault="0073642B" w:rsidP="00476D22">
            <w:pPr>
              <w:spacing w:line="276" w:lineRule="auto"/>
              <w:rPr>
                <w:rFonts w:eastAsia="Calibri"/>
                <w:lang w:eastAsia="en-US"/>
              </w:rPr>
            </w:pPr>
            <w:r w:rsidRPr="00581688">
              <w:rPr>
                <w:rFonts w:eastAsia="Calibri"/>
                <w:lang w:eastAsia="en-US"/>
              </w:rPr>
              <w:t xml:space="preserve">Assessment report: L(+) </w:t>
            </w:r>
            <w:r>
              <w:rPr>
                <w:rFonts w:eastAsia="Calibri"/>
                <w:lang w:eastAsia="en-US"/>
              </w:rPr>
              <w:t>L</w:t>
            </w:r>
            <w:r w:rsidRPr="00581688">
              <w:rPr>
                <w:rFonts w:eastAsia="Calibri"/>
                <w:lang w:eastAsia="en-US"/>
              </w:rPr>
              <w:t>actic acid Product-type 02, 03 and 04, June 2017</w:t>
            </w:r>
          </w:p>
          <w:p w14:paraId="1F3A3C32" w14:textId="77777777" w:rsidR="0073642B" w:rsidRDefault="0073642B" w:rsidP="00476D22">
            <w:pPr>
              <w:spacing w:line="276" w:lineRule="auto"/>
              <w:rPr>
                <w:rFonts w:eastAsia="Calibri"/>
                <w:lang w:eastAsia="en-US"/>
              </w:rPr>
            </w:pPr>
          </w:p>
          <w:p w14:paraId="1823FA59" w14:textId="77777777" w:rsidR="0073642B" w:rsidRPr="00984921" w:rsidRDefault="0073642B" w:rsidP="00476D22">
            <w:pPr>
              <w:spacing w:line="276" w:lineRule="auto"/>
              <w:rPr>
                <w:iCs/>
              </w:rPr>
            </w:pPr>
            <w:r w:rsidRPr="006C2ABA">
              <w:rPr>
                <w:rFonts w:eastAsia="Calibri"/>
                <w:lang w:eastAsia="en-US"/>
              </w:rPr>
              <w:t>Techni</w:t>
            </w:r>
            <w:r>
              <w:rPr>
                <w:rFonts w:eastAsia="Calibri"/>
                <w:lang w:eastAsia="en-US"/>
              </w:rPr>
              <w:t>cal Agreements for Biocides v2.1, December 2019</w:t>
            </w:r>
          </w:p>
        </w:tc>
      </w:tr>
      <w:tr w:rsidR="0073642B" w:rsidRPr="006C2ABA" w14:paraId="139E595B" w14:textId="77777777" w:rsidTr="00DD2106">
        <w:tc>
          <w:tcPr>
            <w:tcW w:w="1231" w:type="pct"/>
            <w:shd w:val="clear" w:color="auto" w:fill="FFFFCC"/>
            <w:vAlign w:val="center"/>
          </w:tcPr>
          <w:p w14:paraId="599A9373" w14:textId="77777777" w:rsidR="0073642B" w:rsidRPr="006C2ABA" w:rsidRDefault="0073642B" w:rsidP="00476D22">
            <w:pPr>
              <w:spacing w:line="276" w:lineRule="auto"/>
            </w:pPr>
            <w:r w:rsidRPr="006C2ABA">
              <w:t>Groundwater simulation</w:t>
            </w:r>
          </w:p>
        </w:tc>
        <w:tc>
          <w:tcPr>
            <w:tcW w:w="3769" w:type="pct"/>
            <w:shd w:val="clear" w:color="auto" w:fill="auto"/>
            <w:vAlign w:val="center"/>
          </w:tcPr>
          <w:p w14:paraId="1A1786E2" w14:textId="77777777" w:rsidR="0073642B" w:rsidRPr="006C2ABA" w:rsidRDefault="0073642B" w:rsidP="00476D22">
            <w:pPr>
              <w:spacing w:line="276" w:lineRule="auto"/>
              <w:jc w:val="both"/>
              <w:rPr>
                <w:iCs/>
              </w:rPr>
            </w:pPr>
            <w:r w:rsidRPr="00581688">
              <w:rPr>
                <w:rFonts w:eastAsia="Calibri"/>
                <w:lang w:eastAsia="en-US"/>
              </w:rPr>
              <w:t>FOCUS PEARL 4.4.4</w:t>
            </w:r>
          </w:p>
        </w:tc>
      </w:tr>
      <w:tr w:rsidR="0073642B" w:rsidRPr="006C2ABA" w14:paraId="1F77DF3F" w14:textId="77777777" w:rsidTr="00DD2106">
        <w:tc>
          <w:tcPr>
            <w:tcW w:w="1231" w:type="pct"/>
            <w:shd w:val="clear" w:color="auto" w:fill="FFFFCC"/>
            <w:vAlign w:val="center"/>
          </w:tcPr>
          <w:p w14:paraId="3CD6B5F3" w14:textId="77777777" w:rsidR="0073642B" w:rsidRPr="006C2ABA" w:rsidRDefault="0073642B" w:rsidP="00476D22">
            <w:pPr>
              <w:spacing w:line="276" w:lineRule="auto"/>
            </w:pPr>
            <w:r w:rsidRPr="006C2ABA">
              <w:t>Confidential Annexes</w:t>
            </w:r>
          </w:p>
        </w:tc>
        <w:tc>
          <w:tcPr>
            <w:tcW w:w="3769" w:type="pct"/>
            <w:shd w:val="clear" w:color="auto" w:fill="auto"/>
            <w:vAlign w:val="center"/>
          </w:tcPr>
          <w:p w14:paraId="140F0678" w14:textId="77777777" w:rsidR="0073642B" w:rsidRPr="006C2ABA" w:rsidRDefault="0073642B" w:rsidP="00476D22">
            <w:pPr>
              <w:spacing w:line="276" w:lineRule="auto"/>
              <w:jc w:val="both"/>
              <w:rPr>
                <w:b/>
                <w:iCs/>
              </w:rPr>
            </w:pPr>
            <w:r>
              <w:rPr>
                <w:iCs/>
              </w:rPr>
              <w:t>No</w:t>
            </w:r>
          </w:p>
        </w:tc>
      </w:tr>
      <w:tr w:rsidR="0073642B" w:rsidRPr="006C2ABA" w14:paraId="45DA037C" w14:textId="77777777" w:rsidTr="00DD2106">
        <w:tc>
          <w:tcPr>
            <w:tcW w:w="1231" w:type="pct"/>
            <w:shd w:val="clear" w:color="auto" w:fill="FFFFCC"/>
            <w:vAlign w:val="center"/>
          </w:tcPr>
          <w:p w14:paraId="54BC2976" w14:textId="77777777" w:rsidR="0073642B" w:rsidRPr="006C2ABA" w:rsidRDefault="0073642B" w:rsidP="00476D22">
            <w:pPr>
              <w:spacing w:line="276" w:lineRule="auto"/>
            </w:pPr>
            <w:r w:rsidRPr="006C2ABA">
              <w:t>Life cycle steps assessed</w:t>
            </w:r>
          </w:p>
        </w:tc>
        <w:tc>
          <w:tcPr>
            <w:tcW w:w="3769" w:type="pct"/>
            <w:shd w:val="clear" w:color="auto" w:fill="auto"/>
            <w:vAlign w:val="center"/>
          </w:tcPr>
          <w:p w14:paraId="518F68D6" w14:textId="77777777" w:rsidR="0073642B" w:rsidRPr="00581688" w:rsidRDefault="0073642B" w:rsidP="00476D22">
            <w:pPr>
              <w:spacing w:line="276" w:lineRule="auto"/>
              <w:rPr>
                <w:rFonts w:eastAsia="Calibri"/>
                <w:lang w:eastAsia="en-US"/>
              </w:rPr>
            </w:pPr>
            <w:r w:rsidRPr="00581688">
              <w:rPr>
                <w:rFonts w:eastAsia="Calibri"/>
                <w:lang w:eastAsia="en-US"/>
              </w:rPr>
              <w:t>Production: No</w:t>
            </w:r>
          </w:p>
          <w:p w14:paraId="05B5B2D6" w14:textId="77777777" w:rsidR="0073642B" w:rsidRPr="00581688" w:rsidRDefault="0073642B" w:rsidP="00476D22">
            <w:pPr>
              <w:spacing w:line="276" w:lineRule="auto"/>
              <w:rPr>
                <w:rFonts w:eastAsia="Calibri"/>
                <w:lang w:eastAsia="en-US"/>
              </w:rPr>
            </w:pPr>
            <w:r w:rsidRPr="00581688">
              <w:rPr>
                <w:rFonts w:eastAsia="Calibri"/>
                <w:lang w:eastAsia="en-US"/>
              </w:rPr>
              <w:t>Formulation No</w:t>
            </w:r>
          </w:p>
          <w:p w14:paraId="269A6E19" w14:textId="77777777" w:rsidR="0073642B" w:rsidRPr="00581688" w:rsidRDefault="0073642B" w:rsidP="00476D22">
            <w:pPr>
              <w:spacing w:line="276" w:lineRule="auto"/>
              <w:rPr>
                <w:rFonts w:eastAsia="Calibri"/>
                <w:lang w:eastAsia="en-US"/>
              </w:rPr>
            </w:pPr>
            <w:r w:rsidRPr="00581688">
              <w:rPr>
                <w:rFonts w:eastAsia="Calibri"/>
                <w:lang w:eastAsia="en-US"/>
              </w:rPr>
              <w:t>Use: Yes</w:t>
            </w:r>
          </w:p>
          <w:p w14:paraId="0D7E6AF5" w14:textId="77777777" w:rsidR="0073642B" w:rsidRPr="006C2ABA" w:rsidRDefault="0073642B" w:rsidP="00476D22">
            <w:pPr>
              <w:spacing w:line="276" w:lineRule="auto"/>
              <w:rPr>
                <w:iCs/>
              </w:rPr>
            </w:pPr>
            <w:r w:rsidRPr="00581688">
              <w:rPr>
                <w:rFonts w:eastAsia="Calibri"/>
                <w:lang w:eastAsia="en-US"/>
              </w:rPr>
              <w:t>Service life: No</w:t>
            </w:r>
          </w:p>
        </w:tc>
      </w:tr>
      <w:tr w:rsidR="0073642B" w:rsidRPr="006C2ABA" w14:paraId="16142041" w14:textId="77777777" w:rsidTr="00DD2106">
        <w:tc>
          <w:tcPr>
            <w:tcW w:w="1231" w:type="pct"/>
            <w:shd w:val="clear" w:color="auto" w:fill="FFFFCC"/>
            <w:vAlign w:val="center"/>
          </w:tcPr>
          <w:p w14:paraId="57C474A7" w14:textId="77777777" w:rsidR="0073642B" w:rsidRPr="006C2ABA" w:rsidRDefault="0073642B" w:rsidP="00476D22">
            <w:pPr>
              <w:spacing w:line="276" w:lineRule="auto"/>
            </w:pPr>
            <w:r w:rsidRPr="006C2ABA">
              <w:t>Remarks</w:t>
            </w:r>
          </w:p>
        </w:tc>
        <w:tc>
          <w:tcPr>
            <w:tcW w:w="3769" w:type="pct"/>
            <w:shd w:val="clear" w:color="auto" w:fill="auto"/>
            <w:vAlign w:val="center"/>
          </w:tcPr>
          <w:p w14:paraId="26BC04E2" w14:textId="77777777" w:rsidR="0073642B" w:rsidRPr="006C2ABA" w:rsidRDefault="0073642B" w:rsidP="00476D22">
            <w:pPr>
              <w:spacing w:line="276" w:lineRule="auto"/>
              <w:rPr>
                <w:iCs/>
              </w:rPr>
            </w:pPr>
            <w:r w:rsidRPr="006C2ABA">
              <w:rPr>
                <w:iCs/>
              </w:rPr>
              <w:t>/</w:t>
            </w:r>
          </w:p>
        </w:tc>
      </w:tr>
    </w:tbl>
    <w:p w14:paraId="1D262266" w14:textId="77777777" w:rsidR="0073642B" w:rsidRDefault="0073642B" w:rsidP="0073642B">
      <w:pPr>
        <w:spacing w:line="276" w:lineRule="auto"/>
      </w:pPr>
    </w:p>
    <w:p w14:paraId="5B027327" w14:textId="77777777" w:rsidR="0073642B" w:rsidRDefault="0073642B" w:rsidP="0073642B">
      <w:pPr>
        <w:spacing w:line="276" w:lineRule="auto"/>
      </w:pPr>
    </w:p>
    <w:tbl>
      <w:tblPr>
        <w:tblW w:w="5000" w:type="pct"/>
        <w:tblLayout w:type="fixed"/>
        <w:tblLook w:val="0000" w:firstRow="0" w:lastRow="0" w:firstColumn="0" w:lastColumn="0" w:noHBand="0" w:noVBand="0"/>
      </w:tblPr>
      <w:tblGrid>
        <w:gridCol w:w="2266"/>
        <w:gridCol w:w="6937"/>
      </w:tblGrid>
      <w:tr w:rsidR="0073642B" w14:paraId="0ECAD9B7"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08087FAE" w14:textId="77777777" w:rsidR="0073642B" w:rsidRDefault="0073642B" w:rsidP="00476D22">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6E7E3" w14:textId="77777777" w:rsidR="0073642B" w:rsidRPr="00581688" w:rsidRDefault="0073642B" w:rsidP="00476D22">
            <w:pPr>
              <w:spacing w:line="276" w:lineRule="auto"/>
              <w:rPr>
                <w:rFonts w:eastAsia="Calibri"/>
                <w:lang w:eastAsia="en-US"/>
              </w:rPr>
            </w:pPr>
            <w:r w:rsidRPr="00581688">
              <w:rPr>
                <w:rFonts w:eastAsia="Calibri"/>
                <w:lang w:eastAsia="en-US"/>
              </w:rPr>
              <w:t>PT 4</w:t>
            </w:r>
          </w:p>
        </w:tc>
      </w:tr>
      <w:tr w:rsidR="0073642B" w14:paraId="17394731"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170F0AB0" w14:textId="77777777" w:rsidR="0073642B" w:rsidRDefault="0073642B" w:rsidP="00476D22">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9C72C" w14:textId="0609A200" w:rsidR="0073642B" w:rsidRPr="000F4274" w:rsidRDefault="0073642B" w:rsidP="00476D22">
            <w:pPr>
              <w:spacing w:line="276" w:lineRule="auto"/>
              <w:rPr>
                <w:rFonts w:eastAsia="Calibri"/>
                <w:lang w:eastAsia="en-US"/>
              </w:rPr>
            </w:pPr>
            <w:r w:rsidRPr="000B02AF">
              <w:rPr>
                <w:rFonts w:eastAsia="Calibri"/>
                <w:lang w:eastAsia="en-US"/>
              </w:rPr>
              <w:t xml:space="preserve">Scenario </w:t>
            </w:r>
            <w:r w:rsidR="004C0867" w:rsidRPr="000B02AF">
              <w:rPr>
                <w:rFonts w:eastAsia="Calibri"/>
                <w:lang w:eastAsia="en-US"/>
              </w:rPr>
              <w:t>7</w:t>
            </w:r>
            <w:r w:rsidRPr="000B02AF">
              <w:rPr>
                <w:rFonts w:eastAsia="Calibri"/>
                <w:lang w:eastAsia="en-US"/>
              </w:rPr>
              <w:t>: Indoor - Private use of disinfectants used in food and feed areas</w:t>
            </w:r>
          </w:p>
          <w:p w14:paraId="7BA76D74" w14:textId="77777777" w:rsidR="00322012" w:rsidRPr="000F4274" w:rsidRDefault="00322012" w:rsidP="00476D22">
            <w:pPr>
              <w:spacing w:line="276" w:lineRule="auto"/>
              <w:rPr>
                <w:rFonts w:eastAsia="Calibri"/>
                <w:color w:val="000000"/>
                <w:lang w:eastAsia="en-GB"/>
              </w:rPr>
            </w:pPr>
          </w:p>
          <w:p w14:paraId="72FAB687" w14:textId="676206CE" w:rsidR="0073642B" w:rsidRPr="000B02AF" w:rsidRDefault="0073642B" w:rsidP="00476D22">
            <w:pPr>
              <w:spacing w:line="276" w:lineRule="auto"/>
              <w:rPr>
                <w:rFonts w:eastAsia="Calibri"/>
                <w:lang w:eastAsia="en-US"/>
              </w:rPr>
            </w:pPr>
            <w:r w:rsidRPr="000F4274">
              <w:rPr>
                <w:rFonts w:eastAsia="Calibri"/>
                <w:color w:val="000000"/>
                <w:lang w:eastAsia="en-GB"/>
              </w:rPr>
              <w:t xml:space="preserve">Scenario </w:t>
            </w:r>
            <w:r w:rsidR="004C0867" w:rsidRPr="000F4274">
              <w:rPr>
                <w:rFonts w:eastAsia="Calibri"/>
                <w:color w:val="000000"/>
                <w:lang w:eastAsia="en-GB"/>
              </w:rPr>
              <w:t>8</w:t>
            </w:r>
            <w:r w:rsidRPr="000F4274">
              <w:rPr>
                <w:rFonts w:eastAsia="Calibri"/>
                <w:color w:val="000000"/>
                <w:lang w:eastAsia="en-GB"/>
              </w:rPr>
              <w:t>:</w:t>
            </w:r>
            <w:r w:rsidRPr="00A54E18">
              <w:rPr>
                <w:rFonts w:eastAsia="Calibri"/>
                <w:i/>
                <w:color w:val="FF0000"/>
                <w:lang w:eastAsia="en-GB"/>
              </w:rPr>
              <w:t xml:space="preserve"> </w:t>
            </w:r>
            <w:r w:rsidRPr="00A54E18">
              <w:t xml:space="preserve">Indoor - </w:t>
            </w:r>
            <w:r w:rsidRPr="00DD2106">
              <w:t xml:space="preserve">Disinfection </w:t>
            </w:r>
            <w:r w:rsidR="00AF686D" w:rsidRPr="00DD2106">
              <w:t>in food and feed area</w:t>
            </w:r>
          </w:p>
        </w:tc>
      </w:tr>
      <w:tr w:rsidR="0073642B" w14:paraId="5CA784BE"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0B6CD6E1" w14:textId="77777777" w:rsidR="0073642B" w:rsidRDefault="0073642B" w:rsidP="00476D22">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D3771" w14:textId="77777777" w:rsidR="0073642B" w:rsidRDefault="0073642B" w:rsidP="00476D22">
            <w:pPr>
              <w:spacing w:line="276" w:lineRule="auto"/>
              <w:rPr>
                <w:rFonts w:eastAsia="Calibri"/>
                <w:lang w:eastAsia="en-US"/>
              </w:rPr>
            </w:pPr>
            <w:r w:rsidRPr="00581688">
              <w:rPr>
                <w:rFonts w:eastAsia="Calibri"/>
                <w:lang w:eastAsia="en-US"/>
              </w:rPr>
              <w:t>Assessment of private use of disinfectants used in food and feed areas Version 1 (WG-I-2018) - Technical Agreements for Biocides Environment (ENV) V. 2.1, ENV 70, 2019</w:t>
            </w:r>
          </w:p>
          <w:p w14:paraId="113BD672" w14:textId="77777777" w:rsidR="00520BF1" w:rsidRDefault="00520BF1" w:rsidP="00520BF1">
            <w:pPr>
              <w:spacing w:line="276" w:lineRule="auto"/>
              <w:rPr>
                <w:iCs/>
              </w:rPr>
            </w:pPr>
          </w:p>
          <w:p w14:paraId="697C326E" w14:textId="0D1C5828" w:rsidR="00520BF1" w:rsidRPr="00FF4A61" w:rsidRDefault="00520BF1" w:rsidP="00520BF1">
            <w:pPr>
              <w:spacing w:line="276" w:lineRule="auto"/>
              <w:rPr>
                <w:iCs/>
              </w:rPr>
            </w:pPr>
            <w:r w:rsidRPr="00C61311">
              <w:rPr>
                <w:iCs/>
              </w:rPr>
              <w:t>Emission Scen</w:t>
            </w:r>
            <w:r>
              <w:rPr>
                <w:iCs/>
              </w:rPr>
              <w:t>ario Document for Product Type 4</w:t>
            </w:r>
            <w:r w:rsidRPr="00C61311">
              <w:rPr>
                <w:iCs/>
              </w:rPr>
              <w:t xml:space="preserve">: </w:t>
            </w:r>
            <w:r>
              <w:rPr>
                <w:iCs/>
              </w:rPr>
              <w:t xml:space="preserve">Desinfectants used in food and feed areas, 2011 </w:t>
            </w:r>
          </w:p>
        </w:tc>
      </w:tr>
      <w:tr w:rsidR="0073642B" w14:paraId="4CEE8FFC"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219C649C" w14:textId="77777777" w:rsidR="0073642B" w:rsidRDefault="0073642B" w:rsidP="00476D22">
            <w:pPr>
              <w:spacing w:line="276" w:lineRule="auto"/>
              <w:rPr>
                <w:rFonts w:ascii="Times New Roman" w:eastAsia="Calibri" w:hAnsi="Times New Roman" w:cs="Times New Roman"/>
                <w:i/>
                <w:lang w:eastAsia="en-US"/>
              </w:rPr>
            </w:pPr>
            <w:r>
              <w:rPr>
                <w:rFonts w:eastAsia="Calibri"/>
                <w:lang w:eastAsia="en-US"/>
              </w:rPr>
              <w:t>Approach</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C8A9E" w14:textId="77777777" w:rsidR="0073642B" w:rsidRPr="00581688" w:rsidRDefault="0073642B" w:rsidP="00476D22">
            <w:pPr>
              <w:spacing w:line="276" w:lineRule="auto"/>
              <w:rPr>
                <w:rFonts w:eastAsia="Calibri"/>
                <w:lang w:eastAsia="en-US"/>
              </w:rPr>
            </w:pPr>
            <w:r w:rsidRPr="00581688">
              <w:rPr>
                <w:rFonts w:eastAsia="Calibri"/>
                <w:lang w:eastAsia="en-US"/>
              </w:rPr>
              <w:t>Average consumption</w:t>
            </w:r>
          </w:p>
        </w:tc>
      </w:tr>
      <w:tr w:rsidR="0073642B" w14:paraId="639B3F52"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7716A669" w14:textId="77777777" w:rsidR="0073642B" w:rsidRDefault="0073642B" w:rsidP="00476D22">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B119E" w14:textId="77777777" w:rsidR="0073642B" w:rsidRPr="00581688" w:rsidRDefault="0073642B" w:rsidP="00476D22">
            <w:pPr>
              <w:spacing w:line="276" w:lineRule="auto"/>
              <w:rPr>
                <w:rFonts w:eastAsia="Calibri"/>
                <w:lang w:eastAsia="en-US"/>
              </w:rPr>
            </w:pPr>
            <w:r w:rsidRPr="00581688">
              <w:rPr>
                <w:rFonts w:eastAsia="Calibri"/>
                <w:lang w:eastAsia="en-US"/>
              </w:rPr>
              <w:t>Calculated based on Guidance for BPR IV Part B+C (2017).</w:t>
            </w:r>
          </w:p>
          <w:p w14:paraId="4CDF9D75" w14:textId="77777777" w:rsidR="0073642B" w:rsidRPr="00581688" w:rsidRDefault="0073642B" w:rsidP="00476D22">
            <w:pPr>
              <w:spacing w:line="276" w:lineRule="auto"/>
              <w:rPr>
                <w:rFonts w:eastAsia="Calibri"/>
                <w:lang w:eastAsia="en-US"/>
              </w:rPr>
            </w:pPr>
          </w:p>
          <w:p w14:paraId="39A88126" w14:textId="77777777" w:rsidR="0073642B" w:rsidRPr="00581688" w:rsidRDefault="0073642B" w:rsidP="00476D22">
            <w:pPr>
              <w:spacing w:line="276" w:lineRule="auto"/>
              <w:rPr>
                <w:rFonts w:eastAsia="Calibri"/>
                <w:lang w:eastAsia="en-US"/>
              </w:rPr>
            </w:pPr>
            <w:r w:rsidRPr="00581688">
              <w:rPr>
                <w:rFonts w:eastAsia="Calibri"/>
                <w:lang w:eastAsia="en-US"/>
              </w:rPr>
              <w:t xml:space="preserve">Assessment report: L(+) </w:t>
            </w:r>
            <w:r>
              <w:rPr>
                <w:rFonts w:eastAsia="Calibri"/>
                <w:lang w:eastAsia="en-US"/>
              </w:rPr>
              <w:t>L</w:t>
            </w:r>
            <w:r w:rsidRPr="00581688">
              <w:rPr>
                <w:rFonts w:eastAsia="Calibri"/>
                <w:lang w:eastAsia="en-US"/>
              </w:rPr>
              <w:t>actic acid Product-type 02, 03 and 04, June 2017</w:t>
            </w:r>
          </w:p>
          <w:p w14:paraId="106F5B03" w14:textId="77777777" w:rsidR="0073642B" w:rsidRPr="00581688" w:rsidRDefault="0073642B" w:rsidP="00476D22">
            <w:pPr>
              <w:spacing w:line="276" w:lineRule="auto"/>
              <w:rPr>
                <w:rFonts w:eastAsia="Calibri"/>
                <w:lang w:eastAsia="en-US"/>
              </w:rPr>
            </w:pPr>
          </w:p>
          <w:p w14:paraId="1B032B27" w14:textId="77777777" w:rsidR="0073642B" w:rsidRPr="00581688" w:rsidRDefault="0073642B" w:rsidP="00476D22">
            <w:pPr>
              <w:spacing w:line="276" w:lineRule="auto"/>
              <w:rPr>
                <w:rFonts w:eastAsia="Calibri"/>
                <w:lang w:eastAsia="en-US"/>
              </w:rPr>
            </w:pPr>
            <w:r w:rsidRPr="00581688">
              <w:rPr>
                <w:rFonts w:eastAsia="Calibri"/>
                <w:lang w:eastAsia="en-US"/>
              </w:rPr>
              <w:t>Technical Agreements for Biocides v2.1, December 2019</w:t>
            </w:r>
          </w:p>
        </w:tc>
      </w:tr>
      <w:tr w:rsidR="0073642B" w14:paraId="71CB70C9"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55D929EB" w14:textId="77777777" w:rsidR="0073642B" w:rsidRDefault="0073642B" w:rsidP="00476D22">
            <w:pPr>
              <w:spacing w:line="276" w:lineRule="auto"/>
              <w:rPr>
                <w:rFonts w:ascii="Times New Roman" w:eastAsia="Calibri" w:hAnsi="Times New Roman" w:cs="Times New Roman"/>
                <w:i/>
                <w:lang w:eastAsia="en-US"/>
              </w:rPr>
            </w:pPr>
            <w:r>
              <w:rPr>
                <w:rFonts w:eastAsia="Calibri"/>
                <w:lang w:eastAsia="en-US"/>
              </w:rPr>
              <w:t>Groundwater simulation</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A0340" w14:textId="77777777" w:rsidR="0073642B" w:rsidRPr="00581688" w:rsidRDefault="0073642B" w:rsidP="00476D22">
            <w:pPr>
              <w:spacing w:line="276" w:lineRule="auto"/>
              <w:rPr>
                <w:rFonts w:eastAsia="Calibri"/>
                <w:lang w:eastAsia="en-US"/>
              </w:rPr>
            </w:pPr>
            <w:r w:rsidRPr="00581688">
              <w:rPr>
                <w:rFonts w:eastAsia="Calibri"/>
                <w:lang w:eastAsia="en-US"/>
              </w:rPr>
              <w:t>FOCUS PEARL 4.4.4</w:t>
            </w:r>
          </w:p>
        </w:tc>
      </w:tr>
      <w:tr w:rsidR="0073642B" w14:paraId="4EBB4CDC"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24B2B440" w14:textId="77777777" w:rsidR="0073642B" w:rsidRDefault="0073642B" w:rsidP="00476D22">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9BE02" w14:textId="77777777" w:rsidR="0073642B" w:rsidRPr="00581688" w:rsidRDefault="0073642B" w:rsidP="00476D22">
            <w:pPr>
              <w:spacing w:line="276" w:lineRule="auto"/>
              <w:rPr>
                <w:rFonts w:eastAsia="Calibri"/>
                <w:lang w:eastAsia="en-US"/>
              </w:rPr>
            </w:pPr>
            <w:r w:rsidRPr="00581688">
              <w:rPr>
                <w:rFonts w:eastAsia="Calibri"/>
                <w:lang w:eastAsia="en-US"/>
              </w:rPr>
              <w:t>N</w:t>
            </w:r>
            <w:r>
              <w:rPr>
                <w:rFonts w:eastAsia="Calibri"/>
                <w:lang w:eastAsia="en-US"/>
              </w:rPr>
              <w:t>o</w:t>
            </w:r>
          </w:p>
        </w:tc>
      </w:tr>
      <w:tr w:rsidR="0073642B" w14:paraId="2AD2373A"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028070C3" w14:textId="77777777" w:rsidR="0073642B" w:rsidRDefault="0073642B" w:rsidP="00476D22">
            <w:pPr>
              <w:spacing w:line="276" w:lineRule="auto"/>
              <w:rPr>
                <w:rFonts w:ascii="Times New Roman" w:eastAsia="Calibri" w:hAnsi="Times New Roman" w:cs="Times New Roman"/>
                <w:i/>
                <w:color w:val="000000"/>
                <w:sz w:val="18"/>
                <w:szCs w:val="18"/>
                <w:lang w:eastAsia="en-US"/>
              </w:rPr>
            </w:pPr>
            <w:r>
              <w:rPr>
                <w:rFonts w:eastAsia="Calibri"/>
                <w:lang w:eastAsia="en-US"/>
              </w:rPr>
              <w:lastRenderedPageBreak/>
              <w:t>Life cycle steps assessed</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29E57" w14:textId="77777777" w:rsidR="0073642B" w:rsidRPr="00581688" w:rsidRDefault="0073642B" w:rsidP="00476D22">
            <w:pPr>
              <w:spacing w:line="276" w:lineRule="auto"/>
              <w:rPr>
                <w:rFonts w:eastAsia="Calibri"/>
                <w:lang w:eastAsia="en-US"/>
              </w:rPr>
            </w:pPr>
            <w:r w:rsidRPr="00581688">
              <w:rPr>
                <w:rFonts w:eastAsia="Calibri"/>
                <w:lang w:eastAsia="en-US"/>
              </w:rPr>
              <w:t>Production: No</w:t>
            </w:r>
          </w:p>
          <w:p w14:paraId="0C313D9D" w14:textId="77777777" w:rsidR="0073642B" w:rsidRPr="00581688" w:rsidRDefault="0073642B" w:rsidP="00476D22">
            <w:pPr>
              <w:spacing w:line="276" w:lineRule="auto"/>
              <w:rPr>
                <w:rFonts w:eastAsia="Calibri"/>
                <w:lang w:eastAsia="en-US"/>
              </w:rPr>
            </w:pPr>
            <w:r w:rsidRPr="00581688">
              <w:rPr>
                <w:rFonts w:eastAsia="Calibri"/>
                <w:lang w:eastAsia="en-US"/>
              </w:rPr>
              <w:t>Formulation No</w:t>
            </w:r>
          </w:p>
          <w:p w14:paraId="58155785" w14:textId="77777777" w:rsidR="0073642B" w:rsidRPr="00581688" w:rsidRDefault="0073642B" w:rsidP="00476D22">
            <w:pPr>
              <w:spacing w:line="276" w:lineRule="auto"/>
              <w:rPr>
                <w:rFonts w:eastAsia="Calibri"/>
                <w:lang w:eastAsia="en-US"/>
              </w:rPr>
            </w:pPr>
            <w:r w:rsidRPr="00581688">
              <w:rPr>
                <w:rFonts w:eastAsia="Calibri"/>
                <w:lang w:eastAsia="en-US"/>
              </w:rPr>
              <w:t>Use: Yes</w:t>
            </w:r>
          </w:p>
          <w:p w14:paraId="45CB7EF4" w14:textId="77777777" w:rsidR="0073642B" w:rsidRPr="00581688" w:rsidRDefault="0073642B" w:rsidP="00476D22">
            <w:pPr>
              <w:spacing w:line="276" w:lineRule="auto"/>
              <w:rPr>
                <w:rFonts w:eastAsia="Calibri"/>
                <w:lang w:eastAsia="en-US"/>
              </w:rPr>
            </w:pPr>
            <w:r w:rsidRPr="00581688">
              <w:rPr>
                <w:rFonts w:eastAsia="Calibri"/>
                <w:lang w:eastAsia="en-US"/>
              </w:rPr>
              <w:t>Service life: No</w:t>
            </w:r>
          </w:p>
        </w:tc>
      </w:tr>
      <w:tr w:rsidR="0073642B" w14:paraId="445D7840" w14:textId="77777777" w:rsidTr="00DD2106">
        <w:tc>
          <w:tcPr>
            <w:tcW w:w="1231" w:type="pct"/>
            <w:tcBorders>
              <w:top w:val="single" w:sz="4" w:space="0" w:color="000000"/>
              <w:left w:val="single" w:sz="4" w:space="0" w:color="000000"/>
              <w:bottom w:val="single" w:sz="4" w:space="0" w:color="000000"/>
            </w:tcBorders>
            <w:shd w:val="clear" w:color="auto" w:fill="FFFFCC"/>
            <w:vAlign w:val="center"/>
          </w:tcPr>
          <w:p w14:paraId="5D9D64B7" w14:textId="77777777" w:rsidR="0073642B" w:rsidRDefault="0073642B" w:rsidP="00476D22">
            <w:pPr>
              <w:spacing w:line="276" w:lineRule="auto"/>
              <w:rPr>
                <w:rFonts w:eastAsia="Calibri"/>
                <w:i/>
                <w:color w:val="000000"/>
                <w:lang w:eastAsia="en-US"/>
              </w:rPr>
            </w:pPr>
            <w:r>
              <w:rPr>
                <w:rFonts w:eastAsia="Calibri"/>
                <w:lang w:eastAsia="en-US"/>
              </w:rPr>
              <w:t>Remarks</w:t>
            </w:r>
          </w:p>
        </w:tc>
        <w:tc>
          <w:tcPr>
            <w:tcW w:w="3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DA69B" w14:textId="77777777" w:rsidR="0073642B" w:rsidRPr="00581688" w:rsidRDefault="0073642B" w:rsidP="00476D22">
            <w:pPr>
              <w:spacing w:line="276" w:lineRule="auto"/>
              <w:rPr>
                <w:rFonts w:eastAsia="Calibri"/>
                <w:lang w:eastAsia="en-US"/>
              </w:rPr>
            </w:pPr>
            <w:r w:rsidRPr="00581688">
              <w:rPr>
                <w:rFonts w:eastAsia="Calibri"/>
                <w:lang w:eastAsia="en-US"/>
              </w:rPr>
              <w:t>/</w:t>
            </w:r>
          </w:p>
        </w:tc>
      </w:tr>
    </w:tbl>
    <w:p w14:paraId="50DB1779" w14:textId="77777777" w:rsidR="0073642B" w:rsidRDefault="0073642B" w:rsidP="0073642B">
      <w:pPr>
        <w:spacing w:line="276" w:lineRule="auto"/>
      </w:pPr>
    </w:p>
    <w:p w14:paraId="00207033" w14:textId="77777777" w:rsidR="0073642B" w:rsidRDefault="0073642B" w:rsidP="0073642B">
      <w:pPr>
        <w:spacing w:line="276" w:lineRule="auto"/>
      </w:pPr>
    </w:p>
    <w:p w14:paraId="202D03D8" w14:textId="77777777" w:rsidR="00931312" w:rsidRDefault="00931312" w:rsidP="00931312">
      <w:pPr>
        <w:spacing w:line="276" w:lineRule="auto"/>
      </w:pPr>
    </w:p>
    <w:p w14:paraId="79F9335B" w14:textId="77777777" w:rsidR="00931312" w:rsidRPr="00B27CB1" w:rsidRDefault="00931312" w:rsidP="00931312">
      <w:pPr>
        <w:pageBreakBefore/>
        <w:rPr>
          <w:rFonts w:eastAsia="Calibri"/>
          <w:b/>
          <w:bCs/>
          <w:i/>
          <w:sz w:val="22"/>
          <w:szCs w:val="22"/>
          <w:lang w:eastAsia="en-US"/>
        </w:rPr>
      </w:pPr>
      <w:r w:rsidRPr="00B27CB1">
        <w:rPr>
          <w:rFonts w:eastAsia="Calibri"/>
          <w:b/>
          <w:i/>
          <w:sz w:val="22"/>
          <w:szCs w:val="22"/>
          <w:lang w:eastAsia="en-US"/>
        </w:rPr>
        <w:lastRenderedPageBreak/>
        <w:t>Emission estimation</w:t>
      </w:r>
    </w:p>
    <w:p w14:paraId="68342B9C" w14:textId="77777777" w:rsidR="00931312" w:rsidRPr="00B27CB1" w:rsidRDefault="00931312" w:rsidP="00931312">
      <w:pPr>
        <w:spacing w:line="260" w:lineRule="atLeast"/>
        <w:rPr>
          <w:rFonts w:eastAsia="Calibri"/>
          <w:b/>
          <w:bCs/>
          <w:i/>
          <w:sz w:val="22"/>
          <w:szCs w:val="22"/>
          <w:lang w:eastAsia="en-US"/>
        </w:rPr>
      </w:pPr>
    </w:p>
    <w:p w14:paraId="526DE703" w14:textId="27D616AB" w:rsidR="0073642B" w:rsidRPr="00675538" w:rsidRDefault="005D6792" w:rsidP="00675538">
      <w:pPr>
        <w:pStyle w:val="Titre5"/>
        <w:rPr>
          <w:b w:val="0"/>
          <w:bCs w:val="0"/>
        </w:rPr>
      </w:pPr>
      <w:r w:rsidRPr="0054236D">
        <w:t xml:space="preserve">PT02 - </w:t>
      </w:r>
      <w:r w:rsidR="0073642B" w:rsidRPr="0054236D">
        <w:t xml:space="preserve">Scenario </w:t>
      </w:r>
      <w:r w:rsidR="0073642B" w:rsidRPr="0052789A">
        <w:t>1</w:t>
      </w:r>
      <w:r w:rsidR="00C37186">
        <w:t>a</w:t>
      </w:r>
      <w:r w:rsidRPr="0054236D">
        <w:t>:</w:t>
      </w:r>
      <w:r w:rsidR="0073642B" w:rsidRPr="00675538">
        <w:t xml:space="preserve"> Indoor - Disinfection of</w:t>
      </w:r>
      <w:r w:rsidR="0073642B" w:rsidRPr="00280C0E">
        <w:t xml:space="preserve"> institutional areas - releases of disinfectants used for sanitary purposes based on average</w:t>
      </w:r>
      <w:r w:rsidR="0073642B" w:rsidRPr="00736B23">
        <w:t xml:space="preserve"> consumption</w:t>
      </w:r>
      <w:r w:rsidR="0073642B" w:rsidRPr="00675538">
        <w:t xml:space="preserve"> </w:t>
      </w:r>
      <w:r w:rsidRPr="00675538">
        <w:t>approach (household and institutional applications)</w:t>
      </w:r>
    </w:p>
    <w:p w14:paraId="5D44305C" w14:textId="1D5C03A5" w:rsidR="0073642B" w:rsidRDefault="0073642B" w:rsidP="0073642B">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SPC 1, 2, 3, 4, 6, 7, 8, 9, 10, 11</w:t>
      </w:r>
      <w:r>
        <w:rPr>
          <w:rFonts w:eastAsia="Calibri" w:cs="Times New Roman"/>
          <w:bCs/>
          <w:lang w:eastAsia="en-US"/>
        </w:rPr>
        <w:t xml:space="preserve"> &amp; 13</w:t>
      </w:r>
    </w:p>
    <w:p w14:paraId="1C002432" w14:textId="77777777" w:rsidR="0073642B" w:rsidRDefault="0073642B" w:rsidP="0073642B">
      <w:pPr>
        <w:spacing w:line="276" w:lineRule="auto"/>
        <w:rPr>
          <w:rFonts w:eastAsia="Calibri" w:cs="Times New Roman"/>
          <w:bCs/>
          <w:lang w:eastAsia="en-US"/>
        </w:rPr>
      </w:pPr>
    </w:p>
    <w:p w14:paraId="4C7965C9" w14:textId="68F22AD0" w:rsidR="0073642B" w:rsidRPr="00896F37" w:rsidRDefault="0073642B" w:rsidP="0073642B">
      <w:pPr>
        <w:spacing w:line="276" w:lineRule="auto"/>
        <w:rPr>
          <w:rFonts w:eastAsia="Calibri" w:cs="Times New Roman"/>
          <w:bCs/>
          <w:lang w:eastAsia="en-US"/>
        </w:rPr>
      </w:pPr>
      <w:r w:rsidRPr="00D17F8B">
        <w:rPr>
          <w:rFonts w:eastAsia="Calibri" w:cs="Times New Roman"/>
          <w:bCs/>
          <w:lang w:eastAsia="en-US"/>
        </w:rPr>
        <w:t xml:space="preserve">Worst case </w:t>
      </w:r>
      <w:r w:rsidRPr="00D17F8B">
        <w:rPr>
          <w:rFonts w:cs="Calibri"/>
        </w:rPr>
        <w:t>L(+) Lactic acid</w:t>
      </w:r>
      <w:r w:rsidRPr="00D17F8B">
        <w:rPr>
          <w:rFonts w:eastAsia="Calibri" w:cs="Times New Roman"/>
          <w:bCs/>
          <w:lang w:eastAsia="en-US"/>
        </w:rPr>
        <w:t xml:space="preserve"> concentration for scenario 1</w:t>
      </w:r>
      <w:r w:rsidR="000F4274">
        <w:rPr>
          <w:rFonts w:eastAsia="Calibri" w:cs="Times New Roman"/>
          <w:bCs/>
          <w:lang w:eastAsia="en-US"/>
        </w:rPr>
        <w:t>a</w:t>
      </w:r>
      <w:r>
        <w:rPr>
          <w:rFonts w:eastAsia="Calibri" w:cs="Times New Roman"/>
          <w:bCs/>
          <w:lang w:eastAsia="en-US"/>
        </w:rPr>
        <w:t>:</w:t>
      </w:r>
    </w:p>
    <w:p w14:paraId="68429EC4" w14:textId="77777777" w:rsidR="0073642B" w:rsidRPr="00B27CB1" w:rsidRDefault="0073642B" w:rsidP="0073642B">
      <w:pPr>
        <w:spacing w:line="276" w:lineRule="auto"/>
        <w:ind w:left="142"/>
        <w:rPr>
          <w:rFonts w:ascii="Times New Roman" w:eastAsia="Calibri" w:hAnsi="Times New Roman" w:cs="Times New Roman"/>
          <w:i/>
          <w:lang w:eastAsia="en-US"/>
        </w:rPr>
      </w:pPr>
    </w:p>
    <w:tbl>
      <w:tblPr>
        <w:tblStyle w:val="Grilledutableau"/>
        <w:tblW w:w="10754" w:type="dxa"/>
        <w:tblInd w:w="-714" w:type="dxa"/>
        <w:tblLayout w:type="fixed"/>
        <w:tblLook w:val="04A0" w:firstRow="1" w:lastRow="0" w:firstColumn="1" w:lastColumn="0" w:noHBand="0" w:noVBand="1"/>
      </w:tblPr>
      <w:tblGrid>
        <w:gridCol w:w="1550"/>
        <w:gridCol w:w="837"/>
        <w:gridCol w:w="836"/>
        <w:gridCol w:w="837"/>
        <w:gridCol w:w="837"/>
        <w:gridCol w:w="836"/>
        <w:gridCol w:w="837"/>
        <w:gridCol w:w="837"/>
        <w:gridCol w:w="836"/>
        <w:gridCol w:w="837"/>
        <w:gridCol w:w="837"/>
        <w:gridCol w:w="837"/>
      </w:tblGrid>
      <w:tr w:rsidR="0073642B" w:rsidRPr="00861606" w14:paraId="4C566415" w14:textId="77777777" w:rsidTr="00476D22">
        <w:trPr>
          <w:trHeight w:val="57"/>
        </w:trPr>
        <w:tc>
          <w:tcPr>
            <w:tcW w:w="1550" w:type="dxa"/>
            <w:vAlign w:val="center"/>
          </w:tcPr>
          <w:p w14:paraId="5ED1C1BB" w14:textId="77777777" w:rsidR="0073642B" w:rsidRPr="00D17F8B" w:rsidRDefault="0073642B" w:rsidP="00476D22">
            <w:pPr>
              <w:spacing w:before="240" w:after="60" w:line="260" w:lineRule="atLeast"/>
              <w:jc w:val="center"/>
              <w:outlineLvl w:val="0"/>
              <w:rPr>
                <w:sz w:val="18"/>
                <w:szCs w:val="18"/>
              </w:rPr>
            </w:pPr>
            <w:r w:rsidRPr="00D17F8B">
              <w:rPr>
                <w:sz w:val="18"/>
                <w:szCs w:val="18"/>
              </w:rPr>
              <w:t xml:space="preserve">Substance: </w:t>
            </w:r>
            <w:r w:rsidRPr="00D17F8B">
              <w:rPr>
                <w:rFonts w:cs="Calibri"/>
                <w:sz w:val="18"/>
                <w:szCs w:val="18"/>
              </w:rPr>
              <w:t>L(+) Lactic acid</w:t>
            </w:r>
          </w:p>
        </w:tc>
        <w:tc>
          <w:tcPr>
            <w:tcW w:w="837" w:type="dxa"/>
            <w:vAlign w:val="center"/>
          </w:tcPr>
          <w:p w14:paraId="30021ECB" w14:textId="77777777" w:rsidR="0073642B" w:rsidRPr="00D17F8B" w:rsidRDefault="0073642B" w:rsidP="00476D22">
            <w:pPr>
              <w:spacing w:line="260" w:lineRule="atLeast"/>
              <w:jc w:val="center"/>
              <w:outlineLvl w:val="0"/>
              <w:rPr>
                <w:b/>
                <w:sz w:val="18"/>
                <w:szCs w:val="18"/>
              </w:rPr>
            </w:pPr>
            <w:r w:rsidRPr="00D17F8B">
              <w:rPr>
                <w:b/>
                <w:sz w:val="18"/>
                <w:szCs w:val="18"/>
              </w:rPr>
              <w:t>Meta-SPC 1</w:t>
            </w:r>
          </w:p>
        </w:tc>
        <w:tc>
          <w:tcPr>
            <w:tcW w:w="836" w:type="dxa"/>
            <w:vAlign w:val="center"/>
          </w:tcPr>
          <w:p w14:paraId="5C640EE3" w14:textId="77777777" w:rsidR="0073642B" w:rsidRPr="00D17F8B" w:rsidRDefault="0073642B" w:rsidP="00476D22">
            <w:pPr>
              <w:spacing w:line="260" w:lineRule="atLeast"/>
              <w:jc w:val="center"/>
              <w:outlineLvl w:val="0"/>
              <w:rPr>
                <w:b/>
                <w:sz w:val="18"/>
                <w:szCs w:val="18"/>
              </w:rPr>
            </w:pPr>
            <w:r w:rsidRPr="00D17F8B">
              <w:rPr>
                <w:b/>
                <w:sz w:val="18"/>
                <w:szCs w:val="18"/>
              </w:rPr>
              <w:t>Meta-SPC 2</w:t>
            </w:r>
          </w:p>
        </w:tc>
        <w:tc>
          <w:tcPr>
            <w:tcW w:w="837" w:type="dxa"/>
            <w:vAlign w:val="center"/>
          </w:tcPr>
          <w:p w14:paraId="059BFCB3" w14:textId="77777777" w:rsidR="0073642B" w:rsidRPr="00D17F8B" w:rsidRDefault="0073642B" w:rsidP="00476D22">
            <w:pPr>
              <w:spacing w:line="260" w:lineRule="atLeast"/>
              <w:jc w:val="center"/>
              <w:outlineLvl w:val="0"/>
              <w:rPr>
                <w:b/>
                <w:sz w:val="18"/>
                <w:szCs w:val="18"/>
              </w:rPr>
            </w:pPr>
            <w:r w:rsidRPr="00D17F8B">
              <w:rPr>
                <w:b/>
                <w:sz w:val="18"/>
                <w:szCs w:val="18"/>
              </w:rPr>
              <w:t>Meta-SPC 3</w:t>
            </w:r>
          </w:p>
        </w:tc>
        <w:tc>
          <w:tcPr>
            <w:tcW w:w="837" w:type="dxa"/>
            <w:vAlign w:val="center"/>
          </w:tcPr>
          <w:p w14:paraId="4C3A1786" w14:textId="77777777" w:rsidR="0073642B" w:rsidRPr="00D17F8B" w:rsidRDefault="0073642B" w:rsidP="00476D22">
            <w:pPr>
              <w:spacing w:line="260" w:lineRule="atLeast"/>
              <w:jc w:val="center"/>
              <w:outlineLvl w:val="0"/>
              <w:rPr>
                <w:b/>
                <w:sz w:val="18"/>
                <w:szCs w:val="18"/>
              </w:rPr>
            </w:pPr>
            <w:r w:rsidRPr="00D17F8B">
              <w:rPr>
                <w:b/>
                <w:sz w:val="18"/>
                <w:szCs w:val="18"/>
              </w:rPr>
              <w:t>Meta-SPC 4</w:t>
            </w:r>
          </w:p>
        </w:tc>
        <w:tc>
          <w:tcPr>
            <w:tcW w:w="836" w:type="dxa"/>
            <w:vAlign w:val="center"/>
          </w:tcPr>
          <w:p w14:paraId="6BA547DE" w14:textId="77777777" w:rsidR="0073642B" w:rsidRPr="00D17F8B" w:rsidRDefault="0073642B" w:rsidP="00476D22">
            <w:pPr>
              <w:spacing w:line="260" w:lineRule="atLeast"/>
              <w:jc w:val="center"/>
              <w:outlineLvl w:val="0"/>
              <w:rPr>
                <w:b/>
                <w:sz w:val="18"/>
                <w:szCs w:val="18"/>
              </w:rPr>
            </w:pPr>
            <w:r w:rsidRPr="00D17F8B">
              <w:rPr>
                <w:b/>
                <w:sz w:val="18"/>
                <w:szCs w:val="18"/>
              </w:rPr>
              <w:t>Meta-SPC 6</w:t>
            </w:r>
          </w:p>
        </w:tc>
        <w:tc>
          <w:tcPr>
            <w:tcW w:w="837" w:type="dxa"/>
            <w:vAlign w:val="center"/>
          </w:tcPr>
          <w:p w14:paraId="3EC307D5" w14:textId="77777777" w:rsidR="0073642B" w:rsidRPr="00D17F8B" w:rsidRDefault="0073642B" w:rsidP="00476D22">
            <w:pPr>
              <w:spacing w:line="260" w:lineRule="atLeast"/>
              <w:jc w:val="center"/>
              <w:outlineLvl w:val="0"/>
              <w:rPr>
                <w:b/>
                <w:sz w:val="18"/>
                <w:szCs w:val="18"/>
              </w:rPr>
            </w:pPr>
            <w:r w:rsidRPr="00D17F8B">
              <w:rPr>
                <w:b/>
                <w:sz w:val="18"/>
                <w:szCs w:val="18"/>
              </w:rPr>
              <w:t>Meta-SPC 7</w:t>
            </w:r>
          </w:p>
        </w:tc>
        <w:tc>
          <w:tcPr>
            <w:tcW w:w="837" w:type="dxa"/>
            <w:vAlign w:val="center"/>
          </w:tcPr>
          <w:p w14:paraId="5B105DB4" w14:textId="77777777" w:rsidR="0073642B" w:rsidRPr="00D17F8B" w:rsidRDefault="0073642B" w:rsidP="00476D22">
            <w:pPr>
              <w:spacing w:line="260" w:lineRule="atLeast"/>
              <w:jc w:val="center"/>
              <w:outlineLvl w:val="0"/>
              <w:rPr>
                <w:b/>
                <w:sz w:val="18"/>
                <w:szCs w:val="18"/>
              </w:rPr>
            </w:pPr>
            <w:r w:rsidRPr="00D17F8B">
              <w:rPr>
                <w:b/>
                <w:sz w:val="18"/>
                <w:szCs w:val="18"/>
              </w:rPr>
              <w:t>Meta-SPC 8</w:t>
            </w:r>
          </w:p>
        </w:tc>
        <w:tc>
          <w:tcPr>
            <w:tcW w:w="836" w:type="dxa"/>
            <w:vAlign w:val="center"/>
          </w:tcPr>
          <w:p w14:paraId="1DE7AEBD" w14:textId="77777777" w:rsidR="0073642B" w:rsidRPr="00D17F8B" w:rsidRDefault="0073642B" w:rsidP="00476D22">
            <w:pPr>
              <w:spacing w:line="260" w:lineRule="atLeast"/>
              <w:jc w:val="center"/>
              <w:outlineLvl w:val="0"/>
              <w:rPr>
                <w:b/>
                <w:sz w:val="18"/>
                <w:szCs w:val="18"/>
              </w:rPr>
            </w:pPr>
            <w:r w:rsidRPr="00D17F8B">
              <w:rPr>
                <w:b/>
                <w:sz w:val="18"/>
                <w:szCs w:val="18"/>
              </w:rPr>
              <w:t>Meta-SPC 9</w:t>
            </w:r>
          </w:p>
        </w:tc>
        <w:tc>
          <w:tcPr>
            <w:tcW w:w="837" w:type="dxa"/>
            <w:vAlign w:val="center"/>
          </w:tcPr>
          <w:p w14:paraId="5C275529" w14:textId="77777777" w:rsidR="0073642B" w:rsidRPr="00D17F8B" w:rsidRDefault="0073642B" w:rsidP="00476D22">
            <w:pPr>
              <w:spacing w:line="260" w:lineRule="atLeast"/>
              <w:jc w:val="center"/>
              <w:outlineLvl w:val="0"/>
              <w:rPr>
                <w:b/>
                <w:sz w:val="18"/>
                <w:szCs w:val="18"/>
              </w:rPr>
            </w:pPr>
            <w:r w:rsidRPr="00D17F8B">
              <w:rPr>
                <w:b/>
                <w:sz w:val="18"/>
                <w:szCs w:val="18"/>
              </w:rPr>
              <w:t>Meta-SPC 10</w:t>
            </w:r>
          </w:p>
        </w:tc>
        <w:tc>
          <w:tcPr>
            <w:tcW w:w="837" w:type="dxa"/>
            <w:vAlign w:val="center"/>
          </w:tcPr>
          <w:p w14:paraId="6BFAF131" w14:textId="77777777" w:rsidR="0073642B" w:rsidRPr="00D17F8B" w:rsidRDefault="0073642B" w:rsidP="00476D22">
            <w:pPr>
              <w:spacing w:line="260" w:lineRule="atLeast"/>
              <w:jc w:val="center"/>
              <w:outlineLvl w:val="0"/>
              <w:rPr>
                <w:b/>
                <w:sz w:val="18"/>
                <w:szCs w:val="18"/>
              </w:rPr>
            </w:pPr>
            <w:r w:rsidRPr="00D17F8B">
              <w:rPr>
                <w:b/>
                <w:sz w:val="18"/>
                <w:szCs w:val="18"/>
              </w:rPr>
              <w:t>Meta-SPC 11</w:t>
            </w:r>
          </w:p>
        </w:tc>
        <w:tc>
          <w:tcPr>
            <w:tcW w:w="837" w:type="dxa"/>
            <w:vAlign w:val="center"/>
          </w:tcPr>
          <w:p w14:paraId="1503C2D7" w14:textId="77777777" w:rsidR="0073642B" w:rsidRPr="00D17F8B" w:rsidRDefault="0073642B" w:rsidP="00476D22">
            <w:pPr>
              <w:spacing w:line="260" w:lineRule="atLeast"/>
              <w:jc w:val="center"/>
              <w:outlineLvl w:val="0"/>
              <w:rPr>
                <w:b/>
                <w:sz w:val="18"/>
                <w:szCs w:val="18"/>
              </w:rPr>
            </w:pPr>
            <w:r w:rsidRPr="00D17F8B">
              <w:rPr>
                <w:b/>
                <w:sz w:val="18"/>
                <w:szCs w:val="18"/>
              </w:rPr>
              <w:t>Meta-SPC 13</w:t>
            </w:r>
          </w:p>
        </w:tc>
      </w:tr>
      <w:tr w:rsidR="0073642B" w:rsidRPr="00861606" w14:paraId="0B7FAB56" w14:textId="77777777" w:rsidTr="00476D22">
        <w:trPr>
          <w:trHeight w:val="57"/>
        </w:trPr>
        <w:tc>
          <w:tcPr>
            <w:tcW w:w="1550" w:type="dxa"/>
            <w:vAlign w:val="center"/>
          </w:tcPr>
          <w:p w14:paraId="294A5964" w14:textId="77777777" w:rsidR="0073642B" w:rsidRPr="00D17F8B" w:rsidRDefault="0073642B" w:rsidP="00476D22">
            <w:pPr>
              <w:spacing w:before="240" w:after="60" w:line="260" w:lineRule="atLeast"/>
              <w:jc w:val="center"/>
              <w:outlineLvl w:val="0"/>
              <w:rPr>
                <w:sz w:val="18"/>
                <w:szCs w:val="18"/>
              </w:rPr>
            </w:pPr>
            <w:r w:rsidRPr="00D17F8B">
              <w:rPr>
                <w:sz w:val="18"/>
                <w:szCs w:val="18"/>
              </w:rPr>
              <w:t>Technical concentration of active substance (% w/w)</w:t>
            </w:r>
          </w:p>
        </w:tc>
        <w:tc>
          <w:tcPr>
            <w:tcW w:w="837" w:type="dxa"/>
            <w:vAlign w:val="center"/>
          </w:tcPr>
          <w:p w14:paraId="24540A0D" w14:textId="77777777" w:rsidR="0073642B" w:rsidRPr="00D17F8B" w:rsidRDefault="0073642B" w:rsidP="00476D22">
            <w:pPr>
              <w:spacing w:before="240" w:after="60" w:line="260" w:lineRule="atLeast"/>
              <w:jc w:val="center"/>
              <w:outlineLvl w:val="0"/>
              <w:rPr>
                <w:sz w:val="18"/>
                <w:szCs w:val="18"/>
              </w:rPr>
            </w:pPr>
            <w:r w:rsidRPr="00D17F8B">
              <w:rPr>
                <w:sz w:val="18"/>
                <w:szCs w:val="18"/>
              </w:rPr>
              <w:t>2.4</w:t>
            </w:r>
          </w:p>
        </w:tc>
        <w:tc>
          <w:tcPr>
            <w:tcW w:w="836" w:type="dxa"/>
            <w:vAlign w:val="center"/>
          </w:tcPr>
          <w:p w14:paraId="47125B74" w14:textId="77777777" w:rsidR="0073642B" w:rsidRPr="00D17F8B" w:rsidRDefault="0073642B" w:rsidP="00476D22">
            <w:pPr>
              <w:spacing w:before="240" w:after="60" w:line="260" w:lineRule="atLeast"/>
              <w:jc w:val="center"/>
              <w:outlineLvl w:val="0"/>
              <w:rPr>
                <w:sz w:val="18"/>
                <w:szCs w:val="18"/>
              </w:rPr>
            </w:pPr>
            <w:r w:rsidRPr="00D17F8B">
              <w:rPr>
                <w:sz w:val="18"/>
                <w:szCs w:val="18"/>
              </w:rPr>
              <w:t>3</w:t>
            </w:r>
          </w:p>
        </w:tc>
        <w:tc>
          <w:tcPr>
            <w:tcW w:w="837" w:type="dxa"/>
            <w:vAlign w:val="center"/>
          </w:tcPr>
          <w:p w14:paraId="264B5CF7"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4</w:t>
            </w:r>
          </w:p>
        </w:tc>
        <w:tc>
          <w:tcPr>
            <w:tcW w:w="837" w:type="dxa"/>
            <w:vAlign w:val="center"/>
          </w:tcPr>
          <w:p w14:paraId="343A31D1"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3.2</w:t>
            </w:r>
          </w:p>
        </w:tc>
        <w:tc>
          <w:tcPr>
            <w:tcW w:w="836" w:type="dxa"/>
            <w:vAlign w:val="center"/>
          </w:tcPr>
          <w:p w14:paraId="379600B5"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837" w:type="dxa"/>
            <w:vAlign w:val="center"/>
          </w:tcPr>
          <w:p w14:paraId="10A5FB2B"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12</w:t>
            </w:r>
          </w:p>
        </w:tc>
        <w:tc>
          <w:tcPr>
            <w:tcW w:w="837" w:type="dxa"/>
            <w:vAlign w:val="center"/>
          </w:tcPr>
          <w:p w14:paraId="4AA16B2D" w14:textId="77777777" w:rsidR="0073642B" w:rsidRPr="00D17F8B" w:rsidRDefault="0073642B" w:rsidP="00476D22">
            <w:pPr>
              <w:spacing w:before="240" w:after="60" w:line="260" w:lineRule="atLeast"/>
              <w:jc w:val="center"/>
              <w:outlineLvl w:val="0"/>
              <w:rPr>
                <w:sz w:val="18"/>
                <w:szCs w:val="18"/>
              </w:rPr>
            </w:pPr>
            <w:r w:rsidRPr="00D17F8B">
              <w:rPr>
                <w:sz w:val="18"/>
                <w:szCs w:val="18"/>
              </w:rPr>
              <w:t>16</w:t>
            </w:r>
          </w:p>
        </w:tc>
        <w:tc>
          <w:tcPr>
            <w:tcW w:w="836" w:type="dxa"/>
            <w:vAlign w:val="center"/>
          </w:tcPr>
          <w:p w14:paraId="2D996CEC"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837" w:type="dxa"/>
            <w:vAlign w:val="center"/>
          </w:tcPr>
          <w:p w14:paraId="71F46FD3"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8</w:t>
            </w:r>
          </w:p>
        </w:tc>
        <w:tc>
          <w:tcPr>
            <w:tcW w:w="837" w:type="dxa"/>
            <w:vAlign w:val="center"/>
          </w:tcPr>
          <w:p w14:paraId="4972E68A"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837" w:type="dxa"/>
            <w:vAlign w:val="center"/>
          </w:tcPr>
          <w:p w14:paraId="580323C2"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8</w:t>
            </w:r>
          </w:p>
        </w:tc>
      </w:tr>
      <w:tr w:rsidR="0073642B" w:rsidRPr="00861606" w14:paraId="0EF710B3" w14:textId="77777777" w:rsidTr="00675538">
        <w:trPr>
          <w:trHeight w:val="57"/>
        </w:trPr>
        <w:tc>
          <w:tcPr>
            <w:tcW w:w="1550" w:type="dxa"/>
            <w:vAlign w:val="center"/>
          </w:tcPr>
          <w:p w14:paraId="3BDCBE43" w14:textId="77777777" w:rsidR="0073642B" w:rsidRPr="00D17F8B" w:rsidRDefault="0073642B" w:rsidP="00476D22">
            <w:pPr>
              <w:spacing w:before="240" w:after="60" w:line="260" w:lineRule="atLeast"/>
              <w:jc w:val="center"/>
              <w:outlineLvl w:val="0"/>
              <w:rPr>
                <w:sz w:val="18"/>
                <w:szCs w:val="18"/>
              </w:rPr>
            </w:pPr>
            <w:r w:rsidRPr="00D17F8B">
              <w:rPr>
                <w:sz w:val="18"/>
                <w:szCs w:val="18"/>
              </w:rPr>
              <w:t>Dilution factor</w:t>
            </w:r>
          </w:p>
        </w:tc>
        <w:tc>
          <w:tcPr>
            <w:tcW w:w="837" w:type="dxa"/>
            <w:vAlign w:val="center"/>
          </w:tcPr>
          <w:p w14:paraId="1E7BD6C6" w14:textId="29B1FABD" w:rsidR="0073642B" w:rsidRPr="00D17F8B" w:rsidRDefault="005D6792" w:rsidP="00476D22">
            <w:pPr>
              <w:spacing w:before="240" w:after="60" w:line="260" w:lineRule="atLeast"/>
              <w:jc w:val="center"/>
              <w:outlineLvl w:val="0"/>
              <w:rPr>
                <w:sz w:val="18"/>
                <w:szCs w:val="18"/>
              </w:rPr>
            </w:pPr>
            <w:r>
              <w:rPr>
                <w:sz w:val="18"/>
                <w:szCs w:val="18"/>
              </w:rPr>
              <w:t>RTU</w:t>
            </w:r>
          </w:p>
        </w:tc>
        <w:tc>
          <w:tcPr>
            <w:tcW w:w="836" w:type="dxa"/>
          </w:tcPr>
          <w:p w14:paraId="0FEB39E2" w14:textId="14E69FCD" w:rsidR="0073642B" w:rsidRPr="00D17F8B" w:rsidRDefault="005D6792" w:rsidP="00476D22">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837" w:type="dxa"/>
          </w:tcPr>
          <w:p w14:paraId="4E183F4F" w14:textId="7E06BF50" w:rsidR="0073642B" w:rsidRPr="00D17F8B" w:rsidRDefault="005D6792" w:rsidP="00476D22">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837" w:type="dxa"/>
          </w:tcPr>
          <w:p w14:paraId="134199FC" w14:textId="0E715D7B" w:rsidR="0073642B" w:rsidRPr="00D17F8B" w:rsidRDefault="005D6792" w:rsidP="00476D22">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836" w:type="dxa"/>
            <w:vAlign w:val="center"/>
          </w:tcPr>
          <w:p w14:paraId="56BD1BAE"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837" w:type="dxa"/>
            <w:vAlign w:val="center"/>
          </w:tcPr>
          <w:p w14:paraId="2FDBD8D3"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837" w:type="dxa"/>
            <w:vAlign w:val="center"/>
          </w:tcPr>
          <w:p w14:paraId="2019DEBC"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0.06</w:t>
            </w:r>
          </w:p>
        </w:tc>
        <w:tc>
          <w:tcPr>
            <w:tcW w:w="836" w:type="dxa"/>
            <w:vAlign w:val="center"/>
          </w:tcPr>
          <w:p w14:paraId="1B82A219" w14:textId="5DC0CD1C" w:rsidR="0073642B" w:rsidRPr="00D17F8B" w:rsidRDefault="005D6792" w:rsidP="00476D22">
            <w:pPr>
              <w:spacing w:before="240" w:after="60" w:line="260" w:lineRule="atLeast"/>
              <w:jc w:val="center"/>
              <w:outlineLvl w:val="0"/>
              <w:rPr>
                <w:rFonts w:eastAsia="Calibri" w:cs="Times New Roman"/>
                <w:sz w:val="18"/>
                <w:szCs w:val="18"/>
                <w:lang w:eastAsia="en-US"/>
              </w:rPr>
            </w:pPr>
            <w:r>
              <w:rPr>
                <w:sz w:val="18"/>
                <w:szCs w:val="18"/>
              </w:rPr>
              <w:t>RTU</w:t>
            </w:r>
          </w:p>
        </w:tc>
        <w:tc>
          <w:tcPr>
            <w:tcW w:w="837" w:type="dxa"/>
            <w:vAlign w:val="center"/>
          </w:tcPr>
          <w:p w14:paraId="7D915DB7"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837" w:type="dxa"/>
            <w:vAlign w:val="center"/>
          </w:tcPr>
          <w:p w14:paraId="4CC51E01"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0.015</w:t>
            </w:r>
          </w:p>
        </w:tc>
        <w:tc>
          <w:tcPr>
            <w:tcW w:w="837" w:type="dxa"/>
            <w:vAlign w:val="center"/>
          </w:tcPr>
          <w:p w14:paraId="411CF530"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0.08</w:t>
            </w:r>
          </w:p>
        </w:tc>
      </w:tr>
      <w:tr w:rsidR="0073642B" w:rsidRPr="009E7547" w14:paraId="57B36CF3" w14:textId="77777777" w:rsidTr="00476D22">
        <w:trPr>
          <w:trHeight w:val="57"/>
        </w:trPr>
        <w:tc>
          <w:tcPr>
            <w:tcW w:w="1550" w:type="dxa"/>
            <w:vAlign w:val="center"/>
          </w:tcPr>
          <w:p w14:paraId="374869D6" w14:textId="77777777" w:rsidR="0073642B" w:rsidRPr="00D17F8B" w:rsidRDefault="0073642B" w:rsidP="00476D22">
            <w:pPr>
              <w:spacing w:before="240" w:after="60" w:line="260" w:lineRule="atLeast"/>
              <w:jc w:val="center"/>
              <w:outlineLvl w:val="0"/>
              <w:rPr>
                <w:sz w:val="18"/>
                <w:szCs w:val="18"/>
              </w:rPr>
            </w:pPr>
            <w:r w:rsidRPr="00D17F8B">
              <w:rPr>
                <w:sz w:val="18"/>
                <w:szCs w:val="18"/>
              </w:rPr>
              <w:t>Density</w:t>
            </w:r>
          </w:p>
        </w:tc>
        <w:tc>
          <w:tcPr>
            <w:tcW w:w="9204" w:type="dxa"/>
            <w:gridSpan w:val="11"/>
            <w:vAlign w:val="center"/>
          </w:tcPr>
          <w:p w14:paraId="7011032B" w14:textId="77777777" w:rsidR="0073642B" w:rsidRPr="00D17F8B" w:rsidRDefault="0073642B" w:rsidP="00476D22">
            <w:pPr>
              <w:spacing w:before="240" w:after="60" w:line="260" w:lineRule="atLeast"/>
              <w:jc w:val="center"/>
              <w:outlineLvl w:val="0"/>
              <w:rPr>
                <w:sz w:val="18"/>
                <w:szCs w:val="18"/>
              </w:rPr>
            </w:pPr>
            <w:r w:rsidRPr="00D17F8B">
              <w:rPr>
                <w:sz w:val="18"/>
                <w:szCs w:val="18"/>
              </w:rPr>
              <w:t>A density of 1 is considered for the assessment</w:t>
            </w:r>
          </w:p>
        </w:tc>
      </w:tr>
      <w:tr w:rsidR="0073642B" w:rsidRPr="00861606" w14:paraId="50BB41EF" w14:textId="77777777" w:rsidTr="00476D22">
        <w:trPr>
          <w:trHeight w:val="57"/>
        </w:trPr>
        <w:tc>
          <w:tcPr>
            <w:tcW w:w="1550" w:type="dxa"/>
            <w:vAlign w:val="center"/>
          </w:tcPr>
          <w:p w14:paraId="19678883" w14:textId="77777777" w:rsidR="0073642B" w:rsidRPr="00D17F8B" w:rsidRDefault="0073642B" w:rsidP="00476D22">
            <w:pPr>
              <w:spacing w:line="260" w:lineRule="atLeast"/>
              <w:jc w:val="center"/>
              <w:outlineLvl w:val="0"/>
              <w:rPr>
                <w:sz w:val="18"/>
                <w:szCs w:val="18"/>
              </w:rPr>
            </w:pPr>
            <w:r w:rsidRPr="00D17F8B">
              <w:rPr>
                <w:rFonts w:eastAsia="Calibri" w:cs="Times New Roman"/>
                <w:sz w:val="18"/>
                <w:szCs w:val="18"/>
                <w:lang w:eastAsia="en-US"/>
              </w:rPr>
              <w:t>Concentration of substance in working solution (% w/v)</w:t>
            </w:r>
          </w:p>
        </w:tc>
        <w:tc>
          <w:tcPr>
            <w:tcW w:w="837" w:type="dxa"/>
            <w:vAlign w:val="center"/>
          </w:tcPr>
          <w:p w14:paraId="33ECC216" w14:textId="77777777" w:rsidR="0073642B" w:rsidRPr="00D17F8B" w:rsidRDefault="0073642B" w:rsidP="00476D22">
            <w:pPr>
              <w:spacing w:before="240" w:after="60" w:line="260" w:lineRule="atLeast"/>
              <w:jc w:val="center"/>
              <w:outlineLvl w:val="0"/>
              <w:rPr>
                <w:sz w:val="18"/>
                <w:szCs w:val="18"/>
              </w:rPr>
            </w:pPr>
            <w:r w:rsidRPr="00D17F8B">
              <w:rPr>
                <w:sz w:val="18"/>
                <w:szCs w:val="18"/>
              </w:rPr>
              <w:t>2.4</w:t>
            </w:r>
          </w:p>
        </w:tc>
        <w:tc>
          <w:tcPr>
            <w:tcW w:w="836" w:type="dxa"/>
            <w:vAlign w:val="center"/>
          </w:tcPr>
          <w:p w14:paraId="1CDE9E2F" w14:textId="77777777" w:rsidR="0073642B" w:rsidRPr="00D17F8B" w:rsidRDefault="0073642B" w:rsidP="00476D22">
            <w:pPr>
              <w:spacing w:before="240" w:after="60" w:line="260" w:lineRule="atLeast"/>
              <w:jc w:val="center"/>
              <w:outlineLvl w:val="0"/>
              <w:rPr>
                <w:sz w:val="18"/>
                <w:szCs w:val="18"/>
              </w:rPr>
            </w:pPr>
            <w:r w:rsidRPr="00D17F8B">
              <w:rPr>
                <w:sz w:val="18"/>
                <w:szCs w:val="18"/>
              </w:rPr>
              <w:t>3</w:t>
            </w:r>
          </w:p>
        </w:tc>
        <w:tc>
          <w:tcPr>
            <w:tcW w:w="837" w:type="dxa"/>
            <w:shd w:val="clear" w:color="auto" w:fill="B6DDE8" w:themeFill="accent5" w:themeFillTint="66"/>
            <w:vAlign w:val="center"/>
          </w:tcPr>
          <w:p w14:paraId="236742E6" w14:textId="77777777" w:rsidR="0073642B" w:rsidRPr="00D17F8B" w:rsidRDefault="0073642B" w:rsidP="00476D22">
            <w:pPr>
              <w:spacing w:before="240" w:after="60" w:line="260" w:lineRule="atLeast"/>
              <w:jc w:val="center"/>
              <w:outlineLvl w:val="0"/>
              <w:rPr>
                <w:b/>
                <w:sz w:val="18"/>
                <w:szCs w:val="18"/>
              </w:rPr>
            </w:pPr>
            <w:r w:rsidRPr="00D17F8B">
              <w:rPr>
                <w:b/>
                <w:sz w:val="18"/>
                <w:szCs w:val="18"/>
              </w:rPr>
              <w:t>4</w:t>
            </w:r>
          </w:p>
        </w:tc>
        <w:tc>
          <w:tcPr>
            <w:tcW w:w="837" w:type="dxa"/>
            <w:vAlign w:val="center"/>
          </w:tcPr>
          <w:p w14:paraId="4B7E3284" w14:textId="77777777" w:rsidR="0073642B" w:rsidRPr="00D17F8B" w:rsidRDefault="0073642B" w:rsidP="00476D22">
            <w:pPr>
              <w:spacing w:before="240" w:after="60" w:line="260" w:lineRule="atLeast"/>
              <w:jc w:val="center"/>
              <w:outlineLvl w:val="0"/>
              <w:rPr>
                <w:sz w:val="18"/>
                <w:szCs w:val="18"/>
              </w:rPr>
            </w:pPr>
            <w:r w:rsidRPr="00D17F8B">
              <w:rPr>
                <w:sz w:val="18"/>
                <w:szCs w:val="18"/>
              </w:rPr>
              <w:t>3.2</w:t>
            </w:r>
          </w:p>
        </w:tc>
        <w:tc>
          <w:tcPr>
            <w:tcW w:w="836" w:type="dxa"/>
            <w:vAlign w:val="center"/>
          </w:tcPr>
          <w:p w14:paraId="4364DE4D" w14:textId="77777777" w:rsidR="0073642B" w:rsidRPr="00D17F8B" w:rsidRDefault="0073642B" w:rsidP="00476D22">
            <w:pPr>
              <w:spacing w:before="240" w:after="60" w:line="260" w:lineRule="atLeast"/>
              <w:jc w:val="center"/>
              <w:outlineLvl w:val="0"/>
              <w:rPr>
                <w:sz w:val="18"/>
                <w:szCs w:val="18"/>
              </w:rPr>
            </w:pPr>
            <w:r w:rsidRPr="00D17F8B">
              <w:rPr>
                <w:sz w:val="18"/>
                <w:szCs w:val="18"/>
              </w:rPr>
              <w:t>2.4</w:t>
            </w:r>
          </w:p>
        </w:tc>
        <w:tc>
          <w:tcPr>
            <w:tcW w:w="837" w:type="dxa"/>
            <w:vAlign w:val="center"/>
          </w:tcPr>
          <w:p w14:paraId="0FB0FC7A" w14:textId="77777777" w:rsidR="0073642B" w:rsidRPr="00D17F8B" w:rsidRDefault="0073642B" w:rsidP="00476D22">
            <w:pPr>
              <w:spacing w:before="240" w:after="60" w:line="260" w:lineRule="atLeast"/>
              <w:jc w:val="center"/>
              <w:outlineLvl w:val="0"/>
              <w:rPr>
                <w:sz w:val="18"/>
                <w:szCs w:val="18"/>
              </w:rPr>
            </w:pPr>
            <w:r w:rsidRPr="00D17F8B">
              <w:rPr>
                <w:sz w:val="18"/>
                <w:szCs w:val="18"/>
              </w:rPr>
              <w:t>1.2</w:t>
            </w:r>
          </w:p>
        </w:tc>
        <w:tc>
          <w:tcPr>
            <w:tcW w:w="837" w:type="dxa"/>
            <w:vAlign w:val="center"/>
          </w:tcPr>
          <w:p w14:paraId="13D29942" w14:textId="77777777" w:rsidR="0073642B" w:rsidRPr="00D17F8B" w:rsidRDefault="0073642B" w:rsidP="00476D22">
            <w:pPr>
              <w:spacing w:before="240" w:after="60" w:line="260" w:lineRule="atLeast"/>
              <w:jc w:val="center"/>
              <w:outlineLvl w:val="0"/>
              <w:rPr>
                <w:sz w:val="18"/>
                <w:szCs w:val="18"/>
              </w:rPr>
            </w:pPr>
            <w:r w:rsidRPr="00D17F8B">
              <w:rPr>
                <w:sz w:val="18"/>
                <w:szCs w:val="18"/>
              </w:rPr>
              <w:t>0.96</w:t>
            </w:r>
          </w:p>
        </w:tc>
        <w:tc>
          <w:tcPr>
            <w:tcW w:w="836" w:type="dxa"/>
            <w:vAlign w:val="center"/>
          </w:tcPr>
          <w:p w14:paraId="114E30A7" w14:textId="77777777" w:rsidR="0073642B" w:rsidRPr="00D17F8B" w:rsidRDefault="0073642B" w:rsidP="00476D22">
            <w:pPr>
              <w:spacing w:before="240" w:after="60" w:line="260" w:lineRule="atLeast"/>
              <w:jc w:val="center"/>
              <w:outlineLvl w:val="0"/>
              <w:rPr>
                <w:sz w:val="18"/>
                <w:szCs w:val="18"/>
              </w:rPr>
            </w:pPr>
            <w:r w:rsidRPr="00D17F8B">
              <w:rPr>
                <w:sz w:val="18"/>
                <w:szCs w:val="18"/>
              </w:rPr>
              <w:t>2.4</w:t>
            </w:r>
          </w:p>
        </w:tc>
        <w:tc>
          <w:tcPr>
            <w:tcW w:w="837" w:type="dxa"/>
            <w:vAlign w:val="center"/>
          </w:tcPr>
          <w:p w14:paraId="7FAD2891" w14:textId="77777777" w:rsidR="0073642B" w:rsidRPr="00D17F8B" w:rsidRDefault="0073642B" w:rsidP="00476D22">
            <w:pPr>
              <w:spacing w:before="240" w:after="60" w:line="260" w:lineRule="atLeast"/>
              <w:jc w:val="center"/>
              <w:outlineLvl w:val="0"/>
              <w:rPr>
                <w:sz w:val="18"/>
                <w:szCs w:val="18"/>
              </w:rPr>
            </w:pPr>
            <w:r w:rsidRPr="00D17F8B">
              <w:rPr>
                <w:sz w:val="18"/>
                <w:szCs w:val="18"/>
              </w:rPr>
              <w:t>0.8</w:t>
            </w:r>
          </w:p>
        </w:tc>
        <w:tc>
          <w:tcPr>
            <w:tcW w:w="837" w:type="dxa"/>
            <w:vAlign w:val="center"/>
          </w:tcPr>
          <w:p w14:paraId="30FA41D5" w14:textId="77777777" w:rsidR="0073642B" w:rsidRPr="00D17F8B" w:rsidRDefault="0073642B" w:rsidP="00476D22">
            <w:pPr>
              <w:spacing w:before="240" w:after="60" w:line="260" w:lineRule="atLeast"/>
              <w:jc w:val="center"/>
              <w:outlineLvl w:val="0"/>
              <w:rPr>
                <w:sz w:val="18"/>
                <w:szCs w:val="18"/>
              </w:rPr>
            </w:pPr>
            <w:r w:rsidRPr="00D17F8B">
              <w:rPr>
                <w:sz w:val="18"/>
                <w:szCs w:val="18"/>
              </w:rPr>
              <w:t>0.36</w:t>
            </w:r>
          </w:p>
        </w:tc>
        <w:tc>
          <w:tcPr>
            <w:tcW w:w="837" w:type="dxa"/>
            <w:vAlign w:val="center"/>
          </w:tcPr>
          <w:p w14:paraId="0BBC454D" w14:textId="77777777" w:rsidR="0073642B" w:rsidRPr="00D17F8B" w:rsidRDefault="0073642B" w:rsidP="00476D22">
            <w:pPr>
              <w:spacing w:before="240" w:after="60" w:line="260" w:lineRule="atLeast"/>
              <w:jc w:val="center"/>
              <w:outlineLvl w:val="0"/>
              <w:rPr>
                <w:sz w:val="18"/>
                <w:szCs w:val="18"/>
              </w:rPr>
            </w:pPr>
            <w:r w:rsidRPr="00D17F8B">
              <w:rPr>
                <w:sz w:val="18"/>
                <w:szCs w:val="18"/>
              </w:rPr>
              <w:t>0.64</w:t>
            </w:r>
          </w:p>
        </w:tc>
      </w:tr>
    </w:tbl>
    <w:p w14:paraId="3ADD590C" w14:textId="77777777" w:rsidR="0073642B" w:rsidRDefault="0073642B" w:rsidP="0073642B">
      <w:pPr>
        <w:ind w:left="142"/>
        <w:jc w:val="both"/>
        <w:rPr>
          <w:rFonts w:ascii="Times New Roman" w:eastAsia="Calibri" w:hAnsi="Times New Roman" w:cs="Times New Roman"/>
          <w:i/>
          <w:lang w:eastAsia="en-US"/>
        </w:rPr>
      </w:pPr>
    </w:p>
    <w:p w14:paraId="58ADF86D" w14:textId="4BEBA3A4" w:rsidR="0073642B" w:rsidRDefault="0073642B" w:rsidP="0073642B">
      <w:pPr>
        <w:spacing w:line="276" w:lineRule="auto"/>
        <w:rPr>
          <w:rFonts w:eastAsia="Calibri" w:cs="Times New Roman"/>
          <w:bCs/>
          <w:lang w:eastAsia="en-US"/>
        </w:rPr>
      </w:pPr>
      <w:r>
        <w:rPr>
          <w:rFonts w:eastAsia="Calibri" w:cs="Times New Roman"/>
          <w:bCs/>
          <w:lang w:eastAsia="en-US"/>
        </w:rPr>
        <w:t xml:space="preserve">Worst case </w:t>
      </w:r>
      <w:r w:rsidRPr="00D17F8B">
        <w:rPr>
          <w:rFonts w:eastAsia="Calibri" w:cs="Times New Roman"/>
          <w:bCs/>
          <w:lang w:eastAsia="en-US"/>
        </w:rPr>
        <w:t>SoC OTNE</w:t>
      </w:r>
      <w:r>
        <w:rPr>
          <w:rFonts w:eastAsia="Calibri" w:cs="Times New Roman"/>
          <w:bCs/>
          <w:lang w:eastAsia="en-US"/>
        </w:rPr>
        <w:t xml:space="preserve"> concentration for scenario 1</w:t>
      </w:r>
      <w:r w:rsidR="000F4274">
        <w:rPr>
          <w:rFonts w:eastAsia="Calibri" w:cs="Times New Roman"/>
          <w:bCs/>
          <w:lang w:eastAsia="en-US"/>
        </w:rPr>
        <w:t>a</w:t>
      </w:r>
      <w:r>
        <w:rPr>
          <w:rFonts w:eastAsia="Calibri" w:cs="Times New Roman"/>
          <w:bCs/>
          <w:lang w:eastAsia="en-US"/>
        </w:rPr>
        <w:t>:</w:t>
      </w:r>
    </w:p>
    <w:p w14:paraId="252049FC" w14:textId="77777777" w:rsidR="0073642B" w:rsidRPr="00896F37" w:rsidRDefault="0073642B" w:rsidP="0073642B">
      <w:pPr>
        <w:spacing w:line="276" w:lineRule="auto"/>
        <w:rPr>
          <w:rFonts w:eastAsia="Calibri" w:cs="Times New Roman"/>
          <w:bCs/>
          <w:lang w:eastAsia="en-US"/>
        </w:rPr>
      </w:pPr>
    </w:p>
    <w:tbl>
      <w:tblPr>
        <w:tblStyle w:val="Grilledutableau"/>
        <w:tblW w:w="5000" w:type="pct"/>
        <w:tblInd w:w="0" w:type="dxa"/>
        <w:tblLook w:val="04A0" w:firstRow="1" w:lastRow="0" w:firstColumn="1" w:lastColumn="0" w:noHBand="0" w:noVBand="1"/>
      </w:tblPr>
      <w:tblGrid>
        <w:gridCol w:w="3511"/>
        <w:gridCol w:w="1633"/>
        <w:gridCol w:w="2163"/>
        <w:gridCol w:w="1896"/>
      </w:tblGrid>
      <w:tr w:rsidR="0073642B" w:rsidRPr="00861606" w14:paraId="0C6EFA42" w14:textId="77777777" w:rsidTr="00476D22">
        <w:trPr>
          <w:trHeight w:val="57"/>
        </w:trPr>
        <w:tc>
          <w:tcPr>
            <w:tcW w:w="1908" w:type="pct"/>
            <w:vAlign w:val="center"/>
          </w:tcPr>
          <w:p w14:paraId="62C320F6" w14:textId="388AB408" w:rsidR="0073642B" w:rsidRPr="00D17F8B" w:rsidRDefault="0073642B" w:rsidP="000F3412">
            <w:pPr>
              <w:spacing w:before="240" w:after="60" w:line="260" w:lineRule="atLeast"/>
              <w:jc w:val="center"/>
              <w:outlineLvl w:val="0"/>
              <w:rPr>
                <w:sz w:val="18"/>
                <w:szCs w:val="18"/>
              </w:rPr>
            </w:pPr>
            <w:r w:rsidRPr="00D17F8B">
              <w:rPr>
                <w:sz w:val="18"/>
                <w:szCs w:val="18"/>
              </w:rPr>
              <w:t xml:space="preserve">Substance: </w:t>
            </w:r>
            <w:r w:rsidRPr="00D17F8B">
              <w:rPr>
                <w:rFonts w:cs="Calibri"/>
                <w:sz w:val="18"/>
                <w:szCs w:val="18"/>
              </w:rPr>
              <w:t xml:space="preserve">SoC </w:t>
            </w:r>
            <w:r w:rsidR="000F3412">
              <w:rPr>
                <w:rFonts w:cs="Calibri"/>
                <w:sz w:val="18"/>
                <w:szCs w:val="18"/>
              </w:rPr>
              <w:t>OTNE</w:t>
            </w:r>
          </w:p>
        </w:tc>
        <w:tc>
          <w:tcPr>
            <w:tcW w:w="887" w:type="pct"/>
            <w:vAlign w:val="center"/>
          </w:tcPr>
          <w:p w14:paraId="72D46417" w14:textId="77777777" w:rsidR="0073642B" w:rsidRPr="00D17F8B" w:rsidRDefault="0073642B" w:rsidP="00476D22">
            <w:pPr>
              <w:spacing w:line="260" w:lineRule="atLeast"/>
              <w:jc w:val="center"/>
              <w:outlineLvl w:val="0"/>
              <w:rPr>
                <w:b/>
                <w:sz w:val="18"/>
                <w:szCs w:val="18"/>
              </w:rPr>
            </w:pPr>
            <w:r w:rsidRPr="00D17F8B">
              <w:rPr>
                <w:b/>
                <w:sz w:val="18"/>
                <w:szCs w:val="18"/>
              </w:rPr>
              <w:t>Meta-SPC 9</w:t>
            </w:r>
          </w:p>
        </w:tc>
        <w:tc>
          <w:tcPr>
            <w:tcW w:w="1175" w:type="pct"/>
            <w:vAlign w:val="center"/>
          </w:tcPr>
          <w:p w14:paraId="5910C7AE" w14:textId="77777777" w:rsidR="0073642B" w:rsidRPr="00D17F8B" w:rsidRDefault="0073642B" w:rsidP="00476D22">
            <w:pPr>
              <w:spacing w:line="260" w:lineRule="atLeast"/>
              <w:jc w:val="center"/>
              <w:outlineLvl w:val="0"/>
              <w:rPr>
                <w:b/>
                <w:sz w:val="18"/>
                <w:szCs w:val="18"/>
              </w:rPr>
            </w:pPr>
            <w:r w:rsidRPr="00D17F8B">
              <w:rPr>
                <w:b/>
                <w:sz w:val="18"/>
                <w:szCs w:val="18"/>
              </w:rPr>
              <w:t>Meta-SPC 10</w:t>
            </w:r>
          </w:p>
        </w:tc>
        <w:tc>
          <w:tcPr>
            <w:tcW w:w="1030" w:type="pct"/>
            <w:vAlign w:val="center"/>
          </w:tcPr>
          <w:p w14:paraId="73C94BD4" w14:textId="77777777" w:rsidR="0073642B" w:rsidRPr="00D17F8B" w:rsidRDefault="0073642B" w:rsidP="00476D22">
            <w:pPr>
              <w:spacing w:line="260" w:lineRule="atLeast"/>
              <w:jc w:val="center"/>
              <w:outlineLvl w:val="0"/>
              <w:rPr>
                <w:b/>
                <w:sz w:val="18"/>
                <w:szCs w:val="18"/>
              </w:rPr>
            </w:pPr>
            <w:r w:rsidRPr="00D17F8B">
              <w:rPr>
                <w:b/>
                <w:sz w:val="18"/>
                <w:szCs w:val="18"/>
              </w:rPr>
              <w:t>Meta-SPC 13</w:t>
            </w:r>
          </w:p>
        </w:tc>
      </w:tr>
      <w:tr w:rsidR="0073642B" w:rsidRPr="00861606" w14:paraId="6D6D0008" w14:textId="77777777" w:rsidTr="00476D22">
        <w:trPr>
          <w:trHeight w:val="57"/>
        </w:trPr>
        <w:tc>
          <w:tcPr>
            <w:tcW w:w="1908" w:type="pct"/>
            <w:vAlign w:val="center"/>
          </w:tcPr>
          <w:p w14:paraId="18835B5E" w14:textId="77777777" w:rsidR="0073642B" w:rsidRPr="00D17F8B" w:rsidRDefault="0073642B" w:rsidP="00476D22">
            <w:pPr>
              <w:spacing w:before="240" w:after="60" w:line="260" w:lineRule="atLeast"/>
              <w:jc w:val="center"/>
              <w:outlineLvl w:val="0"/>
              <w:rPr>
                <w:sz w:val="18"/>
                <w:szCs w:val="18"/>
              </w:rPr>
            </w:pPr>
            <w:r w:rsidRPr="00D17F8B">
              <w:rPr>
                <w:sz w:val="18"/>
                <w:szCs w:val="18"/>
              </w:rPr>
              <w:t>Technical concentration of active substance (% w/w)</w:t>
            </w:r>
          </w:p>
        </w:tc>
        <w:tc>
          <w:tcPr>
            <w:tcW w:w="887" w:type="pct"/>
            <w:vAlign w:val="center"/>
          </w:tcPr>
          <w:p w14:paraId="0254F121"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0.9</w:t>
            </w:r>
          </w:p>
        </w:tc>
        <w:tc>
          <w:tcPr>
            <w:tcW w:w="1175" w:type="pct"/>
            <w:vAlign w:val="center"/>
          </w:tcPr>
          <w:p w14:paraId="0FB33983"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0.9</w:t>
            </w:r>
          </w:p>
        </w:tc>
        <w:tc>
          <w:tcPr>
            <w:tcW w:w="1030" w:type="pct"/>
            <w:vAlign w:val="center"/>
          </w:tcPr>
          <w:p w14:paraId="69B204BF"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0.9</w:t>
            </w:r>
          </w:p>
        </w:tc>
      </w:tr>
      <w:tr w:rsidR="0073642B" w:rsidRPr="00861606" w14:paraId="2066156C" w14:textId="77777777" w:rsidTr="00476D22">
        <w:trPr>
          <w:trHeight w:val="57"/>
        </w:trPr>
        <w:tc>
          <w:tcPr>
            <w:tcW w:w="1908" w:type="pct"/>
            <w:vAlign w:val="center"/>
          </w:tcPr>
          <w:p w14:paraId="09A71B49" w14:textId="77777777" w:rsidR="0073642B" w:rsidRPr="00D17F8B" w:rsidRDefault="0073642B" w:rsidP="00476D22">
            <w:pPr>
              <w:spacing w:before="240" w:after="60" w:line="260" w:lineRule="atLeast"/>
              <w:jc w:val="center"/>
              <w:outlineLvl w:val="0"/>
              <w:rPr>
                <w:sz w:val="18"/>
                <w:szCs w:val="18"/>
              </w:rPr>
            </w:pPr>
            <w:r w:rsidRPr="00D17F8B">
              <w:rPr>
                <w:sz w:val="18"/>
                <w:szCs w:val="18"/>
              </w:rPr>
              <w:t>Dilution factor</w:t>
            </w:r>
          </w:p>
        </w:tc>
        <w:tc>
          <w:tcPr>
            <w:tcW w:w="887" w:type="pct"/>
            <w:vAlign w:val="center"/>
          </w:tcPr>
          <w:p w14:paraId="6ACE740B"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x</w:t>
            </w:r>
          </w:p>
        </w:tc>
        <w:tc>
          <w:tcPr>
            <w:tcW w:w="1175" w:type="pct"/>
            <w:vAlign w:val="center"/>
          </w:tcPr>
          <w:p w14:paraId="0D46B080"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1030" w:type="pct"/>
            <w:vAlign w:val="center"/>
          </w:tcPr>
          <w:p w14:paraId="6BEDE48E"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0.08</w:t>
            </w:r>
          </w:p>
        </w:tc>
      </w:tr>
      <w:tr w:rsidR="0073642B" w:rsidRPr="00861606" w14:paraId="6195C917" w14:textId="77777777" w:rsidTr="00476D22">
        <w:trPr>
          <w:trHeight w:val="57"/>
        </w:trPr>
        <w:tc>
          <w:tcPr>
            <w:tcW w:w="1908" w:type="pct"/>
            <w:vAlign w:val="center"/>
          </w:tcPr>
          <w:p w14:paraId="07509133" w14:textId="77777777" w:rsidR="0073642B" w:rsidRPr="00D17F8B" w:rsidRDefault="0073642B" w:rsidP="00476D22">
            <w:pPr>
              <w:spacing w:line="260" w:lineRule="atLeast"/>
              <w:jc w:val="center"/>
              <w:outlineLvl w:val="0"/>
              <w:rPr>
                <w:rFonts w:eastAsia="Calibri" w:cs="Times New Roman"/>
                <w:sz w:val="18"/>
                <w:szCs w:val="18"/>
                <w:lang w:eastAsia="en-US"/>
              </w:rPr>
            </w:pPr>
            <w:r w:rsidRPr="00D17F8B">
              <w:rPr>
                <w:sz w:val="18"/>
                <w:szCs w:val="18"/>
              </w:rPr>
              <w:t>Density</w:t>
            </w:r>
          </w:p>
        </w:tc>
        <w:tc>
          <w:tcPr>
            <w:tcW w:w="3092" w:type="pct"/>
            <w:gridSpan w:val="3"/>
            <w:vAlign w:val="center"/>
          </w:tcPr>
          <w:p w14:paraId="38DF1783" w14:textId="77777777" w:rsidR="0073642B" w:rsidRPr="00D17F8B" w:rsidRDefault="0073642B" w:rsidP="00476D22">
            <w:pPr>
              <w:spacing w:before="240" w:after="60" w:line="260" w:lineRule="atLeast"/>
              <w:jc w:val="center"/>
              <w:outlineLvl w:val="0"/>
              <w:rPr>
                <w:sz w:val="18"/>
                <w:szCs w:val="18"/>
              </w:rPr>
            </w:pPr>
            <w:r w:rsidRPr="00D17F8B">
              <w:rPr>
                <w:sz w:val="18"/>
                <w:szCs w:val="18"/>
              </w:rPr>
              <w:t>A density of 1 is considered for the assessment</w:t>
            </w:r>
          </w:p>
        </w:tc>
      </w:tr>
      <w:tr w:rsidR="0073642B" w:rsidRPr="00861606" w14:paraId="1435BB7F" w14:textId="77777777" w:rsidTr="00476D22">
        <w:trPr>
          <w:trHeight w:val="57"/>
        </w:trPr>
        <w:tc>
          <w:tcPr>
            <w:tcW w:w="1908" w:type="pct"/>
            <w:vAlign w:val="center"/>
          </w:tcPr>
          <w:p w14:paraId="4A5062A7" w14:textId="77777777" w:rsidR="0073642B" w:rsidRPr="00D17F8B" w:rsidRDefault="0073642B" w:rsidP="00476D22">
            <w:pPr>
              <w:spacing w:line="260" w:lineRule="atLeast"/>
              <w:jc w:val="center"/>
              <w:outlineLvl w:val="0"/>
              <w:rPr>
                <w:sz w:val="18"/>
                <w:szCs w:val="18"/>
              </w:rPr>
            </w:pPr>
            <w:r w:rsidRPr="00D17F8B">
              <w:rPr>
                <w:rFonts w:eastAsia="Calibri" w:cs="Times New Roman"/>
                <w:sz w:val="18"/>
                <w:szCs w:val="18"/>
                <w:lang w:eastAsia="en-US"/>
              </w:rPr>
              <w:t>Concentration of substance in working solution (% w/v)</w:t>
            </w:r>
          </w:p>
        </w:tc>
        <w:tc>
          <w:tcPr>
            <w:tcW w:w="887" w:type="pct"/>
            <w:shd w:val="clear" w:color="auto" w:fill="92CDDC" w:themeFill="accent5" w:themeFillTint="99"/>
            <w:vAlign w:val="center"/>
          </w:tcPr>
          <w:p w14:paraId="08E57EB5" w14:textId="77777777" w:rsidR="0073642B" w:rsidRPr="00D17F8B" w:rsidRDefault="0073642B" w:rsidP="00476D22">
            <w:pPr>
              <w:spacing w:before="240" w:after="60" w:line="260" w:lineRule="atLeast"/>
              <w:jc w:val="center"/>
              <w:outlineLvl w:val="0"/>
              <w:rPr>
                <w:b/>
                <w:sz w:val="18"/>
                <w:szCs w:val="18"/>
              </w:rPr>
            </w:pPr>
            <w:r w:rsidRPr="00D17F8B">
              <w:rPr>
                <w:b/>
                <w:sz w:val="18"/>
                <w:szCs w:val="18"/>
              </w:rPr>
              <w:t>0.9</w:t>
            </w:r>
          </w:p>
        </w:tc>
        <w:tc>
          <w:tcPr>
            <w:tcW w:w="1175" w:type="pct"/>
            <w:vAlign w:val="center"/>
          </w:tcPr>
          <w:p w14:paraId="5ABAD829" w14:textId="77777777" w:rsidR="00412653" w:rsidRDefault="0073642B" w:rsidP="00FF4A61">
            <w:pPr>
              <w:spacing w:after="60" w:line="260" w:lineRule="atLeast"/>
              <w:jc w:val="center"/>
              <w:outlineLvl w:val="0"/>
              <w:rPr>
                <w:sz w:val="18"/>
                <w:szCs w:val="18"/>
              </w:rPr>
            </w:pPr>
            <w:r w:rsidRPr="00D17F8B">
              <w:rPr>
                <w:sz w:val="18"/>
                <w:szCs w:val="18"/>
              </w:rPr>
              <w:t>0.09</w:t>
            </w:r>
          </w:p>
          <w:p w14:paraId="673A97A7" w14:textId="0B030457" w:rsidR="0073642B" w:rsidRPr="00D17F8B" w:rsidRDefault="00412653" w:rsidP="00FF4A61">
            <w:pPr>
              <w:spacing w:after="60" w:line="260" w:lineRule="atLeast"/>
              <w:jc w:val="center"/>
              <w:outlineLvl w:val="0"/>
              <w:rPr>
                <w:sz w:val="18"/>
                <w:szCs w:val="18"/>
              </w:rPr>
            </w:pPr>
            <w:r>
              <w:rPr>
                <w:sz w:val="18"/>
                <w:szCs w:val="18"/>
              </w:rPr>
              <w:t>used for refinement as META-SPC 9 leads to non acceptable risks</w:t>
            </w:r>
          </w:p>
        </w:tc>
        <w:tc>
          <w:tcPr>
            <w:tcW w:w="1030" w:type="pct"/>
            <w:vAlign w:val="center"/>
          </w:tcPr>
          <w:p w14:paraId="4DD8E0D2" w14:textId="77777777" w:rsidR="0073642B" w:rsidRPr="00D17F8B" w:rsidRDefault="0073642B" w:rsidP="00476D22">
            <w:pPr>
              <w:spacing w:before="240" w:after="60" w:line="260" w:lineRule="atLeast"/>
              <w:jc w:val="center"/>
              <w:outlineLvl w:val="0"/>
              <w:rPr>
                <w:sz w:val="18"/>
                <w:szCs w:val="18"/>
              </w:rPr>
            </w:pPr>
            <w:r w:rsidRPr="00D17F8B">
              <w:rPr>
                <w:sz w:val="18"/>
                <w:szCs w:val="18"/>
              </w:rPr>
              <w:t>0.072</w:t>
            </w:r>
          </w:p>
        </w:tc>
      </w:tr>
    </w:tbl>
    <w:p w14:paraId="6C66BD7E" w14:textId="77777777" w:rsidR="0073642B" w:rsidRDefault="0073642B" w:rsidP="0073642B">
      <w:pPr>
        <w:ind w:left="142"/>
        <w:jc w:val="both"/>
        <w:rPr>
          <w:rFonts w:ascii="Times New Roman" w:eastAsia="Calibri" w:hAnsi="Times New Roman" w:cs="Times New Roman"/>
          <w:i/>
          <w:lang w:eastAsia="en-US"/>
        </w:rPr>
      </w:pPr>
    </w:p>
    <w:p w14:paraId="70340DD9" w14:textId="103FD898" w:rsidR="00C1783F" w:rsidRDefault="00C1783F" w:rsidP="0073642B">
      <w:pPr>
        <w:ind w:left="142"/>
        <w:jc w:val="both"/>
        <w:rPr>
          <w:rFonts w:eastAsia="Calibri" w:cs="Times New Roman"/>
          <w:lang w:eastAsia="en-US"/>
        </w:rPr>
      </w:pPr>
      <w:r w:rsidRPr="00452308">
        <w:rPr>
          <w:rFonts w:eastAsia="Calibri" w:cs="Times New Roman"/>
          <w:u w:val="single"/>
          <w:lang w:eastAsia="en-US"/>
        </w:rPr>
        <w:t>Concerning the substance of concern</w:t>
      </w:r>
      <w:r>
        <w:rPr>
          <w:rFonts w:eastAsia="Calibri" w:cs="Times New Roman"/>
          <w:lang w:eastAsia="en-US"/>
        </w:rPr>
        <w:t>:</w:t>
      </w:r>
    </w:p>
    <w:p w14:paraId="3C807A1E" w14:textId="548BDD6E" w:rsidR="0073642B" w:rsidRPr="00021E39" w:rsidRDefault="00C1783F" w:rsidP="0073642B">
      <w:pPr>
        <w:ind w:left="142"/>
        <w:jc w:val="both"/>
        <w:rPr>
          <w:rFonts w:eastAsia="Calibri" w:cs="Times New Roman"/>
          <w:lang w:eastAsia="en-US"/>
        </w:rPr>
      </w:pPr>
      <w:r>
        <w:rPr>
          <w:rFonts w:eastAsia="Calibri" w:cs="Times New Roman"/>
          <w:lang w:eastAsia="en-US"/>
        </w:rPr>
        <w:t xml:space="preserve">- </w:t>
      </w:r>
      <w:r w:rsidR="0073642B" w:rsidRPr="00D17F8B">
        <w:rPr>
          <w:rFonts w:eastAsia="Calibri" w:cs="Times New Roman"/>
          <w:lang w:eastAsia="en-US"/>
        </w:rPr>
        <w:t>A</w:t>
      </w:r>
      <w:r w:rsidR="0073642B" w:rsidRPr="00435E9A">
        <w:rPr>
          <w:rFonts w:eastAsia="Calibri" w:cs="Times New Roman"/>
          <w:lang w:eastAsia="en-US"/>
        </w:rPr>
        <w:t xml:space="preserve">mines, coco alkyldimethyl, N-oxides </w:t>
      </w:r>
      <w:r w:rsidR="00802E19">
        <w:rPr>
          <w:rFonts w:eastAsia="Calibri" w:cs="Times New Roman"/>
          <w:lang w:eastAsia="en-US"/>
        </w:rPr>
        <w:t>is included</w:t>
      </w:r>
      <w:r w:rsidR="00802E19" w:rsidRPr="00435E9A">
        <w:rPr>
          <w:rFonts w:eastAsia="Calibri" w:cs="Times New Roman"/>
          <w:lang w:eastAsia="en-US"/>
        </w:rPr>
        <w:t xml:space="preserve"> </w:t>
      </w:r>
      <w:r w:rsidR="0073642B" w:rsidRPr="00435E9A">
        <w:rPr>
          <w:rFonts w:eastAsia="Calibri" w:cs="Times New Roman"/>
          <w:lang w:eastAsia="en-US"/>
        </w:rPr>
        <w:t xml:space="preserve">only </w:t>
      </w:r>
      <w:r w:rsidR="0073642B">
        <w:rPr>
          <w:rFonts w:eastAsia="Calibri" w:cs="Times New Roman"/>
          <w:lang w:eastAsia="en-US"/>
        </w:rPr>
        <w:t xml:space="preserve">in </w:t>
      </w:r>
      <w:r w:rsidR="0073642B" w:rsidRPr="00435E9A">
        <w:rPr>
          <w:rFonts w:eastAsia="Calibri" w:cs="Times New Roman"/>
          <w:lang w:eastAsia="en-US"/>
        </w:rPr>
        <w:t>Meta SPC</w:t>
      </w:r>
      <w:r w:rsidR="0073642B" w:rsidRPr="0091398C">
        <w:rPr>
          <w:rFonts w:eastAsia="Calibri" w:cs="Times New Roman"/>
          <w:lang w:eastAsia="en-US"/>
        </w:rPr>
        <w:t xml:space="preserve"> </w:t>
      </w:r>
      <w:r w:rsidR="0073642B">
        <w:rPr>
          <w:rFonts w:eastAsia="Calibri" w:cs="Times New Roman"/>
          <w:lang w:eastAsia="en-US"/>
        </w:rPr>
        <w:t>11 at a concentration of 0.10% (</w:t>
      </w:r>
      <w:r w:rsidR="00802E19">
        <w:rPr>
          <w:rFonts w:eastAsia="Calibri" w:cs="Times New Roman"/>
          <w:lang w:eastAsia="en-US"/>
        </w:rPr>
        <w:t>40</w:t>
      </w:r>
      <w:r w:rsidR="0073642B">
        <w:rPr>
          <w:rFonts w:eastAsia="Calibri" w:cs="Times New Roman"/>
          <w:lang w:eastAsia="en-US"/>
        </w:rPr>
        <w:t xml:space="preserve">% in AROMOX 16.7% *1.5% dilution). </w:t>
      </w:r>
    </w:p>
    <w:p w14:paraId="27D9A7BE" w14:textId="77777777" w:rsidR="0073642B" w:rsidRDefault="0073642B" w:rsidP="0073642B">
      <w:pPr>
        <w:ind w:left="142"/>
        <w:jc w:val="both"/>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694"/>
        <w:gridCol w:w="2365"/>
        <w:gridCol w:w="1434"/>
        <w:gridCol w:w="2602"/>
      </w:tblGrid>
      <w:tr w:rsidR="0073642B" w14:paraId="2BCB98A5" w14:textId="77777777" w:rsidTr="00476D22">
        <w:trPr>
          <w:trHeight w:val="346"/>
        </w:trPr>
        <w:tc>
          <w:tcPr>
            <w:tcW w:w="9095"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404EB81" w14:textId="77777777" w:rsidR="0073642B" w:rsidRPr="00D17F8B" w:rsidRDefault="0073642B" w:rsidP="00476D22">
            <w:pPr>
              <w:spacing w:before="60" w:after="60" w:line="260" w:lineRule="atLeast"/>
              <w:rPr>
                <w:sz w:val="18"/>
                <w:szCs w:val="18"/>
              </w:rPr>
            </w:pPr>
            <w:r w:rsidRPr="00D17F8B">
              <w:rPr>
                <w:rFonts w:eastAsia="Calibri"/>
                <w:b/>
                <w:sz w:val="18"/>
                <w:szCs w:val="18"/>
                <w:lang w:eastAsia="en-US"/>
              </w:rPr>
              <w:t>Input parameters for calculating the local emission</w:t>
            </w:r>
          </w:p>
        </w:tc>
      </w:tr>
      <w:tr w:rsidR="0073642B" w14:paraId="33887CFD" w14:textId="77777777" w:rsidTr="00675538">
        <w:trPr>
          <w:trHeight w:val="75"/>
        </w:trPr>
        <w:tc>
          <w:tcPr>
            <w:tcW w:w="2694" w:type="dxa"/>
            <w:tcBorders>
              <w:top w:val="single" w:sz="4" w:space="0" w:color="000000"/>
              <w:left w:val="single" w:sz="4" w:space="0" w:color="000000"/>
              <w:bottom w:val="single" w:sz="4" w:space="0" w:color="000000"/>
            </w:tcBorders>
            <w:shd w:val="clear" w:color="auto" w:fill="auto"/>
            <w:vAlign w:val="center"/>
          </w:tcPr>
          <w:p w14:paraId="3CABB12E" w14:textId="77777777" w:rsidR="0073642B" w:rsidRPr="00D17F8B" w:rsidRDefault="0073642B" w:rsidP="00476D22">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 xml:space="preserve">Input </w:t>
            </w:r>
          </w:p>
        </w:tc>
        <w:tc>
          <w:tcPr>
            <w:tcW w:w="2365" w:type="dxa"/>
            <w:tcBorders>
              <w:top w:val="single" w:sz="4" w:space="0" w:color="000000"/>
              <w:left w:val="single" w:sz="4" w:space="0" w:color="000000"/>
              <w:bottom w:val="single" w:sz="4" w:space="0" w:color="000000"/>
            </w:tcBorders>
            <w:shd w:val="clear" w:color="auto" w:fill="auto"/>
            <w:vAlign w:val="center"/>
          </w:tcPr>
          <w:p w14:paraId="21B9173E" w14:textId="77777777" w:rsidR="0073642B" w:rsidRPr="00D17F8B" w:rsidRDefault="0073642B" w:rsidP="00476D22">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 xml:space="preserve">Value </w:t>
            </w:r>
          </w:p>
        </w:tc>
        <w:tc>
          <w:tcPr>
            <w:tcW w:w="1434" w:type="dxa"/>
            <w:tcBorders>
              <w:top w:val="single" w:sz="4" w:space="0" w:color="000000"/>
              <w:left w:val="single" w:sz="4" w:space="0" w:color="000000"/>
              <w:bottom w:val="single" w:sz="4" w:space="0" w:color="000000"/>
            </w:tcBorders>
            <w:shd w:val="clear" w:color="auto" w:fill="auto"/>
            <w:vAlign w:val="center"/>
          </w:tcPr>
          <w:p w14:paraId="54BD5DB8" w14:textId="77777777" w:rsidR="0073642B" w:rsidRPr="00D17F8B" w:rsidRDefault="0073642B" w:rsidP="00476D22">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Unit</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3E85" w14:textId="77777777" w:rsidR="0073642B" w:rsidRPr="00D17F8B" w:rsidRDefault="0073642B" w:rsidP="00476D22">
            <w:pPr>
              <w:spacing w:before="60" w:after="60" w:line="260" w:lineRule="atLeast"/>
              <w:rPr>
                <w:sz w:val="18"/>
                <w:szCs w:val="18"/>
              </w:rPr>
            </w:pPr>
            <w:r w:rsidRPr="00D17F8B">
              <w:rPr>
                <w:rFonts w:eastAsia="Calibri" w:cs="Arial"/>
                <w:b/>
                <w:bCs/>
                <w:color w:val="000000"/>
                <w:sz w:val="18"/>
                <w:szCs w:val="18"/>
                <w:lang w:eastAsia="en-GB"/>
              </w:rPr>
              <w:t>Remarks</w:t>
            </w:r>
          </w:p>
        </w:tc>
      </w:tr>
      <w:tr w:rsidR="0073642B" w14:paraId="3F4DF7F2" w14:textId="77777777" w:rsidTr="00476D22">
        <w:trPr>
          <w:trHeight w:val="75"/>
        </w:trPr>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2FB561" w14:textId="7DE8969A" w:rsidR="0073642B" w:rsidRPr="00D17F8B" w:rsidRDefault="0073642B" w:rsidP="00476D22">
            <w:pPr>
              <w:spacing w:before="60" w:after="60" w:line="260" w:lineRule="atLeast"/>
              <w:rPr>
                <w:sz w:val="18"/>
                <w:szCs w:val="18"/>
              </w:rPr>
            </w:pPr>
            <w:r w:rsidRPr="00D17F8B">
              <w:rPr>
                <w:rFonts w:eastAsia="Calibri"/>
                <w:color w:val="000000"/>
                <w:sz w:val="18"/>
                <w:szCs w:val="18"/>
                <w:lang w:eastAsia="en-GB"/>
              </w:rPr>
              <w:t>Scenario 1</w:t>
            </w:r>
            <w:r w:rsidR="000F4274">
              <w:rPr>
                <w:rFonts w:eastAsia="Calibri"/>
                <w:color w:val="000000"/>
                <w:sz w:val="18"/>
                <w:szCs w:val="18"/>
                <w:lang w:eastAsia="en-GB"/>
              </w:rPr>
              <w:t>a</w:t>
            </w:r>
            <w:r w:rsidRPr="00D17F8B">
              <w:rPr>
                <w:rFonts w:eastAsia="Calibri"/>
                <w:color w:val="000000"/>
                <w:sz w:val="18"/>
                <w:szCs w:val="18"/>
                <w:lang w:eastAsia="en-GB"/>
              </w:rPr>
              <w:t>:</w:t>
            </w:r>
            <w:r w:rsidRPr="00D17F8B">
              <w:rPr>
                <w:rFonts w:eastAsia="Calibri"/>
                <w:i/>
                <w:color w:val="FF0000"/>
                <w:sz w:val="18"/>
                <w:szCs w:val="18"/>
                <w:lang w:eastAsia="en-GB"/>
              </w:rPr>
              <w:t xml:space="preserve"> </w:t>
            </w:r>
            <w:r w:rsidRPr="00D17F8B">
              <w:rPr>
                <w:rFonts w:eastAsia="Calibri"/>
                <w:sz w:val="18"/>
                <w:szCs w:val="18"/>
                <w:lang w:eastAsia="en-US"/>
              </w:rPr>
              <w:t>Disinfection of institutional areas - releases of disinfectants used for sanitary purposes based on average consumption</w:t>
            </w:r>
          </w:p>
        </w:tc>
      </w:tr>
      <w:tr w:rsidR="0073642B" w14:paraId="576AB34C" w14:textId="77777777" w:rsidTr="00675538">
        <w:trPr>
          <w:trHeight w:val="93"/>
        </w:trPr>
        <w:tc>
          <w:tcPr>
            <w:tcW w:w="2694" w:type="dxa"/>
            <w:tcBorders>
              <w:top w:val="single" w:sz="4" w:space="0" w:color="000000"/>
              <w:left w:val="single" w:sz="4" w:space="0" w:color="000000"/>
              <w:bottom w:val="single" w:sz="4" w:space="0" w:color="000000"/>
            </w:tcBorders>
            <w:shd w:val="clear" w:color="auto" w:fill="auto"/>
          </w:tcPr>
          <w:p w14:paraId="2D2DD11D" w14:textId="77777777" w:rsidR="0073642B" w:rsidRPr="00D17F8B" w:rsidRDefault="0073642B">
            <w:pPr>
              <w:keepNext/>
              <w:spacing w:before="60" w:after="60"/>
              <w:rPr>
                <w:color w:val="000000"/>
                <w:sz w:val="18"/>
                <w:szCs w:val="18"/>
              </w:rPr>
            </w:pPr>
            <w:r w:rsidRPr="00D17F8B">
              <w:rPr>
                <w:color w:val="000000"/>
                <w:sz w:val="18"/>
                <w:szCs w:val="18"/>
              </w:rPr>
              <w:t>Number of inhabitants feeding one STP</w:t>
            </w:r>
          </w:p>
          <w:p w14:paraId="51BC02FA"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i/>
                <w:color w:val="000000"/>
                <w:sz w:val="18"/>
                <w:szCs w:val="18"/>
              </w:rPr>
              <w:t>Nlocal</w:t>
            </w:r>
          </w:p>
        </w:tc>
        <w:tc>
          <w:tcPr>
            <w:tcW w:w="2365" w:type="dxa"/>
            <w:tcBorders>
              <w:top w:val="single" w:sz="4" w:space="0" w:color="000000"/>
              <w:left w:val="single" w:sz="4" w:space="0" w:color="000000"/>
              <w:bottom w:val="single" w:sz="4" w:space="0" w:color="000000"/>
            </w:tcBorders>
            <w:shd w:val="clear" w:color="auto" w:fill="auto"/>
          </w:tcPr>
          <w:p w14:paraId="34CB0890"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rFonts w:eastAsia="Calibri" w:cs="Arial"/>
                <w:color w:val="000000"/>
                <w:sz w:val="18"/>
                <w:szCs w:val="18"/>
                <w:lang w:eastAsia="en-GB"/>
              </w:rPr>
              <w:t>10 000</w:t>
            </w:r>
          </w:p>
        </w:tc>
        <w:tc>
          <w:tcPr>
            <w:tcW w:w="1434" w:type="dxa"/>
            <w:tcBorders>
              <w:top w:val="single" w:sz="4" w:space="0" w:color="000000"/>
              <w:left w:val="single" w:sz="4" w:space="0" w:color="000000"/>
              <w:bottom w:val="single" w:sz="4" w:space="0" w:color="000000"/>
            </w:tcBorders>
            <w:shd w:val="clear" w:color="auto" w:fill="auto"/>
          </w:tcPr>
          <w:p w14:paraId="6C144AAF"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61821BA0"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Default</w:t>
            </w:r>
          </w:p>
        </w:tc>
      </w:tr>
      <w:tr w:rsidR="0073642B" w14:paraId="27A4440A" w14:textId="77777777" w:rsidTr="00675538">
        <w:trPr>
          <w:trHeight w:val="93"/>
        </w:trPr>
        <w:tc>
          <w:tcPr>
            <w:tcW w:w="2694" w:type="dxa"/>
            <w:tcBorders>
              <w:top w:val="single" w:sz="4" w:space="0" w:color="000000"/>
              <w:left w:val="single" w:sz="4" w:space="0" w:color="000000"/>
              <w:bottom w:val="single" w:sz="4" w:space="0" w:color="auto"/>
            </w:tcBorders>
            <w:shd w:val="clear" w:color="auto" w:fill="auto"/>
          </w:tcPr>
          <w:p w14:paraId="336D5336" w14:textId="77777777" w:rsidR="0073642B" w:rsidRPr="00D17F8B" w:rsidRDefault="0073642B">
            <w:pPr>
              <w:keepNext/>
              <w:rPr>
                <w:color w:val="000000"/>
                <w:sz w:val="18"/>
                <w:szCs w:val="18"/>
              </w:rPr>
            </w:pPr>
            <w:r w:rsidRPr="00D17F8B">
              <w:rPr>
                <w:color w:val="000000"/>
                <w:sz w:val="18"/>
                <w:szCs w:val="18"/>
              </w:rPr>
              <w:t>Fraction released to wastewater</w:t>
            </w:r>
          </w:p>
          <w:p w14:paraId="041E07FA"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i/>
                <w:color w:val="000000"/>
                <w:sz w:val="18"/>
                <w:szCs w:val="18"/>
              </w:rPr>
              <w:t>F</w:t>
            </w:r>
            <w:r w:rsidRPr="00D17F8B">
              <w:rPr>
                <w:i/>
                <w:color w:val="000000"/>
                <w:sz w:val="18"/>
                <w:szCs w:val="18"/>
                <w:vertAlign w:val="subscript"/>
              </w:rPr>
              <w:t>water</w:t>
            </w:r>
          </w:p>
        </w:tc>
        <w:tc>
          <w:tcPr>
            <w:tcW w:w="2365" w:type="dxa"/>
            <w:tcBorders>
              <w:top w:val="single" w:sz="4" w:space="0" w:color="000000"/>
              <w:left w:val="single" w:sz="4" w:space="0" w:color="000000"/>
              <w:bottom w:val="single" w:sz="4" w:space="0" w:color="auto"/>
            </w:tcBorders>
            <w:shd w:val="clear" w:color="auto" w:fill="auto"/>
          </w:tcPr>
          <w:p w14:paraId="0F24AEA1"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rFonts w:eastAsia="Calibri" w:cs="Arial"/>
                <w:color w:val="000000"/>
                <w:sz w:val="18"/>
                <w:szCs w:val="18"/>
                <w:lang w:eastAsia="en-GB"/>
              </w:rPr>
              <w:t>1</w:t>
            </w:r>
          </w:p>
        </w:tc>
        <w:tc>
          <w:tcPr>
            <w:tcW w:w="1434" w:type="dxa"/>
            <w:tcBorders>
              <w:top w:val="single" w:sz="4" w:space="0" w:color="000000"/>
              <w:left w:val="single" w:sz="4" w:space="0" w:color="000000"/>
              <w:bottom w:val="single" w:sz="4" w:space="0" w:color="auto"/>
            </w:tcBorders>
            <w:shd w:val="clear" w:color="auto" w:fill="auto"/>
          </w:tcPr>
          <w:p w14:paraId="0D4C21CB"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w:t>
            </w:r>
          </w:p>
        </w:tc>
        <w:tc>
          <w:tcPr>
            <w:tcW w:w="2602" w:type="dxa"/>
            <w:tcBorders>
              <w:top w:val="single" w:sz="4" w:space="0" w:color="000000"/>
              <w:left w:val="single" w:sz="4" w:space="0" w:color="000000"/>
              <w:bottom w:val="single" w:sz="4" w:space="0" w:color="auto"/>
              <w:right w:val="single" w:sz="4" w:space="0" w:color="000000"/>
            </w:tcBorders>
            <w:shd w:val="clear" w:color="auto" w:fill="auto"/>
          </w:tcPr>
          <w:p w14:paraId="3CB93147"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Default</w:t>
            </w:r>
          </w:p>
        </w:tc>
      </w:tr>
      <w:tr w:rsidR="00972DE9" w14:paraId="5993EE93" w14:textId="77777777" w:rsidTr="00FF4A61">
        <w:trPr>
          <w:trHeight w:val="93"/>
        </w:trPr>
        <w:tc>
          <w:tcPr>
            <w:tcW w:w="2694" w:type="dxa"/>
            <w:tcBorders>
              <w:top w:val="single" w:sz="4" w:space="0" w:color="auto"/>
              <w:left w:val="single" w:sz="4" w:space="0" w:color="auto"/>
              <w:right w:val="single" w:sz="4" w:space="0" w:color="auto"/>
            </w:tcBorders>
            <w:shd w:val="clear" w:color="auto" w:fill="auto"/>
            <w:vAlign w:val="center"/>
          </w:tcPr>
          <w:p w14:paraId="0231DE41" w14:textId="77777777" w:rsidR="00972DE9" w:rsidRPr="00D17F8B" w:rsidRDefault="00972DE9">
            <w:pPr>
              <w:suppressAutoHyphens w:val="0"/>
              <w:rPr>
                <w:color w:val="000000"/>
                <w:sz w:val="18"/>
                <w:szCs w:val="18"/>
              </w:rPr>
            </w:pPr>
            <w:r w:rsidRPr="00D17F8B">
              <w:rPr>
                <w:color w:val="000000"/>
                <w:sz w:val="18"/>
                <w:szCs w:val="18"/>
              </w:rPr>
              <w:t xml:space="preserve">Concentration of substance in the product </w:t>
            </w:r>
          </w:p>
          <w:p w14:paraId="5DC3B501" w14:textId="4E2824BA" w:rsidR="00972DE9" w:rsidRPr="00D17F8B" w:rsidRDefault="00972DE9">
            <w:pPr>
              <w:suppressAutoHyphens w:val="0"/>
              <w:rPr>
                <w:color w:val="000000"/>
                <w:sz w:val="18"/>
                <w:szCs w:val="18"/>
              </w:rPr>
            </w:pPr>
            <w:r w:rsidRPr="00D17F8B">
              <w:rPr>
                <w:i/>
                <w:color w:val="000000"/>
                <w:sz w:val="18"/>
                <w:szCs w:val="18"/>
              </w:rPr>
              <w:t>C</w:t>
            </w:r>
            <w:r w:rsidRPr="00D17F8B">
              <w:rPr>
                <w:i/>
                <w:color w:val="000000"/>
                <w:sz w:val="18"/>
                <w:szCs w:val="18"/>
                <w:vertAlign w:val="subscript"/>
              </w:rPr>
              <w:t>product</w:t>
            </w:r>
          </w:p>
        </w:tc>
        <w:tc>
          <w:tcPr>
            <w:tcW w:w="2365" w:type="dxa"/>
            <w:tcBorders>
              <w:top w:val="single" w:sz="4" w:space="0" w:color="auto"/>
              <w:left w:val="single" w:sz="4" w:space="0" w:color="auto"/>
              <w:right w:val="single" w:sz="4" w:space="0" w:color="auto"/>
            </w:tcBorders>
            <w:shd w:val="clear" w:color="auto" w:fill="auto"/>
            <w:vAlign w:val="center"/>
          </w:tcPr>
          <w:p w14:paraId="3803C014" w14:textId="77777777" w:rsidR="00972DE9" w:rsidRPr="00D17F8B" w:rsidRDefault="00972DE9">
            <w:pPr>
              <w:snapToGrid w:val="0"/>
              <w:spacing w:before="60" w:after="60" w:line="260" w:lineRule="atLeast"/>
              <w:rPr>
                <w:rFonts w:eastAsia="Calibri" w:cs="Arial"/>
                <w:color w:val="000000"/>
                <w:sz w:val="18"/>
                <w:szCs w:val="18"/>
                <w:lang w:eastAsia="en-GB"/>
              </w:rPr>
            </w:pPr>
          </w:p>
        </w:tc>
        <w:tc>
          <w:tcPr>
            <w:tcW w:w="1434" w:type="dxa"/>
            <w:tcBorders>
              <w:top w:val="single" w:sz="4" w:space="0" w:color="auto"/>
              <w:left w:val="single" w:sz="4" w:space="0" w:color="auto"/>
              <w:right w:val="single" w:sz="4" w:space="0" w:color="auto"/>
            </w:tcBorders>
            <w:shd w:val="clear" w:color="auto" w:fill="auto"/>
            <w:vAlign w:val="center"/>
          </w:tcPr>
          <w:p w14:paraId="02EC9B82" w14:textId="77777777" w:rsidR="00972DE9" w:rsidRPr="00D17F8B" w:rsidRDefault="00972DE9">
            <w:pPr>
              <w:snapToGrid w:val="0"/>
              <w:spacing w:before="60" w:after="60" w:line="260" w:lineRule="atLeast"/>
              <w:rPr>
                <w:color w:val="000000"/>
                <w:sz w:val="18"/>
                <w:szCs w:val="18"/>
              </w:rPr>
            </w:pPr>
          </w:p>
        </w:tc>
        <w:tc>
          <w:tcPr>
            <w:tcW w:w="2602" w:type="dxa"/>
            <w:tcBorders>
              <w:top w:val="single" w:sz="4" w:space="0" w:color="auto"/>
              <w:left w:val="single" w:sz="4" w:space="0" w:color="auto"/>
              <w:right w:val="single" w:sz="4" w:space="0" w:color="auto"/>
            </w:tcBorders>
            <w:shd w:val="clear" w:color="auto" w:fill="auto"/>
            <w:vAlign w:val="center"/>
          </w:tcPr>
          <w:p w14:paraId="4A166E57" w14:textId="77777777" w:rsidR="00972DE9" w:rsidRPr="00D17F8B" w:rsidRDefault="00972DE9">
            <w:pPr>
              <w:snapToGrid w:val="0"/>
              <w:spacing w:before="60" w:after="60" w:line="260" w:lineRule="atLeast"/>
              <w:rPr>
                <w:sz w:val="18"/>
                <w:szCs w:val="18"/>
              </w:rPr>
            </w:pPr>
          </w:p>
        </w:tc>
      </w:tr>
      <w:tr w:rsidR="0073642B" w14:paraId="26A84F00" w14:textId="77777777" w:rsidTr="00FF4A61">
        <w:trPr>
          <w:trHeight w:val="441"/>
        </w:trPr>
        <w:tc>
          <w:tcPr>
            <w:tcW w:w="2694" w:type="dxa"/>
            <w:tcBorders>
              <w:left w:val="single" w:sz="4" w:space="0" w:color="auto"/>
              <w:right w:val="single" w:sz="4" w:space="0" w:color="auto"/>
            </w:tcBorders>
            <w:shd w:val="clear" w:color="auto" w:fill="auto"/>
            <w:vAlign w:val="center"/>
          </w:tcPr>
          <w:p w14:paraId="2F05B64D" w14:textId="6D19A3E3" w:rsidR="0073642B" w:rsidRPr="00D17F8B" w:rsidRDefault="0073642B">
            <w:pPr>
              <w:keepNext/>
              <w:rPr>
                <w:rFonts w:eastAsia="Calibri" w:cs="Arial"/>
                <w:color w:val="000000"/>
                <w:sz w:val="18"/>
                <w:szCs w:val="18"/>
                <w:lang w:eastAsia="en-GB"/>
              </w:rPr>
            </w:pPr>
            <w:r w:rsidRPr="00D17F8B">
              <w:rPr>
                <w:rFonts w:eastAsia="Calibri" w:cs="Arial"/>
                <w:color w:val="000000"/>
                <w:sz w:val="18"/>
                <w:szCs w:val="18"/>
                <w:lang w:eastAsia="en-GB"/>
              </w:rPr>
              <w:t xml:space="preserve">Lactic </w:t>
            </w:r>
            <w:r>
              <w:rPr>
                <w:rFonts w:eastAsia="Calibri" w:cs="Arial"/>
                <w:color w:val="000000"/>
                <w:sz w:val="18"/>
                <w:szCs w:val="18"/>
                <w:lang w:eastAsia="en-GB"/>
              </w:rPr>
              <w:t>a</w:t>
            </w:r>
            <w:r w:rsidRPr="00D17F8B">
              <w:rPr>
                <w:rFonts w:eastAsia="Calibri" w:cs="Arial"/>
                <w:color w:val="000000"/>
                <w:sz w:val="18"/>
                <w:szCs w:val="18"/>
                <w:lang w:eastAsia="en-GB"/>
              </w:rPr>
              <w:t>cid</w:t>
            </w:r>
          </w:p>
        </w:tc>
        <w:tc>
          <w:tcPr>
            <w:tcW w:w="2365" w:type="dxa"/>
            <w:tcBorders>
              <w:left w:val="single" w:sz="4" w:space="0" w:color="auto"/>
              <w:right w:val="single" w:sz="4" w:space="0" w:color="auto"/>
            </w:tcBorders>
            <w:shd w:val="clear" w:color="auto" w:fill="auto"/>
            <w:vAlign w:val="center"/>
          </w:tcPr>
          <w:p w14:paraId="59BC7244" w14:textId="252B1BAF" w:rsidR="00972DE9" w:rsidRDefault="00972DE9">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4.00E-02</w:t>
            </w:r>
          </w:p>
        </w:tc>
        <w:tc>
          <w:tcPr>
            <w:tcW w:w="1434" w:type="dxa"/>
            <w:vMerge w:val="restart"/>
            <w:tcBorders>
              <w:left w:val="single" w:sz="4" w:space="0" w:color="auto"/>
              <w:bottom w:val="single" w:sz="4" w:space="0" w:color="auto"/>
              <w:right w:val="single" w:sz="4" w:space="0" w:color="auto"/>
            </w:tcBorders>
            <w:shd w:val="clear" w:color="auto" w:fill="auto"/>
            <w:vAlign w:val="center"/>
          </w:tcPr>
          <w:p w14:paraId="092F8350"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kg.l</w:t>
            </w:r>
            <w:r w:rsidRPr="00D17F8B">
              <w:rPr>
                <w:color w:val="000000"/>
                <w:sz w:val="18"/>
                <w:szCs w:val="18"/>
                <w:vertAlign w:val="superscript"/>
              </w:rPr>
              <w:t>-1</w:t>
            </w:r>
          </w:p>
        </w:tc>
        <w:tc>
          <w:tcPr>
            <w:tcW w:w="2602" w:type="dxa"/>
            <w:vMerge w:val="restart"/>
            <w:tcBorders>
              <w:left w:val="single" w:sz="4" w:space="0" w:color="auto"/>
              <w:bottom w:val="single" w:sz="4" w:space="0" w:color="auto"/>
              <w:right w:val="single" w:sz="4" w:space="0" w:color="auto"/>
            </w:tcBorders>
            <w:shd w:val="clear" w:color="auto" w:fill="auto"/>
            <w:vAlign w:val="center"/>
          </w:tcPr>
          <w:p w14:paraId="7ECD57A5" w14:textId="5B13AEAD" w:rsidR="0073642B" w:rsidRPr="00D17F8B" w:rsidRDefault="009B4803">
            <w:pPr>
              <w:snapToGrid w:val="0"/>
              <w:spacing w:before="60" w:after="60" w:line="260" w:lineRule="atLeast"/>
              <w:rPr>
                <w:rFonts w:eastAsia="Calibri" w:cs="Arial"/>
                <w:color w:val="000000"/>
                <w:sz w:val="18"/>
                <w:szCs w:val="18"/>
                <w:lang w:eastAsia="en-GB"/>
              </w:rPr>
            </w:pPr>
            <w:r w:rsidRPr="00FF4A61">
              <w:rPr>
                <w:sz w:val="18"/>
                <w:szCs w:val="18"/>
                <w:lang w:val="en-US"/>
              </w:rPr>
              <w:t>Considering that product density may vary from 1.004 to 1.077</w:t>
            </w:r>
            <w:r w:rsidR="00C63C55" w:rsidRPr="00FF4A61">
              <w:rPr>
                <w:sz w:val="18"/>
                <w:szCs w:val="18"/>
                <w:lang w:val="en-US"/>
              </w:rPr>
              <w:t xml:space="preserve"> for all the Meta-SPC</w:t>
            </w:r>
            <w:r w:rsidRPr="00FF4A61">
              <w:rPr>
                <w:sz w:val="18"/>
                <w:szCs w:val="18"/>
                <w:lang w:val="en-US"/>
              </w:rPr>
              <w:t>, a density of 1 is considered for the assessment</w:t>
            </w:r>
          </w:p>
        </w:tc>
      </w:tr>
      <w:tr w:rsidR="00972DE9" w14:paraId="5D39AED4" w14:textId="77777777" w:rsidTr="00FF4A61">
        <w:trPr>
          <w:trHeight w:val="441"/>
        </w:trPr>
        <w:tc>
          <w:tcPr>
            <w:tcW w:w="2694" w:type="dxa"/>
            <w:tcBorders>
              <w:left w:val="single" w:sz="4" w:space="0" w:color="auto"/>
              <w:right w:val="single" w:sz="4" w:space="0" w:color="auto"/>
            </w:tcBorders>
            <w:shd w:val="clear" w:color="auto" w:fill="auto"/>
            <w:vAlign w:val="center"/>
          </w:tcPr>
          <w:p w14:paraId="6EC0B6A9" w14:textId="60E13B75" w:rsidR="00972DE9" w:rsidRDefault="00972DE9">
            <w:pPr>
              <w:keepNext/>
              <w:rPr>
                <w:color w:val="000000"/>
                <w:sz w:val="18"/>
                <w:szCs w:val="18"/>
              </w:rPr>
            </w:pPr>
            <w:r w:rsidRPr="00D17F8B">
              <w:rPr>
                <w:rFonts w:eastAsia="Calibri" w:cs="Times New Roman"/>
                <w:sz w:val="18"/>
                <w:szCs w:val="18"/>
                <w:lang w:eastAsia="en-US"/>
              </w:rPr>
              <w:t>Amines, coco alkyldimethyl, N-oxides</w:t>
            </w:r>
          </w:p>
        </w:tc>
        <w:tc>
          <w:tcPr>
            <w:tcW w:w="2365" w:type="dxa"/>
            <w:tcBorders>
              <w:left w:val="single" w:sz="4" w:space="0" w:color="auto"/>
              <w:right w:val="single" w:sz="4" w:space="0" w:color="auto"/>
            </w:tcBorders>
            <w:shd w:val="clear" w:color="auto" w:fill="auto"/>
            <w:vAlign w:val="center"/>
          </w:tcPr>
          <w:p w14:paraId="75A345B3" w14:textId="4A825AA3" w:rsidR="00972DE9" w:rsidRDefault="00972DE9">
            <w:pPr>
              <w:keepNext/>
              <w:rPr>
                <w:color w:val="000000"/>
                <w:sz w:val="18"/>
                <w:szCs w:val="18"/>
              </w:rPr>
            </w:pPr>
            <w:r>
              <w:rPr>
                <w:color w:val="000000"/>
                <w:sz w:val="18"/>
                <w:szCs w:val="18"/>
              </w:rPr>
              <w:t>1.00E-03</w:t>
            </w:r>
          </w:p>
        </w:tc>
        <w:tc>
          <w:tcPr>
            <w:tcW w:w="1434" w:type="dxa"/>
            <w:vMerge/>
            <w:tcBorders>
              <w:left w:val="single" w:sz="4" w:space="0" w:color="auto"/>
              <w:bottom w:val="single" w:sz="4" w:space="0" w:color="auto"/>
              <w:right w:val="single" w:sz="4" w:space="0" w:color="auto"/>
            </w:tcBorders>
            <w:shd w:val="clear" w:color="auto" w:fill="auto"/>
            <w:vAlign w:val="center"/>
          </w:tcPr>
          <w:p w14:paraId="13B5D4B9" w14:textId="77777777" w:rsidR="00972DE9" w:rsidRPr="00D17F8B" w:rsidRDefault="00972DE9">
            <w:pPr>
              <w:snapToGrid w:val="0"/>
              <w:spacing w:before="60" w:after="60" w:line="260" w:lineRule="atLeast"/>
              <w:rPr>
                <w:color w:val="000000"/>
                <w:sz w:val="18"/>
                <w:szCs w:val="18"/>
              </w:rPr>
            </w:pPr>
          </w:p>
        </w:tc>
        <w:tc>
          <w:tcPr>
            <w:tcW w:w="2602" w:type="dxa"/>
            <w:vMerge/>
            <w:tcBorders>
              <w:left w:val="single" w:sz="4" w:space="0" w:color="auto"/>
              <w:bottom w:val="single" w:sz="4" w:space="0" w:color="auto"/>
              <w:right w:val="single" w:sz="4" w:space="0" w:color="auto"/>
            </w:tcBorders>
            <w:shd w:val="clear" w:color="auto" w:fill="auto"/>
            <w:vAlign w:val="center"/>
          </w:tcPr>
          <w:p w14:paraId="41AE77E0" w14:textId="77777777" w:rsidR="00972DE9" w:rsidRPr="00D17F8B" w:rsidRDefault="00972DE9">
            <w:pPr>
              <w:snapToGrid w:val="0"/>
              <w:spacing w:before="60" w:after="60" w:line="260" w:lineRule="atLeast"/>
              <w:rPr>
                <w:sz w:val="18"/>
                <w:szCs w:val="18"/>
              </w:rPr>
            </w:pPr>
          </w:p>
        </w:tc>
      </w:tr>
      <w:tr w:rsidR="00972DE9" w14:paraId="72E5E208" w14:textId="77777777" w:rsidTr="00FF4A61">
        <w:trPr>
          <w:trHeight w:val="441"/>
        </w:trPr>
        <w:tc>
          <w:tcPr>
            <w:tcW w:w="2694" w:type="dxa"/>
            <w:tcBorders>
              <w:left w:val="single" w:sz="4" w:space="0" w:color="auto"/>
              <w:bottom w:val="single" w:sz="4" w:space="0" w:color="auto"/>
              <w:right w:val="single" w:sz="4" w:space="0" w:color="auto"/>
            </w:tcBorders>
            <w:shd w:val="clear" w:color="auto" w:fill="auto"/>
            <w:vAlign w:val="center"/>
          </w:tcPr>
          <w:p w14:paraId="2A989150" w14:textId="77777777" w:rsidR="00FF4A61" w:rsidRDefault="00FF4A61">
            <w:pPr>
              <w:keepNext/>
              <w:rPr>
                <w:rFonts w:eastAsia="Calibri" w:cs="Arial"/>
                <w:color w:val="000000"/>
                <w:sz w:val="18"/>
                <w:szCs w:val="18"/>
                <w:lang w:eastAsia="en-GB"/>
              </w:rPr>
            </w:pPr>
          </w:p>
          <w:p w14:paraId="5B4FF4C5" w14:textId="5A167522" w:rsidR="00972DE9" w:rsidRDefault="00972DE9">
            <w:pPr>
              <w:keepNext/>
              <w:rPr>
                <w:rFonts w:eastAsia="Calibri" w:cs="Arial"/>
                <w:color w:val="000000"/>
                <w:sz w:val="18"/>
                <w:szCs w:val="18"/>
                <w:lang w:eastAsia="en-GB"/>
              </w:rPr>
            </w:pPr>
            <w:r w:rsidRPr="00D17F8B">
              <w:rPr>
                <w:rFonts w:eastAsia="Calibri" w:cs="Arial"/>
                <w:color w:val="000000"/>
                <w:sz w:val="18"/>
                <w:szCs w:val="18"/>
                <w:lang w:eastAsia="en-GB"/>
              </w:rPr>
              <w:t>OTNE</w:t>
            </w:r>
            <w:r w:rsidR="00412653">
              <w:rPr>
                <w:rFonts w:eastAsia="Calibri" w:cs="Arial"/>
                <w:color w:val="000000"/>
                <w:sz w:val="18"/>
                <w:szCs w:val="18"/>
                <w:lang w:eastAsia="en-GB"/>
              </w:rPr>
              <w:t xml:space="preserve"> (meta-SPC 9)</w:t>
            </w:r>
          </w:p>
          <w:p w14:paraId="0CAC83BC" w14:textId="0AF4E784" w:rsidR="00412653" w:rsidRDefault="00412653">
            <w:pPr>
              <w:keepNext/>
              <w:rPr>
                <w:color w:val="000000"/>
                <w:sz w:val="18"/>
                <w:szCs w:val="18"/>
              </w:rPr>
            </w:pPr>
            <w:r>
              <w:rPr>
                <w:rFonts w:eastAsia="Calibri" w:cs="Arial"/>
                <w:color w:val="000000"/>
                <w:sz w:val="18"/>
                <w:szCs w:val="18"/>
                <w:lang w:eastAsia="en-GB"/>
              </w:rPr>
              <w:t xml:space="preserve">OTNE </w:t>
            </w:r>
            <w:r w:rsidR="00FF4A61">
              <w:rPr>
                <w:rFonts w:eastAsia="Calibri" w:cs="Arial"/>
                <w:color w:val="000000"/>
                <w:sz w:val="18"/>
                <w:szCs w:val="18"/>
                <w:lang w:eastAsia="en-GB"/>
              </w:rPr>
              <w:t xml:space="preserve">refinement </w:t>
            </w:r>
            <w:r>
              <w:rPr>
                <w:rFonts w:eastAsia="Calibri" w:cs="Arial"/>
                <w:color w:val="000000"/>
                <w:sz w:val="18"/>
                <w:szCs w:val="18"/>
                <w:lang w:eastAsia="en-GB"/>
              </w:rPr>
              <w:t>(meta-SPC 10)</w:t>
            </w:r>
          </w:p>
        </w:tc>
        <w:tc>
          <w:tcPr>
            <w:tcW w:w="2365" w:type="dxa"/>
            <w:tcBorders>
              <w:left w:val="single" w:sz="4" w:space="0" w:color="auto"/>
              <w:bottom w:val="single" w:sz="4" w:space="0" w:color="auto"/>
              <w:right w:val="single" w:sz="4" w:space="0" w:color="auto"/>
            </w:tcBorders>
            <w:shd w:val="clear" w:color="auto" w:fill="auto"/>
            <w:vAlign w:val="center"/>
          </w:tcPr>
          <w:p w14:paraId="62A6A00D" w14:textId="77777777" w:rsidR="00972DE9" w:rsidRDefault="00972DE9">
            <w:pPr>
              <w:keepNext/>
              <w:rPr>
                <w:color w:val="000000"/>
                <w:sz w:val="18"/>
                <w:szCs w:val="18"/>
              </w:rPr>
            </w:pPr>
            <w:r>
              <w:rPr>
                <w:color w:val="000000"/>
                <w:sz w:val="18"/>
                <w:szCs w:val="18"/>
              </w:rPr>
              <w:t>9.00E-03</w:t>
            </w:r>
          </w:p>
          <w:p w14:paraId="08F4EEC9" w14:textId="63776482" w:rsidR="00412653" w:rsidRDefault="00412653">
            <w:pPr>
              <w:keepNext/>
              <w:rPr>
                <w:color w:val="000000"/>
                <w:sz w:val="18"/>
                <w:szCs w:val="18"/>
              </w:rPr>
            </w:pPr>
            <w:r>
              <w:rPr>
                <w:color w:val="000000"/>
                <w:sz w:val="18"/>
                <w:szCs w:val="18"/>
              </w:rPr>
              <w:t>9.00E-04</w:t>
            </w:r>
          </w:p>
        </w:tc>
        <w:tc>
          <w:tcPr>
            <w:tcW w:w="1434" w:type="dxa"/>
            <w:vMerge/>
            <w:tcBorders>
              <w:left w:val="single" w:sz="4" w:space="0" w:color="auto"/>
              <w:bottom w:val="single" w:sz="4" w:space="0" w:color="auto"/>
              <w:right w:val="single" w:sz="4" w:space="0" w:color="auto"/>
            </w:tcBorders>
            <w:shd w:val="clear" w:color="auto" w:fill="auto"/>
            <w:vAlign w:val="center"/>
          </w:tcPr>
          <w:p w14:paraId="37793A7C" w14:textId="77777777" w:rsidR="00972DE9" w:rsidRPr="00D17F8B" w:rsidRDefault="00972DE9">
            <w:pPr>
              <w:snapToGrid w:val="0"/>
              <w:spacing w:before="60" w:after="60" w:line="260" w:lineRule="atLeast"/>
              <w:rPr>
                <w:color w:val="000000"/>
                <w:sz w:val="18"/>
                <w:szCs w:val="18"/>
              </w:rPr>
            </w:pPr>
          </w:p>
        </w:tc>
        <w:tc>
          <w:tcPr>
            <w:tcW w:w="2602" w:type="dxa"/>
            <w:vMerge/>
            <w:tcBorders>
              <w:left w:val="single" w:sz="4" w:space="0" w:color="auto"/>
              <w:bottom w:val="single" w:sz="4" w:space="0" w:color="auto"/>
              <w:right w:val="single" w:sz="4" w:space="0" w:color="auto"/>
            </w:tcBorders>
            <w:shd w:val="clear" w:color="auto" w:fill="auto"/>
            <w:vAlign w:val="center"/>
          </w:tcPr>
          <w:p w14:paraId="40C579FE" w14:textId="77777777" w:rsidR="00972DE9" w:rsidRPr="00D17F8B" w:rsidRDefault="00972DE9">
            <w:pPr>
              <w:snapToGrid w:val="0"/>
              <w:spacing w:before="60" w:after="60" w:line="260" w:lineRule="atLeast"/>
              <w:rPr>
                <w:sz w:val="18"/>
                <w:szCs w:val="18"/>
              </w:rPr>
            </w:pPr>
          </w:p>
        </w:tc>
      </w:tr>
      <w:tr w:rsidR="0073642B" w14:paraId="4B6B1F2D" w14:textId="77777777" w:rsidTr="00675538">
        <w:trPr>
          <w:trHeight w:val="93"/>
        </w:trPr>
        <w:tc>
          <w:tcPr>
            <w:tcW w:w="2694" w:type="dxa"/>
            <w:tcBorders>
              <w:left w:val="single" w:sz="4" w:space="0" w:color="000000"/>
              <w:bottom w:val="single" w:sz="4" w:space="0" w:color="000000"/>
            </w:tcBorders>
            <w:shd w:val="clear" w:color="auto" w:fill="auto"/>
          </w:tcPr>
          <w:p w14:paraId="21EB88CC" w14:textId="77777777" w:rsidR="0073642B" w:rsidRPr="00D17F8B" w:rsidRDefault="0073642B">
            <w:pPr>
              <w:keepNext/>
              <w:rPr>
                <w:color w:val="000000"/>
                <w:sz w:val="18"/>
                <w:szCs w:val="18"/>
              </w:rPr>
            </w:pPr>
            <w:r w:rsidRPr="00D17F8B">
              <w:rPr>
                <w:color w:val="000000"/>
                <w:sz w:val="18"/>
                <w:szCs w:val="18"/>
              </w:rPr>
              <w:t>Consumption per capita (general purpose + lavatory)</w:t>
            </w:r>
          </w:p>
          <w:p w14:paraId="63EBACC2" w14:textId="77777777" w:rsidR="0073642B" w:rsidRPr="00D17F8B" w:rsidRDefault="0073642B">
            <w:pPr>
              <w:keepNext/>
              <w:rPr>
                <w:color w:val="000000"/>
                <w:sz w:val="18"/>
                <w:szCs w:val="18"/>
              </w:rPr>
            </w:pPr>
            <w:r w:rsidRPr="00D17F8B">
              <w:rPr>
                <w:i/>
                <w:color w:val="000000"/>
                <w:sz w:val="18"/>
                <w:szCs w:val="18"/>
              </w:rPr>
              <w:t>Q</w:t>
            </w:r>
            <w:r w:rsidRPr="00D17F8B">
              <w:rPr>
                <w:i/>
                <w:color w:val="000000"/>
                <w:sz w:val="18"/>
                <w:szCs w:val="18"/>
                <w:vertAlign w:val="subscript"/>
              </w:rPr>
              <w:t>product</w:t>
            </w:r>
          </w:p>
        </w:tc>
        <w:tc>
          <w:tcPr>
            <w:tcW w:w="2365" w:type="dxa"/>
            <w:tcBorders>
              <w:left w:val="single" w:sz="4" w:space="0" w:color="000000"/>
              <w:bottom w:val="single" w:sz="4" w:space="0" w:color="000000"/>
            </w:tcBorders>
            <w:shd w:val="clear" w:color="auto" w:fill="auto"/>
          </w:tcPr>
          <w:p w14:paraId="634F8696"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rFonts w:eastAsia="Calibri" w:cs="Arial"/>
                <w:color w:val="000000"/>
                <w:sz w:val="18"/>
                <w:szCs w:val="18"/>
                <w:lang w:eastAsia="en-GB"/>
              </w:rPr>
              <w:t>0.007</w:t>
            </w:r>
          </w:p>
        </w:tc>
        <w:tc>
          <w:tcPr>
            <w:tcW w:w="1434" w:type="dxa"/>
            <w:tcBorders>
              <w:top w:val="single" w:sz="4" w:space="0" w:color="auto"/>
              <w:left w:val="single" w:sz="4" w:space="0" w:color="000000"/>
              <w:bottom w:val="single" w:sz="4" w:space="0" w:color="000000"/>
            </w:tcBorders>
            <w:shd w:val="clear" w:color="auto" w:fill="auto"/>
          </w:tcPr>
          <w:p w14:paraId="7CEB08D9"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l.cap-1.d</w:t>
            </w:r>
            <w:r w:rsidRPr="00D17F8B">
              <w:rPr>
                <w:color w:val="000000"/>
                <w:sz w:val="18"/>
                <w:szCs w:val="18"/>
                <w:vertAlign w:val="superscript"/>
              </w:rPr>
              <w:t>-1</w:t>
            </w:r>
          </w:p>
        </w:tc>
        <w:tc>
          <w:tcPr>
            <w:tcW w:w="2602" w:type="dxa"/>
            <w:tcBorders>
              <w:top w:val="single" w:sz="4" w:space="0" w:color="auto"/>
              <w:left w:val="single" w:sz="4" w:space="0" w:color="000000"/>
              <w:bottom w:val="single" w:sz="4" w:space="0" w:color="000000"/>
              <w:right w:val="single" w:sz="4" w:space="0" w:color="000000"/>
            </w:tcBorders>
            <w:shd w:val="clear" w:color="auto" w:fill="auto"/>
          </w:tcPr>
          <w:p w14:paraId="5FBF5D4C" w14:textId="2518DDE1"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Default</w:t>
            </w:r>
            <w:r w:rsidR="000A5A0D">
              <w:rPr>
                <w:color w:val="000000"/>
                <w:sz w:val="18"/>
                <w:szCs w:val="18"/>
              </w:rPr>
              <w:t xml:space="preserve"> for household and institutional disinfect</w:t>
            </w:r>
            <w:r w:rsidR="009908DF">
              <w:rPr>
                <w:color w:val="000000"/>
                <w:sz w:val="18"/>
                <w:szCs w:val="18"/>
              </w:rPr>
              <w:t>ion and</w:t>
            </w:r>
            <w:r w:rsidR="000A5A0D">
              <w:rPr>
                <w:color w:val="000000"/>
                <w:sz w:val="18"/>
                <w:szCs w:val="18"/>
              </w:rPr>
              <w:t xml:space="preserve"> toil</w:t>
            </w:r>
            <w:r w:rsidR="009908DF">
              <w:rPr>
                <w:color w:val="000000"/>
                <w:sz w:val="18"/>
                <w:szCs w:val="18"/>
              </w:rPr>
              <w:t>et</w:t>
            </w:r>
            <w:r w:rsidR="000A5A0D">
              <w:rPr>
                <w:color w:val="000000"/>
                <w:sz w:val="18"/>
                <w:szCs w:val="18"/>
              </w:rPr>
              <w:t xml:space="preserve"> bowls</w:t>
            </w:r>
          </w:p>
        </w:tc>
      </w:tr>
      <w:tr w:rsidR="0073642B" w14:paraId="2502CC73" w14:textId="77777777" w:rsidTr="00675538">
        <w:trPr>
          <w:trHeight w:val="93"/>
        </w:trPr>
        <w:tc>
          <w:tcPr>
            <w:tcW w:w="2694" w:type="dxa"/>
            <w:tcBorders>
              <w:top w:val="single" w:sz="4" w:space="0" w:color="000000"/>
              <w:left w:val="single" w:sz="4" w:space="0" w:color="000000"/>
              <w:bottom w:val="single" w:sz="4" w:space="0" w:color="000000"/>
            </w:tcBorders>
            <w:shd w:val="clear" w:color="auto" w:fill="auto"/>
          </w:tcPr>
          <w:p w14:paraId="6797D0C5" w14:textId="77777777" w:rsidR="0073642B" w:rsidRPr="00D17F8B" w:rsidRDefault="0073642B">
            <w:pPr>
              <w:keepNext/>
              <w:rPr>
                <w:color w:val="000000"/>
                <w:sz w:val="18"/>
                <w:szCs w:val="18"/>
              </w:rPr>
            </w:pPr>
            <w:r w:rsidRPr="00D17F8B">
              <w:rPr>
                <w:color w:val="000000"/>
                <w:sz w:val="18"/>
                <w:szCs w:val="18"/>
              </w:rPr>
              <w:t>Penetration factor of disinfectant</w:t>
            </w:r>
          </w:p>
          <w:p w14:paraId="46310416" w14:textId="77777777" w:rsidR="0073642B" w:rsidRPr="00D17F8B" w:rsidRDefault="0073642B">
            <w:pPr>
              <w:keepNext/>
              <w:rPr>
                <w:color w:val="000000"/>
                <w:sz w:val="18"/>
                <w:szCs w:val="18"/>
              </w:rPr>
            </w:pPr>
            <w:r w:rsidRPr="00D17F8B">
              <w:rPr>
                <w:i/>
                <w:color w:val="000000"/>
                <w:sz w:val="18"/>
                <w:szCs w:val="18"/>
              </w:rPr>
              <w:t>F</w:t>
            </w:r>
            <w:r w:rsidRPr="00D17F8B">
              <w:rPr>
                <w:i/>
                <w:color w:val="000000"/>
                <w:sz w:val="18"/>
                <w:szCs w:val="18"/>
                <w:vertAlign w:val="subscript"/>
              </w:rPr>
              <w:t>penetr</w:t>
            </w:r>
          </w:p>
        </w:tc>
        <w:tc>
          <w:tcPr>
            <w:tcW w:w="2365" w:type="dxa"/>
            <w:tcBorders>
              <w:top w:val="single" w:sz="4" w:space="0" w:color="000000"/>
              <w:left w:val="single" w:sz="4" w:space="0" w:color="000000"/>
              <w:bottom w:val="single" w:sz="4" w:space="0" w:color="000000"/>
            </w:tcBorders>
            <w:shd w:val="clear" w:color="auto" w:fill="auto"/>
          </w:tcPr>
          <w:p w14:paraId="617696C2"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rFonts w:eastAsia="Calibri" w:cs="Arial"/>
                <w:color w:val="000000"/>
                <w:sz w:val="18"/>
                <w:szCs w:val="18"/>
                <w:lang w:eastAsia="en-GB"/>
              </w:rPr>
              <w:t>0.5</w:t>
            </w:r>
          </w:p>
        </w:tc>
        <w:tc>
          <w:tcPr>
            <w:tcW w:w="1434" w:type="dxa"/>
            <w:tcBorders>
              <w:top w:val="single" w:sz="4" w:space="0" w:color="000000"/>
              <w:left w:val="single" w:sz="4" w:space="0" w:color="000000"/>
              <w:bottom w:val="single" w:sz="4" w:space="0" w:color="000000"/>
            </w:tcBorders>
            <w:shd w:val="clear" w:color="auto" w:fill="auto"/>
          </w:tcPr>
          <w:p w14:paraId="1D82775B"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129A099" w14:textId="77777777" w:rsidR="0073642B" w:rsidRPr="00D17F8B" w:rsidRDefault="0073642B">
            <w:pPr>
              <w:snapToGrid w:val="0"/>
              <w:spacing w:before="60" w:after="60" w:line="260" w:lineRule="atLeast"/>
              <w:rPr>
                <w:rFonts w:eastAsia="Calibri" w:cs="Arial"/>
                <w:color w:val="000000"/>
                <w:sz w:val="18"/>
                <w:szCs w:val="18"/>
                <w:lang w:eastAsia="en-GB"/>
              </w:rPr>
            </w:pPr>
            <w:r w:rsidRPr="00D17F8B">
              <w:rPr>
                <w:color w:val="000000"/>
                <w:sz w:val="18"/>
                <w:szCs w:val="18"/>
              </w:rPr>
              <w:t>Default</w:t>
            </w:r>
          </w:p>
        </w:tc>
      </w:tr>
    </w:tbl>
    <w:p w14:paraId="776A1A76" w14:textId="77777777" w:rsidR="0073642B" w:rsidRDefault="0073642B" w:rsidP="0073642B">
      <w:pPr>
        <w:ind w:left="142"/>
        <w:jc w:val="both"/>
        <w:rPr>
          <w:rFonts w:ascii="Times New Roman" w:eastAsia="Calibri" w:hAnsi="Times New Roman" w:cs="Times New Roman"/>
          <w:i/>
          <w:lang w:eastAsia="en-US"/>
        </w:rPr>
      </w:pPr>
    </w:p>
    <w:p w14:paraId="3C861408" w14:textId="77777777" w:rsidR="0073642B" w:rsidRPr="00B27CB1" w:rsidRDefault="0073642B" w:rsidP="0073642B">
      <w:pPr>
        <w:spacing w:before="60" w:line="276" w:lineRule="auto"/>
        <w:ind w:left="142"/>
        <w:jc w:val="both"/>
        <w:rPr>
          <w:rFonts w:ascii="Times New Roman" w:eastAsia="Calibri" w:hAnsi="Times New Roman" w:cs="Times New Roman"/>
          <w:i/>
          <w:lang w:eastAsia="en-US"/>
        </w:rPr>
      </w:pPr>
    </w:p>
    <w:p w14:paraId="7EBB57C9" w14:textId="63FCC323" w:rsidR="0073642B" w:rsidRPr="00D10897" w:rsidRDefault="0073642B" w:rsidP="0073642B">
      <w:pPr>
        <w:spacing w:line="276" w:lineRule="auto"/>
        <w:rPr>
          <w:rFonts w:eastAsia="Calibri"/>
          <w:u w:val="single"/>
          <w:lang w:val="en-US" w:eastAsia="en-US"/>
        </w:rPr>
      </w:pPr>
      <w:r w:rsidRPr="00D10897">
        <w:rPr>
          <w:rFonts w:eastAsia="Calibri"/>
          <w:u w:val="single"/>
          <w:lang w:val="en-US" w:eastAsia="en-US"/>
        </w:rPr>
        <w:t>Calculations for Scenario 1</w:t>
      </w:r>
      <w:r w:rsidR="00FF4872">
        <w:rPr>
          <w:rFonts w:eastAsia="Calibri"/>
          <w:u w:val="single"/>
          <w:lang w:val="en-US" w:eastAsia="en-US"/>
        </w:rPr>
        <w:t>a</w:t>
      </w:r>
    </w:p>
    <w:p w14:paraId="7423B4E6" w14:textId="77777777" w:rsidR="0073642B" w:rsidRPr="00D10897" w:rsidRDefault="0073642B" w:rsidP="0073642B">
      <w:pPr>
        <w:spacing w:line="276" w:lineRule="auto"/>
        <w:rPr>
          <w:rFonts w:eastAsia="Calibri"/>
          <w:lang w:val="en-US" w:eastAsia="en-US"/>
        </w:rPr>
      </w:pPr>
    </w:p>
    <w:p w14:paraId="18DFD790" w14:textId="77777777" w:rsidR="0073642B" w:rsidRPr="00B27CB1" w:rsidRDefault="0073642B" w:rsidP="0073642B">
      <w:pPr>
        <w:spacing w:line="260" w:lineRule="atLeast"/>
        <w:rPr>
          <w:rFonts w:eastAsia="Calibri"/>
          <w:lang w:eastAsia="en-US"/>
        </w:rPr>
      </w:pPr>
      <w:r w:rsidRPr="00D27A8C">
        <w:rPr>
          <w:rFonts w:eastAsia="Calibri"/>
          <w:lang w:eastAsia="en-US"/>
        </w:rPr>
        <w:t>Elocalwater = Nlocal * Qproduct * Cproduct * Fpenetr * Fwater</w:t>
      </w:r>
    </w:p>
    <w:p w14:paraId="5E5D7A77" w14:textId="77777777" w:rsidR="0073642B" w:rsidRPr="00B27CB1" w:rsidRDefault="0073642B" w:rsidP="0073642B">
      <w:pPr>
        <w:spacing w:line="276" w:lineRule="auto"/>
        <w:rPr>
          <w:rFonts w:ascii="Times New Roman" w:eastAsia="Calibri" w:hAnsi="Times New Roman" w:cs="Times New Roman"/>
          <w:i/>
          <w:szCs w:val="22"/>
          <w:lang w:eastAsia="en-US"/>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088"/>
        <w:gridCol w:w="1851"/>
        <w:gridCol w:w="2731"/>
        <w:gridCol w:w="3177"/>
        <w:gridCol w:w="8"/>
      </w:tblGrid>
      <w:tr w:rsidR="0073642B" w:rsidRPr="00184ABF" w14:paraId="24B6F4ED" w14:textId="77777777" w:rsidTr="00675538">
        <w:trPr>
          <w:tblHeader/>
        </w:trPr>
        <w:tc>
          <w:tcPr>
            <w:tcW w:w="9855" w:type="dxa"/>
            <w:gridSpan w:val="5"/>
            <w:shd w:val="clear" w:color="auto" w:fill="FFFFCC"/>
            <w:tcMar>
              <w:top w:w="40" w:type="dxa"/>
              <w:left w:w="40" w:type="dxa"/>
              <w:bottom w:w="40" w:type="dxa"/>
              <w:right w:w="40" w:type="dxa"/>
            </w:tcMar>
            <w:vAlign w:val="center"/>
          </w:tcPr>
          <w:p w14:paraId="43300830" w14:textId="77777777" w:rsidR="0073642B" w:rsidRPr="00D17F8B" w:rsidRDefault="0073642B" w:rsidP="00675538">
            <w:pPr>
              <w:spacing w:before="60" w:after="60"/>
              <w:ind w:left="57"/>
              <w:rPr>
                <w:b/>
                <w:sz w:val="18"/>
                <w:szCs w:val="18"/>
                <w:lang w:eastAsia="en-GB"/>
              </w:rPr>
            </w:pPr>
            <w:r w:rsidRPr="00D17F8B">
              <w:rPr>
                <w:b/>
                <w:sz w:val="18"/>
                <w:szCs w:val="18"/>
              </w:rPr>
              <w:t>Resulting local emission to relevant environmental compartments</w:t>
            </w:r>
          </w:p>
        </w:tc>
      </w:tr>
      <w:tr w:rsidR="0073642B" w:rsidRPr="00184ABF" w14:paraId="7305FD93" w14:textId="77777777" w:rsidTr="00675538">
        <w:trPr>
          <w:gridAfter w:val="1"/>
          <w:wAfter w:w="8" w:type="dxa"/>
          <w:tblHeader/>
        </w:trPr>
        <w:tc>
          <w:tcPr>
            <w:tcW w:w="2088" w:type="dxa"/>
            <w:shd w:val="clear" w:color="auto" w:fill="auto"/>
            <w:tcMar>
              <w:top w:w="40" w:type="dxa"/>
              <w:left w:w="40" w:type="dxa"/>
              <w:bottom w:w="40" w:type="dxa"/>
              <w:right w:w="40" w:type="dxa"/>
            </w:tcMar>
            <w:vAlign w:val="center"/>
          </w:tcPr>
          <w:p w14:paraId="19DEF99F" w14:textId="77777777" w:rsidR="0073642B" w:rsidRPr="00D17F8B" w:rsidRDefault="0073642B" w:rsidP="00675538">
            <w:pPr>
              <w:spacing w:before="60" w:after="60"/>
              <w:ind w:left="57"/>
              <w:rPr>
                <w:b/>
                <w:sz w:val="18"/>
                <w:szCs w:val="18"/>
                <w:lang w:eastAsia="en-GB"/>
              </w:rPr>
            </w:pPr>
            <w:r w:rsidRPr="00D17F8B">
              <w:rPr>
                <w:b/>
                <w:sz w:val="18"/>
                <w:szCs w:val="18"/>
                <w:lang w:eastAsia="en-GB"/>
              </w:rPr>
              <w:t>Substance</w:t>
            </w:r>
          </w:p>
        </w:tc>
        <w:tc>
          <w:tcPr>
            <w:tcW w:w="1851" w:type="dxa"/>
            <w:shd w:val="clear" w:color="auto" w:fill="auto"/>
            <w:vAlign w:val="center"/>
          </w:tcPr>
          <w:p w14:paraId="1A1B1438" w14:textId="77777777" w:rsidR="0073642B" w:rsidRPr="00D17F8B" w:rsidRDefault="0073642B" w:rsidP="00675538">
            <w:pPr>
              <w:spacing w:before="60" w:after="60"/>
              <w:ind w:left="57"/>
              <w:rPr>
                <w:b/>
                <w:sz w:val="18"/>
                <w:szCs w:val="18"/>
                <w:lang w:eastAsia="en-GB"/>
              </w:rPr>
            </w:pPr>
            <w:r w:rsidRPr="00D17F8B">
              <w:rPr>
                <w:b/>
                <w:sz w:val="18"/>
                <w:szCs w:val="18"/>
                <w:lang w:eastAsia="en-GB"/>
              </w:rPr>
              <w:t>Compartment</w:t>
            </w:r>
          </w:p>
        </w:tc>
        <w:tc>
          <w:tcPr>
            <w:tcW w:w="2731" w:type="dxa"/>
            <w:shd w:val="clear" w:color="auto" w:fill="auto"/>
            <w:tcMar>
              <w:top w:w="40" w:type="dxa"/>
              <w:left w:w="40" w:type="dxa"/>
              <w:bottom w:w="40" w:type="dxa"/>
              <w:right w:w="40" w:type="dxa"/>
            </w:tcMar>
            <w:vAlign w:val="center"/>
          </w:tcPr>
          <w:p w14:paraId="1BE35873" w14:textId="77777777" w:rsidR="0073642B" w:rsidRPr="00D17F8B" w:rsidRDefault="0073642B" w:rsidP="00675538">
            <w:pPr>
              <w:spacing w:before="60" w:after="60"/>
              <w:ind w:left="57"/>
              <w:rPr>
                <w:b/>
                <w:sz w:val="18"/>
                <w:szCs w:val="18"/>
                <w:lang w:eastAsia="en-GB"/>
              </w:rPr>
            </w:pPr>
            <w:r w:rsidRPr="00D17F8B">
              <w:rPr>
                <w:b/>
                <w:sz w:val="18"/>
                <w:szCs w:val="18"/>
                <w:lang w:eastAsia="en-GB"/>
              </w:rPr>
              <w:t xml:space="preserve">Local emission </w:t>
            </w:r>
          </w:p>
          <w:p w14:paraId="7BC4FEC7" w14:textId="77777777" w:rsidR="0073642B" w:rsidRPr="00D17F8B" w:rsidRDefault="0073642B" w:rsidP="00675538">
            <w:pPr>
              <w:spacing w:before="60" w:after="60"/>
              <w:ind w:left="57"/>
              <w:rPr>
                <w:b/>
                <w:sz w:val="18"/>
                <w:szCs w:val="18"/>
                <w:lang w:eastAsia="en-GB"/>
              </w:rPr>
            </w:pPr>
            <w:r w:rsidRPr="00D17F8B">
              <w:rPr>
                <w:b/>
                <w:sz w:val="18"/>
                <w:szCs w:val="18"/>
                <w:lang w:eastAsia="en-GB"/>
              </w:rPr>
              <w:t>(Elocal</w:t>
            </w:r>
            <w:r w:rsidRPr="00D17F8B">
              <w:rPr>
                <w:b/>
                <w:sz w:val="18"/>
                <w:szCs w:val="18"/>
                <w:vertAlign w:val="subscript"/>
                <w:lang w:eastAsia="en-GB"/>
              </w:rPr>
              <w:t>compartment</w:t>
            </w:r>
            <w:r w:rsidRPr="00D17F8B">
              <w:rPr>
                <w:b/>
                <w:sz w:val="18"/>
                <w:szCs w:val="18"/>
                <w:lang w:eastAsia="en-GB"/>
              </w:rPr>
              <w:t>) [kg/d</w:t>
            </w:r>
            <w:r w:rsidRPr="00D17F8B">
              <w:rPr>
                <w:b/>
                <w:sz w:val="18"/>
                <w:szCs w:val="18"/>
                <w:vertAlign w:val="superscript"/>
                <w:lang w:eastAsia="en-GB"/>
              </w:rPr>
              <w:t>-1</w:t>
            </w:r>
            <w:r w:rsidRPr="00D17F8B">
              <w:rPr>
                <w:b/>
                <w:sz w:val="18"/>
                <w:szCs w:val="18"/>
                <w:lang w:eastAsia="en-GB"/>
              </w:rPr>
              <w:t>]</w:t>
            </w:r>
          </w:p>
        </w:tc>
        <w:tc>
          <w:tcPr>
            <w:tcW w:w="3177" w:type="dxa"/>
            <w:shd w:val="clear" w:color="auto" w:fill="auto"/>
            <w:tcMar>
              <w:top w:w="40" w:type="dxa"/>
              <w:left w:w="40" w:type="dxa"/>
              <w:bottom w:w="40" w:type="dxa"/>
              <w:right w:w="40" w:type="dxa"/>
            </w:tcMar>
            <w:vAlign w:val="center"/>
          </w:tcPr>
          <w:p w14:paraId="4F6F11AD" w14:textId="77777777" w:rsidR="0073642B" w:rsidRPr="00D17F8B" w:rsidRDefault="0073642B" w:rsidP="00675538">
            <w:pPr>
              <w:spacing w:before="60" w:after="60"/>
              <w:ind w:left="57"/>
              <w:rPr>
                <w:b/>
                <w:sz w:val="18"/>
                <w:szCs w:val="18"/>
                <w:lang w:eastAsia="en-GB"/>
              </w:rPr>
            </w:pPr>
            <w:r w:rsidRPr="00D17F8B">
              <w:rPr>
                <w:b/>
                <w:sz w:val="18"/>
                <w:szCs w:val="18"/>
                <w:lang w:eastAsia="en-GB"/>
              </w:rPr>
              <w:t>Remarks</w:t>
            </w:r>
          </w:p>
        </w:tc>
      </w:tr>
      <w:tr w:rsidR="0073642B" w:rsidRPr="00184ABF" w14:paraId="65C6EEFF" w14:textId="77777777" w:rsidTr="00675538">
        <w:trPr>
          <w:gridAfter w:val="1"/>
          <w:wAfter w:w="8" w:type="dxa"/>
        </w:trPr>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47DDE78A" w14:textId="77777777" w:rsidR="0073642B" w:rsidRPr="00D17F8B" w:rsidRDefault="0073642B" w:rsidP="00675538">
            <w:pPr>
              <w:ind w:left="57"/>
              <w:rPr>
                <w:rFonts w:cs="Calibri"/>
                <w:sz w:val="18"/>
                <w:szCs w:val="18"/>
                <w:lang w:eastAsia="es-ES"/>
              </w:rPr>
            </w:pPr>
            <w:r w:rsidRPr="00D17F8B">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vAlign w:val="center"/>
          </w:tcPr>
          <w:p w14:paraId="27086BC8" w14:textId="77777777" w:rsidR="0073642B" w:rsidRPr="00D17F8B" w:rsidRDefault="0073642B" w:rsidP="00675538">
            <w:pPr>
              <w:ind w:left="57"/>
              <w:rPr>
                <w:rFonts w:cs="Calibri"/>
                <w:sz w:val="18"/>
                <w:szCs w:val="18"/>
              </w:rPr>
            </w:pPr>
            <w:r w:rsidRPr="00D17F8B">
              <w:rPr>
                <w:rFonts w:cs="Calibri"/>
                <w:sz w:val="18"/>
                <w:szCs w:val="18"/>
              </w:rPr>
              <w:t>STP</w:t>
            </w:r>
          </w:p>
        </w:tc>
        <w:tc>
          <w:tcPr>
            <w:tcW w:w="2731"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091B988C" w14:textId="77777777" w:rsidR="0073642B" w:rsidRPr="00D17F8B" w:rsidRDefault="0073642B" w:rsidP="00675538">
            <w:pPr>
              <w:ind w:left="57"/>
              <w:rPr>
                <w:rFonts w:cs="Calibri"/>
                <w:sz w:val="18"/>
                <w:szCs w:val="18"/>
              </w:rPr>
            </w:pPr>
            <w:r w:rsidRPr="00D17F8B">
              <w:rPr>
                <w:rFonts w:cs="Calibri"/>
                <w:sz w:val="18"/>
                <w:szCs w:val="18"/>
              </w:rPr>
              <w:t>1.40</w:t>
            </w:r>
          </w:p>
        </w:tc>
        <w:tc>
          <w:tcPr>
            <w:tcW w:w="3177"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02B7F1E1" w14:textId="77777777" w:rsidR="0073642B" w:rsidRPr="00D17F8B" w:rsidRDefault="0073642B" w:rsidP="00675538">
            <w:pPr>
              <w:ind w:left="57"/>
              <w:jc w:val="center"/>
              <w:rPr>
                <w:rFonts w:cs="Calibri"/>
                <w:sz w:val="18"/>
                <w:szCs w:val="18"/>
              </w:rPr>
            </w:pPr>
          </w:p>
        </w:tc>
      </w:tr>
      <w:tr w:rsidR="0073642B" w:rsidRPr="00184ABF" w14:paraId="1B8FA8F7" w14:textId="77777777" w:rsidTr="00675538">
        <w:trPr>
          <w:gridAfter w:val="1"/>
          <w:wAfter w:w="8" w:type="dxa"/>
        </w:trPr>
        <w:tc>
          <w:tcPr>
            <w:tcW w:w="2088" w:type="dxa"/>
            <w:tcBorders>
              <w:top w:val="nil"/>
              <w:left w:val="single" w:sz="8" w:space="0" w:color="auto"/>
              <w:bottom w:val="single" w:sz="8" w:space="0" w:color="auto"/>
              <w:right w:val="single" w:sz="8" w:space="0" w:color="auto"/>
            </w:tcBorders>
            <w:shd w:val="clear" w:color="auto" w:fill="auto"/>
            <w:tcMar>
              <w:top w:w="40" w:type="dxa"/>
              <w:left w:w="40" w:type="dxa"/>
              <w:bottom w:w="40" w:type="dxa"/>
              <w:right w:w="40" w:type="dxa"/>
            </w:tcMar>
            <w:vAlign w:val="center"/>
          </w:tcPr>
          <w:p w14:paraId="6C84BC39" w14:textId="77777777" w:rsidR="0073642B" w:rsidRPr="00D17F8B" w:rsidRDefault="0073642B" w:rsidP="00675538">
            <w:pPr>
              <w:ind w:left="57"/>
              <w:rPr>
                <w:rFonts w:cs="Calibri"/>
                <w:sz w:val="18"/>
                <w:szCs w:val="18"/>
              </w:rPr>
            </w:pPr>
            <w:r w:rsidRPr="00D17F8B">
              <w:rPr>
                <w:rFonts w:eastAsia="Calibri" w:cs="Times New Roman"/>
                <w:sz w:val="18"/>
                <w:szCs w:val="18"/>
                <w:lang w:eastAsia="en-US"/>
              </w:rPr>
              <w:t>Amines, coco alkyldimethyl, N-oxides</w:t>
            </w:r>
          </w:p>
        </w:tc>
        <w:tc>
          <w:tcPr>
            <w:tcW w:w="1851" w:type="dxa"/>
            <w:tcBorders>
              <w:top w:val="nil"/>
              <w:left w:val="nil"/>
              <w:bottom w:val="single" w:sz="8" w:space="0" w:color="auto"/>
              <w:right w:val="single" w:sz="8" w:space="0" w:color="auto"/>
            </w:tcBorders>
            <w:shd w:val="clear" w:color="auto" w:fill="auto"/>
            <w:vAlign w:val="center"/>
          </w:tcPr>
          <w:p w14:paraId="3B35DA35" w14:textId="77777777" w:rsidR="0073642B" w:rsidRPr="00D17F8B" w:rsidRDefault="0073642B" w:rsidP="00675538">
            <w:pPr>
              <w:ind w:left="57"/>
              <w:rPr>
                <w:rFonts w:cs="Calibri"/>
                <w:sz w:val="18"/>
                <w:szCs w:val="18"/>
              </w:rPr>
            </w:pPr>
            <w:r w:rsidRPr="00D17F8B">
              <w:rPr>
                <w:rFonts w:cs="Calibri"/>
                <w:sz w:val="18"/>
                <w:szCs w:val="18"/>
              </w:rPr>
              <w:t>STP</w:t>
            </w:r>
          </w:p>
        </w:tc>
        <w:tc>
          <w:tcPr>
            <w:tcW w:w="2731"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1C00F4B4" w14:textId="77777777" w:rsidR="0073642B" w:rsidRPr="00D17F8B" w:rsidRDefault="0073642B" w:rsidP="00675538">
            <w:pPr>
              <w:ind w:left="57"/>
              <w:rPr>
                <w:rFonts w:cs="Calibri"/>
                <w:sz w:val="18"/>
                <w:szCs w:val="18"/>
              </w:rPr>
            </w:pPr>
            <w:r w:rsidRPr="00D17F8B">
              <w:rPr>
                <w:rFonts w:cs="Calibri"/>
                <w:sz w:val="18"/>
                <w:szCs w:val="18"/>
              </w:rPr>
              <w:t>3.51E-02</w:t>
            </w:r>
          </w:p>
        </w:tc>
        <w:tc>
          <w:tcPr>
            <w:tcW w:w="3177"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6BB861DF" w14:textId="77777777" w:rsidR="0073642B" w:rsidRPr="00D17F8B" w:rsidRDefault="0073642B" w:rsidP="00675538">
            <w:pPr>
              <w:ind w:left="57"/>
              <w:jc w:val="center"/>
              <w:rPr>
                <w:rFonts w:cs="Calibri"/>
                <w:sz w:val="18"/>
                <w:szCs w:val="18"/>
              </w:rPr>
            </w:pPr>
          </w:p>
        </w:tc>
      </w:tr>
      <w:tr w:rsidR="0073642B" w:rsidRPr="00184ABF" w14:paraId="07E7683B" w14:textId="77777777" w:rsidTr="00D518B9">
        <w:trPr>
          <w:gridAfter w:val="1"/>
          <w:wAfter w:w="8" w:type="dxa"/>
        </w:trPr>
        <w:tc>
          <w:tcPr>
            <w:tcW w:w="2088" w:type="dxa"/>
            <w:tcBorders>
              <w:top w:val="nil"/>
              <w:left w:val="single" w:sz="8" w:space="0" w:color="auto"/>
              <w:bottom w:val="nil"/>
              <w:right w:val="single" w:sz="8" w:space="0" w:color="auto"/>
            </w:tcBorders>
            <w:shd w:val="clear" w:color="auto" w:fill="auto"/>
            <w:tcMar>
              <w:top w:w="40" w:type="dxa"/>
              <w:left w:w="40" w:type="dxa"/>
              <w:bottom w:w="40" w:type="dxa"/>
              <w:right w:w="40" w:type="dxa"/>
            </w:tcMar>
            <w:vAlign w:val="center"/>
          </w:tcPr>
          <w:p w14:paraId="7151D66E" w14:textId="4CDEB745" w:rsidR="0073642B" w:rsidRPr="00D17F8B" w:rsidRDefault="0073642B" w:rsidP="00675538">
            <w:pPr>
              <w:ind w:left="57"/>
              <w:rPr>
                <w:rFonts w:cs="Calibri"/>
                <w:sz w:val="18"/>
                <w:szCs w:val="18"/>
              </w:rPr>
            </w:pPr>
            <w:r w:rsidRPr="00D17F8B">
              <w:rPr>
                <w:rFonts w:cs="Calibri"/>
                <w:sz w:val="18"/>
                <w:szCs w:val="18"/>
              </w:rPr>
              <w:t>OTNE</w:t>
            </w:r>
            <w:r w:rsidR="00412653">
              <w:rPr>
                <w:rFonts w:cs="Calibri"/>
                <w:sz w:val="18"/>
                <w:szCs w:val="18"/>
              </w:rPr>
              <w:t xml:space="preserve"> (meta-SPC 9)</w:t>
            </w:r>
          </w:p>
        </w:tc>
        <w:tc>
          <w:tcPr>
            <w:tcW w:w="1851" w:type="dxa"/>
            <w:tcBorders>
              <w:top w:val="nil"/>
              <w:left w:val="nil"/>
              <w:bottom w:val="nil"/>
              <w:right w:val="single" w:sz="8" w:space="0" w:color="auto"/>
            </w:tcBorders>
            <w:shd w:val="clear" w:color="auto" w:fill="auto"/>
            <w:vAlign w:val="center"/>
          </w:tcPr>
          <w:p w14:paraId="6B9C3DD5" w14:textId="77777777" w:rsidR="0073642B" w:rsidRPr="00D17F8B" w:rsidRDefault="0073642B" w:rsidP="00675538">
            <w:pPr>
              <w:ind w:left="57"/>
              <w:rPr>
                <w:rFonts w:cs="Calibri"/>
                <w:sz w:val="18"/>
                <w:szCs w:val="18"/>
              </w:rPr>
            </w:pPr>
            <w:r w:rsidRPr="00D17F8B">
              <w:rPr>
                <w:rFonts w:cs="Calibri"/>
                <w:sz w:val="18"/>
                <w:szCs w:val="18"/>
              </w:rPr>
              <w:t>STP</w:t>
            </w:r>
          </w:p>
        </w:tc>
        <w:tc>
          <w:tcPr>
            <w:tcW w:w="2731" w:type="dxa"/>
            <w:tcBorders>
              <w:top w:val="nil"/>
              <w:left w:val="nil"/>
              <w:bottom w:val="nil"/>
              <w:right w:val="single" w:sz="8" w:space="0" w:color="auto"/>
            </w:tcBorders>
            <w:shd w:val="clear" w:color="auto" w:fill="auto"/>
            <w:tcMar>
              <w:top w:w="40" w:type="dxa"/>
              <w:left w:w="40" w:type="dxa"/>
              <w:bottom w:w="40" w:type="dxa"/>
              <w:right w:w="40" w:type="dxa"/>
            </w:tcMar>
            <w:vAlign w:val="center"/>
          </w:tcPr>
          <w:p w14:paraId="63FD0897" w14:textId="766686F8" w:rsidR="0073642B" w:rsidRPr="00D17F8B" w:rsidRDefault="00FF4A61" w:rsidP="00675538">
            <w:pPr>
              <w:ind w:left="57"/>
              <w:rPr>
                <w:rFonts w:cs="Calibri"/>
                <w:sz w:val="18"/>
                <w:szCs w:val="18"/>
              </w:rPr>
            </w:pPr>
            <w:r>
              <w:rPr>
                <w:rFonts w:cs="Calibri"/>
                <w:sz w:val="18"/>
                <w:szCs w:val="18"/>
              </w:rPr>
              <w:t>3.15E-01</w:t>
            </w:r>
          </w:p>
        </w:tc>
        <w:tc>
          <w:tcPr>
            <w:tcW w:w="3177" w:type="dxa"/>
            <w:tcBorders>
              <w:top w:val="nil"/>
              <w:left w:val="nil"/>
              <w:bottom w:val="nil"/>
              <w:right w:val="single" w:sz="8" w:space="0" w:color="auto"/>
            </w:tcBorders>
            <w:shd w:val="clear" w:color="auto" w:fill="auto"/>
            <w:tcMar>
              <w:top w:w="40" w:type="dxa"/>
              <w:left w:w="40" w:type="dxa"/>
              <w:bottom w:w="40" w:type="dxa"/>
              <w:right w:w="40" w:type="dxa"/>
            </w:tcMar>
            <w:vAlign w:val="center"/>
          </w:tcPr>
          <w:p w14:paraId="7D3F7E90" w14:textId="77777777" w:rsidR="0073642B" w:rsidRPr="00D17F8B" w:rsidRDefault="0073642B" w:rsidP="00675538">
            <w:pPr>
              <w:ind w:left="57"/>
              <w:jc w:val="center"/>
              <w:rPr>
                <w:rFonts w:cs="Calibri"/>
                <w:sz w:val="18"/>
                <w:szCs w:val="18"/>
              </w:rPr>
            </w:pPr>
          </w:p>
        </w:tc>
      </w:tr>
      <w:tr w:rsidR="00412653" w:rsidRPr="00184ABF" w14:paraId="18DB841D" w14:textId="77777777" w:rsidTr="00675538">
        <w:trPr>
          <w:gridAfter w:val="1"/>
          <w:wAfter w:w="8" w:type="dxa"/>
        </w:trPr>
        <w:tc>
          <w:tcPr>
            <w:tcW w:w="2088" w:type="dxa"/>
            <w:tcBorders>
              <w:top w:val="nil"/>
              <w:left w:val="single" w:sz="8" w:space="0" w:color="auto"/>
              <w:bottom w:val="single" w:sz="8" w:space="0" w:color="auto"/>
              <w:right w:val="single" w:sz="8" w:space="0" w:color="auto"/>
            </w:tcBorders>
            <w:shd w:val="clear" w:color="auto" w:fill="auto"/>
            <w:tcMar>
              <w:top w:w="40" w:type="dxa"/>
              <w:left w:w="40" w:type="dxa"/>
              <w:bottom w:w="40" w:type="dxa"/>
              <w:right w:w="40" w:type="dxa"/>
            </w:tcMar>
            <w:vAlign w:val="center"/>
          </w:tcPr>
          <w:p w14:paraId="2B8C353B" w14:textId="42F779B7" w:rsidR="00412653" w:rsidRPr="00D17F8B" w:rsidRDefault="00412653" w:rsidP="00675538">
            <w:pPr>
              <w:ind w:left="57"/>
              <w:rPr>
                <w:rFonts w:cs="Calibri"/>
                <w:sz w:val="18"/>
                <w:szCs w:val="18"/>
              </w:rPr>
            </w:pPr>
            <w:r w:rsidRPr="00D17F8B">
              <w:rPr>
                <w:rFonts w:cs="Calibri"/>
                <w:sz w:val="18"/>
                <w:szCs w:val="18"/>
              </w:rPr>
              <w:t>OTNE</w:t>
            </w:r>
            <w:r>
              <w:rPr>
                <w:rFonts w:cs="Calibri"/>
                <w:sz w:val="18"/>
                <w:szCs w:val="18"/>
              </w:rPr>
              <w:t xml:space="preserve"> </w:t>
            </w:r>
            <w:r w:rsidR="00FF4A61">
              <w:rPr>
                <w:rFonts w:cs="Calibri"/>
                <w:sz w:val="18"/>
                <w:szCs w:val="18"/>
              </w:rPr>
              <w:t xml:space="preserve">refinement </w:t>
            </w:r>
            <w:r>
              <w:rPr>
                <w:rFonts w:cs="Calibri"/>
                <w:sz w:val="18"/>
                <w:szCs w:val="18"/>
              </w:rPr>
              <w:t>(meta-SPC 10)</w:t>
            </w:r>
          </w:p>
        </w:tc>
        <w:tc>
          <w:tcPr>
            <w:tcW w:w="1851" w:type="dxa"/>
            <w:tcBorders>
              <w:top w:val="nil"/>
              <w:left w:val="nil"/>
              <w:bottom w:val="single" w:sz="8" w:space="0" w:color="auto"/>
              <w:right w:val="single" w:sz="8" w:space="0" w:color="auto"/>
            </w:tcBorders>
            <w:shd w:val="clear" w:color="auto" w:fill="auto"/>
            <w:vAlign w:val="center"/>
          </w:tcPr>
          <w:p w14:paraId="3CE2EB4E" w14:textId="77777777" w:rsidR="00412653" w:rsidRPr="00D17F8B" w:rsidRDefault="00412653" w:rsidP="00675538">
            <w:pPr>
              <w:ind w:left="57"/>
              <w:rPr>
                <w:rFonts w:cs="Calibri"/>
                <w:sz w:val="18"/>
                <w:szCs w:val="18"/>
              </w:rPr>
            </w:pPr>
          </w:p>
        </w:tc>
        <w:tc>
          <w:tcPr>
            <w:tcW w:w="2731"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6869E520" w14:textId="228453A1" w:rsidR="00412653" w:rsidRPr="00D17F8B" w:rsidRDefault="00FF4A61" w:rsidP="00675538">
            <w:pPr>
              <w:ind w:left="57"/>
              <w:rPr>
                <w:rFonts w:cs="Calibri"/>
                <w:sz w:val="18"/>
                <w:szCs w:val="18"/>
              </w:rPr>
            </w:pPr>
            <w:r>
              <w:rPr>
                <w:rFonts w:cs="Calibri"/>
                <w:sz w:val="18"/>
                <w:szCs w:val="18"/>
              </w:rPr>
              <w:t>3.15E-02</w:t>
            </w:r>
          </w:p>
        </w:tc>
        <w:tc>
          <w:tcPr>
            <w:tcW w:w="3177"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4187FC01" w14:textId="77777777" w:rsidR="00412653" w:rsidRPr="00D17F8B" w:rsidRDefault="00412653" w:rsidP="00675538">
            <w:pPr>
              <w:ind w:left="57"/>
              <w:jc w:val="center"/>
              <w:rPr>
                <w:rFonts w:cs="Calibri"/>
                <w:sz w:val="18"/>
                <w:szCs w:val="18"/>
              </w:rPr>
            </w:pPr>
          </w:p>
        </w:tc>
      </w:tr>
    </w:tbl>
    <w:p w14:paraId="5396541B" w14:textId="77777777" w:rsidR="0073642B" w:rsidRDefault="0073642B" w:rsidP="0073642B">
      <w:pPr>
        <w:spacing w:line="260" w:lineRule="atLeast"/>
        <w:rPr>
          <w:rFonts w:eastAsia="Calibri"/>
          <w:b/>
          <w:bCs/>
          <w:lang w:eastAsia="en-US"/>
        </w:rPr>
      </w:pPr>
    </w:p>
    <w:p w14:paraId="71D27388" w14:textId="67877565" w:rsidR="00C37186" w:rsidRPr="00152357" w:rsidRDefault="00C37186" w:rsidP="00675538">
      <w:pPr>
        <w:pStyle w:val="Titre5"/>
        <w:rPr>
          <w:iCs/>
        </w:rPr>
      </w:pPr>
      <w:r>
        <w:t>PT02 – Scenario 1b</w:t>
      </w:r>
      <w:r w:rsidRPr="00C37186">
        <w:t>:</w:t>
      </w:r>
      <w:r w:rsidRPr="00452308">
        <w:t xml:space="preserve"> Indoor - Disinfection of</w:t>
      </w:r>
      <w:r w:rsidRPr="0052789A">
        <w:t xml:space="preserve"> institutional areas - releases of disinfectants used for sanitary purposes based on average consumption</w:t>
      </w:r>
      <w:r w:rsidRPr="00452308">
        <w:t xml:space="preserve"> approach (household and institutional applications)</w:t>
      </w:r>
      <w:r>
        <w:t xml:space="preserve"> - </w:t>
      </w:r>
      <w:r w:rsidRPr="00675538">
        <w:rPr>
          <w:u w:val="single"/>
        </w:rPr>
        <w:t>Disinfection of the lavatory only (inside of toilet bowls)</w:t>
      </w:r>
    </w:p>
    <w:p w14:paraId="31A7205E" w14:textId="761B98DF" w:rsidR="00C37186" w:rsidRDefault="00C37186" w:rsidP="00C37186">
      <w:pPr>
        <w:spacing w:line="276" w:lineRule="auto"/>
        <w:rPr>
          <w:rFonts w:eastAsia="Calibri" w:cs="Times New Roman"/>
          <w:bCs/>
          <w:lang w:eastAsia="en-US"/>
        </w:rPr>
      </w:pPr>
      <w:r>
        <w:rPr>
          <w:rFonts w:eastAsia="Calibri" w:cs="Times New Roman"/>
          <w:bCs/>
          <w:lang w:eastAsia="en-US"/>
        </w:rPr>
        <w:lastRenderedPageBreak/>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 xml:space="preserve">SPC </w:t>
      </w:r>
      <w:r>
        <w:rPr>
          <w:rFonts w:eastAsia="Calibri" w:cs="Times New Roman"/>
          <w:bCs/>
          <w:lang w:eastAsia="en-US"/>
        </w:rPr>
        <w:t>12</w:t>
      </w:r>
    </w:p>
    <w:p w14:paraId="739188A4" w14:textId="77777777" w:rsidR="00C37186" w:rsidRDefault="00C37186" w:rsidP="00C37186">
      <w:pPr>
        <w:jc w:val="both"/>
        <w:rPr>
          <w:rFonts w:ascii="Times New Roman" w:eastAsia="Calibri" w:hAnsi="Times New Roman" w:cs="Times New Roman"/>
          <w:i/>
          <w:lang w:eastAsia="en-US"/>
        </w:rPr>
      </w:pPr>
    </w:p>
    <w:p w14:paraId="3133FB42" w14:textId="77777777" w:rsidR="00C37186" w:rsidRPr="00B27CB1" w:rsidRDefault="00C37186" w:rsidP="00C37186">
      <w:pPr>
        <w:spacing w:after="120" w:line="276" w:lineRule="auto"/>
        <w:ind w:left="142"/>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C37186" w14:paraId="16D2FFAC" w14:textId="77777777" w:rsidTr="00C37186">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23ADA3C" w14:textId="77777777" w:rsidR="00C37186" w:rsidRPr="006136B1" w:rsidRDefault="00C37186" w:rsidP="00C37186">
            <w:pPr>
              <w:spacing w:before="60" w:after="60" w:line="260" w:lineRule="atLeast"/>
              <w:rPr>
                <w:sz w:val="18"/>
                <w:szCs w:val="18"/>
              </w:rPr>
            </w:pPr>
            <w:r w:rsidRPr="006136B1">
              <w:rPr>
                <w:rFonts w:eastAsia="Calibri"/>
                <w:b/>
                <w:sz w:val="18"/>
                <w:szCs w:val="18"/>
                <w:lang w:eastAsia="en-US"/>
              </w:rPr>
              <w:t>Input parameters for calculating the local emission</w:t>
            </w:r>
          </w:p>
        </w:tc>
      </w:tr>
      <w:tr w:rsidR="00C37186" w14:paraId="4C78D25A" w14:textId="77777777" w:rsidTr="00C37186">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37A73516" w14:textId="77777777" w:rsidR="00C37186" w:rsidRPr="006136B1" w:rsidRDefault="00C37186" w:rsidP="00C37186">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24AC7166" w14:textId="77777777" w:rsidR="00C37186" w:rsidRPr="006136B1" w:rsidRDefault="00C37186" w:rsidP="00C37186">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068718D2" w14:textId="77777777" w:rsidR="00C37186" w:rsidRPr="006136B1" w:rsidRDefault="00C37186" w:rsidP="00C37186">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DDB3" w14:textId="77777777" w:rsidR="00C37186" w:rsidRPr="006136B1" w:rsidRDefault="00C37186" w:rsidP="00C37186">
            <w:pPr>
              <w:spacing w:before="60" w:after="60" w:line="260" w:lineRule="atLeast"/>
              <w:rPr>
                <w:sz w:val="18"/>
                <w:szCs w:val="18"/>
              </w:rPr>
            </w:pPr>
            <w:r w:rsidRPr="006136B1">
              <w:rPr>
                <w:rFonts w:eastAsia="Calibri" w:cs="Arial"/>
                <w:b/>
                <w:bCs/>
                <w:color w:val="000000"/>
                <w:sz w:val="18"/>
                <w:szCs w:val="18"/>
                <w:lang w:eastAsia="en-GB"/>
              </w:rPr>
              <w:t>Remarks</w:t>
            </w:r>
          </w:p>
        </w:tc>
      </w:tr>
      <w:tr w:rsidR="00C37186" w14:paraId="46946E01" w14:textId="77777777" w:rsidTr="00C37186">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2A949F" w14:textId="1FEBE5FE" w:rsidR="00C37186" w:rsidRPr="006136B1" w:rsidRDefault="00C37186" w:rsidP="00C37186">
            <w:pPr>
              <w:spacing w:before="60" w:after="60" w:line="260" w:lineRule="atLeast"/>
              <w:rPr>
                <w:sz w:val="18"/>
                <w:szCs w:val="18"/>
              </w:rPr>
            </w:pPr>
            <w:r w:rsidRPr="006136B1">
              <w:rPr>
                <w:rFonts w:eastAsia="Calibri"/>
                <w:color w:val="000000"/>
                <w:sz w:val="18"/>
                <w:szCs w:val="18"/>
                <w:lang w:eastAsia="en-GB"/>
              </w:rPr>
              <w:t xml:space="preserve">Scenario </w:t>
            </w:r>
            <w:r w:rsidR="000F4274">
              <w:rPr>
                <w:rFonts w:eastAsia="Calibri"/>
                <w:color w:val="000000"/>
                <w:sz w:val="18"/>
                <w:szCs w:val="18"/>
                <w:lang w:eastAsia="en-GB"/>
              </w:rPr>
              <w:t>1b</w:t>
            </w:r>
            <w:r w:rsidRPr="006136B1">
              <w:rPr>
                <w:rFonts w:eastAsia="Calibri"/>
                <w:color w:val="000000" w:themeColor="text1"/>
                <w:sz w:val="18"/>
                <w:szCs w:val="18"/>
                <w:lang w:eastAsia="en-GB"/>
              </w:rPr>
              <w:t>:</w:t>
            </w:r>
            <w:r w:rsidRPr="006136B1">
              <w:rPr>
                <w:rFonts w:eastAsia="Calibri"/>
                <w:i/>
                <w:color w:val="000000" w:themeColor="text1"/>
                <w:sz w:val="18"/>
                <w:szCs w:val="18"/>
                <w:lang w:eastAsia="en-GB"/>
              </w:rPr>
              <w:t xml:space="preserve"> </w:t>
            </w:r>
            <w:r w:rsidRPr="006136B1">
              <w:rPr>
                <w:rFonts w:eastAsia="Calibri"/>
                <w:color w:val="000000" w:themeColor="text1"/>
                <w:sz w:val="18"/>
                <w:szCs w:val="18"/>
                <w:lang w:eastAsia="en-GB"/>
              </w:rPr>
              <w:t>I</w:t>
            </w:r>
            <w:r w:rsidRPr="006136B1">
              <w:rPr>
                <w:iCs/>
                <w:color w:val="000000" w:themeColor="text1"/>
                <w:sz w:val="18"/>
                <w:szCs w:val="18"/>
              </w:rPr>
              <w:t>n</w:t>
            </w:r>
            <w:r w:rsidRPr="006136B1">
              <w:rPr>
                <w:iCs/>
                <w:sz w:val="18"/>
                <w:szCs w:val="18"/>
              </w:rPr>
              <w:t xml:space="preserve">door - </w:t>
            </w:r>
            <w:r w:rsidRPr="006136B1">
              <w:rPr>
                <w:sz w:val="18"/>
                <w:szCs w:val="18"/>
              </w:rPr>
              <w:t>Disinfection of the lavatory (inside of toilet bowls)</w:t>
            </w:r>
          </w:p>
        </w:tc>
      </w:tr>
      <w:tr w:rsidR="00C37186" w14:paraId="55C018BE" w14:textId="77777777" w:rsidTr="00C3718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74CF8D3" w14:textId="77777777" w:rsidR="00C37186" w:rsidRPr="006136B1" w:rsidRDefault="00C37186" w:rsidP="00C37186">
            <w:pPr>
              <w:keepNext/>
              <w:spacing w:before="60" w:after="60"/>
              <w:rPr>
                <w:color w:val="000000"/>
                <w:sz w:val="18"/>
                <w:szCs w:val="18"/>
              </w:rPr>
            </w:pPr>
            <w:r w:rsidRPr="006136B1">
              <w:rPr>
                <w:color w:val="000000"/>
                <w:sz w:val="18"/>
                <w:szCs w:val="18"/>
              </w:rPr>
              <w:t>Number of inhabitants feeding one STP</w:t>
            </w:r>
          </w:p>
          <w:p w14:paraId="6EF29609"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i/>
                <w:color w:val="000000"/>
                <w:sz w:val="18"/>
                <w:szCs w:val="18"/>
              </w:rPr>
              <w:t>Nlocal</w:t>
            </w:r>
          </w:p>
        </w:tc>
        <w:tc>
          <w:tcPr>
            <w:tcW w:w="1451" w:type="dxa"/>
            <w:tcBorders>
              <w:top w:val="single" w:sz="4" w:space="0" w:color="000000"/>
              <w:left w:val="single" w:sz="4" w:space="0" w:color="000000"/>
              <w:bottom w:val="single" w:sz="4" w:space="0" w:color="000000"/>
            </w:tcBorders>
            <w:shd w:val="clear" w:color="auto" w:fill="auto"/>
            <w:vAlign w:val="center"/>
          </w:tcPr>
          <w:p w14:paraId="6B72B9DF"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10 000</w:t>
            </w:r>
          </w:p>
        </w:tc>
        <w:tc>
          <w:tcPr>
            <w:tcW w:w="1560" w:type="dxa"/>
            <w:tcBorders>
              <w:top w:val="single" w:sz="4" w:space="0" w:color="000000"/>
              <w:left w:val="single" w:sz="4" w:space="0" w:color="000000"/>
              <w:bottom w:val="single" w:sz="4" w:space="0" w:color="000000"/>
            </w:tcBorders>
            <w:shd w:val="clear" w:color="auto" w:fill="auto"/>
            <w:vAlign w:val="center"/>
          </w:tcPr>
          <w:p w14:paraId="2B51A1B7"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AD23"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Default</w:t>
            </w:r>
          </w:p>
        </w:tc>
      </w:tr>
      <w:tr w:rsidR="00C37186" w14:paraId="2ACC15B5" w14:textId="77777777" w:rsidTr="00C3718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58202C5" w14:textId="77777777" w:rsidR="00C37186" w:rsidRPr="006136B1" w:rsidRDefault="00C37186" w:rsidP="00C37186">
            <w:pPr>
              <w:keepNext/>
              <w:rPr>
                <w:color w:val="000000"/>
                <w:sz w:val="18"/>
                <w:szCs w:val="18"/>
              </w:rPr>
            </w:pPr>
            <w:r w:rsidRPr="006136B1">
              <w:rPr>
                <w:color w:val="000000"/>
                <w:sz w:val="18"/>
                <w:szCs w:val="18"/>
              </w:rPr>
              <w:t>Fraction released to wastewater</w:t>
            </w:r>
          </w:p>
          <w:p w14:paraId="27B11FED"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i/>
                <w:color w:val="000000"/>
                <w:sz w:val="18"/>
                <w:szCs w:val="18"/>
              </w:rPr>
              <w:t>F</w:t>
            </w:r>
            <w:r w:rsidRPr="006136B1">
              <w:rPr>
                <w:i/>
                <w:color w:val="000000"/>
                <w:sz w:val="18"/>
                <w:szCs w:val="18"/>
                <w:vertAlign w:val="subscript"/>
              </w:rPr>
              <w:t>water</w:t>
            </w:r>
          </w:p>
        </w:tc>
        <w:tc>
          <w:tcPr>
            <w:tcW w:w="1451" w:type="dxa"/>
            <w:tcBorders>
              <w:top w:val="single" w:sz="4" w:space="0" w:color="000000"/>
              <w:left w:val="single" w:sz="4" w:space="0" w:color="000000"/>
              <w:bottom w:val="single" w:sz="4" w:space="0" w:color="000000"/>
            </w:tcBorders>
            <w:shd w:val="clear" w:color="auto" w:fill="auto"/>
          </w:tcPr>
          <w:p w14:paraId="51229133"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tcPr>
          <w:p w14:paraId="36294405"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68233C45"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Default</w:t>
            </w:r>
          </w:p>
        </w:tc>
      </w:tr>
      <w:tr w:rsidR="00C37186" w14:paraId="7F97AE06" w14:textId="77777777" w:rsidTr="00C3718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2699725" w14:textId="77777777" w:rsidR="00C37186" w:rsidRPr="006136B1" w:rsidRDefault="00C37186" w:rsidP="00C37186">
            <w:pPr>
              <w:suppressAutoHyphens w:val="0"/>
              <w:rPr>
                <w:color w:val="000000"/>
                <w:sz w:val="18"/>
                <w:szCs w:val="18"/>
              </w:rPr>
            </w:pPr>
            <w:r w:rsidRPr="006136B1">
              <w:rPr>
                <w:color w:val="000000"/>
                <w:sz w:val="18"/>
                <w:szCs w:val="18"/>
              </w:rPr>
              <w:t xml:space="preserve">Concentration of substance in the product </w:t>
            </w:r>
          </w:p>
          <w:p w14:paraId="57D850D7" w14:textId="77777777" w:rsidR="00C37186" w:rsidRPr="006136B1" w:rsidRDefault="00C37186" w:rsidP="00C37186">
            <w:pPr>
              <w:keepNext/>
              <w:rPr>
                <w:color w:val="000000"/>
                <w:sz w:val="18"/>
                <w:szCs w:val="18"/>
              </w:rPr>
            </w:pPr>
            <w:r w:rsidRPr="006136B1">
              <w:rPr>
                <w:i/>
                <w:color w:val="000000"/>
                <w:sz w:val="18"/>
                <w:szCs w:val="18"/>
              </w:rPr>
              <w:t>C</w:t>
            </w:r>
            <w:r w:rsidRPr="006136B1">
              <w:rPr>
                <w:i/>
                <w:color w:val="000000"/>
                <w:sz w:val="18"/>
                <w:szCs w:val="18"/>
                <w:vertAlign w:val="subscript"/>
              </w:rPr>
              <w:t>product</w:t>
            </w:r>
          </w:p>
        </w:tc>
        <w:tc>
          <w:tcPr>
            <w:tcW w:w="1451" w:type="dxa"/>
            <w:tcBorders>
              <w:top w:val="single" w:sz="4" w:space="0" w:color="000000"/>
              <w:left w:val="single" w:sz="4" w:space="0" w:color="000000"/>
              <w:bottom w:val="single" w:sz="4" w:space="0" w:color="000000"/>
            </w:tcBorders>
            <w:shd w:val="clear" w:color="auto" w:fill="auto"/>
          </w:tcPr>
          <w:p w14:paraId="20A21F40"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0.16</w:t>
            </w:r>
          </w:p>
        </w:tc>
        <w:tc>
          <w:tcPr>
            <w:tcW w:w="1560" w:type="dxa"/>
            <w:tcBorders>
              <w:top w:val="single" w:sz="4" w:space="0" w:color="000000"/>
              <w:left w:val="single" w:sz="4" w:space="0" w:color="000000"/>
              <w:bottom w:val="single" w:sz="4" w:space="0" w:color="000000"/>
            </w:tcBorders>
            <w:shd w:val="clear" w:color="auto" w:fill="auto"/>
          </w:tcPr>
          <w:p w14:paraId="0695973F"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kg.l</w:t>
            </w:r>
            <w:r w:rsidRPr="006136B1">
              <w:rPr>
                <w:color w:val="000000"/>
                <w:sz w:val="18"/>
                <w:szCs w:val="18"/>
                <w:vertAlign w:val="superscript"/>
              </w:rPr>
              <w:t>-1</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3D7F9D2" w14:textId="4378613A" w:rsidR="00C37186" w:rsidRPr="006136B1" w:rsidRDefault="009B4803" w:rsidP="00C37186">
            <w:pPr>
              <w:snapToGrid w:val="0"/>
              <w:spacing w:before="60" w:after="60" w:line="260" w:lineRule="atLeast"/>
              <w:rPr>
                <w:rFonts w:eastAsia="Calibri" w:cs="Arial"/>
                <w:color w:val="000000"/>
                <w:sz w:val="18"/>
                <w:szCs w:val="18"/>
                <w:lang w:eastAsia="en-GB"/>
              </w:rPr>
            </w:pPr>
            <w:r w:rsidRPr="001C6AF1">
              <w:rPr>
                <w:sz w:val="18"/>
                <w:szCs w:val="18"/>
                <w:lang w:val="en-US"/>
              </w:rPr>
              <w:t>Considering that, for all the Meta-SPC, product density may vary from 1.004 to 1.077, a density of 1 is considered for the assessment</w:t>
            </w:r>
          </w:p>
        </w:tc>
      </w:tr>
      <w:tr w:rsidR="00C37186" w14:paraId="1BA16831" w14:textId="77777777" w:rsidTr="00C37186">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8FC19FB" w14:textId="77777777" w:rsidR="00C37186" w:rsidRPr="006136B1" w:rsidRDefault="00C37186" w:rsidP="00C37186">
            <w:pPr>
              <w:keepNext/>
              <w:rPr>
                <w:color w:val="000000"/>
                <w:sz w:val="18"/>
                <w:szCs w:val="18"/>
              </w:rPr>
            </w:pPr>
            <w:r w:rsidRPr="006136B1">
              <w:rPr>
                <w:color w:val="000000"/>
                <w:sz w:val="18"/>
                <w:szCs w:val="18"/>
              </w:rPr>
              <w:t>Consumption per capita (general purpose + lavatory)</w:t>
            </w:r>
          </w:p>
          <w:p w14:paraId="7A7DB17C" w14:textId="77777777" w:rsidR="00C37186" w:rsidRPr="006136B1" w:rsidRDefault="00C37186" w:rsidP="00C37186">
            <w:pPr>
              <w:keepNext/>
              <w:rPr>
                <w:color w:val="000000"/>
                <w:sz w:val="18"/>
                <w:szCs w:val="18"/>
              </w:rPr>
            </w:pPr>
            <w:r w:rsidRPr="006136B1">
              <w:rPr>
                <w:i/>
                <w:color w:val="000000"/>
                <w:sz w:val="18"/>
                <w:szCs w:val="18"/>
              </w:rPr>
              <w:t>Q</w:t>
            </w:r>
            <w:r w:rsidRPr="006136B1">
              <w:rPr>
                <w:i/>
                <w:color w:val="000000"/>
                <w:sz w:val="18"/>
                <w:szCs w:val="18"/>
                <w:vertAlign w:val="subscript"/>
              </w:rPr>
              <w:t>product</w:t>
            </w:r>
          </w:p>
        </w:tc>
        <w:tc>
          <w:tcPr>
            <w:tcW w:w="1451" w:type="dxa"/>
            <w:tcBorders>
              <w:top w:val="single" w:sz="4" w:space="0" w:color="000000"/>
              <w:left w:val="single" w:sz="4" w:space="0" w:color="000000"/>
              <w:bottom w:val="single" w:sz="4" w:space="0" w:color="000000"/>
            </w:tcBorders>
            <w:shd w:val="clear" w:color="auto" w:fill="auto"/>
          </w:tcPr>
          <w:p w14:paraId="430ED343"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0.002</w:t>
            </w:r>
          </w:p>
        </w:tc>
        <w:tc>
          <w:tcPr>
            <w:tcW w:w="1560" w:type="dxa"/>
            <w:tcBorders>
              <w:top w:val="single" w:sz="4" w:space="0" w:color="000000"/>
              <w:left w:val="single" w:sz="4" w:space="0" w:color="000000"/>
              <w:bottom w:val="single" w:sz="4" w:space="0" w:color="000000"/>
            </w:tcBorders>
            <w:shd w:val="clear" w:color="auto" w:fill="auto"/>
          </w:tcPr>
          <w:p w14:paraId="2ACB9CDD"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l.cap-1.d</w:t>
            </w:r>
            <w:r w:rsidRPr="006136B1">
              <w:rPr>
                <w:color w:val="000000"/>
                <w:sz w:val="18"/>
                <w:szCs w:val="18"/>
                <w:vertAlign w:val="superscript"/>
              </w:rPr>
              <w:t>-1</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96DC"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Default</w:t>
            </w:r>
          </w:p>
        </w:tc>
      </w:tr>
      <w:tr w:rsidR="00C37186" w14:paraId="0020D484" w14:textId="77777777" w:rsidTr="00C37186">
        <w:trPr>
          <w:trHeight w:val="93"/>
        </w:trPr>
        <w:tc>
          <w:tcPr>
            <w:tcW w:w="3936" w:type="dxa"/>
            <w:tcBorders>
              <w:top w:val="single" w:sz="4" w:space="0" w:color="000000"/>
              <w:left w:val="single" w:sz="4" w:space="0" w:color="000000"/>
              <w:bottom w:val="single" w:sz="4" w:space="0" w:color="000000"/>
            </w:tcBorders>
            <w:shd w:val="clear" w:color="auto" w:fill="auto"/>
          </w:tcPr>
          <w:p w14:paraId="1A26D35B" w14:textId="77777777" w:rsidR="00C37186" w:rsidRPr="006136B1" w:rsidRDefault="00C37186" w:rsidP="00C37186">
            <w:pPr>
              <w:keepNext/>
              <w:rPr>
                <w:color w:val="000000"/>
                <w:sz w:val="18"/>
                <w:szCs w:val="18"/>
              </w:rPr>
            </w:pPr>
            <w:r w:rsidRPr="006136B1">
              <w:rPr>
                <w:color w:val="000000"/>
                <w:sz w:val="18"/>
                <w:szCs w:val="18"/>
              </w:rPr>
              <w:t>Penetration factor of disinfectant</w:t>
            </w:r>
          </w:p>
          <w:p w14:paraId="5E86FC55" w14:textId="77777777" w:rsidR="00C37186" w:rsidRPr="006136B1" w:rsidRDefault="00C37186" w:rsidP="00C37186">
            <w:pPr>
              <w:keepNext/>
              <w:rPr>
                <w:color w:val="000000"/>
                <w:sz w:val="18"/>
                <w:szCs w:val="18"/>
              </w:rPr>
            </w:pPr>
            <w:r w:rsidRPr="006136B1">
              <w:rPr>
                <w:i/>
                <w:color w:val="000000"/>
                <w:sz w:val="18"/>
                <w:szCs w:val="18"/>
              </w:rPr>
              <w:t>F</w:t>
            </w:r>
            <w:r w:rsidRPr="006136B1">
              <w:rPr>
                <w:i/>
                <w:color w:val="000000"/>
                <w:sz w:val="18"/>
                <w:szCs w:val="18"/>
                <w:vertAlign w:val="subscript"/>
              </w:rPr>
              <w:t>penetr</w:t>
            </w:r>
          </w:p>
        </w:tc>
        <w:tc>
          <w:tcPr>
            <w:tcW w:w="1451" w:type="dxa"/>
            <w:tcBorders>
              <w:top w:val="single" w:sz="4" w:space="0" w:color="000000"/>
              <w:left w:val="single" w:sz="4" w:space="0" w:color="000000"/>
              <w:bottom w:val="single" w:sz="4" w:space="0" w:color="000000"/>
            </w:tcBorders>
            <w:shd w:val="clear" w:color="auto" w:fill="auto"/>
          </w:tcPr>
          <w:p w14:paraId="7B8B4482"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0.5</w:t>
            </w:r>
          </w:p>
        </w:tc>
        <w:tc>
          <w:tcPr>
            <w:tcW w:w="1560" w:type="dxa"/>
            <w:tcBorders>
              <w:top w:val="single" w:sz="4" w:space="0" w:color="000000"/>
              <w:left w:val="single" w:sz="4" w:space="0" w:color="000000"/>
              <w:bottom w:val="single" w:sz="4" w:space="0" w:color="000000"/>
            </w:tcBorders>
            <w:shd w:val="clear" w:color="auto" w:fill="auto"/>
          </w:tcPr>
          <w:p w14:paraId="28D02431"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409341B" w14:textId="77777777" w:rsidR="00C37186" w:rsidRPr="006136B1" w:rsidRDefault="00C37186" w:rsidP="00C37186">
            <w:pPr>
              <w:snapToGrid w:val="0"/>
              <w:spacing w:before="60" w:after="60" w:line="260" w:lineRule="atLeast"/>
              <w:rPr>
                <w:rFonts w:eastAsia="Calibri" w:cs="Arial"/>
                <w:color w:val="000000"/>
                <w:sz w:val="18"/>
                <w:szCs w:val="18"/>
                <w:lang w:eastAsia="en-GB"/>
              </w:rPr>
            </w:pPr>
            <w:r w:rsidRPr="006136B1">
              <w:rPr>
                <w:color w:val="000000"/>
                <w:sz w:val="18"/>
                <w:szCs w:val="18"/>
              </w:rPr>
              <w:t>Default</w:t>
            </w:r>
          </w:p>
        </w:tc>
      </w:tr>
    </w:tbl>
    <w:p w14:paraId="0685843A" w14:textId="77777777" w:rsidR="00C37186" w:rsidRDefault="00C37186" w:rsidP="00C37186">
      <w:pPr>
        <w:spacing w:line="276" w:lineRule="auto"/>
        <w:rPr>
          <w:rFonts w:ascii="Times New Roman" w:eastAsia="Calibri" w:hAnsi="Times New Roman" w:cs="Times New Roman"/>
          <w:i/>
          <w:lang w:eastAsia="en-US"/>
        </w:rPr>
      </w:pPr>
    </w:p>
    <w:p w14:paraId="4B2E685B" w14:textId="77777777" w:rsidR="00C37186" w:rsidRPr="007116D2" w:rsidRDefault="00C37186" w:rsidP="00C37186">
      <w:pPr>
        <w:spacing w:line="276" w:lineRule="auto"/>
        <w:rPr>
          <w:rFonts w:eastAsia="Calibri"/>
          <w:u w:val="single"/>
          <w:lang w:val="fr-FR" w:eastAsia="en-US"/>
        </w:rPr>
      </w:pPr>
    </w:p>
    <w:p w14:paraId="4E66579D" w14:textId="29BB90A8" w:rsidR="00C37186" w:rsidRPr="007116D2" w:rsidRDefault="00C37186" w:rsidP="00C37186">
      <w:pPr>
        <w:spacing w:line="276" w:lineRule="auto"/>
        <w:rPr>
          <w:rFonts w:eastAsia="Calibri"/>
          <w:u w:val="single"/>
          <w:lang w:val="en-US" w:eastAsia="en-US"/>
        </w:rPr>
      </w:pPr>
      <w:r w:rsidRPr="007116D2">
        <w:rPr>
          <w:rFonts w:eastAsia="Calibri"/>
          <w:u w:val="single"/>
          <w:lang w:val="en-US" w:eastAsia="en-US"/>
        </w:rPr>
        <w:t xml:space="preserve">Calculations for Scenario </w:t>
      </w:r>
      <w:r w:rsidR="00FF4872">
        <w:rPr>
          <w:rFonts w:eastAsia="Calibri"/>
          <w:u w:val="single"/>
          <w:lang w:val="en-US" w:eastAsia="en-US"/>
        </w:rPr>
        <w:t>1b</w:t>
      </w:r>
    </w:p>
    <w:p w14:paraId="473C12F4" w14:textId="77777777" w:rsidR="00C37186" w:rsidRDefault="00C37186" w:rsidP="00C37186">
      <w:pPr>
        <w:spacing w:line="260" w:lineRule="atLeast"/>
        <w:rPr>
          <w:rFonts w:eastAsia="Calibri"/>
          <w:lang w:eastAsia="en-US"/>
        </w:rPr>
      </w:pPr>
    </w:p>
    <w:p w14:paraId="66AFEA36" w14:textId="77777777" w:rsidR="00C37186" w:rsidRPr="00B27CB1" w:rsidRDefault="00C37186" w:rsidP="00C37186">
      <w:pPr>
        <w:spacing w:line="260" w:lineRule="atLeast"/>
        <w:rPr>
          <w:rFonts w:eastAsia="Calibri"/>
          <w:lang w:eastAsia="en-US"/>
        </w:rPr>
      </w:pPr>
      <w:r w:rsidRPr="00D27A8C">
        <w:rPr>
          <w:rFonts w:eastAsia="Calibri"/>
          <w:lang w:eastAsia="en-US"/>
        </w:rPr>
        <w:t>Elocalwater = Nlocal * Qproduct * Cproduct * Fpenetr * Fwater</w:t>
      </w:r>
    </w:p>
    <w:p w14:paraId="05B91614" w14:textId="77777777" w:rsidR="00C37186" w:rsidRPr="00B27CB1" w:rsidRDefault="00C37186" w:rsidP="00C37186">
      <w:pPr>
        <w:spacing w:line="276" w:lineRule="auto"/>
        <w:rPr>
          <w:rFonts w:ascii="Times New Roman" w:eastAsia="Calibri" w:hAnsi="Times New Roman" w:cs="Times New Roman"/>
          <w:i/>
          <w:szCs w:val="22"/>
          <w:lang w:eastAsia="en-US"/>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2731"/>
        <w:gridCol w:w="3177"/>
        <w:gridCol w:w="8"/>
      </w:tblGrid>
      <w:tr w:rsidR="00C37186" w:rsidRPr="00184ABF" w14:paraId="50272E39" w14:textId="77777777" w:rsidTr="00C37186">
        <w:trPr>
          <w:tblHeader/>
        </w:trPr>
        <w:tc>
          <w:tcPr>
            <w:tcW w:w="9855" w:type="dxa"/>
            <w:gridSpan w:val="5"/>
            <w:shd w:val="clear" w:color="auto" w:fill="FFFFCC"/>
            <w:tcMar>
              <w:top w:w="40" w:type="dxa"/>
              <w:left w:w="40" w:type="dxa"/>
              <w:bottom w:w="40" w:type="dxa"/>
              <w:right w:w="40" w:type="dxa"/>
            </w:tcMar>
            <w:vAlign w:val="center"/>
          </w:tcPr>
          <w:p w14:paraId="2890A56E" w14:textId="77777777" w:rsidR="00C37186" w:rsidRPr="00184ABF" w:rsidRDefault="00C37186" w:rsidP="00C37186">
            <w:pPr>
              <w:spacing w:before="60" w:after="60"/>
              <w:rPr>
                <w:b/>
                <w:sz w:val="18"/>
                <w:szCs w:val="18"/>
                <w:lang w:eastAsia="en-GB"/>
              </w:rPr>
            </w:pPr>
            <w:r w:rsidRPr="00184ABF">
              <w:rPr>
                <w:b/>
                <w:sz w:val="18"/>
                <w:szCs w:val="18"/>
              </w:rPr>
              <w:t>Resulting local emission to relevant environmental compartments</w:t>
            </w:r>
          </w:p>
        </w:tc>
      </w:tr>
      <w:tr w:rsidR="00C37186" w:rsidRPr="00184ABF" w14:paraId="5B1A4F9A" w14:textId="77777777" w:rsidTr="00C37186">
        <w:trPr>
          <w:gridAfter w:val="1"/>
          <w:wAfter w:w="8" w:type="dxa"/>
          <w:tblHeader/>
        </w:trPr>
        <w:tc>
          <w:tcPr>
            <w:tcW w:w="2088" w:type="dxa"/>
            <w:shd w:val="clear" w:color="auto" w:fill="auto"/>
            <w:tcMar>
              <w:top w:w="40" w:type="dxa"/>
              <w:left w:w="40" w:type="dxa"/>
              <w:bottom w:w="40" w:type="dxa"/>
              <w:right w:w="40" w:type="dxa"/>
            </w:tcMar>
            <w:vAlign w:val="center"/>
          </w:tcPr>
          <w:p w14:paraId="0A252291" w14:textId="77777777" w:rsidR="00C37186" w:rsidRPr="00184ABF" w:rsidRDefault="00C37186" w:rsidP="00C37186">
            <w:pPr>
              <w:spacing w:before="60" w:after="60"/>
              <w:rPr>
                <w:b/>
                <w:sz w:val="18"/>
                <w:szCs w:val="18"/>
                <w:lang w:eastAsia="en-GB"/>
              </w:rPr>
            </w:pPr>
            <w:r w:rsidRPr="00184ABF">
              <w:rPr>
                <w:b/>
                <w:sz w:val="18"/>
                <w:szCs w:val="18"/>
                <w:lang w:eastAsia="en-GB"/>
              </w:rPr>
              <w:t>Substance</w:t>
            </w:r>
          </w:p>
        </w:tc>
        <w:tc>
          <w:tcPr>
            <w:tcW w:w="1851" w:type="dxa"/>
            <w:shd w:val="clear" w:color="auto" w:fill="auto"/>
            <w:vAlign w:val="center"/>
          </w:tcPr>
          <w:p w14:paraId="4DABD0B1" w14:textId="77777777" w:rsidR="00C37186" w:rsidRPr="00184ABF" w:rsidRDefault="00C37186" w:rsidP="00C37186">
            <w:pPr>
              <w:spacing w:before="60" w:after="60"/>
              <w:rPr>
                <w:b/>
                <w:sz w:val="18"/>
                <w:szCs w:val="18"/>
                <w:lang w:eastAsia="en-GB"/>
              </w:rPr>
            </w:pPr>
            <w:r w:rsidRPr="00184ABF">
              <w:rPr>
                <w:b/>
                <w:sz w:val="18"/>
                <w:szCs w:val="18"/>
                <w:lang w:eastAsia="en-GB"/>
              </w:rPr>
              <w:t>Compartment</w:t>
            </w:r>
          </w:p>
        </w:tc>
        <w:tc>
          <w:tcPr>
            <w:tcW w:w="2731" w:type="dxa"/>
            <w:shd w:val="clear" w:color="auto" w:fill="auto"/>
            <w:tcMar>
              <w:top w:w="40" w:type="dxa"/>
              <w:left w:w="40" w:type="dxa"/>
              <w:bottom w:w="40" w:type="dxa"/>
              <w:right w:w="40" w:type="dxa"/>
            </w:tcMar>
            <w:vAlign w:val="center"/>
          </w:tcPr>
          <w:p w14:paraId="53720319" w14:textId="77777777" w:rsidR="00C37186" w:rsidRPr="00184ABF" w:rsidRDefault="00C37186" w:rsidP="00C37186">
            <w:pPr>
              <w:spacing w:before="60" w:after="60"/>
              <w:rPr>
                <w:b/>
                <w:sz w:val="18"/>
                <w:szCs w:val="18"/>
                <w:lang w:eastAsia="en-GB"/>
              </w:rPr>
            </w:pPr>
            <w:r w:rsidRPr="00184ABF">
              <w:rPr>
                <w:b/>
                <w:sz w:val="18"/>
                <w:szCs w:val="18"/>
                <w:lang w:eastAsia="en-GB"/>
              </w:rPr>
              <w:t xml:space="preserve">Local emission </w:t>
            </w:r>
          </w:p>
          <w:p w14:paraId="57EDA608" w14:textId="77777777" w:rsidR="00C37186" w:rsidRPr="00184ABF" w:rsidRDefault="00C37186" w:rsidP="00C37186">
            <w:pPr>
              <w:spacing w:before="60" w:after="60"/>
              <w:rPr>
                <w:b/>
                <w:sz w:val="18"/>
                <w:szCs w:val="18"/>
                <w:lang w:eastAsia="en-GB"/>
              </w:rPr>
            </w:pPr>
            <w:r w:rsidRPr="00184ABF">
              <w:rPr>
                <w:b/>
                <w:sz w:val="18"/>
                <w:szCs w:val="18"/>
                <w:lang w:eastAsia="en-GB"/>
              </w:rPr>
              <w:t>(Elocal</w:t>
            </w:r>
            <w:r w:rsidRPr="00184ABF">
              <w:rPr>
                <w:b/>
                <w:sz w:val="18"/>
                <w:szCs w:val="18"/>
                <w:vertAlign w:val="subscript"/>
                <w:lang w:eastAsia="en-GB"/>
              </w:rPr>
              <w:t>compartment</w:t>
            </w:r>
            <w:r w:rsidRPr="00184ABF">
              <w:rPr>
                <w:b/>
                <w:sz w:val="18"/>
                <w:szCs w:val="18"/>
                <w:lang w:eastAsia="en-GB"/>
              </w:rPr>
              <w:t>) [kg/d</w:t>
            </w:r>
            <w:r w:rsidRPr="00184ABF">
              <w:rPr>
                <w:b/>
                <w:sz w:val="18"/>
                <w:szCs w:val="18"/>
                <w:vertAlign w:val="superscript"/>
                <w:lang w:eastAsia="en-GB"/>
              </w:rPr>
              <w:t>-1</w:t>
            </w:r>
            <w:r w:rsidRPr="00184ABF">
              <w:rPr>
                <w:b/>
                <w:sz w:val="18"/>
                <w:szCs w:val="18"/>
                <w:lang w:eastAsia="en-GB"/>
              </w:rPr>
              <w:t>]</w:t>
            </w:r>
          </w:p>
        </w:tc>
        <w:tc>
          <w:tcPr>
            <w:tcW w:w="3177" w:type="dxa"/>
            <w:shd w:val="clear" w:color="auto" w:fill="auto"/>
            <w:tcMar>
              <w:top w:w="40" w:type="dxa"/>
              <w:left w:w="40" w:type="dxa"/>
              <w:bottom w:w="40" w:type="dxa"/>
              <w:right w:w="40" w:type="dxa"/>
            </w:tcMar>
            <w:vAlign w:val="center"/>
          </w:tcPr>
          <w:p w14:paraId="5307537A" w14:textId="77777777" w:rsidR="00C37186" w:rsidRPr="00184ABF" w:rsidRDefault="00C37186" w:rsidP="00C37186">
            <w:pPr>
              <w:spacing w:before="60" w:after="60"/>
              <w:rPr>
                <w:b/>
                <w:sz w:val="18"/>
                <w:szCs w:val="18"/>
                <w:lang w:eastAsia="en-GB"/>
              </w:rPr>
            </w:pPr>
            <w:r w:rsidRPr="00184ABF">
              <w:rPr>
                <w:b/>
                <w:sz w:val="18"/>
                <w:szCs w:val="18"/>
                <w:lang w:eastAsia="en-GB"/>
              </w:rPr>
              <w:t>Remarks</w:t>
            </w:r>
          </w:p>
        </w:tc>
      </w:tr>
      <w:tr w:rsidR="00C37186" w:rsidRPr="00184ABF" w14:paraId="77A445FD" w14:textId="77777777" w:rsidTr="00C37186">
        <w:trPr>
          <w:gridAfter w:val="1"/>
          <w:wAfter w:w="8" w:type="dxa"/>
        </w:trPr>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1B6CB072" w14:textId="77777777" w:rsidR="00C37186" w:rsidRPr="00184ABF" w:rsidRDefault="00C37186" w:rsidP="00C37186">
            <w:pPr>
              <w:rPr>
                <w:rFonts w:cs="Calibri"/>
                <w:sz w:val="18"/>
                <w:szCs w:val="18"/>
                <w:lang w:eastAsia="es-ES"/>
              </w:rPr>
            </w:pPr>
            <w:r w:rsidRPr="00184ABF">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vAlign w:val="center"/>
          </w:tcPr>
          <w:p w14:paraId="33B9D5AA" w14:textId="77777777" w:rsidR="00C37186" w:rsidRPr="00184ABF" w:rsidRDefault="00C37186" w:rsidP="00C37186">
            <w:pPr>
              <w:rPr>
                <w:rFonts w:cs="Calibri"/>
                <w:sz w:val="18"/>
                <w:szCs w:val="18"/>
              </w:rPr>
            </w:pPr>
            <w:r>
              <w:rPr>
                <w:rFonts w:cs="Calibri"/>
                <w:sz w:val="18"/>
                <w:szCs w:val="18"/>
              </w:rPr>
              <w:t>STP</w:t>
            </w:r>
          </w:p>
        </w:tc>
        <w:tc>
          <w:tcPr>
            <w:tcW w:w="2731"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7B46A2D6" w14:textId="77777777" w:rsidR="00C37186" w:rsidRPr="00184ABF" w:rsidRDefault="00C37186" w:rsidP="00C37186">
            <w:pPr>
              <w:rPr>
                <w:rFonts w:cs="Calibri"/>
                <w:sz w:val="18"/>
                <w:szCs w:val="18"/>
              </w:rPr>
            </w:pPr>
            <w:r>
              <w:rPr>
                <w:rFonts w:cs="Calibri"/>
                <w:sz w:val="18"/>
                <w:szCs w:val="18"/>
              </w:rPr>
              <w:t>1.6</w:t>
            </w:r>
          </w:p>
        </w:tc>
        <w:tc>
          <w:tcPr>
            <w:tcW w:w="3177"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5FE1E1E7" w14:textId="77777777" w:rsidR="00C37186" w:rsidRPr="00184ABF" w:rsidRDefault="00C37186" w:rsidP="00C37186">
            <w:pPr>
              <w:jc w:val="center"/>
              <w:rPr>
                <w:rFonts w:cs="Calibri"/>
              </w:rPr>
            </w:pPr>
          </w:p>
        </w:tc>
      </w:tr>
    </w:tbl>
    <w:p w14:paraId="741DEA67" w14:textId="77777777" w:rsidR="00C37186" w:rsidRDefault="00C37186" w:rsidP="00C37186">
      <w:pPr>
        <w:spacing w:line="260" w:lineRule="atLeast"/>
        <w:rPr>
          <w:rFonts w:eastAsia="Calibri" w:cs="Times New Roman"/>
          <w:iCs/>
          <w:lang w:eastAsia="en-US"/>
        </w:rPr>
      </w:pPr>
    </w:p>
    <w:p w14:paraId="4925843F" w14:textId="77777777" w:rsidR="0073642B" w:rsidRDefault="0073642B" w:rsidP="0073642B">
      <w:pPr>
        <w:spacing w:line="276" w:lineRule="auto"/>
        <w:rPr>
          <w:rFonts w:eastAsia="Calibri"/>
          <w:b/>
          <w:bCs/>
          <w:lang w:eastAsia="en-US"/>
        </w:rPr>
      </w:pPr>
    </w:p>
    <w:p w14:paraId="3F4F4911" w14:textId="688CB3AA" w:rsidR="0073642B" w:rsidRPr="00B27CB1" w:rsidRDefault="0054236D" w:rsidP="00EA2653">
      <w:pPr>
        <w:pStyle w:val="Titre5"/>
        <w:rPr>
          <w:rFonts w:ascii="Times New Roman" w:hAnsi="Times New Roman" w:cs="Times New Roman"/>
          <w:i/>
        </w:rPr>
      </w:pPr>
      <w:r>
        <w:t xml:space="preserve">PT02 - </w:t>
      </w:r>
      <w:r w:rsidR="0073642B" w:rsidRPr="00B27CB1">
        <w:t xml:space="preserve">Scenario </w:t>
      </w:r>
      <w:r w:rsidR="0073642B">
        <w:t>2</w:t>
      </w:r>
      <w:r>
        <w:t>:</w:t>
      </w:r>
      <w:r w:rsidR="0073642B" w:rsidRPr="00896F37">
        <w:rPr>
          <w:color w:val="221E1F"/>
          <w:lang w:val="en-US"/>
        </w:rPr>
        <w:t xml:space="preserve"> </w:t>
      </w:r>
      <w:r w:rsidR="0073642B" w:rsidRPr="00152357">
        <w:rPr>
          <w:color w:val="221E1F"/>
          <w:lang w:val="en-US"/>
        </w:rPr>
        <w:t>Indoor - Disinfection of</w:t>
      </w:r>
      <w:r w:rsidR="0073642B">
        <w:t xml:space="preserve"> industrial areas</w:t>
      </w:r>
    </w:p>
    <w:p w14:paraId="5FB2E565" w14:textId="1FF19EFA" w:rsidR="0073642B" w:rsidRDefault="0073642B" w:rsidP="0073642B">
      <w:pPr>
        <w:spacing w:line="276" w:lineRule="auto"/>
        <w:rPr>
          <w:rFonts w:eastAsia="Calibri" w:cs="Times New Roman"/>
          <w:bCs/>
          <w:lang w:eastAsia="en-US"/>
        </w:rPr>
      </w:pPr>
      <w:r>
        <w:rPr>
          <w:rFonts w:eastAsia="Calibri" w:cs="Times New Roman"/>
          <w:bCs/>
          <w:lang w:eastAsia="en-US"/>
        </w:rPr>
        <w:t>Covering Meta-SPC 2, 3, 4, 6, 7,</w:t>
      </w:r>
      <w:r w:rsidRPr="00896F37">
        <w:rPr>
          <w:rFonts w:eastAsia="Calibri" w:cs="Times New Roman"/>
          <w:bCs/>
          <w:lang w:eastAsia="en-US"/>
        </w:rPr>
        <w:t xml:space="preserve"> 11</w:t>
      </w:r>
      <w:r>
        <w:rPr>
          <w:rFonts w:eastAsia="Calibri" w:cs="Times New Roman"/>
          <w:bCs/>
          <w:lang w:eastAsia="en-US"/>
        </w:rPr>
        <w:t xml:space="preserve"> &amp; 13</w:t>
      </w:r>
    </w:p>
    <w:p w14:paraId="6D1733D2" w14:textId="77777777" w:rsidR="0073642B" w:rsidRDefault="0073642B" w:rsidP="0073642B">
      <w:pPr>
        <w:spacing w:line="276" w:lineRule="auto"/>
        <w:rPr>
          <w:rFonts w:eastAsia="Calibri" w:cs="Times New Roman"/>
          <w:bCs/>
          <w:lang w:eastAsia="en-US"/>
        </w:rPr>
      </w:pPr>
    </w:p>
    <w:p w14:paraId="2E2C0137" w14:textId="69703FB3" w:rsidR="0073642B" w:rsidRPr="00896F37" w:rsidRDefault="0073642B" w:rsidP="0073642B">
      <w:pPr>
        <w:spacing w:line="276" w:lineRule="auto"/>
        <w:rPr>
          <w:rFonts w:eastAsia="Calibri" w:cs="Times New Roman"/>
          <w:bCs/>
          <w:lang w:eastAsia="en-US"/>
        </w:rPr>
      </w:pPr>
      <w:r>
        <w:rPr>
          <w:rFonts w:eastAsia="Calibri" w:cs="Times New Roman"/>
          <w:bCs/>
          <w:lang w:eastAsia="en-US"/>
        </w:rPr>
        <w:t xml:space="preserve">Worst </w:t>
      </w:r>
      <w:r w:rsidRPr="00D17F8B">
        <w:rPr>
          <w:rFonts w:eastAsia="Calibri" w:cs="Times New Roman"/>
          <w:bCs/>
          <w:lang w:eastAsia="en-US"/>
        </w:rPr>
        <w:t xml:space="preserve">case </w:t>
      </w:r>
      <w:r w:rsidRPr="00D17F8B">
        <w:rPr>
          <w:rFonts w:cs="Calibri"/>
        </w:rPr>
        <w:t>L(+) Lactic acid</w:t>
      </w:r>
      <w:r w:rsidRPr="00D17F8B">
        <w:rPr>
          <w:rFonts w:eastAsia="Calibri" w:cs="Times New Roman"/>
          <w:bCs/>
          <w:lang w:eastAsia="en-US"/>
        </w:rPr>
        <w:t xml:space="preserve"> concentration</w:t>
      </w:r>
      <w:r>
        <w:rPr>
          <w:rFonts w:eastAsia="Calibri" w:cs="Times New Roman"/>
          <w:bCs/>
          <w:lang w:eastAsia="en-US"/>
        </w:rPr>
        <w:t xml:space="preserve"> for scenario 2 (</w:t>
      </w:r>
      <w:r w:rsidRPr="00EA2653">
        <w:rPr>
          <w:rFonts w:eastAsia="Calibri" w:cs="Times New Roman"/>
          <w:bCs/>
          <w:u w:val="single"/>
          <w:lang w:eastAsia="en-US"/>
        </w:rPr>
        <w:t>Small scale application RTU</w:t>
      </w:r>
      <w:r>
        <w:rPr>
          <w:rFonts w:eastAsia="Calibri" w:cs="Times New Roman"/>
          <w:bCs/>
          <w:lang w:eastAsia="en-US"/>
        </w:rPr>
        <w:t>):</w:t>
      </w:r>
    </w:p>
    <w:p w14:paraId="1248963D" w14:textId="77777777" w:rsidR="00CD5B0D" w:rsidRPr="00896F37" w:rsidRDefault="00CD5B0D" w:rsidP="0073642B">
      <w:pPr>
        <w:spacing w:line="276" w:lineRule="auto"/>
        <w:rPr>
          <w:rFonts w:eastAsia="Calibri" w:cs="Times New Roman"/>
          <w:bCs/>
          <w:lang w:eastAsia="en-US"/>
        </w:rPr>
      </w:pPr>
    </w:p>
    <w:p w14:paraId="6937739E" w14:textId="61BB1D6E" w:rsidR="0073642B" w:rsidRPr="00D518B9" w:rsidRDefault="00CD5B0D" w:rsidP="00D518B9">
      <w:pPr>
        <w:spacing w:line="276" w:lineRule="auto"/>
        <w:jc w:val="both"/>
        <w:rPr>
          <w:rFonts w:eastAsia="Calibri" w:cs="Times New Roman"/>
          <w:lang w:eastAsia="en-US"/>
        </w:rPr>
      </w:pPr>
      <w:r w:rsidRPr="00D518B9">
        <w:rPr>
          <w:rFonts w:eastAsia="Calibri" w:cs="Times New Roman"/>
          <w:lang w:eastAsia="en-US"/>
        </w:rPr>
        <w:t>For meta-SPC 2,</w:t>
      </w:r>
      <w:r>
        <w:rPr>
          <w:rFonts w:eastAsia="Calibri" w:cs="Times New Roman"/>
          <w:bCs/>
          <w:lang w:eastAsia="en-US"/>
        </w:rPr>
        <w:t xml:space="preserve"> </w:t>
      </w:r>
      <w:r w:rsidRPr="00F12367">
        <w:rPr>
          <w:rFonts w:eastAsia="Calibri" w:cs="Times New Roman"/>
          <w:bCs/>
          <w:lang w:eastAsia="en-US"/>
        </w:rPr>
        <w:t>3 and 4, products are ready-to</w:t>
      </w:r>
      <w:r>
        <w:rPr>
          <w:rFonts w:eastAsia="Calibri" w:cs="Times New Roman"/>
          <w:bCs/>
          <w:lang w:eastAsia="en-US"/>
        </w:rPr>
        <w:t>-</w:t>
      </w:r>
      <w:r w:rsidRPr="00D518B9">
        <w:rPr>
          <w:rFonts w:eastAsia="Calibri" w:cs="Times New Roman"/>
          <w:lang w:eastAsia="en-US"/>
        </w:rPr>
        <w:t xml:space="preserve">use </w:t>
      </w:r>
      <w:r>
        <w:rPr>
          <w:rFonts w:eastAsia="Calibri" w:cs="Times New Roman"/>
          <w:bCs/>
          <w:lang w:eastAsia="en-US"/>
        </w:rPr>
        <w:t xml:space="preserve">trigger </w:t>
      </w:r>
      <w:r w:rsidRPr="00D518B9">
        <w:rPr>
          <w:rFonts w:eastAsia="Calibri" w:cs="Times New Roman"/>
          <w:lang w:eastAsia="en-US"/>
        </w:rPr>
        <w:t>spray</w:t>
      </w:r>
      <w:r>
        <w:rPr>
          <w:rFonts w:eastAsia="Calibri" w:cs="Times New Roman"/>
          <w:bCs/>
          <w:lang w:eastAsia="en-US"/>
        </w:rPr>
        <w:t>s</w:t>
      </w:r>
      <w:r w:rsidRPr="00D518B9">
        <w:rPr>
          <w:rFonts w:eastAsia="Calibri" w:cs="Times New Roman"/>
          <w:lang w:eastAsia="en-US"/>
        </w:rPr>
        <w:t xml:space="preserve"> applied dire</w:t>
      </w:r>
      <w:r>
        <w:rPr>
          <w:rFonts w:eastAsia="Calibri" w:cs="Times New Roman"/>
          <w:bCs/>
          <w:lang w:eastAsia="en-US"/>
        </w:rPr>
        <w:t>c</w:t>
      </w:r>
      <w:r w:rsidRPr="00F12367">
        <w:rPr>
          <w:rFonts w:eastAsia="Calibri" w:cs="Times New Roman"/>
          <w:bCs/>
          <w:lang w:eastAsia="en-US"/>
        </w:rPr>
        <w:t>tly on surfaces o</w:t>
      </w:r>
      <w:r>
        <w:rPr>
          <w:rFonts w:eastAsia="Calibri" w:cs="Times New Roman"/>
          <w:bCs/>
          <w:lang w:eastAsia="en-US"/>
        </w:rPr>
        <w:t>r</w:t>
      </w:r>
      <w:r w:rsidRPr="00D518B9">
        <w:rPr>
          <w:rFonts w:eastAsia="Calibri" w:cs="Times New Roman"/>
          <w:lang w:eastAsia="en-US"/>
        </w:rPr>
        <w:t xml:space="preserve"> on a wipe. Therefore a small-scale application has been </w:t>
      </w:r>
      <w:r w:rsidRPr="00D518B9">
        <w:rPr>
          <w:rFonts w:eastAsia="Calibri" w:cs="Times New Roman"/>
          <w:bCs/>
          <w:lang w:eastAsia="en-US"/>
        </w:rPr>
        <w:t>considered.</w:t>
      </w:r>
    </w:p>
    <w:p w14:paraId="090A8758" w14:textId="7A3633DE" w:rsidR="00CD5B0D" w:rsidRPr="00D518B9" w:rsidRDefault="00CD5B0D" w:rsidP="00D518B9">
      <w:pPr>
        <w:spacing w:line="276" w:lineRule="auto"/>
        <w:rPr>
          <w:rFonts w:eastAsia="Calibri" w:cs="Times New Roman"/>
          <w:lang w:eastAsia="en-US"/>
        </w:rPr>
      </w:pPr>
    </w:p>
    <w:p w14:paraId="0C70D66B" w14:textId="77777777" w:rsidR="00CD5B0D" w:rsidRPr="00B27CB1" w:rsidRDefault="00CD5B0D" w:rsidP="0073642B">
      <w:pPr>
        <w:spacing w:line="276" w:lineRule="auto"/>
        <w:ind w:left="142"/>
        <w:rPr>
          <w:rFonts w:ascii="Times New Roman" w:eastAsia="Calibri" w:hAnsi="Times New Roman" w:cs="Times New Roman"/>
          <w:i/>
          <w:lang w:eastAsia="en-US"/>
        </w:rPr>
      </w:pPr>
    </w:p>
    <w:tbl>
      <w:tblPr>
        <w:tblStyle w:val="Grilledutableau"/>
        <w:tblW w:w="5000" w:type="pct"/>
        <w:tblInd w:w="0" w:type="dxa"/>
        <w:tblLook w:val="04A0" w:firstRow="1" w:lastRow="0" w:firstColumn="1" w:lastColumn="0" w:noHBand="0" w:noVBand="1"/>
      </w:tblPr>
      <w:tblGrid>
        <w:gridCol w:w="3289"/>
        <w:gridCol w:w="2442"/>
        <w:gridCol w:w="1736"/>
        <w:gridCol w:w="1736"/>
      </w:tblGrid>
      <w:tr w:rsidR="0073642B" w:rsidRPr="00861606" w14:paraId="31D524EB" w14:textId="77777777" w:rsidTr="00476D22">
        <w:trPr>
          <w:trHeight w:val="57"/>
        </w:trPr>
        <w:tc>
          <w:tcPr>
            <w:tcW w:w="1787" w:type="pct"/>
            <w:vAlign w:val="center"/>
          </w:tcPr>
          <w:p w14:paraId="0F5B7009" w14:textId="77777777" w:rsidR="0073642B" w:rsidRPr="00D17F8B" w:rsidRDefault="0073642B" w:rsidP="00476D22">
            <w:pPr>
              <w:spacing w:before="240" w:after="60" w:line="260" w:lineRule="atLeast"/>
              <w:jc w:val="center"/>
              <w:outlineLvl w:val="0"/>
              <w:rPr>
                <w:sz w:val="18"/>
                <w:szCs w:val="18"/>
              </w:rPr>
            </w:pPr>
            <w:r w:rsidRPr="00D17F8B">
              <w:rPr>
                <w:sz w:val="18"/>
                <w:szCs w:val="18"/>
              </w:rPr>
              <w:t xml:space="preserve">Substance: </w:t>
            </w:r>
            <w:r w:rsidRPr="00D17F8B">
              <w:rPr>
                <w:rFonts w:cs="Calibri"/>
                <w:sz w:val="18"/>
                <w:szCs w:val="18"/>
              </w:rPr>
              <w:t>L(+) Lactic acid</w:t>
            </w:r>
          </w:p>
        </w:tc>
        <w:tc>
          <w:tcPr>
            <w:tcW w:w="1327" w:type="pct"/>
            <w:vAlign w:val="center"/>
          </w:tcPr>
          <w:p w14:paraId="41E5B182" w14:textId="77777777" w:rsidR="0073642B" w:rsidRPr="00D17F8B" w:rsidRDefault="0073642B" w:rsidP="00476D22">
            <w:pPr>
              <w:spacing w:line="260" w:lineRule="atLeast"/>
              <w:jc w:val="center"/>
              <w:outlineLvl w:val="0"/>
              <w:rPr>
                <w:b/>
                <w:sz w:val="18"/>
                <w:szCs w:val="18"/>
              </w:rPr>
            </w:pPr>
            <w:r w:rsidRPr="00D17F8B">
              <w:rPr>
                <w:b/>
                <w:sz w:val="18"/>
                <w:szCs w:val="18"/>
              </w:rPr>
              <w:t>Meta-SPC 2</w:t>
            </w:r>
          </w:p>
        </w:tc>
        <w:tc>
          <w:tcPr>
            <w:tcW w:w="943" w:type="pct"/>
            <w:vAlign w:val="center"/>
          </w:tcPr>
          <w:p w14:paraId="23D79076" w14:textId="77777777" w:rsidR="0073642B" w:rsidRPr="00D17F8B" w:rsidRDefault="0073642B" w:rsidP="00476D22">
            <w:pPr>
              <w:spacing w:line="260" w:lineRule="atLeast"/>
              <w:jc w:val="center"/>
              <w:outlineLvl w:val="0"/>
              <w:rPr>
                <w:b/>
                <w:sz w:val="18"/>
                <w:szCs w:val="18"/>
              </w:rPr>
            </w:pPr>
            <w:r w:rsidRPr="00D17F8B">
              <w:rPr>
                <w:b/>
                <w:sz w:val="18"/>
                <w:szCs w:val="18"/>
              </w:rPr>
              <w:t>Meta-SPC 3</w:t>
            </w:r>
          </w:p>
        </w:tc>
        <w:tc>
          <w:tcPr>
            <w:tcW w:w="943" w:type="pct"/>
            <w:vAlign w:val="center"/>
          </w:tcPr>
          <w:p w14:paraId="1FCDB63E" w14:textId="77777777" w:rsidR="0073642B" w:rsidRPr="00D17F8B" w:rsidRDefault="0073642B" w:rsidP="00476D22">
            <w:pPr>
              <w:spacing w:line="260" w:lineRule="atLeast"/>
              <w:jc w:val="center"/>
              <w:outlineLvl w:val="0"/>
              <w:rPr>
                <w:b/>
                <w:sz w:val="18"/>
                <w:szCs w:val="18"/>
              </w:rPr>
            </w:pPr>
            <w:r w:rsidRPr="00D17F8B">
              <w:rPr>
                <w:b/>
                <w:sz w:val="18"/>
                <w:szCs w:val="18"/>
              </w:rPr>
              <w:t>Meta-SPC 4</w:t>
            </w:r>
          </w:p>
        </w:tc>
      </w:tr>
      <w:tr w:rsidR="0073642B" w:rsidRPr="00861606" w14:paraId="2FC2DABE" w14:textId="77777777" w:rsidTr="00476D22">
        <w:trPr>
          <w:trHeight w:val="57"/>
        </w:trPr>
        <w:tc>
          <w:tcPr>
            <w:tcW w:w="1787" w:type="pct"/>
            <w:vAlign w:val="center"/>
          </w:tcPr>
          <w:p w14:paraId="58F60E48" w14:textId="77777777" w:rsidR="0073642B" w:rsidRPr="00D17F8B" w:rsidRDefault="0073642B" w:rsidP="00476D22">
            <w:pPr>
              <w:spacing w:before="240" w:after="60" w:line="260" w:lineRule="atLeast"/>
              <w:jc w:val="center"/>
              <w:outlineLvl w:val="0"/>
              <w:rPr>
                <w:sz w:val="18"/>
                <w:szCs w:val="18"/>
              </w:rPr>
            </w:pPr>
            <w:r w:rsidRPr="00D17F8B">
              <w:rPr>
                <w:sz w:val="18"/>
                <w:szCs w:val="18"/>
              </w:rPr>
              <w:lastRenderedPageBreak/>
              <w:t>Technical concentration of active substance (% w/w)</w:t>
            </w:r>
          </w:p>
        </w:tc>
        <w:tc>
          <w:tcPr>
            <w:tcW w:w="1327" w:type="pct"/>
            <w:vAlign w:val="center"/>
          </w:tcPr>
          <w:p w14:paraId="728EC1DC" w14:textId="77777777" w:rsidR="0073642B" w:rsidRPr="00D17F8B" w:rsidRDefault="0073642B" w:rsidP="00476D22">
            <w:pPr>
              <w:spacing w:before="240" w:after="60" w:line="260" w:lineRule="atLeast"/>
              <w:jc w:val="center"/>
              <w:outlineLvl w:val="0"/>
              <w:rPr>
                <w:sz w:val="18"/>
                <w:szCs w:val="18"/>
              </w:rPr>
            </w:pPr>
            <w:r w:rsidRPr="00D17F8B">
              <w:rPr>
                <w:sz w:val="18"/>
                <w:szCs w:val="18"/>
              </w:rPr>
              <w:t>3</w:t>
            </w:r>
          </w:p>
        </w:tc>
        <w:tc>
          <w:tcPr>
            <w:tcW w:w="943" w:type="pct"/>
            <w:vAlign w:val="center"/>
          </w:tcPr>
          <w:p w14:paraId="69B00FBA"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4</w:t>
            </w:r>
          </w:p>
        </w:tc>
        <w:tc>
          <w:tcPr>
            <w:tcW w:w="943" w:type="pct"/>
            <w:vAlign w:val="center"/>
          </w:tcPr>
          <w:p w14:paraId="225847AF"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3.2</w:t>
            </w:r>
          </w:p>
        </w:tc>
      </w:tr>
      <w:tr w:rsidR="0073642B" w:rsidRPr="00861606" w14:paraId="6A92E6B8" w14:textId="77777777" w:rsidTr="00476D22">
        <w:trPr>
          <w:trHeight w:val="57"/>
        </w:trPr>
        <w:tc>
          <w:tcPr>
            <w:tcW w:w="1787" w:type="pct"/>
            <w:vAlign w:val="center"/>
          </w:tcPr>
          <w:p w14:paraId="614E8084" w14:textId="77777777" w:rsidR="0073642B" w:rsidRPr="00D17F8B" w:rsidRDefault="0073642B" w:rsidP="00476D22">
            <w:pPr>
              <w:spacing w:before="240" w:after="60" w:line="260" w:lineRule="atLeast"/>
              <w:jc w:val="center"/>
              <w:outlineLvl w:val="0"/>
              <w:rPr>
                <w:sz w:val="18"/>
                <w:szCs w:val="18"/>
              </w:rPr>
            </w:pPr>
            <w:r w:rsidRPr="00D17F8B">
              <w:rPr>
                <w:sz w:val="18"/>
                <w:szCs w:val="18"/>
              </w:rPr>
              <w:t>Dilution factor</w:t>
            </w:r>
          </w:p>
        </w:tc>
        <w:tc>
          <w:tcPr>
            <w:tcW w:w="1327" w:type="pct"/>
            <w:vAlign w:val="center"/>
          </w:tcPr>
          <w:p w14:paraId="1BA52B76" w14:textId="6DEDA4FF" w:rsidR="0073642B" w:rsidRPr="00D17F8B" w:rsidRDefault="000A5A0D"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c>
          <w:tcPr>
            <w:tcW w:w="943" w:type="pct"/>
            <w:vAlign w:val="center"/>
          </w:tcPr>
          <w:p w14:paraId="2A8109BD" w14:textId="5896949C" w:rsidR="0073642B" w:rsidRPr="00D17F8B" w:rsidRDefault="000A5A0D"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c>
          <w:tcPr>
            <w:tcW w:w="943" w:type="pct"/>
            <w:vAlign w:val="center"/>
          </w:tcPr>
          <w:p w14:paraId="335F5028" w14:textId="1B6DA7D2" w:rsidR="0073642B" w:rsidRPr="00D17F8B" w:rsidRDefault="000A5A0D"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r>
      <w:tr w:rsidR="0073642B" w:rsidRPr="009E7547" w14:paraId="625418FE" w14:textId="77777777" w:rsidTr="00476D22">
        <w:trPr>
          <w:trHeight w:val="57"/>
        </w:trPr>
        <w:tc>
          <w:tcPr>
            <w:tcW w:w="1787" w:type="pct"/>
            <w:vAlign w:val="center"/>
          </w:tcPr>
          <w:p w14:paraId="20AA1908" w14:textId="77777777" w:rsidR="0073642B" w:rsidRPr="00D17F8B" w:rsidRDefault="0073642B" w:rsidP="00476D22">
            <w:pPr>
              <w:spacing w:before="240" w:after="60" w:line="260" w:lineRule="atLeast"/>
              <w:jc w:val="center"/>
              <w:outlineLvl w:val="0"/>
              <w:rPr>
                <w:sz w:val="18"/>
                <w:szCs w:val="18"/>
              </w:rPr>
            </w:pPr>
            <w:r w:rsidRPr="00D17F8B">
              <w:rPr>
                <w:sz w:val="18"/>
                <w:szCs w:val="18"/>
              </w:rPr>
              <w:t>Density</w:t>
            </w:r>
          </w:p>
        </w:tc>
        <w:tc>
          <w:tcPr>
            <w:tcW w:w="3213" w:type="pct"/>
            <w:gridSpan w:val="3"/>
            <w:vAlign w:val="center"/>
          </w:tcPr>
          <w:p w14:paraId="388F08DF" w14:textId="77777777" w:rsidR="0073642B" w:rsidRPr="00D17F8B" w:rsidRDefault="0073642B" w:rsidP="00476D22">
            <w:pPr>
              <w:spacing w:before="240" w:after="60" w:line="260" w:lineRule="atLeast"/>
              <w:jc w:val="center"/>
              <w:outlineLvl w:val="0"/>
              <w:rPr>
                <w:sz w:val="18"/>
                <w:szCs w:val="18"/>
              </w:rPr>
            </w:pPr>
            <w:r w:rsidRPr="00D17F8B">
              <w:rPr>
                <w:sz w:val="18"/>
                <w:szCs w:val="18"/>
              </w:rPr>
              <w:t>A density of 1 is considered for the assessment</w:t>
            </w:r>
          </w:p>
        </w:tc>
      </w:tr>
      <w:tr w:rsidR="0073642B" w:rsidRPr="00861606" w14:paraId="1A8A509F" w14:textId="77777777" w:rsidTr="00476D22">
        <w:trPr>
          <w:trHeight w:val="57"/>
        </w:trPr>
        <w:tc>
          <w:tcPr>
            <w:tcW w:w="1787" w:type="pct"/>
            <w:vAlign w:val="center"/>
          </w:tcPr>
          <w:p w14:paraId="4F4FBB23" w14:textId="77777777" w:rsidR="0073642B" w:rsidRPr="00D17F8B" w:rsidRDefault="0073642B" w:rsidP="00476D22">
            <w:pPr>
              <w:spacing w:line="260" w:lineRule="atLeast"/>
              <w:jc w:val="center"/>
              <w:outlineLvl w:val="0"/>
              <w:rPr>
                <w:sz w:val="18"/>
                <w:szCs w:val="18"/>
              </w:rPr>
            </w:pPr>
            <w:r w:rsidRPr="00D17F8B">
              <w:rPr>
                <w:rFonts w:eastAsia="Calibri" w:cs="Times New Roman"/>
                <w:sz w:val="18"/>
                <w:szCs w:val="18"/>
                <w:lang w:eastAsia="en-US"/>
              </w:rPr>
              <w:t>Concentration of substance in working solution (% w/v)</w:t>
            </w:r>
          </w:p>
        </w:tc>
        <w:tc>
          <w:tcPr>
            <w:tcW w:w="1327" w:type="pct"/>
            <w:vAlign w:val="center"/>
          </w:tcPr>
          <w:p w14:paraId="40CB1903" w14:textId="77777777" w:rsidR="0073642B" w:rsidRPr="00D17F8B" w:rsidRDefault="0073642B" w:rsidP="00476D22">
            <w:pPr>
              <w:spacing w:before="240" w:after="60" w:line="260" w:lineRule="atLeast"/>
              <w:jc w:val="center"/>
              <w:outlineLvl w:val="0"/>
              <w:rPr>
                <w:sz w:val="18"/>
                <w:szCs w:val="18"/>
              </w:rPr>
            </w:pPr>
            <w:r w:rsidRPr="00D17F8B">
              <w:rPr>
                <w:sz w:val="18"/>
                <w:szCs w:val="18"/>
              </w:rPr>
              <w:t>3</w:t>
            </w:r>
          </w:p>
        </w:tc>
        <w:tc>
          <w:tcPr>
            <w:tcW w:w="943" w:type="pct"/>
            <w:shd w:val="clear" w:color="auto" w:fill="B6DDE8" w:themeFill="accent5" w:themeFillTint="66"/>
            <w:vAlign w:val="center"/>
          </w:tcPr>
          <w:p w14:paraId="4A8B6620" w14:textId="77777777" w:rsidR="0073642B" w:rsidRPr="00D17F8B" w:rsidRDefault="0073642B" w:rsidP="00476D22">
            <w:pPr>
              <w:spacing w:before="240" w:after="60" w:line="260" w:lineRule="atLeast"/>
              <w:jc w:val="center"/>
              <w:outlineLvl w:val="0"/>
              <w:rPr>
                <w:b/>
                <w:sz w:val="18"/>
                <w:szCs w:val="18"/>
              </w:rPr>
            </w:pPr>
            <w:r w:rsidRPr="00D17F8B">
              <w:rPr>
                <w:b/>
                <w:sz w:val="18"/>
                <w:szCs w:val="18"/>
              </w:rPr>
              <w:t>4</w:t>
            </w:r>
          </w:p>
        </w:tc>
        <w:tc>
          <w:tcPr>
            <w:tcW w:w="943" w:type="pct"/>
            <w:vAlign w:val="center"/>
          </w:tcPr>
          <w:p w14:paraId="60D9B1E4" w14:textId="77777777" w:rsidR="0073642B" w:rsidRPr="00D17F8B" w:rsidRDefault="0073642B" w:rsidP="00476D22">
            <w:pPr>
              <w:spacing w:before="240" w:after="60" w:line="260" w:lineRule="atLeast"/>
              <w:jc w:val="center"/>
              <w:outlineLvl w:val="0"/>
              <w:rPr>
                <w:sz w:val="18"/>
                <w:szCs w:val="18"/>
              </w:rPr>
            </w:pPr>
            <w:r w:rsidRPr="00D17F8B">
              <w:rPr>
                <w:sz w:val="18"/>
                <w:szCs w:val="18"/>
              </w:rPr>
              <w:t>3.2</w:t>
            </w:r>
          </w:p>
        </w:tc>
      </w:tr>
    </w:tbl>
    <w:p w14:paraId="4743A09A" w14:textId="77777777" w:rsidR="0073642B" w:rsidRDefault="0073642B" w:rsidP="0073642B">
      <w:pPr>
        <w:ind w:left="142"/>
        <w:jc w:val="both"/>
        <w:rPr>
          <w:rFonts w:ascii="Times New Roman" w:eastAsia="Calibri" w:hAnsi="Times New Roman" w:cs="Times New Roman"/>
          <w:i/>
          <w:lang w:eastAsia="en-US"/>
        </w:rPr>
      </w:pPr>
    </w:p>
    <w:p w14:paraId="087520AC" w14:textId="77777777" w:rsidR="0073642B" w:rsidRPr="00492C52" w:rsidRDefault="0073642B" w:rsidP="0073642B">
      <w:pPr>
        <w:spacing w:line="276" w:lineRule="auto"/>
        <w:rPr>
          <w:rFonts w:eastAsia="Calibri" w:cs="Times New Roman"/>
          <w:bCs/>
          <w:lang w:eastAsia="en-US"/>
        </w:rPr>
      </w:pPr>
      <w:r>
        <w:rPr>
          <w:rFonts w:eastAsia="Calibri" w:cs="Times New Roman"/>
          <w:bCs/>
          <w:lang w:eastAsia="en-US"/>
        </w:rPr>
        <w:t xml:space="preserve">Worst case </w:t>
      </w:r>
      <w:r w:rsidRPr="00D17F8B">
        <w:rPr>
          <w:rFonts w:cs="Calibri"/>
        </w:rPr>
        <w:t>L(+) Lactic acid</w:t>
      </w:r>
      <w:r>
        <w:rPr>
          <w:rFonts w:eastAsia="Calibri" w:cs="Times New Roman"/>
          <w:bCs/>
          <w:lang w:eastAsia="en-US"/>
        </w:rPr>
        <w:t xml:space="preserve"> concentration for scenario 2 (</w:t>
      </w:r>
      <w:r w:rsidRPr="00EA2653">
        <w:rPr>
          <w:rFonts w:eastAsia="Calibri" w:cs="Times New Roman"/>
          <w:bCs/>
          <w:u w:val="single"/>
          <w:lang w:eastAsia="en-US"/>
        </w:rPr>
        <w:t>Large scale application</w:t>
      </w:r>
      <w:r>
        <w:rPr>
          <w:rFonts w:eastAsia="Calibri" w:cs="Times New Roman"/>
          <w:bCs/>
          <w:lang w:eastAsia="en-US"/>
        </w:rPr>
        <w:t>):</w:t>
      </w:r>
    </w:p>
    <w:p w14:paraId="1073091B" w14:textId="77777777" w:rsidR="0073642B" w:rsidRDefault="0073642B" w:rsidP="0073642B">
      <w:pPr>
        <w:ind w:left="142"/>
        <w:jc w:val="both"/>
        <w:rPr>
          <w:rFonts w:ascii="Times New Roman" w:eastAsia="Calibri" w:hAnsi="Times New Roman" w:cs="Times New Roman"/>
          <w:i/>
          <w:lang w:eastAsia="en-US"/>
        </w:rPr>
      </w:pPr>
    </w:p>
    <w:tbl>
      <w:tblPr>
        <w:tblStyle w:val="Grilledutableau"/>
        <w:tblW w:w="5000" w:type="pct"/>
        <w:tblInd w:w="0" w:type="dxa"/>
        <w:tblLook w:val="04A0" w:firstRow="1" w:lastRow="0" w:firstColumn="1" w:lastColumn="0" w:noHBand="0" w:noVBand="1"/>
      </w:tblPr>
      <w:tblGrid>
        <w:gridCol w:w="2957"/>
        <w:gridCol w:w="1561"/>
        <w:gridCol w:w="1563"/>
        <w:gridCol w:w="1563"/>
        <w:gridCol w:w="1559"/>
      </w:tblGrid>
      <w:tr w:rsidR="0073642B" w:rsidRPr="00861606" w14:paraId="11FFF869" w14:textId="77777777" w:rsidTr="00476D22">
        <w:trPr>
          <w:trHeight w:val="57"/>
        </w:trPr>
        <w:tc>
          <w:tcPr>
            <w:tcW w:w="1607" w:type="pct"/>
            <w:vAlign w:val="center"/>
          </w:tcPr>
          <w:p w14:paraId="28310124" w14:textId="77777777" w:rsidR="0073642B" w:rsidRPr="00D17F8B" w:rsidRDefault="0073642B" w:rsidP="00476D22">
            <w:pPr>
              <w:spacing w:before="240" w:after="60" w:line="260" w:lineRule="atLeast"/>
              <w:jc w:val="center"/>
              <w:outlineLvl w:val="0"/>
              <w:rPr>
                <w:sz w:val="18"/>
                <w:szCs w:val="18"/>
              </w:rPr>
            </w:pPr>
            <w:r w:rsidRPr="00D17F8B">
              <w:rPr>
                <w:sz w:val="18"/>
                <w:szCs w:val="18"/>
              </w:rPr>
              <w:t xml:space="preserve">Substance: </w:t>
            </w:r>
            <w:r w:rsidRPr="00D17F8B">
              <w:rPr>
                <w:rFonts w:cs="Calibri"/>
                <w:sz w:val="18"/>
                <w:szCs w:val="18"/>
              </w:rPr>
              <w:t>L(+) Lactic acid</w:t>
            </w:r>
          </w:p>
        </w:tc>
        <w:tc>
          <w:tcPr>
            <w:tcW w:w="848" w:type="pct"/>
            <w:vAlign w:val="center"/>
          </w:tcPr>
          <w:p w14:paraId="7B057B9F" w14:textId="77777777" w:rsidR="0073642B" w:rsidRPr="00D17F8B" w:rsidRDefault="0073642B" w:rsidP="00476D22">
            <w:pPr>
              <w:spacing w:line="260" w:lineRule="atLeast"/>
              <w:jc w:val="center"/>
              <w:outlineLvl w:val="0"/>
              <w:rPr>
                <w:b/>
                <w:sz w:val="18"/>
                <w:szCs w:val="18"/>
              </w:rPr>
            </w:pPr>
            <w:r w:rsidRPr="00D17F8B">
              <w:rPr>
                <w:b/>
                <w:sz w:val="18"/>
                <w:szCs w:val="18"/>
              </w:rPr>
              <w:t>Meta-SPC 6</w:t>
            </w:r>
          </w:p>
        </w:tc>
        <w:tc>
          <w:tcPr>
            <w:tcW w:w="849" w:type="pct"/>
            <w:vAlign w:val="center"/>
          </w:tcPr>
          <w:p w14:paraId="1C646FC9" w14:textId="77777777" w:rsidR="0073642B" w:rsidRPr="00D17F8B" w:rsidRDefault="0073642B" w:rsidP="00476D22">
            <w:pPr>
              <w:spacing w:line="260" w:lineRule="atLeast"/>
              <w:jc w:val="center"/>
              <w:outlineLvl w:val="0"/>
              <w:rPr>
                <w:b/>
                <w:sz w:val="18"/>
                <w:szCs w:val="18"/>
              </w:rPr>
            </w:pPr>
            <w:r w:rsidRPr="00D17F8B">
              <w:rPr>
                <w:b/>
                <w:sz w:val="18"/>
                <w:szCs w:val="18"/>
              </w:rPr>
              <w:t>Meta-SPC 7</w:t>
            </w:r>
          </w:p>
        </w:tc>
        <w:tc>
          <w:tcPr>
            <w:tcW w:w="849" w:type="pct"/>
            <w:vAlign w:val="center"/>
          </w:tcPr>
          <w:p w14:paraId="54213095" w14:textId="77777777" w:rsidR="0073642B" w:rsidRPr="00D17F8B" w:rsidRDefault="0073642B" w:rsidP="00476D22">
            <w:pPr>
              <w:spacing w:line="260" w:lineRule="atLeast"/>
              <w:jc w:val="center"/>
              <w:outlineLvl w:val="0"/>
              <w:rPr>
                <w:b/>
                <w:sz w:val="18"/>
                <w:szCs w:val="18"/>
              </w:rPr>
            </w:pPr>
            <w:r w:rsidRPr="00D17F8B">
              <w:rPr>
                <w:b/>
                <w:sz w:val="18"/>
                <w:szCs w:val="18"/>
              </w:rPr>
              <w:t>Meta-SPC 11</w:t>
            </w:r>
          </w:p>
        </w:tc>
        <w:tc>
          <w:tcPr>
            <w:tcW w:w="847" w:type="pct"/>
            <w:vAlign w:val="center"/>
          </w:tcPr>
          <w:p w14:paraId="1851B7AC" w14:textId="77777777" w:rsidR="0073642B" w:rsidRPr="00D17F8B" w:rsidRDefault="0073642B" w:rsidP="00476D22">
            <w:pPr>
              <w:spacing w:line="260" w:lineRule="atLeast"/>
              <w:jc w:val="center"/>
              <w:outlineLvl w:val="0"/>
              <w:rPr>
                <w:b/>
                <w:sz w:val="18"/>
                <w:szCs w:val="18"/>
              </w:rPr>
            </w:pPr>
            <w:r w:rsidRPr="00D17F8B">
              <w:rPr>
                <w:b/>
                <w:sz w:val="18"/>
                <w:szCs w:val="18"/>
              </w:rPr>
              <w:t>Meta-SPC 13</w:t>
            </w:r>
          </w:p>
        </w:tc>
      </w:tr>
      <w:tr w:rsidR="0073642B" w:rsidRPr="00861606" w14:paraId="4E625B60" w14:textId="77777777" w:rsidTr="00476D22">
        <w:trPr>
          <w:trHeight w:val="57"/>
        </w:trPr>
        <w:tc>
          <w:tcPr>
            <w:tcW w:w="1607" w:type="pct"/>
            <w:vAlign w:val="center"/>
          </w:tcPr>
          <w:p w14:paraId="23E98D18" w14:textId="77777777" w:rsidR="0073642B" w:rsidRPr="00D17F8B" w:rsidRDefault="0073642B" w:rsidP="00476D22">
            <w:pPr>
              <w:spacing w:before="240" w:after="60" w:line="260" w:lineRule="atLeast"/>
              <w:jc w:val="center"/>
              <w:outlineLvl w:val="0"/>
              <w:rPr>
                <w:sz w:val="18"/>
                <w:szCs w:val="18"/>
              </w:rPr>
            </w:pPr>
            <w:r w:rsidRPr="00D17F8B">
              <w:rPr>
                <w:sz w:val="18"/>
                <w:szCs w:val="18"/>
              </w:rPr>
              <w:t>Technical concentration of active substance (% w/w)</w:t>
            </w:r>
          </w:p>
        </w:tc>
        <w:tc>
          <w:tcPr>
            <w:tcW w:w="848" w:type="pct"/>
            <w:vAlign w:val="center"/>
          </w:tcPr>
          <w:p w14:paraId="51D686FE"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849" w:type="pct"/>
            <w:vAlign w:val="center"/>
          </w:tcPr>
          <w:p w14:paraId="2E059DBC"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12</w:t>
            </w:r>
          </w:p>
        </w:tc>
        <w:tc>
          <w:tcPr>
            <w:tcW w:w="849" w:type="pct"/>
            <w:vAlign w:val="center"/>
          </w:tcPr>
          <w:p w14:paraId="2880F882"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848" w:type="pct"/>
            <w:vAlign w:val="center"/>
          </w:tcPr>
          <w:p w14:paraId="76CA6A71"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8</w:t>
            </w:r>
          </w:p>
        </w:tc>
      </w:tr>
      <w:tr w:rsidR="0073642B" w:rsidRPr="00861606" w14:paraId="56F4FD66" w14:textId="77777777" w:rsidTr="00476D22">
        <w:trPr>
          <w:trHeight w:val="57"/>
        </w:trPr>
        <w:tc>
          <w:tcPr>
            <w:tcW w:w="1607" w:type="pct"/>
            <w:vAlign w:val="center"/>
          </w:tcPr>
          <w:p w14:paraId="2E584220" w14:textId="77777777" w:rsidR="0073642B" w:rsidRPr="00D17F8B" w:rsidRDefault="0073642B" w:rsidP="00476D22">
            <w:pPr>
              <w:spacing w:before="240" w:after="60" w:line="260" w:lineRule="atLeast"/>
              <w:jc w:val="center"/>
              <w:outlineLvl w:val="0"/>
              <w:rPr>
                <w:sz w:val="18"/>
                <w:szCs w:val="18"/>
              </w:rPr>
            </w:pPr>
            <w:r w:rsidRPr="00D17F8B">
              <w:rPr>
                <w:sz w:val="18"/>
                <w:szCs w:val="18"/>
              </w:rPr>
              <w:t>Dilution factor</w:t>
            </w:r>
          </w:p>
        </w:tc>
        <w:tc>
          <w:tcPr>
            <w:tcW w:w="848" w:type="pct"/>
            <w:vAlign w:val="center"/>
          </w:tcPr>
          <w:p w14:paraId="0AED8DB6"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849" w:type="pct"/>
            <w:vAlign w:val="center"/>
          </w:tcPr>
          <w:p w14:paraId="5662288D"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849" w:type="pct"/>
            <w:vAlign w:val="center"/>
          </w:tcPr>
          <w:p w14:paraId="0EBA9439"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0.015</w:t>
            </w:r>
          </w:p>
        </w:tc>
        <w:tc>
          <w:tcPr>
            <w:tcW w:w="848" w:type="pct"/>
            <w:vAlign w:val="center"/>
          </w:tcPr>
          <w:p w14:paraId="26D510DF" w14:textId="77777777" w:rsidR="0073642B" w:rsidRPr="00D17F8B" w:rsidRDefault="0073642B" w:rsidP="00476D22">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0.08</w:t>
            </w:r>
          </w:p>
        </w:tc>
      </w:tr>
      <w:tr w:rsidR="0073642B" w:rsidRPr="009E7547" w14:paraId="60A0E464" w14:textId="77777777" w:rsidTr="00476D22">
        <w:trPr>
          <w:trHeight w:val="57"/>
        </w:trPr>
        <w:tc>
          <w:tcPr>
            <w:tcW w:w="1607" w:type="pct"/>
            <w:vAlign w:val="center"/>
          </w:tcPr>
          <w:p w14:paraId="0FAA0959" w14:textId="77777777" w:rsidR="0073642B" w:rsidRPr="00D17F8B" w:rsidRDefault="0073642B" w:rsidP="00476D22">
            <w:pPr>
              <w:spacing w:before="240" w:after="60" w:line="260" w:lineRule="atLeast"/>
              <w:jc w:val="center"/>
              <w:outlineLvl w:val="0"/>
              <w:rPr>
                <w:sz w:val="18"/>
                <w:szCs w:val="18"/>
              </w:rPr>
            </w:pPr>
            <w:r w:rsidRPr="00D17F8B">
              <w:rPr>
                <w:sz w:val="18"/>
                <w:szCs w:val="18"/>
              </w:rPr>
              <w:t>Density</w:t>
            </w:r>
          </w:p>
        </w:tc>
        <w:tc>
          <w:tcPr>
            <w:tcW w:w="1" w:type="pct"/>
            <w:gridSpan w:val="4"/>
            <w:vAlign w:val="center"/>
          </w:tcPr>
          <w:p w14:paraId="09356644" w14:textId="77777777" w:rsidR="0073642B" w:rsidRPr="00D17F8B" w:rsidRDefault="0073642B" w:rsidP="00476D22">
            <w:pPr>
              <w:spacing w:before="240" w:after="60" w:line="260" w:lineRule="atLeast"/>
              <w:jc w:val="center"/>
              <w:outlineLvl w:val="0"/>
              <w:rPr>
                <w:sz w:val="18"/>
                <w:szCs w:val="18"/>
              </w:rPr>
            </w:pPr>
            <w:r w:rsidRPr="00D17F8B">
              <w:rPr>
                <w:sz w:val="18"/>
                <w:szCs w:val="18"/>
              </w:rPr>
              <w:t>A density of 1 is considered for the assessment</w:t>
            </w:r>
          </w:p>
        </w:tc>
      </w:tr>
      <w:tr w:rsidR="0073642B" w:rsidRPr="00861606" w14:paraId="634BF251" w14:textId="77777777" w:rsidTr="00476D22">
        <w:trPr>
          <w:trHeight w:val="57"/>
        </w:trPr>
        <w:tc>
          <w:tcPr>
            <w:tcW w:w="1607" w:type="pct"/>
            <w:vAlign w:val="center"/>
          </w:tcPr>
          <w:p w14:paraId="1766B82E" w14:textId="77777777" w:rsidR="0073642B" w:rsidRPr="00D17F8B" w:rsidRDefault="0073642B" w:rsidP="00476D22">
            <w:pPr>
              <w:spacing w:line="260" w:lineRule="atLeast"/>
              <w:jc w:val="center"/>
              <w:outlineLvl w:val="0"/>
              <w:rPr>
                <w:sz w:val="18"/>
                <w:szCs w:val="18"/>
              </w:rPr>
            </w:pPr>
            <w:r w:rsidRPr="00D17F8B">
              <w:rPr>
                <w:rFonts w:eastAsia="Calibri" w:cs="Times New Roman"/>
                <w:sz w:val="18"/>
                <w:szCs w:val="18"/>
                <w:lang w:eastAsia="en-US"/>
              </w:rPr>
              <w:t>Concentration of substance in working solution (% w/v)</w:t>
            </w:r>
          </w:p>
        </w:tc>
        <w:tc>
          <w:tcPr>
            <w:tcW w:w="848" w:type="pct"/>
            <w:shd w:val="clear" w:color="auto" w:fill="B6DDE8" w:themeFill="accent5" w:themeFillTint="66"/>
            <w:vAlign w:val="center"/>
          </w:tcPr>
          <w:p w14:paraId="5AB48D1C" w14:textId="77777777" w:rsidR="0073642B" w:rsidRPr="00D17F8B" w:rsidRDefault="0073642B" w:rsidP="00476D22">
            <w:pPr>
              <w:spacing w:before="240" w:after="60" w:line="260" w:lineRule="atLeast"/>
              <w:jc w:val="center"/>
              <w:outlineLvl w:val="0"/>
              <w:rPr>
                <w:b/>
                <w:sz w:val="18"/>
                <w:szCs w:val="18"/>
              </w:rPr>
            </w:pPr>
            <w:r w:rsidRPr="00D17F8B">
              <w:rPr>
                <w:b/>
                <w:sz w:val="18"/>
                <w:szCs w:val="18"/>
              </w:rPr>
              <w:t>2.4</w:t>
            </w:r>
          </w:p>
        </w:tc>
        <w:tc>
          <w:tcPr>
            <w:tcW w:w="849" w:type="pct"/>
            <w:vAlign w:val="center"/>
          </w:tcPr>
          <w:p w14:paraId="5B964130" w14:textId="77777777" w:rsidR="0073642B" w:rsidRPr="00D17F8B" w:rsidRDefault="0073642B" w:rsidP="00476D22">
            <w:pPr>
              <w:spacing w:before="240" w:after="60" w:line="260" w:lineRule="atLeast"/>
              <w:jc w:val="center"/>
              <w:outlineLvl w:val="0"/>
              <w:rPr>
                <w:sz w:val="18"/>
                <w:szCs w:val="18"/>
              </w:rPr>
            </w:pPr>
            <w:r w:rsidRPr="00D17F8B">
              <w:rPr>
                <w:sz w:val="18"/>
                <w:szCs w:val="18"/>
              </w:rPr>
              <w:t>1.2</w:t>
            </w:r>
          </w:p>
        </w:tc>
        <w:tc>
          <w:tcPr>
            <w:tcW w:w="849" w:type="pct"/>
            <w:vAlign w:val="center"/>
          </w:tcPr>
          <w:p w14:paraId="2E4FBC5C" w14:textId="77777777" w:rsidR="0073642B" w:rsidRPr="00D17F8B" w:rsidRDefault="0073642B" w:rsidP="00476D22">
            <w:pPr>
              <w:spacing w:before="240" w:after="60" w:line="260" w:lineRule="atLeast"/>
              <w:jc w:val="center"/>
              <w:outlineLvl w:val="0"/>
              <w:rPr>
                <w:sz w:val="18"/>
                <w:szCs w:val="18"/>
              </w:rPr>
            </w:pPr>
            <w:r w:rsidRPr="00D17F8B">
              <w:rPr>
                <w:sz w:val="18"/>
                <w:szCs w:val="18"/>
              </w:rPr>
              <w:t>0.36</w:t>
            </w:r>
          </w:p>
        </w:tc>
        <w:tc>
          <w:tcPr>
            <w:tcW w:w="847" w:type="pct"/>
            <w:vAlign w:val="center"/>
          </w:tcPr>
          <w:p w14:paraId="43F9DACE" w14:textId="77777777" w:rsidR="0073642B" w:rsidRPr="00D17F8B" w:rsidRDefault="0073642B" w:rsidP="00476D22">
            <w:pPr>
              <w:spacing w:before="240" w:after="60" w:line="260" w:lineRule="atLeast"/>
              <w:jc w:val="center"/>
              <w:outlineLvl w:val="0"/>
              <w:rPr>
                <w:sz w:val="18"/>
                <w:szCs w:val="18"/>
              </w:rPr>
            </w:pPr>
            <w:r w:rsidRPr="00D17F8B">
              <w:rPr>
                <w:sz w:val="18"/>
                <w:szCs w:val="18"/>
              </w:rPr>
              <w:t>0.64</w:t>
            </w:r>
          </w:p>
        </w:tc>
      </w:tr>
    </w:tbl>
    <w:p w14:paraId="739BF353" w14:textId="77777777" w:rsidR="0073642B" w:rsidRDefault="0073642B" w:rsidP="0073642B">
      <w:pPr>
        <w:spacing w:line="276" w:lineRule="auto"/>
        <w:rPr>
          <w:rFonts w:eastAsia="Calibri" w:cs="Times New Roman"/>
          <w:bCs/>
          <w:lang w:eastAsia="en-US"/>
        </w:rPr>
      </w:pPr>
    </w:p>
    <w:p w14:paraId="146A8B14" w14:textId="77777777" w:rsidR="00C1783F" w:rsidRDefault="00C1783F" w:rsidP="0073642B">
      <w:pPr>
        <w:ind w:left="142"/>
        <w:jc w:val="both"/>
        <w:rPr>
          <w:rFonts w:eastAsia="Calibri" w:cs="Times New Roman"/>
          <w:lang w:eastAsia="en-US"/>
        </w:rPr>
      </w:pPr>
    </w:p>
    <w:p w14:paraId="204E02B3" w14:textId="77777777" w:rsidR="00C1783F" w:rsidRDefault="00C1783F" w:rsidP="0073642B">
      <w:pPr>
        <w:ind w:left="142"/>
        <w:jc w:val="both"/>
        <w:rPr>
          <w:rFonts w:eastAsia="Calibri" w:cs="Times New Roman"/>
          <w:lang w:eastAsia="en-US"/>
        </w:rPr>
      </w:pPr>
      <w:r w:rsidRPr="00EA2653">
        <w:rPr>
          <w:rFonts w:eastAsia="Calibri" w:cs="Times New Roman"/>
          <w:u w:val="single"/>
          <w:lang w:eastAsia="en-US"/>
        </w:rPr>
        <w:t>Concerning the substances of concern</w:t>
      </w:r>
      <w:r>
        <w:rPr>
          <w:rFonts w:eastAsia="Calibri" w:cs="Times New Roman"/>
          <w:lang w:eastAsia="en-US"/>
        </w:rPr>
        <w:t>:</w:t>
      </w:r>
    </w:p>
    <w:p w14:paraId="5BF7BCA2" w14:textId="77777777" w:rsidR="007D561D" w:rsidRDefault="0039508C" w:rsidP="0073642B">
      <w:pPr>
        <w:ind w:left="142"/>
        <w:jc w:val="both"/>
        <w:rPr>
          <w:rFonts w:eastAsia="Calibri" w:cs="Times New Roman"/>
          <w:lang w:eastAsia="en-US"/>
        </w:rPr>
      </w:pPr>
      <w:r>
        <w:rPr>
          <w:rFonts w:eastAsia="Calibri" w:cs="Times New Roman"/>
          <w:lang w:eastAsia="en-US"/>
        </w:rPr>
        <w:t>F</w:t>
      </w:r>
      <w:r w:rsidRPr="00D17F8B">
        <w:rPr>
          <w:rFonts w:eastAsia="Calibri" w:cs="Times New Roman"/>
          <w:lang w:eastAsia="en-US"/>
        </w:rPr>
        <w:t xml:space="preserve">or </w:t>
      </w:r>
      <w:r w:rsidRPr="00EA2653">
        <w:rPr>
          <w:rFonts w:eastAsia="Calibri" w:cs="Times New Roman"/>
          <w:u w:val="single"/>
          <w:lang w:eastAsia="en-US"/>
        </w:rPr>
        <w:t>small scale RTU products</w:t>
      </w:r>
      <w:r w:rsidR="007D561D">
        <w:rPr>
          <w:rFonts w:eastAsia="Calibri" w:cs="Times New Roman"/>
          <w:lang w:eastAsia="en-US"/>
        </w:rPr>
        <w:t>:</w:t>
      </w:r>
    </w:p>
    <w:p w14:paraId="5BF30BBE" w14:textId="737FAE23" w:rsidR="00C573DD" w:rsidRDefault="007D561D" w:rsidP="0073642B">
      <w:pPr>
        <w:ind w:left="142"/>
        <w:jc w:val="both"/>
        <w:rPr>
          <w:rFonts w:eastAsia="Calibri" w:cs="Times New Roman"/>
          <w:lang w:eastAsia="en-US"/>
        </w:rPr>
      </w:pPr>
      <w:r>
        <w:rPr>
          <w:rFonts w:eastAsia="Calibri" w:cs="Times New Roman"/>
          <w:lang w:eastAsia="en-US"/>
        </w:rPr>
        <w:t>-</w:t>
      </w:r>
      <w:r w:rsidR="00C1783F">
        <w:rPr>
          <w:rFonts w:eastAsia="Calibri" w:cs="Times New Roman"/>
          <w:lang w:eastAsia="en-US"/>
        </w:rPr>
        <w:t xml:space="preserve"> </w:t>
      </w:r>
      <w:r w:rsidR="00C573DD">
        <w:rPr>
          <w:rFonts w:eastAsia="Calibri" w:cs="Times New Roman"/>
          <w:lang w:eastAsia="en-US"/>
        </w:rPr>
        <w:t>No substance of concern identified</w:t>
      </w:r>
    </w:p>
    <w:p w14:paraId="10F26DDA" w14:textId="044867CF" w:rsidR="00C1783F" w:rsidRDefault="00C1783F" w:rsidP="0073642B">
      <w:pPr>
        <w:ind w:left="142"/>
        <w:jc w:val="both"/>
        <w:rPr>
          <w:rFonts w:eastAsia="Calibri" w:cs="Times New Roman"/>
          <w:lang w:eastAsia="en-US"/>
        </w:rPr>
      </w:pPr>
    </w:p>
    <w:p w14:paraId="39F178BB" w14:textId="1BB3E622" w:rsidR="0039508C" w:rsidRDefault="0039508C" w:rsidP="0073642B">
      <w:pPr>
        <w:ind w:left="142"/>
        <w:jc w:val="both"/>
        <w:rPr>
          <w:rFonts w:eastAsia="Calibri" w:cs="Times New Roman"/>
          <w:lang w:eastAsia="en-US"/>
        </w:rPr>
      </w:pPr>
      <w:r>
        <w:rPr>
          <w:rFonts w:eastAsia="Calibri" w:cs="Times New Roman"/>
          <w:lang w:eastAsia="en-US"/>
        </w:rPr>
        <w:t xml:space="preserve">For </w:t>
      </w:r>
      <w:r w:rsidRPr="00EA2653">
        <w:rPr>
          <w:rFonts w:eastAsia="Calibri" w:cs="Times New Roman"/>
          <w:u w:val="single"/>
          <w:lang w:eastAsia="en-US"/>
        </w:rPr>
        <w:t>large scale applications</w:t>
      </w:r>
      <w:r>
        <w:rPr>
          <w:rFonts w:eastAsia="Calibri" w:cs="Times New Roman"/>
          <w:lang w:eastAsia="en-US"/>
        </w:rPr>
        <w:t>:</w:t>
      </w:r>
    </w:p>
    <w:p w14:paraId="1D061630" w14:textId="5AAA512B" w:rsidR="00C1783F" w:rsidRDefault="00C1783F" w:rsidP="0073642B">
      <w:pPr>
        <w:ind w:left="142"/>
        <w:jc w:val="both"/>
        <w:rPr>
          <w:rFonts w:eastAsia="Calibri" w:cs="Times New Roman"/>
          <w:bCs/>
          <w:lang w:eastAsia="en-US"/>
        </w:rPr>
      </w:pPr>
      <w:r>
        <w:rPr>
          <w:rFonts w:eastAsia="Calibri" w:cs="Times New Roman"/>
          <w:lang w:eastAsia="en-US"/>
        </w:rPr>
        <w:t xml:space="preserve">- </w:t>
      </w:r>
      <w:r w:rsidR="0073642B" w:rsidRPr="00435E9A">
        <w:rPr>
          <w:rFonts w:eastAsia="Calibri" w:cs="Times New Roman"/>
          <w:lang w:eastAsia="en-US"/>
        </w:rPr>
        <w:t xml:space="preserve">Amines, coco alkyldimethyl, N-oxides </w:t>
      </w:r>
      <w:r>
        <w:rPr>
          <w:rFonts w:eastAsia="Calibri" w:cs="Times New Roman"/>
          <w:lang w:eastAsia="en-US"/>
        </w:rPr>
        <w:t>is included</w:t>
      </w:r>
      <w:r w:rsidRPr="00435E9A">
        <w:rPr>
          <w:rFonts w:eastAsia="Calibri" w:cs="Times New Roman"/>
          <w:lang w:eastAsia="en-US"/>
        </w:rPr>
        <w:t xml:space="preserve"> </w:t>
      </w:r>
      <w:r w:rsidR="0073642B">
        <w:rPr>
          <w:rFonts w:eastAsia="Calibri" w:cs="Times New Roman"/>
          <w:lang w:eastAsia="en-US"/>
        </w:rPr>
        <w:t xml:space="preserve">in </w:t>
      </w:r>
      <w:r w:rsidR="0073642B" w:rsidRPr="00435E9A">
        <w:rPr>
          <w:rFonts w:eastAsia="Calibri" w:cs="Times New Roman"/>
          <w:lang w:eastAsia="en-US"/>
        </w:rPr>
        <w:t>Meta</w:t>
      </w:r>
      <w:r w:rsidR="0073642B">
        <w:rPr>
          <w:rFonts w:eastAsia="Calibri" w:cs="Times New Roman"/>
          <w:lang w:eastAsia="en-US"/>
        </w:rPr>
        <w:t>-</w:t>
      </w:r>
      <w:r w:rsidR="0073642B" w:rsidRPr="00435E9A">
        <w:rPr>
          <w:rFonts w:eastAsia="Calibri" w:cs="Times New Roman"/>
          <w:lang w:eastAsia="en-US"/>
        </w:rPr>
        <w:t>SPC</w:t>
      </w:r>
      <w:r w:rsidR="0073642B" w:rsidRPr="0091398C">
        <w:rPr>
          <w:rFonts w:eastAsia="Calibri" w:cs="Times New Roman"/>
          <w:lang w:eastAsia="en-US"/>
        </w:rPr>
        <w:t xml:space="preserve"> </w:t>
      </w:r>
      <w:r w:rsidR="0073642B">
        <w:rPr>
          <w:rFonts w:eastAsia="Calibri" w:cs="Times New Roman"/>
          <w:lang w:eastAsia="en-US"/>
        </w:rPr>
        <w:t>11</w:t>
      </w:r>
      <w:r>
        <w:rPr>
          <w:rFonts w:eastAsia="Calibri" w:cs="Times New Roman"/>
          <w:lang w:eastAsia="en-US"/>
        </w:rPr>
        <w:t xml:space="preserve"> only</w:t>
      </w:r>
      <w:r w:rsidR="0073642B">
        <w:rPr>
          <w:rFonts w:eastAsia="Calibri" w:cs="Times New Roman"/>
          <w:lang w:eastAsia="en-US"/>
        </w:rPr>
        <w:t xml:space="preserve"> at a concentration of 0.10% (0.40% in AROMOX 16.7% *1.5% dilution)</w:t>
      </w:r>
      <w:r>
        <w:rPr>
          <w:rFonts w:eastAsia="Calibri" w:cs="Times New Roman"/>
          <w:bCs/>
          <w:lang w:eastAsia="en-US"/>
        </w:rPr>
        <w:t>.</w:t>
      </w:r>
    </w:p>
    <w:p w14:paraId="40D2B88E" w14:textId="1CA64342" w:rsidR="0073642B" w:rsidRPr="00C020ED" w:rsidRDefault="00C1783F" w:rsidP="0073642B">
      <w:pPr>
        <w:ind w:left="142"/>
        <w:jc w:val="both"/>
        <w:rPr>
          <w:rFonts w:eastAsia="Calibri" w:cs="Times New Roman"/>
          <w:bCs/>
          <w:lang w:eastAsia="en-US"/>
        </w:rPr>
      </w:pPr>
      <w:r>
        <w:rPr>
          <w:rFonts w:eastAsia="Calibri" w:cs="Times New Roman"/>
          <w:bCs/>
          <w:lang w:eastAsia="en-US"/>
        </w:rPr>
        <w:t xml:space="preserve">- </w:t>
      </w:r>
      <w:r w:rsidR="0073642B">
        <w:rPr>
          <w:rFonts w:eastAsia="Calibri" w:cs="Times New Roman"/>
          <w:bCs/>
          <w:lang w:eastAsia="en-US"/>
        </w:rPr>
        <w:t>OTNE in Meta-SPC 13 is at a concentration of 0.072% (0.9% * 8% dilution).</w:t>
      </w:r>
    </w:p>
    <w:p w14:paraId="6EFEEDBC" w14:textId="77777777" w:rsidR="0073642B" w:rsidRDefault="0073642B" w:rsidP="0073642B">
      <w:pPr>
        <w:ind w:left="142"/>
        <w:jc w:val="both"/>
        <w:rPr>
          <w:rFonts w:ascii="Times New Roman" w:eastAsia="Calibri" w:hAnsi="Times New Roman" w:cs="Times New Roman"/>
          <w:i/>
          <w:lang w:eastAsia="en-US"/>
        </w:rPr>
      </w:pPr>
    </w:p>
    <w:p w14:paraId="44F33072" w14:textId="77777777" w:rsidR="0073642B" w:rsidRDefault="0073642B" w:rsidP="0073642B">
      <w:pPr>
        <w:ind w:left="142"/>
        <w:jc w:val="both"/>
        <w:rPr>
          <w:rFonts w:ascii="Times New Roman" w:eastAsia="Calibri" w:hAnsi="Times New Roman" w:cs="Times New Roman"/>
          <w:i/>
          <w:lang w:eastAsia="en-US"/>
        </w:rPr>
      </w:pPr>
    </w:p>
    <w:tbl>
      <w:tblPr>
        <w:tblW w:w="9096" w:type="dxa"/>
        <w:tblInd w:w="108" w:type="dxa"/>
        <w:tblLayout w:type="fixed"/>
        <w:tblLook w:val="0000" w:firstRow="0" w:lastRow="0" w:firstColumn="0" w:lastColumn="0" w:noHBand="0" w:noVBand="0"/>
      </w:tblPr>
      <w:tblGrid>
        <w:gridCol w:w="3828"/>
        <w:gridCol w:w="1984"/>
        <w:gridCol w:w="1135"/>
        <w:gridCol w:w="2149"/>
      </w:tblGrid>
      <w:tr w:rsidR="0073642B" w14:paraId="626122D6" w14:textId="77777777" w:rsidTr="00C573DD">
        <w:trPr>
          <w:trHeight w:val="346"/>
        </w:trPr>
        <w:tc>
          <w:tcPr>
            <w:tcW w:w="909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09655AA" w14:textId="77777777" w:rsidR="0073642B" w:rsidRPr="006136B1" w:rsidRDefault="0073642B" w:rsidP="00476D22">
            <w:pPr>
              <w:spacing w:before="60" w:after="60" w:line="260" w:lineRule="atLeast"/>
              <w:rPr>
                <w:sz w:val="18"/>
                <w:szCs w:val="18"/>
              </w:rPr>
            </w:pPr>
            <w:r w:rsidRPr="006136B1">
              <w:rPr>
                <w:rFonts w:eastAsia="Calibri"/>
                <w:b/>
                <w:sz w:val="18"/>
                <w:szCs w:val="18"/>
                <w:lang w:eastAsia="en-US"/>
              </w:rPr>
              <w:t>Input parameters for calculating the local emission</w:t>
            </w:r>
          </w:p>
        </w:tc>
      </w:tr>
      <w:tr w:rsidR="0073642B" w14:paraId="664EF1B1" w14:textId="77777777" w:rsidTr="00C573DD">
        <w:trPr>
          <w:trHeight w:val="75"/>
        </w:trPr>
        <w:tc>
          <w:tcPr>
            <w:tcW w:w="3828" w:type="dxa"/>
            <w:tcBorders>
              <w:top w:val="single" w:sz="4" w:space="0" w:color="000000"/>
              <w:left w:val="single" w:sz="4" w:space="0" w:color="000000"/>
              <w:bottom w:val="single" w:sz="4" w:space="0" w:color="000000"/>
            </w:tcBorders>
            <w:shd w:val="clear" w:color="auto" w:fill="auto"/>
            <w:vAlign w:val="center"/>
          </w:tcPr>
          <w:p w14:paraId="438261E7" w14:textId="77777777" w:rsidR="0073642B" w:rsidRPr="006136B1" w:rsidRDefault="0073642B" w:rsidP="00476D22">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 xml:space="preserve">Input </w:t>
            </w:r>
          </w:p>
        </w:tc>
        <w:tc>
          <w:tcPr>
            <w:tcW w:w="1984" w:type="dxa"/>
            <w:tcBorders>
              <w:top w:val="single" w:sz="4" w:space="0" w:color="000000"/>
              <w:left w:val="single" w:sz="4" w:space="0" w:color="000000"/>
              <w:bottom w:val="single" w:sz="4" w:space="0" w:color="000000"/>
            </w:tcBorders>
            <w:shd w:val="clear" w:color="auto" w:fill="auto"/>
            <w:vAlign w:val="center"/>
          </w:tcPr>
          <w:p w14:paraId="7BF2C5EA" w14:textId="77777777" w:rsidR="0073642B" w:rsidRPr="006136B1" w:rsidRDefault="0073642B" w:rsidP="00476D22">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 xml:space="preserve">Value </w:t>
            </w:r>
          </w:p>
        </w:tc>
        <w:tc>
          <w:tcPr>
            <w:tcW w:w="1135" w:type="dxa"/>
            <w:tcBorders>
              <w:top w:val="single" w:sz="4" w:space="0" w:color="000000"/>
              <w:left w:val="single" w:sz="4" w:space="0" w:color="000000"/>
              <w:bottom w:val="single" w:sz="4" w:space="0" w:color="000000"/>
            </w:tcBorders>
            <w:shd w:val="clear" w:color="auto" w:fill="auto"/>
            <w:vAlign w:val="center"/>
          </w:tcPr>
          <w:p w14:paraId="2B9F8A89" w14:textId="77777777" w:rsidR="0073642B" w:rsidRPr="006136B1" w:rsidRDefault="0073642B" w:rsidP="00476D22">
            <w:pPr>
              <w:spacing w:before="60" w:after="60" w:line="260" w:lineRule="atLeast"/>
              <w:rPr>
                <w:rFonts w:eastAsia="Calibri" w:cs="Arial"/>
                <w:b/>
                <w:bCs/>
                <w:color w:val="000000"/>
                <w:sz w:val="18"/>
                <w:szCs w:val="18"/>
                <w:lang w:eastAsia="en-GB"/>
              </w:rPr>
            </w:pPr>
            <w:r w:rsidRPr="006136B1">
              <w:rPr>
                <w:rFonts w:eastAsia="Calibri" w:cs="Arial"/>
                <w:b/>
                <w:bCs/>
                <w:color w:val="000000"/>
                <w:sz w:val="18"/>
                <w:szCs w:val="18"/>
                <w:lang w:eastAsia="en-GB"/>
              </w:rPr>
              <w:t>Unit</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6C3C" w14:textId="77777777" w:rsidR="0073642B" w:rsidRPr="006136B1" w:rsidRDefault="0073642B" w:rsidP="00476D22">
            <w:pPr>
              <w:spacing w:before="60" w:after="60" w:line="260" w:lineRule="atLeast"/>
              <w:rPr>
                <w:sz w:val="18"/>
                <w:szCs w:val="18"/>
              </w:rPr>
            </w:pPr>
            <w:r w:rsidRPr="006136B1">
              <w:rPr>
                <w:rFonts w:eastAsia="Calibri" w:cs="Arial"/>
                <w:b/>
                <w:bCs/>
                <w:color w:val="000000"/>
                <w:sz w:val="18"/>
                <w:szCs w:val="18"/>
                <w:lang w:eastAsia="en-GB"/>
              </w:rPr>
              <w:t>Remarks</w:t>
            </w:r>
          </w:p>
        </w:tc>
      </w:tr>
      <w:tr w:rsidR="0073642B" w14:paraId="3E6DEE62" w14:textId="77777777" w:rsidTr="00C573DD">
        <w:trPr>
          <w:trHeight w:val="75"/>
        </w:trPr>
        <w:tc>
          <w:tcPr>
            <w:tcW w:w="9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9B0078" w14:textId="77777777" w:rsidR="0073642B" w:rsidRPr="006136B1" w:rsidRDefault="0073642B" w:rsidP="00476D22">
            <w:pPr>
              <w:spacing w:before="60" w:after="60" w:line="260" w:lineRule="atLeast"/>
              <w:rPr>
                <w:sz w:val="18"/>
                <w:szCs w:val="18"/>
              </w:rPr>
            </w:pPr>
            <w:r w:rsidRPr="006136B1">
              <w:rPr>
                <w:rFonts w:eastAsia="Calibri"/>
                <w:color w:val="000000"/>
                <w:sz w:val="18"/>
                <w:szCs w:val="18"/>
                <w:lang w:eastAsia="en-GB"/>
              </w:rPr>
              <w:t>Scenario 2:</w:t>
            </w:r>
            <w:r w:rsidRPr="006136B1">
              <w:rPr>
                <w:rFonts w:eastAsia="Calibri"/>
                <w:i/>
                <w:color w:val="FF0000"/>
                <w:sz w:val="18"/>
                <w:szCs w:val="18"/>
                <w:lang w:eastAsia="en-GB"/>
              </w:rPr>
              <w:t xml:space="preserve"> </w:t>
            </w:r>
            <w:r w:rsidRPr="006136B1">
              <w:rPr>
                <w:rFonts w:eastAsia="Calibri"/>
                <w:sz w:val="18"/>
                <w:szCs w:val="18"/>
                <w:lang w:eastAsia="en-US"/>
              </w:rPr>
              <w:t>Disinfection of industrial areas</w:t>
            </w:r>
          </w:p>
        </w:tc>
      </w:tr>
      <w:tr w:rsidR="0073642B" w14:paraId="7FB3DFE7" w14:textId="77777777" w:rsidTr="00C573DD">
        <w:trPr>
          <w:trHeight w:val="93"/>
        </w:trPr>
        <w:tc>
          <w:tcPr>
            <w:tcW w:w="3828" w:type="dxa"/>
            <w:tcBorders>
              <w:top w:val="single" w:sz="4" w:space="0" w:color="000000"/>
              <w:left w:val="single" w:sz="4" w:space="0" w:color="000000"/>
              <w:bottom w:val="single" w:sz="4" w:space="0" w:color="000000"/>
            </w:tcBorders>
            <w:shd w:val="clear" w:color="auto" w:fill="auto"/>
            <w:vAlign w:val="center"/>
          </w:tcPr>
          <w:p w14:paraId="1A5F09EF" w14:textId="77777777" w:rsidR="0073642B" w:rsidRPr="006136B1" w:rsidRDefault="0073642B" w:rsidP="00476D22">
            <w:pPr>
              <w:keepNext/>
              <w:rPr>
                <w:color w:val="000000"/>
                <w:sz w:val="18"/>
                <w:szCs w:val="18"/>
              </w:rPr>
            </w:pPr>
            <w:r w:rsidRPr="006136B1">
              <w:rPr>
                <w:color w:val="000000"/>
                <w:sz w:val="18"/>
                <w:szCs w:val="18"/>
              </w:rPr>
              <w:t>Application rate of biocidal product</w:t>
            </w:r>
          </w:p>
          <w:p w14:paraId="4B0CD19E" w14:textId="77777777" w:rsidR="0073642B" w:rsidRPr="006136B1" w:rsidDel="00645300" w:rsidRDefault="0073642B" w:rsidP="00476D22">
            <w:pPr>
              <w:keepNext/>
              <w:rPr>
                <w:color w:val="000000"/>
                <w:sz w:val="18"/>
                <w:szCs w:val="18"/>
              </w:rPr>
            </w:pPr>
            <w:r w:rsidRPr="006136B1">
              <w:rPr>
                <w:color w:val="000000"/>
                <w:sz w:val="18"/>
                <w:szCs w:val="18"/>
              </w:rPr>
              <w:t>V</w:t>
            </w:r>
            <w:r w:rsidRPr="006136B1">
              <w:rPr>
                <w:color w:val="000000"/>
                <w:sz w:val="18"/>
                <w:szCs w:val="18"/>
                <w:vertAlign w:val="subscript"/>
              </w:rPr>
              <w:t>product</w:t>
            </w:r>
          </w:p>
        </w:tc>
        <w:tc>
          <w:tcPr>
            <w:tcW w:w="1984" w:type="dxa"/>
            <w:tcBorders>
              <w:top w:val="single" w:sz="4" w:space="0" w:color="000000"/>
              <w:left w:val="single" w:sz="4" w:space="0" w:color="000000"/>
              <w:bottom w:val="single" w:sz="4" w:space="0" w:color="000000"/>
            </w:tcBorders>
            <w:shd w:val="clear" w:color="auto" w:fill="auto"/>
          </w:tcPr>
          <w:p w14:paraId="45D2724A" w14:textId="37842C10"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 xml:space="preserve">0.04 </w:t>
            </w:r>
            <w:r w:rsidR="0052789A">
              <w:rPr>
                <w:rFonts w:eastAsia="Calibri" w:cs="Arial"/>
                <w:color w:val="000000"/>
                <w:sz w:val="18"/>
                <w:szCs w:val="18"/>
                <w:lang w:eastAsia="en-GB"/>
              </w:rPr>
              <w:t>(small scale)</w:t>
            </w:r>
          </w:p>
          <w:p w14:paraId="35775D32" w14:textId="335C1575"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 xml:space="preserve">0.1 </w:t>
            </w:r>
            <w:r w:rsidR="0052789A">
              <w:rPr>
                <w:rFonts w:eastAsia="Calibri" w:cs="Arial"/>
                <w:color w:val="000000"/>
                <w:sz w:val="18"/>
                <w:szCs w:val="18"/>
                <w:lang w:eastAsia="en-GB"/>
              </w:rPr>
              <w:t>(l</w:t>
            </w:r>
            <w:r w:rsidRPr="006136B1">
              <w:rPr>
                <w:rFonts w:eastAsia="Calibri" w:cs="Arial"/>
                <w:color w:val="000000"/>
                <w:sz w:val="18"/>
                <w:szCs w:val="18"/>
                <w:lang w:eastAsia="en-GB"/>
              </w:rPr>
              <w:t xml:space="preserve">arge </w:t>
            </w:r>
            <w:r w:rsidR="0052789A">
              <w:rPr>
                <w:rFonts w:eastAsia="Calibri" w:cs="Arial"/>
                <w:color w:val="000000"/>
                <w:sz w:val="18"/>
                <w:szCs w:val="18"/>
                <w:lang w:eastAsia="en-GB"/>
              </w:rPr>
              <w:t>s</w:t>
            </w:r>
            <w:r w:rsidRPr="006136B1">
              <w:rPr>
                <w:rFonts w:eastAsia="Calibri" w:cs="Arial"/>
                <w:color w:val="000000"/>
                <w:sz w:val="18"/>
                <w:szCs w:val="18"/>
                <w:lang w:eastAsia="en-GB"/>
              </w:rPr>
              <w:t>cale</w:t>
            </w:r>
            <w:r w:rsidR="0052789A">
              <w:rPr>
                <w:rFonts w:eastAsia="Calibri" w:cs="Arial"/>
                <w:color w:val="000000"/>
                <w:sz w:val="18"/>
                <w:szCs w:val="18"/>
                <w:lang w:eastAsia="en-GB"/>
              </w:rPr>
              <w:t>)</w:t>
            </w:r>
          </w:p>
        </w:tc>
        <w:tc>
          <w:tcPr>
            <w:tcW w:w="1135" w:type="dxa"/>
            <w:tcBorders>
              <w:top w:val="single" w:sz="4" w:space="0" w:color="000000"/>
              <w:left w:val="single" w:sz="4" w:space="0" w:color="000000"/>
              <w:bottom w:val="single" w:sz="4" w:space="0" w:color="000000"/>
            </w:tcBorders>
            <w:shd w:val="clear" w:color="auto" w:fill="auto"/>
          </w:tcPr>
          <w:p w14:paraId="3F3F189D"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l.m</w:t>
            </w:r>
            <w:r w:rsidRPr="006136B1">
              <w:rPr>
                <w:color w:val="000000"/>
                <w:sz w:val="18"/>
                <w:szCs w:val="18"/>
                <w:vertAlign w:val="superscript"/>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72A00384"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Default</w:t>
            </w:r>
          </w:p>
        </w:tc>
      </w:tr>
      <w:tr w:rsidR="00CF2FA8" w14:paraId="698560D8" w14:textId="77777777" w:rsidTr="00C573DD">
        <w:trPr>
          <w:trHeight w:val="93"/>
        </w:trPr>
        <w:tc>
          <w:tcPr>
            <w:tcW w:w="3828" w:type="dxa"/>
            <w:tcBorders>
              <w:top w:val="single" w:sz="4" w:space="0" w:color="auto"/>
              <w:left w:val="single" w:sz="4" w:space="0" w:color="auto"/>
              <w:right w:val="single" w:sz="4" w:space="0" w:color="auto"/>
            </w:tcBorders>
            <w:shd w:val="clear" w:color="auto" w:fill="auto"/>
          </w:tcPr>
          <w:p w14:paraId="098A55AF" w14:textId="77777777" w:rsidR="00CF2FA8" w:rsidRPr="00D17F8B" w:rsidRDefault="00CF2FA8" w:rsidP="00C37186">
            <w:pPr>
              <w:suppressAutoHyphens w:val="0"/>
              <w:rPr>
                <w:color w:val="000000"/>
                <w:sz w:val="18"/>
                <w:szCs w:val="18"/>
              </w:rPr>
            </w:pPr>
            <w:r w:rsidRPr="00D17F8B">
              <w:rPr>
                <w:color w:val="000000"/>
                <w:sz w:val="18"/>
                <w:szCs w:val="18"/>
              </w:rPr>
              <w:t xml:space="preserve">Concentration of substance in the product </w:t>
            </w:r>
          </w:p>
          <w:p w14:paraId="1B05CF2D" w14:textId="77777777" w:rsidR="00CF2FA8" w:rsidRPr="00D17F8B" w:rsidRDefault="00CF2FA8" w:rsidP="00C37186">
            <w:pPr>
              <w:suppressAutoHyphens w:val="0"/>
              <w:rPr>
                <w:color w:val="000000"/>
                <w:sz w:val="18"/>
                <w:szCs w:val="18"/>
              </w:rPr>
            </w:pPr>
            <w:r w:rsidRPr="00D17F8B">
              <w:rPr>
                <w:i/>
                <w:color w:val="000000"/>
                <w:sz w:val="18"/>
                <w:szCs w:val="18"/>
              </w:rPr>
              <w:t>C</w:t>
            </w:r>
            <w:r w:rsidRPr="00D17F8B">
              <w:rPr>
                <w:i/>
                <w:color w:val="000000"/>
                <w:sz w:val="18"/>
                <w:szCs w:val="18"/>
                <w:vertAlign w:val="subscript"/>
              </w:rPr>
              <w:t>product</w:t>
            </w:r>
          </w:p>
        </w:tc>
        <w:tc>
          <w:tcPr>
            <w:tcW w:w="1984" w:type="dxa"/>
            <w:tcBorders>
              <w:top w:val="single" w:sz="4" w:space="0" w:color="auto"/>
              <w:left w:val="single" w:sz="4" w:space="0" w:color="auto"/>
              <w:right w:val="single" w:sz="4" w:space="0" w:color="auto"/>
            </w:tcBorders>
            <w:shd w:val="clear" w:color="auto" w:fill="auto"/>
          </w:tcPr>
          <w:p w14:paraId="48E9B874" w14:textId="77777777" w:rsidR="00CF2FA8" w:rsidRPr="00D17F8B" w:rsidRDefault="00CF2FA8" w:rsidP="00C37186">
            <w:pPr>
              <w:snapToGrid w:val="0"/>
              <w:spacing w:before="60" w:after="60" w:line="260" w:lineRule="atLeast"/>
              <w:rPr>
                <w:rFonts w:eastAsia="Calibri" w:cs="Arial"/>
                <w:color w:val="000000"/>
                <w:sz w:val="18"/>
                <w:szCs w:val="18"/>
                <w:lang w:eastAsia="en-GB"/>
              </w:rPr>
            </w:pPr>
          </w:p>
        </w:tc>
        <w:tc>
          <w:tcPr>
            <w:tcW w:w="1135" w:type="dxa"/>
            <w:tcBorders>
              <w:top w:val="single" w:sz="4" w:space="0" w:color="auto"/>
              <w:left w:val="single" w:sz="4" w:space="0" w:color="auto"/>
              <w:right w:val="single" w:sz="4" w:space="0" w:color="auto"/>
            </w:tcBorders>
            <w:shd w:val="clear" w:color="auto" w:fill="auto"/>
          </w:tcPr>
          <w:p w14:paraId="49562271" w14:textId="77777777" w:rsidR="00CF2FA8" w:rsidRPr="00D17F8B" w:rsidRDefault="00CF2FA8" w:rsidP="00C37186">
            <w:pPr>
              <w:snapToGrid w:val="0"/>
              <w:spacing w:before="60" w:after="60" w:line="260" w:lineRule="atLeast"/>
              <w:rPr>
                <w:color w:val="000000"/>
                <w:sz w:val="18"/>
                <w:szCs w:val="18"/>
              </w:rPr>
            </w:pPr>
          </w:p>
        </w:tc>
        <w:tc>
          <w:tcPr>
            <w:tcW w:w="2149" w:type="dxa"/>
            <w:tcBorders>
              <w:top w:val="single" w:sz="4" w:space="0" w:color="auto"/>
              <w:left w:val="single" w:sz="4" w:space="0" w:color="auto"/>
              <w:right w:val="single" w:sz="4" w:space="0" w:color="auto"/>
            </w:tcBorders>
            <w:shd w:val="clear" w:color="auto" w:fill="auto"/>
          </w:tcPr>
          <w:p w14:paraId="08741CE6" w14:textId="77777777" w:rsidR="00CF2FA8" w:rsidRPr="00D17F8B" w:rsidRDefault="00CF2FA8" w:rsidP="00C37186">
            <w:pPr>
              <w:snapToGrid w:val="0"/>
              <w:spacing w:before="60" w:after="60" w:line="260" w:lineRule="atLeast"/>
              <w:rPr>
                <w:sz w:val="18"/>
                <w:szCs w:val="18"/>
              </w:rPr>
            </w:pPr>
          </w:p>
        </w:tc>
      </w:tr>
      <w:tr w:rsidR="00CF2FA8" w14:paraId="357BA428" w14:textId="77777777" w:rsidTr="00C573DD">
        <w:trPr>
          <w:trHeight w:val="441"/>
        </w:trPr>
        <w:tc>
          <w:tcPr>
            <w:tcW w:w="3828" w:type="dxa"/>
            <w:tcBorders>
              <w:left w:val="single" w:sz="4" w:space="0" w:color="auto"/>
              <w:right w:val="single" w:sz="4" w:space="0" w:color="auto"/>
            </w:tcBorders>
            <w:shd w:val="clear" w:color="auto" w:fill="auto"/>
          </w:tcPr>
          <w:p w14:paraId="3CE12EA3" w14:textId="77777777" w:rsidR="00CF2FA8" w:rsidRPr="00D17F8B" w:rsidRDefault="00CF2FA8" w:rsidP="00C37186">
            <w:pPr>
              <w:keepNext/>
              <w:rPr>
                <w:rFonts w:eastAsia="Calibri" w:cs="Arial"/>
                <w:color w:val="000000"/>
                <w:sz w:val="18"/>
                <w:szCs w:val="18"/>
                <w:lang w:eastAsia="en-GB"/>
              </w:rPr>
            </w:pPr>
            <w:r w:rsidRPr="00D17F8B">
              <w:rPr>
                <w:rFonts w:eastAsia="Calibri" w:cs="Arial"/>
                <w:color w:val="000000"/>
                <w:sz w:val="18"/>
                <w:szCs w:val="18"/>
                <w:lang w:eastAsia="en-GB"/>
              </w:rPr>
              <w:lastRenderedPageBreak/>
              <w:t xml:space="preserve">Lactic </w:t>
            </w:r>
            <w:r>
              <w:rPr>
                <w:rFonts w:eastAsia="Calibri" w:cs="Arial"/>
                <w:color w:val="000000"/>
                <w:sz w:val="18"/>
                <w:szCs w:val="18"/>
                <w:lang w:eastAsia="en-GB"/>
              </w:rPr>
              <w:t>a</w:t>
            </w:r>
            <w:r w:rsidRPr="00D17F8B">
              <w:rPr>
                <w:rFonts w:eastAsia="Calibri" w:cs="Arial"/>
                <w:color w:val="000000"/>
                <w:sz w:val="18"/>
                <w:szCs w:val="18"/>
                <w:lang w:eastAsia="en-GB"/>
              </w:rPr>
              <w:t>cid</w:t>
            </w:r>
          </w:p>
        </w:tc>
        <w:tc>
          <w:tcPr>
            <w:tcW w:w="1984" w:type="dxa"/>
            <w:tcBorders>
              <w:left w:val="single" w:sz="4" w:space="0" w:color="auto"/>
              <w:right w:val="single" w:sz="4" w:space="0" w:color="auto"/>
            </w:tcBorders>
            <w:shd w:val="clear" w:color="auto" w:fill="auto"/>
          </w:tcPr>
          <w:p w14:paraId="4F3AE15A" w14:textId="77777777" w:rsidR="00CF2FA8" w:rsidRDefault="00CF2FA8" w:rsidP="00C37186">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4.00E-02</w:t>
            </w:r>
            <w:r w:rsidR="0052789A">
              <w:rPr>
                <w:rFonts w:eastAsia="Calibri" w:cs="Arial"/>
                <w:color w:val="000000"/>
                <w:sz w:val="18"/>
                <w:szCs w:val="18"/>
                <w:lang w:eastAsia="en-GB"/>
              </w:rPr>
              <w:t xml:space="preserve"> (small scale)</w:t>
            </w:r>
          </w:p>
          <w:p w14:paraId="25C6F9D5" w14:textId="6E3E52E2" w:rsidR="0052789A" w:rsidRDefault="0052789A" w:rsidP="00C37186">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2.4</w:t>
            </w:r>
            <w:r w:rsidR="00C37186">
              <w:rPr>
                <w:rFonts w:eastAsia="Calibri" w:cs="Arial"/>
                <w:color w:val="000000"/>
                <w:sz w:val="18"/>
                <w:szCs w:val="18"/>
                <w:lang w:eastAsia="en-GB"/>
              </w:rPr>
              <w:t>0</w:t>
            </w:r>
            <w:r>
              <w:rPr>
                <w:rFonts w:eastAsia="Calibri" w:cs="Arial"/>
                <w:color w:val="000000"/>
                <w:sz w:val="18"/>
                <w:szCs w:val="18"/>
                <w:lang w:eastAsia="en-GB"/>
              </w:rPr>
              <w:t>E-02 (large scale)</w:t>
            </w:r>
          </w:p>
        </w:tc>
        <w:tc>
          <w:tcPr>
            <w:tcW w:w="1135" w:type="dxa"/>
            <w:vMerge w:val="restart"/>
            <w:tcBorders>
              <w:left w:val="single" w:sz="4" w:space="0" w:color="auto"/>
              <w:bottom w:val="single" w:sz="4" w:space="0" w:color="auto"/>
              <w:right w:val="single" w:sz="4" w:space="0" w:color="auto"/>
            </w:tcBorders>
            <w:shd w:val="clear" w:color="auto" w:fill="auto"/>
          </w:tcPr>
          <w:p w14:paraId="5D6B3951" w14:textId="77777777" w:rsidR="00CF2FA8" w:rsidRPr="00D17F8B" w:rsidRDefault="00CF2FA8" w:rsidP="00C37186">
            <w:pPr>
              <w:snapToGrid w:val="0"/>
              <w:spacing w:before="60" w:after="60" w:line="260" w:lineRule="atLeast"/>
              <w:rPr>
                <w:rFonts w:eastAsia="Calibri" w:cs="Arial"/>
                <w:color w:val="000000"/>
                <w:sz w:val="18"/>
                <w:szCs w:val="18"/>
                <w:lang w:eastAsia="en-GB"/>
              </w:rPr>
            </w:pPr>
            <w:r w:rsidRPr="00D17F8B">
              <w:rPr>
                <w:color w:val="000000"/>
                <w:sz w:val="18"/>
                <w:szCs w:val="18"/>
              </w:rPr>
              <w:t>kg.l</w:t>
            </w:r>
            <w:r w:rsidRPr="00D17F8B">
              <w:rPr>
                <w:color w:val="000000"/>
                <w:sz w:val="18"/>
                <w:szCs w:val="18"/>
                <w:vertAlign w:val="superscript"/>
              </w:rPr>
              <w:t>-1</w:t>
            </w:r>
          </w:p>
        </w:tc>
        <w:tc>
          <w:tcPr>
            <w:tcW w:w="2149" w:type="dxa"/>
            <w:vMerge w:val="restart"/>
            <w:tcBorders>
              <w:left w:val="single" w:sz="4" w:space="0" w:color="auto"/>
              <w:bottom w:val="single" w:sz="4" w:space="0" w:color="auto"/>
              <w:right w:val="single" w:sz="4" w:space="0" w:color="auto"/>
            </w:tcBorders>
            <w:shd w:val="clear" w:color="auto" w:fill="auto"/>
          </w:tcPr>
          <w:p w14:paraId="7582C991" w14:textId="63F576FF" w:rsidR="00CF2FA8" w:rsidRPr="00D17F8B" w:rsidRDefault="009B4803" w:rsidP="0052789A">
            <w:pPr>
              <w:snapToGrid w:val="0"/>
              <w:spacing w:before="60" w:after="60" w:line="260" w:lineRule="atLeast"/>
              <w:rPr>
                <w:rFonts w:eastAsia="Calibri" w:cs="Arial"/>
                <w:color w:val="000000"/>
                <w:sz w:val="18"/>
                <w:szCs w:val="18"/>
                <w:lang w:eastAsia="en-GB"/>
              </w:rPr>
            </w:pPr>
            <w:r w:rsidRPr="001C6AF1">
              <w:rPr>
                <w:sz w:val="18"/>
                <w:szCs w:val="18"/>
                <w:lang w:val="en-US"/>
              </w:rPr>
              <w:t>Considering that product density may vary from 1.004 to 1.077</w:t>
            </w:r>
            <w:r w:rsidR="00CD5B0D" w:rsidRPr="001C6AF1">
              <w:rPr>
                <w:sz w:val="18"/>
                <w:szCs w:val="18"/>
                <w:lang w:val="en-US"/>
              </w:rPr>
              <w:t xml:space="preserve"> for all the Meta-SPC</w:t>
            </w:r>
            <w:r w:rsidRPr="001C6AF1">
              <w:rPr>
                <w:sz w:val="18"/>
                <w:szCs w:val="18"/>
                <w:lang w:val="en-US"/>
              </w:rPr>
              <w:t>, a density of 1 is considered for the assessment</w:t>
            </w:r>
          </w:p>
        </w:tc>
      </w:tr>
      <w:tr w:rsidR="00CF2FA8" w14:paraId="0A935A38" w14:textId="77777777" w:rsidTr="00C573DD">
        <w:trPr>
          <w:trHeight w:val="441"/>
        </w:trPr>
        <w:tc>
          <w:tcPr>
            <w:tcW w:w="3828" w:type="dxa"/>
            <w:tcBorders>
              <w:left w:val="single" w:sz="4" w:space="0" w:color="auto"/>
              <w:right w:val="single" w:sz="4" w:space="0" w:color="auto"/>
            </w:tcBorders>
            <w:shd w:val="clear" w:color="auto" w:fill="auto"/>
          </w:tcPr>
          <w:p w14:paraId="233003CC" w14:textId="77777777" w:rsidR="00CF2FA8" w:rsidRDefault="00CF2FA8" w:rsidP="00C37186">
            <w:pPr>
              <w:keepNext/>
              <w:rPr>
                <w:color w:val="000000"/>
                <w:sz w:val="18"/>
                <w:szCs w:val="18"/>
              </w:rPr>
            </w:pPr>
            <w:r w:rsidRPr="00D17F8B">
              <w:rPr>
                <w:rFonts w:eastAsia="Calibri" w:cs="Times New Roman"/>
                <w:sz w:val="18"/>
                <w:szCs w:val="18"/>
                <w:lang w:eastAsia="en-US"/>
              </w:rPr>
              <w:t>Amines, coco alkyldimethyl, N-oxides</w:t>
            </w:r>
          </w:p>
        </w:tc>
        <w:tc>
          <w:tcPr>
            <w:tcW w:w="1984" w:type="dxa"/>
            <w:tcBorders>
              <w:left w:val="single" w:sz="4" w:space="0" w:color="auto"/>
              <w:right w:val="single" w:sz="4" w:space="0" w:color="auto"/>
            </w:tcBorders>
            <w:shd w:val="clear" w:color="auto" w:fill="auto"/>
          </w:tcPr>
          <w:p w14:paraId="040E7A09" w14:textId="77777777" w:rsidR="00CF2FA8" w:rsidRDefault="00CF2FA8" w:rsidP="00C37186">
            <w:pPr>
              <w:keepNext/>
              <w:rPr>
                <w:color w:val="000000"/>
                <w:sz w:val="18"/>
                <w:szCs w:val="18"/>
              </w:rPr>
            </w:pPr>
            <w:r>
              <w:rPr>
                <w:color w:val="000000"/>
                <w:sz w:val="18"/>
                <w:szCs w:val="18"/>
              </w:rPr>
              <w:t>1.00E-03</w:t>
            </w:r>
          </w:p>
        </w:tc>
        <w:tc>
          <w:tcPr>
            <w:tcW w:w="1135" w:type="dxa"/>
            <w:vMerge/>
            <w:tcBorders>
              <w:left w:val="single" w:sz="4" w:space="0" w:color="auto"/>
              <w:bottom w:val="single" w:sz="4" w:space="0" w:color="auto"/>
              <w:right w:val="single" w:sz="4" w:space="0" w:color="auto"/>
            </w:tcBorders>
            <w:shd w:val="clear" w:color="auto" w:fill="auto"/>
          </w:tcPr>
          <w:p w14:paraId="3A6C6557" w14:textId="77777777" w:rsidR="00CF2FA8" w:rsidRPr="00D17F8B" w:rsidRDefault="00CF2FA8" w:rsidP="00C37186">
            <w:pPr>
              <w:snapToGrid w:val="0"/>
              <w:spacing w:before="60" w:after="60" w:line="260" w:lineRule="atLeast"/>
              <w:rPr>
                <w:color w:val="000000"/>
                <w:sz w:val="18"/>
                <w:szCs w:val="18"/>
              </w:rPr>
            </w:pPr>
          </w:p>
        </w:tc>
        <w:tc>
          <w:tcPr>
            <w:tcW w:w="2149" w:type="dxa"/>
            <w:vMerge/>
            <w:tcBorders>
              <w:left w:val="single" w:sz="4" w:space="0" w:color="auto"/>
              <w:bottom w:val="single" w:sz="4" w:space="0" w:color="auto"/>
              <w:right w:val="single" w:sz="4" w:space="0" w:color="auto"/>
            </w:tcBorders>
            <w:shd w:val="clear" w:color="auto" w:fill="auto"/>
          </w:tcPr>
          <w:p w14:paraId="6B788BAD" w14:textId="77777777" w:rsidR="00CF2FA8" w:rsidRPr="00D17F8B" w:rsidRDefault="00CF2FA8" w:rsidP="00C37186">
            <w:pPr>
              <w:snapToGrid w:val="0"/>
              <w:spacing w:before="60" w:after="60" w:line="260" w:lineRule="atLeast"/>
              <w:rPr>
                <w:sz w:val="18"/>
                <w:szCs w:val="18"/>
              </w:rPr>
            </w:pPr>
          </w:p>
        </w:tc>
      </w:tr>
      <w:tr w:rsidR="00CF2FA8" w14:paraId="60952CAD" w14:textId="77777777" w:rsidTr="00C573DD">
        <w:trPr>
          <w:trHeight w:val="441"/>
        </w:trPr>
        <w:tc>
          <w:tcPr>
            <w:tcW w:w="3828" w:type="dxa"/>
            <w:tcBorders>
              <w:left w:val="single" w:sz="4" w:space="0" w:color="auto"/>
              <w:bottom w:val="single" w:sz="4" w:space="0" w:color="auto"/>
              <w:right w:val="single" w:sz="4" w:space="0" w:color="auto"/>
            </w:tcBorders>
            <w:shd w:val="clear" w:color="auto" w:fill="auto"/>
          </w:tcPr>
          <w:p w14:paraId="51F8DF40" w14:textId="77777777" w:rsidR="00CF2FA8" w:rsidRDefault="00CF2FA8" w:rsidP="00C37186">
            <w:pPr>
              <w:keepNext/>
              <w:rPr>
                <w:color w:val="000000"/>
                <w:sz w:val="18"/>
                <w:szCs w:val="18"/>
              </w:rPr>
            </w:pPr>
            <w:r w:rsidRPr="00D17F8B">
              <w:rPr>
                <w:rFonts w:eastAsia="Calibri" w:cs="Arial"/>
                <w:color w:val="000000"/>
                <w:sz w:val="18"/>
                <w:szCs w:val="18"/>
                <w:lang w:eastAsia="en-GB"/>
              </w:rPr>
              <w:t>OTNE</w:t>
            </w:r>
          </w:p>
        </w:tc>
        <w:tc>
          <w:tcPr>
            <w:tcW w:w="1984" w:type="dxa"/>
            <w:tcBorders>
              <w:left w:val="single" w:sz="4" w:space="0" w:color="auto"/>
              <w:bottom w:val="single" w:sz="4" w:space="0" w:color="auto"/>
              <w:right w:val="single" w:sz="4" w:space="0" w:color="auto"/>
            </w:tcBorders>
            <w:shd w:val="clear" w:color="auto" w:fill="auto"/>
          </w:tcPr>
          <w:p w14:paraId="539969F9" w14:textId="28C5A3C5" w:rsidR="00CF2FA8" w:rsidRDefault="00CF2FA8" w:rsidP="0052789A">
            <w:pPr>
              <w:keepNext/>
              <w:rPr>
                <w:color w:val="000000"/>
                <w:sz w:val="18"/>
                <w:szCs w:val="18"/>
              </w:rPr>
            </w:pPr>
            <w:r>
              <w:rPr>
                <w:color w:val="000000"/>
                <w:sz w:val="18"/>
                <w:szCs w:val="18"/>
              </w:rPr>
              <w:t>7.20E-04</w:t>
            </w:r>
          </w:p>
        </w:tc>
        <w:tc>
          <w:tcPr>
            <w:tcW w:w="1135" w:type="dxa"/>
            <w:vMerge/>
            <w:tcBorders>
              <w:left w:val="single" w:sz="4" w:space="0" w:color="auto"/>
              <w:bottom w:val="single" w:sz="4" w:space="0" w:color="auto"/>
              <w:right w:val="single" w:sz="4" w:space="0" w:color="auto"/>
            </w:tcBorders>
            <w:shd w:val="clear" w:color="auto" w:fill="auto"/>
          </w:tcPr>
          <w:p w14:paraId="3F83597D" w14:textId="77777777" w:rsidR="00CF2FA8" w:rsidRPr="00D17F8B" w:rsidRDefault="00CF2FA8" w:rsidP="00C37186">
            <w:pPr>
              <w:snapToGrid w:val="0"/>
              <w:spacing w:before="60" w:after="60" w:line="260" w:lineRule="atLeast"/>
              <w:rPr>
                <w:color w:val="000000"/>
                <w:sz w:val="18"/>
                <w:szCs w:val="18"/>
              </w:rPr>
            </w:pPr>
          </w:p>
        </w:tc>
        <w:tc>
          <w:tcPr>
            <w:tcW w:w="2149" w:type="dxa"/>
            <w:vMerge/>
            <w:tcBorders>
              <w:left w:val="single" w:sz="4" w:space="0" w:color="auto"/>
              <w:bottom w:val="single" w:sz="4" w:space="0" w:color="auto"/>
              <w:right w:val="single" w:sz="4" w:space="0" w:color="auto"/>
            </w:tcBorders>
            <w:shd w:val="clear" w:color="auto" w:fill="auto"/>
          </w:tcPr>
          <w:p w14:paraId="2D0CD6B2" w14:textId="77777777" w:rsidR="00CF2FA8" w:rsidRPr="00D17F8B" w:rsidRDefault="00CF2FA8" w:rsidP="00C37186">
            <w:pPr>
              <w:snapToGrid w:val="0"/>
              <w:spacing w:before="60" w:after="60" w:line="260" w:lineRule="atLeast"/>
              <w:rPr>
                <w:sz w:val="18"/>
                <w:szCs w:val="18"/>
              </w:rPr>
            </w:pPr>
          </w:p>
        </w:tc>
      </w:tr>
      <w:tr w:rsidR="0073642B" w14:paraId="44E76469" w14:textId="77777777" w:rsidTr="00C573DD">
        <w:trPr>
          <w:trHeight w:val="93"/>
        </w:trPr>
        <w:tc>
          <w:tcPr>
            <w:tcW w:w="3828" w:type="dxa"/>
            <w:tcBorders>
              <w:top w:val="single" w:sz="4" w:space="0" w:color="000000"/>
              <w:left w:val="single" w:sz="4" w:space="0" w:color="000000"/>
              <w:bottom w:val="single" w:sz="4" w:space="0" w:color="000000"/>
            </w:tcBorders>
            <w:shd w:val="clear" w:color="auto" w:fill="auto"/>
            <w:vAlign w:val="center"/>
          </w:tcPr>
          <w:p w14:paraId="77AA089E" w14:textId="77777777" w:rsidR="0073642B" w:rsidRPr="006136B1" w:rsidRDefault="0073642B" w:rsidP="00476D22">
            <w:pPr>
              <w:keepNext/>
              <w:rPr>
                <w:color w:val="000000"/>
                <w:sz w:val="18"/>
                <w:szCs w:val="18"/>
              </w:rPr>
            </w:pPr>
            <w:r w:rsidRPr="006136B1">
              <w:rPr>
                <w:color w:val="000000"/>
                <w:sz w:val="18"/>
                <w:szCs w:val="18"/>
              </w:rPr>
              <w:t>Surface area/volume to be disinfected</w:t>
            </w:r>
          </w:p>
          <w:p w14:paraId="5119886A" w14:textId="77777777" w:rsidR="0073642B" w:rsidRPr="006136B1" w:rsidRDefault="0073642B" w:rsidP="00476D22">
            <w:pPr>
              <w:keepNext/>
              <w:rPr>
                <w:color w:val="000000"/>
                <w:sz w:val="18"/>
                <w:szCs w:val="18"/>
              </w:rPr>
            </w:pPr>
            <w:r w:rsidRPr="006136B1">
              <w:rPr>
                <w:color w:val="000000"/>
                <w:sz w:val="18"/>
                <w:szCs w:val="18"/>
              </w:rPr>
              <w:t>Area</w:t>
            </w:r>
          </w:p>
        </w:tc>
        <w:tc>
          <w:tcPr>
            <w:tcW w:w="1984" w:type="dxa"/>
            <w:tcBorders>
              <w:top w:val="single" w:sz="4" w:space="0" w:color="000000"/>
              <w:left w:val="single" w:sz="4" w:space="0" w:color="000000"/>
              <w:bottom w:val="single" w:sz="4" w:space="0" w:color="000000"/>
            </w:tcBorders>
            <w:shd w:val="clear" w:color="auto" w:fill="auto"/>
          </w:tcPr>
          <w:p w14:paraId="5B931D74" w14:textId="62D654A8"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 xml:space="preserve">25 </w:t>
            </w:r>
            <w:r w:rsidR="0052789A">
              <w:rPr>
                <w:rFonts w:eastAsia="Calibri" w:cs="Arial"/>
                <w:color w:val="000000"/>
                <w:sz w:val="18"/>
                <w:szCs w:val="18"/>
                <w:lang w:eastAsia="en-GB"/>
              </w:rPr>
              <w:t>(small scale)</w:t>
            </w:r>
          </w:p>
          <w:p w14:paraId="35DDC7E7" w14:textId="1ED02C13"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 xml:space="preserve">1000 </w:t>
            </w:r>
            <w:r w:rsidR="0052789A">
              <w:rPr>
                <w:rFonts w:eastAsia="Calibri" w:cs="Arial"/>
                <w:color w:val="000000"/>
                <w:sz w:val="18"/>
                <w:szCs w:val="18"/>
                <w:lang w:eastAsia="en-GB"/>
              </w:rPr>
              <w:t>(l</w:t>
            </w:r>
            <w:r w:rsidR="0052789A" w:rsidRPr="006136B1">
              <w:rPr>
                <w:rFonts w:eastAsia="Calibri" w:cs="Arial"/>
                <w:color w:val="000000"/>
                <w:sz w:val="18"/>
                <w:szCs w:val="18"/>
                <w:lang w:eastAsia="en-GB"/>
              </w:rPr>
              <w:t xml:space="preserve">arge </w:t>
            </w:r>
            <w:r w:rsidR="0052789A">
              <w:rPr>
                <w:rFonts w:eastAsia="Calibri" w:cs="Arial"/>
                <w:color w:val="000000"/>
                <w:sz w:val="18"/>
                <w:szCs w:val="18"/>
                <w:lang w:eastAsia="en-GB"/>
              </w:rPr>
              <w:t>s</w:t>
            </w:r>
            <w:r w:rsidR="0052789A" w:rsidRPr="006136B1">
              <w:rPr>
                <w:rFonts w:eastAsia="Calibri" w:cs="Arial"/>
                <w:color w:val="000000"/>
                <w:sz w:val="18"/>
                <w:szCs w:val="18"/>
                <w:lang w:eastAsia="en-GB"/>
              </w:rPr>
              <w:t>cale</w:t>
            </w:r>
            <w:r w:rsidR="0052789A">
              <w:rPr>
                <w:rFonts w:eastAsia="Calibri" w:cs="Arial"/>
                <w:color w:val="000000"/>
                <w:sz w:val="18"/>
                <w:szCs w:val="18"/>
                <w:lang w:eastAsia="en-GB"/>
              </w:rPr>
              <w:t>)</w:t>
            </w:r>
          </w:p>
        </w:tc>
        <w:tc>
          <w:tcPr>
            <w:tcW w:w="1135" w:type="dxa"/>
            <w:tcBorders>
              <w:top w:val="single" w:sz="4" w:space="0" w:color="000000"/>
              <w:left w:val="single" w:sz="4" w:space="0" w:color="000000"/>
              <w:bottom w:val="single" w:sz="4" w:space="0" w:color="000000"/>
            </w:tcBorders>
            <w:shd w:val="clear" w:color="auto" w:fill="auto"/>
          </w:tcPr>
          <w:p w14:paraId="184ABDD1"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m</w:t>
            </w:r>
            <w:r w:rsidRPr="006136B1">
              <w:rPr>
                <w:color w:val="000000"/>
                <w:sz w:val="18"/>
                <w:szCs w:val="18"/>
                <w:vertAlign w:val="superscript"/>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A6B0"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Default</w:t>
            </w:r>
          </w:p>
        </w:tc>
      </w:tr>
      <w:tr w:rsidR="0073642B" w14:paraId="382E01FB" w14:textId="77777777" w:rsidTr="00C573DD">
        <w:trPr>
          <w:trHeight w:val="93"/>
        </w:trPr>
        <w:tc>
          <w:tcPr>
            <w:tcW w:w="3828" w:type="dxa"/>
            <w:tcBorders>
              <w:top w:val="single" w:sz="4" w:space="0" w:color="000000"/>
              <w:left w:val="single" w:sz="4" w:space="0" w:color="000000"/>
              <w:bottom w:val="single" w:sz="4" w:space="0" w:color="000000"/>
            </w:tcBorders>
            <w:shd w:val="clear" w:color="auto" w:fill="auto"/>
            <w:vAlign w:val="center"/>
          </w:tcPr>
          <w:p w14:paraId="7C03EC01" w14:textId="77777777" w:rsidR="0073642B" w:rsidRPr="006136B1" w:rsidRDefault="0073642B" w:rsidP="00476D22">
            <w:pPr>
              <w:keepNext/>
              <w:rPr>
                <w:color w:val="000000"/>
                <w:sz w:val="18"/>
                <w:szCs w:val="18"/>
              </w:rPr>
            </w:pPr>
            <w:r w:rsidRPr="006136B1">
              <w:rPr>
                <w:color w:val="000000"/>
                <w:sz w:val="18"/>
                <w:szCs w:val="18"/>
              </w:rPr>
              <w:t>Number of applications per day</w:t>
            </w:r>
          </w:p>
          <w:p w14:paraId="3D81D6BA" w14:textId="77777777" w:rsidR="0073642B" w:rsidRPr="006136B1" w:rsidRDefault="0073642B" w:rsidP="00476D22">
            <w:pPr>
              <w:keepNext/>
              <w:rPr>
                <w:color w:val="000000"/>
                <w:sz w:val="18"/>
                <w:szCs w:val="18"/>
              </w:rPr>
            </w:pPr>
            <w:r w:rsidRPr="006136B1">
              <w:rPr>
                <w:color w:val="000000"/>
                <w:sz w:val="18"/>
                <w:szCs w:val="18"/>
              </w:rPr>
              <w:t>Nappl</w:t>
            </w:r>
          </w:p>
        </w:tc>
        <w:tc>
          <w:tcPr>
            <w:tcW w:w="1984" w:type="dxa"/>
            <w:tcBorders>
              <w:top w:val="single" w:sz="4" w:space="0" w:color="000000"/>
              <w:left w:val="single" w:sz="4" w:space="0" w:color="000000"/>
              <w:bottom w:val="single" w:sz="4" w:space="0" w:color="000000"/>
            </w:tcBorders>
            <w:shd w:val="clear" w:color="auto" w:fill="auto"/>
          </w:tcPr>
          <w:p w14:paraId="39177ADB" w14:textId="77777777"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1</w:t>
            </w:r>
          </w:p>
        </w:tc>
        <w:tc>
          <w:tcPr>
            <w:tcW w:w="1135" w:type="dxa"/>
            <w:tcBorders>
              <w:top w:val="single" w:sz="4" w:space="0" w:color="000000"/>
              <w:left w:val="single" w:sz="4" w:space="0" w:color="000000"/>
              <w:bottom w:val="single" w:sz="4" w:space="0" w:color="000000"/>
            </w:tcBorders>
            <w:shd w:val="clear" w:color="auto" w:fill="auto"/>
          </w:tcPr>
          <w:p w14:paraId="54D102DE"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w:t>
            </w:r>
            <w:r w:rsidRPr="006136B1">
              <w:rPr>
                <w:color w:val="000000"/>
                <w:sz w:val="18"/>
                <w:szCs w:val="18"/>
                <w:vertAlign w:val="superscript"/>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DA48"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Default</w:t>
            </w:r>
          </w:p>
        </w:tc>
      </w:tr>
      <w:tr w:rsidR="0073642B" w14:paraId="11083EA1" w14:textId="77777777" w:rsidTr="00C573DD">
        <w:trPr>
          <w:trHeight w:val="93"/>
        </w:trPr>
        <w:tc>
          <w:tcPr>
            <w:tcW w:w="3828" w:type="dxa"/>
            <w:tcBorders>
              <w:top w:val="single" w:sz="4" w:space="0" w:color="000000"/>
              <w:left w:val="single" w:sz="4" w:space="0" w:color="000000"/>
              <w:bottom w:val="single" w:sz="4" w:space="0" w:color="000000"/>
            </w:tcBorders>
            <w:shd w:val="clear" w:color="auto" w:fill="auto"/>
            <w:vAlign w:val="center"/>
          </w:tcPr>
          <w:p w14:paraId="580EBD8B" w14:textId="77777777" w:rsidR="0073642B" w:rsidRPr="006136B1" w:rsidRDefault="0073642B" w:rsidP="00476D22">
            <w:pPr>
              <w:keepNext/>
              <w:rPr>
                <w:color w:val="000000"/>
                <w:sz w:val="18"/>
                <w:szCs w:val="18"/>
              </w:rPr>
            </w:pPr>
            <w:r w:rsidRPr="006136B1">
              <w:rPr>
                <w:color w:val="000000"/>
                <w:sz w:val="18"/>
                <w:szCs w:val="18"/>
              </w:rPr>
              <w:t>Fraction of substance disintegrated during or after application</w:t>
            </w:r>
          </w:p>
          <w:p w14:paraId="488A62A6" w14:textId="77777777" w:rsidR="0073642B" w:rsidRPr="006136B1" w:rsidRDefault="0073642B" w:rsidP="00476D22">
            <w:pPr>
              <w:keepNext/>
              <w:rPr>
                <w:color w:val="000000"/>
                <w:sz w:val="18"/>
                <w:szCs w:val="18"/>
              </w:rPr>
            </w:pPr>
            <w:r w:rsidRPr="006136B1">
              <w:rPr>
                <w:color w:val="000000"/>
                <w:sz w:val="18"/>
                <w:szCs w:val="18"/>
              </w:rPr>
              <w:t>Fdis</w:t>
            </w:r>
          </w:p>
        </w:tc>
        <w:tc>
          <w:tcPr>
            <w:tcW w:w="1984" w:type="dxa"/>
            <w:tcBorders>
              <w:top w:val="single" w:sz="4" w:space="0" w:color="000000"/>
              <w:left w:val="single" w:sz="4" w:space="0" w:color="000000"/>
              <w:bottom w:val="single" w:sz="4" w:space="0" w:color="000000"/>
            </w:tcBorders>
            <w:shd w:val="clear" w:color="auto" w:fill="auto"/>
          </w:tcPr>
          <w:p w14:paraId="7FF75C62" w14:textId="77777777"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0</w:t>
            </w:r>
          </w:p>
        </w:tc>
        <w:tc>
          <w:tcPr>
            <w:tcW w:w="1135" w:type="dxa"/>
            <w:tcBorders>
              <w:top w:val="single" w:sz="4" w:space="0" w:color="000000"/>
              <w:left w:val="single" w:sz="4" w:space="0" w:color="000000"/>
              <w:bottom w:val="single" w:sz="4" w:space="0" w:color="000000"/>
            </w:tcBorders>
            <w:shd w:val="clear" w:color="auto" w:fill="auto"/>
          </w:tcPr>
          <w:p w14:paraId="4FA012E3"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6EE6"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Default</w:t>
            </w:r>
          </w:p>
        </w:tc>
      </w:tr>
      <w:tr w:rsidR="0073642B" w14:paraId="62A13F1C" w14:textId="77777777" w:rsidTr="00C573DD">
        <w:trPr>
          <w:trHeight w:val="93"/>
        </w:trPr>
        <w:tc>
          <w:tcPr>
            <w:tcW w:w="3828" w:type="dxa"/>
            <w:tcBorders>
              <w:top w:val="single" w:sz="4" w:space="0" w:color="000000"/>
              <w:left w:val="single" w:sz="4" w:space="0" w:color="000000"/>
              <w:bottom w:val="single" w:sz="4" w:space="0" w:color="000000"/>
            </w:tcBorders>
            <w:shd w:val="clear" w:color="auto" w:fill="auto"/>
            <w:vAlign w:val="center"/>
          </w:tcPr>
          <w:p w14:paraId="04576E80" w14:textId="77777777" w:rsidR="0073642B" w:rsidRPr="006136B1" w:rsidRDefault="0073642B" w:rsidP="00476D22">
            <w:pPr>
              <w:keepNext/>
              <w:rPr>
                <w:color w:val="000000"/>
                <w:sz w:val="18"/>
                <w:szCs w:val="18"/>
              </w:rPr>
            </w:pPr>
            <w:r w:rsidRPr="006136B1">
              <w:rPr>
                <w:color w:val="000000"/>
                <w:sz w:val="18"/>
                <w:szCs w:val="18"/>
              </w:rPr>
              <w:t>Fraction released to wastewater</w:t>
            </w:r>
          </w:p>
          <w:p w14:paraId="2936C6F8" w14:textId="77777777" w:rsidR="0073642B" w:rsidRPr="006136B1" w:rsidRDefault="0073642B" w:rsidP="00476D22">
            <w:pPr>
              <w:keepNext/>
              <w:rPr>
                <w:color w:val="000000"/>
                <w:sz w:val="18"/>
                <w:szCs w:val="18"/>
              </w:rPr>
            </w:pPr>
            <w:r w:rsidRPr="006136B1">
              <w:rPr>
                <w:color w:val="000000"/>
                <w:sz w:val="18"/>
                <w:szCs w:val="18"/>
              </w:rPr>
              <w:t>Fwater</w:t>
            </w:r>
          </w:p>
        </w:tc>
        <w:tc>
          <w:tcPr>
            <w:tcW w:w="1984" w:type="dxa"/>
            <w:tcBorders>
              <w:top w:val="single" w:sz="4" w:space="0" w:color="000000"/>
              <w:left w:val="single" w:sz="4" w:space="0" w:color="000000"/>
              <w:bottom w:val="single" w:sz="4" w:space="0" w:color="000000"/>
            </w:tcBorders>
            <w:shd w:val="clear" w:color="auto" w:fill="auto"/>
          </w:tcPr>
          <w:p w14:paraId="357BE0DA" w14:textId="77777777" w:rsidR="0073642B" w:rsidRPr="006136B1" w:rsidRDefault="0073642B" w:rsidP="00476D22">
            <w:pPr>
              <w:snapToGrid w:val="0"/>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1</w:t>
            </w:r>
          </w:p>
        </w:tc>
        <w:tc>
          <w:tcPr>
            <w:tcW w:w="1135" w:type="dxa"/>
            <w:tcBorders>
              <w:top w:val="single" w:sz="4" w:space="0" w:color="000000"/>
              <w:left w:val="single" w:sz="4" w:space="0" w:color="000000"/>
              <w:bottom w:val="single" w:sz="4" w:space="0" w:color="000000"/>
            </w:tcBorders>
            <w:shd w:val="clear" w:color="auto" w:fill="auto"/>
          </w:tcPr>
          <w:p w14:paraId="6C6DCCFB"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A574" w14:textId="77777777" w:rsidR="0073642B" w:rsidRPr="006136B1" w:rsidRDefault="0073642B" w:rsidP="00476D22">
            <w:pPr>
              <w:snapToGrid w:val="0"/>
              <w:spacing w:before="60" w:after="60" w:line="260" w:lineRule="atLeast"/>
              <w:rPr>
                <w:color w:val="000000"/>
                <w:sz w:val="18"/>
                <w:szCs w:val="18"/>
              </w:rPr>
            </w:pPr>
            <w:r w:rsidRPr="006136B1">
              <w:rPr>
                <w:color w:val="000000"/>
                <w:sz w:val="18"/>
                <w:szCs w:val="18"/>
              </w:rPr>
              <w:t>Default</w:t>
            </w:r>
          </w:p>
        </w:tc>
      </w:tr>
    </w:tbl>
    <w:p w14:paraId="5EFF0B8F" w14:textId="77777777" w:rsidR="0073642B" w:rsidRDefault="0073642B" w:rsidP="0073642B">
      <w:pPr>
        <w:ind w:left="142"/>
        <w:jc w:val="both"/>
        <w:rPr>
          <w:rFonts w:ascii="Times New Roman" w:eastAsia="Calibri" w:hAnsi="Times New Roman" w:cs="Times New Roman"/>
          <w:i/>
          <w:lang w:eastAsia="en-US"/>
        </w:rPr>
      </w:pPr>
    </w:p>
    <w:p w14:paraId="796B467C" w14:textId="77777777" w:rsidR="0073642B" w:rsidRPr="00B27CB1" w:rsidRDefault="0073642B" w:rsidP="0073642B">
      <w:pPr>
        <w:spacing w:after="120" w:line="276" w:lineRule="auto"/>
        <w:ind w:left="142"/>
        <w:rPr>
          <w:rFonts w:ascii="Times New Roman" w:eastAsia="Calibri" w:hAnsi="Times New Roman" w:cs="Times New Roman"/>
          <w:i/>
          <w:lang w:eastAsia="en-US"/>
        </w:rPr>
      </w:pPr>
    </w:p>
    <w:p w14:paraId="237C0593" w14:textId="77777777" w:rsidR="0073642B" w:rsidRPr="009E6311" w:rsidRDefault="0073642B" w:rsidP="0073642B">
      <w:pPr>
        <w:spacing w:line="276" w:lineRule="auto"/>
        <w:rPr>
          <w:rFonts w:eastAsia="Calibri"/>
          <w:u w:val="single"/>
          <w:lang w:val="en-US" w:eastAsia="en-US"/>
        </w:rPr>
      </w:pPr>
      <w:r w:rsidRPr="009E6311">
        <w:rPr>
          <w:rFonts w:eastAsia="Calibri"/>
          <w:u w:val="single"/>
          <w:lang w:val="en-US" w:eastAsia="en-US"/>
        </w:rPr>
        <w:t xml:space="preserve">Calculations for Scenario </w:t>
      </w:r>
      <w:r>
        <w:rPr>
          <w:rFonts w:eastAsia="Calibri"/>
          <w:u w:val="single"/>
          <w:lang w:val="en-US" w:eastAsia="en-US"/>
        </w:rPr>
        <w:t>2</w:t>
      </w:r>
    </w:p>
    <w:p w14:paraId="67EE9C0F" w14:textId="77777777" w:rsidR="0073642B" w:rsidRPr="009E6311" w:rsidRDefault="0073642B" w:rsidP="0073642B">
      <w:pPr>
        <w:spacing w:line="276" w:lineRule="auto"/>
        <w:rPr>
          <w:rFonts w:eastAsia="Calibri"/>
          <w:lang w:val="en-US" w:eastAsia="en-US"/>
        </w:rPr>
      </w:pPr>
    </w:p>
    <w:p w14:paraId="47E5EC7A" w14:textId="77777777" w:rsidR="0073642B" w:rsidRPr="00B27CB1" w:rsidRDefault="0073642B" w:rsidP="0073642B">
      <w:pPr>
        <w:spacing w:line="276" w:lineRule="auto"/>
        <w:rPr>
          <w:rFonts w:ascii="Times New Roman" w:eastAsia="Calibri" w:hAnsi="Times New Roman" w:cs="Times New Roman"/>
          <w:i/>
          <w:szCs w:val="22"/>
          <w:lang w:eastAsia="en-US"/>
        </w:rPr>
      </w:pPr>
      <w:r>
        <w:rPr>
          <w:rFonts w:eastAsia="Calibri"/>
          <w:lang w:eastAsia="en-US"/>
        </w:rPr>
        <w:t>Elocalwater = Vproduct * Cproduct</w:t>
      </w:r>
      <w:r w:rsidRPr="00645300">
        <w:rPr>
          <w:rFonts w:eastAsia="Calibri"/>
          <w:lang w:eastAsia="en-US"/>
        </w:rPr>
        <w:t xml:space="preserve"> * (Area or Volume)* Nappl * (1-Fdis) * Fwater</w:t>
      </w: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2731"/>
        <w:gridCol w:w="3177"/>
        <w:gridCol w:w="8"/>
      </w:tblGrid>
      <w:tr w:rsidR="0073642B" w:rsidRPr="00184ABF" w14:paraId="59F46ACA" w14:textId="77777777" w:rsidTr="00476D22">
        <w:trPr>
          <w:tblHeader/>
        </w:trPr>
        <w:tc>
          <w:tcPr>
            <w:tcW w:w="9855" w:type="dxa"/>
            <w:gridSpan w:val="5"/>
            <w:shd w:val="clear" w:color="auto" w:fill="FFFFCC"/>
            <w:tcMar>
              <w:top w:w="40" w:type="dxa"/>
              <w:left w:w="40" w:type="dxa"/>
              <w:bottom w:w="40" w:type="dxa"/>
              <w:right w:w="40" w:type="dxa"/>
            </w:tcMar>
            <w:vAlign w:val="center"/>
          </w:tcPr>
          <w:p w14:paraId="5AADD5EA" w14:textId="77777777" w:rsidR="0073642B" w:rsidRPr="00184ABF" w:rsidRDefault="0073642B" w:rsidP="007D561D">
            <w:pPr>
              <w:spacing w:before="60" w:after="60"/>
              <w:ind w:left="57"/>
              <w:rPr>
                <w:b/>
                <w:sz w:val="18"/>
                <w:szCs w:val="18"/>
                <w:lang w:eastAsia="en-GB"/>
              </w:rPr>
            </w:pPr>
            <w:r w:rsidRPr="00184ABF">
              <w:rPr>
                <w:b/>
                <w:sz w:val="18"/>
                <w:szCs w:val="18"/>
              </w:rPr>
              <w:t>Resulting local emission to relevant environmental compartments</w:t>
            </w:r>
          </w:p>
        </w:tc>
      </w:tr>
      <w:tr w:rsidR="0073642B" w:rsidRPr="00184ABF" w14:paraId="5685C03A" w14:textId="77777777" w:rsidTr="007D561D">
        <w:trPr>
          <w:gridAfter w:val="1"/>
          <w:wAfter w:w="8" w:type="dxa"/>
          <w:tblHeader/>
        </w:trPr>
        <w:tc>
          <w:tcPr>
            <w:tcW w:w="2088" w:type="dxa"/>
            <w:tcBorders>
              <w:bottom w:val="single" w:sz="4" w:space="0" w:color="auto"/>
            </w:tcBorders>
            <w:shd w:val="clear" w:color="auto" w:fill="auto"/>
            <w:tcMar>
              <w:top w:w="40" w:type="dxa"/>
              <w:left w:w="40" w:type="dxa"/>
              <w:bottom w:w="40" w:type="dxa"/>
              <w:right w:w="40" w:type="dxa"/>
            </w:tcMar>
            <w:vAlign w:val="center"/>
          </w:tcPr>
          <w:p w14:paraId="10B1C018" w14:textId="77777777" w:rsidR="0073642B" w:rsidRPr="00184ABF" w:rsidRDefault="0073642B" w:rsidP="007D561D">
            <w:pPr>
              <w:spacing w:before="60" w:after="60"/>
              <w:ind w:left="57"/>
              <w:rPr>
                <w:b/>
                <w:sz w:val="18"/>
                <w:szCs w:val="18"/>
                <w:lang w:eastAsia="en-GB"/>
              </w:rPr>
            </w:pPr>
            <w:r w:rsidRPr="00184ABF">
              <w:rPr>
                <w:b/>
                <w:sz w:val="18"/>
                <w:szCs w:val="18"/>
                <w:lang w:eastAsia="en-GB"/>
              </w:rPr>
              <w:t>Substance</w:t>
            </w:r>
          </w:p>
        </w:tc>
        <w:tc>
          <w:tcPr>
            <w:tcW w:w="1851" w:type="dxa"/>
            <w:tcBorders>
              <w:bottom w:val="single" w:sz="4" w:space="0" w:color="auto"/>
            </w:tcBorders>
            <w:shd w:val="clear" w:color="auto" w:fill="auto"/>
            <w:vAlign w:val="center"/>
          </w:tcPr>
          <w:p w14:paraId="0E23241A" w14:textId="77777777" w:rsidR="0073642B" w:rsidRPr="00184ABF" w:rsidRDefault="0073642B" w:rsidP="007D561D">
            <w:pPr>
              <w:spacing w:before="60" w:after="60"/>
              <w:ind w:left="57"/>
              <w:rPr>
                <w:b/>
                <w:sz w:val="18"/>
                <w:szCs w:val="18"/>
                <w:lang w:eastAsia="en-GB"/>
              </w:rPr>
            </w:pPr>
            <w:r w:rsidRPr="00184ABF">
              <w:rPr>
                <w:b/>
                <w:sz w:val="18"/>
                <w:szCs w:val="18"/>
                <w:lang w:eastAsia="en-GB"/>
              </w:rPr>
              <w:t>Compartment</w:t>
            </w:r>
          </w:p>
        </w:tc>
        <w:tc>
          <w:tcPr>
            <w:tcW w:w="2731" w:type="dxa"/>
            <w:tcBorders>
              <w:bottom w:val="single" w:sz="4" w:space="0" w:color="auto"/>
            </w:tcBorders>
            <w:shd w:val="clear" w:color="auto" w:fill="auto"/>
            <w:tcMar>
              <w:top w:w="40" w:type="dxa"/>
              <w:left w:w="40" w:type="dxa"/>
              <w:bottom w:w="40" w:type="dxa"/>
              <w:right w:w="40" w:type="dxa"/>
            </w:tcMar>
            <w:vAlign w:val="center"/>
          </w:tcPr>
          <w:p w14:paraId="752CA294" w14:textId="77777777" w:rsidR="0073642B" w:rsidRPr="00184ABF" w:rsidRDefault="0073642B" w:rsidP="007D561D">
            <w:pPr>
              <w:spacing w:before="60" w:after="60"/>
              <w:ind w:left="57"/>
              <w:rPr>
                <w:b/>
                <w:sz w:val="18"/>
                <w:szCs w:val="18"/>
                <w:lang w:eastAsia="en-GB"/>
              </w:rPr>
            </w:pPr>
            <w:r w:rsidRPr="00184ABF">
              <w:rPr>
                <w:b/>
                <w:sz w:val="18"/>
                <w:szCs w:val="18"/>
                <w:lang w:eastAsia="en-GB"/>
              </w:rPr>
              <w:t xml:space="preserve">Local emission </w:t>
            </w:r>
          </w:p>
          <w:p w14:paraId="4C65FD41" w14:textId="77777777" w:rsidR="0073642B" w:rsidRPr="00184ABF" w:rsidRDefault="0073642B" w:rsidP="007D561D">
            <w:pPr>
              <w:spacing w:before="60" w:after="60"/>
              <w:ind w:left="57"/>
              <w:rPr>
                <w:b/>
                <w:sz w:val="18"/>
                <w:szCs w:val="18"/>
                <w:lang w:eastAsia="en-GB"/>
              </w:rPr>
            </w:pPr>
            <w:r w:rsidRPr="00184ABF">
              <w:rPr>
                <w:b/>
                <w:sz w:val="18"/>
                <w:szCs w:val="18"/>
                <w:lang w:eastAsia="en-GB"/>
              </w:rPr>
              <w:t>(Elocal</w:t>
            </w:r>
            <w:r w:rsidRPr="00184ABF">
              <w:rPr>
                <w:b/>
                <w:sz w:val="18"/>
                <w:szCs w:val="18"/>
                <w:vertAlign w:val="subscript"/>
                <w:lang w:eastAsia="en-GB"/>
              </w:rPr>
              <w:t>compartment</w:t>
            </w:r>
            <w:r w:rsidRPr="00184ABF">
              <w:rPr>
                <w:b/>
                <w:sz w:val="18"/>
                <w:szCs w:val="18"/>
                <w:lang w:eastAsia="en-GB"/>
              </w:rPr>
              <w:t>) [kg/d</w:t>
            </w:r>
            <w:r w:rsidRPr="00184ABF">
              <w:rPr>
                <w:b/>
                <w:sz w:val="18"/>
                <w:szCs w:val="18"/>
                <w:vertAlign w:val="superscript"/>
                <w:lang w:eastAsia="en-GB"/>
              </w:rPr>
              <w:t>-1</w:t>
            </w:r>
            <w:r w:rsidRPr="00184ABF">
              <w:rPr>
                <w:b/>
                <w:sz w:val="18"/>
                <w:szCs w:val="18"/>
                <w:lang w:eastAsia="en-GB"/>
              </w:rPr>
              <w:t>]</w:t>
            </w:r>
          </w:p>
        </w:tc>
        <w:tc>
          <w:tcPr>
            <w:tcW w:w="3177" w:type="dxa"/>
            <w:tcBorders>
              <w:bottom w:val="single" w:sz="4" w:space="0" w:color="auto"/>
            </w:tcBorders>
            <w:shd w:val="clear" w:color="auto" w:fill="auto"/>
            <w:tcMar>
              <w:top w:w="40" w:type="dxa"/>
              <w:left w:w="40" w:type="dxa"/>
              <w:bottom w:w="40" w:type="dxa"/>
              <w:right w:w="40" w:type="dxa"/>
            </w:tcMar>
            <w:vAlign w:val="center"/>
          </w:tcPr>
          <w:p w14:paraId="7FB17941" w14:textId="77777777" w:rsidR="0073642B" w:rsidRPr="00184ABF" w:rsidRDefault="0073642B" w:rsidP="007D561D">
            <w:pPr>
              <w:spacing w:before="60" w:after="60"/>
              <w:ind w:left="57"/>
              <w:rPr>
                <w:b/>
                <w:sz w:val="18"/>
                <w:szCs w:val="18"/>
                <w:lang w:eastAsia="en-GB"/>
              </w:rPr>
            </w:pPr>
            <w:r w:rsidRPr="00184ABF">
              <w:rPr>
                <w:b/>
                <w:sz w:val="18"/>
                <w:szCs w:val="18"/>
                <w:lang w:eastAsia="en-GB"/>
              </w:rPr>
              <w:t>Remarks</w:t>
            </w:r>
          </w:p>
        </w:tc>
      </w:tr>
      <w:tr w:rsidR="00CF2FA8" w:rsidRPr="00183BDC" w14:paraId="497BB42B" w14:textId="77777777" w:rsidTr="00391557">
        <w:tc>
          <w:tcPr>
            <w:tcW w:w="2088"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4527DDD5" w14:textId="430445DC" w:rsidR="00CF2FA8" w:rsidRPr="00184ABF" w:rsidRDefault="00CF2FA8" w:rsidP="007D561D">
            <w:pPr>
              <w:ind w:left="57"/>
              <w:rPr>
                <w:rFonts w:cs="Calibri"/>
                <w:sz w:val="18"/>
                <w:szCs w:val="18"/>
              </w:rPr>
            </w:pPr>
            <w:r>
              <w:rPr>
                <w:rFonts w:cs="Calibri"/>
                <w:sz w:val="18"/>
                <w:szCs w:val="18"/>
              </w:rPr>
              <w:t>Small scale</w:t>
            </w:r>
          </w:p>
        </w:tc>
        <w:tc>
          <w:tcPr>
            <w:tcW w:w="1851" w:type="dxa"/>
            <w:tcBorders>
              <w:top w:val="single" w:sz="4" w:space="0" w:color="auto"/>
              <w:left w:val="nil"/>
              <w:bottom w:val="single" w:sz="4" w:space="0" w:color="auto"/>
              <w:right w:val="nil"/>
            </w:tcBorders>
            <w:shd w:val="clear" w:color="auto" w:fill="auto"/>
            <w:vAlign w:val="center"/>
          </w:tcPr>
          <w:p w14:paraId="25762081" w14:textId="77777777" w:rsidR="00CF2FA8" w:rsidRDefault="00CF2FA8" w:rsidP="007D561D">
            <w:pPr>
              <w:ind w:left="57"/>
              <w:rPr>
                <w:rFonts w:cs="Calibri"/>
                <w:sz w:val="18"/>
                <w:szCs w:val="18"/>
              </w:rPr>
            </w:pPr>
          </w:p>
        </w:tc>
        <w:tc>
          <w:tcPr>
            <w:tcW w:w="2731"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3FC9AC76" w14:textId="77777777" w:rsidR="00CF2FA8" w:rsidRPr="006D30F2" w:rsidRDefault="00CF2FA8" w:rsidP="007D561D">
            <w:pPr>
              <w:ind w:left="57"/>
              <w:rPr>
                <w:rFonts w:cs="Calibri"/>
                <w:sz w:val="18"/>
                <w:szCs w:val="18"/>
                <w:lang w:val="fr-FR"/>
              </w:rPr>
            </w:pPr>
          </w:p>
        </w:tc>
        <w:tc>
          <w:tcPr>
            <w:tcW w:w="3185" w:type="dxa"/>
            <w:gridSpan w:val="2"/>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36E9FC2A" w14:textId="77777777" w:rsidR="00CF2FA8" w:rsidRPr="00021E39" w:rsidRDefault="00CF2FA8" w:rsidP="007D561D">
            <w:pPr>
              <w:ind w:left="57"/>
              <w:jc w:val="center"/>
              <w:rPr>
                <w:rFonts w:cs="Calibri"/>
                <w:lang w:val="fr-FR"/>
              </w:rPr>
            </w:pPr>
          </w:p>
        </w:tc>
      </w:tr>
      <w:tr w:rsidR="0073642B" w:rsidRPr="00183BDC" w14:paraId="530F301E" w14:textId="77777777" w:rsidTr="007D561D">
        <w:trPr>
          <w:gridAfter w:val="1"/>
          <w:wAfter w:w="8" w:type="dxa"/>
        </w:trPr>
        <w:tc>
          <w:tcPr>
            <w:tcW w:w="2088" w:type="dxa"/>
            <w:tcBorders>
              <w:top w:val="single" w:sz="4" w:space="0" w:color="auto"/>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642C5699" w14:textId="77777777" w:rsidR="0073642B" w:rsidRPr="00184ABF" w:rsidRDefault="0073642B" w:rsidP="007D561D">
            <w:pPr>
              <w:ind w:left="57"/>
              <w:rPr>
                <w:rFonts w:cs="Calibri"/>
                <w:sz w:val="18"/>
                <w:szCs w:val="18"/>
                <w:lang w:eastAsia="es-ES"/>
              </w:rPr>
            </w:pPr>
            <w:r w:rsidRPr="00184ABF">
              <w:rPr>
                <w:rFonts w:cs="Calibri"/>
                <w:sz w:val="18"/>
                <w:szCs w:val="18"/>
              </w:rPr>
              <w:t>L(+) Lactic acid</w:t>
            </w:r>
          </w:p>
        </w:tc>
        <w:tc>
          <w:tcPr>
            <w:tcW w:w="1851" w:type="dxa"/>
            <w:tcBorders>
              <w:top w:val="single" w:sz="4" w:space="0" w:color="auto"/>
              <w:left w:val="nil"/>
              <w:bottom w:val="single" w:sz="4" w:space="0" w:color="auto"/>
              <w:right w:val="single" w:sz="8" w:space="0" w:color="auto"/>
            </w:tcBorders>
            <w:shd w:val="clear" w:color="auto" w:fill="auto"/>
            <w:vAlign w:val="center"/>
          </w:tcPr>
          <w:p w14:paraId="14030A25" w14:textId="77777777" w:rsidR="0073642B" w:rsidRPr="00184ABF" w:rsidRDefault="0073642B" w:rsidP="007D561D">
            <w:pPr>
              <w:ind w:left="57"/>
              <w:rPr>
                <w:rFonts w:cs="Calibri"/>
                <w:sz w:val="18"/>
                <w:szCs w:val="18"/>
              </w:rPr>
            </w:pPr>
            <w:r>
              <w:rPr>
                <w:rFonts w:cs="Calibri"/>
                <w:sz w:val="18"/>
                <w:szCs w:val="18"/>
              </w:rPr>
              <w:t>STP</w:t>
            </w:r>
          </w:p>
        </w:tc>
        <w:tc>
          <w:tcPr>
            <w:tcW w:w="2731"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121C99C9" w14:textId="5B3083FE" w:rsidR="0073642B" w:rsidRPr="00021E39" w:rsidRDefault="0073642B" w:rsidP="007D561D">
            <w:pPr>
              <w:ind w:left="57"/>
              <w:rPr>
                <w:rFonts w:cs="Calibri"/>
                <w:sz w:val="18"/>
                <w:szCs w:val="18"/>
                <w:lang w:val="fr-FR"/>
              </w:rPr>
            </w:pPr>
            <w:r w:rsidRPr="006D30F2">
              <w:rPr>
                <w:rFonts w:cs="Calibri"/>
                <w:sz w:val="18"/>
                <w:szCs w:val="18"/>
                <w:lang w:val="fr-FR"/>
              </w:rPr>
              <w:t>4.0</w:t>
            </w:r>
            <w:r w:rsidR="00334C77">
              <w:rPr>
                <w:rFonts w:cs="Calibri"/>
                <w:sz w:val="18"/>
                <w:szCs w:val="18"/>
                <w:lang w:val="fr-FR"/>
              </w:rPr>
              <w:t>0</w:t>
            </w:r>
            <w:r w:rsidRPr="006D30F2">
              <w:rPr>
                <w:rFonts w:cs="Calibri"/>
                <w:sz w:val="18"/>
                <w:szCs w:val="18"/>
                <w:lang w:val="fr-FR"/>
              </w:rPr>
              <w:t>E-02</w:t>
            </w:r>
          </w:p>
        </w:tc>
        <w:tc>
          <w:tcPr>
            <w:tcW w:w="3177"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6E44737B" w14:textId="77777777" w:rsidR="0073642B" w:rsidRPr="00021E39" w:rsidRDefault="0073642B" w:rsidP="007D561D">
            <w:pPr>
              <w:ind w:left="57"/>
              <w:jc w:val="center"/>
              <w:rPr>
                <w:rFonts w:cs="Calibri"/>
                <w:lang w:val="fr-FR"/>
              </w:rPr>
            </w:pPr>
          </w:p>
        </w:tc>
      </w:tr>
      <w:tr w:rsidR="00CF2FA8" w:rsidRPr="00184ABF" w14:paraId="7319E8C3" w14:textId="77777777" w:rsidTr="00391557">
        <w:tc>
          <w:tcPr>
            <w:tcW w:w="2088"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32D19987" w14:textId="04946674" w:rsidR="00CF2FA8" w:rsidRPr="006136B1" w:rsidRDefault="00CF2FA8" w:rsidP="007D561D">
            <w:pPr>
              <w:ind w:left="57"/>
              <w:rPr>
                <w:rFonts w:cs="Calibri"/>
                <w:sz w:val="18"/>
                <w:szCs w:val="18"/>
              </w:rPr>
            </w:pPr>
            <w:r>
              <w:rPr>
                <w:rFonts w:cs="Calibri"/>
                <w:sz w:val="18"/>
                <w:szCs w:val="18"/>
              </w:rPr>
              <w:t>Large scale</w:t>
            </w:r>
          </w:p>
        </w:tc>
        <w:tc>
          <w:tcPr>
            <w:tcW w:w="1851" w:type="dxa"/>
            <w:tcBorders>
              <w:top w:val="single" w:sz="4" w:space="0" w:color="auto"/>
              <w:left w:val="nil"/>
              <w:bottom w:val="single" w:sz="4" w:space="0" w:color="auto"/>
              <w:right w:val="nil"/>
            </w:tcBorders>
            <w:shd w:val="clear" w:color="auto" w:fill="auto"/>
            <w:vAlign w:val="center"/>
          </w:tcPr>
          <w:p w14:paraId="2DFBAB45" w14:textId="77777777" w:rsidR="00CF2FA8" w:rsidRPr="006136B1" w:rsidRDefault="00CF2FA8" w:rsidP="007D561D">
            <w:pPr>
              <w:ind w:left="57"/>
              <w:rPr>
                <w:rFonts w:cs="Calibri"/>
                <w:sz w:val="18"/>
                <w:szCs w:val="18"/>
              </w:rPr>
            </w:pPr>
          </w:p>
        </w:tc>
        <w:tc>
          <w:tcPr>
            <w:tcW w:w="2731"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2AE64262" w14:textId="77777777" w:rsidR="00CF2FA8" w:rsidRPr="006136B1" w:rsidRDefault="00CF2FA8" w:rsidP="007D561D">
            <w:pPr>
              <w:ind w:left="57"/>
              <w:rPr>
                <w:rFonts w:cs="Calibri"/>
                <w:sz w:val="18"/>
                <w:szCs w:val="18"/>
              </w:rPr>
            </w:pPr>
          </w:p>
        </w:tc>
        <w:tc>
          <w:tcPr>
            <w:tcW w:w="3185" w:type="dxa"/>
            <w:gridSpan w:val="2"/>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5E8D704B" w14:textId="77777777" w:rsidR="00CF2FA8" w:rsidRPr="00184ABF" w:rsidRDefault="00CF2FA8" w:rsidP="007D561D">
            <w:pPr>
              <w:ind w:left="57"/>
              <w:jc w:val="center"/>
              <w:rPr>
                <w:rFonts w:cs="Calibri"/>
              </w:rPr>
            </w:pPr>
          </w:p>
        </w:tc>
      </w:tr>
      <w:tr w:rsidR="00CF2FA8" w:rsidRPr="00184ABF" w14:paraId="63CC396C" w14:textId="77777777" w:rsidTr="00391557">
        <w:tc>
          <w:tcPr>
            <w:tcW w:w="20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19CB7F" w14:textId="6F5CB22E" w:rsidR="00CF2FA8" w:rsidRPr="006136B1" w:rsidRDefault="00CF2FA8" w:rsidP="007D561D">
            <w:pPr>
              <w:ind w:left="57"/>
              <w:rPr>
                <w:rFonts w:cs="Calibri"/>
                <w:sz w:val="18"/>
                <w:szCs w:val="18"/>
              </w:rPr>
            </w:pPr>
            <w:r w:rsidRPr="00184ABF">
              <w:rPr>
                <w:rFonts w:cs="Calibri"/>
                <w:sz w:val="18"/>
                <w:szCs w:val="18"/>
              </w:rPr>
              <w:t>L(+) Lactic acid</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DA0AA32" w14:textId="1526A321" w:rsidR="00CF2FA8" w:rsidRPr="006136B1" w:rsidRDefault="00CF2FA8" w:rsidP="007D561D">
            <w:pPr>
              <w:ind w:left="57"/>
              <w:rPr>
                <w:rFonts w:cs="Calibri"/>
                <w:sz w:val="18"/>
                <w:szCs w:val="18"/>
              </w:rPr>
            </w:pPr>
            <w:r>
              <w:rPr>
                <w:rFonts w:cs="Calibri"/>
                <w:sz w:val="18"/>
                <w:szCs w:val="18"/>
              </w:rPr>
              <w:t>STP</w:t>
            </w:r>
          </w:p>
        </w:tc>
        <w:tc>
          <w:tcPr>
            <w:tcW w:w="273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ADF896" w14:textId="2E7AD2B2" w:rsidR="00CF2FA8" w:rsidRDefault="00CF2FA8" w:rsidP="007D561D">
            <w:pPr>
              <w:ind w:left="57"/>
              <w:rPr>
                <w:rFonts w:cs="Calibri"/>
                <w:sz w:val="18"/>
                <w:szCs w:val="18"/>
              </w:rPr>
            </w:pPr>
            <w:r w:rsidRPr="00021E39">
              <w:rPr>
                <w:rFonts w:cs="Calibri"/>
                <w:sz w:val="18"/>
                <w:szCs w:val="18"/>
                <w:lang w:val="fr-FR"/>
              </w:rPr>
              <w:t>2.</w:t>
            </w:r>
            <w:r w:rsidRPr="006D30F2">
              <w:rPr>
                <w:rFonts w:cs="Calibri"/>
                <w:sz w:val="18"/>
                <w:szCs w:val="18"/>
                <w:lang w:val="fr-FR"/>
              </w:rPr>
              <w:t>4</w:t>
            </w:r>
            <w:r w:rsidR="00334C77">
              <w:rPr>
                <w:rFonts w:cs="Calibri"/>
                <w:sz w:val="18"/>
                <w:szCs w:val="18"/>
                <w:lang w:val="fr-FR"/>
              </w:rPr>
              <w:t>0</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2663B7" w14:textId="56BB6D4B" w:rsidR="00CF2FA8" w:rsidRPr="00184ABF" w:rsidRDefault="00CF2FA8" w:rsidP="007D561D">
            <w:pPr>
              <w:ind w:left="57"/>
              <w:jc w:val="center"/>
              <w:rPr>
                <w:rFonts w:cs="Calibri"/>
              </w:rPr>
            </w:pPr>
          </w:p>
        </w:tc>
      </w:tr>
      <w:tr w:rsidR="0073642B" w:rsidRPr="00184ABF" w14:paraId="76BFFA40" w14:textId="77777777" w:rsidTr="00476D22">
        <w:trPr>
          <w:gridAfter w:val="1"/>
          <w:wAfter w:w="8" w:type="dxa"/>
        </w:trPr>
        <w:tc>
          <w:tcPr>
            <w:tcW w:w="2088" w:type="dxa"/>
            <w:tcBorders>
              <w:top w:val="nil"/>
              <w:left w:val="single" w:sz="8" w:space="0" w:color="auto"/>
              <w:bottom w:val="single" w:sz="8" w:space="0" w:color="auto"/>
              <w:right w:val="single" w:sz="8" w:space="0" w:color="auto"/>
            </w:tcBorders>
            <w:shd w:val="clear" w:color="auto" w:fill="auto"/>
            <w:tcMar>
              <w:top w:w="40" w:type="dxa"/>
              <w:left w:w="40" w:type="dxa"/>
              <w:bottom w:w="40" w:type="dxa"/>
              <w:right w:w="40" w:type="dxa"/>
            </w:tcMar>
            <w:vAlign w:val="center"/>
          </w:tcPr>
          <w:p w14:paraId="052BD15B" w14:textId="77777777" w:rsidR="0073642B" w:rsidRPr="00C33727" w:rsidRDefault="0073642B" w:rsidP="007D561D">
            <w:pPr>
              <w:ind w:left="57"/>
              <w:rPr>
                <w:rFonts w:cs="Calibri"/>
                <w:sz w:val="18"/>
                <w:szCs w:val="18"/>
              </w:rPr>
            </w:pPr>
            <w:r w:rsidRPr="00737F70">
              <w:rPr>
                <w:rFonts w:eastAsia="Calibri" w:cs="Times New Roman"/>
                <w:sz w:val="18"/>
                <w:szCs w:val="18"/>
                <w:lang w:eastAsia="en-US"/>
              </w:rPr>
              <w:t>Amines, coco alkyldimethyl, N-oxides</w:t>
            </w:r>
          </w:p>
        </w:tc>
        <w:tc>
          <w:tcPr>
            <w:tcW w:w="1851" w:type="dxa"/>
            <w:tcBorders>
              <w:top w:val="nil"/>
              <w:left w:val="nil"/>
              <w:bottom w:val="single" w:sz="8" w:space="0" w:color="auto"/>
              <w:right w:val="single" w:sz="8" w:space="0" w:color="auto"/>
            </w:tcBorders>
            <w:shd w:val="clear" w:color="auto" w:fill="auto"/>
            <w:vAlign w:val="center"/>
          </w:tcPr>
          <w:p w14:paraId="7D0B39A4" w14:textId="77777777" w:rsidR="0073642B" w:rsidRDefault="0073642B" w:rsidP="007D561D">
            <w:pPr>
              <w:ind w:left="57"/>
              <w:rPr>
                <w:rFonts w:cs="Calibri"/>
                <w:sz w:val="18"/>
                <w:szCs w:val="18"/>
              </w:rPr>
            </w:pPr>
            <w:r>
              <w:rPr>
                <w:rFonts w:cs="Calibri"/>
                <w:sz w:val="18"/>
                <w:szCs w:val="18"/>
              </w:rPr>
              <w:t>STP</w:t>
            </w:r>
          </w:p>
        </w:tc>
        <w:tc>
          <w:tcPr>
            <w:tcW w:w="2731"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32AF4183" w14:textId="45B2D96C" w:rsidR="0073642B" w:rsidRDefault="0073642B" w:rsidP="007D561D">
            <w:pPr>
              <w:ind w:left="57"/>
              <w:rPr>
                <w:rFonts w:cs="Calibri"/>
                <w:sz w:val="18"/>
                <w:szCs w:val="18"/>
              </w:rPr>
            </w:pPr>
            <w:r>
              <w:rPr>
                <w:rFonts w:cs="Calibri"/>
                <w:sz w:val="18"/>
                <w:szCs w:val="18"/>
              </w:rPr>
              <w:t>1.0</w:t>
            </w:r>
            <w:r w:rsidR="00334C77">
              <w:rPr>
                <w:rFonts w:cs="Calibri"/>
                <w:sz w:val="18"/>
                <w:szCs w:val="18"/>
              </w:rPr>
              <w:t>0</w:t>
            </w:r>
            <w:r>
              <w:rPr>
                <w:rFonts w:cs="Calibri"/>
                <w:sz w:val="18"/>
                <w:szCs w:val="18"/>
              </w:rPr>
              <w:t>E-01</w:t>
            </w:r>
          </w:p>
        </w:tc>
        <w:tc>
          <w:tcPr>
            <w:tcW w:w="3177"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08711F07" w14:textId="77777777" w:rsidR="0073642B" w:rsidRPr="00184ABF" w:rsidRDefault="0073642B" w:rsidP="007D561D">
            <w:pPr>
              <w:ind w:left="57"/>
              <w:jc w:val="center"/>
              <w:rPr>
                <w:rFonts w:cs="Calibri"/>
              </w:rPr>
            </w:pPr>
          </w:p>
        </w:tc>
      </w:tr>
      <w:tr w:rsidR="0073642B" w:rsidRPr="00184ABF" w14:paraId="0E4C28C9" w14:textId="77777777" w:rsidTr="00476D22">
        <w:trPr>
          <w:gridAfter w:val="1"/>
          <w:wAfter w:w="8" w:type="dxa"/>
        </w:trPr>
        <w:tc>
          <w:tcPr>
            <w:tcW w:w="20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DF0579F" w14:textId="77777777" w:rsidR="0073642B" w:rsidRPr="00184ABF" w:rsidRDefault="0073642B" w:rsidP="007D561D">
            <w:pPr>
              <w:ind w:left="57"/>
              <w:rPr>
                <w:rFonts w:cs="Calibri"/>
                <w:sz w:val="18"/>
                <w:szCs w:val="18"/>
              </w:rPr>
            </w:pPr>
            <w:r>
              <w:rPr>
                <w:rFonts w:cs="Calibri"/>
                <w:sz w:val="18"/>
                <w:szCs w:val="18"/>
              </w:rPr>
              <w:t>OTNE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85E37AB" w14:textId="77777777" w:rsidR="0073642B" w:rsidRDefault="0073642B" w:rsidP="007D561D">
            <w:pPr>
              <w:ind w:left="57"/>
              <w:rPr>
                <w:rFonts w:cs="Calibri"/>
                <w:sz w:val="18"/>
                <w:szCs w:val="18"/>
              </w:rPr>
            </w:pPr>
            <w:r>
              <w:rPr>
                <w:rFonts w:cs="Calibri"/>
                <w:sz w:val="18"/>
                <w:szCs w:val="18"/>
              </w:rPr>
              <w:t>STP</w:t>
            </w:r>
          </w:p>
        </w:tc>
        <w:tc>
          <w:tcPr>
            <w:tcW w:w="273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18A6AD8" w14:textId="64BA845F" w:rsidR="0073642B" w:rsidRDefault="0073642B" w:rsidP="007D561D">
            <w:pPr>
              <w:ind w:left="57"/>
              <w:rPr>
                <w:rFonts w:cs="Calibri"/>
                <w:sz w:val="18"/>
                <w:szCs w:val="18"/>
              </w:rPr>
            </w:pPr>
            <w:r>
              <w:rPr>
                <w:rFonts w:cs="Calibri"/>
                <w:sz w:val="18"/>
                <w:szCs w:val="18"/>
              </w:rPr>
              <w:t>7.2</w:t>
            </w:r>
            <w:r w:rsidR="00334C77">
              <w:rPr>
                <w:rFonts w:cs="Calibri"/>
                <w:sz w:val="18"/>
                <w:szCs w:val="18"/>
              </w:rPr>
              <w:t>0</w:t>
            </w:r>
            <w:r>
              <w:rPr>
                <w:rFonts w:cs="Calibri"/>
                <w:sz w:val="18"/>
                <w:szCs w:val="18"/>
              </w:rPr>
              <w:t>E-02</w:t>
            </w:r>
          </w:p>
        </w:tc>
        <w:tc>
          <w:tcPr>
            <w:tcW w:w="317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31C480" w14:textId="77777777" w:rsidR="0073642B" w:rsidRPr="00184ABF" w:rsidRDefault="0073642B" w:rsidP="007D561D">
            <w:pPr>
              <w:ind w:left="57"/>
              <w:jc w:val="center"/>
              <w:rPr>
                <w:rFonts w:cs="Calibri"/>
              </w:rPr>
            </w:pPr>
          </w:p>
        </w:tc>
      </w:tr>
    </w:tbl>
    <w:p w14:paraId="1AC56909" w14:textId="77777777" w:rsidR="0073642B" w:rsidRDefault="0073642B" w:rsidP="0073642B">
      <w:pPr>
        <w:spacing w:line="260" w:lineRule="atLeast"/>
        <w:rPr>
          <w:rFonts w:eastAsia="Calibri"/>
          <w:b/>
          <w:bCs/>
          <w:lang w:eastAsia="en-US"/>
        </w:rPr>
      </w:pPr>
    </w:p>
    <w:p w14:paraId="225B32B9" w14:textId="77777777" w:rsidR="0073642B" w:rsidRDefault="0073642B" w:rsidP="0073642B">
      <w:pPr>
        <w:spacing w:line="276" w:lineRule="auto"/>
        <w:rPr>
          <w:rFonts w:eastAsia="Calibri"/>
          <w:b/>
          <w:bCs/>
          <w:lang w:eastAsia="en-US"/>
        </w:rPr>
      </w:pPr>
    </w:p>
    <w:p w14:paraId="708CF8C3" w14:textId="77777777" w:rsidR="00BC6C9B" w:rsidRDefault="00BC6C9B">
      <w:pPr>
        <w:suppressAutoHyphens w:val="0"/>
        <w:rPr>
          <w:rFonts w:eastAsia="Calibri"/>
          <w:b/>
          <w:bCs/>
          <w:lang w:eastAsia="en-US"/>
        </w:rPr>
      </w:pPr>
    </w:p>
    <w:p w14:paraId="5484C311" w14:textId="77777777" w:rsidR="00ED3438" w:rsidRPr="00D525E4" w:rsidRDefault="00BC6C9B" w:rsidP="00D75525">
      <w:pPr>
        <w:pStyle w:val="Titre5"/>
      </w:pPr>
      <w:r w:rsidRPr="003F7735">
        <w:t xml:space="preserve">PT02 - </w:t>
      </w:r>
      <w:r w:rsidR="0073642B" w:rsidRPr="003F7735">
        <w:t>Scenario 3</w:t>
      </w:r>
      <w:r w:rsidRPr="003F7735">
        <w:t>:</w:t>
      </w:r>
      <w:r w:rsidR="0073642B" w:rsidRPr="003F7735">
        <w:t xml:space="preserve"> Indoor</w:t>
      </w:r>
      <w:r w:rsidR="007D561D" w:rsidRPr="003F7735">
        <w:t xml:space="preserve"> – Disinfection of rooms, furniture and objects in medical secto</w:t>
      </w:r>
      <w:r w:rsidR="005D1166" w:rsidRPr="003F7735">
        <w:t>r</w:t>
      </w:r>
    </w:p>
    <w:p w14:paraId="01B4F848" w14:textId="344EF7CA" w:rsidR="005D1166" w:rsidRDefault="005D1166" w:rsidP="005D1166">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-SPC 2, 3, 4, 6, 7,</w:t>
      </w:r>
      <w:r w:rsidRPr="00896F37">
        <w:rPr>
          <w:rFonts w:eastAsia="Calibri" w:cs="Times New Roman"/>
          <w:bCs/>
          <w:lang w:eastAsia="en-US"/>
        </w:rPr>
        <w:t xml:space="preserve"> 11</w:t>
      </w:r>
      <w:r>
        <w:rPr>
          <w:rFonts w:eastAsia="Calibri" w:cs="Times New Roman"/>
          <w:bCs/>
          <w:lang w:eastAsia="en-US"/>
        </w:rPr>
        <w:t xml:space="preserve"> &amp; 13</w:t>
      </w:r>
    </w:p>
    <w:p w14:paraId="16A580F5" w14:textId="77777777" w:rsidR="005D1166" w:rsidRDefault="005D1166" w:rsidP="005D1166">
      <w:pPr>
        <w:spacing w:line="276" w:lineRule="auto"/>
        <w:rPr>
          <w:rFonts w:eastAsia="Calibri" w:cs="Times New Roman"/>
          <w:bCs/>
          <w:lang w:eastAsia="en-US"/>
        </w:rPr>
      </w:pPr>
    </w:p>
    <w:p w14:paraId="6650E8B7" w14:textId="5D4527D8" w:rsidR="005D1166" w:rsidRPr="00896F37" w:rsidRDefault="005D1166" w:rsidP="005D1166">
      <w:pPr>
        <w:spacing w:line="276" w:lineRule="auto"/>
        <w:rPr>
          <w:rFonts w:eastAsia="Calibri" w:cs="Times New Roman"/>
          <w:bCs/>
          <w:lang w:eastAsia="en-US"/>
        </w:rPr>
      </w:pPr>
      <w:r w:rsidRPr="00D17F8B">
        <w:rPr>
          <w:rFonts w:eastAsia="Calibri" w:cs="Times New Roman"/>
          <w:bCs/>
          <w:lang w:eastAsia="en-US"/>
        </w:rPr>
        <w:t xml:space="preserve">Worst case </w:t>
      </w:r>
      <w:r w:rsidRPr="00D17F8B">
        <w:rPr>
          <w:rFonts w:cs="Calibri"/>
        </w:rPr>
        <w:t>L(+) Lactic acid</w:t>
      </w:r>
      <w:r w:rsidRPr="00D17F8B">
        <w:rPr>
          <w:rFonts w:eastAsia="Calibri" w:cs="Times New Roman"/>
          <w:bCs/>
          <w:lang w:eastAsia="en-US"/>
        </w:rPr>
        <w:t xml:space="preserve"> concentration for scenario </w:t>
      </w:r>
      <w:r w:rsidR="000F4274">
        <w:rPr>
          <w:rFonts w:eastAsia="Calibri" w:cs="Times New Roman"/>
          <w:bCs/>
          <w:lang w:eastAsia="en-US"/>
        </w:rPr>
        <w:t>3</w:t>
      </w:r>
      <w:r>
        <w:rPr>
          <w:rFonts w:eastAsia="Calibri" w:cs="Times New Roman"/>
          <w:bCs/>
          <w:lang w:eastAsia="en-US"/>
        </w:rPr>
        <w:t>:</w:t>
      </w:r>
    </w:p>
    <w:p w14:paraId="48FC9E64" w14:textId="77777777" w:rsidR="005D1166" w:rsidRPr="00B27CB1" w:rsidRDefault="005D1166" w:rsidP="005D1166">
      <w:pPr>
        <w:spacing w:line="276" w:lineRule="auto"/>
        <w:ind w:left="142"/>
        <w:rPr>
          <w:rFonts w:ascii="Times New Roman" w:eastAsia="Calibri" w:hAnsi="Times New Roman" w:cs="Times New Roman"/>
          <w:i/>
          <w:lang w:eastAsia="en-US"/>
        </w:rPr>
      </w:pPr>
    </w:p>
    <w:tbl>
      <w:tblPr>
        <w:tblStyle w:val="Grilledutableau"/>
        <w:tblW w:w="5000" w:type="pct"/>
        <w:tblInd w:w="0" w:type="dxa"/>
        <w:tblLook w:val="04A0" w:firstRow="1" w:lastRow="0" w:firstColumn="1" w:lastColumn="0" w:noHBand="0" w:noVBand="1"/>
      </w:tblPr>
      <w:tblGrid>
        <w:gridCol w:w="2616"/>
        <w:gridCol w:w="795"/>
        <w:gridCol w:w="952"/>
        <w:gridCol w:w="952"/>
        <w:gridCol w:w="953"/>
        <w:gridCol w:w="953"/>
        <w:gridCol w:w="992"/>
        <w:gridCol w:w="990"/>
      </w:tblGrid>
      <w:tr w:rsidR="00170ECE" w:rsidRPr="00861606" w14:paraId="4EF12A90" w14:textId="77777777" w:rsidTr="00D75525">
        <w:trPr>
          <w:trHeight w:val="57"/>
        </w:trPr>
        <w:tc>
          <w:tcPr>
            <w:tcW w:w="1423" w:type="pct"/>
            <w:vAlign w:val="center"/>
          </w:tcPr>
          <w:p w14:paraId="1E5545AF" w14:textId="77777777" w:rsidR="005D1166" w:rsidRPr="00D17F8B" w:rsidRDefault="005D1166" w:rsidP="0026429B">
            <w:pPr>
              <w:spacing w:before="240" w:after="60" w:line="260" w:lineRule="atLeast"/>
              <w:jc w:val="center"/>
              <w:outlineLvl w:val="0"/>
              <w:rPr>
                <w:sz w:val="18"/>
                <w:szCs w:val="18"/>
              </w:rPr>
            </w:pPr>
            <w:r w:rsidRPr="00D17F8B">
              <w:rPr>
                <w:sz w:val="18"/>
                <w:szCs w:val="18"/>
              </w:rPr>
              <w:t xml:space="preserve">Substance: </w:t>
            </w:r>
            <w:r w:rsidRPr="00D17F8B">
              <w:rPr>
                <w:rFonts w:cs="Calibri"/>
                <w:sz w:val="18"/>
                <w:szCs w:val="18"/>
              </w:rPr>
              <w:t>L(+) Lactic acid</w:t>
            </w:r>
          </w:p>
        </w:tc>
        <w:tc>
          <w:tcPr>
            <w:tcW w:w="422" w:type="pct"/>
            <w:vAlign w:val="center"/>
          </w:tcPr>
          <w:p w14:paraId="4856A18B" w14:textId="77777777" w:rsidR="00170ECE" w:rsidRDefault="005D1166" w:rsidP="0026429B">
            <w:pPr>
              <w:spacing w:line="260" w:lineRule="atLeast"/>
              <w:jc w:val="center"/>
              <w:outlineLvl w:val="0"/>
              <w:rPr>
                <w:b/>
                <w:sz w:val="18"/>
                <w:szCs w:val="18"/>
              </w:rPr>
            </w:pPr>
            <w:r w:rsidRPr="00D17F8B">
              <w:rPr>
                <w:b/>
                <w:sz w:val="18"/>
                <w:szCs w:val="18"/>
              </w:rPr>
              <w:t>Meta-</w:t>
            </w:r>
          </w:p>
          <w:p w14:paraId="043011C1" w14:textId="20CF35FB" w:rsidR="005D1166" w:rsidRPr="00D17F8B" w:rsidRDefault="005D1166" w:rsidP="0026429B">
            <w:pPr>
              <w:spacing w:line="260" w:lineRule="atLeast"/>
              <w:jc w:val="center"/>
              <w:outlineLvl w:val="0"/>
              <w:rPr>
                <w:b/>
                <w:sz w:val="18"/>
                <w:szCs w:val="18"/>
              </w:rPr>
            </w:pPr>
            <w:r w:rsidRPr="00D17F8B">
              <w:rPr>
                <w:b/>
                <w:sz w:val="18"/>
                <w:szCs w:val="18"/>
              </w:rPr>
              <w:t>SPC 2</w:t>
            </w:r>
          </w:p>
        </w:tc>
        <w:tc>
          <w:tcPr>
            <w:tcW w:w="519" w:type="pct"/>
            <w:vAlign w:val="center"/>
          </w:tcPr>
          <w:p w14:paraId="4325CA31" w14:textId="77777777" w:rsidR="005D1166" w:rsidRPr="00D17F8B" w:rsidRDefault="005D1166" w:rsidP="0026429B">
            <w:pPr>
              <w:spacing w:line="260" w:lineRule="atLeast"/>
              <w:jc w:val="center"/>
              <w:outlineLvl w:val="0"/>
              <w:rPr>
                <w:b/>
                <w:sz w:val="18"/>
                <w:szCs w:val="18"/>
              </w:rPr>
            </w:pPr>
            <w:r w:rsidRPr="00D17F8B">
              <w:rPr>
                <w:b/>
                <w:sz w:val="18"/>
                <w:szCs w:val="18"/>
              </w:rPr>
              <w:t>Meta-SPC 3</w:t>
            </w:r>
          </w:p>
        </w:tc>
        <w:tc>
          <w:tcPr>
            <w:tcW w:w="519" w:type="pct"/>
            <w:vAlign w:val="center"/>
          </w:tcPr>
          <w:p w14:paraId="1BCA92AB" w14:textId="77777777" w:rsidR="005D1166" w:rsidRPr="00D17F8B" w:rsidRDefault="005D1166" w:rsidP="0026429B">
            <w:pPr>
              <w:spacing w:line="260" w:lineRule="atLeast"/>
              <w:jc w:val="center"/>
              <w:outlineLvl w:val="0"/>
              <w:rPr>
                <w:b/>
                <w:sz w:val="18"/>
                <w:szCs w:val="18"/>
              </w:rPr>
            </w:pPr>
            <w:r w:rsidRPr="00D17F8B">
              <w:rPr>
                <w:b/>
                <w:sz w:val="18"/>
                <w:szCs w:val="18"/>
              </w:rPr>
              <w:t>Meta-SPC 4</w:t>
            </w:r>
          </w:p>
        </w:tc>
        <w:tc>
          <w:tcPr>
            <w:tcW w:w="519" w:type="pct"/>
            <w:vAlign w:val="center"/>
          </w:tcPr>
          <w:p w14:paraId="45696DEE" w14:textId="77777777" w:rsidR="005D1166" w:rsidRPr="00D17F8B" w:rsidRDefault="005D1166" w:rsidP="0026429B">
            <w:pPr>
              <w:spacing w:line="260" w:lineRule="atLeast"/>
              <w:jc w:val="center"/>
              <w:outlineLvl w:val="0"/>
              <w:rPr>
                <w:b/>
                <w:sz w:val="18"/>
                <w:szCs w:val="18"/>
              </w:rPr>
            </w:pPr>
            <w:r w:rsidRPr="00D17F8B">
              <w:rPr>
                <w:b/>
                <w:sz w:val="18"/>
                <w:szCs w:val="18"/>
              </w:rPr>
              <w:t>Meta-SPC 6</w:t>
            </w:r>
          </w:p>
        </w:tc>
        <w:tc>
          <w:tcPr>
            <w:tcW w:w="519" w:type="pct"/>
            <w:vAlign w:val="center"/>
          </w:tcPr>
          <w:p w14:paraId="78AB2C0F" w14:textId="77777777" w:rsidR="005D1166" w:rsidRPr="00D17F8B" w:rsidRDefault="005D1166" w:rsidP="0026429B">
            <w:pPr>
              <w:spacing w:line="260" w:lineRule="atLeast"/>
              <w:jc w:val="center"/>
              <w:outlineLvl w:val="0"/>
              <w:rPr>
                <w:b/>
                <w:sz w:val="18"/>
                <w:szCs w:val="18"/>
              </w:rPr>
            </w:pPr>
            <w:r w:rsidRPr="00D17F8B">
              <w:rPr>
                <w:b/>
                <w:sz w:val="18"/>
                <w:szCs w:val="18"/>
              </w:rPr>
              <w:t>Meta-SPC 7</w:t>
            </w:r>
          </w:p>
        </w:tc>
        <w:tc>
          <w:tcPr>
            <w:tcW w:w="540" w:type="pct"/>
            <w:vAlign w:val="center"/>
          </w:tcPr>
          <w:p w14:paraId="0CFD5B26" w14:textId="77777777" w:rsidR="005D1166" w:rsidRPr="00D17F8B" w:rsidRDefault="005D1166" w:rsidP="0026429B">
            <w:pPr>
              <w:spacing w:line="260" w:lineRule="atLeast"/>
              <w:jc w:val="center"/>
              <w:outlineLvl w:val="0"/>
              <w:rPr>
                <w:b/>
                <w:sz w:val="18"/>
                <w:szCs w:val="18"/>
              </w:rPr>
            </w:pPr>
            <w:r w:rsidRPr="00D17F8B">
              <w:rPr>
                <w:b/>
                <w:sz w:val="18"/>
                <w:szCs w:val="18"/>
              </w:rPr>
              <w:t>Meta-SPC 11</w:t>
            </w:r>
          </w:p>
        </w:tc>
        <w:tc>
          <w:tcPr>
            <w:tcW w:w="540" w:type="pct"/>
            <w:vAlign w:val="center"/>
          </w:tcPr>
          <w:p w14:paraId="6E9E6E0F" w14:textId="77777777" w:rsidR="005D1166" w:rsidRPr="00D17F8B" w:rsidRDefault="005D1166" w:rsidP="0026429B">
            <w:pPr>
              <w:spacing w:line="260" w:lineRule="atLeast"/>
              <w:jc w:val="center"/>
              <w:outlineLvl w:val="0"/>
              <w:rPr>
                <w:b/>
                <w:sz w:val="18"/>
                <w:szCs w:val="18"/>
              </w:rPr>
            </w:pPr>
            <w:r w:rsidRPr="00D17F8B">
              <w:rPr>
                <w:b/>
                <w:sz w:val="18"/>
                <w:szCs w:val="18"/>
              </w:rPr>
              <w:t>Meta-SPC 13</w:t>
            </w:r>
          </w:p>
        </w:tc>
      </w:tr>
      <w:tr w:rsidR="00170ECE" w:rsidRPr="00861606" w14:paraId="15DD5D0E" w14:textId="77777777" w:rsidTr="00170ECE">
        <w:trPr>
          <w:trHeight w:val="57"/>
        </w:trPr>
        <w:tc>
          <w:tcPr>
            <w:tcW w:w="1423" w:type="pct"/>
            <w:vAlign w:val="center"/>
          </w:tcPr>
          <w:p w14:paraId="14FAAC8F" w14:textId="77777777" w:rsidR="005D1166" w:rsidRPr="00D17F8B" w:rsidRDefault="005D1166" w:rsidP="0026429B">
            <w:pPr>
              <w:spacing w:before="240" w:after="60" w:line="260" w:lineRule="atLeast"/>
              <w:jc w:val="center"/>
              <w:outlineLvl w:val="0"/>
              <w:rPr>
                <w:sz w:val="18"/>
                <w:szCs w:val="18"/>
              </w:rPr>
            </w:pPr>
            <w:r w:rsidRPr="00D17F8B">
              <w:rPr>
                <w:sz w:val="18"/>
                <w:szCs w:val="18"/>
              </w:rPr>
              <w:lastRenderedPageBreak/>
              <w:t>Technical concentration of active substance (% w/w)</w:t>
            </w:r>
          </w:p>
        </w:tc>
        <w:tc>
          <w:tcPr>
            <w:tcW w:w="422" w:type="pct"/>
            <w:vAlign w:val="center"/>
          </w:tcPr>
          <w:p w14:paraId="659ACBBE" w14:textId="77777777" w:rsidR="005D1166" w:rsidRPr="00D17F8B" w:rsidRDefault="005D1166" w:rsidP="0026429B">
            <w:pPr>
              <w:spacing w:before="240" w:after="60" w:line="260" w:lineRule="atLeast"/>
              <w:jc w:val="center"/>
              <w:outlineLvl w:val="0"/>
              <w:rPr>
                <w:sz w:val="18"/>
                <w:szCs w:val="18"/>
              </w:rPr>
            </w:pPr>
            <w:r w:rsidRPr="00D17F8B">
              <w:rPr>
                <w:sz w:val="18"/>
                <w:szCs w:val="18"/>
              </w:rPr>
              <w:t>3</w:t>
            </w:r>
          </w:p>
        </w:tc>
        <w:tc>
          <w:tcPr>
            <w:tcW w:w="519" w:type="pct"/>
            <w:vAlign w:val="center"/>
          </w:tcPr>
          <w:p w14:paraId="7E871AB3"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4</w:t>
            </w:r>
          </w:p>
        </w:tc>
        <w:tc>
          <w:tcPr>
            <w:tcW w:w="519" w:type="pct"/>
            <w:vAlign w:val="center"/>
          </w:tcPr>
          <w:p w14:paraId="20184DB3"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3.2</w:t>
            </w:r>
          </w:p>
        </w:tc>
        <w:tc>
          <w:tcPr>
            <w:tcW w:w="519" w:type="pct"/>
            <w:vAlign w:val="center"/>
          </w:tcPr>
          <w:p w14:paraId="5F698B7D"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519" w:type="pct"/>
            <w:vAlign w:val="center"/>
          </w:tcPr>
          <w:p w14:paraId="6F1934D7"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12</w:t>
            </w:r>
          </w:p>
        </w:tc>
        <w:tc>
          <w:tcPr>
            <w:tcW w:w="540" w:type="pct"/>
            <w:vAlign w:val="center"/>
          </w:tcPr>
          <w:p w14:paraId="4487F65A"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24</w:t>
            </w:r>
          </w:p>
        </w:tc>
        <w:tc>
          <w:tcPr>
            <w:tcW w:w="540" w:type="pct"/>
            <w:vAlign w:val="center"/>
          </w:tcPr>
          <w:p w14:paraId="2F02B4C3"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8</w:t>
            </w:r>
          </w:p>
        </w:tc>
      </w:tr>
      <w:tr w:rsidR="00170ECE" w:rsidRPr="00861606" w14:paraId="4325D954" w14:textId="77777777" w:rsidTr="00170ECE">
        <w:trPr>
          <w:trHeight w:val="57"/>
        </w:trPr>
        <w:tc>
          <w:tcPr>
            <w:tcW w:w="1423" w:type="pct"/>
            <w:vAlign w:val="center"/>
          </w:tcPr>
          <w:p w14:paraId="6847AF1C" w14:textId="77777777" w:rsidR="005D1166" w:rsidRPr="00D17F8B" w:rsidRDefault="005D1166" w:rsidP="0026429B">
            <w:pPr>
              <w:spacing w:before="240" w:after="60" w:line="260" w:lineRule="atLeast"/>
              <w:jc w:val="center"/>
              <w:outlineLvl w:val="0"/>
              <w:rPr>
                <w:sz w:val="18"/>
                <w:szCs w:val="18"/>
              </w:rPr>
            </w:pPr>
            <w:r w:rsidRPr="00D17F8B">
              <w:rPr>
                <w:sz w:val="18"/>
                <w:szCs w:val="18"/>
              </w:rPr>
              <w:t>Dilution factor</w:t>
            </w:r>
          </w:p>
        </w:tc>
        <w:tc>
          <w:tcPr>
            <w:tcW w:w="422" w:type="pct"/>
          </w:tcPr>
          <w:p w14:paraId="59AF57A7"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519" w:type="pct"/>
          </w:tcPr>
          <w:p w14:paraId="36C27C8F"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519" w:type="pct"/>
          </w:tcPr>
          <w:p w14:paraId="5E313A16"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7E4AD2">
              <w:rPr>
                <w:sz w:val="18"/>
                <w:szCs w:val="18"/>
              </w:rPr>
              <w:t>RTU</w:t>
            </w:r>
          </w:p>
        </w:tc>
        <w:tc>
          <w:tcPr>
            <w:tcW w:w="519" w:type="pct"/>
            <w:vAlign w:val="center"/>
          </w:tcPr>
          <w:p w14:paraId="218E4A6A"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519" w:type="pct"/>
            <w:vAlign w:val="center"/>
          </w:tcPr>
          <w:p w14:paraId="6AC997FA"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0.1</w:t>
            </w:r>
          </w:p>
        </w:tc>
        <w:tc>
          <w:tcPr>
            <w:tcW w:w="540" w:type="pct"/>
            <w:vAlign w:val="center"/>
          </w:tcPr>
          <w:p w14:paraId="78234BE2"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0.015</w:t>
            </w:r>
          </w:p>
        </w:tc>
        <w:tc>
          <w:tcPr>
            <w:tcW w:w="540" w:type="pct"/>
            <w:vAlign w:val="center"/>
          </w:tcPr>
          <w:p w14:paraId="7D23028D" w14:textId="77777777" w:rsidR="005D1166" w:rsidRPr="00D17F8B" w:rsidRDefault="005D1166" w:rsidP="0026429B">
            <w:pPr>
              <w:spacing w:before="240" w:after="60" w:line="260" w:lineRule="atLeast"/>
              <w:jc w:val="center"/>
              <w:outlineLvl w:val="0"/>
              <w:rPr>
                <w:rFonts w:eastAsia="Calibri" w:cs="Times New Roman"/>
                <w:sz w:val="18"/>
                <w:szCs w:val="18"/>
                <w:lang w:eastAsia="en-US"/>
              </w:rPr>
            </w:pPr>
            <w:r w:rsidRPr="00D17F8B">
              <w:rPr>
                <w:rFonts w:eastAsia="Calibri" w:cs="Times New Roman"/>
                <w:sz w:val="18"/>
                <w:szCs w:val="18"/>
                <w:lang w:eastAsia="en-US"/>
              </w:rPr>
              <w:t>0.08</w:t>
            </w:r>
          </w:p>
        </w:tc>
      </w:tr>
      <w:tr w:rsidR="003D3245" w:rsidRPr="00861606" w14:paraId="069D92ED" w14:textId="77777777" w:rsidTr="00D75525">
        <w:trPr>
          <w:trHeight w:val="57"/>
        </w:trPr>
        <w:tc>
          <w:tcPr>
            <w:tcW w:w="1423" w:type="pct"/>
            <w:vAlign w:val="center"/>
          </w:tcPr>
          <w:p w14:paraId="1A0EA403" w14:textId="3DB35688" w:rsidR="003D3245" w:rsidRPr="00D17F8B" w:rsidRDefault="003D3245" w:rsidP="003D3245">
            <w:pPr>
              <w:spacing w:before="240" w:after="60" w:line="260" w:lineRule="atLeast"/>
              <w:jc w:val="center"/>
              <w:outlineLvl w:val="0"/>
              <w:rPr>
                <w:sz w:val="18"/>
                <w:szCs w:val="18"/>
              </w:rPr>
            </w:pPr>
            <w:r w:rsidRPr="00D17F8B">
              <w:rPr>
                <w:sz w:val="18"/>
                <w:szCs w:val="18"/>
              </w:rPr>
              <w:t>Density</w:t>
            </w:r>
          </w:p>
        </w:tc>
        <w:tc>
          <w:tcPr>
            <w:tcW w:w="3577" w:type="pct"/>
            <w:gridSpan w:val="7"/>
            <w:vAlign w:val="center"/>
          </w:tcPr>
          <w:p w14:paraId="653A3F5C" w14:textId="4BE80B2C" w:rsidR="003D3245" w:rsidRPr="00D17F8B" w:rsidRDefault="003D3245" w:rsidP="003D3245">
            <w:pPr>
              <w:spacing w:before="240" w:after="60" w:line="260" w:lineRule="atLeast"/>
              <w:jc w:val="center"/>
              <w:outlineLvl w:val="0"/>
              <w:rPr>
                <w:rFonts w:eastAsia="Calibri" w:cs="Times New Roman"/>
                <w:sz w:val="18"/>
                <w:szCs w:val="18"/>
                <w:lang w:eastAsia="en-US"/>
              </w:rPr>
            </w:pPr>
            <w:r w:rsidRPr="00D17F8B">
              <w:rPr>
                <w:sz w:val="18"/>
                <w:szCs w:val="18"/>
              </w:rPr>
              <w:t>A density of 1 is considered for the assessment</w:t>
            </w:r>
          </w:p>
        </w:tc>
      </w:tr>
      <w:tr w:rsidR="00170ECE" w:rsidRPr="00861606" w14:paraId="177CD94A" w14:textId="77777777" w:rsidTr="00D75525">
        <w:trPr>
          <w:trHeight w:val="57"/>
        </w:trPr>
        <w:tc>
          <w:tcPr>
            <w:tcW w:w="1423" w:type="pct"/>
            <w:vAlign w:val="center"/>
          </w:tcPr>
          <w:p w14:paraId="535A0F8E" w14:textId="77777777" w:rsidR="003D3245" w:rsidRPr="00D17F8B" w:rsidRDefault="003D3245" w:rsidP="003D3245">
            <w:pPr>
              <w:spacing w:line="260" w:lineRule="atLeast"/>
              <w:jc w:val="center"/>
              <w:outlineLvl w:val="0"/>
              <w:rPr>
                <w:sz w:val="18"/>
                <w:szCs w:val="18"/>
              </w:rPr>
            </w:pPr>
            <w:r w:rsidRPr="00D17F8B">
              <w:rPr>
                <w:rFonts w:eastAsia="Calibri" w:cs="Times New Roman"/>
                <w:sz w:val="18"/>
                <w:szCs w:val="18"/>
                <w:lang w:eastAsia="en-US"/>
              </w:rPr>
              <w:t>Concentration of substance in working solution (% w/v)</w:t>
            </w:r>
          </w:p>
        </w:tc>
        <w:tc>
          <w:tcPr>
            <w:tcW w:w="422" w:type="pct"/>
            <w:vAlign w:val="center"/>
          </w:tcPr>
          <w:p w14:paraId="2A904479" w14:textId="77777777" w:rsidR="003D3245" w:rsidRPr="00D17F8B" w:rsidRDefault="003D3245" w:rsidP="003D3245">
            <w:pPr>
              <w:spacing w:before="240" w:after="60" w:line="260" w:lineRule="atLeast"/>
              <w:jc w:val="center"/>
              <w:outlineLvl w:val="0"/>
              <w:rPr>
                <w:sz w:val="18"/>
                <w:szCs w:val="18"/>
              </w:rPr>
            </w:pPr>
            <w:r w:rsidRPr="00D17F8B">
              <w:rPr>
                <w:sz w:val="18"/>
                <w:szCs w:val="18"/>
              </w:rPr>
              <w:t>3</w:t>
            </w:r>
          </w:p>
        </w:tc>
        <w:tc>
          <w:tcPr>
            <w:tcW w:w="519" w:type="pct"/>
            <w:shd w:val="clear" w:color="auto" w:fill="B6DDE8" w:themeFill="accent5" w:themeFillTint="66"/>
            <w:vAlign w:val="center"/>
          </w:tcPr>
          <w:p w14:paraId="7B9FA6A7" w14:textId="77777777" w:rsidR="003D3245" w:rsidRPr="00D17F8B" w:rsidRDefault="003D3245" w:rsidP="003D3245">
            <w:pPr>
              <w:spacing w:before="240" w:after="60" w:line="260" w:lineRule="atLeast"/>
              <w:jc w:val="center"/>
              <w:outlineLvl w:val="0"/>
              <w:rPr>
                <w:b/>
                <w:sz w:val="18"/>
                <w:szCs w:val="18"/>
              </w:rPr>
            </w:pPr>
            <w:r w:rsidRPr="00D17F8B">
              <w:rPr>
                <w:b/>
                <w:sz w:val="18"/>
                <w:szCs w:val="18"/>
              </w:rPr>
              <w:t>4</w:t>
            </w:r>
          </w:p>
        </w:tc>
        <w:tc>
          <w:tcPr>
            <w:tcW w:w="519" w:type="pct"/>
            <w:vAlign w:val="center"/>
          </w:tcPr>
          <w:p w14:paraId="36C9468F" w14:textId="77777777" w:rsidR="003D3245" w:rsidRPr="00D17F8B" w:rsidRDefault="003D3245" w:rsidP="003D3245">
            <w:pPr>
              <w:spacing w:before="240" w:after="60" w:line="260" w:lineRule="atLeast"/>
              <w:jc w:val="center"/>
              <w:outlineLvl w:val="0"/>
              <w:rPr>
                <w:sz w:val="18"/>
                <w:szCs w:val="18"/>
              </w:rPr>
            </w:pPr>
            <w:r w:rsidRPr="00D17F8B">
              <w:rPr>
                <w:sz w:val="18"/>
                <w:szCs w:val="18"/>
              </w:rPr>
              <w:t>3.2</w:t>
            </w:r>
          </w:p>
        </w:tc>
        <w:tc>
          <w:tcPr>
            <w:tcW w:w="519" w:type="pct"/>
            <w:vAlign w:val="center"/>
          </w:tcPr>
          <w:p w14:paraId="62A4B962" w14:textId="77777777" w:rsidR="003D3245" w:rsidRPr="00D17F8B" w:rsidRDefault="003D3245" w:rsidP="003D3245">
            <w:pPr>
              <w:spacing w:before="240" w:after="60" w:line="260" w:lineRule="atLeast"/>
              <w:jc w:val="center"/>
              <w:outlineLvl w:val="0"/>
              <w:rPr>
                <w:sz w:val="18"/>
                <w:szCs w:val="18"/>
              </w:rPr>
            </w:pPr>
            <w:r w:rsidRPr="00D17F8B">
              <w:rPr>
                <w:sz w:val="18"/>
                <w:szCs w:val="18"/>
              </w:rPr>
              <w:t>2.4</w:t>
            </w:r>
          </w:p>
        </w:tc>
        <w:tc>
          <w:tcPr>
            <w:tcW w:w="519" w:type="pct"/>
            <w:vAlign w:val="center"/>
          </w:tcPr>
          <w:p w14:paraId="6468D1D8" w14:textId="77777777" w:rsidR="003D3245" w:rsidRPr="00D17F8B" w:rsidRDefault="003D3245" w:rsidP="003D3245">
            <w:pPr>
              <w:spacing w:before="240" w:after="60" w:line="260" w:lineRule="atLeast"/>
              <w:jc w:val="center"/>
              <w:outlineLvl w:val="0"/>
              <w:rPr>
                <w:sz w:val="18"/>
                <w:szCs w:val="18"/>
              </w:rPr>
            </w:pPr>
            <w:r w:rsidRPr="00D17F8B">
              <w:rPr>
                <w:sz w:val="18"/>
                <w:szCs w:val="18"/>
              </w:rPr>
              <w:t>1.2</w:t>
            </w:r>
          </w:p>
        </w:tc>
        <w:tc>
          <w:tcPr>
            <w:tcW w:w="540" w:type="pct"/>
            <w:vAlign w:val="center"/>
          </w:tcPr>
          <w:p w14:paraId="11D12486" w14:textId="77777777" w:rsidR="003D3245" w:rsidRPr="00D17F8B" w:rsidRDefault="003D3245" w:rsidP="003D3245">
            <w:pPr>
              <w:spacing w:before="240" w:after="60" w:line="260" w:lineRule="atLeast"/>
              <w:jc w:val="center"/>
              <w:outlineLvl w:val="0"/>
              <w:rPr>
                <w:sz w:val="18"/>
                <w:szCs w:val="18"/>
              </w:rPr>
            </w:pPr>
            <w:r w:rsidRPr="00D17F8B">
              <w:rPr>
                <w:sz w:val="18"/>
                <w:szCs w:val="18"/>
              </w:rPr>
              <w:t>0.36</w:t>
            </w:r>
          </w:p>
        </w:tc>
        <w:tc>
          <w:tcPr>
            <w:tcW w:w="540" w:type="pct"/>
            <w:vAlign w:val="center"/>
          </w:tcPr>
          <w:p w14:paraId="1F72F063" w14:textId="77777777" w:rsidR="003D3245" w:rsidRPr="00D17F8B" w:rsidRDefault="003D3245" w:rsidP="003D3245">
            <w:pPr>
              <w:spacing w:before="240" w:after="60" w:line="260" w:lineRule="atLeast"/>
              <w:jc w:val="center"/>
              <w:outlineLvl w:val="0"/>
              <w:rPr>
                <w:sz w:val="18"/>
                <w:szCs w:val="18"/>
              </w:rPr>
            </w:pPr>
            <w:r w:rsidRPr="00D17F8B">
              <w:rPr>
                <w:sz w:val="18"/>
                <w:szCs w:val="18"/>
              </w:rPr>
              <w:t>0.64</w:t>
            </w:r>
          </w:p>
        </w:tc>
      </w:tr>
    </w:tbl>
    <w:p w14:paraId="2BA89EC3" w14:textId="77777777" w:rsidR="005D1166" w:rsidRDefault="005D1166" w:rsidP="005D1166">
      <w:pPr>
        <w:ind w:left="142"/>
        <w:jc w:val="both"/>
        <w:rPr>
          <w:rFonts w:ascii="Times New Roman" w:eastAsia="Calibri" w:hAnsi="Times New Roman" w:cs="Times New Roman"/>
          <w:i/>
          <w:lang w:eastAsia="en-US"/>
        </w:rPr>
      </w:pPr>
    </w:p>
    <w:p w14:paraId="5636E160" w14:textId="0B1BF863" w:rsidR="005D1166" w:rsidRDefault="005D1166" w:rsidP="00D75525">
      <w:pPr>
        <w:jc w:val="both"/>
        <w:rPr>
          <w:rFonts w:ascii="Times New Roman" w:eastAsia="Calibri" w:hAnsi="Times New Roman" w:cs="Times New Roman"/>
          <w:i/>
          <w:lang w:eastAsia="en-US"/>
        </w:rPr>
      </w:pPr>
    </w:p>
    <w:p w14:paraId="12710149" w14:textId="77777777" w:rsidR="005D1166" w:rsidRDefault="005D1166" w:rsidP="005D1166">
      <w:pPr>
        <w:ind w:left="142"/>
        <w:jc w:val="both"/>
        <w:rPr>
          <w:rFonts w:eastAsia="Calibri" w:cs="Times New Roman"/>
          <w:lang w:eastAsia="en-US"/>
        </w:rPr>
      </w:pPr>
      <w:r w:rsidRPr="00452308">
        <w:rPr>
          <w:rFonts w:eastAsia="Calibri" w:cs="Times New Roman"/>
          <w:u w:val="single"/>
          <w:lang w:eastAsia="en-US"/>
        </w:rPr>
        <w:t>Concerning the substances of concern</w:t>
      </w:r>
      <w:r>
        <w:rPr>
          <w:rFonts w:eastAsia="Calibri" w:cs="Times New Roman"/>
          <w:lang w:eastAsia="en-US"/>
        </w:rPr>
        <w:t>:</w:t>
      </w:r>
    </w:p>
    <w:p w14:paraId="2869B8A8" w14:textId="1F13C37F" w:rsidR="005D1166" w:rsidRDefault="005D1166" w:rsidP="005D1166">
      <w:pPr>
        <w:ind w:left="142"/>
        <w:jc w:val="both"/>
        <w:rPr>
          <w:rFonts w:eastAsia="Calibri" w:cs="Times New Roman"/>
          <w:lang w:eastAsia="en-US"/>
        </w:rPr>
      </w:pPr>
      <w:r>
        <w:rPr>
          <w:rFonts w:eastAsia="Calibri" w:cs="Times New Roman"/>
          <w:lang w:eastAsia="en-US"/>
        </w:rPr>
        <w:t xml:space="preserve">- </w:t>
      </w:r>
      <w:r w:rsidRPr="00D17F8B">
        <w:rPr>
          <w:rFonts w:eastAsia="Calibri" w:cs="Times New Roman"/>
          <w:lang w:eastAsia="en-US"/>
        </w:rPr>
        <w:t>A</w:t>
      </w:r>
      <w:r w:rsidRPr="00435E9A">
        <w:rPr>
          <w:rFonts w:eastAsia="Calibri" w:cs="Times New Roman"/>
          <w:lang w:eastAsia="en-US"/>
        </w:rPr>
        <w:t xml:space="preserve">mines, coco alkyldimethyl, N-oxides </w:t>
      </w:r>
      <w:r>
        <w:rPr>
          <w:rFonts w:eastAsia="Calibri" w:cs="Times New Roman"/>
          <w:lang w:eastAsia="en-US"/>
        </w:rPr>
        <w:t>is included</w:t>
      </w:r>
      <w:r w:rsidRPr="00435E9A">
        <w:rPr>
          <w:rFonts w:eastAsia="Calibri" w:cs="Times New Roman"/>
          <w:lang w:eastAsia="en-US"/>
        </w:rPr>
        <w:t xml:space="preserve"> only </w:t>
      </w:r>
      <w:r>
        <w:rPr>
          <w:rFonts w:eastAsia="Calibri" w:cs="Times New Roman"/>
          <w:lang w:eastAsia="en-US"/>
        </w:rPr>
        <w:t xml:space="preserve">in </w:t>
      </w:r>
      <w:r w:rsidRPr="00435E9A">
        <w:rPr>
          <w:rFonts w:eastAsia="Calibri" w:cs="Times New Roman"/>
          <w:lang w:eastAsia="en-US"/>
        </w:rPr>
        <w:t>Meta SPC</w:t>
      </w:r>
      <w:r w:rsidRPr="0091398C">
        <w:rPr>
          <w:rFonts w:eastAsia="Calibri" w:cs="Times New Roman"/>
          <w:lang w:eastAsia="en-US"/>
        </w:rPr>
        <w:t xml:space="preserve"> </w:t>
      </w:r>
      <w:r>
        <w:rPr>
          <w:rFonts w:eastAsia="Calibri" w:cs="Times New Roman"/>
          <w:lang w:eastAsia="en-US"/>
        </w:rPr>
        <w:t xml:space="preserve">11 at a concentration of 0.10% (40% in AROMOX 16.7% *1.5% dilution). </w:t>
      </w:r>
    </w:p>
    <w:p w14:paraId="240442D1" w14:textId="0C6D53E3" w:rsidR="003D3245" w:rsidRPr="00C020ED" w:rsidRDefault="003D3245" w:rsidP="003D3245">
      <w:pPr>
        <w:ind w:left="142"/>
        <w:jc w:val="both"/>
        <w:rPr>
          <w:rFonts w:eastAsia="Calibri" w:cs="Times New Roman"/>
          <w:bCs/>
          <w:lang w:eastAsia="en-US"/>
        </w:rPr>
      </w:pPr>
      <w:r>
        <w:rPr>
          <w:rFonts w:eastAsia="Calibri" w:cs="Times New Roman"/>
          <w:bCs/>
          <w:lang w:eastAsia="en-US"/>
        </w:rPr>
        <w:t>- OTNE in Meta-SPC 13 is at a concentration of 0.072% (0.9% * 8% dilution).</w:t>
      </w:r>
    </w:p>
    <w:p w14:paraId="543F971B" w14:textId="77777777" w:rsidR="003D3245" w:rsidRPr="00021E39" w:rsidRDefault="003D3245" w:rsidP="005D1166">
      <w:pPr>
        <w:ind w:left="142"/>
        <w:jc w:val="both"/>
        <w:rPr>
          <w:rFonts w:eastAsia="Calibri" w:cs="Times New Roman"/>
          <w:lang w:eastAsia="en-US"/>
        </w:rPr>
      </w:pPr>
    </w:p>
    <w:p w14:paraId="7ADDC65E" w14:textId="77777777" w:rsidR="005D1166" w:rsidRDefault="005D1166" w:rsidP="005D1166">
      <w:pPr>
        <w:ind w:left="142"/>
        <w:jc w:val="both"/>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694"/>
        <w:gridCol w:w="2365"/>
        <w:gridCol w:w="1434"/>
        <w:gridCol w:w="2602"/>
      </w:tblGrid>
      <w:tr w:rsidR="005D1166" w14:paraId="6302EACA" w14:textId="77777777" w:rsidTr="0026429B">
        <w:trPr>
          <w:trHeight w:val="346"/>
        </w:trPr>
        <w:tc>
          <w:tcPr>
            <w:tcW w:w="9095"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90FECFA" w14:textId="77777777" w:rsidR="005D1166" w:rsidRPr="00D17F8B" w:rsidRDefault="005D1166" w:rsidP="0026429B">
            <w:pPr>
              <w:spacing w:before="60" w:after="60" w:line="260" w:lineRule="atLeast"/>
              <w:rPr>
                <w:sz w:val="18"/>
                <w:szCs w:val="18"/>
              </w:rPr>
            </w:pPr>
            <w:r w:rsidRPr="00D17F8B">
              <w:rPr>
                <w:rFonts w:eastAsia="Calibri"/>
                <w:b/>
                <w:sz w:val="18"/>
                <w:szCs w:val="18"/>
                <w:lang w:eastAsia="en-US"/>
              </w:rPr>
              <w:t>Input parameters for calculating the local emission</w:t>
            </w:r>
          </w:p>
        </w:tc>
      </w:tr>
      <w:tr w:rsidR="005D1166" w14:paraId="773D200B" w14:textId="77777777" w:rsidTr="0026429B">
        <w:trPr>
          <w:trHeight w:val="75"/>
        </w:trPr>
        <w:tc>
          <w:tcPr>
            <w:tcW w:w="2694" w:type="dxa"/>
            <w:tcBorders>
              <w:top w:val="single" w:sz="4" w:space="0" w:color="000000"/>
              <w:left w:val="single" w:sz="4" w:space="0" w:color="000000"/>
              <w:bottom w:val="single" w:sz="4" w:space="0" w:color="000000"/>
            </w:tcBorders>
            <w:shd w:val="clear" w:color="auto" w:fill="auto"/>
            <w:vAlign w:val="center"/>
          </w:tcPr>
          <w:p w14:paraId="01F63B87" w14:textId="77777777" w:rsidR="005D1166" w:rsidRPr="00D17F8B" w:rsidRDefault="005D1166" w:rsidP="0026429B">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 xml:space="preserve">Input </w:t>
            </w:r>
          </w:p>
        </w:tc>
        <w:tc>
          <w:tcPr>
            <w:tcW w:w="2365" w:type="dxa"/>
            <w:tcBorders>
              <w:top w:val="single" w:sz="4" w:space="0" w:color="000000"/>
              <w:left w:val="single" w:sz="4" w:space="0" w:color="000000"/>
              <w:bottom w:val="single" w:sz="4" w:space="0" w:color="000000"/>
            </w:tcBorders>
            <w:shd w:val="clear" w:color="auto" w:fill="auto"/>
            <w:vAlign w:val="center"/>
          </w:tcPr>
          <w:p w14:paraId="5E564BFC" w14:textId="77777777" w:rsidR="005D1166" w:rsidRPr="00D17F8B" w:rsidRDefault="005D1166" w:rsidP="0026429B">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 xml:space="preserve">Value </w:t>
            </w:r>
          </w:p>
        </w:tc>
        <w:tc>
          <w:tcPr>
            <w:tcW w:w="1434" w:type="dxa"/>
            <w:tcBorders>
              <w:top w:val="single" w:sz="4" w:space="0" w:color="000000"/>
              <w:left w:val="single" w:sz="4" w:space="0" w:color="000000"/>
              <w:bottom w:val="single" w:sz="4" w:space="0" w:color="000000"/>
            </w:tcBorders>
            <w:shd w:val="clear" w:color="auto" w:fill="auto"/>
            <w:vAlign w:val="center"/>
          </w:tcPr>
          <w:p w14:paraId="2FADE741" w14:textId="77777777" w:rsidR="005D1166" w:rsidRPr="00D17F8B" w:rsidRDefault="005D1166" w:rsidP="0026429B">
            <w:pPr>
              <w:spacing w:before="60" w:after="60" w:line="260" w:lineRule="atLeast"/>
              <w:rPr>
                <w:rFonts w:eastAsia="Calibri" w:cs="Arial"/>
                <w:b/>
                <w:bCs/>
                <w:color w:val="000000"/>
                <w:sz w:val="18"/>
                <w:szCs w:val="18"/>
                <w:lang w:eastAsia="en-GB"/>
              </w:rPr>
            </w:pPr>
            <w:r w:rsidRPr="00D17F8B">
              <w:rPr>
                <w:rFonts w:eastAsia="Calibri" w:cs="Arial"/>
                <w:b/>
                <w:bCs/>
                <w:color w:val="000000"/>
                <w:sz w:val="18"/>
                <w:szCs w:val="18"/>
                <w:lang w:eastAsia="en-GB"/>
              </w:rPr>
              <w:t>Unit</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D77E3" w14:textId="77777777" w:rsidR="005D1166" w:rsidRPr="00D17F8B" w:rsidRDefault="005D1166" w:rsidP="0026429B">
            <w:pPr>
              <w:spacing w:before="60" w:after="60" w:line="260" w:lineRule="atLeast"/>
              <w:rPr>
                <w:sz w:val="18"/>
                <w:szCs w:val="18"/>
              </w:rPr>
            </w:pPr>
            <w:r w:rsidRPr="00D17F8B">
              <w:rPr>
                <w:rFonts w:eastAsia="Calibri" w:cs="Arial"/>
                <w:b/>
                <w:bCs/>
                <w:color w:val="000000"/>
                <w:sz w:val="18"/>
                <w:szCs w:val="18"/>
                <w:lang w:eastAsia="en-GB"/>
              </w:rPr>
              <w:t>Remarks</w:t>
            </w:r>
          </w:p>
        </w:tc>
      </w:tr>
      <w:tr w:rsidR="005D1166" w14:paraId="3C6F3B47" w14:textId="77777777" w:rsidTr="0026429B">
        <w:trPr>
          <w:trHeight w:val="75"/>
        </w:trPr>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034B5D" w14:textId="27FC7751" w:rsidR="005D1166" w:rsidRPr="003D3245" w:rsidRDefault="005D1166" w:rsidP="0026429B">
            <w:pPr>
              <w:spacing w:before="60" w:after="60" w:line="260" w:lineRule="atLeast"/>
              <w:rPr>
                <w:sz w:val="18"/>
                <w:szCs w:val="18"/>
              </w:rPr>
            </w:pPr>
            <w:r w:rsidRPr="003D3245">
              <w:rPr>
                <w:rFonts w:eastAsia="Calibri"/>
                <w:color w:val="000000"/>
                <w:sz w:val="18"/>
                <w:szCs w:val="18"/>
                <w:lang w:eastAsia="en-GB"/>
              </w:rPr>
              <w:t xml:space="preserve">Scenario </w:t>
            </w:r>
            <w:r w:rsidR="003D3245" w:rsidRPr="009A79CC">
              <w:rPr>
                <w:rFonts w:eastAsia="Calibri"/>
                <w:color w:val="000000"/>
                <w:sz w:val="18"/>
                <w:szCs w:val="18"/>
                <w:lang w:eastAsia="en-GB"/>
              </w:rPr>
              <w:t>3</w:t>
            </w:r>
            <w:r w:rsidR="003D3245" w:rsidRPr="00D75525">
              <w:rPr>
                <w:sz w:val="18"/>
                <w:szCs w:val="18"/>
              </w:rPr>
              <w:t>: Indoor – Disinfection of rooms, furniture and objects in medical sector</w:t>
            </w:r>
          </w:p>
        </w:tc>
      </w:tr>
      <w:tr w:rsidR="005D1166" w14:paraId="0FFEA230" w14:textId="77777777" w:rsidTr="00D518B9">
        <w:trPr>
          <w:trHeight w:val="93"/>
        </w:trPr>
        <w:tc>
          <w:tcPr>
            <w:tcW w:w="2694" w:type="dxa"/>
            <w:tcBorders>
              <w:top w:val="single" w:sz="4" w:space="0" w:color="000000"/>
              <w:left w:val="single" w:sz="4" w:space="0" w:color="000000"/>
              <w:bottom w:val="single" w:sz="4" w:space="0" w:color="000000"/>
            </w:tcBorders>
            <w:shd w:val="clear" w:color="auto" w:fill="auto"/>
          </w:tcPr>
          <w:p w14:paraId="489F3AE2" w14:textId="13CF34EB" w:rsidR="009A79CC" w:rsidRDefault="009A79CC" w:rsidP="0026429B">
            <w:pPr>
              <w:snapToGrid w:val="0"/>
              <w:spacing w:before="60" w:after="60" w:line="260" w:lineRule="atLeast"/>
              <w:rPr>
                <w:color w:val="000000"/>
                <w:sz w:val="18"/>
                <w:szCs w:val="18"/>
              </w:rPr>
            </w:pPr>
            <w:r w:rsidRPr="009A79CC">
              <w:rPr>
                <w:color w:val="000000"/>
                <w:sz w:val="18"/>
                <w:szCs w:val="18"/>
              </w:rPr>
              <w:t>Fractions released to wastewater</w:t>
            </w:r>
          </w:p>
          <w:p w14:paraId="17224A11" w14:textId="77777777" w:rsidR="005D1166" w:rsidRDefault="009A79CC" w:rsidP="0026429B">
            <w:pPr>
              <w:snapToGrid w:val="0"/>
              <w:spacing w:before="60" w:after="60" w:line="260" w:lineRule="atLeast"/>
              <w:rPr>
                <w:i/>
                <w:color w:val="000000"/>
                <w:sz w:val="18"/>
                <w:szCs w:val="18"/>
                <w:vertAlign w:val="subscript"/>
              </w:rPr>
            </w:pPr>
            <w:r w:rsidRPr="009A79CC">
              <w:rPr>
                <w:i/>
                <w:color w:val="000000"/>
                <w:sz w:val="18"/>
                <w:szCs w:val="18"/>
              </w:rPr>
              <w:t>F</w:t>
            </w:r>
            <w:r w:rsidRPr="003A0E08">
              <w:rPr>
                <w:i/>
                <w:color w:val="000000"/>
                <w:sz w:val="18"/>
                <w:szCs w:val="18"/>
              </w:rPr>
              <w:t>san</w:t>
            </w:r>
            <w:r w:rsidRPr="00D75525">
              <w:rPr>
                <w:i/>
                <w:color w:val="000000"/>
                <w:sz w:val="18"/>
                <w:szCs w:val="18"/>
                <w:vertAlign w:val="subscript"/>
              </w:rPr>
              <w:t>water</w:t>
            </w:r>
          </w:p>
          <w:p w14:paraId="03B2F076" w14:textId="216F2897" w:rsidR="003A0E08" w:rsidRPr="003A0E08" w:rsidRDefault="003A0E08" w:rsidP="0026429B">
            <w:pPr>
              <w:snapToGrid w:val="0"/>
              <w:spacing w:before="60" w:after="60" w:line="260" w:lineRule="atLeast"/>
              <w:rPr>
                <w:i/>
                <w:color w:val="000000"/>
                <w:sz w:val="18"/>
                <w:szCs w:val="18"/>
                <w:vertAlign w:val="subscript"/>
              </w:rPr>
            </w:pPr>
            <w:r w:rsidRPr="003A0E08">
              <w:rPr>
                <w:i/>
                <w:color w:val="000000"/>
                <w:sz w:val="18"/>
                <w:szCs w:val="18"/>
              </w:rPr>
              <w:t>F</w:t>
            </w:r>
            <w:r>
              <w:rPr>
                <w:i/>
                <w:color w:val="000000"/>
                <w:sz w:val="18"/>
                <w:szCs w:val="18"/>
              </w:rPr>
              <w:t>obj</w:t>
            </w:r>
            <w:r w:rsidRPr="003A0E08">
              <w:rPr>
                <w:i/>
                <w:color w:val="000000"/>
                <w:sz w:val="18"/>
                <w:szCs w:val="18"/>
                <w:vertAlign w:val="subscript"/>
              </w:rPr>
              <w:t>water</w:t>
            </w:r>
          </w:p>
        </w:tc>
        <w:tc>
          <w:tcPr>
            <w:tcW w:w="2365" w:type="dxa"/>
            <w:tcBorders>
              <w:top w:val="single" w:sz="4" w:space="0" w:color="000000"/>
              <w:left w:val="single" w:sz="4" w:space="0" w:color="000000"/>
              <w:bottom w:val="single" w:sz="4" w:space="0" w:color="000000"/>
            </w:tcBorders>
            <w:shd w:val="clear" w:color="auto" w:fill="auto"/>
            <w:vAlign w:val="bottom"/>
          </w:tcPr>
          <w:p w14:paraId="0FEF5BB1" w14:textId="77777777" w:rsidR="005D1166" w:rsidRDefault="009A79CC" w:rsidP="003A0E08">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0.55</w:t>
            </w:r>
          </w:p>
          <w:p w14:paraId="02BF99B1" w14:textId="6060A35A" w:rsidR="003A0E08" w:rsidRPr="00D17F8B" w:rsidRDefault="003A0E08" w:rsidP="003A0E08">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0.95</w:t>
            </w:r>
          </w:p>
        </w:tc>
        <w:tc>
          <w:tcPr>
            <w:tcW w:w="1434" w:type="dxa"/>
            <w:tcBorders>
              <w:top w:val="single" w:sz="4" w:space="0" w:color="000000"/>
              <w:left w:val="single" w:sz="4" w:space="0" w:color="000000"/>
              <w:bottom w:val="single" w:sz="4" w:space="0" w:color="000000"/>
            </w:tcBorders>
            <w:shd w:val="clear" w:color="auto" w:fill="auto"/>
            <w:vAlign w:val="center"/>
          </w:tcPr>
          <w:p w14:paraId="0B77BEF8" w14:textId="77777777" w:rsidR="005D1166" w:rsidRPr="00D17F8B" w:rsidRDefault="005D1166" w:rsidP="00ED221C">
            <w:pPr>
              <w:snapToGrid w:val="0"/>
              <w:spacing w:before="60" w:after="60" w:line="260" w:lineRule="atLeast"/>
              <w:rPr>
                <w:rFonts w:eastAsia="Calibri" w:cs="Arial"/>
                <w:color w:val="000000"/>
                <w:sz w:val="18"/>
                <w:szCs w:val="18"/>
                <w:lang w:eastAsia="en-GB"/>
              </w:rPr>
            </w:pPr>
            <w:r w:rsidRPr="00D17F8B">
              <w:rPr>
                <w:color w:val="000000"/>
                <w:sz w:val="18"/>
                <w:szCs w:val="18"/>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F542" w14:textId="77777777" w:rsidR="005D1166" w:rsidRPr="00D17F8B" w:rsidRDefault="005D1166" w:rsidP="00ED221C">
            <w:pPr>
              <w:snapToGrid w:val="0"/>
              <w:spacing w:before="60" w:after="60" w:line="260" w:lineRule="atLeast"/>
              <w:rPr>
                <w:rFonts w:eastAsia="Calibri" w:cs="Arial"/>
                <w:color w:val="000000"/>
                <w:sz w:val="18"/>
                <w:szCs w:val="18"/>
                <w:lang w:eastAsia="en-GB"/>
              </w:rPr>
            </w:pPr>
            <w:r w:rsidRPr="00D17F8B">
              <w:rPr>
                <w:color w:val="000000"/>
                <w:sz w:val="18"/>
                <w:szCs w:val="18"/>
              </w:rPr>
              <w:t>Default</w:t>
            </w:r>
          </w:p>
        </w:tc>
      </w:tr>
      <w:tr w:rsidR="005D1166" w14:paraId="25A513BE" w14:textId="77777777" w:rsidTr="0026429B">
        <w:trPr>
          <w:trHeight w:val="93"/>
        </w:trPr>
        <w:tc>
          <w:tcPr>
            <w:tcW w:w="2694" w:type="dxa"/>
            <w:tcBorders>
              <w:top w:val="single" w:sz="4" w:space="0" w:color="auto"/>
              <w:left w:val="single" w:sz="4" w:space="0" w:color="auto"/>
              <w:right w:val="single" w:sz="4" w:space="0" w:color="auto"/>
            </w:tcBorders>
            <w:shd w:val="clear" w:color="auto" w:fill="auto"/>
          </w:tcPr>
          <w:p w14:paraId="5836E9E3" w14:textId="77777777" w:rsidR="005D1166" w:rsidRPr="00D17F8B" w:rsidRDefault="005D1166" w:rsidP="0026429B">
            <w:pPr>
              <w:suppressAutoHyphens w:val="0"/>
              <w:rPr>
                <w:color w:val="000000"/>
                <w:sz w:val="18"/>
                <w:szCs w:val="18"/>
              </w:rPr>
            </w:pPr>
            <w:r w:rsidRPr="00D17F8B">
              <w:rPr>
                <w:color w:val="000000"/>
                <w:sz w:val="18"/>
                <w:szCs w:val="18"/>
              </w:rPr>
              <w:t xml:space="preserve">Concentration of substance in the product </w:t>
            </w:r>
          </w:p>
          <w:p w14:paraId="4DB77BA9" w14:textId="77777777" w:rsidR="005D1166" w:rsidRPr="00D17F8B" w:rsidRDefault="005D1166" w:rsidP="0026429B">
            <w:pPr>
              <w:suppressAutoHyphens w:val="0"/>
              <w:rPr>
                <w:color w:val="000000"/>
                <w:sz w:val="18"/>
                <w:szCs w:val="18"/>
              </w:rPr>
            </w:pPr>
            <w:r w:rsidRPr="00D17F8B">
              <w:rPr>
                <w:i/>
                <w:color w:val="000000"/>
                <w:sz w:val="18"/>
                <w:szCs w:val="18"/>
              </w:rPr>
              <w:t>C</w:t>
            </w:r>
            <w:r w:rsidRPr="00D17F8B">
              <w:rPr>
                <w:i/>
                <w:color w:val="000000"/>
                <w:sz w:val="18"/>
                <w:szCs w:val="18"/>
                <w:vertAlign w:val="subscript"/>
              </w:rPr>
              <w:t>product</w:t>
            </w:r>
          </w:p>
        </w:tc>
        <w:tc>
          <w:tcPr>
            <w:tcW w:w="2365" w:type="dxa"/>
            <w:tcBorders>
              <w:top w:val="single" w:sz="4" w:space="0" w:color="auto"/>
              <w:left w:val="single" w:sz="4" w:space="0" w:color="auto"/>
              <w:right w:val="single" w:sz="4" w:space="0" w:color="auto"/>
            </w:tcBorders>
            <w:shd w:val="clear" w:color="auto" w:fill="auto"/>
          </w:tcPr>
          <w:p w14:paraId="130FE634" w14:textId="77777777" w:rsidR="005D1166" w:rsidRPr="00D17F8B" w:rsidRDefault="005D1166" w:rsidP="0026429B">
            <w:pPr>
              <w:snapToGrid w:val="0"/>
              <w:spacing w:before="60" w:after="60" w:line="260" w:lineRule="atLeast"/>
              <w:rPr>
                <w:rFonts w:eastAsia="Calibri" w:cs="Arial"/>
                <w:color w:val="000000"/>
                <w:sz w:val="18"/>
                <w:szCs w:val="18"/>
                <w:lang w:eastAsia="en-GB"/>
              </w:rPr>
            </w:pPr>
          </w:p>
        </w:tc>
        <w:tc>
          <w:tcPr>
            <w:tcW w:w="1434" w:type="dxa"/>
            <w:tcBorders>
              <w:top w:val="single" w:sz="4" w:space="0" w:color="auto"/>
              <w:left w:val="single" w:sz="4" w:space="0" w:color="auto"/>
              <w:right w:val="single" w:sz="4" w:space="0" w:color="auto"/>
            </w:tcBorders>
            <w:shd w:val="clear" w:color="auto" w:fill="auto"/>
          </w:tcPr>
          <w:p w14:paraId="63FF0A44" w14:textId="77777777" w:rsidR="005D1166" w:rsidRPr="00D17F8B" w:rsidRDefault="005D1166" w:rsidP="0026429B">
            <w:pPr>
              <w:snapToGrid w:val="0"/>
              <w:spacing w:before="60" w:after="60" w:line="260" w:lineRule="atLeast"/>
              <w:rPr>
                <w:color w:val="000000"/>
                <w:sz w:val="18"/>
                <w:szCs w:val="18"/>
              </w:rPr>
            </w:pPr>
          </w:p>
        </w:tc>
        <w:tc>
          <w:tcPr>
            <w:tcW w:w="2602" w:type="dxa"/>
            <w:tcBorders>
              <w:top w:val="single" w:sz="4" w:space="0" w:color="auto"/>
              <w:left w:val="single" w:sz="4" w:space="0" w:color="auto"/>
              <w:right w:val="single" w:sz="4" w:space="0" w:color="auto"/>
            </w:tcBorders>
            <w:shd w:val="clear" w:color="auto" w:fill="auto"/>
          </w:tcPr>
          <w:p w14:paraId="4A39C771" w14:textId="77777777" w:rsidR="005D1166" w:rsidRPr="00D17F8B" w:rsidRDefault="005D1166" w:rsidP="0026429B">
            <w:pPr>
              <w:snapToGrid w:val="0"/>
              <w:spacing w:before="60" w:after="60" w:line="260" w:lineRule="atLeast"/>
              <w:rPr>
                <w:sz w:val="18"/>
                <w:szCs w:val="18"/>
              </w:rPr>
            </w:pPr>
          </w:p>
        </w:tc>
      </w:tr>
      <w:tr w:rsidR="005D1166" w14:paraId="49F64945" w14:textId="77777777" w:rsidTr="0026429B">
        <w:trPr>
          <w:trHeight w:val="441"/>
        </w:trPr>
        <w:tc>
          <w:tcPr>
            <w:tcW w:w="2694" w:type="dxa"/>
            <w:tcBorders>
              <w:left w:val="single" w:sz="4" w:space="0" w:color="auto"/>
              <w:right w:val="single" w:sz="4" w:space="0" w:color="auto"/>
            </w:tcBorders>
            <w:shd w:val="clear" w:color="auto" w:fill="auto"/>
          </w:tcPr>
          <w:p w14:paraId="48F323C2" w14:textId="77777777" w:rsidR="005D1166" w:rsidRPr="00D17F8B" w:rsidRDefault="005D1166" w:rsidP="0026429B">
            <w:pPr>
              <w:keepNext/>
              <w:rPr>
                <w:rFonts w:eastAsia="Calibri" w:cs="Arial"/>
                <w:color w:val="000000"/>
                <w:sz w:val="18"/>
                <w:szCs w:val="18"/>
                <w:lang w:eastAsia="en-GB"/>
              </w:rPr>
            </w:pPr>
            <w:r w:rsidRPr="00D17F8B">
              <w:rPr>
                <w:rFonts w:eastAsia="Calibri" w:cs="Arial"/>
                <w:color w:val="000000"/>
                <w:sz w:val="18"/>
                <w:szCs w:val="18"/>
                <w:lang w:eastAsia="en-GB"/>
              </w:rPr>
              <w:t xml:space="preserve">Lactic </w:t>
            </w:r>
            <w:r>
              <w:rPr>
                <w:rFonts w:eastAsia="Calibri" w:cs="Arial"/>
                <w:color w:val="000000"/>
                <w:sz w:val="18"/>
                <w:szCs w:val="18"/>
                <w:lang w:eastAsia="en-GB"/>
              </w:rPr>
              <w:t>a</w:t>
            </w:r>
            <w:r w:rsidRPr="00D17F8B">
              <w:rPr>
                <w:rFonts w:eastAsia="Calibri" w:cs="Arial"/>
                <w:color w:val="000000"/>
                <w:sz w:val="18"/>
                <w:szCs w:val="18"/>
                <w:lang w:eastAsia="en-GB"/>
              </w:rPr>
              <w:t>cid</w:t>
            </w:r>
          </w:p>
        </w:tc>
        <w:tc>
          <w:tcPr>
            <w:tcW w:w="2365" w:type="dxa"/>
            <w:tcBorders>
              <w:left w:val="single" w:sz="4" w:space="0" w:color="auto"/>
              <w:right w:val="single" w:sz="4" w:space="0" w:color="auto"/>
            </w:tcBorders>
            <w:shd w:val="clear" w:color="auto" w:fill="auto"/>
          </w:tcPr>
          <w:p w14:paraId="32AFAB1C" w14:textId="77777777" w:rsidR="005D1166" w:rsidRDefault="005D1166" w:rsidP="0026429B">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4.00E-02</w:t>
            </w:r>
          </w:p>
        </w:tc>
        <w:tc>
          <w:tcPr>
            <w:tcW w:w="1434" w:type="dxa"/>
            <w:vMerge w:val="restart"/>
            <w:tcBorders>
              <w:left w:val="single" w:sz="4" w:space="0" w:color="auto"/>
              <w:bottom w:val="single" w:sz="4" w:space="0" w:color="auto"/>
              <w:right w:val="single" w:sz="4" w:space="0" w:color="auto"/>
            </w:tcBorders>
            <w:shd w:val="clear" w:color="auto" w:fill="auto"/>
          </w:tcPr>
          <w:p w14:paraId="18441EA7" w14:textId="77777777" w:rsidR="005D1166" w:rsidRPr="00D17F8B" w:rsidRDefault="005D1166" w:rsidP="0026429B">
            <w:pPr>
              <w:snapToGrid w:val="0"/>
              <w:spacing w:before="60" w:after="60" w:line="260" w:lineRule="atLeast"/>
              <w:rPr>
                <w:rFonts w:eastAsia="Calibri" w:cs="Arial"/>
                <w:color w:val="000000"/>
                <w:sz w:val="18"/>
                <w:szCs w:val="18"/>
                <w:lang w:eastAsia="en-GB"/>
              </w:rPr>
            </w:pPr>
            <w:r w:rsidRPr="00D17F8B">
              <w:rPr>
                <w:color w:val="000000"/>
                <w:sz w:val="18"/>
                <w:szCs w:val="18"/>
              </w:rPr>
              <w:t>kg.l</w:t>
            </w:r>
            <w:r w:rsidRPr="00D17F8B">
              <w:rPr>
                <w:color w:val="000000"/>
                <w:sz w:val="18"/>
                <w:szCs w:val="18"/>
                <w:vertAlign w:val="superscript"/>
              </w:rPr>
              <w:t>-1</w:t>
            </w:r>
          </w:p>
        </w:tc>
        <w:tc>
          <w:tcPr>
            <w:tcW w:w="2602" w:type="dxa"/>
            <w:vMerge w:val="restart"/>
            <w:tcBorders>
              <w:left w:val="single" w:sz="4" w:space="0" w:color="auto"/>
              <w:bottom w:val="single" w:sz="4" w:space="0" w:color="auto"/>
              <w:right w:val="single" w:sz="4" w:space="0" w:color="auto"/>
            </w:tcBorders>
            <w:shd w:val="clear" w:color="auto" w:fill="auto"/>
          </w:tcPr>
          <w:p w14:paraId="0858991B" w14:textId="702D1C16" w:rsidR="005D1166" w:rsidRPr="00D17F8B" w:rsidRDefault="009B4803" w:rsidP="0026429B">
            <w:pPr>
              <w:snapToGrid w:val="0"/>
              <w:spacing w:before="60" w:after="60" w:line="260" w:lineRule="atLeast"/>
              <w:rPr>
                <w:rFonts w:eastAsia="Calibri" w:cs="Arial"/>
                <w:color w:val="000000"/>
                <w:sz w:val="18"/>
                <w:szCs w:val="18"/>
                <w:lang w:eastAsia="en-GB"/>
              </w:rPr>
            </w:pPr>
            <w:r w:rsidRPr="001C6AF1">
              <w:rPr>
                <w:sz w:val="18"/>
                <w:szCs w:val="18"/>
                <w:lang w:val="en-US"/>
              </w:rPr>
              <w:t>Considering that product density may vary from 1.004 to 1.077</w:t>
            </w:r>
            <w:r w:rsidR="00ED2ECB" w:rsidRPr="001C6AF1">
              <w:rPr>
                <w:sz w:val="18"/>
                <w:szCs w:val="18"/>
                <w:lang w:val="en-US"/>
              </w:rPr>
              <w:t xml:space="preserve"> for all the Meta-SPC</w:t>
            </w:r>
            <w:r w:rsidRPr="001C6AF1">
              <w:rPr>
                <w:sz w:val="18"/>
                <w:szCs w:val="18"/>
                <w:lang w:val="en-US"/>
              </w:rPr>
              <w:t>, a density of 1 is considered for the assessment</w:t>
            </w:r>
          </w:p>
        </w:tc>
      </w:tr>
      <w:tr w:rsidR="005D1166" w14:paraId="15E26629" w14:textId="77777777" w:rsidTr="0026429B">
        <w:trPr>
          <w:trHeight w:val="441"/>
        </w:trPr>
        <w:tc>
          <w:tcPr>
            <w:tcW w:w="2694" w:type="dxa"/>
            <w:tcBorders>
              <w:left w:val="single" w:sz="4" w:space="0" w:color="auto"/>
              <w:right w:val="single" w:sz="4" w:space="0" w:color="auto"/>
            </w:tcBorders>
            <w:shd w:val="clear" w:color="auto" w:fill="auto"/>
          </w:tcPr>
          <w:p w14:paraId="7DDDF9DE" w14:textId="77777777" w:rsidR="005D1166" w:rsidRDefault="005D1166" w:rsidP="0026429B">
            <w:pPr>
              <w:keepNext/>
              <w:rPr>
                <w:color w:val="000000"/>
                <w:sz w:val="18"/>
                <w:szCs w:val="18"/>
              </w:rPr>
            </w:pPr>
            <w:r w:rsidRPr="00D17F8B">
              <w:rPr>
                <w:rFonts w:eastAsia="Calibri" w:cs="Times New Roman"/>
                <w:sz w:val="18"/>
                <w:szCs w:val="18"/>
                <w:lang w:eastAsia="en-US"/>
              </w:rPr>
              <w:t>Amines, coco alkyldimethyl, N-oxides</w:t>
            </w:r>
          </w:p>
        </w:tc>
        <w:tc>
          <w:tcPr>
            <w:tcW w:w="2365" w:type="dxa"/>
            <w:tcBorders>
              <w:left w:val="single" w:sz="4" w:space="0" w:color="auto"/>
              <w:right w:val="single" w:sz="4" w:space="0" w:color="auto"/>
            </w:tcBorders>
            <w:shd w:val="clear" w:color="auto" w:fill="auto"/>
          </w:tcPr>
          <w:p w14:paraId="47C7BF8C" w14:textId="77777777" w:rsidR="005D1166" w:rsidRDefault="005D1166" w:rsidP="0026429B">
            <w:pPr>
              <w:keepNext/>
              <w:rPr>
                <w:color w:val="000000"/>
                <w:sz w:val="18"/>
                <w:szCs w:val="18"/>
              </w:rPr>
            </w:pPr>
            <w:r>
              <w:rPr>
                <w:color w:val="000000"/>
                <w:sz w:val="18"/>
                <w:szCs w:val="18"/>
              </w:rPr>
              <w:t>1.00E-03</w:t>
            </w:r>
          </w:p>
        </w:tc>
        <w:tc>
          <w:tcPr>
            <w:tcW w:w="1434" w:type="dxa"/>
            <w:vMerge/>
            <w:tcBorders>
              <w:left w:val="single" w:sz="4" w:space="0" w:color="auto"/>
              <w:bottom w:val="single" w:sz="4" w:space="0" w:color="auto"/>
              <w:right w:val="single" w:sz="4" w:space="0" w:color="auto"/>
            </w:tcBorders>
            <w:shd w:val="clear" w:color="auto" w:fill="auto"/>
          </w:tcPr>
          <w:p w14:paraId="550C281D" w14:textId="77777777" w:rsidR="005D1166" w:rsidRPr="00D17F8B" w:rsidRDefault="005D1166" w:rsidP="0026429B">
            <w:pPr>
              <w:snapToGrid w:val="0"/>
              <w:spacing w:before="60" w:after="60" w:line="260" w:lineRule="atLeast"/>
              <w:rPr>
                <w:color w:val="000000"/>
                <w:sz w:val="18"/>
                <w:szCs w:val="18"/>
              </w:rPr>
            </w:pPr>
          </w:p>
        </w:tc>
        <w:tc>
          <w:tcPr>
            <w:tcW w:w="2602" w:type="dxa"/>
            <w:vMerge/>
            <w:tcBorders>
              <w:left w:val="single" w:sz="4" w:space="0" w:color="auto"/>
              <w:bottom w:val="single" w:sz="4" w:space="0" w:color="auto"/>
              <w:right w:val="single" w:sz="4" w:space="0" w:color="auto"/>
            </w:tcBorders>
            <w:shd w:val="clear" w:color="auto" w:fill="auto"/>
          </w:tcPr>
          <w:p w14:paraId="4E6BBA99" w14:textId="77777777" w:rsidR="005D1166" w:rsidRPr="00D17F8B" w:rsidRDefault="005D1166" w:rsidP="0026429B">
            <w:pPr>
              <w:snapToGrid w:val="0"/>
              <w:spacing w:before="60" w:after="60" w:line="260" w:lineRule="atLeast"/>
              <w:rPr>
                <w:sz w:val="18"/>
                <w:szCs w:val="18"/>
              </w:rPr>
            </w:pPr>
          </w:p>
        </w:tc>
      </w:tr>
      <w:tr w:rsidR="005D1166" w14:paraId="78791E0C" w14:textId="77777777" w:rsidTr="0026429B">
        <w:trPr>
          <w:trHeight w:val="441"/>
        </w:trPr>
        <w:tc>
          <w:tcPr>
            <w:tcW w:w="2694" w:type="dxa"/>
            <w:tcBorders>
              <w:left w:val="single" w:sz="4" w:space="0" w:color="auto"/>
              <w:bottom w:val="single" w:sz="4" w:space="0" w:color="auto"/>
              <w:right w:val="single" w:sz="4" w:space="0" w:color="auto"/>
            </w:tcBorders>
            <w:shd w:val="clear" w:color="auto" w:fill="auto"/>
          </w:tcPr>
          <w:p w14:paraId="2975FFEC" w14:textId="77777777" w:rsidR="005D1166" w:rsidRDefault="005D1166" w:rsidP="0026429B">
            <w:pPr>
              <w:keepNext/>
              <w:rPr>
                <w:rFonts w:eastAsia="Calibri" w:cs="Arial"/>
                <w:color w:val="000000"/>
                <w:sz w:val="18"/>
                <w:szCs w:val="18"/>
                <w:lang w:eastAsia="en-GB"/>
              </w:rPr>
            </w:pPr>
          </w:p>
          <w:p w14:paraId="2EE7D016" w14:textId="77777777" w:rsidR="005D1166" w:rsidRDefault="005D1166" w:rsidP="0026429B">
            <w:pPr>
              <w:keepNext/>
              <w:rPr>
                <w:color w:val="000000"/>
                <w:sz w:val="18"/>
                <w:szCs w:val="18"/>
              </w:rPr>
            </w:pPr>
            <w:r w:rsidRPr="00D17F8B">
              <w:rPr>
                <w:rFonts w:eastAsia="Calibri" w:cs="Arial"/>
                <w:color w:val="000000"/>
                <w:sz w:val="18"/>
                <w:szCs w:val="18"/>
                <w:lang w:eastAsia="en-GB"/>
              </w:rPr>
              <w:t>OTNE</w:t>
            </w:r>
          </w:p>
        </w:tc>
        <w:tc>
          <w:tcPr>
            <w:tcW w:w="2365" w:type="dxa"/>
            <w:tcBorders>
              <w:left w:val="single" w:sz="4" w:space="0" w:color="auto"/>
              <w:bottom w:val="single" w:sz="4" w:space="0" w:color="auto"/>
              <w:right w:val="single" w:sz="4" w:space="0" w:color="auto"/>
            </w:tcBorders>
            <w:shd w:val="clear" w:color="auto" w:fill="auto"/>
          </w:tcPr>
          <w:p w14:paraId="1CA3B2F0" w14:textId="77777777" w:rsidR="009A79CC" w:rsidRDefault="009A79CC" w:rsidP="0026429B">
            <w:pPr>
              <w:keepNext/>
              <w:rPr>
                <w:color w:val="000000"/>
                <w:sz w:val="18"/>
                <w:szCs w:val="18"/>
              </w:rPr>
            </w:pPr>
          </w:p>
          <w:p w14:paraId="0E269D2F" w14:textId="68944EE6" w:rsidR="005D1166" w:rsidRDefault="009A79CC" w:rsidP="0026429B">
            <w:pPr>
              <w:keepNext/>
              <w:rPr>
                <w:color w:val="000000"/>
                <w:sz w:val="18"/>
                <w:szCs w:val="18"/>
              </w:rPr>
            </w:pPr>
            <w:r>
              <w:rPr>
                <w:color w:val="000000"/>
                <w:sz w:val="18"/>
                <w:szCs w:val="18"/>
              </w:rPr>
              <w:t>7.2E-04</w:t>
            </w:r>
          </w:p>
        </w:tc>
        <w:tc>
          <w:tcPr>
            <w:tcW w:w="1434" w:type="dxa"/>
            <w:vMerge/>
            <w:tcBorders>
              <w:left w:val="single" w:sz="4" w:space="0" w:color="auto"/>
              <w:bottom w:val="single" w:sz="4" w:space="0" w:color="auto"/>
              <w:right w:val="single" w:sz="4" w:space="0" w:color="auto"/>
            </w:tcBorders>
            <w:shd w:val="clear" w:color="auto" w:fill="auto"/>
          </w:tcPr>
          <w:p w14:paraId="7A68C899" w14:textId="77777777" w:rsidR="005D1166" w:rsidRPr="00D17F8B" w:rsidRDefault="005D1166" w:rsidP="0026429B">
            <w:pPr>
              <w:snapToGrid w:val="0"/>
              <w:spacing w:before="60" w:after="60" w:line="260" w:lineRule="atLeast"/>
              <w:rPr>
                <w:color w:val="000000"/>
                <w:sz w:val="18"/>
                <w:szCs w:val="18"/>
              </w:rPr>
            </w:pPr>
          </w:p>
        </w:tc>
        <w:tc>
          <w:tcPr>
            <w:tcW w:w="2602" w:type="dxa"/>
            <w:vMerge/>
            <w:tcBorders>
              <w:left w:val="single" w:sz="4" w:space="0" w:color="auto"/>
              <w:bottom w:val="single" w:sz="4" w:space="0" w:color="auto"/>
              <w:right w:val="single" w:sz="4" w:space="0" w:color="auto"/>
            </w:tcBorders>
            <w:shd w:val="clear" w:color="auto" w:fill="auto"/>
          </w:tcPr>
          <w:p w14:paraId="20E47C16" w14:textId="77777777" w:rsidR="005D1166" w:rsidRPr="00D17F8B" w:rsidRDefault="005D1166" w:rsidP="0026429B">
            <w:pPr>
              <w:snapToGrid w:val="0"/>
              <w:spacing w:before="60" w:after="60" w:line="260" w:lineRule="atLeast"/>
              <w:rPr>
                <w:sz w:val="18"/>
                <w:szCs w:val="18"/>
              </w:rPr>
            </w:pPr>
          </w:p>
        </w:tc>
      </w:tr>
      <w:tr w:rsidR="005D1166" w14:paraId="27AA7C02" w14:textId="77777777" w:rsidTr="0026429B">
        <w:trPr>
          <w:trHeight w:val="93"/>
        </w:trPr>
        <w:tc>
          <w:tcPr>
            <w:tcW w:w="2694" w:type="dxa"/>
            <w:tcBorders>
              <w:left w:val="single" w:sz="4" w:space="0" w:color="000000"/>
              <w:bottom w:val="single" w:sz="4" w:space="0" w:color="000000"/>
            </w:tcBorders>
            <w:shd w:val="clear" w:color="auto" w:fill="auto"/>
          </w:tcPr>
          <w:p w14:paraId="2BBA156E" w14:textId="032A6055" w:rsidR="009A79CC" w:rsidRDefault="009A79CC" w:rsidP="0026429B">
            <w:pPr>
              <w:keepNext/>
              <w:rPr>
                <w:color w:val="000000"/>
                <w:sz w:val="18"/>
                <w:szCs w:val="18"/>
              </w:rPr>
            </w:pPr>
            <w:r w:rsidRPr="009A79CC">
              <w:rPr>
                <w:color w:val="000000"/>
                <w:sz w:val="18"/>
                <w:szCs w:val="18"/>
              </w:rPr>
              <w:t>Amount of water with active substance</w:t>
            </w:r>
            <w:r>
              <w:rPr>
                <w:color w:val="000000"/>
                <w:sz w:val="18"/>
                <w:szCs w:val="18"/>
              </w:rPr>
              <w:t>-sanitary purpose</w:t>
            </w:r>
          </w:p>
          <w:p w14:paraId="0514BB21" w14:textId="449C0E7E" w:rsidR="005D1166" w:rsidRPr="00D17F8B" w:rsidRDefault="009A79CC" w:rsidP="0026429B">
            <w:pPr>
              <w:keepNext/>
              <w:rPr>
                <w:color w:val="000000"/>
                <w:sz w:val="18"/>
                <w:szCs w:val="18"/>
              </w:rPr>
            </w:pPr>
            <w:r w:rsidRPr="009A79CC">
              <w:rPr>
                <w:i/>
                <w:color w:val="000000"/>
                <w:sz w:val="18"/>
                <w:szCs w:val="18"/>
              </w:rPr>
              <w:t>Q</w:t>
            </w:r>
            <w:r w:rsidRPr="00D75525">
              <w:rPr>
                <w:i/>
                <w:color w:val="000000"/>
                <w:sz w:val="18"/>
                <w:szCs w:val="18"/>
                <w:vertAlign w:val="subscript"/>
              </w:rPr>
              <w:t>water_san</w:t>
            </w:r>
          </w:p>
        </w:tc>
        <w:tc>
          <w:tcPr>
            <w:tcW w:w="2365" w:type="dxa"/>
            <w:tcBorders>
              <w:left w:val="single" w:sz="4" w:space="0" w:color="000000"/>
              <w:bottom w:val="single" w:sz="4" w:space="0" w:color="000000"/>
            </w:tcBorders>
            <w:shd w:val="clear" w:color="auto" w:fill="auto"/>
          </w:tcPr>
          <w:p w14:paraId="075BA6FA" w14:textId="29708D13" w:rsidR="005D1166" w:rsidRPr="00D17F8B" w:rsidRDefault="009A79CC" w:rsidP="0026429B">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25</w:t>
            </w:r>
          </w:p>
        </w:tc>
        <w:tc>
          <w:tcPr>
            <w:tcW w:w="1434" w:type="dxa"/>
            <w:tcBorders>
              <w:top w:val="single" w:sz="4" w:space="0" w:color="auto"/>
              <w:left w:val="single" w:sz="4" w:space="0" w:color="000000"/>
              <w:bottom w:val="single" w:sz="4" w:space="0" w:color="000000"/>
            </w:tcBorders>
            <w:shd w:val="clear" w:color="auto" w:fill="auto"/>
          </w:tcPr>
          <w:p w14:paraId="62216AF5" w14:textId="31090DA0" w:rsidR="005D1166" w:rsidRPr="00D17F8B" w:rsidRDefault="009A79CC" w:rsidP="0026429B">
            <w:pPr>
              <w:snapToGrid w:val="0"/>
              <w:spacing w:before="60" w:after="60" w:line="260" w:lineRule="atLeast"/>
              <w:rPr>
                <w:rFonts w:eastAsia="Calibri" w:cs="Arial"/>
                <w:color w:val="000000"/>
                <w:sz w:val="18"/>
                <w:szCs w:val="18"/>
                <w:lang w:eastAsia="en-GB"/>
              </w:rPr>
            </w:pPr>
            <w:r>
              <w:rPr>
                <w:color w:val="000000"/>
                <w:sz w:val="18"/>
                <w:szCs w:val="18"/>
              </w:rPr>
              <w:t>l</w:t>
            </w:r>
            <w:r w:rsidR="005D1166" w:rsidRPr="00D17F8B">
              <w:rPr>
                <w:color w:val="000000"/>
                <w:sz w:val="18"/>
                <w:szCs w:val="18"/>
              </w:rPr>
              <w:t>.d</w:t>
            </w:r>
            <w:r w:rsidR="005D1166" w:rsidRPr="00D17F8B">
              <w:rPr>
                <w:color w:val="000000"/>
                <w:sz w:val="18"/>
                <w:szCs w:val="18"/>
                <w:vertAlign w:val="superscript"/>
              </w:rPr>
              <w:t>-1</w:t>
            </w:r>
          </w:p>
        </w:tc>
        <w:tc>
          <w:tcPr>
            <w:tcW w:w="2602" w:type="dxa"/>
            <w:tcBorders>
              <w:top w:val="single" w:sz="4" w:space="0" w:color="auto"/>
              <w:left w:val="single" w:sz="4" w:space="0" w:color="000000"/>
              <w:bottom w:val="single" w:sz="4" w:space="0" w:color="000000"/>
              <w:right w:val="single" w:sz="4" w:space="0" w:color="000000"/>
            </w:tcBorders>
            <w:shd w:val="clear" w:color="auto" w:fill="auto"/>
          </w:tcPr>
          <w:p w14:paraId="3711244D" w14:textId="0DFE4D29" w:rsidR="005D1166" w:rsidRPr="00D17F8B" w:rsidRDefault="005D1166" w:rsidP="009A79CC">
            <w:pPr>
              <w:snapToGrid w:val="0"/>
              <w:spacing w:before="60" w:after="60" w:line="260" w:lineRule="atLeast"/>
              <w:rPr>
                <w:rFonts w:eastAsia="Calibri" w:cs="Arial"/>
                <w:color w:val="000000"/>
                <w:sz w:val="18"/>
                <w:szCs w:val="18"/>
                <w:lang w:eastAsia="en-GB"/>
              </w:rPr>
            </w:pPr>
            <w:r w:rsidRPr="00D17F8B">
              <w:rPr>
                <w:color w:val="000000"/>
                <w:sz w:val="18"/>
                <w:szCs w:val="18"/>
              </w:rPr>
              <w:t>Default</w:t>
            </w:r>
          </w:p>
        </w:tc>
      </w:tr>
    </w:tbl>
    <w:p w14:paraId="5CC85D54" w14:textId="77777777" w:rsidR="005D1166" w:rsidRDefault="005D1166" w:rsidP="005D1166">
      <w:pPr>
        <w:ind w:left="142"/>
        <w:jc w:val="both"/>
        <w:rPr>
          <w:rFonts w:ascii="Times New Roman" w:eastAsia="Calibri" w:hAnsi="Times New Roman" w:cs="Times New Roman"/>
          <w:i/>
          <w:lang w:eastAsia="en-US"/>
        </w:rPr>
      </w:pPr>
    </w:p>
    <w:p w14:paraId="0DB1493E" w14:textId="77777777" w:rsidR="005D1166" w:rsidRPr="00B27CB1" w:rsidRDefault="005D1166" w:rsidP="005D1166">
      <w:pPr>
        <w:spacing w:before="60" w:line="276" w:lineRule="auto"/>
        <w:ind w:left="142"/>
        <w:jc w:val="both"/>
        <w:rPr>
          <w:rFonts w:ascii="Times New Roman" w:eastAsia="Calibri" w:hAnsi="Times New Roman" w:cs="Times New Roman"/>
          <w:i/>
          <w:lang w:eastAsia="en-US"/>
        </w:rPr>
      </w:pPr>
    </w:p>
    <w:p w14:paraId="65538E50" w14:textId="2A053373" w:rsidR="005D1166" w:rsidRPr="00D10897" w:rsidRDefault="009A79CC" w:rsidP="005D1166">
      <w:pPr>
        <w:spacing w:line="276" w:lineRule="auto"/>
        <w:rPr>
          <w:rFonts w:eastAsia="Calibri"/>
          <w:u w:val="single"/>
          <w:lang w:val="en-US" w:eastAsia="en-US"/>
        </w:rPr>
      </w:pPr>
      <w:r>
        <w:rPr>
          <w:rFonts w:eastAsia="Calibri"/>
          <w:u w:val="single"/>
          <w:lang w:val="en-US" w:eastAsia="en-US"/>
        </w:rPr>
        <w:t>Calculations for Scenario 3</w:t>
      </w:r>
    </w:p>
    <w:p w14:paraId="51877525" w14:textId="77777777" w:rsidR="005D1166" w:rsidRPr="00D10897" w:rsidRDefault="005D1166" w:rsidP="005D1166">
      <w:pPr>
        <w:spacing w:line="276" w:lineRule="auto"/>
        <w:rPr>
          <w:rFonts w:eastAsia="Calibri"/>
          <w:lang w:val="en-US" w:eastAsia="en-US"/>
        </w:rPr>
      </w:pPr>
    </w:p>
    <w:p w14:paraId="7A2A1937" w14:textId="751A1E5F" w:rsidR="005D1166" w:rsidRDefault="005D1166" w:rsidP="009A79CC">
      <w:pPr>
        <w:spacing w:line="260" w:lineRule="atLeast"/>
        <w:rPr>
          <w:rFonts w:eastAsia="Calibri"/>
          <w:lang w:eastAsia="en-US"/>
        </w:rPr>
      </w:pPr>
      <w:r w:rsidRPr="00D27A8C">
        <w:rPr>
          <w:rFonts w:eastAsia="Calibri"/>
          <w:lang w:eastAsia="en-US"/>
        </w:rPr>
        <w:t>Elocalwater</w:t>
      </w:r>
      <w:r w:rsidR="003A0E08" w:rsidRPr="003A0E08">
        <w:rPr>
          <w:rFonts w:eastAsia="Calibri"/>
          <w:vertAlign w:val="subscript"/>
          <w:lang w:eastAsia="en-US"/>
        </w:rPr>
        <w:t>sanitary</w:t>
      </w:r>
      <w:r w:rsidRPr="00D27A8C">
        <w:rPr>
          <w:rFonts w:eastAsia="Calibri"/>
          <w:lang w:eastAsia="en-US"/>
        </w:rPr>
        <w:t xml:space="preserve"> = </w:t>
      </w:r>
      <w:r w:rsidR="009A79CC" w:rsidRPr="009A79CC">
        <w:rPr>
          <w:rFonts w:eastAsia="Calibri"/>
          <w:lang w:eastAsia="en-US"/>
        </w:rPr>
        <w:t>Qwater_san * Csan * Fsanwater</w:t>
      </w:r>
    </w:p>
    <w:p w14:paraId="031BC2C3" w14:textId="4451344E" w:rsidR="003A0E08" w:rsidRPr="003A0E08" w:rsidRDefault="003A0E08" w:rsidP="009A79CC">
      <w:pPr>
        <w:spacing w:line="260" w:lineRule="atLeast"/>
        <w:rPr>
          <w:rFonts w:eastAsia="Calibri" w:cs="Times New Roman"/>
          <w:szCs w:val="22"/>
          <w:lang w:eastAsia="en-US"/>
        </w:rPr>
      </w:pPr>
      <w:r w:rsidRPr="003A0E08">
        <w:rPr>
          <w:rFonts w:eastAsia="Calibri" w:cs="Times New Roman"/>
          <w:szCs w:val="22"/>
          <w:lang w:eastAsia="en-US"/>
        </w:rPr>
        <w:t>Elocalwater</w:t>
      </w:r>
      <w:r w:rsidRPr="003A0E08">
        <w:rPr>
          <w:rFonts w:eastAsia="Calibri" w:cs="Times New Roman"/>
          <w:szCs w:val="22"/>
          <w:vertAlign w:val="subscript"/>
          <w:lang w:eastAsia="en-US"/>
        </w:rPr>
        <w:t>brushes</w:t>
      </w:r>
      <w:r w:rsidRPr="003A0E08">
        <w:rPr>
          <w:rFonts w:eastAsia="Calibri" w:cs="Times New Roman"/>
          <w:szCs w:val="22"/>
          <w:lang w:eastAsia="en-US"/>
        </w:rPr>
        <w:t xml:space="preserve"> = Qwater_obj * Cobj * Fobjwater</w:t>
      </w:r>
    </w:p>
    <w:p w14:paraId="02EDB81A" w14:textId="25677212" w:rsidR="003A0E08" w:rsidRDefault="003A0E08" w:rsidP="009A79CC">
      <w:pPr>
        <w:spacing w:line="260" w:lineRule="atLeast"/>
        <w:rPr>
          <w:rFonts w:eastAsia="Calibri" w:cs="Times New Roman"/>
          <w:szCs w:val="22"/>
          <w:lang w:eastAsia="en-US"/>
        </w:rPr>
      </w:pPr>
      <w:r w:rsidRPr="003A0E08">
        <w:rPr>
          <w:rFonts w:eastAsia="Calibri" w:cs="Times New Roman"/>
          <w:szCs w:val="22"/>
          <w:lang w:eastAsia="en-US"/>
        </w:rPr>
        <w:t>Elocalwater</w:t>
      </w:r>
      <w:r w:rsidRPr="003A0E08">
        <w:rPr>
          <w:rFonts w:eastAsia="Calibri" w:cs="Times New Roman"/>
          <w:szCs w:val="22"/>
          <w:vertAlign w:val="subscript"/>
          <w:lang w:eastAsia="en-US"/>
        </w:rPr>
        <w:t xml:space="preserve">total </w:t>
      </w:r>
      <w:r w:rsidRPr="003A0E08">
        <w:rPr>
          <w:rFonts w:eastAsia="Calibri" w:cs="Times New Roman"/>
          <w:szCs w:val="22"/>
          <w:lang w:eastAsia="en-US"/>
        </w:rPr>
        <w:t>= Qwater_san * Csan * Fsanwater + Qwater_obj * Cobj * Fobjwater</w:t>
      </w:r>
    </w:p>
    <w:p w14:paraId="3DFEF06B" w14:textId="77777777" w:rsidR="003A0E08" w:rsidRPr="003A0E08" w:rsidRDefault="003A0E08" w:rsidP="009A79CC">
      <w:pPr>
        <w:spacing w:line="260" w:lineRule="atLeast"/>
        <w:rPr>
          <w:rFonts w:eastAsia="Calibri" w:cs="Times New Roman"/>
          <w:szCs w:val="22"/>
          <w:lang w:eastAsia="en-US"/>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088"/>
        <w:gridCol w:w="1851"/>
        <w:gridCol w:w="2731"/>
        <w:gridCol w:w="3177"/>
        <w:gridCol w:w="8"/>
      </w:tblGrid>
      <w:tr w:rsidR="005D1166" w:rsidRPr="00184ABF" w14:paraId="3E31B307" w14:textId="77777777" w:rsidTr="0026429B">
        <w:trPr>
          <w:tblHeader/>
        </w:trPr>
        <w:tc>
          <w:tcPr>
            <w:tcW w:w="9855" w:type="dxa"/>
            <w:gridSpan w:val="5"/>
            <w:shd w:val="clear" w:color="auto" w:fill="FFFFCC"/>
            <w:tcMar>
              <w:top w:w="40" w:type="dxa"/>
              <w:left w:w="40" w:type="dxa"/>
              <w:bottom w:w="40" w:type="dxa"/>
              <w:right w:w="40" w:type="dxa"/>
            </w:tcMar>
            <w:vAlign w:val="center"/>
          </w:tcPr>
          <w:p w14:paraId="3C164A6B" w14:textId="77777777" w:rsidR="005D1166" w:rsidRPr="00D17F8B" w:rsidRDefault="005D1166" w:rsidP="0026429B">
            <w:pPr>
              <w:spacing w:before="60" w:after="60"/>
              <w:ind w:left="57"/>
              <w:rPr>
                <w:b/>
                <w:sz w:val="18"/>
                <w:szCs w:val="18"/>
                <w:lang w:eastAsia="en-GB"/>
              </w:rPr>
            </w:pPr>
            <w:r w:rsidRPr="00D17F8B">
              <w:rPr>
                <w:b/>
                <w:sz w:val="18"/>
                <w:szCs w:val="18"/>
              </w:rPr>
              <w:lastRenderedPageBreak/>
              <w:t>Resulting local emission to relevant environmental compartments</w:t>
            </w:r>
          </w:p>
        </w:tc>
      </w:tr>
      <w:tr w:rsidR="005D1166" w:rsidRPr="00184ABF" w14:paraId="71EFF990" w14:textId="77777777" w:rsidTr="0026429B">
        <w:trPr>
          <w:gridAfter w:val="1"/>
          <w:wAfter w:w="8" w:type="dxa"/>
          <w:tblHeader/>
        </w:trPr>
        <w:tc>
          <w:tcPr>
            <w:tcW w:w="2088" w:type="dxa"/>
            <w:shd w:val="clear" w:color="auto" w:fill="auto"/>
            <w:tcMar>
              <w:top w:w="40" w:type="dxa"/>
              <w:left w:w="40" w:type="dxa"/>
              <w:bottom w:w="40" w:type="dxa"/>
              <w:right w:w="40" w:type="dxa"/>
            </w:tcMar>
            <w:vAlign w:val="center"/>
          </w:tcPr>
          <w:p w14:paraId="13ADEA50" w14:textId="77777777" w:rsidR="005D1166" w:rsidRPr="00D17F8B" w:rsidRDefault="005D1166" w:rsidP="0026429B">
            <w:pPr>
              <w:spacing w:before="60" w:after="60"/>
              <w:ind w:left="57"/>
              <w:rPr>
                <w:b/>
                <w:sz w:val="18"/>
                <w:szCs w:val="18"/>
                <w:lang w:eastAsia="en-GB"/>
              </w:rPr>
            </w:pPr>
            <w:r w:rsidRPr="00D17F8B">
              <w:rPr>
                <w:b/>
                <w:sz w:val="18"/>
                <w:szCs w:val="18"/>
                <w:lang w:eastAsia="en-GB"/>
              </w:rPr>
              <w:t>Substance</w:t>
            </w:r>
          </w:p>
        </w:tc>
        <w:tc>
          <w:tcPr>
            <w:tcW w:w="1851" w:type="dxa"/>
            <w:shd w:val="clear" w:color="auto" w:fill="auto"/>
            <w:vAlign w:val="center"/>
          </w:tcPr>
          <w:p w14:paraId="1202BF94" w14:textId="77777777" w:rsidR="005D1166" w:rsidRPr="00D17F8B" w:rsidRDefault="005D1166" w:rsidP="0026429B">
            <w:pPr>
              <w:spacing w:before="60" w:after="60"/>
              <w:ind w:left="57"/>
              <w:rPr>
                <w:b/>
                <w:sz w:val="18"/>
                <w:szCs w:val="18"/>
                <w:lang w:eastAsia="en-GB"/>
              </w:rPr>
            </w:pPr>
            <w:r w:rsidRPr="00D17F8B">
              <w:rPr>
                <w:b/>
                <w:sz w:val="18"/>
                <w:szCs w:val="18"/>
                <w:lang w:eastAsia="en-GB"/>
              </w:rPr>
              <w:t>Compartment</w:t>
            </w:r>
          </w:p>
        </w:tc>
        <w:tc>
          <w:tcPr>
            <w:tcW w:w="2731" w:type="dxa"/>
            <w:shd w:val="clear" w:color="auto" w:fill="auto"/>
            <w:tcMar>
              <w:top w:w="40" w:type="dxa"/>
              <w:left w:w="40" w:type="dxa"/>
              <w:bottom w:w="40" w:type="dxa"/>
              <w:right w:w="40" w:type="dxa"/>
            </w:tcMar>
            <w:vAlign w:val="center"/>
          </w:tcPr>
          <w:p w14:paraId="0E7C534E" w14:textId="77777777" w:rsidR="005D1166" w:rsidRPr="00D17F8B" w:rsidRDefault="005D1166" w:rsidP="0026429B">
            <w:pPr>
              <w:spacing w:before="60" w:after="60"/>
              <w:ind w:left="57"/>
              <w:rPr>
                <w:b/>
                <w:sz w:val="18"/>
                <w:szCs w:val="18"/>
                <w:lang w:eastAsia="en-GB"/>
              </w:rPr>
            </w:pPr>
            <w:r w:rsidRPr="00D17F8B">
              <w:rPr>
                <w:b/>
                <w:sz w:val="18"/>
                <w:szCs w:val="18"/>
                <w:lang w:eastAsia="en-GB"/>
              </w:rPr>
              <w:t xml:space="preserve">Local emission </w:t>
            </w:r>
          </w:p>
          <w:p w14:paraId="52949633" w14:textId="77777777" w:rsidR="005D1166" w:rsidRPr="00D17F8B" w:rsidRDefault="005D1166" w:rsidP="0026429B">
            <w:pPr>
              <w:spacing w:before="60" w:after="60"/>
              <w:ind w:left="57"/>
              <w:rPr>
                <w:b/>
                <w:sz w:val="18"/>
                <w:szCs w:val="18"/>
                <w:lang w:eastAsia="en-GB"/>
              </w:rPr>
            </w:pPr>
            <w:r w:rsidRPr="00D17F8B">
              <w:rPr>
                <w:b/>
                <w:sz w:val="18"/>
                <w:szCs w:val="18"/>
                <w:lang w:eastAsia="en-GB"/>
              </w:rPr>
              <w:t>(Elocal</w:t>
            </w:r>
            <w:r w:rsidRPr="00D17F8B">
              <w:rPr>
                <w:b/>
                <w:sz w:val="18"/>
                <w:szCs w:val="18"/>
                <w:vertAlign w:val="subscript"/>
                <w:lang w:eastAsia="en-GB"/>
              </w:rPr>
              <w:t>compartment</w:t>
            </w:r>
            <w:r w:rsidRPr="00D17F8B">
              <w:rPr>
                <w:b/>
                <w:sz w:val="18"/>
                <w:szCs w:val="18"/>
                <w:lang w:eastAsia="en-GB"/>
              </w:rPr>
              <w:t>) [kg/d</w:t>
            </w:r>
            <w:r w:rsidRPr="00D17F8B">
              <w:rPr>
                <w:b/>
                <w:sz w:val="18"/>
                <w:szCs w:val="18"/>
                <w:vertAlign w:val="superscript"/>
                <w:lang w:eastAsia="en-GB"/>
              </w:rPr>
              <w:t>-1</w:t>
            </w:r>
            <w:r w:rsidRPr="00D17F8B">
              <w:rPr>
                <w:b/>
                <w:sz w:val="18"/>
                <w:szCs w:val="18"/>
                <w:lang w:eastAsia="en-GB"/>
              </w:rPr>
              <w:t>]</w:t>
            </w:r>
          </w:p>
        </w:tc>
        <w:tc>
          <w:tcPr>
            <w:tcW w:w="3177" w:type="dxa"/>
            <w:shd w:val="clear" w:color="auto" w:fill="auto"/>
            <w:tcMar>
              <w:top w:w="40" w:type="dxa"/>
              <w:left w:w="40" w:type="dxa"/>
              <w:bottom w:w="40" w:type="dxa"/>
              <w:right w:w="40" w:type="dxa"/>
            </w:tcMar>
            <w:vAlign w:val="center"/>
          </w:tcPr>
          <w:p w14:paraId="29530B94" w14:textId="77777777" w:rsidR="005D1166" w:rsidRPr="00D17F8B" w:rsidRDefault="005D1166" w:rsidP="0026429B">
            <w:pPr>
              <w:spacing w:before="60" w:after="60"/>
              <w:ind w:left="57"/>
              <w:rPr>
                <w:b/>
                <w:sz w:val="18"/>
                <w:szCs w:val="18"/>
                <w:lang w:eastAsia="en-GB"/>
              </w:rPr>
            </w:pPr>
            <w:r w:rsidRPr="00D17F8B">
              <w:rPr>
                <w:b/>
                <w:sz w:val="18"/>
                <w:szCs w:val="18"/>
                <w:lang w:eastAsia="en-GB"/>
              </w:rPr>
              <w:t>Remarks</w:t>
            </w:r>
          </w:p>
        </w:tc>
      </w:tr>
      <w:tr w:rsidR="005D1166" w:rsidRPr="00184ABF" w14:paraId="40447848" w14:textId="77777777" w:rsidTr="0026429B">
        <w:trPr>
          <w:gridAfter w:val="1"/>
          <w:wAfter w:w="8" w:type="dxa"/>
        </w:trPr>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1E46107C" w14:textId="77777777" w:rsidR="005D1166" w:rsidRPr="00D17F8B" w:rsidRDefault="005D1166" w:rsidP="0026429B">
            <w:pPr>
              <w:ind w:left="57"/>
              <w:rPr>
                <w:rFonts w:cs="Calibri"/>
                <w:sz w:val="18"/>
                <w:szCs w:val="18"/>
                <w:lang w:eastAsia="es-ES"/>
              </w:rPr>
            </w:pPr>
            <w:r w:rsidRPr="00D17F8B">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vAlign w:val="center"/>
          </w:tcPr>
          <w:p w14:paraId="00F3329A" w14:textId="77777777" w:rsidR="005D1166" w:rsidRPr="00D17F8B" w:rsidRDefault="005D1166" w:rsidP="0026429B">
            <w:pPr>
              <w:ind w:left="57"/>
              <w:rPr>
                <w:rFonts w:cs="Calibri"/>
                <w:sz w:val="18"/>
                <w:szCs w:val="18"/>
              </w:rPr>
            </w:pPr>
            <w:r w:rsidRPr="00D17F8B">
              <w:rPr>
                <w:rFonts w:cs="Calibri"/>
                <w:sz w:val="18"/>
                <w:szCs w:val="18"/>
              </w:rPr>
              <w:t>STP</w:t>
            </w:r>
          </w:p>
        </w:tc>
        <w:tc>
          <w:tcPr>
            <w:tcW w:w="2731"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0CE8F159" w14:textId="1B761D39" w:rsidR="005D1166" w:rsidRPr="00D17F8B" w:rsidRDefault="003A0E08" w:rsidP="003A0E08">
            <w:pPr>
              <w:ind w:left="57"/>
              <w:rPr>
                <w:rFonts w:cs="Calibri"/>
                <w:sz w:val="18"/>
                <w:szCs w:val="18"/>
              </w:rPr>
            </w:pPr>
            <w:r>
              <w:rPr>
                <w:rFonts w:cs="Calibri"/>
                <w:sz w:val="18"/>
                <w:szCs w:val="18"/>
              </w:rPr>
              <w:t>1.50</w:t>
            </w:r>
          </w:p>
        </w:tc>
        <w:tc>
          <w:tcPr>
            <w:tcW w:w="3177"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5F7FAE09" w14:textId="77777777" w:rsidR="005D1166" w:rsidRPr="00D17F8B" w:rsidRDefault="005D1166" w:rsidP="0026429B">
            <w:pPr>
              <w:ind w:left="57"/>
              <w:jc w:val="center"/>
              <w:rPr>
                <w:rFonts w:cs="Calibri"/>
                <w:sz w:val="18"/>
                <w:szCs w:val="18"/>
              </w:rPr>
            </w:pPr>
          </w:p>
        </w:tc>
      </w:tr>
      <w:tr w:rsidR="005D1166" w:rsidRPr="00184ABF" w14:paraId="6C8EE04B" w14:textId="77777777" w:rsidTr="0026429B">
        <w:trPr>
          <w:gridAfter w:val="1"/>
          <w:wAfter w:w="8" w:type="dxa"/>
        </w:trPr>
        <w:tc>
          <w:tcPr>
            <w:tcW w:w="2088" w:type="dxa"/>
            <w:tcBorders>
              <w:top w:val="nil"/>
              <w:left w:val="single" w:sz="8" w:space="0" w:color="auto"/>
              <w:bottom w:val="single" w:sz="8" w:space="0" w:color="auto"/>
              <w:right w:val="single" w:sz="8" w:space="0" w:color="auto"/>
            </w:tcBorders>
            <w:shd w:val="clear" w:color="auto" w:fill="auto"/>
            <w:tcMar>
              <w:top w:w="40" w:type="dxa"/>
              <w:left w:w="40" w:type="dxa"/>
              <w:bottom w:w="40" w:type="dxa"/>
              <w:right w:w="40" w:type="dxa"/>
            </w:tcMar>
            <w:vAlign w:val="center"/>
          </w:tcPr>
          <w:p w14:paraId="0687A475" w14:textId="77777777" w:rsidR="005D1166" w:rsidRPr="00D17F8B" w:rsidRDefault="005D1166" w:rsidP="0026429B">
            <w:pPr>
              <w:ind w:left="57"/>
              <w:rPr>
                <w:rFonts w:cs="Calibri"/>
                <w:sz w:val="18"/>
                <w:szCs w:val="18"/>
              </w:rPr>
            </w:pPr>
            <w:r w:rsidRPr="00D17F8B">
              <w:rPr>
                <w:rFonts w:eastAsia="Calibri" w:cs="Times New Roman"/>
                <w:sz w:val="18"/>
                <w:szCs w:val="18"/>
                <w:lang w:eastAsia="en-US"/>
              </w:rPr>
              <w:t>Amines, coco alkyldimethyl, N-oxides</w:t>
            </w:r>
          </w:p>
        </w:tc>
        <w:tc>
          <w:tcPr>
            <w:tcW w:w="1851" w:type="dxa"/>
            <w:tcBorders>
              <w:top w:val="nil"/>
              <w:left w:val="nil"/>
              <w:bottom w:val="single" w:sz="8" w:space="0" w:color="auto"/>
              <w:right w:val="single" w:sz="8" w:space="0" w:color="auto"/>
            </w:tcBorders>
            <w:shd w:val="clear" w:color="auto" w:fill="auto"/>
            <w:vAlign w:val="center"/>
          </w:tcPr>
          <w:p w14:paraId="1CBCDA9F" w14:textId="77777777" w:rsidR="005D1166" w:rsidRPr="00D17F8B" w:rsidRDefault="005D1166" w:rsidP="0026429B">
            <w:pPr>
              <w:ind w:left="57"/>
              <w:rPr>
                <w:rFonts w:cs="Calibri"/>
                <w:sz w:val="18"/>
                <w:szCs w:val="18"/>
              </w:rPr>
            </w:pPr>
            <w:r w:rsidRPr="00D17F8B">
              <w:rPr>
                <w:rFonts w:cs="Calibri"/>
                <w:sz w:val="18"/>
                <w:szCs w:val="18"/>
              </w:rPr>
              <w:t>STP</w:t>
            </w:r>
          </w:p>
        </w:tc>
        <w:tc>
          <w:tcPr>
            <w:tcW w:w="2731"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141BCF7F" w14:textId="28F62F2C" w:rsidR="005D1166" w:rsidRPr="00D17F8B" w:rsidRDefault="003A0E08" w:rsidP="003A0E08">
            <w:pPr>
              <w:ind w:left="57"/>
              <w:rPr>
                <w:rFonts w:cs="Calibri"/>
                <w:sz w:val="18"/>
                <w:szCs w:val="18"/>
              </w:rPr>
            </w:pPr>
            <w:r>
              <w:rPr>
                <w:rFonts w:cs="Calibri"/>
                <w:sz w:val="18"/>
                <w:szCs w:val="18"/>
              </w:rPr>
              <w:t>3.75E-02</w:t>
            </w:r>
          </w:p>
        </w:tc>
        <w:tc>
          <w:tcPr>
            <w:tcW w:w="3177"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09F3E46D" w14:textId="77777777" w:rsidR="005D1166" w:rsidRPr="00D17F8B" w:rsidRDefault="005D1166" w:rsidP="0026429B">
            <w:pPr>
              <w:ind w:left="57"/>
              <w:jc w:val="center"/>
              <w:rPr>
                <w:rFonts w:cs="Calibri"/>
                <w:sz w:val="18"/>
                <w:szCs w:val="18"/>
              </w:rPr>
            </w:pPr>
          </w:p>
        </w:tc>
      </w:tr>
      <w:tr w:rsidR="005D1166" w:rsidRPr="00184ABF" w14:paraId="0A5C20C7" w14:textId="77777777" w:rsidTr="0026429B">
        <w:trPr>
          <w:gridAfter w:val="1"/>
          <w:wAfter w:w="8" w:type="dxa"/>
        </w:trPr>
        <w:tc>
          <w:tcPr>
            <w:tcW w:w="2088" w:type="dxa"/>
            <w:tcBorders>
              <w:top w:val="nil"/>
              <w:left w:val="single" w:sz="8" w:space="0" w:color="auto"/>
              <w:bottom w:val="single" w:sz="8" w:space="0" w:color="auto"/>
              <w:right w:val="single" w:sz="8" w:space="0" w:color="auto"/>
            </w:tcBorders>
            <w:shd w:val="clear" w:color="auto" w:fill="auto"/>
            <w:tcMar>
              <w:top w:w="40" w:type="dxa"/>
              <w:left w:w="40" w:type="dxa"/>
              <w:bottom w:w="40" w:type="dxa"/>
              <w:right w:w="40" w:type="dxa"/>
            </w:tcMar>
            <w:vAlign w:val="center"/>
          </w:tcPr>
          <w:p w14:paraId="403F8E03" w14:textId="77777777" w:rsidR="005D1166" w:rsidRPr="00D17F8B" w:rsidRDefault="005D1166" w:rsidP="0026429B">
            <w:pPr>
              <w:ind w:left="57"/>
              <w:rPr>
                <w:rFonts w:cs="Calibri"/>
                <w:sz w:val="18"/>
                <w:szCs w:val="18"/>
              </w:rPr>
            </w:pPr>
            <w:r w:rsidRPr="00D17F8B">
              <w:rPr>
                <w:rFonts w:cs="Calibri"/>
                <w:sz w:val="18"/>
                <w:szCs w:val="18"/>
              </w:rPr>
              <w:t>OTNE</w:t>
            </w:r>
          </w:p>
        </w:tc>
        <w:tc>
          <w:tcPr>
            <w:tcW w:w="1851" w:type="dxa"/>
            <w:tcBorders>
              <w:top w:val="nil"/>
              <w:left w:val="nil"/>
              <w:bottom w:val="single" w:sz="8" w:space="0" w:color="auto"/>
              <w:right w:val="single" w:sz="8" w:space="0" w:color="auto"/>
            </w:tcBorders>
            <w:shd w:val="clear" w:color="auto" w:fill="auto"/>
            <w:vAlign w:val="center"/>
          </w:tcPr>
          <w:p w14:paraId="6137F12A" w14:textId="77777777" w:rsidR="005D1166" w:rsidRPr="00D17F8B" w:rsidRDefault="005D1166" w:rsidP="0026429B">
            <w:pPr>
              <w:ind w:left="57"/>
              <w:rPr>
                <w:rFonts w:cs="Calibri"/>
                <w:sz w:val="18"/>
                <w:szCs w:val="18"/>
              </w:rPr>
            </w:pPr>
            <w:r w:rsidRPr="00D17F8B">
              <w:rPr>
                <w:rFonts w:cs="Calibri"/>
                <w:sz w:val="18"/>
                <w:szCs w:val="18"/>
              </w:rPr>
              <w:t>STP</w:t>
            </w:r>
          </w:p>
        </w:tc>
        <w:tc>
          <w:tcPr>
            <w:tcW w:w="2731"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3A2BBD90" w14:textId="2233CC0D" w:rsidR="005D1166" w:rsidRPr="00D17F8B" w:rsidRDefault="003A0E08" w:rsidP="003A0E08">
            <w:pPr>
              <w:ind w:left="57"/>
              <w:rPr>
                <w:rFonts w:cs="Calibri"/>
                <w:sz w:val="18"/>
                <w:szCs w:val="18"/>
              </w:rPr>
            </w:pPr>
            <w:r>
              <w:rPr>
                <w:rFonts w:cs="Calibri"/>
                <w:sz w:val="18"/>
                <w:szCs w:val="18"/>
              </w:rPr>
              <w:t>2.70E-02</w:t>
            </w:r>
          </w:p>
        </w:tc>
        <w:tc>
          <w:tcPr>
            <w:tcW w:w="3177"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3B1406F8" w14:textId="77777777" w:rsidR="005D1166" w:rsidRPr="00D17F8B" w:rsidRDefault="005D1166" w:rsidP="0026429B">
            <w:pPr>
              <w:ind w:left="57"/>
              <w:jc w:val="center"/>
              <w:rPr>
                <w:rFonts w:cs="Calibri"/>
                <w:sz w:val="18"/>
                <w:szCs w:val="18"/>
              </w:rPr>
            </w:pPr>
          </w:p>
        </w:tc>
      </w:tr>
    </w:tbl>
    <w:p w14:paraId="17CD34A5" w14:textId="33F73272" w:rsidR="0073642B" w:rsidRDefault="0073642B" w:rsidP="009972F1">
      <w:pPr>
        <w:spacing w:line="276" w:lineRule="auto"/>
        <w:rPr>
          <w:rFonts w:eastAsia="Calibri" w:cs="Times New Roman"/>
          <w:iCs/>
          <w:lang w:eastAsia="en-US"/>
        </w:rPr>
      </w:pPr>
    </w:p>
    <w:p w14:paraId="36695670" w14:textId="77777777" w:rsidR="0073642B" w:rsidRDefault="0073642B" w:rsidP="0073642B">
      <w:pPr>
        <w:spacing w:line="260" w:lineRule="atLeast"/>
        <w:rPr>
          <w:rFonts w:eastAsia="Calibri"/>
          <w:b/>
          <w:bCs/>
          <w:lang w:eastAsia="en-US"/>
        </w:rPr>
      </w:pPr>
    </w:p>
    <w:p w14:paraId="0225DEE2" w14:textId="77777777" w:rsidR="0073642B" w:rsidRDefault="0073642B" w:rsidP="0073642B">
      <w:pPr>
        <w:spacing w:line="260" w:lineRule="atLeast"/>
        <w:rPr>
          <w:rFonts w:eastAsia="Calibri"/>
          <w:b/>
          <w:bCs/>
          <w:lang w:eastAsia="en-US"/>
        </w:rPr>
      </w:pPr>
    </w:p>
    <w:p w14:paraId="01E42F90" w14:textId="5824AFB7" w:rsidR="0073642B" w:rsidRPr="00B27CB1" w:rsidRDefault="00DF01C2" w:rsidP="00170ECE">
      <w:pPr>
        <w:pStyle w:val="Titre5"/>
        <w:rPr>
          <w:rFonts w:ascii="Times New Roman" w:hAnsi="Times New Roman" w:cs="Times New Roman"/>
          <w:i/>
        </w:rPr>
      </w:pPr>
      <w:r>
        <w:t xml:space="preserve">PT02 - </w:t>
      </w:r>
      <w:r w:rsidR="0073642B" w:rsidRPr="00B27CB1">
        <w:t xml:space="preserve">Scenario </w:t>
      </w:r>
      <w:r w:rsidR="0073642B">
        <w:t>4</w:t>
      </w:r>
      <w:r>
        <w:t>:</w:t>
      </w:r>
      <w:r w:rsidR="0073642B" w:rsidRPr="007116D2">
        <w:rPr>
          <w:iCs/>
        </w:rPr>
        <w:t xml:space="preserve"> </w:t>
      </w:r>
      <w:r w:rsidR="0073642B" w:rsidRPr="00152357">
        <w:rPr>
          <w:iCs/>
        </w:rPr>
        <w:t xml:space="preserve">Outdoor - </w:t>
      </w:r>
      <w:r w:rsidR="0073642B" w:rsidRPr="003F1021">
        <w:t>Disinfection of roadways</w:t>
      </w:r>
      <w:r w:rsidR="0073642B" w:rsidRPr="00152357">
        <w:t xml:space="preserve"> indirect emission via STP</w:t>
      </w:r>
      <w:r w:rsidR="0073642B" w:rsidRPr="00896F37">
        <w:rPr>
          <w:color w:val="221E1F"/>
          <w:lang w:val="en-US"/>
        </w:rPr>
        <w:t xml:space="preserve"> </w:t>
      </w:r>
    </w:p>
    <w:p w14:paraId="2A016848" w14:textId="77777777" w:rsidR="0073642B" w:rsidRDefault="0073642B" w:rsidP="0073642B">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 xml:space="preserve">SPC </w:t>
      </w:r>
      <w:r>
        <w:rPr>
          <w:rFonts w:eastAsia="Calibri" w:cs="Times New Roman"/>
          <w:bCs/>
          <w:lang w:eastAsia="en-US"/>
        </w:rPr>
        <w:t>13</w:t>
      </w:r>
    </w:p>
    <w:p w14:paraId="130A48C7" w14:textId="77777777" w:rsidR="0073642B" w:rsidRDefault="0073642B" w:rsidP="0073642B">
      <w:pPr>
        <w:spacing w:line="276" w:lineRule="auto"/>
        <w:rPr>
          <w:rFonts w:eastAsia="Calibri" w:cs="Times New Roman"/>
          <w:bCs/>
          <w:lang w:eastAsia="en-US"/>
        </w:rPr>
      </w:pPr>
    </w:p>
    <w:p w14:paraId="0C96B617" w14:textId="4B88BA23" w:rsidR="0073642B" w:rsidRDefault="0073642B" w:rsidP="0073642B">
      <w:pPr>
        <w:jc w:val="both"/>
        <w:rPr>
          <w:rFonts w:eastAsia="Calibri"/>
          <w:lang w:eastAsia="en-US"/>
        </w:rPr>
      </w:pPr>
      <w:r>
        <w:rPr>
          <w:rFonts w:eastAsia="Calibri"/>
          <w:lang w:eastAsia="en-US"/>
        </w:rPr>
        <w:t xml:space="preserve">The products in Meta-SPC 13 are intended to be used for the disinfection of roadways and waste containers indoor and outdoor. The products are dedicated for disinfection of marketplaces and streets after one-time events. For the majority of cities, the average frequency of market event is one time per week. However, as a worst case, daily frequency is considered in the </w:t>
      </w:r>
      <w:r w:rsidR="00DF01C2">
        <w:rPr>
          <w:rFonts w:eastAsia="Calibri"/>
          <w:lang w:eastAsia="en-US"/>
        </w:rPr>
        <w:t xml:space="preserve">exposure </w:t>
      </w:r>
      <w:r>
        <w:rPr>
          <w:rFonts w:eastAsia="Calibri"/>
          <w:lang w:eastAsia="en-US"/>
        </w:rPr>
        <w:t xml:space="preserve">scenario. </w:t>
      </w:r>
    </w:p>
    <w:p w14:paraId="0CD441E3" w14:textId="77777777" w:rsidR="0073642B" w:rsidRDefault="0073642B" w:rsidP="0073642B">
      <w:pPr>
        <w:jc w:val="both"/>
        <w:rPr>
          <w:rFonts w:eastAsia="Calibri"/>
          <w:lang w:eastAsia="en-US"/>
        </w:rPr>
      </w:pPr>
    </w:p>
    <w:p w14:paraId="45F0576A" w14:textId="68BD18BA" w:rsidR="0073642B" w:rsidRDefault="00FC20B4" w:rsidP="0073642B">
      <w:pPr>
        <w:jc w:val="both"/>
        <w:rPr>
          <w:rFonts w:eastAsia="Calibri"/>
          <w:lang w:val="en-US" w:eastAsia="en-US"/>
        </w:rPr>
      </w:pPr>
      <w:r>
        <w:rPr>
          <w:rFonts w:eastAsia="Calibri"/>
          <w:lang w:val="en-US" w:eastAsia="en-US"/>
        </w:rPr>
        <w:t xml:space="preserve">No </w:t>
      </w:r>
      <w:r w:rsidR="0073642B">
        <w:rPr>
          <w:rFonts w:eastAsia="Calibri"/>
          <w:lang w:val="en-US" w:eastAsia="en-US"/>
        </w:rPr>
        <w:t xml:space="preserve">scenario is available for this type of outdoor use </w:t>
      </w:r>
      <w:r w:rsidR="00DF01C2">
        <w:rPr>
          <w:rFonts w:eastAsia="Calibri"/>
          <w:lang w:val="en-US" w:eastAsia="en-US"/>
        </w:rPr>
        <w:t xml:space="preserve">in </w:t>
      </w:r>
      <w:r w:rsidR="0073642B">
        <w:rPr>
          <w:rFonts w:eastAsia="Calibri"/>
          <w:lang w:val="en-US" w:eastAsia="en-US"/>
        </w:rPr>
        <w:t xml:space="preserve">PT02. So, it is suggested to use the scenario for disinfectants </w:t>
      </w:r>
      <w:r>
        <w:rPr>
          <w:rFonts w:eastAsia="Calibri"/>
          <w:lang w:val="en-US" w:eastAsia="en-US"/>
        </w:rPr>
        <w:t xml:space="preserve">applied </w:t>
      </w:r>
      <w:r w:rsidR="0073642B">
        <w:rPr>
          <w:rFonts w:eastAsia="Calibri"/>
          <w:lang w:val="en-US" w:eastAsia="en-US"/>
        </w:rPr>
        <w:t>in industrial areas described in the ESD for PT02. Indeed, the hard surfaces in industrial premises and roadways could present comparable levels of contamination. However, the surface area to be disinfected “Large scale application” is not adapted for an average surface aera of marketplaces. Consequently, the surface AREA is updated at 15 000 m²</w:t>
      </w:r>
      <w:r w:rsidR="00DF01C2">
        <w:rPr>
          <w:rFonts w:eastAsia="Calibri"/>
          <w:lang w:val="en-US" w:eastAsia="en-US"/>
        </w:rPr>
        <w:t xml:space="preserve"> as proposed by the applicant</w:t>
      </w:r>
      <w:r w:rsidR="0073642B">
        <w:rPr>
          <w:rFonts w:eastAsia="Calibri"/>
          <w:lang w:val="en-US" w:eastAsia="en-US"/>
        </w:rPr>
        <w:t xml:space="preserve">. </w:t>
      </w:r>
      <w:r w:rsidR="00DF01C2">
        <w:rPr>
          <w:rFonts w:eastAsia="Calibri"/>
          <w:lang w:val="en-US" w:eastAsia="en-US"/>
        </w:rPr>
        <w:t>Based on the information provided for</w:t>
      </w:r>
      <w:r w:rsidR="0073642B">
        <w:rPr>
          <w:rFonts w:eastAsia="Calibri"/>
          <w:lang w:val="en-US" w:eastAsia="en-US"/>
        </w:rPr>
        <w:t xml:space="preserve"> two marketplaces, this value </w:t>
      </w:r>
      <w:r w:rsidR="00DF01C2">
        <w:rPr>
          <w:rFonts w:eastAsia="Calibri"/>
          <w:lang w:val="en-US" w:eastAsia="en-US"/>
        </w:rPr>
        <w:t xml:space="preserve">seems </w:t>
      </w:r>
      <w:r w:rsidR="0073642B">
        <w:rPr>
          <w:rFonts w:eastAsia="Calibri"/>
          <w:lang w:val="en-US" w:eastAsia="en-US"/>
        </w:rPr>
        <w:t xml:space="preserve">realistic. For instance, a marketplace in Paris, called “Place d’Aligre” has a surface area of 8050 m² </w:t>
      </w:r>
      <w:r w:rsidR="000F4274">
        <w:rPr>
          <w:rStyle w:val="Appelnotedebasdep"/>
          <w:rFonts w:eastAsia="Calibri"/>
          <w:lang w:val="en-US" w:eastAsia="en-US"/>
        </w:rPr>
        <w:footnoteReference w:id="3"/>
      </w:r>
      <w:r w:rsidR="0073642B">
        <w:rPr>
          <w:rFonts w:eastAsia="Calibri"/>
          <w:lang w:val="en-US" w:eastAsia="en-US"/>
        </w:rPr>
        <w:t xml:space="preserve"> or for the marketplace “Place des Lices” in Vannes, the surface is 5000 m²</w:t>
      </w:r>
      <w:r w:rsidR="00D83593">
        <w:rPr>
          <w:rFonts w:eastAsia="Calibri"/>
          <w:lang w:val="en-US" w:eastAsia="en-US"/>
        </w:rPr>
        <w:t xml:space="preserve"> </w:t>
      </w:r>
      <w:r w:rsidR="00941979">
        <w:rPr>
          <w:rStyle w:val="Appelnotedebasdep"/>
          <w:rFonts w:eastAsia="Calibri"/>
          <w:lang w:val="en-US" w:eastAsia="en-US"/>
        </w:rPr>
        <w:footnoteReference w:id="4"/>
      </w:r>
      <w:r w:rsidR="0073642B">
        <w:rPr>
          <w:rFonts w:eastAsia="Calibri"/>
          <w:lang w:val="en-US" w:eastAsia="en-US"/>
        </w:rPr>
        <w:t>. Moreover, 15 000 m² represent the surface area equivalent to two football stadiums.</w:t>
      </w:r>
    </w:p>
    <w:p w14:paraId="30564EF5" w14:textId="77777777" w:rsidR="0073642B" w:rsidRDefault="0073642B" w:rsidP="0073642B">
      <w:pPr>
        <w:jc w:val="both"/>
        <w:rPr>
          <w:rFonts w:eastAsia="Calibri"/>
          <w:lang w:val="en-US" w:eastAsia="en-US"/>
        </w:rPr>
      </w:pPr>
    </w:p>
    <w:p w14:paraId="7A1FD17C" w14:textId="51B263EF" w:rsidR="0073642B" w:rsidRDefault="00287D34" w:rsidP="0073642B">
      <w:pPr>
        <w:jc w:val="both"/>
        <w:rPr>
          <w:rFonts w:eastAsia="Calibri"/>
          <w:lang w:eastAsia="en-US"/>
        </w:rPr>
      </w:pPr>
      <w:r>
        <w:rPr>
          <w:rFonts w:eastAsia="Calibri"/>
          <w:lang w:eastAsia="en-US"/>
        </w:rPr>
        <w:t>The applicant argued that this</w:t>
      </w:r>
      <w:r w:rsidR="0073642B" w:rsidRPr="003314B2">
        <w:rPr>
          <w:rFonts w:eastAsia="Calibri"/>
          <w:lang w:eastAsia="en-US"/>
        </w:rPr>
        <w:t xml:space="preserve"> first suggested scenario represents a worst case for the uses of the products in Meta-SPC 13</w:t>
      </w:r>
      <w:r>
        <w:rPr>
          <w:rFonts w:eastAsia="Calibri"/>
          <w:lang w:eastAsia="en-US"/>
        </w:rPr>
        <w:t xml:space="preserve"> and</w:t>
      </w:r>
      <w:r w:rsidR="00FC20B4">
        <w:rPr>
          <w:rFonts w:eastAsia="Calibri"/>
          <w:lang w:eastAsia="en-US"/>
        </w:rPr>
        <w:t xml:space="preserve"> </w:t>
      </w:r>
      <w:r w:rsidR="0073642B">
        <w:rPr>
          <w:rFonts w:eastAsia="Calibri"/>
          <w:lang w:eastAsia="en-US"/>
        </w:rPr>
        <w:t>proposed a Tier 2 approach, considering</w:t>
      </w:r>
      <w:r w:rsidR="0073642B" w:rsidRPr="00645300">
        <w:rPr>
          <w:rFonts w:eastAsia="Calibri"/>
          <w:lang w:eastAsia="en-US"/>
        </w:rPr>
        <w:t xml:space="preserve"> </w:t>
      </w:r>
      <w:r w:rsidR="0073642B">
        <w:rPr>
          <w:rFonts w:eastAsia="Calibri"/>
          <w:lang w:eastAsia="en-US"/>
        </w:rPr>
        <w:t>a</w:t>
      </w:r>
      <w:r w:rsidR="0073642B" w:rsidRPr="00645300">
        <w:rPr>
          <w:rFonts w:eastAsia="Calibri"/>
          <w:lang w:eastAsia="en-US"/>
        </w:rPr>
        <w:t>n average</w:t>
      </w:r>
      <w:r w:rsidR="0073642B">
        <w:rPr>
          <w:rFonts w:eastAsia="Calibri"/>
          <w:lang w:eastAsia="en-US"/>
        </w:rPr>
        <w:t xml:space="preserve"> </w:t>
      </w:r>
      <w:r>
        <w:rPr>
          <w:rFonts w:eastAsia="Calibri"/>
          <w:lang w:eastAsia="en-US"/>
        </w:rPr>
        <w:t>use</w:t>
      </w:r>
      <w:r w:rsidRPr="00645300">
        <w:rPr>
          <w:rFonts w:eastAsia="Calibri"/>
          <w:lang w:eastAsia="en-US"/>
        </w:rPr>
        <w:t xml:space="preserve"> </w:t>
      </w:r>
      <w:r w:rsidR="0073642B">
        <w:rPr>
          <w:rFonts w:eastAsia="Calibri"/>
          <w:lang w:eastAsia="en-US"/>
        </w:rPr>
        <w:t>once a</w:t>
      </w:r>
      <w:r w:rsidR="0073642B" w:rsidRPr="00645300">
        <w:rPr>
          <w:rFonts w:eastAsia="Calibri"/>
          <w:lang w:eastAsia="en-US"/>
        </w:rPr>
        <w:t xml:space="preserve"> week instead of </w:t>
      </w:r>
      <w:r w:rsidR="0073642B">
        <w:rPr>
          <w:rFonts w:eastAsia="Calibri"/>
          <w:lang w:eastAsia="en-US"/>
        </w:rPr>
        <w:t>everyday</w:t>
      </w:r>
      <w:r w:rsidR="0073642B" w:rsidRPr="00645300">
        <w:rPr>
          <w:rFonts w:eastAsia="Calibri"/>
          <w:lang w:eastAsia="en-US"/>
        </w:rPr>
        <w:t xml:space="preserve">, and </w:t>
      </w:r>
      <w:r>
        <w:rPr>
          <w:rFonts w:eastAsia="Calibri"/>
          <w:lang w:eastAsia="en-US"/>
        </w:rPr>
        <w:t>a</w:t>
      </w:r>
      <w:r w:rsidRPr="00645300">
        <w:rPr>
          <w:rFonts w:eastAsia="Calibri"/>
          <w:lang w:eastAsia="en-US"/>
        </w:rPr>
        <w:t xml:space="preserve"> </w:t>
      </w:r>
      <w:r w:rsidR="0073642B" w:rsidRPr="00645300">
        <w:rPr>
          <w:rFonts w:eastAsia="Calibri"/>
          <w:lang w:eastAsia="en-US"/>
        </w:rPr>
        <w:t xml:space="preserve">quantity of product used per application </w:t>
      </w:r>
      <w:r>
        <w:rPr>
          <w:rFonts w:eastAsia="Calibri"/>
          <w:lang w:eastAsia="en-US"/>
        </w:rPr>
        <w:t>lower</w:t>
      </w:r>
      <w:r w:rsidR="0073642B" w:rsidRPr="00645300">
        <w:rPr>
          <w:rFonts w:eastAsia="Calibri"/>
          <w:lang w:eastAsia="en-US"/>
        </w:rPr>
        <w:t xml:space="preserve"> compared to the quantity estimated </w:t>
      </w:r>
      <w:r w:rsidR="0073642B">
        <w:rPr>
          <w:rFonts w:eastAsia="Calibri"/>
          <w:lang w:eastAsia="en-US"/>
        </w:rPr>
        <w:t>in Tier 1</w:t>
      </w:r>
      <w:r>
        <w:rPr>
          <w:rFonts w:eastAsia="Calibri"/>
          <w:lang w:eastAsia="en-US"/>
        </w:rPr>
        <w:t xml:space="preserve"> (0.1 L/m</w:t>
      </w:r>
      <w:r w:rsidRPr="00941979">
        <w:rPr>
          <w:rFonts w:eastAsia="Calibri"/>
          <w:vertAlign w:val="superscript"/>
          <w:lang w:eastAsia="en-US"/>
        </w:rPr>
        <w:t>2</w:t>
      </w:r>
      <w:r>
        <w:rPr>
          <w:rFonts w:eastAsia="Calibri"/>
          <w:lang w:eastAsia="en-US"/>
        </w:rPr>
        <w:t>)</w:t>
      </w:r>
      <w:r w:rsidR="0073642B" w:rsidRPr="00645300">
        <w:rPr>
          <w:rFonts w:eastAsia="Calibri"/>
          <w:lang w:eastAsia="en-US"/>
        </w:rPr>
        <w:t xml:space="preserve">. According to the customer practices, the </w:t>
      </w:r>
      <w:r w:rsidRPr="00645300">
        <w:rPr>
          <w:rFonts w:eastAsia="Calibri"/>
          <w:lang w:eastAsia="en-US"/>
        </w:rPr>
        <w:t xml:space="preserve">product </w:t>
      </w:r>
      <w:r w:rsidR="0073642B" w:rsidRPr="00645300">
        <w:rPr>
          <w:rFonts w:eastAsia="Calibri"/>
          <w:lang w:eastAsia="en-US"/>
        </w:rPr>
        <w:t xml:space="preserve">volume used per year in a city like Valencia in Spain is around 5000 L, therefore this volume </w:t>
      </w:r>
      <w:r>
        <w:rPr>
          <w:rFonts w:eastAsia="Calibri"/>
          <w:lang w:eastAsia="en-US"/>
        </w:rPr>
        <w:t>has been</w:t>
      </w:r>
      <w:r w:rsidRPr="00645300">
        <w:rPr>
          <w:rFonts w:eastAsia="Calibri"/>
          <w:lang w:eastAsia="en-US"/>
        </w:rPr>
        <w:t xml:space="preserve"> </w:t>
      </w:r>
      <w:r w:rsidR="0073642B" w:rsidRPr="00645300">
        <w:rPr>
          <w:rFonts w:eastAsia="Calibri"/>
          <w:lang w:eastAsia="en-US"/>
        </w:rPr>
        <w:t xml:space="preserve">rounded to 125 L per week. </w:t>
      </w:r>
      <w:r w:rsidR="0073642B">
        <w:rPr>
          <w:rFonts w:eastAsia="Calibri"/>
          <w:lang w:eastAsia="en-US"/>
        </w:rPr>
        <w:t xml:space="preserve">Considering </w:t>
      </w:r>
      <w:r w:rsidR="0073642B" w:rsidRPr="00645300">
        <w:rPr>
          <w:rFonts w:eastAsia="Calibri"/>
          <w:lang w:eastAsia="en-US"/>
        </w:rPr>
        <w:t xml:space="preserve">a daily scenario, with the volume of 18 L/day (125/7), a treated surface area of 2250 m² per day has to be </w:t>
      </w:r>
      <w:r>
        <w:rPr>
          <w:rFonts w:eastAsia="Calibri"/>
          <w:lang w:eastAsia="en-US"/>
        </w:rPr>
        <w:t>calculated</w:t>
      </w:r>
      <w:r w:rsidR="0073642B" w:rsidRPr="00645300">
        <w:rPr>
          <w:rFonts w:eastAsia="Calibri"/>
          <w:lang w:eastAsia="en-US"/>
        </w:rPr>
        <w:t>.</w:t>
      </w:r>
      <w:r w:rsidR="0073642B">
        <w:rPr>
          <w:rFonts w:eastAsia="Calibri"/>
          <w:lang w:eastAsia="en-US"/>
        </w:rPr>
        <w:t xml:space="preserve"> This Tier 2 approach was rejected because </w:t>
      </w:r>
      <w:r w:rsidR="00CD08F7">
        <w:rPr>
          <w:rFonts w:eastAsia="Calibri"/>
          <w:lang w:eastAsia="en-US"/>
        </w:rPr>
        <w:t xml:space="preserve">this type of </w:t>
      </w:r>
      <w:r w:rsidR="0073642B">
        <w:rPr>
          <w:rFonts w:eastAsia="Calibri"/>
          <w:lang w:eastAsia="en-US"/>
        </w:rPr>
        <w:t xml:space="preserve">treatment is considered </w:t>
      </w:r>
      <w:r w:rsidR="00FC20B4">
        <w:rPr>
          <w:rFonts w:eastAsia="Calibri"/>
          <w:lang w:eastAsia="en-US"/>
        </w:rPr>
        <w:t xml:space="preserve">to be </w:t>
      </w:r>
      <w:r w:rsidR="0073642B">
        <w:rPr>
          <w:rFonts w:eastAsia="Calibri"/>
          <w:lang w:eastAsia="en-US"/>
        </w:rPr>
        <w:t>a one-time event occurring on a short period of time.</w:t>
      </w:r>
    </w:p>
    <w:p w14:paraId="31B48300" w14:textId="77777777" w:rsidR="0073642B" w:rsidRDefault="0073642B" w:rsidP="0073642B">
      <w:pPr>
        <w:jc w:val="both"/>
        <w:rPr>
          <w:rFonts w:eastAsia="Calibri"/>
          <w:lang w:eastAsia="en-US"/>
        </w:rPr>
      </w:pPr>
    </w:p>
    <w:p w14:paraId="751261B3" w14:textId="60B8D1B3" w:rsidR="0073642B" w:rsidRPr="00FD2055" w:rsidRDefault="0073642B" w:rsidP="0073642B">
      <w:pPr>
        <w:jc w:val="both"/>
        <w:rPr>
          <w:rFonts w:eastAsia="Calibri"/>
          <w:lang w:eastAsia="en-US"/>
        </w:rPr>
      </w:pPr>
      <w:r>
        <w:rPr>
          <w:rFonts w:eastAsia="Calibri"/>
          <w:lang w:eastAsia="en-US"/>
        </w:rPr>
        <w:t xml:space="preserve">Use for disinfection of waste containers and the </w:t>
      </w:r>
      <w:r w:rsidR="00FC20B4">
        <w:rPr>
          <w:rFonts w:eastAsia="Calibri"/>
          <w:lang w:eastAsia="en-US"/>
        </w:rPr>
        <w:t xml:space="preserve">around </w:t>
      </w:r>
      <w:r>
        <w:rPr>
          <w:rFonts w:eastAsia="Calibri"/>
          <w:lang w:eastAsia="en-US"/>
        </w:rPr>
        <w:t>floor is covered by Scenario 1</w:t>
      </w:r>
      <w:r w:rsidR="000F4274">
        <w:rPr>
          <w:rFonts w:eastAsia="Calibri"/>
          <w:lang w:eastAsia="en-US"/>
        </w:rPr>
        <w:t>a</w:t>
      </w:r>
      <w:r w:rsidRPr="000A4446">
        <w:rPr>
          <w:rFonts w:eastAsia="Calibri"/>
          <w:lang w:eastAsia="en-US"/>
        </w:rPr>
        <w:t xml:space="preserve"> </w:t>
      </w:r>
      <w:r>
        <w:rPr>
          <w:rFonts w:eastAsia="Calibri"/>
          <w:lang w:eastAsia="en-US"/>
        </w:rPr>
        <w:t xml:space="preserve">when </w:t>
      </w:r>
      <w:r w:rsidR="00ED2ECB">
        <w:rPr>
          <w:rFonts w:eastAsia="Calibri"/>
          <w:lang w:eastAsia="en-US"/>
        </w:rPr>
        <w:t>applied</w:t>
      </w:r>
      <w:r>
        <w:rPr>
          <w:rFonts w:eastAsia="Calibri"/>
          <w:lang w:eastAsia="en-US"/>
        </w:rPr>
        <w:t xml:space="preserve"> inside buildings, and is covered by scenario 4 and 5</w:t>
      </w:r>
      <w:r w:rsidRPr="000A4446">
        <w:rPr>
          <w:rFonts w:eastAsia="Calibri"/>
          <w:lang w:eastAsia="en-US"/>
        </w:rPr>
        <w:t xml:space="preserve"> </w:t>
      </w:r>
      <w:r>
        <w:rPr>
          <w:rFonts w:eastAsia="Calibri"/>
          <w:lang w:eastAsia="en-US"/>
        </w:rPr>
        <w:t>when outside buiding.</w:t>
      </w:r>
    </w:p>
    <w:p w14:paraId="5D3B13E6" w14:textId="77777777" w:rsidR="0073642B" w:rsidRPr="00896F37" w:rsidRDefault="0073642B" w:rsidP="0073642B">
      <w:pPr>
        <w:spacing w:line="276" w:lineRule="auto"/>
        <w:rPr>
          <w:rFonts w:eastAsia="Calibri" w:cs="Times New Roman"/>
          <w:bCs/>
          <w:lang w:eastAsia="en-US"/>
        </w:rPr>
      </w:pPr>
    </w:p>
    <w:p w14:paraId="3E7752C5" w14:textId="77777777" w:rsidR="0073642B" w:rsidRDefault="0073642B" w:rsidP="0073642B">
      <w:pPr>
        <w:ind w:left="142"/>
        <w:jc w:val="both"/>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73642B" w14:paraId="133EFEB1" w14:textId="77777777" w:rsidTr="00476D22">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2AF1ED8" w14:textId="77777777" w:rsidR="0073642B" w:rsidRPr="00570475" w:rsidRDefault="0073642B" w:rsidP="00476D22">
            <w:pPr>
              <w:spacing w:before="60" w:after="60" w:line="260" w:lineRule="atLeast"/>
              <w:rPr>
                <w:sz w:val="18"/>
                <w:szCs w:val="18"/>
              </w:rPr>
            </w:pPr>
            <w:r w:rsidRPr="00570475">
              <w:rPr>
                <w:rFonts w:eastAsia="Calibri"/>
                <w:b/>
                <w:sz w:val="18"/>
                <w:szCs w:val="18"/>
                <w:lang w:eastAsia="en-US"/>
              </w:rPr>
              <w:lastRenderedPageBreak/>
              <w:t>Input parameters for calculating the local emission</w:t>
            </w:r>
          </w:p>
        </w:tc>
      </w:tr>
      <w:tr w:rsidR="0073642B" w14:paraId="2A409F87" w14:textId="77777777" w:rsidTr="00476D22">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72BD84F2"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6BA2350B"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48D9CE06"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8CBA" w14:textId="77777777" w:rsidR="0073642B" w:rsidRPr="00570475" w:rsidRDefault="0073642B" w:rsidP="00476D22">
            <w:pPr>
              <w:spacing w:before="60" w:after="60" w:line="260" w:lineRule="atLeast"/>
              <w:rPr>
                <w:sz w:val="18"/>
                <w:szCs w:val="18"/>
              </w:rPr>
            </w:pPr>
            <w:r w:rsidRPr="00570475">
              <w:rPr>
                <w:rFonts w:eastAsia="Calibri" w:cs="Arial"/>
                <w:b/>
                <w:bCs/>
                <w:color w:val="000000"/>
                <w:sz w:val="18"/>
                <w:szCs w:val="18"/>
                <w:lang w:eastAsia="en-GB"/>
              </w:rPr>
              <w:t>Remarks</w:t>
            </w:r>
          </w:p>
        </w:tc>
      </w:tr>
      <w:tr w:rsidR="0073642B" w14:paraId="5E51388E" w14:textId="77777777" w:rsidTr="00476D22">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34BD5C" w14:textId="77777777" w:rsidR="0073642B" w:rsidRPr="00570475" w:rsidRDefault="0073642B" w:rsidP="00476D22">
            <w:pPr>
              <w:spacing w:line="260" w:lineRule="atLeast"/>
              <w:rPr>
                <w:sz w:val="18"/>
                <w:szCs w:val="18"/>
              </w:rPr>
            </w:pPr>
            <w:r w:rsidRPr="00570475">
              <w:rPr>
                <w:rFonts w:eastAsia="Calibri"/>
                <w:color w:val="000000"/>
                <w:sz w:val="18"/>
                <w:szCs w:val="18"/>
                <w:lang w:eastAsia="en-GB"/>
              </w:rPr>
              <w:t>Scenario 4:</w:t>
            </w:r>
            <w:r w:rsidRPr="00570475">
              <w:rPr>
                <w:rFonts w:eastAsia="Calibri"/>
                <w:i/>
                <w:color w:val="FF0000"/>
                <w:sz w:val="18"/>
                <w:szCs w:val="18"/>
                <w:lang w:eastAsia="en-GB"/>
              </w:rPr>
              <w:t xml:space="preserve"> </w:t>
            </w:r>
            <w:r w:rsidRPr="00570475">
              <w:rPr>
                <w:iCs/>
                <w:sz w:val="18"/>
                <w:szCs w:val="18"/>
              </w:rPr>
              <w:t xml:space="preserve">Outdoor - </w:t>
            </w:r>
            <w:r w:rsidRPr="00570475">
              <w:rPr>
                <w:sz w:val="18"/>
                <w:szCs w:val="18"/>
              </w:rPr>
              <w:t>Disinfection of road ways indirect emission via STP</w:t>
            </w:r>
            <w:r w:rsidRPr="00570475">
              <w:rPr>
                <w:color w:val="221E1F"/>
                <w:sz w:val="18"/>
                <w:szCs w:val="18"/>
                <w:lang w:val="en-US"/>
              </w:rPr>
              <w:t xml:space="preserve"> </w:t>
            </w:r>
          </w:p>
        </w:tc>
      </w:tr>
      <w:tr w:rsidR="0073642B" w14:paraId="36A8DA6C" w14:textId="77777777" w:rsidTr="00ED3438">
        <w:trPr>
          <w:trHeight w:val="93"/>
        </w:trPr>
        <w:tc>
          <w:tcPr>
            <w:tcW w:w="3936" w:type="dxa"/>
            <w:tcBorders>
              <w:top w:val="single" w:sz="4" w:space="0" w:color="000000"/>
              <w:left w:val="single" w:sz="4" w:space="0" w:color="000000"/>
              <w:bottom w:val="single" w:sz="4" w:space="0" w:color="auto"/>
            </w:tcBorders>
            <w:shd w:val="clear" w:color="auto" w:fill="auto"/>
            <w:vAlign w:val="center"/>
          </w:tcPr>
          <w:p w14:paraId="6CF37A06"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olor w:val="000000"/>
                <w:sz w:val="18"/>
                <w:szCs w:val="18"/>
                <w:lang w:eastAsia="en-GB"/>
              </w:rPr>
              <w:t>Application rate of biocidal product V</w:t>
            </w:r>
            <w:r w:rsidRPr="00570475">
              <w:rPr>
                <w:i/>
                <w:color w:val="000000"/>
                <w:sz w:val="18"/>
                <w:szCs w:val="18"/>
                <w:vertAlign w:val="subscript"/>
              </w:rPr>
              <w:t>product</w:t>
            </w:r>
          </w:p>
        </w:tc>
        <w:tc>
          <w:tcPr>
            <w:tcW w:w="1451" w:type="dxa"/>
            <w:tcBorders>
              <w:top w:val="single" w:sz="4" w:space="0" w:color="000000"/>
              <w:left w:val="single" w:sz="4" w:space="0" w:color="000000"/>
              <w:bottom w:val="single" w:sz="4" w:space="0" w:color="auto"/>
            </w:tcBorders>
            <w:shd w:val="clear" w:color="auto" w:fill="auto"/>
            <w:vAlign w:val="center"/>
          </w:tcPr>
          <w:p w14:paraId="539D1B3C"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0.1</w:t>
            </w:r>
          </w:p>
        </w:tc>
        <w:tc>
          <w:tcPr>
            <w:tcW w:w="1560" w:type="dxa"/>
            <w:tcBorders>
              <w:top w:val="single" w:sz="4" w:space="0" w:color="000000"/>
              <w:left w:val="single" w:sz="4" w:space="0" w:color="000000"/>
              <w:bottom w:val="single" w:sz="4" w:space="0" w:color="auto"/>
            </w:tcBorders>
            <w:shd w:val="clear" w:color="auto" w:fill="auto"/>
            <w:vAlign w:val="center"/>
          </w:tcPr>
          <w:p w14:paraId="4D2AABBB"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sz w:val="18"/>
                <w:szCs w:val="18"/>
                <w:lang w:eastAsia="en-GB"/>
              </w:rPr>
              <w:t>l.m</w:t>
            </w:r>
            <w:r w:rsidRPr="00570475">
              <w:rPr>
                <w:rFonts w:eastAsia="Calibri"/>
                <w:sz w:val="18"/>
                <w:szCs w:val="18"/>
                <w:vertAlign w:val="superscript"/>
                <w:lang w:eastAsia="en-GB"/>
              </w:rPr>
              <w:t>-</w:t>
            </w:r>
            <w:r w:rsidRPr="00570475">
              <w:rPr>
                <w:rFonts w:eastAsia="Calibri"/>
                <w:sz w:val="18"/>
                <w:szCs w:val="18"/>
                <w:lang w:eastAsia="en-GB"/>
              </w:rPr>
              <w:t>²</w:t>
            </w:r>
          </w:p>
        </w:tc>
        <w:tc>
          <w:tcPr>
            <w:tcW w:w="21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90B0417"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Default value of application rate for large scale (TAB ENV 26)</w:t>
            </w:r>
          </w:p>
        </w:tc>
      </w:tr>
      <w:tr w:rsidR="0073642B" w14:paraId="102D44D8" w14:textId="77777777" w:rsidTr="00ED3438">
        <w:trPr>
          <w:trHeight w:val="93"/>
        </w:trPr>
        <w:tc>
          <w:tcPr>
            <w:tcW w:w="3936" w:type="dxa"/>
            <w:tcBorders>
              <w:top w:val="single" w:sz="4" w:space="0" w:color="auto"/>
              <w:left w:val="single" w:sz="4" w:space="0" w:color="auto"/>
              <w:right w:val="single" w:sz="4" w:space="0" w:color="auto"/>
            </w:tcBorders>
            <w:shd w:val="clear" w:color="auto" w:fill="auto"/>
            <w:vAlign w:val="center"/>
          </w:tcPr>
          <w:p w14:paraId="06D022A7" w14:textId="77777777" w:rsidR="0073642B" w:rsidRPr="00570475" w:rsidRDefault="0073642B" w:rsidP="00476D22">
            <w:pPr>
              <w:suppressAutoHyphens w:val="0"/>
              <w:rPr>
                <w:color w:val="000000"/>
                <w:sz w:val="18"/>
                <w:szCs w:val="18"/>
              </w:rPr>
            </w:pPr>
            <w:r w:rsidRPr="00570475">
              <w:rPr>
                <w:color w:val="000000"/>
                <w:sz w:val="18"/>
                <w:szCs w:val="18"/>
              </w:rPr>
              <w:t>Concentration of substance in the product</w:t>
            </w:r>
          </w:p>
          <w:p w14:paraId="79CE03BB" w14:textId="77777777" w:rsidR="0073642B" w:rsidRPr="00570475" w:rsidRDefault="0073642B" w:rsidP="00476D22">
            <w:pPr>
              <w:keepNext/>
              <w:rPr>
                <w:color w:val="000000"/>
                <w:sz w:val="18"/>
                <w:szCs w:val="18"/>
              </w:rPr>
            </w:pPr>
            <w:r w:rsidRPr="00570475">
              <w:rPr>
                <w:i/>
                <w:color w:val="000000"/>
                <w:sz w:val="18"/>
                <w:szCs w:val="18"/>
              </w:rPr>
              <w:t>C</w:t>
            </w:r>
            <w:r w:rsidRPr="00570475">
              <w:rPr>
                <w:i/>
                <w:color w:val="000000"/>
                <w:sz w:val="18"/>
                <w:szCs w:val="18"/>
                <w:vertAlign w:val="subscript"/>
              </w:rPr>
              <w:t>product</w:t>
            </w:r>
          </w:p>
        </w:tc>
        <w:tc>
          <w:tcPr>
            <w:tcW w:w="1451" w:type="dxa"/>
            <w:tcBorders>
              <w:top w:val="single" w:sz="4" w:space="0" w:color="auto"/>
              <w:left w:val="single" w:sz="4" w:space="0" w:color="auto"/>
              <w:right w:val="single" w:sz="4" w:space="0" w:color="auto"/>
            </w:tcBorders>
            <w:shd w:val="clear" w:color="auto" w:fill="auto"/>
            <w:vAlign w:val="center"/>
          </w:tcPr>
          <w:p w14:paraId="6F721D6F" w14:textId="19F900F5" w:rsidR="0073642B" w:rsidRPr="00570475" w:rsidRDefault="0073642B" w:rsidP="00476D22">
            <w:pPr>
              <w:snapToGrid w:val="0"/>
              <w:spacing w:before="60" w:after="60" w:line="260" w:lineRule="atLeast"/>
              <w:rPr>
                <w:rFonts w:eastAsia="Calibri" w:cs="Arial"/>
                <w:color w:val="000000"/>
                <w:sz w:val="18"/>
                <w:szCs w:val="18"/>
                <w:lang w:eastAsia="en-GB"/>
              </w:rPr>
            </w:pPr>
          </w:p>
          <w:p w14:paraId="07E018F3" w14:textId="16FA4778" w:rsidR="0073642B" w:rsidRPr="00570475" w:rsidRDefault="0073642B" w:rsidP="00476D22">
            <w:pPr>
              <w:snapToGrid w:val="0"/>
              <w:spacing w:before="60" w:after="60" w:line="260" w:lineRule="atLeast"/>
              <w:rPr>
                <w:rFonts w:eastAsia="Calibri" w:cs="Arial"/>
                <w:color w:val="000000"/>
                <w:sz w:val="18"/>
                <w:szCs w:val="18"/>
                <w:lang w:eastAsia="en-GB"/>
              </w:rPr>
            </w:pPr>
          </w:p>
        </w:tc>
        <w:tc>
          <w:tcPr>
            <w:tcW w:w="1560" w:type="dxa"/>
            <w:tcBorders>
              <w:top w:val="single" w:sz="4" w:space="0" w:color="auto"/>
              <w:left w:val="single" w:sz="4" w:space="0" w:color="auto"/>
              <w:right w:val="single" w:sz="4" w:space="0" w:color="auto"/>
            </w:tcBorders>
            <w:shd w:val="clear" w:color="auto" w:fill="auto"/>
            <w:vAlign w:val="center"/>
          </w:tcPr>
          <w:p w14:paraId="3B29CBDD" w14:textId="3C4DB5E3" w:rsidR="0073642B" w:rsidRPr="00570475" w:rsidRDefault="0073642B" w:rsidP="00476D22">
            <w:pPr>
              <w:snapToGrid w:val="0"/>
              <w:spacing w:before="60" w:after="60" w:line="260" w:lineRule="atLeast"/>
              <w:rPr>
                <w:rFonts w:eastAsia="Calibri" w:cs="Arial"/>
                <w:color w:val="000000"/>
                <w:sz w:val="18"/>
                <w:szCs w:val="18"/>
                <w:lang w:eastAsia="en-GB"/>
              </w:rPr>
            </w:pPr>
          </w:p>
        </w:tc>
        <w:tc>
          <w:tcPr>
            <w:tcW w:w="2135" w:type="dxa"/>
            <w:tcBorders>
              <w:top w:val="single" w:sz="4" w:space="0" w:color="auto"/>
              <w:left w:val="single" w:sz="4" w:space="0" w:color="auto"/>
              <w:right w:val="single" w:sz="4" w:space="0" w:color="auto"/>
            </w:tcBorders>
            <w:shd w:val="clear" w:color="auto" w:fill="auto"/>
            <w:vAlign w:val="center"/>
          </w:tcPr>
          <w:p w14:paraId="4D7EAFDB" w14:textId="474408A9" w:rsidR="0073642B" w:rsidRPr="00570475" w:rsidRDefault="0073642B" w:rsidP="00476D22">
            <w:pPr>
              <w:snapToGrid w:val="0"/>
              <w:spacing w:before="60" w:after="60" w:line="260" w:lineRule="atLeast"/>
              <w:rPr>
                <w:rFonts w:eastAsia="Calibri" w:cs="Arial"/>
                <w:color w:val="000000"/>
                <w:sz w:val="18"/>
                <w:szCs w:val="18"/>
                <w:lang w:eastAsia="en-GB"/>
              </w:rPr>
            </w:pPr>
          </w:p>
        </w:tc>
      </w:tr>
      <w:tr w:rsidR="00287D34" w14:paraId="4A9EF72B" w14:textId="77777777" w:rsidTr="00770B5D">
        <w:trPr>
          <w:trHeight w:val="1459"/>
        </w:trPr>
        <w:tc>
          <w:tcPr>
            <w:tcW w:w="3936" w:type="dxa"/>
            <w:tcBorders>
              <w:left w:val="single" w:sz="4" w:space="0" w:color="auto"/>
              <w:right w:val="single" w:sz="4" w:space="0" w:color="auto"/>
            </w:tcBorders>
            <w:shd w:val="clear" w:color="auto" w:fill="auto"/>
            <w:vAlign w:val="center"/>
          </w:tcPr>
          <w:p w14:paraId="59E60457" w14:textId="7275A99C" w:rsidR="00287D34" w:rsidRDefault="00287D34" w:rsidP="00476D22">
            <w:pPr>
              <w:suppressAutoHyphens w:val="0"/>
              <w:rPr>
                <w:color w:val="000000"/>
                <w:sz w:val="18"/>
                <w:szCs w:val="18"/>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p>
        </w:tc>
        <w:tc>
          <w:tcPr>
            <w:tcW w:w="1451" w:type="dxa"/>
            <w:tcBorders>
              <w:left w:val="single" w:sz="4" w:space="0" w:color="auto"/>
              <w:right w:val="single" w:sz="4" w:space="0" w:color="auto"/>
            </w:tcBorders>
            <w:shd w:val="clear" w:color="auto" w:fill="auto"/>
            <w:vAlign w:val="center"/>
          </w:tcPr>
          <w:p w14:paraId="68416B86" w14:textId="746BF331" w:rsidR="00287D34" w:rsidRPr="00570475" w:rsidRDefault="00287D34" w:rsidP="00476D22">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6.40E-03</w:t>
            </w:r>
          </w:p>
        </w:tc>
        <w:tc>
          <w:tcPr>
            <w:tcW w:w="1560" w:type="dxa"/>
            <w:tcBorders>
              <w:left w:val="single" w:sz="4" w:space="0" w:color="auto"/>
              <w:right w:val="single" w:sz="4" w:space="0" w:color="auto"/>
            </w:tcBorders>
            <w:shd w:val="clear" w:color="auto" w:fill="auto"/>
            <w:vAlign w:val="center"/>
          </w:tcPr>
          <w:p w14:paraId="30C6DF6E" w14:textId="5B213611" w:rsidR="00287D34" w:rsidRPr="00570475" w:rsidRDefault="00287D34" w:rsidP="00476D22">
            <w:pPr>
              <w:snapToGrid w:val="0"/>
              <w:spacing w:before="60" w:after="60" w:line="260" w:lineRule="atLeast"/>
              <w:rPr>
                <w:color w:val="000000"/>
                <w:sz w:val="18"/>
                <w:szCs w:val="18"/>
              </w:rPr>
            </w:pPr>
            <w:r w:rsidRPr="00570475">
              <w:rPr>
                <w:color w:val="000000"/>
                <w:sz w:val="18"/>
                <w:szCs w:val="18"/>
              </w:rPr>
              <w:t>kg.l</w:t>
            </w:r>
            <w:r w:rsidRPr="00570475">
              <w:rPr>
                <w:color w:val="000000"/>
                <w:sz w:val="18"/>
                <w:szCs w:val="18"/>
                <w:vertAlign w:val="superscript"/>
              </w:rPr>
              <w:t>-1</w:t>
            </w:r>
          </w:p>
        </w:tc>
        <w:tc>
          <w:tcPr>
            <w:tcW w:w="2135" w:type="dxa"/>
            <w:tcBorders>
              <w:left w:val="single" w:sz="4" w:space="0" w:color="auto"/>
              <w:right w:val="single" w:sz="4" w:space="0" w:color="auto"/>
            </w:tcBorders>
            <w:shd w:val="clear" w:color="auto" w:fill="auto"/>
            <w:vAlign w:val="center"/>
          </w:tcPr>
          <w:p w14:paraId="58763A14" w14:textId="6B1CA3C8" w:rsidR="00287D34" w:rsidRDefault="009B4803" w:rsidP="00476D22">
            <w:pPr>
              <w:snapToGrid w:val="0"/>
              <w:spacing w:before="60" w:after="60" w:line="260" w:lineRule="atLeast"/>
              <w:rPr>
                <w:sz w:val="18"/>
                <w:szCs w:val="18"/>
              </w:rPr>
            </w:pPr>
            <w:r w:rsidRPr="001C6AF1">
              <w:rPr>
                <w:sz w:val="18"/>
                <w:szCs w:val="18"/>
                <w:lang w:val="en-US"/>
              </w:rPr>
              <w:t>Considering that product density may vary from 1.004 to 1.077</w:t>
            </w:r>
            <w:r w:rsidR="00ED2ECB" w:rsidRPr="001C6AF1">
              <w:rPr>
                <w:sz w:val="18"/>
                <w:szCs w:val="18"/>
                <w:lang w:val="en-US"/>
              </w:rPr>
              <w:t xml:space="preserve"> for all the Meta-SPC</w:t>
            </w:r>
            <w:r w:rsidRPr="001C6AF1">
              <w:rPr>
                <w:sz w:val="18"/>
                <w:szCs w:val="18"/>
                <w:lang w:val="en-US"/>
              </w:rPr>
              <w:t>, a density of 1 is considered for the assessment</w:t>
            </w:r>
          </w:p>
        </w:tc>
      </w:tr>
      <w:tr w:rsidR="00287D34" w14:paraId="7399FF2B" w14:textId="77777777" w:rsidTr="00ED3438">
        <w:trPr>
          <w:trHeight w:val="93"/>
        </w:trPr>
        <w:tc>
          <w:tcPr>
            <w:tcW w:w="3936" w:type="dxa"/>
            <w:tcBorders>
              <w:left w:val="single" w:sz="4" w:space="0" w:color="auto"/>
              <w:bottom w:val="single" w:sz="4" w:space="0" w:color="auto"/>
              <w:right w:val="single" w:sz="4" w:space="0" w:color="auto"/>
            </w:tcBorders>
            <w:shd w:val="clear" w:color="auto" w:fill="auto"/>
            <w:vAlign w:val="center"/>
          </w:tcPr>
          <w:p w14:paraId="62EC237B" w14:textId="25B232A8" w:rsidR="00287D34" w:rsidRPr="00570475" w:rsidRDefault="00287D34" w:rsidP="00476D22">
            <w:pPr>
              <w:suppressAutoHyphens w:val="0"/>
              <w:rPr>
                <w:color w:val="000000"/>
                <w:sz w:val="18"/>
                <w:szCs w:val="18"/>
              </w:rPr>
            </w:pPr>
            <w:r w:rsidRPr="00570475">
              <w:rPr>
                <w:rFonts w:eastAsia="Calibri" w:cs="Arial"/>
                <w:color w:val="000000"/>
                <w:sz w:val="18"/>
                <w:szCs w:val="18"/>
                <w:lang w:eastAsia="en-GB"/>
              </w:rPr>
              <w:t>OTNE</w:t>
            </w:r>
          </w:p>
        </w:tc>
        <w:tc>
          <w:tcPr>
            <w:tcW w:w="1451" w:type="dxa"/>
            <w:tcBorders>
              <w:left w:val="single" w:sz="4" w:space="0" w:color="auto"/>
              <w:bottom w:val="single" w:sz="4" w:space="0" w:color="auto"/>
              <w:right w:val="single" w:sz="4" w:space="0" w:color="auto"/>
            </w:tcBorders>
            <w:shd w:val="clear" w:color="auto" w:fill="auto"/>
            <w:vAlign w:val="center"/>
          </w:tcPr>
          <w:p w14:paraId="181A1960" w14:textId="5CEDD06C" w:rsidR="00287D34" w:rsidRPr="00570475" w:rsidRDefault="00287D34" w:rsidP="00476D22">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7.20E-04</w:t>
            </w:r>
          </w:p>
        </w:tc>
        <w:tc>
          <w:tcPr>
            <w:tcW w:w="1560" w:type="dxa"/>
            <w:tcBorders>
              <w:left w:val="single" w:sz="4" w:space="0" w:color="auto"/>
              <w:bottom w:val="single" w:sz="4" w:space="0" w:color="auto"/>
              <w:right w:val="single" w:sz="4" w:space="0" w:color="auto"/>
            </w:tcBorders>
            <w:shd w:val="clear" w:color="auto" w:fill="auto"/>
            <w:vAlign w:val="center"/>
          </w:tcPr>
          <w:p w14:paraId="3C4C3CBC" w14:textId="77777777" w:rsidR="00287D34" w:rsidRPr="00570475" w:rsidRDefault="00287D34" w:rsidP="00476D22">
            <w:pPr>
              <w:snapToGrid w:val="0"/>
              <w:spacing w:before="60" w:after="60" w:line="260" w:lineRule="atLeast"/>
              <w:rPr>
                <w:color w:val="000000"/>
                <w:sz w:val="18"/>
                <w:szCs w:val="18"/>
              </w:rPr>
            </w:pPr>
          </w:p>
        </w:tc>
        <w:tc>
          <w:tcPr>
            <w:tcW w:w="2135" w:type="dxa"/>
            <w:tcBorders>
              <w:left w:val="single" w:sz="4" w:space="0" w:color="auto"/>
              <w:bottom w:val="single" w:sz="4" w:space="0" w:color="auto"/>
              <w:right w:val="single" w:sz="4" w:space="0" w:color="auto"/>
            </w:tcBorders>
            <w:shd w:val="clear" w:color="auto" w:fill="auto"/>
            <w:vAlign w:val="center"/>
          </w:tcPr>
          <w:p w14:paraId="53C2CF5D" w14:textId="77777777" w:rsidR="00287D34" w:rsidRPr="00570475" w:rsidRDefault="00287D34" w:rsidP="00476D22">
            <w:pPr>
              <w:snapToGrid w:val="0"/>
              <w:spacing w:before="60" w:after="60" w:line="260" w:lineRule="atLeast"/>
              <w:rPr>
                <w:sz w:val="18"/>
                <w:szCs w:val="18"/>
              </w:rPr>
            </w:pPr>
          </w:p>
        </w:tc>
      </w:tr>
      <w:tr w:rsidR="0073642B" w14:paraId="32C01B64" w14:textId="77777777" w:rsidTr="00ED3438">
        <w:trPr>
          <w:trHeight w:val="93"/>
        </w:trPr>
        <w:tc>
          <w:tcPr>
            <w:tcW w:w="3936" w:type="dxa"/>
            <w:tcBorders>
              <w:top w:val="single" w:sz="4" w:space="0" w:color="auto"/>
              <w:left w:val="single" w:sz="4" w:space="0" w:color="000000"/>
              <w:bottom w:val="single" w:sz="4" w:space="0" w:color="000000"/>
            </w:tcBorders>
            <w:shd w:val="clear" w:color="auto" w:fill="auto"/>
            <w:vAlign w:val="center"/>
          </w:tcPr>
          <w:p w14:paraId="33B6D59B" w14:textId="77777777" w:rsidR="0073642B" w:rsidRPr="00570475" w:rsidRDefault="0073642B" w:rsidP="00476D22">
            <w:pPr>
              <w:keepNext/>
              <w:rPr>
                <w:color w:val="000000"/>
                <w:sz w:val="18"/>
                <w:szCs w:val="18"/>
              </w:rPr>
            </w:pPr>
            <w:r w:rsidRPr="00570475">
              <w:rPr>
                <w:color w:val="000000"/>
                <w:sz w:val="18"/>
                <w:szCs w:val="18"/>
              </w:rPr>
              <w:t>AREA</w:t>
            </w:r>
          </w:p>
        </w:tc>
        <w:tc>
          <w:tcPr>
            <w:tcW w:w="1451" w:type="dxa"/>
            <w:tcBorders>
              <w:top w:val="single" w:sz="4" w:space="0" w:color="auto"/>
              <w:left w:val="single" w:sz="4" w:space="0" w:color="000000"/>
              <w:bottom w:val="single" w:sz="4" w:space="0" w:color="000000"/>
            </w:tcBorders>
            <w:shd w:val="clear" w:color="auto" w:fill="auto"/>
            <w:vAlign w:val="center"/>
          </w:tcPr>
          <w:p w14:paraId="082D6B8F"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15 000</w:t>
            </w:r>
          </w:p>
        </w:tc>
        <w:tc>
          <w:tcPr>
            <w:tcW w:w="1560" w:type="dxa"/>
            <w:tcBorders>
              <w:top w:val="single" w:sz="4" w:space="0" w:color="auto"/>
              <w:left w:val="single" w:sz="4" w:space="0" w:color="000000"/>
              <w:bottom w:val="single" w:sz="4" w:space="0" w:color="000000"/>
            </w:tcBorders>
            <w:shd w:val="clear" w:color="auto" w:fill="auto"/>
            <w:vAlign w:val="center"/>
          </w:tcPr>
          <w:p w14:paraId="51841508"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m</w:t>
            </w:r>
            <w:r w:rsidRPr="00570475">
              <w:rPr>
                <w:color w:val="000000"/>
                <w:sz w:val="18"/>
                <w:szCs w:val="18"/>
                <w:vertAlign w:val="superscript"/>
              </w:rPr>
              <w:t>2</w:t>
            </w:r>
          </w:p>
        </w:tc>
        <w:tc>
          <w:tcPr>
            <w:tcW w:w="2135" w:type="dxa"/>
            <w:tcBorders>
              <w:top w:val="single" w:sz="4" w:space="0" w:color="auto"/>
              <w:left w:val="single" w:sz="4" w:space="0" w:color="000000"/>
              <w:bottom w:val="single" w:sz="4" w:space="0" w:color="000000"/>
              <w:right w:val="single" w:sz="4" w:space="0" w:color="000000"/>
            </w:tcBorders>
            <w:shd w:val="clear" w:color="auto" w:fill="auto"/>
            <w:vAlign w:val="center"/>
          </w:tcPr>
          <w:p w14:paraId="5327A3B4"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sz w:val="18"/>
                <w:szCs w:val="18"/>
                <w:lang w:eastAsia="en-GB"/>
              </w:rPr>
              <w:t>Considering average surface AREA of marketplaces in France</w:t>
            </w:r>
          </w:p>
        </w:tc>
      </w:tr>
      <w:tr w:rsidR="0073642B" w14:paraId="171AF262"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EE78D7E" w14:textId="77777777" w:rsidR="0073642B" w:rsidRPr="00570475" w:rsidRDefault="0073642B" w:rsidP="00476D22">
            <w:pPr>
              <w:keepNext/>
              <w:rPr>
                <w:color w:val="000000"/>
                <w:sz w:val="18"/>
                <w:szCs w:val="18"/>
              </w:rPr>
            </w:pPr>
            <w:r w:rsidRPr="00570475">
              <w:rPr>
                <w:color w:val="000000"/>
                <w:sz w:val="18"/>
                <w:szCs w:val="18"/>
              </w:rPr>
              <w:t>Number of applications per day</w:t>
            </w:r>
          </w:p>
          <w:p w14:paraId="642BDD28" w14:textId="77777777" w:rsidR="0073642B" w:rsidRPr="00570475" w:rsidRDefault="0073642B" w:rsidP="00476D22">
            <w:pPr>
              <w:keepNext/>
              <w:rPr>
                <w:color w:val="000000"/>
                <w:sz w:val="18"/>
                <w:szCs w:val="18"/>
              </w:rPr>
            </w:pPr>
            <w:r w:rsidRPr="00570475">
              <w:rPr>
                <w:color w:val="000000"/>
                <w:sz w:val="18"/>
                <w:szCs w:val="18"/>
              </w:rPr>
              <w:t>Napp</w:t>
            </w:r>
          </w:p>
        </w:tc>
        <w:tc>
          <w:tcPr>
            <w:tcW w:w="1451" w:type="dxa"/>
            <w:tcBorders>
              <w:top w:val="single" w:sz="4" w:space="0" w:color="000000"/>
              <w:left w:val="single" w:sz="4" w:space="0" w:color="000000"/>
              <w:bottom w:val="single" w:sz="4" w:space="0" w:color="000000"/>
            </w:tcBorders>
            <w:shd w:val="clear" w:color="auto" w:fill="auto"/>
            <w:vAlign w:val="center"/>
          </w:tcPr>
          <w:p w14:paraId="01D04531"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2DFB0D5E" w14:textId="77777777" w:rsidR="0073642B" w:rsidRPr="00570475" w:rsidRDefault="0073642B" w:rsidP="00476D22">
            <w:pPr>
              <w:snapToGrid w:val="0"/>
              <w:spacing w:before="60" w:after="60" w:line="260" w:lineRule="atLeast"/>
              <w:rPr>
                <w:color w:val="000000"/>
                <w:sz w:val="18"/>
                <w:szCs w:val="18"/>
              </w:rPr>
            </w:pPr>
            <w:r w:rsidRPr="00570475">
              <w:rPr>
                <w:color w:val="000000"/>
                <w:sz w:val="18"/>
                <w:szCs w:val="18"/>
              </w:rPr>
              <w:t>d</w:t>
            </w:r>
            <w:r w:rsidRPr="00570475">
              <w:rPr>
                <w:color w:val="000000"/>
                <w:sz w:val="18"/>
                <w:szCs w:val="18"/>
                <w:vertAlign w:val="superscript"/>
              </w:rPr>
              <w:t>-1</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9B35" w14:textId="77777777" w:rsidR="0073642B" w:rsidRPr="00570475" w:rsidRDefault="0073642B" w:rsidP="00476D22">
            <w:pPr>
              <w:snapToGrid w:val="0"/>
              <w:spacing w:before="60" w:after="60" w:line="260" w:lineRule="atLeast"/>
              <w:rPr>
                <w:rFonts w:eastAsia="Calibri"/>
                <w:sz w:val="18"/>
                <w:szCs w:val="18"/>
                <w:lang w:eastAsia="en-GB"/>
              </w:rPr>
            </w:pPr>
            <w:r w:rsidRPr="00570475">
              <w:rPr>
                <w:color w:val="000000"/>
                <w:sz w:val="18"/>
                <w:szCs w:val="18"/>
              </w:rPr>
              <w:t>Default</w:t>
            </w:r>
          </w:p>
        </w:tc>
      </w:tr>
      <w:tr w:rsidR="0073642B" w14:paraId="537A92EE"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FD160EE" w14:textId="77777777" w:rsidR="0073642B" w:rsidRPr="00570475" w:rsidRDefault="0073642B" w:rsidP="00476D22">
            <w:pPr>
              <w:keepNext/>
              <w:rPr>
                <w:color w:val="000000"/>
                <w:sz w:val="18"/>
                <w:szCs w:val="18"/>
              </w:rPr>
            </w:pPr>
            <w:r w:rsidRPr="00570475">
              <w:rPr>
                <w:color w:val="000000"/>
                <w:sz w:val="18"/>
                <w:szCs w:val="18"/>
              </w:rPr>
              <w:t>Fraction released to wastewater</w:t>
            </w:r>
          </w:p>
          <w:p w14:paraId="1E8087AB"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i/>
                <w:color w:val="000000"/>
                <w:sz w:val="18"/>
                <w:szCs w:val="18"/>
              </w:rPr>
              <w:t>F</w:t>
            </w:r>
            <w:r w:rsidRPr="00570475">
              <w:rPr>
                <w:i/>
                <w:color w:val="000000"/>
                <w:sz w:val="18"/>
                <w:szCs w:val="18"/>
                <w:vertAlign w:val="subscript"/>
              </w:rPr>
              <w:t>water</w:t>
            </w:r>
          </w:p>
        </w:tc>
        <w:tc>
          <w:tcPr>
            <w:tcW w:w="1451" w:type="dxa"/>
            <w:tcBorders>
              <w:top w:val="single" w:sz="4" w:space="0" w:color="000000"/>
              <w:left w:val="single" w:sz="4" w:space="0" w:color="000000"/>
              <w:bottom w:val="single" w:sz="4" w:space="0" w:color="000000"/>
            </w:tcBorders>
            <w:shd w:val="clear" w:color="auto" w:fill="auto"/>
            <w:vAlign w:val="center"/>
          </w:tcPr>
          <w:p w14:paraId="43E172AD"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3AF94298"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A2B4"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Default</w:t>
            </w:r>
          </w:p>
        </w:tc>
      </w:tr>
    </w:tbl>
    <w:p w14:paraId="20638F80" w14:textId="77777777" w:rsidR="0073642B" w:rsidRDefault="0073642B" w:rsidP="0073642B">
      <w:pPr>
        <w:ind w:left="142"/>
        <w:jc w:val="both"/>
        <w:rPr>
          <w:rFonts w:ascii="Times New Roman" w:eastAsia="Calibri" w:hAnsi="Times New Roman" w:cs="Times New Roman"/>
          <w:i/>
          <w:lang w:eastAsia="en-US"/>
        </w:rPr>
      </w:pPr>
    </w:p>
    <w:p w14:paraId="2684EF94" w14:textId="77777777" w:rsidR="0073642B" w:rsidRPr="003B2E23" w:rsidRDefault="0073642B" w:rsidP="0073642B">
      <w:pPr>
        <w:spacing w:line="276" w:lineRule="auto"/>
        <w:rPr>
          <w:rFonts w:eastAsia="Calibri"/>
          <w:u w:val="single"/>
          <w:lang w:val="fr-FR" w:eastAsia="en-US"/>
        </w:rPr>
      </w:pPr>
    </w:p>
    <w:p w14:paraId="54E7BE95" w14:textId="77777777" w:rsidR="0073642B" w:rsidRPr="003B2E23" w:rsidRDefault="0073642B" w:rsidP="0073642B">
      <w:pPr>
        <w:spacing w:line="276" w:lineRule="auto"/>
        <w:rPr>
          <w:rFonts w:eastAsia="Calibri"/>
          <w:u w:val="single"/>
          <w:lang w:val="en-US" w:eastAsia="en-US"/>
        </w:rPr>
      </w:pPr>
      <w:r w:rsidRPr="003B2E23">
        <w:rPr>
          <w:rFonts w:eastAsia="Calibri"/>
          <w:u w:val="single"/>
          <w:lang w:val="en-US" w:eastAsia="en-US"/>
        </w:rPr>
        <w:t xml:space="preserve">Calculations for Scenario </w:t>
      </w:r>
      <w:r>
        <w:rPr>
          <w:rFonts w:eastAsia="Calibri"/>
          <w:u w:val="single"/>
          <w:lang w:val="en-US" w:eastAsia="en-US"/>
        </w:rPr>
        <w:t>4</w:t>
      </w:r>
    </w:p>
    <w:p w14:paraId="59872E59" w14:textId="77777777" w:rsidR="0073642B" w:rsidRDefault="0073642B" w:rsidP="0073642B">
      <w:pPr>
        <w:spacing w:line="276" w:lineRule="auto"/>
        <w:rPr>
          <w:rFonts w:eastAsia="Calibri"/>
          <w:lang w:val="en-US" w:eastAsia="en-US"/>
        </w:rPr>
      </w:pPr>
    </w:p>
    <w:p w14:paraId="3209EC77" w14:textId="77777777" w:rsidR="0073642B" w:rsidRPr="003B2E23" w:rsidRDefault="0073642B" w:rsidP="0073642B">
      <w:pPr>
        <w:spacing w:line="276" w:lineRule="auto"/>
        <w:rPr>
          <w:rFonts w:eastAsia="Calibri"/>
          <w:lang w:val="en-US" w:eastAsia="en-US"/>
        </w:rPr>
      </w:pPr>
      <w:r>
        <w:rPr>
          <w:rFonts w:eastAsia="Calibri"/>
          <w:lang w:val="en-US" w:eastAsia="en-US"/>
        </w:rPr>
        <w:t>Elocalwater = Vform * Cform * Area * Nappl</w:t>
      </w:r>
      <w:r w:rsidRPr="00351C12">
        <w:rPr>
          <w:rFonts w:eastAsia="Calibri"/>
          <w:lang w:val="en-US" w:eastAsia="en-US"/>
        </w:rPr>
        <w:t xml:space="preserve"> * Fwater</w:t>
      </w:r>
    </w:p>
    <w:p w14:paraId="41C16CCB" w14:textId="77777777" w:rsidR="0073642B" w:rsidRPr="00B27CB1" w:rsidRDefault="0073642B" w:rsidP="0073642B">
      <w:pPr>
        <w:spacing w:line="276" w:lineRule="auto"/>
        <w:rPr>
          <w:rFonts w:ascii="Times New Roman" w:eastAsia="Calibri" w:hAnsi="Times New Roman" w:cs="Times New Roman"/>
          <w:i/>
          <w:szCs w:val="22"/>
          <w:lang w:eastAsia="en-US"/>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2731"/>
        <w:gridCol w:w="3177"/>
        <w:gridCol w:w="8"/>
      </w:tblGrid>
      <w:tr w:rsidR="0073642B" w:rsidRPr="00184ABF" w14:paraId="677F6B7D" w14:textId="77777777" w:rsidTr="00476D22">
        <w:trPr>
          <w:tblHeader/>
        </w:trPr>
        <w:tc>
          <w:tcPr>
            <w:tcW w:w="9855" w:type="dxa"/>
            <w:gridSpan w:val="5"/>
            <w:shd w:val="clear" w:color="auto" w:fill="FFFFCC"/>
            <w:tcMar>
              <w:top w:w="40" w:type="dxa"/>
              <w:left w:w="40" w:type="dxa"/>
              <w:bottom w:w="40" w:type="dxa"/>
              <w:right w:w="40" w:type="dxa"/>
            </w:tcMar>
            <w:vAlign w:val="center"/>
          </w:tcPr>
          <w:p w14:paraId="3477803D" w14:textId="77777777" w:rsidR="0073642B" w:rsidRPr="00570475" w:rsidRDefault="0073642B">
            <w:pPr>
              <w:spacing w:before="60" w:after="60"/>
              <w:ind w:left="57"/>
              <w:rPr>
                <w:b/>
                <w:sz w:val="18"/>
                <w:szCs w:val="18"/>
                <w:lang w:eastAsia="en-GB"/>
              </w:rPr>
            </w:pPr>
            <w:r w:rsidRPr="00570475">
              <w:rPr>
                <w:b/>
                <w:sz w:val="18"/>
                <w:szCs w:val="18"/>
              </w:rPr>
              <w:t>Resulting local emission to relevant environmental compartments</w:t>
            </w:r>
          </w:p>
        </w:tc>
      </w:tr>
      <w:tr w:rsidR="0073642B" w:rsidRPr="00184ABF" w14:paraId="12A0F019" w14:textId="77777777" w:rsidTr="00476D22">
        <w:trPr>
          <w:gridAfter w:val="1"/>
          <w:wAfter w:w="8" w:type="dxa"/>
          <w:tblHeader/>
        </w:trPr>
        <w:tc>
          <w:tcPr>
            <w:tcW w:w="2088" w:type="dxa"/>
            <w:shd w:val="clear" w:color="auto" w:fill="auto"/>
            <w:tcMar>
              <w:top w:w="40" w:type="dxa"/>
              <w:left w:w="40" w:type="dxa"/>
              <w:bottom w:w="40" w:type="dxa"/>
              <w:right w:w="40" w:type="dxa"/>
            </w:tcMar>
            <w:vAlign w:val="center"/>
          </w:tcPr>
          <w:p w14:paraId="1E4B979E" w14:textId="77777777" w:rsidR="0073642B" w:rsidRPr="00570475" w:rsidRDefault="0073642B" w:rsidP="00ED3438">
            <w:pPr>
              <w:spacing w:before="60" w:after="60"/>
              <w:ind w:left="57"/>
              <w:rPr>
                <w:b/>
                <w:sz w:val="18"/>
                <w:szCs w:val="18"/>
                <w:lang w:eastAsia="en-GB"/>
              </w:rPr>
            </w:pPr>
            <w:r w:rsidRPr="00570475">
              <w:rPr>
                <w:b/>
                <w:sz w:val="18"/>
                <w:szCs w:val="18"/>
                <w:lang w:eastAsia="en-GB"/>
              </w:rPr>
              <w:t>Substance</w:t>
            </w:r>
          </w:p>
        </w:tc>
        <w:tc>
          <w:tcPr>
            <w:tcW w:w="1851" w:type="dxa"/>
            <w:shd w:val="clear" w:color="auto" w:fill="auto"/>
            <w:vAlign w:val="center"/>
          </w:tcPr>
          <w:p w14:paraId="42694111" w14:textId="77777777" w:rsidR="0073642B" w:rsidRDefault="0073642B" w:rsidP="00ED3438">
            <w:pPr>
              <w:spacing w:before="60" w:after="60"/>
              <w:ind w:left="57"/>
              <w:rPr>
                <w:b/>
                <w:sz w:val="18"/>
                <w:szCs w:val="18"/>
                <w:lang w:eastAsia="en-GB"/>
              </w:rPr>
            </w:pPr>
            <w:r w:rsidRPr="00570475">
              <w:rPr>
                <w:b/>
                <w:sz w:val="18"/>
                <w:szCs w:val="18"/>
                <w:lang w:eastAsia="en-GB"/>
              </w:rPr>
              <w:t>Compartment</w:t>
            </w:r>
          </w:p>
          <w:p w14:paraId="55044FE1" w14:textId="7A8B758E" w:rsidR="00CD08F7" w:rsidRPr="00ED3438" w:rsidRDefault="00CD08F7" w:rsidP="00ED3438">
            <w:pPr>
              <w:spacing w:before="60" w:after="60"/>
              <w:ind w:left="57"/>
              <w:rPr>
                <w:b/>
                <w:sz w:val="16"/>
                <w:szCs w:val="16"/>
                <w:lang w:eastAsia="en-GB"/>
              </w:rPr>
            </w:pPr>
          </w:p>
        </w:tc>
        <w:tc>
          <w:tcPr>
            <w:tcW w:w="2731" w:type="dxa"/>
            <w:shd w:val="clear" w:color="auto" w:fill="auto"/>
            <w:tcMar>
              <w:top w:w="40" w:type="dxa"/>
              <w:left w:w="40" w:type="dxa"/>
              <w:bottom w:w="40" w:type="dxa"/>
              <w:right w:w="40" w:type="dxa"/>
            </w:tcMar>
            <w:vAlign w:val="center"/>
          </w:tcPr>
          <w:p w14:paraId="21794F85" w14:textId="77777777" w:rsidR="0073642B" w:rsidRPr="00570475" w:rsidRDefault="0073642B" w:rsidP="00ED3438">
            <w:pPr>
              <w:spacing w:before="60" w:after="60"/>
              <w:ind w:left="57"/>
              <w:rPr>
                <w:b/>
                <w:sz w:val="18"/>
                <w:szCs w:val="18"/>
                <w:lang w:eastAsia="en-GB"/>
              </w:rPr>
            </w:pPr>
            <w:r w:rsidRPr="00570475">
              <w:rPr>
                <w:b/>
                <w:sz w:val="18"/>
                <w:szCs w:val="18"/>
                <w:lang w:eastAsia="en-GB"/>
              </w:rPr>
              <w:t xml:space="preserve">Local emission </w:t>
            </w:r>
          </w:p>
          <w:p w14:paraId="45EC608E" w14:textId="77777777" w:rsidR="0073642B" w:rsidRPr="00570475" w:rsidRDefault="0073642B" w:rsidP="00ED3438">
            <w:pPr>
              <w:spacing w:before="60" w:after="60"/>
              <w:ind w:left="57"/>
              <w:rPr>
                <w:b/>
                <w:sz w:val="18"/>
                <w:szCs w:val="18"/>
                <w:lang w:eastAsia="en-GB"/>
              </w:rPr>
            </w:pPr>
            <w:r w:rsidRPr="00570475">
              <w:rPr>
                <w:b/>
                <w:sz w:val="18"/>
                <w:szCs w:val="18"/>
                <w:lang w:eastAsia="en-GB"/>
              </w:rPr>
              <w:t>(Elocal</w:t>
            </w:r>
            <w:r w:rsidRPr="00570475">
              <w:rPr>
                <w:b/>
                <w:sz w:val="18"/>
                <w:szCs w:val="18"/>
                <w:vertAlign w:val="subscript"/>
                <w:lang w:eastAsia="en-GB"/>
              </w:rPr>
              <w:t>compartment</w:t>
            </w:r>
            <w:r w:rsidRPr="00570475">
              <w:rPr>
                <w:b/>
                <w:sz w:val="18"/>
                <w:szCs w:val="18"/>
                <w:lang w:eastAsia="en-GB"/>
              </w:rPr>
              <w:t>) [kg/d</w:t>
            </w:r>
            <w:r w:rsidRPr="00570475">
              <w:rPr>
                <w:b/>
                <w:sz w:val="18"/>
                <w:szCs w:val="18"/>
                <w:vertAlign w:val="superscript"/>
                <w:lang w:eastAsia="en-GB"/>
              </w:rPr>
              <w:t>-1</w:t>
            </w:r>
            <w:r w:rsidRPr="00570475">
              <w:rPr>
                <w:b/>
                <w:sz w:val="18"/>
                <w:szCs w:val="18"/>
                <w:lang w:eastAsia="en-GB"/>
              </w:rPr>
              <w:t>]</w:t>
            </w:r>
          </w:p>
        </w:tc>
        <w:tc>
          <w:tcPr>
            <w:tcW w:w="3177" w:type="dxa"/>
            <w:shd w:val="clear" w:color="auto" w:fill="auto"/>
            <w:tcMar>
              <w:top w:w="40" w:type="dxa"/>
              <w:left w:w="40" w:type="dxa"/>
              <w:bottom w:w="40" w:type="dxa"/>
              <w:right w:w="40" w:type="dxa"/>
            </w:tcMar>
            <w:vAlign w:val="center"/>
          </w:tcPr>
          <w:p w14:paraId="18410D1E" w14:textId="77777777" w:rsidR="0073642B" w:rsidRPr="00570475" w:rsidRDefault="0073642B" w:rsidP="00ED3438">
            <w:pPr>
              <w:spacing w:before="60" w:after="60"/>
              <w:ind w:left="57"/>
              <w:rPr>
                <w:b/>
                <w:sz w:val="18"/>
                <w:szCs w:val="18"/>
                <w:lang w:eastAsia="en-GB"/>
              </w:rPr>
            </w:pPr>
            <w:r w:rsidRPr="00570475">
              <w:rPr>
                <w:b/>
                <w:sz w:val="18"/>
                <w:szCs w:val="18"/>
                <w:lang w:eastAsia="en-GB"/>
              </w:rPr>
              <w:t>Remarks</w:t>
            </w:r>
          </w:p>
        </w:tc>
      </w:tr>
      <w:tr w:rsidR="0073642B" w:rsidRPr="00184ABF" w14:paraId="759AD3FC" w14:textId="77777777" w:rsidTr="00476D22">
        <w:trPr>
          <w:gridAfter w:val="1"/>
          <w:wAfter w:w="8" w:type="dxa"/>
        </w:trPr>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tcPr>
          <w:p w14:paraId="4327AB66" w14:textId="77777777" w:rsidR="0073642B" w:rsidRPr="00570475" w:rsidRDefault="0073642B" w:rsidP="00ED3438">
            <w:pPr>
              <w:ind w:left="57"/>
              <w:rPr>
                <w:rFonts w:cs="Calibri"/>
                <w:sz w:val="18"/>
                <w:szCs w:val="18"/>
                <w:lang w:eastAsia="es-ES"/>
              </w:rPr>
            </w:pPr>
            <w:r w:rsidRPr="00570475">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tcPr>
          <w:p w14:paraId="63E74A5C" w14:textId="77777777" w:rsidR="0073642B" w:rsidRPr="00570475" w:rsidRDefault="0073642B" w:rsidP="00ED3438">
            <w:pPr>
              <w:ind w:left="57"/>
              <w:jc w:val="center"/>
              <w:rPr>
                <w:rFonts w:cs="Calibri"/>
                <w:sz w:val="18"/>
                <w:szCs w:val="18"/>
              </w:rPr>
            </w:pPr>
            <w:r w:rsidRPr="00570475">
              <w:rPr>
                <w:rFonts w:cs="Calibri"/>
                <w:sz w:val="18"/>
                <w:szCs w:val="18"/>
              </w:rPr>
              <w:t>STP</w:t>
            </w:r>
          </w:p>
        </w:tc>
        <w:tc>
          <w:tcPr>
            <w:tcW w:w="2731" w:type="dxa"/>
            <w:tcBorders>
              <w:top w:val="nil"/>
              <w:left w:val="nil"/>
              <w:bottom w:val="single" w:sz="4" w:space="0" w:color="auto"/>
              <w:right w:val="single" w:sz="8" w:space="0" w:color="auto"/>
            </w:tcBorders>
            <w:shd w:val="clear" w:color="auto" w:fill="auto"/>
            <w:tcMar>
              <w:top w:w="40" w:type="dxa"/>
              <w:left w:w="40" w:type="dxa"/>
              <w:bottom w:w="40" w:type="dxa"/>
              <w:right w:w="40" w:type="dxa"/>
            </w:tcMar>
          </w:tcPr>
          <w:p w14:paraId="3B1C9140" w14:textId="69B5E016" w:rsidR="0073642B" w:rsidRPr="00570475" w:rsidRDefault="0073642B" w:rsidP="00ED3438">
            <w:pPr>
              <w:ind w:left="57"/>
              <w:jc w:val="center"/>
              <w:rPr>
                <w:rFonts w:cs="Calibri"/>
                <w:sz w:val="18"/>
                <w:szCs w:val="18"/>
              </w:rPr>
            </w:pPr>
            <w:r w:rsidRPr="00570475">
              <w:rPr>
                <w:rFonts w:cs="Calibri"/>
                <w:sz w:val="18"/>
                <w:szCs w:val="18"/>
              </w:rPr>
              <w:t>9.6</w:t>
            </w:r>
            <w:r w:rsidR="00CD08F7">
              <w:rPr>
                <w:rFonts w:cs="Calibri"/>
                <w:sz w:val="18"/>
                <w:szCs w:val="18"/>
              </w:rPr>
              <w:t>0</w:t>
            </w:r>
          </w:p>
        </w:tc>
        <w:tc>
          <w:tcPr>
            <w:tcW w:w="3177" w:type="dxa"/>
            <w:tcBorders>
              <w:top w:val="nil"/>
              <w:left w:val="nil"/>
              <w:bottom w:val="single" w:sz="4" w:space="0" w:color="auto"/>
              <w:right w:val="single" w:sz="8" w:space="0" w:color="auto"/>
            </w:tcBorders>
            <w:shd w:val="clear" w:color="auto" w:fill="auto"/>
            <w:tcMar>
              <w:top w:w="40" w:type="dxa"/>
              <w:left w:w="40" w:type="dxa"/>
              <w:bottom w:w="40" w:type="dxa"/>
              <w:right w:w="40" w:type="dxa"/>
            </w:tcMar>
          </w:tcPr>
          <w:p w14:paraId="51FD1852" w14:textId="77777777" w:rsidR="0073642B" w:rsidRPr="00570475" w:rsidRDefault="0073642B" w:rsidP="00ED3438">
            <w:pPr>
              <w:ind w:left="57"/>
              <w:jc w:val="center"/>
              <w:rPr>
                <w:rFonts w:cs="Calibri"/>
                <w:sz w:val="18"/>
                <w:szCs w:val="18"/>
              </w:rPr>
            </w:pPr>
          </w:p>
        </w:tc>
      </w:tr>
      <w:tr w:rsidR="0073642B" w:rsidRPr="00184ABF" w14:paraId="46B2DC99" w14:textId="77777777" w:rsidTr="00476D22">
        <w:trPr>
          <w:gridAfter w:val="1"/>
          <w:wAfter w:w="8" w:type="dxa"/>
        </w:trPr>
        <w:tc>
          <w:tcPr>
            <w:tcW w:w="20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FC34E5A" w14:textId="77777777" w:rsidR="0073642B" w:rsidRPr="00570475" w:rsidRDefault="0073642B" w:rsidP="00ED3438">
            <w:pPr>
              <w:ind w:left="57"/>
              <w:rPr>
                <w:rFonts w:cs="Calibri"/>
                <w:sz w:val="18"/>
                <w:szCs w:val="18"/>
              </w:rPr>
            </w:pPr>
            <w:r w:rsidRPr="00570475">
              <w:rPr>
                <w:rFonts w:cs="Calibri"/>
                <w:sz w:val="18"/>
                <w:szCs w:val="18"/>
              </w:rPr>
              <w:t>OTNE</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12A1AA70" w14:textId="77777777" w:rsidR="0073642B" w:rsidRPr="00570475" w:rsidRDefault="0073642B" w:rsidP="00ED3438">
            <w:pPr>
              <w:ind w:left="57"/>
              <w:jc w:val="center"/>
              <w:rPr>
                <w:rFonts w:cs="Calibri"/>
                <w:sz w:val="18"/>
                <w:szCs w:val="18"/>
              </w:rPr>
            </w:pPr>
            <w:r w:rsidRPr="00570475">
              <w:rPr>
                <w:rFonts w:cs="Calibri"/>
                <w:sz w:val="18"/>
                <w:szCs w:val="18"/>
              </w:rPr>
              <w:t>STP</w:t>
            </w:r>
          </w:p>
        </w:tc>
        <w:tc>
          <w:tcPr>
            <w:tcW w:w="273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F145910" w14:textId="77777777" w:rsidR="0073642B" w:rsidRPr="00570475" w:rsidRDefault="0073642B" w:rsidP="00ED3438">
            <w:pPr>
              <w:ind w:left="57"/>
              <w:jc w:val="center"/>
              <w:rPr>
                <w:rFonts w:cs="Calibri"/>
                <w:sz w:val="18"/>
                <w:szCs w:val="18"/>
              </w:rPr>
            </w:pPr>
            <w:r w:rsidRPr="00570475">
              <w:rPr>
                <w:rFonts w:cs="Calibri"/>
                <w:sz w:val="18"/>
                <w:szCs w:val="18"/>
              </w:rPr>
              <w:t>1.08</w:t>
            </w:r>
          </w:p>
        </w:tc>
        <w:tc>
          <w:tcPr>
            <w:tcW w:w="317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AA99481" w14:textId="77777777" w:rsidR="0073642B" w:rsidRPr="00570475" w:rsidRDefault="0073642B" w:rsidP="00ED3438">
            <w:pPr>
              <w:ind w:left="57"/>
              <w:jc w:val="center"/>
              <w:rPr>
                <w:rFonts w:cs="Calibri"/>
                <w:sz w:val="18"/>
                <w:szCs w:val="18"/>
              </w:rPr>
            </w:pPr>
          </w:p>
        </w:tc>
      </w:tr>
    </w:tbl>
    <w:p w14:paraId="56C5BB36" w14:textId="77777777" w:rsidR="0073642B" w:rsidRDefault="0073642B" w:rsidP="0073642B">
      <w:pPr>
        <w:spacing w:line="260" w:lineRule="atLeast"/>
        <w:rPr>
          <w:rFonts w:eastAsia="Calibri" w:cs="Times New Roman"/>
          <w:iCs/>
          <w:lang w:eastAsia="en-US"/>
        </w:rPr>
      </w:pPr>
    </w:p>
    <w:p w14:paraId="7AABFA74" w14:textId="77777777" w:rsidR="0073642B" w:rsidRDefault="0073642B" w:rsidP="0073642B">
      <w:pPr>
        <w:spacing w:line="260" w:lineRule="atLeast"/>
        <w:rPr>
          <w:rFonts w:eastAsia="Calibri"/>
          <w:b/>
          <w:bCs/>
          <w:lang w:eastAsia="en-US"/>
        </w:rPr>
      </w:pPr>
    </w:p>
    <w:p w14:paraId="32B42D4D" w14:textId="77777777" w:rsidR="0073642B" w:rsidRDefault="0073642B" w:rsidP="0073642B">
      <w:pPr>
        <w:spacing w:line="260" w:lineRule="atLeast"/>
        <w:rPr>
          <w:rFonts w:eastAsia="Calibri"/>
          <w:b/>
          <w:bCs/>
          <w:lang w:eastAsia="en-US"/>
        </w:rPr>
      </w:pPr>
    </w:p>
    <w:p w14:paraId="453AB1DF" w14:textId="352B251B" w:rsidR="0073642B" w:rsidRPr="00B27CB1" w:rsidRDefault="00BC6C9B" w:rsidP="00ED3438">
      <w:pPr>
        <w:pStyle w:val="Titre5"/>
        <w:rPr>
          <w:rFonts w:ascii="Times New Roman" w:hAnsi="Times New Roman" w:cs="Times New Roman"/>
          <w:i/>
        </w:rPr>
      </w:pPr>
      <w:r>
        <w:t xml:space="preserve">PT02 - </w:t>
      </w:r>
      <w:r w:rsidR="0073642B" w:rsidRPr="00B27CB1">
        <w:t xml:space="preserve">Scenario </w:t>
      </w:r>
      <w:r w:rsidR="0073642B">
        <w:t>5</w:t>
      </w:r>
      <w:r>
        <w:t>:</w:t>
      </w:r>
      <w:r w:rsidR="0073642B" w:rsidRPr="00896F37">
        <w:rPr>
          <w:color w:val="221E1F"/>
          <w:lang w:val="en-US"/>
        </w:rPr>
        <w:t xml:space="preserve"> </w:t>
      </w:r>
      <w:r w:rsidR="0073642B" w:rsidRPr="00152357">
        <w:rPr>
          <w:iCs/>
        </w:rPr>
        <w:t xml:space="preserve">Outdoor - </w:t>
      </w:r>
      <w:r w:rsidR="0073642B" w:rsidRPr="003F1021">
        <w:t>Disinfection of roadways</w:t>
      </w:r>
      <w:r w:rsidR="0073642B" w:rsidRPr="00152357">
        <w:t xml:space="preserve"> </w:t>
      </w:r>
      <w:r w:rsidR="0073642B" w:rsidRPr="003F1021">
        <w:t>direct emission to surface water</w:t>
      </w:r>
    </w:p>
    <w:p w14:paraId="77C69C1D" w14:textId="77777777" w:rsidR="0073642B" w:rsidRDefault="0073642B" w:rsidP="0073642B">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 xml:space="preserve">SPC </w:t>
      </w:r>
      <w:r>
        <w:rPr>
          <w:rFonts w:eastAsia="Calibri" w:cs="Times New Roman"/>
          <w:bCs/>
          <w:lang w:eastAsia="en-US"/>
        </w:rPr>
        <w:t>13</w:t>
      </w:r>
    </w:p>
    <w:p w14:paraId="195FF827" w14:textId="77777777" w:rsidR="0073642B" w:rsidRDefault="0073642B" w:rsidP="0073642B">
      <w:pPr>
        <w:spacing w:line="276" w:lineRule="auto"/>
        <w:rPr>
          <w:rFonts w:eastAsia="Calibri" w:cs="Times New Roman"/>
          <w:bCs/>
          <w:lang w:eastAsia="en-US"/>
        </w:rPr>
      </w:pPr>
    </w:p>
    <w:p w14:paraId="11BFAE23" w14:textId="2D48B391" w:rsidR="0073642B" w:rsidRDefault="0073642B" w:rsidP="0073642B">
      <w:pPr>
        <w:jc w:val="both"/>
        <w:rPr>
          <w:rFonts w:ascii="Times New Roman" w:eastAsia="Calibri" w:hAnsi="Times New Roman" w:cs="Times New Roman"/>
          <w:i/>
          <w:lang w:eastAsia="en-US"/>
        </w:rPr>
      </w:pPr>
      <w:r>
        <w:rPr>
          <w:rFonts w:eastAsia="Calibri" w:cs="Times New Roman"/>
          <w:bCs/>
          <w:lang w:eastAsia="en-US"/>
        </w:rPr>
        <w:t>F</w:t>
      </w:r>
      <w:r w:rsidRPr="006740C1">
        <w:rPr>
          <w:rFonts w:eastAsia="Calibri" w:cs="Times New Roman"/>
          <w:bCs/>
          <w:lang w:eastAsia="en-US"/>
        </w:rPr>
        <w:t>or the outdoor use of the product</w:t>
      </w:r>
      <w:r>
        <w:rPr>
          <w:rFonts w:eastAsia="Calibri" w:cs="Times New Roman"/>
          <w:bCs/>
          <w:lang w:eastAsia="en-US"/>
        </w:rPr>
        <w:t>s</w:t>
      </w:r>
      <w:r w:rsidRPr="006740C1">
        <w:rPr>
          <w:rFonts w:eastAsia="Calibri" w:cs="Times New Roman"/>
          <w:bCs/>
          <w:lang w:eastAsia="en-US"/>
        </w:rPr>
        <w:t xml:space="preserve"> in Meta-SPC 13, an assessment of direct emission to surface water in urban areas is </w:t>
      </w:r>
      <w:r w:rsidR="00E943B3">
        <w:rPr>
          <w:rFonts w:eastAsia="Calibri" w:cs="Times New Roman"/>
          <w:bCs/>
          <w:lang w:eastAsia="en-US"/>
        </w:rPr>
        <w:t xml:space="preserve">also </w:t>
      </w:r>
      <w:r w:rsidRPr="006740C1">
        <w:rPr>
          <w:rFonts w:eastAsia="Calibri" w:cs="Times New Roman"/>
          <w:bCs/>
          <w:lang w:eastAsia="en-US"/>
        </w:rPr>
        <w:t>taken into account</w:t>
      </w:r>
      <w:r>
        <w:rPr>
          <w:rFonts w:eastAsia="Calibri" w:cs="Times New Roman"/>
          <w:bCs/>
          <w:lang w:eastAsia="en-US"/>
        </w:rPr>
        <w:t xml:space="preserve"> (TAB ENV 28)</w:t>
      </w:r>
      <w:r w:rsidRPr="006740C1">
        <w:rPr>
          <w:rFonts w:eastAsia="Calibri" w:cs="Times New Roman"/>
          <w:bCs/>
          <w:lang w:eastAsia="en-US"/>
        </w:rPr>
        <w:t xml:space="preserve">. Acccording to the </w:t>
      </w:r>
      <w:r w:rsidRPr="006740C1">
        <w:rPr>
          <w:rFonts w:eastAsia="Calibri" w:cs="Times New Roman"/>
          <w:bCs/>
          <w:lang w:eastAsia="en-US"/>
        </w:rPr>
        <w:lastRenderedPageBreak/>
        <w:t xml:space="preserve">scenario descriptions, the scenario “Direct rainwater discharge to surface water” in case of a separate sewer system is more </w:t>
      </w:r>
      <w:r>
        <w:rPr>
          <w:rFonts w:eastAsia="Calibri" w:cs="Times New Roman"/>
          <w:bCs/>
          <w:lang w:eastAsia="en-US"/>
        </w:rPr>
        <w:t>representative</w:t>
      </w:r>
      <w:r w:rsidRPr="006740C1">
        <w:rPr>
          <w:rFonts w:eastAsia="Calibri" w:cs="Times New Roman"/>
          <w:bCs/>
          <w:lang w:eastAsia="en-US"/>
        </w:rPr>
        <w:t xml:space="preserve">. </w:t>
      </w:r>
      <w:r>
        <w:rPr>
          <w:rFonts w:eastAsia="Calibri" w:cs="Times New Roman"/>
          <w:bCs/>
          <w:lang w:eastAsia="en-US"/>
        </w:rPr>
        <w:t>This scenario</w:t>
      </w:r>
      <w:r w:rsidRPr="006740C1">
        <w:rPr>
          <w:rFonts w:eastAsia="Calibri" w:cs="Times New Roman"/>
          <w:bCs/>
          <w:lang w:eastAsia="en-US"/>
        </w:rPr>
        <w:t xml:space="preserve"> is used for the assessment of the direct emission to surface water in urban areas.</w:t>
      </w:r>
    </w:p>
    <w:p w14:paraId="01883083" w14:textId="77777777" w:rsidR="0073642B" w:rsidRPr="006740C1" w:rsidRDefault="0073642B" w:rsidP="0073642B">
      <w:pPr>
        <w:spacing w:line="276" w:lineRule="auto"/>
        <w:jc w:val="both"/>
        <w:rPr>
          <w:rFonts w:eastAsia="Calibri" w:cs="Times New Roman"/>
          <w:bCs/>
          <w:lang w:eastAsia="en-US"/>
        </w:rPr>
      </w:pPr>
    </w:p>
    <w:p w14:paraId="60B9C31E" w14:textId="77777777" w:rsidR="0073642B" w:rsidRDefault="0073642B" w:rsidP="0073642B">
      <w:pPr>
        <w:ind w:left="142"/>
        <w:jc w:val="both"/>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73642B" w14:paraId="17B61E88" w14:textId="77777777" w:rsidTr="00476D22">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17F3236" w14:textId="77777777" w:rsidR="0073642B" w:rsidRPr="00570475" w:rsidRDefault="0073642B" w:rsidP="00476D22">
            <w:pPr>
              <w:spacing w:before="60" w:after="60" w:line="260" w:lineRule="atLeast"/>
              <w:rPr>
                <w:rFonts w:eastAsia="Calibri"/>
                <w:b/>
                <w:sz w:val="18"/>
                <w:szCs w:val="18"/>
                <w:lang w:eastAsia="en-US"/>
              </w:rPr>
            </w:pPr>
            <w:r w:rsidRPr="00570475">
              <w:rPr>
                <w:rFonts w:eastAsia="Calibri"/>
                <w:b/>
                <w:sz w:val="18"/>
                <w:szCs w:val="18"/>
                <w:lang w:eastAsia="en-US"/>
              </w:rPr>
              <w:t>Input parameters for calculating the local emission</w:t>
            </w:r>
          </w:p>
        </w:tc>
      </w:tr>
      <w:tr w:rsidR="0073642B" w14:paraId="0404037D" w14:textId="77777777" w:rsidTr="00476D22">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40BE03E0"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54A77241"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36D70533" w14:textId="77777777" w:rsidR="0073642B" w:rsidRPr="00570475" w:rsidRDefault="0073642B" w:rsidP="00476D22">
            <w:pPr>
              <w:spacing w:before="60" w:after="60" w:line="260" w:lineRule="atLeast"/>
              <w:rPr>
                <w:rFonts w:eastAsia="Calibri" w:cs="Arial"/>
                <w:b/>
                <w:bCs/>
                <w:color w:val="000000"/>
                <w:sz w:val="18"/>
                <w:szCs w:val="18"/>
                <w:lang w:eastAsia="en-GB"/>
              </w:rPr>
            </w:pPr>
            <w:r w:rsidRPr="00570475">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4A58" w14:textId="77777777" w:rsidR="0073642B" w:rsidRPr="00570475" w:rsidRDefault="0073642B" w:rsidP="00476D22">
            <w:pPr>
              <w:spacing w:before="60" w:after="60" w:line="260" w:lineRule="atLeast"/>
              <w:rPr>
                <w:sz w:val="18"/>
                <w:szCs w:val="18"/>
              </w:rPr>
            </w:pPr>
            <w:r w:rsidRPr="00570475">
              <w:rPr>
                <w:rFonts w:eastAsia="Calibri" w:cs="Arial"/>
                <w:b/>
                <w:bCs/>
                <w:color w:val="000000"/>
                <w:sz w:val="18"/>
                <w:szCs w:val="18"/>
                <w:lang w:eastAsia="en-GB"/>
              </w:rPr>
              <w:t>Remarks</w:t>
            </w:r>
          </w:p>
        </w:tc>
      </w:tr>
      <w:tr w:rsidR="0073642B" w14:paraId="7B5F1AB8" w14:textId="77777777" w:rsidTr="00476D22">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068D15" w14:textId="77777777" w:rsidR="0073642B" w:rsidRPr="00570475" w:rsidRDefault="0073642B" w:rsidP="00476D22">
            <w:pPr>
              <w:spacing w:before="60" w:after="60" w:line="260" w:lineRule="atLeast"/>
              <w:rPr>
                <w:sz w:val="18"/>
                <w:szCs w:val="18"/>
              </w:rPr>
            </w:pPr>
            <w:r w:rsidRPr="00570475">
              <w:rPr>
                <w:rFonts w:eastAsia="Calibri"/>
                <w:color w:val="000000"/>
                <w:sz w:val="18"/>
                <w:szCs w:val="18"/>
                <w:lang w:eastAsia="en-GB"/>
              </w:rPr>
              <w:t>Scenario 5:</w:t>
            </w:r>
            <w:r w:rsidRPr="00570475">
              <w:rPr>
                <w:rFonts w:eastAsia="Calibri"/>
                <w:i/>
                <w:color w:val="FF0000"/>
                <w:sz w:val="18"/>
                <w:szCs w:val="18"/>
                <w:lang w:eastAsia="en-GB"/>
              </w:rPr>
              <w:t xml:space="preserve"> </w:t>
            </w:r>
            <w:r w:rsidRPr="00570475">
              <w:rPr>
                <w:iCs/>
                <w:sz w:val="18"/>
                <w:szCs w:val="18"/>
              </w:rPr>
              <w:t xml:space="preserve">Outdoor - </w:t>
            </w:r>
            <w:r w:rsidRPr="00570475">
              <w:rPr>
                <w:sz w:val="18"/>
                <w:szCs w:val="18"/>
              </w:rPr>
              <w:t>Disinfection of roadways direct emission to surface water</w:t>
            </w:r>
          </w:p>
        </w:tc>
      </w:tr>
      <w:tr w:rsidR="0073642B" w14:paraId="1841EA72" w14:textId="77777777" w:rsidTr="00ED3438">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A90F89D"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olor w:val="000000"/>
                <w:sz w:val="18"/>
                <w:szCs w:val="18"/>
                <w:lang w:eastAsia="en-GB"/>
              </w:rPr>
              <w:t>Application rate of biocidal product V</w:t>
            </w:r>
            <w:r w:rsidRPr="00570475">
              <w:rPr>
                <w:i/>
                <w:color w:val="000000"/>
                <w:sz w:val="18"/>
                <w:szCs w:val="18"/>
                <w:vertAlign w:val="subscript"/>
              </w:rPr>
              <w:t>product</w:t>
            </w:r>
          </w:p>
        </w:tc>
        <w:tc>
          <w:tcPr>
            <w:tcW w:w="1451" w:type="dxa"/>
            <w:tcBorders>
              <w:top w:val="single" w:sz="4" w:space="0" w:color="000000"/>
              <w:left w:val="single" w:sz="4" w:space="0" w:color="000000"/>
              <w:bottom w:val="single" w:sz="4" w:space="0" w:color="auto"/>
            </w:tcBorders>
            <w:shd w:val="clear" w:color="auto" w:fill="auto"/>
            <w:vAlign w:val="center"/>
          </w:tcPr>
          <w:p w14:paraId="769E4492"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0.1</w:t>
            </w:r>
          </w:p>
        </w:tc>
        <w:tc>
          <w:tcPr>
            <w:tcW w:w="1560" w:type="dxa"/>
            <w:tcBorders>
              <w:top w:val="single" w:sz="4" w:space="0" w:color="000000"/>
              <w:left w:val="single" w:sz="4" w:space="0" w:color="000000"/>
              <w:bottom w:val="single" w:sz="4" w:space="0" w:color="auto"/>
            </w:tcBorders>
            <w:shd w:val="clear" w:color="auto" w:fill="auto"/>
            <w:vAlign w:val="center"/>
          </w:tcPr>
          <w:p w14:paraId="30B99551"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sz w:val="18"/>
                <w:szCs w:val="18"/>
                <w:lang w:eastAsia="en-GB"/>
              </w:rPr>
              <w:t>l.m</w:t>
            </w:r>
            <w:r w:rsidRPr="00570475">
              <w:rPr>
                <w:rFonts w:eastAsia="Calibri"/>
                <w:sz w:val="18"/>
                <w:szCs w:val="18"/>
                <w:vertAlign w:val="superscript"/>
                <w:lang w:eastAsia="en-GB"/>
              </w:rPr>
              <w:t>-</w:t>
            </w:r>
            <w:r w:rsidRPr="00570475">
              <w:rPr>
                <w:rFonts w:eastAsia="Calibri"/>
                <w:sz w:val="18"/>
                <w:szCs w:val="18"/>
                <w:lang w:eastAsia="en-GB"/>
              </w:rPr>
              <w:t>²</w:t>
            </w:r>
          </w:p>
        </w:tc>
        <w:tc>
          <w:tcPr>
            <w:tcW w:w="2135" w:type="dxa"/>
            <w:tcBorders>
              <w:top w:val="single" w:sz="4" w:space="0" w:color="000000"/>
              <w:left w:val="single" w:sz="4" w:space="0" w:color="000000"/>
              <w:bottom w:val="single" w:sz="4" w:space="0" w:color="auto"/>
              <w:right w:val="single" w:sz="4" w:space="0" w:color="000000"/>
            </w:tcBorders>
            <w:shd w:val="clear" w:color="auto" w:fill="auto"/>
            <w:vAlign w:val="center"/>
          </w:tcPr>
          <w:p w14:paraId="5AA21D11"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Default value of application rate for large scale (TAB ENV 26)</w:t>
            </w:r>
          </w:p>
        </w:tc>
      </w:tr>
      <w:tr w:rsidR="007C3C99" w14:paraId="37F56033" w14:textId="77777777" w:rsidTr="00ED3438">
        <w:trPr>
          <w:trHeight w:val="93"/>
        </w:trPr>
        <w:tc>
          <w:tcPr>
            <w:tcW w:w="3936" w:type="dxa"/>
            <w:tcBorders>
              <w:top w:val="single" w:sz="4" w:space="0" w:color="auto"/>
              <w:left w:val="single" w:sz="4" w:space="0" w:color="auto"/>
              <w:right w:val="single" w:sz="4" w:space="0" w:color="auto"/>
            </w:tcBorders>
            <w:shd w:val="clear" w:color="auto" w:fill="auto"/>
            <w:vAlign w:val="center"/>
          </w:tcPr>
          <w:p w14:paraId="311FE3A2" w14:textId="77777777" w:rsidR="007C3C99" w:rsidRPr="00570475" w:rsidRDefault="007C3C99" w:rsidP="00980E7B">
            <w:pPr>
              <w:suppressAutoHyphens w:val="0"/>
              <w:rPr>
                <w:color w:val="000000"/>
                <w:sz w:val="18"/>
                <w:szCs w:val="18"/>
              </w:rPr>
            </w:pPr>
            <w:r w:rsidRPr="00570475">
              <w:rPr>
                <w:color w:val="000000"/>
                <w:sz w:val="18"/>
                <w:szCs w:val="18"/>
              </w:rPr>
              <w:t>Concentration of substance in the product</w:t>
            </w:r>
          </w:p>
          <w:p w14:paraId="2F6C875C" w14:textId="77777777" w:rsidR="007C3C99" w:rsidRPr="00570475" w:rsidRDefault="007C3C99" w:rsidP="00980E7B">
            <w:pPr>
              <w:keepNext/>
              <w:rPr>
                <w:color w:val="000000"/>
                <w:sz w:val="18"/>
                <w:szCs w:val="18"/>
              </w:rPr>
            </w:pPr>
            <w:r w:rsidRPr="00570475">
              <w:rPr>
                <w:i/>
                <w:color w:val="000000"/>
                <w:sz w:val="18"/>
                <w:szCs w:val="18"/>
              </w:rPr>
              <w:t>C</w:t>
            </w:r>
            <w:r w:rsidRPr="00570475">
              <w:rPr>
                <w:i/>
                <w:color w:val="000000"/>
                <w:sz w:val="18"/>
                <w:szCs w:val="18"/>
                <w:vertAlign w:val="subscript"/>
              </w:rPr>
              <w:t>product</w:t>
            </w:r>
          </w:p>
        </w:tc>
        <w:tc>
          <w:tcPr>
            <w:tcW w:w="1451" w:type="dxa"/>
            <w:tcBorders>
              <w:top w:val="single" w:sz="4" w:space="0" w:color="auto"/>
              <w:left w:val="single" w:sz="4" w:space="0" w:color="auto"/>
              <w:right w:val="single" w:sz="4" w:space="0" w:color="auto"/>
            </w:tcBorders>
            <w:shd w:val="clear" w:color="auto" w:fill="auto"/>
            <w:vAlign w:val="center"/>
          </w:tcPr>
          <w:p w14:paraId="7191A62A" w14:textId="77777777" w:rsidR="007C3C99" w:rsidRPr="00570475" w:rsidRDefault="007C3C99" w:rsidP="00980E7B">
            <w:pPr>
              <w:snapToGrid w:val="0"/>
              <w:spacing w:before="60" w:after="60" w:line="260" w:lineRule="atLeast"/>
              <w:rPr>
                <w:rFonts w:eastAsia="Calibri" w:cs="Arial"/>
                <w:color w:val="000000"/>
                <w:sz w:val="18"/>
                <w:szCs w:val="18"/>
                <w:lang w:eastAsia="en-GB"/>
              </w:rPr>
            </w:pPr>
          </w:p>
          <w:p w14:paraId="7BA09FFA" w14:textId="77777777" w:rsidR="007C3C99" w:rsidRPr="00570475" w:rsidRDefault="007C3C99" w:rsidP="00980E7B">
            <w:pPr>
              <w:snapToGrid w:val="0"/>
              <w:spacing w:before="60" w:after="60" w:line="260" w:lineRule="atLeast"/>
              <w:rPr>
                <w:rFonts w:eastAsia="Calibri" w:cs="Arial"/>
                <w:color w:val="000000"/>
                <w:sz w:val="18"/>
                <w:szCs w:val="18"/>
                <w:lang w:eastAsia="en-GB"/>
              </w:rPr>
            </w:pPr>
          </w:p>
        </w:tc>
        <w:tc>
          <w:tcPr>
            <w:tcW w:w="1560" w:type="dxa"/>
            <w:tcBorders>
              <w:top w:val="single" w:sz="4" w:space="0" w:color="auto"/>
              <w:left w:val="single" w:sz="4" w:space="0" w:color="auto"/>
              <w:right w:val="single" w:sz="4" w:space="0" w:color="auto"/>
            </w:tcBorders>
            <w:shd w:val="clear" w:color="auto" w:fill="auto"/>
            <w:vAlign w:val="center"/>
          </w:tcPr>
          <w:p w14:paraId="5C262A70" w14:textId="77777777" w:rsidR="007C3C99" w:rsidRPr="00570475" w:rsidRDefault="007C3C99" w:rsidP="00980E7B">
            <w:pPr>
              <w:snapToGrid w:val="0"/>
              <w:spacing w:before="60" w:after="60" w:line="260" w:lineRule="atLeast"/>
              <w:rPr>
                <w:rFonts w:eastAsia="Calibri" w:cs="Arial"/>
                <w:color w:val="000000"/>
                <w:sz w:val="18"/>
                <w:szCs w:val="18"/>
                <w:lang w:eastAsia="en-GB"/>
              </w:rPr>
            </w:pPr>
          </w:p>
        </w:tc>
        <w:tc>
          <w:tcPr>
            <w:tcW w:w="2135" w:type="dxa"/>
            <w:tcBorders>
              <w:top w:val="single" w:sz="4" w:space="0" w:color="auto"/>
              <w:left w:val="single" w:sz="4" w:space="0" w:color="auto"/>
              <w:right w:val="single" w:sz="4" w:space="0" w:color="auto"/>
            </w:tcBorders>
            <w:shd w:val="clear" w:color="auto" w:fill="auto"/>
            <w:vAlign w:val="center"/>
          </w:tcPr>
          <w:p w14:paraId="3F36E4D4" w14:textId="77777777" w:rsidR="007C3C99" w:rsidRPr="00570475" w:rsidRDefault="007C3C99" w:rsidP="00980E7B">
            <w:pPr>
              <w:snapToGrid w:val="0"/>
              <w:spacing w:before="60" w:after="60" w:line="260" w:lineRule="atLeast"/>
              <w:rPr>
                <w:rFonts w:eastAsia="Calibri" w:cs="Arial"/>
                <w:color w:val="000000"/>
                <w:sz w:val="18"/>
                <w:szCs w:val="18"/>
                <w:lang w:eastAsia="en-GB"/>
              </w:rPr>
            </w:pPr>
          </w:p>
        </w:tc>
      </w:tr>
      <w:tr w:rsidR="007C3C99" w14:paraId="2C530A0C" w14:textId="77777777" w:rsidTr="00ED3438">
        <w:trPr>
          <w:trHeight w:val="93"/>
        </w:trPr>
        <w:tc>
          <w:tcPr>
            <w:tcW w:w="3936" w:type="dxa"/>
            <w:tcBorders>
              <w:left w:val="single" w:sz="4" w:space="0" w:color="auto"/>
              <w:right w:val="single" w:sz="4" w:space="0" w:color="auto"/>
            </w:tcBorders>
            <w:shd w:val="clear" w:color="auto" w:fill="auto"/>
            <w:vAlign w:val="center"/>
          </w:tcPr>
          <w:p w14:paraId="5B784D6E" w14:textId="77777777" w:rsidR="007C3C99" w:rsidRDefault="007C3C99" w:rsidP="00980E7B">
            <w:pPr>
              <w:suppressAutoHyphens w:val="0"/>
              <w:rPr>
                <w:color w:val="000000"/>
                <w:sz w:val="18"/>
                <w:szCs w:val="18"/>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p>
        </w:tc>
        <w:tc>
          <w:tcPr>
            <w:tcW w:w="1451" w:type="dxa"/>
            <w:tcBorders>
              <w:left w:val="single" w:sz="4" w:space="0" w:color="auto"/>
              <w:right w:val="single" w:sz="4" w:space="0" w:color="auto"/>
            </w:tcBorders>
            <w:shd w:val="clear" w:color="auto" w:fill="auto"/>
            <w:vAlign w:val="center"/>
          </w:tcPr>
          <w:p w14:paraId="313F6B0D" w14:textId="77777777" w:rsidR="007C3C99" w:rsidRPr="00570475" w:rsidRDefault="007C3C99" w:rsidP="00980E7B">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6.40E-03</w:t>
            </w:r>
          </w:p>
        </w:tc>
        <w:tc>
          <w:tcPr>
            <w:tcW w:w="1560" w:type="dxa"/>
            <w:tcBorders>
              <w:left w:val="single" w:sz="4" w:space="0" w:color="auto"/>
              <w:right w:val="single" w:sz="4" w:space="0" w:color="auto"/>
            </w:tcBorders>
            <w:shd w:val="clear" w:color="auto" w:fill="auto"/>
            <w:vAlign w:val="center"/>
          </w:tcPr>
          <w:p w14:paraId="68FA8F63" w14:textId="77777777" w:rsidR="007C3C99" w:rsidRPr="00570475" w:rsidRDefault="007C3C99" w:rsidP="00980E7B">
            <w:pPr>
              <w:snapToGrid w:val="0"/>
              <w:spacing w:before="60" w:after="60" w:line="260" w:lineRule="atLeast"/>
              <w:rPr>
                <w:color w:val="000000"/>
                <w:sz w:val="18"/>
                <w:szCs w:val="18"/>
              </w:rPr>
            </w:pPr>
            <w:r w:rsidRPr="00570475">
              <w:rPr>
                <w:color w:val="000000"/>
                <w:sz w:val="18"/>
                <w:szCs w:val="18"/>
              </w:rPr>
              <w:t>kg.l</w:t>
            </w:r>
            <w:r w:rsidRPr="00570475">
              <w:rPr>
                <w:color w:val="000000"/>
                <w:sz w:val="18"/>
                <w:szCs w:val="18"/>
                <w:vertAlign w:val="superscript"/>
              </w:rPr>
              <w:t>-1</w:t>
            </w:r>
          </w:p>
        </w:tc>
        <w:tc>
          <w:tcPr>
            <w:tcW w:w="2135" w:type="dxa"/>
            <w:tcBorders>
              <w:left w:val="single" w:sz="4" w:space="0" w:color="auto"/>
              <w:right w:val="single" w:sz="4" w:space="0" w:color="auto"/>
            </w:tcBorders>
            <w:shd w:val="clear" w:color="auto" w:fill="auto"/>
            <w:vAlign w:val="center"/>
          </w:tcPr>
          <w:p w14:paraId="6F5BB59C" w14:textId="530D5E2F" w:rsidR="007C3C99" w:rsidRDefault="009B4803" w:rsidP="00980E7B">
            <w:pPr>
              <w:snapToGrid w:val="0"/>
              <w:spacing w:before="60" w:after="60" w:line="260" w:lineRule="atLeast"/>
              <w:rPr>
                <w:sz w:val="18"/>
                <w:szCs w:val="18"/>
              </w:rPr>
            </w:pPr>
            <w:r w:rsidRPr="001C6AF1">
              <w:rPr>
                <w:sz w:val="18"/>
                <w:szCs w:val="18"/>
                <w:lang w:val="en-US"/>
              </w:rPr>
              <w:t>Considering that, for all the Meta-SPC, product density may vary from 1.004 to 1.077, a density of 1 is considered for the assessment</w:t>
            </w:r>
          </w:p>
        </w:tc>
      </w:tr>
      <w:tr w:rsidR="007C3C99" w14:paraId="710C8C7F" w14:textId="77777777" w:rsidTr="00ED3438">
        <w:trPr>
          <w:trHeight w:val="93"/>
        </w:trPr>
        <w:tc>
          <w:tcPr>
            <w:tcW w:w="3936" w:type="dxa"/>
            <w:tcBorders>
              <w:left w:val="single" w:sz="4" w:space="0" w:color="auto"/>
              <w:bottom w:val="single" w:sz="4" w:space="0" w:color="auto"/>
              <w:right w:val="single" w:sz="4" w:space="0" w:color="auto"/>
            </w:tcBorders>
            <w:shd w:val="clear" w:color="auto" w:fill="auto"/>
            <w:vAlign w:val="center"/>
          </w:tcPr>
          <w:p w14:paraId="08B54940" w14:textId="77777777" w:rsidR="007C3C99" w:rsidRPr="00570475" w:rsidRDefault="007C3C99" w:rsidP="00980E7B">
            <w:pPr>
              <w:suppressAutoHyphens w:val="0"/>
              <w:rPr>
                <w:color w:val="000000"/>
                <w:sz w:val="18"/>
                <w:szCs w:val="18"/>
              </w:rPr>
            </w:pPr>
            <w:r w:rsidRPr="00570475">
              <w:rPr>
                <w:rFonts w:eastAsia="Calibri" w:cs="Arial"/>
                <w:color w:val="000000"/>
                <w:sz w:val="18"/>
                <w:szCs w:val="18"/>
                <w:lang w:eastAsia="en-GB"/>
              </w:rPr>
              <w:t>OTNE</w:t>
            </w:r>
          </w:p>
        </w:tc>
        <w:tc>
          <w:tcPr>
            <w:tcW w:w="1451" w:type="dxa"/>
            <w:tcBorders>
              <w:left w:val="single" w:sz="4" w:space="0" w:color="auto"/>
              <w:bottom w:val="single" w:sz="4" w:space="0" w:color="auto"/>
              <w:right w:val="single" w:sz="4" w:space="0" w:color="auto"/>
            </w:tcBorders>
            <w:shd w:val="clear" w:color="auto" w:fill="auto"/>
            <w:vAlign w:val="center"/>
          </w:tcPr>
          <w:p w14:paraId="2DC7DC64" w14:textId="77777777" w:rsidR="007C3C99" w:rsidRPr="00570475" w:rsidRDefault="007C3C99" w:rsidP="00980E7B">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7.20E-04</w:t>
            </w:r>
          </w:p>
        </w:tc>
        <w:tc>
          <w:tcPr>
            <w:tcW w:w="1560" w:type="dxa"/>
            <w:tcBorders>
              <w:left w:val="single" w:sz="4" w:space="0" w:color="auto"/>
              <w:bottom w:val="single" w:sz="4" w:space="0" w:color="auto"/>
              <w:right w:val="single" w:sz="4" w:space="0" w:color="auto"/>
            </w:tcBorders>
            <w:shd w:val="clear" w:color="auto" w:fill="auto"/>
            <w:vAlign w:val="center"/>
          </w:tcPr>
          <w:p w14:paraId="675EAE62" w14:textId="77777777" w:rsidR="007C3C99" w:rsidRPr="00570475" w:rsidRDefault="007C3C99" w:rsidP="00980E7B">
            <w:pPr>
              <w:snapToGrid w:val="0"/>
              <w:spacing w:before="60" w:after="60" w:line="260" w:lineRule="atLeast"/>
              <w:rPr>
                <w:color w:val="000000"/>
                <w:sz w:val="18"/>
                <w:szCs w:val="18"/>
              </w:rPr>
            </w:pPr>
          </w:p>
        </w:tc>
        <w:tc>
          <w:tcPr>
            <w:tcW w:w="2135" w:type="dxa"/>
            <w:tcBorders>
              <w:left w:val="single" w:sz="4" w:space="0" w:color="auto"/>
              <w:bottom w:val="single" w:sz="4" w:space="0" w:color="auto"/>
              <w:right w:val="single" w:sz="4" w:space="0" w:color="auto"/>
            </w:tcBorders>
            <w:shd w:val="clear" w:color="auto" w:fill="auto"/>
            <w:vAlign w:val="center"/>
          </w:tcPr>
          <w:p w14:paraId="3654DF70" w14:textId="77777777" w:rsidR="007C3C99" w:rsidRPr="00570475" w:rsidRDefault="007C3C99" w:rsidP="00980E7B">
            <w:pPr>
              <w:snapToGrid w:val="0"/>
              <w:spacing w:before="60" w:after="60" w:line="260" w:lineRule="atLeast"/>
              <w:rPr>
                <w:sz w:val="18"/>
                <w:szCs w:val="18"/>
              </w:rPr>
            </w:pPr>
          </w:p>
        </w:tc>
      </w:tr>
      <w:tr w:rsidR="0073642B" w14:paraId="5B562D5E"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76EB446" w14:textId="77777777" w:rsidR="0073642B" w:rsidRPr="00570475" w:rsidRDefault="0073642B" w:rsidP="00476D22">
            <w:pPr>
              <w:keepNext/>
              <w:rPr>
                <w:color w:val="000000"/>
                <w:sz w:val="18"/>
                <w:szCs w:val="18"/>
              </w:rPr>
            </w:pPr>
            <w:r w:rsidRPr="00570475">
              <w:rPr>
                <w:color w:val="000000"/>
                <w:sz w:val="18"/>
                <w:szCs w:val="18"/>
              </w:rPr>
              <w:t>AREA</w:t>
            </w:r>
          </w:p>
        </w:tc>
        <w:tc>
          <w:tcPr>
            <w:tcW w:w="1451" w:type="dxa"/>
            <w:tcBorders>
              <w:top w:val="single" w:sz="4" w:space="0" w:color="000000"/>
              <w:left w:val="single" w:sz="4" w:space="0" w:color="000000"/>
              <w:bottom w:val="single" w:sz="4" w:space="0" w:color="000000"/>
            </w:tcBorders>
            <w:shd w:val="clear" w:color="auto" w:fill="auto"/>
            <w:vAlign w:val="center"/>
          </w:tcPr>
          <w:p w14:paraId="54B8A9D8" w14:textId="03E8FFE4"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15 000</w:t>
            </w:r>
          </w:p>
        </w:tc>
        <w:tc>
          <w:tcPr>
            <w:tcW w:w="1560" w:type="dxa"/>
            <w:tcBorders>
              <w:top w:val="single" w:sz="4" w:space="0" w:color="000000"/>
              <w:left w:val="single" w:sz="4" w:space="0" w:color="000000"/>
              <w:bottom w:val="single" w:sz="4" w:space="0" w:color="000000"/>
            </w:tcBorders>
            <w:shd w:val="clear" w:color="auto" w:fill="auto"/>
            <w:vAlign w:val="center"/>
          </w:tcPr>
          <w:p w14:paraId="4B589E5B"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m</w:t>
            </w:r>
            <w:r w:rsidRPr="00570475">
              <w:rPr>
                <w:color w:val="000000"/>
                <w:sz w:val="18"/>
                <w:szCs w:val="18"/>
                <w:vertAlign w:val="superscript"/>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EF90"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sz w:val="18"/>
                <w:szCs w:val="18"/>
                <w:lang w:eastAsia="en-GB"/>
              </w:rPr>
              <w:t>Considering average surface AREA of marketplaces in France</w:t>
            </w:r>
          </w:p>
        </w:tc>
      </w:tr>
      <w:tr w:rsidR="0073642B" w14:paraId="2C0BEC6E"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41768FC" w14:textId="77777777" w:rsidR="0073642B" w:rsidRPr="00570475" w:rsidRDefault="0073642B" w:rsidP="00476D22">
            <w:pPr>
              <w:keepNext/>
              <w:rPr>
                <w:color w:val="000000"/>
                <w:sz w:val="18"/>
                <w:szCs w:val="18"/>
              </w:rPr>
            </w:pPr>
            <w:r w:rsidRPr="00570475">
              <w:rPr>
                <w:color w:val="000000"/>
                <w:sz w:val="18"/>
                <w:szCs w:val="18"/>
              </w:rPr>
              <w:t xml:space="preserve">Number of applications per day </w:t>
            </w:r>
          </w:p>
          <w:p w14:paraId="61234C5C" w14:textId="77777777" w:rsidR="0073642B" w:rsidRPr="00570475" w:rsidRDefault="0073642B" w:rsidP="00476D22">
            <w:pPr>
              <w:keepNext/>
              <w:rPr>
                <w:color w:val="000000"/>
                <w:sz w:val="18"/>
                <w:szCs w:val="18"/>
              </w:rPr>
            </w:pPr>
            <w:r w:rsidRPr="00570475">
              <w:rPr>
                <w:color w:val="000000"/>
                <w:sz w:val="18"/>
                <w:szCs w:val="18"/>
              </w:rPr>
              <w:t>Napp</w:t>
            </w:r>
          </w:p>
        </w:tc>
        <w:tc>
          <w:tcPr>
            <w:tcW w:w="1451" w:type="dxa"/>
            <w:tcBorders>
              <w:top w:val="single" w:sz="4" w:space="0" w:color="000000"/>
              <w:left w:val="single" w:sz="4" w:space="0" w:color="000000"/>
              <w:bottom w:val="single" w:sz="4" w:space="0" w:color="000000"/>
            </w:tcBorders>
            <w:shd w:val="clear" w:color="auto" w:fill="auto"/>
            <w:vAlign w:val="center"/>
          </w:tcPr>
          <w:p w14:paraId="223543D5"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7078171F" w14:textId="77777777" w:rsidR="0073642B" w:rsidRPr="00570475" w:rsidRDefault="0073642B" w:rsidP="00476D22">
            <w:pPr>
              <w:snapToGrid w:val="0"/>
              <w:spacing w:before="60" w:after="60" w:line="260" w:lineRule="atLeast"/>
              <w:rPr>
                <w:color w:val="000000"/>
                <w:sz w:val="18"/>
                <w:szCs w:val="18"/>
              </w:rPr>
            </w:pPr>
            <w:r w:rsidRPr="00570475">
              <w:rPr>
                <w:color w:val="000000"/>
                <w:sz w:val="18"/>
                <w:szCs w:val="18"/>
              </w:rPr>
              <w:t>d</w:t>
            </w:r>
            <w:r w:rsidRPr="00570475">
              <w:rPr>
                <w:color w:val="000000"/>
                <w:sz w:val="18"/>
                <w:szCs w:val="18"/>
                <w:vertAlign w:val="superscript"/>
              </w:rPr>
              <w:t>-1</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EACF" w14:textId="77777777" w:rsidR="0073642B" w:rsidRPr="00570475" w:rsidRDefault="0073642B" w:rsidP="00476D22">
            <w:pPr>
              <w:snapToGrid w:val="0"/>
              <w:spacing w:before="60" w:after="60" w:line="260" w:lineRule="atLeast"/>
              <w:rPr>
                <w:rFonts w:eastAsia="Calibri"/>
                <w:sz w:val="18"/>
                <w:szCs w:val="18"/>
                <w:lang w:eastAsia="en-GB"/>
              </w:rPr>
            </w:pPr>
            <w:r w:rsidRPr="00570475">
              <w:rPr>
                <w:color w:val="000000"/>
                <w:sz w:val="18"/>
                <w:szCs w:val="18"/>
              </w:rPr>
              <w:t>Default</w:t>
            </w:r>
          </w:p>
        </w:tc>
      </w:tr>
      <w:tr w:rsidR="0073642B" w14:paraId="165839B4" w14:textId="77777777" w:rsidTr="00476D22">
        <w:trPr>
          <w:trHeight w:val="93"/>
        </w:trPr>
        <w:tc>
          <w:tcPr>
            <w:tcW w:w="3936" w:type="dxa"/>
            <w:tcBorders>
              <w:top w:val="single" w:sz="4" w:space="0" w:color="000000"/>
              <w:left w:val="single" w:sz="4" w:space="0" w:color="000000"/>
              <w:bottom w:val="single" w:sz="4" w:space="0" w:color="auto"/>
            </w:tcBorders>
            <w:shd w:val="clear" w:color="auto" w:fill="auto"/>
            <w:vAlign w:val="center"/>
          </w:tcPr>
          <w:p w14:paraId="6079FAA5" w14:textId="77777777" w:rsidR="0073642B" w:rsidRPr="00570475" w:rsidRDefault="0073642B" w:rsidP="00476D22">
            <w:pPr>
              <w:keepNext/>
              <w:rPr>
                <w:color w:val="000000"/>
                <w:sz w:val="18"/>
                <w:szCs w:val="18"/>
              </w:rPr>
            </w:pPr>
            <w:r w:rsidRPr="00570475">
              <w:rPr>
                <w:color w:val="000000"/>
                <w:sz w:val="18"/>
                <w:szCs w:val="18"/>
              </w:rPr>
              <w:t>Fraction released to wastewater</w:t>
            </w:r>
          </w:p>
          <w:p w14:paraId="42917F1B"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i/>
                <w:color w:val="000000"/>
                <w:sz w:val="18"/>
                <w:szCs w:val="18"/>
              </w:rPr>
              <w:t>F</w:t>
            </w:r>
            <w:r w:rsidRPr="00570475">
              <w:rPr>
                <w:i/>
                <w:color w:val="000000"/>
                <w:sz w:val="18"/>
                <w:szCs w:val="18"/>
                <w:vertAlign w:val="subscript"/>
              </w:rPr>
              <w:t>water</w:t>
            </w:r>
          </w:p>
        </w:tc>
        <w:tc>
          <w:tcPr>
            <w:tcW w:w="1451" w:type="dxa"/>
            <w:tcBorders>
              <w:top w:val="single" w:sz="4" w:space="0" w:color="000000"/>
              <w:left w:val="single" w:sz="4" w:space="0" w:color="000000"/>
              <w:bottom w:val="single" w:sz="4" w:space="0" w:color="000000"/>
            </w:tcBorders>
            <w:shd w:val="clear" w:color="auto" w:fill="auto"/>
            <w:vAlign w:val="center"/>
          </w:tcPr>
          <w:p w14:paraId="62C60F9D"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1</w:t>
            </w:r>
          </w:p>
        </w:tc>
        <w:tc>
          <w:tcPr>
            <w:tcW w:w="1560" w:type="dxa"/>
            <w:tcBorders>
              <w:top w:val="single" w:sz="4" w:space="0" w:color="000000"/>
              <w:left w:val="single" w:sz="4" w:space="0" w:color="000000"/>
              <w:bottom w:val="single" w:sz="4" w:space="0" w:color="000000"/>
            </w:tcBorders>
            <w:shd w:val="clear" w:color="auto" w:fill="auto"/>
            <w:vAlign w:val="center"/>
          </w:tcPr>
          <w:p w14:paraId="6351EDF3"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5D0A" w14:textId="77777777" w:rsidR="0073642B" w:rsidRPr="00570475" w:rsidRDefault="0073642B" w:rsidP="00476D22">
            <w:pPr>
              <w:snapToGrid w:val="0"/>
              <w:spacing w:before="60" w:after="60" w:line="260" w:lineRule="atLeast"/>
              <w:rPr>
                <w:rFonts w:eastAsia="Calibri" w:cs="Arial"/>
                <w:color w:val="000000"/>
                <w:sz w:val="18"/>
                <w:szCs w:val="18"/>
                <w:lang w:eastAsia="en-GB"/>
              </w:rPr>
            </w:pPr>
            <w:r w:rsidRPr="00570475">
              <w:rPr>
                <w:color w:val="000000"/>
                <w:sz w:val="18"/>
                <w:szCs w:val="18"/>
              </w:rPr>
              <w:t>Default</w:t>
            </w:r>
          </w:p>
        </w:tc>
      </w:tr>
    </w:tbl>
    <w:p w14:paraId="51AA6589" w14:textId="77777777" w:rsidR="0073642B" w:rsidRDefault="0073642B" w:rsidP="0073642B">
      <w:pPr>
        <w:spacing w:line="276" w:lineRule="auto"/>
        <w:rPr>
          <w:rFonts w:ascii="Times New Roman" w:eastAsia="Calibri" w:hAnsi="Times New Roman" w:cs="Times New Roman"/>
          <w:i/>
          <w:lang w:val="fr-FR" w:eastAsia="en-US"/>
        </w:rPr>
      </w:pPr>
    </w:p>
    <w:p w14:paraId="11062CFD" w14:textId="77777777" w:rsidR="0073642B" w:rsidRPr="003B2E23" w:rsidRDefault="0073642B" w:rsidP="0073642B">
      <w:pPr>
        <w:spacing w:line="276" w:lineRule="auto"/>
        <w:rPr>
          <w:rFonts w:ascii="Times New Roman" w:eastAsia="Calibri" w:hAnsi="Times New Roman" w:cs="Times New Roman"/>
          <w:i/>
          <w:lang w:val="fr-FR" w:eastAsia="en-US"/>
        </w:rPr>
      </w:pPr>
    </w:p>
    <w:p w14:paraId="34F88ED2" w14:textId="77777777" w:rsidR="0073642B" w:rsidRPr="003B2E23" w:rsidRDefault="0073642B" w:rsidP="0073642B">
      <w:pPr>
        <w:spacing w:line="276" w:lineRule="auto"/>
        <w:rPr>
          <w:rFonts w:eastAsia="Calibri"/>
          <w:u w:val="single"/>
          <w:lang w:val="fr-FR" w:eastAsia="en-US"/>
        </w:rPr>
      </w:pPr>
    </w:p>
    <w:p w14:paraId="3E8BEEDF" w14:textId="77777777" w:rsidR="0073642B" w:rsidRPr="003B2E23" w:rsidRDefault="0073642B" w:rsidP="0073642B">
      <w:pPr>
        <w:spacing w:line="276" w:lineRule="auto"/>
        <w:rPr>
          <w:rFonts w:eastAsia="Calibri"/>
          <w:u w:val="single"/>
          <w:lang w:val="en-US" w:eastAsia="en-US"/>
        </w:rPr>
      </w:pPr>
      <w:r w:rsidRPr="003B2E23">
        <w:rPr>
          <w:rFonts w:eastAsia="Calibri"/>
          <w:u w:val="single"/>
          <w:lang w:val="en-US" w:eastAsia="en-US"/>
        </w:rPr>
        <w:t xml:space="preserve">Calculations for Scenario </w:t>
      </w:r>
      <w:r>
        <w:rPr>
          <w:rFonts w:eastAsia="Calibri"/>
          <w:u w:val="single"/>
          <w:lang w:val="en-US" w:eastAsia="en-US"/>
        </w:rPr>
        <w:t>5</w:t>
      </w:r>
    </w:p>
    <w:p w14:paraId="1957C006" w14:textId="77777777" w:rsidR="0073642B" w:rsidRPr="003B2E23" w:rsidRDefault="0073642B" w:rsidP="0073642B">
      <w:pPr>
        <w:spacing w:line="276" w:lineRule="auto"/>
        <w:rPr>
          <w:rFonts w:eastAsia="Calibri"/>
          <w:lang w:val="en-US" w:eastAsia="en-US"/>
        </w:rPr>
      </w:pPr>
      <w:r>
        <w:rPr>
          <w:rFonts w:eastAsia="Calibri"/>
          <w:lang w:val="en-US" w:eastAsia="en-US"/>
        </w:rPr>
        <w:t>Elocalwater = Vform * Cform * Area * Nappl</w:t>
      </w:r>
      <w:r w:rsidRPr="00351C12">
        <w:rPr>
          <w:rFonts w:eastAsia="Calibri"/>
          <w:lang w:val="en-US" w:eastAsia="en-US"/>
        </w:rPr>
        <w:t xml:space="preserve"> * Fwater</w:t>
      </w:r>
    </w:p>
    <w:p w14:paraId="566E65F1" w14:textId="77777777" w:rsidR="0073642B" w:rsidRPr="00B27CB1" w:rsidRDefault="0073642B" w:rsidP="0073642B">
      <w:pPr>
        <w:spacing w:line="276" w:lineRule="auto"/>
        <w:rPr>
          <w:rFonts w:ascii="Times New Roman" w:eastAsia="Calibri" w:hAnsi="Times New Roman" w:cs="Times New Roman"/>
          <w:i/>
          <w:szCs w:val="22"/>
          <w:lang w:eastAsia="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3007"/>
        <w:gridCol w:w="2126"/>
      </w:tblGrid>
      <w:tr w:rsidR="0073642B" w:rsidRPr="00184ABF" w14:paraId="7C1DCFD8" w14:textId="77777777" w:rsidTr="00ED3438">
        <w:trPr>
          <w:tblHeader/>
        </w:trPr>
        <w:tc>
          <w:tcPr>
            <w:tcW w:w="9072" w:type="dxa"/>
            <w:gridSpan w:val="4"/>
            <w:shd w:val="clear" w:color="auto" w:fill="FFFFCC"/>
            <w:tcMar>
              <w:top w:w="40" w:type="dxa"/>
              <w:left w:w="40" w:type="dxa"/>
              <w:bottom w:w="40" w:type="dxa"/>
              <w:right w:w="40" w:type="dxa"/>
            </w:tcMar>
            <w:vAlign w:val="center"/>
          </w:tcPr>
          <w:p w14:paraId="6449BE7E" w14:textId="77777777" w:rsidR="0073642B" w:rsidRPr="00184ABF" w:rsidRDefault="0073642B" w:rsidP="00ED3438">
            <w:pPr>
              <w:spacing w:before="60" w:after="60"/>
              <w:ind w:left="57"/>
              <w:rPr>
                <w:b/>
                <w:sz w:val="18"/>
                <w:szCs w:val="18"/>
                <w:lang w:eastAsia="en-GB"/>
              </w:rPr>
            </w:pPr>
            <w:r w:rsidRPr="00184ABF">
              <w:rPr>
                <w:b/>
                <w:sz w:val="18"/>
                <w:szCs w:val="18"/>
              </w:rPr>
              <w:t>Resulting local emission to relevant environmental compartments</w:t>
            </w:r>
          </w:p>
        </w:tc>
      </w:tr>
      <w:tr w:rsidR="0073642B" w:rsidRPr="00184ABF" w14:paraId="04021DEE" w14:textId="77777777" w:rsidTr="00ED3438">
        <w:trPr>
          <w:tblHeader/>
        </w:trPr>
        <w:tc>
          <w:tcPr>
            <w:tcW w:w="2088" w:type="dxa"/>
            <w:shd w:val="clear" w:color="auto" w:fill="auto"/>
            <w:tcMar>
              <w:top w:w="40" w:type="dxa"/>
              <w:left w:w="40" w:type="dxa"/>
              <w:bottom w:w="40" w:type="dxa"/>
              <w:right w:w="40" w:type="dxa"/>
            </w:tcMar>
            <w:vAlign w:val="center"/>
          </w:tcPr>
          <w:p w14:paraId="1EBB9D23" w14:textId="77777777" w:rsidR="0073642B" w:rsidRPr="00184ABF" w:rsidRDefault="0073642B" w:rsidP="00ED3438">
            <w:pPr>
              <w:spacing w:before="60" w:after="60"/>
              <w:ind w:left="57"/>
              <w:rPr>
                <w:b/>
                <w:sz w:val="18"/>
                <w:szCs w:val="18"/>
                <w:lang w:eastAsia="en-GB"/>
              </w:rPr>
            </w:pPr>
            <w:r w:rsidRPr="00184ABF">
              <w:rPr>
                <w:b/>
                <w:sz w:val="18"/>
                <w:szCs w:val="18"/>
                <w:lang w:eastAsia="en-GB"/>
              </w:rPr>
              <w:t>Substance</w:t>
            </w:r>
          </w:p>
        </w:tc>
        <w:tc>
          <w:tcPr>
            <w:tcW w:w="1851" w:type="dxa"/>
            <w:shd w:val="clear" w:color="auto" w:fill="auto"/>
            <w:vAlign w:val="center"/>
          </w:tcPr>
          <w:p w14:paraId="1E88115F" w14:textId="77777777" w:rsidR="0073642B" w:rsidRPr="00184ABF" w:rsidRDefault="0073642B" w:rsidP="00ED3438">
            <w:pPr>
              <w:spacing w:before="60" w:after="60"/>
              <w:ind w:left="57"/>
              <w:rPr>
                <w:b/>
                <w:sz w:val="18"/>
                <w:szCs w:val="18"/>
                <w:lang w:eastAsia="en-GB"/>
              </w:rPr>
            </w:pPr>
            <w:r w:rsidRPr="00184ABF">
              <w:rPr>
                <w:b/>
                <w:sz w:val="18"/>
                <w:szCs w:val="18"/>
                <w:lang w:eastAsia="en-GB"/>
              </w:rPr>
              <w:t>Compartment</w:t>
            </w:r>
          </w:p>
        </w:tc>
        <w:tc>
          <w:tcPr>
            <w:tcW w:w="3007" w:type="dxa"/>
            <w:shd w:val="clear" w:color="auto" w:fill="auto"/>
            <w:tcMar>
              <w:top w:w="40" w:type="dxa"/>
              <w:left w:w="40" w:type="dxa"/>
              <w:bottom w:w="40" w:type="dxa"/>
              <w:right w:w="40" w:type="dxa"/>
            </w:tcMar>
            <w:vAlign w:val="center"/>
          </w:tcPr>
          <w:p w14:paraId="650F3231" w14:textId="77777777" w:rsidR="0073642B" w:rsidRPr="00184ABF" w:rsidRDefault="0073642B" w:rsidP="00ED3438">
            <w:pPr>
              <w:spacing w:before="60" w:after="60"/>
              <w:ind w:left="57"/>
              <w:rPr>
                <w:b/>
                <w:sz w:val="18"/>
                <w:szCs w:val="18"/>
                <w:lang w:eastAsia="en-GB"/>
              </w:rPr>
            </w:pPr>
            <w:r w:rsidRPr="00184ABF">
              <w:rPr>
                <w:b/>
                <w:sz w:val="18"/>
                <w:szCs w:val="18"/>
                <w:lang w:eastAsia="en-GB"/>
              </w:rPr>
              <w:t xml:space="preserve">Local emission </w:t>
            </w:r>
          </w:p>
          <w:p w14:paraId="130562FC" w14:textId="77777777" w:rsidR="0073642B" w:rsidRPr="00184ABF" w:rsidRDefault="0073642B" w:rsidP="00ED3438">
            <w:pPr>
              <w:spacing w:before="60" w:after="60"/>
              <w:ind w:left="57"/>
              <w:rPr>
                <w:b/>
                <w:sz w:val="18"/>
                <w:szCs w:val="18"/>
                <w:lang w:eastAsia="en-GB"/>
              </w:rPr>
            </w:pPr>
            <w:r w:rsidRPr="00184ABF">
              <w:rPr>
                <w:b/>
                <w:sz w:val="18"/>
                <w:szCs w:val="18"/>
                <w:lang w:eastAsia="en-GB"/>
              </w:rPr>
              <w:t>(Elocal</w:t>
            </w:r>
            <w:r>
              <w:rPr>
                <w:b/>
                <w:sz w:val="18"/>
                <w:szCs w:val="18"/>
                <w:vertAlign w:val="subscript"/>
                <w:lang w:eastAsia="en-GB"/>
              </w:rPr>
              <w:t>FRESHWATER</w:t>
            </w:r>
            <w:r w:rsidRPr="00184ABF">
              <w:rPr>
                <w:b/>
                <w:sz w:val="18"/>
                <w:szCs w:val="18"/>
                <w:lang w:eastAsia="en-GB"/>
              </w:rPr>
              <w:t>) [kg/d</w:t>
            </w:r>
            <w:r w:rsidRPr="00184ABF">
              <w:rPr>
                <w:b/>
                <w:sz w:val="18"/>
                <w:szCs w:val="18"/>
                <w:vertAlign w:val="superscript"/>
                <w:lang w:eastAsia="en-GB"/>
              </w:rPr>
              <w:t>-1</w:t>
            </w:r>
            <w:r w:rsidRPr="00184ABF">
              <w:rPr>
                <w:b/>
                <w:sz w:val="18"/>
                <w:szCs w:val="18"/>
                <w:lang w:eastAsia="en-GB"/>
              </w:rPr>
              <w:t>]</w:t>
            </w:r>
          </w:p>
        </w:tc>
        <w:tc>
          <w:tcPr>
            <w:tcW w:w="2126" w:type="dxa"/>
            <w:shd w:val="clear" w:color="auto" w:fill="auto"/>
            <w:tcMar>
              <w:top w:w="40" w:type="dxa"/>
              <w:left w:w="40" w:type="dxa"/>
              <w:bottom w:w="40" w:type="dxa"/>
              <w:right w:w="40" w:type="dxa"/>
            </w:tcMar>
            <w:vAlign w:val="center"/>
          </w:tcPr>
          <w:p w14:paraId="50B32793" w14:textId="77777777" w:rsidR="0073642B" w:rsidRPr="00184ABF" w:rsidRDefault="0073642B" w:rsidP="00ED3438">
            <w:pPr>
              <w:spacing w:before="60" w:after="60"/>
              <w:ind w:left="57"/>
              <w:rPr>
                <w:b/>
                <w:sz w:val="18"/>
                <w:szCs w:val="18"/>
                <w:lang w:eastAsia="en-GB"/>
              </w:rPr>
            </w:pPr>
            <w:r w:rsidRPr="00184ABF">
              <w:rPr>
                <w:b/>
                <w:sz w:val="18"/>
                <w:szCs w:val="18"/>
                <w:lang w:eastAsia="en-GB"/>
              </w:rPr>
              <w:t>Remarks</w:t>
            </w:r>
          </w:p>
        </w:tc>
      </w:tr>
      <w:tr w:rsidR="0073642B" w:rsidRPr="00184ABF" w14:paraId="754FBEC0" w14:textId="77777777" w:rsidTr="00ED3438">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6042D9AC" w14:textId="77777777" w:rsidR="0073642B" w:rsidRPr="00184ABF" w:rsidRDefault="0073642B" w:rsidP="00ED3438">
            <w:pPr>
              <w:ind w:left="57"/>
              <w:rPr>
                <w:rFonts w:cs="Calibri"/>
                <w:sz w:val="18"/>
                <w:szCs w:val="18"/>
                <w:lang w:eastAsia="es-ES"/>
              </w:rPr>
            </w:pPr>
            <w:r w:rsidRPr="00184ABF">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vAlign w:val="center"/>
          </w:tcPr>
          <w:p w14:paraId="7FA58DBF" w14:textId="77777777" w:rsidR="0073642B" w:rsidRPr="00184ABF" w:rsidRDefault="0073642B" w:rsidP="00ED3438">
            <w:pPr>
              <w:ind w:left="57"/>
              <w:rPr>
                <w:rFonts w:cs="Calibri"/>
                <w:sz w:val="18"/>
                <w:szCs w:val="18"/>
              </w:rPr>
            </w:pPr>
            <w:r>
              <w:rPr>
                <w:rFonts w:cs="Calibri"/>
                <w:sz w:val="18"/>
                <w:szCs w:val="18"/>
              </w:rPr>
              <w:t>FRESHWATER</w:t>
            </w:r>
          </w:p>
        </w:tc>
        <w:tc>
          <w:tcPr>
            <w:tcW w:w="3007"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4BF3CA66" w14:textId="60432767" w:rsidR="0073642B" w:rsidRPr="00184ABF" w:rsidRDefault="0073642B" w:rsidP="00ED3438">
            <w:pPr>
              <w:ind w:left="57"/>
              <w:rPr>
                <w:rFonts w:cs="Calibri"/>
                <w:sz w:val="18"/>
                <w:szCs w:val="18"/>
              </w:rPr>
            </w:pPr>
            <w:r>
              <w:rPr>
                <w:rFonts w:cs="Calibri"/>
                <w:sz w:val="18"/>
                <w:szCs w:val="18"/>
              </w:rPr>
              <w:t>9.6</w:t>
            </w:r>
            <w:r w:rsidR="007C3C99">
              <w:rPr>
                <w:rFonts w:cs="Calibri"/>
                <w:sz w:val="18"/>
                <w:szCs w:val="18"/>
              </w:rPr>
              <w:t>0</w:t>
            </w:r>
          </w:p>
        </w:tc>
        <w:tc>
          <w:tcPr>
            <w:tcW w:w="2126"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62A88052" w14:textId="77777777" w:rsidR="0073642B" w:rsidRPr="00184ABF" w:rsidRDefault="0073642B" w:rsidP="00ED3438">
            <w:pPr>
              <w:ind w:left="57"/>
              <w:jc w:val="center"/>
              <w:rPr>
                <w:rFonts w:cs="Calibri"/>
              </w:rPr>
            </w:pPr>
          </w:p>
        </w:tc>
      </w:tr>
      <w:tr w:rsidR="0073642B" w:rsidRPr="00184ABF" w14:paraId="6D494942" w14:textId="77777777" w:rsidTr="00ED3438">
        <w:tc>
          <w:tcPr>
            <w:tcW w:w="20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55BA59" w14:textId="77777777" w:rsidR="0073642B" w:rsidRPr="00184ABF" w:rsidRDefault="0073642B" w:rsidP="00ED3438">
            <w:pPr>
              <w:ind w:left="57"/>
              <w:rPr>
                <w:rFonts w:cs="Calibri"/>
                <w:sz w:val="18"/>
                <w:szCs w:val="18"/>
              </w:rPr>
            </w:pPr>
            <w:r>
              <w:rPr>
                <w:rFonts w:cs="Calibri"/>
                <w:sz w:val="18"/>
                <w:szCs w:val="18"/>
              </w:rPr>
              <w:t>OTNE</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6DA9FB4" w14:textId="77777777" w:rsidR="0073642B" w:rsidRDefault="0073642B" w:rsidP="00ED3438">
            <w:pPr>
              <w:ind w:left="57"/>
              <w:rPr>
                <w:rFonts w:cs="Calibri"/>
                <w:sz w:val="18"/>
                <w:szCs w:val="18"/>
              </w:rPr>
            </w:pPr>
            <w:r>
              <w:rPr>
                <w:rFonts w:cs="Calibri"/>
                <w:sz w:val="18"/>
                <w:szCs w:val="18"/>
              </w:rPr>
              <w:t>FRESHWATER</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2D9F25" w14:textId="77777777" w:rsidR="0073642B" w:rsidRDefault="0073642B" w:rsidP="00ED3438">
            <w:pPr>
              <w:ind w:left="57"/>
              <w:rPr>
                <w:rFonts w:cs="Calibri"/>
                <w:sz w:val="18"/>
                <w:szCs w:val="18"/>
              </w:rPr>
            </w:pPr>
            <w:r>
              <w:rPr>
                <w:rFonts w:cs="Calibri"/>
                <w:sz w:val="18"/>
                <w:szCs w:val="18"/>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3F37B8" w14:textId="77777777" w:rsidR="0073642B" w:rsidRPr="00184ABF" w:rsidRDefault="0073642B" w:rsidP="00ED3438">
            <w:pPr>
              <w:ind w:left="57"/>
              <w:jc w:val="center"/>
              <w:rPr>
                <w:rFonts w:cs="Calibri"/>
              </w:rPr>
            </w:pPr>
          </w:p>
        </w:tc>
      </w:tr>
    </w:tbl>
    <w:p w14:paraId="2F8C6AC1" w14:textId="77777777" w:rsidR="0073642B" w:rsidRDefault="0073642B" w:rsidP="0073642B">
      <w:pPr>
        <w:spacing w:line="260" w:lineRule="atLeast"/>
        <w:rPr>
          <w:rFonts w:eastAsia="Calibri" w:cs="Times New Roman"/>
          <w:iCs/>
          <w:lang w:eastAsia="en-US"/>
        </w:rPr>
      </w:pPr>
    </w:p>
    <w:p w14:paraId="38E838AB" w14:textId="77777777" w:rsidR="0073642B" w:rsidRDefault="0073642B" w:rsidP="0073642B">
      <w:pPr>
        <w:suppressAutoHyphens w:val="0"/>
        <w:spacing w:after="120"/>
        <w:contextualSpacing/>
        <w:rPr>
          <w:rFonts w:eastAsia="Calibri"/>
          <w:b/>
          <w:bCs/>
          <w:lang w:eastAsia="en-US"/>
        </w:rPr>
      </w:pPr>
    </w:p>
    <w:p w14:paraId="40FC825D" w14:textId="77777777" w:rsidR="0073642B" w:rsidRDefault="0073642B" w:rsidP="0073642B">
      <w:pPr>
        <w:spacing w:line="260" w:lineRule="atLeast"/>
        <w:rPr>
          <w:rFonts w:eastAsia="Calibri" w:cs="Times New Roman"/>
          <w:iCs/>
          <w:lang w:eastAsia="en-US"/>
        </w:rPr>
      </w:pPr>
    </w:p>
    <w:p w14:paraId="32220277" w14:textId="3C5987CE" w:rsidR="0073642B" w:rsidRPr="00B27CB1" w:rsidRDefault="00BC6C9B" w:rsidP="00A005DD">
      <w:pPr>
        <w:pStyle w:val="Titre5"/>
        <w:rPr>
          <w:rFonts w:ascii="Times New Roman" w:hAnsi="Times New Roman" w:cs="Times New Roman"/>
          <w:i/>
        </w:rPr>
      </w:pPr>
      <w:r>
        <w:lastRenderedPageBreak/>
        <w:t xml:space="preserve">PT03 - </w:t>
      </w:r>
      <w:r w:rsidR="0073642B" w:rsidRPr="00B27CB1">
        <w:t xml:space="preserve">Scenario </w:t>
      </w:r>
      <w:r w:rsidR="004539DD">
        <w:t>6</w:t>
      </w:r>
      <w:r w:rsidR="00477C28">
        <w:t>:</w:t>
      </w:r>
      <w:r w:rsidR="0073642B" w:rsidRPr="00896F37">
        <w:rPr>
          <w:color w:val="221E1F"/>
          <w:lang w:val="en-US"/>
        </w:rPr>
        <w:t xml:space="preserve"> </w:t>
      </w:r>
      <w:r w:rsidR="002F354D">
        <w:rPr>
          <w:color w:val="221E1F"/>
          <w:lang w:val="en-US"/>
        </w:rPr>
        <w:t xml:space="preserve">Indoor &amp; </w:t>
      </w:r>
      <w:r w:rsidR="0073642B" w:rsidRPr="00152357">
        <w:t>Outdoor - Disinfection of domestic animal housing - direct emission to soil</w:t>
      </w:r>
      <w:r w:rsidR="002F354D">
        <w:t xml:space="preserve"> and indirect emission via STP</w:t>
      </w:r>
    </w:p>
    <w:p w14:paraId="5DC554C3" w14:textId="77777777" w:rsidR="0073642B" w:rsidRDefault="0073642B" w:rsidP="0073642B">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 xml:space="preserve">SPC </w:t>
      </w:r>
      <w:r>
        <w:rPr>
          <w:rFonts w:eastAsia="Calibri" w:cs="Times New Roman"/>
          <w:bCs/>
          <w:lang w:eastAsia="en-US"/>
        </w:rPr>
        <w:t>9 &amp; 10</w:t>
      </w:r>
    </w:p>
    <w:p w14:paraId="7651AC41" w14:textId="77777777" w:rsidR="0073642B" w:rsidRDefault="0073642B" w:rsidP="0073642B">
      <w:pPr>
        <w:spacing w:line="276" w:lineRule="auto"/>
        <w:rPr>
          <w:rFonts w:eastAsia="Calibri" w:cs="Times New Roman"/>
          <w:bCs/>
          <w:lang w:eastAsia="en-US"/>
        </w:rPr>
      </w:pPr>
    </w:p>
    <w:p w14:paraId="530A51B7" w14:textId="77777777" w:rsidR="004539DD" w:rsidRPr="00896F37" w:rsidRDefault="004539DD" w:rsidP="004539DD">
      <w:pPr>
        <w:spacing w:line="276" w:lineRule="auto"/>
        <w:rPr>
          <w:rFonts w:eastAsia="Calibri" w:cs="Times New Roman"/>
          <w:bCs/>
          <w:lang w:eastAsia="en-US"/>
        </w:rPr>
      </w:pPr>
      <w:r>
        <w:rPr>
          <w:rFonts w:eastAsia="Calibri" w:cs="Times New Roman"/>
          <w:bCs/>
          <w:lang w:eastAsia="en-US"/>
        </w:rPr>
        <w:t xml:space="preserve">Worst </w:t>
      </w:r>
      <w:r w:rsidRPr="00570475">
        <w:rPr>
          <w:rFonts w:eastAsia="Calibri" w:cs="Times New Roman"/>
          <w:bCs/>
          <w:lang w:eastAsia="en-US"/>
        </w:rPr>
        <w:t xml:space="preserve">case </w:t>
      </w:r>
      <w:r w:rsidRPr="00570475">
        <w:rPr>
          <w:rFonts w:cs="Calibri"/>
        </w:rPr>
        <w:t>L(+) Lactic acid</w:t>
      </w:r>
      <w:r w:rsidRPr="00570475">
        <w:rPr>
          <w:rFonts w:eastAsia="Calibri" w:cs="Times New Roman"/>
          <w:bCs/>
          <w:lang w:eastAsia="en-US"/>
        </w:rPr>
        <w:t xml:space="preserve"> concentration</w:t>
      </w:r>
      <w:r>
        <w:rPr>
          <w:rFonts w:eastAsia="Calibri" w:cs="Times New Roman"/>
          <w:bCs/>
          <w:lang w:eastAsia="en-US"/>
        </w:rPr>
        <w:t xml:space="preserve"> for scenario 6:</w:t>
      </w:r>
    </w:p>
    <w:tbl>
      <w:tblPr>
        <w:tblStyle w:val="Grilledutableau"/>
        <w:tblW w:w="5000" w:type="pct"/>
        <w:tblInd w:w="0" w:type="dxa"/>
        <w:tblLook w:val="04A0" w:firstRow="1" w:lastRow="0" w:firstColumn="1" w:lastColumn="0" w:noHBand="0" w:noVBand="1"/>
      </w:tblPr>
      <w:tblGrid>
        <w:gridCol w:w="4389"/>
        <w:gridCol w:w="2406"/>
        <w:gridCol w:w="2408"/>
      </w:tblGrid>
      <w:tr w:rsidR="004539DD" w:rsidRPr="00F068A9" w14:paraId="4849AD6B" w14:textId="77777777" w:rsidTr="004539DD">
        <w:trPr>
          <w:trHeight w:val="57"/>
        </w:trPr>
        <w:tc>
          <w:tcPr>
            <w:tcW w:w="2385" w:type="pct"/>
            <w:vAlign w:val="center"/>
          </w:tcPr>
          <w:p w14:paraId="4DEDB3C5" w14:textId="77777777" w:rsidR="004539DD" w:rsidRPr="00F068A9" w:rsidRDefault="004539DD" w:rsidP="004539DD">
            <w:pPr>
              <w:spacing w:before="240" w:after="60" w:line="260" w:lineRule="atLeast"/>
              <w:jc w:val="center"/>
              <w:outlineLvl w:val="0"/>
            </w:pPr>
            <w:r w:rsidRPr="00F068A9">
              <w:t xml:space="preserve">Substance: </w:t>
            </w:r>
            <w:r w:rsidRPr="00F068A9">
              <w:rPr>
                <w:rFonts w:cs="Calibri"/>
              </w:rPr>
              <w:t>L(+) Lactic acid</w:t>
            </w:r>
          </w:p>
        </w:tc>
        <w:tc>
          <w:tcPr>
            <w:tcW w:w="1307" w:type="pct"/>
            <w:vAlign w:val="center"/>
          </w:tcPr>
          <w:p w14:paraId="331661B0" w14:textId="77777777" w:rsidR="004539DD" w:rsidRPr="00F068A9" w:rsidRDefault="004539DD" w:rsidP="004539DD">
            <w:pPr>
              <w:spacing w:line="260" w:lineRule="atLeast"/>
              <w:jc w:val="center"/>
              <w:outlineLvl w:val="0"/>
              <w:rPr>
                <w:b/>
              </w:rPr>
            </w:pPr>
            <w:r w:rsidRPr="00F068A9">
              <w:rPr>
                <w:b/>
              </w:rPr>
              <w:t>Meta-SPC 9</w:t>
            </w:r>
          </w:p>
        </w:tc>
        <w:tc>
          <w:tcPr>
            <w:tcW w:w="1308" w:type="pct"/>
            <w:vAlign w:val="center"/>
          </w:tcPr>
          <w:p w14:paraId="7CAE5D99" w14:textId="77777777" w:rsidR="004539DD" w:rsidRPr="00F068A9" w:rsidRDefault="004539DD" w:rsidP="004539DD">
            <w:pPr>
              <w:spacing w:line="260" w:lineRule="atLeast"/>
              <w:jc w:val="center"/>
              <w:outlineLvl w:val="0"/>
              <w:rPr>
                <w:b/>
              </w:rPr>
            </w:pPr>
            <w:r w:rsidRPr="00F068A9">
              <w:rPr>
                <w:b/>
              </w:rPr>
              <w:t>Meta-SPC 10</w:t>
            </w:r>
          </w:p>
        </w:tc>
      </w:tr>
      <w:tr w:rsidR="004539DD" w:rsidRPr="00F068A9" w14:paraId="2CBCDF27" w14:textId="77777777" w:rsidTr="004539DD">
        <w:trPr>
          <w:trHeight w:val="57"/>
        </w:trPr>
        <w:tc>
          <w:tcPr>
            <w:tcW w:w="2385" w:type="pct"/>
            <w:vAlign w:val="center"/>
          </w:tcPr>
          <w:p w14:paraId="4D8EBF02" w14:textId="77777777" w:rsidR="004539DD" w:rsidRPr="00F068A9" w:rsidRDefault="004539DD" w:rsidP="004539DD">
            <w:pPr>
              <w:spacing w:before="240" w:after="60" w:line="260" w:lineRule="atLeast"/>
              <w:jc w:val="center"/>
              <w:outlineLvl w:val="0"/>
            </w:pPr>
            <w:r w:rsidRPr="00F068A9">
              <w:t>Technical concentration of active substance (% w/w)</w:t>
            </w:r>
          </w:p>
        </w:tc>
        <w:tc>
          <w:tcPr>
            <w:tcW w:w="1307" w:type="pct"/>
            <w:vAlign w:val="center"/>
          </w:tcPr>
          <w:p w14:paraId="78428118"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2.4</w:t>
            </w:r>
          </w:p>
        </w:tc>
        <w:tc>
          <w:tcPr>
            <w:tcW w:w="1308" w:type="pct"/>
            <w:vAlign w:val="center"/>
          </w:tcPr>
          <w:p w14:paraId="2A5F7FF7"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8</w:t>
            </w:r>
          </w:p>
        </w:tc>
      </w:tr>
      <w:tr w:rsidR="004539DD" w:rsidRPr="00F068A9" w14:paraId="30E54D53" w14:textId="77777777" w:rsidTr="004539DD">
        <w:trPr>
          <w:trHeight w:val="57"/>
        </w:trPr>
        <w:tc>
          <w:tcPr>
            <w:tcW w:w="2385" w:type="pct"/>
            <w:vAlign w:val="center"/>
          </w:tcPr>
          <w:p w14:paraId="64C9AC63" w14:textId="77777777" w:rsidR="004539DD" w:rsidRPr="00F068A9" w:rsidRDefault="004539DD" w:rsidP="004539DD">
            <w:pPr>
              <w:spacing w:before="240" w:after="60" w:line="260" w:lineRule="atLeast"/>
              <w:jc w:val="center"/>
              <w:outlineLvl w:val="0"/>
            </w:pPr>
            <w:r w:rsidRPr="00F068A9">
              <w:t>Dilution factor</w:t>
            </w:r>
          </w:p>
        </w:tc>
        <w:tc>
          <w:tcPr>
            <w:tcW w:w="1307" w:type="pct"/>
            <w:vAlign w:val="center"/>
          </w:tcPr>
          <w:p w14:paraId="27E74E46" w14:textId="72F2ECC6" w:rsidR="004539DD" w:rsidRPr="00F068A9" w:rsidRDefault="00B03C84"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RTU</w:t>
            </w:r>
          </w:p>
        </w:tc>
        <w:tc>
          <w:tcPr>
            <w:tcW w:w="1308" w:type="pct"/>
            <w:vAlign w:val="center"/>
          </w:tcPr>
          <w:p w14:paraId="6FB29404"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0.1</w:t>
            </w:r>
          </w:p>
        </w:tc>
      </w:tr>
      <w:tr w:rsidR="004539DD" w:rsidRPr="00F068A9" w14:paraId="2C956D92" w14:textId="77777777" w:rsidTr="004539DD">
        <w:trPr>
          <w:trHeight w:val="57"/>
        </w:trPr>
        <w:tc>
          <w:tcPr>
            <w:tcW w:w="2385" w:type="pct"/>
            <w:vAlign w:val="center"/>
          </w:tcPr>
          <w:p w14:paraId="67D423F8" w14:textId="77777777" w:rsidR="004539DD" w:rsidRPr="00F068A9" w:rsidRDefault="004539DD" w:rsidP="004539DD">
            <w:pPr>
              <w:spacing w:before="240" w:after="60" w:line="260" w:lineRule="atLeast"/>
              <w:jc w:val="center"/>
              <w:outlineLvl w:val="0"/>
            </w:pPr>
            <w:r w:rsidRPr="00F068A9">
              <w:t>Density</w:t>
            </w:r>
          </w:p>
        </w:tc>
        <w:tc>
          <w:tcPr>
            <w:tcW w:w="2615" w:type="pct"/>
            <w:gridSpan w:val="2"/>
            <w:vAlign w:val="center"/>
          </w:tcPr>
          <w:p w14:paraId="5074D17C"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t>A density of 1 is considered for the assessment</w:t>
            </w:r>
          </w:p>
        </w:tc>
      </w:tr>
      <w:tr w:rsidR="004539DD" w:rsidRPr="00F068A9" w14:paraId="706612F9" w14:textId="77777777" w:rsidTr="004539DD">
        <w:trPr>
          <w:trHeight w:val="57"/>
        </w:trPr>
        <w:tc>
          <w:tcPr>
            <w:tcW w:w="2385" w:type="pct"/>
            <w:vAlign w:val="center"/>
          </w:tcPr>
          <w:p w14:paraId="7B99469D" w14:textId="77777777" w:rsidR="004539DD" w:rsidRPr="00F068A9" w:rsidRDefault="004539DD" w:rsidP="004539DD">
            <w:pPr>
              <w:spacing w:line="260" w:lineRule="atLeast"/>
              <w:jc w:val="center"/>
              <w:outlineLvl w:val="0"/>
            </w:pPr>
            <w:r w:rsidRPr="00F068A9">
              <w:rPr>
                <w:rFonts w:eastAsia="Calibri" w:cs="Times New Roman"/>
                <w:lang w:eastAsia="en-US"/>
              </w:rPr>
              <w:t>Concentration of substance in working solution (% w/v)</w:t>
            </w:r>
          </w:p>
        </w:tc>
        <w:tc>
          <w:tcPr>
            <w:tcW w:w="1307" w:type="pct"/>
            <w:shd w:val="clear" w:color="auto" w:fill="92CDDC" w:themeFill="accent5" w:themeFillTint="99"/>
            <w:vAlign w:val="center"/>
          </w:tcPr>
          <w:p w14:paraId="4236E74D" w14:textId="77777777" w:rsidR="004539DD" w:rsidRPr="00F068A9" w:rsidRDefault="004539DD" w:rsidP="004539DD">
            <w:pPr>
              <w:spacing w:before="240" w:after="60" w:line="260" w:lineRule="atLeast"/>
              <w:jc w:val="center"/>
              <w:outlineLvl w:val="0"/>
              <w:rPr>
                <w:b/>
              </w:rPr>
            </w:pPr>
            <w:r w:rsidRPr="00F068A9">
              <w:rPr>
                <w:b/>
              </w:rPr>
              <w:t>2.4</w:t>
            </w:r>
          </w:p>
        </w:tc>
        <w:tc>
          <w:tcPr>
            <w:tcW w:w="1308" w:type="pct"/>
            <w:vAlign w:val="center"/>
          </w:tcPr>
          <w:p w14:paraId="7C767A66" w14:textId="77777777" w:rsidR="004539DD" w:rsidRPr="00F068A9" w:rsidRDefault="004539DD" w:rsidP="004539DD">
            <w:pPr>
              <w:spacing w:before="240" w:after="60" w:line="260" w:lineRule="atLeast"/>
              <w:jc w:val="center"/>
              <w:outlineLvl w:val="0"/>
            </w:pPr>
            <w:r w:rsidRPr="00F068A9">
              <w:t>0.8</w:t>
            </w:r>
          </w:p>
          <w:p w14:paraId="4F544EF6" w14:textId="44DAC3EB" w:rsidR="002F078C" w:rsidRPr="00F068A9" w:rsidRDefault="002F078C" w:rsidP="004539DD">
            <w:pPr>
              <w:spacing w:before="240" w:after="60" w:line="260" w:lineRule="atLeast"/>
              <w:jc w:val="center"/>
              <w:outlineLvl w:val="0"/>
            </w:pPr>
            <w:r w:rsidRPr="00F068A9">
              <w:t>used for refinement as META-SPC 9 leads to non acceptable risks</w:t>
            </w:r>
          </w:p>
        </w:tc>
      </w:tr>
    </w:tbl>
    <w:p w14:paraId="16F2D1F8" w14:textId="77777777" w:rsidR="004539DD" w:rsidRPr="00F068A9" w:rsidRDefault="004539DD" w:rsidP="004539DD">
      <w:pPr>
        <w:spacing w:line="276" w:lineRule="auto"/>
        <w:ind w:left="142"/>
        <w:rPr>
          <w:rFonts w:ascii="Times New Roman" w:eastAsia="Calibri" w:hAnsi="Times New Roman" w:cs="Times New Roman"/>
          <w:i/>
          <w:lang w:eastAsia="en-US"/>
        </w:rPr>
      </w:pPr>
    </w:p>
    <w:p w14:paraId="7C6DE624" w14:textId="77777777" w:rsidR="004539DD" w:rsidRPr="00F068A9" w:rsidRDefault="004539DD" w:rsidP="004539DD">
      <w:pPr>
        <w:ind w:left="142"/>
        <w:jc w:val="both"/>
        <w:rPr>
          <w:rFonts w:ascii="Times New Roman" w:eastAsia="Calibri" w:hAnsi="Times New Roman" w:cs="Times New Roman"/>
          <w:i/>
          <w:lang w:eastAsia="en-US"/>
        </w:rPr>
      </w:pPr>
    </w:p>
    <w:p w14:paraId="1F22E51F" w14:textId="508D286B" w:rsidR="004539DD" w:rsidRPr="00F068A9" w:rsidRDefault="004539DD" w:rsidP="004539DD">
      <w:pPr>
        <w:spacing w:line="276" w:lineRule="auto"/>
        <w:rPr>
          <w:rFonts w:eastAsia="Calibri" w:cs="Times New Roman"/>
          <w:bCs/>
          <w:lang w:eastAsia="en-US"/>
        </w:rPr>
      </w:pPr>
      <w:r w:rsidRPr="00F068A9">
        <w:rPr>
          <w:rFonts w:eastAsia="Calibri" w:cs="Times New Roman"/>
          <w:bCs/>
          <w:lang w:eastAsia="en-US"/>
        </w:rPr>
        <w:t xml:space="preserve">Worst case SoC </w:t>
      </w:r>
      <w:r w:rsidRPr="00F068A9">
        <w:rPr>
          <w:rFonts w:cs="Calibri"/>
        </w:rPr>
        <w:t>OTNE</w:t>
      </w:r>
      <w:r w:rsidRPr="00F068A9">
        <w:rPr>
          <w:rFonts w:eastAsia="Calibri" w:cs="Times New Roman"/>
          <w:bCs/>
          <w:lang w:eastAsia="en-US"/>
        </w:rPr>
        <w:t xml:space="preserve"> concentration for scenario 6:</w:t>
      </w:r>
    </w:p>
    <w:tbl>
      <w:tblPr>
        <w:tblStyle w:val="Grilledutableau"/>
        <w:tblW w:w="5000" w:type="pct"/>
        <w:tblInd w:w="0" w:type="dxa"/>
        <w:tblLook w:val="04A0" w:firstRow="1" w:lastRow="0" w:firstColumn="1" w:lastColumn="0" w:noHBand="0" w:noVBand="1"/>
      </w:tblPr>
      <w:tblGrid>
        <w:gridCol w:w="4421"/>
        <w:gridCol w:w="2391"/>
        <w:gridCol w:w="2391"/>
      </w:tblGrid>
      <w:tr w:rsidR="004539DD" w:rsidRPr="00F068A9" w14:paraId="0A988426" w14:textId="77777777" w:rsidTr="004539DD">
        <w:trPr>
          <w:trHeight w:val="57"/>
        </w:trPr>
        <w:tc>
          <w:tcPr>
            <w:tcW w:w="2402" w:type="pct"/>
            <w:vAlign w:val="center"/>
          </w:tcPr>
          <w:p w14:paraId="18BC9B6C" w14:textId="0D96E262" w:rsidR="004539DD" w:rsidRPr="00F068A9" w:rsidRDefault="004539DD" w:rsidP="000F3412">
            <w:pPr>
              <w:spacing w:before="240" w:after="60" w:line="260" w:lineRule="atLeast"/>
              <w:jc w:val="center"/>
              <w:outlineLvl w:val="0"/>
              <w:rPr>
                <w:lang w:val="fr-FR"/>
              </w:rPr>
            </w:pPr>
            <w:r w:rsidRPr="00F068A9">
              <w:rPr>
                <w:lang w:val="fr-FR"/>
              </w:rPr>
              <w:t xml:space="preserve">Substance: </w:t>
            </w:r>
            <w:r w:rsidRPr="00F068A9">
              <w:rPr>
                <w:rFonts w:cs="Calibri"/>
                <w:lang w:val="fr-FR"/>
              </w:rPr>
              <w:t>SoC OTNE</w:t>
            </w:r>
          </w:p>
        </w:tc>
        <w:tc>
          <w:tcPr>
            <w:tcW w:w="1299" w:type="pct"/>
            <w:vAlign w:val="center"/>
          </w:tcPr>
          <w:p w14:paraId="16A34AD0" w14:textId="77777777" w:rsidR="004539DD" w:rsidRPr="00F068A9" w:rsidRDefault="004539DD" w:rsidP="004539DD">
            <w:pPr>
              <w:spacing w:line="260" w:lineRule="atLeast"/>
              <w:jc w:val="center"/>
              <w:outlineLvl w:val="0"/>
              <w:rPr>
                <w:b/>
              </w:rPr>
            </w:pPr>
            <w:r w:rsidRPr="00F068A9">
              <w:rPr>
                <w:b/>
              </w:rPr>
              <w:t>Meta-SPC 9</w:t>
            </w:r>
          </w:p>
        </w:tc>
        <w:tc>
          <w:tcPr>
            <w:tcW w:w="1299" w:type="pct"/>
            <w:vAlign w:val="center"/>
          </w:tcPr>
          <w:p w14:paraId="1179D978" w14:textId="77777777" w:rsidR="004539DD" w:rsidRPr="00F068A9" w:rsidRDefault="004539DD" w:rsidP="004539DD">
            <w:pPr>
              <w:spacing w:line="260" w:lineRule="atLeast"/>
              <w:jc w:val="center"/>
              <w:outlineLvl w:val="0"/>
              <w:rPr>
                <w:b/>
              </w:rPr>
            </w:pPr>
            <w:r w:rsidRPr="00F068A9">
              <w:rPr>
                <w:b/>
              </w:rPr>
              <w:t>Meta-SPC 10</w:t>
            </w:r>
          </w:p>
        </w:tc>
      </w:tr>
      <w:tr w:rsidR="004539DD" w:rsidRPr="00F068A9" w14:paraId="65DC36C3" w14:textId="77777777" w:rsidTr="004539DD">
        <w:trPr>
          <w:trHeight w:val="57"/>
        </w:trPr>
        <w:tc>
          <w:tcPr>
            <w:tcW w:w="2402" w:type="pct"/>
            <w:vAlign w:val="center"/>
          </w:tcPr>
          <w:p w14:paraId="18125816" w14:textId="77777777" w:rsidR="004539DD" w:rsidRPr="00F068A9" w:rsidRDefault="004539DD" w:rsidP="004539DD">
            <w:pPr>
              <w:spacing w:before="240" w:after="60" w:line="260" w:lineRule="atLeast"/>
              <w:jc w:val="center"/>
              <w:outlineLvl w:val="0"/>
            </w:pPr>
            <w:r w:rsidRPr="00F068A9">
              <w:t>Technical concentration of active substance (% w/w)</w:t>
            </w:r>
          </w:p>
        </w:tc>
        <w:tc>
          <w:tcPr>
            <w:tcW w:w="1299" w:type="pct"/>
            <w:vAlign w:val="center"/>
          </w:tcPr>
          <w:p w14:paraId="12C9F2E6"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0.9</w:t>
            </w:r>
          </w:p>
        </w:tc>
        <w:tc>
          <w:tcPr>
            <w:tcW w:w="1299" w:type="pct"/>
            <w:vAlign w:val="center"/>
          </w:tcPr>
          <w:p w14:paraId="68783027"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0.9</w:t>
            </w:r>
          </w:p>
        </w:tc>
      </w:tr>
      <w:tr w:rsidR="004539DD" w:rsidRPr="00F068A9" w14:paraId="7803E98A" w14:textId="77777777" w:rsidTr="004539DD">
        <w:trPr>
          <w:trHeight w:val="57"/>
        </w:trPr>
        <w:tc>
          <w:tcPr>
            <w:tcW w:w="2402" w:type="pct"/>
            <w:vAlign w:val="center"/>
          </w:tcPr>
          <w:p w14:paraId="4C2DB493" w14:textId="77777777" w:rsidR="004539DD" w:rsidRPr="00F068A9" w:rsidRDefault="004539DD" w:rsidP="004539DD">
            <w:pPr>
              <w:spacing w:before="240" w:after="60" w:line="260" w:lineRule="atLeast"/>
              <w:jc w:val="center"/>
              <w:outlineLvl w:val="0"/>
            </w:pPr>
            <w:r w:rsidRPr="00F068A9">
              <w:t>Dilution factor</w:t>
            </w:r>
          </w:p>
        </w:tc>
        <w:tc>
          <w:tcPr>
            <w:tcW w:w="1299" w:type="pct"/>
            <w:vAlign w:val="center"/>
          </w:tcPr>
          <w:p w14:paraId="10754E29" w14:textId="171C0B8D" w:rsidR="004539DD" w:rsidRPr="00F068A9" w:rsidRDefault="00B03C84"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RTU</w:t>
            </w:r>
          </w:p>
        </w:tc>
        <w:tc>
          <w:tcPr>
            <w:tcW w:w="1299" w:type="pct"/>
            <w:vAlign w:val="center"/>
          </w:tcPr>
          <w:p w14:paraId="7F443DCD" w14:textId="77777777" w:rsidR="004539DD" w:rsidRPr="00F068A9" w:rsidRDefault="004539DD" w:rsidP="004539DD">
            <w:pPr>
              <w:spacing w:before="240" w:after="60" w:line="260" w:lineRule="atLeast"/>
              <w:jc w:val="center"/>
              <w:outlineLvl w:val="0"/>
              <w:rPr>
                <w:rFonts w:eastAsia="Calibri" w:cs="Times New Roman"/>
                <w:lang w:eastAsia="en-US"/>
              </w:rPr>
            </w:pPr>
            <w:r w:rsidRPr="00F068A9">
              <w:rPr>
                <w:rFonts w:eastAsia="Calibri" w:cs="Times New Roman"/>
                <w:lang w:eastAsia="en-US"/>
              </w:rPr>
              <w:t>0.1</w:t>
            </w:r>
          </w:p>
        </w:tc>
      </w:tr>
      <w:tr w:rsidR="004539DD" w:rsidRPr="00F068A9" w14:paraId="2E769124" w14:textId="77777777" w:rsidTr="004539DD">
        <w:trPr>
          <w:trHeight w:val="57"/>
        </w:trPr>
        <w:tc>
          <w:tcPr>
            <w:tcW w:w="2402" w:type="pct"/>
            <w:vAlign w:val="center"/>
          </w:tcPr>
          <w:p w14:paraId="49234DF1" w14:textId="77777777" w:rsidR="004539DD" w:rsidRPr="00F068A9" w:rsidRDefault="004539DD" w:rsidP="004539DD">
            <w:pPr>
              <w:spacing w:line="260" w:lineRule="atLeast"/>
              <w:jc w:val="center"/>
              <w:outlineLvl w:val="0"/>
              <w:rPr>
                <w:rFonts w:eastAsia="Calibri" w:cs="Times New Roman"/>
                <w:lang w:eastAsia="en-US"/>
              </w:rPr>
            </w:pPr>
            <w:r w:rsidRPr="00F068A9">
              <w:t>Density</w:t>
            </w:r>
          </w:p>
        </w:tc>
        <w:tc>
          <w:tcPr>
            <w:tcW w:w="2598" w:type="pct"/>
            <w:gridSpan w:val="2"/>
            <w:vAlign w:val="center"/>
          </w:tcPr>
          <w:p w14:paraId="6A71E54C" w14:textId="77777777" w:rsidR="004539DD" w:rsidRPr="00F068A9" w:rsidRDefault="004539DD" w:rsidP="004539DD">
            <w:pPr>
              <w:spacing w:before="240" w:after="60" w:line="260" w:lineRule="atLeast"/>
              <w:jc w:val="center"/>
              <w:outlineLvl w:val="0"/>
            </w:pPr>
            <w:r w:rsidRPr="00F068A9">
              <w:t>A density of 1 is considered for the assessment</w:t>
            </w:r>
          </w:p>
        </w:tc>
      </w:tr>
      <w:tr w:rsidR="004539DD" w:rsidRPr="00F068A9" w14:paraId="023A436F" w14:textId="77777777" w:rsidTr="004539DD">
        <w:trPr>
          <w:trHeight w:val="57"/>
        </w:trPr>
        <w:tc>
          <w:tcPr>
            <w:tcW w:w="2402" w:type="pct"/>
            <w:vAlign w:val="center"/>
          </w:tcPr>
          <w:p w14:paraId="15AAE793" w14:textId="77777777" w:rsidR="004539DD" w:rsidRPr="00F068A9" w:rsidRDefault="004539DD" w:rsidP="004539DD">
            <w:pPr>
              <w:spacing w:line="260" w:lineRule="atLeast"/>
              <w:jc w:val="center"/>
              <w:outlineLvl w:val="0"/>
            </w:pPr>
            <w:r w:rsidRPr="00F068A9">
              <w:rPr>
                <w:rFonts w:eastAsia="Calibri" w:cs="Times New Roman"/>
                <w:lang w:eastAsia="en-US"/>
              </w:rPr>
              <w:t>Concentration of substance in working solution (% w/v)</w:t>
            </w:r>
          </w:p>
        </w:tc>
        <w:tc>
          <w:tcPr>
            <w:tcW w:w="1299" w:type="pct"/>
            <w:shd w:val="clear" w:color="auto" w:fill="92CDDC" w:themeFill="accent5" w:themeFillTint="99"/>
            <w:vAlign w:val="center"/>
          </w:tcPr>
          <w:p w14:paraId="5882AF8B" w14:textId="77777777" w:rsidR="004539DD" w:rsidRPr="00F068A9" w:rsidRDefault="004539DD" w:rsidP="004539DD">
            <w:pPr>
              <w:spacing w:before="240" w:after="60" w:line="260" w:lineRule="atLeast"/>
              <w:jc w:val="center"/>
              <w:outlineLvl w:val="0"/>
              <w:rPr>
                <w:b/>
              </w:rPr>
            </w:pPr>
            <w:r w:rsidRPr="00F068A9">
              <w:rPr>
                <w:b/>
              </w:rPr>
              <w:t>0.9</w:t>
            </w:r>
          </w:p>
        </w:tc>
        <w:tc>
          <w:tcPr>
            <w:tcW w:w="1299" w:type="pct"/>
            <w:vAlign w:val="center"/>
          </w:tcPr>
          <w:p w14:paraId="7542E391" w14:textId="77777777" w:rsidR="004539DD" w:rsidRPr="00F068A9" w:rsidRDefault="004539DD" w:rsidP="004539DD">
            <w:pPr>
              <w:spacing w:before="240" w:after="60" w:line="260" w:lineRule="atLeast"/>
              <w:jc w:val="center"/>
              <w:outlineLvl w:val="0"/>
            </w:pPr>
            <w:r w:rsidRPr="00F068A9">
              <w:t>0.09</w:t>
            </w:r>
          </w:p>
          <w:p w14:paraId="289549BB" w14:textId="69B0C080" w:rsidR="002F078C" w:rsidRPr="00F068A9" w:rsidRDefault="002F078C" w:rsidP="004539DD">
            <w:pPr>
              <w:spacing w:before="240" w:after="60" w:line="260" w:lineRule="atLeast"/>
              <w:jc w:val="center"/>
              <w:outlineLvl w:val="0"/>
            </w:pPr>
            <w:r w:rsidRPr="00F068A9">
              <w:t>used for refinement as META-SPC 9 leads to non acceptable risks</w:t>
            </w:r>
          </w:p>
        </w:tc>
      </w:tr>
    </w:tbl>
    <w:p w14:paraId="793ADA54" w14:textId="77777777" w:rsidR="0073642B" w:rsidRPr="001545DC" w:rsidRDefault="0073642B" w:rsidP="0073642B">
      <w:pPr>
        <w:ind w:left="142"/>
        <w:jc w:val="both"/>
        <w:rPr>
          <w:rFonts w:eastAsia="Calibri" w:cs="Times New Roman"/>
          <w:i/>
          <w:lang w:eastAsia="en-US"/>
        </w:rPr>
      </w:pPr>
    </w:p>
    <w:p w14:paraId="1DE4E8FD" w14:textId="1BE04BA9" w:rsidR="006A4D7D" w:rsidRDefault="002F354D" w:rsidP="002F354D">
      <w:pPr>
        <w:spacing w:line="260" w:lineRule="atLeast"/>
        <w:jc w:val="both"/>
        <w:rPr>
          <w:iCs/>
        </w:rPr>
      </w:pPr>
      <w:r w:rsidRPr="00ED221C">
        <w:rPr>
          <w:rFonts w:eastAsia="Calibri"/>
          <w:lang w:eastAsia="en-US"/>
        </w:rPr>
        <w:t xml:space="preserve">The uses in Meta-SPC 9 &amp; 10 </w:t>
      </w:r>
      <w:r w:rsidRPr="00ED221C">
        <w:t xml:space="preserve">concern the disinfection of </w:t>
      </w:r>
      <w:r w:rsidR="006A4D7D" w:rsidRPr="00C86282">
        <w:rPr>
          <w:iCs/>
        </w:rPr>
        <w:t>animal housing</w:t>
      </w:r>
      <w:r w:rsidR="00A1353E">
        <w:rPr>
          <w:iCs/>
        </w:rPr>
        <w:t xml:space="preserve"> and pet shelters</w:t>
      </w:r>
      <w:r w:rsidR="006A4D7D" w:rsidRPr="00C86282">
        <w:rPr>
          <w:iCs/>
        </w:rPr>
        <w:t xml:space="preserve"> </w:t>
      </w:r>
      <w:r w:rsidR="006A4D7D">
        <w:rPr>
          <w:iCs/>
        </w:rPr>
        <w:t xml:space="preserve">in private homes </w:t>
      </w:r>
      <w:r w:rsidR="006A4D7D" w:rsidRPr="00C86282">
        <w:rPr>
          <w:iCs/>
        </w:rPr>
        <w:t>and associated equipment</w:t>
      </w:r>
      <w:r w:rsidR="006A4D7D">
        <w:rPr>
          <w:iCs/>
        </w:rPr>
        <w:t>,</w:t>
      </w:r>
      <w:r w:rsidR="006A4D7D" w:rsidRPr="00C86282">
        <w:rPr>
          <w:iCs/>
        </w:rPr>
        <w:t xml:space="preserve"> for ex</w:t>
      </w:r>
      <w:r w:rsidR="004F12E5">
        <w:rPr>
          <w:iCs/>
        </w:rPr>
        <w:t>a</w:t>
      </w:r>
      <w:r w:rsidR="006A4D7D" w:rsidRPr="00C86282">
        <w:rPr>
          <w:iCs/>
        </w:rPr>
        <w:t>mple the cages for dogs, birds and rabbits and litter trays for cats.</w:t>
      </w:r>
    </w:p>
    <w:p w14:paraId="1E251410" w14:textId="77777777" w:rsidR="006A4D7D" w:rsidRDefault="006A4D7D" w:rsidP="002F354D">
      <w:pPr>
        <w:spacing w:line="260" w:lineRule="atLeast"/>
        <w:jc w:val="both"/>
        <w:rPr>
          <w:iCs/>
        </w:rPr>
      </w:pPr>
    </w:p>
    <w:p w14:paraId="0D4964EC" w14:textId="69F28ED5" w:rsidR="006A4D7D" w:rsidRDefault="006A4D7D" w:rsidP="006A4D7D">
      <w:pPr>
        <w:spacing w:line="260" w:lineRule="atLeast"/>
        <w:jc w:val="both"/>
        <w:rPr>
          <w:rFonts w:eastAsia="Calibri"/>
          <w:lang w:eastAsia="en-US"/>
        </w:rPr>
      </w:pPr>
      <w:r w:rsidRPr="00ED221C">
        <w:rPr>
          <w:rFonts w:eastAsia="Calibri"/>
          <w:lang w:eastAsia="en-US"/>
        </w:rPr>
        <w:t xml:space="preserve">The indoor use is covered with PT02 - Scenario 1a: Indoor - Disinfection of institutional areas - releases of disinfectants used for sanitary purposes based on average consumption </w:t>
      </w:r>
      <w:r w:rsidRPr="00ED221C">
        <w:rPr>
          <w:rFonts w:eastAsia="Calibri"/>
          <w:lang w:eastAsia="en-US"/>
        </w:rPr>
        <w:lastRenderedPageBreak/>
        <w:t>approach</w:t>
      </w:r>
      <w:r>
        <w:rPr>
          <w:rFonts w:eastAsia="Calibri"/>
          <w:lang w:eastAsia="en-US"/>
        </w:rPr>
        <w:t xml:space="preserve">. </w:t>
      </w:r>
      <w:r w:rsidRPr="00ED221C">
        <w:rPr>
          <w:rFonts w:eastAsia="Calibri"/>
          <w:lang w:eastAsia="en-US"/>
        </w:rPr>
        <w:t>Indeed, the PT</w:t>
      </w:r>
      <w:r>
        <w:rPr>
          <w:rFonts w:eastAsia="Calibri"/>
          <w:lang w:eastAsia="en-US"/>
        </w:rPr>
        <w:t>0</w:t>
      </w:r>
      <w:r w:rsidRPr="00ED221C">
        <w:rPr>
          <w:rFonts w:eastAsia="Calibri"/>
          <w:lang w:eastAsia="en-US"/>
        </w:rPr>
        <w:t>2 emission scenario is based on average consumption data of detergents for surface cleaning collected from the population. It can thus be assumed that these data do not distinguish between the quantities of detergents/disinfectants used to clean, for example, the floor of the house or the cage of a pet.</w:t>
      </w:r>
    </w:p>
    <w:p w14:paraId="73589D3B" w14:textId="77777777" w:rsidR="006A4D7D" w:rsidRDefault="006A4D7D" w:rsidP="002F354D">
      <w:pPr>
        <w:spacing w:line="260" w:lineRule="atLeast"/>
        <w:jc w:val="both"/>
        <w:rPr>
          <w:iCs/>
        </w:rPr>
      </w:pPr>
    </w:p>
    <w:p w14:paraId="00D4B858" w14:textId="1CAE4D8E" w:rsidR="00A1353E" w:rsidRPr="002F6CE6" w:rsidRDefault="006A4D7D">
      <w:pPr>
        <w:spacing w:line="276" w:lineRule="auto"/>
        <w:jc w:val="both"/>
        <w:rPr>
          <w:rFonts w:eastAsia="Calibri"/>
          <w:bCs/>
          <w:lang w:eastAsia="en-US"/>
        </w:rPr>
      </w:pPr>
      <w:r>
        <w:rPr>
          <w:iCs/>
        </w:rPr>
        <w:t>P</w:t>
      </w:r>
      <w:r w:rsidRPr="000B2B14">
        <w:rPr>
          <w:iCs/>
        </w:rPr>
        <w:t>ets shelters (</w:t>
      </w:r>
      <w:r w:rsidR="00A1353E">
        <w:rPr>
          <w:iCs/>
        </w:rPr>
        <w:t xml:space="preserve">dog </w:t>
      </w:r>
      <w:r w:rsidRPr="000B2B14">
        <w:rPr>
          <w:iCs/>
        </w:rPr>
        <w:t>kennels) and animal housing</w:t>
      </w:r>
      <w:r w:rsidR="00A1353E">
        <w:rPr>
          <w:iCs/>
        </w:rPr>
        <w:t xml:space="preserve"> </w:t>
      </w:r>
      <w:r>
        <w:rPr>
          <w:iCs/>
        </w:rPr>
        <w:t>(hutches</w:t>
      </w:r>
      <w:r w:rsidR="00A1353E">
        <w:rPr>
          <w:iCs/>
        </w:rPr>
        <w:t>, henhouses,…)</w:t>
      </w:r>
      <w:r w:rsidRPr="000B2B14">
        <w:rPr>
          <w:iCs/>
        </w:rPr>
        <w:t xml:space="preserve"> </w:t>
      </w:r>
      <w:r>
        <w:rPr>
          <w:iCs/>
        </w:rPr>
        <w:t xml:space="preserve">can also be located </w:t>
      </w:r>
      <w:r w:rsidRPr="000B2B14">
        <w:rPr>
          <w:iCs/>
        </w:rPr>
        <w:t xml:space="preserve">in </w:t>
      </w:r>
      <w:r>
        <w:rPr>
          <w:iCs/>
        </w:rPr>
        <w:t xml:space="preserve">outdoor </w:t>
      </w:r>
      <w:r w:rsidRPr="000B2B14">
        <w:rPr>
          <w:iCs/>
        </w:rPr>
        <w:t>environment including gardens.</w:t>
      </w:r>
      <w:r>
        <w:rPr>
          <w:iCs/>
        </w:rPr>
        <w:t xml:space="preserve"> </w:t>
      </w:r>
      <w:r w:rsidRPr="00ED221C">
        <w:rPr>
          <w:rFonts w:eastAsia="Calibri"/>
          <w:lang w:eastAsia="en-US"/>
        </w:rPr>
        <w:t>In a worst-case situation, the evaluated housing will be a dog kennel located in a backyard. Disinfected surfaces are the interior floor and interior walls. The application takes place on hard surfaces</w:t>
      </w:r>
      <w:r w:rsidRPr="00770B5D">
        <w:rPr>
          <w:rFonts w:eastAsia="Calibri"/>
          <w:lang w:eastAsia="en-US"/>
        </w:rPr>
        <w:t>, and after a rinsing step, all product will therefore runoff through the kennel opening to the located soil</w:t>
      </w:r>
      <w:r w:rsidR="00A1353E" w:rsidRPr="00770B5D">
        <w:rPr>
          <w:rFonts w:eastAsia="Calibri"/>
          <w:lang w:eastAsia="en-US"/>
        </w:rPr>
        <w:t xml:space="preserve"> in front of the kennel opening</w:t>
      </w:r>
      <w:r w:rsidRPr="00ED221C">
        <w:rPr>
          <w:rFonts w:eastAsia="Calibri"/>
          <w:lang w:eastAsia="en-US"/>
        </w:rPr>
        <w:t>.</w:t>
      </w:r>
      <w:r w:rsidR="00A1353E" w:rsidRPr="00A1353E">
        <w:rPr>
          <w:rFonts w:eastAsia="Calibri"/>
          <w:bCs/>
          <w:lang w:eastAsia="en-US"/>
        </w:rPr>
        <w:t xml:space="preserve"> </w:t>
      </w:r>
      <w:r w:rsidR="00A1353E" w:rsidRPr="002F6CE6">
        <w:rPr>
          <w:rFonts w:eastAsia="Calibri"/>
          <w:bCs/>
          <w:lang w:eastAsia="en-US"/>
        </w:rPr>
        <w:t>Direct emission to soil from disinfection of pet case and litter trays does not need to be assessed, since disinfection of pet cases and litter trays is usually performed indoors</w:t>
      </w:r>
      <w:r w:rsidR="00FE733D">
        <w:rPr>
          <w:rFonts w:eastAsia="Calibri"/>
          <w:bCs/>
          <w:lang w:eastAsia="en-US"/>
        </w:rPr>
        <w:t xml:space="preserve"> (TAB ENV58)</w:t>
      </w:r>
      <w:r w:rsidR="00A1353E" w:rsidRPr="002F6CE6">
        <w:rPr>
          <w:rFonts w:eastAsia="Calibri"/>
          <w:bCs/>
          <w:lang w:eastAsia="en-US"/>
        </w:rPr>
        <w:t>.</w:t>
      </w:r>
    </w:p>
    <w:p w14:paraId="00F2877D" w14:textId="37F55073" w:rsidR="006A4D7D" w:rsidRPr="00ED221C" w:rsidRDefault="006A4D7D" w:rsidP="006A4D7D">
      <w:pPr>
        <w:spacing w:line="260" w:lineRule="atLeast"/>
        <w:jc w:val="both"/>
        <w:rPr>
          <w:rFonts w:eastAsia="Calibri"/>
          <w:lang w:eastAsia="en-US"/>
        </w:rPr>
      </w:pPr>
    </w:p>
    <w:p w14:paraId="719FE465" w14:textId="77777777" w:rsidR="002F354D" w:rsidRPr="00ED221C" w:rsidRDefault="00A1353E" w:rsidP="002F354D">
      <w:pPr>
        <w:spacing w:line="260" w:lineRule="atLeast"/>
        <w:jc w:val="both"/>
        <w:rPr>
          <w:rFonts w:eastAsia="Calibri"/>
          <w:lang w:eastAsia="en-US"/>
        </w:rPr>
      </w:pPr>
      <w:r>
        <w:rPr>
          <w:iCs/>
        </w:rPr>
        <w:t>D</w:t>
      </w:r>
      <w:r w:rsidR="002F354D" w:rsidRPr="00ED221C">
        <w:rPr>
          <w:rFonts w:eastAsia="Calibri"/>
          <w:lang w:eastAsia="en-US"/>
        </w:rPr>
        <w:t xml:space="preserve">og kennels could </w:t>
      </w:r>
      <w:r>
        <w:rPr>
          <w:rFonts w:eastAsia="Calibri"/>
          <w:lang w:eastAsia="en-US"/>
        </w:rPr>
        <w:t xml:space="preserve">also </w:t>
      </w:r>
      <w:r w:rsidR="002F354D" w:rsidRPr="00ED221C">
        <w:rPr>
          <w:rFonts w:eastAsia="Calibri"/>
          <w:lang w:eastAsia="en-US"/>
        </w:rPr>
        <w:t xml:space="preserve">be built </w:t>
      </w:r>
      <w:r>
        <w:rPr>
          <w:rFonts w:eastAsia="Calibri"/>
          <w:lang w:eastAsia="en-US"/>
        </w:rPr>
        <w:t xml:space="preserve">outdoor </w:t>
      </w:r>
      <w:r w:rsidR="002F354D" w:rsidRPr="00ED221C">
        <w:rPr>
          <w:rFonts w:eastAsia="Calibri"/>
          <w:lang w:eastAsia="en-US"/>
        </w:rPr>
        <w:t xml:space="preserve">on concrete or tiled floor. </w:t>
      </w:r>
      <w:r>
        <w:rPr>
          <w:rFonts w:eastAsia="Calibri"/>
          <w:lang w:eastAsia="en-US"/>
        </w:rPr>
        <w:t>In that case, the</w:t>
      </w:r>
      <w:r w:rsidR="002F354D" w:rsidRPr="00ED221C">
        <w:rPr>
          <w:rFonts w:eastAsia="Calibri"/>
          <w:lang w:eastAsia="en-US"/>
        </w:rPr>
        <w:t xml:space="preserve"> animal housing </w:t>
      </w:r>
      <w:r>
        <w:rPr>
          <w:rFonts w:eastAsia="Calibri"/>
          <w:lang w:eastAsia="en-US"/>
        </w:rPr>
        <w:t>will</w:t>
      </w:r>
      <w:r w:rsidR="002F354D" w:rsidRPr="00ED221C">
        <w:rPr>
          <w:rFonts w:eastAsia="Calibri"/>
          <w:lang w:eastAsia="en-US"/>
        </w:rPr>
        <w:t xml:space="preserve"> be connected to a sewage treatment plant (STP). Therefore</w:t>
      </w:r>
      <w:r w:rsidRPr="00A1353E">
        <w:rPr>
          <w:rFonts w:eastAsia="Calibri"/>
          <w:lang w:eastAsia="en-US"/>
        </w:rPr>
        <w:t xml:space="preserve">, the scenario </w:t>
      </w:r>
      <w:r>
        <w:rPr>
          <w:rFonts w:eastAsia="Calibri"/>
          <w:lang w:eastAsia="en-US"/>
        </w:rPr>
        <w:t>6</w:t>
      </w:r>
      <w:r w:rsidR="002F354D" w:rsidRPr="00ED221C">
        <w:rPr>
          <w:rFonts w:eastAsia="Calibri"/>
          <w:lang w:eastAsia="en-US"/>
        </w:rPr>
        <w:t xml:space="preserve"> </w:t>
      </w:r>
      <w:r>
        <w:rPr>
          <w:rFonts w:eastAsia="Calibri"/>
          <w:lang w:eastAsia="en-US"/>
        </w:rPr>
        <w:t>include indirect emission of the product via STP where daily application and</w:t>
      </w:r>
      <w:r w:rsidR="002F354D" w:rsidRPr="00ED221C">
        <w:rPr>
          <w:rFonts w:eastAsia="Calibri"/>
          <w:lang w:eastAsia="en-US"/>
        </w:rPr>
        <w:t xml:space="preserve"> 100% </w:t>
      </w:r>
      <w:r>
        <w:rPr>
          <w:rFonts w:eastAsia="Calibri"/>
          <w:lang w:eastAsia="en-US"/>
        </w:rPr>
        <w:t xml:space="preserve">of </w:t>
      </w:r>
      <w:r w:rsidR="002F354D" w:rsidRPr="00ED221C">
        <w:rPr>
          <w:rFonts w:eastAsia="Calibri"/>
          <w:lang w:eastAsia="en-US"/>
        </w:rPr>
        <w:t xml:space="preserve">emission to STP </w:t>
      </w:r>
      <w:r w:rsidR="002F078C">
        <w:rPr>
          <w:rFonts w:eastAsia="Calibri"/>
          <w:lang w:eastAsia="en-US"/>
        </w:rPr>
        <w:t>are</w:t>
      </w:r>
      <w:r>
        <w:rPr>
          <w:rFonts w:eastAsia="Calibri"/>
          <w:lang w:eastAsia="en-US"/>
        </w:rPr>
        <w:t xml:space="preserve"> intended.</w:t>
      </w:r>
    </w:p>
    <w:p w14:paraId="7588A498" w14:textId="77777777" w:rsidR="002F354D" w:rsidRPr="00ED221C" w:rsidRDefault="002F354D" w:rsidP="002F354D">
      <w:pPr>
        <w:spacing w:line="260" w:lineRule="atLeast"/>
        <w:jc w:val="both"/>
        <w:rPr>
          <w:rFonts w:eastAsia="Calibri"/>
          <w:lang w:eastAsia="en-US"/>
        </w:rPr>
      </w:pPr>
    </w:p>
    <w:p w14:paraId="72886C60" w14:textId="425E56C7" w:rsidR="00A005DD" w:rsidRPr="00ED221C" w:rsidRDefault="00A005DD">
      <w:pPr>
        <w:jc w:val="both"/>
        <w:rPr>
          <w:rFonts w:eastAsia="Calibri" w:cs="Arial"/>
          <w:lang w:eastAsia="en-US"/>
        </w:rPr>
      </w:pPr>
    </w:p>
    <w:p w14:paraId="76B29D80" w14:textId="77777777" w:rsidR="00A005DD" w:rsidRPr="00ED221C" w:rsidRDefault="00A005DD" w:rsidP="00A005DD">
      <w:pPr>
        <w:spacing w:line="260" w:lineRule="atLeast"/>
        <w:jc w:val="both"/>
        <w:rPr>
          <w:rFonts w:eastAsia="Calibri"/>
          <w:lang w:eastAsia="en-US"/>
        </w:rPr>
      </w:pPr>
    </w:p>
    <w:p w14:paraId="1C5699BA" w14:textId="77777777" w:rsidR="00A005DD" w:rsidRPr="00D11094" w:rsidRDefault="00A005DD" w:rsidP="00A005DD">
      <w:pPr>
        <w:pStyle w:val="Paragraphedeliste"/>
        <w:spacing w:line="260" w:lineRule="atLeast"/>
        <w:ind w:left="360"/>
        <w:jc w:val="both"/>
        <w:rPr>
          <w:rFonts w:eastAsia="Calibri"/>
          <w:lang w:eastAsia="en-US"/>
        </w:rPr>
      </w:pPr>
    </w:p>
    <w:p w14:paraId="41542C2B" w14:textId="77777777" w:rsidR="00A005DD" w:rsidRPr="008D46F8" w:rsidRDefault="00A005DD" w:rsidP="00A005DD">
      <w:pPr>
        <w:pStyle w:val="Paragraphedeliste"/>
        <w:numPr>
          <w:ilvl w:val="0"/>
          <w:numId w:val="18"/>
        </w:numPr>
        <w:rPr>
          <w:rFonts w:eastAsia="Calibri"/>
          <w:u w:val="single"/>
          <w:lang w:eastAsia="en-US"/>
        </w:rPr>
      </w:pPr>
      <w:r w:rsidRPr="008D46F8">
        <w:rPr>
          <w:rFonts w:eastAsia="Calibri"/>
          <w:u w:val="single"/>
          <w:lang w:eastAsia="en-US"/>
        </w:rPr>
        <w:t>Treated surface size:</w:t>
      </w:r>
    </w:p>
    <w:p w14:paraId="552F3EEB" w14:textId="77777777" w:rsidR="00A005DD" w:rsidRPr="008D46F8" w:rsidRDefault="00A005DD" w:rsidP="00A005DD">
      <w:pPr>
        <w:spacing w:line="260" w:lineRule="atLeast"/>
        <w:jc w:val="both"/>
        <w:rPr>
          <w:rFonts w:eastAsia="Calibri"/>
          <w:lang w:eastAsia="en-US"/>
        </w:rPr>
      </w:pPr>
    </w:p>
    <w:p w14:paraId="108D9A49" w14:textId="77777777" w:rsidR="00A005DD" w:rsidRPr="008D46F8" w:rsidRDefault="00A005DD" w:rsidP="00A005DD">
      <w:pPr>
        <w:spacing w:line="260" w:lineRule="atLeast"/>
        <w:jc w:val="both"/>
        <w:rPr>
          <w:rFonts w:eastAsia="Calibri"/>
          <w:lang w:eastAsia="en-US"/>
        </w:rPr>
      </w:pPr>
      <w:r w:rsidRPr="008D46F8">
        <w:rPr>
          <w:rFonts w:eastAsia="Calibri"/>
          <w:lang w:eastAsia="en-US"/>
        </w:rPr>
        <w:t>For th</w:t>
      </w:r>
      <w:r>
        <w:rPr>
          <w:rFonts w:eastAsia="Calibri"/>
          <w:lang w:eastAsia="en-US"/>
        </w:rPr>
        <w:t>e</w:t>
      </w:r>
      <w:r w:rsidRPr="008D46F8">
        <w:rPr>
          <w:rFonts w:eastAsia="Calibri"/>
          <w:lang w:eastAsia="en-US"/>
        </w:rPr>
        <w:t xml:space="preserve"> risk assessment, a kennel of 1 x 1 x 1 meter is considered. These dimensions cover a kennel for a large dog. Surfaces to be disinfected are the kennel floor and interior walls.</w:t>
      </w:r>
    </w:p>
    <w:p w14:paraId="23649EFD" w14:textId="77777777" w:rsidR="00A005DD" w:rsidRPr="008D46F8" w:rsidRDefault="00A005DD" w:rsidP="00A005DD">
      <w:pPr>
        <w:spacing w:line="260" w:lineRule="atLeast"/>
        <w:jc w:val="center"/>
        <w:rPr>
          <w:rFonts w:eastAsia="Calibri"/>
          <w:lang w:eastAsia="en-US"/>
        </w:rPr>
      </w:pPr>
      <w:r w:rsidRPr="008D46F8">
        <w:rPr>
          <w:rFonts w:eastAsia="Calibri"/>
          <w:noProof/>
          <w:lang w:val="fr-FR" w:eastAsia="fr-FR"/>
        </w:rPr>
        <w:drawing>
          <wp:inline distT="0" distB="0" distL="0" distR="0" wp14:anchorId="56DA1461" wp14:editId="074CA043">
            <wp:extent cx="1562100" cy="1962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962150"/>
                    </a:xfrm>
                    <a:prstGeom prst="rect">
                      <a:avLst/>
                    </a:prstGeom>
                    <a:noFill/>
                    <a:ln>
                      <a:noFill/>
                    </a:ln>
                  </pic:spPr>
                </pic:pic>
              </a:graphicData>
            </a:graphic>
          </wp:inline>
        </w:drawing>
      </w:r>
    </w:p>
    <w:p w14:paraId="663419CA" w14:textId="77777777" w:rsidR="00A005DD" w:rsidRPr="008D46F8" w:rsidRDefault="00A005DD" w:rsidP="00A005DD">
      <w:pPr>
        <w:pStyle w:val="Lgende"/>
        <w:jc w:val="center"/>
        <w:rPr>
          <w:rFonts w:ascii="Verdana" w:eastAsia="Calibri" w:hAnsi="Verdana"/>
          <w:sz w:val="16"/>
          <w:szCs w:val="16"/>
          <w:lang w:eastAsia="en-US"/>
        </w:rPr>
      </w:pPr>
      <w:r w:rsidRPr="008D46F8">
        <w:rPr>
          <w:rFonts w:ascii="Verdana" w:hAnsi="Verdana"/>
          <w:sz w:val="16"/>
          <w:szCs w:val="16"/>
        </w:rPr>
        <w:t xml:space="preserve">Figure </w:t>
      </w:r>
      <w:r>
        <w:rPr>
          <w:rFonts w:ascii="Verdana" w:hAnsi="Verdana"/>
          <w:sz w:val="16"/>
          <w:szCs w:val="16"/>
        </w:rPr>
        <w:t>3</w:t>
      </w:r>
      <w:r w:rsidRPr="008D46F8">
        <w:rPr>
          <w:rFonts w:ascii="Verdana" w:hAnsi="Verdana"/>
          <w:sz w:val="16"/>
          <w:szCs w:val="16"/>
        </w:rPr>
        <w:t>: Sizing of a dog kennel and of the soil area receiving the product</w:t>
      </w:r>
    </w:p>
    <w:p w14:paraId="77CE37F7" w14:textId="77777777" w:rsidR="00A005DD" w:rsidRPr="008D46F8" w:rsidRDefault="00A005DD" w:rsidP="00A005DD">
      <w:pPr>
        <w:suppressAutoHyphens w:val="0"/>
        <w:spacing w:line="260" w:lineRule="atLeast"/>
        <w:jc w:val="both"/>
        <w:rPr>
          <w:rFonts w:eastAsia="Calibri"/>
          <w:u w:val="single"/>
          <w:lang w:eastAsia="en-US"/>
        </w:rPr>
      </w:pPr>
    </w:p>
    <w:p w14:paraId="3D45F9EA" w14:textId="77777777" w:rsidR="00A005DD" w:rsidRPr="008D46F8" w:rsidRDefault="00A005DD" w:rsidP="00A005DD">
      <w:pPr>
        <w:pStyle w:val="Paragraphedeliste"/>
        <w:numPr>
          <w:ilvl w:val="0"/>
          <w:numId w:val="16"/>
        </w:numPr>
        <w:suppressAutoHyphens w:val="0"/>
        <w:spacing w:line="260" w:lineRule="atLeast"/>
        <w:jc w:val="both"/>
        <w:rPr>
          <w:rFonts w:eastAsia="Calibri"/>
          <w:lang w:eastAsia="en-US"/>
        </w:rPr>
      </w:pPr>
      <w:r w:rsidRPr="008D46F8">
        <w:rPr>
          <w:rFonts w:eastAsia="Calibri"/>
          <w:u w:val="single"/>
          <w:lang w:eastAsia="en-US"/>
        </w:rPr>
        <w:t>Kennel floor</w:t>
      </w:r>
      <w:r w:rsidRPr="008D46F8">
        <w:rPr>
          <w:rFonts w:eastAsia="Calibri"/>
          <w:lang w:eastAsia="en-US"/>
        </w:rPr>
        <w:t>: The entire floor will be disinfected, which is a surface of 1 m².</w:t>
      </w:r>
    </w:p>
    <w:p w14:paraId="40915129" w14:textId="77777777" w:rsidR="00A005DD" w:rsidRPr="008D46F8" w:rsidRDefault="00A005DD" w:rsidP="00A005DD">
      <w:pPr>
        <w:pStyle w:val="Paragraphedeliste"/>
        <w:suppressAutoHyphens w:val="0"/>
        <w:spacing w:line="260" w:lineRule="atLeast"/>
        <w:jc w:val="both"/>
        <w:rPr>
          <w:rFonts w:eastAsia="Calibri"/>
          <w:lang w:eastAsia="en-US"/>
        </w:rPr>
      </w:pPr>
    </w:p>
    <w:p w14:paraId="21E372DB" w14:textId="77777777" w:rsidR="00A005DD" w:rsidRPr="008D46F8" w:rsidRDefault="00A005DD" w:rsidP="00A005DD">
      <w:pPr>
        <w:pStyle w:val="Paragraphedeliste"/>
        <w:numPr>
          <w:ilvl w:val="0"/>
          <w:numId w:val="16"/>
        </w:numPr>
        <w:suppressAutoHyphens w:val="0"/>
        <w:spacing w:line="260" w:lineRule="atLeast"/>
        <w:jc w:val="both"/>
        <w:rPr>
          <w:rFonts w:eastAsia="Calibri"/>
          <w:lang w:eastAsia="en-US"/>
        </w:rPr>
      </w:pPr>
      <w:r w:rsidRPr="008D46F8">
        <w:rPr>
          <w:rFonts w:eastAsia="Calibri"/>
          <w:u w:val="single"/>
          <w:lang w:eastAsia="en-US"/>
        </w:rPr>
        <w:t>Kennel walls</w:t>
      </w:r>
      <w:r w:rsidRPr="008D46F8">
        <w:rPr>
          <w:rFonts w:eastAsia="Calibri"/>
          <w:lang w:eastAsia="en-US"/>
        </w:rPr>
        <w:t>: Walls will be disinfected for a total surface of 4 m².</w:t>
      </w:r>
    </w:p>
    <w:p w14:paraId="2DB9F0AF" w14:textId="77777777" w:rsidR="00A005DD" w:rsidRPr="008D46F8" w:rsidRDefault="00A005DD" w:rsidP="00A005DD">
      <w:pPr>
        <w:spacing w:line="260" w:lineRule="atLeast"/>
        <w:jc w:val="both"/>
        <w:rPr>
          <w:rFonts w:eastAsia="Calibri"/>
          <w:lang w:eastAsia="en-US"/>
        </w:rPr>
      </w:pPr>
    </w:p>
    <w:p w14:paraId="51533B18" w14:textId="77777777" w:rsidR="00A005DD" w:rsidRPr="008D46F8" w:rsidRDefault="00A005DD" w:rsidP="00A005DD">
      <w:pPr>
        <w:spacing w:line="260" w:lineRule="atLeast"/>
        <w:jc w:val="both"/>
        <w:rPr>
          <w:rFonts w:eastAsia="Calibri"/>
          <w:lang w:eastAsia="en-US"/>
        </w:rPr>
      </w:pPr>
      <w:r w:rsidRPr="008D46F8">
        <w:rPr>
          <w:rFonts w:eastAsia="Calibri"/>
          <w:lang w:eastAsia="en-US"/>
        </w:rPr>
        <w:t xml:space="preserve">The total stable surface that is disinfected is </w:t>
      </w:r>
      <w:r w:rsidRPr="008D46F8">
        <w:rPr>
          <w:rFonts w:eastAsia="Calibri"/>
          <w:b/>
          <w:lang w:eastAsia="en-US"/>
        </w:rPr>
        <w:t>5 m²</w:t>
      </w:r>
      <w:r w:rsidRPr="008D46F8">
        <w:rPr>
          <w:rFonts w:eastAsia="Calibri"/>
          <w:lang w:eastAsia="en-US"/>
        </w:rPr>
        <w:t xml:space="preserve">. </w:t>
      </w:r>
    </w:p>
    <w:p w14:paraId="010EF98A" w14:textId="77777777" w:rsidR="00A005DD" w:rsidRPr="008D46F8" w:rsidRDefault="00A005DD" w:rsidP="00A005DD">
      <w:pPr>
        <w:spacing w:line="260" w:lineRule="atLeast"/>
        <w:jc w:val="both"/>
        <w:rPr>
          <w:rFonts w:eastAsia="Calibri"/>
          <w:highlight w:val="yellow"/>
          <w:lang w:eastAsia="en-US"/>
        </w:rPr>
      </w:pPr>
    </w:p>
    <w:p w14:paraId="3687D33D" w14:textId="77777777" w:rsidR="00A005DD" w:rsidRPr="008D46F8" w:rsidRDefault="00A005DD" w:rsidP="00A005DD">
      <w:pPr>
        <w:pStyle w:val="Paragraphedeliste"/>
        <w:numPr>
          <w:ilvl w:val="0"/>
          <w:numId w:val="18"/>
        </w:numPr>
        <w:spacing w:line="276" w:lineRule="auto"/>
        <w:jc w:val="both"/>
        <w:rPr>
          <w:rFonts w:eastAsia="Calibri"/>
          <w:u w:val="single"/>
          <w:lang w:eastAsia="en-US"/>
        </w:rPr>
      </w:pPr>
      <w:r w:rsidRPr="008D46F8">
        <w:rPr>
          <w:rFonts w:eastAsia="Calibri"/>
          <w:u w:val="single"/>
          <w:lang w:eastAsia="en-US"/>
        </w:rPr>
        <w:t>Receiving compartment sizes:</w:t>
      </w:r>
    </w:p>
    <w:p w14:paraId="13BF962B" w14:textId="77777777" w:rsidR="00A005DD" w:rsidRPr="008D46F8" w:rsidRDefault="00A005DD" w:rsidP="00A005DD">
      <w:pPr>
        <w:spacing w:line="260" w:lineRule="atLeast"/>
        <w:jc w:val="both"/>
        <w:rPr>
          <w:rFonts w:eastAsia="Calibri"/>
          <w:lang w:eastAsia="en-US"/>
        </w:rPr>
      </w:pPr>
    </w:p>
    <w:p w14:paraId="37F0A7BE" w14:textId="0022A88F" w:rsidR="00A005DD" w:rsidRPr="008D46F8" w:rsidRDefault="002F354D" w:rsidP="00A005DD">
      <w:pPr>
        <w:spacing w:line="260" w:lineRule="atLeast"/>
        <w:jc w:val="both"/>
        <w:rPr>
          <w:rFonts w:eastAsia="Calibri"/>
          <w:lang w:eastAsia="en-US"/>
        </w:rPr>
      </w:pPr>
      <w:r>
        <w:rPr>
          <w:rFonts w:eastAsia="Calibri"/>
          <w:lang w:eastAsia="en-US"/>
        </w:rPr>
        <w:lastRenderedPageBreak/>
        <w:t>I</w:t>
      </w:r>
      <w:r w:rsidR="00A005DD" w:rsidRPr="008D46F8">
        <w:rPr>
          <w:rFonts w:eastAsia="Calibri"/>
          <w:lang w:eastAsia="en-US"/>
        </w:rPr>
        <w:t>t is considered that emissions can occur to a 0.5-meter band surrounding the emission point, and to a soil depth of 0.5 meter</w:t>
      </w:r>
      <w:r w:rsidR="00A005DD">
        <w:rPr>
          <w:rFonts w:eastAsia="Calibri"/>
          <w:lang w:eastAsia="en-US"/>
        </w:rPr>
        <w:t xml:space="preserve"> (considering a small scale application)</w:t>
      </w:r>
      <w:r w:rsidR="00A005DD" w:rsidRPr="008D46F8">
        <w:rPr>
          <w:rFonts w:eastAsia="Calibri"/>
          <w:lang w:eastAsia="en-US"/>
        </w:rPr>
        <w:t>. It is considered that the kennel door has a width of 0.5 meters.</w:t>
      </w:r>
    </w:p>
    <w:p w14:paraId="265FFFBD" w14:textId="77777777" w:rsidR="00A005DD" w:rsidRPr="008D46F8" w:rsidRDefault="00A005DD" w:rsidP="00A005DD">
      <w:pPr>
        <w:spacing w:line="260" w:lineRule="atLeast"/>
        <w:jc w:val="both"/>
        <w:rPr>
          <w:rFonts w:eastAsia="Calibri"/>
          <w:lang w:eastAsia="en-US"/>
        </w:rPr>
      </w:pPr>
    </w:p>
    <w:p w14:paraId="4BE2B5B9" w14:textId="77777777" w:rsidR="00A005DD" w:rsidRPr="008D46F8" w:rsidRDefault="00A005DD" w:rsidP="00A005DD">
      <w:pPr>
        <w:pStyle w:val="Paragraphedeliste"/>
        <w:numPr>
          <w:ilvl w:val="0"/>
          <w:numId w:val="17"/>
        </w:numPr>
        <w:suppressAutoHyphens w:val="0"/>
        <w:spacing w:line="260" w:lineRule="atLeast"/>
        <w:jc w:val="both"/>
        <w:rPr>
          <w:rFonts w:eastAsia="Calibri"/>
          <w:lang w:eastAsia="en-US"/>
        </w:rPr>
      </w:pPr>
      <w:r w:rsidRPr="008D46F8">
        <w:rPr>
          <w:rFonts w:eastAsia="Calibri"/>
          <w:lang w:eastAsia="en-US"/>
        </w:rPr>
        <w:t xml:space="preserve">Volume of the receiving compartment = (0.5*0.5) * 0.5 = </w:t>
      </w:r>
      <w:r w:rsidRPr="008D46F8">
        <w:rPr>
          <w:rFonts w:eastAsia="Calibri"/>
          <w:b/>
          <w:lang w:eastAsia="en-US"/>
        </w:rPr>
        <w:t>0.125</w:t>
      </w:r>
      <w:r w:rsidRPr="008D46F8">
        <w:rPr>
          <w:rFonts w:eastAsia="Calibri"/>
          <w:lang w:eastAsia="en-US"/>
        </w:rPr>
        <w:t xml:space="preserve"> </w:t>
      </w:r>
      <w:r w:rsidRPr="008D46F8">
        <w:rPr>
          <w:rFonts w:eastAsia="Calibri"/>
          <w:b/>
          <w:lang w:eastAsia="en-US"/>
        </w:rPr>
        <w:t>m³</w:t>
      </w:r>
    </w:p>
    <w:p w14:paraId="53625FA9" w14:textId="77777777" w:rsidR="00A005DD" w:rsidRPr="008D46F8" w:rsidRDefault="00A005DD" w:rsidP="00A005DD">
      <w:pPr>
        <w:jc w:val="both"/>
        <w:rPr>
          <w:rFonts w:eastAsia="Calibri"/>
          <w:lang w:eastAsia="en-US"/>
        </w:rPr>
      </w:pPr>
    </w:p>
    <w:p w14:paraId="7FFCADFB" w14:textId="22E6D7F2" w:rsidR="00A005DD" w:rsidRDefault="00A005DD" w:rsidP="00A005DD">
      <w:pPr>
        <w:jc w:val="both"/>
        <w:rPr>
          <w:rFonts w:eastAsia="Calibri"/>
          <w:bCs/>
          <w:lang w:eastAsia="en-US"/>
        </w:rPr>
      </w:pPr>
      <w:r w:rsidRPr="008D46F8">
        <w:rPr>
          <w:rFonts w:eastAsia="Calibri"/>
          <w:bCs/>
          <w:lang w:eastAsia="en-US"/>
        </w:rPr>
        <w:t>Based on the previous data, environmen</w:t>
      </w:r>
      <w:r w:rsidR="002F354D">
        <w:rPr>
          <w:rFonts w:eastAsia="Calibri"/>
          <w:bCs/>
          <w:lang w:eastAsia="en-US"/>
        </w:rPr>
        <w:t>tal emissions for the scenario 6</w:t>
      </w:r>
      <w:r w:rsidRPr="008D46F8">
        <w:rPr>
          <w:rFonts w:eastAsia="Calibri"/>
          <w:bCs/>
          <w:lang w:eastAsia="en-US"/>
        </w:rPr>
        <w:t xml:space="preserve"> are calculated with the following inputs.</w:t>
      </w:r>
    </w:p>
    <w:p w14:paraId="1BAB835A" w14:textId="77777777" w:rsidR="00A005DD" w:rsidRPr="008D46F8" w:rsidRDefault="00A005DD" w:rsidP="00A005DD">
      <w:pPr>
        <w:spacing w:line="260" w:lineRule="atLeast"/>
        <w:jc w:val="both"/>
        <w:rPr>
          <w:rFonts w:eastAsia="Calibri"/>
          <w:lang w:eastAsia="en-US"/>
        </w:rPr>
      </w:pPr>
    </w:p>
    <w:p w14:paraId="7483556E" w14:textId="77777777" w:rsidR="00A005DD" w:rsidRPr="008D46F8" w:rsidRDefault="00A005DD" w:rsidP="00A005DD">
      <w:pPr>
        <w:spacing w:line="260" w:lineRule="atLeast"/>
        <w:jc w:val="both"/>
        <w:rPr>
          <w:rFonts w:eastAsia="Calibri"/>
          <w:lang w:eastAsia="en-US"/>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083"/>
        <w:gridCol w:w="687"/>
        <w:gridCol w:w="3476"/>
      </w:tblGrid>
      <w:tr w:rsidR="00A005DD" w:rsidRPr="008D46F8" w14:paraId="307D4C87" w14:textId="77777777" w:rsidTr="00B17EF5">
        <w:trPr>
          <w:trHeight w:val="340"/>
        </w:trPr>
        <w:tc>
          <w:tcPr>
            <w:tcW w:w="9266" w:type="dxa"/>
            <w:gridSpan w:val="4"/>
            <w:shd w:val="clear" w:color="auto" w:fill="FFFFCC"/>
            <w:vAlign w:val="center"/>
          </w:tcPr>
          <w:p w14:paraId="6D715957" w14:textId="77777777" w:rsidR="00A005DD" w:rsidRPr="008D46F8" w:rsidRDefault="00A005DD" w:rsidP="0026429B">
            <w:pPr>
              <w:spacing w:before="60" w:after="60" w:line="260" w:lineRule="atLeast"/>
              <w:rPr>
                <w:rFonts w:eastAsia="Calibri" w:cs="Arial"/>
                <w:b/>
                <w:bCs/>
                <w:color w:val="000000"/>
                <w:sz w:val="18"/>
                <w:szCs w:val="18"/>
                <w:lang w:eastAsia="en-GB"/>
              </w:rPr>
            </w:pPr>
            <w:r w:rsidRPr="008D46F8">
              <w:rPr>
                <w:rFonts w:eastAsia="Calibri"/>
                <w:b/>
                <w:sz w:val="18"/>
                <w:szCs w:val="18"/>
                <w:lang w:eastAsia="en-US"/>
              </w:rPr>
              <w:t>Input parameters for calculating the local emission</w:t>
            </w:r>
          </w:p>
        </w:tc>
      </w:tr>
      <w:tr w:rsidR="00A005DD" w:rsidRPr="008D46F8" w14:paraId="57E7D0D6" w14:textId="77777777" w:rsidTr="00D518B9">
        <w:trPr>
          <w:trHeight w:val="73"/>
        </w:trPr>
        <w:tc>
          <w:tcPr>
            <w:tcW w:w="4020" w:type="dxa"/>
            <w:shd w:val="clear" w:color="auto" w:fill="auto"/>
            <w:vAlign w:val="center"/>
          </w:tcPr>
          <w:p w14:paraId="51ED9C80" w14:textId="77777777" w:rsidR="00A005DD" w:rsidRPr="008D46F8" w:rsidRDefault="00A005DD" w:rsidP="0026429B">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 xml:space="preserve">Input </w:t>
            </w:r>
          </w:p>
        </w:tc>
        <w:tc>
          <w:tcPr>
            <w:tcW w:w="1083" w:type="dxa"/>
            <w:shd w:val="clear" w:color="auto" w:fill="auto"/>
            <w:vAlign w:val="center"/>
          </w:tcPr>
          <w:p w14:paraId="2399C2F4" w14:textId="77777777" w:rsidR="00A005DD" w:rsidRPr="008D46F8" w:rsidRDefault="00A005DD" w:rsidP="0026429B">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 xml:space="preserve">Value </w:t>
            </w:r>
          </w:p>
        </w:tc>
        <w:tc>
          <w:tcPr>
            <w:tcW w:w="687" w:type="dxa"/>
            <w:shd w:val="clear" w:color="auto" w:fill="auto"/>
            <w:vAlign w:val="center"/>
          </w:tcPr>
          <w:p w14:paraId="5CD8C60F" w14:textId="77777777" w:rsidR="00A005DD" w:rsidRPr="008D46F8" w:rsidRDefault="00A005DD" w:rsidP="0026429B">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Unit</w:t>
            </w:r>
          </w:p>
        </w:tc>
        <w:tc>
          <w:tcPr>
            <w:tcW w:w="3476" w:type="dxa"/>
            <w:shd w:val="clear" w:color="auto" w:fill="auto"/>
            <w:vAlign w:val="center"/>
          </w:tcPr>
          <w:p w14:paraId="033308DE" w14:textId="77777777" w:rsidR="00A005DD" w:rsidRPr="008D46F8" w:rsidRDefault="00A005DD" w:rsidP="0026429B">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Remarks</w:t>
            </w:r>
          </w:p>
        </w:tc>
      </w:tr>
      <w:tr w:rsidR="00D80179" w:rsidRPr="008D46F8" w14:paraId="031EDB50" w14:textId="77777777" w:rsidTr="00B17EF5">
        <w:trPr>
          <w:trHeight w:val="73"/>
        </w:trPr>
        <w:tc>
          <w:tcPr>
            <w:tcW w:w="9266" w:type="dxa"/>
            <w:gridSpan w:val="4"/>
            <w:shd w:val="clear" w:color="auto" w:fill="auto"/>
            <w:vAlign w:val="center"/>
          </w:tcPr>
          <w:p w14:paraId="734397AE" w14:textId="237BDA02" w:rsidR="00D80179" w:rsidRPr="008D46F8" w:rsidRDefault="002F354D" w:rsidP="00D80179">
            <w:pPr>
              <w:spacing w:before="60" w:after="60" w:line="260" w:lineRule="atLeast"/>
              <w:rPr>
                <w:rFonts w:eastAsia="Calibri" w:cs="Arial"/>
                <w:color w:val="000000"/>
                <w:sz w:val="18"/>
                <w:szCs w:val="18"/>
                <w:lang w:eastAsia="en-GB"/>
              </w:rPr>
            </w:pPr>
            <w:r>
              <w:rPr>
                <w:rFonts w:eastAsia="Calibri"/>
                <w:color w:val="000000"/>
                <w:sz w:val="18"/>
                <w:szCs w:val="18"/>
                <w:lang w:eastAsia="en-GB"/>
              </w:rPr>
              <w:t>Scenario 6</w:t>
            </w:r>
            <w:r w:rsidR="00D80179" w:rsidRPr="007352CF">
              <w:rPr>
                <w:rFonts w:eastAsia="Calibri"/>
                <w:color w:val="000000"/>
                <w:sz w:val="18"/>
                <w:szCs w:val="18"/>
                <w:lang w:eastAsia="en-GB"/>
              </w:rPr>
              <w:t>:</w:t>
            </w:r>
            <w:r w:rsidR="00D80179" w:rsidRPr="007352CF">
              <w:rPr>
                <w:rFonts w:eastAsia="Calibri"/>
                <w:i/>
                <w:color w:val="FF0000"/>
                <w:sz w:val="18"/>
                <w:szCs w:val="18"/>
                <w:lang w:eastAsia="en-GB"/>
              </w:rPr>
              <w:t xml:space="preserve"> </w:t>
            </w:r>
            <w:r w:rsidR="00D80179" w:rsidRPr="007352CF">
              <w:rPr>
                <w:sz w:val="18"/>
                <w:szCs w:val="18"/>
              </w:rPr>
              <w:t xml:space="preserve"> </w:t>
            </w:r>
            <w:r>
              <w:rPr>
                <w:sz w:val="18"/>
                <w:szCs w:val="18"/>
              </w:rPr>
              <w:t xml:space="preserve">Indoor &amp; </w:t>
            </w:r>
            <w:r w:rsidR="00D80179" w:rsidRPr="007352CF">
              <w:rPr>
                <w:sz w:val="18"/>
                <w:szCs w:val="18"/>
              </w:rPr>
              <w:t>Outdoor - Disinfection of domestic animal housing - direct emission to soil</w:t>
            </w:r>
            <w:r>
              <w:rPr>
                <w:sz w:val="18"/>
                <w:szCs w:val="18"/>
              </w:rPr>
              <w:t xml:space="preserve"> and indirect emission via STP</w:t>
            </w:r>
          </w:p>
        </w:tc>
      </w:tr>
      <w:tr w:rsidR="00B17EF5" w14:paraId="716D3EF2" w14:textId="77777777" w:rsidTr="001841D7">
        <w:trPr>
          <w:trHeight w:val="91"/>
        </w:trPr>
        <w:tc>
          <w:tcPr>
            <w:tcW w:w="4020" w:type="dxa"/>
            <w:tcBorders>
              <w:top w:val="single" w:sz="4" w:space="0" w:color="auto"/>
              <w:left w:val="single" w:sz="4" w:space="0" w:color="auto"/>
              <w:bottom w:val="nil"/>
              <w:right w:val="single" w:sz="4" w:space="0" w:color="auto"/>
            </w:tcBorders>
            <w:shd w:val="clear" w:color="auto" w:fill="auto"/>
            <w:vAlign w:val="center"/>
          </w:tcPr>
          <w:p w14:paraId="599CF020" w14:textId="040BFE28" w:rsidR="001841D7" w:rsidRPr="00570475" w:rsidRDefault="001841D7" w:rsidP="001841D7">
            <w:pPr>
              <w:suppressAutoHyphens w:val="0"/>
              <w:rPr>
                <w:color w:val="000000"/>
                <w:sz w:val="18"/>
                <w:szCs w:val="18"/>
              </w:rPr>
            </w:pPr>
            <w:r w:rsidRPr="00570475">
              <w:rPr>
                <w:color w:val="000000"/>
                <w:sz w:val="18"/>
                <w:szCs w:val="18"/>
              </w:rPr>
              <w:t>Concentration of substance in the product</w:t>
            </w:r>
          </w:p>
          <w:p w14:paraId="084CE6DB" w14:textId="74B4D6F6" w:rsidR="00B17EF5" w:rsidRDefault="001841D7" w:rsidP="001841D7">
            <w:pPr>
              <w:spacing w:before="60" w:after="60" w:line="260" w:lineRule="atLeast"/>
              <w:rPr>
                <w:rFonts w:eastAsia="Calibri" w:cs="Arial"/>
                <w:color w:val="000000"/>
                <w:sz w:val="18"/>
                <w:szCs w:val="18"/>
                <w:lang w:eastAsia="en-GB"/>
              </w:rPr>
            </w:pPr>
            <w:r w:rsidRPr="00570475">
              <w:rPr>
                <w:i/>
                <w:color w:val="000000"/>
                <w:sz w:val="18"/>
                <w:szCs w:val="18"/>
              </w:rPr>
              <w:t>C</w:t>
            </w:r>
            <w:r w:rsidRPr="00570475">
              <w:rPr>
                <w:i/>
                <w:color w:val="000000"/>
                <w:sz w:val="18"/>
                <w:szCs w:val="18"/>
                <w:vertAlign w:val="subscript"/>
              </w:rPr>
              <w:t>product</w:t>
            </w:r>
          </w:p>
        </w:tc>
        <w:tc>
          <w:tcPr>
            <w:tcW w:w="1083" w:type="dxa"/>
            <w:tcBorders>
              <w:top w:val="single" w:sz="4" w:space="0" w:color="auto"/>
              <w:left w:val="single" w:sz="4" w:space="0" w:color="auto"/>
              <w:bottom w:val="nil"/>
              <w:right w:val="single" w:sz="4" w:space="0" w:color="auto"/>
            </w:tcBorders>
            <w:shd w:val="clear" w:color="auto" w:fill="auto"/>
            <w:vAlign w:val="center"/>
          </w:tcPr>
          <w:p w14:paraId="09410C5F" w14:textId="77777777" w:rsidR="00B17EF5" w:rsidRDefault="00B17EF5" w:rsidP="008E446C">
            <w:pPr>
              <w:spacing w:before="60" w:after="60" w:line="260" w:lineRule="atLeast"/>
              <w:rPr>
                <w:rFonts w:eastAsia="Calibri" w:cs="Arial"/>
                <w:color w:val="000000"/>
                <w:sz w:val="18"/>
                <w:szCs w:val="18"/>
                <w:lang w:eastAsia="en-GB"/>
              </w:rPr>
            </w:pPr>
          </w:p>
        </w:tc>
        <w:tc>
          <w:tcPr>
            <w:tcW w:w="687" w:type="dxa"/>
            <w:tcBorders>
              <w:top w:val="single" w:sz="4" w:space="0" w:color="auto"/>
              <w:left w:val="single" w:sz="4" w:space="0" w:color="auto"/>
              <w:bottom w:val="nil"/>
              <w:right w:val="single" w:sz="4" w:space="0" w:color="auto"/>
            </w:tcBorders>
            <w:shd w:val="clear" w:color="auto" w:fill="auto"/>
            <w:vAlign w:val="center"/>
          </w:tcPr>
          <w:p w14:paraId="1F8448F5" w14:textId="77777777" w:rsidR="00B17EF5" w:rsidRPr="00322012" w:rsidRDefault="00B17EF5" w:rsidP="008E446C">
            <w:pPr>
              <w:spacing w:before="60" w:after="60" w:line="260" w:lineRule="atLeast"/>
              <w:rPr>
                <w:sz w:val="16"/>
                <w:szCs w:val="16"/>
              </w:rPr>
            </w:pPr>
          </w:p>
        </w:tc>
        <w:tc>
          <w:tcPr>
            <w:tcW w:w="3476" w:type="dxa"/>
            <w:tcBorders>
              <w:top w:val="single" w:sz="4" w:space="0" w:color="auto"/>
              <w:left w:val="single" w:sz="4" w:space="0" w:color="auto"/>
              <w:bottom w:val="nil"/>
              <w:right w:val="single" w:sz="4" w:space="0" w:color="auto"/>
            </w:tcBorders>
            <w:shd w:val="clear" w:color="auto" w:fill="auto"/>
            <w:vAlign w:val="center"/>
          </w:tcPr>
          <w:p w14:paraId="30EF8FD2" w14:textId="2FC13518" w:rsidR="00B17EF5" w:rsidRPr="00322012" w:rsidRDefault="00B17EF5" w:rsidP="008E446C">
            <w:pPr>
              <w:spacing w:before="60" w:after="60" w:line="260" w:lineRule="atLeast"/>
              <w:rPr>
                <w:rFonts w:eastAsia="Calibri" w:cs="Arial"/>
                <w:sz w:val="18"/>
                <w:szCs w:val="18"/>
                <w:lang w:eastAsia="en-GB"/>
              </w:rPr>
            </w:pPr>
          </w:p>
        </w:tc>
      </w:tr>
      <w:tr w:rsidR="001841D7" w14:paraId="5A1E9D33" w14:textId="77777777" w:rsidTr="001841D7">
        <w:trPr>
          <w:trHeight w:val="91"/>
        </w:trPr>
        <w:tc>
          <w:tcPr>
            <w:tcW w:w="4020" w:type="dxa"/>
            <w:tcBorders>
              <w:top w:val="nil"/>
              <w:left w:val="single" w:sz="4" w:space="0" w:color="auto"/>
              <w:bottom w:val="nil"/>
              <w:right w:val="single" w:sz="4" w:space="0" w:color="auto"/>
            </w:tcBorders>
            <w:shd w:val="clear" w:color="auto" w:fill="auto"/>
            <w:vAlign w:val="center"/>
          </w:tcPr>
          <w:p w14:paraId="249038E8" w14:textId="77777777" w:rsidR="002F078C" w:rsidRDefault="001841D7" w:rsidP="008E446C">
            <w:pPr>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r w:rsidR="002F078C">
              <w:rPr>
                <w:rFonts w:eastAsia="Calibri" w:cs="Arial"/>
                <w:color w:val="000000"/>
                <w:sz w:val="18"/>
                <w:szCs w:val="18"/>
                <w:lang w:eastAsia="en-GB"/>
              </w:rPr>
              <w:t xml:space="preserve"> </w:t>
            </w:r>
            <w:r w:rsidR="002F078C" w:rsidRPr="002F078C">
              <w:rPr>
                <w:rFonts w:eastAsia="Calibri" w:cs="Arial"/>
                <w:color w:val="000000"/>
                <w:sz w:val="18"/>
                <w:szCs w:val="18"/>
                <w:lang w:eastAsia="en-GB"/>
              </w:rPr>
              <w:t>(meta-SPC 9)</w:t>
            </w:r>
          </w:p>
          <w:p w14:paraId="64E84C5E" w14:textId="32BC9CAC" w:rsidR="001841D7" w:rsidRDefault="002F078C" w:rsidP="008E446C">
            <w:pPr>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r>
              <w:rPr>
                <w:rFonts w:eastAsia="Calibri" w:cs="Arial"/>
                <w:color w:val="000000"/>
                <w:sz w:val="18"/>
                <w:szCs w:val="18"/>
                <w:lang w:eastAsia="en-GB"/>
              </w:rPr>
              <w:t xml:space="preserve"> </w:t>
            </w:r>
            <w:r w:rsidRPr="002F078C">
              <w:rPr>
                <w:rFonts w:eastAsia="Calibri" w:cs="Arial"/>
                <w:color w:val="000000"/>
                <w:sz w:val="18"/>
                <w:szCs w:val="18"/>
                <w:lang w:eastAsia="en-GB"/>
              </w:rPr>
              <w:t>(meta-SPC 10)</w:t>
            </w:r>
          </w:p>
        </w:tc>
        <w:tc>
          <w:tcPr>
            <w:tcW w:w="1083" w:type="dxa"/>
            <w:tcBorders>
              <w:top w:val="nil"/>
              <w:left w:val="single" w:sz="4" w:space="0" w:color="auto"/>
              <w:bottom w:val="nil"/>
              <w:right w:val="single" w:sz="4" w:space="0" w:color="auto"/>
            </w:tcBorders>
            <w:shd w:val="clear" w:color="auto" w:fill="auto"/>
            <w:vAlign w:val="center"/>
          </w:tcPr>
          <w:p w14:paraId="5CC8B03A" w14:textId="77777777" w:rsidR="001841D7" w:rsidRDefault="001841D7"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2.4E-02</w:t>
            </w:r>
          </w:p>
          <w:p w14:paraId="3EC6A8AF" w14:textId="1124245D" w:rsidR="002F078C" w:rsidRDefault="002F078C"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8.0E-03</w:t>
            </w:r>
          </w:p>
        </w:tc>
        <w:tc>
          <w:tcPr>
            <w:tcW w:w="687" w:type="dxa"/>
            <w:tcBorders>
              <w:top w:val="nil"/>
              <w:left w:val="single" w:sz="4" w:space="0" w:color="auto"/>
              <w:bottom w:val="nil"/>
              <w:right w:val="single" w:sz="4" w:space="0" w:color="auto"/>
            </w:tcBorders>
            <w:shd w:val="clear" w:color="auto" w:fill="auto"/>
            <w:vAlign w:val="center"/>
          </w:tcPr>
          <w:p w14:paraId="6642290C" w14:textId="151BB086" w:rsidR="001841D7" w:rsidRPr="00322012" w:rsidRDefault="001841D7" w:rsidP="008E446C">
            <w:pPr>
              <w:spacing w:before="60" w:after="60" w:line="260" w:lineRule="atLeast"/>
              <w:rPr>
                <w:sz w:val="16"/>
                <w:szCs w:val="16"/>
              </w:rPr>
            </w:pPr>
            <w:r w:rsidRPr="00570475">
              <w:rPr>
                <w:color w:val="000000"/>
                <w:sz w:val="18"/>
                <w:szCs w:val="18"/>
              </w:rPr>
              <w:t>kg.l</w:t>
            </w:r>
            <w:r w:rsidRPr="00570475">
              <w:rPr>
                <w:color w:val="000000"/>
                <w:sz w:val="18"/>
                <w:szCs w:val="18"/>
                <w:vertAlign w:val="superscript"/>
              </w:rPr>
              <w:t>-1</w:t>
            </w:r>
          </w:p>
        </w:tc>
        <w:tc>
          <w:tcPr>
            <w:tcW w:w="3476" w:type="dxa"/>
            <w:tcBorders>
              <w:top w:val="nil"/>
              <w:left w:val="single" w:sz="4" w:space="0" w:color="auto"/>
              <w:bottom w:val="nil"/>
              <w:right w:val="single" w:sz="4" w:space="0" w:color="auto"/>
            </w:tcBorders>
            <w:shd w:val="clear" w:color="auto" w:fill="auto"/>
            <w:vAlign w:val="center"/>
          </w:tcPr>
          <w:p w14:paraId="132DABA5" w14:textId="58642640" w:rsidR="001841D7" w:rsidRDefault="001841D7" w:rsidP="008E446C">
            <w:pPr>
              <w:spacing w:before="60" w:after="60" w:line="260" w:lineRule="atLeast"/>
              <w:rPr>
                <w:rFonts w:eastAsia="Calibri" w:cs="Arial"/>
                <w:sz w:val="18"/>
                <w:szCs w:val="18"/>
                <w:lang w:eastAsia="en-GB"/>
              </w:rPr>
            </w:pPr>
            <w:r w:rsidRPr="001C6AF1">
              <w:rPr>
                <w:sz w:val="18"/>
                <w:szCs w:val="18"/>
                <w:lang w:val="en-US"/>
              </w:rPr>
              <w:t>Considering that product density may vary from 1.004 to 1.077</w:t>
            </w:r>
            <w:r w:rsidR="00ED2ECB" w:rsidRPr="001C6AF1">
              <w:rPr>
                <w:sz w:val="18"/>
                <w:szCs w:val="18"/>
                <w:lang w:val="en-US"/>
              </w:rPr>
              <w:t xml:space="preserve"> for all the Meta-SPC</w:t>
            </w:r>
            <w:r w:rsidRPr="001C6AF1">
              <w:rPr>
                <w:sz w:val="18"/>
                <w:szCs w:val="18"/>
                <w:lang w:val="en-US"/>
              </w:rPr>
              <w:t>, a density of 1 is considered for the assessment</w:t>
            </w:r>
          </w:p>
        </w:tc>
      </w:tr>
      <w:tr w:rsidR="001841D7" w14:paraId="15CA5073" w14:textId="77777777" w:rsidTr="001841D7">
        <w:trPr>
          <w:trHeight w:val="91"/>
        </w:trPr>
        <w:tc>
          <w:tcPr>
            <w:tcW w:w="4020" w:type="dxa"/>
            <w:tcBorders>
              <w:top w:val="nil"/>
              <w:left w:val="single" w:sz="4" w:space="0" w:color="auto"/>
              <w:bottom w:val="single" w:sz="4" w:space="0" w:color="auto"/>
              <w:right w:val="single" w:sz="4" w:space="0" w:color="auto"/>
            </w:tcBorders>
            <w:shd w:val="clear" w:color="auto" w:fill="auto"/>
            <w:vAlign w:val="center"/>
          </w:tcPr>
          <w:p w14:paraId="48B9C4C6" w14:textId="77777777" w:rsidR="002F078C" w:rsidRPr="002F078C" w:rsidRDefault="002F078C" w:rsidP="002F078C">
            <w:pPr>
              <w:spacing w:before="60" w:after="60" w:line="260" w:lineRule="atLeast"/>
              <w:rPr>
                <w:rFonts w:eastAsia="Calibri" w:cs="Arial"/>
                <w:color w:val="000000"/>
                <w:sz w:val="18"/>
                <w:szCs w:val="18"/>
                <w:lang w:eastAsia="en-GB"/>
              </w:rPr>
            </w:pPr>
            <w:r w:rsidRPr="002F078C">
              <w:rPr>
                <w:rFonts w:eastAsia="Calibri" w:cs="Arial"/>
                <w:color w:val="000000"/>
                <w:sz w:val="18"/>
                <w:szCs w:val="18"/>
                <w:lang w:eastAsia="en-GB"/>
              </w:rPr>
              <w:t>OTNE (meta-SPC 9)</w:t>
            </w:r>
          </w:p>
          <w:p w14:paraId="061D09EF" w14:textId="19BEB68D" w:rsidR="001841D7" w:rsidRDefault="002F078C" w:rsidP="002F078C">
            <w:pPr>
              <w:spacing w:before="60" w:after="60" w:line="260" w:lineRule="atLeast"/>
              <w:rPr>
                <w:rFonts w:eastAsia="Calibri" w:cs="Arial"/>
                <w:color w:val="000000"/>
                <w:sz w:val="18"/>
                <w:szCs w:val="18"/>
                <w:lang w:eastAsia="en-GB"/>
              </w:rPr>
            </w:pPr>
            <w:r w:rsidRPr="002F078C">
              <w:rPr>
                <w:rFonts w:eastAsia="Calibri" w:cs="Arial"/>
                <w:color w:val="000000"/>
                <w:sz w:val="18"/>
                <w:szCs w:val="18"/>
                <w:lang w:eastAsia="en-GB"/>
              </w:rPr>
              <w:t>OTNE refinement (meta-SPC 10)</w:t>
            </w:r>
          </w:p>
        </w:tc>
        <w:tc>
          <w:tcPr>
            <w:tcW w:w="1083" w:type="dxa"/>
            <w:tcBorders>
              <w:top w:val="nil"/>
              <w:left w:val="single" w:sz="4" w:space="0" w:color="auto"/>
              <w:bottom w:val="single" w:sz="4" w:space="0" w:color="auto"/>
              <w:right w:val="single" w:sz="4" w:space="0" w:color="auto"/>
            </w:tcBorders>
            <w:shd w:val="clear" w:color="auto" w:fill="auto"/>
            <w:vAlign w:val="center"/>
          </w:tcPr>
          <w:p w14:paraId="615E399E" w14:textId="77777777" w:rsidR="001841D7" w:rsidRDefault="001841D7"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9.0E-03</w:t>
            </w:r>
          </w:p>
          <w:p w14:paraId="2312BCDD" w14:textId="54ABA4CB" w:rsidR="000761A0" w:rsidRDefault="000761A0"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9.0E-04</w:t>
            </w:r>
          </w:p>
        </w:tc>
        <w:tc>
          <w:tcPr>
            <w:tcW w:w="687" w:type="dxa"/>
            <w:tcBorders>
              <w:top w:val="nil"/>
              <w:left w:val="single" w:sz="4" w:space="0" w:color="auto"/>
              <w:bottom w:val="single" w:sz="4" w:space="0" w:color="auto"/>
              <w:right w:val="single" w:sz="4" w:space="0" w:color="auto"/>
            </w:tcBorders>
            <w:shd w:val="clear" w:color="auto" w:fill="auto"/>
            <w:vAlign w:val="center"/>
          </w:tcPr>
          <w:p w14:paraId="20E4361D" w14:textId="77777777" w:rsidR="001841D7" w:rsidRPr="00322012" w:rsidRDefault="001841D7" w:rsidP="008E446C">
            <w:pPr>
              <w:spacing w:before="60" w:after="60" w:line="260" w:lineRule="atLeast"/>
              <w:rPr>
                <w:sz w:val="16"/>
                <w:szCs w:val="16"/>
              </w:rPr>
            </w:pPr>
          </w:p>
        </w:tc>
        <w:tc>
          <w:tcPr>
            <w:tcW w:w="3476" w:type="dxa"/>
            <w:tcBorders>
              <w:top w:val="nil"/>
              <w:left w:val="single" w:sz="4" w:space="0" w:color="auto"/>
              <w:bottom w:val="single" w:sz="4" w:space="0" w:color="auto"/>
              <w:right w:val="single" w:sz="4" w:space="0" w:color="auto"/>
            </w:tcBorders>
            <w:shd w:val="clear" w:color="auto" w:fill="auto"/>
            <w:vAlign w:val="center"/>
          </w:tcPr>
          <w:p w14:paraId="6DFCC97A" w14:textId="77777777" w:rsidR="001841D7" w:rsidRDefault="001841D7" w:rsidP="008E446C">
            <w:pPr>
              <w:spacing w:before="60" w:after="60" w:line="260" w:lineRule="atLeast"/>
              <w:rPr>
                <w:rFonts w:eastAsia="Calibri" w:cs="Arial"/>
                <w:sz w:val="18"/>
                <w:szCs w:val="18"/>
                <w:lang w:eastAsia="en-GB"/>
              </w:rPr>
            </w:pPr>
          </w:p>
        </w:tc>
      </w:tr>
      <w:tr w:rsidR="00172CBC" w14:paraId="05E9C505" w14:textId="77777777" w:rsidTr="001841D7">
        <w:trPr>
          <w:trHeight w:val="91"/>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0B376AA9" w14:textId="26C07661" w:rsidR="00172CBC" w:rsidRPr="00322012" w:rsidRDefault="00172CBC"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A</w:t>
            </w:r>
            <w:r w:rsidRPr="00322012">
              <w:rPr>
                <w:rFonts w:eastAsia="Calibri" w:cs="Arial"/>
                <w:color w:val="000000"/>
                <w:sz w:val="18"/>
                <w:szCs w:val="18"/>
                <w:lang w:eastAsia="en-GB"/>
              </w:rPr>
              <w:t>pplication rate of biocidal product</w:t>
            </w:r>
          </w:p>
          <w:p w14:paraId="68037AB5" w14:textId="77777777" w:rsidR="00172CBC" w:rsidRPr="001841D7" w:rsidDel="00645300" w:rsidRDefault="00172CBC" w:rsidP="008E446C">
            <w:pPr>
              <w:spacing w:before="60" w:after="60" w:line="260" w:lineRule="atLeast"/>
              <w:rPr>
                <w:rFonts w:eastAsia="Calibri" w:cs="Arial"/>
                <w:i/>
                <w:color w:val="000000"/>
                <w:sz w:val="18"/>
                <w:szCs w:val="18"/>
                <w:lang w:eastAsia="en-GB"/>
              </w:rPr>
            </w:pPr>
            <w:r w:rsidRPr="001841D7">
              <w:rPr>
                <w:rFonts w:eastAsia="Calibri" w:cs="Arial"/>
                <w:i/>
                <w:color w:val="000000"/>
                <w:sz w:val="18"/>
                <w:szCs w:val="18"/>
                <w:lang w:eastAsia="en-GB"/>
              </w:rPr>
              <w:t>V</w:t>
            </w:r>
            <w:r w:rsidRPr="001841D7">
              <w:rPr>
                <w:rFonts w:eastAsia="Calibri" w:cs="Arial"/>
                <w:i/>
                <w:color w:val="000000"/>
                <w:sz w:val="18"/>
                <w:szCs w:val="18"/>
                <w:vertAlign w:val="subscript"/>
                <w:lang w:eastAsia="en-GB"/>
              </w:rPr>
              <w:t>product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875D20" w14:textId="77777777" w:rsidR="00172CBC" w:rsidRPr="006136B1" w:rsidRDefault="00172CBC" w:rsidP="008E446C">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0.04</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2C0C79A1" w14:textId="17327E62" w:rsidR="00172CBC" w:rsidRPr="001841D7" w:rsidRDefault="00172CBC" w:rsidP="008E446C">
            <w:pPr>
              <w:spacing w:before="60" w:after="60" w:line="260" w:lineRule="atLeast"/>
              <w:rPr>
                <w:sz w:val="18"/>
                <w:szCs w:val="18"/>
              </w:rPr>
            </w:pPr>
            <w:r w:rsidRPr="001841D7">
              <w:rPr>
                <w:sz w:val="18"/>
                <w:szCs w:val="18"/>
              </w:rPr>
              <w:t>l.m</w:t>
            </w:r>
            <w:r w:rsidR="001841D7" w:rsidRPr="001841D7">
              <w:rPr>
                <w:sz w:val="18"/>
                <w:szCs w:val="18"/>
                <w:vertAlign w:val="superscript"/>
              </w:rPr>
              <w:t>-</w:t>
            </w:r>
            <w:r w:rsidR="001841D7">
              <w:rPr>
                <w:sz w:val="18"/>
                <w:szCs w:val="18"/>
                <w:vertAlign w:val="superscript"/>
              </w:rPr>
              <w:t>2</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75A2E9A1" w14:textId="462BC076" w:rsidR="00172CBC" w:rsidRPr="00322012" w:rsidRDefault="00172CBC" w:rsidP="008E446C">
            <w:pPr>
              <w:spacing w:before="60" w:after="60" w:line="260" w:lineRule="atLeast"/>
              <w:rPr>
                <w:rFonts w:eastAsia="Calibri" w:cs="Arial"/>
                <w:sz w:val="18"/>
                <w:szCs w:val="18"/>
                <w:lang w:eastAsia="en-GB"/>
              </w:rPr>
            </w:pPr>
            <w:r w:rsidRPr="00322012">
              <w:rPr>
                <w:rFonts w:eastAsia="Calibri" w:cs="Arial"/>
                <w:sz w:val="18"/>
                <w:szCs w:val="18"/>
                <w:lang w:eastAsia="en-GB"/>
              </w:rPr>
              <w:t>Defaul</w:t>
            </w:r>
            <w:r w:rsidR="00134A8A">
              <w:rPr>
                <w:rFonts w:eastAsia="Calibri" w:cs="Arial"/>
                <w:sz w:val="18"/>
                <w:szCs w:val="18"/>
                <w:lang w:eastAsia="en-GB"/>
              </w:rPr>
              <w:t>t</w:t>
            </w:r>
          </w:p>
        </w:tc>
      </w:tr>
      <w:tr w:rsidR="00134A8A" w:rsidRPr="008D46F8" w14:paraId="1ECF89ED" w14:textId="77777777" w:rsidTr="001841D7">
        <w:trPr>
          <w:trHeight w:val="91"/>
        </w:trPr>
        <w:tc>
          <w:tcPr>
            <w:tcW w:w="4020" w:type="dxa"/>
            <w:tcBorders>
              <w:top w:val="single" w:sz="4" w:space="0" w:color="auto"/>
              <w:left w:val="single" w:sz="4" w:space="0" w:color="auto"/>
              <w:bottom w:val="nil"/>
              <w:right w:val="single" w:sz="4" w:space="0" w:color="auto"/>
            </w:tcBorders>
            <w:shd w:val="clear" w:color="auto" w:fill="auto"/>
            <w:vAlign w:val="center"/>
          </w:tcPr>
          <w:p w14:paraId="5249AF12" w14:textId="454201E5" w:rsidR="00134A8A" w:rsidRDefault="00134A8A" w:rsidP="00134A8A">
            <w:pPr>
              <w:spacing w:before="60" w:after="60" w:line="260" w:lineRule="atLeast"/>
              <w:rPr>
                <w:rFonts w:eastAsia="Calibri"/>
                <w:color w:val="000000"/>
                <w:sz w:val="18"/>
                <w:szCs w:val="18"/>
                <w:lang w:eastAsia="en-GB"/>
              </w:rPr>
            </w:pPr>
            <w:r w:rsidRPr="008D46F8">
              <w:rPr>
                <w:rFonts w:eastAsia="Calibri"/>
                <w:color w:val="000000"/>
                <w:sz w:val="18"/>
                <w:szCs w:val="18"/>
                <w:lang w:eastAsia="en-GB"/>
              </w:rPr>
              <w:t xml:space="preserve">Quantity of </w:t>
            </w:r>
            <w:r>
              <w:rPr>
                <w:rFonts w:eastAsia="Calibri"/>
                <w:color w:val="000000"/>
                <w:sz w:val="18"/>
                <w:szCs w:val="18"/>
                <w:lang w:eastAsia="en-GB"/>
              </w:rPr>
              <w:t xml:space="preserve">active ingredient applied </w:t>
            </w:r>
          </w:p>
          <w:p w14:paraId="1315F272" w14:textId="3AE1BB68" w:rsidR="00134A8A" w:rsidRPr="00570475" w:rsidRDefault="00134A8A" w:rsidP="00134A8A">
            <w:pPr>
              <w:spacing w:before="60" w:after="60" w:line="260" w:lineRule="atLeast"/>
              <w:rPr>
                <w:rFonts w:eastAsia="Calibri" w:cs="Arial"/>
                <w:color w:val="000000"/>
                <w:sz w:val="18"/>
                <w:szCs w:val="18"/>
                <w:lang w:eastAsia="en-GB"/>
              </w:rPr>
            </w:pPr>
            <w:r w:rsidRPr="006C32D8">
              <w:rPr>
                <w:rFonts w:eastAsia="Calibri"/>
                <w:i/>
                <w:color w:val="000000"/>
                <w:sz w:val="18"/>
                <w:szCs w:val="18"/>
                <w:lang w:eastAsia="en-GB"/>
              </w:rPr>
              <w:t>Qai</w:t>
            </w:r>
          </w:p>
        </w:tc>
        <w:tc>
          <w:tcPr>
            <w:tcW w:w="1083" w:type="dxa"/>
            <w:tcBorders>
              <w:top w:val="single" w:sz="4" w:space="0" w:color="auto"/>
              <w:left w:val="single" w:sz="4" w:space="0" w:color="auto"/>
              <w:bottom w:val="nil"/>
              <w:right w:val="single" w:sz="4" w:space="0" w:color="auto"/>
            </w:tcBorders>
            <w:shd w:val="clear" w:color="auto" w:fill="auto"/>
            <w:vAlign w:val="center"/>
          </w:tcPr>
          <w:p w14:paraId="4C02CA7E" w14:textId="77777777" w:rsidR="00134A8A" w:rsidRPr="007352CF" w:rsidRDefault="00134A8A" w:rsidP="00134A8A">
            <w:pPr>
              <w:spacing w:before="60" w:after="60" w:line="260" w:lineRule="atLeast"/>
              <w:rPr>
                <w:rFonts w:eastAsia="Calibri" w:cs="Arial"/>
                <w:color w:val="000000"/>
                <w:sz w:val="18"/>
                <w:szCs w:val="18"/>
                <w:lang w:eastAsia="en-GB"/>
              </w:rPr>
            </w:pPr>
          </w:p>
        </w:tc>
        <w:tc>
          <w:tcPr>
            <w:tcW w:w="687" w:type="dxa"/>
            <w:tcBorders>
              <w:top w:val="single" w:sz="4" w:space="0" w:color="auto"/>
              <w:left w:val="single" w:sz="4" w:space="0" w:color="auto"/>
              <w:bottom w:val="nil"/>
              <w:right w:val="single" w:sz="4" w:space="0" w:color="auto"/>
            </w:tcBorders>
            <w:shd w:val="clear" w:color="auto" w:fill="auto"/>
            <w:vAlign w:val="center"/>
          </w:tcPr>
          <w:p w14:paraId="221F1DC4" w14:textId="77777777" w:rsidR="00134A8A" w:rsidRPr="008D46F8" w:rsidRDefault="00134A8A" w:rsidP="00134A8A">
            <w:pPr>
              <w:spacing w:before="60" w:after="60" w:line="260" w:lineRule="atLeast"/>
              <w:rPr>
                <w:rFonts w:eastAsia="Calibri" w:cs="Arial"/>
                <w:sz w:val="18"/>
                <w:szCs w:val="18"/>
                <w:lang w:eastAsia="en-GB"/>
              </w:rPr>
            </w:pPr>
          </w:p>
        </w:tc>
        <w:tc>
          <w:tcPr>
            <w:tcW w:w="3476" w:type="dxa"/>
            <w:tcBorders>
              <w:top w:val="single" w:sz="4" w:space="0" w:color="auto"/>
              <w:left w:val="single" w:sz="4" w:space="0" w:color="auto"/>
              <w:bottom w:val="nil"/>
              <w:right w:val="single" w:sz="4" w:space="0" w:color="auto"/>
            </w:tcBorders>
            <w:shd w:val="clear" w:color="auto" w:fill="auto"/>
            <w:vAlign w:val="center"/>
          </w:tcPr>
          <w:p w14:paraId="1EC5A173" w14:textId="6D09DD76" w:rsidR="00134A8A" w:rsidRPr="008D46F8" w:rsidRDefault="00134A8A" w:rsidP="00134A8A">
            <w:pPr>
              <w:spacing w:before="60" w:after="60" w:line="260" w:lineRule="atLeast"/>
              <w:rPr>
                <w:rFonts w:eastAsia="Calibri" w:cs="Arial"/>
                <w:sz w:val="18"/>
                <w:szCs w:val="18"/>
                <w:lang w:eastAsia="en-GB"/>
              </w:rPr>
            </w:pPr>
          </w:p>
        </w:tc>
      </w:tr>
      <w:tr w:rsidR="00134A8A" w:rsidRPr="008D46F8" w14:paraId="0D34402F" w14:textId="77777777" w:rsidTr="001841D7">
        <w:trPr>
          <w:trHeight w:val="91"/>
        </w:trPr>
        <w:tc>
          <w:tcPr>
            <w:tcW w:w="4020" w:type="dxa"/>
            <w:tcBorders>
              <w:top w:val="nil"/>
              <w:left w:val="single" w:sz="4" w:space="0" w:color="auto"/>
              <w:bottom w:val="nil"/>
              <w:right w:val="single" w:sz="4" w:space="0" w:color="auto"/>
            </w:tcBorders>
            <w:shd w:val="clear" w:color="auto" w:fill="auto"/>
            <w:vAlign w:val="center"/>
          </w:tcPr>
          <w:p w14:paraId="48D031D5" w14:textId="77777777" w:rsidR="002F078C" w:rsidRDefault="00134A8A" w:rsidP="00134A8A">
            <w:pPr>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r w:rsidR="002F078C">
              <w:rPr>
                <w:rFonts w:eastAsia="Calibri" w:cs="Arial"/>
                <w:color w:val="000000"/>
                <w:sz w:val="18"/>
                <w:szCs w:val="18"/>
                <w:lang w:eastAsia="en-GB"/>
              </w:rPr>
              <w:t xml:space="preserve"> </w:t>
            </w:r>
            <w:r w:rsidR="002F078C" w:rsidRPr="002F078C">
              <w:rPr>
                <w:rFonts w:eastAsia="Calibri" w:cs="Arial"/>
                <w:color w:val="000000"/>
                <w:sz w:val="18"/>
                <w:szCs w:val="18"/>
                <w:lang w:eastAsia="en-GB"/>
              </w:rPr>
              <w:t>(meta-SPC 9)</w:t>
            </w:r>
          </w:p>
          <w:p w14:paraId="13B25D84" w14:textId="1D7C9521" w:rsidR="00134A8A" w:rsidRDefault="002F078C" w:rsidP="00134A8A">
            <w:pPr>
              <w:spacing w:before="60" w:after="60" w:line="260" w:lineRule="atLeast"/>
              <w:rPr>
                <w:rFonts w:eastAsia="Calibri" w:cs="Arial"/>
                <w:color w:val="000000"/>
                <w:sz w:val="18"/>
                <w:szCs w:val="18"/>
                <w:lang w:eastAsia="en-GB"/>
              </w:rPr>
            </w:pPr>
            <w:r w:rsidRPr="00570475">
              <w:rPr>
                <w:rFonts w:eastAsia="Calibri" w:cs="Arial"/>
                <w:color w:val="000000"/>
                <w:sz w:val="18"/>
                <w:szCs w:val="18"/>
                <w:lang w:eastAsia="en-GB"/>
              </w:rPr>
              <w:t xml:space="preserve">Lactic </w:t>
            </w:r>
            <w:r>
              <w:rPr>
                <w:rFonts w:eastAsia="Calibri" w:cs="Arial"/>
                <w:color w:val="000000"/>
                <w:sz w:val="18"/>
                <w:szCs w:val="18"/>
                <w:lang w:eastAsia="en-GB"/>
              </w:rPr>
              <w:t>a</w:t>
            </w:r>
            <w:r w:rsidRPr="00570475">
              <w:rPr>
                <w:rFonts w:eastAsia="Calibri" w:cs="Arial"/>
                <w:color w:val="000000"/>
                <w:sz w:val="18"/>
                <w:szCs w:val="18"/>
                <w:lang w:eastAsia="en-GB"/>
              </w:rPr>
              <w:t>cid</w:t>
            </w:r>
            <w:r>
              <w:rPr>
                <w:rFonts w:eastAsia="Calibri" w:cs="Arial"/>
                <w:color w:val="000000"/>
                <w:sz w:val="18"/>
                <w:szCs w:val="18"/>
                <w:lang w:eastAsia="en-GB"/>
              </w:rPr>
              <w:t xml:space="preserve"> </w:t>
            </w:r>
            <w:r w:rsidRPr="002F078C">
              <w:rPr>
                <w:rFonts w:eastAsia="Calibri" w:cs="Arial"/>
                <w:color w:val="000000"/>
                <w:sz w:val="18"/>
                <w:szCs w:val="18"/>
                <w:lang w:eastAsia="en-GB"/>
              </w:rPr>
              <w:t>(meta-SPC 10)</w:t>
            </w:r>
          </w:p>
        </w:tc>
        <w:tc>
          <w:tcPr>
            <w:tcW w:w="1083" w:type="dxa"/>
            <w:tcBorders>
              <w:top w:val="nil"/>
              <w:left w:val="single" w:sz="4" w:space="0" w:color="auto"/>
              <w:bottom w:val="nil"/>
              <w:right w:val="single" w:sz="4" w:space="0" w:color="auto"/>
            </w:tcBorders>
            <w:shd w:val="clear" w:color="auto" w:fill="auto"/>
            <w:vAlign w:val="center"/>
          </w:tcPr>
          <w:p w14:paraId="58C0EBC3" w14:textId="77777777" w:rsidR="00134A8A" w:rsidRDefault="00134A8A" w:rsidP="00134A8A">
            <w:pPr>
              <w:spacing w:before="60" w:after="60" w:line="260" w:lineRule="atLeast"/>
              <w:rPr>
                <w:rFonts w:eastAsia="Calibri" w:cs="Arial"/>
                <w:color w:val="000000"/>
                <w:sz w:val="18"/>
                <w:szCs w:val="18"/>
                <w:lang w:eastAsia="en-GB"/>
              </w:rPr>
            </w:pPr>
            <w:r w:rsidRPr="007352CF">
              <w:rPr>
                <w:rFonts w:eastAsia="Calibri" w:cs="Arial"/>
                <w:color w:val="000000"/>
                <w:sz w:val="18"/>
                <w:szCs w:val="18"/>
                <w:lang w:eastAsia="en-GB"/>
              </w:rPr>
              <w:t>9.6E-04</w:t>
            </w:r>
          </w:p>
          <w:p w14:paraId="3CBA5597" w14:textId="4234555A" w:rsidR="002F078C" w:rsidRPr="007352CF" w:rsidRDefault="002F078C"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3.2E-04</w:t>
            </w:r>
          </w:p>
        </w:tc>
        <w:tc>
          <w:tcPr>
            <w:tcW w:w="687" w:type="dxa"/>
            <w:tcBorders>
              <w:top w:val="nil"/>
              <w:left w:val="single" w:sz="4" w:space="0" w:color="auto"/>
              <w:bottom w:val="nil"/>
              <w:right w:val="single" w:sz="4" w:space="0" w:color="auto"/>
            </w:tcBorders>
            <w:shd w:val="clear" w:color="auto" w:fill="auto"/>
            <w:vAlign w:val="center"/>
          </w:tcPr>
          <w:p w14:paraId="6C0A33DB" w14:textId="6B862E38" w:rsidR="00134A8A" w:rsidRPr="008D46F8" w:rsidRDefault="00134A8A" w:rsidP="00134A8A">
            <w:pPr>
              <w:spacing w:before="60" w:after="60" w:line="260" w:lineRule="atLeast"/>
              <w:rPr>
                <w:rFonts w:eastAsia="Calibri"/>
                <w:sz w:val="18"/>
                <w:szCs w:val="18"/>
                <w:lang w:eastAsia="en-GB"/>
              </w:rPr>
            </w:pPr>
            <w:r w:rsidRPr="008D46F8">
              <w:rPr>
                <w:rFonts w:eastAsia="Calibri"/>
                <w:sz w:val="18"/>
                <w:szCs w:val="18"/>
                <w:lang w:eastAsia="en-GB"/>
              </w:rPr>
              <w:t>kg/m²</w:t>
            </w:r>
          </w:p>
          <w:p w14:paraId="53724404" w14:textId="77777777" w:rsidR="00134A8A" w:rsidRPr="008D46F8" w:rsidRDefault="00134A8A" w:rsidP="00134A8A">
            <w:pPr>
              <w:spacing w:before="60" w:after="60" w:line="260" w:lineRule="atLeast"/>
              <w:rPr>
                <w:rFonts w:eastAsia="Calibri" w:cs="Arial"/>
                <w:sz w:val="18"/>
                <w:szCs w:val="18"/>
                <w:lang w:eastAsia="en-GB"/>
              </w:rPr>
            </w:pPr>
          </w:p>
        </w:tc>
        <w:tc>
          <w:tcPr>
            <w:tcW w:w="3476" w:type="dxa"/>
            <w:tcBorders>
              <w:top w:val="nil"/>
              <w:left w:val="single" w:sz="4" w:space="0" w:color="auto"/>
              <w:bottom w:val="nil"/>
              <w:right w:val="single" w:sz="4" w:space="0" w:color="auto"/>
            </w:tcBorders>
            <w:shd w:val="clear" w:color="auto" w:fill="auto"/>
            <w:vAlign w:val="center"/>
          </w:tcPr>
          <w:p w14:paraId="61A83633" w14:textId="6666B1F2" w:rsidR="00134A8A" w:rsidRDefault="001841D7" w:rsidP="00134A8A">
            <w:pPr>
              <w:spacing w:before="60" w:after="60" w:line="260" w:lineRule="atLeast"/>
              <w:rPr>
                <w:rFonts w:eastAsia="Calibri" w:cs="Arial"/>
                <w:sz w:val="18"/>
                <w:szCs w:val="18"/>
                <w:lang w:eastAsia="en-GB"/>
              </w:rPr>
            </w:pPr>
            <w:r w:rsidRPr="006C32D8">
              <w:rPr>
                <w:rFonts w:eastAsia="Calibri"/>
                <w:i/>
                <w:color w:val="000000"/>
                <w:sz w:val="18"/>
                <w:szCs w:val="18"/>
                <w:lang w:eastAsia="en-GB"/>
              </w:rPr>
              <w:t>Qai</w:t>
            </w:r>
            <w:r w:rsidRPr="00570475">
              <w:rPr>
                <w:i/>
                <w:color w:val="000000"/>
                <w:sz w:val="18"/>
                <w:szCs w:val="18"/>
              </w:rPr>
              <w:t xml:space="preserve"> </w:t>
            </w:r>
            <w:r>
              <w:rPr>
                <w:i/>
                <w:color w:val="000000"/>
                <w:sz w:val="18"/>
                <w:szCs w:val="18"/>
              </w:rPr>
              <w:t xml:space="preserve">= </w:t>
            </w:r>
            <w:r w:rsidRPr="00570475">
              <w:rPr>
                <w:i/>
                <w:color w:val="000000"/>
                <w:sz w:val="18"/>
                <w:szCs w:val="18"/>
              </w:rPr>
              <w:t>C</w:t>
            </w:r>
            <w:r w:rsidRPr="00570475">
              <w:rPr>
                <w:i/>
                <w:color w:val="000000"/>
                <w:sz w:val="18"/>
                <w:szCs w:val="18"/>
                <w:vertAlign w:val="subscript"/>
              </w:rPr>
              <w:t>product</w:t>
            </w:r>
            <w:r>
              <w:rPr>
                <w:i/>
                <w:color w:val="000000"/>
                <w:sz w:val="18"/>
                <w:szCs w:val="18"/>
                <w:vertAlign w:val="subscript"/>
              </w:rPr>
              <w:t xml:space="preserve"> * </w:t>
            </w:r>
            <w:r w:rsidRPr="000B2B14">
              <w:rPr>
                <w:rFonts w:eastAsia="Calibri" w:cs="Arial"/>
                <w:i/>
                <w:color w:val="000000"/>
                <w:sz w:val="18"/>
                <w:szCs w:val="18"/>
                <w:lang w:eastAsia="en-GB"/>
              </w:rPr>
              <w:t>V</w:t>
            </w:r>
            <w:r w:rsidRPr="001841D7">
              <w:rPr>
                <w:rFonts w:eastAsia="Calibri" w:cs="Arial"/>
                <w:i/>
                <w:color w:val="000000"/>
                <w:sz w:val="18"/>
                <w:szCs w:val="18"/>
                <w:vertAlign w:val="subscript"/>
                <w:lang w:eastAsia="en-GB"/>
              </w:rPr>
              <w:t>product</w:t>
            </w:r>
          </w:p>
        </w:tc>
      </w:tr>
      <w:tr w:rsidR="00134A8A" w:rsidRPr="008D46F8" w14:paraId="628A082C" w14:textId="77777777" w:rsidTr="001841D7">
        <w:trPr>
          <w:trHeight w:val="91"/>
        </w:trPr>
        <w:tc>
          <w:tcPr>
            <w:tcW w:w="4020" w:type="dxa"/>
            <w:tcBorders>
              <w:top w:val="nil"/>
              <w:left w:val="single" w:sz="4" w:space="0" w:color="auto"/>
              <w:bottom w:val="single" w:sz="4" w:space="0" w:color="auto"/>
              <w:right w:val="single" w:sz="4" w:space="0" w:color="auto"/>
            </w:tcBorders>
            <w:shd w:val="clear" w:color="auto" w:fill="auto"/>
            <w:vAlign w:val="center"/>
          </w:tcPr>
          <w:p w14:paraId="69079CD0" w14:textId="77777777" w:rsidR="002F078C" w:rsidRPr="002F078C" w:rsidRDefault="002F078C" w:rsidP="002F078C">
            <w:pPr>
              <w:spacing w:before="60" w:after="60" w:line="260" w:lineRule="atLeast"/>
              <w:rPr>
                <w:rFonts w:eastAsia="Calibri" w:cs="Arial"/>
                <w:color w:val="000000"/>
                <w:sz w:val="18"/>
                <w:szCs w:val="18"/>
                <w:lang w:eastAsia="en-GB"/>
              </w:rPr>
            </w:pPr>
            <w:r w:rsidRPr="002F078C">
              <w:rPr>
                <w:rFonts w:eastAsia="Calibri" w:cs="Arial"/>
                <w:color w:val="000000"/>
                <w:sz w:val="18"/>
                <w:szCs w:val="18"/>
                <w:lang w:eastAsia="en-GB"/>
              </w:rPr>
              <w:t>OTNE (meta-SPC 9)</w:t>
            </w:r>
          </w:p>
          <w:p w14:paraId="282B59F5" w14:textId="6417CBC6" w:rsidR="00134A8A" w:rsidRDefault="002F078C" w:rsidP="002F078C">
            <w:pPr>
              <w:spacing w:before="60" w:after="60" w:line="260" w:lineRule="atLeast"/>
              <w:rPr>
                <w:rFonts w:eastAsia="Calibri" w:cs="Arial"/>
                <w:color w:val="000000"/>
                <w:sz w:val="18"/>
                <w:szCs w:val="18"/>
                <w:lang w:eastAsia="en-GB"/>
              </w:rPr>
            </w:pPr>
            <w:r w:rsidRPr="002F078C">
              <w:rPr>
                <w:rFonts w:eastAsia="Calibri" w:cs="Arial"/>
                <w:color w:val="000000"/>
                <w:sz w:val="18"/>
                <w:szCs w:val="18"/>
                <w:lang w:eastAsia="en-GB"/>
              </w:rPr>
              <w:t>OTNE refinement (meta-SPC 10)</w:t>
            </w:r>
          </w:p>
        </w:tc>
        <w:tc>
          <w:tcPr>
            <w:tcW w:w="1083" w:type="dxa"/>
            <w:tcBorders>
              <w:top w:val="nil"/>
              <w:left w:val="single" w:sz="4" w:space="0" w:color="auto"/>
              <w:bottom w:val="single" w:sz="4" w:space="0" w:color="auto"/>
              <w:right w:val="single" w:sz="4" w:space="0" w:color="auto"/>
            </w:tcBorders>
            <w:shd w:val="clear" w:color="auto" w:fill="auto"/>
            <w:vAlign w:val="center"/>
          </w:tcPr>
          <w:p w14:paraId="2E80FFF7" w14:textId="77777777" w:rsidR="00134A8A" w:rsidRDefault="00134A8A" w:rsidP="00134A8A">
            <w:pPr>
              <w:spacing w:before="60" w:after="60" w:line="260" w:lineRule="atLeast"/>
              <w:rPr>
                <w:rFonts w:eastAsia="Calibri" w:cs="Arial"/>
                <w:color w:val="000000"/>
                <w:sz w:val="18"/>
                <w:szCs w:val="18"/>
                <w:lang w:eastAsia="en-GB"/>
              </w:rPr>
            </w:pPr>
            <w:r w:rsidRPr="007352CF">
              <w:rPr>
                <w:rFonts w:eastAsia="Calibri" w:cs="Arial"/>
                <w:color w:val="000000"/>
                <w:sz w:val="18"/>
                <w:szCs w:val="18"/>
                <w:lang w:eastAsia="en-GB"/>
              </w:rPr>
              <w:t>3.6E-04</w:t>
            </w:r>
          </w:p>
          <w:p w14:paraId="2226D9C8" w14:textId="56423037" w:rsidR="000761A0" w:rsidRPr="007352CF" w:rsidRDefault="000761A0"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3.6E-05</w:t>
            </w:r>
          </w:p>
        </w:tc>
        <w:tc>
          <w:tcPr>
            <w:tcW w:w="687" w:type="dxa"/>
            <w:tcBorders>
              <w:top w:val="nil"/>
              <w:left w:val="single" w:sz="4" w:space="0" w:color="auto"/>
              <w:bottom w:val="single" w:sz="4" w:space="0" w:color="auto"/>
              <w:right w:val="single" w:sz="4" w:space="0" w:color="auto"/>
            </w:tcBorders>
            <w:shd w:val="clear" w:color="auto" w:fill="auto"/>
            <w:vAlign w:val="center"/>
          </w:tcPr>
          <w:p w14:paraId="477D95F6" w14:textId="77777777" w:rsidR="00134A8A" w:rsidRPr="008D46F8" w:rsidRDefault="00134A8A" w:rsidP="00134A8A">
            <w:pPr>
              <w:spacing w:before="60" w:after="60" w:line="260" w:lineRule="atLeast"/>
              <w:rPr>
                <w:rFonts w:eastAsia="Calibri" w:cs="Arial"/>
                <w:sz w:val="18"/>
                <w:szCs w:val="18"/>
                <w:lang w:eastAsia="en-GB"/>
              </w:rPr>
            </w:pPr>
          </w:p>
        </w:tc>
        <w:tc>
          <w:tcPr>
            <w:tcW w:w="3476" w:type="dxa"/>
            <w:tcBorders>
              <w:top w:val="nil"/>
              <w:left w:val="single" w:sz="4" w:space="0" w:color="auto"/>
              <w:bottom w:val="single" w:sz="4" w:space="0" w:color="auto"/>
              <w:right w:val="single" w:sz="4" w:space="0" w:color="auto"/>
            </w:tcBorders>
            <w:shd w:val="clear" w:color="auto" w:fill="auto"/>
            <w:vAlign w:val="center"/>
          </w:tcPr>
          <w:p w14:paraId="37EEE312" w14:textId="73938300" w:rsidR="00134A8A" w:rsidRDefault="00134A8A" w:rsidP="00134A8A">
            <w:pPr>
              <w:spacing w:before="60" w:after="60" w:line="260" w:lineRule="atLeast"/>
              <w:rPr>
                <w:rFonts w:eastAsia="Calibri" w:cs="Arial"/>
                <w:sz w:val="18"/>
                <w:szCs w:val="18"/>
                <w:lang w:eastAsia="en-GB"/>
              </w:rPr>
            </w:pPr>
          </w:p>
        </w:tc>
      </w:tr>
      <w:tr w:rsidR="00104E90" w:rsidRPr="008D46F8" w14:paraId="2A41106A" w14:textId="77777777" w:rsidTr="008E446C">
        <w:trPr>
          <w:trHeight w:val="91"/>
        </w:trPr>
        <w:tc>
          <w:tcPr>
            <w:tcW w:w="4020" w:type="dxa"/>
            <w:tcBorders>
              <w:top w:val="nil"/>
              <w:left w:val="single" w:sz="4" w:space="0" w:color="auto"/>
              <w:bottom w:val="single" w:sz="4" w:space="0" w:color="auto"/>
              <w:right w:val="single" w:sz="4" w:space="0" w:color="auto"/>
            </w:tcBorders>
            <w:shd w:val="clear" w:color="auto" w:fill="auto"/>
            <w:vAlign w:val="center"/>
          </w:tcPr>
          <w:p w14:paraId="5D2FFC63" w14:textId="77777777" w:rsidR="00104E90" w:rsidRDefault="00104E90" w:rsidP="008E446C">
            <w:pPr>
              <w:spacing w:before="60" w:after="60" w:line="260" w:lineRule="atLeast"/>
              <w:rPr>
                <w:rFonts w:eastAsia="Calibri" w:cs="Arial"/>
                <w:i/>
                <w:color w:val="000000"/>
                <w:sz w:val="18"/>
                <w:szCs w:val="18"/>
                <w:lang w:eastAsia="en-GB"/>
              </w:rPr>
            </w:pPr>
            <w:r w:rsidRPr="008D46F8">
              <w:rPr>
                <w:rFonts w:eastAsia="Calibri" w:cs="Arial"/>
                <w:color w:val="000000"/>
                <w:sz w:val="18"/>
                <w:szCs w:val="18"/>
                <w:lang w:eastAsia="en-GB"/>
              </w:rPr>
              <w:t xml:space="preserve">Area of the treated animal housing </w:t>
            </w:r>
          </w:p>
          <w:p w14:paraId="14F240FA" w14:textId="77777777" w:rsidR="00104E90" w:rsidRPr="008D46F8" w:rsidRDefault="00104E90" w:rsidP="008E446C">
            <w:pPr>
              <w:spacing w:before="60" w:after="60" w:line="260" w:lineRule="atLeast"/>
              <w:rPr>
                <w:rFonts w:eastAsia="Calibri" w:cs="Arial"/>
                <w:color w:val="000000"/>
                <w:sz w:val="18"/>
                <w:szCs w:val="18"/>
                <w:lang w:eastAsia="en-GB"/>
              </w:rPr>
            </w:pPr>
            <w:r w:rsidRPr="006C32D8">
              <w:rPr>
                <w:rFonts w:eastAsia="Calibri" w:cs="Arial"/>
                <w:i/>
                <w:color w:val="000000"/>
                <w:sz w:val="18"/>
                <w:szCs w:val="18"/>
                <w:lang w:eastAsia="en-GB"/>
              </w:rPr>
              <w:t>AREA</w:t>
            </w:r>
          </w:p>
        </w:tc>
        <w:tc>
          <w:tcPr>
            <w:tcW w:w="1083" w:type="dxa"/>
            <w:tcBorders>
              <w:top w:val="nil"/>
              <w:left w:val="single" w:sz="4" w:space="0" w:color="auto"/>
              <w:bottom w:val="single" w:sz="4" w:space="0" w:color="auto"/>
              <w:right w:val="single" w:sz="4" w:space="0" w:color="auto"/>
            </w:tcBorders>
            <w:shd w:val="clear" w:color="auto" w:fill="auto"/>
            <w:vAlign w:val="center"/>
          </w:tcPr>
          <w:p w14:paraId="2CB37696" w14:textId="77777777" w:rsidR="00104E90" w:rsidRPr="00D80179" w:rsidRDefault="00104E90" w:rsidP="008E446C">
            <w:pPr>
              <w:spacing w:before="60" w:after="60" w:line="260" w:lineRule="atLeast"/>
              <w:rPr>
                <w:rFonts w:eastAsia="Calibri" w:cs="Arial"/>
                <w:color w:val="000000"/>
                <w:sz w:val="18"/>
                <w:szCs w:val="18"/>
                <w:lang w:eastAsia="en-GB"/>
              </w:rPr>
            </w:pPr>
            <w:r w:rsidRPr="00D80179">
              <w:rPr>
                <w:rFonts w:eastAsia="Calibri" w:cs="Arial"/>
                <w:color w:val="000000"/>
                <w:sz w:val="18"/>
                <w:szCs w:val="18"/>
                <w:lang w:eastAsia="en-GB"/>
              </w:rPr>
              <w:t>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BD92212" w14:textId="77777777" w:rsidR="00104E90" w:rsidRPr="00D80179" w:rsidRDefault="00104E90" w:rsidP="008E446C">
            <w:pPr>
              <w:spacing w:before="60" w:after="60" w:line="260" w:lineRule="atLeast"/>
              <w:rPr>
                <w:rFonts w:eastAsia="Calibri" w:cs="Arial"/>
                <w:sz w:val="18"/>
                <w:szCs w:val="18"/>
                <w:lang w:eastAsia="en-GB"/>
              </w:rPr>
            </w:pPr>
            <w:r w:rsidRPr="00D80179">
              <w:rPr>
                <w:rFonts w:eastAsia="Calibri" w:cs="Arial"/>
                <w:sz w:val="18"/>
                <w:szCs w:val="18"/>
                <w:lang w:eastAsia="en-GB"/>
              </w:rPr>
              <w:t>m²</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53FCF49D" w14:textId="61D57D24" w:rsidR="00104E90" w:rsidRPr="008D46F8" w:rsidRDefault="00104E90" w:rsidP="008E446C">
            <w:pPr>
              <w:spacing w:before="60" w:after="60" w:line="260" w:lineRule="atLeast"/>
              <w:rPr>
                <w:rFonts w:eastAsia="Calibri" w:cs="Arial"/>
                <w:sz w:val="18"/>
                <w:szCs w:val="18"/>
                <w:lang w:eastAsia="en-GB"/>
              </w:rPr>
            </w:pPr>
            <w:r w:rsidRPr="008D46F8">
              <w:rPr>
                <w:rFonts w:eastAsia="Calibri" w:cs="Arial"/>
                <w:sz w:val="18"/>
                <w:szCs w:val="18"/>
                <w:lang w:eastAsia="en-GB"/>
              </w:rPr>
              <w:t xml:space="preserve">See calculations </w:t>
            </w:r>
            <w:r w:rsidR="00604A80">
              <w:rPr>
                <w:rFonts w:eastAsia="Calibri" w:cs="Arial"/>
                <w:sz w:val="18"/>
                <w:szCs w:val="18"/>
                <w:lang w:eastAsia="en-GB"/>
              </w:rPr>
              <w:t xml:space="preserve">1 </w:t>
            </w:r>
            <w:r w:rsidRPr="008D46F8">
              <w:rPr>
                <w:rFonts w:eastAsia="Calibri" w:cs="Arial"/>
                <w:sz w:val="18"/>
                <w:szCs w:val="18"/>
                <w:lang w:eastAsia="en-GB"/>
              </w:rPr>
              <w:t>abov</w:t>
            </w:r>
            <w:r>
              <w:rPr>
                <w:rFonts w:eastAsia="Calibri" w:cs="Arial"/>
                <w:sz w:val="18"/>
                <w:szCs w:val="18"/>
                <w:lang w:eastAsia="en-GB"/>
              </w:rPr>
              <w:t>e</w:t>
            </w:r>
          </w:p>
        </w:tc>
      </w:tr>
      <w:tr w:rsidR="00134A8A" w:rsidRPr="008D46F8" w14:paraId="4B7129F2" w14:textId="77777777" w:rsidTr="001841D7">
        <w:trPr>
          <w:trHeight w:val="91"/>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2C3931A2" w14:textId="3A2F675F" w:rsidR="002B1B56" w:rsidRDefault="00134A8A" w:rsidP="002B1B56">
            <w:pPr>
              <w:spacing w:before="60" w:after="60"/>
              <w:rPr>
                <w:rFonts w:eastAsia="Calibri"/>
                <w:color w:val="000000"/>
                <w:sz w:val="18"/>
                <w:szCs w:val="18"/>
                <w:lang w:eastAsia="en-GB"/>
              </w:rPr>
            </w:pPr>
            <w:r w:rsidRPr="008D46F8">
              <w:rPr>
                <w:rFonts w:eastAsia="Calibri"/>
                <w:color w:val="000000"/>
                <w:sz w:val="18"/>
                <w:szCs w:val="18"/>
                <w:lang w:eastAsia="en-GB"/>
              </w:rPr>
              <w:t>Number o</w:t>
            </w:r>
            <w:r>
              <w:rPr>
                <w:rFonts w:eastAsia="Calibri"/>
                <w:color w:val="000000"/>
                <w:sz w:val="18"/>
                <w:szCs w:val="18"/>
                <w:lang w:eastAsia="en-GB"/>
              </w:rPr>
              <w:t xml:space="preserve">f </w:t>
            </w:r>
            <w:r w:rsidR="002B1B56">
              <w:rPr>
                <w:rFonts w:eastAsia="Calibri"/>
                <w:color w:val="000000"/>
                <w:sz w:val="18"/>
                <w:szCs w:val="18"/>
                <w:lang w:eastAsia="en-GB"/>
              </w:rPr>
              <w:t>house</w:t>
            </w:r>
            <w:r w:rsidR="00ED2ECB">
              <w:rPr>
                <w:rFonts w:eastAsia="Calibri"/>
                <w:color w:val="000000"/>
                <w:sz w:val="18"/>
                <w:szCs w:val="18"/>
                <w:lang w:eastAsia="en-GB"/>
              </w:rPr>
              <w:t>s connected to the STP</w:t>
            </w:r>
          </w:p>
          <w:p w14:paraId="2D2DAFD4" w14:textId="035D4553" w:rsidR="00134A8A" w:rsidRPr="00134A8A" w:rsidRDefault="00134A8A" w:rsidP="002B1B56">
            <w:pPr>
              <w:spacing w:before="60" w:after="60"/>
              <w:rPr>
                <w:rFonts w:eastAsia="Calibri"/>
                <w:color w:val="000000"/>
                <w:sz w:val="18"/>
                <w:szCs w:val="18"/>
                <w:lang w:eastAsia="en-GB"/>
              </w:rPr>
            </w:pPr>
            <w:r w:rsidRPr="001841D7">
              <w:rPr>
                <w:rFonts w:eastAsia="Calibri"/>
                <w:i/>
                <w:color w:val="000000"/>
                <w:sz w:val="18"/>
                <w:szCs w:val="18"/>
                <w:lang w:eastAsia="en-GB"/>
              </w:rPr>
              <w:t>N</w:t>
            </w:r>
            <w:r w:rsidRPr="001841D7">
              <w:rPr>
                <w:rFonts w:eastAsia="Calibri"/>
                <w:i/>
                <w:color w:val="000000"/>
                <w:szCs w:val="18"/>
                <w:vertAlign w:val="subscript"/>
                <w:lang w:eastAsia="en-GB"/>
              </w:rPr>
              <w:t>local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BF1335" w14:textId="7A2939E2" w:rsidR="00134A8A" w:rsidRPr="007352CF" w:rsidRDefault="000E7F0F"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4000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5950C520" w14:textId="53638D94" w:rsidR="00134A8A" w:rsidRPr="008D46F8" w:rsidRDefault="00134A8A" w:rsidP="00134A8A">
            <w:pPr>
              <w:spacing w:before="60" w:after="60" w:line="260" w:lineRule="atLeast"/>
              <w:rPr>
                <w:rFonts w:eastAsia="Calibri" w:cs="Arial"/>
                <w:sz w:val="18"/>
                <w:szCs w:val="18"/>
                <w:lang w:eastAsia="en-GB"/>
              </w:rPr>
            </w:pPr>
            <w:r>
              <w:rPr>
                <w:rFonts w:eastAsia="Calibri" w:cs="Arial"/>
                <w:sz w:val="18"/>
                <w:szCs w:val="18"/>
                <w:lang w:eastAsia="en-GB"/>
              </w:rPr>
              <w:t>d</w:t>
            </w:r>
            <w:r w:rsidRPr="001841D7">
              <w:rPr>
                <w:rFonts w:eastAsia="Calibri" w:cs="Arial"/>
                <w:sz w:val="18"/>
                <w:szCs w:val="18"/>
                <w:vertAlign w:val="superscript"/>
                <w:lang w:eastAsia="en-GB"/>
              </w:rPr>
              <w:t>-1</w:t>
            </w:r>
          </w:p>
        </w:tc>
        <w:tc>
          <w:tcPr>
            <w:tcW w:w="3476" w:type="dxa"/>
            <w:tcBorders>
              <w:top w:val="single" w:sz="4" w:space="0" w:color="auto"/>
              <w:left w:val="single" w:sz="4" w:space="0" w:color="auto"/>
            </w:tcBorders>
            <w:shd w:val="clear" w:color="auto" w:fill="auto"/>
            <w:vAlign w:val="center"/>
          </w:tcPr>
          <w:p w14:paraId="0AA7338C" w14:textId="372E7314" w:rsidR="00134A8A" w:rsidRDefault="000E7F0F" w:rsidP="00134A8A">
            <w:pPr>
              <w:spacing w:before="60" w:after="60" w:line="260" w:lineRule="atLeast"/>
              <w:rPr>
                <w:rFonts w:eastAsia="Calibri" w:cs="Arial"/>
                <w:sz w:val="18"/>
                <w:szCs w:val="18"/>
                <w:lang w:eastAsia="en-GB"/>
              </w:rPr>
            </w:pPr>
            <w:r>
              <w:rPr>
                <w:rFonts w:eastAsia="Calibri" w:cs="Arial"/>
                <w:color w:val="000000"/>
                <w:sz w:val="18"/>
                <w:szCs w:val="18"/>
                <w:lang w:eastAsia="en-GB"/>
              </w:rPr>
              <w:t>Default</w:t>
            </w:r>
          </w:p>
        </w:tc>
      </w:tr>
      <w:tr w:rsidR="000E7F0F" w:rsidRPr="008D46F8" w14:paraId="6AD4E7F1" w14:textId="77777777" w:rsidTr="001841D7">
        <w:trPr>
          <w:trHeight w:val="91"/>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31FEF8BD" w14:textId="77777777" w:rsidR="000E7F0F" w:rsidRDefault="000E7F0F" w:rsidP="001841D7">
            <w:pPr>
              <w:spacing w:before="60" w:after="60"/>
              <w:rPr>
                <w:rFonts w:eastAsia="Calibri" w:cs="Arial"/>
                <w:color w:val="000000"/>
                <w:sz w:val="18"/>
                <w:szCs w:val="18"/>
                <w:lang w:eastAsia="en-GB"/>
              </w:rPr>
            </w:pPr>
            <w:r>
              <w:rPr>
                <w:rFonts w:eastAsia="Calibri" w:cs="Arial"/>
                <w:color w:val="000000"/>
                <w:sz w:val="18"/>
                <w:szCs w:val="18"/>
                <w:lang w:eastAsia="en-GB"/>
              </w:rPr>
              <w:t>Simultaneity factor</w:t>
            </w:r>
          </w:p>
          <w:p w14:paraId="28A22B91" w14:textId="1B42926E" w:rsidR="000E7F0F" w:rsidRPr="000E7F0F" w:rsidRDefault="000E7F0F" w:rsidP="001841D7">
            <w:pPr>
              <w:spacing w:before="60" w:after="60"/>
              <w:rPr>
                <w:rFonts w:eastAsia="Calibri" w:cs="Arial"/>
                <w:i/>
                <w:color w:val="000000"/>
                <w:sz w:val="18"/>
                <w:szCs w:val="18"/>
                <w:lang w:eastAsia="en-GB"/>
              </w:rPr>
            </w:pPr>
            <w:r w:rsidRPr="000E7F0F">
              <w:rPr>
                <w:rFonts w:eastAsia="Calibri" w:cs="Arial"/>
                <w:i/>
                <w:color w:val="000000"/>
                <w:sz w:val="18"/>
                <w:szCs w:val="18"/>
                <w:lang w:eastAsia="en-GB"/>
              </w:rPr>
              <w:t>F</w:t>
            </w:r>
            <w:r w:rsidRPr="000E7F0F">
              <w:rPr>
                <w:rFonts w:eastAsia="Calibri" w:cs="Arial"/>
                <w:i/>
                <w:color w:val="000000"/>
                <w:sz w:val="18"/>
                <w:szCs w:val="18"/>
                <w:vertAlign w:val="subscript"/>
                <w:lang w:eastAsia="en-GB"/>
              </w:rPr>
              <w:t>simutaneity</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6E25CD" w14:textId="31E8AB01" w:rsidR="000E7F0F" w:rsidRDefault="000E7F0F" w:rsidP="002B1B56">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w:t>
            </w:r>
            <w:r w:rsidR="005B2932">
              <w:rPr>
                <w:rFonts w:eastAsia="Calibri" w:cs="Arial"/>
                <w:color w:val="000000"/>
                <w:sz w:val="18"/>
                <w:szCs w:val="18"/>
                <w:lang w:eastAsia="en-GB"/>
              </w:rPr>
              <w:t>.225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CAD184B" w14:textId="6857BDA8" w:rsidR="000E7F0F" w:rsidRDefault="00277F80" w:rsidP="00134A8A">
            <w:pPr>
              <w:spacing w:before="60" w:after="60" w:line="260" w:lineRule="atLeast"/>
              <w:rPr>
                <w:rFonts w:eastAsia="Calibri" w:cs="Arial"/>
                <w:sz w:val="18"/>
                <w:szCs w:val="18"/>
                <w:lang w:eastAsia="en-GB"/>
              </w:rPr>
            </w:pPr>
            <w:r w:rsidRPr="00277F80">
              <w:rPr>
                <w:rFonts w:eastAsia="Calibri" w:cs="Arial"/>
                <w:sz w:val="18"/>
                <w:szCs w:val="18"/>
                <w:lang w:eastAsia="en-GB"/>
              </w:rPr>
              <w:t>[-]</w:t>
            </w:r>
          </w:p>
        </w:tc>
        <w:tc>
          <w:tcPr>
            <w:tcW w:w="3476" w:type="dxa"/>
            <w:tcBorders>
              <w:top w:val="single" w:sz="4" w:space="0" w:color="auto"/>
              <w:left w:val="single" w:sz="4" w:space="0" w:color="auto"/>
            </w:tcBorders>
            <w:shd w:val="clear" w:color="auto" w:fill="auto"/>
            <w:vAlign w:val="center"/>
          </w:tcPr>
          <w:p w14:paraId="0F471BFB" w14:textId="13E17542" w:rsidR="000E7F0F" w:rsidRDefault="005B2932"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Extrapolation from </w:t>
            </w:r>
            <w:r w:rsidR="000E7F0F">
              <w:rPr>
                <w:rFonts w:eastAsia="Calibri" w:cs="Arial"/>
                <w:color w:val="000000"/>
                <w:sz w:val="18"/>
                <w:szCs w:val="18"/>
                <w:lang w:eastAsia="en-GB"/>
              </w:rPr>
              <w:t xml:space="preserve">TAB ENV 145 </w:t>
            </w:r>
          </w:p>
          <w:p w14:paraId="2789C19A" w14:textId="74BBBFC8" w:rsidR="000E7F0F" w:rsidRDefault="000E7F0F" w:rsidP="005B2932">
            <w:pPr>
              <w:spacing w:before="60" w:after="60" w:line="260" w:lineRule="atLeast"/>
              <w:rPr>
                <w:rFonts w:eastAsia="Calibri" w:cs="Arial"/>
                <w:color w:val="000000"/>
                <w:sz w:val="18"/>
                <w:szCs w:val="18"/>
                <w:lang w:eastAsia="en-GB"/>
              </w:rPr>
            </w:pPr>
            <w:r w:rsidRPr="000E7F0F">
              <w:rPr>
                <w:rFonts w:eastAsia="Calibri" w:cs="Arial"/>
                <w:color w:val="000000"/>
                <w:sz w:val="18"/>
                <w:szCs w:val="18"/>
                <w:lang w:eastAsia="en-GB"/>
              </w:rPr>
              <w:t xml:space="preserve">Fsimultaneity (Tier 2) = 0.45 * </w:t>
            </w:r>
            <w:r w:rsidRPr="00D518B9">
              <w:rPr>
                <w:rFonts w:eastAsia="Calibri" w:cs="Arial"/>
                <w:color w:val="000000"/>
                <w:sz w:val="18"/>
                <w:szCs w:val="18"/>
                <w:lang w:eastAsia="en-GB"/>
              </w:rPr>
              <w:t>Freq(daily=1)</w:t>
            </w:r>
            <w:r w:rsidRPr="000E7F0F">
              <w:rPr>
                <w:rFonts w:eastAsia="Calibri" w:cs="Arial"/>
                <w:color w:val="000000"/>
                <w:sz w:val="18"/>
                <w:szCs w:val="18"/>
                <w:lang w:eastAsia="en-GB"/>
              </w:rPr>
              <w:t xml:space="preserve"> * Npets</w:t>
            </w:r>
            <w:r>
              <w:rPr>
                <w:rFonts w:eastAsia="Calibri" w:cs="Arial"/>
                <w:color w:val="000000"/>
                <w:sz w:val="18"/>
                <w:szCs w:val="18"/>
                <w:lang w:eastAsia="en-GB"/>
              </w:rPr>
              <w:t>(</w:t>
            </w:r>
            <w:r w:rsidR="005B2932">
              <w:rPr>
                <w:rFonts w:eastAsia="Calibri" w:cs="Arial"/>
                <w:color w:val="000000"/>
                <w:sz w:val="18"/>
                <w:szCs w:val="18"/>
                <w:lang w:eastAsia="en-GB"/>
              </w:rPr>
              <w:t>worst case</w:t>
            </w:r>
            <w:r w:rsidR="002B1B56">
              <w:rPr>
                <w:rFonts w:eastAsia="Calibri" w:cs="Arial"/>
                <w:color w:val="000000"/>
                <w:sz w:val="18"/>
                <w:szCs w:val="18"/>
                <w:lang w:eastAsia="en-GB"/>
              </w:rPr>
              <w:t>=</w:t>
            </w:r>
            <w:r w:rsidR="005B2932">
              <w:rPr>
                <w:rFonts w:eastAsia="Calibri" w:cs="Arial"/>
                <w:color w:val="000000"/>
                <w:sz w:val="18"/>
                <w:szCs w:val="18"/>
                <w:lang w:eastAsia="en-GB"/>
              </w:rPr>
              <w:t>1</w:t>
            </w:r>
            <w:r>
              <w:rPr>
                <w:rFonts w:eastAsia="Calibri" w:cs="Arial"/>
                <w:color w:val="000000"/>
                <w:sz w:val="18"/>
                <w:szCs w:val="18"/>
                <w:lang w:eastAsia="en-GB"/>
              </w:rPr>
              <w:t>)</w:t>
            </w:r>
            <w:r w:rsidRPr="000E7F0F">
              <w:rPr>
                <w:rFonts w:eastAsia="Calibri" w:cs="Arial"/>
                <w:color w:val="000000"/>
                <w:sz w:val="18"/>
                <w:szCs w:val="18"/>
                <w:lang w:eastAsia="en-GB"/>
              </w:rPr>
              <w:t xml:space="preserve"> * Fpen</w:t>
            </w:r>
            <w:r>
              <w:rPr>
                <w:rFonts w:eastAsia="Calibri" w:cs="Arial"/>
                <w:color w:val="000000"/>
                <w:sz w:val="18"/>
                <w:szCs w:val="18"/>
                <w:lang w:eastAsia="en-GB"/>
              </w:rPr>
              <w:t>(Default=0.5)</w:t>
            </w:r>
          </w:p>
        </w:tc>
      </w:tr>
      <w:tr w:rsidR="00277F80" w14:paraId="7C71D3AE" w14:textId="77777777" w:rsidTr="00277F80">
        <w:trPr>
          <w:trHeight w:val="91"/>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79F67E45" w14:textId="21DB78B1" w:rsidR="00277F80" w:rsidRPr="00277F80" w:rsidRDefault="00277F80" w:rsidP="00277F80">
            <w:pPr>
              <w:spacing w:before="60" w:after="60"/>
              <w:rPr>
                <w:rFonts w:eastAsia="Calibri" w:cs="Arial"/>
                <w:color w:val="000000"/>
                <w:sz w:val="18"/>
                <w:szCs w:val="18"/>
                <w:lang w:eastAsia="en-GB"/>
              </w:rPr>
            </w:pPr>
            <w:r w:rsidRPr="00277F80">
              <w:rPr>
                <w:rFonts w:eastAsia="Calibri" w:cs="Arial"/>
                <w:color w:val="000000"/>
                <w:sz w:val="18"/>
                <w:szCs w:val="18"/>
                <w:lang w:eastAsia="en-GB"/>
              </w:rPr>
              <w:t>Fraction of substance disintegrated during or after application</w:t>
            </w:r>
          </w:p>
          <w:p w14:paraId="005703F2" w14:textId="77777777" w:rsidR="00277F80" w:rsidRPr="00277F80" w:rsidRDefault="00277F80" w:rsidP="00277F80">
            <w:pPr>
              <w:spacing w:before="60" w:after="60"/>
              <w:rPr>
                <w:rFonts w:eastAsia="Calibri" w:cs="Arial"/>
                <w:i/>
                <w:color w:val="000000"/>
                <w:sz w:val="18"/>
                <w:szCs w:val="18"/>
                <w:lang w:eastAsia="en-GB"/>
              </w:rPr>
            </w:pPr>
            <w:r w:rsidRPr="00277F80">
              <w:rPr>
                <w:rFonts w:eastAsia="Calibri" w:cs="Arial"/>
                <w:i/>
                <w:color w:val="000000"/>
                <w:sz w:val="18"/>
                <w:szCs w:val="18"/>
                <w:lang w:eastAsia="en-GB"/>
              </w:rPr>
              <w:t>F</w:t>
            </w:r>
            <w:r w:rsidRPr="00277F80">
              <w:rPr>
                <w:rFonts w:eastAsia="Calibri" w:cs="Arial"/>
                <w:i/>
                <w:color w:val="000000"/>
                <w:sz w:val="18"/>
                <w:szCs w:val="18"/>
                <w:vertAlign w:val="subscript"/>
                <w:lang w:eastAsia="en-GB"/>
              </w:rPr>
              <w:t>dis</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3F1D87" w14:textId="77777777" w:rsidR="00277F80" w:rsidRPr="006136B1" w:rsidRDefault="00277F80" w:rsidP="00277F80">
            <w:pPr>
              <w:spacing w:before="60" w:after="60" w:line="260" w:lineRule="atLeast"/>
              <w:rPr>
                <w:rFonts w:eastAsia="Calibri" w:cs="Arial"/>
                <w:color w:val="000000"/>
                <w:sz w:val="18"/>
                <w:szCs w:val="18"/>
                <w:lang w:eastAsia="en-GB"/>
              </w:rPr>
            </w:pPr>
            <w:r w:rsidRPr="006136B1">
              <w:rPr>
                <w:rFonts w:eastAsia="Calibri" w:cs="Arial"/>
                <w:color w:val="000000"/>
                <w:sz w:val="18"/>
                <w:szCs w:val="18"/>
                <w:lang w:eastAsia="en-GB"/>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15C89E2" w14:textId="77777777" w:rsidR="00277F80" w:rsidRPr="00277F80" w:rsidRDefault="00277F80" w:rsidP="00277F80">
            <w:pPr>
              <w:spacing w:before="60" w:after="60" w:line="260" w:lineRule="atLeast"/>
              <w:rPr>
                <w:rFonts w:eastAsia="Calibri" w:cs="Arial"/>
                <w:sz w:val="18"/>
                <w:szCs w:val="18"/>
                <w:lang w:eastAsia="en-GB"/>
              </w:rPr>
            </w:pPr>
            <w:r w:rsidRPr="00277F80">
              <w:rPr>
                <w:rFonts w:eastAsia="Calibri" w:cs="Arial"/>
                <w:sz w:val="18"/>
                <w:szCs w:val="18"/>
                <w:lang w:eastAsia="en-GB"/>
              </w:rPr>
              <w:t>[-]</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562249B0" w14:textId="77777777" w:rsidR="00277F80" w:rsidRPr="00277F80" w:rsidRDefault="00277F80" w:rsidP="00277F80">
            <w:pPr>
              <w:spacing w:before="60" w:after="60" w:line="260" w:lineRule="atLeast"/>
              <w:rPr>
                <w:rFonts w:eastAsia="Calibri" w:cs="Arial"/>
                <w:color w:val="000000"/>
                <w:sz w:val="18"/>
                <w:szCs w:val="18"/>
                <w:lang w:eastAsia="en-GB"/>
              </w:rPr>
            </w:pPr>
            <w:r w:rsidRPr="00277F80">
              <w:rPr>
                <w:rFonts w:eastAsia="Calibri" w:cs="Arial"/>
                <w:color w:val="000000"/>
                <w:sz w:val="18"/>
                <w:szCs w:val="18"/>
                <w:lang w:eastAsia="en-GB"/>
              </w:rPr>
              <w:t>Default</w:t>
            </w:r>
          </w:p>
        </w:tc>
      </w:tr>
      <w:tr w:rsidR="00134A8A" w:rsidRPr="008D46F8" w14:paraId="21D6BA41" w14:textId="77777777" w:rsidTr="001841D7">
        <w:trPr>
          <w:trHeight w:val="91"/>
        </w:trPr>
        <w:tc>
          <w:tcPr>
            <w:tcW w:w="4020" w:type="dxa"/>
            <w:tcBorders>
              <w:top w:val="nil"/>
              <w:left w:val="single" w:sz="4" w:space="0" w:color="auto"/>
              <w:bottom w:val="single" w:sz="4" w:space="0" w:color="auto"/>
              <w:right w:val="single" w:sz="4" w:space="0" w:color="auto"/>
            </w:tcBorders>
            <w:shd w:val="clear" w:color="auto" w:fill="auto"/>
            <w:vAlign w:val="center"/>
          </w:tcPr>
          <w:p w14:paraId="517F2DF9" w14:textId="77777777" w:rsidR="00134A8A" w:rsidRDefault="00134A8A" w:rsidP="00134A8A">
            <w:pPr>
              <w:spacing w:before="60" w:after="60"/>
              <w:rPr>
                <w:rFonts w:eastAsia="Calibri" w:cs="Arial"/>
                <w:color w:val="000000"/>
                <w:sz w:val="18"/>
                <w:szCs w:val="18"/>
                <w:lang w:eastAsia="en-GB"/>
              </w:rPr>
            </w:pPr>
            <w:r w:rsidRPr="008D46F8">
              <w:rPr>
                <w:rFonts w:eastAsia="Calibri" w:cs="Arial"/>
                <w:color w:val="000000"/>
                <w:sz w:val="18"/>
                <w:szCs w:val="18"/>
                <w:lang w:eastAsia="en-GB"/>
              </w:rPr>
              <w:lastRenderedPageBreak/>
              <w:t xml:space="preserve">Fraction released to water </w:t>
            </w:r>
          </w:p>
          <w:p w14:paraId="7A2C90C0" w14:textId="03DCCDEE" w:rsidR="00134A8A" w:rsidRPr="000E7F0F" w:rsidRDefault="00134A8A" w:rsidP="00134A8A">
            <w:pPr>
              <w:spacing w:before="60" w:after="60"/>
              <w:rPr>
                <w:rFonts w:eastAsia="Calibri" w:cs="Arial"/>
                <w:i/>
                <w:color w:val="000000"/>
                <w:sz w:val="18"/>
                <w:szCs w:val="18"/>
                <w:lang w:eastAsia="en-GB"/>
              </w:rPr>
            </w:pPr>
            <w:r w:rsidRPr="000E7F0F">
              <w:rPr>
                <w:rFonts w:eastAsia="Calibri" w:cs="Arial"/>
                <w:i/>
                <w:color w:val="000000"/>
                <w:sz w:val="18"/>
                <w:szCs w:val="18"/>
                <w:lang w:eastAsia="en-GB"/>
              </w:rPr>
              <w:t>F</w:t>
            </w:r>
            <w:r w:rsidRPr="000E7F0F">
              <w:rPr>
                <w:rFonts w:eastAsia="Calibri" w:cs="Arial"/>
                <w:i/>
                <w:color w:val="000000"/>
                <w:sz w:val="18"/>
                <w:szCs w:val="18"/>
                <w:vertAlign w:val="subscript"/>
                <w:lang w:eastAsia="en-GB"/>
              </w:rPr>
              <w:t>water</w:t>
            </w:r>
          </w:p>
        </w:tc>
        <w:tc>
          <w:tcPr>
            <w:tcW w:w="1083" w:type="dxa"/>
            <w:tcBorders>
              <w:top w:val="nil"/>
              <w:left w:val="single" w:sz="4" w:space="0" w:color="auto"/>
              <w:bottom w:val="single" w:sz="4" w:space="0" w:color="auto"/>
              <w:right w:val="single" w:sz="4" w:space="0" w:color="auto"/>
            </w:tcBorders>
            <w:shd w:val="clear" w:color="auto" w:fill="auto"/>
            <w:vAlign w:val="center"/>
          </w:tcPr>
          <w:p w14:paraId="1ABA1FC6" w14:textId="40CE40F8" w:rsidR="00134A8A" w:rsidRPr="007352CF" w:rsidRDefault="00134A8A"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w:t>
            </w:r>
          </w:p>
        </w:tc>
        <w:tc>
          <w:tcPr>
            <w:tcW w:w="687" w:type="dxa"/>
            <w:tcBorders>
              <w:left w:val="single" w:sz="4" w:space="0" w:color="auto"/>
              <w:bottom w:val="single" w:sz="4" w:space="0" w:color="auto"/>
              <w:right w:val="single" w:sz="4" w:space="0" w:color="auto"/>
            </w:tcBorders>
            <w:shd w:val="clear" w:color="auto" w:fill="auto"/>
            <w:vAlign w:val="center"/>
          </w:tcPr>
          <w:p w14:paraId="7161A972" w14:textId="30989CB7" w:rsidR="00134A8A" w:rsidRDefault="00277F80" w:rsidP="00134A8A">
            <w:pPr>
              <w:spacing w:before="60" w:after="60" w:line="260" w:lineRule="atLeast"/>
              <w:rPr>
                <w:rFonts w:eastAsia="Calibri" w:cs="Arial"/>
                <w:sz w:val="18"/>
                <w:szCs w:val="18"/>
                <w:lang w:eastAsia="en-GB"/>
              </w:rPr>
            </w:pPr>
            <w:r w:rsidRPr="00277F80">
              <w:rPr>
                <w:rFonts w:eastAsia="Calibri" w:cs="Arial"/>
                <w:sz w:val="18"/>
                <w:szCs w:val="18"/>
                <w:lang w:eastAsia="en-GB"/>
              </w:rPr>
              <w:t>[-]</w:t>
            </w:r>
          </w:p>
        </w:tc>
        <w:tc>
          <w:tcPr>
            <w:tcW w:w="3476" w:type="dxa"/>
            <w:tcBorders>
              <w:left w:val="single" w:sz="4" w:space="0" w:color="auto"/>
            </w:tcBorders>
            <w:shd w:val="clear" w:color="auto" w:fill="auto"/>
            <w:vAlign w:val="center"/>
          </w:tcPr>
          <w:p w14:paraId="4AAE754C" w14:textId="7855A21E" w:rsidR="00134A8A" w:rsidRDefault="00134A8A" w:rsidP="00134A8A">
            <w:pPr>
              <w:spacing w:before="60" w:after="60" w:line="260" w:lineRule="atLeast"/>
              <w:rPr>
                <w:rFonts w:eastAsia="Calibri" w:cs="Arial"/>
                <w:color w:val="000000"/>
                <w:sz w:val="18"/>
                <w:szCs w:val="18"/>
                <w:lang w:eastAsia="en-GB"/>
              </w:rPr>
            </w:pPr>
            <w:r>
              <w:rPr>
                <w:rFonts w:eastAsia="Calibri" w:cs="Arial"/>
                <w:sz w:val="18"/>
                <w:szCs w:val="18"/>
                <w:lang w:eastAsia="en-GB"/>
              </w:rPr>
              <w:t>Default</w:t>
            </w:r>
          </w:p>
        </w:tc>
      </w:tr>
      <w:tr w:rsidR="00134A8A" w:rsidRPr="008D46F8" w14:paraId="240A5CAE" w14:textId="77777777" w:rsidTr="001841D7">
        <w:trPr>
          <w:trHeight w:val="91"/>
        </w:trPr>
        <w:tc>
          <w:tcPr>
            <w:tcW w:w="4020" w:type="dxa"/>
            <w:tcBorders>
              <w:top w:val="nil"/>
              <w:left w:val="single" w:sz="4" w:space="0" w:color="auto"/>
              <w:bottom w:val="single" w:sz="4" w:space="0" w:color="auto"/>
              <w:right w:val="single" w:sz="4" w:space="0" w:color="auto"/>
            </w:tcBorders>
            <w:shd w:val="clear" w:color="auto" w:fill="auto"/>
            <w:vAlign w:val="center"/>
          </w:tcPr>
          <w:p w14:paraId="74052844" w14:textId="1F6FF340" w:rsidR="00134A8A" w:rsidRDefault="00134A8A" w:rsidP="00134A8A">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 xml:space="preserve">Receiving soil volume </w:t>
            </w:r>
          </w:p>
          <w:p w14:paraId="35AA71E5" w14:textId="3EB9ABEB" w:rsidR="00134A8A" w:rsidRPr="006C32D8" w:rsidRDefault="00134A8A" w:rsidP="00134A8A">
            <w:pPr>
              <w:spacing w:before="60" w:after="60" w:line="260" w:lineRule="atLeast"/>
              <w:rPr>
                <w:rFonts w:eastAsia="Calibri" w:cs="Arial"/>
                <w:i/>
                <w:color w:val="000000"/>
                <w:sz w:val="18"/>
                <w:szCs w:val="18"/>
                <w:lang w:eastAsia="en-GB"/>
              </w:rPr>
            </w:pPr>
            <w:r w:rsidRPr="006C32D8">
              <w:rPr>
                <w:rFonts w:eastAsia="Calibri" w:cs="Arial"/>
                <w:i/>
                <w:color w:val="000000"/>
                <w:sz w:val="18"/>
                <w:szCs w:val="18"/>
                <w:lang w:eastAsia="en-GB"/>
              </w:rPr>
              <w:t>Vsoil</w:t>
            </w:r>
          </w:p>
        </w:tc>
        <w:tc>
          <w:tcPr>
            <w:tcW w:w="1083" w:type="dxa"/>
            <w:tcBorders>
              <w:top w:val="nil"/>
              <w:left w:val="single" w:sz="4" w:space="0" w:color="auto"/>
              <w:bottom w:val="single" w:sz="4" w:space="0" w:color="auto"/>
              <w:right w:val="single" w:sz="4" w:space="0" w:color="auto"/>
            </w:tcBorders>
            <w:shd w:val="clear" w:color="auto" w:fill="auto"/>
            <w:vAlign w:val="center"/>
          </w:tcPr>
          <w:p w14:paraId="66E03B53" w14:textId="77777777" w:rsidR="00134A8A" w:rsidRPr="00D80179" w:rsidRDefault="00134A8A" w:rsidP="00134A8A">
            <w:pPr>
              <w:spacing w:before="60" w:after="60" w:line="260" w:lineRule="atLeast"/>
              <w:rPr>
                <w:rFonts w:eastAsia="Calibri" w:cs="Arial"/>
                <w:color w:val="000000"/>
                <w:sz w:val="18"/>
                <w:szCs w:val="18"/>
                <w:lang w:eastAsia="en-GB"/>
              </w:rPr>
            </w:pPr>
            <w:r w:rsidRPr="00D80179">
              <w:rPr>
                <w:rFonts w:eastAsia="Calibri" w:cs="Arial"/>
                <w:color w:val="000000"/>
                <w:sz w:val="18"/>
                <w:szCs w:val="18"/>
                <w:lang w:eastAsia="en-GB"/>
              </w:rPr>
              <w:t>0.125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350D6E3" w14:textId="77777777" w:rsidR="00134A8A" w:rsidRPr="008D46F8" w:rsidRDefault="00134A8A" w:rsidP="00134A8A">
            <w:pPr>
              <w:spacing w:before="60" w:after="60" w:line="260" w:lineRule="atLeast"/>
              <w:rPr>
                <w:rFonts w:eastAsia="Calibri" w:cs="Arial"/>
                <w:sz w:val="18"/>
                <w:szCs w:val="18"/>
                <w:lang w:eastAsia="en-GB"/>
              </w:rPr>
            </w:pPr>
            <w:r w:rsidRPr="008D46F8">
              <w:rPr>
                <w:rFonts w:eastAsia="Calibri" w:cs="Arial"/>
                <w:sz w:val="18"/>
                <w:szCs w:val="18"/>
                <w:lang w:eastAsia="en-GB"/>
              </w:rPr>
              <w:t>m³</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0F50A659" w14:textId="1276DDF7" w:rsidR="00134A8A" w:rsidRPr="008D46F8" w:rsidRDefault="00134A8A" w:rsidP="00134A8A">
            <w:pPr>
              <w:spacing w:before="60" w:after="60" w:line="260" w:lineRule="atLeast"/>
              <w:rPr>
                <w:rFonts w:eastAsia="Calibri" w:cs="Arial"/>
                <w:sz w:val="18"/>
                <w:szCs w:val="18"/>
                <w:lang w:eastAsia="en-GB"/>
              </w:rPr>
            </w:pPr>
            <w:r w:rsidRPr="008D46F8">
              <w:rPr>
                <w:rFonts w:eastAsia="Calibri" w:cs="Arial"/>
                <w:sz w:val="18"/>
                <w:szCs w:val="18"/>
                <w:lang w:eastAsia="en-GB"/>
              </w:rPr>
              <w:t xml:space="preserve">See calculations </w:t>
            </w:r>
            <w:r w:rsidR="00604A80">
              <w:rPr>
                <w:rFonts w:eastAsia="Calibri" w:cs="Arial"/>
                <w:sz w:val="18"/>
                <w:szCs w:val="18"/>
                <w:lang w:eastAsia="en-GB"/>
              </w:rPr>
              <w:t xml:space="preserve">2 </w:t>
            </w:r>
            <w:r w:rsidRPr="008D46F8">
              <w:rPr>
                <w:rFonts w:eastAsia="Calibri" w:cs="Arial"/>
                <w:sz w:val="18"/>
                <w:szCs w:val="18"/>
                <w:lang w:eastAsia="en-GB"/>
              </w:rPr>
              <w:t>above</w:t>
            </w:r>
          </w:p>
        </w:tc>
      </w:tr>
      <w:tr w:rsidR="00134A8A" w:rsidRPr="008D46F8" w14:paraId="0A2339FE" w14:textId="77777777" w:rsidTr="001841D7">
        <w:trPr>
          <w:trHeight w:val="91"/>
        </w:trPr>
        <w:tc>
          <w:tcPr>
            <w:tcW w:w="4020" w:type="dxa"/>
            <w:tcBorders>
              <w:top w:val="single" w:sz="4" w:space="0" w:color="auto"/>
            </w:tcBorders>
            <w:shd w:val="clear" w:color="auto" w:fill="auto"/>
            <w:vAlign w:val="center"/>
          </w:tcPr>
          <w:p w14:paraId="3C91B420" w14:textId="5286D3C9" w:rsidR="00134A8A" w:rsidRDefault="00134A8A" w:rsidP="00134A8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Bulk density of wet soil </w:t>
            </w:r>
          </w:p>
          <w:p w14:paraId="760E8888" w14:textId="569566B3" w:rsidR="00134A8A" w:rsidRPr="006C32D8" w:rsidRDefault="00134A8A" w:rsidP="00134A8A">
            <w:pPr>
              <w:spacing w:before="60" w:after="60" w:line="260" w:lineRule="atLeast"/>
              <w:rPr>
                <w:rFonts w:eastAsia="Calibri" w:cs="Arial"/>
                <w:i/>
                <w:color w:val="000000"/>
                <w:sz w:val="18"/>
                <w:szCs w:val="18"/>
                <w:lang w:eastAsia="en-GB"/>
              </w:rPr>
            </w:pPr>
            <w:r w:rsidRPr="006C32D8">
              <w:rPr>
                <w:rFonts w:eastAsia="Calibri" w:cs="Arial"/>
                <w:i/>
                <w:color w:val="000000"/>
                <w:sz w:val="18"/>
                <w:szCs w:val="18"/>
                <w:lang w:eastAsia="en-GB"/>
              </w:rPr>
              <w:t>RHO</w:t>
            </w:r>
            <w:r w:rsidRPr="006C32D8">
              <w:rPr>
                <w:rFonts w:eastAsia="Calibri" w:cs="Arial"/>
                <w:i/>
                <w:color w:val="000000"/>
                <w:szCs w:val="18"/>
                <w:vertAlign w:val="subscript"/>
                <w:lang w:eastAsia="en-GB"/>
              </w:rPr>
              <w:t>soil</w:t>
            </w:r>
          </w:p>
        </w:tc>
        <w:tc>
          <w:tcPr>
            <w:tcW w:w="1083" w:type="dxa"/>
            <w:tcBorders>
              <w:top w:val="single" w:sz="4" w:space="0" w:color="auto"/>
            </w:tcBorders>
            <w:shd w:val="clear" w:color="auto" w:fill="auto"/>
            <w:vAlign w:val="center"/>
          </w:tcPr>
          <w:p w14:paraId="2698AF03" w14:textId="77777777" w:rsidR="00134A8A" w:rsidRPr="008D46F8" w:rsidRDefault="00134A8A" w:rsidP="00134A8A">
            <w:pPr>
              <w:spacing w:before="60" w:after="60" w:line="260" w:lineRule="atLeast"/>
              <w:rPr>
                <w:rFonts w:eastAsia="Calibri" w:cs="Arial"/>
                <w:sz w:val="18"/>
                <w:szCs w:val="18"/>
                <w:lang w:eastAsia="en-GB"/>
              </w:rPr>
            </w:pPr>
            <w:r w:rsidRPr="008D46F8">
              <w:rPr>
                <w:rFonts w:eastAsia="Calibri" w:cs="Arial"/>
                <w:sz w:val="18"/>
                <w:szCs w:val="18"/>
                <w:lang w:eastAsia="en-GB"/>
              </w:rPr>
              <w:t>1700</w:t>
            </w:r>
          </w:p>
        </w:tc>
        <w:tc>
          <w:tcPr>
            <w:tcW w:w="687" w:type="dxa"/>
            <w:shd w:val="clear" w:color="auto" w:fill="auto"/>
            <w:vAlign w:val="center"/>
          </w:tcPr>
          <w:p w14:paraId="4A7EDC55" w14:textId="77777777" w:rsidR="00134A8A" w:rsidRPr="008D46F8" w:rsidRDefault="00134A8A" w:rsidP="00134A8A">
            <w:pPr>
              <w:spacing w:before="60" w:after="60" w:line="260" w:lineRule="atLeast"/>
              <w:rPr>
                <w:rFonts w:eastAsia="Calibri" w:cs="Arial"/>
                <w:sz w:val="18"/>
                <w:szCs w:val="18"/>
                <w:lang w:eastAsia="en-GB"/>
              </w:rPr>
            </w:pPr>
            <w:r w:rsidRPr="008D46F8">
              <w:rPr>
                <w:rFonts w:eastAsia="Calibri" w:cs="Arial"/>
                <w:sz w:val="18"/>
                <w:szCs w:val="18"/>
                <w:lang w:eastAsia="en-GB"/>
              </w:rPr>
              <w:t>kg</w:t>
            </w:r>
            <w:r>
              <w:rPr>
                <w:rFonts w:eastAsia="Calibri" w:cs="Arial"/>
                <w:sz w:val="18"/>
                <w:szCs w:val="18"/>
                <w:lang w:eastAsia="en-GB"/>
              </w:rPr>
              <w:t xml:space="preserve"> </w:t>
            </w:r>
            <w:r w:rsidRPr="008D46F8">
              <w:rPr>
                <w:rFonts w:eastAsia="Calibri" w:cs="Arial"/>
                <w:sz w:val="18"/>
                <w:szCs w:val="18"/>
                <w:lang w:eastAsia="en-GB"/>
              </w:rPr>
              <w:t>ww/m³</w:t>
            </w:r>
          </w:p>
        </w:tc>
        <w:tc>
          <w:tcPr>
            <w:tcW w:w="3476" w:type="dxa"/>
            <w:shd w:val="clear" w:color="auto" w:fill="auto"/>
            <w:vAlign w:val="center"/>
          </w:tcPr>
          <w:p w14:paraId="7FD78556" w14:textId="6D2C2B52" w:rsidR="00134A8A" w:rsidRPr="008D46F8" w:rsidRDefault="00134A8A" w:rsidP="00134A8A">
            <w:pPr>
              <w:spacing w:before="60" w:after="60" w:line="260" w:lineRule="atLeast"/>
              <w:rPr>
                <w:rFonts w:eastAsia="Calibri" w:cs="Arial"/>
                <w:sz w:val="18"/>
                <w:szCs w:val="18"/>
                <w:lang w:eastAsia="en-GB"/>
              </w:rPr>
            </w:pPr>
            <w:r w:rsidRPr="008D46F8">
              <w:rPr>
                <w:rFonts w:eastAsia="Calibri" w:cs="Arial"/>
                <w:sz w:val="18"/>
                <w:szCs w:val="18"/>
                <w:lang w:eastAsia="en-GB"/>
              </w:rPr>
              <w:t>Default value (ESD PT18, 2008)</w:t>
            </w:r>
          </w:p>
        </w:tc>
      </w:tr>
    </w:tbl>
    <w:p w14:paraId="022C15BC" w14:textId="058B4FBA" w:rsidR="00A005DD" w:rsidRDefault="00A005DD" w:rsidP="0073642B">
      <w:pPr>
        <w:jc w:val="both"/>
        <w:rPr>
          <w:rFonts w:eastAsia="Calibri" w:cs="Arial"/>
          <w:lang w:eastAsia="en-US"/>
        </w:rPr>
      </w:pPr>
    </w:p>
    <w:p w14:paraId="18B9ED6A" w14:textId="13750567" w:rsidR="00C03636" w:rsidRPr="003B2E23" w:rsidRDefault="00C03636" w:rsidP="00C03636">
      <w:pPr>
        <w:spacing w:line="276" w:lineRule="auto"/>
        <w:rPr>
          <w:rFonts w:eastAsia="Calibri"/>
          <w:u w:val="single"/>
          <w:lang w:val="en-US" w:eastAsia="en-US"/>
        </w:rPr>
      </w:pPr>
      <w:r w:rsidRPr="003B2E23">
        <w:rPr>
          <w:rFonts w:eastAsia="Calibri"/>
          <w:u w:val="single"/>
          <w:lang w:val="en-US" w:eastAsia="en-US"/>
        </w:rPr>
        <w:t xml:space="preserve">Calculations for Scenario </w:t>
      </w:r>
      <w:r w:rsidR="002F354D">
        <w:rPr>
          <w:rFonts w:eastAsia="Calibri"/>
          <w:u w:val="single"/>
          <w:lang w:val="en-US" w:eastAsia="en-US"/>
        </w:rPr>
        <w:t>6</w:t>
      </w:r>
    </w:p>
    <w:p w14:paraId="2FD5CAA2" w14:textId="77777777" w:rsidR="00C03636" w:rsidRDefault="00C03636" w:rsidP="00C03636">
      <w:pPr>
        <w:spacing w:line="276" w:lineRule="auto"/>
        <w:rPr>
          <w:rFonts w:eastAsia="Calibri"/>
          <w:lang w:val="en-US" w:eastAsia="en-US"/>
        </w:rPr>
      </w:pPr>
    </w:p>
    <w:p w14:paraId="11D2A98B" w14:textId="2721F08E" w:rsidR="008B0C86" w:rsidRPr="00277F80" w:rsidRDefault="008B0C86" w:rsidP="0044575E">
      <w:pPr>
        <w:spacing w:line="276" w:lineRule="auto"/>
        <w:rPr>
          <w:u w:val="single"/>
        </w:rPr>
      </w:pPr>
      <w:r w:rsidRPr="00277F80">
        <w:rPr>
          <w:u w:val="single"/>
        </w:rPr>
        <w:t>Direct emission to soil</w:t>
      </w:r>
      <w:r w:rsidR="00277F80">
        <w:rPr>
          <w:u w:val="single"/>
        </w:rPr>
        <w:t>:</w:t>
      </w:r>
      <w:r w:rsidRPr="00277F80">
        <w:rPr>
          <w:u w:val="single"/>
        </w:rPr>
        <w:t xml:space="preserve"> </w:t>
      </w:r>
    </w:p>
    <w:p w14:paraId="39A81449" w14:textId="76B22634" w:rsidR="008B0C86" w:rsidRDefault="00C03636" w:rsidP="0044575E">
      <w:pPr>
        <w:spacing w:line="276" w:lineRule="auto"/>
      </w:pPr>
      <w:r w:rsidRPr="006C32D8">
        <w:rPr>
          <w:rFonts w:eastAsia="Calibri" w:cs="Arial"/>
          <w:color w:val="000000"/>
          <w:sz w:val="18"/>
          <w:szCs w:val="18"/>
          <w:lang w:eastAsia="en-GB"/>
        </w:rPr>
        <w:t>Elocal</w:t>
      </w:r>
      <w:r w:rsidR="00604A80">
        <w:rPr>
          <w:rFonts w:eastAsia="Calibri" w:cs="Arial"/>
          <w:color w:val="000000"/>
          <w:szCs w:val="18"/>
          <w:vertAlign w:val="subscript"/>
          <w:lang w:eastAsia="en-GB"/>
        </w:rPr>
        <w:t>soil</w:t>
      </w:r>
      <w:r>
        <w:rPr>
          <w:rFonts w:eastAsia="Calibri"/>
          <w:lang w:val="en-US" w:eastAsia="en-US"/>
        </w:rPr>
        <w:t>=Qai*AREA</w:t>
      </w:r>
    </w:p>
    <w:p w14:paraId="00F3ACA5" w14:textId="77777777" w:rsidR="008B0C86" w:rsidRDefault="008B0C86" w:rsidP="0044575E">
      <w:pPr>
        <w:spacing w:line="276" w:lineRule="auto"/>
      </w:pPr>
    </w:p>
    <w:p w14:paraId="595E74C7" w14:textId="3F3BE035" w:rsidR="00C03636" w:rsidRPr="00277F80" w:rsidRDefault="008B0C86" w:rsidP="0044575E">
      <w:pPr>
        <w:spacing w:line="276" w:lineRule="auto"/>
        <w:rPr>
          <w:u w:val="single"/>
        </w:rPr>
      </w:pPr>
      <w:r w:rsidRPr="00277F80">
        <w:rPr>
          <w:u w:val="single"/>
        </w:rPr>
        <w:t>Indirect emission via STP</w:t>
      </w:r>
      <w:r w:rsidR="00277F80">
        <w:rPr>
          <w:u w:val="single"/>
        </w:rPr>
        <w:t>:</w:t>
      </w:r>
    </w:p>
    <w:p w14:paraId="532FBFA4" w14:textId="1C5D1333" w:rsidR="00604A80" w:rsidRPr="003E3561" w:rsidRDefault="00604A80" w:rsidP="00604A80">
      <w:pPr>
        <w:spacing w:line="260" w:lineRule="atLeast"/>
        <w:rPr>
          <w:rFonts w:eastAsia="Calibri"/>
          <w:lang w:eastAsia="en-US"/>
        </w:rPr>
      </w:pPr>
      <w:r w:rsidRPr="003E3561">
        <w:rPr>
          <w:rFonts w:eastAsia="Calibri"/>
          <w:lang w:eastAsia="en-US"/>
        </w:rPr>
        <w:t>Elocal</w:t>
      </w:r>
      <w:r w:rsidRPr="003E3561">
        <w:rPr>
          <w:rFonts w:eastAsia="Calibri"/>
          <w:vertAlign w:val="subscript"/>
          <w:lang w:eastAsia="en-US"/>
        </w:rPr>
        <w:t>water</w:t>
      </w:r>
      <w:r w:rsidRPr="003E3561">
        <w:rPr>
          <w:rFonts w:eastAsia="Calibri"/>
          <w:lang w:eastAsia="en-US"/>
        </w:rPr>
        <w:t xml:space="preserve"> = </w:t>
      </w:r>
      <w:r>
        <w:rPr>
          <w:rFonts w:eastAsia="Calibri"/>
          <w:lang w:val="en-US" w:eastAsia="en-US"/>
        </w:rPr>
        <w:t>Qai*AREA</w:t>
      </w:r>
      <w:r w:rsidRPr="00604A80">
        <w:rPr>
          <w:rFonts w:eastAsia="Calibri"/>
          <w:lang w:val="en-US" w:eastAsia="en-US"/>
        </w:rPr>
        <w:t>*</w:t>
      </w:r>
      <w:r w:rsidRPr="00604A80">
        <w:rPr>
          <w:rFonts w:eastAsia="Calibri"/>
          <w:color w:val="000000"/>
          <w:sz w:val="18"/>
          <w:szCs w:val="18"/>
          <w:lang w:eastAsia="en-GB"/>
        </w:rPr>
        <w:t xml:space="preserve"> N</w:t>
      </w:r>
      <w:r w:rsidRPr="00604A80">
        <w:rPr>
          <w:rFonts w:eastAsia="Calibri"/>
          <w:color w:val="000000"/>
          <w:szCs w:val="18"/>
          <w:vertAlign w:val="subscript"/>
          <w:lang w:eastAsia="en-GB"/>
        </w:rPr>
        <w:t>local</w:t>
      </w:r>
      <w:r w:rsidRPr="00604A80">
        <w:rPr>
          <w:rFonts w:eastAsia="Calibri"/>
          <w:lang w:eastAsia="en-US"/>
        </w:rPr>
        <w:t xml:space="preserve"> </w:t>
      </w:r>
      <w:r>
        <w:rPr>
          <w:rFonts w:eastAsia="Calibri"/>
          <w:lang w:eastAsia="en-US"/>
        </w:rPr>
        <w:t xml:space="preserve">* </w:t>
      </w:r>
      <w:r w:rsidRPr="00604A80">
        <w:rPr>
          <w:rFonts w:eastAsia="Calibri" w:cs="Arial"/>
          <w:color w:val="000000"/>
          <w:sz w:val="18"/>
          <w:szCs w:val="18"/>
          <w:lang w:eastAsia="en-GB"/>
        </w:rPr>
        <w:t>F</w:t>
      </w:r>
      <w:r w:rsidRPr="00604A80">
        <w:rPr>
          <w:rFonts w:eastAsia="Calibri" w:cs="Arial"/>
          <w:color w:val="000000"/>
          <w:sz w:val="18"/>
          <w:szCs w:val="18"/>
          <w:vertAlign w:val="subscript"/>
          <w:lang w:eastAsia="en-GB"/>
        </w:rPr>
        <w:t>simutaneity</w:t>
      </w:r>
      <w:r w:rsidRPr="00604A80">
        <w:rPr>
          <w:rFonts w:eastAsia="Calibri"/>
          <w:lang w:eastAsia="en-US"/>
        </w:rPr>
        <w:t xml:space="preserve"> </w:t>
      </w:r>
      <w:r>
        <w:rPr>
          <w:rFonts w:eastAsia="Calibri"/>
          <w:lang w:eastAsia="en-US"/>
        </w:rPr>
        <w:t>*</w:t>
      </w:r>
      <w:r w:rsidR="00277F80">
        <w:rPr>
          <w:rFonts w:eastAsia="Calibri"/>
          <w:lang w:eastAsia="en-US"/>
        </w:rPr>
        <w:t xml:space="preserve"> (1-F</w:t>
      </w:r>
      <w:r w:rsidR="00277F80" w:rsidRPr="00277F80">
        <w:rPr>
          <w:rFonts w:eastAsia="Calibri"/>
          <w:vertAlign w:val="subscript"/>
          <w:lang w:eastAsia="en-US"/>
        </w:rPr>
        <w:t>dis</w:t>
      </w:r>
      <w:r w:rsidR="00277F80">
        <w:rPr>
          <w:rFonts w:eastAsia="Calibri"/>
          <w:lang w:eastAsia="en-US"/>
        </w:rPr>
        <w:t>) *</w:t>
      </w:r>
      <w:r>
        <w:rPr>
          <w:rFonts w:eastAsia="Calibri"/>
          <w:lang w:eastAsia="en-US"/>
        </w:rPr>
        <w:t xml:space="preserve"> </w:t>
      </w:r>
      <w:r w:rsidRPr="00604A80">
        <w:rPr>
          <w:rFonts w:eastAsia="Calibri" w:cs="Arial"/>
          <w:color w:val="000000"/>
          <w:sz w:val="18"/>
          <w:szCs w:val="18"/>
          <w:lang w:eastAsia="en-GB"/>
        </w:rPr>
        <w:t>F</w:t>
      </w:r>
      <w:r w:rsidRPr="00604A80">
        <w:rPr>
          <w:rFonts w:eastAsia="Calibri" w:cs="Arial"/>
          <w:color w:val="000000"/>
          <w:sz w:val="18"/>
          <w:szCs w:val="18"/>
          <w:vertAlign w:val="subscript"/>
          <w:lang w:eastAsia="en-GB"/>
        </w:rPr>
        <w:t>water</w:t>
      </w:r>
      <w:r>
        <w:rPr>
          <w:rFonts w:eastAsia="Calibri"/>
          <w:lang w:eastAsia="en-US"/>
        </w:rPr>
        <w:t xml:space="preserve"> </w:t>
      </w:r>
    </w:p>
    <w:p w14:paraId="537C3122" w14:textId="77777777" w:rsidR="00604A80" w:rsidRPr="003B2E23" w:rsidRDefault="00604A80" w:rsidP="0044575E">
      <w:pPr>
        <w:spacing w:line="276" w:lineRule="auto"/>
        <w:rPr>
          <w:rFonts w:eastAsia="Calibri"/>
          <w:lang w:val="en-US" w:eastAsia="en-US"/>
        </w:rPr>
      </w:pPr>
    </w:p>
    <w:p w14:paraId="17B2E35B" w14:textId="77777777" w:rsidR="00C03636" w:rsidRPr="00B27CB1" w:rsidRDefault="00C03636" w:rsidP="00C03636">
      <w:pPr>
        <w:spacing w:line="276" w:lineRule="auto"/>
        <w:rPr>
          <w:rFonts w:ascii="Times New Roman" w:eastAsia="Calibri" w:hAnsi="Times New Roman" w:cs="Times New Roman"/>
          <w:i/>
          <w:szCs w:val="22"/>
          <w:lang w:eastAsia="en-U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559"/>
        <w:gridCol w:w="2835"/>
        <w:gridCol w:w="1488"/>
      </w:tblGrid>
      <w:tr w:rsidR="00C03636" w:rsidRPr="00184ABF" w14:paraId="65CCBA96" w14:textId="77777777" w:rsidTr="00D518B9">
        <w:trPr>
          <w:tblHeader/>
        </w:trPr>
        <w:tc>
          <w:tcPr>
            <w:tcW w:w="9001" w:type="dxa"/>
            <w:gridSpan w:val="4"/>
            <w:shd w:val="clear" w:color="auto" w:fill="FFFFCC"/>
            <w:tcMar>
              <w:top w:w="40" w:type="dxa"/>
              <w:left w:w="40" w:type="dxa"/>
              <w:bottom w:w="40" w:type="dxa"/>
              <w:right w:w="40" w:type="dxa"/>
            </w:tcMar>
            <w:vAlign w:val="center"/>
          </w:tcPr>
          <w:p w14:paraId="44C8C8D0" w14:textId="77777777" w:rsidR="00C03636" w:rsidRPr="007352CF" w:rsidRDefault="00C03636" w:rsidP="0026429B">
            <w:pPr>
              <w:spacing w:before="60" w:after="60"/>
              <w:rPr>
                <w:b/>
                <w:sz w:val="18"/>
                <w:szCs w:val="18"/>
                <w:lang w:eastAsia="en-GB"/>
              </w:rPr>
            </w:pPr>
            <w:r w:rsidRPr="007352CF">
              <w:rPr>
                <w:b/>
                <w:sz w:val="18"/>
                <w:szCs w:val="18"/>
              </w:rPr>
              <w:t>Resulting local emission to relevant environmental compartments</w:t>
            </w:r>
          </w:p>
        </w:tc>
      </w:tr>
      <w:tr w:rsidR="00C03636" w:rsidRPr="00184ABF" w14:paraId="35C712B1" w14:textId="77777777" w:rsidTr="00D518B9">
        <w:trPr>
          <w:tblHeader/>
        </w:trPr>
        <w:tc>
          <w:tcPr>
            <w:tcW w:w="3119" w:type="dxa"/>
            <w:tcBorders>
              <w:bottom w:val="single" w:sz="4" w:space="0" w:color="auto"/>
            </w:tcBorders>
            <w:shd w:val="clear" w:color="auto" w:fill="auto"/>
            <w:tcMar>
              <w:top w:w="40" w:type="dxa"/>
              <w:left w:w="40" w:type="dxa"/>
              <w:bottom w:w="40" w:type="dxa"/>
              <w:right w:w="40" w:type="dxa"/>
            </w:tcMar>
            <w:vAlign w:val="center"/>
          </w:tcPr>
          <w:p w14:paraId="7A1F0353" w14:textId="77777777" w:rsidR="00C03636" w:rsidRPr="007352CF" w:rsidRDefault="00C03636" w:rsidP="0026429B">
            <w:pPr>
              <w:spacing w:before="60" w:after="60"/>
              <w:rPr>
                <w:b/>
                <w:sz w:val="18"/>
                <w:szCs w:val="18"/>
                <w:lang w:eastAsia="en-GB"/>
              </w:rPr>
            </w:pPr>
            <w:r w:rsidRPr="007352CF">
              <w:rPr>
                <w:b/>
                <w:sz w:val="18"/>
                <w:szCs w:val="18"/>
                <w:lang w:eastAsia="en-GB"/>
              </w:rPr>
              <w:t>Substance</w:t>
            </w:r>
          </w:p>
        </w:tc>
        <w:tc>
          <w:tcPr>
            <w:tcW w:w="1559" w:type="dxa"/>
            <w:tcBorders>
              <w:bottom w:val="single" w:sz="4" w:space="0" w:color="auto"/>
            </w:tcBorders>
            <w:shd w:val="clear" w:color="auto" w:fill="auto"/>
            <w:vAlign w:val="center"/>
          </w:tcPr>
          <w:p w14:paraId="12CF8A81" w14:textId="77777777" w:rsidR="00C03636" w:rsidRPr="007352CF" w:rsidRDefault="00C03636" w:rsidP="0026429B">
            <w:pPr>
              <w:spacing w:before="60" w:after="60"/>
              <w:rPr>
                <w:b/>
                <w:sz w:val="18"/>
                <w:szCs w:val="18"/>
                <w:lang w:eastAsia="en-GB"/>
              </w:rPr>
            </w:pPr>
            <w:r w:rsidRPr="007352CF">
              <w:rPr>
                <w:b/>
                <w:sz w:val="18"/>
                <w:szCs w:val="18"/>
                <w:lang w:eastAsia="en-GB"/>
              </w:rPr>
              <w:t>Compartment</w:t>
            </w:r>
          </w:p>
        </w:tc>
        <w:tc>
          <w:tcPr>
            <w:tcW w:w="2835" w:type="dxa"/>
            <w:tcBorders>
              <w:bottom w:val="single" w:sz="4" w:space="0" w:color="auto"/>
            </w:tcBorders>
            <w:shd w:val="clear" w:color="auto" w:fill="auto"/>
            <w:tcMar>
              <w:top w:w="40" w:type="dxa"/>
              <w:left w:w="40" w:type="dxa"/>
              <w:bottom w:w="40" w:type="dxa"/>
              <w:right w:w="40" w:type="dxa"/>
            </w:tcMar>
            <w:vAlign w:val="center"/>
          </w:tcPr>
          <w:p w14:paraId="3F013A60" w14:textId="77777777" w:rsidR="00C03636" w:rsidRPr="007352CF" w:rsidRDefault="00C03636" w:rsidP="0026429B">
            <w:pPr>
              <w:spacing w:before="60" w:after="60"/>
              <w:rPr>
                <w:b/>
                <w:sz w:val="18"/>
                <w:szCs w:val="18"/>
                <w:lang w:eastAsia="en-GB"/>
              </w:rPr>
            </w:pPr>
            <w:r w:rsidRPr="007352CF">
              <w:rPr>
                <w:b/>
                <w:sz w:val="18"/>
                <w:szCs w:val="18"/>
                <w:lang w:eastAsia="en-GB"/>
              </w:rPr>
              <w:t xml:space="preserve">Local emission </w:t>
            </w:r>
          </w:p>
          <w:p w14:paraId="2D29419A" w14:textId="77777777" w:rsidR="00C03636" w:rsidRPr="007352CF" w:rsidRDefault="00C03636" w:rsidP="0026429B">
            <w:pPr>
              <w:spacing w:before="60" w:after="60"/>
              <w:rPr>
                <w:b/>
                <w:sz w:val="18"/>
                <w:szCs w:val="18"/>
                <w:lang w:eastAsia="en-GB"/>
              </w:rPr>
            </w:pPr>
            <w:r w:rsidRPr="007352CF">
              <w:rPr>
                <w:b/>
                <w:sz w:val="18"/>
                <w:szCs w:val="18"/>
                <w:lang w:eastAsia="en-GB"/>
              </w:rPr>
              <w:t>(Elocal</w:t>
            </w:r>
            <w:r w:rsidRPr="007352CF">
              <w:rPr>
                <w:b/>
                <w:sz w:val="18"/>
                <w:szCs w:val="18"/>
                <w:vertAlign w:val="subscript"/>
                <w:lang w:eastAsia="en-GB"/>
              </w:rPr>
              <w:t>compartment</w:t>
            </w:r>
            <w:r w:rsidRPr="007352CF">
              <w:rPr>
                <w:b/>
                <w:sz w:val="18"/>
                <w:szCs w:val="18"/>
                <w:lang w:eastAsia="en-GB"/>
              </w:rPr>
              <w:t>) [kg/d</w:t>
            </w:r>
            <w:r w:rsidRPr="007352CF">
              <w:rPr>
                <w:b/>
                <w:sz w:val="18"/>
                <w:szCs w:val="18"/>
                <w:vertAlign w:val="superscript"/>
                <w:lang w:eastAsia="en-GB"/>
              </w:rPr>
              <w:t>-1</w:t>
            </w:r>
            <w:r w:rsidRPr="007352CF">
              <w:rPr>
                <w:b/>
                <w:sz w:val="18"/>
                <w:szCs w:val="18"/>
                <w:lang w:eastAsia="en-GB"/>
              </w:rPr>
              <w:t>]</w:t>
            </w:r>
          </w:p>
        </w:tc>
        <w:tc>
          <w:tcPr>
            <w:tcW w:w="1488" w:type="dxa"/>
            <w:tcBorders>
              <w:bottom w:val="single" w:sz="4" w:space="0" w:color="auto"/>
            </w:tcBorders>
            <w:shd w:val="clear" w:color="auto" w:fill="auto"/>
            <w:tcMar>
              <w:top w:w="40" w:type="dxa"/>
              <w:left w:w="40" w:type="dxa"/>
              <w:bottom w:w="40" w:type="dxa"/>
              <w:right w:w="40" w:type="dxa"/>
            </w:tcMar>
            <w:vAlign w:val="center"/>
          </w:tcPr>
          <w:p w14:paraId="22C68AC9" w14:textId="77777777" w:rsidR="00C03636" w:rsidRPr="007352CF" w:rsidRDefault="00C03636" w:rsidP="0026429B">
            <w:pPr>
              <w:spacing w:before="60" w:after="60"/>
              <w:rPr>
                <w:b/>
                <w:sz w:val="18"/>
                <w:szCs w:val="18"/>
                <w:lang w:eastAsia="en-GB"/>
              </w:rPr>
            </w:pPr>
            <w:r w:rsidRPr="007352CF">
              <w:rPr>
                <w:b/>
                <w:sz w:val="18"/>
                <w:szCs w:val="18"/>
                <w:lang w:eastAsia="en-GB"/>
              </w:rPr>
              <w:t>Remarks</w:t>
            </w:r>
          </w:p>
        </w:tc>
      </w:tr>
      <w:tr w:rsidR="00C142D7" w:rsidRPr="00184ABF" w14:paraId="483916FE" w14:textId="77777777" w:rsidTr="00D518B9">
        <w:tc>
          <w:tcPr>
            <w:tcW w:w="3119"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35F6CF03" w14:textId="0E451F5A" w:rsidR="00C142D7" w:rsidRPr="00770B5D" w:rsidRDefault="00E56B28" w:rsidP="0026429B">
            <w:pPr>
              <w:rPr>
                <w:rFonts w:cs="Calibri"/>
                <w:b/>
                <w:sz w:val="18"/>
                <w:szCs w:val="18"/>
              </w:rPr>
            </w:pPr>
            <w:r w:rsidRPr="00770B5D">
              <w:rPr>
                <w:rFonts w:cs="Calibri"/>
                <w:b/>
                <w:sz w:val="18"/>
                <w:szCs w:val="18"/>
              </w:rPr>
              <w:t>Direct release to soil</w:t>
            </w:r>
          </w:p>
        </w:tc>
        <w:tc>
          <w:tcPr>
            <w:tcW w:w="1559" w:type="dxa"/>
            <w:tcBorders>
              <w:top w:val="single" w:sz="4" w:space="0" w:color="auto"/>
              <w:left w:val="nil"/>
              <w:bottom w:val="single" w:sz="4" w:space="0" w:color="auto"/>
              <w:right w:val="nil"/>
            </w:tcBorders>
            <w:shd w:val="clear" w:color="auto" w:fill="auto"/>
            <w:vAlign w:val="center"/>
          </w:tcPr>
          <w:p w14:paraId="58707E5B" w14:textId="77777777" w:rsidR="00C142D7" w:rsidRPr="007352CF" w:rsidRDefault="00C142D7" w:rsidP="0026429B">
            <w:pPr>
              <w:rPr>
                <w:rFonts w:cs="Calibri"/>
                <w:sz w:val="18"/>
                <w:szCs w:val="18"/>
              </w:rPr>
            </w:pPr>
          </w:p>
        </w:tc>
        <w:tc>
          <w:tcPr>
            <w:tcW w:w="2835"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6EAC41D9" w14:textId="77777777" w:rsidR="00C142D7" w:rsidRDefault="00C142D7" w:rsidP="0026429B">
            <w:pPr>
              <w:rPr>
                <w:rFonts w:cs="Calibri"/>
                <w:sz w:val="18"/>
                <w:szCs w:val="18"/>
              </w:rPr>
            </w:pPr>
          </w:p>
        </w:tc>
        <w:tc>
          <w:tcPr>
            <w:tcW w:w="1488"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61670509" w14:textId="77777777" w:rsidR="00C142D7" w:rsidRPr="007352CF" w:rsidRDefault="00C142D7" w:rsidP="0026429B">
            <w:pPr>
              <w:jc w:val="center"/>
              <w:rPr>
                <w:rFonts w:cs="Calibri"/>
                <w:sz w:val="18"/>
                <w:szCs w:val="18"/>
              </w:rPr>
            </w:pPr>
          </w:p>
        </w:tc>
      </w:tr>
      <w:tr w:rsidR="00C03636" w:rsidRPr="00184ABF" w14:paraId="2869C5D2" w14:textId="77777777" w:rsidTr="00D518B9">
        <w:tc>
          <w:tcPr>
            <w:tcW w:w="3119" w:type="dxa"/>
            <w:tcBorders>
              <w:top w:val="single" w:sz="4" w:space="0" w:color="auto"/>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3124E9B1" w14:textId="5004CD48" w:rsidR="00C03636" w:rsidRPr="007352CF" w:rsidRDefault="00C03636" w:rsidP="0026429B">
            <w:pPr>
              <w:rPr>
                <w:rFonts w:cs="Calibri"/>
                <w:sz w:val="18"/>
                <w:szCs w:val="18"/>
                <w:lang w:eastAsia="es-ES"/>
              </w:rPr>
            </w:pPr>
            <w:r w:rsidRPr="007352CF">
              <w:rPr>
                <w:rFonts w:cs="Calibri"/>
                <w:sz w:val="18"/>
                <w:szCs w:val="18"/>
              </w:rPr>
              <w:t>L(+) Lactic acid</w:t>
            </w:r>
            <w:r w:rsidR="00931A9B">
              <w:rPr>
                <w:rFonts w:cs="Calibri"/>
                <w:sz w:val="18"/>
                <w:szCs w:val="18"/>
              </w:rPr>
              <w:t xml:space="preserve"> (meta-SPC 9)</w:t>
            </w:r>
          </w:p>
        </w:tc>
        <w:tc>
          <w:tcPr>
            <w:tcW w:w="1559" w:type="dxa"/>
            <w:tcBorders>
              <w:top w:val="single" w:sz="4" w:space="0" w:color="auto"/>
              <w:left w:val="nil"/>
              <w:bottom w:val="single" w:sz="4" w:space="0" w:color="auto"/>
              <w:right w:val="single" w:sz="8" w:space="0" w:color="auto"/>
            </w:tcBorders>
            <w:shd w:val="clear" w:color="auto" w:fill="auto"/>
            <w:vAlign w:val="center"/>
          </w:tcPr>
          <w:p w14:paraId="7025F986" w14:textId="77777777" w:rsidR="00C03636" w:rsidRPr="007352CF" w:rsidRDefault="00C03636" w:rsidP="0026429B">
            <w:pPr>
              <w:rPr>
                <w:rFonts w:cs="Calibri"/>
                <w:sz w:val="18"/>
                <w:szCs w:val="18"/>
              </w:rPr>
            </w:pPr>
            <w:r w:rsidRPr="007352CF">
              <w:rPr>
                <w:rFonts w:cs="Calibri"/>
                <w:sz w:val="18"/>
                <w:szCs w:val="18"/>
              </w:rPr>
              <w:t>Soil</w:t>
            </w:r>
          </w:p>
        </w:tc>
        <w:tc>
          <w:tcPr>
            <w:tcW w:w="2835"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7BE27BCB" w14:textId="625DE62A" w:rsidR="00C03636" w:rsidRPr="007352CF" w:rsidRDefault="006C32D8" w:rsidP="0026429B">
            <w:pPr>
              <w:rPr>
                <w:rFonts w:cs="Calibri"/>
                <w:sz w:val="18"/>
                <w:szCs w:val="18"/>
              </w:rPr>
            </w:pPr>
            <w:r>
              <w:rPr>
                <w:rFonts w:cs="Calibri"/>
                <w:sz w:val="18"/>
                <w:szCs w:val="18"/>
              </w:rPr>
              <w:t>4.8</w:t>
            </w:r>
            <w:r w:rsidR="002B1B56">
              <w:rPr>
                <w:rFonts w:cs="Calibri"/>
                <w:sz w:val="18"/>
                <w:szCs w:val="18"/>
              </w:rPr>
              <w:t>0</w:t>
            </w:r>
            <w:r w:rsidR="00C03636" w:rsidRPr="007352CF">
              <w:rPr>
                <w:rFonts w:cs="Calibri"/>
                <w:sz w:val="18"/>
                <w:szCs w:val="18"/>
              </w:rPr>
              <w:t>E-0</w:t>
            </w:r>
            <w:r>
              <w:rPr>
                <w:rFonts w:cs="Calibri"/>
                <w:sz w:val="18"/>
                <w:szCs w:val="18"/>
              </w:rPr>
              <w:t>3</w:t>
            </w:r>
          </w:p>
        </w:tc>
        <w:tc>
          <w:tcPr>
            <w:tcW w:w="1488"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3AB40D2A" w14:textId="77777777" w:rsidR="00C03636" w:rsidRPr="007352CF" w:rsidRDefault="00C03636" w:rsidP="0026429B">
            <w:pPr>
              <w:jc w:val="center"/>
              <w:rPr>
                <w:rFonts w:cs="Calibri"/>
                <w:sz w:val="18"/>
                <w:szCs w:val="18"/>
              </w:rPr>
            </w:pPr>
          </w:p>
        </w:tc>
      </w:tr>
      <w:tr w:rsidR="00931A9B" w:rsidRPr="00184ABF" w14:paraId="1DEA3B0F" w14:textId="77777777" w:rsidTr="00931A9B">
        <w:tc>
          <w:tcPr>
            <w:tcW w:w="3119"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6A87D663" w14:textId="33FB9ADF" w:rsidR="00931A9B" w:rsidRPr="007352CF" w:rsidRDefault="00931A9B" w:rsidP="0026429B">
            <w:pPr>
              <w:rPr>
                <w:rFonts w:cs="Calibri"/>
                <w:sz w:val="18"/>
                <w:szCs w:val="18"/>
              </w:rPr>
            </w:pPr>
            <w:r w:rsidRPr="007352CF">
              <w:rPr>
                <w:rFonts w:cs="Calibri"/>
                <w:sz w:val="18"/>
                <w:szCs w:val="18"/>
              </w:rPr>
              <w:t>L(+) Lactic acid</w:t>
            </w:r>
            <w:r>
              <w:rPr>
                <w:rFonts w:cs="Calibri"/>
                <w:sz w:val="18"/>
                <w:szCs w:val="18"/>
              </w:rPr>
              <w:t xml:space="preserve"> refinement (meta-SPC 10)</w:t>
            </w:r>
          </w:p>
        </w:tc>
        <w:tc>
          <w:tcPr>
            <w:tcW w:w="1559" w:type="dxa"/>
            <w:tcBorders>
              <w:top w:val="nil"/>
              <w:left w:val="nil"/>
              <w:bottom w:val="single" w:sz="4" w:space="0" w:color="auto"/>
              <w:right w:val="single" w:sz="8" w:space="0" w:color="auto"/>
            </w:tcBorders>
            <w:shd w:val="clear" w:color="auto" w:fill="auto"/>
            <w:vAlign w:val="center"/>
          </w:tcPr>
          <w:p w14:paraId="7838779E" w14:textId="678FA7C1" w:rsidR="00931A9B" w:rsidRPr="007352CF" w:rsidRDefault="00931A9B" w:rsidP="0026429B">
            <w:pPr>
              <w:rPr>
                <w:rFonts w:cs="Calibri"/>
                <w:sz w:val="18"/>
                <w:szCs w:val="18"/>
              </w:rPr>
            </w:pPr>
            <w:r>
              <w:rPr>
                <w:rFonts w:cs="Calibri"/>
                <w:sz w:val="18"/>
                <w:szCs w:val="18"/>
              </w:rPr>
              <w:t>Soil</w:t>
            </w:r>
          </w:p>
        </w:tc>
        <w:tc>
          <w:tcPr>
            <w:tcW w:w="2835"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2951D891" w14:textId="7E776299" w:rsidR="00931A9B" w:rsidRDefault="00931A9B" w:rsidP="0026429B">
            <w:pPr>
              <w:rPr>
                <w:rFonts w:cs="Calibri"/>
                <w:sz w:val="18"/>
                <w:szCs w:val="18"/>
              </w:rPr>
            </w:pPr>
            <w:r>
              <w:rPr>
                <w:rFonts w:cs="Calibri"/>
                <w:sz w:val="18"/>
                <w:szCs w:val="18"/>
              </w:rPr>
              <w:t>1.6</w:t>
            </w:r>
            <w:r w:rsidR="00A1491A">
              <w:rPr>
                <w:rFonts w:cs="Calibri"/>
                <w:sz w:val="18"/>
                <w:szCs w:val="18"/>
              </w:rPr>
              <w:t>0</w:t>
            </w:r>
            <w:r>
              <w:rPr>
                <w:rFonts w:cs="Calibri"/>
                <w:sz w:val="18"/>
                <w:szCs w:val="18"/>
              </w:rPr>
              <w:t>E-03</w:t>
            </w:r>
          </w:p>
        </w:tc>
        <w:tc>
          <w:tcPr>
            <w:tcW w:w="1488"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43EE095E" w14:textId="77777777" w:rsidR="00931A9B" w:rsidRPr="007352CF" w:rsidRDefault="00931A9B" w:rsidP="0026429B">
            <w:pPr>
              <w:jc w:val="center"/>
              <w:rPr>
                <w:rFonts w:cs="Calibri"/>
                <w:sz w:val="18"/>
                <w:szCs w:val="18"/>
              </w:rPr>
            </w:pPr>
          </w:p>
        </w:tc>
      </w:tr>
      <w:tr w:rsidR="00E56B28" w:rsidRPr="00184ABF" w14:paraId="3BF3D11E" w14:textId="77777777" w:rsidTr="005F40FE">
        <w:tc>
          <w:tcPr>
            <w:tcW w:w="311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7DD900" w14:textId="77777777" w:rsidR="00E56B28" w:rsidRPr="007352CF" w:rsidRDefault="00E56B28" w:rsidP="005F40FE">
            <w:pPr>
              <w:rPr>
                <w:rFonts w:cs="Calibri"/>
                <w:sz w:val="18"/>
                <w:szCs w:val="18"/>
              </w:rPr>
            </w:pPr>
            <w:r w:rsidRPr="00D17F8B">
              <w:rPr>
                <w:rFonts w:cs="Calibri"/>
                <w:sz w:val="18"/>
                <w:szCs w:val="18"/>
              </w:rPr>
              <w:t>OTNE</w:t>
            </w:r>
            <w:r>
              <w:rPr>
                <w:rFonts w:cs="Calibri"/>
                <w:sz w:val="18"/>
                <w:szCs w:val="18"/>
              </w:rPr>
              <w:t xml:space="preserve"> (meta-SPC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FAB01C" w14:textId="77777777" w:rsidR="00E56B28" w:rsidRPr="007352CF" w:rsidRDefault="00E56B28" w:rsidP="005F40FE">
            <w:pPr>
              <w:rPr>
                <w:rFonts w:cs="Calibri"/>
                <w:sz w:val="18"/>
                <w:szCs w:val="18"/>
              </w:rPr>
            </w:pPr>
            <w:r w:rsidRPr="007352CF">
              <w:rPr>
                <w:rFonts w:cs="Calibri"/>
                <w:sz w:val="18"/>
                <w:szCs w:val="18"/>
              </w:rPr>
              <w:t>Soil</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5431D94" w14:textId="77777777" w:rsidR="00E56B28" w:rsidRPr="007352CF" w:rsidRDefault="00E56B28" w:rsidP="005F40FE">
            <w:pPr>
              <w:rPr>
                <w:rFonts w:cs="Calibri"/>
                <w:sz w:val="18"/>
                <w:szCs w:val="18"/>
              </w:rPr>
            </w:pPr>
            <w:r>
              <w:rPr>
                <w:rFonts w:cs="Calibri"/>
                <w:sz w:val="18"/>
                <w:szCs w:val="18"/>
              </w:rPr>
              <w:t>1.80</w:t>
            </w:r>
            <w:r w:rsidRPr="007352CF">
              <w:rPr>
                <w:rFonts w:cs="Calibri"/>
                <w:sz w:val="18"/>
                <w:szCs w:val="18"/>
              </w:rPr>
              <w:t>E-0</w:t>
            </w:r>
            <w:r>
              <w:rPr>
                <w:rFonts w:cs="Calibri"/>
                <w:sz w:val="18"/>
                <w:szCs w:val="18"/>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D296E6" w14:textId="77777777" w:rsidR="00E56B28" w:rsidRPr="007352CF" w:rsidRDefault="00E56B28" w:rsidP="005F40FE">
            <w:pPr>
              <w:jc w:val="center"/>
              <w:rPr>
                <w:rFonts w:cs="Calibri"/>
                <w:sz w:val="18"/>
                <w:szCs w:val="18"/>
              </w:rPr>
            </w:pPr>
          </w:p>
        </w:tc>
      </w:tr>
      <w:tr w:rsidR="00E56B28" w:rsidRPr="00184ABF" w14:paraId="07372483" w14:textId="77777777" w:rsidTr="00D518B9">
        <w:tc>
          <w:tcPr>
            <w:tcW w:w="311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3AA4464" w14:textId="77777777" w:rsidR="00E56B28" w:rsidRDefault="00E56B28" w:rsidP="005F40FE">
            <w:pPr>
              <w:rPr>
                <w:rFonts w:cs="Calibri"/>
                <w:sz w:val="18"/>
                <w:szCs w:val="18"/>
              </w:rPr>
            </w:pPr>
            <w:r w:rsidRPr="00D17F8B">
              <w:rPr>
                <w:rFonts w:cs="Calibri"/>
                <w:sz w:val="18"/>
                <w:szCs w:val="18"/>
              </w:rPr>
              <w:t>OTNE</w:t>
            </w:r>
            <w:r>
              <w:rPr>
                <w:rFonts w:cs="Calibri"/>
                <w:sz w:val="18"/>
                <w:szCs w:val="18"/>
              </w:rPr>
              <w:t xml:space="preserve"> refinement (meta-SPC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E77AA" w14:textId="77777777" w:rsidR="00E56B28" w:rsidRPr="007352CF" w:rsidRDefault="00E56B28" w:rsidP="005F40FE">
            <w:pPr>
              <w:rPr>
                <w:rFonts w:cs="Calibri"/>
                <w:sz w:val="18"/>
                <w:szCs w:val="18"/>
              </w:rPr>
            </w:pPr>
            <w:r>
              <w:rPr>
                <w:rFonts w:cs="Calibri"/>
                <w:sz w:val="18"/>
                <w:szCs w:val="18"/>
              </w:rPr>
              <w:t>Soil</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11653C" w14:textId="77777777" w:rsidR="00E56B28" w:rsidRDefault="00E56B28" w:rsidP="005F40FE">
            <w:pPr>
              <w:rPr>
                <w:rFonts w:cs="Calibri"/>
                <w:sz w:val="18"/>
                <w:szCs w:val="18"/>
              </w:rPr>
            </w:pPr>
            <w:r>
              <w:rPr>
                <w:rFonts w:cs="Calibri"/>
                <w:sz w:val="18"/>
                <w:szCs w:val="18"/>
              </w:rPr>
              <w:t>1.80E-04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659CA4" w14:textId="77777777" w:rsidR="00E56B28" w:rsidRDefault="00E56B28" w:rsidP="005F40FE">
            <w:pPr>
              <w:jc w:val="center"/>
              <w:rPr>
                <w:rFonts w:cs="Calibri"/>
                <w:sz w:val="18"/>
                <w:szCs w:val="18"/>
              </w:rPr>
            </w:pPr>
          </w:p>
        </w:tc>
      </w:tr>
      <w:tr w:rsidR="00E56B28" w:rsidRPr="00184ABF" w14:paraId="071846B9" w14:textId="77777777" w:rsidTr="00D518B9">
        <w:tc>
          <w:tcPr>
            <w:tcW w:w="3119"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03D17481" w14:textId="00CD8A64" w:rsidR="00E56B28" w:rsidRPr="00770B5D" w:rsidRDefault="00E56B28" w:rsidP="005F40FE">
            <w:pPr>
              <w:rPr>
                <w:rFonts w:cs="Calibri"/>
                <w:b/>
                <w:sz w:val="18"/>
                <w:szCs w:val="18"/>
              </w:rPr>
            </w:pPr>
            <w:r w:rsidRPr="00770B5D">
              <w:rPr>
                <w:rFonts w:cs="Calibri"/>
                <w:b/>
                <w:sz w:val="18"/>
                <w:szCs w:val="18"/>
              </w:rPr>
              <w:t>Indirect release via the STP</w:t>
            </w:r>
          </w:p>
        </w:tc>
        <w:tc>
          <w:tcPr>
            <w:tcW w:w="1559" w:type="dxa"/>
            <w:tcBorders>
              <w:top w:val="single" w:sz="4" w:space="0" w:color="auto"/>
              <w:left w:val="nil"/>
              <w:bottom w:val="single" w:sz="4" w:space="0" w:color="auto"/>
              <w:right w:val="nil"/>
            </w:tcBorders>
            <w:shd w:val="clear" w:color="auto" w:fill="auto"/>
            <w:vAlign w:val="center"/>
          </w:tcPr>
          <w:p w14:paraId="156F1C9B" w14:textId="77777777" w:rsidR="00E56B28" w:rsidRDefault="00E56B28" w:rsidP="005F40FE">
            <w:pPr>
              <w:rPr>
                <w:rFonts w:cs="Calibri"/>
                <w:sz w:val="18"/>
                <w:szCs w:val="18"/>
              </w:rPr>
            </w:pPr>
          </w:p>
        </w:tc>
        <w:tc>
          <w:tcPr>
            <w:tcW w:w="2835"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62A9326F" w14:textId="77777777" w:rsidR="00E56B28" w:rsidRDefault="00E56B28" w:rsidP="005F40FE">
            <w:pPr>
              <w:rPr>
                <w:rFonts w:cs="Calibri"/>
                <w:sz w:val="18"/>
                <w:szCs w:val="18"/>
              </w:rPr>
            </w:pPr>
          </w:p>
        </w:tc>
        <w:tc>
          <w:tcPr>
            <w:tcW w:w="1488"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1000BB25" w14:textId="77777777" w:rsidR="00E56B28" w:rsidRDefault="00E56B28" w:rsidP="005F40FE">
            <w:pPr>
              <w:jc w:val="center"/>
              <w:rPr>
                <w:rFonts w:cs="Calibri"/>
                <w:sz w:val="18"/>
                <w:szCs w:val="18"/>
              </w:rPr>
            </w:pPr>
          </w:p>
        </w:tc>
      </w:tr>
      <w:tr w:rsidR="002F354D" w:rsidRPr="00184ABF" w14:paraId="35B6E51F" w14:textId="77777777" w:rsidTr="00D518B9">
        <w:tc>
          <w:tcPr>
            <w:tcW w:w="3119" w:type="dxa"/>
            <w:tcBorders>
              <w:top w:val="single" w:sz="4" w:space="0" w:color="auto"/>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19908EF9" w14:textId="1F901399" w:rsidR="002F354D" w:rsidRPr="007352CF" w:rsidRDefault="002F078C" w:rsidP="00931A9B">
            <w:pPr>
              <w:rPr>
                <w:rFonts w:cs="Calibri"/>
                <w:sz w:val="18"/>
                <w:szCs w:val="18"/>
              </w:rPr>
            </w:pPr>
            <w:r w:rsidRPr="007352CF">
              <w:rPr>
                <w:rFonts w:cs="Calibri"/>
                <w:sz w:val="18"/>
                <w:szCs w:val="18"/>
              </w:rPr>
              <w:t>L(+) Lactic acid</w:t>
            </w:r>
            <w:r>
              <w:rPr>
                <w:rFonts w:cs="Calibri"/>
                <w:sz w:val="18"/>
                <w:szCs w:val="18"/>
              </w:rPr>
              <w:t xml:space="preserve"> </w:t>
            </w:r>
            <w:r w:rsidR="00931A9B">
              <w:rPr>
                <w:rFonts w:cs="Calibri"/>
                <w:sz w:val="18"/>
                <w:szCs w:val="18"/>
              </w:rPr>
              <w:t>(meta-SPC 9)</w:t>
            </w:r>
          </w:p>
        </w:tc>
        <w:tc>
          <w:tcPr>
            <w:tcW w:w="1559" w:type="dxa"/>
            <w:tcBorders>
              <w:top w:val="single" w:sz="4" w:space="0" w:color="auto"/>
              <w:left w:val="nil"/>
              <w:bottom w:val="single" w:sz="4" w:space="0" w:color="auto"/>
              <w:right w:val="single" w:sz="8" w:space="0" w:color="auto"/>
            </w:tcBorders>
            <w:shd w:val="clear" w:color="auto" w:fill="auto"/>
            <w:vAlign w:val="center"/>
          </w:tcPr>
          <w:p w14:paraId="59C9AB9D" w14:textId="56BDF4DA" w:rsidR="002F354D" w:rsidRPr="007352CF" w:rsidRDefault="002F354D" w:rsidP="0026429B">
            <w:pPr>
              <w:rPr>
                <w:rFonts w:cs="Calibri"/>
                <w:sz w:val="18"/>
                <w:szCs w:val="18"/>
              </w:rPr>
            </w:pPr>
            <w:r>
              <w:rPr>
                <w:rFonts w:cs="Calibri"/>
                <w:sz w:val="18"/>
                <w:szCs w:val="18"/>
              </w:rPr>
              <w:t>STP</w:t>
            </w:r>
          </w:p>
        </w:tc>
        <w:tc>
          <w:tcPr>
            <w:tcW w:w="2835"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28C998FA" w14:textId="6A9E8484" w:rsidR="002F354D" w:rsidRDefault="006B4703" w:rsidP="0026429B">
            <w:pPr>
              <w:rPr>
                <w:rFonts w:cs="Calibri"/>
                <w:sz w:val="18"/>
                <w:szCs w:val="18"/>
              </w:rPr>
            </w:pPr>
            <w:r>
              <w:rPr>
                <w:rFonts w:cs="Calibri"/>
                <w:sz w:val="18"/>
                <w:szCs w:val="18"/>
              </w:rPr>
              <w:t>4.32</w:t>
            </w:r>
          </w:p>
        </w:tc>
        <w:tc>
          <w:tcPr>
            <w:tcW w:w="1488"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58FE7AB9" w14:textId="77777777" w:rsidR="002F354D" w:rsidRPr="007352CF" w:rsidRDefault="002F354D" w:rsidP="0026429B">
            <w:pPr>
              <w:jc w:val="center"/>
              <w:rPr>
                <w:rFonts w:cs="Calibri"/>
                <w:sz w:val="18"/>
                <w:szCs w:val="18"/>
              </w:rPr>
            </w:pPr>
          </w:p>
        </w:tc>
      </w:tr>
      <w:tr w:rsidR="002F078C" w:rsidRPr="00184ABF" w14:paraId="07561996" w14:textId="77777777" w:rsidTr="00D518B9">
        <w:tc>
          <w:tcPr>
            <w:tcW w:w="311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89743FE" w14:textId="5EB65044" w:rsidR="002F078C" w:rsidRPr="007352CF" w:rsidRDefault="002F078C" w:rsidP="002F078C">
            <w:pPr>
              <w:rPr>
                <w:rFonts w:cs="Calibri"/>
                <w:sz w:val="18"/>
                <w:szCs w:val="18"/>
              </w:rPr>
            </w:pPr>
            <w:r w:rsidRPr="00D17F8B">
              <w:rPr>
                <w:rFonts w:cs="Calibri"/>
                <w:sz w:val="18"/>
                <w:szCs w:val="18"/>
              </w:rPr>
              <w:t>OTNE</w:t>
            </w:r>
            <w:r>
              <w:rPr>
                <w:rFonts w:cs="Calibri"/>
                <w:sz w:val="18"/>
                <w:szCs w:val="18"/>
              </w:rPr>
              <w:t xml:space="preserve"> (meta-SPC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84F59" w14:textId="4B7BCB2A" w:rsidR="002F078C" w:rsidRPr="007352CF" w:rsidRDefault="002F078C" w:rsidP="002F078C">
            <w:pPr>
              <w:rPr>
                <w:rFonts w:cs="Calibri"/>
                <w:sz w:val="18"/>
                <w:szCs w:val="18"/>
              </w:rPr>
            </w:pPr>
            <w:r>
              <w:rPr>
                <w:rFonts w:cs="Calibri"/>
                <w:sz w:val="18"/>
                <w:szCs w:val="18"/>
              </w:rPr>
              <w:t>STP</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5A8EEB5" w14:textId="2F38F3DD" w:rsidR="002F078C" w:rsidRDefault="002F078C" w:rsidP="002F078C">
            <w:pPr>
              <w:rPr>
                <w:rFonts w:cs="Calibri"/>
                <w:sz w:val="18"/>
                <w:szCs w:val="18"/>
              </w:rPr>
            </w:pPr>
            <w:r>
              <w:rPr>
                <w:rFonts w:cs="Calibri"/>
                <w:sz w:val="18"/>
                <w:szCs w:val="18"/>
              </w:rPr>
              <w:t>1.62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DA8CBE" w14:textId="77777777" w:rsidR="002F078C" w:rsidRPr="007352CF" w:rsidRDefault="002F078C" w:rsidP="002F078C">
            <w:pPr>
              <w:jc w:val="center"/>
              <w:rPr>
                <w:rFonts w:cs="Calibri"/>
                <w:sz w:val="18"/>
                <w:szCs w:val="18"/>
              </w:rPr>
            </w:pPr>
          </w:p>
        </w:tc>
      </w:tr>
      <w:tr w:rsidR="002F078C" w:rsidRPr="00184ABF" w14:paraId="5BE0FD2B" w14:textId="77777777" w:rsidTr="00D518B9">
        <w:tc>
          <w:tcPr>
            <w:tcW w:w="311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1C3DF4" w14:textId="6AB3E1FC" w:rsidR="002F078C" w:rsidRDefault="002F078C" w:rsidP="002F078C">
            <w:pPr>
              <w:rPr>
                <w:rFonts w:cs="Calibri"/>
                <w:sz w:val="18"/>
                <w:szCs w:val="18"/>
              </w:rPr>
            </w:pPr>
            <w:r w:rsidRPr="00D17F8B">
              <w:rPr>
                <w:rFonts w:cs="Calibri"/>
                <w:sz w:val="18"/>
                <w:szCs w:val="18"/>
              </w:rPr>
              <w:t>OTNE</w:t>
            </w:r>
            <w:r>
              <w:rPr>
                <w:rFonts w:cs="Calibri"/>
                <w:sz w:val="18"/>
                <w:szCs w:val="18"/>
              </w:rPr>
              <w:t xml:space="preserve"> refinement (meta-SPC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1A83D" w14:textId="163F4160" w:rsidR="002F078C" w:rsidRDefault="002F078C" w:rsidP="002F078C">
            <w:pPr>
              <w:rPr>
                <w:rFonts w:cs="Calibri"/>
                <w:sz w:val="18"/>
                <w:szCs w:val="18"/>
              </w:rPr>
            </w:pPr>
            <w:r>
              <w:rPr>
                <w:rFonts w:cs="Calibri"/>
                <w:sz w:val="18"/>
                <w:szCs w:val="18"/>
              </w:rPr>
              <w:t>STP</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1FE388" w14:textId="57A54953" w:rsidR="002F078C" w:rsidRDefault="00931A9B" w:rsidP="002F078C">
            <w:pPr>
              <w:rPr>
                <w:rFonts w:cs="Calibri"/>
                <w:sz w:val="18"/>
                <w:szCs w:val="18"/>
              </w:rPr>
            </w:pPr>
            <w:r>
              <w:rPr>
                <w:rFonts w:cs="Calibri"/>
                <w:sz w:val="18"/>
                <w:szCs w:val="18"/>
              </w:rPr>
              <w:t>1.62E-01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68BB29" w14:textId="56D5803B" w:rsidR="002F078C" w:rsidRDefault="002F078C" w:rsidP="002F078C">
            <w:pPr>
              <w:jc w:val="center"/>
              <w:rPr>
                <w:rFonts w:cs="Calibri"/>
                <w:sz w:val="18"/>
                <w:szCs w:val="18"/>
              </w:rPr>
            </w:pPr>
          </w:p>
        </w:tc>
      </w:tr>
    </w:tbl>
    <w:p w14:paraId="136F51A5" w14:textId="3CD98719" w:rsidR="0073642B" w:rsidRPr="001545DC" w:rsidRDefault="0073642B" w:rsidP="0073642B">
      <w:pPr>
        <w:jc w:val="both"/>
        <w:rPr>
          <w:rFonts w:eastAsia="Calibri" w:cs="Arial"/>
          <w:lang w:eastAsia="en-US"/>
        </w:rPr>
      </w:pPr>
    </w:p>
    <w:p w14:paraId="27B3C5BC" w14:textId="77777777" w:rsidR="0073642B" w:rsidRDefault="0073642B" w:rsidP="0073642B">
      <w:pPr>
        <w:spacing w:line="276" w:lineRule="auto"/>
        <w:rPr>
          <w:rFonts w:eastAsia="Calibri"/>
          <w:b/>
          <w:bCs/>
          <w:lang w:eastAsia="en-US"/>
        </w:rPr>
      </w:pPr>
    </w:p>
    <w:p w14:paraId="36B58B99" w14:textId="34AB2BF5" w:rsidR="0073642B" w:rsidRDefault="00BC6C9B" w:rsidP="0084573E">
      <w:pPr>
        <w:pStyle w:val="Titre5"/>
      </w:pPr>
      <w:r>
        <w:t>PT</w:t>
      </w:r>
      <w:r w:rsidR="008147D5">
        <w:t>04 -</w:t>
      </w:r>
      <w:r w:rsidDel="00FE733D">
        <w:t xml:space="preserve"> </w:t>
      </w:r>
      <w:r w:rsidR="0073642B" w:rsidRPr="00B27CB1">
        <w:t xml:space="preserve">Scenario </w:t>
      </w:r>
      <w:r w:rsidR="002F354D">
        <w:t>7</w:t>
      </w:r>
      <w:r w:rsidR="0073642B" w:rsidRPr="00896F37">
        <w:rPr>
          <w:color w:val="221E1F"/>
          <w:lang w:val="en-US"/>
        </w:rPr>
        <w:t xml:space="preserve"> </w:t>
      </w:r>
      <w:r w:rsidR="0073642B">
        <w:t xml:space="preserve">Indoor - </w:t>
      </w:r>
      <w:r w:rsidR="0073642B" w:rsidRPr="00581688">
        <w:t>Private use of disinfectants used in food and feed areas</w:t>
      </w:r>
    </w:p>
    <w:p w14:paraId="6DB93F4D" w14:textId="77777777" w:rsidR="0073642B" w:rsidRDefault="0073642B" w:rsidP="0073642B">
      <w:pPr>
        <w:spacing w:line="276" w:lineRule="auto"/>
        <w:rPr>
          <w:rFonts w:eastAsia="Calibri" w:cs="Times New Roman"/>
          <w:bCs/>
          <w:lang w:eastAsia="en-US"/>
        </w:rPr>
      </w:pPr>
      <w:r>
        <w:rPr>
          <w:rFonts w:eastAsia="Calibri" w:cs="Times New Roman"/>
          <w:bCs/>
          <w:lang w:eastAsia="en-US"/>
        </w:rPr>
        <w:t xml:space="preserve">Covering </w:t>
      </w:r>
      <w:r w:rsidRPr="00896F37">
        <w:rPr>
          <w:rFonts w:eastAsia="Calibri" w:cs="Times New Roman"/>
          <w:bCs/>
          <w:lang w:eastAsia="en-US"/>
        </w:rPr>
        <w:t>Meta</w:t>
      </w:r>
      <w:r>
        <w:rPr>
          <w:rFonts w:eastAsia="Calibri" w:cs="Times New Roman"/>
          <w:bCs/>
          <w:lang w:eastAsia="en-US"/>
        </w:rPr>
        <w:t>-</w:t>
      </w:r>
      <w:r w:rsidRPr="00896F37">
        <w:rPr>
          <w:rFonts w:eastAsia="Calibri" w:cs="Times New Roman"/>
          <w:bCs/>
          <w:lang w:eastAsia="en-US"/>
        </w:rPr>
        <w:t xml:space="preserve">SPC </w:t>
      </w:r>
      <w:r>
        <w:rPr>
          <w:rFonts w:eastAsia="Calibri" w:cs="Times New Roman"/>
          <w:bCs/>
          <w:lang w:eastAsia="en-US"/>
        </w:rPr>
        <w:t>2</w:t>
      </w:r>
    </w:p>
    <w:p w14:paraId="76BE5B30" w14:textId="77777777" w:rsidR="0073642B" w:rsidRDefault="0073642B" w:rsidP="0073642B">
      <w:pPr>
        <w:jc w:val="both"/>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3936"/>
        <w:gridCol w:w="1451"/>
        <w:gridCol w:w="1560"/>
        <w:gridCol w:w="2135"/>
      </w:tblGrid>
      <w:tr w:rsidR="0073642B" w14:paraId="1B851865" w14:textId="77777777" w:rsidTr="00476D22">
        <w:trPr>
          <w:trHeight w:val="346"/>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FBD4821" w14:textId="77777777" w:rsidR="0073642B" w:rsidRPr="0032043C" w:rsidRDefault="0073642B" w:rsidP="00476D22">
            <w:pPr>
              <w:spacing w:before="60" w:after="60" w:line="260" w:lineRule="atLeast"/>
              <w:rPr>
                <w:rFonts w:eastAsia="Calibri"/>
                <w:b/>
                <w:sz w:val="18"/>
                <w:szCs w:val="18"/>
                <w:lang w:eastAsia="en-US"/>
              </w:rPr>
            </w:pPr>
            <w:r w:rsidRPr="0032043C">
              <w:rPr>
                <w:rFonts w:eastAsia="Calibri"/>
                <w:b/>
                <w:sz w:val="18"/>
                <w:szCs w:val="18"/>
                <w:lang w:eastAsia="en-US"/>
              </w:rPr>
              <w:t>Input parameters for calculating the local emission</w:t>
            </w:r>
          </w:p>
        </w:tc>
      </w:tr>
      <w:tr w:rsidR="0073642B" w14:paraId="1229C1FC" w14:textId="77777777" w:rsidTr="00476D22">
        <w:trPr>
          <w:trHeight w:val="75"/>
        </w:trPr>
        <w:tc>
          <w:tcPr>
            <w:tcW w:w="3936" w:type="dxa"/>
            <w:tcBorders>
              <w:top w:val="single" w:sz="4" w:space="0" w:color="000000"/>
              <w:left w:val="single" w:sz="4" w:space="0" w:color="000000"/>
              <w:bottom w:val="single" w:sz="4" w:space="0" w:color="000000"/>
            </w:tcBorders>
            <w:shd w:val="clear" w:color="auto" w:fill="auto"/>
            <w:vAlign w:val="center"/>
          </w:tcPr>
          <w:p w14:paraId="5C059EA6" w14:textId="77777777" w:rsidR="0073642B" w:rsidRPr="0032043C" w:rsidRDefault="0073642B" w:rsidP="00476D22">
            <w:pPr>
              <w:spacing w:before="60" w:after="60" w:line="260" w:lineRule="atLeast"/>
              <w:rPr>
                <w:rFonts w:eastAsia="Calibri" w:cs="Arial"/>
                <w:b/>
                <w:bCs/>
                <w:color w:val="000000"/>
                <w:sz w:val="18"/>
                <w:szCs w:val="18"/>
                <w:lang w:eastAsia="en-GB"/>
              </w:rPr>
            </w:pPr>
            <w:r w:rsidRPr="0032043C">
              <w:rPr>
                <w:rFonts w:eastAsia="Calibri" w:cs="Arial"/>
                <w:b/>
                <w:bCs/>
                <w:color w:val="000000"/>
                <w:sz w:val="18"/>
                <w:szCs w:val="18"/>
                <w:lang w:eastAsia="en-GB"/>
              </w:rPr>
              <w:t xml:space="preserve">Input </w:t>
            </w:r>
          </w:p>
        </w:tc>
        <w:tc>
          <w:tcPr>
            <w:tcW w:w="1451" w:type="dxa"/>
            <w:tcBorders>
              <w:top w:val="single" w:sz="4" w:space="0" w:color="000000"/>
              <w:left w:val="single" w:sz="4" w:space="0" w:color="000000"/>
              <w:bottom w:val="single" w:sz="4" w:space="0" w:color="000000"/>
            </w:tcBorders>
            <w:shd w:val="clear" w:color="auto" w:fill="auto"/>
            <w:vAlign w:val="center"/>
          </w:tcPr>
          <w:p w14:paraId="5EA43CD7" w14:textId="77777777" w:rsidR="0073642B" w:rsidRPr="0032043C" w:rsidRDefault="0073642B" w:rsidP="00476D22">
            <w:pPr>
              <w:spacing w:before="60" w:after="60" w:line="260" w:lineRule="atLeast"/>
              <w:rPr>
                <w:rFonts w:eastAsia="Calibri" w:cs="Arial"/>
                <w:b/>
                <w:bCs/>
                <w:color w:val="000000"/>
                <w:sz w:val="18"/>
                <w:szCs w:val="18"/>
                <w:lang w:eastAsia="en-GB"/>
              </w:rPr>
            </w:pPr>
            <w:r w:rsidRPr="0032043C">
              <w:rPr>
                <w:rFonts w:eastAsia="Calibri" w:cs="Arial"/>
                <w:b/>
                <w:bCs/>
                <w:color w:val="000000"/>
                <w:sz w:val="18"/>
                <w:szCs w:val="18"/>
                <w:lang w:eastAsia="en-GB"/>
              </w:rPr>
              <w:t xml:space="preserve">Value </w:t>
            </w:r>
          </w:p>
        </w:tc>
        <w:tc>
          <w:tcPr>
            <w:tcW w:w="1560" w:type="dxa"/>
            <w:tcBorders>
              <w:top w:val="single" w:sz="4" w:space="0" w:color="000000"/>
              <w:left w:val="single" w:sz="4" w:space="0" w:color="000000"/>
              <w:bottom w:val="single" w:sz="4" w:space="0" w:color="000000"/>
            </w:tcBorders>
            <w:shd w:val="clear" w:color="auto" w:fill="auto"/>
            <w:vAlign w:val="center"/>
          </w:tcPr>
          <w:p w14:paraId="5DBEEB94" w14:textId="77777777" w:rsidR="0073642B" w:rsidRPr="0032043C" w:rsidRDefault="0073642B" w:rsidP="00476D22">
            <w:pPr>
              <w:spacing w:before="60" w:after="60" w:line="260" w:lineRule="atLeast"/>
              <w:rPr>
                <w:rFonts w:eastAsia="Calibri" w:cs="Arial"/>
                <w:b/>
                <w:bCs/>
                <w:color w:val="000000"/>
                <w:sz w:val="18"/>
                <w:szCs w:val="18"/>
                <w:lang w:eastAsia="en-GB"/>
              </w:rPr>
            </w:pPr>
            <w:r w:rsidRPr="0032043C">
              <w:rPr>
                <w:rFonts w:eastAsia="Calibri" w:cs="Arial"/>
                <w:b/>
                <w:bCs/>
                <w:color w:val="000000"/>
                <w:sz w:val="18"/>
                <w:szCs w:val="18"/>
                <w:lang w:eastAsia="en-GB"/>
              </w:rPr>
              <w:t>Unit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870E" w14:textId="77777777" w:rsidR="0073642B" w:rsidRPr="0032043C" w:rsidRDefault="0073642B" w:rsidP="00476D22">
            <w:pPr>
              <w:spacing w:before="60" w:after="60" w:line="260" w:lineRule="atLeast"/>
              <w:rPr>
                <w:sz w:val="18"/>
                <w:szCs w:val="18"/>
              </w:rPr>
            </w:pPr>
            <w:r w:rsidRPr="0032043C">
              <w:rPr>
                <w:rFonts w:eastAsia="Calibri" w:cs="Arial"/>
                <w:b/>
                <w:bCs/>
                <w:color w:val="000000"/>
                <w:sz w:val="18"/>
                <w:szCs w:val="18"/>
                <w:lang w:eastAsia="en-GB"/>
              </w:rPr>
              <w:t>Remarks</w:t>
            </w:r>
          </w:p>
        </w:tc>
      </w:tr>
      <w:tr w:rsidR="0073642B" w14:paraId="120D0ACC" w14:textId="77777777" w:rsidTr="00476D22">
        <w:trPr>
          <w:trHeight w:val="75"/>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03A63B" w14:textId="42B87F16" w:rsidR="0073642B" w:rsidRPr="0032043C" w:rsidRDefault="0073642B" w:rsidP="00476D22">
            <w:pPr>
              <w:spacing w:before="60" w:after="60" w:line="260" w:lineRule="atLeast"/>
              <w:rPr>
                <w:sz w:val="18"/>
                <w:szCs w:val="18"/>
              </w:rPr>
            </w:pPr>
            <w:r w:rsidRPr="0032043C">
              <w:rPr>
                <w:rFonts w:eastAsia="Calibri"/>
                <w:color w:val="000000"/>
                <w:sz w:val="18"/>
                <w:szCs w:val="18"/>
                <w:lang w:eastAsia="en-GB"/>
              </w:rPr>
              <w:t xml:space="preserve">Scenario </w:t>
            </w:r>
            <w:r w:rsidR="002F354D">
              <w:rPr>
                <w:rFonts w:eastAsia="Calibri"/>
                <w:color w:val="000000"/>
                <w:sz w:val="18"/>
                <w:szCs w:val="18"/>
                <w:lang w:eastAsia="en-GB"/>
              </w:rPr>
              <w:t>7</w:t>
            </w:r>
            <w:r w:rsidRPr="0032043C">
              <w:rPr>
                <w:rFonts w:eastAsia="Calibri"/>
                <w:color w:val="000000"/>
                <w:sz w:val="18"/>
                <w:szCs w:val="18"/>
                <w:lang w:eastAsia="en-GB"/>
              </w:rPr>
              <w:t>:</w:t>
            </w:r>
            <w:r w:rsidRPr="0032043C">
              <w:rPr>
                <w:rFonts w:eastAsia="Calibri"/>
                <w:i/>
                <w:color w:val="FF0000"/>
                <w:sz w:val="18"/>
                <w:szCs w:val="18"/>
                <w:lang w:eastAsia="en-GB"/>
              </w:rPr>
              <w:t xml:space="preserve"> </w:t>
            </w:r>
            <w:r w:rsidRPr="0032043C">
              <w:rPr>
                <w:rFonts w:eastAsia="Calibri"/>
                <w:sz w:val="18"/>
                <w:szCs w:val="18"/>
                <w:lang w:eastAsia="en-US"/>
              </w:rPr>
              <w:t xml:space="preserve"> Indoor - Private use of disinfectants used in food and feed areas</w:t>
            </w:r>
          </w:p>
        </w:tc>
      </w:tr>
      <w:tr w:rsidR="0073642B" w14:paraId="638295AA"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1963E63D"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cs="Calibri"/>
                <w:sz w:val="18"/>
                <w:szCs w:val="18"/>
              </w:rPr>
              <w:t>Application rate of the biocidal product</w:t>
            </w:r>
          </w:p>
        </w:tc>
        <w:tc>
          <w:tcPr>
            <w:tcW w:w="1451" w:type="dxa"/>
            <w:tcBorders>
              <w:top w:val="single" w:sz="4" w:space="0" w:color="000000"/>
              <w:left w:val="single" w:sz="4" w:space="0" w:color="000000"/>
              <w:bottom w:val="single" w:sz="4" w:space="0" w:color="000000"/>
            </w:tcBorders>
            <w:shd w:val="clear" w:color="auto" w:fill="auto"/>
            <w:vAlign w:val="center"/>
          </w:tcPr>
          <w:p w14:paraId="2884797E"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35AD9D"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cs="Calibri"/>
                <w:sz w:val="18"/>
                <w:szCs w:val="18"/>
              </w:rPr>
              <w:t>L/m</w:t>
            </w:r>
            <w:r w:rsidRPr="0032043C">
              <w:rPr>
                <w:rFonts w:cs="Calibri"/>
                <w:sz w:val="18"/>
                <w:szCs w:val="18"/>
                <w:vertAlign w:val="superscript"/>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F524DE2"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Application rate of 0.04 L/m</w:t>
            </w:r>
            <w:r w:rsidRPr="0032043C">
              <w:rPr>
                <w:rFonts w:eastAsia="Calibri" w:cs="Arial"/>
                <w:color w:val="000000"/>
                <w:sz w:val="18"/>
                <w:szCs w:val="18"/>
                <w:vertAlign w:val="superscript"/>
                <w:lang w:eastAsia="en-GB"/>
              </w:rPr>
              <w:t>2</w:t>
            </w:r>
            <w:r w:rsidRPr="0032043C">
              <w:rPr>
                <w:rFonts w:eastAsia="Calibri" w:cs="Arial"/>
                <w:color w:val="000000"/>
                <w:sz w:val="18"/>
                <w:szCs w:val="18"/>
                <w:lang w:eastAsia="en-GB"/>
              </w:rPr>
              <w:t xml:space="preserve"> (TAB ENV 26) </w:t>
            </w:r>
          </w:p>
        </w:tc>
      </w:tr>
      <w:tr w:rsidR="0073642B" w14:paraId="7AB19E2C"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23B48E4D" w14:textId="77777777" w:rsidR="0073642B" w:rsidRPr="0084573E" w:rsidRDefault="0073642B" w:rsidP="0084573E">
            <w:pPr>
              <w:snapToGrid w:val="0"/>
              <w:spacing w:before="60" w:after="60" w:line="260" w:lineRule="atLeast"/>
              <w:rPr>
                <w:rFonts w:cs="Calibri"/>
                <w:sz w:val="18"/>
                <w:szCs w:val="18"/>
              </w:rPr>
            </w:pPr>
            <w:r w:rsidRPr="0032043C">
              <w:rPr>
                <w:rFonts w:cs="Calibri"/>
                <w:sz w:val="18"/>
                <w:szCs w:val="18"/>
              </w:rPr>
              <w:t>Concentration of active substance in biocidal product</w:t>
            </w:r>
          </w:p>
        </w:tc>
        <w:tc>
          <w:tcPr>
            <w:tcW w:w="1451" w:type="dxa"/>
            <w:tcBorders>
              <w:top w:val="single" w:sz="4" w:space="0" w:color="000000"/>
              <w:left w:val="single" w:sz="4" w:space="0" w:color="000000"/>
              <w:bottom w:val="single" w:sz="4" w:space="0" w:color="000000"/>
            </w:tcBorders>
            <w:shd w:val="clear" w:color="auto" w:fill="auto"/>
            <w:vAlign w:val="center"/>
          </w:tcPr>
          <w:p w14:paraId="60C3D6E5"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17EE80"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cs="Calibri"/>
                <w:sz w:val="18"/>
                <w:szCs w:val="18"/>
              </w:rPr>
              <w:t>g/L</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5258023" w14:textId="280B3021"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 xml:space="preserve">Concentration of 3.0% technical a.s. and </w:t>
            </w:r>
            <w:r w:rsidR="009B4803">
              <w:rPr>
                <w:sz w:val="18"/>
                <w:szCs w:val="18"/>
              </w:rPr>
              <w:t>c</w:t>
            </w:r>
            <w:r w:rsidR="009B4803" w:rsidRPr="001C6AF1">
              <w:rPr>
                <w:sz w:val="18"/>
                <w:szCs w:val="18"/>
                <w:lang w:val="en-US"/>
              </w:rPr>
              <w:t>onsidering that</w:t>
            </w:r>
            <w:r w:rsidR="00ED2ECB">
              <w:rPr>
                <w:sz w:val="18"/>
                <w:szCs w:val="18"/>
                <w:lang w:val="en-US"/>
              </w:rPr>
              <w:t xml:space="preserve"> </w:t>
            </w:r>
            <w:r w:rsidR="009B4803" w:rsidRPr="001C6AF1">
              <w:rPr>
                <w:sz w:val="18"/>
                <w:szCs w:val="18"/>
                <w:lang w:val="en-US"/>
              </w:rPr>
              <w:lastRenderedPageBreak/>
              <w:t>product density may vary from 1.004 to 1.077</w:t>
            </w:r>
            <w:r w:rsidR="00D115B1">
              <w:rPr>
                <w:sz w:val="18"/>
                <w:szCs w:val="18"/>
                <w:lang w:val="en-US"/>
              </w:rPr>
              <w:t xml:space="preserve"> for all meta-SPC</w:t>
            </w:r>
            <w:r w:rsidR="009B4803" w:rsidRPr="001C6AF1">
              <w:rPr>
                <w:sz w:val="18"/>
                <w:szCs w:val="18"/>
                <w:lang w:val="en-US"/>
              </w:rPr>
              <w:t>, a density of 1 is considered for the assessment</w:t>
            </w:r>
          </w:p>
        </w:tc>
      </w:tr>
      <w:tr w:rsidR="0073642B" w14:paraId="579462A6"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B0DE790" w14:textId="77777777" w:rsidR="0073642B" w:rsidRPr="0084573E" w:rsidRDefault="0073642B" w:rsidP="0084573E">
            <w:pPr>
              <w:snapToGrid w:val="0"/>
              <w:spacing w:before="60" w:after="60" w:line="260" w:lineRule="atLeast"/>
              <w:rPr>
                <w:rFonts w:cs="Calibri"/>
                <w:sz w:val="18"/>
                <w:szCs w:val="18"/>
              </w:rPr>
            </w:pPr>
            <w:r w:rsidRPr="0032043C">
              <w:rPr>
                <w:rFonts w:cs="Calibri"/>
                <w:sz w:val="18"/>
                <w:szCs w:val="18"/>
              </w:rPr>
              <w:lastRenderedPageBreak/>
              <w:t>Number of households feeding one STP</w:t>
            </w:r>
          </w:p>
        </w:tc>
        <w:tc>
          <w:tcPr>
            <w:tcW w:w="1451" w:type="dxa"/>
            <w:tcBorders>
              <w:top w:val="single" w:sz="4" w:space="0" w:color="000000"/>
              <w:left w:val="single" w:sz="4" w:space="0" w:color="000000"/>
              <w:bottom w:val="single" w:sz="4" w:space="0" w:color="000000"/>
            </w:tcBorders>
            <w:shd w:val="clear" w:color="auto" w:fill="auto"/>
            <w:vAlign w:val="center"/>
          </w:tcPr>
          <w:p w14:paraId="2F79303E"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4000</w:t>
            </w:r>
          </w:p>
        </w:tc>
        <w:tc>
          <w:tcPr>
            <w:tcW w:w="1560" w:type="dxa"/>
            <w:tcBorders>
              <w:top w:val="nil"/>
              <w:left w:val="single" w:sz="4" w:space="0" w:color="auto"/>
              <w:bottom w:val="single" w:sz="4" w:space="0" w:color="auto"/>
              <w:right w:val="single" w:sz="4" w:space="0" w:color="auto"/>
            </w:tcBorders>
            <w:shd w:val="clear" w:color="auto" w:fill="auto"/>
            <w:vAlign w:val="center"/>
          </w:tcPr>
          <w:p w14:paraId="573C8573"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cs="Calibri"/>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7F31"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color w:val="000000"/>
                <w:sz w:val="18"/>
                <w:szCs w:val="18"/>
              </w:rPr>
              <w:t>Default</w:t>
            </w:r>
          </w:p>
        </w:tc>
      </w:tr>
      <w:tr w:rsidR="0073642B" w14:paraId="6E01A056"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72997110" w14:textId="77777777" w:rsidR="0073642B" w:rsidRPr="0084573E" w:rsidRDefault="0073642B" w:rsidP="0084573E">
            <w:pPr>
              <w:snapToGrid w:val="0"/>
              <w:spacing w:before="60" w:after="60" w:line="260" w:lineRule="atLeast"/>
              <w:rPr>
                <w:rFonts w:cs="Calibri"/>
                <w:sz w:val="18"/>
                <w:szCs w:val="18"/>
              </w:rPr>
            </w:pPr>
            <w:r w:rsidRPr="0032043C">
              <w:rPr>
                <w:rFonts w:cs="Calibri"/>
                <w:sz w:val="18"/>
                <w:szCs w:val="18"/>
              </w:rPr>
              <w:t>Fraction of households using product</w:t>
            </w:r>
          </w:p>
        </w:tc>
        <w:tc>
          <w:tcPr>
            <w:tcW w:w="1451" w:type="dxa"/>
            <w:tcBorders>
              <w:top w:val="single" w:sz="4" w:space="0" w:color="000000"/>
              <w:left w:val="single" w:sz="4" w:space="0" w:color="000000"/>
              <w:bottom w:val="single" w:sz="4" w:space="0" w:color="000000"/>
            </w:tcBorders>
            <w:shd w:val="clear" w:color="auto" w:fill="auto"/>
            <w:vAlign w:val="center"/>
          </w:tcPr>
          <w:p w14:paraId="03936F33"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0.1</w:t>
            </w:r>
          </w:p>
        </w:tc>
        <w:tc>
          <w:tcPr>
            <w:tcW w:w="1560" w:type="dxa"/>
            <w:tcBorders>
              <w:top w:val="nil"/>
              <w:left w:val="single" w:sz="4" w:space="0" w:color="auto"/>
              <w:bottom w:val="single" w:sz="4" w:space="0" w:color="auto"/>
              <w:right w:val="single" w:sz="4" w:space="0" w:color="auto"/>
            </w:tcBorders>
            <w:shd w:val="clear" w:color="auto" w:fill="auto"/>
            <w:vAlign w:val="center"/>
          </w:tcPr>
          <w:p w14:paraId="4A1D98B8"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cs="Calibri"/>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6C78B697"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color w:val="000000"/>
                <w:sz w:val="18"/>
                <w:szCs w:val="18"/>
              </w:rPr>
              <w:t>Default</w:t>
            </w:r>
          </w:p>
        </w:tc>
      </w:tr>
      <w:tr w:rsidR="0073642B" w14:paraId="3EA0D9D3"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F70E938" w14:textId="77777777" w:rsidR="0073642B" w:rsidRPr="0032043C" w:rsidRDefault="0073642B" w:rsidP="0084573E">
            <w:pPr>
              <w:snapToGrid w:val="0"/>
              <w:spacing w:before="60" w:after="60" w:line="260" w:lineRule="atLeast"/>
              <w:rPr>
                <w:rFonts w:cs="Calibri"/>
                <w:sz w:val="18"/>
                <w:szCs w:val="18"/>
              </w:rPr>
            </w:pPr>
            <w:r w:rsidRPr="0032043C">
              <w:rPr>
                <w:rFonts w:cs="Calibri"/>
                <w:sz w:val="18"/>
                <w:szCs w:val="18"/>
              </w:rPr>
              <w:t>Disinfected surface area of a private kitchen</w:t>
            </w:r>
          </w:p>
        </w:tc>
        <w:tc>
          <w:tcPr>
            <w:tcW w:w="1451" w:type="dxa"/>
            <w:tcBorders>
              <w:top w:val="single" w:sz="4" w:space="0" w:color="000000"/>
              <w:left w:val="single" w:sz="4" w:space="0" w:color="000000"/>
              <w:bottom w:val="single" w:sz="4" w:space="0" w:color="000000"/>
            </w:tcBorders>
            <w:shd w:val="clear" w:color="auto" w:fill="auto"/>
            <w:vAlign w:val="center"/>
          </w:tcPr>
          <w:p w14:paraId="39AFEB6D"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2</w:t>
            </w:r>
          </w:p>
        </w:tc>
        <w:tc>
          <w:tcPr>
            <w:tcW w:w="1560" w:type="dxa"/>
            <w:tcBorders>
              <w:top w:val="nil"/>
              <w:left w:val="single" w:sz="4" w:space="0" w:color="auto"/>
              <w:bottom w:val="single" w:sz="4" w:space="0" w:color="auto"/>
              <w:right w:val="single" w:sz="4" w:space="0" w:color="auto"/>
            </w:tcBorders>
            <w:shd w:val="clear" w:color="auto" w:fill="auto"/>
            <w:vAlign w:val="center"/>
          </w:tcPr>
          <w:p w14:paraId="2CE78586" w14:textId="77777777" w:rsidR="0073642B" w:rsidRPr="0032043C" w:rsidRDefault="0073642B" w:rsidP="00476D22">
            <w:pPr>
              <w:snapToGrid w:val="0"/>
              <w:spacing w:before="60" w:after="60" w:line="260" w:lineRule="atLeast"/>
              <w:rPr>
                <w:color w:val="000000"/>
                <w:sz w:val="18"/>
                <w:szCs w:val="18"/>
              </w:rPr>
            </w:pPr>
            <w:r w:rsidRPr="0032043C">
              <w:rPr>
                <w:rFonts w:cs="Calibri"/>
                <w:sz w:val="18"/>
                <w:szCs w:val="18"/>
              </w:rPr>
              <w:t>m</w:t>
            </w:r>
            <w:r w:rsidRPr="0032043C">
              <w:rPr>
                <w:rFonts w:cs="Calibri"/>
                <w:sz w:val="18"/>
                <w:szCs w:val="18"/>
                <w:vertAlign w:val="superscript"/>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48FA1FC0" w14:textId="77777777" w:rsidR="0073642B" w:rsidRPr="0032043C" w:rsidRDefault="0073642B" w:rsidP="00476D22">
            <w:pPr>
              <w:snapToGrid w:val="0"/>
              <w:spacing w:before="60" w:after="60" w:line="260" w:lineRule="atLeast"/>
              <w:rPr>
                <w:color w:val="000000"/>
                <w:sz w:val="18"/>
                <w:szCs w:val="18"/>
              </w:rPr>
            </w:pPr>
            <w:r w:rsidRPr="0032043C">
              <w:rPr>
                <w:color w:val="000000"/>
                <w:sz w:val="18"/>
                <w:szCs w:val="18"/>
              </w:rPr>
              <w:t>Default</w:t>
            </w:r>
          </w:p>
        </w:tc>
      </w:tr>
      <w:tr w:rsidR="0073642B" w14:paraId="419A0ABF"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BD13BA9" w14:textId="77777777" w:rsidR="0073642B" w:rsidRPr="0032043C" w:rsidRDefault="0073642B" w:rsidP="0084573E">
            <w:pPr>
              <w:snapToGrid w:val="0"/>
              <w:spacing w:before="60" w:after="60" w:line="260" w:lineRule="atLeast"/>
              <w:rPr>
                <w:rFonts w:cs="Calibri"/>
                <w:sz w:val="18"/>
                <w:szCs w:val="18"/>
              </w:rPr>
            </w:pPr>
            <w:r w:rsidRPr="0032043C">
              <w:rPr>
                <w:rFonts w:cs="Calibri"/>
                <w:sz w:val="18"/>
                <w:szCs w:val="18"/>
              </w:rPr>
              <w:t>Number of applications</w:t>
            </w:r>
          </w:p>
        </w:tc>
        <w:tc>
          <w:tcPr>
            <w:tcW w:w="1451" w:type="dxa"/>
            <w:tcBorders>
              <w:top w:val="single" w:sz="4" w:space="0" w:color="000000"/>
              <w:left w:val="single" w:sz="4" w:space="0" w:color="000000"/>
              <w:bottom w:val="single" w:sz="4" w:space="0" w:color="000000"/>
            </w:tcBorders>
            <w:shd w:val="clear" w:color="auto" w:fill="auto"/>
            <w:vAlign w:val="center"/>
          </w:tcPr>
          <w:p w14:paraId="64EA8B39"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EBF8D4" w14:textId="77777777" w:rsidR="0073642B" w:rsidRPr="0032043C" w:rsidRDefault="0073642B" w:rsidP="00476D22">
            <w:pPr>
              <w:snapToGrid w:val="0"/>
              <w:spacing w:before="60" w:after="60" w:line="260" w:lineRule="atLeast"/>
              <w:rPr>
                <w:color w:val="000000"/>
                <w:sz w:val="18"/>
                <w:szCs w:val="18"/>
              </w:rPr>
            </w:pPr>
            <w:r w:rsidRPr="0032043C">
              <w:rPr>
                <w:rFonts w:cs="Calibri"/>
                <w:sz w:val="18"/>
                <w:szCs w:val="18"/>
              </w:rPr>
              <w:t>1/d</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BB59ECE" w14:textId="77777777" w:rsidR="0073642B" w:rsidRPr="0032043C" w:rsidRDefault="0073642B" w:rsidP="00476D22">
            <w:pPr>
              <w:snapToGrid w:val="0"/>
              <w:spacing w:before="60" w:after="60" w:line="260" w:lineRule="atLeast"/>
              <w:rPr>
                <w:color w:val="000000"/>
                <w:sz w:val="18"/>
                <w:szCs w:val="18"/>
              </w:rPr>
            </w:pPr>
            <w:r w:rsidRPr="0032043C">
              <w:rPr>
                <w:color w:val="000000"/>
                <w:sz w:val="18"/>
                <w:szCs w:val="18"/>
              </w:rPr>
              <w:t>Default</w:t>
            </w:r>
          </w:p>
        </w:tc>
      </w:tr>
      <w:tr w:rsidR="0073642B" w14:paraId="53E5E220"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4D9B06EB" w14:textId="77777777" w:rsidR="0073642B" w:rsidRPr="0032043C" w:rsidRDefault="0073642B" w:rsidP="0084573E">
            <w:pPr>
              <w:snapToGrid w:val="0"/>
              <w:spacing w:before="60" w:after="60" w:line="260" w:lineRule="atLeast"/>
              <w:rPr>
                <w:rFonts w:cs="Calibri"/>
                <w:sz w:val="18"/>
                <w:szCs w:val="18"/>
              </w:rPr>
            </w:pPr>
            <w:r w:rsidRPr="0032043C">
              <w:rPr>
                <w:rFonts w:cs="Calibri"/>
                <w:sz w:val="18"/>
                <w:szCs w:val="18"/>
              </w:rPr>
              <w:t>Fraction Released to wastewater</w:t>
            </w:r>
          </w:p>
        </w:tc>
        <w:tc>
          <w:tcPr>
            <w:tcW w:w="1451" w:type="dxa"/>
            <w:tcBorders>
              <w:top w:val="single" w:sz="4" w:space="0" w:color="000000"/>
              <w:left w:val="single" w:sz="4" w:space="0" w:color="000000"/>
              <w:bottom w:val="single" w:sz="4" w:space="0" w:color="000000"/>
            </w:tcBorders>
            <w:shd w:val="clear" w:color="auto" w:fill="auto"/>
            <w:vAlign w:val="center"/>
          </w:tcPr>
          <w:p w14:paraId="4F6554CA"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D72A70A" w14:textId="77777777" w:rsidR="0073642B" w:rsidRPr="0032043C" w:rsidRDefault="0073642B" w:rsidP="00476D22">
            <w:pPr>
              <w:snapToGrid w:val="0"/>
              <w:spacing w:before="60" w:after="60" w:line="260" w:lineRule="atLeast"/>
              <w:rPr>
                <w:color w:val="000000"/>
                <w:sz w:val="18"/>
                <w:szCs w:val="18"/>
              </w:rPr>
            </w:pPr>
            <w:r w:rsidRPr="0032043C">
              <w:rPr>
                <w:rFonts w:cs="Calibri"/>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27F2CC9" w14:textId="77777777" w:rsidR="0073642B" w:rsidRPr="0032043C" w:rsidRDefault="0073642B" w:rsidP="00476D22">
            <w:pPr>
              <w:snapToGrid w:val="0"/>
              <w:spacing w:before="60" w:after="60" w:line="260" w:lineRule="atLeast"/>
              <w:rPr>
                <w:color w:val="000000"/>
                <w:sz w:val="18"/>
                <w:szCs w:val="18"/>
              </w:rPr>
            </w:pPr>
            <w:r w:rsidRPr="0032043C">
              <w:rPr>
                <w:color w:val="000000"/>
                <w:sz w:val="18"/>
                <w:szCs w:val="18"/>
              </w:rPr>
              <w:t>Default</w:t>
            </w:r>
          </w:p>
        </w:tc>
      </w:tr>
      <w:tr w:rsidR="0073642B" w14:paraId="7EBBDE10"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3520CDED" w14:textId="77777777" w:rsidR="0073642B" w:rsidRPr="0032043C" w:rsidRDefault="0073642B" w:rsidP="0084573E">
            <w:pPr>
              <w:snapToGrid w:val="0"/>
              <w:spacing w:before="60" w:after="60" w:line="260" w:lineRule="atLeast"/>
              <w:rPr>
                <w:rFonts w:cs="Calibri"/>
                <w:sz w:val="18"/>
                <w:szCs w:val="18"/>
              </w:rPr>
            </w:pPr>
            <w:r w:rsidRPr="0032043C">
              <w:rPr>
                <w:rFonts w:cs="Calibri"/>
                <w:sz w:val="18"/>
                <w:szCs w:val="18"/>
              </w:rPr>
              <w:t>Fraction released to air</w:t>
            </w:r>
          </w:p>
        </w:tc>
        <w:tc>
          <w:tcPr>
            <w:tcW w:w="1451" w:type="dxa"/>
            <w:tcBorders>
              <w:top w:val="single" w:sz="4" w:space="0" w:color="000000"/>
              <w:left w:val="single" w:sz="4" w:space="0" w:color="000000"/>
              <w:bottom w:val="single" w:sz="4" w:space="0" w:color="000000"/>
            </w:tcBorders>
            <w:shd w:val="clear" w:color="auto" w:fill="auto"/>
            <w:vAlign w:val="center"/>
          </w:tcPr>
          <w:p w14:paraId="4688D0F1"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0</w:t>
            </w:r>
          </w:p>
        </w:tc>
        <w:tc>
          <w:tcPr>
            <w:tcW w:w="1560" w:type="dxa"/>
            <w:tcBorders>
              <w:top w:val="nil"/>
              <w:left w:val="single" w:sz="4" w:space="0" w:color="auto"/>
              <w:bottom w:val="single" w:sz="4" w:space="0" w:color="auto"/>
              <w:right w:val="single" w:sz="4" w:space="0" w:color="auto"/>
            </w:tcBorders>
            <w:shd w:val="clear" w:color="auto" w:fill="auto"/>
            <w:vAlign w:val="center"/>
          </w:tcPr>
          <w:p w14:paraId="09C49136" w14:textId="77777777" w:rsidR="0073642B" w:rsidRPr="0032043C" w:rsidRDefault="0073642B" w:rsidP="00476D22">
            <w:pPr>
              <w:snapToGrid w:val="0"/>
              <w:spacing w:before="60" w:after="60" w:line="260" w:lineRule="atLeast"/>
              <w:rPr>
                <w:color w:val="000000"/>
                <w:sz w:val="18"/>
                <w:szCs w:val="18"/>
              </w:rPr>
            </w:pPr>
            <w:r w:rsidRPr="0032043C">
              <w:rPr>
                <w:rFonts w:cs="Calibri"/>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503680F" w14:textId="77777777" w:rsidR="0073642B" w:rsidRPr="0032043C" w:rsidRDefault="0073642B" w:rsidP="00476D22">
            <w:pPr>
              <w:snapToGrid w:val="0"/>
              <w:spacing w:before="60" w:after="60" w:line="260" w:lineRule="atLeast"/>
              <w:rPr>
                <w:color w:val="000000"/>
                <w:sz w:val="18"/>
                <w:szCs w:val="18"/>
              </w:rPr>
            </w:pPr>
            <w:r w:rsidRPr="0032043C">
              <w:rPr>
                <w:color w:val="000000"/>
                <w:sz w:val="18"/>
                <w:szCs w:val="18"/>
              </w:rPr>
              <w:t>Default</w:t>
            </w:r>
          </w:p>
        </w:tc>
      </w:tr>
      <w:tr w:rsidR="0073642B" w14:paraId="6F28F1BC" w14:textId="77777777" w:rsidTr="00476D22">
        <w:trPr>
          <w:trHeight w:val="93"/>
        </w:trPr>
        <w:tc>
          <w:tcPr>
            <w:tcW w:w="3936" w:type="dxa"/>
            <w:tcBorders>
              <w:top w:val="single" w:sz="4" w:space="0" w:color="000000"/>
              <w:left w:val="single" w:sz="4" w:space="0" w:color="000000"/>
              <w:bottom w:val="single" w:sz="4" w:space="0" w:color="000000"/>
            </w:tcBorders>
            <w:shd w:val="clear" w:color="auto" w:fill="auto"/>
            <w:vAlign w:val="center"/>
          </w:tcPr>
          <w:p w14:paraId="08430B1F" w14:textId="77777777" w:rsidR="0073642B" w:rsidRPr="0032043C" w:rsidRDefault="0073642B" w:rsidP="0084573E">
            <w:pPr>
              <w:snapToGrid w:val="0"/>
              <w:spacing w:before="60" w:after="60" w:line="260" w:lineRule="atLeast"/>
              <w:rPr>
                <w:rFonts w:cs="Calibri"/>
                <w:sz w:val="18"/>
                <w:szCs w:val="18"/>
              </w:rPr>
            </w:pPr>
            <w:r w:rsidRPr="0032043C">
              <w:rPr>
                <w:rFonts w:cs="Calibri"/>
                <w:sz w:val="18"/>
                <w:szCs w:val="18"/>
              </w:rPr>
              <w:t>Penetration factor fo disinfectant</w:t>
            </w:r>
          </w:p>
        </w:tc>
        <w:tc>
          <w:tcPr>
            <w:tcW w:w="1451" w:type="dxa"/>
            <w:tcBorders>
              <w:top w:val="single" w:sz="4" w:space="0" w:color="000000"/>
              <w:left w:val="single" w:sz="4" w:space="0" w:color="000000"/>
              <w:bottom w:val="single" w:sz="4" w:space="0" w:color="000000"/>
            </w:tcBorders>
            <w:shd w:val="clear" w:color="auto" w:fill="auto"/>
            <w:vAlign w:val="center"/>
          </w:tcPr>
          <w:p w14:paraId="0F0E48C1" w14:textId="77777777" w:rsidR="0073642B" w:rsidRPr="0032043C" w:rsidRDefault="0073642B" w:rsidP="00476D22">
            <w:pPr>
              <w:snapToGrid w:val="0"/>
              <w:spacing w:before="60" w:after="60" w:line="260" w:lineRule="atLeast"/>
              <w:rPr>
                <w:rFonts w:eastAsia="Calibri" w:cs="Arial"/>
                <w:color w:val="000000"/>
                <w:sz w:val="18"/>
                <w:szCs w:val="18"/>
                <w:lang w:eastAsia="en-GB"/>
              </w:rPr>
            </w:pPr>
            <w:r w:rsidRPr="0032043C">
              <w:rPr>
                <w:rFonts w:eastAsia="Calibri" w:cs="Arial"/>
                <w:color w:val="000000"/>
                <w:sz w:val="18"/>
                <w:szCs w:val="18"/>
                <w:lang w:eastAsia="en-GB"/>
              </w:rPr>
              <w:t>0.5</w:t>
            </w:r>
          </w:p>
        </w:tc>
        <w:tc>
          <w:tcPr>
            <w:tcW w:w="1560" w:type="dxa"/>
            <w:tcBorders>
              <w:top w:val="nil"/>
              <w:left w:val="single" w:sz="4" w:space="0" w:color="auto"/>
              <w:bottom w:val="single" w:sz="4" w:space="0" w:color="auto"/>
              <w:right w:val="single" w:sz="4" w:space="0" w:color="auto"/>
            </w:tcBorders>
            <w:shd w:val="clear" w:color="auto" w:fill="auto"/>
            <w:vAlign w:val="center"/>
          </w:tcPr>
          <w:p w14:paraId="3209D933" w14:textId="77777777" w:rsidR="0073642B" w:rsidRPr="0032043C" w:rsidRDefault="0073642B" w:rsidP="00476D22">
            <w:pPr>
              <w:snapToGrid w:val="0"/>
              <w:spacing w:before="60" w:after="60" w:line="260" w:lineRule="atLeast"/>
              <w:rPr>
                <w:color w:val="000000"/>
                <w:sz w:val="18"/>
                <w:szCs w:val="18"/>
              </w:rPr>
            </w:pPr>
            <w:r w:rsidRPr="0032043C">
              <w:rPr>
                <w:rFonts w:cs="Calibri"/>
                <w:sz w:val="18"/>
                <w:szCs w:val="18"/>
              </w:rPr>
              <w:t>-</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EDE3F23" w14:textId="77777777" w:rsidR="0073642B" w:rsidRPr="0032043C" w:rsidRDefault="0073642B" w:rsidP="00476D22">
            <w:pPr>
              <w:snapToGrid w:val="0"/>
              <w:spacing w:before="60" w:after="60" w:line="260" w:lineRule="atLeast"/>
              <w:rPr>
                <w:color w:val="000000"/>
                <w:sz w:val="18"/>
                <w:szCs w:val="18"/>
              </w:rPr>
            </w:pPr>
            <w:r w:rsidRPr="0032043C">
              <w:rPr>
                <w:color w:val="000000"/>
                <w:sz w:val="18"/>
                <w:szCs w:val="18"/>
              </w:rPr>
              <w:t>Default</w:t>
            </w:r>
          </w:p>
        </w:tc>
      </w:tr>
    </w:tbl>
    <w:p w14:paraId="10CEB934" w14:textId="77777777" w:rsidR="0073642B" w:rsidRDefault="0073642B" w:rsidP="0073642B">
      <w:pPr>
        <w:spacing w:line="276" w:lineRule="auto"/>
        <w:rPr>
          <w:rFonts w:ascii="Times New Roman" w:eastAsia="Calibri" w:hAnsi="Times New Roman" w:cs="Times New Roman"/>
          <w:i/>
          <w:lang w:eastAsia="en-US"/>
        </w:rPr>
      </w:pPr>
    </w:p>
    <w:p w14:paraId="65A3B5C3" w14:textId="77777777" w:rsidR="0073642B" w:rsidRPr="003B2E23" w:rsidRDefault="0073642B" w:rsidP="0073642B">
      <w:pPr>
        <w:spacing w:line="276" w:lineRule="auto"/>
        <w:rPr>
          <w:rFonts w:eastAsia="Calibri"/>
          <w:u w:val="single"/>
          <w:lang w:val="fr-FR" w:eastAsia="en-US"/>
        </w:rPr>
      </w:pPr>
    </w:p>
    <w:p w14:paraId="5480EAAE" w14:textId="1BDE2D4D" w:rsidR="0073642B" w:rsidRPr="003B2E23" w:rsidRDefault="0073642B" w:rsidP="0073642B">
      <w:pPr>
        <w:spacing w:line="276" w:lineRule="auto"/>
        <w:rPr>
          <w:rFonts w:eastAsia="Calibri"/>
          <w:u w:val="single"/>
          <w:lang w:val="en-US" w:eastAsia="en-US"/>
        </w:rPr>
      </w:pPr>
      <w:r w:rsidRPr="003B2E23">
        <w:rPr>
          <w:rFonts w:eastAsia="Calibri"/>
          <w:u w:val="single"/>
          <w:lang w:val="en-US" w:eastAsia="en-US"/>
        </w:rPr>
        <w:t xml:space="preserve">Calculations for Scenario </w:t>
      </w:r>
      <w:r w:rsidR="002F354D">
        <w:rPr>
          <w:rFonts w:eastAsia="Calibri"/>
          <w:u w:val="single"/>
          <w:lang w:val="en-US" w:eastAsia="en-US"/>
        </w:rPr>
        <w:t>7</w:t>
      </w:r>
    </w:p>
    <w:p w14:paraId="70B8042D" w14:textId="77777777" w:rsidR="0073642B" w:rsidRDefault="0073642B" w:rsidP="0073642B">
      <w:pPr>
        <w:spacing w:line="276" w:lineRule="auto"/>
        <w:rPr>
          <w:rFonts w:eastAsia="Calibri"/>
          <w:lang w:val="en-US" w:eastAsia="en-US"/>
        </w:rPr>
      </w:pPr>
    </w:p>
    <w:p w14:paraId="5E8532EC" w14:textId="77777777" w:rsidR="0073642B" w:rsidRPr="003E3561" w:rsidRDefault="0073642B" w:rsidP="0073642B">
      <w:pPr>
        <w:spacing w:line="260" w:lineRule="atLeast"/>
        <w:rPr>
          <w:rFonts w:eastAsia="Calibri"/>
          <w:lang w:eastAsia="en-US"/>
        </w:rPr>
      </w:pPr>
      <w:r w:rsidRPr="003E3561">
        <w:rPr>
          <w:rFonts w:eastAsia="Calibri"/>
          <w:lang w:eastAsia="en-US"/>
        </w:rPr>
        <w:t>Elocal</w:t>
      </w:r>
      <w:r w:rsidRPr="003E3561">
        <w:rPr>
          <w:rFonts w:eastAsia="Calibri"/>
          <w:vertAlign w:val="subscript"/>
          <w:lang w:eastAsia="en-US"/>
        </w:rPr>
        <w:t>water</w:t>
      </w:r>
      <w:r w:rsidRPr="003E3561">
        <w:rPr>
          <w:rFonts w:eastAsia="Calibri"/>
          <w:lang w:eastAsia="en-US"/>
        </w:rPr>
        <w:t xml:space="preserve"> = </w:t>
      </w:r>
      <w:r>
        <w:rPr>
          <w:rFonts w:eastAsia="Calibri"/>
          <w:lang w:eastAsia="en-US"/>
        </w:rPr>
        <w:t>(C</w:t>
      </w:r>
      <w:r w:rsidRPr="00AD43E5">
        <w:rPr>
          <w:rFonts w:eastAsia="Calibri"/>
          <w:vertAlign w:val="subscript"/>
          <w:lang w:eastAsia="en-US"/>
        </w:rPr>
        <w:t>form</w:t>
      </w:r>
      <w:r>
        <w:rPr>
          <w:rFonts w:eastAsia="Calibri"/>
          <w:lang w:eastAsia="en-US"/>
        </w:rPr>
        <w:t xml:space="preserve"> * Q</w:t>
      </w:r>
      <w:r w:rsidRPr="00AD43E5">
        <w:rPr>
          <w:rFonts w:eastAsia="Calibri"/>
          <w:vertAlign w:val="subscript"/>
          <w:lang w:eastAsia="en-US"/>
        </w:rPr>
        <w:t>appl</w:t>
      </w:r>
      <w:r>
        <w:rPr>
          <w:rFonts w:eastAsia="Calibri"/>
          <w:lang w:eastAsia="en-US"/>
        </w:rPr>
        <w:t xml:space="preserve"> * </w:t>
      </w:r>
      <w:r w:rsidRPr="003E3561">
        <w:rPr>
          <w:rFonts w:eastAsia="Calibri"/>
          <w:lang w:eastAsia="en-US"/>
        </w:rPr>
        <w:t>Nlocal</w:t>
      </w:r>
      <w:r>
        <w:rPr>
          <w:rFonts w:eastAsia="Calibri"/>
          <w:lang w:eastAsia="en-US"/>
        </w:rPr>
        <w:t xml:space="preserve"> * F</w:t>
      </w:r>
      <w:r w:rsidRPr="00AD43E5">
        <w:rPr>
          <w:rFonts w:eastAsia="Calibri"/>
          <w:vertAlign w:val="subscript"/>
          <w:lang w:eastAsia="en-US"/>
        </w:rPr>
        <w:t>house</w:t>
      </w:r>
      <w:r>
        <w:rPr>
          <w:rFonts w:eastAsia="Calibri"/>
          <w:lang w:eastAsia="en-US"/>
        </w:rPr>
        <w:t xml:space="preserve"> * Nappl* AREA</w:t>
      </w:r>
      <w:r w:rsidRPr="00AD43E5">
        <w:rPr>
          <w:rFonts w:eastAsia="Calibri"/>
          <w:vertAlign w:val="subscript"/>
          <w:lang w:eastAsia="en-US"/>
        </w:rPr>
        <w:t>surface</w:t>
      </w:r>
      <w:r>
        <w:rPr>
          <w:rFonts w:eastAsia="Calibri"/>
          <w:lang w:eastAsia="en-US"/>
        </w:rPr>
        <w:t xml:space="preserve"> * </w:t>
      </w:r>
      <w:r w:rsidRPr="003E3561">
        <w:rPr>
          <w:rFonts w:eastAsia="Calibri"/>
          <w:lang w:eastAsia="en-US"/>
        </w:rPr>
        <w:t>F</w:t>
      </w:r>
      <w:r w:rsidRPr="003E3561">
        <w:rPr>
          <w:rFonts w:eastAsia="Calibri"/>
          <w:vertAlign w:val="subscript"/>
          <w:lang w:eastAsia="en-US"/>
        </w:rPr>
        <w:t>penetr</w:t>
      </w:r>
      <w:r w:rsidRPr="003E3561">
        <w:rPr>
          <w:rFonts w:eastAsia="Calibri"/>
          <w:lang w:eastAsia="en-US"/>
        </w:rPr>
        <w:t xml:space="preserve"> * F</w:t>
      </w:r>
      <w:r w:rsidRPr="003E3561">
        <w:rPr>
          <w:rFonts w:eastAsia="Calibri"/>
          <w:vertAlign w:val="subscript"/>
          <w:lang w:eastAsia="en-US"/>
        </w:rPr>
        <w:t>water</w:t>
      </w:r>
      <w:r w:rsidRPr="009B472F">
        <w:rPr>
          <w:rFonts w:eastAsia="Calibri"/>
          <w:lang w:eastAsia="en-US"/>
        </w:rPr>
        <w:t>) / 1000</w:t>
      </w:r>
    </w:p>
    <w:p w14:paraId="36FF7C40" w14:textId="77777777" w:rsidR="0073642B" w:rsidRPr="00E203ED" w:rsidRDefault="0073642B" w:rsidP="0073642B">
      <w:pPr>
        <w:spacing w:line="276" w:lineRule="auto"/>
        <w:rPr>
          <w:rFonts w:eastAsia="Calibri"/>
          <w:lang w:eastAsia="en-US"/>
        </w:rPr>
      </w:pPr>
    </w:p>
    <w:p w14:paraId="024E680A" w14:textId="77777777" w:rsidR="0073642B" w:rsidRPr="00B27CB1" w:rsidRDefault="0073642B" w:rsidP="0073642B">
      <w:pPr>
        <w:spacing w:line="276" w:lineRule="auto"/>
        <w:rPr>
          <w:rFonts w:ascii="Times New Roman" w:eastAsia="Calibri" w:hAnsi="Times New Roman" w:cs="Times New Roman"/>
          <w:i/>
          <w:szCs w:val="22"/>
          <w:lang w:eastAsia="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2731"/>
        <w:gridCol w:w="2402"/>
      </w:tblGrid>
      <w:tr w:rsidR="0073642B" w:rsidRPr="00184ABF" w14:paraId="53AD83A8" w14:textId="77777777" w:rsidTr="0084573E">
        <w:trPr>
          <w:tblHeader/>
        </w:trPr>
        <w:tc>
          <w:tcPr>
            <w:tcW w:w="9072" w:type="dxa"/>
            <w:gridSpan w:val="4"/>
            <w:shd w:val="clear" w:color="auto" w:fill="FFFFCC"/>
            <w:tcMar>
              <w:top w:w="40" w:type="dxa"/>
              <w:left w:w="40" w:type="dxa"/>
              <w:bottom w:w="40" w:type="dxa"/>
              <w:right w:w="40" w:type="dxa"/>
            </w:tcMar>
            <w:vAlign w:val="center"/>
          </w:tcPr>
          <w:p w14:paraId="14F9F15F" w14:textId="77777777" w:rsidR="0073642B" w:rsidRPr="00184ABF" w:rsidRDefault="0073642B" w:rsidP="0084573E">
            <w:pPr>
              <w:spacing w:before="60" w:after="60"/>
              <w:ind w:left="57"/>
              <w:rPr>
                <w:b/>
                <w:sz w:val="18"/>
                <w:szCs w:val="18"/>
                <w:lang w:eastAsia="en-GB"/>
              </w:rPr>
            </w:pPr>
            <w:r w:rsidRPr="00184ABF">
              <w:rPr>
                <w:b/>
                <w:sz w:val="18"/>
                <w:szCs w:val="18"/>
              </w:rPr>
              <w:t>Resulting local emission to relevant environmental compartments</w:t>
            </w:r>
          </w:p>
        </w:tc>
      </w:tr>
      <w:tr w:rsidR="0073642B" w:rsidRPr="00184ABF" w14:paraId="759BD6F9" w14:textId="77777777" w:rsidTr="0084573E">
        <w:trPr>
          <w:tblHeader/>
        </w:trPr>
        <w:tc>
          <w:tcPr>
            <w:tcW w:w="2088" w:type="dxa"/>
            <w:shd w:val="clear" w:color="auto" w:fill="auto"/>
            <w:tcMar>
              <w:top w:w="40" w:type="dxa"/>
              <w:left w:w="40" w:type="dxa"/>
              <w:bottom w:w="40" w:type="dxa"/>
              <w:right w:w="40" w:type="dxa"/>
            </w:tcMar>
            <w:vAlign w:val="center"/>
          </w:tcPr>
          <w:p w14:paraId="42A0B313" w14:textId="77777777" w:rsidR="0073642B" w:rsidRPr="00184ABF" w:rsidRDefault="0073642B" w:rsidP="0084573E">
            <w:pPr>
              <w:spacing w:before="60" w:after="60"/>
              <w:ind w:left="57"/>
              <w:rPr>
                <w:b/>
                <w:sz w:val="18"/>
                <w:szCs w:val="18"/>
                <w:lang w:eastAsia="en-GB"/>
              </w:rPr>
            </w:pPr>
            <w:r w:rsidRPr="00184ABF">
              <w:rPr>
                <w:b/>
                <w:sz w:val="18"/>
                <w:szCs w:val="18"/>
                <w:lang w:eastAsia="en-GB"/>
              </w:rPr>
              <w:t>Substance</w:t>
            </w:r>
          </w:p>
        </w:tc>
        <w:tc>
          <w:tcPr>
            <w:tcW w:w="1851" w:type="dxa"/>
            <w:shd w:val="clear" w:color="auto" w:fill="auto"/>
            <w:vAlign w:val="center"/>
          </w:tcPr>
          <w:p w14:paraId="2A02C116" w14:textId="77777777" w:rsidR="0073642B" w:rsidRPr="00184ABF" w:rsidRDefault="0073642B" w:rsidP="0084573E">
            <w:pPr>
              <w:spacing w:before="60" w:after="60"/>
              <w:ind w:left="57"/>
              <w:rPr>
                <w:b/>
                <w:sz w:val="18"/>
                <w:szCs w:val="18"/>
                <w:lang w:eastAsia="en-GB"/>
              </w:rPr>
            </w:pPr>
            <w:r w:rsidRPr="00184ABF">
              <w:rPr>
                <w:b/>
                <w:sz w:val="18"/>
                <w:szCs w:val="18"/>
                <w:lang w:eastAsia="en-GB"/>
              </w:rPr>
              <w:t>Compartment</w:t>
            </w:r>
          </w:p>
        </w:tc>
        <w:tc>
          <w:tcPr>
            <w:tcW w:w="2731" w:type="dxa"/>
            <w:shd w:val="clear" w:color="auto" w:fill="auto"/>
            <w:tcMar>
              <w:top w:w="40" w:type="dxa"/>
              <w:left w:w="40" w:type="dxa"/>
              <w:bottom w:w="40" w:type="dxa"/>
              <w:right w:w="40" w:type="dxa"/>
            </w:tcMar>
            <w:vAlign w:val="center"/>
          </w:tcPr>
          <w:p w14:paraId="46B63305" w14:textId="77777777" w:rsidR="0073642B" w:rsidRPr="00184ABF" w:rsidRDefault="0073642B" w:rsidP="0084573E">
            <w:pPr>
              <w:spacing w:before="60" w:after="60"/>
              <w:ind w:left="57"/>
              <w:rPr>
                <w:b/>
                <w:sz w:val="18"/>
                <w:szCs w:val="18"/>
                <w:lang w:eastAsia="en-GB"/>
              </w:rPr>
            </w:pPr>
            <w:r w:rsidRPr="00184ABF">
              <w:rPr>
                <w:b/>
                <w:sz w:val="18"/>
                <w:szCs w:val="18"/>
                <w:lang w:eastAsia="en-GB"/>
              </w:rPr>
              <w:t xml:space="preserve">Local emission </w:t>
            </w:r>
          </w:p>
          <w:p w14:paraId="56D03256" w14:textId="77777777" w:rsidR="0073642B" w:rsidRPr="00184ABF" w:rsidRDefault="0073642B" w:rsidP="0084573E">
            <w:pPr>
              <w:spacing w:before="60" w:after="60"/>
              <w:ind w:left="57"/>
              <w:rPr>
                <w:b/>
                <w:sz w:val="18"/>
                <w:szCs w:val="18"/>
                <w:lang w:eastAsia="en-GB"/>
              </w:rPr>
            </w:pPr>
            <w:r w:rsidRPr="00184ABF">
              <w:rPr>
                <w:b/>
                <w:sz w:val="18"/>
                <w:szCs w:val="18"/>
                <w:lang w:eastAsia="en-GB"/>
              </w:rPr>
              <w:t>(Elocal</w:t>
            </w:r>
            <w:r w:rsidRPr="00184ABF">
              <w:rPr>
                <w:b/>
                <w:sz w:val="18"/>
                <w:szCs w:val="18"/>
                <w:vertAlign w:val="subscript"/>
                <w:lang w:eastAsia="en-GB"/>
              </w:rPr>
              <w:t>compartment</w:t>
            </w:r>
            <w:r w:rsidRPr="00184ABF">
              <w:rPr>
                <w:b/>
                <w:sz w:val="18"/>
                <w:szCs w:val="18"/>
                <w:lang w:eastAsia="en-GB"/>
              </w:rPr>
              <w:t>) [kg/d</w:t>
            </w:r>
            <w:r w:rsidRPr="00184ABF">
              <w:rPr>
                <w:b/>
                <w:sz w:val="18"/>
                <w:szCs w:val="18"/>
                <w:vertAlign w:val="superscript"/>
                <w:lang w:eastAsia="en-GB"/>
              </w:rPr>
              <w:t>-1</w:t>
            </w:r>
            <w:r w:rsidRPr="00184ABF">
              <w:rPr>
                <w:b/>
                <w:sz w:val="18"/>
                <w:szCs w:val="18"/>
                <w:lang w:eastAsia="en-GB"/>
              </w:rPr>
              <w:t>]</w:t>
            </w:r>
          </w:p>
        </w:tc>
        <w:tc>
          <w:tcPr>
            <w:tcW w:w="2402" w:type="dxa"/>
            <w:shd w:val="clear" w:color="auto" w:fill="auto"/>
            <w:tcMar>
              <w:top w:w="40" w:type="dxa"/>
              <w:left w:w="40" w:type="dxa"/>
              <w:bottom w:w="40" w:type="dxa"/>
              <w:right w:w="40" w:type="dxa"/>
            </w:tcMar>
            <w:vAlign w:val="center"/>
          </w:tcPr>
          <w:p w14:paraId="0C280030" w14:textId="77777777" w:rsidR="0073642B" w:rsidRPr="00184ABF" w:rsidRDefault="0073642B" w:rsidP="0084573E">
            <w:pPr>
              <w:spacing w:before="60" w:after="60"/>
              <w:ind w:left="57"/>
              <w:rPr>
                <w:b/>
                <w:sz w:val="18"/>
                <w:szCs w:val="18"/>
                <w:lang w:eastAsia="en-GB"/>
              </w:rPr>
            </w:pPr>
            <w:r w:rsidRPr="00184ABF">
              <w:rPr>
                <w:b/>
                <w:sz w:val="18"/>
                <w:szCs w:val="18"/>
                <w:lang w:eastAsia="en-GB"/>
              </w:rPr>
              <w:t>Remarks</w:t>
            </w:r>
          </w:p>
        </w:tc>
      </w:tr>
      <w:tr w:rsidR="0073642B" w:rsidRPr="00184ABF" w14:paraId="0FD09DF0" w14:textId="77777777" w:rsidTr="0084573E">
        <w:tc>
          <w:tcPr>
            <w:tcW w:w="2088" w:type="dxa"/>
            <w:tcBorders>
              <w:top w:val="nil"/>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76930EBB" w14:textId="77777777" w:rsidR="0073642B" w:rsidRPr="00184ABF" w:rsidRDefault="0073642B" w:rsidP="0084573E">
            <w:pPr>
              <w:ind w:left="57"/>
              <w:rPr>
                <w:rFonts w:cs="Calibri"/>
                <w:sz w:val="18"/>
                <w:szCs w:val="18"/>
                <w:lang w:eastAsia="es-ES"/>
              </w:rPr>
            </w:pPr>
            <w:r w:rsidRPr="00184ABF">
              <w:rPr>
                <w:rFonts w:cs="Calibri"/>
                <w:sz w:val="18"/>
                <w:szCs w:val="18"/>
              </w:rPr>
              <w:t>L(+) Lactic acid</w:t>
            </w:r>
          </w:p>
        </w:tc>
        <w:tc>
          <w:tcPr>
            <w:tcW w:w="1851" w:type="dxa"/>
            <w:tcBorders>
              <w:top w:val="nil"/>
              <w:left w:val="nil"/>
              <w:bottom w:val="single" w:sz="4" w:space="0" w:color="auto"/>
              <w:right w:val="single" w:sz="8" w:space="0" w:color="auto"/>
            </w:tcBorders>
            <w:shd w:val="clear" w:color="auto" w:fill="auto"/>
            <w:vAlign w:val="center"/>
          </w:tcPr>
          <w:p w14:paraId="02A91AF1" w14:textId="77777777" w:rsidR="0073642B" w:rsidRPr="00184ABF" w:rsidRDefault="0073642B" w:rsidP="0084573E">
            <w:pPr>
              <w:ind w:left="57"/>
              <w:rPr>
                <w:rFonts w:cs="Calibri"/>
                <w:sz w:val="18"/>
                <w:szCs w:val="18"/>
              </w:rPr>
            </w:pPr>
            <w:r>
              <w:rPr>
                <w:rFonts w:cs="Calibri"/>
                <w:sz w:val="18"/>
                <w:szCs w:val="18"/>
              </w:rPr>
              <w:t>STP</w:t>
            </w:r>
          </w:p>
        </w:tc>
        <w:tc>
          <w:tcPr>
            <w:tcW w:w="2731"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2C7B3E88" w14:textId="3EC02184" w:rsidR="0073642B" w:rsidRPr="00184ABF" w:rsidRDefault="0073642B" w:rsidP="0084573E">
            <w:pPr>
              <w:ind w:left="57"/>
              <w:rPr>
                <w:rFonts w:cs="Calibri"/>
                <w:sz w:val="18"/>
                <w:szCs w:val="18"/>
              </w:rPr>
            </w:pPr>
            <w:r>
              <w:rPr>
                <w:rFonts w:cs="Calibri"/>
                <w:sz w:val="18"/>
                <w:szCs w:val="18"/>
              </w:rPr>
              <w:t>4.8</w:t>
            </w:r>
            <w:r w:rsidR="008147D5">
              <w:rPr>
                <w:rFonts w:cs="Calibri"/>
                <w:sz w:val="18"/>
                <w:szCs w:val="18"/>
              </w:rPr>
              <w:t>0</w:t>
            </w:r>
            <w:r>
              <w:rPr>
                <w:rFonts w:cs="Calibri"/>
                <w:sz w:val="18"/>
                <w:szCs w:val="18"/>
              </w:rPr>
              <w:t>E-01</w:t>
            </w:r>
          </w:p>
        </w:tc>
        <w:tc>
          <w:tcPr>
            <w:tcW w:w="2402" w:type="dxa"/>
            <w:tcBorders>
              <w:top w:val="nil"/>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0F1ABCFB" w14:textId="77777777" w:rsidR="0073642B" w:rsidRPr="00184ABF" w:rsidRDefault="0073642B" w:rsidP="0084573E">
            <w:pPr>
              <w:ind w:left="57"/>
              <w:jc w:val="center"/>
              <w:rPr>
                <w:rFonts w:cs="Calibri"/>
              </w:rPr>
            </w:pPr>
          </w:p>
        </w:tc>
      </w:tr>
    </w:tbl>
    <w:p w14:paraId="5147AEDE" w14:textId="77777777" w:rsidR="0073642B" w:rsidRDefault="0073642B" w:rsidP="0073642B">
      <w:pPr>
        <w:spacing w:line="260" w:lineRule="atLeast"/>
        <w:rPr>
          <w:rFonts w:eastAsia="Calibri" w:cs="Times New Roman"/>
          <w:iCs/>
          <w:lang w:eastAsia="en-US"/>
        </w:rPr>
      </w:pPr>
    </w:p>
    <w:p w14:paraId="460C5AB5" w14:textId="77777777" w:rsidR="0073642B" w:rsidRPr="008E4D74" w:rsidRDefault="0073642B" w:rsidP="0073642B">
      <w:pPr>
        <w:spacing w:line="276" w:lineRule="auto"/>
        <w:rPr>
          <w:rFonts w:eastAsia="Calibri"/>
          <w:b/>
          <w:color w:val="000000"/>
          <w:lang w:eastAsia="en-GB"/>
        </w:rPr>
      </w:pPr>
    </w:p>
    <w:p w14:paraId="6300A659" w14:textId="5DF1A692" w:rsidR="0073642B" w:rsidRDefault="008147D5" w:rsidP="0084573E">
      <w:pPr>
        <w:pStyle w:val="Titre5"/>
      </w:pPr>
      <w:r>
        <w:rPr>
          <w:color w:val="000000"/>
          <w:lang w:eastAsia="en-GB"/>
        </w:rPr>
        <w:t xml:space="preserve">PT04 - </w:t>
      </w:r>
      <w:r w:rsidR="0073642B" w:rsidRPr="00C020ED">
        <w:rPr>
          <w:color w:val="000000"/>
          <w:lang w:eastAsia="en-GB"/>
        </w:rPr>
        <w:t xml:space="preserve">Scenario </w:t>
      </w:r>
      <w:r w:rsidR="002F354D">
        <w:rPr>
          <w:color w:val="000000"/>
          <w:lang w:eastAsia="en-GB"/>
        </w:rPr>
        <w:t>8</w:t>
      </w:r>
      <w:r w:rsidR="0073642B" w:rsidRPr="00C020ED">
        <w:rPr>
          <w:color w:val="000000"/>
          <w:lang w:eastAsia="en-GB"/>
        </w:rPr>
        <w:t>:</w:t>
      </w:r>
      <w:r w:rsidR="0073642B" w:rsidRPr="00C020ED">
        <w:rPr>
          <w:i/>
          <w:color w:val="FF0000"/>
          <w:lang w:eastAsia="en-GB"/>
        </w:rPr>
        <w:t xml:space="preserve"> </w:t>
      </w:r>
      <w:r w:rsidR="0073642B" w:rsidRPr="003A317A">
        <w:t xml:space="preserve">Indoor - </w:t>
      </w:r>
      <w:r w:rsidR="0073642B" w:rsidRPr="00DD2106">
        <w:t xml:space="preserve">Disinfection </w:t>
      </w:r>
      <w:r w:rsidR="00AF686D" w:rsidRPr="00DD2106">
        <w:t>in food and feed area</w:t>
      </w:r>
      <w:r w:rsidR="00AF686D">
        <w:rPr>
          <w:sz w:val="18"/>
          <w:szCs w:val="18"/>
        </w:rPr>
        <w:t xml:space="preserve"> </w:t>
      </w:r>
    </w:p>
    <w:p w14:paraId="2AFA80F2" w14:textId="77777777" w:rsidR="0073642B" w:rsidRPr="003A317A" w:rsidRDefault="0073642B" w:rsidP="0073642B">
      <w:pPr>
        <w:spacing w:line="276" w:lineRule="auto"/>
        <w:rPr>
          <w:rFonts w:eastAsia="Calibri" w:cs="Times New Roman"/>
          <w:bCs/>
          <w:lang w:eastAsia="en-US"/>
        </w:rPr>
      </w:pPr>
      <w:r w:rsidRPr="003A317A">
        <w:rPr>
          <w:rFonts w:eastAsia="Calibri" w:cs="Times New Roman"/>
          <w:bCs/>
          <w:lang w:eastAsia="en-US"/>
        </w:rPr>
        <w:t>Covering Meta</w:t>
      </w:r>
      <w:r>
        <w:rPr>
          <w:rFonts w:eastAsia="Calibri" w:cs="Times New Roman"/>
          <w:bCs/>
          <w:lang w:eastAsia="en-US"/>
        </w:rPr>
        <w:t>-</w:t>
      </w:r>
      <w:r w:rsidRPr="003A317A">
        <w:rPr>
          <w:rFonts w:eastAsia="Calibri" w:cs="Times New Roman"/>
          <w:bCs/>
          <w:lang w:eastAsia="en-US"/>
        </w:rPr>
        <w:t>SPC 2, 3, 4, 6, 7</w:t>
      </w:r>
      <w:r>
        <w:rPr>
          <w:rFonts w:eastAsia="Calibri" w:cs="Times New Roman"/>
          <w:bCs/>
          <w:lang w:eastAsia="en-US"/>
        </w:rPr>
        <w:t xml:space="preserve"> &amp;</w:t>
      </w:r>
      <w:r w:rsidRPr="003A317A">
        <w:rPr>
          <w:rFonts w:eastAsia="Calibri" w:cs="Times New Roman"/>
          <w:bCs/>
          <w:lang w:eastAsia="en-US"/>
        </w:rPr>
        <w:t xml:space="preserve"> 11</w:t>
      </w:r>
    </w:p>
    <w:p w14:paraId="67318ADE" w14:textId="77777777" w:rsidR="0073642B" w:rsidRDefault="0073642B" w:rsidP="0073642B">
      <w:pPr>
        <w:spacing w:line="276" w:lineRule="auto"/>
        <w:rPr>
          <w:rFonts w:eastAsia="Calibri" w:cs="Times New Roman"/>
          <w:bCs/>
          <w:lang w:eastAsia="en-US"/>
        </w:rPr>
      </w:pPr>
    </w:p>
    <w:p w14:paraId="72A9675F" w14:textId="77777777" w:rsidR="0073642B" w:rsidRPr="00B27CB1" w:rsidRDefault="0073642B" w:rsidP="0073642B">
      <w:pPr>
        <w:spacing w:line="276" w:lineRule="auto"/>
        <w:ind w:left="142"/>
        <w:rPr>
          <w:rFonts w:ascii="Times New Roman" w:eastAsia="Calibri" w:hAnsi="Times New Roman" w:cs="Times New Roman"/>
          <w:i/>
          <w:lang w:eastAsia="en-US"/>
        </w:rPr>
      </w:pPr>
    </w:p>
    <w:p w14:paraId="67EFA9F6" w14:textId="5700CFBF" w:rsidR="0073642B" w:rsidRPr="00896F37" w:rsidRDefault="0073642B" w:rsidP="0073642B">
      <w:pPr>
        <w:spacing w:line="276" w:lineRule="auto"/>
        <w:rPr>
          <w:rFonts w:eastAsia="Calibri" w:cs="Times New Roman"/>
          <w:bCs/>
          <w:lang w:eastAsia="en-US"/>
        </w:rPr>
      </w:pPr>
      <w:r w:rsidRPr="00B301B8">
        <w:rPr>
          <w:rFonts w:eastAsia="Calibri" w:cs="Times New Roman"/>
          <w:bCs/>
          <w:lang w:eastAsia="en-US"/>
        </w:rPr>
        <w:t xml:space="preserve">Worst case </w:t>
      </w:r>
      <w:r w:rsidRPr="00B301B8">
        <w:rPr>
          <w:rFonts w:cs="Calibri"/>
        </w:rPr>
        <w:t>L(+) Lactic acid</w:t>
      </w:r>
      <w:r w:rsidRPr="00B301B8">
        <w:rPr>
          <w:rFonts w:eastAsia="Calibri" w:cs="Times New Roman"/>
          <w:bCs/>
          <w:lang w:eastAsia="en-US"/>
        </w:rPr>
        <w:t xml:space="preserve"> concentration</w:t>
      </w:r>
      <w:r>
        <w:rPr>
          <w:rFonts w:eastAsia="Calibri" w:cs="Times New Roman"/>
          <w:bCs/>
          <w:lang w:eastAsia="en-US"/>
        </w:rPr>
        <w:t xml:space="preserve"> for scenario </w:t>
      </w:r>
      <w:r w:rsidR="000F4274">
        <w:rPr>
          <w:rFonts w:eastAsia="Calibri" w:cs="Times New Roman"/>
          <w:bCs/>
          <w:lang w:eastAsia="en-US"/>
        </w:rPr>
        <w:t>8</w:t>
      </w:r>
      <w:r>
        <w:rPr>
          <w:rFonts w:eastAsia="Calibri" w:cs="Times New Roman"/>
          <w:bCs/>
          <w:lang w:eastAsia="en-US"/>
        </w:rPr>
        <w:t xml:space="preserve"> (Small scale application RTU):</w:t>
      </w:r>
    </w:p>
    <w:p w14:paraId="4C086C21" w14:textId="77777777" w:rsidR="00ED2ECB" w:rsidRPr="008D45AE" w:rsidRDefault="00ED2ECB" w:rsidP="00ED2ECB">
      <w:pPr>
        <w:spacing w:line="276" w:lineRule="auto"/>
        <w:jc w:val="both"/>
        <w:rPr>
          <w:rFonts w:eastAsia="Calibri" w:cs="Times New Roman"/>
          <w:bCs/>
          <w:lang w:eastAsia="en-US"/>
        </w:rPr>
      </w:pPr>
      <w:r w:rsidRPr="008D45AE">
        <w:rPr>
          <w:rFonts w:eastAsia="Calibri" w:cs="Times New Roman"/>
          <w:bCs/>
          <w:lang w:eastAsia="en-US"/>
        </w:rPr>
        <w:t>For meta-SPC 2,</w:t>
      </w:r>
      <w:r>
        <w:rPr>
          <w:rFonts w:eastAsia="Calibri" w:cs="Times New Roman"/>
          <w:bCs/>
          <w:lang w:eastAsia="en-US"/>
        </w:rPr>
        <w:t xml:space="preserve"> </w:t>
      </w:r>
      <w:r w:rsidRPr="008D45AE">
        <w:rPr>
          <w:rFonts w:eastAsia="Calibri" w:cs="Times New Roman"/>
          <w:bCs/>
          <w:lang w:eastAsia="en-US"/>
        </w:rPr>
        <w:t>3 and 4, products are ready-to</w:t>
      </w:r>
      <w:r>
        <w:rPr>
          <w:rFonts w:eastAsia="Calibri" w:cs="Times New Roman"/>
          <w:bCs/>
          <w:lang w:eastAsia="en-US"/>
        </w:rPr>
        <w:t>-</w:t>
      </w:r>
      <w:r w:rsidRPr="008D45AE">
        <w:rPr>
          <w:rFonts w:eastAsia="Calibri" w:cs="Times New Roman"/>
          <w:bCs/>
          <w:lang w:eastAsia="en-US"/>
        </w:rPr>
        <w:t xml:space="preserve">use </w:t>
      </w:r>
      <w:r>
        <w:rPr>
          <w:rFonts w:eastAsia="Calibri" w:cs="Times New Roman"/>
          <w:bCs/>
          <w:lang w:eastAsia="en-US"/>
        </w:rPr>
        <w:t xml:space="preserve">trigger </w:t>
      </w:r>
      <w:r w:rsidRPr="008D45AE">
        <w:rPr>
          <w:rFonts w:eastAsia="Calibri" w:cs="Times New Roman"/>
          <w:bCs/>
          <w:lang w:eastAsia="en-US"/>
        </w:rPr>
        <w:t>spray</w:t>
      </w:r>
      <w:r>
        <w:rPr>
          <w:rFonts w:eastAsia="Calibri" w:cs="Times New Roman"/>
          <w:bCs/>
          <w:lang w:eastAsia="en-US"/>
        </w:rPr>
        <w:t>s</w:t>
      </w:r>
      <w:r w:rsidRPr="008D45AE">
        <w:rPr>
          <w:rFonts w:eastAsia="Calibri" w:cs="Times New Roman"/>
          <w:bCs/>
          <w:lang w:eastAsia="en-US"/>
        </w:rPr>
        <w:t xml:space="preserve"> applied dire</w:t>
      </w:r>
      <w:r>
        <w:rPr>
          <w:rFonts w:eastAsia="Calibri" w:cs="Times New Roman"/>
          <w:bCs/>
          <w:lang w:eastAsia="en-US"/>
        </w:rPr>
        <w:t>c</w:t>
      </w:r>
      <w:r w:rsidRPr="008D45AE">
        <w:rPr>
          <w:rFonts w:eastAsia="Calibri" w:cs="Times New Roman"/>
          <w:bCs/>
          <w:lang w:eastAsia="en-US"/>
        </w:rPr>
        <w:t>tly on surfaces o</w:t>
      </w:r>
      <w:r>
        <w:rPr>
          <w:rFonts w:eastAsia="Calibri" w:cs="Times New Roman"/>
          <w:bCs/>
          <w:lang w:eastAsia="en-US"/>
        </w:rPr>
        <w:t>r</w:t>
      </w:r>
      <w:r w:rsidRPr="008D45AE">
        <w:rPr>
          <w:rFonts w:eastAsia="Calibri" w:cs="Times New Roman"/>
          <w:bCs/>
          <w:lang w:eastAsia="en-US"/>
        </w:rPr>
        <w:t xml:space="preserve"> on a wipe. Therefore a small-scale application has been considered.</w:t>
      </w:r>
    </w:p>
    <w:p w14:paraId="70582558" w14:textId="77777777" w:rsidR="0073642B" w:rsidRPr="00B27CB1" w:rsidRDefault="0073642B" w:rsidP="0073642B">
      <w:pPr>
        <w:spacing w:line="276" w:lineRule="auto"/>
        <w:ind w:left="142"/>
        <w:rPr>
          <w:rFonts w:ascii="Times New Roman" w:eastAsia="Calibri" w:hAnsi="Times New Roman" w:cs="Times New Roman"/>
          <w:i/>
          <w:lang w:eastAsia="en-US"/>
        </w:rPr>
      </w:pPr>
    </w:p>
    <w:tbl>
      <w:tblPr>
        <w:tblStyle w:val="Grilledutableau"/>
        <w:tblW w:w="5000" w:type="pct"/>
        <w:tblInd w:w="0" w:type="dxa"/>
        <w:tblLook w:val="04A0" w:firstRow="1" w:lastRow="0" w:firstColumn="1" w:lastColumn="0" w:noHBand="0" w:noVBand="1"/>
      </w:tblPr>
      <w:tblGrid>
        <w:gridCol w:w="3289"/>
        <w:gridCol w:w="2442"/>
        <w:gridCol w:w="1736"/>
        <w:gridCol w:w="1736"/>
      </w:tblGrid>
      <w:tr w:rsidR="0073642B" w:rsidRPr="00861606" w14:paraId="371EACDF" w14:textId="77777777" w:rsidTr="00476D22">
        <w:trPr>
          <w:trHeight w:val="57"/>
        </w:trPr>
        <w:tc>
          <w:tcPr>
            <w:tcW w:w="1787" w:type="pct"/>
            <w:vAlign w:val="center"/>
          </w:tcPr>
          <w:p w14:paraId="009D9F27" w14:textId="77777777" w:rsidR="0073642B" w:rsidRPr="00B301B8" w:rsidRDefault="0073642B" w:rsidP="00476D22">
            <w:pPr>
              <w:spacing w:before="240" w:after="60" w:line="260" w:lineRule="atLeast"/>
              <w:jc w:val="center"/>
              <w:outlineLvl w:val="0"/>
              <w:rPr>
                <w:sz w:val="18"/>
                <w:szCs w:val="18"/>
              </w:rPr>
            </w:pPr>
            <w:r w:rsidRPr="00B301B8">
              <w:rPr>
                <w:sz w:val="18"/>
                <w:szCs w:val="18"/>
              </w:rPr>
              <w:t xml:space="preserve">Substance: </w:t>
            </w:r>
            <w:r w:rsidRPr="00B301B8">
              <w:rPr>
                <w:rFonts w:cs="Calibri"/>
                <w:sz w:val="18"/>
                <w:szCs w:val="18"/>
              </w:rPr>
              <w:t>L(+) Lactic acid</w:t>
            </w:r>
          </w:p>
        </w:tc>
        <w:tc>
          <w:tcPr>
            <w:tcW w:w="1327" w:type="pct"/>
            <w:vAlign w:val="center"/>
          </w:tcPr>
          <w:p w14:paraId="39EF4A26" w14:textId="77777777" w:rsidR="0073642B" w:rsidRPr="00B301B8" w:rsidRDefault="0073642B" w:rsidP="00476D22">
            <w:pPr>
              <w:spacing w:line="260" w:lineRule="atLeast"/>
              <w:jc w:val="center"/>
              <w:outlineLvl w:val="0"/>
              <w:rPr>
                <w:b/>
                <w:sz w:val="18"/>
                <w:szCs w:val="18"/>
              </w:rPr>
            </w:pPr>
            <w:r w:rsidRPr="00B301B8">
              <w:rPr>
                <w:b/>
                <w:sz w:val="18"/>
                <w:szCs w:val="18"/>
              </w:rPr>
              <w:t>Meta-SPC 2</w:t>
            </w:r>
          </w:p>
        </w:tc>
        <w:tc>
          <w:tcPr>
            <w:tcW w:w="943" w:type="pct"/>
            <w:vAlign w:val="center"/>
          </w:tcPr>
          <w:p w14:paraId="2BFC6960" w14:textId="77777777" w:rsidR="0073642B" w:rsidRPr="00B301B8" w:rsidRDefault="0073642B" w:rsidP="00476D22">
            <w:pPr>
              <w:spacing w:line="260" w:lineRule="atLeast"/>
              <w:jc w:val="center"/>
              <w:outlineLvl w:val="0"/>
              <w:rPr>
                <w:b/>
                <w:sz w:val="18"/>
                <w:szCs w:val="18"/>
              </w:rPr>
            </w:pPr>
            <w:r w:rsidRPr="00B301B8">
              <w:rPr>
                <w:b/>
                <w:sz w:val="18"/>
                <w:szCs w:val="18"/>
              </w:rPr>
              <w:t>Meta-SPC 3</w:t>
            </w:r>
          </w:p>
        </w:tc>
        <w:tc>
          <w:tcPr>
            <w:tcW w:w="943" w:type="pct"/>
            <w:vAlign w:val="center"/>
          </w:tcPr>
          <w:p w14:paraId="0D635774" w14:textId="77777777" w:rsidR="0073642B" w:rsidRPr="00B301B8" w:rsidRDefault="0073642B" w:rsidP="00476D22">
            <w:pPr>
              <w:spacing w:line="260" w:lineRule="atLeast"/>
              <w:jc w:val="center"/>
              <w:outlineLvl w:val="0"/>
              <w:rPr>
                <w:b/>
                <w:sz w:val="18"/>
                <w:szCs w:val="18"/>
              </w:rPr>
            </w:pPr>
            <w:r w:rsidRPr="00B301B8">
              <w:rPr>
                <w:b/>
                <w:sz w:val="18"/>
                <w:szCs w:val="18"/>
              </w:rPr>
              <w:t>Meta-SPC 4</w:t>
            </w:r>
          </w:p>
        </w:tc>
      </w:tr>
      <w:tr w:rsidR="0073642B" w:rsidRPr="00861606" w14:paraId="73E46DF4" w14:textId="77777777" w:rsidTr="00476D22">
        <w:trPr>
          <w:trHeight w:val="57"/>
        </w:trPr>
        <w:tc>
          <w:tcPr>
            <w:tcW w:w="1787" w:type="pct"/>
            <w:vAlign w:val="center"/>
          </w:tcPr>
          <w:p w14:paraId="2EDAB58A" w14:textId="77777777" w:rsidR="0073642B" w:rsidRPr="00B301B8" w:rsidRDefault="0073642B" w:rsidP="00476D22">
            <w:pPr>
              <w:spacing w:before="240" w:after="60" w:line="260" w:lineRule="atLeast"/>
              <w:jc w:val="center"/>
              <w:outlineLvl w:val="0"/>
              <w:rPr>
                <w:sz w:val="18"/>
                <w:szCs w:val="18"/>
              </w:rPr>
            </w:pPr>
            <w:r w:rsidRPr="00B301B8">
              <w:rPr>
                <w:sz w:val="18"/>
                <w:szCs w:val="18"/>
              </w:rPr>
              <w:t>Technical concentration of active substance (% w/w)</w:t>
            </w:r>
          </w:p>
        </w:tc>
        <w:tc>
          <w:tcPr>
            <w:tcW w:w="1327" w:type="pct"/>
            <w:vAlign w:val="center"/>
          </w:tcPr>
          <w:p w14:paraId="17733066" w14:textId="77777777" w:rsidR="0073642B" w:rsidRPr="00B301B8" w:rsidRDefault="0073642B" w:rsidP="00476D22">
            <w:pPr>
              <w:spacing w:before="240" w:after="60" w:line="260" w:lineRule="atLeast"/>
              <w:jc w:val="center"/>
              <w:outlineLvl w:val="0"/>
              <w:rPr>
                <w:sz w:val="18"/>
                <w:szCs w:val="18"/>
              </w:rPr>
            </w:pPr>
            <w:r w:rsidRPr="00B301B8">
              <w:rPr>
                <w:sz w:val="18"/>
                <w:szCs w:val="18"/>
              </w:rPr>
              <w:t>3</w:t>
            </w:r>
          </w:p>
        </w:tc>
        <w:tc>
          <w:tcPr>
            <w:tcW w:w="943" w:type="pct"/>
            <w:vAlign w:val="center"/>
          </w:tcPr>
          <w:p w14:paraId="3914748C"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4</w:t>
            </w:r>
          </w:p>
        </w:tc>
        <w:tc>
          <w:tcPr>
            <w:tcW w:w="943" w:type="pct"/>
            <w:vAlign w:val="center"/>
          </w:tcPr>
          <w:p w14:paraId="60C8013D"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3.2</w:t>
            </w:r>
          </w:p>
        </w:tc>
      </w:tr>
      <w:tr w:rsidR="0073642B" w:rsidRPr="00861606" w14:paraId="44F4A389" w14:textId="77777777" w:rsidTr="00476D22">
        <w:trPr>
          <w:trHeight w:val="57"/>
        </w:trPr>
        <w:tc>
          <w:tcPr>
            <w:tcW w:w="1787" w:type="pct"/>
            <w:vAlign w:val="center"/>
          </w:tcPr>
          <w:p w14:paraId="1D5B1FF4" w14:textId="77777777" w:rsidR="0073642B" w:rsidRPr="00B301B8" w:rsidRDefault="0073642B" w:rsidP="00476D22">
            <w:pPr>
              <w:spacing w:before="240" w:after="60" w:line="260" w:lineRule="atLeast"/>
              <w:jc w:val="center"/>
              <w:outlineLvl w:val="0"/>
              <w:rPr>
                <w:sz w:val="18"/>
                <w:szCs w:val="18"/>
              </w:rPr>
            </w:pPr>
            <w:r w:rsidRPr="00B301B8">
              <w:rPr>
                <w:sz w:val="18"/>
                <w:szCs w:val="18"/>
              </w:rPr>
              <w:t>Dilution factor</w:t>
            </w:r>
          </w:p>
        </w:tc>
        <w:tc>
          <w:tcPr>
            <w:tcW w:w="1327" w:type="pct"/>
            <w:vAlign w:val="center"/>
          </w:tcPr>
          <w:p w14:paraId="4BE5A649" w14:textId="7CDE91AA" w:rsidR="0073642B" w:rsidRPr="00B301B8" w:rsidRDefault="008147D5"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c>
          <w:tcPr>
            <w:tcW w:w="943" w:type="pct"/>
            <w:vAlign w:val="center"/>
          </w:tcPr>
          <w:p w14:paraId="442925C5" w14:textId="1CFF8E29" w:rsidR="0073642B" w:rsidRPr="00B301B8" w:rsidRDefault="008147D5"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c>
          <w:tcPr>
            <w:tcW w:w="943" w:type="pct"/>
            <w:vAlign w:val="center"/>
          </w:tcPr>
          <w:p w14:paraId="799ADBF1" w14:textId="5FFD32FE" w:rsidR="0073642B" w:rsidRPr="00B301B8" w:rsidRDefault="008147D5" w:rsidP="00476D22">
            <w:pPr>
              <w:spacing w:before="240" w:after="60" w:line="260" w:lineRule="atLeast"/>
              <w:jc w:val="center"/>
              <w:outlineLvl w:val="0"/>
              <w:rPr>
                <w:rFonts w:eastAsia="Calibri" w:cs="Times New Roman"/>
                <w:sz w:val="18"/>
                <w:szCs w:val="18"/>
                <w:lang w:eastAsia="en-US"/>
              </w:rPr>
            </w:pPr>
            <w:r>
              <w:rPr>
                <w:rFonts w:eastAsia="Calibri" w:cs="Times New Roman"/>
                <w:sz w:val="18"/>
                <w:szCs w:val="18"/>
                <w:lang w:eastAsia="en-US"/>
              </w:rPr>
              <w:t>RTU</w:t>
            </w:r>
          </w:p>
        </w:tc>
      </w:tr>
      <w:tr w:rsidR="0073642B" w:rsidRPr="009E7547" w14:paraId="2F53DA95" w14:textId="77777777" w:rsidTr="00476D22">
        <w:trPr>
          <w:trHeight w:val="57"/>
        </w:trPr>
        <w:tc>
          <w:tcPr>
            <w:tcW w:w="1787" w:type="pct"/>
            <w:vAlign w:val="center"/>
          </w:tcPr>
          <w:p w14:paraId="7832A9B0" w14:textId="77777777" w:rsidR="0073642B" w:rsidRPr="00B301B8" w:rsidRDefault="0073642B" w:rsidP="00476D22">
            <w:pPr>
              <w:spacing w:before="240" w:after="60" w:line="260" w:lineRule="atLeast"/>
              <w:jc w:val="center"/>
              <w:outlineLvl w:val="0"/>
              <w:rPr>
                <w:sz w:val="18"/>
                <w:szCs w:val="18"/>
              </w:rPr>
            </w:pPr>
            <w:r w:rsidRPr="00B301B8">
              <w:rPr>
                <w:sz w:val="18"/>
                <w:szCs w:val="18"/>
              </w:rPr>
              <w:t>Density</w:t>
            </w:r>
          </w:p>
        </w:tc>
        <w:tc>
          <w:tcPr>
            <w:tcW w:w="3213" w:type="pct"/>
            <w:gridSpan w:val="3"/>
            <w:vAlign w:val="center"/>
          </w:tcPr>
          <w:p w14:paraId="4AA4CCDB" w14:textId="77777777" w:rsidR="0073642B" w:rsidRPr="00B301B8" w:rsidRDefault="0073642B" w:rsidP="00476D22">
            <w:pPr>
              <w:spacing w:before="240" w:after="60" w:line="260" w:lineRule="atLeast"/>
              <w:jc w:val="center"/>
              <w:outlineLvl w:val="0"/>
              <w:rPr>
                <w:sz w:val="18"/>
                <w:szCs w:val="18"/>
              </w:rPr>
            </w:pPr>
            <w:r w:rsidRPr="00B301B8">
              <w:rPr>
                <w:sz w:val="18"/>
                <w:szCs w:val="18"/>
              </w:rPr>
              <w:t>A density of 1 is considered for the assessment</w:t>
            </w:r>
          </w:p>
        </w:tc>
      </w:tr>
      <w:tr w:rsidR="0073642B" w:rsidRPr="00861606" w14:paraId="07F15E7D" w14:textId="77777777" w:rsidTr="00476D22">
        <w:trPr>
          <w:trHeight w:val="57"/>
        </w:trPr>
        <w:tc>
          <w:tcPr>
            <w:tcW w:w="1787" w:type="pct"/>
            <w:vAlign w:val="center"/>
          </w:tcPr>
          <w:p w14:paraId="3EF5449F" w14:textId="77777777" w:rsidR="0073642B" w:rsidRPr="00B301B8" w:rsidRDefault="0073642B" w:rsidP="00476D22">
            <w:pPr>
              <w:spacing w:line="260" w:lineRule="atLeast"/>
              <w:jc w:val="center"/>
              <w:outlineLvl w:val="0"/>
              <w:rPr>
                <w:sz w:val="18"/>
                <w:szCs w:val="18"/>
              </w:rPr>
            </w:pPr>
            <w:r w:rsidRPr="00B301B8">
              <w:rPr>
                <w:rFonts w:eastAsia="Calibri" w:cs="Times New Roman"/>
                <w:sz w:val="18"/>
                <w:szCs w:val="18"/>
                <w:lang w:eastAsia="en-US"/>
              </w:rPr>
              <w:lastRenderedPageBreak/>
              <w:t>Concentration of substance in working solution (% w/v)</w:t>
            </w:r>
          </w:p>
        </w:tc>
        <w:tc>
          <w:tcPr>
            <w:tcW w:w="1327" w:type="pct"/>
            <w:vAlign w:val="center"/>
          </w:tcPr>
          <w:p w14:paraId="62564DF8" w14:textId="77777777" w:rsidR="0073642B" w:rsidRPr="00B301B8" w:rsidRDefault="0073642B" w:rsidP="00476D22">
            <w:pPr>
              <w:spacing w:before="240" w:after="60" w:line="260" w:lineRule="atLeast"/>
              <w:jc w:val="center"/>
              <w:outlineLvl w:val="0"/>
              <w:rPr>
                <w:sz w:val="18"/>
                <w:szCs w:val="18"/>
              </w:rPr>
            </w:pPr>
            <w:r w:rsidRPr="00B301B8">
              <w:rPr>
                <w:sz w:val="18"/>
                <w:szCs w:val="18"/>
              </w:rPr>
              <w:t>3</w:t>
            </w:r>
          </w:p>
        </w:tc>
        <w:tc>
          <w:tcPr>
            <w:tcW w:w="943" w:type="pct"/>
            <w:shd w:val="clear" w:color="auto" w:fill="B6DDE8" w:themeFill="accent5" w:themeFillTint="66"/>
            <w:vAlign w:val="center"/>
          </w:tcPr>
          <w:p w14:paraId="23FA0481" w14:textId="77777777" w:rsidR="0073642B" w:rsidRPr="00B301B8" w:rsidRDefault="0073642B" w:rsidP="00476D22">
            <w:pPr>
              <w:spacing w:before="240" w:after="60" w:line="260" w:lineRule="atLeast"/>
              <w:jc w:val="center"/>
              <w:outlineLvl w:val="0"/>
              <w:rPr>
                <w:b/>
                <w:sz w:val="18"/>
                <w:szCs w:val="18"/>
              </w:rPr>
            </w:pPr>
            <w:r w:rsidRPr="00B301B8">
              <w:rPr>
                <w:b/>
                <w:sz w:val="18"/>
                <w:szCs w:val="18"/>
              </w:rPr>
              <w:t>4</w:t>
            </w:r>
          </w:p>
        </w:tc>
        <w:tc>
          <w:tcPr>
            <w:tcW w:w="943" w:type="pct"/>
            <w:vAlign w:val="center"/>
          </w:tcPr>
          <w:p w14:paraId="498B816F" w14:textId="77777777" w:rsidR="0073642B" w:rsidRPr="00B301B8" w:rsidRDefault="0073642B" w:rsidP="00476D22">
            <w:pPr>
              <w:spacing w:before="240" w:after="60" w:line="260" w:lineRule="atLeast"/>
              <w:jc w:val="center"/>
              <w:outlineLvl w:val="0"/>
              <w:rPr>
                <w:sz w:val="18"/>
                <w:szCs w:val="18"/>
              </w:rPr>
            </w:pPr>
            <w:r w:rsidRPr="00B301B8">
              <w:rPr>
                <w:sz w:val="18"/>
                <w:szCs w:val="18"/>
              </w:rPr>
              <w:t>3.2</w:t>
            </w:r>
          </w:p>
        </w:tc>
      </w:tr>
    </w:tbl>
    <w:p w14:paraId="51C288BF" w14:textId="77777777" w:rsidR="0073642B" w:rsidRDefault="0073642B" w:rsidP="0073642B">
      <w:pPr>
        <w:ind w:left="142"/>
        <w:jc w:val="both"/>
        <w:rPr>
          <w:rFonts w:ascii="Times New Roman" w:eastAsia="Calibri" w:hAnsi="Times New Roman" w:cs="Times New Roman"/>
          <w:i/>
          <w:lang w:eastAsia="en-US"/>
        </w:rPr>
      </w:pPr>
    </w:p>
    <w:p w14:paraId="2F04EF17" w14:textId="0584F351" w:rsidR="0073642B" w:rsidRPr="00492C52" w:rsidRDefault="0073642B" w:rsidP="0073642B">
      <w:pPr>
        <w:spacing w:line="276" w:lineRule="auto"/>
        <w:rPr>
          <w:rFonts w:eastAsia="Calibri" w:cs="Times New Roman"/>
          <w:bCs/>
          <w:lang w:eastAsia="en-US"/>
        </w:rPr>
      </w:pPr>
      <w:r>
        <w:rPr>
          <w:rFonts w:eastAsia="Calibri" w:cs="Times New Roman"/>
          <w:bCs/>
          <w:lang w:eastAsia="en-US"/>
        </w:rPr>
        <w:t xml:space="preserve">Worst </w:t>
      </w:r>
      <w:r w:rsidRPr="00B301B8">
        <w:rPr>
          <w:rFonts w:eastAsia="Calibri" w:cs="Times New Roman"/>
          <w:bCs/>
          <w:lang w:eastAsia="en-US"/>
        </w:rPr>
        <w:t xml:space="preserve">case </w:t>
      </w:r>
      <w:r w:rsidRPr="00B301B8">
        <w:rPr>
          <w:rFonts w:cs="Calibri"/>
        </w:rPr>
        <w:t>L(+) Lactic acid</w:t>
      </w:r>
      <w:r w:rsidRPr="00B301B8">
        <w:rPr>
          <w:rFonts w:eastAsia="Calibri" w:cs="Times New Roman"/>
          <w:bCs/>
          <w:lang w:eastAsia="en-US"/>
        </w:rPr>
        <w:t xml:space="preserve"> concentration</w:t>
      </w:r>
      <w:r>
        <w:rPr>
          <w:rFonts w:eastAsia="Calibri" w:cs="Times New Roman"/>
          <w:bCs/>
          <w:lang w:eastAsia="en-US"/>
        </w:rPr>
        <w:t xml:space="preserve"> for scenario </w:t>
      </w:r>
      <w:r w:rsidR="000F4274">
        <w:rPr>
          <w:rFonts w:eastAsia="Calibri" w:cs="Times New Roman"/>
          <w:bCs/>
          <w:lang w:eastAsia="en-US"/>
        </w:rPr>
        <w:t>8</w:t>
      </w:r>
      <w:r>
        <w:rPr>
          <w:rFonts w:eastAsia="Calibri" w:cs="Times New Roman"/>
          <w:bCs/>
          <w:lang w:eastAsia="en-US"/>
        </w:rPr>
        <w:t xml:space="preserve"> (Large scale application):</w:t>
      </w:r>
    </w:p>
    <w:p w14:paraId="6B5507D1" w14:textId="77777777" w:rsidR="0073642B" w:rsidRDefault="0073642B" w:rsidP="0073642B">
      <w:pPr>
        <w:ind w:left="142"/>
        <w:jc w:val="both"/>
        <w:rPr>
          <w:rFonts w:ascii="Times New Roman" w:eastAsia="Calibri" w:hAnsi="Times New Roman" w:cs="Times New Roman"/>
          <w:i/>
          <w:lang w:eastAsia="en-US"/>
        </w:rPr>
      </w:pPr>
    </w:p>
    <w:tbl>
      <w:tblPr>
        <w:tblStyle w:val="Grilledutableau"/>
        <w:tblW w:w="5000" w:type="pct"/>
        <w:tblInd w:w="0" w:type="dxa"/>
        <w:tblLook w:val="04A0" w:firstRow="1" w:lastRow="0" w:firstColumn="1" w:lastColumn="0" w:noHBand="0" w:noVBand="1"/>
      </w:tblPr>
      <w:tblGrid>
        <w:gridCol w:w="3565"/>
        <w:gridCol w:w="1881"/>
        <w:gridCol w:w="1881"/>
        <w:gridCol w:w="1876"/>
      </w:tblGrid>
      <w:tr w:rsidR="0073642B" w:rsidRPr="00861606" w14:paraId="6E05A3F6" w14:textId="77777777" w:rsidTr="00476D22">
        <w:trPr>
          <w:trHeight w:val="57"/>
        </w:trPr>
        <w:tc>
          <w:tcPr>
            <w:tcW w:w="1937" w:type="pct"/>
            <w:vAlign w:val="center"/>
          </w:tcPr>
          <w:p w14:paraId="3819BB30" w14:textId="77777777" w:rsidR="0073642B" w:rsidRPr="00B301B8" w:rsidRDefault="0073642B" w:rsidP="00476D22">
            <w:pPr>
              <w:spacing w:before="240" w:after="60" w:line="260" w:lineRule="atLeast"/>
              <w:jc w:val="center"/>
              <w:outlineLvl w:val="0"/>
              <w:rPr>
                <w:sz w:val="18"/>
                <w:szCs w:val="18"/>
              </w:rPr>
            </w:pPr>
            <w:r w:rsidRPr="00B301B8">
              <w:rPr>
                <w:sz w:val="18"/>
                <w:szCs w:val="18"/>
              </w:rPr>
              <w:t xml:space="preserve">Substance: </w:t>
            </w:r>
            <w:r w:rsidRPr="00B301B8">
              <w:rPr>
                <w:rFonts w:cs="Calibri"/>
                <w:sz w:val="18"/>
                <w:szCs w:val="18"/>
              </w:rPr>
              <w:t>L(+) Lactic acid</w:t>
            </w:r>
          </w:p>
        </w:tc>
        <w:tc>
          <w:tcPr>
            <w:tcW w:w="1022" w:type="pct"/>
            <w:vAlign w:val="center"/>
          </w:tcPr>
          <w:p w14:paraId="4E2EE765" w14:textId="77777777" w:rsidR="0073642B" w:rsidRPr="00B301B8" w:rsidRDefault="0073642B" w:rsidP="00476D22">
            <w:pPr>
              <w:spacing w:line="260" w:lineRule="atLeast"/>
              <w:jc w:val="center"/>
              <w:outlineLvl w:val="0"/>
              <w:rPr>
                <w:b/>
                <w:sz w:val="18"/>
                <w:szCs w:val="18"/>
              </w:rPr>
            </w:pPr>
            <w:r w:rsidRPr="00B301B8">
              <w:rPr>
                <w:b/>
                <w:sz w:val="18"/>
                <w:szCs w:val="18"/>
              </w:rPr>
              <w:t>Meta-SPC 6</w:t>
            </w:r>
          </w:p>
        </w:tc>
        <w:tc>
          <w:tcPr>
            <w:tcW w:w="1022" w:type="pct"/>
            <w:vAlign w:val="center"/>
          </w:tcPr>
          <w:p w14:paraId="786FE80D" w14:textId="77777777" w:rsidR="0073642B" w:rsidRPr="00B301B8" w:rsidRDefault="0073642B" w:rsidP="00476D22">
            <w:pPr>
              <w:spacing w:line="260" w:lineRule="atLeast"/>
              <w:jc w:val="center"/>
              <w:outlineLvl w:val="0"/>
              <w:rPr>
                <w:b/>
                <w:sz w:val="18"/>
                <w:szCs w:val="18"/>
              </w:rPr>
            </w:pPr>
            <w:r w:rsidRPr="00B301B8">
              <w:rPr>
                <w:b/>
                <w:sz w:val="18"/>
                <w:szCs w:val="18"/>
              </w:rPr>
              <w:t>Meta-SPC 7</w:t>
            </w:r>
          </w:p>
        </w:tc>
        <w:tc>
          <w:tcPr>
            <w:tcW w:w="1020" w:type="pct"/>
            <w:vAlign w:val="center"/>
          </w:tcPr>
          <w:p w14:paraId="78263D2B" w14:textId="77777777" w:rsidR="0073642B" w:rsidRPr="00B301B8" w:rsidRDefault="0073642B" w:rsidP="00476D22">
            <w:pPr>
              <w:spacing w:line="260" w:lineRule="atLeast"/>
              <w:jc w:val="center"/>
              <w:outlineLvl w:val="0"/>
              <w:rPr>
                <w:b/>
                <w:sz w:val="18"/>
                <w:szCs w:val="18"/>
              </w:rPr>
            </w:pPr>
            <w:r w:rsidRPr="00B301B8">
              <w:rPr>
                <w:b/>
                <w:sz w:val="18"/>
                <w:szCs w:val="18"/>
              </w:rPr>
              <w:t>Meta-SPC 11</w:t>
            </w:r>
          </w:p>
        </w:tc>
      </w:tr>
      <w:tr w:rsidR="0073642B" w:rsidRPr="00861606" w14:paraId="2F524881" w14:textId="77777777" w:rsidTr="00476D22">
        <w:trPr>
          <w:trHeight w:val="57"/>
        </w:trPr>
        <w:tc>
          <w:tcPr>
            <w:tcW w:w="1937" w:type="pct"/>
            <w:vAlign w:val="center"/>
          </w:tcPr>
          <w:p w14:paraId="6970129F" w14:textId="77777777" w:rsidR="0073642B" w:rsidRPr="00B301B8" w:rsidRDefault="0073642B" w:rsidP="00476D22">
            <w:pPr>
              <w:spacing w:before="240" w:after="60" w:line="260" w:lineRule="atLeast"/>
              <w:jc w:val="center"/>
              <w:outlineLvl w:val="0"/>
              <w:rPr>
                <w:sz w:val="18"/>
                <w:szCs w:val="18"/>
              </w:rPr>
            </w:pPr>
            <w:r w:rsidRPr="00B301B8">
              <w:rPr>
                <w:sz w:val="18"/>
                <w:szCs w:val="18"/>
              </w:rPr>
              <w:t>Technical concentration of active substance (% w/w)</w:t>
            </w:r>
          </w:p>
        </w:tc>
        <w:tc>
          <w:tcPr>
            <w:tcW w:w="1022" w:type="pct"/>
            <w:vAlign w:val="center"/>
          </w:tcPr>
          <w:p w14:paraId="0B873A27"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24</w:t>
            </w:r>
          </w:p>
        </w:tc>
        <w:tc>
          <w:tcPr>
            <w:tcW w:w="1022" w:type="pct"/>
            <w:vAlign w:val="center"/>
          </w:tcPr>
          <w:p w14:paraId="5DCE9C38"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12</w:t>
            </w:r>
          </w:p>
        </w:tc>
        <w:tc>
          <w:tcPr>
            <w:tcW w:w="1020" w:type="pct"/>
            <w:vAlign w:val="center"/>
          </w:tcPr>
          <w:p w14:paraId="5A4BF712"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24</w:t>
            </w:r>
          </w:p>
        </w:tc>
      </w:tr>
      <w:tr w:rsidR="0073642B" w:rsidRPr="00861606" w14:paraId="7F51A9B2" w14:textId="77777777" w:rsidTr="00476D22">
        <w:trPr>
          <w:trHeight w:val="57"/>
        </w:trPr>
        <w:tc>
          <w:tcPr>
            <w:tcW w:w="1937" w:type="pct"/>
            <w:vAlign w:val="center"/>
          </w:tcPr>
          <w:p w14:paraId="02B443F9" w14:textId="77777777" w:rsidR="0073642B" w:rsidRPr="00B301B8" w:rsidRDefault="0073642B" w:rsidP="00476D22">
            <w:pPr>
              <w:spacing w:before="240" w:after="60" w:line="260" w:lineRule="atLeast"/>
              <w:jc w:val="center"/>
              <w:outlineLvl w:val="0"/>
              <w:rPr>
                <w:sz w:val="18"/>
                <w:szCs w:val="18"/>
              </w:rPr>
            </w:pPr>
            <w:r w:rsidRPr="00B301B8">
              <w:rPr>
                <w:sz w:val="18"/>
                <w:szCs w:val="18"/>
              </w:rPr>
              <w:t>Dilution factor</w:t>
            </w:r>
          </w:p>
        </w:tc>
        <w:tc>
          <w:tcPr>
            <w:tcW w:w="1022" w:type="pct"/>
            <w:vAlign w:val="center"/>
          </w:tcPr>
          <w:p w14:paraId="58A06965"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0.1</w:t>
            </w:r>
          </w:p>
        </w:tc>
        <w:tc>
          <w:tcPr>
            <w:tcW w:w="1022" w:type="pct"/>
            <w:vAlign w:val="center"/>
          </w:tcPr>
          <w:p w14:paraId="1CF81B8A"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0.1</w:t>
            </w:r>
          </w:p>
        </w:tc>
        <w:tc>
          <w:tcPr>
            <w:tcW w:w="1020" w:type="pct"/>
            <w:vAlign w:val="center"/>
          </w:tcPr>
          <w:p w14:paraId="7545516D"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rFonts w:eastAsia="Calibri" w:cs="Times New Roman"/>
                <w:sz w:val="18"/>
                <w:szCs w:val="18"/>
                <w:lang w:eastAsia="en-US"/>
              </w:rPr>
              <w:t>0.015</w:t>
            </w:r>
          </w:p>
        </w:tc>
      </w:tr>
      <w:tr w:rsidR="0073642B" w:rsidRPr="00861606" w14:paraId="0D131DA0" w14:textId="77777777" w:rsidTr="00476D22">
        <w:trPr>
          <w:trHeight w:val="57"/>
        </w:trPr>
        <w:tc>
          <w:tcPr>
            <w:tcW w:w="1937" w:type="pct"/>
            <w:vAlign w:val="center"/>
          </w:tcPr>
          <w:p w14:paraId="7AE80F77" w14:textId="77777777" w:rsidR="0073642B" w:rsidRPr="00B301B8" w:rsidRDefault="0073642B" w:rsidP="00476D22">
            <w:pPr>
              <w:spacing w:before="240" w:after="60" w:line="260" w:lineRule="atLeast"/>
              <w:jc w:val="center"/>
              <w:outlineLvl w:val="0"/>
              <w:rPr>
                <w:sz w:val="18"/>
                <w:szCs w:val="18"/>
              </w:rPr>
            </w:pPr>
            <w:r w:rsidRPr="00B301B8">
              <w:rPr>
                <w:sz w:val="18"/>
                <w:szCs w:val="18"/>
              </w:rPr>
              <w:t>Density</w:t>
            </w:r>
          </w:p>
        </w:tc>
        <w:tc>
          <w:tcPr>
            <w:tcW w:w="3063" w:type="pct"/>
            <w:gridSpan w:val="3"/>
            <w:vAlign w:val="center"/>
          </w:tcPr>
          <w:p w14:paraId="33A64789" w14:textId="77777777" w:rsidR="0073642B" w:rsidRPr="00B301B8" w:rsidRDefault="0073642B" w:rsidP="00476D22">
            <w:pPr>
              <w:spacing w:before="240" w:after="60" w:line="260" w:lineRule="atLeast"/>
              <w:jc w:val="center"/>
              <w:outlineLvl w:val="0"/>
              <w:rPr>
                <w:rFonts w:eastAsia="Calibri" w:cs="Times New Roman"/>
                <w:sz w:val="18"/>
                <w:szCs w:val="18"/>
                <w:lang w:eastAsia="en-US"/>
              </w:rPr>
            </w:pPr>
            <w:r w:rsidRPr="00B301B8">
              <w:rPr>
                <w:sz w:val="18"/>
                <w:szCs w:val="18"/>
              </w:rPr>
              <w:t>A density of 1 is considered for the assessment</w:t>
            </w:r>
          </w:p>
        </w:tc>
      </w:tr>
      <w:tr w:rsidR="0073642B" w:rsidRPr="00861606" w14:paraId="6B028C23" w14:textId="77777777" w:rsidTr="00476D22">
        <w:trPr>
          <w:trHeight w:val="57"/>
        </w:trPr>
        <w:tc>
          <w:tcPr>
            <w:tcW w:w="1937" w:type="pct"/>
            <w:vAlign w:val="center"/>
          </w:tcPr>
          <w:p w14:paraId="31644836" w14:textId="77777777" w:rsidR="0073642B" w:rsidRPr="00B301B8" w:rsidRDefault="0073642B" w:rsidP="00476D22">
            <w:pPr>
              <w:spacing w:line="260" w:lineRule="atLeast"/>
              <w:jc w:val="center"/>
              <w:outlineLvl w:val="0"/>
              <w:rPr>
                <w:sz w:val="18"/>
                <w:szCs w:val="18"/>
              </w:rPr>
            </w:pPr>
            <w:r w:rsidRPr="00B301B8">
              <w:rPr>
                <w:rFonts w:eastAsia="Calibri" w:cs="Times New Roman"/>
                <w:sz w:val="18"/>
                <w:szCs w:val="18"/>
                <w:lang w:eastAsia="en-US"/>
              </w:rPr>
              <w:t>Concentration of substance in working solution (% w/v)</w:t>
            </w:r>
          </w:p>
        </w:tc>
        <w:tc>
          <w:tcPr>
            <w:tcW w:w="1022" w:type="pct"/>
            <w:shd w:val="clear" w:color="auto" w:fill="B6DDE8" w:themeFill="accent5" w:themeFillTint="66"/>
            <w:vAlign w:val="center"/>
          </w:tcPr>
          <w:p w14:paraId="6F330539" w14:textId="77777777" w:rsidR="0073642B" w:rsidRPr="00B301B8" w:rsidRDefault="0073642B" w:rsidP="00476D22">
            <w:pPr>
              <w:spacing w:before="240" w:after="60" w:line="260" w:lineRule="atLeast"/>
              <w:jc w:val="center"/>
              <w:outlineLvl w:val="0"/>
              <w:rPr>
                <w:b/>
                <w:sz w:val="18"/>
                <w:szCs w:val="18"/>
              </w:rPr>
            </w:pPr>
            <w:r w:rsidRPr="00B301B8">
              <w:rPr>
                <w:b/>
                <w:sz w:val="18"/>
                <w:szCs w:val="18"/>
              </w:rPr>
              <w:t>2.4</w:t>
            </w:r>
          </w:p>
        </w:tc>
        <w:tc>
          <w:tcPr>
            <w:tcW w:w="1022" w:type="pct"/>
            <w:vAlign w:val="center"/>
          </w:tcPr>
          <w:p w14:paraId="135C5219" w14:textId="77777777" w:rsidR="0073642B" w:rsidRPr="00B301B8" w:rsidRDefault="0073642B" w:rsidP="00476D22">
            <w:pPr>
              <w:spacing w:before="240" w:after="60" w:line="260" w:lineRule="atLeast"/>
              <w:jc w:val="center"/>
              <w:outlineLvl w:val="0"/>
              <w:rPr>
                <w:sz w:val="18"/>
                <w:szCs w:val="18"/>
              </w:rPr>
            </w:pPr>
            <w:r w:rsidRPr="00B301B8">
              <w:rPr>
                <w:sz w:val="18"/>
                <w:szCs w:val="18"/>
              </w:rPr>
              <w:t>1.2</w:t>
            </w:r>
          </w:p>
        </w:tc>
        <w:tc>
          <w:tcPr>
            <w:tcW w:w="1020" w:type="pct"/>
            <w:vAlign w:val="center"/>
          </w:tcPr>
          <w:p w14:paraId="57C63C42" w14:textId="77777777" w:rsidR="0073642B" w:rsidRPr="00B301B8" w:rsidRDefault="0073642B" w:rsidP="00476D22">
            <w:pPr>
              <w:spacing w:before="240" w:after="60" w:line="260" w:lineRule="atLeast"/>
              <w:jc w:val="center"/>
              <w:outlineLvl w:val="0"/>
              <w:rPr>
                <w:sz w:val="18"/>
                <w:szCs w:val="18"/>
              </w:rPr>
            </w:pPr>
            <w:r w:rsidRPr="00B301B8">
              <w:rPr>
                <w:sz w:val="18"/>
                <w:szCs w:val="18"/>
              </w:rPr>
              <w:t>0.36</w:t>
            </w:r>
          </w:p>
        </w:tc>
      </w:tr>
    </w:tbl>
    <w:p w14:paraId="5BC70496" w14:textId="77777777" w:rsidR="0073642B" w:rsidRDefault="0073642B" w:rsidP="0073642B">
      <w:pPr>
        <w:spacing w:line="276" w:lineRule="auto"/>
        <w:rPr>
          <w:rFonts w:eastAsia="Calibri" w:cs="Times New Roman"/>
          <w:bCs/>
          <w:lang w:eastAsia="en-US"/>
        </w:rPr>
      </w:pPr>
    </w:p>
    <w:p w14:paraId="7D07E1A7" w14:textId="24868924" w:rsidR="0073642B" w:rsidRPr="008D4193" w:rsidRDefault="0073642B" w:rsidP="0073642B">
      <w:pPr>
        <w:jc w:val="both"/>
        <w:rPr>
          <w:rFonts w:eastAsia="Calibri" w:cs="Times New Roman"/>
          <w:lang w:eastAsia="en-US"/>
        </w:rPr>
      </w:pPr>
      <w:r w:rsidRPr="008E4D74">
        <w:rPr>
          <w:rFonts w:eastAsia="Calibri" w:cs="Times New Roman"/>
          <w:lang w:eastAsia="en-US"/>
        </w:rPr>
        <w:t xml:space="preserve">Amines, coco alkyldimethyl, N-oxides </w:t>
      </w:r>
      <w:r w:rsidR="008147D5">
        <w:rPr>
          <w:rFonts w:eastAsia="Calibri" w:cs="Times New Roman"/>
          <w:lang w:eastAsia="en-US"/>
        </w:rPr>
        <w:t>is included</w:t>
      </w:r>
      <w:r w:rsidR="008147D5" w:rsidRPr="008E4D74">
        <w:rPr>
          <w:rFonts w:eastAsia="Calibri" w:cs="Times New Roman"/>
          <w:lang w:eastAsia="en-US"/>
        </w:rPr>
        <w:t xml:space="preserve"> </w:t>
      </w:r>
      <w:r w:rsidRPr="008E4D74">
        <w:rPr>
          <w:rFonts w:eastAsia="Calibri" w:cs="Times New Roman"/>
          <w:lang w:eastAsia="en-US"/>
        </w:rPr>
        <w:t>only in Meta SPC 11 at a concentration of 0.1002% (</w:t>
      </w:r>
      <w:r>
        <w:rPr>
          <w:rFonts w:eastAsia="Calibri" w:cs="Times New Roman"/>
          <w:lang w:eastAsia="en-US"/>
        </w:rPr>
        <w:t>40</w:t>
      </w:r>
      <w:r w:rsidRPr="008E4D74">
        <w:rPr>
          <w:rFonts w:eastAsia="Calibri" w:cs="Times New Roman"/>
          <w:lang w:eastAsia="en-US"/>
        </w:rPr>
        <w:t xml:space="preserve"> % </w:t>
      </w:r>
      <w:r>
        <w:rPr>
          <w:rFonts w:eastAsia="Calibri" w:cs="Times New Roman"/>
          <w:lang w:eastAsia="en-US"/>
        </w:rPr>
        <w:t xml:space="preserve">in </w:t>
      </w:r>
      <w:r w:rsidRPr="008E4D74">
        <w:rPr>
          <w:rFonts w:eastAsia="Calibri" w:cs="Times New Roman"/>
          <w:lang w:eastAsia="en-US"/>
        </w:rPr>
        <w:t>AROMOX</w:t>
      </w:r>
      <w:r>
        <w:rPr>
          <w:rFonts w:eastAsia="Calibri" w:cs="Times New Roman"/>
          <w:lang w:eastAsia="en-US"/>
        </w:rPr>
        <w:t xml:space="preserve"> 16.7%</w:t>
      </w:r>
      <w:r w:rsidRPr="008E4D74">
        <w:rPr>
          <w:rFonts w:eastAsia="Calibri" w:cs="Times New Roman"/>
          <w:lang w:eastAsia="en-US"/>
        </w:rPr>
        <w:t xml:space="preserve"> </w:t>
      </w:r>
      <w:r>
        <w:rPr>
          <w:rFonts w:eastAsia="Calibri" w:cs="Times New Roman"/>
          <w:lang w:eastAsia="en-US"/>
        </w:rPr>
        <w:t xml:space="preserve">*1.5% dilution) and they will be assessed based on </w:t>
      </w:r>
      <w:r w:rsidR="008147D5">
        <w:rPr>
          <w:rFonts w:eastAsia="Calibri" w:cs="Times New Roman"/>
          <w:lang w:eastAsia="en-US"/>
        </w:rPr>
        <w:t>l</w:t>
      </w:r>
      <w:r>
        <w:rPr>
          <w:rFonts w:eastAsia="Calibri" w:cs="Times New Roman"/>
          <w:lang w:eastAsia="en-US"/>
        </w:rPr>
        <w:t xml:space="preserve">arge </w:t>
      </w:r>
      <w:r w:rsidR="008147D5">
        <w:rPr>
          <w:rFonts w:eastAsia="Calibri" w:cs="Times New Roman"/>
          <w:lang w:eastAsia="en-US"/>
        </w:rPr>
        <w:t>s</w:t>
      </w:r>
      <w:r>
        <w:rPr>
          <w:rFonts w:eastAsia="Calibri" w:cs="Times New Roman"/>
          <w:lang w:eastAsia="en-US"/>
        </w:rPr>
        <w:t>cale application only.</w:t>
      </w:r>
    </w:p>
    <w:p w14:paraId="3268CAD7" w14:textId="2CF380BA" w:rsidR="0073642B" w:rsidRDefault="0073642B" w:rsidP="00F518E3">
      <w:pPr>
        <w:jc w:val="both"/>
        <w:rPr>
          <w:rFonts w:ascii="Times New Roman" w:eastAsia="Calibri" w:hAnsi="Times New Roman" w:cs="Times New Roman"/>
          <w:i/>
          <w:lang w:eastAsia="en-US"/>
        </w:rPr>
      </w:pPr>
    </w:p>
    <w:p w14:paraId="149E3BCF" w14:textId="3C7D1F30" w:rsidR="00520BF1" w:rsidRDefault="00F518E3" w:rsidP="00F518E3">
      <w:pPr>
        <w:jc w:val="both"/>
        <w:rPr>
          <w:rFonts w:ascii="Times New Roman" w:eastAsia="Calibri" w:hAnsi="Times New Roman" w:cs="Times New Roman"/>
          <w:i/>
          <w:lang w:eastAsia="en-US"/>
        </w:rPr>
      </w:pPr>
      <w:r>
        <w:rPr>
          <w:rFonts w:eastAsia="Calibri" w:cs="Times New Roman"/>
          <w:lang w:eastAsia="en-US"/>
        </w:rPr>
        <w:t xml:space="preserve">A surface area </w:t>
      </w:r>
      <w:r w:rsidR="00E86C5A">
        <w:rPr>
          <w:rFonts w:eastAsia="Calibri" w:cs="Times New Roman"/>
          <w:lang w:eastAsia="en-US"/>
        </w:rPr>
        <w:t>of 10 000m2 as given for the S</w:t>
      </w:r>
      <w:r w:rsidR="00520BF1">
        <w:rPr>
          <w:rFonts w:eastAsia="Calibri" w:cs="Times New Roman"/>
          <w:lang w:eastAsia="en-US"/>
        </w:rPr>
        <w:t>laughterhouse in</w:t>
      </w:r>
      <w:r w:rsidR="00E86C5A" w:rsidRPr="00E86C5A">
        <w:rPr>
          <w:iCs/>
        </w:rPr>
        <w:t xml:space="preserve"> </w:t>
      </w:r>
      <w:r w:rsidR="00E86C5A" w:rsidRPr="00C61311">
        <w:rPr>
          <w:iCs/>
        </w:rPr>
        <w:t>Emission Scen</w:t>
      </w:r>
      <w:r w:rsidR="00E86C5A">
        <w:rPr>
          <w:iCs/>
        </w:rPr>
        <w:t>ario Document for Product Type 4</w:t>
      </w:r>
      <w:r w:rsidR="00E86C5A" w:rsidRPr="00C61311">
        <w:rPr>
          <w:iCs/>
        </w:rPr>
        <w:t xml:space="preserve">: </w:t>
      </w:r>
      <w:r w:rsidR="00E86C5A">
        <w:rPr>
          <w:iCs/>
        </w:rPr>
        <w:t>Desinfectants used in food and feed areas, 2011</w:t>
      </w:r>
      <w:r>
        <w:rPr>
          <w:iCs/>
        </w:rPr>
        <w:t>, was use as a worst case scenario covering large scale application</w:t>
      </w:r>
      <w:r w:rsidR="00E86C5A">
        <w:rPr>
          <w:iCs/>
        </w:rPr>
        <w:t>.</w:t>
      </w:r>
    </w:p>
    <w:p w14:paraId="793A67A7" w14:textId="77777777" w:rsidR="0073642B" w:rsidRPr="00B27CB1" w:rsidRDefault="0073642B" w:rsidP="0073642B">
      <w:pPr>
        <w:spacing w:after="120" w:line="276" w:lineRule="auto"/>
        <w:ind w:left="142"/>
        <w:rPr>
          <w:rFonts w:ascii="Times New Roman" w:eastAsia="Calibri" w:hAnsi="Times New Roman" w:cs="Times New Roman"/>
          <w:i/>
          <w:lang w:eastAsia="en-US"/>
        </w:rPr>
      </w:pPr>
    </w:p>
    <w:tbl>
      <w:tblPr>
        <w:tblW w:w="9321" w:type="dxa"/>
        <w:tblInd w:w="108" w:type="dxa"/>
        <w:tblLayout w:type="fixed"/>
        <w:tblLook w:val="0000" w:firstRow="0" w:lastRow="0" w:firstColumn="0" w:lastColumn="0" w:noHBand="0" w:noVBand="0"/>
      </w:tblPr>
      <w:tblGrid>
        <w:gridCol w:w="2268"/>
        <w:gridCol w:w="2098"/>
        <w:gridCol w:w="1304"/>
        <w:gridCol w:w="3651"/>
      </w:tblGrid>
      <w:tr w:rsidR="0073642B" w14:paraId="42C569F7" w14:textId="77777777" w:rsidTr="00C573DD">
        <w:trPr>
          <w:trHeight w:val="34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FFFFCC"/>
          </w:tcPr>
          <w:p w14:paraId="50A771CB" w14:textId="77777777" w:rsidR="0073642B" w:rsidRPr="00B301B8" w:rsidRDefault="0073642B" w:rsidP="00F518E3">
            <w:pPr>
              <w:spacing w:before="60" w:after="60" w:line="260" w:lineRule="atLeast"/>
              <w:jc w:val="center"/>
              <w:rPr>
                <w:sz w:val="18"/>
                <w:szCs w:val="18"/>
              </w:rPr>
            </w:pPr>
            <w:r w:rsidRPr="00B301B8">
              <w:rPr>
                <w:rFonts w:eastAsia="Calibri"/>
                <w:b/>
                <w:sz w:val="18"/>
                <w:szCs w:val="18"/>
                <w:lang w:eastAsia="en-US"/>
              </w:rPr>
              <w:t>Input parameters for calculating the local emission</w:t>
            </w:r>
          </w:p>
        </w:tc>
      </w:tr>
      <w:tr w:rsidR="0073642B" w14:paraId="0B451CC3" w14:textId="77777777" w:rsidTr="00C573DD">
        <w:trPr>
          <w:trHeight w:val="75"/>
        </w:trPr>
        <w:tc>
          <w:tcPr>
            <w:tcW w:w="2268" w:type="dxa"/>
            <w:tcBorders>
              <w:top w:val="single" w:sz="4" w:space="0" w:color="000000"/>
              <w:left w:val="single" w:sz="4" w:space="0" w:color="000000"/>
              <w:bottom w:val="single" w:sz="4" w:space="0" w:color="000000"/>
            </w:tcBorders>
            <w:shd w:val="clear" w:color="auto" w:fill="auto"/>
          </w:tcPr>
          <w:p w14:paraId="2A7EEDD1" w14:textId="020E31B1" w:rsidR="0073642B" w:rsidRPr="00B301B8" w:rsidRDefault="0073642B" w:rsidP="00F518E3">
            <w:pPr>
              <w:spacing w:before="60" w:after="60" w:line="260" w:lineRule="atLeast"/>
              <w:jc w:val="center"/>
              <w:rPr>
                <w:rFonts w:eastAsia="Calibri" w:cs="Arial"/>
                <w:b/>
                <w:bCs/>
                <w:color w:val="000000"/>
                <w:sz w:val="18"/>
                <w:szCs w:val="18"/>
                <w:lang w:eastAsia="en-GB"/>
              </w:rPr>
            </w:pPr>
            <w:r w:rsidRPr="00B301B8">
              <w:rPr>
                <w:rFonts w:eastAsia="Calibri" w:cs="Arial"/>
                <w:b/>
                <w:bCs/>
                <w:color w:val="000000"/>
                <w:sz w:val="18"/>
                <w:szCs w:val="18"/>
                <w:lang w:eastAsia="en-GB"/>
              </w:rPr>
              <w:t>Input</w:t>
            </w:r>
          </w:p>
        </w:tc>
        <w:tc>
          <w:tcPr>
            <w:tcW w:w="2098" w:type="dxa"/>
            <w:tcBorders>
              <w:top w:val="single" w:sz="4" w:space="0" w:color="000000"/>
              <w:left w:val="single" w:sz="4" w:space="0" w:color="000000"/>
              <w:bottom w:val="single" w:sz="4" w:space="0" w:color="000000"/>
            </w:tcBorders>
            <w:shd w:val="clear" w:color="auto" w:fill="auto"/>
          </w:tcPr>
          <w:p w14:paraId="62763088" w14:textId="75950F77" w:rsidR="0073642B" w:rsidRPr="00B301B8" w:rsidRDefault="0073642B" w:rsidP="00F518E3">
            <w:pPr>
              <w:spacing w:before="60" w:after="60" w:line="260" w:lineRule="atLeast"/>
              <w:jc w:val="center"/>
              <w:rPr>
                <w:rFonts w:eastAsia="Calibri" w:cs="Arial"/>
                <w:b/>
                <w:bCs/>
                <w:color w:val="000000"/>
                <w:sz w:val="18"/>
                <w:szCs w:val="18"/>
                <w:lang w:eastAsia="en-GB"/>
              </w:rPr>
            </w:pPr>
            <w:r w:rsidRPr="00B301B8">
              <w:rPr>
                <w:rFonts w:eastAsia="Calibri" w:cs="Arial"/>
                <w:b/>
                <w:bCs/>
                <w:color w:val="000000"/>
                <w:sz w:val="18"/>
                <w:szCs w:val="18"/>
                <w:lang w:eastAsia="en-GB"/>
              </w:rPr>
              <w:t>Value</w:t>
            </w:r>
          </w:p>
        </w:tc>
        <w:tc>
          <w:tcPr>
            <w:tcW w:w="1304" w:type="dxa"/>
            <w:tcBorders>
              <w:top w:val="single" w:sz="4" w:space="0" w:color="000000"/>
              <w:left w:val="single" w:sz="4" w:space="0" w:color="000000"/>
              <w:bottom w:val="single" w:sz="4" w:space="0" w:color="000000"/>
            </w:tcBorders>
            <w:shd w:val="clear" w:color="auto" w:fill="auto"/>
          </w:tcPr>
          <w:p w14:paraId="6B30C7CA" w14:textId="77777777" w:rsidR="0073642B" w:rsidRPr="00B301B8" w:rsidRDefault="0073642B" w:rsidP="00F518E3">
            <w:pPr>
              <w:spacing w:before="60" w:after="60" w:line="260" w:lineRule="atLeast"/>
              <w:jc w:val="center"/>
              <w:rPr>
                <w:rFonts w:eastAsia="Calibri" w:cs="Arial"/>
                <w:b/>
                <w:bCs/>
                <w:color w:val="000000"/>
                <w:sz w:val="18"/>
                <w:szCs w:val="18"/>
                <w:lang w:eastAsia="en-GB"/>
              </w:rPr>
            </w:pPr>
            <w:r w:rsidRPr="00B301B8">
              <w:rPr>
                <w:rFonts w:eastAsia="Calibri" w:cs="Arial"/>
                <w:b/>
                <w:bCs/>
                <w:color w:val="000000"/>
                <w:sz w:val="18"/>
                <w:szCs w:val="18"/>
                <w:lang w:eastAsia="en-GB"/>
              </w:rPr>
              <w:t>Unit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496D9049" w14:textId="77777777" w:rsidR="0073642B" w:rsidRPr="00B301B8" w:rsidRDefault="0073642B" w:rsidP="00F518E3">
            <w:pPr>
              <w:spacing w:before="60" w:after="60" w:line="260" w:lineRule="atLeast"/>
              <w:jc w:val="center"/>
              <w:rPr>
                <w:sz w:val="18"/>
                <w:szCs w:val="18"/>
              </w:rPr>
            </w:pPr>
            <w:r w:rsidRPr="00B301B8">
              <w:rPr>
                <w:rFonts w:eastAsia="Calibri" w:cs="Arial"/>
                <w:b/>
                <w:bCs/>
                <w:color w:val="000000"/>
                <w:sz w:val="18"/>
                <w:szCs w:val="18"/>
                <w:lang w:eastAsia="en-GB"/>
              </w:rPr>
              <w:t>Remarks</w:t>
            </w:r>
          </w:p>
        </w:tc>
      </w:tr>
      <w:tr w:rsidR="0073642B" w14:paraId="72FD679B" w14:textId="77777777" w:rsidTr="00C573DD">
        <w:trPr>
          <w:trHeight w:val="75"/>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6D08F4" w14:textId="5501B32B" w:rsidR="0073642B" w:rsidRPr="00B301B8" w:rsidRDefault="0073642B" w:rsidP="00F518E3">
            <w:pPr>
              <w:spacing w:before="60" w:after="60" w:line="260" w:lineRule="atLeast"/>
              <w:rPr>
                <w:sz w:val="18"/>
                <w:szCs w:val="18"/>
              </w:rPr>
            </w:pPr>
            <w:r w:rsidRPr="00B301B8">
              <w:rPr>
                <w:rFonts w:eastAsia="Calibri"/>
                <w:color w:val="000000"/>
                <w:sz w:val="18"/>
                <w:szCs w:val="18"/>
                <w:lang w:eastAsia="en-GB"/>
              </w:rPr>
              <w:t xml:space="preserve">Scenario </w:t>
            </w:r>
            <w:r w:rsidR="002F354D">
              <w:rPr>
                <w:rFonts w:eastAsia="Calibri"/>
                <w:color w:val="000000"/>
                <w:sz w:val="18"/>
                <w:szCs w:val="18"/>
                <w:lang w:eastAsia="en-GB"/>
              </w:rPr>
              <w:t>8</w:t>
            </w:r>
            <w:r w:rsidRPr="00B301B8">
              <w:rPr>
                <w:rFonts w:eastAsia="Calibri"/>
                <w:color w:val="000000"/>
                <w:sz w:val="18"/>
                <w:szCs w:val="18"/>
                <w:lang w:eastAsia="en-GB"/>
              </w:rPr>
              <w:t>:</w:t>
            </w:r>
            <w:r w:rsidRPr="00B301B8">
              <w:rPr>
                <w:rFonts w:eastAsia="Calibri"/>
                <w:i/>
                <w:color w:val="FF0000"/>
                <w:sz w:val="18"/>
                <w:szCs w:val="18"/>
                <w:lang w:eastAsia="en-GB"/>
              </w:rPr>
              <w:t xml:space="preserve"> </w:t>
            </w:r>
            <w:r w:rsidRPr="00B301B8">
              <w:rPr>
                <w:sz w:val="18"/>
                <w:szCs w:val="18"/>
              </w:rPr>
              <w:t xml:space="preserve">Indoor - Disinfection </w:t>
            </w:r>
            <w:r w:rsidR="00AF686D">
              <w:rPr>
                <w:sz w:val="18"/>
                <w:szCs w:val="18"/>
              </w:rPr>
              <w:t>in food and feed area</w:t>
            </w:r>
          </w:p>
        </w:tc>
      </w:tr>
      <w:tr w:rsidR="0073642B" w14:paraId="7EAA1C4A" w14:textId="77777777" w:rsidTr="00C573DD">
        <w:trPr>
          <w:trHeight w:val="93"/>
        </w:trPr>
        <w:tc>
          <w:tcPr>
            <w:tcW w:w="2268" w:type="dxa"/>
            <w:tcBorders>
              <w:top w:val="single" w:sz="4" w:space="0" w:color="000000"/>
              <w:left w:val="single" w:sz="4" w:space="0" w:color="000000"/>
              <w:bottom w:val="single" w:sz="4" w:space="0" w:color="000000"/>
            </w:tcBorders>
            <w:shd w:val="clear" w:color="auto" w:fill="auto"/>
            <w:vAlign w:val="center"/>
          </w:tcPr>
          <w:p w14:paraId="7E7CA5F5" w14:textId="77777777"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cs="Calibri"/>
                <w:sz w:val="18"/>
                <w:szCs w:val="18"/>
              </w:rPr>
              <w:t>Application rate of the biocidal product</w:t>
            </w:r>
          </w:p>
        </w:tc>
        <w:tc>
          <w:tcPr>
            <w:tcW w:w="2098" w:type="dxa"/>
            <w:tcBorders>
              <w:top w:val="single" w:sz="4" w:space="0" w:color="000000"/>
              <w:left w:val="single" w:sz="4" w:space="0" w:color="000000"/>
              <w:bottom w:val="single" w:sz="4" w:space="0" w:color="000000"/>
            </w:tcBorders>
            <w:shd w:val="clear" w:color="auto" w:fill="auto"/>
            <w:vAlign w:val="center"/>
          </w:tcPr>
          <w:p w14:paraId="0EF7A390" w14:textId="0E4F0EBF"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 xml:space="preserve">0.04 </w:t>
            </w:r>
            <w:r w:rsidR="00AE3876">
              <w:rPr>
                <w:rFonts w:eastAsia="Calibri" w:cs="Arial"/>
                <w:color w:val="000000"/>
                <w:sz w:val="18"/>
                <w:szCs w:val="18"/>
                <w:lang w:eastAsia="en-GB"/>
              </w:rPr>
              <w:t>(s</w:t>
            </w:r>
            <w:r w:rsidRPr="00B301B8">
              <w:rPr>
                <w:rFonts w:eastAsia="Calibri" w:cs="Arial"/>
                <w:color w:val="000000"/>
                <w:sz w:val="18"/>
                <w:szCs w:val="18"/>
                <w:lang w:eastAsia="en-GB"/>
              </w:rPr>
              <w:t xml:space="preserve">mall </w:t>
            </w:r>
            <w:r w:rsidR="00AE3876">
              <w:rPr>
                <w:rFonts w:eastAsia="Calibri" w:cs="Arial"/>
                <w:color w:val="000000"/>
                <w:sz w:val="18"/>
                <w:szCs w:val="18"/>
                <w:lang w:eastAsia="en-GB"/>
              </w:rPr>
              <w:t>s</w:t>
            </w:r>
            <w:r w:rsidRPr="00B301B8">
              <w:rPr>
                <w:rFonts w:eastAsia="Calibri" w:cs="Arial"/>
                <w:color w:val="000000"/>
                <w:sz w:val="18"/>
                <w:szCs w:val="18"/>
                <w:lang w:eastAsia="en-GB"/>
              </w:rPr>
              <w:t>cale</w:t>
            </w:r>
            <w:r w:rsidR="00AE3876">
              <w:rPr>
                <w:rFonts w:eastAsia="Calibri" w:cs="Arial"/>
                <w:color w:val="000000"/>
                <w:sz w:val="18"/>
                <w:szCs w:val="18"/>
                <w:lang w:eastAsia="en-GB"/>
              </w:rPr>
              <w:t>)</w:t>
            </w:r>
          </w:p>
          <w:p w14:paraId="4D4A9305" w14:textId="743B332A"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 xml:space="preserve">0.1 </w:t>
            </w:r>
            <w:r w:rsidR="00AE3876">
              <w:rPr>
                <w:rFonts w:eastAsia="Calibri" w:cs="Arial"/>
                <w:color w:val="000000"/>
                <w:sz w:val="18"/>
                <w:szCs w:val="18"/>
                <w:lang w:eastAsia="en-GB"/>
              </w:rPr>
              <w:t>(l</w:t>
            </w:r>
            <w:r w:rsidRPr="00B301B8">
              <w:rPr>
                <w:rFonts w:eastAsia="Calibri" w:cs="Arial"/>
                <w:color w:val="000000"/>
                <w:sz w:val="18"/>
                <w:szCs w:val="18"/>
                <w:lang w:eastAsia="en-GB"/>
              </w:rPr>
              <w:t xml:space="preserve">arge </w:t>
            </w:r>
            <w:r w:rsidR="00AE3876">
              <w:rPr>
                <w:rFonts w:eastAsia="Calibri" w:cs="Arial"/>
                <w:color w:val="000000"/>
                <w:sz w:val="18"/>
                <w:szCs w:val="18"/>
                <w:lang w:eastAsia="en-GB"/>
              </w:rPr>
              <w:t>s</w:t>
            </w:r>
            <w:r w:rsidRPr="00B301B8">
              <w:rPr>
                <w:rFonts w:eastAsia="Calibri" w:cs="Arial"/>
                <w:color w:val="000000"/>
                <w:sz w:val="18"/>
                <w:szCs w:val="18"/>
                <w:lang w:eastAsia="en-GB"/>
              </w:rPr>
              <w:t>cale</w:t>
            </w:r>
            <w:r w:rsidR="00AE3876">
              <w:rPr>
                <w:rFonts w:eastAsia="Calibri" w:cs="Arial"/>
                <w:color w:val="000000"/>
                <w:sz w:val="18"/>
                <w:szCs w:val="18"/>
                <w:lang w:eastAsia="en-GB"/>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F6FA23" w14:textId="77777777"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cs="Calibri"/>
                <w:sz w:val="18"/>
                <w:szCs w:val="18"/>
              </w:rPr>
              <w:t>L/m</w:t>
            </w:r>
            <w:r w:rsidRPr="00B301B8">
              <w:rPr>
                <w:rFonts w:cs="Calibri"/>
                <w:sz w:val="18"/>
                <w:szCs w:val="18"/>
                <w:vertAlign w:val="superscript"/>
              </w:rPr>
              <w:t>2</w:t>
            </w:r>
          </w:p>
        </w:tc>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6E9F4" w14:textId="64687F9A"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TAB ENV 26</w:t>
            </w:r>
          </w:p>
        </w:tc>
      </w:tr>
      <w:tr w:rsidR="00AE3876" w14:paraId="67956625" w14:textId="77777777" w:rsidTr="00C573DD">
        <w:trPr>
          <w:trHeight w:val="93"/>
        </w:trPr>
        <w:tc>
          <w:tcPr>
            <w:tcW w:w="2268" w:type="dxa"/>
            <w:tcBorders>
              <w:top w:val="single" w:sz="4" w:space="0" w:color="auto"/>
              <w:left w:val="single" w:sz="4" w:space="0" w:color="auto"/>
              <w:right w:val="single" w:sz="4" w:space="0" w:color="auto"/>
            </w:tcBorders>
            <w:shd w:val="clear" w:color="auto" w:fill="auto"/>
            <w:vAlign w:val="center"/>
          </w:tcPr>
          <w:p w14:paraId="2B9C707B" w14:textId="727F42F6" w:rsidR="00AE3876" w:rsidRPr="00D17F8B" w:rsidRDefault="00AE3876" w:rsidP="00F518E3">
            <w:pPr>
              <w:suppressAutoHyphens w:val="0"/>
              <w:rPr>
                <w:color w:val="000000"/>
                <w:sz w:val="18"/>
                <w:szCs w:val="18"/>
              </w:rPr>
            </w:pPr>
            <w:r w:rsidRPr="00D17F8B">
              <w:rPr>
                <w:color w:val="000000"/>
                <w:sz w:val="18"/>
                <w:szCs w:val="18"/>
              </w:rPr>
              <w:t>Concentration of substance in the product</w:t>
            </w:r>
          </w:p>
          <w:p w14:paraId="07159D22" w14:textId="77777777" w:rsidR="00AE3876" w:rsidRDefault="00AE3876" w:rsidP="00F518E3">
            <w:pPr>
              <w:suppressAutoHyphens w:val="0"/>
              <w:rPr>
                <w:i/>
                <w:color w:val="000000"/>
                <w:sz w:val="18"/>
                <w:szCs w:val="18"/>
                <w:vertAlign w:val="subscript"/>
              </w:rPr>
            </w:pPr>
            <w:r w:rsidRPr="00D17F8B">
              <w:rPr>
                <w:i/>
                <w:color w:val="000000"/>
                <w:sz w:val="18"/>
                <w:szCs w:val="18"/>
              </w:rPr>
              <w:t>C</w:t>
            </w:r>
            <w:r w:rsidRPr="00D17F8B">
              <w:rPr>
                <w:i/>
                <w:color w:val="000000"/>
                <w:sz w:val="18"/>
                <w:szCs w:val="18"/>
                <w:vertAlign w:val="subscript"/>
              </w:rPr>
              <w:t>product</w:t>
            </w:r>
          </w:p>
          <w:p w14:paraId="2B93E39F" w14:textId="7EF7E4E8" w:rsidR="00D20C12" w:rsidRPr="00D17F8B" w:rsidRDefault="00D20C12" w:rsidP="00F518E3">
            <w:pPr>
              <w:suppressAutoHyphens w:val="0"/>
              <w:rPr>
                <w:color w:val="000000"/>
                <w:sz w:val="18"/>
                <w:szCs w:val="18"/>
              </w:rPr>
            </w:pPr>
          </w:p>
        </w:tc>
        <w:tc>
          <w:tcPr>
            <w:tcW w:w="2098" w:type="dxa"/>
            <w:tcBorders>
              <w:top w:val="single" w:sz="4" w:space="0" w:color="auto"/>
              <w:left w:val="single" w:sz="4" w:space="0" w:color="auto"/>
              <w:right w:val="single" w:sz="4" w:space="0" w:color="auto"/>
            </w:tcBorders>
            <w:shd w:val="clear" w:color="auto" w:fill="auto"/>
            <w:vAlign w:val="center"/>
          </w:tcPr>
          <w:p w14:paraId="6390026E" w14:textId="77777777" w:rsidR="00AE3876" w:rsidRPr="00D17F8B" w:rsidRDefault="00AE3876" w:rsidP="00F518E3">
            <w:pPr>
              <w:snapToGrid w:val="0"/>
              <w:spacing w:before="60" w:after="60" w:line="260" w:lineRule="atLeast"/>
              <w:rPr>
                <w:rFonts w:eastAsia="Calibri" w:cs="Arial"/>
                <w:color w:val="000000"/>
                <w:sz w:val="18"/>
                <w:szCs w:val="18"/>
                <w:lang w:eastAsia="en-GB"/>
              </w:rPr>
            </w:pPr>
          </w:p>
        </w:tc>
        <w:tc>
          <w:tcPr>
            <w:tcW w:w="1304" w:type="dxa"/>
            <w:tcBorders>
              <w:top w:val="single" w:sz="4" w:space="0" w:color="auto"/>
              <w:left w:val="single" w:sz="4" w:space="0" w:color="auto"/>
              <w:right w:val="single" w:sz="4" w:space="0" w:color="auto"/>
            </w:tcBorders>
            <w:shd w:val="clear" w:color="auto" w:fill="auto"/>
            <w:vAlign w:val="center"/>
          </w:tcPr>
          <w:p w14:paraId="26BA3497" w14:textId="77777777" w:rsidR="00AE3876" w:rsidRPr="00D17F8B" w:rsidRDefault="00AE3876" w:rsidP="00F518E3">
            <w:pPr>
              <w:snapToGrid w:val="0"/>
              <w:spacing w:before="60" w:after="60" w:line="260" w:lineRule="atLeast"/>
              <w:rPr>
                <w:color w:val="000000"/>
                <w:sz w:val="18"/>
                <w:szCs w:val="18"/>
              </w:rPr>
            </w:pPr>
          </w:p>
        </w:tc>
        <w:tc>
          <w:tcPr>
            <w:tcW w:w="3651" w:type="dxa"/>
            <w:tcBorders>
              <w:top w:val="single" w:sz="4" w:space="0" w:color="auto"/>
              <w:left w:val="single" w:sz="4" w:space="0" w:color="auto"/>
              <w:right w:val="single" w:sz="4" w:space="0" w:color="auto"/>
            </w:tcBorders>
            <w:shd w:val="clear" w:color="auto" w:fill="auto"/>
            <w:vAlign w:val="center"/>
          </w:tcPr>
          <w:p w14:paraId="50805DA5" w14:textId="77777777" w:rsidR="00AE3876" w:rsidRPr="00D17F8B" w:rsidRDefault="00AE3876" w:rsidP="00F518E3">
            <w:pPr>
              <w:snapToGrid w:val="0"/>
              <w:spacing w:before="60" w:after="60" w:line="260" w:lineRule="atLeast"/>
              <w:rPr>
                <w:sz w:val="18"/>
                <w:szCs w:val="18"/>
              </w:rPr>
            </w:pPr>
          </w:p>
        </w:tc>
      </w:tr>
      <w:tr w:rsidR="00AE3876" w14:paraId="51D58216" w14:textId="77777777" w:rsidTr="00C573DD">
        <w:trPr>
          <w:trHeight w:val="441"/>
        </w:trPr>
        <w:tc>
          <w:tcPr>
            <w:tcW w:w="2268" w:type="dxa"/>
            <w:tcBorders>
              <w:left w:val="single" w:sz="4" w:space="0" w:color="auto"/>
              <w:right w:val="single" w:sz="4" w:space="0" w:color="auto"/>
            </w:tcBorders>
            <w:shd w:val="clear" w:color="auto" w:fill="auto"/>
          </w:tcPr>
          <w:p w14:paraId="697C8629" w14:textId="77777777" w:rsidR="00AE3876" w:rsidRPr="00D17F8B" w:rsidRDefault="00AE3876" w:rsidP="00A1491A">
            <w:pPr>
              <w:keepNext/>
              <w:rPr>
                <w:rFonts w:eastAsia="Calibri" w:cs="Arial"/>
                <w:color w:val="000000"/>
                <w:sz w:val="18"/>
                <w:szCs w:val="18"/>
                <w:lang w:eastAsia="en-GB"/>
              </w:rPr>
            </w:pPr>
            <w:r w:rsidRPr="00D17F8B">
              <w:rPr>
                <w:rFonts w:eastAsia="Calibri" w:cs="Arial"/>
                <w:color w:val="000000"/>
                <w:sz w:val="18"/>
                <w:szCs w:val="18"/>
                <w:lang w:eastAsia="en-GB"/>
              </w:rPr>
              <w:lastRenderedPageBreak/>
              <w:t xml:space="preserve">Lactic </w:t>
            </w:r>
            <w:r>
              <w:rPr>
                <w:rFonts w:eastAsia="Calibri" w:cs="Arial"/>
                <w:color w:val="000000"/>
                <w:sz w:val="18"/>
                <w:szCs w:val="18"/>
                <w:lang w:eastAsia="en-GB"/>
              </w:rPr>
              <w:t>a</w:t>
            </w:r>
            <w:r w:rsidRPr="00D17F8B">
              <w:rPr>
                <w:rFonts w:eastAsia="Calibri" w:cs="Arial"/>
                <w:color w:val="000000"/>
                <w:sz w:val="18"/>
                <w:szCs w:val="18"/>
                <w:lang w:eastAsia="en-GB"/>
              </w:rPr>
              <w:t>cid</w:t>
            </w:r>
          </w:p>
        </w:tc>
        <w:tc>
          <w:tcPr>
            <w:tcW w:w="2098" w:type="dxa"/>
            <w:tcBorders>
              <w:left w:val="single" w:sz="4" w:space="0" w:color="auto"/>
              <w:right w:val="single" w:sz="4" w:space="0" w:color="auto"/>
            </w:tcBorders>
            <w:shd w:val="clear" w:color="auto" w:fill="auto"/>
          </w:tcPr>
          <w:p w14:paraId="6933C23C" w14:textId="77777777" w:rsidR="00AE3876" w:rsidRDefault="00AE3876" w:rsidP="00A1491A">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4.00E-02 (small scale)</w:t>
            </w:r>
          </w:p>
          <w:p w14:paraId="01AF74DB" w14:textId="77777777" w:rsidR="00AE3876" w:rsidRDefault="00AE3876" w:rsidP="00FC4EB5">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2.40E-02 (large scale)</w:t>
            </w:r>
          </w:p>
        </w:tc>
        <w:tc>
          <w:tcPr>
            <w:tcW w:w="1304" w:type="dxa"/>
            <w:vMerge w:val="restart"/>
            <w:tcBorders>
              <w:left w:val="single" w:sz="4" w:space="0" w:color="auto"/>
              <w:bottom w:val="single" w:sz="4" w:space="0" w:color="auto"/>
              <w:right w:val="single" w:sz="4" w:space="0" w:color="auto"/>
            </w:tcBorders>
            <w:shd w:val="clear" w:color="auto" w:fill="auto"/>
            <w:vAlign w:val="center"/>
          </w:tcPr>
          <w:p w14:paraId="4322AF1B" w14:textId="77777777" w:rsidR="00AE3876" w:rsidRPr="00D17F8B" w:rsidRDefault="00AE3876" w:rsidP="00F518E3">
            <w:pPr>
              <w:snapToGrid w:val="0"/>
              <w:spacing w:before="60" w:after="60" w:line="260" w:lineRule="atLeast"/>
              <w:rPr>
                <w:rFonts w:eastAsia="Calibri" w:cs="Arial"/>
                <w:color w:val="000000"/>
                <w:sz w:val="18"/>
                <w:szCs w:val="18"/>
                <w:lang w:eastAsia="en-GB"/>
              </w:rPr>
            </w:pPr>
            <w:r w:rsidRPr="00D17F8B">
              <w:rPr>
                <w:color w:val="000000"/>
                <w:sz w:val="18"/>
                <w:szCs w:val="18"/>
              </w:rPr>
              <w:t>kg.l</w:t>
            </w:r>
            <w:r w:rsidRPr="00D17F8B">
              <w:rPr>
                <w:color w:val="000000"/>
                <w:sz w:val="18"/>
                <w:szCs w:val="18"/>
                <w:vertAlign w:val="superscript"/>
              </w:rPr>
              <w:t>-1</w:t>
            </w:r>
          </w:p>
        </w:tc>
        <w:tc>
          <w:tcPr>
            <w:tcW w:w="3651" w:type="dxa"/>
            <w:vMerge w:val="restart"/>
            <w:tcBorders>
              <w:left w:val="single" w:sz="4" w:space="0" w:color="auto"/>
              <w:bottom w:val="single" w:sz="4" w:space="0" w:color="auto"/>
              <w:right w:val="single" w:sz="4" w:space="0" w:color="auto"/>
            </w:tcBorders>
            <w:shd w:val="clear" w:color="auto" w:fill="auto"/>
            <w:vAlign w:val="center"/>
          </w:tcPr>
          <w:p w14:paraId="24A46578" w14:textId="44A90BEB" w:rsidR="00AE3876" w:rsidRPr="00D17F8B" w:rsidRDefault="009B4803" w:rsidP="00F518E3">
            <w:pPr>
              <w:snapToGrid w:val="0"/>
              <w:spacing w:before="60" w:after="60" w:line="260" w:lineRule="atLeast"/>
              <w:rPr>
                <w:rFonts w:eastAsia="Calibri" w:cs="Arial"/>
                <w:color w:val="000000"/>
                <w:sz w:val="18"/>
                <w:szCs w:val="18"/>
                <w:lang w:eastAsia="en-GB"/>
              </w:rPr>
            </w:pPr>
            <w:r w:rsidRPr="001C6AF1">
              <w:rPr>
                <w:sz w:val="18"/>
                <w:szCs w:val="18"/>
                <w:lang w:val="en-US"/>
              </w:rPr>
              <w:t>Considering that product density may vary from 1.004 to 1.077</w:t>
            </w:r>
            <w:r w:rsidR="00D115B1" w:rsidRPr="001C6AF1">
              <w:rPr>
                <w:sz w:val="18"/>
                <w:szCs w:val="18"/>
                <w:lang w:val="en-US"/>
              </w:rPr>
              <w:t xml:space="preserve"> for all the Meta-SPC</w:t>
            </w:r>
            <w:r w:rsidRPr="001C6AF1">
              <w:rPr>
                <w:sz w:val="18"/>
                <w:szCs w:val="18"/>
                <w:lang w:val="en-US"/>
              </w:rPr>
              <w:t>, a density of 1 is considered for the assessment</w:t>
            </w:r>
          </w:p>
        </w:tc>
      </w:tr>
      <w:tr w:rsidR="00AE3876" w14:paraId="0D08FD30" w14:textId="77777777" w:rsidTr="00C573DD">
        <w:trPr>
          <w:trHeight w:val="441"/>
        </w:trPr>
        <w:tc>
          <w:tcPr>
            <w:tcW w:w="2268" w:type="dxa"/>
            <w:tcBorders>
              <w:left w:val="single" w:sz="4" w:space="0" w:color="auto"/>
              <w:right w:val="single" w:sz="4" w:space="0" w:color="auto"/>
            </w:tcBorders>
            <w:shd w:val="clear" w:color="auto" w:fill="auto"/>
            <w:vAlign w:val="center"/>
          </w:tcPr>
          <w:p w14:paraId="4F8ABE24" w14:textId="77777777" w:rsidR="00AE3876" w:rsidRDefault="00AE3876" w:rsidP="00F518E3">
            <w:pPr>
              <w:keepNext/>
              <w:rPr>
                <w:color w:val="000000"/>
                <w:sz w:val="18"/>
                <w:szCs w:val="18"/>
              </w:rPr>
            </w:pPr>
            <w:r w:rsidRPr="00D17F8B">
              <w:rPr>
                <w:rFonts w:eastAsia="Calibri" w:cs="Times New Roman"/>
                <w:sz w:val="18"/>
                <w:szCs w:val="18"/>
                <w:lang w:eastAsia="en-US"/>
              </w:rPr>
              <w:t>Amines, coco alkyldimethyl, N-oxides</w:t>
            </w:r>
          </w:p>
        </w:tc>
        <w:tc>
          <w:tcPr>
            <w:tcW w:w="2098" w:type="dxa"/>
            <w:tcBorders>
              <w:left w:val="single" w:sz="4" w:space="0" w:color="auto"/>
              <w:right w:val="single" w:sz="4" w:space="0" w:color="auto"/>
            </w:tcBorders>
            <w:shd w:val="clear" w:color="auto" w:fill="auto"/>
            <w:vAlign w:val="center"/>
          </w:tcPr>
          <w:p w14:paraId="18AD3F60" w14:textId="5E90609F" w:rsidR="00AE3876" w:rsidRDefault="00AE3876" w:rsidP="00F518E3">
            <w:pPr>
              <w:keepNext/>
              <w:rPr>
                <w:color w:val="000000"/>
                <w:sz w:val="18"/>
                <w:szCs w:val="18"/>
              </w:rPr>
            </w:pPr>
            <w:r>
              <w:rPr>
                <w:color w:val="000000"/>
                <w:sz w:val="18"/>
                <w:szCs w:val="18"/>
              </w:rPr>
              <w:t>1.00E-03</w:t>
            </w:r>
            <w:r w:rsidR="006B6A7A">
              <w:rPr>
                <w:color w:val="000000"/>
                <w:sz w:val="18"/>
                <w:szCs w:val="18"/>
              </w:rPr>
              <w:t xml:space="preserve"> (large scale)</w:t>
            </w:r>
          </w:p>
        </w:tc>
        <w:tc>
          <w:tcPr>
            <w:tcW w:w="1304" w:type="dxa"/>
            <w:vMerge/>
            <w:tcBorders>
              <w:left w:val="single" w:sz="4" w:space="0" w:color="auto"/>
              <w:bottom w:val="single" w:sz="4" w:space="0" w:color="auto"/>
              <w:right w:val="single" w:sz="4" w:space="0" w:color="auto"/>
            </w:tcBorders>
            <w:shd w:val="clear" w:color="auto" w:fill="auto"/>
            <w:vAlign w:val="center"/>
          </w:tcPr>
          <w:p w14:paraId="4965069D" w14:textId="77777777" w:rsidR="00AE3876" w:rsidRPr="00D17F8B" w:rsidRDefault="00AE3876" w:rsidP="00F518E3">
            <w:pPr>
              <w:snapToGrid w:val="0"/>
              <w:spacing w:before="60" w:after="60" w:line="260" w:lineRule="atLeast"/>
              <w:rPr>
                <w:color w:val="000000"/>
                <w:sz w:val="18"/>
                <w:szCs w:val="18"/>
              </w:rPr>
            </w:pPr>
          </w:p>
        </w:tc>
        <w:tc>
          <w:tcPr>
            <w:tcW w:w="3651" w:type="dxa"/>
            <w:vMerge/>
            <w:tcBorders>
              <w:left w:val="single" w:sz="4" w:space="0" w:color="auto"/>
              <w:bottom w:val="single" w:sz="4" w:space="0" w:color="auto"/>
              <w:right w:val="single" w:sz="4" w:space="0" w:color="auto"/>
            </w:tcBorders>
            <w:shd w:val="clear" w:color="auto" w:fill="auto"/>
            <w:vAlign w:val="center"/>
          </w:tcPr>
          <w:p w14:paraId="43BB8C7A" w14:textId="77777777" w:rsidR="00AE3876" w:rsidRPr="00D17F8B" w:rsidRDefault="00AE3876" w:rsidP="00F518E3">
            <w:pPr>
              <w:snapToGrid w:val="0"/>
              <w:spacing w:before="60" w:after="60" w:line="260" w:lineRule="atLeast"/>
              <w:rPr>
                <w:sz w:val="18"/>
                <w:szCs w:val="18"/>
              </w:rPr>
            </w:pPr>
          </w:p>
        </w:tc>
      </w:tr>
      <w:tr w:rsidR="0073642B" w14:paraId="4046662B" w14:textId="77777777" w:rsidTr="00C573DD">
        <w:trPr>
          <w:trHeight w:val="93"/>
        </w:trPr>
        <w:tc>
          <w:tcPr>
            <w:tcW w:w="2268" w:type="dxa"/>
            <w:tcBorders>
              <w:top w:val="single" w:sz="4" w:space="0" w:color="000000"/>
              <w:left w:val="single" w:sz="4" w:space="0" w:color="000000"/>
              <w:bottom w:val="single" w:sz="4" w:space="0" w:color="000000"/>
            </w:tcBorders>
            <w:shd w:val="clear" w:color="auto" w:fill="auto"/>
            <w:vAlign w:val="center"/>
          </w:tcPr>
          <w:p w14:paraId="22C6BF23" w14:textId="77777777" w:rsidR="0073642B" w:rsidRPr="00B301B8" w:rsidRDefault="0073642B" w:rsidP="00F518E3">
            <w:pPr>
              <w:keepNext/>
              <w:rPr>
                <w:rFonts w:cs="Calibri"/>
                <w:sz w:val="18"/>
                <w:szCs w:val="18"/>
              </w:rPr>
            </w:pPr>
            <w:r w:rsidRPr="00B301B8">
              <w:rPr>
                <w:rFonts w:cs="Calibri"/>
                <w:sz w:val="18"/>
                <w:szCs w:val="18"/>
              </w:rPr>
              <w:t>Surface area</w:t>
            </w:r>
          </w:p>
        </w:tc>
        <w:tc>
          <w:tcPr>
            <w:tcW w:w="2098" w:type="dxa"/>
            <w:tcBorders>
              <w:top w:val="single" w:sz="4" w:space="0" w:color="000000"/>
              <w:left w:val="single" w:sz="4" w:space="0" w:color="000000"/>
              <w:bottom w:val="single" w:sz="4" w:space="0" w:color="000000"/>
            </w:tcBorders>
            <w:shd w:val="clear" w:color="auto" w:fill="auto"/>
            <w:vAlign w:val="center"/>
          </w:tcPr>
          <w:p w14:paraId="7722DDBC" w14:textId="1738DC85" w:rsidR="00870D67"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 xml:space="preserve">50 </w:t>
            </w:r>
            <w:r w:rsidR="00AE3876">
              <w:rPr>
                <w:rFonts w:eastAsia="Calibri" w:cs="Arial"/>
                <w:color w:val="000000"/>
                <w:sz w:val="18"/>
                <w:szCs w:val="18"/>
                <w:lang w:eastAsia="en-GB"/>
              </w:rPr>
              <w:t>(s</w:t>
            </w:r>
            <w:r w:rsidR="00AE3876" w:rsidRPr="00B301B8">
              <w:rPr>
                <w:rFonts w:eastAsia="Calibri" w:cs="Arial"/>
                <w:color w:val="000000"/>
                <w:sz w:val="18"/>
                <w:szCs w:val="18"/>
                <w:lang w:eastAsia="en-GB"/>
              </w:rPr>
              <w:t xml:space="preserve">mall </w:t>
            </w:r>
            <w:r w:rsidR="00AE3876">
              <w:rPr>
                <w:rFonts w:eastAsia="Calibri" w:cs="Arial"/>
                <w:color w:val="000000"/>
                <w:sz w:val="18"/>
                <w:szCs w:val="18"/>
                <w:lang w:eastAsia="en-GB"/>
              </w:rPr>
              <w:t>s</w:t>
            </w:r>
            <w:r w:rsidR="00AE3876" w:rsidRPr="00B301B8">
              <w:rPr>
                <w:rFonts w:eastAsia="Calibri" w:cs="Arial"/>
                <w:color w:val="000000"/>
                <w:sz w:val="18"/>
                <w:szCs w:val="18"/>
                <w:lang w:eastAsia="en-GB"/>
              </w:rPr>
              <w:t>cale</w:t>
            </w:r>
            <w:r w:rsidR="00AE3876">
              <w:rPr>
                <w:rFonts w:eastAsia="Calibri" w:cs="Arial"/>
                <w:color w:val="000000"/>
                <w:sz w:val="18"/>
                <w:szCs w:val="18"/>
                <w:lang w:eastAsia="en-GB"/>
              </w:rPr>
              <w:t>)</w:t>
            </w:r>
          </w:p>
          <w:p w14:paraId="2606D9CB" w14:textId="2E8CDB76" w:rsidR="0073642B" w:rsidRPr="00B301B8" w:rsidRDefault="00E86C5A" w:rsidP="00F518E3">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10 000</w:t>
            </w:r>
            <w:r w:rsidRPr="00B301B8">
              <w:rPr>
                <w:rFonts w:eastAsia="Calibri" w:cs="Arial"/>
                <w:color w:val="000000"/>
                <w:sz w:val="18"/>
                <w:szCs w:val="18"/>
                <w:lang w:eastAsia="en-GB"/>
              </w:rPr>
              <w:t xml:space="preserve"> </w:t>
            </w:r>
            <w:r w:rsidR="00AE3876">
              <w:rPr>
                <w:rFonts w:eastAsia="Calibri" w:cs="Arial"/>
                <w:color w:val="000000"/>
                <w:sz w:val="18"/>
                <w:szCs w:val="18"/>
                <w:lang w:eastAsia="en-GB"/>
              </w:rPr>
              <w:t>(large</w:t>
            </w:r>
            <w:r w:rsidR="00870D67">
              <w:rPr>
                <w:rFonts w:eastAsia="Calibri" w:cs="Arial"/>
                <w:color w:val="000000"/>
                <w:sz w:val="18"/>
                <w:szCs w:val="18"/>
                <w:lang w:eastAsia="en-GB"/>
              </w:rPr>
              <w:t xml:space="preserve"> </w:t>
            </w:r>
            <w:r w:rsidR="00AE3876">
              <w:rPr>
                <w:rFonts w:eastAsia="Calibri" w:cs="Arial"/>
                <w:color w:val="000000"/>
                <w:sz w:val="18"/>
                <w:szCs w:val="18"/>
                <w:lang w:eastAsia="en-GB"/>
              </w:rPr>
              <w:t>s</w:t>
            </w:r>
            <w:r w:rsidR="00AE3876" w:rsidRPr="00B301B8">
              <w:rPr>
                <w:rFonts w:eastAsia="Calibri" w:cs="Arial"/>
                <w:color w:val="000000"/>
                <w:sz w:val="18"/>
                <w:szCs w:val="18"/>
                <w:lang w:eastAsia="en-GB"/>
              </w:rPr>
              <w:t>cale</w:t>
            </w:r>
            <w:r w:rsidR="00AE3876">
              <w:rPr>
                <w:rFonts w:eastAsia="Calibri" w:cs="Arial"/>
                <w:color w:val="000000"/>
                <w:sz w:val="18"/>
                <w:szCs w:val="18"/>
                <w:lang w:eastAsia="en-GB"/>
              </w:rPr>
              <w:t>)</w:t>
            </w:r>
          </w:p>
        </w:tc>
        <w:tc>
          <w:tcPr>
            <w:tcW w:w="1304" w:type="dxa"/>
            <w:tcBorders>
              <w:top w:val="nil"/>
              <w:left w:val="single" w:sz="4" w:space="0" w:color="auto"/>
              <w:bottom w:val="single" w:sz="4" w:space="0" w:color="auto"/>
              <w:right w:val="single" w:sz="4" w:space="0" w:color="auto"/>
            </w:tcBorders>
            <w:shd w:val="clear" w:color="auto" w:fill="auto"/>
            <w:vAlign w:val="center"/>
          </w:tcPr>
          <w:p w14:paraId="6FDDF93D" w14:textId="77777777" w:rsidR="0073642B" w:rsidRPr="00B301B8" w:rsidRDefault="0073642B" w:rsidP="00F518E3">
            <w:pPr>
              <w:snapToGrid w:val="0"/>
              <w:spacing w:before="60" w:after="60" w:line="260" w:lineRule="atLeast"/>
              <w:rPr>
                <w:color w:val="000000"/>
                <w:sz w:val="18"/>
                <w:szCs w:val="18"/>
              </w:rPr>
            </w:pPr>
            <w:r w:rsidRPr="00B301B8">
              <w:rPr>
                <w:rFonts w:cs="Calibri"/>
                <w:sz w:val="18"/>
                <w:szCs w:val="18"/>
              </w:rPr>
              <w:t>m</w:t>
            </w:r>
            <w:r w:rsidRPr="00B301B8">
              <w:rPr>
                <w:rFonts w:cs="Calibri"/>
                <w:sz w:val="18"/>
                <w:szCs w:val="18"/>
                <w:vertAlign w:val="superscript"/>
              </w:rPr>
              <w:t>2</w:t>
            </w:r>
          </w:p>
        </w:tc>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97B7" w14:textId="77777777" w:rsidR="0073642B" w:rsidRPr="00B301B8" w:rsidRDefault="0073642B" w:rsidP="00F518E3">
            <w:pPr>
              <w:snapToGrid w:val="0"/>
              <w:spacing w:before="60" w:after="60" w:line="260" w:lineRule="atLeast"/>
              <w:rPr>
                <w:color w:val="000000"/>
                <w:sz w:val="18"/>
                <w:szCs w:val="18"/>
              </w:rPr>
            </w:pPr>
            <w:r w:rsidRPr="00B301B8">
              <w:rPr>
                <w:color w:val="000000"/>
                <w:sz w:val="18"/>
                <w:szCs w:val="18"/>
              </w:rPr>
              <w:t>Default</w:t>
            </w:r>
          </w:p>
          <w:p w14:paraId="385C1961" w14:textId="77777777" w:rsidR="0073642B" w:rsidRPr="00B301B8" w:rsidRDefault="0073642B" w:rsidP="00F518E3">
            <w:pPr>
              <w:snapToGrid w:val="0"/>
              <w:spacing w:before="60" w:after="60" w:line="260" w:lineRule="atLeast"/>
              <w:rPr>
                <w:color w:val="000000"/>
                <w:sz w:val="18"/>
                <w:szCs w:val="18"/>
              </w:rPr>
            </w:pPr>
            <w:r w:rsidRPr="00B301B8">
              <w:rPr>
                <w:color w:val="000000"/>
                <w:sz w:val="18"/>
                <w:szCs w:val="18"/>
              </w:rPr>
              <w:t>TAB ENV 67</w:t>
            </w:r>
          </w:p>
        </w:tc>
      </w:tr>
      <w:tr w:rsidR="0073642B" w14:paraId="38E758E2" w14:textId="77777777" w:rsidTr="00C573DD">
        <w:trPr>
          <w:trHeight w:val="93"/>
        </w:trPr>
        <w:tc>
          <w:tcPr>
            <w:tcW w:w="2268" w:type="dxa"/>
            <w:tcBorders>
              <w:top w:val="single" w:sz="4" w:space="0" w:color="000000"/>
              <w:left w:val="single" w:sz="4" w:space="0" w:color="000000"/>
              <w:bottom w:val="single" w:sz="4" w:space="0" w:color="000000"/>
            </w:tcBorders>
            <w:shd w:val="clear" w:color="auto" w:fill="auto"/>
            <w:vAlign w:val="center"/>
          </w:tcPr>
          <w:p w14:paraId="67CA67D8" w14:textId="77777777" w:rsidR="0073642B" w:rsidRPr="00B301B8" w:rsidRDefault="0073642B" w:rsidP="00F518E3">
            <w:pPr>
              <w:keepNext/>
              <w:rPr>
                <w:rFonts w:cs="Calibri"/>
                <w:sz w:val="18"/>
                <w:szCs w:val="18"/>
              </w:rPr>
            </w:pPr>
            <w:r w:rsidRPr="00B301B8">
              <w:rPr>
                <w:rFonts w:cs="Calibri"/>
                <w:sz w:val="18"/>
                <w:szCs w:val="18"/>
              </w:rPr>
              <w:t>Number of applications</w:t>
            </w:r>
          </w:p>
        </w:tc>
        <w:tc>
          <w:tcPr>
            <w:tcW w:w="2098" w:type="dxa"/>
            <w:tcBorders>
              <w:top w:val="single" w:sz="4" w:space="0" w:color="000000"/>
              <w:left w:val="single" w:sz="4" w:space="0" w:color="000000"/>
              <w:bottom w:val="single" w:sz="4" w:space="0" w:color="000000"/>
            </w:tcBorders>
            <w:shd w:val="clear" w:color="auto" w:fill="auto"/>
            <w:vAlign w:val="center"/>
          </w:tcPr>
          <w:p w14:paraId="5AFEBCB5" w14:textId="77777777"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1</w:t>
            </w:r>
          </w:p>
        </w:tc>
        <w:tc>
          <w:tcPr>
            <w:tcW w:w="1304" w:type="dxa"/>
            <w:tcBorders>
              <w:top w:val="nil"/>
              <w:left w:val="single" w:sz="4" w:space="0" w:color="auto"/>
              <w:bottom w:val="single" w:sz="4" w:space="0" w:color="auto"/>
              <w:right w:val="single" w:sz="4" w:space="0" w:color="auto"/>
            </w:tcBorders>
            <w:shd w:val="clear" w:color="auto" w:fill="auto"/>
            <w:vAlign w:val="center"/>
          </w:tcPr>
          <w:p w14:paraId="799A5387" w14:textId="77777777" w:rsidR="0073642B" w:rsidRPr="00B301B8" w:rsidRDefault="0073642B" w:rsidP="00F518E3">
            <w:pPr>
              <w:snapToGrid w:val="0"/>
              <w:spacing w:before="60" w:after="60" w:line="260" w:lineRule="atLeast"/>
              <w:rPr>
                <w:color w:val="000000"/>
                <w:sz w:val="18"/>
                <w:szCs w:val="18"/>
              </w:rPr>
            </w:pPr>
            <w:r w:rsidRPr="00B301B8">
              <w:rPr>
                <w:rFonts w:cs="Calibri"/>
                <w:sz w:val="18"/>
                <w:szCs w:val="18"/>
              </w:rPr>
              <w:t>1/d</w:t>
            </w:r>
          </w:p>
        </w:tc>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51D6" w14:textId="77777777" w:rsidR="0073642B" w:rsidRPr="00B301B8" w:rsidRDefault="0073642B" w:rsidP="00F518E3">
            <w:pPr>
              <w:snapToGrid w:val="0"/>
              <w:spacing w:before="60" w:after="60" w:line="260" w:lineRule="atLeast"/>
              <w:rPr>
                <w:color w:val="000000"/>
                <w:sz w:val="18"/>
                <w:szCs w:val="18"/>
              </w:rPr>
            </w:pPr>
            <w:r w:rsidRPr="00B301B8">
              <w:rPr>
                <w:color w:val="000000"/>
                <w:sz w:val="18"/>
                <w:szCs w:val="18"/>
              </w:rPr>
              <w:t>Default</w:t>
            </w:r>
          </w:p>
        </w:tc>
      </w:tr>
      <w:tr w:rsidR="0073642B" w14:paraId="1C756E93" w14:textId="77777777" w:rsidTr="00C573DD">
        <w:trPr>
          <w:trHeight w:val="93"/>
        </w:trPr>
        <w:tc>
          <w:tcPr>
            <w:tcW w:w="2268" w:type="dxa"/>
            <w:tcBorders>
              <w:top w:val="single" w:sz="4" w:space="0" w:color="000000"/>
              <w:left w:val="single" w:sz="4" w:space="0" w:color="000000"/>
              <w:bottom w:val="single" w:sz="4" w:space="0" w:color="000000"/>
            </w:tcBorders>
            <w:shd w:val="clear" w:color="auto" w:fill="auto"/>
            <w:vAlign w:val="center"/>
          </w:tcPr>
          <w:p w14:paraId="1E499D49" w14:textId="77777777" w:rsidR="0073642B" w:rsidRPr="00B301B8" w:rsidRDefault="0073642B" w:rsidP="00F518E3">
            <w:pPr>
              <w:keepNext/>
              <w:rPr>
                <w:rFonts w:cs="Calibri"/>
                <w:sz w:val="18"/>
                <w:szCs w:val="18"/>
              </w:rPr>
            </w:pPr>
            <w:r w:rsidRPr="00B301B8">
              <w:rPr>
                <w:rFonts w:cs="Calibri"/>
                <w:sz w:val="18"/>
                <w:szCs w:val="18"/>
              </w:rPr>
              <w:t>Fraction Released to wastewater</w:t>
            </w:r>
          </w:p>
        </w:tc>
        <w:tc>
          <w:tcPr>
            <w:tcW w:w="2098" w:type="dxa"/>
            <w:tcBorders>
              <w:top w:val="single" w:sz="4" w:space="0" w:color="000000"/>
              <w:left w:val="single" w:sz="4" w:space="0" w:color="000000"/>
              <w:bottom w:val="single" w:sz="4" w:space="0" w:color="000000"/>
            </w:tcBorders>
            <w:shd w:val="clear" w:color="auto" w:fill="auto"/>
            <w:vAlign w:val="center"/>
          </w:tcPr>
          <w:p w14:paraId="0923C26E" w14:textId="77777777" w:rsidR="0073642B" w:rsidRPr="00B301B8" w:rsidRDefault="0073642B" w:rsidP="00F518E3">
            <w:pPr>
              <w:snapToGrid w:val="0"/>
              <w:spacing w:before="60" w:after="60" w:line="260" w:lineRule="atLeast"/>
              <w:rPr>
                <w:rFonts w:eastAsia="Calibri" w:cs="Arial"/>
                <w:color w:val="000000"/>
                <w:sz w:val="18"/>
                <w:szCs w:val="18"/>
                <w:lang w:eastAsia="en-GB"/>
              </w:rPr>
            </w:pPr>
            <w:r w:rsidRPr="00B301B8">
              <w:rPr>
                <w:rFonts w:eastAsia="Calibri" w:cs="Arial"/>
                <w:color w:val="000000"/>
                <w:sz w:val="18"/>
                <w:szCs w:val="18"/>
                <w:lang w:eastAsia="en-GB"/>
              </w:rPr>
              <w:t>1</w:t>
            </w:r>
          </w:p>
        </w:tc>
        <w:tc>
          <w:tcPr>
            <w:tcW w:w="1304" w:type="dxa"/>
            <w:tcBorders>
              <w:top w:val="nil"/>
              <w:left w:val="single" w:sz="4" w:space="0" w:color="auto"/>
              <w:bottom w:val="single" w:sz="4" w:space="0" w:color="auto"/>
              <w:right w:val="single" w:sz="4" w:space="0" w:color="auto"/>
            </w:tcBorders>
            <w:shd w:val="clear" w:color="auto" w:fill="auto"/>
            <w:vAlign w:val="center"/>
          </w:tcPr>
          <w:p w14:paraId="3BE69F52" w14:textId="77777777" w:rsidR="0073642B" w:rsidRPr="00B301B8" w:rsidRDefault="0073642B" w:rsidP="00F518E3">
            <w:pPr>
              <w:snapToGrid w:val="0"/>
              <w:spacing w:before="60" w:after="60" w:line="260" w:lineRule="atLeast"/>
              <w:rPr>
                <w:color w:val="000000"/>
                <w:sz w:val="18"/>
                <w:szCs w:val="18"/>
              </w:rPr>
            </w:pPr>
            <w:r w:rsidRPr="00B301B8">
              <w:rPr>
                <w:rFonts w:cs="Calibri"/>
                <w:sz w:val="18"/>
                <w:szCs w:val="18"/>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F0D2" w14:textId="77777777" w:rsidR="0073642B" w:rsidRPr="00B301B8" w:rsidRDefault="0073642B" w:rsidP="00F518E3">
            <w:pPr>
              <w:snapToGrid w:val="0"/>
              <w:spacing w:before="60" w:after="60" w:line="260" w:lineRule="atLeast"/>
              <w:rPr>
                <w:color w:val="000000"/>
                <w:sz w:val="18"/>
                <w:szCs w:val="18"/>
              </w:rPr>
            </w:pPr>
            <w:r w:rsidRPr="00B301B8">
              <w:rPr>
                <w:color w:val="000000"/>
                <w:sz w:val="18"/>
                <w:szCs w:val="18"/>
              </w:rPr>
              <w:t>Default</w:t>
            </w:r>
          </w:p>
        </w:tc>
      </w:tr>
    </w:tbl>
    <w:p w14:paraId="601FBF6A" w14:textId="77777777" w:rsidR="0073642B" w:rsidRDefault="0073642B" w:rsidP="0073642B">
      <w:pPr>
        <w:spacing w:line="276" w:lineRule="auto"/>
        <w:rPr>
          <w:rFonts w:ascii="Times New Roman" w:eastAsia="Calibri" w:hAnsi="Times New Roman" w:cs="Times New Roman"/>
          <w:i/>
          <w:lang w:eastAsia="en-US"/>
        </w:rPr>
      </w:pPr>
    </w:p>
    <w:p w14:paraId="3CFF2052" w14:textId="77777777" w:rsidR="0073642B" w:rsidRPr="006A3498" w:rsidRDefault="0073642B" w:rsidP="0073642B">
      <w:pPr>
        <w:spacing w:line="276" w:lineRule="auto"/>
        <w:rPr>
          <w:rFonts w:ascii="Times New Roman" w:eastAsia="Calibri" w:hAnsi="Times New Roman" w:cs="Times New Roman"/>
          <w:i/>
          <w:lang w:val="fr-FR" w:eastAsia="en-US"/>
        </w:rPr>
      </w:pPr>
    </w:p>
    <w:p w14:paraId="2287C953" w14:textId="77777777" w:rsidR="0073642B" w:rsidRPr="00E666E8" w:rsidRDefault="0073642B" w:rsidP="0073642B">
      <w:pPr>
        <w:spacing w:line="276" w:lineRule="auto"/>
        <w:rPr>
          <w:rFonts w:eastAsia="Calibri"/>
          <w:u w:val="single"/>
          <w:lang w:val="fr-FR" w:eastAsia="en-US"/>
        </w:rPr>
      </w:pPr>
    </w:p>
    <w:p w14:paraId="4E433F55" w14:textId="376CD837" w:rsidR="0073642B" w:rsidRPr="003B2E23" w:rsidRDefault="0073642B" w:rsidP="0073642B">
      <w:pPr>
        <w:spacing w:line="276" w:lineRule="auto"/>
        <w:rPr>
          <w:rFonts w:eastAsia="Calibri"/>
          <w:u w:val="single"/>
          <w:lang w:val="en-US" w:eastAsia="en-US"/>
        </w:rPr>
      </w:pPr>
      <w:r w:rsidRPr="003B2E23">
        <w:rPr>
          <w:rFonts w:eastAsia="Calibri"/>
          <w:u w:val="single"/>
          <w:lang w:val="en-US" w:eastAsia="en-US"/>
        </w:rPr>
        <w:t xml:space="preserve">Calculations for Scenario </w:t>
      </w:r>
      <w:r w:rsidR="002F354D">
        <w:rPr>
          <w:rFonts w:eastAsia="Calibri"/>
          <w:u w:val="single"/>
          <w:lang w:val="en-US" w:eastAsia="en-US"/>
        </w:rPr>
        <w:t>8</w:t>
      </w:r>
    </w:p>
    <w:p w14:paraId="04E172FA" w14:textId="77777777" w:rsidR="0073642B" w:rsidRDefault="0073642B" w:rsidP="0073642B">
      <w:pPr>
        <w:spacing w:line="276" w:lineRule="auto"/>
        <w:rPr>
          <w:rFonts w:eastAsia="Calibri"/>
          <w:lang w:val="en-US" w:eastAsia="en-US"/>
        </w:rPr>
      </w:pPr>
    </w:p>
    <w:p w14:paraId="5804A527" w14:textId="77777777" w:rsidR="0073642B" w:rsidRPr="003B2E23" w:rsidRDefault="0073642B" w:rsidP="0073642B">
      <w:pPr>
        <w:spacing w:line="276" w:lineRule="auto"/>
        <w:rPr>
          <w:rFonts w:eastAsia="Calibri"/>
          <w:lang w:val="en-US" w:eastAsia="en-US"/>
        </w:rPr>
      </w:pPr>
      <w:r w:rsidRPr="00CB772C">
        <w:rPr>
          <w:rFonts w:eastAsia="Calibri"/>
          <w:lang w:val="en-US" w:eastAsia="en-US"/>
        </w:rPr>
        <w:t xml:space="preserve">Elocalwater = </w:t>
      </w:r>
      <w:r>
        <w:rPr>
          <w:rFonts w:eastAsia="Calibri"/>
          <w:lang w:eastAsia="en-US"/>
        </w:rPr>
        <w:t>C</w:t>
      </w:r>
      <w:r w:rsidRPr="00AD43E5">
        <w:rPr>
          <w:rFonts w:eastAsia="Calibri"/>
          <w:vertAlign w:val="subscript"/>
          <w:lang w:eastAsia="en-US"/>
        </w:rPr>
        <w:t>form</w:t>
      </w:r>
      <w:r>
        <w:rPr>
          <w:rFonts w:eastAsia="Calibri"/>
          <w:lang w:eastAsia="en-US"/>
        </w:rPr>
        <w:t xml:space="preserve"> * Q</w:t>
      </w:r>
      <w:r w:rsidRPr="00AD43E5">
        <w:rPr>
          <w:rFonts w:eastAsia="Calibri"/>
          <w:vertAlign w:val="subscript"/>
          <w:lang w:eastAsia="en-US"/>
        </w:rPr>
        <w:t>appl</w:t>
      </w:r>
      <w:r>
        <w:rPr>
          <w:rFonts w:eastAsia="Calibri"/>
          <w:lang w:val="en-US" w:eastAsia="en-US"/>
        </w:rPr>
        <w:t xml:space="preserve"> * AREAsurface * Nappl </w:t>
      </w:r>
      <w:r w:rsidRPr="00CB772C">
        <w:rPr>
          <w:rFonts w:eastAsia="Calibri"/>
          <w:lang w:val="en-US" w:eastAsia="en-US"/>
        </w:rPr>
        <w:t>* Fwater /1000</w:t>
      </w:r>
    </w:p>
    <w:p w14:paraId="4540BC2F" w14:textId="77777777" w:rsidR="0073642B" w:rsidRPr="00B27CB1" w:rsidRDefault="0073642B" w:rsidP="0073642B">
      <w:pPr>
        <w:spacing w:line="276" w:lineRule="auto"/>
        <w:rPr>
          <w:rFonts w:ascii="Times New Roman" w:eastAsia="Calibri" w:hAnsi="Times New Roman" w:cs="Times New Roman"/>
          <w:i/>
          <w:szCs w:val="22"/>
          <w:lang w:eastAsia="en-US"/>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851"/>
        <w:gridCol w:w="2731"/>
        <w:gridCol w:w="3177"/>
        <w:gridCol w:w="8"/>
      </w:tblGrid>
      <w:tr w:rsidR="0073642B" w:rsidRPr="00184ABF" w14:paraId="52D5FEB5" w14:textId="77777777" w:rsidTr="00476D22">
        <w:trPr>
          <w:tblHeader/>
        </w:trPr>
        <w:tc>
          <w:tcPr>
            <w:tcW w:w="9855" w:type="dxa"/>
            <w:gridSpan w:val="5"/>
            <w:shd w:val="clear" w:color="auto" w:fill="FFFFCC"/>
            <w:tcMar>
              <w:top w:w="40" w:type="dxa"/>
              <w:left w:w="40" w:type="dxa"/>
              <w:bottom w:w="40" w:type="dxa"/>
              <w:right w:w="40" w:type="dxa"/>
            </w:tcMar>
            <w:vAlign w:val="center"/>
          </w:tcPr>
          <w:p w14:paraId="5F8029F1" w14:textId="77777777" w:rsidR="0073642B" w:rsidRPr="00CB1A80" w:rsidRDefault="0073642B" w:rsidP="00476D22">
            <w:pPr>
              <w:spacing w:before="60" w:after="60"/>
              <w:rPr>
                <w:b/>
                <w:sz w:val="18"/>
                <w:szCs w:val="18"/>
                <w:lang w:eastAsia="en-GB"/>
              </w:rPr>
            </w:pPr>
            <w:r w:rsidRPr="00CB1A80">
              <w:rPr>
                <w:b/>
                <w:sz w:val="18"/>
                <w:szCs w:val="18"/>
              </w:rPr>
              <w:t>Resulting local emission to relevant environmental compartments</w:t>
            </w:r>
          </w:p>
        </w:tc>
      </w:tr>
      <w:tr w:rsidR="0073642B" w:rsidRPr="00184ABF" w14:paraId="5A6D4ED8" w14:textId="77777777" w:rsidTr="0084573E">
        <w:trPr>
          <w:gridAfter w:val="1"/>
          <w:wAfter w:w="8" w:type="dxa"/>
          <w:tblHeader/>
        </w:trPr>
        <w:tc>
          <w:tcPr>
            <w:tcW w:w="2088" w:type="dxa"/>
            <w:tcBorders>
              <w:bottom w:val="single" w:sz="4" w:space="0" w:color="auto"/>
            </w:tcBorders>
            <w:shd w:val="clear" w:color="auto" w:fill="auto"/>
            <w:tcMar>
              <w:top w:w="40" w:type="dxa"/>
              <w:left w:w="40" w:type="dxa"/>
              <w:bottom w:w="40" w:type="dxa"/>
              <w:right w:w="40" w:type="dxa"/>
            </w:tcMar>
            <w:vAlign w:val="center"/>
          </w:tcPr>
          <w:p w14:paraId="76993EC4" w14:textId="77777777" w:rsidR="0073642B" w:rsidRPr="00CB1A80" w:rsidRDefault="0073642B" w:rsidP="00476D22">
            <w:pPr>
              <w:spacing w:before="60" w:after="60"/>
              <w:rPr>
                <w:b/>
                <w:sz w:val="18"/>
                <w:szCs w:val="18"/>
                <w:lang w:eastAsia="en-GB"/>
              </w:rPr>
            </w:pPr>
            <w:r w:rsidRPr="00CB1A80">
              <w:rPr>
                <w:b/>
                <w:sz w:val="18"/>
                <w:szCs w:val="18"/>
                <w:lang w:eastAsia="en-GB"/>
              </w:rPr>
              <w:t>Substance</w:t>
            </w:r>
          </w:p>
        </w:tc>
        <w:tc>
          <w:tcPr>
            <w:tcW w:w="1851" w:type="dxa"/>
            <w:tcBorders>
              <w:bottom w:val="single" w:sz="4" w:space="0" w:color="auto"/>
            </w:tcBorders>
            <w:shd w:val="clear" w:color="auto" w:fill="auto"/>
            <w:vAlign w:val="center"/>
          </w:tcPr>
          <w:p w14:paraId="7009DD50" w14:textId="77777777" w:rsidR="0073642B" w:rsidRPr="00CB1A80" w:rsidRDefault="0073642B" w:rsidP="00476D22">
            <w:pPr>
              <w:spacing w:before="60" w:after="60"/>
              <w:rPr>
                <w:b/>
                <w:sz w:val="18"/>
                <w:szCs w:val="18"/>
                <w:lang w:eastAsia="en-GB"/>
              </w:rPr>
            </w:pPr>
            <w:r w:rsidRPr="00CB1A80">
              <w:rPr>
                <w:b/>
                <w:sz w:val="18"/>
                <w:szCs w:val="18"/>
                <w:lang w:eastAsia="en-GB"/>
              </w:rPr>
              <w:t>Compartment</w:t>
            </w:r>
          </w:p>
        </w:tc>
        <w:tc>
          <w:tcPr>
            <w:tcW w:w="2731" w:type="dxa"/>
            <w:tcBorders>
              <w:bottom w:val="single" w:sz="4" w:space="0" w:color="auto"/>
            </w:tcBorders>
            <w:shd w:val="clear" w:color="auto" w:fill="auto"/>
            <w:tcMar>
              <w:top w:w="40" w:type="dxa"/>
              <w:left w:w="40" w:type="dxa"/>
              <w:bottom w:w="40" w:type="dxa"/>
              <w:right w:w="40" w:type="dxa"/>
            </w:tcMar>
            <w:vAlign w:val="center"/>
          </w:tcPr>
          <w:p w14:paraId="457C267F" w14:textId="77777777" w:rsidR="0073642B" w:rsidRPr="00CB1A80" w:rsidRDefault="0073642B" w:rsidP="00476D22">
            <w:pPr>
              <w:spacing w:before="60" w:after="60"/>
              <w:rPr>
                <w:b/>
                <w:sz w:val="18"/>
                <w:szCs w:val="18"/>
                <w:lang w:eastAsia="en-GB"/>
              </w:rPr>
            </w:pPr>
            <w:r w:rsidRPr="00CB1A80">
              <w:rPr>
                <w:b/>
                <w:sz w:val="18"/>
                <w:szCs w:val="18"/>
                <w:lang w:eastAsia="en-GB"/>
              </w:rPr>
              <w:t xml:space="preserve">Local emission </w:t>
            </w:r>
          </w:p>
          <w:p w14:paraId="46DDA749" w14:textId="77777777" w:rsidR="0073642B" w:rsidRPr="00CB1A80" w:rsidRDefault="0073642B" w:rsidP="00476D22">
            <w:pPr>
              <w:spacing w:before="60" w:after="60"/>
              <w:rPr>
                <w:b/>
                <w:sz w:val="18"/>
                <w:szCs w:val="18"/>
                <w:lang w:eastAsia="en-GB"/>
              </w:rPr>
            </w:pPr>
            <w:r w:rsidRPr="00CB1A80">
              <w:rPr>
                <w:b/>
                <w:sz w:val="18"/>
                <w:szCs w:val="18"/>
                <w:lang w:eastAsia="en-GB"/>
              </w:rPr>
              <w:t>(Elocal</w:t>
            </w:r>
            <w:r w:rsidRPr="00CB1A80">
              <w:rPr>
                <w:b/>
                <w:sz w:val="18"/>
                <w:szCs w:val="18"/>
                <w:vertAlign w:val="subscript"/>
                <w:lang w:eastAsia="en-GB"/>
              </w:rPr>
              <w:t>compartment</w:t>
            </w:r>
            <w:r w:rsidRPr="00CB1A80">
              <w:rPr>
                <w:b/>
                <w:sz w:val="18"/>
                <w:szCs w:val="18"/>
                <w:lang w:eastAsia="en-GB"/>
              </w:rPr>
              <w:t>) [kg/d</w:t>
            </w:r>
            <w:r w:rsidRPr="00CB1A80">
              <w:rPr>
                <w:b/>
                <w:sz w:val="18"/>
                <w:szCs w:val="18"/>
                <w:vertAlign w:val="superscript"/>
                <w:lang w:eastAsia="en-GB"/>
              </w:rPr>
              <w:t>-1</w:t>
            </w:r>
            <w:r w:rsidRPr="00CB1A80">
              <w:rPr>
                <w:b/>
                <w:sz w:val="18"/>
                <w:szCs w:val="18"/>
                <w:lang w:eastAsia="en-GB"/>
              </w:rPr>
              <w:t>]</w:t>
            </w:r>
          </w:p>
        </w:tc>
        <w:tc>
          <w:tcPr>
            <w:tcW w:w="3177" w:type="dxa"/>
            <w:tcBorders>
              <w:bottom w:val="single" w:sz="4" w:space="0" w:color="auto"/>
            </w:tcBorders>
            <w:shd w:val="clear" w:color="auto" w:fill="auto"/>
            <w:tcMar>
              <w:top w:w="40" w:type="dxa"/>
              <w:left w:w="40" w:type="dxa"/>
              <w:bottom w:w="40" w:type="dxa"/>
              <w:right w:w="40" w:type="dxa"/>
            </w:tcMar>
            <w:vAlign w:val="center"/>
          </w:tcPr>
          <w:p w14:paraId="40676A7F" w14:textId="77777777" w:rsidR="0073642B" w:rsidRPr="00CB1A80" w:rsidRDefault="0073642B" w:rsidP="00476D22">
            <w:pPr>
              <w:spacing w:before="60" w:after="60"/>
              <w:rPr>
                <w:b/>
                <w:sz w:val="18"/>
                <w:szCs w:val="18"/>
                <w:lang w:eastAsia="en-GB"/>
              </w:rPr>
            </w:pPr>
            <w:r w:rsidRPr="00CB1A80">
              <w:rPr>
                <w:b/>
                <w:sz w:val="18"/>
                <w:szCs w:val="18"/>
                <w:lang w:eastAsia="en-GB"/>
              </w:rPr>
              <w:t>Remarks</w:t>
            </w:r>
          </w:p>
        </w:tc>
      </w:tr>
      <w:tr w:rsidR="00AE3876" w:rsidRPr="00184ABF" w14:paraId="0158E610" w14:textId="77777777" w:rsidTr="0084573E">
        <w:trPr>
          <w:gridAfter w:val="1"/>
          <w:wAfter w:w="8" w:type="dxa"/>
          <w:tblHeader/>
        </w:trPr>
        <w:tc>
          <w:tcPr>
            <w:tcW w:w="2088"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14599645" w14:textId="275AB829" w:rsidR="00AE3876" w:rsidRPr="00CB1A80" w:rsidRDefault="00AE3876" w:rsidP="00476D22">
            <w:pPr>
              <w:spacing w:before="60" w:after="60"/>
              <w:rPr>
                <w:b/>
                <w:sz w:val="18"/>
                <w:szCs w:val="18"/>
                <w:lang w:eastAsia="en-GB"/>
              </w:rPr>
            </w:pPr>
            <w:r>
              <w:rPr>
                <w:b/>
                <w:sz w:val="18"/>
                <w:szCs w:val="18"/>
                <w:lang w:eastAsia="en-GB"/>
              </w:rPr>
              <w:t>Small scale</w:t>
            </w:r>
          </w:p>
        </w:tc>
        <w:tc>
          <w:tcPr>
            <w:tcW w:w="1851" w:type="dxa"/>
            <w:tcBorders>
              <w:top w:val="single" w:sz="4" w:space="0" w:color="auto"/>
              <w:left w:val="nil"/>
              <w:bottom w:val="single" w:sz="4" w:space="0" w:color="auto"/>
              <w:right w:val="nil"/>
            </w:tcBorders>
            <w:shd w:val="clear" w:color="auto" w:fill="auto"/>
            <w:vAlign w:val="center"/>
          </w:tcPr>
          <w:p w14:paraId="4BE6973A" w14:textId="77777777" w:rsidR="00AE3876" w:rsidRPr="00CB1A80" w:rsidRDefault="00AE3876" w:rsidP="00476D22">
            <w:pPr>
              <w:spacing w:before="60" w:after="60"/>
              <w:rPr>
                <w:b/>
                <w:sz w:val="18"/>
                <w:szCs w:val="18"/>
                <w:lang w:eastAsia="en-GB"/>
              </w:rPr>
            </w:pPr>
          </w:p>
        </w:tc>
        <w:tc>
          <w:tcPr>
            <w:tcW w:w="2731"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684474D1" w14:textId="77777777" w:rsidR="00AE3876" w:rsidRPr="00CB1A80" w:rsidRDefault="00AE3876" w:rsidP="00476D22">
            <w:pPr>
              <w:spacing w:before="60" w:after="60"/>
              <w:rPr>
                <w:b/>
                <w:sz w:val="18"/>
                <w:szCs w:val="18"/>
                <w:lang w:eastAsia="en-GB"/>
              </w:rPr>
            </w:pPr>
          </w:p>
        </w:tc>
        <w:tc>
          <w:tcPr>
            <w:tcW w:w="3177"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25427395" w14:textId="77777777" w:rsidR="00AE3876" w:rsidRPr="00CB1A80" w:rsidRDefault="00AE3876" w:rsidP="00476D22">
            <w:pPr>
              <w:spacing w:before="60" w:after="60"/>
              <w:rPr>
                <w:b/>
                <w:sz w:val="18"/>
                <w:szCs w:val="18"/>
                <w:lang w:eastAsia="en-GB"/>
              </w:rPr>
            </w:pPr>
          </w:p>
        </w:tc>
      </w:tr>
      <w:tr w:rsidR="0073642B" w:rsidRPr="00184ABF" w14:paraId="75C3401A" w14:textId="77777777" w:rsidTr="0084573E">
        <w:trPr>
          <w:gridAfter w:val="1"/>
          <w:wAfter w:w="8" w:type="dxa"/>
        </w:trPr>
        <w:tc>
          <w:tcPr>
            <w:tcW w:w="2088" w:type="dxa"/>
            <w:tcBorders>
              <w:top w:val="single" w:sz="4" w:space="0" w:color="auto"/>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2E76A3F7" w14:textId="77777777" w:rsidR="0073642B" w:rsidRPr="00CB1A80" w:rsidRDefault="0073642B" w:rsidP="00476D22">
            <w:pPr>
              <w:rPr>
                <w:rFonts w:cs="Calibri"/>
                <w:sz w:val="18"/>
                <w:szCs w:val="18"/>
                <w:lang w:eastAsia="es-ES"/>
              </w:rPr>
            </w:pPr>
            <w:r w:rsidRPr="00CB1A80">
              <w:rPr>
                <w:rFonts w:cs="Calibri"/>
                <w:sz w:val="18"/>
                <w:szCs w:val="18"/>
              </w:rPr>
              <w:t>L(+) Lactic acid</w:t>
            </w:r>
          </w:p>
        </w:tc>
        <w:tc>
          <w:tcPr>
            <w:tcW w:w="1851" w:type="dxa"/>
            <w:tcBorders>
              <w:top w:val="single" w:sz="4" w:space="0" w:color="auto"/>
              <w:left w:val="nil"/>
              <w:bottom w:val="single" w:sz="4" w:space="0" w:color="auto"/>
              <w:right w:val="single" w:sz="8" w:space="0" w:color="auto"/>
            </w:tcBorders>
            <w:shd w:val="clear" w:color="auto" w:fill="auto"/>
            <w:vAlign w:val="center"/>
          </w:tcPr>
          <w:p w14:paraId="187CF900" w14:textId="77777777" w:rsidR="0073642B" w:rsidRPr="00CB1A80" w:rsidRDefault="0073642B" w:rsidP="00476D22">
            <w:pPr>
              <w:rPr>
                <w:rFonts w:cs="Calibri"/>
                <w:sz w:val="18"/>
                <w:szCs w:val="18"/>
              </w:rPr>
            </w:pPr>
            <w:r w:rsidRPr="00CB1A80">
              <w:rPr>
                <w:rFonts w:cs="Calibri"/>
                <w:sz w:val="18"/>
                <w:szCs w:val="18"/>
              </w:rPr>
              <w:t>STP</w:t>
            </w:r>
          </w:p>
        </w:tc>
        <w:tc>
          <w:tcPr>
            <w:tcW w:w="2731"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15EF45BF" w14:textId="6EFB664A" w:rsidR="0073642B" w:rsidRPr="00CB1A80" w:rsidRDefault="0073642B" w:rsidP="00AE3876">
            <w:pPr>
              <w:rPr>
                <w:rFonts w:cs="Calibri"/>
                <w:sz w:val="18"/>
                <w:szCs w:val="18"/>
              </w:rPr>
            </w:pPr>
            <w:r w:rsidRPr="00CB1A80">
              <w:rPr>
                <w:rFonts w:cs="Calibri"/>
                <w:sz w:val="18"/>
                <w:szCs w:val="18"/>
              </w:rPr>
              <w:t>8.0</w:t>
            </w:r>
            <w:r w:rsidR="00291C27">
              <w:rPr>
                <w:rFonts w:cs="Calibri"/>
                <w:sz w:val="18"/>
                <w:szCs w:val="18"/>
              </w:rPr>
              <w:t>0</w:t>
            </w:r>
            <w:r w:rsidRPr="00CB1A80">
              <w:rPr>
                <w:rFonts w:cs="Calibri"/>
                <w:sz w:val="18"/>
                <w:szCs w:val="18"/>
              </w:rPr>
              <w:t>E-02</w:t>
            </w:r>
          </w:p>
        </w:tc>
        <w:tc>
          <w:tcPr>
            <w:tcW w:w="3177"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175367D6" w14:textId="77777777" w:rsidR="0073642B" w:rsidRPr="00CB1A80" w:rsidRDefault="0073642B" w:rsidP="00476D22">
            <w:pPr>
              <w:jc w:val="center"/>
              <w:rPr>
                <w:rFonts w:cs="Calibri"/>
                <w:sz w:val="18"/>
                <w:szCs w:val="18"/>
              </w:rPr>
            </w:pPr>
          </w:p>
        </w:tc>
      </w:tr>
      <w:tr w:rsidR="00AE3876" w:rsidRPr="00184ABF" w14:paraId="64350653" w14:textId="77777777" w:rsidTr="0084573E">
        <w:trPr>
          <w:gridAfter w:val="1"/>
          <w:wAfter w:w="8" w:type="dxa"/>
        </w:trPr>
        <w:tc>
          <w:tcPr>
            <w:tcW w:w="2088" w:type="dxa"/>
            <w:tcBorders>
              <w:top w:val="single" w:sz="4" w:space="0" w:color="auto"/>
              <w:left w:val="single" w:sz="4" w:space="0" w:color="auto"/>
              <w:bottom w:val="single" w:sz="4" w:space="0" w:color="auto"/>
              <w:right w:val="nil"/>
            </w:tcBorders>
            <w:shd w:val="clear" w:color="auto" w:fill="auto"/>
            <w:tcMar>
              <w:top w:w="40" w:type="dxa"/>
              <w:left w:w="40" w:type="dxa"/>
              <w:bottom w:w="40" w:type="dxa"/>
              <w:right w:w="40" w:type="dxa"/>
            </w:tcMar>
            <w:vAlign w:val="center"/>
          </w:tcPr>
          <w:p w14:paraId="78F282C2" w14:textId="7AEF4A20" w:rsidR="00AE3876" w:rsidRPr="0084573E" w:rsidRDefault="00AE3876" w:rsidP="00476D22">
            <w:pPr>
              <w:rPr>
                <w:rFonts w:cs="Calibri"/>
                <w:b/>
                <w:sz w:val="18"/>
                <w:szCs w:val="18"/>
              </w:rPr>
            </w:pPr>
            <w:r w:rsidRPr="0084573E">
              <w:rPr>
                <w:rFonts w:cs="Calibri"/>
                <w:b/>
                <w:sz w:val="18"/>
                <w:szCs w:val="18"/>
              </w:rPr>
              <w:t>Large scale</w:t>
            </w:r>
          </w:p>
        </w:tc>
        <w:tc>
          <w:tcPr>
            <w:tcW w:w="1851" w:type="dxa"/>
            <w:tcBorders>
              <w:top w:val="single" w:sz="4" w:space="0" w:color="auto"/>
              <w:left w:val="nil"/>
              <w:bottom w:val="single" w:sz="4" w:space="0" w:color="auto"/>
              <w:right w:val="nil"/>
            </w:tcBorders>
            <w:shd w:val="clear" w:color="auto" w:fill="auto"/>
            <w:vAlign w:val="center"/>
          </w:tcPr>
          <w:p w14:paraId="0A8F5320" w14:textId="77777777" w:rsidR="00AE3876" w:rsidRPr="00CB1A80" w:rsidRDefault="00AE3876" w:rsidP="00476D22">
            <w:pPr>
              <w:rPr>
                <w:rFonts w:cs="Calibri"/>
                <w:sz w:val="18"/>
                <w:szCs w:val="18"/>
              </w:rPr>
            </w:pPr>
          </w:p>
        </w:tc>
        <w:tc>
          <w:tcPr>
            <w:tcW w:w="2731" w:type="dxa"/>
            <w:tcBorders>
              <w:top w:val="single" w:sz="4" w:space="0" w:color="auto"/>
              <w:left w:val="nil"/>
              <w:bottom w:val="single" w:sz="4" w:space="0" w:color="auto"/>
              <w:right w:val="nil"/>
            </w:tcBorders>
            <w:shd w:val="clear" w:color="auto" w:fill="auto"/>
            <w:tcMar>
              <w:top w:w="40" w:type="dxa"/>
              <w:left w:w="40" w:type="dxa"/>
              <w:bottom w:w="40" w:type="dxa"/>
              <w:right w:w="40" w:type="dxa"/>
            </w:tcMar>
            <w:vAlign w:val="center"/>
          </w:tcPr>
          <w:p w14:paraId="3774B5D6" w14:textId="77777777" w:rsidR="00AE3876" w:rsidRPr="00CB1A80" w:rsidRDefault="00AE3876" w:rsidP="00476D22">
            <w:pPr>
              <w:rPr>
                <w:rFonts w:cs="Calibri"/>
                <w:sz w:val="18"/>
                <w:szCs w:val="18"/>
              </w:rPr>
            </w:pPr>
          </w:p>
        </w:tc>
        <w:tc>
          <w:tcPr>
            <w:tcW w:w="3177"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1370A9F6" w14:textId="77777777" w:rsidR="00AE3876" w:rsidRPr="00CB1A80" w:rsidRDefault="00AE3876" w:rsidP="00476D22">
            <w:pPr>
              <w:jc w:val="center"/>
              <w:rPr>
                <w:rFonts w:cs="Calibri"/>
                <w:sz w:val="18"/>
                <w:szCs w:val="18"/>
              </w:rPr>
            </w:pPr>
          </w:p>
        </w:tc>
      </w:tr>
      <w:tr w:rsidR="00AE3876" w:rsidRPr="00184ABF" w14:paraId="256E1642" w14:textId="77777777" w:rsidTr="0084573E">
        <w:trPr>
          <w:gridAfter w:val="1"/>
          <w:wAfter w:w="8" w:type="dxa"/>
        </w:trPr>
        <w:tc>
          <w:tcPr>
            <w:tcW w:w="2088" w:type="dxa"/>
            <w:tcBorders>
              <w:top w:val="single" w:sz="4" w:space="0" w:color="auto"/>
              <w:left w:val="single" w:sz="8"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71B0054A" w14:textId="77777777" w:rsidR="00AE3876" w:rsidRPr="00CB1A80" w:rsidRDefault="00AE3876" w:rsidP="00291C27">
            <w:pPr>
              <w:rPr>
                <w:rFonts w:cs="Calibri"/>
                <w:sz w:val="18"/>
                <w:szCs w:val="18"/>
                <w:lang w:eastAsia="es-ES"/>
              </w:rPr>
            </w:pPr>
            <w:r w:rsidRPr="00CB1A80">
              <w:rPr>
                <w:rFonts w:cs="Calibri"/>
                <w:sz w:val="18"/>
                <w:szCs w:val="18"/>
              </w:rPr>
              <w:t>L(+) Lactic acid</w:t>
            </w:r>
          </w:p>
        </w:tc>
        <w:tc>
          <w:tcPr>
            <w:tcW w:w="1851" w:type="dxa"/>
            <w:tcBorders>
              <w:top w:val="single" w:sz="4" w:space="0" w:color="auto"/>
              <w:left w:val="nil"/>
              <w:bottom w:val="single" w:sz="4" w:space="0" w:color="auto"/>
              <w:right w:val="single" w:sz="8" w:space="0" w:color="auto"/>
            </w:tcBorders>
            <w:shd w:val="clear" w:color="auto" w:fill="auto"/>
            <w:vAlign w:val="center"/>
          </w:tcPr>
          <w:p w14:paraId="08C7D788" w14:textId="77777777" w:rsidR="00AE3876" w:rsidRPr="00CB1A80" w:rsidRDefault="00AE3876" w:rsidP="00291C27">
            <w:pPr>
              <w:rPr>
                <w:rFonts w:cs="Calibri"/>
                <w:sz w:val="18"/>
                <w:szCs w:val="18"/>
              </w:rPr>
            </w:pPr>
            <w:r w:rsidRPr="00CB1A80">
              <w:rPr>
                <w:rFonts w:cs="Calibri"/>
                <w:sz w:val="18"/>
                <w:szCs w:val="18"/>
              </w:rPr>
              <w:t>STP</w:t>
            </w:r>
          </w:p>
        </w:tc>
        <w:tc>
          <w:tcPr>
            <w:tcW w:w="2731"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34C85A0E" w14:textId="16B9ED6A" w:rsidR="00AE3876" w:rsidRPr="00CB1A80" w:rsidRDefault="00E86C5A" w:rsidP="00291C27">
            <w:pPr>
              <w:rPr>
                <w:rFonts w:cs="Calibri"/>
                <w:sz w:val="18"/>
                <w:szCs w:val="18"/>
              </w:rPr>
            </w:pPr>
            <w:r>
              <w:rPr>
                <w:rFonts w:cs="Calibri"/>
                <w:sz w:val="18"/>
                <w:szCs w:val="18"/>
              </w:rPr>
              <w:t>2.40E+01</w:t>
            </w:r>
          </w:p>
        </w:tc>
        <w:tc>
          <w:tcPr>
            <w:tcW w:w="3177"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05338B27" w14:textId="77777777" w:rsidR="00AE3876" w:rsidRPr="00CB1A80" w:rsidRDefault="00AE3876" w:rsidP="00291C27">
            <w:pPr>
              <w:jc w:val="center"/>
              <w:rPr>
                <w:rFonts w:cs="Calibri"/>
                <w:sz w:val="18"/>
                <w:szCs w:val="18"/>
              </w:rPr>
            </w:pPr>
          </w:p>
        </w:tc>
      </w:tr>
      <w:tr w:rsidR="0073642B" w:rsidRPr="00184ABF" w14:paraId="1485061F" w14:textId="77777777" w:rsidTr="00870D67">
        <w:trPr>
          <w:gridAfter w:val="1"/>
          <w:wAfter w:w="8" w:type="dxa"/>
        </w:trPr>
        <w:tc>
          <w:tcPr>
            <w:tcW w:w="2088" w:type="dxa"/>
            <w:tcBorders>
              <w:top w:val="single" w:sz="4" w:space="0" w:color="auto"/>
              <w:left w:val="single" w:sz="4" w:space="0" w:color="auto"/>
              <w:bottom w:val="single" w:sz="4" w:space="0" w:color="auto"/>
              <w:right w:val="single" w:sz="8" w:space="0" w:color="auto"/>
            </w:tcBorders>
            <w:shd w:val="clear" w:color="auto" w:fill="auto"/>
            <w:tcMar>
              <w:top w:w="40" w:type="dxa"/>
              <w:left w:w="40" w:type="dxa"/>
              <w:bottom w:w="40" w:type="dxa"/>
              <w:right w:w="40" w:type="dxa"/>
            </w:tcMar>
            <w:vAlign w:val="center"/>
          </w:tcPr>
          <w:p w14:paraId="546563A8" w14:textId="77777777" w:rsidR="0073642B" w:rsidRPr="00CB1A80" w:rsidRDefault="0073642B" w:rsidP="00476D22">
            <w:pPr>
              <w:rPr>
                <w:rFonts w:cs="Calibri"/>
                <w:sz w:val="18"/>
                <w:szCs w:val="18"/>
              </w:rPr>
            </w:pPr>
            <w:r w:rsidRPr="00CB1A80">
              <w:rPr>
                <w:rFonts w:eastAsia="Calibri" w:cs="Times New Roman"/>
                <w:sz w:val="18"/>
                <w:szCs w:val="18"/>
                <w:lang w:eastAsia="en-US"/>
              </w:rPr>
              <w:t>Amines, coco alkyldimethyl, N-oxides</w:t>
            </w:r>
          </w:p>
        </w:tc>
        <w:tc>
          <w:tcPr>
            <w:tcW w:w="1851" w:type="dxa"/>
            <w:tcBorders>
              <w:top w:val="single" w:sz="4" w:space="0" w:color="auto"/>
              <w:left w:val="nil"/>
              <w:bottom w:val="single" w:sz="4" w:space="0" w:color="auto"/>
              <w:right w:val="single" w:sz="8" w:space="0" w:color="auto"/>
            </w:tcBorders>
            <w:shd w:val="clear" w:color="auto" w:fill="auto"/>
            <w:vAlign w:val="center"/>
          </w:tcPr>
          <w:p w14:paraId="50ACFCD2" w14:textId="77777777" w:rsidR="0073642B" w:rsidRPr="00CB1A80" w:rsidRDefault="0073642B" w:rsidP="00476D22">
            <w:pPr>
              <w:rPr>
                <w:rFonts w:cs="Calibri"/>
                <w:sz w:val="18"/>
                <w:szCs w:val="18"/>
              </w:rPr>
            </w:pPr>
            <w:r w:rsidRPr="00CB1A80">
              <w:rPr>
                <w:rFonts w:cs="Calibri"/>
                <w:sz w:val="18"/>
                <w:szCs w:val="18"/>
              </w:rPr>
              <w:t>STP</w:t>
            </w:r>
          </w:p>
        </w:tc>
        <w:tc>
          <w:tcPr>
            <w:tcW w:w="2731" w:type="dxa"/>
            <w:tcBorders>
              <w:top w:val="single" w:sz="4" w:space="0" w:color="auto"/>
              <w:left w:val="nil"/>
              <w:bottom w:val="single" w:sz="4" w:space="0" w:color="auto"/>
              <w:right w:val="single" w:sz="8" w:space="0" w:color="auto"/>
            </w:tcBorders>
            <w:shd w:val="clear" w:color="auto" w:fill="auto"/>
            <w:tcMar>
              <w:top w:w="40" w:type="dxa"/>
              <w:left w:w="40" w:type="dxa"/>
              <w:bottom w:w="40" w:type="dxa"/>
              <w:right w:w="40" w:type="dxa"/>
            </w:tcMar>
            <w:vAlign w:val="center"/>
          </w:tcPr>
          <w:p w14:paraId="176BE77F" w14:textId="2663BE82" w:rsidR="0073642B" w:rsidRPr="00CB1A80" w:rsidRDefault="00E86C5A" w:rsidP="00476D22">
            <w:pPr>
              <w:rPr>
                <w:rFonts w:cs="Calibri"/>
                <w:sz w:val="18"/>
                <w:szCs w:val="18"/>
              </w:rPr>
            </w:pPr>
            <w:r>
              <w:rPr>
                <w:rFonts w:cs="Calibri"/>
                <w:sz w:val="18"/>
                <w:szCs w:val="18"/>
              </w:rPr>
              <w:t>1.00</w:t>
            </w:r>
          </w:p>
        </w:tc>
        <w:tc>
          <w:tcPr>
            <w:tcW w:w="3177"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219CB97F" w14:textId="77777777" w:rsidR="0073642B" w:rsidRPr="00CB1A80" w:rsidRDefault="0073642B" w:rsidP="00476D22">
            <w:pPr>
              <w:jc w:val="center"/>
              <w:rPr>
                <w:rFonts w:cs="Calibri"/>
                <w:sz w:val="18"/>
                <w:szCs w:val="18"/>
              </w:rPr>
            </w:pPr>
          </w:p>
        </w:tc>
      </w:tr>
    </w:tbl>
    <w:p w14:paraId="4E488397" w14:textId="77777777" w:rsidR="0073642B" w:rsidRPr="00FE6F6D" w:rsidRDefault="0073642B" w:rsidP="0073642B">
      <w:pPr>
        <w:spacing w:line="260" w:lineRule="atLeast"/>
        <w:rPr>
          <w:rFonts w:eastAsia="Calibri" w:cs="Times New Roman"/>
          <w:iCs/>
          <w:lang w:eastAsia="en-US"/>
        </w:rPr>
      </w:pPr>
    </w:p>
    <w:p w14:paraId="4EED17C3" w14:textId="77777777" w:rsidR="0073642B" w:rsidRDefault="0073642B" w:rsidP="0073642B">
      <w:pPr>
        <w:rPr>
          <w:rFonts w:eastAsia="Calibri"/>
          <w:b/>
          <w:i/>
          <w:sz w:val="22"/>
          <w:szCs w:val="22"/>
          <w:lang w:eastAsia="en-US"/>
        </w:rPr>
      </w:pPr>
    </w:p>
    <w:p w14:paraId="78B580DB" w14:textId="77777777" w:rsidR="0073642B" w:rsidRDefault="0073642B" w:rsidP="0073642B">
      <w:pPr>
        <w:rPr>
          <w:rFonts w:eastAsia="Calibri"/>
          <w:b/>
          <w:i/>
          <w:sz w:val="22"/>
          <w:szCs w:val="22"/>
          <w:lang w:eastAsia="en-US"/>
        </w:rPr>
      </w:pPr>
    </w:p>
    <w:p w14:paraId="0D4C332F" w14:textId="77777777" w:rsidR="00931312" w:rsidRDefault="00931312" w:rsidP="00931312">
      <w:pPr>
        <w:rPr>
          <w:rFonts w:eastAsia="Calibri"/>
          <w:b/>
          <w:i/>
          <w:sz w:val="22"/>
          <w:szCs w:val="22"/>
          <w:lang w:eastAsia="en-US"/>
        </w:rPr>
      </w:pPr>
    </w:p>
    <w:p w14:paraId="3F54585B" w14:textId="77777777" w:rsidR="00931312" w:rsidRPr="00B27CB1" w:rsidRDefault="00931312" w:rsidP="00931312">
      <w:pPr>
        <w:rPr>
          <w:rFonts w:ascii="Times New Roman" w:eastAsia="Calibri" w:hAnsi="Times New Roman" w:cs="Times New Roman"/>
          <w:i/>
          <w:iCs/>
          <w:lang w:eastAsia="en-US"/>
        </w:rPr>
      </w:pPr>
      <w:r w:rsidRPr="00B27CB1">
        <w:rPr>
          <w:rFonts w:eastAsia="Calibri"/>
          <w:b/>
          <w:i/>
          <w:sz w:val="22"/>
          <w:szCs w:val="22"/>
          <w:lang w:eastAsia="en-US"/>
        </w:rPr>
        <w:t>Fate and distribution in exposed environmental compartments</w:t>
      </w:r>
    </w:p>
    <w:p w14:paraId="41C69279" w14:textId="77777777" w:rsidR="00476D22" w:rsidRPr="00B27CB1" w:rsidRDefault="00476D22" w:rsidP="00476D22">
      <w:pPr>
        <w:spacing w:line="260" w:lineRule="atLeast"/>
        <w:rPr>
          <w:rFonts w:ascii="Times New Roman" w:eastAsia="Calibri" w:hAnsi="Times New Roman" w:cs="Times New Roman"/>
          <w:i/>
          <w:iCs/>
          <w:lang w:eastAsia="en-US"/>
        </w:rPr>
      </w:pPr>
    </w:p>
    <w:tbl>
      <w:tblPr>
        <w:tblW w:w="0" w:type="auto"/>
        <w:tblCellMar>
          <w:left w:w="70" w:type="dxa"/>
          <w:right w:w="70" w:type="dxa"/>
        </w:tblCellMar>
        <w:tblLook w:val="0000" w:firstRow="0" w:lastRow="0" w:firstColumn="0" w:lastColumn="0" w:noHBand="0" w:noVBand="0"/>
      </w:tblPr>
      <w:tblGrid>
        <w:gridCol w:w="2606"/>
        <w:gridCol w:w="831"/>
        <w:gridCol w:w="1345"/>
        <w:gridCol w:w="745"/>
        <w:gridCol w:w="1188"/>
        <w:gridCol w:w="483"/>
        <w:gridCol w:w="531"/>
        <w:gridCol w:w="472"/>
        <w:gridCol w:w="1002"/>
      </w:tblGrid>
      <w:tr w:rsidR="00476D22" w14:paraId="3CC2C4E0" w14:textId="77777777" w:rsidTr="00476D22">
        <w:trPr>
          <w:trHeight w:val="333"/>
          <w:tblHead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CC"/>
          </w:tcPr>
          <w:p w14:paraId="79EE0F02" w14:textId="77777777" w:rsidR="00476D22" w:rsidRPr="003F7A57" w:rsidRDefault="00476D22" w:rsidP="00476D22">
            <w:pPr>
              <w:widowControl w:val="0"/>
              <w:tabs>
                <w:tab w:val="center" w:pos="4536"/>
                <w:tab w:val="right" w:pos="9072"/>
              </w:tabs>
              <w:spacing w:line="260" w:lineRule="atLeast"/>
              <w:jc w:val="center"/>
              <w:rPr>
                <w:sz w:val="18"/>
                <w:szCs w:val="18"/>
              </w:rPr>
            </w:pPr>
            <w:r w:rsidRPr="003F7A57">
              <w:rPr>
                <w:rFonts w:eastAsia="Calibri"/>
                <w:b/>
                <w:sz w:val="18"/>
                <w:szCs w:val="18"/>
                <w:lang w:eastAsia="en-US"/>
              </w:rPr>
              <w:t>Identification of relevant receiving compartments based on the exposure pathway</w:t>
            </w:r>
          </w:p>
        </w:tc>
      </w:tr>
      <w:tr w:rsidR="00476D22" w14:paraId="7B1BAC55"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170796AD" w14:textId="77777777" w:rsidR="00476D22" w:rsidRPr="003F7A57" w:rsidRDefault="00476D22" w:rsidP="00476D22">
            <w:pPr>
              <w:widowControl w:val="0"/>
              <w:snapToGrid w:val="0"/>
              <w:spacing w:line="260" w:lineRule="atLeast"/>
              <w:jc w:val="center"/>
              <w:rPr>
                <w:rFonts w:eastAsia="Calibri"/>
                <w:b/>
                <w:bCs/>
                <w:color w:val="000000"/>
                <w:sz w:val="18"/>
                <w:szCs w:val="18"/>
                <w:lang w:eastAsia="en-GB"/>
              </w:rPr>
            </w:pPr>
          </w:p>
        </w:tc>
        <w:tc>
          <w:tcPr>
            <w:tcW w:w="0" w:type="auto"/>
            <w:tcBorders>
              <w:top w:val="single" w:sz="4" w:space="0" w:color="000000"/>
              <w:left w:val="single" w:sz="4" w:space="0" w:color="000000"/>
              <w:bottom w:val="single" w:sz="4" w:space="0" w:color="000000"/>
            </w:tcBorders>
            <w:shd w:val="clear" w:color="auto" w:fill="auto"/>
            <w:vAlign w:val="center"/>
          </w:tcPr>
          <w:p w14:paraId="192C2166" w14:textId="77777777" w:rsidR="00476D22" w:rsidRPr="003F7A57" w:rsidRDefault="00476D22" w:rsidP="00476D22">
            <w:pPr>
              <w:widowControl w:val="0"/>
              <w:spacing w:line="260" w:lineRule="atLeast"/>
              <w:jc w:val="center"/>
              <w:rPr>
                <w:rFonts w:eastAsia="Calibri" w:cs="Arial"/>
                <w:color w:val="000000"/>
                <w:sz w:val="18"/>
                <w:szCs w:val="18"/>
                <w:lang w:eastAsia="en-GB"/>
              </w:rPr>
            </w:pPr>
            <w:r w:rsidRPr="003F7A57">
              <w:rPr>
                <w:rFonts w:eastAsia="Calibri" w:cs="Arial"/>
                <w:color w:val="000000"/>
                <w:sz w:val="18"/>
                <w:szCs w:val="18"/>
                <w:lang w:eastAsia="en-GB"/>
              </w:rPr>
              <w:t>Fresh-water</w:t>
            </w:r>
          </w:p>
        </w:tc>
        <w:tc>
          <w:tcPr>
            <w:tcW w:w="0" w:type="auto"/>
            <w:tcBorders>
              <w:top w:val="single" w:sz="4" w:space="0" w:color="000000"/>
              <w:left w:val="single" w:sz="4" w:space="0" w:color="000000"/>
              <w:bottom w:val="single" w:sz="4" w:space="0" w:color="000000"/>
            </w:tcBorders>
            <w:shd w:val="clear" w:color="auto" w:fill="auto"/>
            <w:vAlign w:val="center"/>
          </w:tcPr>
          <w:p w14:paraId="4D0A0285" w14:textId="77777777" w:rsidR="00476D22" w:rsidRPr="003F7A57" w:rsidRDefault="00476D22" w:rsidP="00476D22">
            <w:pPr>
              <w:widowControl w:val="0"/>
              <w:spacing w:line="260" w:lineRule="atLeast"/>
              <w:jc w:val="center"/>
              <w:rPr>
                <w:rFonts w:eastAsia="Calibri" w:cs="Arial"/>
                <w:color w:val="000000"/>
                <w:sz w:val="18"/>
                <w:szCs w:val="18"/>
                <w:lang w:eastAsia="en-GB"/>
              </w:rPr>
            </w:pPr>
            <w:r w:rsidRPr="003F7A57">
              <w:rPr>
                <w:rFonts w:eastAsia="Calibri" w:cs="Arial"/>
                <w:color w:val="000000"/>
                <w:sz w:val="18"/>
                <w:szCs w:val="18"/>
                <w:lang w:eastAsia="en-GB"/>
              </w:rPr>
              <w:t>Freshwater sediment</w:t>
            </w:r>
          </w:p>
        </w:tc>
        <w:tc>
          <w:tcPr>
            <w:tcW w:w="0" w:type="auto"/>
            <w:tcBorders>
              <w:top w:val="single" w:sz="4" w:space="0" w:color="000000"/>
              <w:left w:val="single" w:sz="4" w:space="0" w:color="000000"/>
              <w:bottom w:val="single" w:sz="4" w:space="0" w:color="000000"/>
            </w:tcBorders>
            <w:shd w:val="clear" w:color="auto" w:fill="auto"/>
            <w:vAlign w:val="center"/>
          </w:tcPr>
          <w:p w14:paraId="140F9890" w14:textId="77777777" w:rsidR="00476D22" w:rsidRPr="003F7A57" w:rsidRDefault="00476D22" w:rsidP="00476D22">
            <w:pPr>
              <w:widowControl w:val="0"/>
              <w:spacing w:line="260" w:lineRule="atLeast"/>
              <w:jc w:val="center"/>
              <w:rPr>
                <w:rFonts w:eastAsia="Calibri" w:cs="Arial"/>
                <w:color w:val="000000"/>
                <w:sz w:val="18"/>
                <w:szCs w:val="18"/>
                <w:lang w:eastAsia="en-GB"/>
              </w:rPr>
            </w:pPr>
            <w:r w:rsidRPr="003F7A57">
              <w:rPr>
                <w:rFonts w:eastAsia="Calibri" w:cs="Arial"/>
                <w:color w:val="000000"/>
                <w:sz w:val="18"/>
                <w:szCs w:val="18"/>
                <w:lang w:eastAsia="en-GB"/>
              </w:rPr>
              <w:t>Sea-water</w:t>
            </w:r>
          </w:p>
        </w:tc>
        <w:tc>
          <w:tcPr>
            <w:tcW w:w="0" w:type="auto"/>
            <w:tcBorders>
              <w:top w:val="single" w:sz="4" w:space="0" w:color="000000"/>
              <w:left w:val="single" w:sz="4" w:space="0" w:color="000000"/>
              <w:bottom w:val="single" w:sz="4" w:space="0" w:color="000000"/>
            </w:tcBorders>
            <w:shd w:val="clear" w:color="auto" w:fill="auto"/>
            <w:vAlign w:val="center"/>
          </w:tcPr>
          <w:p w14:paraId="355C8389" w14:textId="77777777" w:rsidR="00476D22" w:rsidRPr="003F7A57" w:rsidRDefault="00476D22" w:rsidP="00476D22">
            <w:pPr>
              <w:widowControl w:val="0"/>
              <w:spacing w:line="260" w:lineRule="atLeast"/>
              <w:jc w:val="center"/>
              <w:rPr>
                <w:rFonts w:eastAsia="Calibri" w:cs="Arial"/>
                <w:color w:val="000000"/>
                <w:sz w:val="18"/>
                <w:szCs w:val="18"/>
                <w:lang w:eastAsia="en-GB"/>
              </w:rPr>
            </w:pPr>
            <w:r w:rsidRPr="003F7A57">
              <w:rPr>
                <w:rFonts w:eastAsia="Calibri" w:cs="Arial"/>
                <w:color w:val="000000"/>
                <w:sz w:val="18"/>
                <w:szCs w:val="18"/>
                <w:lang w:eastAsia="en-GB"/>
              </w:rPr>
              <w:t>Seawater sediment</w:t>
            </w:r>
          </w:p>
        </w:tc>
        <w:tc>
          <w:tcPr>
            <w:tcW w:w="0" w:type="auto"/>
            <w:tcBorders>
              <w:top w:val="single" w:sz="4" w:space="0" w:color="000000"/>
              <w:left w:val="single" w:sz="4" w:space="0" w:color="000000"/>
              <w:bottom w:val="single" w:sz="4" w:space="0" w:color="000000"/>
            </w:tcBorders>
            <w:shd w:val="clear" w:color="auto" w:fill="auto"/>
            <w:vAlign w:val="center"/>
          </w:tcPr>
          <w:p w14:paraId="392EF397" w14:textId="77777777" w:rsidR="00476D22" w:rsidRPr="003F7A57" w:rsidRDefault="00476D22" w:rsidP="00476D22">
            <w:pPr>
              <w:widowControl w:val="0"/>
              <w:spacing w:line="260" w:lineRule="atLeast"/>
              <w:jc w:val="center"/>
              <w:rPr>
                <w:rFonts w:eastAsia="Calibri" w:cs="Arial"/>
                <w:color w:val="000000"/>
                <w:sz w:val="18"/>
                <w:szCs w:val="18"/>
                <w:lang w:eastAsia="en-GB"/>
              </w:rPr>
            </w:pPr>
            <w:r w:rsidRPr="003F7A57">
              <w:rPr>
                <w:rFonts w:eastAsia="Calibri" w:cs="Arial"/>
                <w:color w:val="000000"/>
                <w:sz w:val="18"/>
                <w:szCs w:val="18"/>
                <w:lang w:eastAsia="en-GB"/>
              </w:rPr>
              <w:t>STP</w:t>
            </w:r>
          </w:p>
        </w:tc>
        <w:tc>
          <w:tcPr>
            <w:tcW w:w="0" w:type="auto"/>
            <w:tcBorders>
              <w:top w:val="single" w:sz="4" w:space="0" w:color="000000"/>
              <w:left w:val="single" w:sz="4" w:space="0" w:color="000000"/>
              <w:bottom w:val="single" w:sz="4" w:space="0" w:color="000000"/>
            </w:tcBorders>
            <w:shd w:val="clear" w:color="auto" w:fill="auto"/>
            <w:vAlign w:val="center"/>
          </w:tcPr>
          <w:p w14:paraId="5943B302" w14:textId="77777777" w:rsidR="00476D22" w:rsidRPr="003F7A57" w:rsidRDefault="00476D22" w:rsidP="00476D22">
            <w:pPr>
              <w:widowControl w:val="0"/>
              <w:spacing w:line="260" w:lineRule="atLeast"/>
              <w:jc w:val="center"/>
              <w:rPr>
                <w:rFonts w:eastAsia="Calibri"/>
                <w:bCs/>
                <w:color w:val="000000"/>
                <w:sz w:val="18"/>
                <w:szCs w:val="18"/>
                <w:lang w:eastAsia="en-GB"/>
              </w:rPr>
            </w:pPr>
            <w:r w:rsidRPr="003F7A57">
              <w:rPr>
                <w:rFonts w:eastAsia="Calibri" w:cs="Arial"/>
                <w:color w:val="000000"/>
                <w:sz w:val="18"/>
                <w:szCs w:val="18"/>
                <w:lang w:eastAsia="en-GB"/>
              </w:rPr>
              <w:t>Air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153734B0" w14:textId="77777777" w:rsidR="00476D22" w:rsidRPr="003F7A57" w:rsidRDefault="00476D22" w:rsidP="00476D22">
            <w:pPr>
              <w:widowControl w:val="0"/>
              <w:tabs>
                <w:tab w:val="center" w:pos="4536"/>
                <w:tab w:val="right" w:pos="9072"/>
              </w:tabs>
              <w:spacing w:line="260" w:lineRule="atLeast"/>
              <w:jc w:val="center"/>
              <w:rPr>
                <w:rFonts w:eastAsia="Calibri"/>
                <w:bCs/>
                <w:color w:val="000000"/>
                <w:sz w:val="18"/>
                <w:szCs w:val="18"/>
                <w:lang w:eastAsia="en-GB"/>
              </w:rPr>
            </w:pPr>
            <w:r w:rsidRPr="003F7A57">
              <w:rPr>
                <w:rFonts w:eastAsia="Calibri"/>
                <w:bCs/>
                <w:color w:val="000000"/>
                <w:sz w:val="18"/>
                <w:szCs w:val="18"/>
                <w:lang w:eastAsia="en-GB"/>
              </w:rPr>
              <w:t>Soil</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01ECF911" w14:textId="77777777" w:rsidR="00476D22" w:rsidRPr="003F7A57" w:rsidRDefault="00476D22" w:rsidP="00476D22">
            <w:pPr>
              <w:widowControl w:val="0"/>
              <w:tabs>
                <w:tab w:val="center" w:pos="4536"/>
                <w:tab w:val="right" w:pos="9072"/>
              </w:tabs>
              <w:spacing w:line="260" w:lineRule="atLeast"/>
              <w:jc w:val="center"/>
              <w:rPr>
                <w:rFonts w:eastAsia="Calibri"/>
                <w:bCs/>
                <w:color w:val="000000"/>
                <w:sz w:val="18"/>
                <w:szCs w:val="18"/>
                <w:lang w:eastAsia="en-GB"/>
              </w:rPr>
            </w:pPr>
            <w:r w:rsidRPr="003F7A57">
              <w:rPr>
                <w:rFonts w:eastAsia="Calibri"/>
                <w:bCs/>
                <w:color w:val="000000"/>
                <w:sz w:val="18"/>
                <w:szCs w:val="18"/>
                <w:lang w:eastAsia="en-GB"/>
              </w:rPr>
              <w:t>Ground-water</w:t>
            </w:r>
          </w:p>
        </w:tc>
      </w:tr>
      <w:tr w:rsidR="00476D22" w14:paraId="4ED69182"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tcPr>
          <w:p w14:paraId="6FAF2AB2" w14:textId="280A73E5" w:rsidR="00476D22" w:rsidRPr="003F7A57" w:rsidRDefault="00476D22" w:rsidP="00476D22">
            <w:pPr>
              <w:widowControl w:val="0"/>
              <w:tabs>
                <w:tab w:val="center" w:pos="4536"/>
                <w:tab w:val="right" w:pos="9072"/>
              </w:tabs>
              <w:spacing w:line="260" w:lineRule="atLeast"/>
              <w:rPr>
                <w:rFonts w:eastAsia="Calibri"/>
                <w:color w:val="000000"/>
                <w:sz w:val="18"/>
                <w:szCs w:val="18"/>
                <w:lang w:eastAsia="en-GB"/>
              </w:rPr>
            </w:pPr>
            <w:r w:rsidRPr="003F7A57">
              <w:rPr>
                <w:rFonts w:eastAsia="Calibri" w:cs="Arial"/>
                <w:sz w:val="18"/>
                <w:szCs w:val="18"/>
                <w:lang w:eastAsia="en-GB"/>
              </w:rPr>
              <w:t>Scenario 1</w:t>
            </w:r>
            <w:r w:rsidR="00A54E18">
              <w:rPr>
                <w:rFonts w:eastAsia="Calibri" w:cs="Arial"/>
                <w:sz w:val="18"/>
                <w:szCs w:val="18"/>
                <w:lang w:eastAsia="en-GB"/>
              </w:rPr>
              <w:t>a</w:t>
            </w:r>
            <w:r w:rsidRPr="003F7A57">
              <w:rPr>
                <w:rFonts w:eastAsia="Calibri" w:cs="Arial"/>
                <w:sz w:val="18"/>
                <w:szCs w:val="18"/>
                <w:lang w:eastAsia="en-GB"/>
              </w:rPr>
              <w:t xml:space="preserve"> – PT02 </w:t>
            </w:r>
            <w:r w:rsidRPr="003F7A57">
              <w:rPr>
                <w:rFonts w:eastAsia="Calibri"/>
                <w:sz w:val="18"/>
                <w:szCs w:val="18"/>
                <w:lang w:eastAsia="en-US"/>
              </w:rPr>
              <w:t>Institutional areas</w:t>
            </w:r>
          </w:p>
        </w:tc>
        <w:tc>
          <w:tcPr>
            <w:tcW w:w="0" w:type="auto"/>
            <w:tcBorders>
              <w:top w:val="single" w:sz="4" w:space="0" w:color="000000"/>
              <w:left w:val="single" w:sz="4" w:space="0" w:color="000000"/>
              <w:bottom w:val="single" w:sz="4" w:space="0" w:color="000000"/>
            </w:tcBorders>
            <w:shd w:val="clear" w:color="auto" w:fill="auto"/>
            <w:vAlign w:val="center"/>
          </w:tcPr>
          <w:p w14:paraId="2E05DC23"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31DAECB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36B8766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5DA26D2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3B41A1E5"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FECA14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13F4583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1FE928FF"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A54E18" w14:paraId="74491CE0"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tcPr>
          <w:p w14:paraId="11EF5DB8" w14:textId="21FBBB9F" w:rsidR="00A54E18" w:rsidRPr="003F7A57" w:rsidRDefault="00A54E18" w:rsidP="00A54E18">
            <w:pPr>
              <w:widowControl w:val="0"/>
              <w:tabs>
                <w:tab w:val="center" w:pos="4536"/>
                <w:tab w:val="right" w:pos="9072"/>
              </w:tabs>
              <w:spacing w:line="260" w:lineRule="atLeast"/>
              <w:rPr>
                <w:rFonts w:eastAsia="Calibri" w:cs="Arial"/>
                <w:sz w:val="18"/>
                <w:szCs w:val="18"/>
                <w:lang w:eastAsia="en-GB"/>
              </w:rPr>
            </w:pPr>
            <w:r w:rsidRPr="003F7A57">
              <w:rPr>
                <w:rFonts w:eastAsia="Calibri" w:cs="Arial"/>
                <w:sz w:val="18"/>
                <w:szCs w:val="18"/>
                <w:lang w:eastAsia="en-GB"/>
              </w:rPr>
              <w:t>Scenario 1</w:t>
            </w:r>
            <w:r>
              <w:rPr>
                <w:rFonts w:eastAsia="Calibri" w:cs="Arial"/>
                <w:sz w:val="18"/>
                <w:szCs w:val="18"/>
                <w:lang w:eastAsia="en-GB"/>
              </w:rPr>
              <w:t>b</w:t>
            </w:r>
            <w:r w:rsidRPr="003F7A57">
              <w:rPr>
                <w:rFonts w:eastAsia="Calibri" w:cs="Arial"/>
                <w:sz w:val="18"/>
                <w:szCs w:val="18"/>
                <w:lang w:eastAsia="en-GB"/>
              </w:rPr>
              <w:t xml:space="preserve"> – PT02 </w:t>
            </w:r>
            <w:r>
              <w:rPr>
                <w:rFonts w:eastAsia="Calibri"/>
                <w:sz w:val="18"/>
                <w:szCs w:val="18"/>
                <w:lang w:eastAsia="en-US"/>
              </w:rPr>
              <w:t>Lavatory</w:t>
            </w:r>
          </w:p>
        </w:tc>
        <w:tc>
          <w:tcPr>
            <w:tcW w:w="0" w:type="auto"/>
            <w:tcBorders>
              <w:top w:val="single" w:sz="4" w:space="0" w:color="000000"/>
              <w:left w:val="single" w:sz="4" w:space="0" w:color="000000"/>
              <w:bottom w:val="single" w:sz="4" w:space="0" w:color="000000"/>
            </w:tcBorders>
            <w:shd w:val="clear" w:color="auto" w:fill="auto"/>
            <w:vAlign w:val="center"/>
          </w:tcPr>
          <w:p w14:paraId="26EB08A7" w14:textId="3FE6F1B3"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1B7B9F9" w14:textId="32942A56"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0664DFD" w14:textId="0751FDDF"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0FCAB629" w14:textId="6D879D5E" w:rsidR="00A54E18" w:rsidRPr="004E754C"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6EBAEECD" w14:textId="73C9CC50"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14681940" w14:textId="7B921B0B" w:rsidR="00A54E18" w:rsidRPr="004E754C"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89D5994" w14:textId="47605E72"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47827ED9" w14:textId="09812D24" w:rsidR="00A54E18" w:rsidRPr="003F7A57" w:rsidRDefault="00A54E18"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5472B732"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tcPr>
          <w:p w14:paraId="1898FE06" w14:textId="77777777"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s="Arial"/>
                <w:sz w:val="18"/>
                <w:szCs w:val="18"/>
                <w:lang w:eastAsia="en-GB"/>
              </w:rPr>
              <w:t>Scenario 2 – PT02 Industrial areas</w:t>
            </w:r>
          </w:p>
        </w:tc>
        <w:tc>
          <w:tcPr>
            <w:tcW w:w="0" w:type="auto"/>
            <w:tcBorders>
              <w:top w:val="single" w:sz="4" w:space="0" w:color="000000"/>
              <w:left w:val="single" w:sz="4" w:space="0" w:color="000000"/>
              <w:bottom w:val="single" w:sz="4" w:space="0" w:color="000000"/>
            </w:tcBorders>
            <w:shd w:val="clear" w:color="auto" w:fill="auto"/>
            <w:vAlign w:val="center"/>
          </w:tcPr>
          <w:p w14:paraId="4055DED5"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39526320"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8B1A2F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41C667A7"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73833DC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0CE6839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02521E0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2356CFE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2AC1F3DC"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tcPr>
          <w:p w14:paraId="4FEAE7AF" w14:textId="743F5DB0" w:rsidR="00476D22" w:rsidRPr="003F7A57" w:rsidRDefault="00476D22" w:rsidP="00476D22">
            <w:pPr>
              <w:widowControl w:val="0"/>
              <w:tabs>
                <w:tab w:val="center" w:pos="4536"/>
                <w:tab w:val="right" w:pos="9072"/>
              </w:tabs>
              <w:spacing w:line="260" w:lineRule="atLeast"/>
              <w:rPr>
                <w:rFonts w:eastAsia="Calibri"/>
                <w:color w:val="000000"/>
                <w:sz w:val="18"/>
                <w:szCs w:val="18"/>
                <w:lang w:eastAsia="en-GB"/>
              </w:rPr>
            </w:pPr>
            <w:r w:rsidRPr="003F7A57">
              <w:rPr>
                <w:rFonts w:eastAsia="Calibri" w:cs="Arial"/>
                <w:sz w:val="18"/>
                <w:szCs w:val="18"/>
                <w:lang w:eastAsia="en-GB"/>
              </w:rPr>
              <w:lastRenderedPageBreak/>
              <w:t>Scenario 3 – PT02</w:t>
            </w:r>
            <w:r w:rsidRPr="003F7A57">
              <w:rPr>
                <w:sz w:val="18"/>
                <w:szCs w:val="18"/>
              </w:rPr>
              <w:t xml:space="preserve"> </w:t>
            </w:r>
            <w:r w:rsidR="00C1183E">
              <w:rPr>
                <w:rFonts w:eastAsia="Calibri"/>
                <w:sz w:val="18"/>
                <w:szCs w:val="18"/>
                <w:lang w:eastAsia="en-US"/>
              </w:rPr>
              <w:t>Disinfection of rooms, furniture and objects in medical sector</w:t>
            </w:r>
          </w:p>
        </w:tc>
        <w:tc>
          <w:tcPr>
            <w:tcW w:w="0" w:type="auto"/>
            <w:tcBorders>
              <w:top w:val="single" w:sz="4" w:space="0" w:color="000000"/>
              <w:left w:val="single" w:sz="4" w:space="0" w:color="000000"/>
              <w:bottom w:val="single" w:sz="4" w:space="0" w:color="000000"/>
            </w:tcBorders>
            <w:shd w:val="clear" w:color="auto" w:fill="auto"/>
            <w:vAlign w:val="center"/>
          </w:tcPr>
          <w:p w14:paraId="01C6FB5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49A51F7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EB59A96"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77F8425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0A16A36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1879A7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6A3E486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726BC06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1DA245F0"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43FE5191" w14:textId="77777777" w:rsidR="00F5320F"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4 </w:t>
            </w:r>
            <w:r w:rsidRPr="003F7A57">
              <w:rPr>
                <w:rFonts w:eastAsia="Calibri" w:cs="Arial"/>
                <w:sz w:val="18"/>
                <w:szCs w:val="18"/>
                <w:lang w:eastAsia="en-GB"/>
              </w:rPr>
              <w:t xml:space="preserve">– PT02 </w:t>
            </w:r>
          </w:p>
          <w:p w14:paraId="6DB505E0" w14:textId="276760EE"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sz w:val="18"/>
                <w:szCs w:val="18"/>
              </w:rPr>
              <w:t>Road ways indirect emission via STP</w:t>
            </w:r>
          </w:p>
        </w:tc>
        <w:tc>
          <w:tcPr>
            <w:tcW w:w="0" w:type="auto"/>
            <w:tcBorders>
              <w:top w:val="single" w:sz="4" w:space="0" w:color="000000"/>
              <w:left w:val="single" w:sz="4" w:space="0" w:color="000000"/>
              <w:bottom w:val="single" w:sz="4" w:space="0" w:color="000000"/>
            </w:tcBorders>
            <w:shd w:val="clear" w:color="auto" w:fill="auto"/>
            <w:vAlign w:val="center"/>
          </w:tcPr>
          <w:p w14:paraId="54AF631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6779B8AE"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43AEDC0E"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263CCDB1"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05ABD985"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CC46B1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064DAF9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6D562A51"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3DB51503"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7561B9DD" w14:textId="77777777"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5 </w:t>
            </w:r>
            <w:r w:rsidRPr="003F7A57">
              <w:rPr>
                <w:rFonts w:eastAsia="Calibri" w:cs="Arial"/>
                <w:sz w:val="18"/>
                <w:szCs w:val="18"/>
                <w:lang w:eastAsia="en-GB"/>
              </w:rPr>
              <w:t>– PT02</w:t>
            </w:r>
          </w:p>
          <w:p w14:paraId="41243D89" w14:textId="77777777"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sz w:val="18"/>
                <w:szCs w:val="18"/>
              </w:rPr>
              <w:t>Road ways direct emission to surface water</w:t>
            </w:r>
          </w:p>
        </w:tc>
        <w:tc>
          <w:tcPr>
            <w:tcW w:w="0" w:type="auto"/>
            <w:tcBorders>
              <w:top w:val="single" w:sz="4" w:space="0" w:color="000000"/>
              <w:left w:val="single" w:sz="4" w:space="0" w:color="000000"/>
              <w:bottom w:val="single" w:sz="4" w:space="0" w:color="000000"/>
            </w:tcBorders>
            <w:shd w:val="clear" w:color="auto" w:fill="auto"/>
            <w:vAlign w:val="center"/>
          </w:tcPr>
          <w:p w14:paraId="26597A20"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1AEF0C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3F588D6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4335E40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057A26E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c>
          <w:tcPr>
            <w:tcW w:w="0" w:type="auto"/>
            <w:tcBorders>
              <w:top w:val="single" w:sz="4" w:space="0" w:color="000000"/>
              <w:left w:val="single" w:sz="4" w:space="0" w:color="000000"/>
              <w:bottom w:val="single" w:sz="4" w:space="0" w:color="000000"/>
            </w:tcBorders>
            <w:shd w:val="clear" w:color="auto" w:fill="auto"/>
            <w:vAlign w:val="center"/>
          </w:tcPr>
          <w:p w14:paraId="3A325803"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8672F80"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6996151E"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r>
      <w:tr w:rsidR="00476D22" w14:paraId="20151A04"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0804C228" w14:textId="0E51B399"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w:t>
            </w:r>
            <w:r w:rsidR="00F5320F">
              <w:rPr>
                <w:rFonts w:eastAsia="Calibri"/>
                <w:color w:val="000000"/>
                <w:sz w:val="18"/>
                <w:szCs w:val="18"/>
                <w:lang w:eastAsia="en-GB"/>
              </w:rPr>
              <w:t>6</w:t>
            </w:r>
            <w:r w:rsidRPr="003F7A57">
              <w:rPr>
                <w:rFonts w:eastAsia="Calibri"/>
                <w:color w:val="000000"/>
                <w:sz w:val="18"/>
                <w:szCs w:val="18"/>
                <w:lang w:eastAsia="en-GB"/>
              </w:rPr>
              <w:t xml:space="preserve"> </w:t>
            </w:r>
            <w:r w:rsidRPr="003F7A57">
              <w:rPr>
                <w:rFonts w:eastAsia="Calibri" w:cs="Arial"/>
                <w:sz w:val="18"/>
                <w:szCs w:val="18"/>
                <w:lang w:eastAsia="en-GB"/>
              </w:rPr>
              <w:t xml:space="preserve">– PT03 </w:t>
            </w:r>
            <w:r w:rsidRPr="003F7A57">
              <w:rPr>
                <w:sz w:val="18"/>
                <w:szCs w:val="18"/>
              </w:rPr>
              <w:t>Animal housing direct emission to soil</w:t>
            </w:r>
          </w:p>
        </w:tc>
        <w:tc>
          <w:tcPr>
            <w:tcW w:w="0" w:type="auto"/>
            <w:tcBorders>
              <w:top w:val="single" w:sz="4" w:space="0" w:color="000000"/>
              <w:left w:val="single" w:sz="4" w:space="0" w:color="000000"/>
              <w:bottom w:val="single" w:sz="4" w:space="0" w:color="000000"/>
            </w:tcBorders>
            <w:shd w:val="clear" w:color="auto" w:fill="auto"/>
            <w:vAlign w:val="center"/>
          </w:tcPr>
          <w:p w14:paraId="39993034"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c>
          <w:tcPr>
            <w:tcW w:w="0" w:type="auto"/>
            <w:tcBorders>
              <w:top w:val="single" w:sz="4" w:space="0" w:color="000000"/>
              <w:left w:val="single" w:sz="4" w:space="0" w:color="000000"/>
              <w:bottom w:val="single" w:sz="4" w:space="0" w:color="000000"/>
            </w:tcBorders>
            <w:shd w:val="clear" w:color="auto" w:fill="auto"/>
            <w:vAlign w:val="center"/>
          </w:tcPr>
          <w:p w14:paraId="44DB132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c>
          <w:tcPr>
            <w:tcW w:w="0" w:type="auto"/>
            <w:tcBorders>
              <w:top w:val="single" w:sz="4" w:space="0" w:color="000000"/>
              <w:left w:val="single" w:sz="4" w:space="0" w:color="000000"/>
              <w:bottom w:val="single" w:sz="4" w:space="0" w:color="000000"/>
            </w:tcBorders>
            <w:shd w:val="clear" w:color="auto" w:fill="auto"/>
            <w:vAlign w:val="center"/>
          </w:tcPr>
          <w:p w14:paraId="237ABE53"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36E432FF"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6B8526FE"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No</w:t>
            </w:r>
          </w:p>
        </w:tc>
        <w:tc>
          <w:tcPr>
            <w:tcW w:w="0" w:type="auto"/>
            <w:tcBorders>
              <w:top w:val="single" w:sz="4" w:space="0" w:color="000000"/>
              <w:left w:val="single" w:sz="4" w:space="0" w:color="000000"/>
              <w:bottom w:val="single" w:sz="4" w:space="0" w:color="000000"/>
            </w:tcBorders>
            <w:shd w:val="clear" w:color="auto" w:fill="auto"/>
            <w:vAlign w:val="center"/>
          </w:tcPr>
          <w:p w14:paraId="6E35CD9D"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11DFD3E"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1688FB15"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49527D99"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6493C692" w14:textId="794A13EA"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w:t>
            </w:r>
            <w:r w:rsidR="00F5320F">
              <w:rPr>
                <w:rFonts w:eastAsia="Calibri"/>
                <w:color w:val="000000"/>
                <w:sz w:val="18"/>
                <w:szCs w:val="18"/>
                <w:lang w:eastAsia="en-GB"/>
              </w:rPr>
              <w:t>6</w:t>
            </w:r>
            <w:r w:rsidRPr="003F7A57">
              <w:rPr>
                <w:rFonts w:eastAsia="Calibri"/>
                <w:color w:val="000000"/>
                <w:sz w:val="18"/>
                <w:szCs w:val="18"/>
                <w:lang w:eastAsia="en-GB"/>
              </w:rPr>
              <w:t xml:space="preserve"> </w:t>
            </w:r>
            <w:r w:rsidRPr="003F7A57">
              <w:rPr>
                <w:rFonts w:eastAsia="Calibri" w:cs="Arial"/>
                <w:sz w:val="18"/>
                <w:szCs w:val="18"/>
                <w:lang w:eastAsia="en-GB"/>
              </w:rPr>
              <w:t xml:space="preserve">– PT03 </w:t>
            </w:r>
            <w:r w:rsidRPr="003F7A57">
              <w:rPr>
                <w:sz w:val="18"/>
                <w:szCs w:val="18"/>
              </w:rPr>
              <w:t>Animal housing indirect emission via STP</w:t>
            </w:r>
          </w:p>
        </w:tc>
        <w:tc>
          <w:tcPr>
            <w:tcW w:w="0" w:type="auto"/>
            <w:tcBorders>
              <w:top w:val="single" w:sz="4" w:space="0" w:color="000000"/>
              <w:left w:val="single" w:sz="4" w:space="0" w:color="000000"/>
              <w:bottom w:val="single" w:sz="4" w:space="0" w:color="000000"/>
            </w:tcBorders>
            <w:shd w:val="clear" w:color="auto" w:fill="auto"/>
            <w:vAlign w:val="center"/>
          </w:tcPr>
          <w:p w14:paraId="1435B4F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6B6B5C96"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10CBDAEF"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779AC0C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06E2E78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49D9712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35D78F3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299EBA01"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31C0E525"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7CA92A20" w14:textId="3D00EC5A"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w:t>
            </w:r>
            <w:r w:rsidR="00F5320F">
              <w:rPr>
                <w:rFonts w:eastAsia="Calibri"/>
                <w:color w:val="000000"/>
                <w:sz w:val="18"/>
                <w:szCs w:val="18"/>
                <w:lang w:eastAsia="en-GB"/>
              </w:rPr>
              <w:t>7</w:t>
            </w:r>
            <w:r w:rsidRPr="003F7A57">
              <w:rPr>
                <w:rFonts w:eastAsia="Calibri"/>
                <w:color w:val="000000"/>
                <w:sz w:val="18"/>
                <w:szCs w:val="18"/>
                <w:lang w:eastAsia="en-GB"/>
              </w:rPr>
              <w:t xml:space="preserve"> </w:t>
            </w:r>
            <w:r w:rsidRPr="003F7A57">
              <w:rPr>
                <w:rFonts w:eastAsia="Calibri" w:cs="Arial"/>
                <w:sz w:val="18"/>
                <w:szCs w:val="18"/>
                <w:lang w:eastAsia="en-GB"/>
              </w:rPr>
              <w:t xml:space="preserve">– PT04 </w:t>
            </w:r>
            <w:r w:rsidRPr="003F7A57">
              <w:rPr>
                <w:rFonts w:eastAsia="Calibri"/>
                <w:sz w:val="18"/>
                <w:szCs w:val="18"/>
                <w:lang w:eastAsia="en-US"/>
              </w:rPr>
              <w:t>Private use in food and feed areas</w:t>
            </w:r>
          </w:p>
        </w:tc>
        <w:tc>
          <w:tcPr>
            <w:tcW w:w="0" w:type="auto"/>
            <w:tcBorders>
              <w:top w:val="single" w:sz="4" w:space="0" w:color="000000"/>
              <w:left w:val="single" w:sz="4" w:space="0" w:color="000000"/>
              <w:bottom w:val="single" w:sz="4" w:space="0" w:color="000000"/>
            </w:tcBorders>
            <w:shd w:val="clear" w:color="auto" w:fill="auto"/>
            <w:vAlign w:val="center"/>
          </w:tcPr>
          <w:p w14:paraId="00C1FBC6"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2CE48F0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74EFC6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0C367F2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21B90171"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17912B5"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CCF8E9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319EBCE2"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r w:rsidR="00476D22" w14:paraId="6F54A2CA" w14:textId="77777777" w:rsidTr="00476D22">
        <w:tblPrEx>
          <w:tblCellMar>
            <w:top w:w="57" w:type="dxa"/>
            <w:bottom w:w="57" w:type="dxa"/>
          </w:tblCellMar>
        </w:tblPrEx>
        <w:tc>
          <w:tcPr>
            <w:tcW w:w="0" w:type="auto"/>
            <w:tcBorders>
              <w:top w:val="single" w:sz="4" w:space="0" w:color="000000"/>
              <w:left w:val="single" w:sz="4" w:space="0" w:color="000000"/>
              <w:bottom w:val="single" w:sz="4" w:space="0" w:color="000000"/>
            </w:tcBorders>
            <w:shd w:val="clear" w:color="auto" w:fill="auto"/>
            <w:vAlign w:val="center"/>
          </w:tcPr>
          <w:p w14:paraId="50239B60" w14:textId="17FE3732" w:rsidR="00476D22" w:rsidRPr="003F7A57" w:rsidRDefault="00476D22" w:rsidP="00476D22">
            <w:pPr>
              <w:widowControl w:val="0"/>
              <w:tabs>
                <w:tab w:val="center" w:pos="4536"/>
                <w:tab w:val="right" w:pos="9072"/>
              </w:tabs>
              <w:spacing w:line="260" w:lineRule="atLeast"/>
              <w:rPr>
                <w:rFonts w:eastAsia="Calibri" w:cs="Arial"/>
                <w:sz w:val="18"/>
                <w:szCs w:val="18"/>
                <w:lang w:eastAsia="en-GB"/>
              </w:rPr>
            </w:pPr>
            <w:r w:rsidRPr="003F7A57">
              <w:rPr>
                <w:rFonts w:eastAsia="Calibri"/>
                <w:color w:val="000000"/>
                <w:sz w:val="18"/>
                <w:szCs w:val="18"/>
                <w:lang w:eastAsia="en-GB"/>
              </w:rPr>
              <w:t xml:space="preserve">Scenario </w:t>
            </w:r>
            <w:r w:rsidR="00AF686D">
              <w:rPr>
                <w:rFonts w:eastAsia="Calibri"/>
                <w:color w:val="000000"/>
                <w:sz w:val="18"/>
                <w:szCs w:val="18"/>
                <w:lang w:eastAsia="en-GB"/>
              </w:rPr>
              <w:t>8</w:t>
            </w:r>
            <w:r w:rsidRPr="003F7A57">
              <w:rPr>
                <w:rFonts w:eastAsia="Calibri"/>
                <w:color w:val="000000"/>
                <w:sz w:val="18"/>
                <w:szCs w:val="18"/>
                <w:lang w:eastAsia="en-GB"/>
              </w:rPr>
              <w:t xml:space="preserve"> </w:t>
            </w:r>
            <w:r w:rsidRPr="003F7A57">
              <w:rPr>
                <w:rFonts w:eastAsia="Calibri" w:cs="Arial"/>
                <w:sz w:val="18"/>
                <w:szCs w:val="18"/>
                <w:lang w:eastAsia="en-GB"/>
              </w:rPr>
              <w:t xml:space="preserve">– PT04 </w:t>
            </w:r>
            <w:r w:rsidR="00AF686D" w:rsidRPr="00711870">
              <w:rPr>
                <w:sz w:val="18"/>
                <w:szCs w:val="18"/>
              </w:rPr>
              <w:t xml:space="preserve">Disinfection </w:t>
            </w:r>
            <w:r w:rsidR="00AF686D">
              <w:rPr>
                <w:sz w:val="18"/>
                <w:szCs w:val="18"/>
              </w:rPr>
              <w:t>in food and feed area</w:t>
            </w:r>
          </w:p>
        </w:tc>
        <w:tc>
          <w:tcPr>
            <w:tcW w:w="0" w:type="auto"/>
            <w:tcBorders>
              <w:top w:val="single" w:sz="4" w:space="0" w:color="000000"/>
              <w:left w:val="single" w:sz="4" w:space="0" w:color="000000"/>
              <w:bottom w:val="single" w:sz="4" w:space="0" w:color="000000"/>
            </w:tcBorders>
            <w:shd w:val="clear" w:color="auto" w:fill="auto"/>
            <w:vAlign w:val="center"/>
          </w:tcPr>
          <w:p w14:paraId="010C910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A24D3F8"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51E4B8CB"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tcBorders>
            <w:shd w:val="clear" w:color="auto" w:fill="auto"/>
            <w:vAlign w:val="center"/>
          </w:tcPr>
          <w:p w14:paraId="4E923809"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r w:rsidRPr="003F7A57" w:rsidDel="003F7A57">
              <w:rPr>
                <w:rFonts w:eastAsia="Calibri"/>
                <w:color w:val="000000"/>
                <w:sz w:val="18"/>
                <w:szCs w:val="18"/>
                <w:lang w:eastAsia="en-GB"/>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14:paraId="5A7C8783"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000000"/>
              <w:bottom w:val="single" w:sz="4" w:space="0" w:color="000000"/>
            </w:tcBorders>
            <w:shd w:val="clear" w:color="auto" w:fill="auto"/>
            <w:vAlign w:val="center"/>
          </w:tcPr>
          <w:p w14:paraId="7667890C"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4E754C">
              <w:rPr>
                <w:rFonts w:eastAsia="Calibri"/>
                <w:color w:val="000000"/>
                <w:sz w:val="18"/>
                <w:szCs w:val="18"/>
                <w:lang w:eastAsia="en-GB"/>
              </w:rPr>
              <w:t>N</w:t>
            </w:r>
            <w:r>
              <w:rPr>
                <w:rFonts w:eastAsia="Calibri"/>
                <w:color w:val="000000"/>
                <w:sz w:val="18"/>
                <w:szCs w:val="18"/>
                <w:lang w:eastAsia="en-GB"/>
              </w:rPr>
              <w:t>.R.</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D01971A"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410EC97D" w14:textId="77777777" w:rsidR="00476D22" w:rsidRPr="003F7A57" w:rsidRDefault="00476D22" w:rsidP="00476D22">
            <w:pPr>
              <w:widowControl w:val="0"/>
              <w:tabs>
                <w:tab w:val="center" w:pos="4536"/>
                <w:tab w:val="right" w:pos="9072"/>
              </w:tabs>
              <w:snapToGrid w:val="0"/>
              <w:spacing w:line="260" w:lineRule="atLeast"/>
              <w:jc w:val="center"/>
              <w:rPr>
                <w:rFonts w:eastAsia="Calibri"/>
                <w:color w:val="000000"/>
                <w:sz w:val="18"/>
                <w:szCs w:val="18"/>
                <w:lang w:eastAsia="en-GB"/>
              </w:rPr>
            </w:pPr>
            <w:r w:rsidRPr="003F7A57">
              <w:rPr>
                <w:rFonts w:eastAsia="Calibri"/>
                <w:color w:val="000000"/>
                <w:sz w:val="18"/>
                <w:szCs w:val="18"/>
                <w:lang w:eastAsia="en-GB"/>
              </w:rPr>
              <w:t>Yes</w:t>
            </w:r>
          </w:p>
        </w:tc>
      </w:tr>
    </w:tbl>
    <w:p w14:paraId="1CF60C2E" w14:textId="77777777" w:rsidR="00476D22" w:rsidRPr="00B27CB1" w:rsidRDefault="00476D22" w:rsidP="00476D22">
      <w:pPr>
        <w:spacing w:line="260" w:lineRule="atLeast"/>
        <w:rPr>
          <w:rFonts w:eastAsia="Calibri"/>
          <w:lang w:eastAsia="en-US"/>
        </w:rPr>
      </w:pPr>
    </w:p>
    <w:p w14:paraId="263E10A9" w14:textId="77777777" w:rsidR="00476D22" w:rsidRPr="00C0160D" w:rsidRDefault="00476D22" w:rsidP="00476D22">
      <w:pPr>
        <w:autoSpaceDE w:val="0"/>
        <w:autoSpaceDN w:val="0"/>
        <w:adjustRightInd w:val="0"/>
        <w:jc w:val="both"/>
      </w:pPr>
      <w:r w:rsidRPr="00C0160D">
        <w:t>Considering the intended uses and the properties of the active substance</w:t>
      </w:r>
      <w:r>
        <w:t xml:space="preserve"> and SoCs</w:t>
      </w:r>
      <w:r w:rsidRPr="00C0160D">
        <w:t xml:space="preserve"> (</w:t>
      </w:r>
      <w:r>
        <w:t xml:space="preserve">low </w:t>
      </w:r>
      <w:r w:rsidRPr="00C0160D">
        <w:t>vapour pressure and Henry’s Law Constant)</w:t>
      </w:r>
      <w:r>
        <w:t>, e</w:t>
      </w:r>
      <w:r w:rsidRPr="00C0160D">
        <w:t>xposure to air is expected to be insignificant; therefore</w:t>
      </w:r>
      <w:r>
        <w:t>,</w:t>
      </w:r>
      <w:r w:rsidRPr="00C0160D">
        <w:t xml:space="preserve"> a risk assessment for this compartment is not necessary.</w:t>
      </w:r>
    </w:p>
    <w:p w14:paraId="3611F5F7" w14:textId="77777777" w:rsidR="00476D22" w:rsidRPr="00B27CB1" w:rsidRDefault="00476D22" w:rsidP="00476D22">
      <w:pPr>
        <w:spacing w:before="60" w:line="276" w:lineRule="auto"/>
        <w:ind w:left="142"/>
        <w:jc w:val="both"/>
        <w:rPr>
          <w:rFonts w:ascii="Times New Roman" w:eastAsia="Calibri" w:hAnsi="Times New Roman" w:cs="Times New Roman"/>
          <w:i/>
          <w:lang w:eastAsia="en-US"/>
        </w:rPr>
      </w:pPr>
    </w:p>
    <w:tbl>
      <w:tblPr>
        <w:tblW w:w="9356" w:type="dxa"/>
        <w:tblInd w:w="108" w:type="dxa"/>
        <w:tblLayout w:type="fixed"/>
        <w:tblLook w:val="0000" w:firstRow="0" w:lastRow="0" w:firstColumn="0" w:lastColumn="0" w:noHBand="0" w:noVBand="0"/>
      </w:tblPr>
      <w:tblGrid>
        <w:gridCol w:w="2410"/>
        <w:gridCol w:w="1134"/>
        <w:gridCol w:w="1701"/>
        <w:gridCol w:w="993"/>
        <w:gridCol w:w="850"/>
        <w:gridCol w:w="2268"/>
      </w:tblGrid>
      <w:tr w:rsidR="00476D22" w:rsidRPr="005F445F" w14:paraId="64FF8D96" w14:textId="77777777" w:rsidTr="00870D67">
        <w:trPr>
          <w:trHeight w:val="313"/>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6A15E503" w14:textId="77777777" w:rsidR="00476D22" w:rsidRPr="005F445F" w:rsidRDefault="00476D22" w:rsidP="00476D22">
            <w:pPr>
              <w:autoSpaceDE w:val="0"/>
              <w:spacing w:line="260" w:lineRule="atLeast"/>
              <w:jc w:val="center"/>
              <w:rPr>
                <w:rFonts w:eastAsia="Calibri" w:cs="Arial"/>
                <w:b/>
                <w:color w:val="000000"/>
                <w:sz w:val="18"/>
                <w:szCs w:val="18"/>
                <w:lang w:eastAsia="en-GB"/>
              </w:rPr>
            </w:pPr>
            <w:r w:rsidRPr="005F445F">
              <w:rPr>
                <w:rFonts w:eastAsia="Calibri" w:cs="Arial"/>
                <w:b/>
                <w:color w:val="000000"/>
                <w:sz w:val="18"/>
                <w:szCs w:val="18"/>
                <w:lang w:eastAsia="en-GB"/>
              </w:rPr>
              <w:t>Input parameters (only set values) for calculating the fate and distribution in the environment of L(+) Lactic acid</w:t>
            </w:r>
          </w:p>
        </w:tc>
      </w:tr>
      <w:tr w:rsidR="00476D22" w:rsidRPr="005F445F" w14:paraId="1F9EF1CA" w14:textId="77777777" w:rsidTr="00870D67">
        <w:trPr>
          <w:trHeight w:val="313"/>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3AE7AA1B"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Input </w:t>
            </w:r>
          </w:p>
        </w:tc>
        <w:tc>
          <w:tcPr>
            <w:tcW w:w="1701" w:type="dxa"/>
            <w:tcBorders>
              <w:top w:val="single" w:sz="4" w:space="0" w:color="000000"/>
              <w:left w:val="single" w:sz="4" w:space="0" w:color="000000"/>
              <w:bottom w:val="single" w:sz="4" w:space="0" w:color="000000"/>
            </w:tcBorders>
            <w:shd w:val="clear" w:color="auto" w:fill="FFFFFF"/>
            <w:vAlign w:val="center"/>
          </w:tcPr>
          <w:p w14:paraId="647595E3"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Value </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E041BA1"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Unit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4B41F" w14:textId="77777777" w:rsidR="00476D22" w:rsidRPr="005F445F" w:rsidRDefault="00476D22" w:rsidP="00476D22">
            <w:pPr>
              <w:autoSpaceDE w:val="0"/>
              <w:spacing w:line="260" w:lineRule="atLeast"/>
              <w:rPr>
                <w:sz w:val="18"/>
                <w:szCs w:val="18"/>
              </w:rPr>
            </w:pPr>
            <w:r w:rsidRPr="005F445F">
              <w:rPr>
                <w:rFonts w:eastAsia="Calibri" w:cs="Arial"/>
                <w:bCs/>
                <w:color w:val="000000"/>
                <w:sz w:val="18"/>
                <w:szCs w:val="18"/>
                <w:lang w:eastAsia="en-GB"/>
              </w:rPr>
              <w:t>Remarks</w:t>
            </w:r>
          </w:p>
        </w:tc>
      </w:tr>
      <w:tr w:rsidR="00476D22" w:rsidRPr="005F445F" w14:paraId="363285BE"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2FAE94C5"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578E20DB"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90.08</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28F62DB"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color w:val="000000"/>
                <w:sz w:val="18"/>
                <w:szCs w:val="18"/>
              </w:rPr>
              <w:t>g.mol</w:t>
            </w:r>
            <w:r w:rsidRPr="005F445F">
              <w:rPr>
                <w:color w:val="000000"/>
                <w:sz w:val="18"/>
                <w:szCs w:val="18"/>
                <w:vertAlign w:val="superscript"/>
              </w:rPr>
              <w:t>-1</w:t>
            </w:r>
          </w:p>
        </w:tc>
        <w:tc>
          <w:tcPr>
            <w:tcW w:w="2268" w:type="dxa"/>
            <w:vMerge w:val="restart"/>
            <w:tcBorders>
              <w:top w:val="single" w:sz="4" w:space="0" w:color="000000"/>
              <w:left w:val="single" w:sz="4" w:space="0" w:color="000000"/>
              <w:right w:val="single" w:sz="4" w:space="0" w:color="000000"/>
            </w:tcBorders>
            <w:shd w:val="clear" w:color="auto" w:fill="FFFFFF"/>
            <w:vAlign w:val="bottom"/>
          </w:tcPr>
          <w:p w14:paraId="51D0113F"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Assessment Report L(+) lactic acid Product-type 02, 03 and 04, June 2017</w:t>
            </w:r>
          </w:p>
        </w:tc>
      </w:tr>
      <w:tr w:rsidR="00476D22" w:rsidRPr="005F445F" w14:paraId="0A0289FD"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4B418B10"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Vapour pressure (at 20°C)</w:t>
            </w:r>
          </w:p>
        </w:tc>
        <w:tc>
          <w:tcPr>
            <w:tcW w:w="1701" w:type="dxa"/>
            <w:tcBorders>
              <w:top w:val="single" w:sz="4" w:space="0" w:color="000000"/>
              <w:left w:val="single" w:sz="4" w:space="0" w:color="000000"/>
              <w:bottom w:val="single" w:sz="4" w:space="0" w:color="000000"/>
            </w:tcBorders>
            <w:shd w:val="clear" w:color="auto" w:fill="FFFFFF"/>
            <w:vAlign w:val="center"/>
          </w:tcPr>
          <w:p w14:paraId="2C80B1C4"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0.4</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60307495"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Pa</w:t>
            </w:r>
          </w:p>
        </w:tc>
        <w:tc>
          <w:tcPr>
            <w:tcW w:w="2268" w:type="dxa"/>
            <w:vMerge/>
            <w:tcBorders>
              <w:left w:val="single" w:sz="4" w:space="0" w:color="000000"/>
              <w:bottom w:val="single" w:sz="4" w:space="0" w:color="000000"/>
              <w:right w:val="single" w:sz="4" w:space="0" w:color="000000"/>
            </w:tcBorders>
            <w:shd w:val="clear" w:color="auto" w:fill="FFFFFF"/>
            <w:vAlign w:val="center"/>
          </w:tcPr>
          <w:p w14:paraId="3DF563CD"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2E870E19"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1E747293"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 solubility (at 12°C)</w:t>
            </w:r>
          </w:p>
        </w:tc>
        <w:tc>
          <w:tcPr>
            <w:tcW w:w="1701" w:type="dxa"/>
            <w:tcBorders>
              <w:top w:val="single" w:sz="4" w:space="0" w:color="000000"/>
              <w:left w:val="single" w:sz="4" w:space="0" w:color="000000"/>
              <w:bottom w:val="single" w:sz="4" w:space="0" w:color="000000"/>
            </w:tcBorders>
            <w:shd w:val="clear" w:color="auto" w:fill="FFFFFF"/>
            <w:vAlign w:val="center"/>
          </w:tcPr>
          <w:p w14:paraId="745C25B3" w14:textId="77777777" w:rsidR="00476D22" w:rsidRPr="005F445F" w:rsidRDefault="00476D22" w:rsidP="00476D22">
            <w:pPr>
              <w:autoSpaceDE w:val="0"/>
              <w:snapToGrid w:val="0"/>
              <w:spacing w:line="260" w:lineRule="atLeast"/>
              <w:ind w:right="175"/>
              <w:rPr>
                <w:rFonts w:eastAsia="Calibri" w:cs="Arial"/>
                <w:color w:val="000000"/>
                <w:sz w:val="18"/>
                <w:szCs w:val="18"/>
                <w:lang w:eastAsia="en-GB"/>
              </w:rPr>
            </w:pPr>
            <w:r w:rsidRPr="005F445F">
              <w:rPr>
                <w:rFonts w:eastAsia="Calibri" w:cs="Arial"/>
                <w:color w:val="000000"/>
                <w:sz w:val="18"/>
                <w:szCs w:val="18"/>
                <w:lang w:eastAsia="en-GB"/>
              </w:rPr>
              <w:t>1.00E+06</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E1F3BFE"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mg/l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D2B68"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Completely miscible with water</w:t>
            </w:r>
          </w:p>
        </w:tc>
      </w:tr>
      <w:tr w:rsidR="00476D22" w:rsidRPr="005F445F" w14:paraId="73676DDB"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0E349C58" w14:textId="77777777" w:rsidR="00476D22" w:rsidRPr="005F445F" w:rsidRDefault="00476D22" w:rsidP="00476D22">
            <w:pPr>
              <w:autoSpaceDE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Log Octanol/water partition coefficient</w:t>
            </w:r>
          </w:p>
        </w:tc>
        <w:tc>
          <w:tcPr>
            <w:tcW w:w="1701" w:type="dxa"/>
            <w:tcBorders>
              <w:top w:val="single" w:sz="4" w:space="0" w:color="000000"/>
              <w:left w:val="single" w:sz="4" w:space="0" w:color="000000"/>
              <w:bottom w:val="single" w:sz="4" w:space="0" w:color="000000"/>
            </w:tcBorders>
            <w:shd w:val="clear" w:color="auto" w:fill="FFFFFF"/>
            <w:vAlign w:val="center"/>
          </w:tcPr>
          <w:p w14:paraId="135E857B" w14:textId="77777777" w:rsidR="00476D22" w:rsidRPr="005F445F" w:rsidRDefault="00476D22" w:rsidP="00476D22">
            <w:pPr>
              <w:autoSpaceDE w:val="0"/>
              <w:snapToGrid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-0.74</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2C338B4A"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val="fr-BE" w:eastAsia="en-GB"/>
              </w:rPr>
              <w:t>Log 10</w:t>
            </w:r>
          </w:p>
        </w:tc>
        <w:tc>
          <w:tcPr>
            <w:tcW w:w="2268" w:type="dxa"/>
            <w:vMerge w:val="restart"/>
            <w:tcBorders>
              <w:top w:val="single" w:sz="4" w:space="0" w:color="000000"/>
              <w:left w:val="single" w:sz="4" w:space="0" w:color="000000"/>
              <w:right w:val="single" w:sz="4" w:space="0" w:color="000000"/>
            </w:tcBorders>
            <w:shd w:val="clear" w:color="auto" w:fill="FFFFFF"/>
            <w:vAlign w:val="center"/>
          </w:tcPr>
          <w:p w14:paraId="2E4CA28B" w14:textId="176ACC6C" w:rsidR="0084573E"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Assessment Report L(+) lactic acid Product-type 02, 03 and 04, June 2017</w:t>
            </w:r>
          </w:p>
          <w:p w14:paraId="507353EC" w14:textId="77311A21"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70826869"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61EE64B1"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1199B724"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51139594"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l/kg</w:t>
            </w:r>
          </w:p>
        </w:tc>
        <w:tc>
          <w:tcPr>
            <w:tcW w:w="2268" w:type="dxa"/>
            <w:vMerge/>
            <w:tcBorders>
              <w:left w:val="single" w:sz="4" w:space="0" w:color="000000"/>
              <w:right w:val="single" w:sz="4" w:space="0" w:color="000000"/>
            </w:tcBorders>
            <w:shd w:val="clear" w:color="auto" w:fill="FFFFFF"/>
            <w:vAlign w:val="center"/>
          </w:tcPr>
          <w:p w14:paraId="775E1CC3" w14:textId="62ACB502"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19698903" w14:textId="77777777" w:rsidTr="00870D67">
        <w:trPr>
          <w:trHeight w:val="75"/>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6332486B" w14:textId="77777777" w:rsidR="00476D22" w:rsidRPr="005F445F" w:rsidRDefault="00476D22" w:rsidP="00476D22">
            <w:pPr>
              <w:autoSpaceDE w:val="0"/>
              <w:spacing w:line="260" w:lineRule="atLeast"/>
              <w:rPr>
                <w:rFonts w:eastAsia="Calibri" w:cs="Times New Roman"/>
                <w:i/>
                <w:color w:val="FF0000"/>
                <w:sz w:val="18"/>
                <w:szCs w:val="18"/>
                <w:lang w:eastAsia="en-GB"/>
              </w:rPr>
            </w:pPr>
            <w:r w:rsidRPr="005F445F">
              <w:rPr>
                <w:rFonts w:eastAsia="Calibri" w:cs="Arial"/>
                <w:color w:val="000000"/>
                <w:sz w:val="18"/>
                <w:szCs w:val="18"/>
                <w:lang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B11253D"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Times New Roman"/>
                <w:sz w:val="18"/>
                <w:szCs w:val="18"/>
                <w:lang w:eastAsia="en-GB"/>
              </w:rPr>
              <w:t xml:space="preserve">Readily biodegradable </w:t>
            </w:r>
            <w:r>
              <w:rPr>
                <w:rFonts w:eastAsia="Calibri" w:cs="Arial"/>
                <w:color w:val="000000"/>
                <w:sz w:val="18"/>
                <w:szCs w:val="18"/>
                <w:lang w:eastAsia="en-GB"/>
              </w:rPr>
              <w:t>failing the 10-</w:t>
            </w:r>
            <w:r w:rsidRPr="005F445F">
              <w:rPr>
                <w:rFonts w:eastAsia="Calibri" w:cs="Arial"/>
                <w:color w:val="000000"/>
                <w:sz w:val="18"/>
                <w:szCs w:val="18"/>
                <w:lang w:eastAsia="en-GB"/>
              </w:rPr>
              <w:t>days window criterion</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7BCE4C01" w14:textId="2C80E901"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t>
            </w:r>
          </w:p>
        </w:tc>
        <w:tc>
          <w:tcPr>
            <w:tcW w:w="2268" w:type="dxa"/>
            <w:vMerge/>
            <w:tcBorders>
              <w:left w:val="single" w:sz="4" w:space="0" w:color="000000"/>
              <w:right w:val="single" w:sz="4" w:space="0" w:color="000000"/>
            </w:tcBorders>
            <w:shd w:val="clear" w:color="auto" w:fill="FFFFFF"/>
            <w:vAlign w:val="center"/>
          </w:tcPr>
          <w:p w14:paraId="3446C111" w14:textId="18104F86"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75C8536E" w14:textId="77777777" w:rsidTr="00870D67">
        <w:trPr>
          <w:trHeight w:val="93"/>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44184ED3"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lastRenderedPageBreak/>
              <w:t>DT</w:t>
            </w:r>
            <w:r w:rsidRPr="005F445F">
              <w:rPr>
                <w:rFonts w:eastAsia="Calibri" w:cs="Arial"/>
                <w:color w:val="000000"/>
                <w:sz w:val="18"/>
                <w:szCs w:val="18"/>
                <w:vertAlign w:val="subscript"/>
                <w:lang w:eastAsia="en-GB"/>
              </w:rPr>
              <w:t>50</w:t>
            </w:r>
            <w:r w:rsidRPr="005F445F">
              <w:rPr>
                <w:rFonts w:eastAsia="Calibri" w:cs="Arial"/>
                <w:color w:val="000000"/>
                <w:sz w:val="18"/>
                <w:szCs w:val="18"/>
                <w:lang w:eastAsia="en-GB"/>
              </w:rPr>
              <w:t xml:space="preserve"> for degradation in soil (at 12ºC)</w:t>
            </w:r>
          </w:p>
        </w:tc>
        <w:tc>
          <w:tcPr>
            <w:tcW w:w="1701" w:type="dxa"/>
            <w:tcBorders>
              <w:top w:val="single" w:sz="4" w:space="0" w:color="000000"/>
              <w:left w:val="single" w:sz="4" w:space="0" w:color="000000"/>
              <w:bottom w:val="single" w:sz="4" w:space="0" w:color="000000"/>
            </w:tcBorders>
            <w:shd w:val="clear" w:color="auto" w:fill="FFFFFF"/>
          </w:tcPr>
          <w:p w14:paraId="7394DA2D"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30</w:t>
            </w:r>
          </w:p>
        </w:tc>
        <w:tc>
          <w:tcPr>
            <w:tcW w:w="1843" w:type="dxa"/>
            <w:gridSpan w:val="2"/>
            <w:tcBorders>
              <w:top w:val="single" w:sz="4" w:space="0" w:color="000000"/>
              <w:left w:val="single" w:sz="4" w:space="0" w:color="000000"/>
              <w:bottom w:val="single" w:sz="4" w:space="0" w:color="000000"/>
            </w:tcBorders>
            <w:shd w:val="clear" w:color="auto" w:fill="FFFFFF"/>
          </w:tcPr>
          <w:p w14:paraId="3082F546"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 xml:space="preserve">d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B083AE6" w14:textId="44DF23E5" w:rsidR="00476D22" w:rsidRPr="00666A27" w:rsidRDefault="00476D22" w:rsidP="00476D22">
            <w:pPr>
              <w:autoSpaceDE w:val="0"/>
              <w:spacing w:before="60" w:after="60"/>
              <w:jc w:val="both"/>
              <w:rPr>
                <w:rFonts w:eastAsia="Calibri" w:cs="Arial"/>
                <w:sz w:val="18"/>
                <w:szCs w:val="18"/>
                <w:lang w:eastAsia="en-GB"/>
              </w:rPr>
            </w:pPr>
            <w:r w:rsidRPr="005F445F">
              <w:rPr>
                <w:rFonts w:cs="Arial"/>
                <w:sz w:val="18"/>
                <w:szCs w:val="18"/>
                <w:lang w:eastAsia="en-GB"/>
              </w:rPr>
              <w:t>30d as refinement for 90d value in AR</w:t>
            </w:r>
            <w:r w:rsidRPr="00666A27" w:rsidDel="00823D3B">
              <w:rPr>
                <w:rFonts w:cs="Arial"/>
                <w:sz w:val="18"/>
                <w:szCs w:val="18"/>
                <w:lang w:eastAsia="en-GB"/>
              </w:rPr>
              <w:t xml:space="preserve"> </w:t>
            </w:r>
            <w:r w:rsidR="002C181D" w:rsidRPr="00666A27">
              <w:rPr>
                <w:rFonts w:cs="Arial"/>
                <w:sz w:val="18"/>
                <w:szCs w:val="18"/>
                <w:lang w:eastAsia="en-GB"/>
              </w:rPr>
              <w:t>(WGII2020)</w:t>
            </w:r>
          </w:p>
        </w:tc>
      </w:tr>
      <w:tr w:rsidR="002C181D" w:rsidRPr="005F445F" w14:paraId="6DCE9742" w14:textId="77777777" w:rsidTr="00870D67">
        <w:trPr>
          <w:trHeight w:val="93"/>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62A00D4F" w14:textId="1D5784FA" w:rsidR="002C181D" w:rsidRPr="005F445F" w:rsidRDefault="002C181D" w:rsidP="002C181D">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ktotal (0.2</w:t>
            </w:r>
            <w:r>
              <w:rPr>
                <w:rFonts w:eastAsia="Calibri" w:cs="Arial"/>
                <w:color w:val="000000"/>
                <w:sz w:val="18"/>
                <w:szCs w:val="18"/>
                <w:lang w:eastAsia="en-GB"/>
              </w:rPr>
              <w:t xml:space="preserve"> </w:t>
            </w:r>
            <w:r w:rsidRPr="005F445F">
              <w:rPr>
                <w:rFonts w:eastAsia="Calibri" w:cs="Arial"/>
                <w:color w:val="000000"/>
                <w:sz w:val="18"/>
                <w:szCs w:val="18"/>
                <w:lang w:eastAsia="en-GB"/>
              </w:rPr>
              <w:t>m relevant for STP)</w:t>
            </w:r>
          </w:p>
        </w:tc>
        <w:tc>
          <w:tcPr>
            <w:tcW w:w="1701" w:type="dxa"/>
            <w:tcBorders>
              <w:top w:val="single" w:sz="4" w:space="0" w:color="000000"/>
              <w:left w:val="single" w:sz="4" w:space="0" w:color="000000"/>
              <w:bottom w:val="single" w:sz="4" w:space="0" w:color="000000"/>
            </w:tcBorders>
            <w:shd w:val="clear" w:color="auto" w:fill="FFFFFF"/>
          </w:tcPr>
          <w:p w14:paraId="312B6DF6" w14:textId="77777777" w:rsidR="002C181D" w:rsidRPr="005F445F" w:rsidRDefault="002C181D" w:rsidP="002C181D">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2.61E-02</w:t>
            </w:r>
          </w:p>
        </w:tc>
        <w:tc>
          <w:tcPr>
            <w:tcW w:w="1843" w:type="dxa"/>
            <w:gridSpan w:val="2"/>
            <w:tcBorders>
              <w:top w:val="single" w:sz="4" w:space="0" w:color="000000"/>
              <w:left w:val="single" w:sz="4" w:space="0" w:color="000000"/>
              <w:bottom w:val="single" w:sz="4" w:space="0" w:color="000000"/>
            </w:tcBorders>
            <w:shd w:val="clear" w:color="auto" w:fill="FFFFFF"/>
          </w:tcPr>
          <w:p w14:paraId="6A263D2C" w14:textId="77777777" w:rsidR="002C181D" w:rsidRPr="005F445F" w:rsidRDefault="002C181D" w:rsidP="002C181D">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805B3C6" w14:textId="77777777" w:rsidR="002C181D" w:rsidRPr="002C181D" w:rsidRDefault="002C181D" w:rsidP="002C181D">
            <w:pPr>
              <w:autoSpaceDE w:val="0"/>
              <w:spacing w:before="60" w:after="60"/>
              <w:jc w:val="both"/>
              <w:rPr>
                <w:rFonts w:cs="Arial"/>
                <w:sz w:val="18"/>
                <w:szCs w:val="18"/>
                <w:lang w:eastAsia="en-GB"/>
              </w:rPr>
            </w:pPr>
            <w:r w:rsidRPr="002C181D">
              <w:rPr>
                <w:rFonts w:cs="Arial"/>
                <w:sz w:val="18"/>
                <w:szCs w:val="18"/>
                <w:lang w:eastAsia="en-GB"/>
              </w:rPr>
              <w:t>Calculated</w:t>
            </w:r>
          </w:p>
        </w:tc>
      </w:tr>
      <w:tr w:rsidR="00476D22" w14:paraId="1A813942" w14:textId="77777777" w:rsidTr="00870D67">
        <w:trPr>
          <w:trHeight w:val="26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22510D8A" w14:textId="77777777" w:rsidR="00476D22" w:rsidRPr="005F445F" w:rsidRDefault="00476D22" w:rsidP="00476D22">
            <w:pPr>
              <w:keepNext/>
              <w:autoSpaceDE w:val="0"/>
              <w:spacing w:line="260" w:lineRule="atLeast"/>
              <w:jc w:val="center"/>
              <w:rPr>
                <w:sz w:val="18"/>
                <w:szCs w:val="18"/>
              </w:rPr>
            </w:pPr>
            <w:r w:rsidRPr="005F445F">
              <w:rPr>
                <w:rFonts w:eastAsia="Calibri"/>
                <w:b/>
                <w:sz w:val="18"/>
                <w:szCs w:val="18"/>
                <w:lang w:eastAsia="en-US"/>
              </w:rPr>
              <w:t xml:space="preserve">Calculated fate and distribution in the STP </w:t>
            </w:r>
            <w:r w:rsidRPr="005F445F">
              <w:rPr>
                <w:rFonts w:eastAsia="Calibri" w:cs="Arial"/>
                <w:b/>
                <w:color w:val="000000"/>
                <w:sz w:val="18"/>
                <w:szCs w:val="18"/>
                <w:lang w:eastAsia="en-GB"/>
              </w:rPr>
              <w:t>of L(+) Lactic acid</w:t>
            </w:r>
          </w:p>
        </w:tc>
      </w:tr>
      <w:tr w:rsidR="00476D22" w14:paraId="0DE7E1FB" w14:textId="77777777" w:rsidTr="00870D67">
        <w:trPr>
          <w:cantSplit/>
          <w:trHeight w:val="790"/>
        </w:trPr>
        <w:tc>
          <w:tcPr>
            <w:tcW w:w="2410" w:type="dxa"/>
            <w:tcBorders>
              <w:top w:val="single" w:sz="4" w:space="0" w:color="000000"/>
              <w:left w:val="single" w:sz="4" w:space="0" w:color="000000"/>
              <w:bottom w:val="single" w:sz="4" w:space="0" w:color="000000"/>
            </w:tcBorders>
            <w:shd w:val="clear" w:color="auto" w:fill="FFFFFF"/>
            <w:vAlign w:val="center"/>
          </w:tcPr>
          <w:p w14:paraId="6A7E4F72"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Compartment</w:t>
            </w:r>
          </w:p>
        </w:tc>
        <w:tc>
          <w:tcPr>
            <w:tcW w:w="3828" w:type="dxa"/>
            <w:gridSpan w:val="3"/>
            <w:tcBorders>
              <w:top w:val="single" w:sz="4" w:space="0" w:color="000000"/>
              <w:left w:val="single" w:sz="4" w:space="0" w:color="000000"/>
            </w:tcBorders>
            <w:shd w:val="clear" w:color="auto" w:fill="FFFFFF"/>
            <w:vAlign w:val="center"/>
          </w:tcPr>
          <w:p w14:paraId="0ABACAA5"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Percentage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FCC394" w14:textId="77777777" w:rsidR="00476D22" w:rsidRPr="005F445F" w:rsidRDefault="00476D22" w:rsidP="00476D22">
            <w:pPr>
              <w:autoSpaceDE w:val="0"/>
              <w:spacing w:line="260" w:lineRule="atLeast"/>
              <w:jc w:val="center"/>
              <w:rPr>
                <w:sz w:val="18"/>
                <w:szCs w:val="18"/>
              </w:rPr>
            </w:pPr>
            <w:r w:rsidRPr="005F445F">
              <w:rPr>
                <w:rFonts w:eastAsia="Calibri" w:cs="Arial"/>
                <w:bCs/>
                <w:color w:val="000000"/>
                <w:sz w:val="18"/>
                <w:szCs w:val="18"/>
                <w:lang w:eastAsia="en-GB"/>
              </w:rPr>
              <w:t>Remarks</w:t>
            </w:r>
          </w:p>
        </w:tc>
      </w:tr>
      <w:tr w:rsidR="00476D22" w14:paraId="185743EC" w14:textId="77777777" w:rsidTr="00870D67">
        <w:trPr>
          <w:trHeight w:val="75"/>
        </w:trPr>
        <w:tc>
          <w:tcPr>
            <w:tcW w:w="2410" w:type="dxa"/>
            <w:tcBorders>
              <w:top w:val="single" w:sz="4" w:space="0" w:color="000000"/>
              <w:left w:val="single" w:sz="4" w:space="0" w:color="000000"/>
              <w:bottom w:val="single" w:sz="4" w:space="0" w:color="000000"/>
            </w:tcBorders>
            <w:shd w:val="clear" w:color="auto" w:fill="FFFFFF"/>
          </w:tcPr>
          <w:p w14:paraId="13D50C2A"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Air</w:t>
            </w:r>
          </w:p>
        </w:tc>
        <w:tc>
          <w:tcPr>
            <w:tcW w:w="3828" w:type="dxa"/>
            <w:gridSpan w:val="3"/>
            <w:tcBorders>
              <w:top w:val="single" w:sz="4" w:space="0" w:color="000000"/>
              <w:left w:val="single" w:sz="4" w:space="0" w:color="000000"/>
              <w:bottom w:val="single" w:sz="4" w:space="0" w:color="000000"/>
            </w:tcBorders>
            <w:shd w:val="clear" w:color="auto" w:fill="FFFFFF"/>
            <w:vAlign w:val="center"/>
          </w:tcPr>
          <w:p w14:paraId="6F4060A6"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2.50E-05</w:t>
            </w:r>
          </w:p>
        </w:tc>
        <w:tc>
          <w:tcPr>
            <w:tcW w:w="3118" w:type="dxa"/>
            <w:gridSpan w:val="2"/>
            <w:vMerge w:val="restart"/>
            <w:tcBorders>
              <w:top w:val="single" w:sz="4" w:space="0" w:color="000000"/>
              <w:left w:val="single" w:sz="4" w:space="0" w:color="000000"/>
              <w:right w:val="single" w:sz="4" w:space="0" w:color="000000"/>
            </w:tcBorders>
            <w:shd w:val="clear" w:color="auto" w:fill="FFFFFF"/>
            <w:vAlign w:val="center"/>
          </w:tcPr>
          <w:p w14:paraId="13C8C5C1"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Simple treat v4.0</w:t>
            </w:r>
          </w:p>
        </w:tc>
      </w:tr>
      <w:tr w:rsidR="00476D22" w14:paraId="4888C82D" w14:textId="77777777" w:rsidTr="00870D67">
        <w:trPr>
          <w:trHeight w:val="75"/>
        </w:trPr>
        <w:tc>
          <w:tcPr>
            <w:tcW w:w="2410" w:type="dxa"/>
            <w:tcBorders>
              <w:top w:val="single" w:sz="4" w:space="0" w:color="000000"/>
              <w:left w:val="single" w:sz="4" w:space="0" w:color="000000"/>
              <w:bottom w:val="single" w:sz="4" w:space="0" w:color="000000"/>
            </w:tcBorders>
            <w:shd w:val="clear" w:color="auto" w:fill="FFFFFF"/>
          </w:tcPr>
          <w:p w14:paraId="66D5812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w:t>
            </w:r>
          </w:p>
        </w:tc>
        <w:tc>
          <w:tcPr>
            <w:tcW w:w="3828" w:type="dxa"/>
            <w:gridSpan w:val="3"/>
            <w:tcBorders>
              <w:top w:val="single" w:sz="4" w:space="0" w:color="000000"/>
              <w:left w:val="single" w:sz="4" w:space="0" w:color="000000"/>
              <w:bottom w:val="single" w:sz="4" w:space="0" w:color="000000"/>
            </w:tcBorders>
            <w:shd w:val="clear" w:color="auto" w:fill="FFFFFF"/>
            <w:vAlign w:val="center"/>
          </w:tcPr>
          <w:p w14:paraId="27C8E63A"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22.5</w:t>
            </w:r>
          </w:p>
        </w:tc>
        <w:tc>
          <w:tcPr>
            <w:tcW w:w="3118" w:type="dxa"/>
            <w:gridSpan w:val="2"/>
            <w:vMerge/>
            <w:tcBorders>
              <w:left w:val="single" w:sz="4" w:space="0" w:color="000000"/>
              <w:right w:val="single" w:sz="4" w:space="0" w:color="000000"/>
            </w:tcBorders>
            <w:shd w:val="clear" w:color="auto" w:fill="FFFFFF"/>
          </w:tcPr>
          <w:p w14:paraId="6134FADD"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14:paraId="08FE533C" w14:textId="77777777" w:rsidTr="00870D67">
        <w:trPr>
          <w:trHeight w:val="75"/>
        </w:trPr>
        <w:tc>
          <w:tcPr>
            <w:tcW w:w="2410" w:type="dxa"/>
            <w:tcBorders>
              <w:top w:val="single" w:sz="4" w:space="0" w:color="000000"/>
              <w:left w:val="single" w:sz="4" w:space="0" w:color="000000"/>
              <w:bottom w:val="single" w:sz="4" w:space="0" w:color="000000"/>
            </w:tcBorders>
            <w:shd w:val="clear" w:color="auto" w:fill="FFFFFF"/>
          </w:tcPr>
          <w:p w14:paraId="427442A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Sludge</w:t>
            </w:r>
          </w:p>
        </w:tc>
        <w:tc>
          <w:tcPr>
            <w:tcW w:w="3828" w:type="dxa"/>
            <w:gridSpan w:val="3"/>
            <w:tcBorders>
              <w:top w:val="single" w:sz="4" w:space="0" w:color="000000"/>
              <w:left w:val="single" w:sz="4" w:space="0" w:color="000000"/>
              <w:bottom w:val="single" w:sz="4" w:space="0" w:color="000000"/>
            </w:tcBorders>
            <w:shd w:val="clear" w:color="auto" w:fill="FFFFFF"/>
            <w:vAlign w:val="center"/>
          </w:tcPr>
          <w:p w14:paraId="012E1ED9"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0.20</w:t>
            </w:r>
          </w:p>
        </w:tc>
        <w:tc>
          <w:tcPr>
            <w:tcW w:w="3118" w:type="dxa"/>
            <w:gridSpan w:val="2"/>
            <w:vMerge/>
            <w:tcBorders>
              <w:left w:val="single" w:sz="4" w:space="0" w:color="000000"/>
              <w:right w:val="single" w:sz="4" w:space="0" w:color="000000"/>
            </w:tcBorders>
            <w:shd w:val="clear" w:color="auto" w:fill="FFFFFF"/>
          </w:tcPr>
          <w:p w14:paraId="616208F4"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14:paraId="1AE97AD5" w14:textId="77777777" w:rsidTr="00870D67">
        <w:trPr>
          <w:trHeight w:val="75"/>
        </w:trPr>
        <w:tc>
          <w:tcPr>
            <w:tcW w:w="2410" w:type="dxa"/>
            <w:tcBorders>
              <w:top w:val="single" w:sz="4" w:space="0" w:color="000000"/>
              <w:left w:val="single" w:sz="4" w:space="0" w:color="000000"/>
              <w:bottom w:val="single" w:sz="4" w:space="0" w:color="000000"/>
            </w:tcBorders>
            <w:shd w:val="clear" w:color="auto" w:fill="FFFFFF"/>
          </w:tcPr>
          <w:p w14:paraId="1FCBD487"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Degraded in STP</w:t>
            </w:r>
          </w:p>
        </w:tc>
        <w:tc>
          <w:tcPr>
            <w:tcW w:w="3828" w:type="dxa"/>
            <w:gridSpan w:val="3"/>
            <w:tcBorders>
              <w:top w:val="single" w:sz="4" w:space="0" w:color="000000"/>
              <w:left w:val="single" w:sz="4" w:space="0" w:color="000000"/>
              <w:bottom w:val="single" w:sz="4" w:space="0" w:color="000000"/>
            </w:tcBorders>
            <w:shd w:val="clear" w:color="auto" w:fill="FFFFFF"/>
            <w:vAlign w:val="center"/>
          </w:tcPr>
          <w:p w14:paraId="69A50D91"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77.3</w:t>
            </w:r>
          </w:p>
        </w:tc>
        <w:tc>
          <w:tcPr>
            <w:tcW w:w="3118" w:type="dxa"/>
            <w:gridSpan w:val="2"/>
            <w:vMerge/>
            <w:tcBorders>
              <w:left w:val="single" w:sz="4" w:space="0" w:color="000000"/>
              <w:bottom w:val="single" w:sz="4" w:space="0" w:color="000000"/>
              <w:right w:val="single" w:sz="4" w:space="0" w:color="000000"/>
            </w:tcBorders>
            <w:shd w:val="clear" w:color="auto" w:fill="FFFFFF"/>
          </w:tcPr>
          <w:p w14:paraId="7C065B4C"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bl>
    <w:p w14:paraId="0A19F98D" w14:textId="77777777" w:rsidR="00476D22" w:rsidRPr="00B27CB1" w:rsidRDefault="00476D22" w:rsidP="00476D22">
      <w:pPr>
        <w:spacing w:line="260" w:lineRule="atLeast"/>
        <w:rPr>
          <w:rFonts w:ascii="Times New Roman" w:eastAsia="Calibri" w:hAnsi="Times New Roman" w:cs="Times New Roman"/>
          <w:i/>
          <w:lang w:eastAsia="en-US"/>
        </w:rPr>
      </w:pPr>
    </w:p>
    <w:p w14:paraId="69FA3F6E" w14:textId="77777777" w:rsidR="00476D22" w:rsidRPr="005F445F" w:rsidRDefault="00476D22" w:rsidP="00476D22">
      <w:pPr>
        <w:spacing w:line="260" w:lineRule="atLeast"/>
        <w:rPr>
          <w:rFonts w:eastAsia="Calibri"/>
          <w:sz w:val="18"/>
          <w:szCs w:val="18"/>
          <w:lang w:eastAsia="en-US"/>
        </w:rPr>
      </w:pPr>
    </w:p>
    <w:tbl>
      <w:tblPr>
        <w:tblW w:w="9366" w:type="dxa"/>
        <w:tblInd w:w="108" w:type="dxa"/>
        <w:tblLayout w:type="fixed"/>
        <w:tblLook w:val="0000" w:firstRow="0" w:lastRow="0" w:firstColumn="0" w:lastColumn="0" w:noHBand="0" w:noVBand="0"/>
      </w:tblPr>
      <w:tblGrid>
        <w:gridCol w:w="3544"/>
        <w:gridCol w:w="1701"/>
        <w:gridCol w:w="1843"/>
        <w:gridCol w:w="2278"/>
      </w:tblGrid>
      <w:tr w:rsidR="00476D22" w:rsidRPr="005F445F" w14:paraId="479514F4" w14:textId="77777777" w:rsidTr="00476D22">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0604071" w14:textId="77777777" w:rsidR="00476D22" w:rsidRPr="005F445F" w:rsidRDefault="00476D22" w:rsidP="00476D22">
            <w:pPr>
              <w:autoSpaceDE w:val="0"/>
              <w:spacing w:line="260" w:lineRule="atLeast"/>
              <w:jc w:val="center"/>
              <w:rPr>
                <w:rFonts w:eastAsia="Calibri" w:cs="Arial"/>
                <w:b/>
                <w:color w:val="000000"/>
                <w:sz w:val="18"/>
                <w:szCs w:val="18"/>
                <w:lang w:eastAsia="en-GB"/>
              </w:rPr>
            </w:pPr>
            <w:r w:rsidRPr="005F445F">
              <w:rPr>
                <w:rFonts w:eastAsia="Calibri" w:cs="Arial"/>
                <w:b/>
                <w:color w:val="000000"/>
                <w:sz w:val="18"/>
                <w:szCs w:val="18"/>
                <w:lang w:eastAsia="en-GB"/>
              </w:rPr>
              <w:t xml:space="preserve">Input parameters (only set values) for calculating the fate and distribution in the environment of </w:t>
            </w:r>
            <w:r w:rsidRPr="005F445F">
              <w:rPr>
                <w:rFonts w:eastAsia="Calibri" w:cs="Times New Roman"/>
                <w:b/>
                <w:sz w:val="18"/>
                <w:szCs w:val="18"/>
                <w:lang w:eastAsia="en-US"/>
              </w:rPr>
              <w:t>Amines, coco alkyldimethyl, N-oxides</w:t>
            </w:r>
          </w:p>
        </w:tc>
      </w:tr>
      <w:tr w:rsidR="00476D22" w:rsidRPr="005F445F" w14:paraId="0C24CB07" w14:textId="77777777" w:rsidTr="00476D22">
        <w:trPr>
          <w:trHeight w:val="313"/>
        </w:trPr>
        <w:tc>
          <w:tcPr>
            <w:tcW w:w="3544" w:type="dxa"/>
            <w:tcBorders>
              <w:top w:val="single" w:sz="4" w:space="0" w:color="000000"/>
              <w:left w:val="single" w:sz="4" w:space="0" w:color="000000"/>
              <w:bottom w:val="single" w:sz="4" w:space="0" w:color="000000"/>
            </w:tcBorders>
            <w:shd w:val="clear" w:color="auto" w:fill="FFFFFF"/>
            <w:vAlign w:val="center"/>
          </w:tcPr>
          <w:p w14:paraId="3D51AFAE"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Input </w:t>
            </w:r>
          </w:p>
        </w:tc>
        <w:tc>
          <w:tcPr>
            <w:tcW w:w="1701" w:type="dxa"/>
            <w:tcBorders>
              <w:top w:val="single" w:sz="4" w:space="0" w:color="000000"/>
              <w:left w:val="single" w:sz="4" w:space="0" w:color="000000"/>
              <w:bottom w:val="single" w:sz="4" w:space="0" w:color="000000"/>
            </w:tcBorders>
            <w:shd w:val="clear" w:color="auto" w:fill="FFFFFF"/>
            <w:vAlign w:val="center"/>
          </w:tcPr>
          <w:p w14:paraId="01CD744A"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Value </w:t>
            </w:r>
          </w:p>
        </w:tc>
        <w:tc>
          <w:tcPr>
            <w:tcW w:w="1843" w:type="dxa"/>
            <w:tcBorders>
              <w:top w:val="single" w:sz="4" w:space="0" w:color="000000"/>
              <w:left w:val="single" w:sz="4" w:space="0" w:color="000000"/>
              <w:bottom w:val="single" w:sz="4" w:space="0" w:color="000000"/>
            </w:tcBorders>
            <w:shd w:val="clear" w:color="auto" w:fill="FFFFFF"/>
            <w:vAlign w:val="center"/>
          </w:tcPr>
          <w:p w14:paraId="41F2F8B3"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Unit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BF40" w14:textId="77777777" w:rsidR="00476D22" w:rsidRPr="005F445F" w:rsidRDefault="00476D22" w:rsidP="00476D22">
            <w:pPr>
              <w:autoSpaceDE w:val="0"/>
              <w:spacing w:line="260" w:lineRule="atLeast"/>
              <w:rPr>
                <w:sz w:val="18"/>
                <w:szCs w:val="18"/>
              </w:rPr>
            </w:pPr>
            <w:r w:rsidRPr="005F445F">
              <w:rPr>
                <w:rFonts w:eastAsia="Calibri" w:cs="Arial"/>
                <w:bCs/>
                <w:color w:val="000000"/>
                <w:sz w:val="18"/>
                <w:szCs w:val="18"/>
                <w:lang w:eastAsia="en-GB"/>
              </w:rPr>
              <w:t>Remarks</w:t>
            </w:r>
          </w:p>
        </w:tc>
      </w:tr>
      <w:tr w:rsidR="00476D22" w:rsidRPr="005F445F" w14:paraId="6D81929E"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7A8D77AC"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2035012A"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243</w:t>
            </w:r>
          </w:p>
        </w:tc>
        <w:tc>
          <w:tcPr>
            <w:tcW w:w="1843" w:type="dxa"/>
            <w:tcBorders>
              <w:top w:val="single" w:sz="4" w:space="0" w:color="000000"/>
              <w:left w:val="single" w:sz="4" w:space="0" w:color="000000"/>
              <w:bottom w:val="single" w:sz="4" w:space="0" w:color="000000"/>
            </w:tcBorders>
            <w:shd w:val="clear" w:color="auto" w:fill="FFFFFF"/>
            <w:vAlign w:val="center"/>
          </w:tcPr>
          <w:p w14:paraId="2C7A6F84"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color w:val="000000"/>
                <w:sz w:val="18"/>
                <w:szCs w:val="18"/>
              </w:rPr>
              <w:t>g.mol</w:t>
            </w:r>
            <w:r w:rsidRPr="005F445F">
              <w:rPr>
                <w:color w:val="000000"/>
                <w:sz w:val="18"/>
                <w:szCs w:val="18"/>
                <w:vertAlign w:val="superscript"/>
              </w:rPr>
              <w:t>-1</w:t>
            </w:r>
          </w:p>
        </w:tc>
        <w:tc>
          <w:tcPr>
            <w:tcW w:w="2278" w:type="dxa"/>
            <w:vMerge w:val="restart"/>
            <w:tcBorders>
              <w:top w:val="single" w:sz="4" w:space="0" w:color="000000"/>
              <w:left w:val="single" w:sz="4" w:space="0" w:color="000000"/>
              <w:right w:val="single" w:sz="4" w:space="0" w:color="000000"/>
            </w:tcBorders>
            <w:shd w:val="clear" w:color="auto" w:fill="FFFFFF"/>
            <w:vAlign w:val="bottom"/>
          </w:tcPr>
          <w:p w14:paraId="7014EAD3"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sz w:val="18"/>
                <w:szCs w:val="18"/>
              </w:rPr>
              <w:t>ECHA registration dossier of the similar substance: Amines, C12-14 (even numbered)-alkyldimethyl, N-oxides (n° CAS : 308062-28-4 https://echa.europa.eu/fr/registration-dossier/-/registered-dossier/15191)</w:t>
            </w:r>
          </w:p>
        </w:tc>
      </w:tr>
      <w:tr w:rsidR="00476D22" w:rsidRPr="005F445F" w14:paraId="2E60331A"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1EE29BE1"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Vapour pressure (at 20°C)</w:t>
            </w:r>
          </w:p>
        </w:tc>
        <w:tc>
          <w:tcPr>
            <w:tcW w:w="1701" w:type="dxa"/>
            <w:tcBorders>
              <w:top w:val="single" w:sz="4" w:space="0" w:color="000000"/>
              <w:left w:val="single" w:sz="4" w:space="0" w:color="000000"/>
              <w:bottom w:val="single" w:sz="4" w:space="0" w:color="000000"/>
            </w:tcBorders>
            <w:shd w:val="clear" w:color="auto" w:fill="FFFFFF"/>
            <w:vAlign w:val="center"/>
          </w:tcPr>
          <w:p w14:paraId="7682D08A"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7.5E-05</w:t>
            </w:r>
          </w:p>
        </w:tc>
        <w:tc>
          <w:tcPr>
            <w:tcW w:w="1843" w:type="dxa"/>
            <w:tcBorders>
              <w:top w:val="single" w:sz="4" w:space="0" w:color="000000"/>
              <w:left w:val="single" w:sz="4" w:space="0" w:color="000000"/>
              <w:bottom w:val="single" w:sz="4" w:space="0" w:color="000000"/>
            </w:tcBorders>
            <w:shd w:val="clear" w:color="auto" w:fill="FFFFFF"/>
            <w:vAlign w:val="center"/>
          </w:tcPr>
          <w:p w14:paraId="13873B1E"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Pa</w:t>
            </w:r>
          </w:p>
        </w:tc>
        <w:tc>
          <w:tcPr>
            <w:tcW w:w="2278" w:type="dxa"/>
            <w:vMerge/>
            <w:tcBorders>
              <w:left w:val="single" w:sz="4" w:space="0" w:color="000000"/>
              <w:right w:val="single" w:sz="4" w:space="0" w:color="000000"/>
            </w:tcBorders>
            <w:shd w:val="clear" w:color="auto" w:fill="FFFFFF"/>
            <w:vAlign w:val="center"/>
          </w:tcPr>
          <w:p w14:paraId="45F3A07A"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05A2C8C5"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3B952A90"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 solubility (at 20°C)</w:t>
            </w:r>
          </w:p>
        </w:tc>
        <w:tc>
          <w:tcPr>
            <w:tcW w:w="1701" w:type="dxa"/>
            <w:tcBorders>
              <w:top w:val="single" w:sz="4" w:space="0" w:color="000000"/>
              <w:left w:val="single" w:sz="4" w:space="0" w:color="000000"/>
              <w:bottom w:val="single" w:sz="4" w:space="0" w:color="000000"/>
            </w:tcBorders>
            <w:shd w:val="clear" w:color="auto" w:fill="FFFFFF"/>
            <w:vAlign w:val="center"/>
          </w:tcPr>
          <w:p w14:paraId="648EA00A" w14:textId="77777777" w:rsidR="00476D22" w:rsidRPr="005F445F" w:rsidRDefault="00476D22" w:rsidP="00476D22">
            <w:pPr>
              <w:autoSpaceDE w:val="0"/>
              <w:snapToGrid w:val="0"/>
              <w:spacing w:line="260" w:lineRule="atLeast"/>
              <w:ind w:right="175"/>
              <w:rPr>
                <w:rFonts w:eastAsia="Calibri" w:cs="Arial"/>
                <w:color w:val="000000"/>
                <w:sz w:val="18"/>
                <w:szCs w:val="18"/>
                <w:lang w:eastAsia="en-GB"/>
              </w:rPr>
            </w:pPr>
            <w:r w:rsidRPr="005F445F">
              <w:rPr>
                <w:rFonts w:eastAsia="Calibri" w:cs="Arial"/>
                <w:color w:val="000000"/>
                <w:sz w:val="18"/>
                <w:szCs w:val="18"/>
                <w:lang w:eastAsia="en-GB"/>
              </w:rPr>
              <w:t>409</w:t>
            </w:r>
            <w:r>
              <w:rPr>
                <w:rFonts w:eastAsia="Calibri" w:cs="Arial"/>
                <w:color w:val="000000"/>
                <w:sz w:val="18"/>
                <w:szCs w:val="18"/>
                <w:lang w:eastAsia="en-GB"/>
              </w:rPr>
              <w:t>.</w:t>
            </w:r>
            <w:r w:rsidRPr="005F445F">
              <w:rPr>
                <w:rFonts w:eastAsia="Calibri" w:cs="Arial"/>
                <w:color w:val="000000"/>
                <w:sz w:val="18"/>
                <w:szCs w:val="18"/>
                <w:lang w:eastAsia="en-GB"/>
              </w:rPr>
              <w:t>5</w:t>
            </w:r>
          </w:p>
        </w:tc>
        <w:tc>
          <w:tcPr>
            <w:tcW w:w="1843" w:type="dxa"/>
            <w:tcBorders>
              <w:top w:val="single" w:sz="4" w:space="0" w:color="000000"/>
              <w:left w:val="single" w:sz="4" w:space="0" w:color="000000"/>
              <w:bottom w:val="single" w:sz="4" w:space="0" w:color="000000"/>
            </w:tcBorders>
            <w:shd w:val="clear" w:color="auto" w:fill="FFFFFF"/>
            <w:vAlign w:val="center"/>
          </w:tcPr>
          <w:p w14:paraId="4E9E95A5"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g/l</w:t>
            </w:r>
          </w:p>
        </w:tc>
        <w:tc>
          <w:tcPr>
            <w:tcW w:w="2278" w:type="dxa"/>
            <w:vMerge/>
            <w:tcBorders>
              <w:left w:val="single" w:sz="4" w:space="0" w:color="000000"/>
              <w:right w:val="single" w:sz="4" w:space="0" w:color="000000"/>
            </w:tcBorders>
            <w:shd w:val="clear" w:color="auto" w:fill="FFFFFF"/>
            <w:vAlign w:val="center"/>
          </w:tcPr>
          <w:p w14:paraId="34DFB801"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10F2766C"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50FCEF34" w14:textId="77777777" w:rsidR="00476D22" w:rsidRPr="005F445F" w:rsidRDefault="00476D22" w:rsidP="00476D22">
            <w:pPr>
              <w:autoSpaceDE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Log Octanol/water partition coefficient (at 20°C)</w:t>
            </w:r>
          </w:p>
        </w:tc>
        <w:tc>
          <w:tcPr>
            <w:tcW w:w="1701" w:type="dxa"/>
            <w:tcBorders>
              <w:top w:val="single" w:sz="4" w:space="0" w:color="000000"/>
              <w:left w:val="single" w:sz="4" w:space="0" w:color="000000"/>
              <w:bottom w:val="single" w:sz="4" w:space="0" w:color="000000"/>
            </w:tcBorders>
            <w:shd w:val="clear" w:color="auto" w:fill="FFFFFF"/>
            <w:vAlign w:val="center"/>
          </w:tcPr>
          <w:p w14:paraId="12717C3A" w14:textId="77777777" w:rsidR="00476D22" w:rsidRPr="005F445F" w:rsidRDefault="00476D22" w:rsidP="00476D22">
            <w:pPr>
              <w:autoSpaceDE w:val="0"/>
              <w:snapToGrid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&lt;2.7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8AD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val="fr-BE" w:eastAsia="en-GB"/>
              </w:rPr>
              <w:t>Log 10</w:t>
            </w:r>
          </w:p>
        </w:tc>
        <w:tc>
          <w:tcPr>
            <w:tcW w:w="2278" w:type="dxa"/>
            <w:vMerge/>
            <w:tcBorders>
              <w:left w:val="single" w:sz="4" w:space="0" w:color="000000"/>
              <w:bottom w:val="single" w:sz="4" w:space="0" w:color="auto"/>
              <w:right w:val="single" w:sz="4" w:space="0" w:color="000000"/>
            </w:tcBorders>
            <w:shd w:val="clear" w:color="auto" w:fill="FFFFFF"/>
            <w:vAlign w:val="center"/>
          </w:tcPr>
          <w:p w14:paraId="6A566F23"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3F35B4E6"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40B5C581"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1866CF84"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1746.4</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33B2C6"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l/kg</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495E3C22" w14:textId="197B9359"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Arithmetic mean was calculated based on 3 different types of soils by using Kom converted into Koc</w:t>
            </w:r>
            <w:r w:rsidR="009A33F6">
              <w:rPr>
                <w:rFonts w:eastAsia="Calibri" w:cs="Arial"/>
                <w:color w:val="000000"/>
                <w:sz w:val="18"/>
                <w:szCs w:val="18"/>
                <w:lang w:eastAsia="en-GB"/>
              </w:rPr>
              <w:t xml:space="preserve"> </w:t>
            </w:r>
            <w:r w:rsidRPr="005F445F">
              <w:rPr>
                <w:rFonts w:eastAsia="Calibri" w:cs="Arial"/>
                <w:color w:val="000000"/>
                <w:sz w:val="18"/>
                <w:szCs w:val="18"/>
                <w:lang w:eastAsia="en-GB"/>
              </w:rPr>
              <w:t>(*1.724)</w:t>
            </w:r>
          </w:p>
        </w:tc>
      </w:tr>
      <w:tr w:rsidR="00476D22" w:rsidRPr="005F445F" w14:paraId="7E8E9BF7" w14:textId="77777777" w:rsidTr="00476D22">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0A69BF83" w14:textId="77777777" w:rsidR="00476D22" w:rsidRPr="005F445F" w:rsidRDefault="00476D22" w:rsidP="00476D22">
            <w:pPr>
              <w:autoSpaceDE w:val="0"/>
              <w:spacing w:line="260" w:lineRule="atLeast"/>
              <w:rPr>
                <w:rFonts w:eastAsia="Calibri" w:cs="Times New Roman"/>
                <w:i/>
                <w:color w:val="FF0000"/>
                <w:sz w:val="18"/>
                <w:szCs w:val="18"/>
                <w:lang w:eastAsia="en-GB"/>
              </w:rPr>
            </w:pPr>
            <w:r w:rsidRPr="005F445F">
              <w:rPr>
                <w:rFonts w:eastAsia="Calibri" w:cs="Arial"/>
                <w:color w:val="000000"/>
                <w:sz w:val="18"/>
                <w:szCs w:val="18"/>
                <w:lang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5E4C3E8"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Readily biodegradable with 10-days window criterion</w:t>
            </w:r>
          </w:p>
        </w:tc>
        <w:tc>
          <w:tcPr>
            <w:tcW w:w="1843" w:type="dxa"/>
            <w:tcBorders>
              <w:top w:val="single" w:sz="4" w:space="0" w:color="000000"/>
              <w:left w:val="single" w:sz="4" w:space="0" w:color="000000"/>
              <w:bottom w:val="single" w:sz="4" w:space="0" w:color="000000"/>
            </w:tcBorders>
            <w:shd w:val="clear" w:color="auto" w:fill="FFFFFF"/>
            <w:vAlign w:val="center"/>
          </w:tcPr>
          <w:p w14:paraId="043C616B"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t>
            </w:r>
          </w:p>
        </w:tc>
        <w:tc>
          <w:tcPr>
            <w:tcW w:w="227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B71F9F3"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sz w:val="18"/>
                <w:szCs w:val="18"/>
              </w:rPr>
              <w:t>ECHA registration dossier of the similar substance: Amines, C12-14 (even numbered)-alkyldimethyl, N-oxides (n° CAS : 308062-28-4 https://echa.europa.eu/fr/registration-dossier/-/registered-dossier/15191)</w:t>
            </w:r>
          </w:p>
        </w:tc>
      </w:tr>
      <w:tr w:rsidR="00476D22" w:rsidRPr="005F445F" w14:paraId="2D19A42C" w14:textId="77777777" w:rsidTr="00476D22">
        <w:trPr>
          <w:trHeight w:val="93"/>
        </w:trPr>
        <w:tc>
          <w:tcPr>
            <w:tcW w:w="3544" w:type="dxa"/>
            <w:tcBorders>
              <w:top w:val="single" w:sz="4" w:space="0" w:color="000000"/>
              <w:left w:val="single" w:sz="4" w:space="0" w:color="000000"/>
              <w:bottom w:val="single" w:sz="4" w:space="0" w:color="000000"/>
            </w:tcBorders>
            <w:shd w:val="clear" w:color="auto" w:fill="FFFFFF"/>
            <w:vAlign w:val="center"/>
          </w:tcPr>
          <w:p w14:paraId="2850EAD2"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DT</w:t>
            </w:r>
            <w:r w:rsidRPr="005F445F">
              <w:rPr>
                <w:rFonts w:eastAsia="Calibri" w:cs="Arial"/>
                <w:color w:val="000000"/>
                <w:sz w:val="18"/>
                <w:szCs w:val="18"/>
                <w:vertAlign w:val="subscript"/>
                <w:lang w:eastAsia="en-GB"/>
              </w:rPr>
              <w:t>50</w:t>
            </w:r>
            <w:r w:rsidRPr="005F445F">
              <w:rPr>
                <w:rFonts w:eastAsia="Calibri" w:cs="Arial"/>
                <w:color w:val="000000"/>
                <w:sz w:val="18"/>
                <w:szCs w:val="18"/>
                <w:lang w:eastAsia="en-GB"/>
              </w:rPr>
              <w:t xml:space="preserve"> for degradation in soil (at 12ºC)</w:t>
            </w:r>
          </w:p>
        </w:tc>
        <w:tc>
          <w:tcPr>
            <w:tcW w:w="1701" w:type="dxa"/>
            <w:tcBorders>
              <w:top w:val="single" w:sz="4" w:space="0" w:color="000000"/>
              <w:left w:val="single" w:sz="4" w:space="0" w:color="000000"/>
              <w:bottom w:val="single" w:sz="4" w:space="0" w:color="000000"/>
            </w:tcBorders>
            <w:shd w:val="clear" w:color="auto" w:fill="FFFFFF"/>
          </w:tcPr>
          <w:p w14:paraId="434D4CB6"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30</w:t>
            </w:r>
          </w:p>
        </w:tc>
        <w:tc>
          <w:tcPr>
            <w:tcW w:w="1843" w:type="dxa"/>
            <w:tcBorders>
              <w:top w:val="single" w:sz="4" w:space="0" w:color="000000"/>
              <w:left w:val="single" w:sz="4" w:space="0" w:color="000000"/>
              <w:bottom w:val="single" w:sz="4" w:space="0" w:color="000000"/>
            </w:tcBorders>
            <w:shd w:val="clear" w:color="auto" w:fill="FFFFFF"/>
          </w:tcPr>
          <w:p w14:paraId="0784B478"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 xml:space="preserve">d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090C049D" w14:textId="77777777" w:rsidR="00476D22" w:rsidRPr="005F445F" w:rsidRDefault="00476D22" w:rsidP="00476D22">
            <w:pPr>
              <w:suppressAutoHyphens w:val="0"/>
              <w:spacing w:before="100" w:beforeAutospacing="1" w:after="100" w:afterAutospacing="1"/>
              <w:rPr>
                <w:rFonts w:eastAsia="Calibri" w:cs="Arial"/>
                <w:color w:val="000000"/>
                <w:sz w:val="18"/>
                <w:szCs w:val="18"/>
                <w:lang w:eastAsia="en-GB"/>
              </w:rPr>
            </w:pPr>
            <w:r w:rsidRPr="005F445F">
              <w:rPr>
                <w:rFonts w:cs="Times New Roman"/>
                <w:sz w:val="18"/>
                <w:szCs w:val="18"/>
                <w:lang w:val="fr-FR" w:eastAsia="fr-FR"/>
              </w:rPr>
              <w:t>Default (readily biodegradable)</w:t>
            </w:r>
          </w:p>
        </w:tc>
      </w:tr>
      <w:tr w:rsidR="009A33F6" w:rsidRPr="005F445F" w14:paraId="6F774AE6" w14:textId="77777777" w:rsidTr="009A33F6">
        <w:trPr>
          <w:trHeight w:val="93"/>
        </w:trPr>
        <w:tc>
          <w:tcPr>
            <w:tcW w:w="3544" w:type="dxa"/>
            <w:tcBorders>
              <w:top w:val="single" w:sz="4" w:space="0" w:color="000000"/>
              <w:left w:val="single" w:sz="4" w:space="0" w:color="000000"/>
              <w:bottom w:val="single" w:sz="4" w:space="0" w:color="000000"/>
            </w:tcBorders>
            <w:shd w:val="clear" w:color="auto" w:fill="FFFFFF"/>
            <w:vAlign w:val="center"/>
          </w:tcPr>
          <w:p w14:paraId="7C48E99C" w14:textId="77777777" w:rsidR="009A33F6" w:rsidRPr="005F445F" w:rsidRDefault="009A33F6" w:rsidP="007D5805">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ktotal (0.2m relevant for STP)</w:t>
            </w:r>
          </w:p>
        </w:tc>
        <w:tc>
          <w:tcPr>
            <w:tcW w:w="1701" w:type="dxa"/>
            <w:tcBorders>
              <w:top w:val="single" w:sz="4" w:space="0" w:color="000000"/>
              <w:left w:val="single" w:sz="4" w:space="0" w:color="000000"/>
              <w:bottom w:val="single" w:sz="4" w:space="0" w:color="000000"/>
            </w:tcBorders>
            <w:shd w:val="clear" w:color="auto" w:fill="FFFFFF"/>
          </w:tcPr>
          <w:p w14:paraId="1436F132" w14:textId="5D8097F0" w:rsidR="009A33F6" w:rsidRPr="005F445F" w:rsidRDefault="009A33F6" w:rsidP="007D5805">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2.32E-02</w:t>
            </w:r>
          </w:p>
        </w:tc>
        <w:tc>
          <w:tcPr>
            <w:tcW w:w="1843" w:type="dxa"/>
            <w:tcBorders>
              <w:top w:val="single" w:sz="4" w:space="0" w:color="000000"/>
              <w:left w:val="single" w:sz="4" w:space="0" w:color="000000"/>
              <w:bottom w:val="single" w:sz="4" w:space="0" w:color="000000"/>
            </w:tcBorders>
            <w:shd w:val="clear" w:color="auto" w:fill="FFFFFF"/>
          </w:tcPr>
          <w:p w14:paraId="1ACFD7D1" w14:textId="77777777" w:rsidR="009A33F6" w:rsidRPr="005F445F" w:rsidRDefault="009A33F6" w:rsidP="007D5805">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d-1</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2973FCC" w14:textId="77777777" w:rsidR="009A33F6" w:rsidRPr="009A33F6" w:rsidRDefault="009A33F6" w:rsidP="009A33F6">
            <w:pPr>
              <w:suppressAutoHyphens w:val="0"/>
              <w:spacing w:before="100" w:beforeAutospacing="1" w:after="100" w:afterAutospacing="1"/>
              <w:rPr>
                <w:rFonts w:cs="Times New Roman"/>
                <w:sz w:val="18"/>
                <w:szCs w:val="18"/>
                <w:lang w:val="fr-FR" w:eastAsia="fr-FR"/>
              </w:rPr>
            </w:pPr>
            <w:r w:rsidRPr="009A33F6">
              <w:rPr>
                <w:rFonts w:cs="Times New Roman"/>
                <w:sz w:val="18"/>
                <w:szCs w:val="18"/>
                <w:lang w:val="fr-FR" w:eastAsia="fr-FR"/>
              </w:rPr>
              <w:t>Calculated</w:t>
            </w:r>
          </w:p>
        </w:tc>
      </w:tr>
    </w:tbl>
    <w:p w14:paraId="4BBBFB1C" w14:textId="77777777" w:rsidR="00476D22" w:rsidRPr="005F445F" w:rsidRDefault="00476D22" w:rsidP="00476D22">
      <w:pPr>
        <w:spacing w:line="260" w:lineRule="atLeast"/>
        <w:rPr>
          <w:rFonts w:eastAsia="Calibri"/>
          <w:sz w:val="18"/>
          <w:szCs w:val="18"/>
          <w:lang w:eastAsia="en-US"/>
        </w:rPr>
      </w:pPr>
    </w:p>
    <w:tbl>
      <w:tblPr>
        <w:tblW w:w="9356" w:type="dxa"/>
        <w:tblInd w:w="108" w:type="dxa"/>
        <w:tblLayout w:type="fixed"/>
        <w:tblLook w:val="0000" w:firstRow="0" w:lastRow="0" w:firstColumn="0" w:lastColumn="0" w:noHBand="0" w:noVBand="0"/>
      </w:tblPr>
      <w:tblGrid>
        <w:gridCol w:w="2410"/>
        <w:gridCol w:w="3828"/>
        <w:gridCol w:w="3118"/>
      </w:tblGrid>
      <w:tr w:rsidR="00476D22" w:rsidRPr="005F445F" w14:paraId="7AD9C02C" w14:textId="77777777" w:rsidTr="00666A27">
        <w:trPr>
          <w:trHeight w:val="269"/>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59D33D2" w14:textId="77777777" w:rsidR="00476D22" w:rsidRPr="005F445F" w:rsidRDefault="00476D22" w:rsidP="00476D22">
            <w:pPr>
              <w:keepNext/>
              <w:autoSpaceDE w:val="0"/>
              <w:spacing w:line="260" w:lineRule="atLeast"/>
              <w:jc w:val="center"/>
              <w:rPr>
                <w:sz w:val="18"/>
                <w:szCs w:val="18"/>
              </w:rPr>
            </w:pPr>
            <w:r w:rsidRPr="005F445F">
              <w:rPr>
                <w:rFonts w:eastAsia="Calibri"/>
                <w:b/>
                <w:sz w:val="18"/>
                <w:szCs w:val="18"/>
                <w:lang w:eastAsia="en-US"/>
              </w:rPr>
              <w:t xml:space="preserve">Calculated fate and distribution in the STP </w:t>
            </w:r>
            <w:r w:rsidRPr="005F445F">
              <w:rPr>
                <w:rFonts w:eastAsia="Calibri" w:cs="Arial"/>
                <w:b/>
                <w:color w:val="000000"/>
                <w:sz w:val="18"/>
                <w:szCs w:val="18"/>
                <w:lang w:eastAsia="en-GB"/>
              </w:rPr>
              <w:t xml:space="preserve">of </w:t>
            </w:r>
            <w:r w:rsidRPr="005F445F">
              <w:rPr>
                <w:rFonts w:eastAsia="Calibri" w:cs="Times New Roman"/>
                <w:b/>
                <w:sz w:val="18"/>
                <w:szCs w:val="18"/>
                <w:lang w:eastAsia="en-US"/>
              </w:rPr>
              <w:t>Amines, coco alkyldimethyl, N-oxides</w:t>
            </w:r>
          </w:p>
        </w:tc>
      </w:tr>
      <w:tr w:rsidR="00476D22" w:rsidRPr="005F445F" w14:paraId="2E391DA8" w14:textId="77777777" w:rsidTr="00666A27">
        <w:trPr>
          <w:cantSplit/>
          <w:trHeight w:val="790"/>
        </w:trPr>
        <w:tc>
          <w:tcPr>
            <w:tcW w:w="2410" w:type="dxa"/>
            <w:tcBorders>
              <w:top w:val="single" w:sz="4" w:space="0" w:color="000000"/>
              <w:left w:val="single" w:sz="4" w:space="0" w:color="000000"/>
              <w:bottom w:val="single" w:sz="4" w:space="0" w:color="000000"/>
            </w:tcBorders>
            <w:shd w:val="clear" w:color="auto" w:fill="FFFFFF"/>
            <w:vAlign w:val="center"/>
          </w:tcPr>
          <w:p w14:paraId="0EAE63BB"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Compartment</w:t>
            </w:r>
          </w:p>
        </w:tc>
        <w:tc>
          <w:tcPr>
            <w:tcW w:w="3828" w:type="dxa"/>
            <w:tcBorders>
              <w:top w:val="single" w:sz="4" w:space="0" w:color="000000"/>
              <w:left w:val="single" w:sz="4" w:space="0" w:color="000000"/>
            </w:tcBorders>
            <w:shd w:val="clear" w:color="auto" w:fill="FFFFFF"/>
            <w:vAlign w:val="center"/>
          </w:tcPr>
          <w:p w14:paraId="5334A744"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Percentage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CD99" w14:textId="77777777" w:rsidR="00476D22" w:rsidRPr="005F445F" w:rsidRDefault="00476D22" w:rsidP="00476D22">
            <w:pPr>
              <w:autoSpaceDE w:val="0"/>
              <w:spacing w:line="260" w:lineRule="atLeast"/>
              <w:jc w:val="center"/>
              <w:rPr>
                <w:sz w:val="18"/>
                <w:szCs w:val="18"/>
              </w:rPr>
            </w:pPr>
            <w:r w:rsidRPr="005F445F">
              <w:rPr>
                <w:rFonts w:eastAsia="Calibri" w:cs="Arial"/>
                <w:bCs/>
                <w:color w:val="000000"/>
                <w:sz w:val="18"/>
                <w:szCs w:val="18"/>
                <w:lang w:eastAsia="en-GB"/>
              </w:rPr>
              <w:t>Remarks</w:t>
            </w:r>
          </w:p>
        </w:tc>
      </w:tr>
      <w:tr w:rsidR="00476D22" w:rsidRPr="005F445F" w14:paraId="45F6FFA8"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60337CE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Air</w:t>
            </w:r>
          </w:p>
        </w:tc>
        <w:tc>
          <w:tcPr>
            <w:tcW w:w="3828" w:type="dxa"/>
            <w:tcBorders>
              <w:top w:val="single" w:sz="4" w:space="0" w:color="000000"/>
              <w:left w:val="single" w:sz="4" w:space="0" w:color="000000"/>
              <w:bottom w:val="single" w:sz="4" w:space="0" w:color="000000"/>
            </w:tcBorders>
            <w:shd w:val="clear" w:color="auto" w:fill="FFFFFF"/>
            <w:vAlign w:val="center"/>
          </w:tcPr>
          <w:p w14:paraId="324BF067" w14:textId="76DF221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9.17E-07</w:t>
            </w:r>
          </w:p>
        </w:tc>
        <w:tc>
          <w:tcPr>
            <w:tcW w:w="3118" w:type="dxa"/>
            <w:vMerge w:val="restart"/>
            <w:tcBorders>
              <w:top w:val="single" w:sz="4" w:space="0" w:color="000000"/>
              <w:left w:val="single" w:sz="4" w:space="0" w:color="000000"/>
              <w:right w:val="single" w:sz="4" w:space="0" w:color="000000"/>
            </w:tcBorders>
            <w:shd w:val="clear" w:color="auto" w:fill="FFFFFF"/>
            <w:vAlign w:val="center"/>
          </w:tcPr>
          <w:p w14:paraId="26527FA1"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Simple treat v4.0</w:t>
            </w:r>
          </w:p>
        </w:tc>
      </w:tr>
      <w:tr w:rsidR="00476D22" w:rsidRPr="005F445F" w14:paraId="1F92E628"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2FBAA467"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w:t>
            </w:r>
          </w:p>
        </w:tc>
        <w:tc>
          <w:tcPr>
            <w:tcW w:w="3828" w:type="dxa"/>
            <w:tcBorders>
              <w:top w:val="single" w:sz="4" w:space="0" w:color="000000"/>
              <w:left w:val="single" w:sz="4" w:space="0" w:color="000000"/>
              <w:bottom w:val="single" w:sz="4" w:space="0" w:color="000000"/>
            </w:tcBorders>
            <w:shd w:val="clear" w:color="auto" w:fill="FFFFFF"/>
            <w:vAlign w:val="center"/>
          </w:tcPr>
          <w:p w14:paraId="2641CB20"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7.09</w:t>
            </w:r>
          </w:p>
        </w:tc>
        <w:tc>
          <w:tcPr>
            <w:tcW w:w="3118" w:type="dxa"/>
            <w:vMerge/>
            <w:tcBorders>
              <w:left w:val="single" w:sz="4" w:space="0" w:color="000000"/>
              <w:right w:val="single" w:sz="4" w:space="0" w:color="000000"/>
            </w:tcBorders>
            <w:shd w:val="clear" w:color="auto" w:fill="FFFFFF"/>
          </w:tcPr>
          <w:p w14:paraId="451A5DF2"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1DB39E51"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61944CD1"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Sludge</w:t>
            </w:r>
          </w:p>
        </w:tc>
        <w:tc>
          <w:tcPr>
            <w:tcW w:w="3828" w:type="dxa"/>
            <w:tcBorders>
              <w:top w:val="single" w:sz="4" w:space="0" w:color="000000"/>
              <w:left w:val="single" w:sz="4" w:space="0" w:color="000000"/>
              <w:bottom w:val="single" w:sz="4" w:space="0" w:color="000000"/>
            </w:tcBorders>
            <w:shd w:val="clear" w:color="auto" w:fill="FFFFFF"/>
            <w:vAlign w:val="center"/>
          </w:tcPr>
          <w:p w14:paraId="1153E849"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13.26</w:t>
            </w:r>
          </w:p>
        </w:tc>
        <w:tc>
          <w:tcPr>
            <w:tcW w:w="3118" w:type="dxa"/>
            <w:vMerge/>
            <w:tcBorders>
              <w:left w:val="single" w:sz="4" w:space="0" w:color="000000"/>
              <w:right w:val="single" w:sz="4" w:space="0" w:color="000000"/>
            </w:tcBorders>
            <w:shd w:val="clear" w:color="auto" w:fill="FFFFFF"/>
          </w:tcPr>
          <w:p w14:paraId="5B0303BF"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11528D6C"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0ECD3A6F"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Degraded in STP</w:t>
            </w:r>
          </w:p>
        </w:tc>
        <w:tc>
          <w:tcPr>
            <w:tcW w:w="3828" w:type="dxa"/>
            <w:tcBorders>
              <w:top w:val="single" w:sz="4" w:space="0" w:color="000000"/>
              <w:left w:val="single" w:sz="4" w:space="0" w:color="000000"/>
              <w:bottom w:val="single" w:sz="4" w:space="0" w:color="000000"/>
            </w:tcBorders>
            <w:shd w:val="clear" w:color="auto" w:fill="FFFFFF"/>
            <w:vAlign w:val="center"/>
          </w:tcPr>
          <w:p w14:paraId="72475FDB"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79.65</w:t>
            </w:r>
          </w:p>
        </w:tc>
        <w:tc>
          <w:tcPr>
            <w:tcW w:w="3118" w:type="dxa"/>
            <w:vMerge/>
            <w:tcBorders>
              <w:left w:val="single" w:sz="4" w:space="0" w:color="000000"/>
              <w:bottom w:val="single" w:sz="4" w:space="0" w:color="000000"/>
              <w:right w:val="single" w:sz="4" w:space="0" w:color="000000"/>
            </w:tcBorders>
            <w:shd w:val="clear" w:color="auto" w:fill="FFFFFF"/>
          </w:tcPr>
          <w:p w14:paraId="373542DB"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bl>
    <w:p w14:paraId="2708351D" w14:textId="77777777" w:rsidR="00476D22" w:rsidRPr="005F445F" w:rsidRDefault="00476D22" w:rsidP="00476D22">
      <w:pPr>
        <w:spacing w:line="260" w:lineRule="atLeast"/>
        <w:rPr>
          <w:rFonts w:eastAsia="Calibri"/>
          <w:sz w:val="18"/>
          <w:szCs w:val="18"/>
          <w:lang w:eastAsia="en-US"/>
        </w:rPr>
      </w:pPr>
    </w:p>
    <w:p w14:paraId="00EA5AF4" w14:textId="77777777" w:rsidR="00476D22" w:rsidRPr="005F445F" w:rsidRDefault="00476D22" w:rsidP="00476D22">
      <w:pPr>
        <w:spacing w:line="260" w:lineRule="atLeast"/>
        <w:rPr>
          <w:rFonts w:eastAsia="Calibri"/>
          <w:sz w:val="18"/>
          <w:szCs w:val="18"/>
          <w:lang w:eastAsia="en-US"/>
        </w:rPr>
      </w:pPr>
    </w:p>
    <w:tbl>
      <w:tblPr>
        <w:tblW w:w="9366" w:type="dxa"/>
        <w:tblInd w:w="108" w:type="dxa"/>
        <w:tblLayout w:type="fixed"/>
        <w:tblLook w:val="0000" w:firstRow="0" w:lastRow="0" w:firstColumn="0" w:lastColumn="0" w:noHBand="0" w:noVBand="0"/>
      </w:tblPr>
      <w:tblGrid>
        <w:gridCol w:w="3544"/>
        <w:gridCol w:w="1701"/>
        <w:gridCol w:w="1276"/>
        <w:gridCol w:w="2845"/>
      </w:tblGrid>
      <w:tr w:rsidR="00476D22" w:rsidRPr="005F445F" w14:paraId="2C0C2AE5" w14:textId="77777777" w:rsidTr="00476D22">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9AFE5B5" w14:textId="362835DB" w:rsidR="00476D22" w:rsidRPr="005F445F" w:rsidRDefault="00476D22" w:rsidP="000F3412">
            <w:pPr>
              <w:autoSpaceDE w:val="0"/>
              <w:spacing w:line="260" w:lineRule="atLeast"/>
              <w:jc w:val="center"/>
              <w:rPr>
                <w:rFonts w:eastAsia="Calibri" w:cs="Arial"/>
                <w:b/>
                <w:color w:val="000000"/>
                <w:sz w:val="18"/>
                <w:szCs w:val="18"/>
                <w:lang w:eastAsia="en-GB"/>
              </w:rPr>
            </w:pPr>
            <w:r w:rsidRPr="005F445F">
              <w:rPr>
                <w:rFonts w:eastAsia="Calibri" w:cs="Arial"/>
                <w:b/>
                <w:color w:val="000000"/>
                <w:sz w:val="18"/>
                <w:szCs w:val="18"/>
                <w:lang w:eastAsia="en-GB"/>
              </w:rPr>
              <w:t xml:space="preserve">Input parameters (only set values) for calculating the fate and distribution in the environment of </w:t>
            </w:r>
            <w:r w:rsidRPr="005F445F">
              <w:rPr>
                <w:rFonts w:eastAsia="Calibri" w:cs="Times New Roman"/>
                <w:b/>
                <w:sz w:val="18"/>
                <w:szCs w:val="18"/>
                <w:lang w:eastAsia="en-US"/>
              </w:rPr>
              <w:t>OTNE</w:t>
            </w:r>
          </w:p>
        </w:tc>
      </w:tr>
      <w:tr w:rsidR="00476D22" w:rsidRPr="005F445F" w14:paraId="36F0C6CE" w14:textId="77777777" w:rsidTr="00DD2106">
        <w:trPr>
          <w:trHeight w:val="313"/>
        </w:trPr>
        <w:tc>
          <w:tcPr>
            <w:tcW w:w="3544" w:type="dxa"/>
            <w:tcBorders>
              <w:top w:val="single" w:sz="4" w:space="0" w:color="000000"/>
              <w:left w:val="single" w:sz="4" w:space="0" w:color="000000"/>
              <w:bottom w:val="single" w:sz="4" w:space="0" w:color="000000"/>
            </w:tcBorders>
            <w:shd w:val="clear" w:color="auto" w:fill="FFFFFF"/>
            <w:vAlign w:val="center"/>
          </w:tcPr>
          <w:p w14:paraId="69D665D6"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Input </w:t>
            </w:r>
          </w:p>
        </w:tc>
        <w:tc>
          <w:tcPr>
            <w:tcW w:w="1701" w:type="dxa"/>
            <w:tcBorders>
              <w:top w:val="single" w:sz="4" w:space="0" w:color="000000"/>
              <w:left w:val="single" w:sz="4" w:space="0" w:color="000000"/>
              <w:bottom w:val="single" w:sz="4" w:space="0" w:color="000000"/>
            </w:tcBorders>
            <w:shd w:val="clear" w:color="auto" w:fill="FFFFFF"/>
            <w:vAlign w:val="center"/>
          </w:tcPr>
          <w:p w14:paraId="610DA9FE"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Value </w:t>
            </w:r>
          </w:p>
        </w:tc>
        <w:tc>
          <w:tcPr>
            <w:tcW w:w="1276" w:type="dxa"/>
            <w:tcBorders>
              <w:top w:val="single" w:sz="4" w:space="0" w:color="000000"/>
              <w:left w:val="single" w:sz="4" w:space="0" w:color="000000"/>
              <w:bottom w:val="single" w:sz="4" w:space="0" w:color="000000"/>
            </w:tcBorders>
            <w:shd w:val="clear" w:color="auto" w:fill="FFFFFF"/>
            <w:vAlign w:val="center"/>
          </w:tcPr>
          <w:p w14:paraId="643F5AA6" w14:textId="77777777" w:rsidR="00476D22" w:rsidRPr="005F445F" w:rsidRDefault="00476D22" w:rsidP="00476D22">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Unit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894A" w14:textId="77777777" w:rsidR="00476D22" w:rsidRPr="005F445F" w:rsidRDefault="00476D22" w:rsidP="00476D22">
            <w:pPr>
              <w:autoSpaceDE w:val="0"/>
              <w:spacing w:line="260" w:lineRule="atLeast"/>
              <w:rPr>
                <w:sz w:val="18"/>
                <w:szCs w:val="18"/>
              </w:rPr>
            </w:pPr>
            <w:r w:rsidRPr="005F445F">
              <w:rPr>
                <w:rFonts w:eastAsia="Calibri" w:cs="Arial"/>
                <w:bCs/>
                <w:color w:val="000000"/>
                <w:sz w:val="18"/>
                <w:szCs w:val="18"/>
                <w:lang w:eastAsia="en-GB"/>
              </w:rPr>
              <w:t>Remarks</w:t>
            </w:r>
          </w:p>
        </w:tc>
      </w:tr>
      <w:tr w:rsidR="00476D22" w:rsidRPr="00A04731" w14:paraId="7E1A7B4F" w14:textId="77777777" w:rsidTr="00146FA5">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4E07AE78"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17BCFF13"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234.38</w:t>
            </w:r>
          </w:p>
        </w:tc>
        <w:tc>
          <w:tcPr>
            <w:tcW w:w="1276" w:type="dxa"/>
            <w:tcBorders>
              <w:top w:val="single" w:sz="4" w:space="0" w:color="000000"/>
              <w:left w:val="single" w:sz="4" w:space="0" w:color="000000"/>
              <w:bottom w:val="single" w:sz="4" w:space="0" w:color="000000"/>
            </w:tcBorders>
            <w:shd w:val="clear" w:color="auto" w:fill="FFFFFF"/>
            <w:vAlign w:val="center"/>
          </w:tcPr>
          <w:p w14:paraId="48922856"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color w:val="000000"/>
                <w:sz w:val="18"/>
                <w:szCs w:val="18"/>
              </w:rPr>
              <w:t>g.mol</w:t>
            </w:r>
            <w:r w:rsidRPr="005F445F">
              <w:rPr>
                <w:color w:val="000000"/>
                <w:sz w:val="18"/>
                <w:szCs w:val="18"/>
                <w:vertAlign w:val="superscript"/>
              </w:rPr>
              <w:t>-1</w:t>
            </w:r>
          </w:p>
        </w:tc>
        <w:tc>
          <w:tcPr>
            <w:tcW w:w="2845" w:type="dxa"/>
            <w:vMerge w:val="restart"/>
            <w:tcBorders>
              <w:top w:val="single" w:sz="4" w:space="0" w:color="000000"/>
              <w:left w:val="single" w:sz="4" w:space="0" w:color="000000"/>
              <w:right w:val="single" w:sz="4" w:space="0" w:color="000000"/>
            </w:tcBorders>
            <w:shd w:val="clear" w:color="auto" w:fill="FFFFFF"/>
            <w:vAlign w:val="center"/>
          </w:tcPr>
          <w:p w14:paraId="2A223A12" w14:textId="77777777" w:rsidR="00476D22" w:rsidRPr="005F445F" w:rsidRDefault="00476D22" w:rsidP="00146FA5">
            <w:pPr>
              <w:autoSpaceDE w:val="0"/>
              <w:snapToGrid w:val="0"/>
              <w:spacing w:line="260" w:lineRule="atLeast"/>
              <w:rPr>
                <w:rFonts w:eastAsia="Calibri" w:cs="Arial"/>
                <w:color w:val="000000"/>
                <w:sz w:val="18"/>
                <w:szCs w:val="18"/>
                <w:lang w:val="fr-FR" w:eastAsia="en-GB"/>
              </w:rPr>
            </w:pPr>
            <w:r w:rsidRPr="005F445F">
              <w:rPr>
                <w:rFonts w:eastAsia="Calibri" w:cs="Arial"/>
                <w:color w:val="000000"/>
                <w:sz w:val="18"/>
                <w:szCs w:val="18"/>
                <w:lang w:val="fr-FR" w:eastAsia="en-GB"/>
              </w:rPr>
              <w:t>ECHA registration dossier (https://echa.europa.eu/fr/registration-dossier/-/registered-dossier/15069 )</w:t>
            </w:r>
          </w:p>
        </w:tc>
      </w:tr>
      <w:tr w:rsidR="00476D22" w:rsidRPr="005F445F" w14:paraId="1AE9E0BE" w14:textId="77777777" w:rsidTr="00DD2106">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58F97D6F"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Vapour pressure (at 23°C)</w:t>
            </w:r>
          </w:p>
        </w:tc>
        <w:tc>
          <w:tcPr>
            <w:tcW w:w="1701" w:type="dxa"/>
            <w:tcBorders>
              <w:top w:val="single" w:sz="4" w:space="0" w:color="000000"/>
              <w:left w:val="single" w:sz="4" w:space="0" w:color="000000"/>
              <w:bottom w:val="single" w:sz="4" w:space="0" w:color="000000"/>
            </w:tcBorders>
            <w:shd w:val="clear" w:color="auto" w:fill="FFFFFF"/>
            <w:vAlign w:val="center"/>
          </w:tcPr>
          <w:p w14:paraId="764DEF5A"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0.233</w:t>
            </w:r>
          </w:p>
        </w:tc>
        <w:tc>
          <w:tcPr>
            <w:tcW w:w="1276" w:type="dxa"/>
            <w:tcBorders>
              <w:top w:val="single" w:sz="4" w:space="0" w:color="000000"/>
              <w:left w:val="single" w:sz="4" w:space="0" w:color="000000"/>
              <w:bottom w:val="single" w:sz="4" w:space="0" w:color="000000"/>
            </w:tcBorders>
            <w:shd w:val="clear" w:color="auto" w:fill="FFFFFF"/>
            <w:vAlign w:val="center"/>
          </w:tcPr>
          <w:p w14:paraId="26E43C58"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Pa</w:t>
            </w:r>
          </w:p>
        </w:tc>
        <w:tc>
          <w:tcPr>
            <w:tcW w:w="2845" w:type="dxa"/>
            <w:vMerge/>
            <w:tcBorders>
              <w:left w:val="single" w:sz="4" w:space="0" w:color="000000"/>
              <w:right w:val="single" w:sz="4" w:space="0" w:color="000000"/>
            </w:tcBorders>
            <w:shd w:val="clear" w:color="auto" w:fill="FFFFFF"/>
            <w:vAlign w:val="center"/>
          </w:tcPr>
          <w:p w14:paraId="1CEBBE22"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3780F431" w14:textId="77777777" w:rsidTr="00DD2106">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195F89F4"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 solubility (at 20°C)</w:t>
            </w:r>
          </w:p>
        </w:tc>
        <w:tc>
          <w:tcPr>
            <w:tcW w:w="1701" w:type="dxa"/>
            <w:tcBorders>
              <w:top w:val="single" w:sz="4" w:space="0" w:color="000000"/>
              <w:left w:val="single" w:sz="4" w:space="0" w:color="000000"/>
              <w:bottom w:val="single" w:sz="4" w:space="0" w:color="000000"/>
            </w:tcBorders>
            <w:shd w:val="clear" w:color="auto" w:fill="FFFFFF"/>
            <w:vAlign w:val="center"/>
          </w:tcPr>
          <w:p w14:paraId="013C2093" w14:textId="77777777" w:rsidR="00476D22" w:rsidRPr="005F445F" w:rsidRDefault="00476D22" w:rsidP="00476D22">
            <w:pPr>
              <w:autoSpaceDE w:val="0"/>
              <w:snapToGrid w:val="0"/>
              <w:spacing w:line="260" w:lineRule="atLeast"/>
              <w:ind w:right="175"/>
              <w:rPr>
                <w:rFonts w:eastAsia="Calibri" w:cs="Arial"/>
                <w:color w:val="000000"/>
                <w:sz w:val="18"/>
                <w:szCs w:val="18"/>
                <w:lang w:eastAsia="en-GB"/>
              </w:rPr>
            </w:pPr>
            <w:r w:rsidRPr="005F445F">
              <w:rPr>
                <w:rFonts w:eastAsia="Calibri" w:cs="Arial"/>
                <w:color w:val="000000"/>
                <w:sz w:val="18"/>
                <w:szCs w:val="18"/>
                <w:lang w:eastAsia="en-GB"/>
              </w:rPr>
              <w:t>2.68</w:t>
            </w:r>
          </w:p>
        </w:tc>
        <w:tc>
          <w:tcPr>
            <w:tcW w:w="1276" w:type="dxa"/>
            <w:tcBorders>
              <w:top w:val="single" w:sz="4" w:space="0" w:color="000000"/>
              <w:left w:val="single" w:sz="4" w:space="0" w:color="000000"/>
              <w:bottom w:val="single" w:sz="4" w:space="0" w:color="000000"/>
            </w:tcBorders>
            <w:shd w:val="clear" w:color="auto" w:fill="FFFFFF"/>
            <w:vAlign w:val="center"/>
          </w:tcPr>
          <w:p w14:paraId="7ABA4D17"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mg/l</w:t>
            </w:r>
          </w:p>
        </w:tc>
        <w:tc>
          <w:tcPr>
            <w:tcW w:w="2845" w:type="dxa"/>
            <w:vMerge/>
            <w:tcBorders>
              <w:left w:val="single" w:sz="4" w:space="0" w:color="000000"/>
              <w:right w:val="single" w:sz="4" w:space="0" w:color="000000"/>
            </w:tcBorders>
            <w:shd w:val="clear" w:color="auto" w:fill="FFFFFF"/>
            <w:vAlign w:val="center"/>
          </w:tcPr>
          <w:p w14:paraId="582C5335"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0105069C" w14:textId="77777777" w:rsidTr="00DD2106">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6924D0C4" w14:textId="77777777" w:rsidR="00476D22" w:rsidRPr="005F445F" w:rsidRDefault="00476D22" w:rsidP="00476D22">
            <w:pPr>
              <w:autoSpaceDE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Log Octanol/water partition coefficient (at 30°C)</w:t>
            </w:r>
          </w:p>
        </w:tc>
        <w:tc>
          <w:tcPr>
            <w:tcW w:w="1701" w:type="dxa"/>
            <w:tcBorders>
              <w:top w:val="single" w:sz="4" w:space="0" w:color="000000"/>
              <w:left w:val="single" w:sz="4" w:space="0" w:color="000000"/>
              <w:bottom w:val="single" w:sz="4" w:space="0" w:color="000000"/>
            </w:tcBorders>
            <w:shd w:val="clear" w:color="auto" w:fill="FFFFFF"/>
            <w:vAlign w:val="center"/>
          </w:tcPr>
          <w:p w14:paraId="4469EEA8" w14:textId="77777777" w:rsidR="00476D22" w:rsidRPr="005F445F" w:rsidRDefault="00476D22" w:rsidP="00476D22">
            <w:pPr>
              <w:autoSpaceDE w:val="0"/>
              <w:snapToGrid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5.65</w:t>
            </w:r>
          </w:p>
        </w:tc>
        <w:tc>
          <w:tcPr>
            <w:tcW w:w="1276" w:type="dxa"/>
            <w:tcBorders>
              <w:top w:val="single" w:sz="4" w:space="0" w:color="000000"/>
              <w:left w:val="single" w:sz="4" w:space="0" w:color="000000"/>
              <w:bottom w:val="single" w:sz="4" w:space="0" w:color="000000"/>
            </w:tcBorders>
            <w:shd w:val="clear" w:color="auto" w:fill="FFFFFF"/>
            <w:vAlign w:val="center"/>
          </w:tcPr>
          <w:p w14:paraId="2EF57BBF"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val="fr-BE" w:eastAsia="en-GB"/>
              </w:rPr>
              <w:t>Log 10</w:t>
            </w:r>
          </w:p>
        </w:tc>
        <w:tc>
          <w:tcPr>
            <w:tcW w:w="2845" w:type="dxa"/>
            <w:vMerge/>
            <w:tcBorders>
              <w:left w:val="single" w:sz="4" w:space="0" w:color="000000"/>
              <w:right w:val="single" w:sz="4" w:space="0" w:color="000000"/>
            </w:tcBorders>
            <w:shd w:val="clear" w:color="auto" w:fill="FFFFFF"/>
            <w:vAlign w:val="center"/>
          </w:tcPr>
          <w:p w14:paraId="1A992AA0"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1E466420" w14:textId="77777777" w:rsidTr="00DD2106">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38DB30EA"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4BF05B39"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12589</w:t>
            </w:r>
          </w:p>
        </w:tc>
        <w:tc>
          <w:tcPr>
            <w:tcW w:w="1276" w:type="dxa"/>
            <w:tcBorders>
              <w:top w:val="single" w:sz="4" w:space="0" w:color="000000"/>
              <w:left w:val="single" w:sz="4" w:space="0" w:color="000000"/>
              <w:bottom w:val="single" w:sz="4" w:space="0" w:color="000000"/>
            </w:tcBorders>
            <w:shd w:val="clear" w:color="auto" w:fill="FFFFFF"/>
            <w:vAlign w:val="center"/>
          </w:tcPr>
          <w:p w14:paraId="5EE87352"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l/kg</w:t>
            </w:r>
          </w:p>
        </w:tc>
        <w:tc>
          <w:tcPr>
            <w:tcW w:w="2845" w:type="dxa"/>
            <w:vMerge/>
            <w:tcBorders>
              <w:left w:val="single" w:sz="4" w:space="0" w:color="000000"/>
              <w:right w:val="single" w:sz="4" w:space="0" w:color="000000"/>
            </w:tcBorders>
            <w:shd w:val="clear" w:color="auto" w:fill="FFFFFF"/>
            <w:vAlign w:val="center"/>
          </w:tcPr>
          <w:p w14:paraId="169CF3EC"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2F7AD51F" w14:textId="77777777" w:rsidTr="00DD2106">
        <w:trPr>
          <w:trHeight w:val="75"/>
        </w:trPr>
        <w:tc>
          <w:tcPr>
            <w:tcW w:w="3544" w:type="dxa"/>
            <w:tcBorders>
              <w:top w:val="single" w:sz="4" w:space="0" w:color="000000"/>
              <w:left w:val="single" w:sz="4" w:space="0" w:color="000000"/>
              <w:bottom w:val="single" w:sz="4" w:space="0" w:color="000000"/>
            </w:tcBorders>
            <w:shd w:val="clear" w:color="auto" w:fill="FFFFFF"/>
            <w:vAlign w:val="center"/>
          </w:tcPr>
          <w:p w14:paraId="0D7BECBB" w14:textId="77777777" w:rsidR="00476D22" w:rsidRPr="005F445F" w:rsidRDefault="00476D22" w:rsidP="00476D22">
            <w:pPr>
              <w:autoSpaceDE w:val="0"/>
              <w:spacing w:line="260" w:lineRule="atLeast"/>
              <w:rPr>
                <w:rFonts w:eastAsia="Calibri" w:cs="Times New Roman"/>
                <w:i/>
                <w:color w:val="FF0000"/>
                <w:sz w:val="18"/>
                <w:szCs w:val="18"/>
                <w:lang w:eastAsia="en-GB"/>
              </w:rPr>
            </w:pPr>
            <w:r w:rsidRPr="005F445F">
              <w:rPr>
                <w:rFonts w:eastAsia="Calibri" w:cs="Arial"/>
                <w:color w:val="000000"/>
                <w:sz w:val="18"/>
                <w:szCs w:val="18"/>
                <w:lang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663571E3"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Not readily biodegradable</w:t>
            </w:r>
          </w:p>
        </w:tc>
        <w:tc>
          <w:tcPr>
            <w:tcW w:w="1276" w:type="dxa"/>
            <w:tcBorders>
              <w:top w:val="single" w:sz="4" w:space="0" w:color="000000"/>
              <w:left w:val="single" w:sz="4" w:space="0" w:color="000000"/>
              <w:bottom w:val="single" w:sz="4" w:space="0" w:color="000000"/>
            </w:tcBorders>
            <w:shd w:val="clear" w:color="auto" w:fill="FFFFFF"/>
            <w:vAlign w:val="center"/>
          </w:tcPr>
          <w:p w14:paraId="2B5EF4E5" w14:textId="77777777" w:rsidR="00476D22" w:rsidRPr="005F445F" w:rsidRDefault="00476D22" w:rsidP="00476D22">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t>
            </w:r>
          </w:p>
        </w:tc>
        <w:tc>
          <w:tcPr>
            <w:tcW w:w="2845" w:type="dxa"/>
            <w:vMerge/>
            <w:tcBorders>
              <w:left w:val="single" w:sz="4" w:space="0" w:color="000000"/>
              <w:bottom w:val="single" w:sz="4" w:space="0" w:color="000000"/>
              <w:right w:val="single" w:sz="4" w:space="0" w:color="000000"/>
            </w:tcBorders>
            <w:shd w:val="clear" w:color="auto" w:fill="FFFFFF"/>
            <w:vAlign w:val="center"/>
          </w:tcPr>
          <w:p w14:paraId="74E5D073"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C1183E" w14:paraId="65D1ADE7" w14:textId="77777777" w:rsidTr="00DD2106">
        <w:trPr>
          <w:trHeight w:val="93"/>
        </w:trPr>
        <w:tc>
          <w:tcPr>
            <w:tcW w:w="3544" w:type="dxa"/>
            <w:tcBorders>
              <w:top w:val="single" w:sz="4" w:space="0" w:color="000000"/>
              <w:left w:val="single" w:sz="4" w:space="0" w:color="000000"/>
              <w:bottom w:val="single" w:sz="4" w:space="0" w:color="000000"/>
            </w:tcBorders>
            <w:shd w:val="clear" w:color="auto" w:fill="FFFFFF"/>
            <w:vAlign w:val="center"/>
          </w:tcPr>
          <w:p w14:paraId="12C618AF" w14:textId="77777777" w:rsidR="00476D22" w:rsidRPr="00BF4DC1" w:rsidRDefault="00476D22" w:rsidP="00476D22">
            <w:pPr>
              <w:autoSpaceDE w:val="0"/>
              <w:spacing w:line="260" w:lineRule="atLeast"/>
              <w:rPr>
                <w:rFonts w:eastAsia="Calibri" w:cs="Arial"/>
                <w:color w:val="000000"/>
                <w:sz w:val="18"/>
                <w:szCs w:val="18"/>
                <w:lang w:eastAsia="en-GB"/>
              </w:rPr>
            </w:pPr>
            <w:r w:rsidRPr="00BF4DC1">
              <w:rPr>
                <w:rFonts w:eastAsia="Calibri" w:cs="Arial"/>
                <w:color w:val="000000"/>
                <w:sz w:val="18"/>
                <w:szCs w:val="18"/>
                <w:lang w:eastAsia="en-GB"/>
              </w:rPr>
              <w:t>DT</w:t>
            </w:r>
            <w:r w:rsidRPr="00BF4DC1">
              <w:rPr>
                <w:rFonts w:eastAsia="Calibri" w:cs="Arial"/>
                <w:color w:val="000000"/>
                <w:sz w:val="18"/>
                <w:szCs w:val="18"/>
                <w:vertAlign w:val="subscript"/>
                <w:lang w:eastAsia="en-GB"/>
              </w:rPr>
              <w:t>50</w:t>
            </w:r>
            <w:r w:rsidRPr="00BF4DC1">
              <w:rPr>
                <w:rFonts w:eastAsia="Calibri" w:cs="Arial"/>
                <w:color w:val="000000"/>
                <w:sz w:val="18"/>
                <w:szCs w:val="18"/>
                <w:lang w:eastAsia="en-GB"/>
              </w:rPr>
              <w:t xml:space="preserve"> for degradation in soil (at 12ºC)</w:t>
            </w:r>
          </w:p>
        </w:tc>
        <w:tc>
          <w:tcPr>
            <w:tcW w:w="1701" w:type="dxa"/>
            <w:tcBorders>
              <w:top w:val="single" w:sz="4" w:space="0" w:color="000000"/>
              <w:left w:val="single" w:sz="4" w:space="0" w:color="000000"/>
              <w:bottom w:val="single" w:sz="4" w:space="0" w:color="000000"/>
            </w:tcBorders>
            <w:shd w:val="clear" w:color="auto" w:fill="FFFFFF"/>
            <w:vAlign w:val="center"/>
          </w:tcPr>
          <w:p w14:paraId="54ADB143" w14:textId="77777777" w:rsidR="00476D22" w:rsidRPr="00F83460" w:rsidRDefault="00476D22" w:rsidP="00C1183E">
            <w:pPr>
              <w:autoSpaceDE w:val="0"/>
              <w:snapToGrid w:val="0"/>
              <w:spacing w:line="260" w:lineRule="atLeast"/>
              <w:rPr>
                <w:rFonts w:eastAsia="Calibri" w:cs="Arial"/>
                <w:color w:val="000000"/>
                <w:sz w:val="18"/>
                <w:szCs w:val="18"/>
                <w:lang w:eastAsia="en-GB"/>
              </w:rPr>
            </w:pPr>
            <w:r w:rsidRPr="00F83460">
              <w:rPr>
                <w:rFonts w:eastAsia="Calibri" w:cs="Arial"/>
                <w:color w:val="000000"/>
                <w:sz w:val="18"/>
                <w:szCs w:val="18"/>
                <w:lang w:eastAsia="en-GB"/>
              </w:rPr>
              <w:t>17.4</w:t>
            </w:r>
          </w:p>
        </w:tc>
        <w:tc>
          <w:tcPr>
            <w:tcW w:w="1276" w:type="dxa"/>
            <w:tcBorders>
              <w:top w:val="single" w:sz="4" w:space="0" w:color="000000"/>
              <w:left w:val="single" w:sz="4" w:space="0" w:color="000000"/>
              <w:bottom w:val="single" w:sz="4" w:space="0" w:color="000000"/>
            </w:tcBorders>
            <w:shd w:val="clear" w:color="auto" w:fill="FFFFFF"/>
            <w:vAlign w:val="center"/>
          </w:tcPr>
          <w:p w14:paraId="26764051" w14:textId="77777777" w:rsidR="00476D22" w:rsidRPr="00A358C5" w:rsidRDefault="00476D22" w:rsidP="00C1183E">
            <w:pPr>
              <w:autoSpaceDE w:val="0"/>
              <w:spacing w:line="260" w:lineRule="atLeast"/>
              <w:rPr>
                <w:rFonts w:eastAsia="Calibri" w:cs="Arial"/>
                <w:color w:val="000000"/>
                <w:sz w:val="18"/>
                <w:szCs w:val="18"/>
                <w:lang w:eastAsia="en-GB"/>
              </w:rPr>
            </w:pPr>
            <w:r w:rsidRPr="00F83460">
              <w:rPr>
                <w:rFonts w:eastAsia="Calibri" w:cs="Arial"/>
                <w:color w:val="000000"/>
                <w:sz w:val="18"/>
                <w:szCs w:val="18"/>
                <w:lang w:eastAsia="en-GB"/>
              </w:rPr>
              <w:t xml:space="preserve">d </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8E2943" w14:textId="36028086" w:rsidR="00476D22" w:rsidRPr="00DD2106" w:rsidRDefault="00476D22" w:rsidP="00BF4DC1">
            <w:pPr>
              <w:suppressAutoHyphens w:val="0"/>
              <w:spacing w:before="100" w:beforeAutospacing="1" w:after="100" w:afterAutospacing="1"/>
              <w:rPr>
                <w:rFonts w:eastAsia="Calibri" w:cs="Arial"/>
                <w:color w:val="000000"/>
                <w:sz w:val="18"/>
                <w:szCs w:val="18"/>
                <w:lang w:val="en-US" w:eastAsia="en-GB"/>
              </w:rPr>
            </w:pPr>
            <w:r w:rsidRPr="00DD2106">
              <w:rPr>
                <w:rFonts w:eastAsia="Calibri" w:cs="Arial"/>
                <w:color w:val="000000"/>
                <w:sz w:val="18"/>
                <w:szCs w:val="18"/>
                <w:lang w:val="en-US" w:eastAsia="en-GB"/>
              </w:rPr>
              <w:t>ECHA registration dossier (https://echa.europa.eu/fr/registration-dossier/-/registered-dossier/15069 )</w:t>
            </w:r>
            <w:r w:rsidR="00BF4DC1" w:rsidRPr="00BF4DC1">
              <w:rPr>
                <w:rFonts w:eastAsia="Calibri" w:cs="Arial"/>
                <w:color w:val="000000"/>
                <w:sz w:val="18"/>
                <w:szCs w:val="18"/>
                <w:lang w:val="en-US" w:eastAsia="en-GB"/>
              </w:rPr>
              <w:t xml:space="preserve"> </w:t>
            </w:r>
            <w:r w:rsidR="00C1183E" w:rsidRPr="00BF4DC1">
              <w:rPr>
                <w:rFonts w:eastAsia="Calibri" w:cs="Arial"/>
                <w:color w:val="000000"/>
                <w:sz w:val="18"/>
                <w:szCs w:val="18"/>
                <w:lang w:val="en-US" w:eastAsia="en-GB"/>
              </w:rPr>
              <w:t>Recalculated by using</w:t>
            </w:r>
            <w:r w:rsidR="00C1183E" w:rsidRPr="00DD2106">
              <w:rPr>
                <w:rFonts w:eastAsia="Calibri" w:cs="Arial"/>
                <w:color w:val="000000"/>
                <w:sz w:val="18"/>
                <w:szCs w:val="18"/>
                <w:lang w:val="en-US" w:eastAsia="en-GB"/>
              </w:rPr>
              <w:t xml:space="preserve"> the new equatio</w:t>
            </w:r>
            <w:r w:rsidR="003A4E4C" w:rsidRPr="00BF4DC1">
              <w:rPr>
                <w:rFonts w:eastAsia="Calibri" w:cs="Arial"/>
                <w:color w:val="000000"/>
                <w:sz w:val="18"/>
                <w:szCs w:val="18"/>
                <w:lang w:val="en-US" w:eastAsia="en-GB"/>
              </w:rPr>
              <w:t xml:space="preserve">n </w:t>
            </w:r>
            <w:r w:rsidR="00BF4DC1">
              <w:rPr>
                <w:rFonts w:eastAsia="Calibri" w:cs="Arial"/>
                <w:color w:val="000000"/>
                <w:sz w:val="18"/>
                <w:szCs w:val="18"/>
                <w:lang w:val="en-US" w:eastAsia="en-GB"/>
              </w:rPr>
              <w:t>to transferred to</w:t>
            </w:r>
            <w:r w:rsidR="003A4E4C" w:rsidRPr="00BF4DC1">
              <w:rPr>
                <w:rFonts w:eastAsia="Calibri" w:cs="Arial"/>
                <w:color w:val="000000"/>
                <w:sz w:val="18"/>
                <w:szCs w:val="18"/>
                <w:lang w:val="en-US" w:eastAsia="en-GB"/>
              </w:rPr>
              <w:t xml:space="preserve"> environmental temperature</w:t>
            </w:r>
            <w:r w:rsidR="00C1183E" w:rsidRPr="00DD2106">
              <w:rPr>
                <w:rFonts w:eastAsia="Calibri" w:cs="Arial"/>
                <w:color w:val="000000"/>
                <w:sz w:val="18"/>
                <w:szCs w:val="18"/>
                <w:lang w:val="en-US" w:eastAsia="en-GB"/>
              </w:rPr>
              <w:t xml:space="preserve"> an</w:t>
            </w:r>
            <w:r w:rsidR="00C1183E" w:rsidRPr="00BF4DC1">
              <w:rPr>
                <w:rFonts w:eastAsia="Calibri" w:cs="Arial"/>
                <w:color w:val="000000"/>
                <w:sz w:val="18"/>
                <w:szCs w:val="18"/>
                <w:lang w:val="en-US" w:eastAsia="en-GB"/>
              </w:rPr>
              <w:t>d</w:t>
            </w:r>
            <w:r w:rsidR="00C1183E" w:rsidRPr="00DD2106">
              <w:rPr>
                <w:rFonts w:eastAsia="Calibri" w:cs="Arial"/>
                <w:color w:val="000000"/>
                <w:sz w:val="18"/>
                <w:szCs w:val="18"/>
                <w:lang w:val="en-US" w:eastAsia="en-GB"/>
              </w:rPr>
              <w:t xml:space="preserve"> con</w:t>
            </w:r>
            <w:r w:rsidR="00C1183E" w:rsidRPr="00BF4DC1">
              <w:rPr>
                <w:rFonts w:eastAsia="Calibri" w:cs="Arial"/>
                <w:color w:val="000000"/>
                <w:sz w:val="18"/>
                <w:szCs w:val="18"/>
                <w:lang w:val="en-US" w:eastAsia="en-GB"/>
              </w:rPr>
              <w:t>sidering the worst case (6 days) at 23°C.</w:t>
            </w:r>
            <w:r w:rsidR="00BF4DC1">
              <w:rPr>
                <w:rFonts w:eastAsia="Calibri" w:cs="Arial"/>
                <w:color w:val="000000"/>
                <w:sz w:val="18"/>
                <w:szCs w:val="18"/>
                <w:lang w:val="en-US" w:eastAsia="en-GB"/>
              </w:rPr>
              <w:t>*</w:t>
            </w:r>
          </w:p>
        </w:tc>
      </w:tr>
      <w:tr w:rsidR="0006353D" w:rsidRPr="005F445F" w14:paraId="30253C6B" w14:textId="77777777" w:rsidTr="00DD2106">
        <w:trPr>
          <w:trHeight w:val="93"/>
        </w:trPr>
        <w:tc>
          <w:tcPr>
            <w:tcW w:w="3544" w:type="dxa"/>
            <w:tcBorders>
              <w:top w:val="single" w:sz="4" w:space="0" w:color="000000"/>
              <w:left w:val="single" w:sz="4" w:space="0" w:color="000000"/>
              <w:bottom w:val="single" w:sz="4" w:space="0" w:color="000000"/>
            </w:tcBorders>
            <w:shd w:val="clear" w:color="auto" w:fill="FFFFFF"/>
            <w:vAlign w:val="center"/>
          </w:tcPr>
          <w:p w14:paraId="1D66D964" w14:textId="77777777" w:rsidR="0006353D" w:rsidRPr="005F445F" w:rsidRDefault="0006353D" w:rsidP="007D5805">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ktotal (0.2m relevant for STP)</w:t>
            </w:r>
          </w:p>
        </w:tc>
        <w:tc>
          <w:tcPr>
            <w:tcW w:w="1701" w:type="dxa"/>
            <w:tcBorders>
              <w:top w:val="single" w:sz="4" w:space="0" w:color="000000"/>
              <w:left w:val="single" w:sz="4" w:space="0" w:color="000000"/>
              <w:bottom w:val="single" w:sz="4" w:space="0" w:color="000000"/>
            </w:tcBorders>
            <w:shd w:val="clear" w:color="auto" w:fill="FFFFFF"/>
          </w:tcPr>
          <w:p w14:paraId="0DAE9FB5" w14:textId="77777777" w:rsidR="0006353D" w:rsidRPr="0006353D" w:rsidRDefault="0006353D" w:rsidP="007D5805">
            <w:pPr>
              <w:autoSpaceDE w:val="0"/>
              <w:snapToGrid w:val="0"/>
              <w:spacing w:line="260" w:lineRule="atLeast"/>
              <w:rPr>
                <w:rFonts w:eastAsia="Calibri" w:cs="Arial"/>
                <w:color w:val="000000"/>
                <w:sz w:val="18"/>
                <w:szCs w:val="18"/>
                <w:lang w:eastAsia="en-GB"/>
              </w:rPr>
            </w:pPr>
            <w:r w:rsidRPr="0006353D">
              <w:rPr>
                <w:rFonts w:eastAsia="Calibri" w:cs="Arial"/>
                <w:color w:val="000000"/>
                <w:sz w:val="18"/>
                <w:szCs w:val="18"/>
                <w:lang w:eastAsia="en-GB"/>
              </w:rPr>
              <w:t>4.09E-02</w:t>
            </w:r>
          </w:p>
        </w:tc>
        <w:tc>
          <w:tcPr>
            <w:tcW w:w="1276" w:type="dxa"/>
            <w:tcBorders>
              <w:top w:val="single" w:sz="4" w:space="0" w:color="000000"/>
              <w:left w:val="single" w:sz="4" w:space="0" w:color="000000"/>
              <w:bottom w:val="single" w:sz="4" w:space="0" w:color="000000"/>
            </w:tcBorders>
            <w:shd w:val="clear" w:color="auto" w:fill="FFFFFF"/>
          </w:tcPr>
          <w:p w14:paraId="7F319614" w14:textId="77777777" w:rsidR="0006353D" w:rsidRPr="005F445F" w:rsidRDefault="0006353D" w:rsidP="007D5805">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57675E" w14:textId="77777777" w:rsidR="0006353D" w:rsidRPr="00DD2106" w:rsidRDefault="0006353D" w:rsidP="0006353D">
            <w:pPr>
              <w:suppressAutoHyphens w:val="0"/>
              <w:spacing w:before="100" w:beforeAutospacing="1" w:after="100" w:afterAutospacing="1"/>
              <w:rPr>
                <w:rFonts w:eastAsia="Calibri" w:cs="Arial"/>
                <w:color w:val="000000"/>
                <w:sz w:val="18"/>
                <w:szCs w:val="18"/>
                <w:lang w:val="en-US" w:eastAsia="en-GB"/>
              </w:rPr>
            </w:pPr>
            <w:r w:rsidRPr="00DD2106">
              <w:rPr>
                <w:rFonts w:eastAsia="Calibri" w:cs="Arial"/>
                <w:color w:val="000000"/>
                <w:sz w:val="18"/>
                <w:szCs w:val="18"/>
                <w:lang w:val="en-US" w:eastAsia="en-GB"/>
              </w:rPr>
              <w:t>Calculated</w:t>
            </w:r>
          </w:p>
        </w:tc>
      </w:tr>
    </w:tbl>
    <w:p w14:paraId="38096A75" w14:textId="746DC878" w:rsidR="00476D22" w:rsidRDefault="00BF4DC1" w:rsidP="00DD2106">
      <w:pPr>
        <w:spacing w:line="260" w:lineRule="atLeast"/>
        <w:jc w:val="both"/>
        <w:rPr>
          <w:rFonts w:eastAsia="Calibri" w:cs="Arial"/>
          <w:color w:val="000000"/>
          <w:sz w:val="18"/>
          <w:szCs w:val="18"/>
          <w:lang w:eastAsia="en-GB"/>
        </w:rPr>
      </w:pPr>
      <w:r>
        <w:rPr>
          <w:rFonts w:eastAsia="Calibri"/>
          <w:sz w:val="18"/>
          <w:szCs w:val="18"/>
          <w:lang w:val="en-US" w:eastAsia="en-US"/>
        </w:rPr>
        <w:t xml:space="preserve">* </w:t>
      </w:r>
      <w:r w:rsidR="00F83460" w:rsidRPr="00BF4DC1">
        <w:rPr>
          <w:rFonts w:eastAsia="Calibri" w:cs="Arial"/>
          <w:color w:val="000000"/>
          <w:sz w:val="18"/>
          <w:szCs w:val="18"/>
          <w:lang w:eastAsia="en-GB"/>
        </w:rPr>
        <w:t>DT</w:t>
      </w:r>
      <w:r w:rsidR="00F83460" w:rsidRPr="00BF4DC1">
        <w:rPr>
          <w:rFonts w:eastAsia="Calibri" w:cs="Arial"/>
          <w:color w:val="000000"/>
          <w:sz w:val="18"/>
          <w:szCs w:val="18"/>
          <w:vertAlign w:val="subscript"/>
          <w:lang w:eastAsia="en-GB"/>
        </w:rPr>
        <w:t>50</w:t>
      </w:r>
      <w:r w:rsidR="00F83460" w:rsidRPr="00BF4DC1">
        <w:rPr>
          <w:rFonts w:eastAsia="Calibri" w:cs="Arial"/>
          <w:color w:val="000000"/>
          <w:sz w:val="18"/>
          <w:szCs w:val="18"/>
          <w:lang w:eastAsia="en-GB"/>
        </w:rPr>
        <w:t xml:space="preserve"> for degradation in soil (at 12ºC)</w:t>
      </w:r>
      <w:r w:rsidR="00F83460">
        <w:rPr>
          <w:rFonts w:eastAsia="Calibri" w:cs="Arial"/>
          <w:color w:val="000000"/>
          <w:sz w:val="18"/>
          <w:szCs w:val="18"/>
          <w:lang w:eastAsia="en-GB"/>
        </w:rPr>
        <w:t xml:space="preserve"> of 14.4 d</w:t>
      </w:r>
      <w:r w:rsidR="00F83460">
        <w:rPr>
          <w:rFonts w:eastAsia="Calibri"/>
          <w:sz w:val="18"/>
          <w:szCs w:val="18"/>
          <w:lang w:val="en-US" w:eastAsia="en-US"/>
        </w:rPr>
        <w:t xml:space="preserve"> is obtained by u</w:t>
      </w:r>
      <w:r>
        <w:rPr>
          <w:rFonts w:eastAsia="Calibri"/>
          <w:sz w:val="18"/>
          <w:szCs w:val="18"/>
          <w:lang w:val="en-US" w:eastAsia="en-US"/>
        </w:rPr>
        <w:t>sing equation 28 (</w:t>
      </w:r>
      <w:r w:rsidRPr="004E2CF1">
        <w:rPr>
          <w:rFonts w:eastAsia="Calibri"/>
          <w:sz w:val="18"/>
          <w:szCs w:val="18"/>
          <w:lang w:eastAsia="en-US"/>
        </w:rPr>
        <w:t>ECHA Guidance on BPR Vol IV, Part B, v2.0, 2017</w:t>
      </w:r>
      <w:r>
        <w:rPr>
          <w:rFonts w:eastAsia="Calibri"/>
          <w:sz w:val="18"/>
          <w:szCs w:val="18"/>
          <w:lang w:eastAsia="en-US"/>
        </w:rPr>
        <w:t>)</w:t>
      </w:r>
      <w:r>
        <w:rPr>
          <w:rFonts w:eastAsia="Calibri" w:cs="Arial"/>
          <w:color w:val="000000"/>
          <w:sz w:val="18"/>
          <w:szCs w:val="18"/>
          <w:lang w:eastAsia="en-GB"/>
        </w:rPr>
        <w:t xml:space="preserve">. This </w:t>
      </w:r>
      <w:r w:rsidR="00F83460">
        <w:rPr>
          <w:rFonts w:eastAsia="Calibri" w:cs="Arial"/>
          <w:color w:val="000000"/>
          <w:sz w:val="18"/>
          <w:szCs w:val="18"/>
          <w:lang w:eastAsia="en-GB"/>
        </w:rPr>
        <w:t>difference</w:t>
      </w:r>
      <w:r>
        <w:rPr>
          <w:rFonts w:eastAsia="Calibri" w:cs="Arial"/>
          <w:color w:val="000000"/>
          <w:sz w:val="18"/>
          <w:szCs w:val="18"/>
          <w:lang w:eastAsia="en-GB"/>
        </w:rPr>
        <w:t xml:space="preserve"> </w:t>
      </w:r>
      <w:r w:rsidR="00F83460">
        <w:rPr>
          <w:rFonts w:eastAsia="Calibri" w:cs="Arial"/>
          <w:color w:val="000000"/>
          <w:sz w:val="18"/>
          <w:szCs w:val="18"/>
          <w:lang w:eastAsia="en-GB"/>
        </w:rPr>
        <w:t>has</w:t>
      </w:r>
      <w:r>
        <w:rPr>
          <w:rFonts w:eastAsia="Calibri" w:cs="Arial"/>
          <w:color w:val="000000"/>
          <w:sz w:val="18"/>
          <w:szCs w:val="18"/>
          <w:lang w:eastAsia="en-GB"/>
        </w:rPr>
        <w:t xml:space="preserve"> no impact in the conclusion</w:t>
      </w:r>
      <w:r w:rsidR="00F83460">
        <w:rPr>
          <w:rFonts w:eastAsia="Calibri" w:cs="Arial"/>
          <w:color w:val="000000"/>
          <w:sz w:val="18"/>
          <w:szCs w:val="18"/>
          <w:lang w:eastAsia="en-GB"/>
        </w:rPr>
        <w:t>s</w:t>
      </w:r>
      <w:r>
        <w:rPr>
          <w:rFonts w:eastAsia="Calibri" w:cs="Arial"/>
          <w:color w:val="000000"/>
          <w:sz w:val="18"/>
          <w:szCs w:val="18"/>
          <w:lang w:eastAsia="en-GB"/>
        </w:rPr>
        <w:t xml:space="preserve"> of this </w:t>
      </w:r>
      <w:r w:rsidR="00F83460">
        <w:rPr>
          <w:rFonts w:eastAsia="Calibri" w:cs="Arial"/>
          <w:color w:val="000000"/>
          <w:sz w:val="18"/>
          <w:szCs w:val="18"/>
          <w:lang w:eastAsia="en-GB"/>
        </w:rPr>
        <w:t>product assessment report</w:t>
      </w:r>
      <w:r>
        <w:rPr>
          <w:rFonts w:eastAsia="Calibri" w:cs="Arial"/>
          <w:color w:val="000000"/>
          <w:sz w:val="18"/>
          <w:szCs w:val="18"/>
          <w:lang w:eastAsia="en-GB"/>
        </w:rPr>
        <w:t>.</w:t>
      </w:r>
    </w:p>
    <w:p w14:paraId="32B09E67" w14:textId="77777777" w:rsidR="00864C9E" w:rsidRPr="00DD2106" w:rsidRDefault="00864C9E" w:rsidP="00DD2106">
      <w:pPr>
        <w:spacing w:line="260" w:lineRule="atLeast"/>
        <w:jc w:val="both"/>
        <w:rPr>
          <w:rFonts w:eastAsia="Calibri"/>
          <w:sz w:val="18"/>
          <w:szCs w:val="18"/>
          <w:lang w:val="en-US" w:eastAsia="en-US"/>
        </w:rPr>
      </w:pPr>
    </w:p>
    <w:tbl>
      <w:tblPr>
        <w:tblW w:w="9356" w:type="dxa"/>
        <w:tblInd w:w="108" w:type="dxa"/>
        <w:tblLayout w:type="fixed"/>
        <w:tblLook w:val="0000" w:firstRow="0" w:lastRow="0" w:firstColumn="0" w:lastColumn="0" w:noHBand="0" w:noVBand="0"/>
      </w:tblPr>
      <w:tblGrid>
        <w:gridCol w:w="2410"/>
        <w:gridCol w:w="3828"/>
        <w:gridCol w:w="3118"/>
      </w:tblGrid>
      <w:tr w:rsidR="00476D22" w:rsidRPr="005F445F" w14:paraId="00DA0FB2" w14:textId="77777777" w:rsidTr="00666A27">
        <w:trPr>
          <w:trHeight w:val="269"/>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C45E7CA" w14:textId="394599DE" w:rsidR="00476D22" w:rsidRPr="005F445F" w:rsidRDefault="00476D22" w:rsidP="000F3412">
            <w:pPr>
              <w:keepNext/>
              <w:autoSpaceDE w:val="0"/>
              <w:spacing w:line="260" w:lineRule="atLeast"/>
              <w:jc w:val="center"/>
              <w:rPr>
                <w:sz w:val="18"/>
                <w:szCs w:val="18"/>
              </w:rPr>
            </w:pPr>
            <w:r w:rsidRPr="005F445F">
              <w:rPr>
                <w:rFonts w:eastAsia="Calibri"/>
                <w:b/>
                <w:sz w:val="18"/>
                <w:szCs w:val="18"/>
                <w:lang w:eastAsia="en-US"/>
              </w:rPr>
              <w:t xml:space="preserve">Calculated fate and distribution in the STP </w:t>
            </w:r>
            <w:r w:rsidRPr="005F445F">
              <w:rPr>
                <w:rFonts w:eastAsia="Calibri" w:cs="Arial"/>
                <w:b/>
                <w:color w:val="000000"/>
                <w:sz w:val="18"/>
                <w:szCs w:val="18"/>
                <w:lang w:eastAsia="en-GB"/>
              </w:rPr>
              <w:t xml:space="preserve">of </w:t>
            </w:r>
            <w:r w:rsidRPr="005F445F">
              <w:rPr>
                <w:rFonts w:eastAsia="Calibri" w:cs="Times New Roman"/>
                <w:b/>
                <w:sz w:val="18"/>
                <w:szCs w:val="18"/>
                <w:lang w:eastAsia="en-US"/>
              </w:rPr>
              <w:t>OTNE</w:t>
            </w:r>
          </w:p>
        </w:tc>
      </w:tr>
      <w:tr w:rsidR="00476D22" w:rsidRPr="005F445F" w14:paraId="2DA8CC62" w14:textId="77777777" w:rsidTr="00666A27">
        <w:trPr>
          <w:cantSplit/>
          <w:trHeight w:val="790"/>
        </w:trPr>
        <w:tc>
          <w:tcPr>
            <w:tcW w:w="2410" w:type="dxa"/>
            <w:tcBorders>
              <w:top w:val="single" w:sz="4" w:space="0" w:color="000000"/>
              <w:left w:val="single" w:sz="4" w:space="0" w:color="000000"/>
              <w:bottom w:val="single" w:sz="4" w:space="0" w:color="000000"/>
            </w:tcBorders>
            <w:shd w:val="clear" w:color="auto" w:fill="FFFFFF"/>
            <w:vAlign w:val="center"/>
          </w:tcPr>
          <w:p w14:paraId="4898D4F0"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Compartment</w:t>
            </w:r>
          </w:p>
        </w:tc>
        <w:tc>
          <w:tcPr>
            <w:tcW w:w="3828" w:type="dxa"/>
            <w:tcBorders>
              <w:top w:val="single" w:sz="4" w:space="0" w:color="000000"/>
              <w:left w:val="single" w:sz="4" w:space="0" w:color="000000"/>
            </w:tcBorders>
            <w:shd w:val="clear" w:color="auto" w:fill="FFFFFF"/>
            <w:vAlign w:val="center"/>
          </w:tcPr>
          <w:p w14:paraId="2A2DDAA6" w14:textId="77777777" w:rsidR="00476D22" w:rsidRPr="005F445F" w:rsidRDefault="00476D22" w:rsidP="00476D22">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Percentage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9E0FB" w14:textId="77777777" w:rsidR="00476D22" w:rsidRPr="005F445F" w:rsidRDefault="00476D22" w:rsidP="00476D22">
            <w:pPr>
              <w:autoSpaceDE w:val="0"/>
              <w:spacing w:line="260" w:lineRule="atLeast"/>
              <w:jc w:val="center"/>
              <w:rPr>
                <w:sz w:val="18"/>
                <w:szCs w:val="18"/>
              </w:rPr>
            </w:pPr>
            <w:r w:rsidRPr="005F445F">
              <w:rPr>
                <w:rFonts w:eastAsia="Calibri" w:cs="Arial"/>
                <w:bCs/>
                <w:color w:val="000000"/>
                <w:sz w:val="18"/>
                <w:szCs w:val="18"/>
                <w:lang w:eastAsia="en-GB"/>
              </w:rPr>
              <w:t>Remarks</w:t>
            </w:r>
          </w:p>
        </w:tc>
      </w:tr>
      <w:tr w:rsidR="00476D22" w:rsidRPr="005F445F" w14:paraId="1C37CE34"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3FB5A537"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Air</w:t>
            </w:r>
          </w:p>
        </w:tc>
        <w:tc>
          <w:tcPr>
            <w:tcW w:w="3828" w:type="dxa"/>
            <w:tcBorders>
              <w:top w:val="single" w:sz="4" w:space="0" w:color="000000"/>
              <w:left w:val="single" w:sz="4" w:space="0" w:color="000000"/>
              <w:bottom w:val="single" w:sz="4" w:space="0" w:color="000000"/>
            </w:tcBorders>
            <w:shd w:val="clear" w:color="auto" w:fill="FFFFFF"/>
            <w:vAlign w:val="center"/>
          </w:tcPr>
          <w:p w14:paraId="3690121D"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8.25</w:t>
            </w:r>
          </w:p>
        </w:tc>
        <w:tc>
          <w:tcPr>
            <w:tcW w:w="3118" w:type="dxa"/>
            <w:vMerge w:val="restart"/>
            <w:tcBorders>
              <w:top w:val="single" w:sz="4" w:space="0" w:color="000000"/>
              <w:left w:val="single" w:sz="4" w:space="0" w:color="000000"/>
              <w:right w:val="single" w:sz="4" w:space="0" w:color="000000"/>
            </w:tcBorders>
            <w:shd w:val="clear" w:color="auto" w:fill="FFFFFF"/>
            <w:vAlign w:val="center"/>
          </w:tcPr>
          <w:p w14:paraId="5013A1ED"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Simple treat v4.0</w:t>
            </w:r>
          </w:p>
        </w:tc>
      </w:tr>
      <w:tr w:rsidR="00476D22" w:rsidRPr="005F445F" w14:paraId="123597E9"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23EE50D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w:t>
            </w:r>
          </w:p>
        </w:tc>
        <w:tc>
          <w:tcPr>
            <w:tcW w:w="3828" w:type="dxa"/>
            <w:tcBorders>
              <w:top w:val="single" w:sz="4" w:space="0" w:color="000000"/>
              <w:left w:val="single" w:sz="4" w:space="0" w:color="000000"/>
              <w:bottom w:val="single" w:sz="4" w:space="0" w:color="000000"/>
            </w:tcBorders>
            <w:shd w:val="clear" w:color="auto" w:fill="FFFFFF"/>
            <w:vAlign w:val="center"/>
          </w:tcPr>
          <w:p w14:paraId="08A051E7"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34.28</w:t>
            </w:r>
          </w:p>
        </w:tc>
        <w:tc>
          <w:tcPr>
            <w:tcW w:w="3118" w:type="dxa"/>
            <w:vMerge/>
            <w:tcBorders>
              <w:left w:val="single" w:sz="4" w:space="0" w:color="000000"/>
              <w:right w:val="single" w:sz="4" w:space="0" w:color="000000"/>
            </w:tcBorders>
            <w:shd w:val="clear" w:color="auto" w:fill="FFFFFF"/>
          </w:tcPr>
          <w:p w14:paraId="0972BFD2"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4DA55BBB"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2D117719"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Sludge</w:t>
            </w:r>
          </w:p>
        </w:tc>
        <w:tc>
          <w:tcPr>
            <w:tcW w:w="3828" w:type="dxa"/>
            <w:tcBorders>
              <w:top w:val="single" w:sz="4" w:space="0" w:color="000000"/>
              <w:left w:val="single" w:sz="4" w:space="0" w:color="000000"/>
              <w:bottom w:val="single" w:sz="4" w:space="0" w:color="000000"/>
            </w:tcBorders>
            <w:shd w:val="clear" w:color="auto" w:fill="FFFFFF"/>
            <w:vAlign w:val="center"/>
          </w:tcPr>
          <w:p w14:paraId="1212CF6E"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57.47</w:t>
            </w:r>
          </w:p>
        </w:tc>
        <w:tc>
          <w:tcPr>
            <w:tcW w:w="3118" w:type="dxa"/>
            <w:vMerge/>
            <w:tcBorders>
              <w:left w:val="single" w:sz="4" w:space="0" w:color="000000"/>
              <w:right w:val="single" w:sz="4" w:space="0" w:color="000000"/>
            </w:tcBorders>
            <w:shd w:val="clear" w:color="auto" w:fill="FFFFFF"/>
          </w:tcPr>
          <w:p w14:paraId="76AC5E2A"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r w:rsidR="00476D22" w:rsidRPr="005F445F" w14:paraId="0FE4C14E" w14:textId="77777777" w:rsidTr="00666A27">
        <w:trPr>
          <w:trHeight w:val="75"/>
        </w:trPr>
        <w:tc>
          <w:tcPr>
            <w:tcW w:w="2410" w:type="dxa"/>
            <w:tcBorders>
              <w:top w:val="single" w:sz="4" w:space="0" w:color="000000"/>
              <w:left w:val="single" w:sz="4" w:space="0" w:color="000000"/>
              <w:bottom w:val="single" w:sz="4" w:space="0" w:color="000000"/>
            </w:tcBorders>
            <w:shd w:val="clear" w:color="auto" w:fill="FFFFFF"/>
          </w:tcPr>
          <w:p w14:paraId="5BBCF31E" w14:textId="77777777" w:rsidR="00476D22" w:rsidRPr="005F445F" w:rsidRDefault="00476D22" w:rsidP="00476D22">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Degraded in STP</w:t>
            </w:r>
          </w:p>
        </w:tc>
        <w:tc>
          <w:tcPr>
            <w:tcW w:w="3828" w:type="dxa"/>
            <w:tcBorders>
              <w:top w:val="single" w:sz="4" w:space="0" w:color="000000"/>
              <w:left w:val="single" w:sz="4" w:space="0" w:color="000000"/>
              <w:bottom w:val="single" w:sz="4" w:space="0" w:color="000000"/>
            </w:tcBorders>
            <w:shd w:val="clear" w:color="auto" w:fill="FFFFFF"/>
            <w:vAlign w:val="center"/>
          </w:tcPr>
          <w:p w14:paraId="7AC7AC19" w14:textId="77777777" w:rsidR="00476D22" w:rsidRPr="005F445F" w:rsidRDefault="00476D22" w:rsidP="00476D22">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0</w:t>
            </w:r>
          </w:p>
        </w:tc>
        <w:tc>
          <w:tcPr>
            <w:tcW w:w="3118" w:type="dxa"/>
            <w:vMerge/>
            <w:tcBorders>
              <w:left w:val="single" w:sz="4" w:space="0" w:color="000000"/>
              <w:bottom w:val="single" w:sz="4" w:space="0" w:color="000000"/>
              <w:right w:val="single" w:sz="4" w:space="0" w:color="000000"/>
            </w:tcBorders>
            <w:shd w:val="clear" w:color="auto" w:fill="FFFFFF"/>
          </w:tcPr>
          <w:p w14:paraId="592231FE" w14:textId="77777777" w:rsidR="00476D22" w:rsidRPr="005F445F" w:rsidRDefault="00476D22" w:rsidP="00476D22">
            <w:pPr>
              <w:autoSpaceDE w:val="0"/>
              <w:snapToGrid w:val="0"/>
              <w:spacing w:line="260" w:lineRule="atLeast"/>
              <w:rPr>
                <w:rFonts w:eastAsia="Calibri" w:cs="Arial"/>
                <w:color w:val="000000"/>
                <w:sz w:val="18"/>
                <w:szCs w:val="18"/>
                <w:lang w:eastAsia="en-GB"/>
              </w:rPr>
            </w:pPr>
          </w:p>
        </w:tc>
      </w:tr>
    </w:tbl>
    <w:p w14:paraId="55D8939E" w14:textId="77777777" w:rsidR="00476D22" w:rsidRPr="00B27CB1" w:rsidRDefault="00476D22" w:rsidP="00476D22">
      <w:pPr>
        <w:spacing w:line="260" w:lineRule="atLeast"/>
        <w:rPr>
          <w:rFonts w:eastAsia="Calibri"/>
          <w:lang w:eastAsia="en-US"/>
        </w:rPr>
      </w:pPr>
    </w:p>
    <w:p w14:paraId="657422F8" w14:textId="77777777" w:rsidR="00931312" w:rsidRPr="00B27CB1" w:rsidRDefault="00931312" w:rsidP="00931312">
      <w:pPr>
        <w:spacing w:line="260" w:lineRule="atLeast"/>
        <w:rPr>
          <w:rFonts w:ascii="Times New Roman" w:eastAsia="Calibri" w:hAnsi="Times New Roman" w:cs="Times New Roman"/>
          <w:i/>
          <w:iCs/>
          <w:lang w:eastAsia="en-US"/>
        </w:rPr>
      </w:pPr>
    </w:p>
    <w:p w14:paraId="336E7922" w14:textId="77777777" w:rsidR="00931312" w:rsidRPr="00B27CB1" w:rsidRDefault="00931312" w:rsidP="00931312">
      <w:pPr>
        <w:rPr>
          <w:rFonts w:eastAsia="Calibri"/>
          <w:b/>
          <w:i/>
          <w:sz w:val="22"/>
          <w:szCs w:val="22"/>
          <w:lang w:eastAsia="en-US"/>
        </w:rPr>
      </w:pPr>
      <w:r w:rsidRPr="00B27CB1">
        <w:rPr>
          <w:rFonts w:eastAsia="Calibri"/>
          <w:b/>
          <w:i/>
          <w:sz w:val="22"/>
          <w:szCs w:val="22"/>
          <w:lang w:eastAsia="en-US"/>
        </w:rPr>
        <w:t>Calculated PEC values</w:t>
      </w:r>
    </w:p>
    <w:p w14:paraId="520FD0F7" w14:textId="77777777" w:rsidR="00CC32E9" w:rsidRPr="00B27CB1" w:rsidRDefault="00CC32E9" w:rsidP="00CC32E9">
      <w:pPr>
        <w:spacing w:line="260" w:lineRule="atLeast"/>
        <w:rPr>
          <w:rFonts w:eastAsia="Calibri"/>
          <w:b/>
          <w:i/>
          <w:sz w:val="22"/>
          <w:szCs w:val="22"/>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197"/>
        <w:gridCol w:w="1197"/>
        <w:gridCol w:w="1197"/>
        <w:gridCol w:w="1197"/>
        <w:gridCol w:w="1193"/>
      </w:tblGrid>
      <w:tr w:rsidR="00CC32E9" w:rsidRPr="002C76DF" w14:paraId="2D2AF5AC" w14:textId="77777777" w:rsidTr="0084573E">
        <w:trPr>
          <w:trHeight w:val="249"/>
        </w:trPr>
        <w:tc>
          <w:tcPr>
            <w:tcW w:w="5000" w:type="pct"/>
            <w:gridSpan w:val="6"/>
            <w:shd w:val="clear" w:color="auto" w:fill="FFFFCC"/>
            <w:vAlign w:val="center"/>
          </w:tcPr>
          <w:p w14:paraId="43D067CD" w14:textId="77777777" w:rsidR="00CC32E9" w:rsidRPr="009118B1" w:rsidRDefault="00CC32E9" w:rsidP="00BA238F">
            <w:pPr>
              <w:autoSpaceDE w:val="0"/>
              <w:spacing w:before="60" w:after="60" w:line="260" w:lineRule="atLeast"/>
              <w:jc w:val="center"/>
              <w:rPr>
                <w:sz w:val="18"/>
                <w:szCs w:val="18"/>
              </w:rPr>
            </w:pPr>
            <w:r w:rsidRPr="002C76DF">
              <w:rPr>
                <w:rFonts w:eastAsia="Calibri" w:cs="Arial"/>
                <w:b/>
                <w:bCs/>
                <w:sz w:val="18"/>
                <w:szCs w:val="18"/>
                <w:lang w:eastAsia="en-GB"/>
              </w:rPr>
              <w:t>Summary table on calculated PEC values of L(+) Lactic acid</w:t>
            </w:r>
          </w:p>
        </w:tc>
      </w:tr>
      <w:tr w:rsidR="00CC32E9" w:rsidRPr="002C76DF" w14:paraId="6263BECF" w14:textId="77777777" w:rsidTr="00972CC0">
        <w:trPr>
          <w:trHeight w:val="249"/>
        </w:trPr>
        <w:tc>
          <w:tcPr>
            <w:tcW w:w="1712" w:type="pct"/>
            <w:vMerge w:val="restart"/>
            <w:shd w:val="clear" w:color="auto" w:fill="FFFFFF"/>
            <w:vAlign w:val="center"/>
          </w:tcPr>
          <w:p w14:paraId="641F84EC" w14:textId="77777777" w:rsidR="00CC32E9" w:rsidRPr="002C76DF" w:rsidRDefault="00CC32E9" w:rsidP="00BA238F">
            <w:pPr>
              <w:snapToGrid w:val="0"/>
              <w:spacing w:before="60" w:after="60" w:line="276" w:lineRule="auto"/>
              <w:jc w:val="center"/>
              <w:rPr>
                <w:rFonts w:eastAsia="Calibri" w:cs="Arial"/>
                <w:color w:val="000000"/>
                <w:sz w:val="18"/>
                <w:szCs w:val="18"/>
                <w:lang w:eastAsia="en-GB"/>
              </w:rPr>
            </w:pPr>
          </w:p>
        </w:tc>
        <w:tc>
          <w:tcPr>
            <w:tcW w:w="658" w:type="pct"/>
            <w:shd w:val="clear" w:color="auto" w:fill="FFFFFF"/>
            <w:vAlign w:val="center"/>
          </w:tcPr>
          <w:p w14:paraId="283B4FD7" w14:textId="77777777" w:rsidR="00CC32E9" w:rsidRPr="004F7214" w:rsidRDefault="00CC32E9" w:rsidP="00BA238F">
            <w:pPr>
              <w:autoSpaceDE w:val="0"/>
              <w:spacing w:before="60" w:after="60" w:line="260" w:lineRule="atLeast"/>
              <w:jc w:val="center"/>
              <w:rPr>
                <w:rFonts w:eastAsia="Calibri" w:cs="Arial"/>
                <w:b/>
                <w:bCs/>
                <w:sz w:val="18"/>
                <w:szCs w:val="18"/>
                <w:lang w:eastAsia="en-GB"/>
              </w:rPr>
            </w:pPr>
            <w:r w:rsidRPr="00B66EA6">
              <w:rPr>
                <w:rFonts w:eastAsia="Calibri" w:cs="Arial"/>
                <w:b/>
                <w:bCs/>
                <w:color w:val="000000"/>
                <w:sz w:val="18"/>
                <w:szCs w:val="18"/>
                <w:lang w:eastAsia="en-GB"/>
              </w:rPr>
              <w:t>PEC</w:t>
            </w:r>
            <w:r w:rsidRPr="004F7214">
              <w:rPr>
                <w:rFonts w:eastAsia="Calibri" w:cs="Arial"/>
                <w:b/>
                <w:bCs/>
                <w:color w:val="000000"/>
                <w:sz w:val="18"/>
                <w:szCs w:val="18"/>
                <w:vertAlign w:val="subscript"/>
                <w:lang w:eastAsia="en-GB"/>
              </w:rPr>
              <w:t>STP</w:t>
            </w:r>
          </w:p>
        </w:tc>
        <w:tc>
          <w:tcPr>
            <w:tcW w:w="658" w:type="pct"/>
            <w:shd w:val="clear" w:color="auto" w:fill="FFFFFF"/>
            <w:vAlign w:val="center"/>
          </w:tcPr>
          <w:p w14:paraId="0672B97C" w14:textId="77777777" w:rsidR="00CC32E9" w:rsidRPr="002C76DF" w:rsidRDefault="00CC32E9" w:rsidP="00BA238F">
            <w:pPr>
              <w:spacing w:before="60" w:after="60" w:line="276" w:lineRule="auto"/>
              <w:jc w:val="center"/>
              <w:rPr>
                <w:rFonts w:eastAsia="Calibri" w:cs="Arial"/>
                <w:b/>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water</w:t>
            </w:r>
          </w:p>
        </w:tc>
        <w:tc>
          <w:tcPr>
            <w:tcW w:w="658" w:type="pct"/>
            <w:shd w:val="clear" w:color="auto" w:fill="FFFFFF"/>
            <w:vAlign w:val="center"/>
          </w:tcPr>
          <w:p w14:paraId="4D6B91BB" w14:textId="77777777" w:rsidR="00CC32E9" w:rsidRDefault="00CC32E9" w:rsidP="00BA238F">
            <w:pPr>
              <w:spacing w:before="60" w:after="60" w:line="276" w:lineRule="auto"/>
              <w:jc w:val="center"/>
              <w:rPr>
                <w:rFonts w:eastAsia="Calibri" w:cs="Arial"/>
                <w:b/>
                <w:sz w:val="18"/>
                <w:szCs w:val="18"/>
                <w:vertAlign w:val="subscript"/>
                <w:lang w:eastAsia="en-GB"/>
              </w:rPr>
            </w:pPr>
            <w:r w:rsidRPr="002C76DF">
              <w:rPr>
                <w:rFonts w:eastAsia="Calibri" w:cs="Arial"/>
                <w:b/>
                <w:sz w:val="18"/>
                <w:szCs w:val="18"/>
                <w:lang w:eastAsia="en-GB"/>
              </w:rPr>
              <w:t>PEC</w:t>
            </w:r>
            <w:r w:rsidRPr="002C76DF">
              <w:rPr>
                <w:rFonts w:eastAsia="Calibri" w:cs="Arial"/>
                <w:b/>
                <w:sz w:val="18"/>
                <w:szCs w:val="18"/>
                <w:vertAlign w:val="subscript"/>
                <w:lang w:eastAsia="en-GB"/>
              </w:rPr>
              <w:t>sed</w:t>
            </w:r>
          </w:p>
          <w:p w14:paraId="7A427D5F" w14:textId="2B4BDEDE" w:rsidR="00CC32E9" w:rsidRPr="002C76DF" w:rsidRDefault="0060086F" w:rsidP="00BA238F">
            <w:pPr>
              <w:spacing w:before="60" w:after="60" w:line="276" w:lineRule="auto"/>
              <w:jc w:val="center"/>
              <w:rPr>
                <w:rFonts w:eastAsia="Calibri" w:cs="Arial"/>
                <w:b/>
                <w:bCs/>
                <w:sz w:val="18"/>
                <w:szCs w:val="18"/>
                <w:lang w:eastAsia="en-GB"/>
              </w:rPr>
            </w:pPr>
            <w:r>
              <w:rPr>
                <w:rFonts w:eastAsia="Calibri" w:cs="Arial"/>
                <w:b/>
                <w:sz w:val="18"/>
                <w:szCs w:val="18"/>
                <w:vertAlign w:val="subscript"/>
                <w:lang w:eastAsia="en-GB"/>
              </w:rPr>
              <w:t>(EPM covered by water)</w:t>
            </w:r>
          </w:p>
        </w:tc>
        <w:tc>
          <w:tcPr>
            <w:tcW w:w="658" w:type="pct"/>
            <w:shd w:val="clear" w:color="auto" w:fill="auto"/>
            <w:vAlign w:val="center"/>
          </w:tcPr>
          <w:p w14:paraId="63D08F9C" w14:textId="77777777" w:rsidR="00CC32E9" w:rsidRPr="002C76DF" w:rsidRDefault="00CC32E9" w:rsidP="00BA238F">
            <w:pPr>
              <w:spacing w:before="60" w:after="60" w:line="276" w:lineRule="auto"/>
              <w:jc w:val="center"/>
              <w:rPr>
                <w:rFonts w:eastAsia="Calibri" w:cs="Arial"/>
                <w:b/>
                <w:bCs/>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soil</w:t>
            </w:r>
          </w:p>
        </w:tc>
        <w:tc>
          <w:tcPr>
            <w:tcW w:w="656" w:type="pct"/>
            <w:shd w:val="clear" w:color="auto" w:fill="auto"/>
            <w:vAlign w:val="center"/>
          </w:tcPr>
          <w:p w14:paraId="5322354D" w14:textId="77777777" w:rsidR="00CC32E9" w:rsidRPr="002C76DF" w:rsidRDefault="00CC32E9" w:rsidP="00BA238F">
            <w:pPr>
              <w:spacing w:before="60" w:after="60" w:line="276" w:lineRule="auto"/>
              <w:jc w:val="center"/>
              <w:rPr>
                <w:rFonts w:eastAsia="Calibri" w:cs="Arial"/>
                <w:b/>
                <w:bCs/>
                <w:color w:val="000000"/>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GW</w:t>
            </w:r>
          </w:p>
        </w:tc>
      </w:tr>
      <w:tr w:rsidR="00CC32E9" w:rsidRPr="002C76DF" w14:paraId="223846CA" w14:textId="77777777" w:rsidTr="00972CC0">
        <w:trPr>
          <w:trHeight w:val="249"/>
        </w:trPr>
        <w:tc>
          <w:tcPr>
            <w:tcW w:w="1712" w:type="pct"/>
            <w:vMerge/>
            <w:shd w:val="clear" w:color="auto" w:fill="FFFFFF"/>
            <w:vAlign w:val="center"/>
          </w:tcPr>
          <w:p w14:paraId="279C045C" w14:textId="77777777" w:rsidR="00CC32E9" w:rsidRPr="009118B1" w:rsidRDefault="00CC32E9" w:rsidP="00BA238F">
            <w:pPr>
              <w:rPr>
                <w:sz w:val="18"/>
                <w:szCs w:val="18"/>
              </w:rPr>
            </w:pPr>
          </w:p>
        </w:tc>
        <w:tc>
          <w:tcPr>
            <w:tcW w:w="658" w:type="pct"/>
            <w:shd w:val="clear" w:color="auto" w:fill="FFFFFF"/>
          </w:tcPr>
          <w:p w14:paraId="27600C40"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shd w:val="clear" w:color="auto" w:fill="FFFFFF"/>
            <w:vAlign w:val="center"/>
          </w:tcPr>
          <w:p w14:paraId="2AC2AA06"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shd w:val="clear" w:color="auto" w:fill="FFFFFF"/>
            <w:vAlign w:val="center"/>
          </w:tcPr>
          <w:p w14:paraId="0901798E"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8" w:type="pct"/>
            <w:shd w:val="clear" w:color="auto" w:fill="auto"/>
            <w:vAlign w:val="center"/>
          </w:tcPr>
          <w:p w14:paraId="18A0FA1B"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6" w:type="pct"/>
            <w:shd w:val="clear" w:color="auto" w:fill="auto"/>
            <w:vAlign w:val="center"/>
          </w:tcPr>
          <w:p w14:paraId="72A79627" w14:textId="77777777" w:rsidR="00CC32E9" w:rsidRPr="009118B1" w:rsidRDefault="00CC32E9" w:rsidP="00BA238F">
            <w:pPr>
              <w:spacing w:before="60" w:after="60" w:line="276" w:lineRule="auto"/>
              <w:jc w:val="center"/>
              <w:rPr>
                <w:rFonts w:eastAsia="Calibri" w:cs="Arial"/>
                <w:bCs/>
                <w:color w:val="000000"/>
                <w:sz w:val="18"/>
                <w:szCs w:val="18"/>
                <w:lang w:eastAsia="en-GB"/>
              </w:rPr>
            </w:pPr>
            <w:r w:rsidRPr="009118B1">
              <w:rPr>
                <w:rFonts w:eastAsia="Calibri" w:cs="Arial"/>
                <w:bCs/>
                <w:color w:val="000000"/>
                <w:sz w:val="18"/>
                <w:szCs w:val="18"/>
                <w:lang w:eastAsia="en-GB"/>
              </w:rPr>
              <w:t>[μg/</w:t>
            </w:r>
            <w:r>
              <w:rPr>
                <w:rFonts w:eastAsia="Calibri" w:cs="Arial"/>
                <w:bCs/>
                <w:color w:val="000000"/>
                <w:sz w:val="18"/>
                <w:szCs w:val="18"/>
                <w:lang w:eastAsia="en-GB"/>
              </w:rPr>
              <w:t>L</w:t>
            </w:r>
            <w:r w:rsidRPr="009118B1">
              <w:rPr>
                <w:rFonts w:eastAsia="Calibri" w:cs="Arial"/>
                <w:bCs/>
                <w:color w:val="000000"/>
                <w:sz w:val="18"/>
                <w:szCs w:val="18"/>
                <w:lang w:eastAsia="en-GB"/>
              </w:rPr>
              <w:t>]</w:t>
            </w:r>
          </w:p>
        </w:tc>
      </w:tr>
      <w:tr w:rsidR="00CC32E9" w:rsidRPr="002C76DF" w14:paraId="0A98EC63" w14:textId="77777777" w:rsidTr="0084573E">
        <w:trPr>
          <w:trHeight w:val="75"/>
        </w:trPr>
        <w:tc>
          <w:tcPr>
            <w:tcW w:w="1712" w:type="pct"/>
            <w:tcBorders>
              <w:bottom w:val="single" w:sz="4" w:space="0" w:color="auto"/>
            </w:tcBorders>
            <w:shd w:val="clear" w:color="auto" w:fill="FFFFFF"/>
          </w:tcPr>
          <w:p w14:paraId="64006728" w14:textId="2836520E"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1</w:t>
            </w:r>
            <w:r w:rsidR="001425DE">
              <w:rPr>
                <w:rFonts w:eastAsia="Calibri" w:cs="Arial"/>
                <w:sz w:val="18"/>
                <w:szCs w:val="18"/>
                <w:lang w:eastAsia="en-GB"/>
              </w:rPr>
              <w:t>a</w:t>
            </w:r>
            <w:r w:rsidRPr="002C76DF">
              <w:rPr>
                <w:rFonts w:eastAsia="Calibri" w:cs="Arial"/>
                <w:sz w:val="18"/>
                <w:szCs w:val="18"/>
                <w:lang w:eastAsia="en-GB"/>
              </w:rPr>
              <w:t xml:space="preserve"> – PT02 </w:t>
            </w:r>
          </w:p>
          <w:p w14:paraId="7E825713" w14:textId="77777777" w:rsidR="00CC32E9" w:rsidRPr="002C76DF" w:rsidRDefault="00CC32E9" w:rsidP="00BA238F">
            <w:pPr>
              <w:spacing w:before="60" w:after="60" w:line="276" w:lineRule="auto"/>
              <w:rPr>
                <w:rFonts w:eastAsia="Calibri" w:cs="Arial"/>
                <w:color w:val="000000"/>
                <w:sz w:val="18"/>
                <w:szCs w:val="18"/>
                <w:lang w:eastAsia="en-GB"/>
              </w:rPr>
            </w:pPr>
            <w:r w:rsidRPr="009118B1">
              <w:rPr>
                <w:rFonts w:eastAsia="Calibri"/>
                <w:sz w:val="18"/>
                <w:szCs w:val="18"/>
                <w:lang w:eastAsia="en-US"/>
              </w:rPr>
              <w:t>Institutional areas</w:t>
            </w:r>
          </w:p>
        </w:tc>
        <w:tc>
          <w:tcPr>
            <w:tcW w:w="658" w:type="pct"/>
            <w:tcBorders>
              <w:bottom w:val="single" w:sz="4" w:space="0" w:color="auto"/>
            </w:tcBorders>
            <w:shd w:val="clear" w:color="auto" w:fill="FFFFFF"/>
            <w:vAlign w:val="center"/>
          </w:tcPr>
          <w:p w14:paraId="6953632B" w14:textId="77777777" w:rsidR="00CC32E9" w:rsidRPr="004F7214" w:rsidRDefault="00CC32E9" w:rsidP="00BA238F">
            <w:pPr>
              <w:autoSpaceDE w:val="0"/>
              <w:snapToGrid w:val="0"/>
              <w:spacing w:before="60" w:after="60" w:line="260" w:lineRule="atLeast"/>
              <w:jc w:val="center"/>
              <w:rPr>
                <w:rFonts w:eastAsia="Calibri" w:cs="Arial"/>
                <w:color w:val="000000"/>
                <w:sz w:val="18"/>
                <w:szCs w:val="18"/>
                <w:lang w:eastAsia="en-GB"/>
              </w:rPr>
            </w:pPr>
            <w:r w:rsidRPr="00B66EA6">
              <w:rPr>
                <w:rFonts w:eastAsia="Calibri" w:cs="Arial"/>
                <w:color w:val="000000"/>
                <w:sz w:val="18"/>
                <w:szCs w:val="18"/>
                <w:lang w:eastAsia="en-GB"/>
              </w:rPr>
              <w:t>1.58E-01</w:t>
            </w:r>
          </w:p>
        </w:tc>
        <w:tc>
          <w:tcPr>
            <w:tcW w:w="658" w:type="pct"/>
            <w:tcBorders>
              <w:bottom w:val="single" w:sz="4" w:space="0" w:color="auto"/>
            </w:tcBorders>
            <w:shd w:val="clear" w:color="auto" w:fill="FFFFFF"/>
            <w:vAlign w:val="center"/>
          </w:tcPr>
          <w:p w14:paraId="3F105EC9" w14:textId="77777777" w:rsidR="00CC32E9" w:rsidRPr="002C76DF" w:rsidRDefault="00CC32E9" w:rsidP="00BA238F">
            <w:pPr>
              <w:snapToGrid w:val="0"/>
              <w:spacing w:before="60" w:after="60" w:line="276" w:lineRule="auto"/>
              <w:jc w:val="center"/>
              <w:rPr>
                <w:rFonts w:eastAsia="Calibri" w:cs="Arial"/>
                <w:color w:val="000000"/>
                <w:sz w:val="18"/>
                <w:szCs w:val="18"/>
                <w:lang w:eastAsia="en-GB"/>
              </w:rPr>
            </w:pPr>
            <w:r w:rsidRPr="002C76DF">
              <w:rPr>
                <w:rFonts w:eastAsia="Calibri" w:cs="Arial"/>
                <w:color w:val="000000"/>
                <w:sz w:val="18"/>
                <w:szCs w:val="18"/>
                <w:lang w:eastAsia="en-GB"/>
              </w:rPr>
              <w:t>1.57E-02</w:t>
            </w:r>
          </w:p>
        </w:tc>
        <w:tc>
          <w:tcPr>
            <w:tcW w:w="658" w:type="pct"/>
            <w:tcBorders>
              <w:bottom w:val="single" w:sz="4" w:space="0" w:color="auto"/>
            </w:tcBorders>
            <w:shd w:val="clear" w:color="auto" w:fill="FFFFFF"/>
            <w:vAlign w:val="center"/>
          </w:tcPr>
          <w:p w14:paraId="721109A7" w14:textId="19B1B4B3" w:rsidR="00CC32E9" w:rsidRPr="002C76DF" w:rsidRDefault="0060086F"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tcBorders>
              <w:bottom w:val="single" w:sz="4" w:space="0" w:color="auto"/>
            </w:tcBorders>
            <w:shd w:val="clear" w:color="auto" w:fill="auto"/>
            <w:vAlign w:val="center"/>
          </w:tcPr>
          <w:p w14:paraId="12AC3432"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3.61E-03</w:t>
            </w:r>
          </w:p>
        </w:tc>
        <w:tc>
          <w:tcPr>
            <w:tcW w:w="656" w:type="pct"/>
            <w:tcBorders>
              <w:bottom w:val="single" w:sz="4" w:space="0" w:color="auto"/>
            </w:tcBorders>
            <w:shd w:val="clear" w:color="auto" w:fill="auto"/>
            <w:vAlign w:val="center"/>
          </w:tcPr>
          <w:p w14:paraId="735B249F" w14:textId="77777777" w:rsidR="00CC32E9" w:rsidRPr="002C76DF" w:rsidRDefault="00CC32E9" w:rsidP="00BA238F">
            <w:pPr>
              <w:snapToGrid w:val="0"/>
              <w:spacing w:before="60" w:after="60" w:line="276" w:lineRule="auto"/>
              <w:jc w:val="center"/>
              <w:rPr>
                <w:rFonts w:eastAsia="Calibri" w:cs="Arial"/>
                <w:b/>
                <w:sz w:val="18"/>
                <w:szCs w:val="18"/>
                <w:lang w:eastAsia="en-GB"/>
              </w:rPr>
            </w:pPr>
            <w:r w:rsidRPr="002C76DF">
              <w:rPr>
                <w:rFonts w:eastAsia="Calibri" w:cs="Arial"/>
                <w:b/>
                <w:sz w:val="18"/>
                <w:szCs w:val="18"/>
                <w:lang w:eastAsia="en-GB"/>
              </w:rPr>
              <w:t>2.34</w:t>
            </w:r>
          </w:p>
        </w:tc>
      </w:tr>
      <w:tr w:rsidR="001425DE" w:rsidRPr="002C76DF" w14:paraId="6C44419F" w14:textId="77777777" w:rsidTr="00972CC0">
        <w:trPr>
          <w:trHeight w:val="75"/>
        </w:trPr>
        <w:tc>
          <w:tcPr>
            <w:tcW w:w="1712" w:type="pct"/>
            <w:tcBorders>
              <w:top w:val="single" w:sz="4" w:space="0" w:color="auto"/>
            </w:tcBorders>
            <w:shd w:val="clear" w:color="auto" w:fill="FFFFFF"/>
          </w:tcPr>
          <w:p w14:paraId="6FA8D67C" w14:textId="6BE202BD" w:rsidR="001425DE" w:rsidRPr="009118B1" w:rsidRDefault="001425DE" w:rsidP="000923EF">
            <w:pPr>
              <w:spacing w:before="60" w:after="60" w:line="276" w:lineRule="auto"/>
              <w:rPr>
                <w:sz w:val="18"/>
                <w:szCs w:val="18"/>
              </w:rPr>
            </w:pPr>
            <w:r>
              <w:rPr>
                <w:rFonts w:eastAsia="Calibri" w:cs="Arial"/>
                <w:sz w:val="18"/>
                <w:szCs w:val="18"/>
                <w:lang w:eastAsia="en-GB"/>
              </w:rPr>
              <w:t>Scenario 1b</w:t>
            </w:r>
            <w:r w:rsidRPr="002C76DF">
              <w:rPr>
                <w:rFonts w:eastAsia="Calibri" w:cs="Arial"/>
                <w:sz w:val="18"/>
                <w:szCs w:val="18"/>
                <w:lang w:eastAsia="en-GB"/>
              </w:rPr>
              <w:t xml:space="preserve"> – PT02</w:t>
            </w:r>
            <w:r w:rsidRPr="009118B1">
              <w:rPr>
                <w:sz w:val="18"/>
                <w:szCs w:val="18"/>
              </w:rPr>
              <w:t xml:space="preserve"> </w:t>
            </w:r>
          </w:p>
          <w:p w14:paraId="3B394AA2" w14:textId="77777777" w:rsidR="001425DE" w:rsidRPr="002C76DF" w:rsidRDefault="001425DE" w:rsidP="000923EF">
            <w:pPr>
              <w:spacing w:before="60" w:after="60" w:line="276" w:lineRule="auto"/>
              <w:rPr>
                <w:rFonts w:eastAsia="Calibri" w:cs="Arial"/>
                <w:sz w:val="18"/>
                <w:szCs w:val="18"/>
                <w:lang w:eastAsia="en-GB"/>
              </w:rPr>
            </w:pPr>
            <w:r w:rsidRPr="009118B1">
              <w:rPr>
                <w:sz w:val="18"/>
                <w:szCs w:val="18"/>
              </w:rPr>
              <w:t>Lavatory</w:t>
            </w:r>
          </w:p>
        </w:tc>
        <w:tc>
          <w:tcPr>
            <w:tcW w:w="658" w:type="pct"/>
            <w:tcBorders>
              <w:top w:val="single" w:sz="4" w:space="0" w:color="auto"/>
              <w:bottom w:val="single" w:sz="4" w:space="0" w:color="auto"/>
            </w:tcBorders>
            <w:shd w:val="clear" w:color="auto" w:fill="FFFFFF"/>
            <w:vAlign w:val="center"/>
          </w:tcPr>
          <w:p w14:paraId="1FF0FECC" w14:textId="77777777" w:rsidR="001425DE" w:rsidRPr="004F7214" w:rsidRDefault="001425DE" w:rsidP="000923E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1.80E-01</w:t>
            </w:r>
          </w:p>
        </w:tc>
        <w:tc>
          <w:tcPr>
            <w:tcW w:w="658" w:type="pct"/>
            <w:tcBorders>
              <w:top w:val="single" w:sz="4" w:space="0" w:color="auto"/>
              <w:bottom w:val="single" w:sz="4" w:space="0" w:color="auto"/>
            </w:tcBorders>
            <w:shd w:val="clear" w:color="auto" w:fill="FFFFFF"/>
            <w:vAlign w:val="center"/>
          </w:tcPr>
          <w:p w14:paraId="7B6B98B2" w14:textId="77777777" w:rsidR="001425DE" w:rsidRPr="002C76DF" w:rsidRDefault="001425DE" w:rsidP="000923E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1.80E-02</w:t>
            </w:r>
          </w:p>
        </w:tc>
        <w:tc>
          <w:tcPr>
            <w:tcW w:w="658" w:type="pct"/>
            <w:tcBorders>
              <w:top w:val="single" w:sz="4" w:space="0" w:color="auto"/>
            </w:tcBorders>
            <w:shd w:val="clear" w:color="auto" w:fill="FFFFFF"/>
            <w:vAlign w:val="center"/>
          </w:tcPr>
          <w:p w14:paraId="69CDD488" w14:textId="77777777" w:rsidR="001425DE" w:rsidRPr="002C76DF" w:rsidRDefault="001425DE" w:rsidP="00972CC0">
            <w:pPr>
              <w:snapToGrid w:val="0"/>
              <w:spacing w:before="60" w:after="60" w:line="276" w:lineRule="auto"/>
              <w:jc w:val="center"/>
              <w:rPr>
                <w:rFonts w:eastAsia="Calibri" w:cs="Arial"/>
                <w:sz w:val="18"/>
                <w:szCs w:val="18"/>
                <w:lang w:eastAsia="en-GB"/>
              </w:rPr>
            </w:pPr>
            <w:r w:rsidRPr="003C696C">
              <w:rPr>
                <w:rFonts w:eastAsia="Calibri" w:cs="Arial"/>
                <w:sz w:val="18"/>
                <w:szCs w:val="18"/>
                <w:lang w:eastAsia="en-GB"/>
              </w:rPr>
              <w:t>n.r.</w:t>
            </w:r>
          </w:p>
        </w:tc>
        <w:tc>
          <w:tcPr>
            <w:tcW w:w="658" w:type="pct"/>
            <w:tcBorders>
              <w:top w:val="single" w:sz="4" w:space="0" w:color="auto"/>
              <w:bottom w:val="single" w:sz="4" w:space="0" w:color="auto"/>
            </w:tcBorders>
            <w:shd w:val="clear" w:color="auto" w:fill="auto"/>
            <w:vAlign w:val="center"/>
          </w:tcPr>
          <w:p w14:paraId="185F4697" w14:textId="77777777" w:rsidR="001425DE" w:rsidRPr="002C76DF" w:rsidRDefault="001425DE" w:rsidP="000923E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4.13E-03</w:t>
            </w:r>
          </w:p>
        </w:tc>
        <w:tc>
          <w:tcPr>
            <w:tcW w:w="656" w:type="pct"/>
            <w:tcBorders>
              <w:top w:val="single" w:sz="4" w:space="0" w:color="auto"/>
              <w:bottom w:val="single" w:sz="4" w:space="0" w:color="auto"/>
            </w:tcBorders>
            <w:shd w:val="clear" w:color="auto" w:fill="auto"/>
            <w:vAlign w:val="center"/>
          </w:tcPr>
          <w:p w14:paraId="1A23D8E3" w14:textId="77777777" w:rsidR="001425DE" w:rsidRPr="002C76DF" w:rsidRDefault="001425DE" w:rsidP="000923EF">
            <w:pPr>
              <w:snapToGrid w:val="0"/>
              <w:spacing w:before="60" w:after="60" w:line="276" w:lineRule="auto"/>
              <w:jc w:val="center"/>
              <w:rPr>
                <w:rFonts w:eastAsia="Calibri" w:cs="Arial"/>
                <w:b/>
                <w:sz w:val="18"/>
                <w:szCs w:val="18"/>
                <w:lang w:eastAsia="en-GB"/>
              </w:rPr>
            </w:pPr>
            <w:r w:rsidRPr="002C76DF">
              <w:rPr>
                <w:rFonts w:eastAsia="Calibri" w:cs="Arial"/>
                <w:b/>
                <w:sz w:val="18"/>
                <w:szCs w:val="18"/>
                <w:lang w:eastAsia="en-GB"/>
              </w:rPr>
              <w:t>2.67</w:t>
            </w:r>
          </w:p>
        </w:tc>
      </w:tr>
      <w:tr w:rsidR="00CC32E9" w:rsidRPr="002C76DF" w14:paraId="6A988679" w14:textId="77777777" w:rsidTr="00972CC0">
        <w:trPr>
          <w:trHeight w:val="75"/>
        </w:trPr>
        <w:tc>
          <w:tcPr>
            <w:tcW w:w="1712" w:type="pct"/>
            <w:tcBorders>
              <w:top w:val="single" w:sz="4" w:space="0" w:color="auto"/>
              <w:left w:val="single" w:sz="4" w:space="0" w:color="auto"/>
              <w:bottom w:val="nil"/>
              <w:right w:val="single" w:sz="4" w:space="0" w:color="auto"/>
            </w:tcBorders>
            <w:shd w:val="clear" w:color="auto" w:fill="FFFFFF"/>
          </w:tcPr>
          <w:p w14:paraId="27B158EC" w14:textId="77777777"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2 – PT02 Industrial areas</w:t>
            </w:r>
          </w:p>
        </w:tc>
        <w:tc>
          <w:tcPr>
            <w:tcW w:w="658" w:type="pct"/>
            <w:tcBorders>
              <w:top w:val="single" w:sz="4" w:space="0" w:color="auto"/>
              <w:left w:val="single" w:sz="4" w:space="0" w:color="auto"/>
              <w:bottom w:val="nil"/>
              <w:right w:val="single" w:sz="4" w:space="0" w:color="auto"/>
            </w:tcBorders>
            <w:shd w:val="clear" w:color="auto" w:fill="FFFFFF"/>
            <w:vAlign w:val="center"/>
          </w:tcPr>
          <w:p w14:paraId="641B0B2B" w14:textId="562D37EE" w:rsidR="00CC32E9" w:rsidRPr="002C76DF" w:rsidRDefault="00CC32E9" w:rsidP="00BA238F">
            <w:pPr>
              <w:autoSpaceDE w:val="0"/>
              <w:snapToGrid w:val="0"/>
              <w:spacing w:before="60" w:after="60" w:line="260" w:lineRule="atLeast"/>
              <w:jc w:val="center"/>
              <w:rPr>
                <w:rFonts w:eastAsia="Calibri" w:cs="Arial"/>
                <w:color w:val="000000"/>
                <w:sz w:val="18"/>
                <w:szCs w:val="18"/>
                <w:lang w:val="fr-FR" w:eastAsia="en-GB"/>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14F932E5" w14:textId="5F145298" w:rsidR="00CC32E9" w:rsidRPr="002C76DF" w:rsidRDefault="00CC32E9" w:rsidP="00BA238F">
            <w:pPr>
              <w:snapToGrid w:val="0"/>
              <w:spacing w:before="60" w:after="60" w:line="276" w:lineRule="auto"/>
              <w:jc w:val="center"/>
              <w:rPr>
                <w:rFonts w:eastAsia="Calibri" w:cs="Arial"/>
                <w:color w:val="000000"/>
                <w:sz w:val="18"/>
                <w:szCs w:val="18"/>
                <w:lang w:val="fr-FR" w:eastAsia="en-GB"/>
              </w:rPr>
            </w:pPr>
          </w:p>
        </w:tc>
        <w:tc>
          <w:tcPr>
            <w:tcW w:w="658" w:type="pct"/>
            <w:tcBorders>
              <w:top w:val="single" w:sz="4" w:space="0" w:color="auto"/>
              <w:left w:val="single" w:sz="4" w:space="0" w:color="auto"/>
              <w:bottom w:val="nil"/>
              <w:right w:val="single" w:sz="4" w:space="0" w:color="auto"/>
            </w:tcBorders>
            <w:shd w:val="clear" w:color="auto" w:fill="FFFFFF"/>
          </w:tcPr>
          <w:p w14:paraId="3559A850" w14:textId="71158A71" w:rsidR="00CC32E9" w:rsidRPr="002C76DF" w:rsidRDefault="00CC32E9" w:rsidP="00BA238F">
            <w:pPr>
              <w:snapToGrid w:val="0"/>
              <w:spacing w:before="60" w:after="60" w:line="276" w:lineRule="auto"/>
              <w:jc w:val="center"/>
              <w:rPr>
                <w:rFonts w:eastAsia="Calibri" w:cs="Arial"/>
                <w:sz w:val="18"/>
                <w:szCs w:val="18"/>
                <w:lang w:val="fr-FR" w:eastAsia="en-GB"/>
              </w:rPr>
            </w:pPr>
          </w:p>
        </w:tc>
        <w:tc>
          <w:tcPr>
            <w:tcW w:w="658" w:type="pct"/>
            <w:tcBorders>
              <w:top w:val="single" w:sz="4" w:space="0" w:color="auto"/>
              <w:left w:val="single" w:sz="4" w:space="0" w:color="auto"/>
              <w:bottom w:val="nil"/>
              <w:right w:val="single" w:sz="4" w:space="0" w:color="auto"/>
            </w:tcBorders>
            <w:shd w:val="clear" w:color="auto" w:fill="auto"/>
            <w:vAlign w:val="center"/>
          </w:tcPr>
          <w:p w14:paraId="0C0D7C22" w14:textId="6FF19AC8" w:rsidR="00CC32E9" w:rsidRPr="002C76DF" w:rsidRDefault="00CC32E9" w:rsidP="00BA238F">
            <w:pPr>
              <w:snapToGrid w:val="0"/>
              <w:spacing w:before="60" w:after="60" w:line="276" w:lineRule="auto"/>
              <w:jc w:val="center"/>
              <w:rPr>
                <w:rFonts w:eastAsia="Calibri" w:cs="Arial"/>
                <w:sz w:val="18"/>
                <w:szCs w:val="18"/>
                <w:lang w:val="fr-FR" w:eastAsia="en-GB"/>
              </w:rPr>
            </w:pPr>
          </w:p>
        </w:tc>
        <w:tc>
          <w:tcPr>
            <w:tcW w:w="656" w:type="pct"/>
            <w:tcBorders>
              <w:top w:val="single" w:sz="4" w:space="0" w:color="auto"/>
              <w:left w:val="single" w:sz="4" w:space="0" w:color="auto"/>
              <w:bottom w:val="nil"/>
              <w:right w:val="single" w:sz="4" w:space="0" w:color="auto"/>
            </w:tcBorders>
            <w:shd w:val="clear" w:color="auto" w:fill="auto"/>
            <w:vAlign w:val="center"/>
          </w:tcPr>
          <w:p w14:paraId="03E7B1B1" w14:textId="66E05A68" w:rsidR="00CC32E9" w:rsidRPr="002C76DF" w:rsidRDefault="00CC32E9" w:rsidP="00BA238F">
            <w:pPr>
              <w:snapToGrid w:val="0"/>
              <w:spacing w:before="60" w:after="60" w:line="276" w:lineRule="auto"/>
              <w:jc w:val="center"/>
              <w:rPr>
                <w:rFonts w:eastAsia="Calibri" w:cs="Arial"/>
                <w:b/>
                <w:sz w:val="18"/>
                <w:szCs w:val="18"/>
                <w:lang w:eastAsia="en-GB"/>
              </w:rPr>
            </w:pPr>
          </w:p>
        </w:tc>
      </w:tr>
      <w:tr w:rsidR="001425DE" w:rsidRPr="002C76DF" w14:paraId="56865908" w14:textId="77777777" w:rsidTr="00972CC0">
        <w:trPr>
          <w:trHeight w:val="75"/>
        </w:trPr>
        <w:tc>
          <w:tcPr>
            <w:tcW w:w="1712" w:type="pct"/>
            <w:tcBorders>
              <w:top w:val="nil"/>
              <w:left w:val="single" w:sz="4" w:space="0" w:color="auto"/>
              <w:bottom w:val="nil"/>
              <w:right w:val="single" w:sz="4" w:space="0" w:color="auto"/>
            </w:tcBorders>
            <w:shd w:val="clear" w:color="auto" w:fill="FFFFFF"/>
          </w:tcPr>
          <w:p w14:paraId="09269572" w14:textId="538208D6" w:rsidR="001425DE" w:rsidRDefault="001425DE" w:rsidP="00BA238F">
            <w:pPr>
              <w:spacing w:before="60" w:after="60" w:line="276" w:lineRule="auto"/>
              <w:rPr>
                <w:rFonts w:eastAsia="Calibri" w:cs="Arial"/>
                <w:sz w:val="18"/>
                <w:szCs w:val="18"/>
                <w:lang w:eastAsia="en-GB"/>
              </w:rPr>
            </w:pPr>
            <w:r>
              <w:rPr>
                <w:rFonts w:eastAsia="Calibri" w:cs="Arial"/>
                <w:sz w:val="18"/>
                <w:szCs w:val="18"/>
                <w:lang w:eastAsia="en-GB"/>
              </w:rPr>
              <w:t>Small scale</w:t>
            </w:r>
          </w:p>
        </w:tc>
        <w:tc>
          <w:tcPr>
            <w:tcW w:w="658" w:type="pct"/>
            <w:tcBorders>
              <w:top w:val="nil"/>
              <w:left w:val="single" w:sz="4" w:space="0" w:color="auto"/>
              <w:bottom w:val="nil"/>
              <w:right w:val="single" w:sz="4" w:space="0" w:color="auto"/>
            </w:tcBorders>
            <w:shd w:val="clear" w:color="auto" w:fill="FFFFFF"/>
            <w:vAlign w:val="center"/>
          </w:tcPr>
          <w:p w14:paraId="283FE120" w14:textId="70016B30" w:rsidR="001425DE" w:rsidRPr="00B66EA6"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B66EA6">
              <w:rPr>
                <w:rFonts w:eastAsia="Calibri" w:cs="Arial"/>
                <w:color w:val="000000"/>
                <w:sz w:val="18"/>
                <w:szCs w:val="18"/>
                <w:lang w:val="fr-FR" w:eastAsia="en-GB"/>
              </w:rPr>
              <w:t>4.50E-03</w:t>
            </w:r>
          </w:p>
        </w:tc>
        <w:tc>
          <w:tcPr>
            <w:tcW w:w="658" w:type="pct"/>
            <w:tcBorders>
              <w:top w:val="nil"/>
              <w:left w:val="single" w:sz="4" w:space="0" w:color="auto"/>
              <w:bottom w:val="nil"/>
              <w:right w:val="single" w:sz="4" w:space="0" w:color="auto"/>
            </w:tcBorders>
            <w:shd w:val="clear" w:color="auto" w:fill="FFFFFF"/>
            <w:vAlign w:val="center"/>
          </w:tcPr>
          <w:p w14:paraId="35AC50A2" w14:textId="3B3A4CF0" w:rsidR="001425DE" w:rsidRPr="002C76DF"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2C76DF">
              <w:rPr>
                <w:rFonts w:eastAsia="Calibri" w:cs="Arial"/>
                <w:color w:val="000000"/>
                <w:sz w:val="18"/>
                <w:szCs w:val="18"/>
                <w:lang w:val="fr-FR" w:eastAsia="en-GB"/>
              </w:rPr>
              <w:t>4.50E-04</w:t>
            </w:r>
          </w:p>
        </w:tc>
        <w:tc>
          <w:tcPr>
            <w:tcW w:w="658" w:type="pct"/>
            <w:tcBorders>
              <w:top w:val="nil"/>
              <w:left w:val="single" w:sz="4" w:space="0" w:color="auto"/>
              <w:bottom w:val="nil"/>
              <w:right w:val="single" w:sz="4" w:space="0" w:color="auto"/>
            </w:tcBorders>
            <w:shd w:val="clear" w:color="auto" w:fill="FFFFFF"/>
          </w:tcPr>
          <w:p w14:paraId="2E9E1FAF" w14:textId="760BE959" w:rsidR="001425DE" w:rsidRPr="003C696C" w:rsidRDefault="00972CC0" w:rsidP="00BA238F">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n.r</w:t>
            </w:r>
          </w:p>
        </w:tc>
        <w:tc>
          <w:tcPr>
            <w:tcW w:w="658" w:type="pct"/>
            <w:tcBorders>
              <w:top w:val="nil"/>
              <w:left w:val="single" w:sz="4" w:space="0" w:color="auto"/>
              <w:bottom w:val="nil"/>
              <w:right w:val="single" w:sz="4" w:space="0" w:color="auto"/>
            </w:tcBorders>
            <w:shd w:val="clear" w:color="auto" w:fill="auto"/>
            <w:vAlign w:val="center"/>
          </w:tcPr>
          <w:p w14:paraId="03324555" w14:textId="731BB264" w:rsidR="001425DE" w:rsidRPr="002C76DF"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2C76DF">
              <w:rPr>
                <w:rFonts w:eastAsia="Calibri" w:cs="Arial"/>
                <w:color w:val="000000"/>
                <w:sz w:val="18"/>
                <w:szCs w:val="18"/>
                <w:lang w:val="fr-FR" w:eastAsia="en-GB"/>
              </w:rPr>
              <w:t>1.03E-04</w:t>
            </w:r>
          </w:p>
        </w:tc>
        <w:tc>
          <w:tcPr>
            <w:tcW w:w="656" w:type="pct"/>
            <w:tcBorders>
              <w:top w:val="nil"/>
              <w:left w:val="single" w:sz="4" w:space="0" w:color="auto"/>
              <w:bottom w:val="nil"/>
              <w:right w:val="single" w:sz="4" w:space="0" w:color="auto"/>
            </w:tcBorders>
            <w:shd w:val="clear" w:color="auto" w:fill="auto"/>
            <w:vAlign w:val="center"/>
          </w:tcPr>
          <w:p w14:paraId="3A9A8FAB" w14:textId="7E3D659A" w:rsidR="001425DE" w:rsidRDefault="001425DE" w:rsidP="00BA238F">
            <w:pPr>
              <w:autoSpaceDE w:val="0"/>
              <w:snapToGrid w:val="0"/>
              <w:spacing w:before="60" w:after="60" w:line="260" w:lineRule="atLeast"/>
              <w:jc w:val="center"/>
              <w:rPr>
                <w:rFonts w:eastAsia="Calibri" w:cs="Arial"/>
                <w:color w:val="000000"/>
                <w:sz w:val="18"/>
                <w:szCs w:val="18"/>
                <w:lang w:eastAsia="en-GB"/>
              </w:rPr>
            </w:pPr>
            <w:r w:rsidRPr="002C76DF">
              <w:rPr>
                <w:rFonts w:eastAsia="Calibri" w:cs="Arial"/>
                <w:color w:val="000000"/>
                <w:sz w:val="18"/>
                <w:szCs w:val="18"/>
                <w:lang w:eastAsia="en-GB"/>
              </w:rPr>
              <w:t>6.67E-02</w:t>
            </w:r>
          </w:p>
        </w:tc>
      </w:tr>
      <w:tr w:rsidR="001425DE" w:rsidRPr="002C76DF" w14:paraId="2B84EE42" w14:textId="77777777" w:rsidTr="00972CC0">
        <w:trPr>
          <w:trHeight w:val="75"/>
        </w:trPr>
        <w:tc>
          <w:tcPr>
            <w:tcW w:w="1712" w:type="pct"/>
            <w:tcBorders>
              <w:top w:val="nil"/>
              <w:left w:val="single" w:sz="4" w:space="0" w:color="auto"/>
              <w:bottom w:val="single" w:sz="4" w:space="0" w:color="auto"/>
              <w:right w:val="single" w:sz="4" w:space="0" w:color="auto"/>
            </w:tcBorders>
            <w:shd w:val="clear" w:color="auto" w:fill="FFFFFF"/>
          </w:tcPr>
          <w:p w14:paraId="7702CD0F" w14:textId="0DB4C886" w:rsidR="001425DE" w:rsidRPr="002C76DF" w:rsidRDefault="001425DE" w:rsidP="00BA238F">
            <w:pPr>
              <w:spacing w:before="60" w:after="60" w:line="276" w:lineRule="auto"/>
              <w:rPr>
                <w:rFonts w:eastAsia="Calibri" w:cs="Arial"/>
                <w:sz w:val="18"/>
                <w:szCs w:val="18"/>
                <w:lang w:eastAsia="en-GB"/>
              </w:rPr>
            </w:pPr>
            <w:r>
              <w:rPr>
                <w:rFonts w:eastAsia="Calibri" w:cs="Arial"/>
                <w:sz w:val="18"/>
                <w:szCs w:val="18"/>
                <w:lang w:eastAsia="en-GB"/>
              </w:rPr>
              <w:t>Large scale</w:t>
            </w:r>
          </w:p>
        </w:tc>
        <w:tc>
          <w:tcPr>
            <w:tcW w:w="658" w:type="pct"/>
            <w:tcBorders>
              <w:top w:val="nil"/>
              <w:left w:val="single" w:sz="4" w:space="0" w:color="auto"/>
              <w:bottom w:val="single" w:sz="4" w:space="0" w:color="auto"/>
              <w:right w:val="single" w:sz="4" w:space="0" w:color="auto"/>
            </w:tcBorders>
            <w:shd w:val="clear" w:color="auto" w:fill="FFFFFF"/>
            <w:vAlign w:val="center"/>
          </w:tcPr>
          <w:p w14:paraId="4181C2D8" w14:textId="61BBE026" w:rsidR="001425DE" w:rsidRPr="00B66EA6"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2C76DF">
              <w:rPr>
                <w:rFonts w:eastAsia="Calibri" w:cs="Arial"/>
                <w:color w:val="000000"/>
                <w:sz w:val="18"/>
                <w:szCs w:val="18"/>
                <w:lang w:val="fr-FR" w:eastAsia="en-GB"/>
              </w:rPr>
              <w:t>2.70E-01</w:t>
            </w:r>
          </w:p>
        </w:tc>
        <w:tc>
          <w:tcPr>
            <w:tcW w:w="658" w:type="pct"/>
            <w:tcBorders>
              <w:top w:val="nil"/>
              <w:left w:val="single" w:sz="4" w:space="0" w:color="auto"/>
              <w:bottom w:val="single" w:sz="4" w:space="0" w:color="auto"/>
              <w:right w:val="single" w:sz="4" w:space="0" w:color="auto"/>
            </w:tcBorders>
            <w:shd w:val="clear" w:color="auto" w:fill="FFFFFF"/>
            <w:vAlign w:val="center"/>
          </w:tcPr>
          <w:p w14:paraId="2A1C9ED4" w14:textId="1EE60715" w:rsidR="001425DE" w:rsidRPr="002C76DF"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2C76DF">
              <w:rPr>
                <w:rFonts w:eastAsia="Calibri" w:cs="Arial"/>
                <w:color w:val="000000"/>
                <w:sz w:val="18"/>
                <w:szCs w:val="18"/>
                <w:lang w:val="fr-FR" w:eastAsia="en-GB"/>
              </w:rPr>
              <w:t>2.70E-02</w:t>
            </w:r>
          </w:p>
        </w:tc>
        <w:tc>
          <w:tcPr>
            <w:tcW w:w="658" w:type="pct"/>
            <w:tcBorders>
              <w:top w:val="nil"/>
              <w:left w:val="single" w:sz="4" w:space="0" w:color="auto"/>
              <w:bottom w:val="single" w:sz="4" w:space="0" w:color="auto"/>
              <w:right w:val="single" w:sz="4" w:space="0" w:color="auto"/>
            </w:tcBorders>
            <w:shd w:val="clear" w:color="auto" w:fill="FFFFFF"/>
          </w:tcPr>
          <w:p w14:paraId="2705F3FF" w14:textId="77777777" w:rsidR="001425DE" w:rsidRPr="003C696C" w:rsidRDefault="001425DE" w:rsidP="00BA238F">
            <w:pPr>
              <w:autoSpaceDE w:val="0"/>
              <w:snapToGrid w:val="0"/>
              <w:spacing w:before="60" w:after="60" w:line="260" w:lineRule="atLeast"/>
              <w:jc w:val="center"/>
              <w:rPr>
                <w:rFonts w:eastAsia="Calibri" w:cs="Arial"/>
                <w:sz w:val="18"/>
                <w:szCs w:val="18"/>
                <w:lang w:eastAsia="en-GB"/>
              </w:rPr>
            </w:pPr>
          </w:p>
        </w:tc>
        <w:tc>
          <w:tcPr>
            <w:tcW w:w="658" w:type="pct"/>
            <w:tcBorders>
              <w:top w:val="nil"/>
              <w:left w:val="single" w:sz="4" w:space="0" w:color="auto"/>
              <w:bottom w:val="single" w:sz="4" w:space="0" w:color="auto"/>
              <w:right w:val="single" w:sz="4" w:space="0" w:color="auto"/>
            </w:tcBorders>
            <w:shd w:val="clear" w:color="auto" w:fill="auto"/>
            <w:vAlign w:val="center"/>
          </w:tcPr>
          <w:p w14:paraId="2A6E5455" w14:textId="02C37432" w:rsidR="001425DE" w:rsidRPr="002C76DF" w:rsidRDefault="001425DE" w:rsidP="00BA238F">
            <w:pPr>
              <w:autoSpaceDE w:val="0"/>
              <w:snapToGrid w:val="0"/>
              <w:spacing w:before="60" w:after="60" w:line="260" w:lineRule="atLeast"/>
              <w:jc w:val="center"/>
              <w:rPr>
                <w:rFonts w:eastAsia="Calibri" w:cs="Arial"/>
                <w:color w:val="000000"/>
                <w:sz w:val="18"/>
                <w:szCs w:val="18"/>
                <w:lang w:val="fr-FR" w:eastAsia="en-GB"/>
              </w:rPr>
            </w:pPr>
            <w:r w:rsidRPr="002C76DF">
              <w:rPr>
                <w:rFonts w:eastAsia="Calibri" w:cs="Arial"/>
                <w:color w:val="000000"/>
                <w:sz w:val="18"/>
                <w:szCs w:val="18"/>
                <w:lang w:val="fr-FR" w:eastAsia="en-GB"/>
              </w:rPr>
              <w:t>6.19E-03</w:t>
            </w:r>
          </w:p>
        </w:tc>
        <w:tc>
          <w:tcPr>
            <w:tcW w:w="656" w:type="pct"/>
            <w:tcBorders>
              <w:top w:val="nil"/>
              <w:left w:val="single" w:sz="4" w:space="0" w:color="auto"/>
              <w:bottom w:val="single" w:sz="4" w:space="0" w:color="auto"/>
              <w:right w:val="single" w:sz="4" w:space="0" w:color="auto"/>
            </w:tcBorders>
            <w:shd w:val="clear" w:color="auto" w:fill="auto"/>
            <w:vAlign w:val="center"/>
          </w:tcPr>
          <w:p w14:paraId="65A5FA6C" w14:textId="5CC83357" w:rsidR="001425DE" w:rsidRPr="002C76DF" w:rsidRDefault="001425DE" w:rsidP="00BA238F">
            <w:pPr>
              <w:autoSpaceDE w:val="0"/>
              <w:snapToGrid w:val="0"/>
              <w:spacing w:before="60" w:after="60" w:line="260" w:lineRule="atLeast"/>
              <w:jc w:val="center"/>
              <w:rPr>
                <w:rFonts w:eastAsia="Calibri" w:cs="Arial"/>
                <w:color w:val="000000"/>
                <w:sz w:val="18"/>
                <w:szCs w:val="18"/>
                <w:lang w:eastAsia="en-GB"/>
              </w:rPr>
            </w:pPr>
            <w:r w:rsidRPr="002C76DF">
              <w:rPr>
                <w:rFonts w:eastAsia="Calibri" w:cs="Arial"/>
                <w:b/>
                <w:color w:val="000000"/>
                <w:sz w:val="18"/>
                <w:szCs w:val="18"/>
                <w:lang w:eastAsia="en-GB"/>
              </w:rPr>
              <w:t>4.0</w:t>
            </w:r>
            <w:r w:rsidR="005F40FE">
              <w:rPr>
                <w:rFonts w:eastAsia="Calibri" w:cs="Arial"/>
                <w:b/>
                <w:color w:val="000000"/>
                <w:sz w:val="18"/>
                <w:szCs w:val="18"/>
                <w:lang w:eastAsia="en-GB"/>
              </w:rPr>
              <w:t>0</w:t>
            </w:r>
          </w:p>
        </w:tc>
      </w:tr>
      <w:tr w:rsidR="001425DE" w:rsidRPr="002C76DF" w:rsidDel="001425DE" w14:paraId="1E84DE46" w14:textId="77777777" w:rsidTr="00972CC0">
        <w:trPr>
          <w:trHeight w:val="75"/>
        </w:trPr>
        <w:tc>
          <w:tcPr>
            <w:tcW w:w="1712" w:type="pct"/>
            <w:tcBorders>
              <w:top w:val="single" w:sz="4" w:space="0" w:color="auto"/>
            </w:tcBorders>
            <w:shd w:val="clear" w:color="auto" w:fill="FFFFFF"/>
          </w:tcPr>
          <w:p w14:paraId="44955BAE" w14:textId="2DCFD547" w:rsidR="001425DE" w:rsidRPr="00972CC0" w:rsidRDefault="001425DE" w:rsidP="00972CC0">
            <w:pPr>
              <w:spacing w:after="120"/>
              <w:rPr>
                <w:rFonts w:cstheme="minorHAnsi"/>
                <w:color w:val="221E1F"/>
                <w:sz w:val="18"/>
                <w:szCs w:val="18"/>
                <w:lang w:val="en-US"/>
              </w:rPr>
            </w:pPr>
            <w:r>
              <w:rPr>
                <w:rFonts w:eastAsia="Calibri" w:cs="Arial"/>
                <w:sz w:val="18"/>
                <w:szCs w:val="18"/>
                <w:lang w:eastAsia="en-GB"/>
              </w:rPr>
              <w:t>Scenario 3</w:t>
            </w:r>
            <w:r w:rsidR="00E44966">
              <w:rPr>
                <w:rFonts w:eastAsia="Calibri" w:cs="Arial"/>
                <w:sz w:val="18"/>
                <w:szCs w:val="18"/>
                <w:lang w:eastAsia="en-GB"/>
              </w:rPr>
              <w:t xml:space="preserve"> - </w:t>
            </w:r>
            <w:r w:rsidR="00E44966">
              <w:rPr>
                <w:rFonts w:eastAsia="Calibri"/>
                <w:sz w:val="18"/>
                <w:szCs w:val="18"/>
                <w:lang w:eastAsia="en-US"/>
              </w:rPr>
              <w:t>PT02 Disinfection of rooms, furniture and objects in medical sector</w:t>
            </w:r>
          </w:p>
        </w:tc>
        <w:tc>
          <w:tcPr>
            <w:tcW w:w="658" w:type="pct"/>
            <w:tcBorders>
              <w:top w:val="single" w:sz="4" w:space="0" w:color="auto"/>
            </w:tcBorders>
            <w:shd w:val="clear" w:color="auto" w:fill="FFFFFF"/>
            <w:vAlign w:val="center"/>
          </w:tcPr>
          <w:p w14:paraId="30EB0CAF" w14:textId="42B16444" w:rsidR="001425DE" w:rsidRDefault="00494049"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1.69E-01</w:t>
            </w:r>
          </w:p>
        </w:tc>
        <w:tc>
          <w:tcPr>
            <w:tcW w:w="658" w:type="pct"/>
            <w:tcBorders>
              <w:top w:val="single" w:sz="4" w:space="0" w:color="auto"/>
            </w:tcBorders>
            <w:shd w:val="clear" w:color="auto" w:fill="FFFFFF"/>
            <w:vAlign w:val="center"/>
          </w:tcPr>
          <w:p w14:paraId="445273AF" w14:textId="0BA4AD4E" w:rsidR="001425DE" w:rsidRDefault="00494049"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1.69E-02</w:t>
            </w:r>
          </w:p>
        </w:tc>
        <w:tc>
          <w:tcPr>
            <w:tcW w:w="658" w:type="pct"/>
            <w:tcBorders>
              <w:top w:val="single" w:sz="4" w:space="0" w:color="auto"/>
            </w:tcBorders>
            <w:shd w:val="clear" w:color="auto" w:fill="FFFFFF"/>
            <w:vAlign w:val="center"/>
          </w:tcPr>
          <w:p w14:paraId="2A2CDFCF" w14:textId="0B823AFD" w:rsidR="001425DE" w:rsidRDefault="00972CC0" w:rsidP="00972CC0">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tcBorders>
              <w:top w:val="single" w:sz="4" w:space="0" w:color="auto"/>
            </w:tcBorders>
            <w:shd w:val="clear" w:color="auto" w:fill="auto"/>
            <w:vAlign w:val="center"/>
          </w:tcPr>
          <w:p w14:paraId="1692DCDF" w14:textId="19B25BA8" w:rsidR="001425DE" w:rsidRDefault="00494049" w:rsidP="00972CC0">
            <w:pPr>
              <w:snapToGrid w:val="0"/>
              <w:spacing w:before="60" w:after="60" w:line="276" w:lineRule="auto"/>
              <w:jc w:val="center"/>
              <w:rPr>
                <w:rFonts w:eastAsia="Calibri" w:cs="Arial"/>
                <w:sz w:val="18"/>
                <w:szCs w:val="18"/>
                <w:lang w:eastAsia="en-GB"/>
              </w:rPr>
            </w:pPr>
            <w:r>
              <w:rPr>
                <w:rFonts w:eastAsia="Calibri" w:cs="Arial"/>
                <w:sz w:val="18"/>
                <w:szCs w:val="18"/>
                <w:lang w:eastAsia="en-GB"/>
              </w:rPr>
              <w:t>3.87E-03</w:t>
            </w:r>
          </w:p>
        </w:tc>
        <w:tc>
          <w:tcPr>
            <w:tcW w:w="656" w:type="pct"/>
            <w:tcBorders>
              <w:top w:val="single" w:sz="4" w:space="0" w:color="auto"/>
            </w:tcBorders>
            <w:shd w:val="clear" w:color="auto" w:fill="auto"/>
            <w:vAlign w:val="center"/>
          </w:tcPr>
          <w:p w14:paraId="1B30143B" w14:textId="3DE47C70" w:rsidR="001425DE" w:rsidRDefault="00494049" w:rsidP="00BA238F">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2.50</w:t>
            </w:r>
          </w:p>
        </w:tc>
      </w:tr>
      <w:tr w:rsidR="00CC32E9" w:rsidRPr="002C76DF" w14:paraId="4A3F5C77" w14:textId="77777777" w:rsidTr="00972CC0">
        <w:trPr>
          <w:trHeight w:val="75"/>
        </w:trPr>
        <w:tc>
          <w:tcPr>
            <w:tcW w:w="1712" w:type="pct"/>
            <w:shd w:val="clear" w:color="auto" w:fill="FFFFFF"/>
            <w:vAlign w:val="center"/>
          </w:tcPr>
          <w:p w14:paraId="419DADE1" w14:textId="77777777"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4 </w:t>
            </w:r>
            <w:r w:rsidRPr="002C76DF">
              <w:rPr>
                <w:rFonts w:eastAsia="Calibri" w:cs="Arial"/>
                <w:sz w:val="18"/>
                <w:szCs w:val="18"/>
                <w:lang w:eastAsia="en-GB"/>
              </w:rPr>
              <w:t xml:space="preserve">– PT02 </w:t>
            </w:r>
          </w:p>
          <w:p w14:paraId="592460C3"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Road ways indirect emission via STP</w:t>
            </w:r>
          </w:p>
        </w:tc>
        <w:tc>
          <w:tcPr>
            <w:tcW w:w="658" w:type="pct"/>
            <w:shd w:val="clear" w:color="auto" w:fill="FFFFFF"/>
            <w:vAlign w:val="center"/>
          </w:tcPr>
          <w:p w14:paraId="63A0F261" w14:textId="77777777" w:rsidR="00CC32E9" w:rsidRPr="004F7214" w:rsidRDefault="00CC32E9" w:rsidP="00BA238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1.08</w:t>
            </w:r>
          </w:p>
        </w:tc>
        <w:tc>
          <w:tcPr>
            <w:tcW w:w="658" w:type="pct"/>
            <w:shd w:val="clear" w:color="auto" w:fill="FFFFFF"/>
            <w:vAlign w:val="center"/>
          </w:tcPr>
          <w:p w14:paraId="307F4F67"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1.08E-01</w:t>
            </w:r>
          </w:p>
        </w:tc>
        <w:tc>
          <w:tcPr>
            <w:tcW w:w="658" w:type="pct"/>
            <w:shd w:val="clear" w:color="auto" w:fill="FFFFFF"/>
            <w:vAlign w:val="center"/>
          </w:tcPr>
          <w:p w14:paraId="1F15E5EE" w14:textId="1AFDFBD5" w:rsidR="00CC32E9" w:rsidRPr="002C76DF" w:rsidRDefault="0060086F" w:rsidP="00972CC0">
            <w:pPr>
              <w:snapToGrid w:val="0"/>
              <w:spacing w:before="60" w:after="60" w:line="276" w:lineRule="auto"/>
              <w:jc w:val="center"/>
              <w:rPr>
                <w:rFonts w:eastAsia="Calibri" w:cs="Arial"/>
                <w:sz w:val="18"/>
                <w:szCs w:val="18"/>
                <w:lang w:eastAsia="en-GB"/>
              </w:rPr>
            </w:pPr>
            <w:r w:rsidRPr="003C696C">
              <w:rPr>
                <w:rFonts w:eastAsia="Calibri" w:cs="Arial"/>
                <w:sz w:val="18"/>
                <w:szCs w:val="18"/>
                <w:lang w:eastAsia="en-GB"/>
              </w:rPr>
              <w:t>n.r.</w:t>
            </w:r>
          </w:p>
        </w:tc>
        <w:tc>
          <w:tcPr>
            <w:tcW w:w="658" w:type="pct"/>
            <w:shd w:val="clear" w:color="auto" w:fill="auto"/>
            <w:vAlign w:val="center"/>
          </w:tcPr>
          <w:p w14:paraId="2622A830"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2.48E-02</w:t>
            </w:r>
          </w:p>
        </w:tc>
        <w:tc>
          <w:tcPr>
            <w:tcW w:w="656" w:type="pct"/>
            <w:shd w:val="clear" w:color="auto" w:fill="auto"/>
            <w:vAlign w:val="center"/>
          </w:tcPr>
          <w:p w14:paraId="1A9B1347" w14:textId="77777777" w:rsidR="00CC32E9" w:rsidRPr="002C76DF" w:rsidRDefault="00CC32E9" w:rsidP="00BA238F">
            <w:pPr>
              <w:snapToGrid w:val="0"/>
              <w:spacing w:before="60" w:after="60" w:line="276" w:lineRule="auto"/>
              <w:jc w:val="center"/>
              <w:rPr>
                <w:rFonts w:eastAsia="Calibri" w:cs="Arial"/>
                <w:b/>
                <w:sz w:val="18"/>
                <w:szCs w:val="18"/>
                <w:lang w:eastAsia="en-GB"/>
              </w:rPr>
            </w:pPr>
            <w:r w:rsidRPr="002C76DF">
              <w:rPr>
                <w:rFonts w:eastAsia="Calibri" w:cs="Arial"/>
                <w:b/>
                <w:sz w:val="18"/>
                <w:szCs w:val="18"/>
                <w:lang w:eastAsia="en-GB"/>
              </w:rPr>
              <w:t>1.60E+01</w:t>
            </w:r>
          </w:p>
        </w:tc>
      </w:tr>
      <w:tr w:rsidR="00CC32E9" w:rsidRPr="002C76DF" w14:paraId="61A0FF0B" w14:textId="77777777" w:rsidTr="00D518B9">
        <w:trPr>
          <w:trHeight w:val="75"/>
        </w:trPr>
        <w:tc>
          <w:tcPr>
            <w:tcW w:w="1712" w:type="pct"/>
            <w:tcBorders>
              <w:bottom w:val="single" w:sz="4" w:space="0" w:color="auto"/>
            </w:tcBorders>
            <w:shd w:val="clear" w:color="auto" w:fill="FFFFFF"/>
            <w:vAlign w:val="center"/>
          </w:tcPr>
          <w:p w14:paraId="7BCB1A9E" w14:textId="77777777" w:rsidR="00CC32E9" w:rsidRPr="002C76DF" w:rsidRDefault="00CC32E9" w:rsidP="00BA238F">
            <w:pPr>
              <w:widowControl w:val="0"/>
              <w:tabs>
                <w:tab w:val="center" w:pos="4536"/>
                <w:tab w:val="right" w:pos="9072"/>
              </w:tabs>
              <w:spacing w:line="260" w:lineRule="atLeast"/>
              <w:rPr>
                <w:rFonts w:eastAsia="Calibri" w:cs="Arial"/>
                <w:sz w:val="18"/>
                <w:szCs w:val="18"/>
                <w:lang w:eastAsia="en-GB"/>
              </w:rPr>
            </w:pPr>
            <w:r w:rsidRPr="009118B1">
              <w:rPr>
                <w:rFonts w:eastAsia="Calibri"/>
                <w:color w:val="000000"/>
                <w:sz w:val="18"/>
                <w:szCs w:val="18"/>
                <w:lang w:eastAsia="en-GB"/>
              </w:rPr>
              <w:t xml:space="preserve">Scenario 5 </w:t>
            </w:r>
            <w:r w:rsidRPr="002C76DF">
              <w:rPr>
                <w:rFonts w:eastAsia="Calibri" w:cs="Arial"/>
                <w:sz w:val="18"/>
                <w:szCs w:val="18"/>
                <w:lang w:eastAsia="en-GB"/>
              </w:rPr>
              <w:t>– PT02</w:t>
            </w:r>
          </w:p>
          <w:p w14:paraId="39C913FD"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Road ways direct emission to surface water</w:t>
            </w:r>
          </w:p>
        </w:tc>
        <w:tc>
          <w:tcPr>
            <w:tcW w:w="658" w:type="pct"/>
            <w:tcBorders>
              <w:bottom w:val="single" w:sz="4" w:space="0" w:color="auto"/>
            </w:tcBorders>
            <w:shd w:val="clear" w:color="auto" w:fill="FFFFFF"/>
            <w:vAlign w:val="center"/>
          </w:tcPr>
          <w:p w14:paraId="72109CA9" w14:textId="55F1FD16" w:rsidR="00CC32E9" w:rsidRPr="004F7214" w:rsidRDefault="00D115B1" w:rsidP="00BA238F">
            <w:pPr>
              <w:snapToGrid w:val="0"/>
              <w:spacing w:before="60" w:after="60" w:line="276" w:lineRule="auto"/>
              <w:jc w:val="center"/>
              <w:rPr>
                <w:rFonts w:eastAsia="Calibri" w:cs="Arial"/>
                <w:sz w:val="18"/>
                <w:szCs w:val="18"/>
                <w:lang w:eastAsia="en-GB"/>
              </w:rPr>
            </w:pPr>
            <w:r w:rsidRPr="003C696C">
              <w:rPr>
                <w:rFonts w:eastAsia="Calibri" w:cs="Arial"/>
                <w:sz w:val="18"/>
                <w:szCs w:val="18"/>
                <w:lang w:eastAsia="en-GB"/>
              </w:rPr>
              <w:t>n.r.</w:t>
            </w:r>
          </w:p>
        </w:tc>
        <w:tc>
          <w:tcPr>
            <w:tcW w:w="658" w:type="pct"/>
            <w:tcBorders>
              <w:bottom w:val="single" w:sz="4" w:space="0" w:color="auto"/>
            </w:tcBorders>
            <w:shd w:val="clear" w:color="auto" w:fill="FFFFFF"/>
            <w:vAlign w:val="center"/>
          </w:tcPr>
          <w:p w14:paraId="0256F1BD" w14:textId="6C0CBD11"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1.60</w:t>
            </w:r>
          </w:p>
        </w:tc>
        <w:tc>
          <w:tcPr>
            <w:tcW w:w="658" w:type="pct"/>
            <w:tcBorders>
              <w:bottom w:val="single" w:sz="4" w:space="0" w:color="auto"/>
            </w:tcBorders>
            <w:shd w:val="clear" w:color="auto" w:fill="FFFFFF"/>
            <w:vAlign w:val="center"/>
          </w:tcPr>
          <w:p w14:paraId="5C849A54" w14:textId="19DA85EB" w:rsidR="00CC32E9" w:rsidRPr="002C76DF" w:rsidRDefault="0060086F" w:rsidP="00972CC0">
            <w:pPr>
              <w:snapToGrid w:val="0"/>
              <w:spacing w:before="60" w:after="60" w:line="276" w:lineRule="auto"/>
              <w:jc w:val="center"/>
              <w:rPr>
                <w:rFonts w:eastAsia="Calibri" w:cs="Arial"/>
                <w:sz w:val="18"/>
                <w:szCs w:val="18"/>
                <w:lang w:eastAsia="en-GB"/>
              </w:rPr>
            </w:pPr>
            <w:r w:rsidRPr="003C696C">
              <w:rPr>
                <w:rFonts w:eastAsia="Calibri" w:cs="Arial"/>
                <w:sz w:val="18"/>
                <w:szCs w:val="18"/>
                <w:lang w:eastAsia="en-GB"/>
              </w:rPr>
              <w:t>n.r.</w:t>
            </w:r>
          </w:p>
        </w:tc>
        <w:tc>
          <w:tcPr>
            <w:tcW w:w="658" w:type="pct"/>
            <w:tcBorders>
              <w:bottom w:val="single" w:sz="4" w:space="0" w:color="auto"/>
            </w:tcBorders>
            <w:shd w:val="clear" w:color="auto" w:fill="auto"/>
            <w:vAlign w:val="center"/>
          </w:tcPr>
          <w:p w14:paraId="66216AF9" w14:textId="45274136" w:rsidR="00CC32E9" w:rsidRPr="002C76DF" w:rsidRDefault="00D115B1" w:rsidP="00BA238F">
            <w:pPr>
              <w:snapToGrid w:val="0"/>
              <w:spacing w:before="60" w:after="60" w:line="276" w:lineRule="auto"/>
              <w:jc w:val="center"/>
              <w:rPr>
                <w:rFonts w:eastAsia="Calibri" w:cs="Arial"/>
                <w:sz w:val="18"/>
                <w:szCs w:val="18"/>
                <w:lang w:eastAsia="en-GB"/>
              </w:rPr>
            </w:pPr>
            <w:r w:rsidRPr="008567D2">
              <w:rPr>
                <w:rFonts w:eastAsia="Calibri" w:cs="Arial"/>
                <w:sz w:val="18"/>
                <w:szCs w:val="18"/>
                <w:lang w:eastAsia="en-GB"/>
              </w:rPr>
              <w:t>n.r.</w:t>
            </w:r>
          </w:p>
        </w:tc>
        <w:tc>
          <w:tcPr>
            <w:tcW w:w="656" w:type="pct"/>
            <w:tcBorders>
              <w:bottom w:val="single" w:sz="4" w:space="0" w:color="auto"/>
            </w:tcBorders>
            <w:shd w:val="clear" w:color="auto" w:fill="auto"/>
            <w:vAlign w:val="center"/>
          </w:tcPr>
          <w:p w14:paraId="2B11B6DD" w14:textId="784CD215" w:rsidR="00CC32E9" w:rsidRPr="002C76DF" w:rsidRDefault="00D115B1" w:rsidP="00BA238F">
            <w:pPr>
              <w:snapToGrid w:val="0"/>
              <w:spacing w:before="60" w:after="60" w:line="276" w:lineRule="auto"/>
              <w:jc w:val="center"/>
              <w:rPr>
                <w:rFonts w:eastAsia="Calibri" w:cs="Arial"/>
                <w:sz w:val="18"/>
                <w:szCs w:val="18"/>
                <w:lang w:eastAsia="en-GB"/>
              </w:rPr>
            </w:pPr>
            <w:r w:rsidRPr="008567D2">
              <w:rPr>
                <w:rFonts w:eastAsia="Calibri" w:cs="Arial"/>
                <w:sz w:val="18"/>
                <w:szCs w:val="18"/>
                <w:lang w:eastAsia="en-GB"/>
              </w:rPr>
              <w:t>n.r.</w:t>
            </w:r>
          </w:p>
        </w:tc>
      </w:tr>
      <w:tr w:rsidR="00CC32E9" w:rsidRPr="002C76DF" w14:paraId="7B73C33B" w14:textId="77777777" w:rsidTr="00D518B9">
        <w:trPr>
          <w:trHeight w:val="75"/>
        </w:trPr>
        <w:tc>
          <w:tcPr>
            <w:tcW w:w="1712" w:type="pct"/>
            <w:tcBorders>
              <w:bottom w:val="nil"/>
            </w:tcBorders>
            <w:shd w:val="clear" w:color="auto" w:fill="FFFFFF"/>
            <w:vAlign w:val="center"/>
          </w:tcPr>
          <w:p w14:paraId="0438304F" w14:textId="5715AD9D"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6</w:t>
            </w:r>
            <w:r w:rsidRPr="009118B1">
              <w:rPr>
                <w:rFonts w:eastAsia="Calibri"/>
                <w:color w:val="000000"/>
                <w:sz w:val="18"/>
                <w:szCs w:val="18"/>
                <w:lang w:eastAsia="en-GB"/>
              </w:rPr>
              <w:t xml:space="preserve"> </w:t>
            </w:r>
            <w:r w:rsidRPr="002C76DF">
              <w:rPr>
                <w:rFonts w:eastAsia="Calibri" w:cs="Arial"/>
                <w:sz w:val="18"/>
                <w:szCs w:val="18"/>
                <w:lang w:eastAsia="en-GB"/>
              </w:rPr>
              <w:t>– PT03</w:t>
            </w:r>
          </w:p>
          <w:p w14:paraId="7AA20C3B" w14:textId="77777777" w:rsidR="00CC32E9" w:rsidRPr="002C76DF" w:rsidRDefault="00CC32E9" w:rsidP="00691327">
            <w:pPr>
              <w:spacing w:before="60" w:after="60" w:line="276" w:lineRule="auto"/>
              <w:rPr>
                <w:rFonts w:eastAsia="Calibri" w:cs="Arial"/>
                <w:sz w:val="18"/>
                <w:szCs w:val="18"/>
                <w:lang w:eastAsia="en-GB"/>
              </w:rPr>
            </w:pPr>
            <w:r w:rsidRPr="009118B1">
              <w:rPr>
                <w:sz w:val="18"/>
                <w:szCs w:val="18"/>
              </w:rPr>
              <w:t>Animal housing direct emission to soil</w:t>
            </w:r>
          </w:p>
        </w:tc>
        <w:tc>
          <w:tcPr>
            <w:tcW w:w="658" w:type="pct"/>
            <w:tcBorders>
              <w:bottom w:val="nil"/>
            </w:tcBorders>
            <w:shd w:val="clear" w:color="auto" w:fill="FFFFFF"/>
            <w:vAlign w:val="center"/>
          </w:tcPr>
          <w:p w14:paraId="35BC22DA" w14:textId="1D117D7A" w:rsidR="00CC32E9" w:rsidRPr="004F7214" w:rsidRDefault="00CC32E9"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FFFFFF"/>
            <w:vAlign w:val="center"/>
          </w:tcPr>
          <w:p w14:paraId="0D91E2EF" w14:textId="79D4B8A5" w:rsidR="00CC32E9" w:rsidRPr="002C76DF" w:rsidRDefault="00CC32E9"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FFFFFF"/>
            <w:vAlign w:val="center"/>
          </w:tcPr>
          <w:p w14:paraId="30BBA738" w14:textId="6581271A" w:rsidR="00CC32E9" w:rsidRPr="002C76DF" w:rsidRDefault="00CC32E9"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auto"/>
            <w:vAlign w:val="center"/>
          </w:tcPr>
          <w:p w14:paraId="2A0AD242" w14:textId="4B1EC887" w:rsidR="00CC32E9" w:rsidRPr="002C76DF" w:rsidRDefault="00CC32E9" w:rsidP="00BA238F">
            <w:pPr>
              <w:snapToGrid w:val="0"/>
              <w:spacing w:before="60" w:after="60" w:line="276" w:lineRule="auto"/>
              <w:jc w:val="center"/>
              <w:rPr>
                <w:rFonts w:eastAsia="Calibri" w:cs="Arial"/>
                <w:sz w:val="18"/>
                <w:szCs w:val="18"/>
                <w:lang w:eastAsia="en-GB"/>
              </w:rPr>
            </w:pPr>
          </w:p>
        </w:tc>
        <w:tc>
          <w:tcPr>
            <w:tcW w:w="656" w:type="pct"/>
            <w:tcBorders>
              <w:bottom w:val="nil"/>
            </w:tcBorders>
            <w:shd w:val="clear" w:color="auto" w:fill="auto"/>
            <w:vAlign w:val="center"/>
          </w:tcPr>
          <w:p w14:paraId="7C30E951" w14:textId="625D96CE" w:rsidR="00CC32E9" w:rsidRPr="002C76DF" w:rsidRDefault="00CC32E9" w:rsidP="00BA238F">
            <w:pPr>
              <w:snapToGrid w:val="0"/>
              <w:spacing w:before="60" w:after="60" w:line="276" w:lineRule="auto"/>
              <w:jc w:val="center"/>
              <w:rPr>
                <w:rFonts w:eastAsia="Calibri" w:cs="Arial"/>
                <w:b/>
                <w:sz w:val="18"/>
                <w:szCs w:val="18"/>
                <w:lang w:eastAsia="en-GB"/>
              </w:rPr>
            </w:pPr>
          </w:p>
        </w:tc>
      </w:tr>
      <w:tr w:rsidR="00FC4EB5" w:rsidRPr="002C76DF" w14:paraId="15594E1B" w14:textId="77777777" w:rsidTr="00D518B9">
        <w:trPr>
          <w:trHeight w:val="471"/>
        </w:trPr>
        <w:tc>
          <w:tcPr>
            <w:tcW w:w="1712" w:type="pct"/>
            <w:tcBorders>
              <w:top w:val="nil"/>
              <w:bottom w:val="nil"/>
            </w:tcBorders>
            <w:shd w:val="clear" w:color="auto" w:fill="FFFFFF"/>
            <w:vAlign w:val="center"/>
          </w:tcPr>
          <w:p w14:paraId="6B687AFD" w14:textId="79AED6F7" w:rsidR="00FC4EB5" w:rsidRPr="00FC4EB5" w:rsidRDefault="00D115B1" w:rsidP="00D518B9">
            <w:pPr>
              <w:tabs>
                <w:tab w:val="left" w:pos="390"/>
              </w:tabs>
              <w:spacing w:before="60" w:after="60" w:line="276" w:lineRule="auto"/>
              <w:rPr>
                <w:rFonts w:eastAsia="Calibri"/>
                <w:sz w:val="18"/>
                <w:szCs w:val="18"/>
                <w:lang w:eastAsia="en-US"/>
              </w:rPr>
            </w:pPr>
            <w:r>
              <w:rPr>
                <w:rFonts w:eastAsia="Calibri"/>
                <w:sz w:val="18"/>
                <w:szCs w:val="18"/>
                <w:lang w:eastAsia="en-US"/>
              </w:rPr>
              <w:tab/>
            </w:r>
            <w:r w:rsidR="00FC4EB5">
              <w:rPr>
                <w:rFonts w:eastAsia="Calibri"/>
                <w:sz w:val="18"/>
                <w:szCs w:val="18"/>
                <w:lang w:eastAsia="en-US"/>
              </w:rPr>
              <w:t>Meta-SPC 9</w:t>
            </w:r>
          </w:p>
        </w:tc>
        <w:tc>
          <w:tcPr>
            <w:tcW w:w="658" w:type="pct"/>
            <w:tcBorders>
              <w:top w:val="nil"/>
              <w:bottom w:val="nil"/>
            </w:tcBorders>
            <w:shd w:val="clear" w:color="auto" w:fill="FFFFFF"/>
          </w:tcPr>
          <w:p w14:paraId="22432FE7" w14:textId="6C6CBBE1" w:rsidR="00FC4EB5" w:rsidRPr="00B66EA6" w:rsidRDefault="00D115B1" w:rsidP="00BA238F">
            <w:pPr>
              <w:snapToGrid w:val="0"/>
              <w:spacing w:before="60" w:after="60" w:line="276" w:lineRule="auto"/>
              <w:jc w:val="center"/>
              <w:rPr>
                <w:rFonts w:eastAsia="Calibri" w:cs="Arial"/>
                <w:sz w:val="18"/>
                <w:szCs w:val="18"/>
                <w:lang w:eastAsia="en-GB"/>
              </w:rPr>
            </w:pPr>
            <w:r w:rsidRPr="001409A3">
              <w:rPr>
                <w:rFonts w:eastAsia="Calibri" w:cs="Arial"/>
                <w:sz w:val="18"/>
                <w:szCs w:val="18"/>
                <w:lang w:eastAsia="en-GB"/>
              </w:rPr>
              <w:t>n.r.</w:t>
            </w:r>
          </w:p>
        </w:tc>
        <w:tc>
          <w:tcPr>
            <w:tcW w:w="658" w:type="pct"/>
            <w:tcBorders>
              <w:top w:val="nil"/>
              <w:bottom w:val="nil"/>
            </w:tcBorders>
            <w:shd w:val="clear" w:color="auto" w:fill="FFFFFF"/>
          </w:tcPr>
          <w:p w14:paraId="06916B4A" w14:textId="532F266C" w:rsidR="00FC4EB5" w:rsidRPr="002C76DF" w:rsidRDefault="00D115B1" w:rsidP="00BA238F">
            <w:pPr>
              <w:snapToGrid w:val="0"/>
              <w:spacing w:before="60" w:after="60" w:line="276" w:lineRule="auto"/>
              <w:jc w:val="center"/>
              <w:rPr>
                <w:rFonts w:eastAsia="Calibri" w:cs="Arial"/>
                <w:sz w:val="18"/>
                <w:szCs w:val="18"/>
                <w:lang w:eastAsia="en-GB"/>
              </w:rPr>
            </w:pPr>
            <w:r w:rsidRPr="001409A3">
              <w:rPr>
                <w:rFonts w:eastAsia="Calibri" w:cs="Arial"/>
                <w:sz w:val="18"/>
                <w:szCs w:val="18"/>
                <w:lang w:eastAsia="en-GB"/>
              </w:rPr>
              <w:t>n.r.</w:t>
            </w:r>
          </w:p>
        </w:tc>
        <w:tc>
          <w:tcPr>
            <w:tcW w:w="658" w:type="pct"/>
            <w:tcBorders>
              <w:top w:val="nil"/>
              <w:bottom w:val="nil"/>
            </w:tcBorders>
            <w:shd w:val="clear" w:color="auto" w:fill="FFFFFF"/>
          </w:tcPr>
          <w:p w14:paraId="13CDBC78" w14:textId="3EEA8FB8" w:rsidR="00FC4EB5" w:rsidRPr="002C76DF" w:rsidRDefault="00D115B1" w:rsidP="00BA238F">
            <w:pPr>
              <w:snapToGrid w:val="0"/>
              <w:spacing w:before="60" w:after="60" w:line="276" w:lineRule="auto"/>
              <w:jc w:val="center"/>
              <w:rPr>
                <w:rFonts w:eastAsia="Calibri" w:cs="Arial"/>
                <w:sz w:val="18"/>
                <w:szCs w:val="18"/>
                <w:lang w:eastAsia="en-GB"/>
              </w:rPr>
            </w:pPr>
            <w:r w:rsidRPr="001409A3">
              <w:rPr>
                <w:rFonts w:eastAsia="Calibri" w:cs="Arial"/>
                <w:sz w:val="18"/>
                <w:szCs w:val="18"/>
                <w:lang w:eastAsia="en-GB"/>
              </w:rPr>
              <w:t>n.r.</w:t>
            </w:r>
          </w:p>
        </w:tc>
        <w:tc>
          <w:tcPr>
            <w:tcW w:w="658" w:type="pct"/>
            <w:tcBorders>
              <w:top w:val="nil"/>
              <w:bottom w:val="nil"/>
            </w:tcBorders>
            <w:shd w:val="clear" w:color="auto" w:fill="auto"/>
            <w:vAlign w:val="center"/>
          </w:tcPr>
          <w:p w14:paraId="56C3FF1D" w14:textId="4CADC882" w:rsidR="00FC4EB5" w:rsidRDefault="003E7568" w:rsidP="00691327">
            <w:pPr>
              <w:snapToGrid w:val="0"/>
              <w:spacing w:before="60" w:after="60" w:line="276" w:lineRule="auto"/>
              <w:jc w:val="center"/>
              <w:rPr>
                <w:rFonts w:eastAsia="Calibri" w:cs="Arial"/>
                <w:sz w:val="18"/>
                <w:szCs w:val="18"/>
                <w:lang w:eastAsia="en-GB"/>
              </w:rPr>
            </w:pPr>
            <w:r>
              <w:rPr>
                <w:rFonts w:eastAsia="Calibri" w:cs="Arial"/>
                <w:sz w:val="18"/>
                <w:szCs w:val="18"/>
                <w:lang w:eastAsia="en-GB"/>
              </w:rPr>
              <w:t>2.26</w:t>
            </w:r>
            <w:r w:rsidR="00FC4EB5">
              <w:rPr>
                <w:rFonts w:eastAsia="Calibri" w:cs="Arial"/>
                <w:sz w:val="18"/>
                <w:szCs w:val="18"/>
                <w:lang w:eastAsia="en-GB"/>
              </w:rPr>
              <w:t>E+01</w:t>
            </w:r>
          </w:p>
        </w:tc>
        <w:tc>
          <w:tcPr>
            <w:tcW w:w="656" w:type="pct"/>
            <w:tcBorders>
              <w:top w:val="nil"/>
              <w:bottom w:val="nil"/>
            </w:tcBorders>
            <w:shd w:val="clear" w:color="auto" w:fill="auto"/>
            <w:vAlign w:val="center"/>
          </w:tcPr>
          <w:p w14:paraId="381EEC3A" w14:textId="64325334" w:rsidR="00FC4EB5" w:rsidRDefault="003E7568" w:rsidP="00BA238F">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4.80</w:t>
            </w:r>
            <w:r w:rsidR="00FC4EB5">
              <w:rPr>
                <w:rFonts w:eastAsia="Calibri" w:cs="Arial"/>
                <w:b/>
                <w:sz w:val="18"/>
                <w:szCs w:val="18"/>
                <w:lang w:eastAsia="en-GB"/>
              </w:rPr>
              <w:t>E+04</w:t>
            </w:r>
          </w:p>
        </w:tc>
      </w:tr>
      <w:tr w:rsidR="00494049" w:rsidRPr="002C76DF" w14:paraId="0A117151" w14:textId="77777777" w:rsidTr="00D518B9">
        <w:trPr>
          <w:trHeight w:val="75"/>
        </w:trPr>
        <w:tc>
          <w:tcPr>
            <w:tcW w:w="1712" w:type="pct"/>
            <w:tcBorders>
              <w:top w:val="nil"/>
            </w:tcBorders>
            <w:shd w:val="clear" w:color="auto" w:fill="FFFFFF"/>
            <w:vAlign w:val="center"/>
          </w:tcPr>
          <w:p w14:paraId="656FE5DC" w14:textId="22F67FB9" w:rsidR="00494049" w:rsidRPr="009118B1" w:rsidRDefault="00D115B1" w:rsidP="00D518B9">
            <w:pPr>
              <w:tabs>
                <w:tab w:val="left" w:pos="390"/>
              </w:tabs>
              <w:spacing w:before="60" w:after="60" w:line="276" w:lineRule="auto"/>
              <w:rPr>
                <w:rFonts w:eastAsia="Calibri"/>
                <w:color w:val="000000"/>
                <w:sz w:val="18"/>
                <w:szCs w:val="18"/>
                <w:lang w:eastAsia="en-GB"/>
              </w:rPr>
            </w:pPr>
            <w:r>
              <w:rPr>
                <w:rFonts w:eastAsia="Calibri"/>
                <w:sz w:val="18"/>
                <w:szCs w:val="18"/>
                <w:lang w:eastAsia="en-US"/>
              </w:rPr>
              <w:tab/>
            </w:r>
            <w:r w:rsidR="00FC4EB5">
              <w:rPr>
                <w:rFonts w:eastAsia="Calibri"/>
                <w:sz w:val="18"/>
                <w:szCs w:val="18"/>
                <w:lang w:eastAsia="en-US"/>
              </w:rPr>
              <w:t>Refinement Meta-SPC 10</w:t>
            </w:r>
          </w:p>
        </w:tc>
        <w:tc>
          <w:tcPr>
            <w:tcW w:w="658" w:type="pct"/>
            <w:tcBorders>
              <w:top w:val="nil"/>
            </w:tcBorders>
            <w:shd w:val="clear" w:color="auto" w:fill="FFFFFF"/>
          </w:tcPr>
          <w:p w14:paraId="10D20E27" w14:textId="19D800D8" w:rsidR="00494049" w:rsidRPr="00B66EA6" w:rsidRDefault="00D115B1" w:rsidP="00BA238F">
            <w:pPr>
              <w:snapToGrid w:val="0"/>
              <w:spacing w:before="60" w:after="60" w:line="276" w:lineRule="auto"/>
              <w:jc w:val="center"/>
              <w:rPr>
                <w:rFonts w:eastAsia="Calibri" w:cs="Arial"/>
                <w:sz w:val="18"/>
                <w:szCs w:val="18"/>
                <w:lang w:eastAsia="en-GB"/>
              </w:rPr>
            </w:pPr>
            <w:r w:rsidRPr="001174B4">
              <w:rPr>
                <w:rFonts w:eastAsia="Calibri" w:cs="Arial"/>
                <w:sz w:val="18"/>
                <w:szCs w:val="18"/>
                <w:lang w:eastAsia="en-GB"/>
              </w:rPr>
              <w:t>n.r.</w:t>
            </w:r>
          </w:p>
        </w:tc>
        <w:tc>
          <w:tcPr>
            <w:tcW w:w="658" w:type="pct"/>
            <w:tcBorders>
              <w:top w:val="nil"/>
            </w:tcBorders>
            <w:shd w:val="clear" w:color="auto" w:fill="FFFFFF"/>
          </w:tcPr>
          <w:p w14:paraId="6575B0DA" w14:textId="035E706D" w:rsidR="00494049" w:rsidRPr="002C76DF" w:rsidRDefault="00D115B1" w:rsidP="00BA238F">
            <w:pPr>
              <w:snapToGrid w:val="0"/>
              <w:spacing w:before="60" w:after="60" w:line="276" w:lineRule="auto"/>
              <w:jc w:val="center"/>
              <w:rPr>
                <w:rFonts w:eastAsia="Calibri" w:cs="Arial"/>
                <w:sz w:val="18"/>
                <w:szCs w:val="18"/>
                <w:lang w:eastAsia="en-GB"/>
              </w:rPr>
            </w:pPr>
            <w:r w:rsidRPr="001174B4">
              <w:rPr>
                <w:rFonts w:eastAsia="Calibri" w:cs="Arial"/>
                <w:sz w:val="18"/>
                <w:szCs w:val="18"/>
                <w:lang w:eastAsia="en-GB"/>
              </w:rPr>
              <w:t>n.r.</w:t>
            </w:r>
          </w:p>
        </w:tc>
        <w:tc>
          <w:tcPr>
            <w:tcW w:w="658" w:type="pct"/>
            <w:tcBorders>
              <w:top w:val="nil"/>
            </w:tcBorders>
            <w:shd w:val="clear" w:color="auto" w:fill="FFFFFF"/>
          </w:tcPr>
          <w:p w14:paraId="6F0E8E5C" w14:textId="39EA8D27" w:rsidR="00494049" w:rsidRPr="002C76DF" w:rsidRDefault="00D115B1" w:rsidP="00BA238F">
            <w:pPr>
              <w:snapToGrid w:val="0"/>
              <w:spacing w:before="60" w:after="60" w:line="276" w:lineRule="auto"/>
              <w:jc w:val="center"/>
              <w:rPr>
                <w:rFonts w:eastAsia="Calibri" w:cs="Arial"/>
                <w:sz w:val="18"/>
                <w:szCs w:val="18"/>
                <w:lang w:eastAsia="en-GB"/>
              </w:rPr>
            </w:pPr>
            <w:r w:rsidRPr="001174B4">
              <w:rPr>
                <w:rFonts w:eastAsia="Calibri" w:cs="Arial"/>
                <w:sz w:val="18"/>
                <w:szCs w:val="18"/>
                <w:lang w:eastAsia="en-GB"/>
              </w:rPr>
              <w:t>n.r.</w:t>
            </w:r>
          </w:p>
        </w:tc>
        <w:tc>
          <w:tcPr>
            <w:tcW w:w="658" w:type="pct"/>
            <w:tcBorders>
              <w:top w:val="nil"/>
            </w:tcBorders>
            <w:shd w:val="clear" w:color="auto" w:fill="auto"/>
            <w:vAlign w:val="center"/>
          </w:tcPr>
          <w:p w14:paraId="1C78403B" w14:textId="50E89783" w:rsidR="00494049" w:rsidRDefault="003E7568"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7.53</w:t>
            </w:r>
          </w:p>
        </w:tc>
        <w:tc>
          <w:tcPr>
            <w:tcW w:w="656" w:type="pct"/>
            <w:tcBorders>
              <w:top w:val="nil"/>
            </w:tcBorders>
            <w:shd w:val="clear" w:color="auto" w:fill="auto"/>
            <w:vAlign w:val="center"/>
          </w:tcPr>
          <w:p w14:paraId="4C44E4FC" w14:textId="5070B5D4" w:rsidR="00494049" w:rsidRDefault="001803F1" w:rsidP="003E7568">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1.60E+0</w:t>
            </w:r>
            <w:r w:rsidR="003E7568">
              <w:rPr>
                <w:rFonts w:eastAsia="Calibri" w:cs="Arial"/>
                <w:b/>
                <w:sz w:val="18"/>
                <w:szCs w:val="18"/>
                <w:lang w:eastAsia="en-GB"/>
              </w:rPr>
              <w:t>4</w:t>
            </w:r>
          </w:p>
        </w:tc>
      </w:tr>
      <w:tr w:rsidR="00CC32E9" w:rsidRPr="002C76DF" w14:paraId="6E20954F" w14:textId="77777777" w:rsidTr="00972CC0">
        <w:trPr>
          <w:trHeight w:val="75"/>
        </w:trPr>
        <w:tc>
          <w:tcPr>
            <w:tcW w:w="1712" w:type="pct"/>
            <w:shd w:val="clear" w:color="auto" w:fill="FFFFFF"/>
            <w:vAlign w:val="center"/>
          </w:tcPr>
          <w:p w14:paraId="2315A38C" w14:textId="63B5A7F9"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6</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PT03 </w:t>
            </w:r>
          </w:p>
          <w:p w14:paraId="1030081B" w14:textId="4E108E19" w:rsidR="00CC32E9" w:rsidRPr="002C76DF" w:rsidRDefault="00E56B28" w:rsidP="00BA238F">
            <w:pPr>
              <w:spacing w:before="60" w:after="60" w:line="276" w:lineRule="auto"/>
              <w:rPr>
                <w:rFonts w:eastAsia="Calibri" w:cs="Arial"/>
                <w:sz w:val="18"/>
                <w:szCs w:val="18"/>
                <w:lang w:eastAsia="en-GB"/>
              </w:rPr>
            </w:pPr>
            <w:r>
              <w:rPr>
                <w:sz w:val="18"/>
                <w:szCs w:val="18"/>
              </w:rPr>
              <w:t>Outdoor a</w:t>
            </w:r>
            <w:r w:rsidR="00CC32E9" w:rsidRPr="009118B1">
              <w:rPr>
                <w:sz w:val="18"/>
                <w:szCs w:val="18"/>
              </w:rPr>
              <w:t>nimal housing indirect emission via STP</w:t>
            </w:r>
          </w:p>
        </w:tc>
        <w:tc>
          <w:tcPr>
            <w:tcW w:w="658" w:type="pct"/>
            <w:shd w:val="clear" w:color="auto" w:fill="FFFFFF"/>
            <w:vAlign w:val="center"/>
          </w:tcPr>
          <w:p w14:paraId="1DB3A9E9" w14:textId="25DCA68D" w:rsidR="00CC32E9" w:rsidRPr="00544235" w:rsidRDefault="00494049"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4.86E-01</w:t>
            </w:r>
          </w:p>
        </w:tc>
        <w:tc>
          <w:tcPr>
            <w:tcW w:w="658" w:type="pct"/>
            <w:shd w:val="clear" w:color="auto" w:fill="FFFFFF"/>
            <w:vAlign w:val="center"/>
          </w:tcPr>
          <w:p w14:paraId="108A08AB" w14:textId="28264BB3" w:rsidR="00CC32E9" w:rsidRPr="00544235" w:rsidRDefault="00494049"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4.86E-02</w:t>
            </w:r>
          </w:p>
        </w:tc>
        <w:tc>
          <w:tcPr>
            <w:tcW w:w="658" w:type="pct"/>
            <w:shd w:val="clear" w:color="auto" w:fill="FFFFFF"/>
            <w:vAlign w:val="center"/>
          </w:tcPr>
          <w:p w14:paraId="1A7B445E" w14:textId="2DF6F8D6" w:rsidR="00CC32E9" w:rsidRPr="00544235" w:rsidRDefault="00C21372" w:rsidP="00972CC0">
            <w:pPr>
              <w:snapToGrid w:val="0"/>
              <w:spacing w:before="60" w:after="60" w:line="276" w:lineRule="auto"/>
              <w:jc w:val="center"/>
              <w:rPr>
                <w:rFonts w:eastAsia="Calibri" w:cs="Arial"/>
                <w:sz w:val="18"/>
                <w:szCs w:val="18"/>
                <w:lang w:eastAsia="en-GB"/>
              </w:rPr>
            </w:pPr>
            <w:r w:rsidRPr="00544235">
              <w:rPr>
                <w:rFonts w:eastAsia="Calibri" w:cs="Arial"/>
                <w:sz w:val="18"/>
                <w:szCs w:val="18"/>
                <w:lang w:eastAsia="en-GB"/>
              </w:rPr>
              <w:t>n.r.</w:t>
            </w:r>
          </w:p>
        </w:tc>
        <w:tc>
          <w:tcPr>
            <w:tcW w:w="658" w:type="pct"/>
            <w:shd w:val="clear" w:color="auto" w:fill="auto"/>
            <w:vAlign w:val="center"/>
          </w:tcPr>
          <w:p w14:paraId="05FA7F20" w14:textId="1E18B3B1" w:rsidR="00CC32E9" w:rsidRPr="00544235" w:rsidRDefault="00544235" w:rsidP="00BA238F">
            <w:pPr>
              <w:snapToGrid w:val="0"/>
              <w:spacing w:before="60" w:after="60" w:line="276" w:lineRule="auto"/>
              <w:jc w:val="center"/>
              <w:rPr>
                <w:rFonts w:eastAsia="Calibri" w:cs="Arial"/>
                <w:sz w:val="18"/>
                <w:szCs w:val="18"/>
                <w:lang w:eastAsia="en-GB"/>
              </w:rPr>
            </w:pPr>
            <w:r w:rsidRPr="00544235" w:rsidDel="00494049">
              <w:rPr>
                <w:rFonts w:eastAsia="Calibri" w:cs="Arial"/>
                <w:sz w:val="18"/>
                <w:szCs w:val="18"/>
                <w:lang w:eastAsia="en-GB"/>
              </w:rPr>
              <w:t>1.</w:t>
            </w:r>
            <w:r w:rsidR="00494049">
              <w:rPr>
                <w:rFonts w:eastAsia="Calibri" w:cs="Arial"/>
                <w:sz w:val="18"/>
                <w:szCs w:val="18"/>
                <w:lang w:eastAsia="en-GB"/>
              </w:rPr>
              <w:t>12E-02</w:t>
            </w:r>
          </w:p>
        </w:tc>
        <w:tc>
          <w:tcPr>
            <w:tcW w:w="656" w:type="pct"/>
            <w:shd w:val="clear" w:color="auto" w:fill="auto"/>
            <w:vAlign w:val="center"/>
          </w:tcPr>
          <w:p w14:paraId="75EBB235" w14:textId="4DF3493C" w:rsidR="00CC32E9" w:rsidRPr="00544235" w:rsidRDefault="00494049" w:rsidP="00BA238F">
            <w:pPr>
              <w:snapToGrid w:val="0"/>
              <w:spacing w:before="60" w:after="60" w:line="276" w:lineRule="auto"/>
              <w:jc w:val="center"/>
              <w:rPr>
                <w:rFonts w:eastAsia="Calibri" w:cs="Arial"/>
                <w:b/>
                <w:sz w:val="18"/>
                <w:szCs w:val="18"/>
                <w:lang w:eastAsia="en-GB"/>
              </w:rPr>
            </w:pPr>
            <w:r w:rsidRPr="001803F1">
              <w:rPr>
                <w:rFonts w:eastAsia="Calibri" w:cs="Arial"/>
                <w:b/>
                <w:sz w:val="18"/>
                <w:szCs w:val="18"/>
                <w:lang w:eastAsia="en-GB"/>
              </w:rPr>
              <w:t>7.21</w:t>
            </w:r>
          </w:p>
        </w:tc>
      </w:tr>
      <w:tr w:rsidR="00CC32E9" w:rsidRPr="002C76DF" w14:paraId="2B2D5592" w14:textId="77777777" w:rsidTr="00544235">
        <w:trPr>
          <w:trHeight w:val="75"/>
        </w:trPr>
        <w:tc>
          <w:tcPr>
            <w:tcW w:w="1712" w:type="pct"/>
            <w:tcBorders>
              <w:bottom w:val="single" w:sz="4" w:space="0" w:color="auto"/>
            </w:tcBorders>
            <w:shd w:val="clear" w:color="auto" w:fill="FFFFFF"/>
            <w:vAlign w:val="center"/>
          </w:tcPr>
          <w:p w14:paraId="730CF3DA" w14:textId="22DCC894"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7</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PT04 </w:t>
            </w:r>
          </w:p>
          <w:p w14:paraId="52F3F1A6" w14:textId="77777777" w:rsidR="00CC32E9" w:rsidRPr="002C76DF" w:rsidRDefault="00CC32E9" w:rsidP="00BA238F">
            <w:pPr>
              <w:spacing w:before="60" w:after="60" w:line="276" w:lineRule="auto"/>
              <w:rPr>
                <w:rFonts w:eastAsia="Calibri" w:cs="Arial"/>
                <w:sz w:val="18"/>
                <w:szCs w:val="18"/>
                <w:lang w:eastAsia="en-GB"/>
              </w:rPr>
            </w:pPr>
            <w:r w:rsidRPr="009118B1">
              <w:rPr>
                <w:rFonts w:eastAsia="Calibri"/>
                <w:sz w:val="18"/>
                <w:szCs w:val="18"/>
                <w:lang w:eastAsia="en-US"/>
              </w:rPr>
              <w:t>Private use in food and feed areas</w:t>
            </w:r>
          </w:p>
        </w:tc>
        <w:tc>
          <w:tcPr>
            <w:tcW w:w="658" w:type="pct"/>
            <w:tcBorders>
              <w:bottom w:val="single" w:sz="4" w:space="0" w:color="auto"/>
            </w:tcBorders>
            <w:shd w:val="clear" w:color="auto" w:fill="FFFFFF"/>
            <w:vAlign w:val="center"/>
          </w:tcPr>
          <w:p w14:paraId="738A4618" w14:textId="77777777" w:rsidR="00CC32E9" w:rsidRPr="004F7214" w:rsidRDefault="00CC32E9" w:rsidP="00BA238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5.40E-0</w:t>
            </w:r>
            <w:r>
              <w:rPr>
                <w:rFonts w:eastAsia="Calibri" w:cs="Arial"/>
                <w:sz w:val="18"/>
                <w:szCs w:val="18"/>
                <w:lang w:eastAsia="en-GB"/>
              </w:rPr>
              <w:t>2</w:t>
            </w:r>
          </w:p>
        </w:tc>
        <w:tc>
          <w:tcPr>
            <w:tcW w:w="658" w:type="pct"/>
            <w:tcBorders>
              <w:bottom w:val="single" w:sz="4" w:space="0" w:color="auto"/>
            </w:tcBorders>
            <w:shd w:val="clear" w:color="auto" w:fill="FFFFFF"/>
            <w:vAlign w:val="center"/>
          </w:tcPr>
          <w:p w14:paraId="1AAFE9ED"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5.40E-0</w:t>
            </w:r>
            <w:r>
              <w:rPr>
                <w:rFonts w:eastAsia="Calibri" w:cs="Arial"/>
                <w:sz w:val="18"/>
                <w:szCs w:val="18"/>
                <w:lang w:eastAsia="en-GB"/>
              </w:rPr>
              <w:t>3</w:t>
            </w:r>
          </w:p>
        </w:tc>
        <w:tc>
          <w:tcPr>
            <w:tcW w:w="658" w:type="pct"/>
            <w:tcBorders>
              <w:bottom w:val="single" w:sz="4" w:space="0" w:color="auto"/>
            </w:tcBorders>
            <w:shd w:val="clear" w:color="auto" w:fill="FFFFFF"/>
            <w:vAlign w:val="center"/>
          </w:tcPr>
          <w:p w14:paraId="69ADEF74" w14:textId="13408697" w:rsidR="00CC32E9" w:rsidRPr="002C76DF" w:rsidRDefault="00C21372" w:rsidP="00972CC0">
            <w:pPr>
              <w:snapToGrid w:val="0"/>
              <w:spacing w:before="60" w:after="60" w:line="276" w:lineRule="auto"/>
              <w:jc w:val="center"/>
              <w:rPr>
                <w:rFonts w:eastAsia="Calibri" w:cs="Arial"/>
                <w:sz w:val="18"/>
                <w:szCs w:val="18"/>
                <w:lang w:eastAsia="en-GB"/>
              </w:rPr>
            </w:pPr>
            <w:r w:rsidRPr="00D24E63">
              <w:rPr>
                <w:rFonts w:eastAsia="Calibri" w:cs="Arial"/>
                <w:sz w:val="18"/>
                <w:szCs w:val="18"/>
                <w:lang w:eastAsia="en-GB"/>
              </w:rPr>
              <w:t>n.r.</w:t>
            </w:r>
          </w:p>
        </w:tc>
        <w:tc>
          <w:tcPr>
            <w:tcW w:w="658" w:type="pct"/>
            <w:tcBorders>
              <w:bottom w:val="single" w:sz="4" w:space="0" w:color="auto"/>
            </w:tcBorders>
            <w:shd w:val="clear" w:color="auto" w:fill="auto"/>
            <w:vAlign w:val="center"/>
          </w:tcPr>
          <w:p w14:paraId="50C8247C"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1.24E-0</w:t>
            </w:r>
            <w:r>
              <w:rPr>
                <w:rFonts w:eastAsia="Calibri" w:cs="Arial"/>
                <w:sz w:val="18"/>
                <w:szCs w:val="18"/>
                <w:lang w:eastAsia="en-GB"/>
              </w:rPr>
              <w:t>3</w:t>
            </w:r>
          </w:p>
        </w:tc>
        <w:tc>
          <w:tcPr>
            <w:tcW w:w="656" w:type="pct"/>
            <w:tcBorders>
              <w:bottom w:val="single" w:sz="4" w:space="0" w:color="auto"/>
            </w:tcBorders>
            <w:shd w:val="clear" w:color="auto" w:fill="auto"/>
            <w:vAlign w:val="center"/>
          </w:tcPr>
          <w:p w14:paraId="292C7FBE" w14:textId="77777777" w:rsidR="00CC32E9" w:rsidRPr="00D84E7E" w:rsidRDefault="00CC32E9" w:rsidP="00BA238F">
            <w:pPr>
              <w:snapToGrid w:val="0"/>
              <w:spacing w:before="60" w:after="60" w:line="276" w:lineRule="auto"/>
              <w:jc w:val="center"/>
              <w:rPr>
                <w:rFonts w:eastAsia="Calibri" w:cs="Arial"/>
                <w:b/>
                <w:sz w:val="18"/>
                <w:szCs w:val="18"/>
                <w:lang w:eastAsia="en-GB"/>
              </w:rPr>
            </w:pPr>
            <w:r w:rsidRPr="00D84E7E">
              <w:rPr>
                <w:rFonts w:eastAsia="Calibri" w:cs="Arial"/>
                <w:b/>
                <w:sz w:val="18"/>
                <w:szCs w:val="18"/>
                <w:lang w:eastAsia="en-GB"/>
              </w:rPr>
              <w:t>8.01E-01</w:t>
            </w:r>
          </w:p>
        </w:tc>
      </w:tr>
      <w:tr w:rsidR="00972CC0" w:rsidRPr="002C76DF" w14:paraId="50950908" w14:textId="77777777" w:rsidTr="00D518B9">
        <w:trPr>
          <w:trHeight w:val="75"/>
        </w:trPr>
        <w:tc>
          <w:tcPr>
            <w:tcW w:w="1712" w:type="pct"/>
            <w:tcBorders>
              <w:top w:val="single" w:sz="4" w:space="0" w:color="auto"/>
              <w:left w:val="single" w:sz="4" w:space="0" w:color="auto"/>
              <w:bottom w:val="nil"/>
              <w:right w:val="single" w:sz="4" w:space="0" w:color="auto"/>
            </w:tcBorders>
            <w:shd w:val="clear" w:color="auto" w:fill="FFFFFF"/>
            <w:vAlign w:val="center"/>
          </w:tcPr>
          <w:p w14:paraId="053888B3" w14:textId="108C21D9"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8</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PT04 </w:t>
            </w:r>
          </w:p>
          <w:p w14:paraId="64E0F984" w14:textId="508D5B61" w:rsidR="00CC32E9" w:rsidRPr="002C76DF" w:rsidRDefault="00AF686D" w:rsidP="00BA238F">
            <w:pPr>
              <w:spacing w:before="60" w:after="60" w:line="276" w:lineRule="auto"/>
              <w:rPr>
                <w:rFonts w:eastAsia="Calibri" w:cs="Arial"/>
                <w:sz w:val="18"/>
                <w:szCs w:val="18"/>
                <w:lang w:eastAsia="en-GB"/>
              </w:rPr>
            </w:pPr>
            <w:r w:rsidRPr="00711870">
              <w:rPr>
                <w:sz w:val="18"/>
                <w:szCs w:val="18"/>
              </w:rPr>
              <w:t xml:space="preserve">Disinfection </w:t>
            </w:r>
            <w:r>
              <w:rPr>
                <w:sz w:val="18"/>
                <w:szCs w:val="18"/>
              </w:rPr>
              <w:t>in food and feed area</w:t>
            </w:r>
          </w:p>
        </w:tc>
        <w:tc>
          <w:tcPr>
            <w:tcW w:w="658" w:type="pct"/>
            <w:tcBorders>
              <w:top w:val="single" w:sz="4" w:space="0" w:color="auto"/>
              <w:left w:val="single" w:sz="4" w:space="0" w:color="auto"/>
              <w:bottom w:val="nil"/>
              <w:right w:val="single" w:sz="4" w:space="0" w:color="auto"/>
            </w:tcBorders>
            <w:shd w:val="clear" w:color="auto" w:fill="FFFFFF"/>
            <w:vAlign w:val="center"/>
          </w:tcPr>
          <w:p w14:paraId="6432DB16" w14:textId="387734B3" w:rsidR="00CC32E9" w:rsidRPr="000262D7" w:rsidRDefault="00CC32E9" w:rsidP="00291C27">
            <w:pPr>
              <w:snapToGrid w:val="0"/>
              <w:spacing w:before="60" w:after="60" w:line="276" w:lineRule="auto"/>
              <w:jc w:val="center"/>
              <w:rPr>
                <w:rFonts w:eastAsia="Calibri" w:cs="Arial"/>
                <w:sz w:val="18"/>
                <w:szCs w:val="18"/>
                <w:lang w:eastAsia="en-GB"/>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72E89841" w14:textId="37D840DF" w:rsidR="00CC32E9" w:rsidRPr="000262D7" w:rsidRDefault="00CC32E9" w:rsidP="00291C27">
            <w:pPr>
              <w:snapToGrid w:val="0"/>
              <w:spacing w:before="60" w:after="60" w:line="276" w:lineRule="auto"/>
              <w:jc w:val="center"/>
              <w:rPr>
                <w:rFonts w:eastAsia="Calibri" w:cs="Arial"/>
                <w:sz w:val="18"/>
                <w:szCs w:val="18"/>
                <w:lang w:eastAsia="en-GB"/>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298279A0" w14:textId="177347FC" w:rsidR="00CC32E9" w:rsidRPr="000262D7" w:rsidRDefault="00CC32E9" w:rsidP="00BA238F">
            <w:pPr>
              <w:snapToGrid w:val="0"/>
              <w:spacing w:before="60" w:after="60" w:line="276" w:lineRule="auto"/>
              <w:jc w:val="center"/>
              <w:rPr>
                <w:rFonts w:eastAsia="Calibri" w:cs="Arial"/>
                <w:sz w:val="18"/>
                <w:szCs w:val="18"/>
                <w:lang w:eastAsia="en-GB"/>
              </w:rPr>
            </w:pPr>
          </w:p>
        </w:tc>
        <w:tc>
          <w:tcPr>
            <w:tcW w:w="658" w:type="pct"/>
            <w:tcBorders>
              <w:top w:val="single" w:sz="4" w:space="0" w:color="auto"/>
              <w:left w:val="single" w:sz="4" w:space="0" w:color="auto"/>
              <w:bottom w:val="nil"/>
              <w:right w:val="single" w:sz="4" w:space="0" w:color="auto"/>
            </w:tcBorders>
            <w:shd w:val="clear" w:color="auto" w:fill="auto"/>
            <w:vAlign w:val="center"/>
          </w:tcPr>
          <w:p w14:paraId="1E34F9BA" w14:textId="7153D3B8" w:rsidR="00CC32E9" w:rsidRPr="000262D7" w:rsidRDefault="00CC32E9" w:rsidP="00291C27">
            <w:pPr>
              <w:snapToGrid w:val="0"/>
              <w:spacing w:before="60" w:after="60" w:line="276" w:lineRule="auto"/>
              <w:jc w:val="center"/>
              <w:rPr>
                <w:rFonts w:eastAsia="Calibri" w:cs="Arial"/>
                <w:sz w:val="18"/>
                <w:szCs w:val="18"/>
                <w:lang w:eastAsia="en-GB"/>
              </w:rPr>
            </w:pPr>
          </w:p>
        </w:tc>
        <w:tc>
          <w:tcPr>
            <w:tcW w:w="656" w:type="pct"/>
            <w:tcBorders>
              <w:top w:val="single" w:sz="4" w:space="0" w:color="auto"/>
              <w:left w:val="single" w:sz="4" w:space="0" w:color="auto"/>
              <w:bottom w:val="nil"/>
              <w:right w:val="single" w:sz="4" w:space="0" w:color="auto"/>
            </w:tcBorders>
            <w:shd w:val="clear" w:color="auto" w:fill="auto"/>
            <w:vAlign w:val="center"/>
          </w:tcPr>
          <w:p w14:paraId="0E1B839E" w14:textId="715D6198" w:rsidR="00CC32E9" w:rsidRPr="002C76DF" w:rsidRDefault="00CC32E9" w:rsidP="00291C27">
            <w:pPr>
              <w:snapToGrid w:val="0"/>
              <w:spacing w:before="60" w:after="60" w:line="276" w:lineRule="auto"/>
              <w:jc w:val="center"/>
              <w:rPr>
                <w:rFonts w:eastAsia="Calibri" w:cs="Arial"/>
                <w:sz w:val="18"/>
                <w:szCs w:val="18"/>
                <w:lang w:eastAsia="en-GB"/>
              </w:rPr>
            </w:pPr>
          </w:p>
        </w:tc>
      </w:tr>
      <w:tr w:rsidR="00291C27" w:rsidRPr="002C76DF" w14:paraId="5504A39F" w14:textId="77777777" w:rsidTr="00D518B9">
        <w:trPr>
          <w:trHeight w:val="75"/>
        </w:trPr>
        <w:tc>
          <w:tcPr>
            <w:tcW w:w="1712" w:type="pct"/>
            <w:tcBorders>
              <w:top w:val="nil"/>
              <w:left w:val="single" w:sz="4" w:space="0" w:color="auto"/>
              <w:bottom w:val="nil"/>
              <w:right w:val="single" w:sz="4" w:space="0" w:color="auto"/>
            </w:tcBorders>
            <w:shd w:val="clear" w:color="auto" w:fill="FFFFFF"/>
            <w:vAlign w:val="center"/>
          </w:tcPr>
          <w:p w14:paraId="02480F16" w14:textId="0EAC96ED" w:rsidR="00291C27" w:rsidRDefault="00291C27" w:rsidP="00291C27">
            <w:pPr>
              <w:spacing w:before="60" w:after="60" w:line="276" w:lineRule="auto"/>
              <w:rPr>
                <w:rFonts w:eastAsia="Calibri"/>
                <w:color w:val="000000"/>
                <w:sz w:val="18"/>
                <w:szCs w:val="18"/>
                <w:lang w:eastAsia="en-GB"/>
              </w:rPr>
            </w:pPr>
            <w:r>
              <w:rPr>
                <w:rFonts w:eastAsia="Calibri"/>
                <w:color w:val="000000"/>
                <w:sz w:val="18"/>
                <w:szCs w:val="18"/>
                <w:lang w:eastAsia="en-GB"/>
              </w:rPr>
              <w:t>Small scale</w:t>
            </w:r>
            <w:r w:rsidR="00230A69">
              <w:rPr>
                <w:rFonts w:eastAsia="Calibri"/>
                <w:color w:val="000000"/>
                <w:sz w:val="18"/>
                <w:szCs w:val="18"/>
                <w:lang w:eastAsia="en-GB"/>
              </w:rPr>
              <w:t xml:space="preserve"> (</w:t>
            </w:r>
            <w:r w:rsidR="00230A69" w:rsidRPr="009118B1">
              <w:rPr>
                <w:sz w:val="18"/>
                <w:szCs w:val="18"/>
              </w:rPr>
              <w:t>catering kitchens/canteens</w:t>
            </w:r>
          </w:p>
        </w:tc>
        <w:tc>
          <w:tcPr>
            <w:tcW w:w="658" w:type="pct"/>
            <w:tcBorders>
              <w:top w:val="nil"/>
              <w:left w:val="single" w:sz="4" w:space="0" w:color="auto"/>
              <w:bottom w:val="nil"/>
              <w:right w:val="single" w:sz="4" w:space="0" w:color="auto"/>
            </w:tcBorders>
            <w:shd w:val="clear" w:color="auto" w:fill="FFFFFF"/>
            <w:vAlign w:val="center"/>
          </w:tcPr>
          <w:p w14:paraId="21776A27" w14:textId="735FC9D6" w:rsidR="00291C27" w:rsidRPr="00291C27" w:rsidRDefault="00291C27" w:rsidP="00291C27">
            <w:pPr>
              <w:snapToGrid w:val="0"/>
              <w:spacing w:before="60" w:after="60" w:line="276" w:lineRule="auto"/>
              <w:jc w:val="center"/>
              <w:rPr>
                <w:rFonts w:eastAsia="Calibri" w:cs="Arial"/>
                <w:sz w:val="18"/>
                <w:szCs w:val="18"/>
                <w:lang w:val="fr-FR" w:eastAsia="en-GB"/>
              </w:rPr>
            </w:pPr>
            <w:r w:rsidRPr="002C76DF">
              <w:rPr>
                <w:rFonts w:eastAsia="Calibri" w:cs="Arial"/>
                <w:sz w:val="18"/>
                <w:szCs w:val="18"/>
                <w:lang w:val="fr-FR" w:eastAsia="en-GB"/>
              </w:rPr>
              <w:t>9.00E-03</w:t>
            </w:r>
          </w:p>
        </w:tc>
        <w:tc>
          <w:tcPr>
            <w:tcW w:w="658" w:type="pct"/>
            <w:tcBorders>
              <w:top w:val="nil"/>
              <w:left w:val="single" w:sz="4" w:space="0" w:color="auto"/>
              <w:bottom w:val="nil"/>
              <w:right w:val="single" w:sz="4" w:space="0" w:color="auto"/>
            </w:tcBorders>
            <w:shd w:val="clear" w:color="auto" w:fill="FFFFFF"/>
            <w:vAlign w:val="center"/>
          </w:tcPr>
          <w:p w14:paraId="7D30259F" w14:textId="1B309820" w:rsidR="00291C27" w:rsidRPr="00291C27" w:rsidRDefault="00291C27" w:rsidP="00291C27">
            <w:pPr>
              <w:snapToGrid w:val="0"/>
              <w:spacing w:before="60" w:after="60" w:line="276" w:lineRule="auto"/>
              <w:jc w:val="center"/>
              <w:rPr>
                <w:rFonts w:eastAsia="Calibri" w:cs="Arial"/>
                <w:sz w:val="18"/>
                <w:szCs w:val="18"/>
                <w:lang w:val="fr-FR" w:eastAsia="en-GB"/>
              </w:rPr>
            </w:pPr>
            <w:r w:rsidRPr="002C76DF">
              <w:rPr>
                <w:rFonts w:eastAsia="Calibri" w:cs="Arial"/>
                <w:sz w:val="18"/>
                <w:szCs w:val="18"/>
                <w:lang w:val="fr-FR" w:eastAsia="en-GB"/>
              </w:rPr>
              <w:t>9.00E-04</w:t>
            </w:r>
          </w:p>
        </w:tc>
        <w:tc>
          <w:tcPr>
            <w:tcW w:w="658" w:type="pct"/>
            <w:tcBorders>
              <w:top w:val="nil"/>
              <w:left w:val="single" w:sz="4" w:space="0" w:color="auto"/>
              <w:bottom w:val="nil"/>
              <w:right w:val="single" w:sz="4" w:space="0" w:color="auto"/>
            </w:tcBorders>
            <w:shd w:val="clear" w:color="auto" w:fill="FFFFFF"/>
            <w:vAlign w:val="center"/>
          </w:tcPr>
          <w:p w14:paraId="3B20323C" w14:textId="27D36847" w:rsidR="00291C27" w:rsidRPr="008870C7" w:rsidRDefault="00E44966" w:rsidP="00291C27">
            <w:pPr>
              <w:snapToGrid w:val="0"/>
              <w:spacing w:before="60" w:after="60" w:line="276" w:lineRule="auto"/>
              <w:jc w:val="center"/>
              <w:rPr>
                <w:rFonts w:eastAsia="Calibri" w:cs="Arial"/>
                <w:sz w:val="18"/>
                <w:szCs w:val="18"/>
                <w:lang w:eastAsia="en-GB"/>
              </w:rPr>
            </w:pPr>
            <w:r w:rsidRPr="00D24E63">
              <w:rPr>
                <w:rFonts w:eastAsia="Calibri" w:cs="Arial"/>
                <w:sz w:val="18"/>
                <w:szCs w:val="18"/>
                <w:lang w:eastAsia="en-GB"/>
              </w:rPr>
              <w:t>n.r.</w:t>
            </w:r>
          </w:p>
        </w:tc>
        <w:tc>
          <w:tcPr>
            <w:tcW w:w="658" w:type="pct"/>
            <w:tcBorders>
              <w:top w:val="nil"/>
              <w:left w:val="single" w:sz="4" w:space="0" w:color="auto"/>
              <w:bottom w:val="nil"/>
              <w:right w:val="single" w:sz="4" w:space="0" w:color="auto"/>
            </w:tcBorders>
            <w:shd w:val="clear" w:color="auto" w:fill="auto"/>
            <w:vAlign w:val="center"/>
          </w:tcPr>
          <w:p w14:paraId="5D33E9CF" w14:textId="2F98ADF1" w:rsidR="00291C27" w:rsidRPr="00291C27" w:rsidRDefault="00291C27" w:rsidP="00291C27">
            <w:pPr>
              <w:snapToGrid w:val="0"/>
              <w:spacing w:before="60" w:after="60" w:line="276" w:lineRule="auto"/>
              <w:jc w:val="center"/>
              <w:rPr>
                <w:rFonts w:eastAsia="Calibri" w:cs="Arial"/>
                <w:sz w:val="18"/>
                <w:szCs w:val="18"/>
                <w:lang w:val="fr-FR" w:eastAsia="en-GB"/>
              </w:rPr>
            </w:pPr>
            <w:r w:rsidRPr="002C76DF">
              <w:rPr>
                <w:rFonts w:eastAsia="Calibri" w:cs="Arial"/>
                <w:sz w:val="18"/>
                <w:szCs w:val="18"/>
                <w:lang w:val="fr-FR" w:eastAsia="en-GB"/>
              </w:rPr>
              <w:t>2.06E-04</w:t>
            </w:r>
          </w:p>
        </w:tc>
        <w:tc>
          <w:tcPr>
            <w:tcW w:w="656" w:type="pct"/>
            <w:tcBorders>
              <w:top w:val="nil"/>
              <w:left w:val="single" w:sz="4" w:space="0" w:color="auto"/>
              <w:bottom w:val="nil"/>
              <w:right w:val="single" w:sz="4" w:space="0" w:color="auto"/>
            </w:tcBorders>
            <w:shd w:val="clear" w:color="auto" w:fill="auto"/>
            <w:vAlign w:val="center"/>
          </w:tcPr>
          <w:p w14:paraId="2B9D8504" w14:textId="06BBFBA0" w:rsidR="00291C27" w:rsidRDefault="00291C27" w:rsidP="00291C27">
            <w:pPr>
              <w:snapToGrid w:val="0"/>
              <w:spacing w:before="60" w:after="60" w:line="276" w:lineRule="auto"/>
              <w:jc w:val="center"/>
              <w:rPr>
                <w:rFonts w:eastAsia="Calibri" w:cs="Arial"/>
                <w:b/>
                <w:sz w:val="18"/>
                <w:szCs w:val="18"/>
                <w:lang w:eastAsia="en-GB"/>
              </w:rPr>
            </w:pPr>
            <w:r w:rsidRPr="00D84E7E">
              <w:rPr>
                <w:rFonts w:eastAsia="Calibri" w:cs="Arial"/>
                <w:b/>
                <w:sz w:val="18"/>
                <w:szCs w:val="18"/>
                <w:lang w:eastAsia="en-GB"/>
              </w:rPr>
              <w:t>1.33E-01</w:t>
            </w:r>
          </w:p>
        </w:tc>
      </w:tr>
      <w:tr w:rsidR="00972CC0" w:rsidRPr="002C76DF" w14:paraId="1DB4EA16" w14:textId="77777777" w:rsidTr="00D518B9">
        <w:trPr>
          <w:trHeight w:val="75"/>
        </w:trPr>
        <w:tc>
          <w:tcPr>
            <w:tcW w:w="1712" w:type="pct"/>
            <w:tcBorders>
              <w:top w:val="nil"/>
              <w:left w:val="single" w:sz="4" w:space="0" w:color="auto"/>
              <w:bottom w:val="single" w:sz="4" w:space="0" w:color="auto"/>
              <w:right w:val="single" w:sz="4" w:space="0" w:color="auto"/>
            </w:tcBorders>
            <w:shd w:val="clear" w:color="auto" w:fill="FFFFFF"/>
            <w:vAlign w:val="center"/>
          </w:tcPr>
          <w:p w14:paraId="2E05FB4E" w14:textId="50CFB885" w:rsidR="00291C27" w:rsidRPr="009118B1" w:rsidRDefault="00291C27" w:rsidP="00291C27">
            <w:pPr>
              <w:spacing w:before="60" w:after="60" w:line="276" w:lineRule="auto"/>
              <w:rPr>
                <w:rFonts w:eastAsia="Calibri"/>
                <w:color w:val="000000"/>
                <w:sz w:val="18"/>
                <w:szCs w:val="18"/>
                <w:lang w:eastAsia="en-GB"/>
              </w:rPr>
            </w:pPr>
            <w:r>
              <w:rPr>
                <w:rFonts w:eastAsia="Calibri"/>
                <w:color w:val="000000"/>
                <w:sz w:val="18"/>
                <w:szCs w:val="18"/>
                <w:lang w:eastAsia="en-GB"/>
              </w:rPr>
              <w:t>Large scale</w:t>
            </w:r>
            <w:r w:rsidR="00230A69">
              <w:rPr>
                <w:rFonts w:eastAsia="Calibri"/>
                <w:color w:val="000000"/>
                <w:sz w:val="18"/>
                <w:szCs w:val="18"/>
                <w:lang w:eastAsia="en-GB"/>
              </w:rPr>
              <w:t xml:space="preserve"> (</w:t>
            </w:r>
            <w:r w:rsidR="00230A69">
              <w:rPr>
                <w:sz w:val="18"/>
                <w:szCs w:val="18"/>
              </w:rPr>
              <w:t>slaughterhouse)</w:t>
            </w:r>
          </w:p>
        </w:tc>
        <w:tc>
          <w:tcPr>
            <w:tcW w:w="658" w:type="pct"/>
            <w:tcBorders>
              <w:top w:val="nil"/>
              <w:left w:val="single" w:sz="4" w:space="0" w:color="auto"/>
              <w:bottom w:val="single" w:sz="4" w:space="0" w:color="auto"/>
              <w:right w:val="single" w:sz="4" w:space="0" w:color="auto"/>
            </w:tcBorders>
            <w:shd w:val="clear" w:color="auto" w:fill="FFFFFF"/>
            <w:vAlign w:val="center"/>
          </w:tcPr>
          <w:p w14:paraId="3686B26F" w14:textId="5BBF574A" w:rsidR="00291C27" w:rsidRPr="00291C27" w:rsidRDefault="00E44966" w:rsidP="00291C27">
            <w:pPr>
              <w:snapToGrid w:val="0"/>
              <w:spacing w:before="60" w:after="60" w:line="276" w:lineRule="auto"/>
              <w:jc w:val="center"/>
              <w:rPr>
                <w:rFonts w:eastAsia="Calibri" w:cs="Arial"/>
                <w:sz w:val="18"/>
                <w:szCs w:val="18"/>
                <w:lang w:val="fr-FR" w:eastAsia="en-GB"/>
              </w:rPr>
            </w:pPr>
            <w:r>
              <w:rPr>
                <w:rFonts w:eastAsia="Calibri" w:cs="Arial"/>
                <w:sz w:val="18"/>
                <w:szCs w:val="18"/>
                <w:lang w:val="fr-FR" w:eastAsia="en-GB"/>
              </w:rPr>
              <w:t>2.70</w:t>
            </w:r>
          </w:p>
        </w:tc>
        <w:tc>
          <w:tcPr>
            <w:tcW w:w="658" w:type="pct"/>
            <w:tcBorders>
              <w:top w:val="nil"/>
              <w:left w:val="single" w:sz="4" w:space="0" w:color="auto"/>
              <w:bottom w:val="single" w:sz="4" w:space="0" w:color="auto"/>
              <w:right w:val="single" w:sz="4" w:space="0" w:color="auto"/>
            </w:tcBorders>
            <w:shd w:val="clear" w:color="auto" w:fill="FFFFFF"/>
            <w:vAlign w:val="center"/>
          </w:tcPr>
          <w:p w14:paraId="687810A8" w14:textId="018E848B" w:rsidR="00291C27" w:rsidRPr="00291C27" w:rsidRDefault="00E44966" w:rsidP="00291C27">
            <w:pPr>
              <w:snapToGrid w:val="0"/>
              <w:spacing w:before="60" w:after="60" w:line="276" w:lineRule="auto"/>
              <w:jc w:val="center"/>
              <w:rPr>
                <w:rFonts w:eastAsia="Calibri" w:cs="Arial"/>
                <w:sz w:val="18"/>
                <w:szCs w:val="18"/>
                <w:lang w:val="fr-FR" w:eastAsia="en-GB"/>
              </w:rPr>
            </w:pPr>
            <w:r>
              <w:rPr>
                <w:rFonts w:eastAsia="Calibri" w:cs="Arial"/>
                <w:sz w:val="18"/>
                <w:szCs w:val="18"/>
                <w:lang w:val="fr-FR" w:eastAsia="en-GB"/>
              </w:rPr>
              <w:t>2.70E-01</w:t>
            </w:r>
          </w:p>
        </w:tc>
        <w:tc>
          <w:tcPr>
            <w:tcW w:w="658" w:type="pct"/>
            <w:tcBorders>
              <w:top w:val="nil"/>
              <w:left w:val="single" w:sz="4" w:space="0" w:color="auto"/>
              <w:bottom w:val="single" w:sz="4" w:space="0" w:color="auto"/>
              <w:right w:val="single" w:sz="4" w:space="0" w:color="auto"/>
            </w:tcBorders>
            <w:shd w:val="clear" w:color="auto" w:fill="FFFFFF"/>
            <w:vAlign w:val="center"/>
          </w:tcPr>
          <w:p w14:paraId="6123F00B" w14:textId="770167DA" w:rsidR="00291C27" w:rsidRPr="008870C7" w:rsidRDefault="00E44966" w:rsidP="00291C27">
            <w:pPr>
              <w:snapToGrid w:val="0"/>
              <w:spacing w:before="60" w:after="60" w:line="276" w:lineRule="auto"/>
              <w:jc w:val="center"/>
              <w:rPr>
                <w:rFonts w:eastAsia="Calibri" w:cs="Arial"/>
                <w:sz w:val="18"/>
                <w:szCs w:val="18"/>
                <w:lang w:eastAsia="en-GB"/>
              </w:rPr>
            </w:pPr>
            <w:r w:rsidRPr="00D24E63">
              <w:rPr>
                <w:rFonts w:eastAsia="Calibri" w:cs="Arial"/>
                <w:sz w:val="18"/>
                <w:szCs w:val="18"/>
                <w:lang w:eastAsia="en-GB"/>
              </w:rPr>
              <w:t>n.r.</w:t>
            </w:r>
          </w:p>
        </w:tc>
        <w:tc>
          <w:tcPr>
            <w:tcW w:w="658" w:type="pct"/>
            <w:tcBorders>
              <w:top w:val="nil"/>
              <w:left w:val="single" w:sz="4" w:space="0" w:color="auto"/>
              <w:bottom w:val="single" w:sz="4" w:space="0" w:color="auto"/>
              <w:right w:val="single" w:sz="4" w:space="0" w:color="auto"/>
            </w:tcBorders>
            <w:shd w:val="clear" w:color="auto" w:fill="auto"/>
            <w:vAlign w:val="center"/>
          </w:tcPr>
          <w:p w14:paraId="3ABCCF3B" w14:textId="53C1E3B7" w:rsidR="00291C27" w:rsidRPr="00291C27" w:rsidRDefault="00E44966" w:rsidP="00291C27">
            <w:pPr>
              <w:snapToGrid w:val="0"/>
              <w:spacing w:before="60" w:after="60" w:line="276" w:lineRule="auto"/>
              <w:jc w:val="center"/>
              <w:rPr>
                <w:rFonts w:eastAsia="Calibri" w:cs="Arial"/>
                <w:sz w:val="18"/>
                <w:szCs w:val="18"/>
                <w:lang w:val="fr-FR" w:eastAsia="en-GB"/>
              </w:rPr>
            </w:pPr>
            <w:r>
              <w:rPr>
                <w:rFonts w:eastAsia="Calibri" w:cs="Arial"/>
                <w:sz w:val="18"/>
                <w:szCs w:val="18"/>
                <w:lang w:val="fr-FR" w:eastAsia="en-GB"/>
              </w:rPr>
              <w:t>6.19E-02</w:t>
            </w:r>
          </w:p>
        </w:tc>
        <w:tc>
          <w:tcPr>
            <w:tcW w:w="656" w:type="pct"/>
            <w:tcBorders>
              <w:top w:val="nil"/>
              <w:left w:val="single" w:sz="4" w:space="0" w:color="auto"/>
              <w:bottom w:val="single" w:sz="4" w:space="0" w:color="auto"/>
              <w:right w:val="single" w:sz="4" w:space="0" w:color="auto"/>
            </w:tcBorders>
            <w:shd w:val="clear" w:color="auto" w:fill="auto"/>
            <w:vAlign w:val="center"/>
          </w:tcPr>
          <w:p w14:paraId="7866E039" w14:textId="3A1DFD8C" w:rsidR="00291C27" w:rsidRPr="002C76DF" w:rsidRDefault="00E44966" w:rsidP="00291C27">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4.00E+01</w:t>
            </w:r>
          </w:p>
        </w:tc>
      </w:tr>
    </w:tbl>
    <w:p w14:paraId="0088606F" w14:textId="77777777" w:rsidR="00CC32E9" w:rsidRPr="009118B1" w:rsidRDefault="00CC32E9" w:rsidP="00CC32E9">
      <w:pPr>
        <w:spacing w:line="260" w:lineRule="atLeast"/>
        <w:rPr>
          <w:rFonts w:eastAsia="Calibri" w:cs="Times New Roman"/>
          <w:i/>
          <w:sz w:val="18"/>
          <w:szCs w:val="18"/>
          <w:lang w:eastAsia="en-US"/>
        </w:rPr>
      </w:pPr>
    </w:p>
    <w:p w14:paraId="2389E04E" w14:textId="77777777" w:rsidR="00CC32E9" w:rsidRPr="009118B1" w:rsidRDefault="00CC32E9" w:rsidP="00CC32E9">
      <w:pPr>
        <w:spacing w:line="260" w:lineRule="atLeast"/>
        <w:rPr>
          <w:rFonts w:eastAsia="Calibri"/>
          <w:sz w:val="18"/>
          <w:szCs w:val="18"/>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1189"/>
        <w:gridCol w:w="1190"/>
        <w:gridCol w:w="1211"/>
        <w:gridCol w:w="1211"/>
        <w:gridCol w:w="1188"/>
      </w:tblGrid>
      <w:tr w:rsidR="00CC32E9" w:rsidRPr="002C76DF" w14:paraId="65DBD765" w14:textId="77777777" w:rsidTr="00BA238F">
        <w:trPr>
          <w:trHeight w:val="249"/>
        </w:trPr>
        <w:tc>
          <w:tcPr>
            <w:tcW w:w="5000" w:type="pct"/>
            <w:gridSpan w:val="6"/>
            <w:shd w:val="clear" w:color="auto" w:fill="FFFFCC"/>
            <w:vAlign w:val="center"/>
          </w:tcPr>
          <w:p w14:paraId="7B6ED484" w14:textId="77777777" w:rsidR="00CC32E9" w:rsidRPr="009118B1" w:rsidRDefault="00CC32E9" w:rsidP="00BA238F">
            <w:pPr>
              <w:autoSpaceDE w:val="0"/>
              <w:spacing w:before="60" w:after="60" w:line="260" w:lineRule="atLeast"/>
              <w:jc w:val="center"/>
              <w:rPr>
                <w:sz w:val="18"/>
                <w:szCs w:val="18"/>
              </w:rPr>
            </w:pPr>
            <w:r w:rsidRPr="002C76DF">
              <w:rPr>
                <w:rFonts w:eastAsia="Calibri" w:cs="Arial"/>
                <w:b/>
                <w:bCs/>
                <w:sz w:val="18"/>
                <w:szCs w:val="18"/>
                <w:lang w:eastAsia="en-GB"/>
              </w:rPr>
              <w:t>Summary table on calculated PEC values of a</w:t>
            </w:r>
            <w:r w:rsidRPr="009118B1">
              <w:rPr>
                <w:rFonts w:eastAsia="Calibri" w:cs="Times New Roman"/>
                <w:b/>
                <w:sz w:val="18"/>
                <w:szCs w:val="18"/>
                <w:lang w:eastAsia="en-US"/>
              </w:rPr>
              <w:t>mines, coco alkyldimethyl, N-oxides</w:t>
            </w:r>
          </w:p>
        </w:tc>
      </w:tr>
      <w:tr w:rsidR="00CC32E9" w:rsidRPr="002C76DF" w14:paraId="7B3F3740" w14:textId="77777777" w:rsidTr="00BA238F">
        <w:trPr>
          <w:cantSplit/>
          <w:trHeight w:val="249"/>
        </w:trPr>
        <w:tc>
          <w:tcPr>
            <w:tcW w:w="1711" w:type="pct"/>
            <w:vMerge w:val="restart"/>
            <w:shd w:val="clear" w:color="auto" w:fill="FFFFFF"/>
            <w:vAlign w:val="center"/>
          </w:tcPr>
          <w:p w14:paraId="3DE318E1" w14:textId="77777777" w:rsidR="00CC32E9" w:rsidRPr="002C76DF" w:rsidRDefault="00CC32E9" w:rsidP="00BA238F">
            <w:pPr>
              <w:snapToGrid w:val="0"/>
              <w:spacing w:before="60" w:after="60" w:line="276" w:lineRule="auto"/>
              <w:jc w:val="center"/>
              <w:rPr>
                <w:rFonts w:eastAsia="Calibri" w:cs="Arial"/>
                <w:color w:val="000000"/>
                <w:sz w:val="18"/>
                <w:szCs w:val="18"/>
                <w:lang w:eastAsia="en-GB"/>
              </w:rPr>
            </w:pPr>
          </w:p>
        </w:tc>
        <w:tc>
          <w:tcPr>
            <w:tcW w:w="658" w:type="pct"/>
            <w:shd w:val="clear" w:color="auto" w:fill="FFFFFF"/>
            <w:vAlign w:val="center"/>
          </w:tcPr>
          <w:p w14:paraId="4C3E4BC0" w14:textId="77777777" w:rsidR="00CC32E9" w:rsidRPr="004F7214" w:rsidRDefault="00CC32E9" w:rsidP="00BA238F">
            <w:pPr>
              <w:autoSpaceDE w:val="0"/>
              <w:spacing w:before="60" w:after="60" w:line="260" w:lineRule="atLeast"/>
              <w:jc w:val="center"/>
              <w:rPr>
                <w:rFonts w:eastAsia="Calibri" w:cs="Arial"/>
                <w:b/>
                <w:bCs/>
                <w:sz w:val="18"/>
                <w:szCs w:val="18"/>
                <w:lang w:eastAsia="en-GB"/>
              </w:rPr>
            </w:pPr>
            <w:r w:rsidRPr="00B66EA6">
              <w:rPr>
                <w:rFonts w:eastAsia="Calibri" w:cs="Arial"/>
                <w:b/>
                <w:bCs/>
                <w:color w:val="000000"/>
                <w:sz w:val="18"/>
                <w:szCs w:val="18"/>
                <w:lang w:eastAsia="en-GB"/>
              </w:rPr>
              <w:t>PEC</w:t>
            </w:r>
            <w:r w:rsidRPr="004F7214">
              <w:rPr>
                <w:rFonts w:eastAsia="Calibri" w:cs="Arial"/>
                <w:b/>
                <w:bCs/>
                <w:color w:val="000000"/>
                <w:sz w:val="18"/>
                <w:szCs w:val="18"/>
                <w:vertAlign w:val="subscript"/>
                <w:lang w:eastAsia="en-GB"/>
              </w:rPr>
              <w:t>STP</w:t>
            </w:r>
          </w:p>
        </w:tc>
        <w:tc>
          <w:tcPr>
            <w:tcW w:w="658" w:type="pct"/>
            <w:shd w:val="clear" w:color="auto" w:fill="FFFFFF"/>
            <w:vAlign w:val="center"/>
          </w:tcPr>
          <w:p w14:paraId="0CECE0B1" w14:textId="77777777" w:rsidR="00CC32E9" w:rsidRPr="002C76DF" w:rsidRDefault="00CC32E9" w:rsidP="00BA238F">
            <w:pPr>
              <w:spacing w:before="60" w:after="60" w:line="276" w:lineRule="auto"/>
              <w:jc w:val="center"/>
              <w:rPr>
                <w:rFonts w:eastAsia="Calibri" w:cs="Arial"/>
                <w:b/>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water</w:t>
            </w:r>
          </w:p>
        </w:tc>
        <w:tc>
          <w:tcPr>
            <w:tcW w:w="658" w:type="pct"/>
            <w:shd w:val="clear" w:color="auto" w:fill="FFFFFF"/>
            <w:vAlign w:val="center"/>
          </w:tcPr>
          <w:p w14:paraId="1592DB24" w14:textId="77777777" w:rsidR="0006353D" w:rsidRDefault="0006353D" w:rsidP="0006353D">
            <w:pPr>
              <w:spacing w:before="60" w:after="60" w:line="276" w:lineRule="auto"/>
              <w:jc w:val="center"/>
              <w:rPr>
                <w:rFonts w:eastAsia="Calibri" w:cs="Arial"/>
                <w:b/>
                <w:sz w:val="18"/>
                <w:szCs w:val="18"/>
                <w:vertAlign w:val="subscript"/>
                <w:lang w:eastAsia="en-GB"/>
              </w:rPr>
            </w:pPr>
            <w:r w:rsidRPr="002C76DF">
              <w:rPr>
                <w:rFonts w:eastAsia="Calibri" w:cs="Arial"/>
                <w:b/>
                <w:sz w:val="18"/>
                <w:szCs w:val="18"/>
                <w:lang w:eastAsia="en-GB"/>
              </w:rPr>
              <w:t>PEC</w:t>
            </w:r>
            <w:r w:rsidRPr="002C76DF">
              <w:rPr>
                <w:rFonts w:eastAsia="Calibri" w:cs="Arial"/>
                <w:b/>
                <w:sz w:val="18"/>
                <w:szCs w:val="18"/>
                <w:vertAlign w:val="subscript"/>
                <w:lang w:eastAsia="en-GB"/>
              </w:rPr>
              <w:t>sed</w:t>
            </w:r>
          </w:p>
          <w:p w14:paraId="767494E7" w14:textId="5BB768DD" w:rsidR="00CC32E9" w:rsidRPr="002C76DF" w:rsidRDefault="0006353D" w:rsidP="00BA238F">
            <w:pPr>
              <w:spacing w:before="60" w:after="60" w:line="276" w:lineRule="auto"/>
              <w:jc w:val="center"/>
              <w:rPr>
                <w:rFonts w:eastAsia="Calibri" w:cs="Arial"/>
                <w:b/>
                <w:bCs/>
                <w:sz w:val="18"/>
                <w:szCs w:val="18"/>
                <w:lang w:eastAsia="en-GB"/>
              </w:rPr>
            </w:pPr>
            <w:r>
              <w:rPr>
                <w:rFonts w:eastAsia="Calibri" w:cs="Arial"/>
                <w:b/>
                <w:sz w:val="18"/>
                <w:szCs w:val="18"/>
                <w:vertAlign w:val="subscript"/>
                <w:lang w:eastAsia="en-GB"/>
              </w:rPr>
              <w:t>(EPM covered by water)</w:t>
            </w:r>
          </w:p>
        </w:tc>
        <w:tc>
          <w:tcPr>
            <w:tcW w:w="658" w:type="pct"/>
            <w:shd w:val="clear" w:color="auto" w:fill="auto"/>
            <w:vAlign w:val="center"/>
          </w:tcPr>
          <w:p w14:paraId="7181615E" w14:textId="77777777" w:rsidR="00CC32E9" w:rsidRPr="002C76DF" w:rsidRDefault="00CC32E9" w:rsidP="00BA238F">
            <w:pPr>
              <w:spacing w:before="60" w:after="60" w:line="276" w:lineRule="auto"/>
              <w:jc w:val="center"/>
              <w:rPr>
                <w:rFonts w:eastAsia="Calibri" w:cs="Arial"/>
                <w:b/>
                <w:bCs/>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soil</w:t>
            </w:r>
          </w:p>
        </w:tc>
        <w:tc>
          <w:tcPr>
            <w:tcW w:w="656" w:type="pct"/>
            <w:shd w:val="clear" w:color="auto" w:fill="auto"/>
            <w:vAlign w:val="center"/>
          </w:tcPr>
          <w:p w14:paraId="0B81524E" w14:textId="77777777" w:rsidR="00CC32E9" w:rsidRPr="002C76DF" w:rsidRDefault="00CC32E9" w:rsidP="00BA238F">
            <w:pPr>
              <w:spacing w:before="60" w:after="60" w:line="276" w:lineRule="auto"/>
              <w:jc w:val="center"/>
              <w:rPr>
                <w:rFonts w:eastAsia="Calibri" w:cs="Arial"/>
                <w:b/>
                <w:bCs/>
                <w:color w:val="000000"/>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GW</w:t>
            </w:r>
          </w:p>
        </w:tc>
      </w:tr>
      <w:tr w:rsidR="00CC32E9" w:rsidRPr="002C76DF" w14:paraId="1EF93BDB" w14:textId="77777777" w:rsidTr="00BA238F">
        <w:trPr>
          <w:cantSplit/>
          <w:trHeight w:val="249"/>
        </w:trPr>
        <w:tc>
          <w:tcPr>
            <w:tcW w:w="1711" w:type="pct"/>
            <w:vMerge/>
            <w:shd w:val="clear" w:color="auto" w:fill="FFFFFF"/>
            <w:vAlign w:val="center"/>
          </w:tcPr>
          <w:p w14:paraId="433785F0" w14:textId="77777777" w:rsidR="00CC32E9" w:rsidRPr="009118B1" w:rsidRDefault="00CC32E9" w:rsidP="00BA238F">
            <w:pPr>
              <w:rPr>
                <w:sz w:val="18"/>
                <w:szCs w:val="18"/>
              </w:rPr>
            </w:pPr>
          </w:p>
        </w:tc>
        <w:tc>
          <w:tcPr>
            <w:tcW w:w="658" w:type="pct"/>
            <w:shd w:val="clear" w:color="auto" w:fill="FFFFFF"/>
          </w:tcPr>
          <w:p w14:paraId="441A3369"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shd w:val="clear" w:color="auto" w:fill="FFFFFF"/>
            <w:vAlign w:val="center"/>
          </w:tcPr>
          <w:p w14:paraId="3C331A36"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shd w:val="clear" w:color="auto" w:fill="FFFFFF"/>
            <w:vAlign w:val="center"/>
          </w:tcPr>
          <w:p w14:paraId="0F816602"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8" w:type="pct"/>
            <w:shd w:val="clear" w:color="auto" w:fill="auto"/>
            <w:vAlign w:val="center"/>
          </w:tcPr>
          <w:p w14:paraId="72330CC7"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6" w:type="pct"/>
            <w:shd w:val="clear" w:color="auto" w:fill="auto"/>
            <w:vAlign w:val="center"/>
          </w:tcPr>
          <w:p w14:paraId="2B7E1505" w14:textId="77777777" w:rsidR="00CC32E9" w:rsidRPr="009118B1" w:rsidRDefault="00CC32E9" w:rsidP="00BA238F">
            <w:pPr>
              <w:spacing w:before="60" w:after="60" w:line="276" w:lineRule="auto"/>
              <w:jc w:val="center"/>
              <w:rPr>
                <w:rFonts w:eastAsia="Calibri" w:cs="Arial"/>
                <w:bCs/>
                <w:color w:val="000000"/>
                <w:sz w:val="18"/>
                <w:szCs w:val="18"/>
                <w:lang w:eastAsia="en-GB"/>
              </w:rPr>
            </w:pPr>
            <w:r w:rsidRPr="009118B1">
              <w:rPr>
                <w:rFonts w:eastAsia="Calibri" w:cs="Arial"/>
                <w:bCs/>
                <w:color w:val="000000"/>
                <w:sz w:val="18"/>
                <w:szCs w:val="18"/>
                <w:lang w:eastAsia="en-GB"/>
              </w:rPr>
              <w:t>[μg/</w:t>
            </w:r>
            <w:r>
              <w:rPr>
                <w:rFonts w:eastAsia="Calibri" w:cs="Arial"/>
                <w:bCs/>
                <w:color w:val="000000"/>
                <w:sz w:val="18"/>
                <w:szCs w:val="18"/>
                <w:lang w:eastAsia="en-GB"/>
              </w:rPr>
              <w:t>L</w:t>
            </w:r>
            <w:r w:rsidRPr="009118B1">
              <w:rPr>
                <w:rFonts w:eastAsia="Calibri" w:cs="Arial"/>
                <w:bCs/>
                <w:color w:val="000000"/>
                <w:sz w:val="18"/>
                <w:szCs w:val="18"/>
                <w:lang w:eastAsia="en-GB"/>
              </w:rPr>
              <w:t>]</w:t>
            </w:r>
          </w:p>
        </w:tc>
      </w:tr>
      <w:tr w:rsidR="00CC32E9" w:rsidRPr="002C76DF" w14:paraId="747CC4D8" w14:textId="77777777" w:rsidTr="00BA238F">
        <w:trPr>
          <w:trHeight w:val="75"/>
        </w:trPr>
        <w:tc>
          <w:tcPr>
            <w:tcW w:w="1711" w:type="pct"/>
            <w:shd w:val="clear" w:color="auto" w:fill="FFFFFF"/>
          </w:tcPr>
          <w:p w14:paraId="5A7A0EA2" w14:textId="3BF34687"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1</w:t>
            </w:r>
            <w:r w:rsidR="00A358C5">
              <w:rPr>
                <w:rFonts w:eastAsia="Calibri" w:cs="Arial"/>
                <w:sz w:val="18"/>
                <w:szCs w:val="18"/>
                <w:lang w:eastAsia="en-GB"/>
              </w:rPr>
              <w:t>a</w:t>
            </w:r>
            <w:r w:rsidRPr="002C76DF">
              <w:rPr>
                <w:rFonts w:eastAsia="Calibri" w:cs="Arial"/>
                <w:sz w:val="18"/>
                <w:szCs w:val="18"/>
                <w:lang w:eastAsia="en-GB"/>
              </w:rPr>
              <w:t xml:space="preserve"> – PT02 </w:t>
            </w:r>
          </w:p>
          <w:p w14:paraId="17904109" w14:textId="77777777" w:rsidR="00CC32E9" w:rsidRPr="002C76DF" w:rsidRDefault="00CC32E9" w:rsidP="00BA238F">
            <w:pPr>
              <w:spacing w:before="60" w:after="60" w:line="276" w:lineRule="auto"/>
              <w:rPr>
                <w:rFonts w:eastAsia="Calibri" w:cs="Arial"/>
                <w:color w:val="000000"/>
                <w:sz w:val="18"/>
                <w:szCs w:val="18"/>
                <w:lang w:eastAsia="en-GB"/>
              </w:rPr>
            </w:pPr>
            <w:r w:rsidRPr="009118B1">
              <w:rPr>
                <w:rFonts w:eastAsia="Calibri"/>
                <w:sz w:val="18"/>
                <w:szCs w:val="18"/>
                <w:lang w:eastAsia="en-US"/>
              </w:rPr>
              <w:t>Institutional areas</w:t>
            </w:r>
          </w:p>
        </w:tc>
        <w:tc>
          <w:tcPr>
            <w:tcW w:w="658" w:type="pct"/>
            <w:shd w:val="clear" w:color="auto" w:fill="FFFFFF"/>
            <w:vAlign w:val="center"/>
          </w:tcPr>
          <w:p w14:paraId="141BA421" w14:textId="77777777" w:rsidR="00CC32E9" w:rsidRPr="004F7214" w:rsidRDefault="00CC32E9" w:rsidP="00BA238F">
            <w:pPr>
              <w:autoSpaceDE w:val="0"/>
              <w:snapToGrid w:val="0"/>
              <w:spacing w:before="60" w:after="60" w:line="260" w:lineRule="atLeast"/>
              <w:jc w:val="center"/>
              <w:rPr>
                <w:rFonts w:eastAsia="Calibri" w:cs="Arial"/>
                <w:color w:val="000000"/>
                <w:sz w:val="18"/>
                <w:szCs w:val="18"/>
                <w:lang w:eastAsia="en-GB"/>
              </w:rPr>
            </w:pPr>
            <w:r w:rsidRPr="00B66EA6">
              <w:rPr>
                <w:rFonts w:eastAsia="Calibri" w:cs="Arial"/>
                <w:color w:val="000000"/>
                <w:sz w:val="18"/>
                <w:szCs w:val="18"/>
                <w:lang w:eastAsia="en-GB"/>
              </w:rPr>
              <w:t>1.24E-03</w:t>
            </w:r>
          </w:p>
        </w:tc>
        <w:tc>
          <w:tcPr>
            <w:tcW w:w="658" w:type="pct"/>
            <w:shd w:val="clear" w:color="auto" w:fill="FFFFFF"/>
            <w:vAlign w:val="center"/>
          </w:tcPr>
          <w:p w14:paraId="03743FC3" w14:textId="77777777" w:rsidR="00CC32E9" w:rsidRPr="002C76DF" w:rsidRDefault="00CC32E9" w:rsidP="00BA238F">
            <w:pPr>
              <w:snapToGrid w:val="0"/>
              <w:spacing w:before="60" w:after="60" w:line="276" w:lineRule="auto"/>
              <w:jc w:val="center"/>
              <w:rPr>
                <w:rFonts w:eastAsia="Calibri" w:cs="Arial"/>
                <w:color w:val="000000"/>
                <w:sz w:val="18"/>
                <w:szCs w:val="18"/>
                <w:lang w:eastAsia="en-GB"/>
              </w:rPr>
            </w:pPr>
            <w:r w:rsidRPr="002C76DF">
              <w:rPr>
                <w:rFonts w:eastAsia="Calibri" w:cs="Arial"/>
                <w:color w:val="000000"/>
                <w:sz w:val="18"/>
                <w:szCs w:val="18"/>
                <w:lang w:eastAsia="en-GB"/>
              </w:rPr>
              <w:t>1.23E-04</w:t>
            </w:r>
          </w:p>
        </w:tc>
        <w:tc>
          <w:tcPr>
            <w:tcW w:w="658" w:type="pct"/>
            <w:shd w:val="clear" w:color="auto" w:fill="FFFFFF"/>
            <w:vAlign w:val="center"/>
          </w:tcPr>
          <w:p w14:paraId="1DBED10B" w14:textId="00F2CC46" w:rsidR="00CC32E9" w:rsidRPr="002C76DF" w:rsidRDefault="0006353D"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shd w:val="clear" w:color="auto" w:fill="auto"/>
            <w:vAlign w:val="center"/>
          </w:tcPr>
          <w:p w14:paraId="3C664520"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6.24E-03</w:t>
            </w:r>
          </w:p>
        </w:tc>
        <w:tc>
          <w:tcPr>
            <w:tcW w:w="656" w:type="pct"/>
            <w:shd w:val="clear" w:color="auto" w:fill="auto"/>
            <w:vAlign w:val="center"/>
          </w:tcPr>
          <w:p w14:paraId="3A76A3F5" w14:textId="3D9CB7E5" w:rsidR="00CC32E9" w:rsidRPr="002C76DF" w:rsidRDefault="0006353D"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6.</w:t>
            </w:r>
            <w:r w:rsidR="00FC4EB5">
              <w:rPr>
                <w:rFonts w:eastAsia="Calibri" w:cs="Arial"/>
                <w:sz w:val="18"/>
                <w:szCs w:val="18"/>
                <w:lang w:eastAsia="en-GB"/>
              </w:rPr>
              <w:t>61</w:t>
            </w:r>
            <w:r>
              <w:rPr>
                <w:rFonts w:eastAsia="Calibri" w:cs="Arial"/>
                <w:sz w:val="18"/>
                <w:szCs w:val="18"/>
                <w:lang w:eastAsia="en-GB"/>
              </w:rPr>
              <w:t>E-02</w:t>
            </w:r>
          </w:p>
        </w:tc>
      </w:tr>
      <w:tr w:rsidR="00CC32E9" w:rsidRPr="002C76DF" w14:paraId="7789F8B4" w14:textId="77777777" w:rsidTr="00BA238F">
        <w:trPr>
          <w:trHeight w:val="75"/>
        </w:trPr>
        <w:tc>
          <w:tcPr>
            <w:tcW w:w="1711" w:type="pct"/>
            <w:shd w:val="clear" w:color="auto" w:fill="FFFFFF"/>
          </w:tcPr>
          <w:p w14:paraId="71988050" w14:textId="647365B6"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2 – PT02 Industrial areas</w:t>
            </w:r>
            <w:r w:rsidR="00C75177">
              <w:rPr>
                <w:rFonts w:eastAsia="Calibri" w:cs="Arial"/>
                <w:sz w:val="18"/>
                <w:szCs w:val="18"/>
                <w:lang w:eastAsia="en-GB"/>
              </w:rPr>
              <w:t xml:space="preserve"> (large scale applications)</w:t>
            </w:r>
          </w:p>
        </w:tc>
        <w:tc>
          <w:tcPr>
            <w:tcW w:w="658" w:type="pct"/>
            <w:shd w:val="clear" w:color="auto" w:fill="FFFFFF"/>
            <w:vAlign w:val="center"/>
          </w:tcPr>
          <w:p w14:paraId="027F61FF" w14:textId="265A858F" w:rsidR="00CC32E9" w:rsidRPr="002C76DF" w:rsidRDefault="00CC32E9" w:rsidP="00BA238F">
            <w:pPr>
              <w:autoSpaceDE w:val="0"/>
              <w:snapToGrid w:val="0"/>
              <w:spacing w:before="60" w:after="60" w:line="260" w:lineRule="atLeast"/>
              <w:jc w:val="center"/>
              <w:rPr>
                <w:rFonts w:eastAsia="Calibri" w:cs="Arial"/>
                <w:color w:val="000000"/>
                <w:sz w:val="18"/>
                <w:szCs w:val="18"/>
                <w:lang w:eastAsia="en-GB"/>
              </w:rPr>
            </w:pPr>
            <w:r w:rsidRPr="002C76DF">
              <w:rPr>
                <w:rFonts w:eastAsia="Calibri" w:cs="Arial"/>
                <w:color w:val="000000"/>
                <w:sz w:val="18"/>
                <w:szCs w:val="18"/>
                <w:lang w:eastAsia="en-GB"/>
              </w:rPr>
              <w:t>3.55E-03</w:t>
            </w:r>
          </w:p>
        </w:tc>
        <w:tc>
          <w:tcPr>
            <w:tcW w:w="658" w:type="pct"/>
            <w:shd w:val="clear" w:color="auto" w:fill="FFFFFF"/>
            <w:vAlign w:val="center"/>
          </w:tcPr>
          <w:p w14:paraId="6BDF1A86" w14:textId="2749F8DC" w:rsidR="00CC32E9" w:rsidRPr="002C76DF" w:rsidRDefault="00CC32E9" w:rsidP="00BA238F">
            <w:pPr>
              <w:snapToGrid w:val="0"/>
              <w:spacing w:before="60" w:after="60" w:line="276" w:lineRule="auto"/>
              <w:jc w:val="center"/>
              <w:rPr>
                <w:rFonts w:eastAsia="Calibri" w:cs="Arial"/>
                <w:color w:val="000000"/>
                <w:sz w:val="18"/>
                <w:szCs w:val="18"/>
                <w:lang w:eastAsia="en-GB"/>
              </w:rPr>
            </w:pPr>
            <w:r w:rsidRPr="002C76DF">
              <w:rPr>
                <w:rFonts w:eastAsia="Calibri" w:cs="Arial"/>
                <w:color w:val="000000"/>
                <w:sz w:val="18"/>
                <w:szCs w:val="18"/>
                <w:lang w:eastAsia="en-GB"/>
              </w:rPr>
              <w:t>3.52E-04</w:t>
            </w:r>
          </w:p>
        </w:tc>
        <w:tc>
          <w:tcPr>
            <w:tcW w:w="658" w:type="pct"/>
            <w:shd w:val="clear" w:color="auto" w:fill="FFFFFF"/>
            <w:vAlign w:val="center"/>
          </w:tcPr>
          <w:p w14:paraId="69096AEF" w14:textId="6E092B30" w:rsidR="00CC32E9" w:rsidRPr="002C76DF" w:rsidRDefault="00DB17E3"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shd w:val="clear" w:color="auto" w:fill="auto"/>
            <w:vAlign w:val="center"/>
          </w:tcPr>
          <w:p w14:paraId="29584517" w14:textId="08C9964E"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1.78E-02</w:t>
            </w:r>
          </w:p>
        </w:tc>
        <w:tc>
          <w:tcPr>
            <w:tcW w:w="656" w:type="pct"/>
            <w:shd w:val="clear" w:color="auto" w:fill="auto"/>
            <w:vAlign w:val="center"/>
          </w:tcPr>
          <w:p w14:paraId="3A5F5D45" w14:textId="7D66C51D" w:rsidR="00CC32E9" w:rsidRPr="002C76DF" w:rsidRDefault="00C75177" w:rsidP="00BA238F">
            <w:pPr>
              <w:snapToGrid w:val="0"/>
              <w:spacing w:before="60" w:after="60" w:line="276" w:lineRule="auto"/>
              <w:jc w:val="center"/>
              <w:rPr>
                <w:rFonts w:eastAsia="Calibri" w:cs="Arial"/>
                <w:sz w:val="18"/>
                <w:szCs w:val="18"/>
                <w:lang w:eastAsia="en-GB"/>
              </w:rPr>
            </w:pPr>
            <w:r w:rsidRPr="00DB17E3">
              <w:rPr>
                <w:rFonts w:eastAsia="Calibri" w:cs="Arial"/>
                <w:b/>
                <w:sz w:val="18"/>
                <w:szCs w:val="18"/>
                <w:lang w:eastAsia="en-GB"/>
              </w:rPr>
              <w:t>1.89E-01</w:t>
            </w:r>
          </w:p>
        </w:tc>
      </w:tr>
      <w:tr w:rsidR="0075010C" w:rsidRPr="002C76DF" w14:paraId="6692FB2D" w14:textId="77777777" w:rsidTr="00BA238F">
        <w:trPr>
          <w:trHeight w:val="75"/>
        </w:trPr>
        <w:tc>
          <w:tcPr>
            <w:tcW w:w="1711" w:type="pct"/>
            <w:shd w:val="clear" w:color="auto" w:fill="FFFFFF"/>
            <w:vAlign w:val="center"/>
          </w:tcPr>
          <w:p w14:paraId="36A93576" w14:textId="7B847417" w:rsidR="0075010C" w:rsidRPr="009118B1" w:rsidRDefault="0075010C" w:rsidP="00BA238F">
            <w:pPr>
              <w:spacing w:before="60" w:after="60" w:line="276" w:lineRule="auto"/>
              <w:rPr>
                <w:rFonts w:eastAsia="Calibri"/>
                <w:color w:val="000000"/>
                <w:sz w:val="18"/>
                <w:szCs w:val="18"/>
                <w:lang w:eastAsia="en-GB"/>
              </w:rPr>
            </w:pPr>
            <w:r>
              <w:rPr>
                <w:rFonts w:eastAsia="Calibri" w:cs="Arial"/>
                <w:sz w:val="18"/>
                <w:szCs w:val="18"/>
                <w:lang w:eastAsia="en-GB"/>
              </w:rPr>
              <w:t xml:space="preserve">Scenario 3 - </w:t>
            </w:r>
            <w:r>
              <w:rPr>
                <w:rFonts w:eastAsia="Calibri"/>
                <w:sz w:val="18"/>
                <w:szCs w:val="18"/>
                <w:lang w:eastAsia="en-US"/>
              </w:rPr>
              <w:t>PT02 Disinfection of rooms, furniture and objects in medical sector</w:t>
            </w:r>
          </w:p>
        </w:tc>
        <w:tc>
          <w:tcPr>
            <w:tcW w:w="658" w:type="pct"/>
            <w:shd w:val="clear" w:color="auto" w:fill="FFFFFF"/>
            <w:vAlign w:val="center"/>
          </w:tcPr>
          <w:p w14:paraId="1474B780" w14:textId="33A05A88" w:rsidR="0075010C" w:rsidRDefault="00FC4EB5"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1.33E-03</w:t>
            </w:r>
          </w:p>
        </w:tc>
        <w:tc>
          <w:tcPr>
            <w:tcW w:w="658" w:type="pct"/>
            <w:shd w:val="clear" w:color="auto" w:fill="FFFFFF"/>
            <w:vAlign w:val="center"/>
          </w:tcPr>
          <w:p w14:paraId="5CB075DA" w14:textId="7FC0E096" w:rsidR="0075010C" w:rsidRDefault="00FC4EB5"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1.32E-04</w:t>
            </w:r>
          </w:p>
        </w:tc>
        <w:tc>
          <w:tcPr>
            <w:tcW w:w="658" w:type="pct"/>
            <w:shd w:val="clear" w:color="auto" w:fill="FFFFFF"/>
            <w:vAlign w:val="center"/>
          </w:tcPr>
          <w:p w14:paraId="78A6098E" w14:textId="107658E2" w:rsidR="0075010C" w:rsidRDefault="0075010C"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shd w:val="clear" w:color="auto" w:fill="auto"/>
            <w:vAlign w:val="center"/>
          </w:tcPr>
          <w:p w14:paraId="14C972DE" w14:textId="30949C24" w:rsidR="0075010C" w:rsidRDefault="00FC4EB5"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6.67E-03</w:t>
            </w:r>
          </w:p>
        </w:tc>
        <w:tc>
          <w:tcPr>
            <w:tcW w:w="656" w:type="pct"/>
            <w:shd w:val="clear" w:color="auto" w:fill="auto"/>
            <w:vAlign w:val="center"/>
          </w:tcPr>
          <w:p w14:paraId="0F485FE1" w14:textId="16BE7D9C" w:rsidR="0075010C" w:rsidRPr="0075010C" w:rsidRDefault="00FC4EB5" w:rsidP="00DB17E3">
            <w:pPr>
              <w:snapToGrid w:val="0"/>
              <w:spacing w:before="60" w:after="60" w:line="276" w:lineRule="auto"/>
              <w:jc w:val="center"/>
              <w:rPr>
                <w:rFonts w:eastAsia="Calibri" w:cs="Arial"/>
                <w:sz w:val="18"/>
                <w:szCs w:val="18"/>
                <w:lang w:eastAsia="en-GB"/>
              </w:rPr>
            </w:pPr>
            <w:r>
              <w:rPr>
                <w:rFonts w:eastAsia="Calibri" w:cs="Arial"/>
                <w:sz w:val="18"/>
                <w:szCs w:val="18"/>
                <w:lang w:eastAsia="en-GB"/>
              </w:rPr>
              <w:t>7.07E</w:t>
            </w:r>
            <w:r w:rsidRPr="00941275">
              <w:rPr>
                <w:rFonts w:eastAsia="Calibri" w:cs="Arial"/>
                <w:sz w:val="18"/>
                <w:szCs w:val="18"/>
                <w:lang w:eastAsia="en-GB"/>
              </w:rPr>
              <w:t>-02</w:t>
            </w:r>
          </w:p>
        </w:tc>
      </w:tr>
      <w:tr w:rsidR="00CC32E9" w:rsidRPr="002C76DF" w14:paraId="63921927" w14:textId="77777777" w:rsidTr="00BA238F">
        <w:trPr>
          <w:trHeight w:val="75"/>
        </w:trPr>
        <w:tc>
          <w:tcPr>
            <w:tcW w:w="1711" w:type="pct"/>
            <w:shd w:val="clear" w:color="auto" w:fill="FFFFFF"/>
            <w:vAlign w:val="center"/>
          </w:tcPr>
          <w:p w14:paraId="03170D07" w14:textId="60CF919A"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8</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PT04 </w:t>
            </w:r>
          </w:p>
          <w:p w14:paraId="265B6DEE" w14:textId="1B0F8DE7" w:rsidR="00CC32E9" w:rsidRPr="002C76DF" w:rsidRDefault="00AF686D" w:rsidP="00BA238F">
            <w:pPr>
              <w:spacing w:before="60" w:after="60" w:line="276" w:lineRule="auto"/>
              <w:rPr>
                <w:rFonts w:eastAsia="Calibri" w:cs="Arial"/>
                <w:sz w:val="18"/>
                <w:szCs w:val="18"/>
                <w:lang w:eastAsia="en-GB"/>
              </w:rPr>
            </w:pPr>
            <w:r w:rsidRPr="00711870">
              <w:rPr>
                <w:sz w:val="18"/>
                <w:szCs w:val="18"/>
              </w:rPr>
              <w:t xml:space="preserve">Disinfection </w:t>
            </w:r>
            <w:r>
              <w:rPr>
                <w:sz w:val="18"/>
                <w:szCs w:val="18"/>
              </w:rPr>
              <w:t xml:space="preserve">in food and feed area </w:t>
            </w:r>
            <w:r w:rsidR="005F27B1">
              <w:rPr>
                <w:sz w:val="18"/>
                <w:szCs w:val="18"/>
              </w:rPr>
              <w:t>(large scale applications)</w:t>
            </w:r>
          </w:p>
        </w:tc>
        <w:tc>
          <w:tcPr>
            <w:tcW w:w="658" w:type="pct"/>
            <w:shd w:val="clear" w:color="auto" w:fill="FFFFFF"/>
            <w:vAlign w:val="center"/>
          </w:tcPr>
          <w:p w14:paraId="1C9519A2" w14:textId="5D670022" w:rsidR="00CC32E9" w:rsidRPr="004F7214" w:rsidRDefault="00DB17E3"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3.55E-02</w:t>
            </w:r>
          </w:p>
        </w:tc>
        <w:tc>
          <w:tcPr>
            <w:tcW w:w="658" w:type="pct"/>
            <w:shd w:val="clear" w:color="auto" w:fill="FFFFFF"/>
            <w:vAlign w:val="center"/>
          </w:tcPr>
          <w:p w14:paraId="1F0521FD" w14:textId="5F697FE4" w:rsidR="00CC32E9" w:rsidRPr="002C76DF" w:rsidRDefault="00DB17E3"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3.52E-03</w:t>
            </w:r>
          </w:p>
        </w:tc>
        <w:tc>
          <w:tcPr>
            <w:tcW w:w="658" w:type="pct"/>
            <w:shd w:val="clear" w:color="auto" w:fill="FFFFFF"/>
            <w:vAlign w:val="center"/>
          </w:tcPr>
          <w:p w14:paraId="22F59AFD" w14:textId="7EB1ADD6" w:rsidR="00CC32E9" w:rsidRPr="002C76DF" w:rsidRDefault="00DB17E3"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n.r.</w:t>
            </w:r>
          </w:p>
        </w:tc>
        <w:tc>
          <w:tcPr>
            <w:tcW w:w="658" w:type="pct"/>
            <w:shd w:val="clear" w:color="auto" w:fill="auto"/>
            <w:vAlign w:val="center"/>
          </w:tcPr>
          <w:p w14:paraId="4347989A" w14:textId="663A2355" w:rsidR="00CC32E9" w:rsidRPr="002C76DF" w:rsidRDefault="00DB17E3"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1.78E-01</w:t>
            </w:r>
          </w:p>
        </w:tc>
        <w:tc>
          <w:tcPr>
            <w:tcW w:w="656" w:type="pct"/>
            <w:shd w:val="clear" w:color="auto" w:fill="auto"/>
            <w:vAlign w:val="center"/>
          </w:tcPr>
          <w:p w14:paraId="2CB62ABB" w14:textId="60D74A3F" w:rsidR="00CC32E9" w:rsidRPr="002C76DF" w:rsidRDefault="00DB17E3" w:rsidP="00DB17E3">
            <w:pPr>
              <w:snapToGrid w:val="0"/>
              <w:spacing w:before="60" w:after="60" w:line="276" w:lineRule="auto"/>
              <w:jc w:val="center"/>
              <w:rPr>
                <w:rFonts w:eastAsia="Calibri" w:cs="Arial"/>
                <w:sz w:val="18"/>
                <w:szCs w:val="18"/>
                <w:lang w:eastAsia="en-GB"/>
              </w:rPr>
            </w:pPr>
            <w:r w:rsidRPr="00DB17E3">
              <w:rPr>
                <w:rFonts w:eastAsia="Calibri" w:cs="Arial"/>
                <w:b/>
                <w:sz w:val="18"/>
                <w:szCs w:val="18"/>
                <w:lang w:eastAsia="en-GB"/>
              </w:rPr>
              <w:t>1.89</w:t>
            </w:r>
          </w:p>
        </w:tc>
      </w:tr>
    </w:tbl>
    <w:p w14:paraId="76DBE979" w14:textId="77777777" w:rsidR="00CC32E9" w:rsidRPr="009118B1" w:rsidRDefault="00CC32E9" w:rsidP="00CC32E9">
      <w:pPr>
        <w:spacing w:line="260" w:lineRule="atLeast"/>
        <w:rPr>
          <w:rFonts w:eastAsia="Calibri"/>
          <w:sz w:val="18"/>
          <w:szCs w:val="18"/>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1196"/>
        <w:gridCol w:w="1197"/>
        <w:gridCol w:w="1197"/>
        <w:gridCol w:w="1197"/>
        <w:gridCol w:w="1195"/>
      </w:tblGrid>
      <w:tr w:rsidR="00CC32E9" w:rsidRPr="002C76DF" w14:paraId="15548D4D" w14:textId="77777777" w:rsidTr="00DB17E3">
        <w:trPr>
          <w:trHeight w:val="249"/>
        </w:trPr>
        <w:tc>
          <w:tcPr>
            <w:tcW w:w="5000" w:type="pct"/>
            <w:gridSpan w:val="6"/>
            <w:shd w:val="clear" w:color="auto" w:fill="FFFFCC"/>
            <w:vAlign w:val="center"/>
          </w:tcPr>
          <w:p w14:paraId="6D98ADE8" w14:textId="52C0D8AA" w:rsidR="00CC32E9" w:rsidRPr="009118B1" w:rsidRDefault="00CC32E9" w:rsidP="000F3412">
            <w:pPr>
              <w:autoSpaceDE w:val="0"/>
              <w:spacing w:before="60" w:after="60" w:line="260" w:lineRule="atLeast"/>
              <w:jc w:val="center"/>
              <w:rPr>
                <w:sz w:val="18"/>
                <w:szCs w:val="18"/>
              </w:rPr>
            </w:pPr>
            <w:r w:rsidRPr="002C76DF">
              <w:rPr>
                <w:rFonts w:eastAsia="Calibri" w:cs="Arial"/>
                <w:b/>
                <w:bCs/>
                <w:sz w:val="18"/>
                <w:szCs w:val="18"/>
                <w:lang w:eastAsia="en-GB"/>
              </w:rPr>
              <w:t xml:space="preserve">Summary table on calculated PEC values of </w:t>
            </w:r>
            <w:r w:rsidRPr="009118B1">
              <w:rPr>
                <w:rFonts w:eastAsia="Calibri" w:cs="Times New Roman"/>
                <w:b/>
                <w:sz w:val="18"/>
                <w:szCs w:val="18"/>
                <w:lang w:eastAsia="en-US"/>
              </w:rPr>
              <w:t>OTNE</w:t>
            </w:r>
          </w:p>
        </w:tc>
      </w:tr>
      <w:tr w:rsidR="00CC32E9" w:rsidRPr="002C76DF" w14:paraId="79A1858B" w14:textId="77777777" w:rsidTr="00DB17E3">
        <w:trPr>
          <w:trHeight w:val="249"/>
        </w:trPr>
        <w:tc>
          <w:tcPr>
            <w:tcW w:w="1711" w:type="pct"/>
            <w:vMerge w:val="restart"/>
            <w:shd w:val="clear" w:color="auto" w:fill="FFFFFF"/>
            <w:vAlign w:val="center"/>
          </w:tcPr>
          <w:p w14:paraId="67BD8BBA" w14:textId="77777777" w:rsidR="00CC32E9" w:rsidRPr="002C76DF" w:rsidRDefault="00CC32E9" w:rsidP="00BA238F">
            <w:pPr>
              <w:snapToGrid w:val="0"/>
              <w:spacing w:before="60" w:after="60" w:line="276" w:lineRule="auto"/>
              <w:jc w:val="center"/>
              <w:rPr>
                <w:rFonts w:eastAsia="Calibri" w:cs="Arial"/>
                <w:color w:val="000000"/>
                <w:sz w:val="18"/>
                <w:szCs w:val="18"/>
                <w:lang w:eastAsia="en-GB"/>
              </w:rPr>
            </w:pPr>
          </w:p>
        </w:tc>
        <w:tc>
          <w:tcPr>
            <w:tcW w:w="658" w:type="pct"/>
            <w:shd w:val="clear" w:color="auto" w:fill="FFFFFF"/>
            <w:vAlign w:val="center"/>
          </w:tcPr>
          <w:p w14:paraId="6DA646B8" w14:textId="77777777" w:rsidR="00CC32E9" w:rsidRPr="004F7214" w:rsidRDefault="00CC32E9" w:rsidP="00BA238F">
            <w:pPr>
              <w:autoSpaceDE w:val="0"/>
              <w:spacing w:before="60" w:after="60" w:line="260" w:lineRule="atLeast"/>
              <w:jc w:val="center"/>
              <w:rPr>
                <w:rFonts w:eastAsia="Calibri" w:cs="Arial"/>
                <w:b/>
                <w:bCs/>
                <w:sz w:val="18"/>
                <w:szCs w:val="18"/>
                <w:lang w:eastAsia="en-GB"/>
              </w:rPr>
            </w:pPr>
            <w:r w:rsidRPr="00B66EA6">
              <w:rPr>
                <w:rFonts w:eastAsia="Calibri" w:cs="Arial"/>
                <w:b/>
                <w:bCs/>
                <w:color w:val="000000"/>
                <w:sz w:val="18"/>
                <w:szCs w:val="18"/>
                <w:lang w:eastAsia="en-GB"/>
              </w:rPr>
              <w:t>PEC</w:t>
            </w:r>
            <w:r w:rsidRPr="004F7214">
              <w:rPr>
                <w:rFonts w:eastAsia="Calibri" w:cs="Arial"/>
                <w:b/>
                <w:bCs/>
                <w:color w:val="000000"/>
                <w:sz w:val="18"/>
                <w:szCs w:val="18"/>
                <w:vertAlign w:val="subscript"/>
                <w:lang w:eastAsia="en-GB"/>
              </w:rPr>
              <w:t>STP</w:t>
            </w:r>
          </w:p>
        </w:tc>
        <w:tc>
          <w:tcPr>
            <w:tcW w:w="658" w:type="pct"/>
            <w:shd w:val="clear" w:color="auto" w:fill="FFFFFF"/>
            <w:vAlign w:val="center"/>
          </w:tcPr>
          <w:p w14:paraId="1EF3ED1E" w14:textId="77777777" w:rsidR="00CC32E9" w:rsidRPr="002C76DF" w:rsidRDefault="00CC32E9" w:rsidP="00BA238F">
            <w:pPr>
              <w:spacing w:before="60" w:after="60" w:line="276" w:lineRule="auto"/>
              <w:jc w:val="center"/>
              <w:rPr>
                <w:rFonts w:eastAsia="Calibri" w:cs="Arial"/>
                <w:b/>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water</w:t>
            </w:r>
          </w:p>
        </w:tc>
        <w:tc>
          <w:tcPr>
            <w:tcW w:w="658" w:type="pct"/>
            <w:shd w:val="clear" w:color="auto" w:fill="FFFFFF"/>
            <w:vAlign w:val="center"/>
          </w:tcPr>
          <w:p w14:paraId="0EDC5D83" w14:textId="77777777" w:rsidR="00CC32E9" w:rsidRPr="002C76DF" w:rsidRDefault="00CC32E9" w:rsidP="00BA238F">
            <w:pPr>
              <w:spacing w:before="60" w:after="60" w:line="276" w:lineRule="auto"/>
              <w:jc w:val="center"/>
              <w:rPr>
                <w:rFonts w:eastAsia="Calibri" w:cs="Arial"/>
                <w:b/>
                <w:bCs/>
                <w:sz w:val="18"/>
                <w:szCs w:val="18"/>
                <w:lang w:eastAsia="en-GB"/>
              </w:rPr>
            </w:pPr>
            <w:r w:rsidRPr="002C76DF">
              <w:rPr>
                <w:rFonts w:eastAsia="Calibri" w:cs="Arial"/>
                <w:b/>
                <w:sz w:val="18"/>
                <w:szCs w:val="18"/>
                <w:lang w:eastAsia="en-GB"/>
              </w:rPr>
              <w:t>PEC</w:t>
            </w:r>
            <w:r w:rsidRPr="002C76DF">
              <w:rPr>
                <w:rFonts w:eastAsia="Calibri" w:cs="Arial"/>
                <w:b/>
                <w:sz w:val="18"/>
                <w:szCs w:val="18"/>
                <w:vertAlign w:val="subscript"/>
                <w:lang w:eastAsia="en-GB"/>
              </w:rPr>
              <w:t>sed</w:t>
            </w:r>
          </w:p>
        </w:tc>
        <w:tc>
          <w:tcPr>
            <w:tcW w:w="658" w:type="pct"/>
            <w:shd w:val="clear" w:color="auto" w:fill="auto"/>
            <w:vAlign w:val="center"/>
          </w:tcPr>
          <w:p w14:paraId="36FC1440" w14:textId="77777777" w:rsidR="00CC32E9" w:rsidRPr="002C76DF" w:rsidRDefault="00CC32E9" w:rsidP="00BA238F">
            <w:pPr>
              <w:spacing w:before="60" w:after="60" w:line="276" w:lineRule="auto"/>
              <w:jc w:val="center"/>
              <w:rPr>
                <w:rFonts w:eastAsia="Calibri" w:cs="Arial"/>
                <w:b/>
                <w:bCs/>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soil</w:t>
            </w:r>
          </w:p>
        </w:tc>
        <w:tc>
          <w:tcPr>
            <w:tcW w:w="657" w:type="pct"/>
            <w:shd w:val="clear" w:color="auto" w:fill="auto"/>
            <w:vAlign w:val="center"/>
          </w:tcPr>
          <w:p w14:paraId="7FA1B4C9" w14:textId="77777777" w:rsidR="00CC32E9" w:rsidRPr="002C76DF" w:rsidRDefault="00CC32E9" w:rsidP="00BA238F">
            <w:pPr>
              <w:spacing w:before="60" w:after="60" w:line="276" w:lineRule="auto"/>
              <w:jc w:val="center"/>
              <w:rPr>
                <w:rFonts w:eastAsia="Calibri" w:cs="Arial"/>
                <w:b/>
                <w:bCs/>
                <w:color w:val="000000"/>
                <w:sz w:val="18"/>
                <w:szCs w:val="18"/>
                <w:lang w:eastAsia="en-GB"/>
              </w:rPr>
            </w:pPr>
            <w:r w:rsidRPr="002C76DF">
              <w:rPr>
                <w:rFonts w:eastAsia="Calibri" w:cs="Arial"/>
                <w:b/>
                <w:bCs/>
                <w:sz w:val="18"/>
                <w:szCs w:val="18"/>
                <w:lang w:eastAsia="en-GB"/>
              </w:rPr>
              <w:t>PEC</w:t>
            </w:r>
            <w:r w:rsidRPr="002C76DF">
              <w:rPr>
                <w:rFonts w:eastAsia="Calibri" w:cs="Arial"/>
                <w:b/>
                <w:bCs/>
                <w:sz w:val="18"/>
                <w:szCs w:val="18"/>
                <w:vertAlign w:val="subscript"/>
                <w:lang w:eastAsia="en-GB"/>
              </w:rPr>
              <w:t>GW</w:t>
            </w:r>
          </w:p>
        </w:tc>
      </w:tr>
      <w:tr w:rsidR="00CC32E9" w:rsidRPr="002C76DF" w14:paraId="33834636" w14:textId="77777777" w:rsidTr="00DD2106">
        <w:trPr>
          <w:trHeight w:val="249"/>
        </w:trPr>
        <w:tc>
          <w:tcPr>
            <w:tcW w:w="1711" w:type="pct"/>
            <w:vMerge/>
            <w:tcBorders>
              <w:bottom w:val="single" w:sz="4" w:space="0" w:color="auto"/>
            </w:tcBorders>
            <w:shd w:val="clear" w:color="auto" w:fill="FFFFFF"/>
            <w:vAlign w:val="center"/>
          </w:tcPr>
          <w:p w14:paraId="448D0F85" w14:textId="77777777" w:rsidR="00CC32E9" w:rsidRPr="009118B1" w:rsidRDefault="00CC32E9" w:rsidP="00BA238F">
            <w:pPr>
              <w:rPr>
                <w:sz w:val="18"/>
                <w:szCs w:val="18"/>
              </w:rPr>
            </w:pPr>
          </w:p>
        </w:tc>
        <w:tc>
          <w:tcPr>
            <w:tcW w:w="658" w:type="pct"/>
            <w:tcBorders>
              <w:bottom w:val="single" w:sz="4" w:space="0" w:color="auto"/>
            </w:tcBorders>
            <w:shd w:val="clear" w:color="auto" w:fill="FFFFFF"/>
          </w:tcPr>
          <w:p w14:paraId="72993C0D"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tcBorders>
              <w:bottom w:val="single" w:sz="4" w:space="0" w:color="auto"/>
            </w:tcBorders>
            <w:shd w:val="clear" w:color="auto" w:fill="FFFFFF"/>
            <w:vAlign w:val="center"/>
          </w:tcPr>
          <w:p w14:paraId="7BA1BDA6"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w:t>
            </w:r>
            <w:r>
              <w:rPr>
                <w:rFonts w:eastAsia="Calibri" w:cs="Arial"/>
                <w:bCs/>
                <w:color w:val="000000"/>
                <w:sz w:val="18"/>
                <w:szCs w:val="18"/>
                <w:lang w:eastAsia="en-GB"/>
              </w:rPr>
              <w:t>L</w:t>
            </w:r>
            <w:r w:rsidRPr="009118B1">
              <w:rPr>
                <w:rFonts w:eastAsia="Calibri" w:cs="Arial"/>
                <w:bCs/>
                <w:color w:val="000000"/>
                <w:sz w:val="18"/>
                <w:szCs w:val="18"/>
                <w:lang w:eastAsia="en-GB"/>
              </w:rPr>
              <w:t>]</w:t>
            </w:r>
          </w:p>
        </w:tc>
        <w:tc>
          <w:tcPr>
            <w:tcW w:w="658" w:type="pct"/>
            <w:tcBorders>
              <w:bottom w:val="single" w:sz="4" w:space="0" w:color="auto"/>
            </w:tcBorders>
            <w:shd w:val="clear" w:color="auto" w:fill="FFFFFF"/>
            <w:vAlign w:val="center"/>
          </w:tcPr>
          <w:p w14:paraId="06F57E1F"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8" w:type="pct"/>
            <w:tcBorders>
              <w:bottom w:val="single" w:sz="4" w:space="0" w:color="auto"/>
            </w:tcBorders>
            <w:shd w:val="clear" w:color="auto" w:fill="auto"/>
            <w:vAlign w:val="center"/>
          </w:tcPr>
          <w:p w14:paraId="12F425A2" w14:textId="77777777" w:rsidR="00CC32E9" w:rsidRPr="009118B1" w:rsidRDefault="00CC32E9" w:rsidP="00BA238F">
            <w:pPr>
              <w:autoSpaceDE w:val="0"/>
              <w:spacing w:before="60" w:after="60" w:line="260" w:lineRule="atLeast"/>
              <w:jc w:val="center"/>
              <w:rPr>
                <w:rFonts w:eastAsia="Calibri" w:cs="Arial"/>
                <w:bCs/>
                <w:color w:val="000000"/>
                <w:sz w:val="18"/>
                <w:szCs w:val="18"/>
                <w:lang w:eastAsia="en-GB"/>
              </w:rPr>
            </w:pPr>
            <w:r w:rsidRPr="009118B1">
              <w:rPr>
                <w:rFonts w:eastAsia="Calibri" w:cs="Arial"/>
                <w:bCs/>
                <w:color w:val="000000"/>
                <w:sz w:val="18"/>
                <w:szCs w:val="18"/>
                <w:lang w:eastAsia="en-GB"/>
              </w:rPr>
              <w:t>[mg/kg</w:t>
            </w:r>
            <w:r w:rsidRPr="009118B1">
              <w:rPr>
                <w:rFonts w:eastAsia="Calibri" w:cs="Arial"/>
                <w:bCs/>
                <w:color w:val="000000"/>
                <w:sz w:val="18"/>
                <w:szCs w:val="18"/>
                <w:vertAlign w:val="subscript"/>
                <w:lang w:eastAsia="en-GB"/>
              </w:rPr>
              <w:t>wwt</w:t>
            </w:r>
            <w:r w:rsidRPr="009118B1">
              <w:rPr>
                <w:rFonts w:eastAsia="Calibri" w:cs="Arial"/>
                <w:bCs/>
                <w:color w:val="000000"/>
                <w:sz w:val="18"/>
                <w:szCs w:val="18"/>
                <w:lang w:eastAsia="en-GB"/>
              </w:rPr>
              <w:t>]</w:t>
            </w:r>
          </w:p>
        </w:tc>
        <w:tc>
          <w:tcPr>
            <w:tcW w:w="657" w:type="pct"/>
            <w:tcBorders>
              <w:bottom w:val="single" w:sz="4" w:space="0" w:color="auto"/>
            </w:tcBorders>
            <w:shd w:val="clear" w:color="auto" w:fill="auto"/>
            <w:vAlign w:val="center"/>
          </w:tcPr>
          <w:p w14:paraId="3B547E6F" w14:textId="77777777" w:rsidR="00CC32E9" w:rsidRPr="009118B1" w:rsidRDefault="00CC32E9" w:rsidP="00BA238F">
            <w:pPr>
              <w:spacing w:before="60" w:after="60" w:line="276" w:lineRule="auto"/>
              <w:jc w:val="center"/>
              <w:rPr>
                <w:rFonts w:eastAsia="Calibri" w:cs="Arial"/>
                <w:bCs/>
                <w:color w:val="000000"/>
                <w:sz w:val="18"/>
                <w:szCs w:val="18"/>
                <w:lang w:eastAsia="en-GB"/>
              </w:rPr>
            </w:pPr>
            <w:r w:rsidRPr="009118B1">
              <w:rPr>
                <w:rFonts w:eastAsia="Calibri" w:cs="Arial"/>
                <w:bCs/>
                <w:color w:val="000000"/>
                <w:sz w:val="18"/>
                <w:szCs w:val="18"/>
                <w:lang w:eastAsia="en-GB"/>
              </w:rPr>
              <w:t>[μg/</w:t>
            </w:r>
            <w:r>
              <w:rPr>
                <w:rFonts w:eastAsia="Calibri" w:cs="Arial"/>
                <w:bCs/>
                <w:color w:val="000000"/>
                <w:sz w:val="18"/>
                <w:szCs w:val="18"/>
                <w:lang w:eastAsia="en-GB"/>
              </w:rPr>
              <w:t>L</w:t>
            </w:r>
            <w:r w:rsidRPr="009118B1">
              <w:rPr>
                <w:rFonts w:eastAsia="Calibri" w:cs="Arial"/>
                <w:bCs/>
                <w:color w:val="000000"/>
                <w:sz w:val="18"/>
                <w:szCs w:val="18"/>
                <w:lang w:eastAsia="en-GB"/>
              </w:rPr>
              <w:t>]</w:t>
            </w:r>
          </w:p>
        </w:tc>
      </w:tr>
      <w:tr w:rsidR="00CC32E9" w:rsidRPr="002C76DF" w14:paraId="4D9D49EC" w14:textId="77777777" w:rsidTr="00D518B9">
        <w:trPr>
          <w:trHeight w:val="556"/>
        </w:trPr>
        <w:tc>
          <w:tcPr>
            <w:tcW w:w="1711" w:type="pct"/>
            <w:tcBorders>
              <w:bottom w:val="nil"/>
            </w:tcBorders>
            <w:shd w:val="clear" w:color="auto" w:fill="FFFFFF"/>
          </w:tcPr>
          <w:p w14:paraId="4E294FF2" w14:textId="75FF358A"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1</w:t>
            </w:r>
            <w:r w:rsidR="00A358C5">
              <w:rPr>
                <w:rFonts w:eastAsia="Calibri" w:cs="Arial"/>
                <w:sz w:val="18"/>
                <w:szCs w:val="18"/>
                <w:lang w:eastAsia="en-GB"/>
              </w:rPr>
              <w:t>a</w:t>
            </w:r>
            <w:r w:rsidRPr="002C76DF">
              <w:rPr>
                <w:rFonts w:eastAsia="Calibri" w:cs="Arial"/>
                <w:sz w:val="18"/>
                <w:szCs w:val="18"/>
                <w:lang w:eastAsia="en-GB"/>
              </w:rPr>
              <w:t xml:space="preserve"> – PT02 </w:t>
            </w:r>
          </w:p>
          <w:p w14:paraId="21ECD7F3" w14:textId="3310484B" w:rsidR="00A966C3" w:rsidRPr="00FC4EB5" w:rsidRDefault="00CC32E9" w:rsidP="00BA238F">
            <w:pPr>
              <w:spacing w:before="60" w:after="60" w:line="276" w:lineRule="auto"/>
              <w:rPr>
                <w:rFonts w:eastAsia="Calibri"/>
                <w:sz w:val="18"/>
                <w:szCs w:val="18"/>
                <w:lang w:eastAsia="en-US"/>
              </w:rPr>
            </w:pPr>
            <w:r w:rsidRPr="009118B1">
              <w:rPr>
                <w:rFonts w:eastAsia="Calibri"/>
                <w:sz w:val="18"/>
                <w:szCs w:val="18"/>
                <w:lang w:eastAsia="en-US"/>
              </w:rPr>
              <w:t>Institutional areas</w:t>
            </w:r>
            <w:r w:rsidR="000E6782">
              <w:rPr>
                <w:rFonts w:eastAsia="Calibri"/>
                <w:sz w:val="18"/>
                <w:szCs w:val="18"/>
                <w:lang w:eastAsia="en-US"/>
              </w:rPr>
              <w:t xml:space="preserve">    </w:t>
            </w:r>
          </w:p>
        </w:tc>
        <w:tc>
          <w:tcPr>
            <w:tcW w:w="658" w:type="pct"/>
            <w:tcBorders>
              <w:bottom w:val="nil"/>
            </w:tcBorders>
            <w:shd w:val="clear" w:color="auto" w:fill="FFFFFF"/>
            <w:vAlign w:val="center"/>
          </w:tcPr>
          <w:p w14:paraId="1625415F" w14:textId="039B34AA" w:rsidR="00A966C3" w:rsidRPr="004F7214" w:rsidRDefault="00A966C3" w:rsidP="00BA238F">
            <w:pPr>
              <w:autoSpaceDE w:val="0"/>
              <w:snapToGrid w:val="0"/>
              <w:spacing w:before="60" w:after="60" w:line="260" w:lineRule="atLeast"/>
              <w:jc w:val="center"/>
              <w:rPr>
                <w:rFonts w:eastAsia="Calibri" w:cs="Arial"/>
                <w:color w:val="000000"/>
                <w:sz w:val="18"/>
                <w:szCs w:val="18"/>
                <w:lang w:eastAsia="en-GB"/>
              </w:rPr>
            </w:pPr>
          </w:p>
        </w:tc>
        <w:tc>
          <w:tcPr>
            <w:tcW w:w="658" w:type="pct"/>
            <w:tcBorders>
              <w:bottom w:val="nil"/>
            </w:tcBorders>
            <w:shd w:val="clear" w:color="auto" w:fill="FFFFFF"/>
            <w:vAlign w:val="center"/>
          </w:tcPr>
          <w:p w14:paraId="2E49A6EA" w14:textId="73B27D0A" w:rsidR="00A966C3" w:rsidRPr="002C76DF" w:rsidRDefault="00A966C3" w:rsidP="00BA238F">
            <w:pPr>
              <w:snapToGrid w:val="0"/>
              <w:spacing w:before="60" w:after="60" w:line="276" w:lineRule="auto"/>
              <w:jc w:val="center"/>
              <w:rPr>
                <w:rFonts w:eastAsia="Calibri" w:cs="Arial"/>
                <w:color w:val="000000"/>
                <w:sz w:val="18"/>
                <w:szCs w:val="18"/>
                <w:lang w:eastAsia="en-GB"/>
              </w:rPr>
            </w:pPr>
          </w:p>
        </w:tc>
        <w:tc>
          <w:tcPr>
            <w:tcW w:w="658" w:type="pct"/>
            <w:tcBorders>
              <w:bottom w:val="nil"/>
            </w:tcBorders>
            <w:shd w:val="clear" w:color="auto" w:fill="FFFFFF"/>
            <w:vAlign w:val="center"/>
          </w:tcPr>
          <w:p w14:paraId="5A952AD5" w14:textId="6F227250" w:rsidR="00A966C3" w:rsidRPr="002C76DF" w:rsidRDefault="00A966C3"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auto"/>
            <w:vAlign w:val="center"/>
          </w:tcPr>
          <w:p w14:paraId="279926B1" w14:textId="5003A363" w:rsidR="00A966C3" w:rsidRPr="002C76DF" w:rsidRDefault="00A966C3" w:rsidP="00BA238F">
            <w:pPr>
              <w:snapToGrid w:val="0"/>
              <w:spacing w:before="60" w:after="60" w:line="276" w:lineRule="auto"/>
              <w:jc w:val="center"/>
              <w:rPr>
                <w:rFonts w:eastAsia="Calibri" w:cs="Arial"/>
                <w:sz w:val="18"/>
                <w:szCs w:val="18"/>
                <w:lang w:eastAsia="en-GB"/>
              </w:rPr>
            </w:pPr>
          </w:p>
        </w:tc>
        <w:tc>
          <w:tcPr>
            <w:tcW w:w="657" w:type="pct"/>
            <w:tcBorders>
              <w:bottom w:val="nil"/>
            </w:tcBorders>
            <w:shd w:val="clear" w:color="auto" w:fill="auto"/>
            <w:vAlign w:val="center"/>
          </w:tcPr>
          <w:p w14:paraId="396E0AB3" w14:textId="4718E6D9" w:rsidR="00A966C3" w:rsidRPr="00A966C3" w:rsidRDefault="00A966C3" w:rsidP="00BA238F">
            <w:pPr>
              <w:snapToGrid w:val="0"/>
              <w:spacing w:before="60" w:after="60" w:line="276" w:lineRule="auto"/>
              <w:jc w:val="center"/>
              <w:rPr>
                <w:rFonts w:eastAsia="Calibri" w:cs="Arial"/>
                <w:sz w:val="18"/>
                <w:szCs w:val="18"/>
                <w:lang w:eastAsia="en-GB"/>
              </w:rPr>
            </w:pPr>
          </w:p>
        </w:tc>
      </w:tr>
      <w:tr w:rsidR="00FC4EB5" w:rsidRPr="002C76DF" w14:paraId="4BD53797" w14:textId="77777777" w:rsidTr="00D518B9">
        <w:trPr>
          <w:trHeight w:val="449"/>
        </w:trPr>
        <w:tc>
          <w:tcPr>
            <w:tcW w:w="1711" w:type="pct"/>
            <w:tcBorders>
              <w:top w:val="nil"/>
              <w:bottom w:val="nil"/>
            </w:tcBorders>
            <w:shd w:val="clear" w:color="auto" w:fill="FFFFFF"/>
            <w:vAlign w:val="center"/>
          </w:tcPr>
          <w:p w14:paraId="4FB0E702" w14:textId="17757C14" w:rsidR="00FC4EB5" w:rsidRPr="00FC4EB5" w:rsidRDefault="00D115B1" w:rsidP="00D518B9">
            <w:pPr>
              <w:tabs>
                <w:tab w:val="left" w:pos="285"/>
              </w:tabs>
              <w:spacing w:before="60" w:after="60" w:line="276" w:lineRule="auto"/>
              <w:rPr>
                <w:rFonts w:eastAsia="Calibri"/>
                <w:sz w:val="18"/>
                <w:szCs w:val="18"/>
                <w:lang w:eastAsia="en-US"/>
              </w:rPr>
            </w:pPr>
            <w:r>
              <w:rPr>
                <w:rFonts w:eastAsia="Calibri"/>
                <w:sz w:val="18"/>
                <w:szCs w:val="18"/>
                <w:lang w:eastAsia="en-US"/>
              </w:rPr>
              <w:tab/>
            </w:r>
            <w:r w:rsidR="00FC4EB5">
              <w:rPr>
                <w:rFonts w:eastAsia="Calibri"/>
                <w:sz w:val="18"/>
                <w:szCs w:val="18"/>
                <w:lang w:eastAsia="en-US"/>
              </w:rPr>
              <w:t>Meta-SPC 9</w:t>
            </w:r>
          </w:p>
        </w:tc>
        <w:tc>
          <w:tcPr>
            <w:tcW w:w="658" w:type="pct"/>
            <w:tcBorders>
              <w:top w:val="nil"/>
              <w:bottom w:val="nil"/>
            </w:tcBorders>
            <w:shd w:val="clear" w:color="auto" w:fill="FFFFFF"/>
            <w:vAlign w:val="center"/>
          </w:tcPr>
          <w:p w14:paraId="509B0966" w14:textId="4D7A3464" w:rsidR="00FC4EB5" w:rsidRPr="00B66EA6" w:rsidRDefault="00FC4EB5" w:rsidP="00691327">
            <w:pPr>
              <w:autoSpaceDE w:val="0"/>
              <w:snapToGrid w:val="0"/>
              <w:spacing w:before="60" w:after="60" w:line="260" w:lineRule="atLeast"/>
              <w:jc w:val="center"/>
              <w:rPr>
                <w:rFonts w:eastAsia="Calibri" w:cs="Arial"/>
                <w:color w:val="000000"/>
                <w:sz w:val="18"/>
                <w:szCs w:val="18"/>
                <w:lang w:eastAsia="en-GB"/>
              </w:rPr>
            </w:pPr>
            <w:r w:rsidRPr="00B66EA6">
              <w:rPr>
                <w:rFonts w:eastAsia="Calibri" w:cs="Arial"/>
                <w:color w:val="000000"/>
                <w:sz w:val="18"/>
                <w:szCs w:val="18"/>
                <w:lang w:eastAsia="en-GB"/>
              </w:rPr>
              <w:t>5.40E-02</w:t>
            </w:r>
          </w:p>
        </w:tc>
        <w:tc>
          <w:tcPr>
            <w:tcW w:w="658" w:type="pct"/>
            <w:tcBorders>
              <w:top w:val="nil"/>
              <w:bottom w:val="nil"/>
            </w:tcBorders>
            <w:shd w:val="clear" w:color="auto" w:fill="FFFFFF"/>
            <w:vAlign w:val="center"/>
          </w:tcPr>
          <w:p w14:paraId="66C46771" w14:textId="7C081EA1" w:rsidR="00FC4EB5" w:rsidRDefault="00FC4EB5" w:rsidP="00691327">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5.30</w:t>
            </w:r>
            <w:r w:rsidRPr="002C76DF">
              <w:rPr>
                <w:rFonts w:eastAsia="Calibri" w:cs="Arial"/>
                <w:color w:val="000000"/>
                <w:sz w:val="18"/>
                <w:szCs w:val="18"/>
                <w:lang w:eastAsia="en-GB"/>
              </w:rPr>
              <w:t>E-03</w:t>
            </w:r>
          </w:p>
        </w:tc>
        <w:tc>
          <w:tcPr>
            <w:tcW w:w="658" w:type="pct"/>
            <w:tcBorders>
              <w:top w:val="nil"/>
              <w:bottom w:val="nil"/>
            </w:tcBorders>
            <w:shd w:val="clear" w:color="auto" w:fill="FFFFFF"/>
            <w:vAlign w:val="center"/>
          </w:tcPr>
          <w:p w14:paraId="17C14EA4" w14:textId="4366CAD3" w:rsidR="00FC4EB5" w:rsidRDefault="00691327" w:rsidP="00691327">
            <w:pPr>
              <w:snapToGrid w:val="0"/>
              <w:spacing w:before="60" w:after="60" w:line="276" w:lineRule="auto"/>
              <w:jc w:val="center"/>
              <w:rPr>
                <w:rFonts w:eastAsia="Calibri" w:cs="Arial"/>
                <w:sz w:val="18"/>
                <w:szCs w:val="18"/>
                <w:lang w:eastAsia="en-GB"/>
              </w:rPr>
            </w:pPr>
            <w:r>
              <w:rPr>
                <w:rFonts w:eastAsia="Calibri" w:cs="Arial"/>
                <w:sz w:val="18"/>
                <w:szCs w:val="18"/>
                <w:lang w:eastAsia="en-GB"/>
              </w:rPr>
              <w:t>1.45</w:t>
            </w:r>
          </w:p>
        </w:tc>
        <w:tc>
          <w:tcPr>
            <w:tcW w:w="658" w:type="pct"/>
            <w:tcBorders>
              <w:top w:val="nil"/>
              <w:bottom w:val="nil"/>
            </w:tcBorders>
            <w:shd w:val="clear" w:color="auto" w:fill="auto"/>
            <w:vAlign w:val="center"/>
          </w:tcPr>
          <w:p w14:paraId="6DF2B554" w14:textId="49682742" w:rsidR="00FC4EB5" w:rsidRPr="002C76DF" w:rsidRDefault="00FC4EB5" w:rsidP="00691327">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1.94E-01</w:t>
            </w:r>
          </w:p>
        </w:tc>
        <w:tc>
          <w:tcPr>
            <w:tcW w:w="657" w:type="pct"/>
            <w:tcBorders>
              <w:top w:val="nil"/>
              <w:bottom w:val="nil"/>
            </w:tcBorders>
            <w:shd w:val="clear" w:color="auto" w:fill="auto"/>
            <w:vAlign w:val="center"/>
          </w:tcPr>
          <w:p w14:paraId="132349DC" w14:textId="3B41938F" w:rsidR="00FC4EB5" w:rsidRDefault="00FC4EB5" w:rsidP="00691327">
            <w:pPr>
              <w:snapToGrid w:val="0"/>
              <w:spacing w:before="60" w:after="60" w:line="276" w:lineRule="auto"/>
              <w:jc w:val="center"/>
              <w:rPr>
                <w:rFonts w:eastAsia="Calibri" w:cs="Arial"/>
                <w:b/>
                <w:sz w:val="18"/>
                <w:szCs w:val="18"/>
                <w:lang w:eastAsia="en-GB"/>
              </w:rPr>
            </w:pPr>
            <w:r w:rsidRPr="002C76DF">
              <w:rPr>
                <w:rFonts w:eastAsia="Calibri" w:cs="Arial"/>
                <w:b/>
                <w:sz w:val="18"/>
                <w:szCs w:val="18"/>
                <w:lang w:eastAsia="en-GB"/>
              </w:rPr>
              <w:t>2.06E-01</w:t>
            </w:r>
          </w:p>
        </w:tc>
      </w:tr>
      <w:tr w:rsidR="00FC4EB5" w:rsidRPr="002C76DF" w14:paraId="6AEAC7C7" w14:textId="77777777" w:rsidTr="00D518B9">
        <w:trPr>
          <w:trHeight w:val="80"/>
        </w:trPr>
        <w:tc>
          <w:tcPr>
            <w:tcW w:w="1711" w:type="pct"/>
            <w:tcBorders>
              <w:top w:val="nil"/>
            </w:tcBorders>
            <w:shd w:val="clear" w:color="auto" w:fill="FFFFFF"/>
            <w:vAlign w:val="center"/>
          </w:tcPr>
          <w:p w14:paraId="43FADE0D" w14:textId="44002E96" w:rsidR="00FC4EB5" w:rsidRPr="002C76DF" w:rsidRDefault="00D115B1" w:rsidP="00D518B9">
            <w:pPr>
              <w:tabs>
                <w:tab w:val="left" w:pos="285"/>
              </w:tabs>
              <w:spacing w:before="60" w:after="60" w:line="276" w:lineRule="auto"/>
              <w:rPr>
                <w:rFonts w:eastAsia="Calibri" w:cs="Arial"/>
                <w:sz w:val="18"/>
                <w:szCs w:val="18"/>
                <w:lang w:eastAsia="en-GB"/>
              </w:rPr>
            </w:pPr>
            <w:r>
              <w:rPr>
                <w:rFonts w:eastAsia="Calibri"/>
                <w:sz w:val="18"/>
                <w:szCs w:val="18"/>
                <w:lang w:eastAsia="en-US"/>
              </w:rPr>
              <w:tab/>
            </w:r>
            <w:r w:rsidR="00FC4EB5">
              <w:rPr>
                <w:rFonts w:eastAsia="Calibri"/>
                <w:sz w:val="18"/>
                <w:szCs w:val="18"/>
                <w:lang w:eastAsia="en-US"/>
              </w:rPr>
              <w:t>Refinement Meta-SPC 10</w:t>
            </w:r>
          </w:p>
        </w:tc>
        <w:tc>
          <w:tcPr>
            <w:tcW w:w="658" w:type="pct"/>
            <w:tcBorders>
              <w:top w:val="nil"/>
            </w:tcBorders>
            <w:shd w:val="clear" w:color="auto" w:fill="FFFFFF"/>
            <w:vAlign w:val="center"/>
          </w:tcPr>
          <w:p w14:paraId="0A25671A" w14:textId="33507FE3" w:rsidR="00FC4EB5" w:rsidRPr="00B66EA6" w:rsidRDefault="00FC4EB5" w:rsidP="00BA238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5.40E-03</w:t>
            </w:r>
          </w:p>
        </w:tc>
        <w:tc>
          <w:tcPr>
            <w:tcW w:w="658" w:type="pct"/>
            <w:tcBorders>
              <w:top w:val="nil"/>
            </w:tcBorders>
            <w:shd w:val="clear" w:color="auto" w:fill="FFFFFF"/>
            <w:vAlign w:val="center"/>
          </w:tcPr>
          <w:p w14:paraId="57F103C5" w14:textId="6C3DA62A" w:rsidR="00FC4EB5" w:rsidRDefault="00FC4EB5"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5.30E-04</w:t>
            </w:r>
          </w:p>
        </w:tc>
        <w:tc>
          <w:tcPr>
            <w:tcW w:w="658" w:type="pct"/>
            <w:tcBorders>
              <w:top w:val="nil"/>
            </w:tcBorders>
            <w:shd w:val="clear" w:color="auto" w:fill="FFFFFF"/>
            <w:vAlign w:val="center"/>
          </w:tcPr>
          <w:p w14:paraId="542A86AA" w14:textId="55C3F939" w:rsidR="00FC4EB5" w:rsidRDefault="00FC4EB5"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1.45E-01</w:t>
            </w:r>
          </w:p>
        </w:tc>
        <w:tc>
          <w:tcPr>
            <w:tcW w:w="658" w:type="pct"/>
            <w:tcBorders>
              <w:top w:val="nil"/>
            </w:tcBorders>
            <w:shd w:val="clear" w:color="auto" w:fill="auto"/>
            <w:vAlign w:val="center"/>
          </w:tcPr>
          <w:p w14:paraId="7E7D0963" w14:textId="6C4ADA86" w:rsidR="00FC4EB5" w:rsidRPr="002C76DF" w:rsidRDefault="00FC4EB5"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1.94E-02</w:t>
            </w:r>
          </w:p>
        </w:tc>
        <w:tc>
          <w:tcPr>
            <w:tcW w:w="657" w:type="pct"/>
            <w:tcBorders>
              <w:top w:val="nil"/>
            </w:tcBorders>
            <w:shd w:val="clear" w:color="auto" w:fill="auto"/>
            <w:vAlign w:val="center"/>
          </w:tcPr>
          <w:p w14:paraId="1DDE0ECE" w14:textId="7607B747" w:rsidR="00FC4EB5" w:rsidRPr="002C76DF" w:rsidRDefault="00FC4EB5" w:rsidP="00BA238F">
            <w:pPr>
              <w:snapToGrid w:val="0"/>
              <w:spacing w:before="60" w:after="60" w:line="276" w:lineRule="auto"/>
              <w:jc w:val="center"/>
              <w:rPr>
                <w:rFonts w:eastAsia="Calibri" w:cs="Arial"/>
                <w:b/>
                <w:sz w:val="18"/>
                <w:szCs w:val="18"/>
                <w:lang w:eastAsia="en-GB"/>
              </w:rPr>
            </w:pPr>
            <w:r w:rsidRPr="007235FB">
              <w:rPr>
                <w:rFonts w:eastAsia="Calibri" w:cs="Arial"/>
                <w:sz w:val="18"/>
                <w:szCs w:val="18"/>
                <w:lang w:eastAsia="en-GB"/>
              </w:rPr>
              <w:t>2.06E-02</w:t>
            </w:r>
          </w:p>
        </w:tc>
      </w:tr>
      <w:tr w:rsidR="00CC32E9" w:rsidRPr="002C76DF" w14:paraId="662392B1" w14:textId="77777777" w:rsidTr="00DB17E3">
        <w:trPr>
          <w:trHeight w:val="75"/>
        </w:trPr>
        <w:tc>
          <w:tcPr>
            <w:tcW w:w="1711" w:type="pct"/>
            <w:shd w:val="clear" w:color="auto" w:fill="FFFFFF"/>
          </w:tcPr>
          <w:p w14:paraId="2629B4DC" w14:textId="2E7E928A" w:rsidR="00CC32E9" w:rsidRPr="002C76DF" w:rsidRDefault="00CC32E9" w:rsidP="00BA238F">
            <w:pPr>
              <w:spacing w:before="60" w:after="60" w:line="276" w:lineRule="auto"/>
              <w:rPr>
                <w:rFonts w:eastAsia="Calibri" w:cs="Arial"/>
                <w:sz w:val="18"/>
                <w:szCs w:val="18"/>
                <w:lang w:eastAsia="en-GB"/>
              </w:rPr>
            </w:pPr>
            <w:r w:rsidRPr="002C76DF">
              <w:rPr>
                <w:rFonts w:eastAsia="Calibri" w:cs="Arial"/>
                <w:sz w:val="18"/>
                <w:szCs w:val="18"/>
                <w:lang w:eastAsia="en-GB"/>
              </w:rPr>
              <w:t>Scenario 2 – PT02 Industrial areas</w:t>
            </w:r>
            <w:r w:rsidR="00C75177">
              <w:rPr>
                <w:rFonts w:eastAsia="Calibri" w:cs="Arial"/>
                <w:sz w:val="18"/>
                <w:szCs w:val="18"/>
                <w:lang w:eastAsia="en-GB"/>
              </w:rPr>
              <w:t xml:space="preserve"> (large scale applications)</w:t>
            </w:r>
          </w:p>
        </w:tc>
        <w:tc>
          <w:tcPr>
            <w:tcW w:w="658" w:type="pct"/>
            <w:shd w:val="clear" w:color="auto" w:fill="FFFFFF"/>
            <w:vAlign w:val="center"/>
          </w:tcPr>
          <w:p w14:paraId="290C1265" w14:textId="4B80D40E" w:rsidR="00CC32E9" w:rsidRPr="002C76DF" w:rsidRDefault="00CC32E9" w:rsidP="00BA238F">
            <w:pPr>
              <w:autoSpaceDE w:val="0"/>
              <w:snapToGrid w:val="0"/>
              <w:spacing w:before="60" w:after="60" w:line="260" w:lineRule="atLeast"/>
              <w:jc w:val="center"/>
              <w:rPr>
                <w:rFonts w:eastAsia="Calibri" w:cs="Arial"/>
                <w:color w:val="000000"/>
                <w:sz w:val="18"/>
                <w:szCs w:val="18"/>
                <w:lang w:eastAsia="en-GB"/>
              </w:rPr>
            </w:pPr>
            <w:r w:rsidRPr="002C76DF">
              <w:rPr>
                <w:rFonts w:eastAsia="Calibri" w:cs="Arial"/>
                <w:sz w:val="18"/>
                <w:szCs w:val="18"/>
                <w:lang w:eastAsia="en-GB"/>
              </w:rPr>
              <w:t>1.23E-02</w:t>
            </w:r>
          </w:p>
        </w:tc>
        <w:tc>
          <w:tcPr>
            <w:tcW w:w="658" w:type="pct"/>
            <w:shd w:val="clear" w:color="auto" w:fill="FFFFFF"/>
            <w:vAlign w:val="center"/>
          </w:tcPr>
          <w:p w14:paraId="4F2A888E" w14:textId="15E79A9D" w:rsidR="00CC32E9" w:rsidRPr="002C76DF" w:rsidRDefault="00C75177"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1.21E-03</w:t>
            </w:r>
          </w:p>
        </w:tc>
        <w:tc>
          <w:tcPr>
            <w:tcW w:w="658" w:type="pct"/>
            <w:shd w:val="clear" w:color="auto" w:fill="FFFFFF"/>
            <w:vAlign w:val="center"/>
          </w:tcPr>
          <w:p w14:paraId="2DC57D96" w14:textId="7C2B1B1B" w:rsidR="00CC32E9" w:rsidRPr="002C76DF" w:rsidRDefault="00C75177" w:rsidP="00BA238F">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3.32</w:t>
            </w:r>
            <w:r w:rsidR="00CC32E9" w:rsidRPr="002C76DF">
              <w:rPr>
                <w:rFonts w:eastAsia="Calibri" w:cs="Arial"/>
                <w:color w:val="000000"/>
                <w:sz w:val="18"/>
                <w:szCs w:val="18"/>
                <w:lang w:eastAsia="en-GB"/>
              </w:rPr>
              <w:t>E-01</w:t>
            </w:r>
          </w:p>
        </w:tc>
        <w:tc>
          <w:tcPr>
            <w:tcW w:w="658" w:type="pct"/>
            <w:shd w:val="clear" w:color="auto" w:fill="auto"/>
            <w:vAlign w:val="center"/>
          </w:tcPr>
          <w:p w14:paraId="0C6FC0B5" w14:textId="2F4A5416"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color w:val="000000"/>
                <w:sz w:val="18"/>
                <w:szCs w:val="18"/>
                <w:lang w:eastAsia="en-GB"/>
              </w:rPr>
              <w:t>4.44E-02</w:t>
            </w:r>
          </w:p>
        </w:tc>
        <w:tc>
          <w:tcPr>
            <w:tcW w:w="657" w:type="pct"/>
            <w:shd w:val="clear" w:color="auto" w:fill="auto"/>
            <w:vAlign w:val="center"/>
          </w:tcPr>
          <w:p w14:paraId="364091BB" w14:textId="30A17F7A" w:rsidR="00CC32E9" w:rsidRPr="002C76DF" w:rsidRDefault="00CC32E9" w:rsidP="00BA238F">
            <w:pPr>
              <w:snapToGrid w:val="0"/>
              <w:spacing w:before="60" w:after="60" w:line="276" w:lineRule="auto"/>
              <w:jc w:val="center"/>
              <w:rPr>
                <w:rFonts w:eastAsia="Calibri" w:cs="Arial"/>
                <w:b/>
                <w:sz w:val="18"/>
                <w:szCs w:val="18"/>
                <w:lang w:eastAsia="en-GB"/>
              </w:rPr>
            </w:pPr>
            <w:r w:rsidRPr="002C76DF">
              <w:rPr>
                <w:rFonts w:eastAsia="Calibri" w:cs="Arial"/>
                <w:color w:val="000000"/>
                <w:sz w:val="18"/>
                <w:szCs w:val="18"/>
                <w:lang w:eastAsia="en-GB"/>
              </w:rPr>
              <w:t>4.71E-02</w:t>
            </w:r>
          </w:p>
        </w:tc>
      </w:tr>
      <w:tr w:rsidR="004539DD" w:rsidRPr="002C76DF" w14:paraId="5FE0C27B" w14:textId="77777777" w:rsidTr="00DB17E3">
        <w:trPr>
          <w:trHeight w:val="75"/>
        </w:trPr>
        <w:tc>
          <w:tcPr>
            <w:tcW w:w="1711" w:type="pct"/>
            <w:shd w:val="clear" w:color="auto" w:fill="FFFFFF"/>
          </w:tcPr>
          <w:p w14:paraId="64745131" w14:textId="0277716D" w:rsidR="004539DD" w:rsidRPr="002C76DF" w:rsidRDefault="004539DD" w:rsidP="00BA238F">
            <w:pPr>
              <w:spacing w:before="60" w:after="60" w:line="276" w:lineRule="auto"/>
              <w:rPr>
                <w:rFonts w:eastAsia="Calibri" w:cs="Arial"/>
                <w:sz w:val="18"/>
                <w:szCs w:val="18"/>
                <w:lang w:eastAsia="en-GB"/>
              </w:rPr>
            </w:pPr>
            <w:r>
              <w:rPr>
                <w:rFonts w:eastAsia="Calibri" w:cs="Arial"/>
                <w:sz w:val="18"/>
                <w:szCs w:val="18"/>
                <w:lang w:eastAsia="en-GB"/>
              </w:rPr>
              <w:t xml:space="preserve">Scenario 3 - </w:t>
            </w:r>
            <w:r>
              <w:rPr>
                <w:rFonts w:eastAsia="Calibri"/>
                <w:sz w:val="18"/>
                <w:szCs w:val="18"/>
                <w:lang w:eastAsia="en-US"/>
              </w:rPr>
              <w:t>PT02 Disinfection of rooms, furniture and objects in medical sector</w:t>
            </w:r>
          </w:p>
        </w:tc>
        <w:tc>
          <w:tcPr>
            <w:tcW w:w="658" w:type="pct"/>
            <w:shd w:val="clear" w:color="auto" w:fill="FFFFFF"/>
            <w:vAlign w:val="center"/>
          </w:tcPr>
          <w:p w14:paraId="5D5BA887" w14:textId="2A1638CA" w:rsidR="004539DD" w:rsidRPr="002C76DF" w:rsidRDefault="00691327" w:rsidP="00BA238F">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4.63E-03</w:t>
            </w:r>
          </w:p>
        </w:tc>
        <w:tc>
          <w:tcPr>
            <w:tcW w:w="658" w:type="pct"/>
            <w:shd w:val="clear" w:color="auto" w:fill="FFFFFF"/>
            <w:vAlign w:val="center"/>
          </w:tcPr>
          <w:p w14:paraId="205D3A2E" w14:textId="5F6A2644" w:rsidR="004539DD" w:rsidRDefault="00691327"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4.54E-04</w:t>
            </w:r>
          </w:p>
        </w:tc>
        <w:tc>
          <w:tcPr>
            <w:tcW w:w="658" w:type="pct"/>
            <w:shd w:val="clear" w:color="auto" w:fill="FFFFFF"/>
            <w:vAlign w:val="center"/>
          </w:tcPr>
          <w:p w14:paraId="338DC935" w14:textId="637A132C" w:rsidR="004539DD" w:rsidRDefault="00691327"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1.25E-01</w:t>
            </w:r>
          </w:p>
        </w:tc>
        <w:tc>
          <w:tcPr>
            <w:tcW w:w="658" w:type="pct"/>
            <w:shd w:val="clear" w:color="auto" w:fill="auto"/>
            <w:vAlign w:val="center"/>
          </w:tcPr>
          <w:p w14:paraId="616CCF91" w14:textId="117E9878" w:rsidR="004539DD" w:rsidRPr="002C76DF" w:rsidRDefault="00691327"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1.67E-02</w:t>
            </w:r>
          </w:p>
        </w:tc>
        <w:tc>
          <w:tcPr>
            <w:tcW w:w="657" w:type="pct"/>
            <w:shd w:val="clear" w:color="auto" w:fill="auto"/>
            <w:vAlign w:val="center"/>
          </w:tcPr>
          <w:p w14:paraId="2663DB4C" w14:textId="5C98940F" w:rsidR="004539DD" w:rsidRPr="002C76DF" w:rsidRDefault="00691327" w:rsidP="00BA238F">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1.77E-02</w:t>
            </w:r>
          </w:p>
        </w:tc>
      </w:tr>
      <w:tr w:rsidR="00CC32E9" w:rsidRPr="002C76DF" w14:paraId="1F46E775" w14:textId="77777777" w:rsidTr="00DB17E3">
        <w:trPr>
          <w:trHeight w:val="75"/>
        </w:trPr>
        <w:tc>
          <w:tcPr>
            <w:tcW w:w="1711" w:type="pct"/>
            <w:shd w:val="clear" w:color="auto" w:fill="FFFFFF"/>
            <w:vAlign w:val="center"/>
          </w:tcPr>
          <w:p w14:paraId="7DBF6F62" w14:textId="77777777"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4 </w:t>
            </w:r>
            <w:r w:rsidRPr="002C76DF">
              <w:rPr>
                <w:rFonts w:eastAsia="Calibri" w:cs="Arial"/>
                <w:sz w:val="18"/>
                <w:szCs w:val="18"/>
                <w:lang w:eastAsia="en-GB"/>
              </w:rPr>
              <w:t xml:space="preserve">– PT02 </w:t>
            </w:r>
          </w:p>
          <w:p w14:paraId="3420EFB3"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Road ways indirect emission via STP</w:t>
            </w:r>
          </w:p>
        </w:tc>
        <w:tc>
          <w:tcPr>
            <w:tcW w:w="658" w:type="pct"/>
            <w:shd w:val="clear" w:color="auto" w:fill="FFFFFF"/>
            <w:vAlign w:val="center"/>
          </w:tcPr>
          <w:p w14:paraId="6E986B7C" w14:textId="77777777" w:rsidR="00CC32E9" w:rsidRPr="00EE00B3" w:rsidRDefault="00CC32E9" w:rsidP="00BA238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1.</w:t>
            </w:r>
            <w:r w:rsidRPr="004F7214">
              <w:rPr>
                <w:rFonts w:eastAsia="Calibri" w:cs="Arial"/>
                <w:sz w:val="18"/>
                <w:szCs w:val="18"/>
                <w:lang w:eastAsia="en-GB"/>
              </w:rPr>
              <w:t>85E-01</w:t>
            </w:r>
          </w:p>
        </w:tc>
        <w:tc>
          <w:tcPr>
            <w:tcW w:w="658" w:type="pct"/>
            <w:shd w:val="clear" w:color="auto" w:fill="FFFFFF"/>
            <w:vAlign w:val="center"/>
          </w:tcPr>
          <w:p w14:paraId="68605C7F" w14:textId="6B2025D0"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w:t>
            </w:r>
            <w:r w:rsidR="00E423E2">
              <w:rPr>
                <w:rFonts w:eastAsia="Calibri" w:cs="Arial"/>
                <w:sz w:val="18"/>
                <w:szCs w:val="18"/>
                <w:lang w:eastAsia="en-GB"/>
              </w:rPr>
              <w:t>8</w:t>
            </w:r>
            <w:r w:rsidRPr="002C76DF">
              <w:rPr>
                <w:rFonts w:eastAsia="Calibri" w:cs="Arial"/>
                <w:sz w:val="18"/>
                <w:szCs w:val="18"/>
                <w:lang w:eastAsia="en-GB"/>
              </w:rPr>
              <w:t>2E-02</w:t>
            </w:r>
          </w:p>
        </w:tc>
        <w:tc>
          <w:tcPr>
            <w:tcW w:w="658" w:type="pct"/>
            <w:shd w:val="clear" w:color="auto" w:fill="FFFFFF"/>
            <w:vAlign w:val="center"/>
          </w:tcPr>
          <w:p w14:paraId="53C95611" w14:textId="56B94F9C" w:rsidR="00CC32E9" w:rsidRPr="002C76DF" w:rsidRDefault="00961D1A"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4.99</w:t>
            </w:r>
          </w:p>
        </w:tc>
        <w:tc>
          <w:tcPr>
            <w:tcW w:w="658" w:type="pct"/>
            <w:shd w:val="clear" w:color="auto" w:fill="auto"/>
            <w:vAlign w:val="center"/>
          </w:tcPr>
          <w:p w14:paraId="6DF7B386"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6.66E-01</w:t>
            </w:r>
          </w:p>
        </w:tc>
        <w:tc>
          <w:tcPr>
            <w:tcW w:w="657" w:type="pct"/>
            <w:shd w:val="clear" w:color="auto" w:fill="auto"/>
            <w:vAlign w:val="center"/>
          </w:tcPr>
          <w:p w14:paraId="52AF045B" w14:textId="77777777" w:rsidR="00CC32E9" w:rsidRPr="002C76DF" w:rsidRDefault="00CC32E9" w:rsidP="00BA238F">
            <w:pPr>
              <w:snapToGrid w:val="0"/>
              <w:spacing w:before="60" w:after="60" w:line="276" w:lineRule="auto"/>
              <w:jc w:val="center"/>
              <w:rPr>
                <w:rFonts w:eastAsia="Calibri" w:cs="Arial"/>
                <w:b/>
                <w:sz w:val="18"/>
                <w:szCs w:val="18"/>
                <w:lang w:eastAsia="en-GB"/>
              </w:rPr>
            </w:pPr>
            <w:r w:rsidRPr="002C76DF">
              <w:rPr>
                <w:rFonts w:eastAsia="Calibri" w:cs="Arial"/>
                <w:b/>
                <w:sz w:val="18"/>
                <w:szCs w:val="18"/>
                <w:lang w:eastAsia="en-GB"/>
              </w:rPr>
              <w:t>7.07E-01</w:t>
            </w:r>
          </w:p>
        </w:tc>
      </w:tr>
      <w:tr w:rsidR="00CC32E9" w:rsidRPr="002C76DF" w14:paraId="598D7D74" w14:textId="77777777" w:rsidTr="00D518B9">
        <w:trPr>
          <w:trHeight w:val="75"/>
        </w:trPr>
        <w:tc>
          <w:tcPr>
            <w:tcW w:w="1711" w:type="pct"/>
            <w:tcBorders>
              <w:bottom w:val="single" w:sz="4" w:space="0" w:color="auto"/>
            </w:tcBorders>
            <w:shd w:val="clear" w:color="auto" w:fill="FFFFFF"/>
            <w:vAlign w:val="center"/>
          </w:tcPr>
          <w:p w14:paraId="7E2A4985" w14:textId="77777777" w:rsidR="00CC32E9" w:rsidRPr="002C76DF" w:rsidRDefault="00CC32E9" w:rsidP="00BA238F">
            <w:pPr>
              <w:widowControl w:val="0"/>
              <w:tabs>
                <w:tab w:val="center" w:pos="4536"/>
                <w:tab w:val="right" w:pos="9072"/>
              </w:tabs>
              <w:spacing w:line="260" w:lineRule="atLeast"/>
              <w:rPr>
                <w:rFonts w:eastAsia="Calibri" w:cs="Arial"/>
                <w:sz w:val="18"/>
                <w:szCs w:val="18"/>
                <w:lang w:eastAsia="en-GB"/>
              </w:rPr>
            </w:pPr>
            <w:r w:rsidRPr="009118B1">
              <w:rPr>
                <w:rFonts w:eastAsia="Calibri"/>
                <w:color w:val="000000"/>
                <w:sz w:val="18"/>
                <w:szCs w:val="18"/>
                <w:lang w:eastAsia="en-GB"/>
              </w:rPr>
              <w:t xml:space="preserve">Scenario 5 </w:t>
            </w:r>
            <w:r w:rsidRPr="002C76DF">
              <w:rPr>
                <w:rFonts w:eastAsia="Calibri" w:cs="Arial"/>
                <w:sz w:val="18"/>
                <w:szCs w:val="18"/>
                <w:lang w:eastAsia="en-GB"/>
              </w:rPr>
              <w:t>– PT02</w:t>
            </w:r>
          </w:p>
          <w:p w14:paraId="3753613D"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Road ways direct emission to surface water</w:t>
            </w:r>
          </w:p>
        </w:tc>
        <w:tc>
          <w:tcPr>
            <w:tcW w:w="658" w:type="pct"/>
            <w:tcBorders>
              <w:bottom w:val="single" w:sz="4" w:space="0" w:color="auto"/>
            </w:tcBorders>
            <w:shd w:val="clear" w:color="auto" w:fill="FFFFFF"/>
            <w:vAlign w:val="center"/>
          </w:tcPr>
          <w:p w14:paraId="14C6269F" w14:textId="77777777" w:rsidR="00CC32E9" w:rsidRPr="004F7214" w:rsidRDefault="00CC32E9" w:rsidP="00BA238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w:t>
            </w:r>
          </w:p>
        </w:tc>
        <w:tc>
          <w:tcPr>
            <w:tcW w:w="658" w:type="pct"/>
            <w:tcBorders>
              <w:bottom w:val="single" w:sz="4" w:space="0" w:color="auto"/>
            </w:tcBorders>
            <w:shd w:val="clear" w:color="auto" w:fill="FFFFFF"/>
            <w:vAlign w:val="center"/>
          </w:tcPr>
          <w:p w14:paraId="10C463DA" w14:textId="0E424704" w:rsidR="00CC32E9" w:rsidRPr="002C76DF" w:rsidRDefault="00CC32E9">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1.</w:t>
            </w:r>
            <w:r w:rsidR="0021218F">
              <w:rPr>
                <w:rFonts w:eastAsia="Calibri" w:cs="Arial"/>
                <w:sz w:val="18"/>
                <w:szCs w:val="18"/>
                <w:lang w:eastAsia="en-GB"/>
              </w:rPr>
              <w:t>77</w:t>
            </w:r>
            <w:r w:rsidR="0021218F" w:rsidRPr="002C76DF">
              <w:rPr>
                <w:rFonts w:eastAsia="Calibri" w:cs="Arial"/>
                <w:sz w:val="18"/>
                <w:szCs w:val="18"/>
                <w:lang w:eastAsia="en-GB"/>
              </w:rPr>
              <w:t>E</w:t>
            </w:r>
            <w:r w:rsidRPr="002C76DF">
              <w:rPr>
                <w:rFonts w:eastAsia="Calibri" w:cs="Arial"/>
                <w:sz w:val="18"/>
                <w:szCs w:val="18"/>
                <w:lang w:eastAsia="en-GB"/>
              </w:rPr>
              <w:t>-01*</w:t>
            </w:r>
          </w:p>
        </w:tc>
        <w:tc>
          <w:tcPr>
            <w:tcW w:w="658" w:type="pct"/>
            <w:tcBorders>
              <w:bottom w:val="single" w:sz="4" w:space="0" w:color="auto"/>
            </w:tcBorders>
            <w:shd w:val="clear" w:color="auto" w:fill="FFFFFF"/>
            <w:vAlign w:val="center"/>
          </w:tcPr>
          <w:p w14:paraId="59375D9D" w14:textId="058942BA" w:rsidR="00CC32E9" w:rsidRPr="002C76DF" w:rsidRDefault="0021218F"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4.85</w:t>
            </w:r>
            <w:r w:rsidR="00CC32E9" w:rsidRPr="002C76DF">
              <w:rPr>
                <w:rFonts w:eastAsia="Calibri" w:cs="Arial"/>
                <w:sz w:val="18"/>
                <w:szCs w:val="18"/>
                <w:lang w:eastAsia="en-GB"/>
              </w:rPr>
              <w:t>E+01</w:t>
            </w:r>
          </w:p>
        </w:tc>
        <w:tc>
          <w:tcPr>
            <w:tcW w:w="658" w:type="pct"/>
            <w:tcBorders>
              <w:bottom w:val="single" w:sz="4" w:space="0" w:color="auto"/>
            </w:tcBorders>
            <w:shd w:val="clear" w:color="auto" w:fill="auto"/>
            <w:vAlign w:val="center"/>
          </w:tcPr>
          <w:p w14:paraId="3C0F2B73"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w:t>
            </w:r>
          </w:p>
        </w:tc>
        <w:tc>
          <w:tcPr>
            <w:tcW w:w="657" w:type="pct"/>
            <w:tcBorders>
              <w:bottom w:val="single" w:sz="4" w:space="0" w:color="auto"/>
            </w:tcBorders>
            <w:shd w:val="clear" w:color="auto" w:fill="auto"/>
            <w:vAlign w:val="center"/>
          </w:tcPr>
          <w:p w14:paraId="2D02A555"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w:t>
            </w:r>
          </w:p>
        </w:tc>
      </w:tr>
      <w:tr w:rsidR="00CC32E9" w:rsidRPr="002C76DF" w14:paraId="1E71B4D5" w14:textId="77777777" w:rsidTr="00D518B9">
        <w:trPr>
          <w:trHeight w:val="75"/>
        </w:trPr>
        <w:tc>
          <w:tcPr>
            <w:tcW w:w="1711" w:type="pct"/>
            <w:tcBorders>
              <w:bottom w:val="nil"/>
            </w:tcBorders>
            <w:shd w:val="clear" w:color="auto" w:fill="FFFFFF"/>
            <w:vAlign w:val="center"/>
          </w:tcPr>
          <w:p w14:paraId="0DC31930" w14:textId="514CBAA0"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6</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PT03 </w:t>
            </w:r>
          </w:p>
          <w:p w14:paraId="10AA0BD3"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Animal housing direct emission to soil</w:t>
            </w:r>
          </w:p>
        </w:tc>
        <w:tc>
          <w:tcPr>
            <w:tcW w:w="658" w:type="pct"/>
            <w:tcBorders>
              <w:bottom w:val="nil"/>
            </w:tcBorders>
            <w:shd w:val="clear" w:color="auto" w:fill="FFFFFF"/>
            <w:vAlign w:val="center"/>
          </w:tcPr>
          <w:p w14:paraId="669458C5" w14:textId="77777777" w:rsidR="00CC32E9" w:rsidRPr="00B66EA6" w:rsidRDefault="00CC32E9" w:rsidP="00BA238F">
            <w:pPr>
              <w:snapToGrid w:val="0"/>
              <w:spacing w:before="60" w:after="60" w:line="276" w:lineRule="auto"/>
              <w:jc w:val="center"/>
              <w:rPr>
                <w:rFonts w:eastAsia="Calibri" w:cs="Arial"/>
                <w:sz w:val="18"/>
                <w:szCs w:val="18"/>
                <w:lang w:eastAsia="en-GB"/>
              </w:rPr>
            </w:pPr>
            <w:r w:rsidRPr="00B66EA6">
              <w:rPr>
                <w:rFonts w:eastAsia="Calibri" w:cs="Arial"/>
                <w:sz w:val="18"/>
                <w:szCs w:val="18"/>
                <w:lang w:eastAsia="en-GB"/>
              </w:rPr>
              <w:t>-</w:t>
            </w:r>
          </w:p>
        </w:tc>
        <w:tc>
          <w:tcPr>
            <w:tcW w:w="658" w:type="pct"/>
            <w:tcBorders>
              <w:bottom w:val="nil"/>
            </w:tcBorders>
            <w:shd w:val="clear" w:color="auto" w:fill="FFFFFF"/>
            <w:vAlign w:val="center"/>
          </w:tcPr>
          <w:p w14:paraId="641E6378"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w:t>
            </w:r>
          </w:p>
        </w:tc>
        <w:tc>
          <w:tcPr>
            <w:tcW w:w="658" w:type="pct"/>
            <w:tcBorders>
              <w:bottom w:val="nil"/>
            </w:tcBorders>
            <w:shd w:val="clear" w:color="auto" w:fill="FFFFFF"/>
            <w:vAlign w:val="center"/>
          </w:tcPr>
          <w:p w14:paraId="7CDACDA1" w14:textId="77777777" w:rsidR="00CC32E9" w:rsidRPr="002C76DF" w:rsidRDefault="00CC32E9" w:rsidP="00BA238F">
            <w:pPr>
              <w:snapToGrid w:val="0"/>
              <w:spacing w:before="60" w:after="60" w:line="276" w:lineRule="auto"/>
              <w:jc w:val="center"/>
              <w:rPr>
                <w:rFonts w:eastAsia="Calibri" w:cs="Arial"/>
                <w:sz w:val="18"/>
                <w:szCs w:val="18"/>
                <w:lang w:eastAsia="en-GB"/>
              </w:rPr>
            </w:pPr>
            <w:r w:rsidRPr="002C76DF">
              <w:rPr>
                <w:rFonts w:eastAsia="Calibri" w:cs="Arial"/>
                <w:sz w:val="18"/>
                <w:szCs w:val="18"/>
                <w:lang w:eastAsia="en-GB"/>
              </w:rPr>
              <w:t>-</w:t>
            </w:r>
          </w:p>
        </w:tc>
        <w:tc>
          <w:tcPr>
            <w:tcW w:w="658" w:type="pct"/>
            <w:tcBorders>
              <w:bottom w:val="nil"/>
            </w:tcBorders>
            <w:shd w:val="clear" w:color="auto" w:fill="auto"/>
            <w:vAlign w:val="center"/>
          </w:tcPr>
          <w:p w14:paraId="710F8DED" w14:textId="41C3715C" w:rsidR="00CC32E9" w:rsidRPr="002C76DF" w:rsidRDefault="00CC32E9">
            <w:pPr>
              <w:snapToGrid w:val="0"/>
              <w:spacing w:before="60" w:after="60" w:line="276" w:lineRule="auto"/>
              <w:jc w:val="center"/>
              <w:rPr>
                <w:rFonts w:eastAsia="Calibri" w:cs="Arial"/>
                <w:sz w:val="18"/>
                <w:szCs w:val="18"/>
                <w:lang w:eastAsia="en-GB"/>
              </w:rPr>
            </w:pPr>
          </w:p>
        </w:tc>
        <w:tc>
          <w:tcPr>
            <w:tcW w:w="657" w:type="pct"/>
            <w:tcBorders>
              <w:bottom w:val="nil"/>
            </w:tcBorders>
            <w:shd w:val="clear" w:color="auto" w:fill="auto"/>
            <w:vAlign w:val="center"/>
          </w:tcPr>
          <w:p w14:paraId="7CC4A16C" w14:textId="5A7A749C" w:rsidR="00CC32E9" w:rsidRPr="002C76DF" w:rsidRDefault="00CC32E9" w:rsidP="00BA238F">
            <w:pPr>
              <w:snapToGrid w:val="0"/>
              <w:spacing w:before="60" w:after="60" w:line="276" w:lineRule="auto"/>
              <w:jc w:val="center"/>
              <w:rPr>
                <w:rFonts w:eastAsia="Calibri" w:cs="Arial"/>
                <w:b/>
                <w:sz w:val="18"/>
                <w:szCs w:val="18"/>
                <w:lang w:eastAsia="en-GB"/>
              </w:rPr>
            </w:pPr>
          </w:p>
        </w:tc>
      </w:tr>
      <w:tr w:rsidR="00691327" w:rsidRPr="002C76DF" w14:paraId="77DF9F4E" w14:textId="77777777" w:rsidTr="00D518B9">
        <w:trPr>
          <w:trHeight w:val="75"/>
        </w:trPr>
        <w:tc>
          <w:tcPr>
            <w:tcW w:w="1711" w:type="pct"/>
            <w:tcBorders>
              <w:top w:val="nil"/>
              <w:bottom w:val="nil"/>
            </w:tcBorders>
            <w:shd w:val="clear" w:color="auto" w:fill="FFFFFF"/>
            <w:vAlign w:val="center"/>
          </w:tcPr>
          <w:p w14:paraId="3A3D1713" w14:textId="493BED90" w:rsidR="00691327" w:rsidRDefault="004F5D20" w:rsidP="00D518B9">
            <w:pPr>
              <w:tabs>
                <w:tab w:val="left" w:pos="315"/>
              </w:tabs>
              <w:spacing w:before="60" w:after="60" w:line="276" w:lineRule="auto"/>
              <w:rPr>
                <w:rFonts w:eastAsia="Calibri"/>
                <w:color w:val="000000"/>
                <w:sz w:val="18"/>
                <w:szCs w:val="18"/>
                <w:lang w:eastAsia="en-GB"/>
              </w:rPr>
            </w:pPr>
            <w:r>
              <w:rPr>
                <w:rFonts w:eastAsia="Calibri"/>
                <w:color w:val="000000"/>
                <w:sz w:val="18"/>
                <w:szCs w:val="18"/>
                <w:lang w:eastAsia="en-GB"/>
              </w:rPr>
              <w:tab/>
            </w:r>
            <w:r w:rsidR="00691327">
              <w:rPr>
                <w:rFonts w:eastAsia="Calibri"/>
                <w:color w:val="000000"/>
                <w:sz w:val="18"/>
                <w:szCs w:val="18"/>
                <w:lang w:eastAsia="en-GB"/>
              </w:rPr>
              <w:t>Meta-SPC 9</w:t>
            </w:r>
          </w:p>
        </w:tc>
        <w:tc>
          <w:tcPr>
            <w:tcW w:w="658" w:type="pct"/>
            <w:tcBorders>
              <w:top w:val="nil"/>
              <w:bottom w:val="nil"/>
            </w:tcBorders>
            <w:shd w:val="clear" w:color="auto" w:fill="FFFFFF"/>
            <w:vAlign w:val="center"/>
          </w:tcPr>
          <w:p w14:paraId="54AAFCA8" w14:textId="50A3D750" w:rsidR="00691327" w:rsidRPr="00B66EA6"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nil"/>
            </w:tcBorders>
            <w:shd w:val="clear" w:color="auto" w:fill="FFFFFF"/>
            <w:vAlign w:val="center"/>
          </w:tcPr>
          <w:p w14:paraId="3EABA12F" w14:textId="35443BAC" w:rsidR="00691327" w:rsidRPr="002C76DF"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nil"/>
            </w:tcBorders>
            <w:shd w:val="clear" w:color="auto" w:fill="FFFFFF"/>
            <w:vAlign w:val="center"/>
          </w:tcPr>
          <w:p w14:paraId="59534DFB" w14:textId="1A58490E" w:rsidR="00691327" w:rsidRPr="002C76DF"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nil"/>
            </w:tcBorders>
            <w:shd w:val="clear" w:color="auto" w:fill="auto"/>
            <w:vAlign w:val="center"/>
          </w:tcPr>
          <w:p w14:paraId="6BE38214" w14:textId="7601A6E3" w:rsidR="00691327" w:rsidRPr="002C76DF" w:rsidRDefault="008966FC">
            <w:pPr>
              <w:snapToGrid w:val="0"/>
              <w:spacing w:before="60" w:after="60" w:line="276" w:lineRule="auto"/>
              <w:jc w:val="center"/>
              <w:rPr>
                <w:rFonts w:eastAsia="Calibri" w:cs="Arial"/>
                <w:sz w:val="18"/>
                <w:szCs w:val="18"/>
                <w:lang w:eastAsia="en-GB"/>
              </w:rPr>
            </w:pPr>
            <w:r>
              <w:rPr>
                <w:rFonts w:eastAsia="Calibri" w:cs="Arial"/>
                <w:sz w:val="18"/>
                <w:szCs w:val="18"/>
                <w:lang w:eastAsia="en-GB"/>
              </w:rPr>
              <w:t>8.47</w:t>
            </w:r>
          </w:p>
        </w:tc>
        <w:tc>
          <w:tcPr>
            <w:tcW w:w="657" w:type="pct"/>
            <w:tcBorders>
              <w:top w:val="nil"/>
              <w:bottom w:val="nil"/>
            </w:tcBorders>
            <w:shd w:val="clear" w:color="auto" w:fill="auto"/>
            <w:vAlign w:val="center"/>
          </w:tcPr>
          <w:p w14:paraId="120228B0" w14:textId="047BEAC1" w:rsidR="00691327" w:rsidRDefault="008966FC" w:rsidP="00BA238F">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38.1</w:t>
            </w:r>
          </w:p>
        </w:tc>
      </w:tr>
      <w:tr w:rsidR="00691327" w:rsidRPr="002C76DF" w14:paraId="4513AA20" w14:textId="77777777" w:rsidTr="00D518B9">
        <w:trPr>
          <w:trHeight w:val="75"/>
        </w:trPr>
        <w:tc>
          <w:tcPr>
            <w:tcW w:w="1711" w:type="pct"/>
            <w:tcBorders>
              <w:top w:val="nil"/>
              <w:bottom w:val="single" w:sz="4" w:space="0" w:color="auto"/>
            </w:tcBorders>
            <w:shd w:val="clear" w:color="auto" w:fill="FFFFFF"/>
            <w:vAlign w:val="center"/>
          </w:tcPr>
          <w:p w14:paraId="2E42E034" w14:textId="40C31471" w:rsidR="00691327" w:rsidRPr="009118B1" w:rsidRDefault="004F5D20" w:rsidP="00D518B9">
            <w:pPr>
              <w:tabs>
                <w:tab w:val="left" w:pos="315"/>
              </w:tabs>
              <w:spacing w:before="60" w:after="60" w:line="276" w:lineRule="auto"/>
              <w:rPr>
                <w:rFonts w:eastAsia="Calibri"/>
                <w:color w:val="000000"/>
                <w:sz w:val="18"/>
                <w:szCs w:val="18"/>
                <w:lang w:eastAsia="en-GB"/>
              </w:rPr>
            </w:pPr>
            <w:r>
              <w:rPr>
                <w:rFonts w:eastAsia="Calibri"/>
                <w:color w:val="000000"/>
                <w:sz w:val="18"/>
                <w:szCs w:val="18"/>
                <w:lang w:eastAsia="en-GB"/>
              </w:rPr>
              <w:lastRenderedPageBreak/>
              <w:tab/>
            </w:r>
            <w:r w:rsidR="00691327">
              <w:rPr>
                <w:rFonts w:eastAsia="Calibri"/>
                <w:color w:val="000000"/>
                <w:sz w:val="18"/>
                <w:szCs w:val="18"/>
                <w:lang w:eastAsia="en-GB"/>
              </w:rPr>
              <w:t>Refinement Meta-SPC 10</w:t>
            </w:r>
          </w:p>
        </w:tc>
        <w:tc>
          <w:tcPr>
            <w:tcW w:w="658" w:type="pct"/>
            <w:tcBorders>
              <w:top w:val="nil"/>
              <w:bottom w:val="single" w:sz="4" w:space="0" w:color="auto"/>
            </w:tcBorders>
            <w:shd w:val="clear" w:color="auto" w:fill="FFFFFF"/>
            <w:vAlign w:val="center"/>
          </w:tcPr>
          <w:p w14:paraId="56A004BB" w14:textId="464D5B08" w:rsidR="00691327" w:rsidRPr="00B66EA6"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single" w:sz="4" w:space="0" w:color="auto"/>
            </w:tcBorders>
            <w:shd w:val="clear" w:color="auto" w:fill="FFFFFF"/>
            <w:vAlign w:val="center"/>
          </w:tcPr>
          <w:p w14:paraId="53E24B9B" w14:textId="2BB44EF3" w:rsidR="00691327" w:rsidRPr="002C76DF"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single" w:sz="4" w:space="0" w:color="auto"/>
            </w:tcBorders>
            <w:shd w:val="clear" w:color="auto" w:fill="FFFFFF"/>
            <w:vAlign w:val="center"/>
          </w:tcPr>
          <w:p w14:paraId="2B7B52B3" w14:textId="60348D0A" w:rsidR="00691327" w:rsidRPr="002C76DF"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658" w:type="pct"/>
            <w:tcBorders>
              <w:top w:val="nil"/>
              <w:bottom w:val="single" w:sz="4" w:space="0" w:color="auto"/>
            </w:tcBorders>
            <w:shd w:val="clear" w:color="auto" w:fill="auto"/>
            <w:vAlign w:val="center"/>
          </w:tcPr>
          <w:p w14:paraId="35206B41" w14:textId="0BCA725D" w:rsidR="00691327" w:rsidRPr="002C76DF" w:rsidRDefault="008966FC">
            <w:pPr>
              <w:snapToGrid w:val="0"/>
              <w:spacing w:before="60" w:after="60" w:line="276" w:lineRule="auto"/>
              <w:jc w:val="center"/>
              <w:rPr>
                <w:rFonts w:eastAsia="Calibri" w:cs="Arial"/>
                <w:sz w:val="18"/>
                <w:szCs w:val="18"/>
                <w:lang w:eastAsia="en-GB"/>
              </w:rPr>
            </w:pPr>
            <w:r>
              <w:rPr>
                <w:rFonts w:eastAsia="Calibri" w:cs="Arial"/>
                <w:sz w:val="18"/>
                <w:szCs w:val="18"/>
                <w:lang w:eastAsia="en-GB"/>
              </w:rPr>
              <w:t>8.47E-01</w:t>
            </w:r>
          </w:p>
        </w:tc>
        <w:tc>
          <w:tcPr>
            <w:tcW w:w="657" w:type="pct"/>
            <w:tcBorders>
              <w:top w:val="nil"/>
              <w:bottom w:val="single" w:sz="4" w:space="0" w:color="auto"/>
            </w:tcBorders>
            <w:shd w:val="clear" w:color="auto" w:fill="auto"/>
            <w:vAlign w:val="center"/>
          </w:tcPr>
          <w:p w14:paraId="37BF685E" w14:textId="44971FA5" w:rsidR="00691327" w:rsidRPr="002C76DF" w:rsidRDefault="008966FC" w:rsidP="00BA238F">
            <w:pPr>
              <w:snapToGrid w:val="0"/>
              <w:spacing w:before="60" w:after="60" w:line="276" w:lineRule="auto"/>
              <w:jc w:val="center"/>
              <w:rPr>
                <w:rFonts w:eastAsia="Calibri" w:cs="Arial"/>
                <w:b/>
                <w:sz w:val="18"/>
                <w:szCs w:val="18"/>
                <w:lang w:eastAsia="en-GB"/>
              </w:rPr>
            </w:pPr>
            <w:r>
              <w:rPr>
                <w:rFonts w:eastAsia="Calibri" w:cs="Arial"/>
                <w:b/>
                <w:sz w:val="18"/>
                <w:szCs w:val="18"/>
                <w:lang w:eastAsia="en-GB"/>
              </w:rPr>
              <w:t>3.81</w:t>
            </w:r>
          </w:p>
        </w:tc>
      </w:tr>
      <w:tr w:rsidR="00CC32E9" w:rsidRPr="00544235" w14:paraId="73AAED37" w14:textId="77777777" w:rsidTr="00D518B9">
        <w:trPr>
          <w:trHeight w:val="75"/>
        </w:trPr>
        <w:tc>
          <w:tcPr>
            <w:tcW w:w="1711" w:type="pct"/>
            <w:tcBorders>
              <w:bottom w:val="nil"/>
            </w:tcBorders>
            <w:shd w:val="clear" w:color="auto" w:fill="FFFFFF"/>
            <w:vAlign w:val="center"/>
          </w:tcPr>
          <w:p w14:paraId="0B3307F4" w14:textId="5B9A9972" w:rsidR="00CC32E9" w:rsidRPr="002C76DF" w:rsidRDefault="00CC32E9" w:rsidP="00BA238F">
            <w:pPr>
              <w:spacing w:before="60" w:after="60" w:line="276" w:lineRule="auto"/>
              <w:rPr>
                <w:rFonts w:eastAsia="Calibri" w:cs="Arial"/>
                <w:sz w:val="18"/>
                <w:szCs w:val="18"/>
                <w:lang w:eastAsia="en-GB"/>
              </w:rPr>
            </w:pPr>
            <w:r w:rsidRPr="009118B1">
              <w:rPr>
                <w:rFonts w:eastAsia="Calibri"/>
                <w:color w:val="000000"/>
                <w:sz w:val="18"/>
                <w:szCs w:val="18"/>
                <w:lang w:eastAsia="en-GB"/>
              </w:rPr>
              <w:t xml:space="preserve">Scenario </w:t>
            </w:r>
            <w:r w:rsidR="002F354D">
              <w:rPr>
                <w:rFonts w:eastAsia="Calibri"/>
                <w:color w:val="000000"/>
                <w:sz w:val="18"/>
                <w:szCs w:val="18"/>
                <w:lang w:eastAsia="en-GB"/>
              </w:rPr>
              <w:t>6</w:t>
            </w:r>
            <w:r w:rsidRPr="009118B1">
              <w:rPr>
                <w:rFonts w:eastAsia="Calibri"/>
                <w:color w:val="000000"/>
                <w:sz w:val="18"/>
                <w:szCs w:val="18"/>
                <w:lang w:eastAsia="en-GB"/>
              </w:rPr>
              <w:t xml:space="preserve"> </w:t>
            </w:r>
            <w:r w:rsidRPr="002C76DF">
              <w:rPr>
                <w:rFonts w:eastAsia="Calibri" w:cs="Arial"/>
                <w:sz w:val="18"/>
                <w:szCs w:val="18"/>
                <w:lang w:eastAsia="en-GB"/>
              </w:rPr>
              <w:t xml:space="preserve">– PT03 </w:t>
            </w:r>
          </w:p>
          <w:p w14:paraId="3FC4D470" w14:textId="77777777" w:rsidR="00CC32E9" w:rsidRPr="002C76DF" w:rsidRDefault="00CC32E9" w:rsidP="00BA238F">
            <w:pPr>
              <w:spacing w:before="60" w:after="60" w:line="276" w:lineRule="auto"/>
              <w:rPr>
                <w:rFonts w:eastAsia="Calibri" w:cs="Arial"/>
                <w:sz w:val="18"/>
                <w:szCs w:val="18"/>
                <w:lang w:eastAsia="en-GB"/>
              </w:rPr>
            </w:pPr>
            <w:r w:rsidRPr="009118B1">
              <w:rPr>
                <w:sz w:val="18"/>
                <w:szCs w:val="18"/>
              </w:rPr>
              <w:t>Animal housing indirect emission via STP</w:t>
            </w:r>
          </w:p>
        </w:tc>
        <w:tc>
          <w:tcPr>
            <w:tcW w:w="658" w:type="pct"/>
            <w:tcBorders>
              <w:bottom w:val="nil"/>
            </w:tcBorders>
            <w:shd w:val="clear" w:color="auto" w:fill="FFFFFF"/>
            <w:vAlign w:val="center"/>
          </w:tcPr>
          <w:p w14:paraId="7D169A62" w14:textId="07DC9AAD" w:rsidR="00CC32E9" w:rsidRPr="00544235" w:rsidRDefault="00CC32E9" w:rsidP="00544235">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FFFFFF"/>
            <w:vAlign w:val="center"/>
          </w:tcPr>
          <w:p w14:paraId="672DAFAA" w14:textId="26764A50" w:rsidR="00CC32E9" w:rsidRPr="00544235" w:rsidRDefault="00CC32E9"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FFFFFF"/>
            <w:vAlign w:val="center"/>
          </w:tcPr>
          <w:p w14:paraId="5EB8F595" w14:textId="13002E82" w:rsidR="00CC32E9" w:rsidRPr="00544235" w:rsidRDefault="00CC32E9" w:rsidP="00BA238F">
            <w:pPr>
              <w:snapToGrid w:val="0"/>
              <w:spacing w:before="60" w:after="60" w:line="276" w:lineRule="auto"/>
              <w:jc w:val="center"/>
              <w:rPr>
                <w:rFonts w:eastAsia="Calibri" w:cs="Arial"/>
                <w:sz w:val="18"/>
                <w:szCs w:val="18"/>
                <w:lang w:eastAsia="en-GB"/>
              </w:rPr>
            </w:pPr>
          </w:p>
        </w:tc>
        <w:tc>
          <w:tcPr>
            <w:tcW w:w="658" w:type="pct"/>
            <w:tcBorders>
              <w:bottom w:val="nil"/>
            </w:tcBorders>
            <w:shd w:val="clear" w:color="auto" w:fill="auto"/>
            <w:vAlign w:val="center"/>
          </w:tcPr>
          <w:p w14:paraId="78B23363" w14:textId="6EE0730E" w:rsidR="00CC32E9" w:rsidRPr="00544235" w:rsidRDefault="00CC32E9" w:rsidP="00BA238F">
            <w:pPr>
              <w:snapToGrid w:val="0"/>
              <w:spacing w:before="60" w:after="60" w:line="276" w:lineRule="auto"/>
              <w:jc w:val="center"/>
              <w:rPr>
                <w:rFonts w:eastAsia="Calibri" w:cs="Arial"/>
                <w:sz w:val="18"/>
                <w:szCs w:val="18"/>
                <w:lang w:eastAsia="en-GB"/>
              </w:rPr>
            </w:pPr>
          </w:p>
        </w:tc>
        <w:tc>
          <w:tcPr>
            <w:tcW w:w="657" w:type="pct"/>
            <w:tcBorders>
              <w:bottom w:val="nil"/>
            </w:tcBorders>
            <w:shd w:val="clear" w:color="auto" w:fill="auto"/>
            <w:vAlign w:val="center"/>
          </w:tcPr>
          <w:p w14:paraId="676A4A22" w14:textId="2A8DCB4C" w:rsidR="00CC32E9" w:rsidRPr="00544235" w:rsidRDefault="00CC32E9" w:rsidP="00BA238F">
            <w:pPr>
              <w:snapToGrid w:val="0"/>
              <w:spacing w:before="60" w:after="60" w:line="276" w:lineRule="auto"/>
              <w:jc w:val="center"/>
              <w:rPr>
                <w:rFonts w:eastAsia="Calibri" w:cs="Arial"/>
                <w:sz w:val="18"/>
                <w:szCs w:val="18"/>
                <w:lang w:eastAsia="en-GB"/>
              </w:rPr>
            </w:pPr>
          </w:p>
        </w:tc>
      </w:tr>
      <w:tr w:rsidR="00691327" w:rsidRPr="00544235" w14:paraId="42646953" w14:textId="77777777" w:rsidTr="00D518B9">
        <w:trPr>
          <w:trHeight w:val="75"/>
        </w:trPr>
        <w:tc>
          <w:tcPr>
            <w:tcW w:w="1711" w:type="pct"/>
            <w:tcBorders>
              <w:top w:val="nil"/>
              <w:bottom w:val="nil"/>
            </w:tcBorders>
            <w:shd w:val="clear" w:color="auto" w:fill="FFFFFF"/>
            <w:vAlign w:val="center"/>
          </w:tcPr>
          <w:p w14:paraId="2F17B178" w14:textId="326EB109" w:rsidR="00691327" w:rsidRDefault="004F5D20" w:rsidP="00D518B9">
            <w:pPr>
              <w:tabs>
                <w:tab w:val="left" w:pos="270"/>
              </w:tabs>
              <w:spacing w:before="60" w:after="60" w:line="276" w:lineRule="auto"/>
              <w:rPr>
                <w:rFonts w:eastAsia="Calibri"/>
                <w:color w:val="000000"/>
                <w:sz w:val="18"/>
                <w:szCs w:val="18"/>
                <w:lang w:eastAsia="en-GB"/>
              </w:rPr>
            </w:pPr>
            <w:r>
              <w:rPr>
                <w:rFonts w:eastAsia="Calibri"/>
                <w:color w:val="000000"/>
                <w:sz w:val="18"/>
                <w:szCs w:val="18"/>
                <w:lang w:eastAsia="en-GB"/>
              </w:rPr>
              <w:tab/>
            </w:r>
            <w:r w:rsidR="00691327">
              <w:rPr>
                <w:rFonts w:eastAsia="Calibri"/>
                <w:color w:val="000000"/>
                <w:sz w:val="18"/>
                <w:szCs w:val="18"/>
                <w:lang w:eastAsia="en-GB"/>
              </w:rPr>
              <w:t>Meta-SPC 9</w:t>
            </w:r>
          </w:p>
        </w:tc>
        <w:tc>
          <w:tcPr>
            <w:tcW w:w="658" w:type="pct"/>
            <w:tcBorders>
              <w:top w:val="nil"/>
              <w:bottom w:val="nil"/>
            </w:tcBorders>
            <w:shd w:val="clear" w:color="auto" w:fill="FFFFFF"/>
            <w:vAlign w:val="center"/>
          </w:tcPr>
          <w:p w14:paraId="3B000A15" w14:textId="4E3B00F4" w:rsidR="00691327" w:rsidRPr="00691327" w:rsidRDefault="00691327" w:rsidP="00544235">
            <w:pPr>
              <w:snapToGrid w:val="0"/>
              <w:spacing w:before="60" w:after="60" w:line="276" w:lineRule="auto"/>
              <w:jc w:val="center"/>
              <w:rPr>
                <w:rFonts w:eastAsia="Calibri" w:cs="Arial"/>
                <w:sz w:val="18"/>
                <w:szCs w:val="18"/>
                <w:lang w:eastAsia="en-GB"/>
              </w:rPr>
            </w:pPr>
            <w:r>
              <w:rPr>
                <w:rFonts w:eastAsia="Calibri" w:cs="Arial"/>
                <w:sz w:val="18"/>
                <w:szCs w:val="18"/>
                <w:lang w:eastAsia="en-GB"/>
              </w:rPr>
              <w:t>2.78E-01</w:t>
            </w:r>
          </w:p>
        </w:tc>
        <w:tc>
          <w:tcPr>
            <w:tcW w:w="658" w:type="pct"/>
            <w:tcBorders>
              <w:top w:val="nil"/>
              <w:bottom w:val="nil"/>
            </w:tcBorders>
            <w:shd w:val="clear" w:color="auto" w:fill="FFFFFF"/>
            <w:vAlign w:val="center"/>
          </w:tcPr>
          <w:p w14:paraId="0B8F9808" w14:textId="56CBD5F2"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2.73E-02</w:t>
            </w:r>
          </w:p>
        </w:tc>
        <w:tc>
          <w:tcPr>
            <w:tcW w:w="658" w:type="pct"/>
            <w:tcBorders>
              <w:top w:val="nil"/>
              <w:bottom w:val="nil"/>
            </w:tcBorders>
            <w:shd w:val="clear" w:color="auto" w:fill="FFFFFF"/>
            <w:vAlign w:val="center"/>
          </w:tcPr>
          <w:p w14:paraId="1EC81A90" w14:textId="26B6EB9E"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7.48</w:t>
            </w:r>
          </w:p>
        </w:tc>
        <w:tc>
          <w:tcPr>
            <w:tcW w:w="658" w:type="pct"/>
            <w:tcBorders>
              <w:top w:val="nil"/>
              <w:bottom w:val="nil"/>
            </w:tcBorders>
            <w:shd w:val="clear" w:color="auto" w:fill="auto"/>
            <w:vAlign w:val="center"/>
          </w:tcPr>
          <w:p w14:paraId="7DAFCDDE" w14:textId="1388FC0E"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9.99E-01</w:t>
            </w:r>
          </w:p>
        </w:tc>
        <w:tc>
          <w:tcPr>
            <w:tcW w:w="657" w:type="pct"/>
            <w:tcBorders>
              <w:top w:val="nil"/>
              <w:bottom w:val="nil"/>
            </w:tcBorders>
            <w:shd w:val="clear" w:color="auto" w:fill="auto"/>
            <w:vAlign w:val="center"/>
          </w:tcPr>
          <w:p w14:paraId="5C79A965" w14:textId="54B665DE" w:rsidR="00691327" w:rsidRPr="00691327" w:rsidRDefault="00691327" w:rsidP="00BA238F">
            <w:pPr>
              <w:snapToGrid w:val="0"/>
              <w:spacing w:before="60" w:after="60" w:line="276" w:lineRule="auto"/>
              <w:jc w:val="center"/>
              <w:rPr>
                <w:rFonts w:eastAsia="Calibri" w:cs="Arial"/>
                <w:b/>
                <w:sz w:val="18"/>
                <w:szCs w:val="18"/>
                <w:lang w:eastAsia="en-GB"/>
              </w:rPr>
            </w:pPr>
            <w:r w:rsidRPr="00691327">
              <w:rPr>
                <w:rFonts w:eastAsia="Calibri" w:cs="Arial"/>
                <w:b/>
                <w:sz w:val="18"/>
                <w:szCs w:val="18"/>
                <w:lang w:eastAsia="en-GB"/>
              </w:rPr>
              <w:t>1.06</w:t>
            </w:r>
          </w:p>
        </w:tc>
      </w:tr>
      <w:tr w:rsidR="00691327" w:rsidRPr="00544235" w14:paraId="47918D1F" w14:textId="77777777" w:rsidTr="00D518B9">
        <w:trPr>
          <w:trHeight w:val="75"/>
        </w:trPr>
        <w:tc>
          <w:tcPr>
            <w:tcW w:w="1711" w:type="pct"/>
            <w:tcBorders>
              <w:top w:val="nil"/>
            </w:tcBorders>
            <w:shd w:val="clear" w:color="auto" w:fill="FFFFFF"/>
            <w:vAlign w:val="center"/>
          </w:tcPr>
          <w:p w14:paraId="636778C8" w14:textId="79ECA982" w:rsidR="00691327" w:rsidRPr="009118B1" w:rsidRDefault="004F5D20" w:rsidP="00D518B9">
            <w:pPr>
              <w:tabs>
                <w:tab w:val="left" w:pos="270"/>
              </w:tabs>
              <w:spacing w:before="60" w:after="60" w:line="276" w:lineRule="auto"/>
              <w:rPr>
                <w:rFonts w:eastAsia="Calibri"/>
                <w:color w:val="000000"/>
                <w:sz w:val="18"/>
                <w:szCs w:val="18"/>
                <w:lang w:eastAsia="en-GB"/>
              </w:rPr>
            </w:pPr>
            <w:r>
              <w:rPr>
                <w:rFonts w:eastAsia="Calibri"/>
                <w:color w:val="000000"/>
                <w:sz w:val="18"/>
                <w:szCs w:val="18"/>
                <w:lang w:eastAsia="en-GB"/>
              </w:rPr>
              <w:tab/>
            </w:r>
            <w:r w:rsidR="00691327">
              <w:rPr>
                <w:rFonts w:eastAsia="Calibri"/>
                <w:color w:val="000000"/>
                <w:sz w:val="18"/>
                <w:szCs w:val="18"/>
                <w:lang w:eastAsia="en-GB"/>
              </w:rPr>
              <w:t>Refinement Meta-SPC 10</w:t>
            </w:r>
          </w:p>
        </w:tc>
        <w:tc>
          <w:tcPr>
            <w:tcW w:w="658" w:type="pct"/>
            <w:tcBorders>
              <w:top w:val="nil"/>
            </w:tcBorders>
            <w:shd w:val="clear" w:color="auto" w:fill="FFFFFF"/>
            <w:vAlign w:val="center"/>
          </w:tcPr>
          <w:p w14:paraId="13917E34" w14:textId="5B51E976" w:rsidR="00691327" w:rsidRPr="00691327" w:rsidRDefault="00691327" w:rsidP="00544235">
            <w:pPr>
              <w:snapToGrid w:val="0"/>
              <w:spacing w:before="60" w:after="60" w:line="276" w:lineRule="auto"/>
              <w:jc w:val="center"/>
              <w:rPr>
                <w:rFonts w:eastAsia="Calibri" w:cs="Arial"/>
                <w:sz w:val="18"/>
                <w:szCs w:val="18"/>
                <w:lang w:eastAsia="en-GB"/>
              </w:rPr>
            </w:pPr>
            <w:r>
              <w:rPr>
                <w:rFonts w:eastAsia="Calibri" w:cs="Arial"/>
                <w:sz w:val="18"/>
                <w:szCs w:val="18"/>
                <w:lang w:eastAsia="en-GB"/>
              </w:rPr>
              <w:t>2.78E-02</w:t>
            </w:r>
          </w:p>
        </w:tc>
        <w:tc>
          <w:tcPr>
            <w:tcW w:w="658" w:type="pct"/>
            <w:tcBorders>
              <w:top w:val="nil"/>
            </w:tcBorders>
            <w:shd w:val="clear" w:color="auto" w:fill="FFFFFF"/>
            <w:vAlign w:val="center"/>
          </w:tcPr>
          <w:p w14:paraId="4FA359CC" w14:textId="61DA504D"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2.73E-03</w:t>
            </w:r>
          </w:p>
        </w:tc>
        <w:tc>
          <w:tcPr>
            <w:tcW w:w="658" w:type="pct"/>
            <w:tcBorders>
              <w:top w:val="nil"/>
            </w:tcBorders>
            <w:shd w:val="clear" w:color="auto" w:fill="FFFFFF"/>
            <w:vAlign w:val="center"/>
          </w:tcPr>
          <w:p w14:paraId="48B8B6D5" w14:textId="5015941C"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7.48E-01</w:t>
            </w:r>
          </w:p>
        </w:tc>
        <w:tc>
          <w:tcPr>
            <w:tcW w:w="658" w:type="pct"/>
            <w:tcBorders>
              <w:top w:val="nil"/>
            </w:tcBorders>
            <w:shd w:val="clear" w:color="auto" w:fill="auto"/>
            <w:vAlign w:val="center"/>
          </w:tcPr>
          <w:p w14:paraId="714AED68" w14:textId="398EB0F7" w:rsidR="00691327" w:rsidRPr="00691327" w:rsidRDefault="00691327" w:rsidP="00BA238F">
            <w:pPr>
              <w:snapToGrid w:val="0"/>
              <w:spacing w:before="60" w:after="60" w:line="276" w:lineRule="auto"/>
              <w:jc w:val="center"/>
              <w:rPr>
                <w:rFonts w:eastAsia="Calibri" w:cs="Arial"/>
                <w:sz w:val="18"/>
                <w:szCs w:val="18"/>
                <w:lang w:eastAsia="en-GB"/>
              </w:rPr>
            </w:pPr>
            <w:r>
              <w:rPr>
                <w:rFonts w:eastAsia="Calibri" w:cs="Arial"/>
                <w:sz w:val="18"/>
                <w:szCs w:val="18"/>
                <w:lang w:eastAsia="en-GB"/>
              </w:rPr>
              <w:t>9.99E-02</w:t>
            </w:r>
          </w:p>
        </w:tc>
        <w:tc>
          <w:tcPr>
            <w:tcW w:w="657" w:type="pct"/>
            <w:tcBorders>
              <w:top w:val="nil"/>
            </w:tcBorders>
            <w:shd w:val="clear" w:color="auto" w:fill="auto"/>
            <w:vAlign w:val="center"/>
          </w:tcPr>
          <w:p w14:paraId="62829B6D" w14:textId="242C110A" w:rsidR="00691327" w:rsidRPr="00691327" w:rsidRDefault="00691327" w:rsidP="00BA238F">
            <w:pPr>
              <w:snapToGrid w:val="0"/>
              <w:spacing w:before="60" w:after="60" w:line="276" w:lineRule="auto"/>
              <w:jc w:val="center"/>
              <w:rPr>
                <w:rFonts w:eastAsia="Calibri" w:cs="Arial"/>
                <w:b/>
                <w:sz w:val="18"/>
                <w:szCs w:val="18"/>
                <w:lang w:eastAsia="en-GB"/>
              </w:rPr>
            </w:pPr>
            <w:r w:rsidRPr="00691327">
              <w:rPr>
                <w:rFonts w:eastAsia="Calibri" w:cs="Arial"/>
                <w:b/>
                <w:sz w:val="18"/>
                <w:szCs w:val="18"/>
                <w:lang w:eastAsia="en-GB"/>
              </w:rPr>
              <w:t>1.06E-01</w:t>
            </w:r>
          </w:p>
        </w:tc>
      </w:tr>
    </w:tbl>
    <w:p w14:paraId="7F5B4246" w14:textId="7584450D" w:rsidR="00CC32E9" w:rsidRPr="006449D2" w:rsidRDefault="00CC32E9" w:rsidP="00CC32E9">
      <w:pPr>
        <w:spacing w:line="260" w:lineRule="atLeast"/>
        <w:jc w:val="both"/>
        <w:rPr>
          <w:rFonts w:eastAsia="Calibri"/>
          <w:sz w:val="16"/>
          <w:szCs w:val="16"/>
          <w:lang w:eastAsia="en-US"/>
        </w:rPr>
      </w:pPr>
      <w:r w:rsidRPr="006449D2">
        <w:rPr>
          <w:rFonts w:ascii="Times New Roman" w:eastAsia="Calibri" w:hAnsi="Times New Roman" w:cs="Times New Roman"/>
          <w:i/>
          <w:sz w:val="16"/>
          <w:szCs w:val="16"/>
          <w:lang w:eastAsia="en-US"/>
        </w:rPr>
        <w:t>*</w:t>
      </w:r>
      <w:r w:rsidR="006449D2" w:rsidRPr="006449D2">
        <w:rPr>
          <w:rFonts w:ascii="Times New Roman" w:eastAsia="Calibri" w:hAnsi="Times New Roman" w:cs="Times New Roman"/>
          <w:i/>
          <w:sz w:val="16"/>
          <w:szCs w:val="16"/>
          <w:lang w:eastAsia="en-US"/>
        </w:rPr>
        <w:t xml:space="preserve"> </w:t>
      </w:r>
      <w:r w:rsidRPr="006449D2">
        <w:rPr>
          <w:rFonts w:eastAsia="Calibri"/>
          <w:sz w:val="16"/>
          <w:szCs w:val="16"/>
          <w:lang w:eastAsia="en-US"/>
        </w:rPr>
        <w:t>The following calculations have to be considered (TAB ENV 28:</w:t>
      </w:r>
      <w:r w:rsidRPr="006449D2">
        <w:rPr>
          <w:sz w:val="16"/>
          <w:szCs w:val="16"/>
        </w:rPr>
        <w:t xml:space="preserve"> The </w:t>
      </w:r>
      <w:r w:rsidRPr="006449D2">
        <w:rPr>
          <w:rFonts w:eastAsia="Calibri"/>
          <w:sz w:val="16"/>
          <w:szCs w:val="16"/>
          <w:lang w:eastAsia="en-US"/>
        </w:rPr>
        <w:t>assessment of direct emission to surface water in urban areas, WGIII2014):</w:t>
      </w:r>
    </w:p>
    <w:p w14:paraId="0C3D4C5C" w14:textId="77777777" w:rsidR="00CC32E9" w:rsidRPr="006449D2" w:rsidRDefault="00CC32E9" w:rsidP="00CC32E9">
      <w:pPr>
        <w:spacing w:line="260" w:lineRule="atLeast"/>
        <w:rPr>
          <w:rFonts w:eastAsia="Calibri"/>
          <w:sz w:val="16"/>
          <w:szCs w:val="16"/>
          <w:lang w:eastAsia="en-US"/>
        </w:rPr>
      </w:pPr>
      <w:r w:rsidRPr="006449D2">
        <w:rPr>
          <w:rFonts w:eastAsia="Calibri"/>
          <w:sz w:val="16"/>
          <w:szCs w:val="16"/>
          <w:lang w:eastAsia="en-US"/>
        </w:rPr>
        <w:t>Clocal</w:t>
      </w:r>
      <w:r w:rsidRPr="006449D2">
        <w:rPr>
          <w:rFonts w:eastAsia="Calibri"/>
          <w:sz w:val="16"/>
          <w:szCs w:val="16"/>
          <w:vertAlign w:val="subscript"/>
          <w:lang w:eastAsia="en-US"/>
        </w:rPr>
        <w:t>rw_eff</w:t>
      </w:r>
      <w:r w:rsidRPr="006449D2">
        <w:rPr>
          <w:rFonts w:eastAsia="Calibri"/>
          <w:sz w:val="16"/>
          <w:szCs w:val="16"/>
          <w:lang w:eastAsia="en-US"/>
        </w:rPr>
        <w:t xml:space="preserve"> =Elocal</w:t>
      </w:r>
      <w:r w:rsidRPr="006449D2">
        <w:rPr>
          <w:rFonts w:eastAsia="Calibri"/>
          <w:sz w:val="16"/>
          <w:szCs w:val="16"/>
          <w:vertAlign w:val="subscript"/>
          <w:lang w:eastAsia="en-US"/>
        </w:rPr>
        <w:t>rainwater</w:t>
      </w:r>
      <w:r w:rsidRPr="006449D2">
        <w:rPr>
          <w:rFonts w:eastAsia="Calibri"/>
          <w:sz w:val="16"/>
          <w:szCs w:val="16"/>
          <w:lang w:eastAsia="en-US"/>
        </w:rPr>
        <w:t>/EFFLUENT</w:t>
      </w:r>
      <w:r w:rsidRPr="006449D2">
        <w:rPr>
          <w:rFonts w:eastAsia="Calibri"/>
          <w:sz w:val="16"/>
          <w:szCs w:val="16"/>
          <w:vertAlign w:val="subscript"/>
          <w:lang w:eastAsia="en-US"/>
        </w:rPr>
        <w:t>rainwater</w:t>
      </w:r>
    </w:p>
    <w:tbl>
      <w:tblPr>
        <w:tblW w:w="0" w:type="auto"/>
        <w:tblLook w:val="04A0" w:firstRow="1" w:lastRow="0" w:firstColumn="1" w:lastColumn="0" w:noHBand="0" w:noVBand="1"/>
      </w:tblPr>
      <w:tblGrid>
        <w:gridCol w:w="1806"/>
        <w:gridCol w:w="4084"/>
        <w:gridCol w:w="1146"/>
        <w:gridCol w:w="2177"/>
      </w:tblGrid>
      <w:tr w:rsidR="00CC32E9" w:rsidRPr="00984477" w14:paraId="21878FCF" w14:textId="77777777" w:rsidTr="003371CD">
        <w:tc>
          <w:tcPr>
            <w:tcW w:w="1809" w:type="dxa"/>
            <w:shd w:val="clear" w:color="auto" w:fill="auto"/>
          </w:tcPr>
          <w:p w14:paraId="784F7863" w14:textId="34B5F785" w:rsidR="00CC32E9" w:rsidRPr="006449D2" w:rsidRDefault="00CC32E9" w:rsidP="00BA238F">
            <w:pPr>
              <w:spacing w:line="260" w:lineRule="atLeast"/>
              <w:rPr>
                <w:rFonts w:eastAsia="Calibri"/>
                <w:sz w:val="16"/>
                <w:szCs w:val="16"/>
                <w:lang w:eastAsia="en-US"/>
              </w:rPr>
            </w:pPr>
            <w:r w:rsidRPr="001803F1">
              <w:rPr>
                <w:rFonts w:eastAsia="Calibri"/>
                <w:sz w:val="16"/>
                <w:szCs w:val="16"/>
                <w:lang w:eastAsia="en-US"/>
              </w:rPr>
              <w:t>Where:</w:t>
            </w:r>
            <w:r w:rsidRPr="006449D2">
              <w:rPr>
                <w:rFonts w:eastAsia="Calibri"/>
                <w:sz w:val="16"/>
                <w:szCs w:val="16"/>
                <w:lang w:eastAsia="en-US"/>
              </w:rPr>
              <w:t>Elocal</w:t>
            </w:r>
            <w:r w:rsidRPr="006449D2">
              <w:rPr>
                <w:rFonts w:eastAsia="Calibri"/>
                <w:sz w:val="16"/>
                <w:szCs w:val="16"/>
                <w:vertAlign w:val="subscript"/>
                <w:lang w:eastAsia="en-US"/>
              </w:rPr>
              <w:t>rainwater</w:t>
            </w:r>
          </w:p>
        </w:tc>
        <w:tc>
          <w:tcPr>
            <w:tcW w:w="4210" w:type="dxa"/>
            <w:shd w:val="clear" w:color="auto" w:fill="auto"/>
          </w:tcPr>
          <w:p w14:paraId="1BCA59DD" w14:textId="77777777" w:rsidR="00CC32E9" w:rsidRPr="006449D2" w:rsidRDefault="00CC32E9" w:rsidP="00BA238F">
            <w:pPr>
              <w:spacing w:line="260" w:lineRule="atLeast"/>
              <w:rPr>
                <w:rFonts w:eastAsia="Calibri"/>
                <w:sz w:val="16"/>
                <w:szCs w:val="16"/>
                <w:lang w:eastAsia="en-US"/>
              </w:rPr>
            </w:pPr>
            <w:r w:rsidRPr="006449D2">
              <w:rPr>
                <w:rFonts w:eastAsia="Calibri"/>
                <w:sz w:val="16"/>
                <w:szCs w:val="16"/>
                <w:lang w:eastAsia="en-US"/>
              </w:rPr>
              <w:t>daily emission to the rainwater sewer</w:t>
            </w:r>
          </w:p>
        </w:tc>
        <w:tc>
          <w:tcPr>
            <w:tcW w:w="1176" w:type="dxa"/>
            <w:shd w:val="clear" w:color="auto" w:fill="auto"/>
          </w:tcPr>
          <w:p w14:paraId="3CE63C57" w14:textId="77777777" w:rsidR="00CC32E9" w:rsidRPr="006449D2" w:rsidRDefault="00CC32E9" w:rsidP="00BA238F">
            <w:pPr>
              <w:spacing w:line="260" w:lineRule="atLeast"/>
              <w:rPr>
                <w:rFonts w:eastAsia="Calibri"/>
                <w:sz w:val="16"/>
                <w:szCs w:val="16"/>
                <w:lang w:eastAsia="en-US"/>
              </w:rPr>
            </w:pPr>
            <w:r w:rsidRPr="006449D2">
              <w:rPr>
                <w:rFonts w:eastAsia="Calibri"/>
                <w:sz w:val="16"/>
                <w:szCs w:val="16"/>
                <w:lang w:eastAsia="en-US"/>
              </w:rPr>
              <w:t>[kg d</w:t>
            </w:r>
            <w:r w:rsidRPr="006449D2">
              <w:rPr>
                <w:rFonts w:eastAsia="Calibri"/>
                <w:sz w:val="16"/>
                <w:szCs w:val="16"/>
                <w:vertAlign w:val="superscript"/>
                <w:lang w:eastAsia="en-US"/>
              </w:rPr>
              <w:t>-1</w:t>
            </w:r>
            <w:r w:rsidRPr="006449D2">
              <w:rPr>
                <w:rFonts w:eastAsia="Calibri"/>
                <w:sz w:val="16"/>
                <w:szCs w:val="16"/>
                <w:lang w:eastAsia="en-US"/>
              </w:rPr>
              <w:t>]</w:t>
            </w:r>
          </w:p>
          <w:p w14:paraId="67A5B344" w14:textId="77777777" w:rsidR="00CC32E9" w:rsidRPr="006449D2" w:rsidRDefault="00CC32E9" w:rsidP="00BA238F">
            <w:pPr>
              <w:spacing w:line="260" w:lineRule="atLeast"/>
              <w:rPr>
                <w:rFonts w:eastAsia="Calibri"/>
                <w:sz w:val="16"/>
                <w:szCs w:val="16"/>
                <w:lang w:eastAsia="en-US"/>
              </w:rPr>
            </w:pPr>
          </w:p>
        </w:tc>
        <w:tc>
          <w:tcPr>
            <w:tcW w:w="2234" w:type="dxa"/>
            <w:shd w:val="clear" w:color="auto" w:fill="auto"/>
          </w:tcPr>
          <w:p w14:paraId="5ADB137D" w14:textId="77777777" w:rsidR="00CC32E9" w:rsidRPr="006449D2" w:rsidRDefault="00CC32E9" w:rsidP="00BA238F">
            <w:pPr>
              <w:spacing w:line="260" w:lineRule="atLeast"/>
              <w:rPr>
                <w:rFonts w:eastAsia="Calibri"/>
                <w:sz w:val="16"/>
                <w:szCs w:val="16"/>
                <w:lang w:eastAsia="en-US"/>
              </w:rPr>
            </w:pPr>
          </w:p>
        </w:tc>
      </w:tr>
      <w:tr w:rsidR="00CC32E9" w:rsidRPr="00984477" w14:paraId="6ACB32D5" w14:textId="77777777" w:rsidTr="003371CD">
        <w:tc>
          <w:tcPr>
            <w:tcW w:w="1809" w:type="dxa"/>
            <w:shd w:val="clear" w:color="auto" w:fill="auto"/>
          </w:tcPr>
          <w:p w14:paraId="68A4B32A" w14:textId="77777777" w:rsidR="00CC32E9" w:rsidRPr="003371CD" w:rsidRDefault="00CC32E9" w:rsidP="00BA238F">
            <w:pPr>
              <w:spacing w:line="260" w:lineRule="atLeast"/>
              <w:rPr>
                <w:rFonts w:eastAsia="Calibri"/>
                <w:sz w:val="16"/>
                <w:szCs w:val="16"/>
                <w:lang w:eastAsia="en-US"/>
              </w:rPr>
            </w:pPr>
            <w:r w:rsidRPr="003371CD">
              <w:rPr>
                <w:rFonts w:eastAsia="Calibri"/>
                <w:sz w:val="16"/>
                <w:szCs w:val="16"/>
                <w:lang w:eastAsia="en-US"/>
              </w:rPr>
              <w:t>EFFLUENT</w:t>
            </w:r>
            <w:r w:rsidRPr="003371CD">
              <w:rPr>
                <w:rFonts w:eastAsia="Calibri"/>
                <w:sz w:val="16"/>
                <w:szCs w:val="16"/>
                <w:vertAlign w:val="subscript"/>
                <w:lang w:eastAsia="en-US"/>
              </w:rPr>
              <w:t>rainwater</w:t>
            </w:r>
          </w:p>
        </w:tc>
        <w:tc>
          <w:tcPr>
            <w:tcW w:w="4210" w:type="dxa"/>
            <w:shd w:val="clear" w:color="auto" w:fill="auto"/>
          </w:tcPr>
          <w:p w14:paraId="117A5097" w14:textId="77777777" w:rsidR="00CC32E9" w:rsidRPr="003371CD" w:rsidRDefault="00CC32E9" w:rsidP="00BA238F">
            <w:pPr>
              <w:spacing w:line="260" w:lineRule="atLeast"/>
              <w:rPr>
                <w:rFonts w:eastAsia="Calibri"/>
                <w:sz w:val="16"/>
                <w:szCs w:val="16"/>
                <w:lang w:eastAsia="en-US"/>
              </w:rPr>
            </w:pPr>
            <w:r w:rsidRPr="003371CD">
              <w:rPr>
                <w:rFonts w:eastAsia="Calibri"/>
                <w:sz w:val="16"/>
                <w:szCs w:val="16"/>
                <w:lang w:eastAsia="en-US"/>
              </w:rPr>
              <w:t>effluent discharge rate of wastewater sewer</w:t>
            </w:r>
          </w:p>
        </w:tc>
        <w:tc>
          <w:tcPr>
            <w:tcW w:w="1176" w:type="dxa"/>
            <w:shd w:val="clear" w:color="auto" w:fill="auto"/>
          </w:tcPr>
          <w:p w14:paraId="1C726DC6" w14:textId="77777777" w:rsidR="00CC32E9" w:rsidRPr="003371CD" w:rsidRDefault="00CC32E9" w:rsidP="00BA238F">
            <w:pPr>
              <w:spacing w:line="260" w:lineRule="atLeast"/>
              <w:rPr>
                <w:rFonts w:eastAsia="Calibri"/>
                <w:sz w:val="16"/>
                <w:szCs w:val="16"/>
                <w:lang w:eastAsia="en-US"/>
              </w:rPr>
            </w:pPr>
            <w:r w:rsidRPr="003371CD">
              <w:rPr>
                <w:rFonts w:eastAsia="Calibri"/>
                <w:sz w:val="16"/>
                <w:szCs w:val="16"/>
                <w:lang w:eastAsia="en-US"/>
              </w:rPr>
              <w:t>[L d</w:t>
            </w:r>
            <w:r w:rsidRPr="003371CD">
              <w:rPr>
                <w:rFonts w:eastAsia="Calibri"/>
                <w:sz w:val="16"/>
                <w:szCs w:val="16"/>
                <w:vertAlign w:val="superscript"/>
                <w:lang w:eastAsia="en-US"/>
              </w:rPr>
              <w:t>-1</w:t>
            </w:r>
            <w:r w:rsidRPr="003371CD">
              <w:rPr>
                <w:rFonts w:eastAsia="Calibri"/>
                <w:sz w:val="16"/>
                <w:szCs w:val="16"/>
                <w:lang w:eastAsia="en-US"/>
              </w:rPr>
              <w:t>]</w:t>
            </w:r>
          </w:p>
        </w:tc>
        <w:tc>
          <w:tcPr>
            <w:tcW w:w="2234" w:type="dxa"/>
            <w:shd w:val="clear" w:color="auto" w:fill="auto"/>
          </w:tcPr>
          <w:p w14:paraId="6CEA1241" w14:textId="06E8C820" w:rsidR="00CC32E9" w:rsidRPr="003371CD" w:rsidRDefault="003371CD" w:rsidP="00BA238F">
            <w:pPr>
              <w:spacing w:line="260" w:lineRule="atLeast"/>
              <w:rPr>
                <w:rFonts w:eastAsia="Calibri"/>
                <w:sz w:val="16"/>
                <w:szCs w:val="16"/>
                <w:lang w:eastAsia="en-US"/>
              </w:rPr>
            </w:pPr>
            <w:r w:rsidRPr="001803F1">
              <w:rPr>
                <w:rFonts w:eastAsia="Calibri"/>
                <w:sz w:val="16"/>
                <w:szCs w:val="16"/>
                <w:lang w:eastAsia="en-US"/>
              </w:rPr>
              <w:t>0.6</w:t>
            </w:r>
            <w:r w:rsidR="00CC32E9" w:rsidRPr="001803F1">
              <w:rPr>
                <w:rFonts w:eastAsia="Calibri"/>
                <w:sz w:val="16"/>
                <w:szCs w:val="16"/>
                <w:lang w:eastAsia="en-US"/>
              </w:rPr>
              <w:t>E+06</w:t>
            </w:r>
          </w:p>
        </w:tc>
      </w:tr>
      <w:tr w:rsidR="00CC32E9" w:rsidRPr="00984477" w14:paraId="3F6CE743" w14:textId="77777777" w:rsidTr="003371CD">
        <w:tc>
          <w:tcPr>
            <w:tcW w:w="1809" w:type="dxa"/>
            <w:shd w:val="clear" w:color="auto" w:fill="auto"/>
          </w:tcPr>
          <w:p w14:paraId="106A12E3" w14:textId="77777777" w:rsidR="00CC32E9" w:rsidRPr="003371CD" w:rsidRDefault="00CC32E9" w:rsidP="00BA238F">
            <w:pPr>
              <w:spacing w:line="260" w:lineRule="atLeast"/>
              <w:rPr>
                <w:rFonts w:eastAsia="Calibri"/>
                <w:sz w:val="16"/>
                <w:szCs w:val="16"/>
                <w:vertAlign w:val="subscript"/>
                <w:lang w:eastAsia="en-US"/>
              </w:rPr>
            </w:pPr>
            <w:r w:rsidRPr="003371CD">
              <w:rPr>
                <w:rFonts w:eastAsia="Calibri"/>
                <w:sz w:val="16"/>
                <w:szCs w:val="16"/>
                <w:lang w:eastAsia="en-US"/>
              </w:rPr>
              <w:t>Clocal</w:t>
            </w:r>
            <w:r w:rsidRPr="003371CD">
              <w:rPr>
                <w:rFonts w:eastAsia="Calibri"/>
                <w:sz w:val="16"/>
                <w:szCs w:val="16"/>
                <w:vertAlign w:val="subscript"/>
                <w:lang w:eastAsia="en-US"/>
              </w:rPr>
              <w:t>rw_eff</w:t>
            </w:r>
          </w:p>
        </w:tc>
        <w:tc>
          <w:tcPr>
            <w:tcW w:w="4210" w:type="dxa"/>
            <w:shd w:val="clear" w:color="auto" w:fill="auto"/>
          </w:tcPr>
          <w:p w14:paraId="50634B88" w14:textId="77777777" w:rsidR="00CC32E9" w:rsidRPr="003371CD" w:rsidRDefault="00CC32E9" w:rsidP="00BA238F">
            <w:pPr>
              <w:spacing w:line="260" w:lineRule="atLeast"/>
              <w:rPr>
                <w:rFonts w:eastAsia="Calibri"/>
                <w:sz w:val="16"/>
                <w:szCs w:val="16"/>
                <w:lang w:eastAsia="en-US"/>
              </w:rPr>
            </w:pPr>
            <w:r w:rsidRPr="003371CD">
              <w:rPr>
                <w:rFonts w:eastAsia="Calibri"/>
                <w:sz w:val="16"/>
                <w:szCs w:val="16"/>
                <w:lang w:eastAsia="en-US"/>
              </w:rPr>
              <w:t>concentration in rainwater</w:t>
            </w:r>
          </w:p>
        </w:tc>
        <w:tc>
          <w:tcPr>
            <w:tcW w:w="1176" w:type="dxa"/>
            <w:shd w:val="clear" w:color="auto" w:fill="auto"/>
          </w:tcPr>
          <w:p w14:paraId="0C557BAC" w14:textId="77777777" w:rsidR="00CC32E9" w:rsidRPr="003371CD" w:rsidRDefault="00CC32E9" w:rsidP="00BA238F">
            <w:pPr>
              <w:spacing w:line="260" w:lineRule="atLeast"/>
              <w:rPr>
                <w:rFonts w:eastAsia="Calibri"/>
                <w:sz w:val="16"/>
                <w:szCs w:val="16"/>
                <w:lang w:eastAsia="en-US"/>
              </w:rPr>
            </w:pPr>
            <w:r w:rsidRPr="003371CD">
              <w:rPr>
                <w:rFonts w:eastAsia="Calibri"/>
                <w:sz w:val="16"/>
                <w:szCs w:val="16"/>
                <w:lang w:eastAsia="en-US"/>
              </w:rPr>
              <w:t>[kg L</w:t>
            </w:r>
            <w:r w:rsidRPr="003371CD">
              <w:rPr>
                <w:rFonts w:eastAsia="Calibri"/>
                <w:sz w:val="16"/>
                <w:szCs w:val="16"/>
                <w:vertAlign w:val="superscript"/>
                <w:lang w:eastAsia="en-US"/>
              </w:rPr>
              <w:t>-1</w:t>
            </w:r>
            <w:r w:rsidRPr="003371CD">
              <w:rPr>
                <w:rFonts w:eastAsia="Calibri"/>
                <w:sz w:val="16"/>
                <w:szCs w:val="16"/>
                <w:lang w:eastAsia="en-US"/>
              </w:rPr>
              <w:t>]</w:t>
            </w:r>
          </w:p>
        </w:tc>
        <w:tc>
          <w:tcPr>
            <w:tcW w:w="2234" w:type="dxa"/>
            <w:shd w:val="clear" w:color="auto" w:fill="auto"/>
          </w:tcPr>
          <w:p w14:paraId="4676321A" w14:textId="77777777" w:rsidR="00CC32E9" w:rsidRPr="003371CD" w:rsidRDefault="00CC32E9" w:rsidP="00BA238F">
            <w:pPr>
              <w:spacing w:line="260" w:lineRule="atLeast"/>
              <w:rPr>
                <w:rFonts w:eastAsia="Calibri"/>
                <w:sz w:val="16"/>
                <w:szCs w:val="16"/>
                <w:lang w:eastAsia="en-US"/>
              </w:rPr>
            </w:pPr>
          </w:p>
        </w:tc>
      </w:tr>
    </w:tbl>
    <w:p w14:paraId="06567B1E" w14:textId="77777777" w:rsidR="00CC32E9" w:rsidRPr="003371CD" w:rsidRDefault="00CC32E9" w:rsidP="00CC32E9">
      <w:pPr>
        <w:spacing w:line="260" w:lineRule="atLeast"/>
        <w:rPr>
          <w:rFonts w:eastAsia="Calibri"/>
          <w:sz w:val="16"/>
          <w:szCs w:val="16"/>
          <w:lang w:eastAsia="en-US"/>
        </w:rPr>
      </w:pPr>
    </w:p>
    <w:p w14:paraId="3EBDDC34" w14:textId="322F3D4C" w:rsidR="00CC32E9" w:rsidRPr="00997465" w:rsidRDefault="00CC32E9" w:rsidP="00CC32E9">
      <w:pPr>
        <w:suppressAutoHyphens w:val="0"/>
        <w:spacing w:before="100" w:beforeAutospacing="1" w:after="100" w:afterAutospacing="1"/>
        <w:jc w:val="both"/>
        <w:rPr>
          <w:rFonts w:cs="Times New Roman"/>
          <w:lang w:eastAsia="fr-FR"/>
        </w:rPr>
      </w:pPr>
      <w:r>
        <w:rPr>
          <w:rFonts w:cs="Times New Roman"/>
          <w:lang w:eastAsia="fr-FR"/>
        </w:rPr>
        <w:t>T</w:t>
      </w:r>
      <w:r w:rsidRPr="00866D4D">
        <w:rPr>
          <w:rFonts w:cs="Times New Roman"/>
          <w:lang w:val="en-US" w:eastAsia="fr-FR"/>
        </w:rPr>
        <w:t xml:space="preserve">he concentration of the </w:t>
      </w:r>
      <w:r>
        <w:rPr>
          <w:rFonts w:cs="Times New Roman"/>
          <w:lang w:val="en-US" w:eastAsia="fr-FR"/>
        </w:rPr>
        <w:t xml:space="preserve">active </w:t>
      </w:r>
      <w:r w:rsidRPr="00866D4D">
        <w:rPr>
          <w:rFonts w:cs="Times New Roman"/>
          <w:lang w:val="en-US" w:eastAsia="fr-FR"/>
        </w:rPr>
        <w:t xml:space="preserve">substance </w:t>
      </w:r>
      <w:r>
        <w:rPr>
          <w:rFonts w:cs="Times New Roman"/>
          <w:lang w:val="en-US" w:eastAsia="fr-FR"/>
        </w:rPr>
        <w:t xml:space="preserve">L(+) Lactic acid </w:t>
      </w:r>
      <w:r w:rsidRPr="00866D4D">
        <w:rPr>
          <w:rFonts w:cs="Times New Roman"/>
          <w:lang w:val="en-US" w:eastAsia="fr-FR"/>
        </w:rPr>
        <w:t xml:space="preserve">in groundwater exceeds the quality standard for pesticides and biocidal products according to Directive 2006/118/EC for drinking water (0.1 </w:t>
      </w:r>
      <w:r w:rsidRPr="00866D4D">
        <w:rPr>
          <w:rFonts w:cs="Times New Roman"/>
          <w:lang w:val="fr-FR" w:eastAsia="fr-FR"/>
        </w:rPr>
        <w:t>μ</w:t>
      </w:r>
      <w:r w:rsidRPr="00866D4D">
        <w:rPr>
          <w:rFonts w:cs="Times New Roman"/>
          <w:lang w:val="en-US" w:eastAsia="fr-FR"/>
        </w:rPr>
        <w:t>g/L).</w:t>
      </w:r>
      <w:r>
        <w:rPr>
          <w:rFonts w:cs="Times New Roman"/>
          <w:lang w:val="en-US" w:eastAsia="fr-FR"/>
        </w:rPr>
        <w:t xml:space="preserve"> A qualitative argumentation for non performing Focus Pearl refinement is developed in the following section</w:t>
      </w:r>
      <w:r w:rsidRPr="00D67D54">
        <w:t xml:space="preserve"> </w:t>
      </w:r>
      <w:r>
        <w:rPr>
          <w:rFonts w:cs="Times New Roman"/>
          <w:lang w:val="en-US" w:eastAsia="fr-FR"/>
        </w:rPr>
        <w:t>“</w:t>
      </w:r>
      <w:r w:rsidRPr="00D67D54">
        <w:rPr>
          <w:rFonts w:cs="Times New Roman"/>
          <w:lang w:val="en-US" w:eastAsia="fr-FR"/>
        </w:rPr>
        <w:t xml:space="preserve">Risk </w:t>
      </w:r>
      <w:r>
        <w:rPr>
          <w:rFonts w:cs="Times New Roman"/>
          <w:lang w:val="en-US" w:eastAsia="fr-FR"/>
        </w:rPr>
        <w:t>characterization”.</w:t>
      </w:r>
    </w:p>
    <w:p w14:paraId="14B59A79" w14:textId="52875AA6" w:rsidR="00CC32E9" w:rsidRPr="00D42D9E" w:rsidRDefault="00CC32E9" w:rsidP="00CC32E9">
      <w:pPr>
        <w:suppressAutoHyphens w:val="0"/>
        <w:spacing w:before="100" w:beforeAutospacing="1" w:after="100" w:afterAutospacing="1"/>
        <w:jc w:val="both"/>
        <w:rPr>
          <w:rFonts w:cs="Times New Roman"/>
          <w:lang w:eastAsia="fr-FR"/>
        </w:rPr>
      </w:pPr>
      <w:r w:rsidRPr="00D42D9E">
        <w:rPr>
          <w:rFonts w:cs="Times New Roman"/>
          <w:lang w:eastAsia="fr-FR"/>
        </w:rPr>
        <w:t xml:space="preserve">In scenario </w:t>
      </w:r>
      <w:r w:rsidR="003371CD" w:rsidRPr="00D42D9E">
        <w:rPr>
          <w:rFonts w:cs="Times New Roman"/>
          <w:lang w:eastAsia="fr-FR"/>
        </w:rPr>
        <w:t xml:space="preserve">2 (PT02 Industrial areas - large scale applications) and in scenario </w:t>
      </w:r>
      <w:r w:rsidR="00D42D9E">
        <w:rPr>
          <w:rFonts w:cs="Times New Roman"/>
          <w:lang w:eastAsia="fr-FR"/>
        </w:rPr>
        <w:t>8</w:t>
      </w:r>
      <w:r w:rsidR="00D42D9E" w:rsidRPr="00D42D9E">
        <w:rPr>
          <w:rFonts w:cs="Times New Roman"/>
          <w:lang w:eastAsia="fr-FR"/>
        </w:rPr>
        <w:t xml:space="preserve"> </w:t>
      </w:r>
      <w:r w:rsidR="000D4761" w:rsidRPr="00D42D9E">
        <w:rPr>
          <w:rFonts w:cs="Times New Roman"/>
          <w:lang w:eastAsia="fr-FR"/>
        </w:rPr>
        <w:t>(</w:t>
      </w:r>
      <w:r w:rsidR="003371CD" w:rsidRPr="00D42D9E">
        <w:rPr>
          <w:rFonts w:cs="Times New Roman"/>
          <w:lang w:eastAsia="fr-FR"/>
        </w:rPr>
        <w:t xml:space="preserve">PT04 </w:t>
      </w:r>
      <w:r w:rsidR="003259C8" w:rsidRPr="00DD2106">
        <w:t>Disinfection in food and feed area</w:t>
      </w:r>
      <w:r w:rsidR="000D4761" w:rsidRPr="00D42D9E">
        <w:rPr>
          <w:rFonts w:cs="Times New Roman"/>
          <w:lang w:eastAsia="fr-FR"/>
        </w:rPr>
        <w:t>)</w:t>
      </w:r>
      <w:r w:rsidRPr="00D42D9E">
        <w:rPr>
          <w:rFonts w:cs="Times New Roman"/>
          <w:lang w:eastAsia="fr-FR"/>
        </w:rPr>
        <w:t xml:space="preserve">, the concentration of the substance of concern </w:t>
      </w:r>
      <w:r w:rsidR="003371CD" w:rsidRPr="00D42D9E">
        <w:rPr>
          <w:rFonts w:cs="Times New Roman"/>
          <w:lang w:eastAsia="fr-FR"/>
        </w:rPr>
        <w:t>amines, coco alkyldimethyl, N-oxides</w:t>
      </w:r>
      <w:r w:rsidR="003371CD" w:rsidRPr="00D42D9E" w:rsidDel="003371CD">
        <w:rPr>
          <w:rFonts w:cs="Times New Roman"/>
          <w:lang w:eastAsia="fr-FR"/>
        </w:rPr>
        <w:t xml:space="preserve"> </w:t>
      </w:r>
      <w:r w:rsidRPr="00D42D9E">
        <w:rPr>
          <w:rFonts w:cs="Times New Roman"/>
          <w:lang w:eastAsia="fr-FR"/>
        </w:rPr>
        <w:t>in groundwater exceeds the quality standard for pesticides and biocidal products according to Directive 2006/118/EC for drinking water (0.1 μg/L). Thus, the groundwater assessment must be refined with a second tier model</w:t>
      </w:r>
      <w:r w:rsidR="005B2312">
        <w:rPr>
          <w:rFonts w:cs="Times New Roman"/>
          <w:lang w:eastAsia="fr-FR"/>
        </w:rPr>
        <w:t xml:space="preserve"> (FOCUS Pearl 4.4.4)</w:t>
      </w:r>
      <w:r w:rsidRPr="00D42D9E">
        <w:rPr>
          <w:rFonts w:cs="Times New Roman"/>
          <w:lang w:eastAsia="fr-FR"/>
        </w:rPr>
        <w:t>.</w:t>
      </w:r>
    </w:p>
    <w:tbl>
      <w:tblPr>
        <w:tblStyle w:val="Grilledutableau"/>
        <w:tblW w:w="5000" w:type="pct"/>
        <w:jc w:val="center"/>
        <w:tblInd w:w="0" w:type="dxa"/>
        <w:tblLook w:val="04A0" w:firstRow="1" w:lastRow="0" w:firstColumn="1" w:lastColumn="0" w:noHBand="0" w:noVBand="1"/>
      </w:tblPr>
      <w:tblGrid>
        <w:gridCol w:w="2943"/>
        <w:gridCol w:w="2027"/>
        <w:gridCol w:w="4233"/>
      </w:tblGrid>
      <w:tr w:rsidR="00CC32E9" w:rsidRPr="00D67D54" w14:paraId="4684047C" w14:textId="77777777" w:rsidTr="00BA238F">
        <w:trPr>
          <w:trHeight w:val="113"/>
          <w:jc w:val="center"/>
        </w:trPr>
        <w:tc>
          <w:tcPr>
            <w:tcW w:w="5000" w:type="pct"/>
            <w:gridSpan w:val="3"/>
            <w:shd w:val="clear" w:color="auto" w:fill="F8F5CC"/>
            <w:vAlign w:val="center"/>
          </w:tcPr>
          <w:p w14:paraId="15F3D6CC" w14:textId="77777777" w:rsidR="00CC32E9" w:rsidRPr="00D67D54" w:rsidRDefault="00CC32E9" w:rsidP="00BA238F">
            <w:pPr>
              <w:spacing w:before="240" w:after="60" w:line="260" w:lineRule="atLeast"/>
              <w:jc w:val="center"/>
              <w:outlineLvl w:val="0"/>
              <w:rPr>
                <w:i/>
                <w:sz w:val="18"/>
                <w:szCs w:val="18"/>
              </w:rPr>
            </w:pPr>
            <w:r w:rsidRPr="00D67D54">
              <w:rPr>
                <w:b/>
                <w:bCs/>
                <w:sz w:val="18"/>
                <w:szCs w:val="18"/>
              </w:rPr>
              <w:t>Emissions to Groundwater : Inputs for refinement (FOCUS PEARL 4.4.4)</w:t>
            </w:r>
          </w:p>
        </w:tc>
      </w:tr>
      <w:tr w:rsidR="00CC32E9" w:rsidRPr="00D67D54" w14:paraId="6CD6AE96" w14:textId="77777777" w:rsidTr="00BA238F">
        <w:trPr>
          <w:trHeight w:val="552"/>
          <w:jc w:val="center"/>
        </w:trPr>
        <w:tc>
          <w:tcPr>
            <w:tcW w:w="1599" w:type="pct"/>
            <w:shd w:val="clear" w:color="auto" w:fill="auto"/>
            <w:vAlign w:val="center"/>
          </w:tcPr>
          <w:p w14:paraId="51ACE19D" w14:textId="39C04CDD" w:rsidR="00CC32E9" w:rsidRPr="00D67D54" w:rsidRDefault="00CC32E9" w:rsidP="00BA238F">
            <w:pPr>
              <w:spacing w:before="240" w:after="60" w:line="260" w:lineRule="atLeast"/>
              <w:outlineLvl w:val="0"/>
              <w:rPr>
                <w:sz w:val="18"/>
                <w:szCs w:val="18"/>
              </w:rPr>
            </w:pPr>
            <w:r w:rsidRPr="00D67D54">
              <w:rPr>
                <w:b/>
                <w:sz w:val="18"/>
                <w:szCs w:val="18"/>
              </w:rPr>
              <w:t xml:space="preserve">Input parameters </w:t>
            </w:r>
            <w:r w:rsidR="003371CD" w:rsidRPr="00747099">
              <w:rPr>
                <w:rFonts w:eastAsia="Calibri" w:cs="Arial"/>
                <w:b/>
                <w:bCs/>
                <w:sz w:val="18"/>
                <w:szCs w:val="18"/>
                <w:lang w:eastAsia="en-GB"/>
              </w:rPr>
              <w:t>a</w:t>
            </w:r>
            <w:r w:rsidR="003371CD" w:rsidRPr="00747099">
              <w:rPr>
                <w:rFonts w:eastAsia="Calibri" w:cs="Times New Roman"/>
                <w:b/>
                <w:sz w:val="18"/>
                <w:szCs w:val="18"/>
                <w:lang w:eastAsia="en-US"/>
              </w:rPr>
              <w:t>mines, coco alkyldimethyl, N-oxides</w:t>
            </w:r>
          </w:p>
        </w:tc>
        <w:tc>
          <w:tcPr>
            <w:tcW w:w="1101" w:type="pct"/>
            <w:shd w:val="clear" w:color="auto" w:fill="auto"/>
            <w:vAlign w:val="center"/>
          </w:tcPr>
          <w:p w14:paraId="70581255" w14:textId="77777777" w:rsidR="00CC32E9" w:rsidRPr="00D67D54" w:rsidRDefault="00CC32E9" w:rsidP="00BA238F">
            <w:pPr>
              <w:spacing w:before="240" w:after="60" w:line="260" w:lineRule="atLeast"/>
              <w:jc w:val="center"/>
              <w:outlineLvl w:val="0"/>
              <w:rPr>
                <w:b/>
                <w:sz w:val="18"/>
                <w:szCs w:val="18"/>
              </w:rPr>
            </w:pPr>
            <w:r w:rsidRPr="00D67D54">
              <w:rPr>
                <w:b/>
                <w:sz w:val="18"/>
                <w:szCs w:val="18"/>
              </w:rPr>
              <w:t>Value</w:t>
            </w:r>
          </w:p>
        </w:tc>
        <w:tc>
          <w:tcPr>
            <w:tcW w:w="2300" w:type="pct"/>
            <w:shd w:val="clear" w:color="auto" w:fill="auto"/>
            <w:vAlign w:val="center"/>
          </w:tcPr>
          <w:p w14:paraId="7DC43FF6" w14:textId="77777777" w:rsidR="00CC32E9" w:rsidRPr="00D67D54" w:rsidRDefault="00CC32E9" w:rsidP="00BA238F">
            <w:pPr>
              <w:spacing w:before="240" w:after="60" w:line="260" w:lineRule="atLeast"/>
              <w:outlineLvl w:val="0"/>
              <w:rPr>
                <w:b/>
                <w:sz w:val="18"/>
                <w:szCs w:val="18"/>
              </w:rPr>
            </w:pPr>
            <w:r w:rsidRPr="00D67D54">
              <w:rPr>
                <w:b/>
                <w:sz w:val="18"/>
                <w:szCs w:val="18"/>
              </w:rPr>
              <w:t>Reference</w:t>
            </w:r>
          </w:p>
        </w:tc>
      </w:tr>
      <w:tr w:rsidR="00CC32E9" w:rsidRPr="00747099" w14:paraId="78573A5C" w14:textId="77777777" w:rsidTr="00BA238F">
        <w:trPr>
          <w:trHeight w:val="113"/>
          <w:jc w:val="center"/>
        </w:trPr>
        <w:tc>
          <w:tcPr>
            <w:tcW w:w="1599" w:type="pct"/>
            <w:shd w:val="clear" w:color="auto" w:fill="auto"/>
            <w:vAlign w:val="center"/>
          </w:tcPr>
          <w:p w14:paraId="02F491D4" w14:textId="77777777" w:rsidR="00CC32E9" w:rsidRPr="00D67D54" w:rsidRDefault="00CC32E9" w:rsidP="00BA238F">
            <w:pPr>
              <w:spacing w:before="240" w:after="60" w:line="260" w:lineRule="atLeast"/>
              <w:outlineLvl w:val="0"/>
              <w:rPr>
                <w:bCs/>
                <w:sz w:val="18"/>
                <w:szCs w:val="18"/>
              </w:rPr>
            </w:pPr>
            <w:r w:rsidRPr="00D67D54">
              <w:rPr>
                <w:bCs/>
                <w:sz w:val="18"/>
                <w:szCs w:val="18"/>
              </w:rPr>
              <w:t>Molecular weight (g/mol)</w:t>
            </w:r>
          </w:p>
        </w:tc>
        <w:tc>
          <w:tcPr>
            <w:tcW w:w="1101" w:type="pct"/>
            <w:shd w:val="clear" w:color="auto" w:fill="auto"/>
            <w:vAlign w:val="center"/>
          </w:tcPr>
          <w:p w14:paraId="7B8B23B1" w14:textId="2CD4A2AF" w:rsidR="00CC32E9" w:rsidRPr="00D67D54" w:rsidRDefault="00FD192C" w:rsidP="00BA238F">
            <w:pPr>
              <w:spacing w:before="240" w:after="60" w:line="260" w:lineRule="atLeast"/>
              <w:jc w:val="center"/>
              <w:outlineLvl w:val="0"/>
              <w:rPr>
                <w:sz w:val="18"/>
                <w:szCs w:val="18"/>
              </w:rPr>
            </w:pPr>
            <w:r>
              <w:rPr>
                <w:sz w:val="18"/>
                <w:szCs w:val="18"/>
              </w:rPr>
              <w:t>243</w:t>
            </w:r>
          </w:p>
        </w:tc>
        <w:tc>
          <w:tcPr>
            <w:tcW w:w="2300" w:type="pct"/>
            <w:vMerge w:val="restart"/>
            <w:shd w:val="clear" w:color="auto" w:fill="auto"/>
            <w:vAlign w:val="center"/>
          </w:tcPr>
          <w:p w14:paraId="292B2C82" w14:textId="17A67A93" w:rsidR="00CC32E9" w:rsidRPr="00747099" w:rsidRDefault="00FD192C" w:rsidP="00404D6F">
            <w:pPr>
              <w:spacing w:before="240" w:after="60" w:line="260" w:lineRule="atLeast"/>
              <w:outlineLvl w:val="0"/>
              <w:rPr>
                <w:sz w:val="18"/>
                <w:szCs w:val="18"/>
                <w:highlight w:val="yellow"/>
                <w:lang w:val="en-US"/>
              </w:rPr>
            </w:pPr>
            <w:r w:rsidRPr="005F445F">
              <w:rPr>
                <w:sz w:val="18"/>
                <w:szCs w:val="18"/>
              </w:rPr>
              <w:t>ECHA registration dossier of the similar substance: Amines, C12-14 (even numbered)-alkyldimethyl, N-oxides (n° CAS : 308062-28-4 https://echa.europa.eu/fr/registration-dossier/-/registered-dossier/15191)</w:t>
            </w:r>
          </w:p>
        </w:tc>
      </w:tr>
      <w:tr w:rsidR="00CC32E9" w:rsidRPr="00D67D54" w14:paraId="59C2D5A9" w14:textId="77777777" w:rsidTr="00BA238F">
        <w:trPr>
          <w:trHeight w:val="113"/>
          <w:jc w:val="center"/>
        </w:trPr>
        <w:tc>
          <w:tcPr>
            <w:tcW w:w="1599" w:type="pct"/>
            <w:shd w:val="clear" w:color="auto" w:fill="auto"/>
            <w:vAlign w:val="center"/>
          </w:tcPr>
          <w:p w14:paraId="4566D209" w14:textId="77777777" w:rsidR="00CC32E9" w:rsidRPr="00D67D54" w:rsidRDefault="00CC32E9" w:rsidP="00BA238F">
            <w:pPr>
              <w:spacing w:before="240" w:after="60" w:line="260" w:lineRule="atLeast"/>
              <w:outlineLvl w:val="0"/>
              <w:rPr>
                <w:bCs/>
                <w:sz w:val="18"/>
                <w:szCs w:val="18"/>
              </w:rPr>
            </w:pPr>
            <w:r w:rsidRPr="00D67D54">
              <w:rPr>
                <w:bCs/>
                <w:sz w:val="18"/>
                <w:szCs w:val="18"/>
              </w:rPr>
              <w:t>Water solubility (mg/l) at 20°C</w:t>
            </w:r>
          </w:p>
        </w:tc>
        <w:tc>
          <w:tcPr>
            <w:tcW w:w="1101" w:type="pct"/>
            <w:shd w:val="clear" w:color="auto" w:fill="auto"/>
            <w:vAlign w:val="center"/>
          </w:tcPr>
          <w:p w14:paraId="14946B6E" w14:textId="58964A28" w:rsidR="00CC32E9" w:rsidRPr="00D67D54" w:rsidRDefault="00FD192C" w:rsidP="00BA238F">
            <w:pPr>
              <w:spacing w:before="240" w:after="60" w:line="260" w:lineRule="atLeast"/>
              <w:jc w:val="center"/>
              <w:outlineLvl w:val="0"/>
              <w:rPr>
                <w:sz w:val="18"/>
                <w:szCs w:val="18"/>
              </w:rPr>
            </w:pPr>
            <w:r>
              <w:rPr>
                <w:sz w:val="18"/>
                <w:szCs w:val="18"/>
              </w:rPr>
              <w:t>4.095E+05</w:t>
            </w:r>
          </w:p>
        </w:tc>
        <w:tc>
          <w:tcPr>
            <w:tcW w:w="2300" w:type="pct"/>
            <w:vMerge/>
            <w:shd w:val="clear" w:color="auto" w:fill="auto"/>
            <w:vAlign w:val="center"/>
          </w:tcPr>
          <w:p w14:paraId="1CEA0B5E" w14:textId="77777777" w:rsidR="00CC32E9" w:rsidRPr="00D67D54" w:rsidRDefault="00CC32E9" w:rsidP="00BA238F">
            <w:pPr>
              <w:spacing w:before="240" w:after="60" w:line="260" w:lineRule="atLeast"/>
              <w:outlineLvl w:val="0"/>
              <w:rPr>
                <w:sz w:val="18"/>
                <w:szCs w:val="18"/>
              </w:rPr>
            </w:pPr>
          </w:p>
        </w:tc>
      </w:tr>
      <w:tr w:rsidR="00CC32E9" w:rsidRPr="00D67D54" w14:paraId="2C64DB88" w14:textId="77777777" w:rsidTr="00BA238F">
        <w:trPr>
          <w:trHeight w:val="113"/>
          <w:jc w:val="center"/>
        </w:trPr>
        <w:tc>
          <w:tcPr>
            <w:tcW w:w="1599" w:type="pct"/>
            <w:shd w:val="clear" w:color="auto" w:fill="auto"/>
            <w:vAlign w:val="center"/>
          </w:tcPr>
          <w:p w14:paraId="228B9D4C" w14:textId="77777777" w:rsidR="00CC32E9" w:rsidRPr="00D67D54" w:rsidRDefault="00CC32E9" w:rsidP="00BA238F">
            <w:pPr>
              <w:spacing w:before="240" w:after="60" w:line="260" w:lineRule="atLeast"/>
              <w:outlineLvl w:val="0"/>
              <w:rPr>
                <w:bCs/>
                <w:sz w:val="18"/>
                <w:szCs w:val="18"/>
              </w:rPr>
            </w:pPr>
            <w:r w:rsidRPr="00D67D54">
              <w:rPr>
                <w:bCs/>
                <w:sz w:val="18"/>
                <w:szCs w:val="18"/>
              </w:rPr>
              <w:t>Koc (L/kg)</w:t>
            </w:r>
          </w:p>
        </w:tc>
        <w:tc>
          <w:tcPr>
            <w:tcW w:w="1101" w:type="pct"/>
            <w:shd w:val="clear" w:color="auto" w:fill="auto"/>
            <w:vAlign w:val="center"/>
          </w:tcPr>
          <w:p w14:paraId="611E2B79" w14:textId="6190D68C" w:rsidR="00CC32E9" w:rsidRPr="00D67D54" w:rsidRDefault="00FD192C" w:rsidP="00BA238F">
            <w:pPr>
              <w:spacing w:before="240" w:after="60" w:line="260" w:lineRule="atLeast"/>
              <w:jc w:val="center"/>
              <w:outlineLvl w:val="0"/>
              <w:rPr>
                <w:sz w:val="18"/>
                <w:szCs w:val="18"/>
              </w:rPr>
            </w:pPr>
            <w:r>
              <w:rPr>
                <w:sz w:val="18"/>
                <w:szCs w:val="18"/>
              </w:rPr>
              <w:t>1746.4</w:t>
            </w:r>
          </w:p>
        </w:tc>
        <w:tc>
          <w:tcPr>
            <w:tcW w:w="2300" w:type="pct"/>
            <w:vMerge/>
            <w:shd w:val="clear" w:color="auto" w:fill="auto"/>
            <w:vAlign w:val="center"/>
          </w:tcPr>
          <w:p w14:paraId="5D76AA01" w14:textId="77777777" w:rsidR="00CC32E9" w:rsidRPr="00D67D54" w:rsidRDefault="00CC32E9" w:rsidP="00BA238F">
            <w:pPr>
              <w:spacing w:before="240" w:after="60" w:line="260" w:lineRule="atLeast"/>
              <w:outlineLvl w:val="0"/>
              <w:rPr>
                <w:b/>
                <w:sz w:val="18"/>
                <w:szCs w:val="18"/>
              </w:rPr>
            </w:pPr>
          </w:p>
        </w:tc>
      </w:tr>
      <w:tr w:rsidR="00CC32E9" w:rsidRPr="00D67D54" w14:paraId="699621DF" w14:textId="77777777" w:rsidTr="00BA238F">
        <w:trPr>
          <w:trHeight w:val="113"/>
          <w:jc w:val="center"/>
        </w:trPr>
        <w:tc>
          <w:tcPr>
            <w:tcW w:w="1599" w:type="pct"/>
            <w:shd w:val="clear" w:color="auto" w:fill="auto"/>
            <w:vAlign w:val="center"/>
          </w:tcPr>
          <w:p w14:paraId="3446AADA" w14:textId="1EB43248" w:rsidR="00CC32E9" w:rsidRPr="00D67D54" w:rsidRDefault="00CC32E9" w:rsidP="00BA238F">
            <w:pPr>
              <w:spacing w:before="240" w:after="60" w:line="260" w:lineRule="atLeast"/>
              <w:outlineLvl w:val="0"/>
              <w:rPr>
                <w:bCs/>
                <w:sz w:val="18"/>
                <w:szCs w:val="18"/>
              </w:rPr>
            </w:pPr>
            <w:r w:rsidRPr="00D67D54">
              <w:rPr>
                <w:bCs/>
                <w:sz w:val="18"/>
                <w:szCs w:val="18"/>
              </w:rPr>
              <w:t xml:space="preserve">Saturated vapour pressure (Pa) </w:t>
            </w:r>
            <w:r w:rsidRPr="00D67D54">
              <w:rPr>
                <w:sz w:val="18"/>
                <w:szCs w:val="18"/>
              </w:rPr>
              <w:t>at 2</w:t>
            </w:r>
            <w:r w:rsidR="00BA2511">
              <w:rPr>
                <w:sz w:val="18"/>
                <w:szCs w:val="18"/>
              </w:rPr>
              <w:t>0</w:t>
            </w:r>
            <w:r w:rsidRPr="00D67D54">
              <w:rPr>
                <w:sz w:val="18"/>
                <w:szCs w:val="18"/>
              </w:rPr>
              <w:t>°C</w:t>
            </w:r>
          </w:p>
        </w:tc>
        <w:tc>
          <w:tcPr>
            <w:tcW w:w="1101" w:type="pct"/>
            <w:shd w:val="clear" w:color="auto" w:fill="auto"/>
            <w:vAlign w:val="center"/>
          </w:tcPr>
          <w:p w14:paraId="16153AC0" w14:textId="06246F7B" w:rsidR="00CC32E9" w:rsidRPr="00D67D54" w:rsidRDefault="00FD192C" w:rsidP="00BA238F">
            <w:pPr>
              <w:spacing w:before="240" w:after="60" w:line="260" w:lineRule="atLeast"/>
              <w:jc w:val="center"/>
              <w:outlineLvl w:val="0"/>
              <w:rPr>
                <w:sz w:val="18"/>
                <w:szCs w:val="18"/>
              </w:rPr>
            </w:pPr>
            <w:r>
              <w:rPr>
                <w:sz w:val="18"/>
                <w:szCs w:val="18"/>
              </w:rPr>
              <w:t>7.50E-05</w:t>
            </w:r>
          </w:p>
        </w:tc>
        <w:tc>
          <w:tcPr>
            <w:tcW w:w="2300" w:type="pct"/>
            <w:vMerge/>
            <w:shd w:val="clear" w:color="auto" w:fill="auto"/>
            <w:vAlign w:val="center"/>
          </w:tcPr>
          <w:p w14:paraId="477B8B27" w14:textId="77777777" w:rsidR="00CC32E9" w:rsidRPr="00D67D54" w:rsidRDefault="00CC32E9" w:rsidP="00BA238F">
            <w:pPr>
              <w:spacing w:before="240" w:after="60" w:line="260" w:lineRule="atLeast"/>
              <w:outlineLvl w:val="0"/>
              <w:rPr>
                <w:b/>
                <w:sz w:val="18"/>
                <w:szCs w:val="18"/>
              </w:rPr>
            </w:pPr>
          </w:p>
        </w:tc>
      </w:tr>
      <w:tr w:rsidR="00CC32E9" w:rsidRPr="00D67D54" w14:paraId="58002ECB" w14:textId="77777777" w:rsidTr="00BA238F">
        <w:trPr>
          <w:trHeight w:val="113"/>
          <w:jc w:val="center"/>
        </w:trPr>
        <w:tc>
          <w:tcPr>
            <w:tcW w:w="1599" w:type="pct"/>
            <w:shd w:val="clear" w:color="auto" w:fill="auto"/>
            <w:vAlign w:val="center"/>
          </w:tcPr>
          <w:p w14:paraId="3F9E4586" w14:textId="77777777" w:rsidR="00CC32E9" w:rsidRPr="00D67D54" w:rsidRDefault="00CC32E9" w:rsidP="00BA238F">
            <w:pPr>
              <w:spacing w:before="240" w:after="60" w:line="260" w:lineRule="atLeast"/>
              <w:outlineLvl w:val="0"/>
              <w:rPr>
                <w:bCs/>
                <w:sz w:val="18"/>
                <w:szCs w:val="18"/>
              </w:rPr>
            </w:pPr>
            <w:r w:rsidRPr="00D67D54">
              <w:rPr>
                <w:bCs/>
                <w:sz w:val="18"/>
                <w:szCs w:val="18"/>
              </w:rPr>
              <w:t>DT50 in soil (d) at 12°C</w:t>
            </w:r>
          </w:p>
        </w:tc>
        <w:tc>
          <w:tcPr>
            <w:tcW w:w="1101" w:type="pct"/>
            <w:shd w:val="clear" w:color="auto" w:fill="auto"/>
            <w:vAlign w:val="center"/>
          </w:tcPr>
          <w:p w14:paraId="35DDF388" w14:textId="77777777" w:rsidR="00CC32E9" w:rsidRPr="00D67D54" w:rsidRDefault="00CC32E9" w:rsidP="00BA238F">
            <w:pPr>
              <w:spacing w:before="240" w:after="60" w:line="260" w:lineRule="atLeast"/>
              <w:jc w:val="center"/>
              <w:outlineLvl w:val="0"/>
              <w:rPr>
                <w:sz w:val="18"/>
                <w:szCs w:val="18"/>
              </w:rPr>
            </w:pPr>
            <w:r w:rsidRPr="00D67D54">
              <w:rPr>
                <w:sz w:val="18"/>
                <w:szCs w:val="18"/>
              </w:rPr>
              <w:t>30</w:t>
            </w:r>
          </w:p>
        </w:tc>
        <w:tc>
          <w:tcPr>
            <w:tcW w:w="2300" w:type="pct"/>
            <w:shd w:val="clear" w:color="auto" w:fill="auto"/>
            <w:vAlign w:val="center"/>
          </w:tcPr>
          <w:p w14:paraId="1ED477AF" w14:textId="77777777" w:rsidR="00CC32E9" w:rsidRPr="00D67D54" w:rsidRDefault="00CC32E9" w:rsidP="00BA238F">
            <w:pPr>
              <w:spacing w:before="240" w:after="60" w:line="260" w:lineRule="atLeast"/>
              <w:outlineLvl w:val="0"/>
              <w:rPr>
                <w:sz w:val="18"/>
                <w:szCs w:val="18"/>
              </w:rPr>
            </w:pPr>
            <w:r w:rsidRPr="00D67D54">
              <w:rPr>
                <w:sz w:val="18"/>
                <w:szCs w:val="18"/>
              </w:rPr>
              <w:t>Default</w:t>
            </w:r>
          </w:p>
        </w:tc>
      </w:tr>
      <w:tr w:rsidR="00CC32E9" w:rsidRPr="00D67D54" w14:paraId="1D3DF3AC" w14:textId="77777777" w:rsidTr="00BA238F">
        <w:trPr>
          <w:trHeight w:val="113"/>
          <w:jc w:val="center"/>
        </w:trPr>
        <w:tc>
          <w:tcPr>
            <w:tcW w:w="1599" w:type="pct"/>
            <w:shd w:val="clear" w:color="auto" w:fill="auto"/>
            <w:vAlign w:val="center"/>
          </w:tcPr>
          <w:p w14:paraId="1A1000C2" w14:textId="77777777" w:rsidR="00CC32E9" w:rsidRPr="00D67D54" w:rsidRDefault="00CC32E9" w:rsidP="00BA238F">
            <w:pPr>
              <w:spacing w:before="240" w:after="60" w:line="260" w:lineRule="atLeast"/>
              <w:outlineLvl w:val="0"/>
              <w:rPr>
                <w:bCs/>
                <w:sz w:val="18"/>
                <w:szCs w:val="18"/>
              </w:rPr>
            </w:pPr>
            <w:r w:rsidRPr="00D67D54">
              <w:rPr>
                <w:bCs/>
                <w:sz w:val="18"/>
                <w:szCs w:val="18"/>
              </w:rPr>
              <w:t>Kom (=Koc/1.724) (L/kg)</w:t>
            </w:r>
          </w:p>
        </w:tc>
        <w:tc>
          <w:tcPr>
            <w:tcW w:w="1101" w:type="pct"/>
            <w:shd w:val="clear" w:color="auto" w:fill="auto"/>
            <w:vAlign w:val="center"/>
          </w:tcPr>
          <w:p w14:paraId="72F9D23D" w14:textId="72EF9B00" w:rsidR="00CC32E9" w:rsidRPr="00D67D54" w:rsidRDefault="007E62F6" w:rsidP="00BA238F">
            <w:pPr>
              <w:spacing w:before="240" w:after="60" w:line="260" w:lineRule="atLeast"/>
              <w:jc w:val="center"/>
              <w:outlineLvl w:val="0"/>
              <w:rPr>
                <w:sz w:val="18"/>
                <w:szCs w:val="18"/>
              </w:rPr>
            </w:pPr>
            <w:r>
              <w:rPr>
                <w:sz w:val="18"/>
                <w:szCs w:val="18"/>
              </w:rPr>
              <w:t>1013</w:t>
            </w:r>
          </w:p>
        </w:tc>
        <w:tc>
          <w:tcPr>
            <w:tcW w:w="2300" w:type="pct"/>
            <w:shd w:val="clear" w:color="auto" w:fill="auto"/>
            <w:vAlign w:val="center"/>
          </w:tcPr>
          <w:p w14:paraId="75035E1A" w14:textId="77777777" w:rsidR="00CC32E9" w:rsidRPr="00D67D54" w:rsidRDefault="00CC32E9" w:rsidP="00BA238F">
            <w:pPr>
              <w:spacing w:before="240" w:after="60" w:line="260" w:lineRule="atLeast"/>
              <w:outlineLvl w:val="0"/>
              <w:rPr>
                <w:sz w:val="18"/>
                <w:szCs w:val="18"/>
              </w:rPr>
            </w:pPr>
            <w:r w:rsidRPr="00D67D54">
              <w:rPr>
                <w:sz w:val="18"/>
                <w:szCs w:val="18"/>
              </w:rPr>
              <w:t>TAB 2.1 ENV 23</w:t>
            </w:r>
          </w:p>
        </w:tc>
      </w:tr>
      <w:tr w:rsidR="00CC32E9" w:rsidRPr="00D67D54" w14:paraId="08B07517" w14:textId="77777777" w:rsidTr="00BA238F">
        <w:trPr>
          <w:trHeight w:val="113"/>
          <w:jc w:val="center"/>
        </w:trPr>
        <w:tc>
          <w:tcPr>
            <w:tcW w:w="1599" w:type="pct"/>
            <w:shd w:val="clear" w:color="auto" w:fill="auto"/>
            <w:vAlign w:val="center"/>
          </w:tcPr>
          <w:p w14:paraId="6CB9DA6F" w14:textId="77777777" w:rsidR="00CC32E9" w:rsidRPr="00D67D54" w:rsidRDefault="00CC32E9" w:rsidP="00BA238F">
            <w:pPr>
              <w:spacing w:before="240" w:after="60" w:line="260" w:lineRule="atLeast"/>
              <w:outlineLvl w:val="0"/>
              <w:rPr>
                <w:bCs/>
                <w:sz w:val="18"/>
                <w:szCs w:val="18"/>
              </w:rPr>
            </w:pPr>
            <w:r w:rsidRPr="00D67D54">
              <w:rPr>
                <w:color w:val="000000"/>
                <w:sz w:val="18"/>
                <w:szCs w:val="18"/>
                <w:lang w:eastAsia="en-GB"/>
              </w:rPr>
              <w:lastRenderedPageBreak/>
              <w:t>Freundlich exponent</w:t>
            </w:r>
          </w:p>
        </w:tc>
        <w:tc>
          <w:tcPr>
            <w:tcW w:w="1101" w:type="pct"/>
            <w:shd w:val="clear" w:color="auto" w:fill="auto"/>
            <w:vAlign w:val="center"/>
          </w:tcPr>
          <w:p w14:paraId="30FDC312" w14:textId="362E9958" w:rsidR="00CC32E9" w:rsidRPr="00D67D54" w:rsidRDefault="00CC32E9" w:rsidP="00BA238F">
            <w:pPr>
              <w:spacing w:before="240" w:after="60" w:line="260" w:lineRule="atLeast"/>
              <w:jc w:val="center"/>
              <w:outlineLvl w:val="0"/>
              <w:rPr>
                <w:sz w:val="18"/>
                <w:szCs w:val="18"/>
              </w:rPr>
            </w:pPr>
            <w:r w:rsidRPr="00D67D54">
              <w:rPr>
                <w:sz w:val="18"/>
                <w:szCs w:val="18"/>
              </w:rPr>
              <w:t>1</w:t>
            </w:r>
          </w:p>
        </w:tc>
        <w:tc>
          <w:tcPr>
            <w:tcW w:w="2300" w:type="pct"/>
            <w:shd w:val="clear" w:color="auto" w:fill="auto"/>
            <w:vAlign w:val="center"/>
          </w:tcPr>
          <w:p w14:paraId="12314F00" w14:textId="77777777" w:rsidR="00CC32E9" w:rsidRPr="00D67D54" w:rsidRDefault="00CC32E9" w:rsidP="00BA238F">
            <w:pPr>
              <w:spacing w:before="240" w:after="60" w:line="260" w:lineRule="atLeast"/>
              <w:outlineLvl w:val="0"/>
              <w:rPr>
                <w:sz w:val="18"/>
                <w:szCs w:val="18"/>
              </w:rPr>
            </w:pPr>
            <w:r w:rsidRPr="00D67D54">
              <w:rPr>
                <w:sz w:val="18"/>
                <w:szCs w:val="18"/>
              </w:rPr>
              <w:t>TAB 2.1 ENV 22</w:t>
            </w:r>
          </w:p>
        </w:tc>
      </w:tr>
      <w:tr w:rsidR="00CC32E9" w:rsidRPr="00D67D54" w14:paraId="3A571B41" w14:textId="77777777" w:rsidTr="00BA238F">
        <w:trPr>
          <w:trHeight w:val="113"/>
          <w:jc w:val="center"/>
        </w:trPr>
        <w:tc>
          <w:tcPr>
            <w:tcW w:w="1599" w:type="pct"/>
            <w:shd w:val="clear" w:color="auto" w:fill="auto"/>
            <w:vAlign w:val="center"/>
          </w:tcPr>
          <w:p w14:paraId="7488AEC5" w14:textId="77777777" w:rsidR="00CC32E9" w:rsidRPr="00D67D54" w:rsidRDefault="00CC32E9" w:rsidP="00BA238F">
            <w:pPr>
              <w:spacing w:before="240" w:after="60" w:line="260" w:lineRule="atLeast"/>
              <w:outlineLvl w:val="0"/>
              <w:rPr>
                <w:bCs/>
                <w:sz w:val="18"/>
                <w:szCs w:val="18"/>
              </w:rPr>
            </w:pPr>
            <w:r w:rsidRPr="00D67D54">
              <w:rPr>
                <w:bCs/>
                <w:sz w:val="18"/>
                <w:szCs w:val="18"/>
              </w:rPr>
              <w:t>Plant uptake factor</w:t>
            </w:r>
          </w:p>
        </w:tc>
        <w:tc>
          <w:tcPr>
            <w:tcW w:w="1101" w:type="pct"/>
            <w:shd w:val="clear" w:color="auto" w:fill="auto"/>
            <w:vAlign w:val="center"/>
          </w:tcPr>
          <w:p w14:paraId="3AA5BD58" w14:textId="77777777" w:rsidR="00CC32E9" w:rsidRPr="00D67D54" w:rsidRDefault="00CC32E9" w:rsidP="00BA238F">
            <w:pPr>
              <w:spacing w:before="240" w:after="60" w:line="260" w:lineRule="atLeast"/>
              <w:jc w:val="center"/>
              <w:outlineLvl w:val="0"/>
              <w:rPr>
                <w:sz w:val="18"/>
                <w:szCs w:val="18"/>
              </w:rPr>
            </w:pPr>
            <w:r w:rsidRPr="00D67D54">
              <w:rPr>
                <w:sz w:val="18"/>
                <w:szCs w:val="18"/>
              </w:rPr>
              <w:t>0</w:t>
            </w:r>
          </w:p>
        </w:tc>
        <w:tc>
          <w:tcPr>
            <w:tcW w:w="2300" w:type="pct"/>
            <w:shd w:val="clear" w:color="auto" w:fill="auto"/>
            <w:vAlign w:val="center"/>
          </w:tcPr>
          <w:p w14:paraId="035DA387" w14:textId="77777777" w:rsidR="00CC32E9" w:rsidRPr="00D67D54" w:rsidRDefault="00CC32E9" w:rsidP="00BA238F">
            <w:pPr>
              <w:spacing w:before="240" w:after="60" w:line="260" w:lineRule="atLeast"/>
              <w:outlineLvl w:val="0"/>
              <w:rPr>
                <w:b/>
                <w:sz w:val="18"/>
                <w:szCs w:val="18"/>
              </w:rPr>
            </w:pPr>
            <w:r w:rsidRPr="00D67D54">
              <w:rPr>
                <w:sz w:val="18"/>
                <w:szCs w:val="18"/>
              </w:rPr>
              <w:t>TAB 2.1 ENV 23</w:t>
            </w:r>
          </w:p>
        </w:tc>
      </w:tr>
      <w:tr w:rsidR="00CC32E9" w:rsidRPr="00D67D54" w14:paraId="309F31BB" w14:textId="77777777" w:rsidTr="00BA238F">
        <w:trPr>
          <w:trHeight w:val="113"/>
          <w:jc w:val="center"/>
        </w:trPr>
        <w:tc>
          <w:tcPr>
            <w:tcW w:w="1599" w:type="pct"/>
            <w:shd w:val="clear" w:color="auto" w:fill="auto"/>
            <w:vAlign w:val="center"/>
          </w:tcPr>
          <w:p w14:paraId="3ABD62B5" w14:textId="77777777" w:rsidR="00CC32E9" w:rsidRPr="00D67D54" w:rsidRDefault="00CC32E9" w:rsidP="00BA238F">
            <w:pPr>
              <w:spacing w:before="240" w:after="60" w:line="260" w:lineRule="atLeast"/>
              <w:outlineLvl w:val="0"/>
              <w:rPr>
                <w:bCs/>
                <w:sz w:val="18"/>
                <w:szCs w:val="18"/>
              </w:rPr>
            </w:pPr>
            <w:r w:rsidRPr="00D67D54">
              <w:rPr>
                <w:bCs/>
                <w:sz w:val="18"/>
                <w:szCs w:val="18"/>
              </w:rPr>
              <w:t>Molar activation energy (kJ/mol)</w:t>
            </w:r>
          </w:p>
        </w:tc>
        <w:tc>
          <w:tcPr>
            <w:tcW w:w="1101" w:type="pct"/>
            <w:shd w:val="clear" w:color="auto" w:fill="auto"/>
            <w:vAlign w:val="center"/>
          </w:tcPr>
          <w:p w14:paraId="0E808848" w14:textId="77777777" w:rsidR="00CC32E9" w:rsidRPr="00D67D54" w:rsidRDefault="00CC32E9" w:rsidP="00BA238F">
            <w:pPr>
              <w:spacing w:before="240" w:after="60" w:line="260" w:lineRule="atLeast"/>
              <w:jc w:val="center"/>
              <w:outlineLvl w:val="0"/>
              <w:rPr>
                <w:sz w:val="18"/>
                <w:szCs w:val="18"/>
              </w:rPr>
            </w:pPr>
            <w:r w:rsidRPr="00D67D54">
              <w:rPr>
                <w:sz w:val="18"/>
                <w:szCs w:val="18"/>
              </w:rPr>
              <w:t>65.4</w:t>
            </w:r>
          </w:p>
        </w:tc>
        <w:tc>
          <w:tcPr>
            <w:tcW w:w="2300" w:type="pct"/>
            <w:shd w:val="clear" w:color="auto" w:fill="auto"/>
            <w:vAlign w:val="center"/>
          </w:tcPr>
          <w:p w14:paraId="73F8F36A" w14:textId="77777777" w:rsidR="00CC32E9" w:rsidRPr="00D67D54" w:rsidRDefault="00CC32E9" w:rsidP="00BA238F">
            <w:pPr>
              <w:spacing w:before="240" w:after="60" w:line="260" w:lineRule="atLeast"/>
              <w:outlineLvl w:val="0"/>
              <w:rPr>
                <w:sz w:val="18"/>
                <w:szCs w:val="18"/>
              </w:rPr>
            </w:pPr>
            <w:r w:rsidRPr="00D67D54">
              <w:rPr>
                <w:sz w:val="18"/>
                <w:szCs w:val="18"/>
              </w:rPr>
              <w:t>WG-IV 2019</w:t>
            </w:r>
          </w:p>
        </w:tc>
      </w:tr>
    </w:tbl>
    <w:p w14:paraId="66438F19" w14:textId="77777777" w:rsidR="00CC32E9" w:rsidRPr="00D67D54" w:rsidRDefault="00CC32E9" w:rsidP="00CC32E9">
      <w:pPr>
        <w:suppressAutoHyphens w:val="0"/>
        <w:spacing w:before="100" w:beforeAutospacing="1" w:after="100" w:afterAutospacing="1"/>
        <w:jc w:val="both"/>
        <w:rPr>
          <w:rFonts w:cs="Times New Roman"/>
          <w:sz w:val="18"/>
          <w:szCs w:val="18"/>
          <w:lang w:eastAsia="fr-FR"/>
        </w:rPr>
      </w:pPr>
    </w:p>
    <w:tbl>
      <w:tblPr>
        <w:tblStyle w:val="Grilledutableau"/>
        <w:tblW w:w="0" w:type="auto"/>
        <w:jc w:val="center"/>
        <w:tblInd w:w="0" w:type="dxa"/>
        <w:tblLook w:val="04A0" w:firstRow="1" w:lastRow="0" w:firstColumn="1" w:lastColumn="0" w:noHBand="0" w:noVBand="1"/>
      </w:tblPr>
      <w:tblGrid>
        <w:gridCol w:w="2445"/>
        <w:gridCol w:w="2403"/>
        <w:gridCol w:w="2493"/>
        <w:gridCol w:w="1862"/>
      </w:tblGrid>
      <w:tr w:rsidR="00CC32E9" w:rsidRPr="00D67D54" w14:paraId="485395A2" w14:textId="77777777" w:rsidTr="00DD2106">
        <w:trPr>
          <w:trHeight w:val="364"/>
          <w:jc w:val="center"/>
        </w:trPr>
        <w:tc>
          <w:tcPr>
            <w:tcW w:w="9203" w:type="dxa"/>
            <w:gridSpan w:val="4"/>
            <w:shd w:val="clear" w:color="auto" w:fill="F2F7B3"/>
            <w:vAlign w:val="center"/>
          </w:tcPr>
          <w:p w14:paraId="48D5ACD0" w14:textId="77777777" w:rsidR="00CC32E9" w:rsidRPr="00D518B9" w:rsidRDefault="00CC32E9" w:rsidP="00D518B9">
            <w:pPr>
              <w:jc w:val="center"/>
              <w:rPr>
                <w:rFonts w:cs="Arial"/>
                <w:b/>
                <w:color w:val="000000"/>
                <w:sz w:val="18"/>
                <w:szCs w:val="18"/>
                <w:lang w:eastAsia="en-GB"/>
              </w:rPr>
            </w:pPr>
            <w:r w:rsidRPr="00D518B9">
              <w:rPr>
                <w:rFonts w:cs="Arial"/>
                <w:b/>
                <w:color w:val="000000"/>
                <w:sz w:val="18"/>
                <w:szCs w:val="18"/>
                <w:lang w:eastAsia="en-GB"/>
              </w:rPr>
              <w:t>Input parameters related to Scenarios</w:t>
            </w:r>
          </w:p>
        </w:tc>
      </w:tr>
      <w:tr w:rsidR="00CC32E9" w:rsidRPr="00D67D54" w14:paraId="1C8EF62D" w14:textId="77777777" w:rsidTr="00BA238F">
        <w:trPr>
          <w:trHeight w:val="386"/>
          <w:jc w:val="center"/>
        </w:trPr>
        <w:tc>
          <w:tcPr>
            <w:tcW w:w="2445" w:type="dxa"/>
            <w:vAlign w:val="center"/>
          </w:tcPr>
          <w:p w14:paraId="49A03B2C" w14:textId="77777777" w:rsidR="00CC32E9" w:rsidRPr="00D67D54" w:rsidRDefault="00CC32E9" w:rsidP="00BA238F">
            <w:pPr>
              <w:spacing w:before="240" w:after="60" w:line="260" w:lineRule="atLeast"/>
              <w:outlineLvl w:val="0"/>
              <w:rPr>
                <w:b/>
                <w:sz w:val="18"/>
                <w:szCs w:val="18"/>
              </w:rPr>
            </w:pPr>
            <w:r w:rsidRPr="00D67D54">
              <w:rPr>
                <w:sz w:val="18"/>
                <w:szCs w:val="18"/>
              </w:rPr>
              <w:t>Crop</w:t>
            </w:r>
          </w:p>
        </w:tc>
        <w:tc>
          <w:tcPr>
            <w:tcW w:w="2403" w:type="dxa"/>
            <w:vAlign w:val="center"/>
          </w:tcPr>
          <w:p w14:paraId="230AE03A" w14:textId="77777777" w:rsidR="00CC32E9" w:rsidRPr="00D67D54" w:rsidDel="006C7D99" w:rsidRDefault="00CC32E9" w:rsidP="00BA238F">
            <w:pPr>
              <w:spacing w:before="240" w:after="60" w:line="260" w:lineRule="atLeast"/>
              <w:jc w:val="center"/>
              <w:outlineLvl w:val="0"/>
              <w:rPr>
                <w:sz w:val="18"/>
                <w:szCs w:val="18"/>
              </w:rPr>
            </w:pPr>
            <w:r w:rsidRPr="00D67D54">
              <w:rPr>
                <w:sz w:val="18"/>
                <w:szCs w:val="18"/>
              </w:rPr>
              <w:t>Agricultural land (maize)</w:t>
            </w:r>
          </w:p>
        </w:tc>
        <w:tc>
          <w:tcPr>
            <w:tcW w:w="2493" w:type="dxa"/>
            <w:vAlign w:val="center"/>
          </w:tcPr>
          <w:p w14:paraId="7348D15B" w14:textId="77777777" w:rsidR="00CC32E9" w:rsidRPr="00D67D54" w:rsidRDefault="00CC32E9" w:rsidP="00BA238F">
            <w:pPr>
              <w:spacing w:before="240" w:after="60" w:line="260" w:lineRule="atLeast"/>
              <w:jc w:val="center"/>
              <w:outlineLvl w:val="0"/>
              <w:rPr>
                <w:sz w:val="18"/>
                <w:szCs w:val="18"/>
              </w:rPr>
            </w:pPr>
            <w:r w:rsidRPr="00D67D54">
              <w:rPr>
                <w:sz w:val="18"/>
                <w:szCs w:val="18"/>
              </w:rPr>
              <w:t>Grassland (alfalfa)</w:t>
            </w:r>
          </w:p>
        </w:tc>
        <w:tc>
          <w:tcPr>
            <w:tcW w:w="1862" w:type="dxa"/>
            <w:vAlign w:val="center"/>
          </w:tcPr>
          <w:p w14:paraId="4B948A6B" w14:textId="77777777" w:rsidR="00CC32E9" w:rsidRPr="00D67D54" w:rsidRDefault="00CC32E9" w:rsidP="00BA238F">
            <w:pPr>
              <w:spacing w:before="240" w:after="60" w:line="260" w:lineRule="atLeast"/>
              <w:outlineLvl w:val="0"/>
              <w:rPr>
                <w:sz w:val="18"/>
                <w:szCs w:val="18"/>
              </w:rPr>
            </w:pPr>
            <w:r w:rsidRPr="00D67D54">
              <w:rPr>
                <w:sz w:val="18"/>
                <w:szCs w:val="18"/>
              </w:rPr>
              <w:t>Remarks</w:t>
            </w:r>
          </w:p>
        </w:tc>
      </w:tr>
      <w:tr w:rsidR="00CC32E9" w:rsidRPr="00D67D54" w14:paraId="616E45A5" w14:textId="77777777" w:rsidTr="00BA238F">
        <w:trPr>
          <w:trHeight w:val="386"/>
          <w:jc w:val="center"/>
        </w:trPr>
        <w:tc>
          <w:tcPr>
            <w:tcW w:w="2445" w:type="dxa"/>
            <w:vAlign w:val="center"/>
          </w:tcPr>
          <w:p w14:paraId="3386E4E1" w14:textId="77777777" w:rsidR="00CC32E9" w:rsidRPr="00D67D54" w:rsidRDefault="00CC32E9" w:rsidP="00BA238F">
            <w:pPr>
              <w:spacing w:before="240" w:after="60" w:line="260" w:lineRule="atLeast"/>
              <w:outlineLvl w:val="0"/>
              <w:rPr>
                <w:b/>
                <w:sz w:val="18"/>
                <w:szCs w:val="18"/>
              </w:rPr>
            </w:pPr>
            <w:r w:rsidRPr="00D67D54">
              <w:rPr>
                <w:sz w:val="18"/>
                <w:szCs w:val="18"/>
              </w:rPr>
              <w:t>Sewage sludge application rate (kg/ha)</w:t>
            </w:r>
          </w:p>
        </w:tc>
        <w:tc>
          <w:tcPr>
            <w:tcW w:w="2403" w:type="dxa"/>
            <w:vAlign w:val="center"/>
          </w:tcPr>
          <w:p w14:paraId="59075EFB" w14:textId="77777777" w:rsidR="00CC32E9" w:rsidRPr="00D67D54" w:rsidRDefault="00CC32E9" w:rsidP="00BA238F">
            <w:pPr>
              <w:spacing w:before="240" w:after="60" w:line="260" w:lineRule="atLeast"/>
              <w:jc w:val="center"/>
              <w:outlineLvl w:val="0"/>
              <w:rPr>
                <w:sz w:val="18"/>
                <w:szCs w:val="18"/>
              </w:rPr>
            </w:pPr>
            <w:r w:rsidRPr="00D67D54">
              <w:rPr>
                <w:sz w:val="18"/>
                <w:szCs w:val="18"/>
              </w:rPr>
              <w:t>5000 kg/ha</w:t>
            </w:r>
          </w:p>
        </w:tc>
        <w:tc>
          <w:tcPr>
            <w:tcW w:w="2493" w:type="dxa"/>
            <w:vAlign w:val="center"/>
          </w:tcPr>
          <w:p w14:paraId="0AD3BBD2" w14:textId="77777777" w:rsidR="00CC32E9" w:rsidRPr="00D67D54" w:rsidRDefault="00CC32E9" w:rsidP="00BA238F">
            <w:pPr>
              <w:spacing w:before="240" w:after="60" w:line="260" w:lineRule="atLeast"/>
              <w:jc w:val="center"/>
              <w:outlineLvl w:val="0"/>
              <w:rPr>
                <w:sz w:val="18"/>
                <w:szCs w:val="18"/>
              </w:rPr>
            </w:pPr>
            <w:r w:rsidRPr="00D67D54">
              <w:rPr>
                <w:sz w:val="18"/>
                <w:szCs w:val="18"/>
              </w:rPr>
              <w:t>1000 kg/ha</w:t>
            </w:r>
          </w:p>
        </w:tc>
        <w:tc>
          <w:tcPr>
            <w:tcW w:w="1862" w:type="dxa"/>
            <w:vAlign w:val="center"/>
          </w:tcPr>
          <w:p w14:paraId="77D92BB2"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2080BD64" w14:textId="77777777" w:rsidTr="00BA238F">
        <w:trPr>
          <w:trHeight w:val="386"/>
          <w:jc w:val="center"/>
        </w:trPr>
        <w:tc>
          <w:tcPr>
            <w:tcW w:w="2445" w:type="dxa"/>
            <w:vAlign w:val="center"/>
          </w:tcPr>
          <w:p w14:paraId="5E72C00E" w14:textId="77777777" w:rsidR="00CC32E9" w:rsidRPr="00D67D54" w:rsidRDefault="00CC32E9" w:rsidP="00BA238F">
            <w:pPr>
              <w:spacing w:before="240" w:after="60" w:line="260" w:lineRule="atLeast"/>
              <w:outlineLvl w:val="0"/>
              <w:rPr>
                <w:b/>
                <w:sz w:val="18"/>
                <w:szCs w:val="18"/>
              </w:rPr>
            </w:pPr>
            <w:r w:rsidRPr="00D67D54">
              <w:rPr>
                <w:sz w:val="18"/>
                <w:szCs w:val="18"/>
              </w:rPr>
              <w:t>Number of applications/interval (d)</w:t>
            </w:r>
          </w:p>
        </w:tc>
        <w:tc>
          <w:tcPr>
            <w:tcW w:w="4896" w:type="dxa"/>
            <w:gridSpan w:val="2"/>
            <w:vAlign w:val="center"/>
          </w:tcPr>
          <w:p w14:paraId="733EAF40" w14:textId="77777777" w:rsidR="00CC32E9" w:rsidRPr="00D67D54" w:rsidRDefault="00CC32E9" w:rsidP="00BA238F">
            <w:pPr>
              <w:spacing w:before="240" w:after="60" w:line="260" w:lineRule="atLeast"/>
              <w:jc w:val="center"/>
              <w:outlineLvl w:val="0"/>
              <w:rPr>
                <w:sz w:val="18"/>
                <w:szCs w:val="18"/>
              </w:rPr>
            </w:pPr>
            <w:r w:rsidRPr="00D67D54">
              <w:rPr>
                <w:sz w:val="18"/>
                <w:szCs w:val="18"/>
              </w:rPr>
              <w:t>1 sewage sludge application /yr</w:t>
            </w:r>
          </w:p>
        </w:tc>
        <w:tc>
          <w:tcPr>
            <w:tcW w:w="1862" w:type="dxa"/>
            <w:vAlign w:val="center"/>
          </w:tcPr>
          <w:p w14:paraId="46D6261B"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7D322785" w14:textId="77777777" w:rsidTr="00BA238F">
        <w:trPr>
          <w:trHeight w:val="364"/>
          <w:jc w:val="center"/>
        </w:trPr>
        <w:tc>
          <w:tcPr>
            <w:tcW w:w="2445" w:type="dxa"/>
            <w:vAlign w:val="center"/>
          </w:tcPr>
          <w:p w14:paraId="05EE682B" w14:textId="77777777" w:rsidR="00CC32E9" w:rsidRPr="00D67D54" w:rsidRDefault="00CC32E9" w:rsidP="00BA238F">
            <w:pPr>
              <w:spacing w:before="240" w:after="60" w:line="260" w:lineRule="atLeast"/>
              <w:outlineLvl w:val="0"/>
              <w:rPr>
                <w:sz w:val="18"/>
                <w:szCs w:val="18"/>
              </w:rPr>
            </w:pPr>
            <w:r w:rsidRPr="00D67D54">
              <w:rPr>
                <w:sz w:val="18"/>
                <w:szCs w:val="18"/>
              </w:rPr>
              <w:t>Application date</w:t>
            </w:r>
          </w:p>
        </w:tc>
        <w:tc>
          <w:tcPr>
            <w:tcW w:w="2403" w:type="dxa"/>
            <w:vAlign w:val="center"/>
          </w:tcPr>
          <w:p w14:paraId="261EEDFF" w14:textId="77777777" w:rsidR="00CC32E9" w:rsidRPr="00D67D54" w:rsidRDefault="00CC32E9" w:rsidP="00BA238F">
            <w:pPr>
              <w:spacing w:before="240" w:after="60" w:line="260" w:lineRule="atLeast"/>
              <w:jc w:val="center"/>
              <w:outlineLvl w:val="0"/>
              <w:rPr>
                <w:sz w:val="18"/>
                <w:szCs w:val="18"/>
              </w:rPr>
            </w:pPr>
            <w:r w:rsidRPr="00D67D54">
              <w:rPr>
                <w:sz w:val="18"/>
                <w:szCs w:val="18"/>
              </w:rPr>
              <w:t>Relative application: 20 days before crop event “emergence”</w:t>
            </w:r>
          </w:p>
        </w:tc>
        <w:tc>
          <w:tcPr>
            <w:tcW w:w="2493" w:type="dxa"/>
            <w:vAlign w:val="center"/>
          </w:tcPr>
          <w:p w14:paraId="0B9D2835" w14:textId="77777777" w:rsidR="00CC32E9" w:rsidRPr="00D67D54" w:rsidRDefault="00CC32E9" w:rsidP="00BA238F">
            <w:pPr>
              <w:spacing w:before="240" w:after="60" w:line="260" w:lineRule="atLeast"/>
              <w:jc w:val="center"/>
              <w:outlineLvl w:val="0"/>
              <w:rPr>
                <w:sz w:val="18"/>
                <w:szCs w:val="18"/>
              </w:rPr>
            </w:pPr>
            <w:r w:rsidRPr="00D67D54">
              <w:rPr>
                <w:sz w:val="18"/>
                <w:szCs w:val="18"/>
              </w:rPr>
              <w:t>Absolute application: 1st of March</w:t>
            </w:r>
          </w:p>
        </w:tc>
        <w:tc>
          <w:tcPr>
            <w:tcW w:w="1862" w:type="dxa"/>
            <w:vAlign w:val="center"/>
          </w:tcPr>
          <w:p w14:paraId="271C2131"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1BE30EED" w14:textId="77777777" w:rsidTr="00BA238F">
        <w:trPr>
          <w:trHeight w:val="364"/>
          <w:jc w:val="center"/>
        </w:trPr>
        <w:tc>
          <w:tcPr>
            <w:tcW w:w="2445" w:type="dxa"/>
            <w:vAlign w:val="center"/>
          </w:tcPr>
          <w:p w14:paraId="0823078A" w14:textId="77777777" w:rsidR="00CC32E9" w:rsidRPr="00D67D54" w:rsidRDefault="00CC32E9" w:rsidP="00BA238F">
            <w:pPr>
              <w:spacing w:before="240" w:after="60" w:line="260" w:lineRule="atLeast"/>
              <w:outlineLvl w:val="0"/>
              <w:rPr>
                <w:sz w:val="18"/>
                <w:szCs w:val="18"/>
              </w:rPr>
            </w:pPr>
            <w:r w:rsidRPr="00D67D54">
              <w:rPr>
                <w:sz w:val="18"/>
                <w:szCs w:val="18"/>
              </w:rPr>
              <w:t>Incorporation depth (cm)</w:t>
            </w:r>
          </w:p>
        </w:tc>
        <w:tc>
          <w:tcPr>
            <w:tcW w:w="2403" w:type="dxa"/>
            <w:vAlign w:val="center"/>
          </w:tcPr>
          <w:p w14:paraId="42E4F41A" w14:textId="77777777" w:rsidR="00CC32E9" w:rsidRPr="00D67D54" w:rsidRDefault="00CC32E9" w:rsidP="00BA238F">
            <w:pPr>
              <w:spacing w:before="240" w:after="60" w:line="260" w:lineRule="atLeast"/>
              <w:jc w:val="center"/>
              <w:outlineLvl w:val="0"/>
              <w:rPr>
                <w:sz w:val="18"/>
                <w:szCs w:val="18"/>
              </w:rPr>
            </w:pPr>
            <w:r w:rsidRPr="00D67D54">
              <w:rPr>
                <w:sz w:val="18"/>
                <w:szCs w:val="18"/>
              </w:rPr>
              <w:t>20</w:t>
            </w:r>
          </w:p>
        </w:tc>
        <w:tc>
          <w:tcPr>
            <w:tcW w:w="2493" w:type="dxa"/>
            <w:vAlign w:val="center"/>
          </w:tcPr>
          <w:p w14:paraId="64756169" w14:textId="77777777" w:rsidR="00CC32E9" w:rsidRPr="00D67D54" w:rsidRDefault="00CC32E9" w:rsidP="00BA238F">
            <w:pPr>
              <w:spacing w:before="240" w:after="60" w:line="260" w:lineRule="atLeast"/>
              <w:jc w:val="center"/>
              <w:outlineLvl w:val="0"/>
              <w:rPr>
                <w:sz w:val="18"/>
                <w:szCs w:val="18"/>
              </w:rPr>
            </w:pPr>
            <w:r w:rsidRPr="00D67D54">
              <w:rPr>
                <w:sz w:val="18"/>
                <w:szCs w:val="18"/>
              </w:rPr>
              <w:t>10</w:t>
            </w:r>
          </w:p>
        </w:tc>
        <w:tc>
          <w:tcPr>
            <w:tcW w:w="1862" w:type="dxa"/>
            <w:vAlign w:val="center"/>
          </w:tcPr>
          <w:p w14:paraId="0626DC6E"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17E10642" w14:textId="77777777" w:rsidTr="00BA238F">
        <w:trPr>
          <w:trHeight w:val="364"/>
          <w:jc w:val="center"/>
        </w:trPr>
        <w:tc>
          <w:tcPr>
            <w:tcW w:w="2445" w:type="dxa"/>
            <w:vAlign w:val="center"/>
          </w:tcPr>
          <w:p w14:paraId="70C05EF4" w14:textId="77777777" w:rsidR="00CC32E9" w:rsidRPr="00D67D54" w:rsidRDefault="00CC32E9" w:rsidP="00BA238F">
            <w:pPr>
              <w:spacing w:before="240" w:after="60" w:line="260" w:lineRule="atLeast"/>
              <w:outlineLvl w:val="0"/>
              <w:rPr>
                <w:sz w:val="18"/>
                <w:szCs w:val="18"/>
              </w:rPr>
            </w:pPr>
            <w:r w:rsidRPr="00D67D54">
              <w:rPr>
                <w:sz w:val="18"/>
                <w:szCs w:val="18"/>
              </w:rPr>
              <w:t>Concentration of a.s. in dry sewage sludge, Csludge (mg/kg)</w:t>
            </w:r>
          </w:p>
        </w:tc>
        <w:tc>
          <w:tcPr>
            <w:tcW w:w="4896" w:type="dxa"/>
            <w:gridSpan w:val="2"/>
            <w:vAlign w:val="center"/>
          </w:tcPr>
          <w:p w14:paraId="1F07B413" w14:textId="0F4C583D" w:rsidR="00CC32E9" w:rsidRPr="00D67D54" w:rsidRDefault="00FD192C" w:rsidP="00BA238F">
            <w:pPr>
              <w:spacing w:before="240" w:after="60" w:line="260" w:lineRule="atLeast"/>
              <w:jc w:val="center"/>
              <w:outlineLvl w:val="0"/>
              <w:rPr>
                <w:sz w:val="18"/>
                <w:szCs w:val="18"/>
              </w:rPr>
            </w:pPr>
            <w:r>
              <w:rPr>
                <w:sz w:val="18"/>
                <w:szCs w:val="18"/>
              </w:rPr>
              <w:t>1.9</w:t>
            </w:r>
            <w:r w:rsidR="00691327">
              <w:rPr>
                <w:sz w:val="18"/>
                <w:szCs w:val="18"/>
              </w:rPr>
              <w:t>7</w:t>
            </w:r>
            <w:r>
              <w:rPr>
                <w:sz w:val="18"/>
                <w:szCs w:val="18"/>
              </w:rPr>
              <w:t>E+02</w:t>
            </w:r>
          </w:p>
        </w:tc>
        <w:tc>
          <w:tcPr>
            <w:tcW w:w="1862" w:type="dxa"/>
            <w:vAlign w:val="center"/>
          </w:tcPr>
          <w:p w14:paraId="0593F314" w14:textId="2B28AEA2" w:rsidR="00CC32E9" w:rsidRPr="00D67D54" w:rsidRDefault="00CC32E9">
            <w:pPr>
              <w:spacing w:before="240" w:after="60" w:line="260" w:lineRule="atLeast"/>
              <w:outlineLvl w:val="0"/>
              <w:rPr>
                <w:sz w:val="18"/>
                <w:szCs w:val="18"/>
                <w:lang w:val="en-US"/>
              </w:rPr>
            </w:pPr>
            <w:r w:rsidRPr="00D67D54">
              <w:rPr>
                <w:sz w:val="18"/>
                <w:szCs w:val="18"/>
              </w:rPr>
              <w:t>S</w:t>
            </w:r>
            <w:r>
              <w:rPr>
                <w:sz w:val="18"/>
                <w:szCs w:val="18"/>
              </w:rPr>
              <w:t xml:space="preserve"> </w:t>
            </w:r>
            <w:r w:rsidRPr="00D67D54">
              <w:rPr>
                <w:sz w:val="18"/>
                <w:szCs w:val="18"/>
              </w:rPr>
              <w:t xml:space="preserve">(summed values from Scenario 1, </w:t>
            </w:r>
            <w:r>
              <w:rPr>
                <w:sz w:val="18"/>
                <w:szCs w:val="18"/>
              </w:rPr>
              <w:t>2</w:t>
            </w:r>
            <w:r w:rsidR="007E62F6">
              <w:rPr>
                <w:sz w:val="18"/>
                <w:szCs w:val="18"/>
              </w:rPr>
              <w:t>, 3</w:t>
            </w:r>
            <w:r>
              <w:rPr>
                <w:sz w:val="18"/>
                <w:szCs w:val="18"/>
              </w:rPr>
              <w:t xml:space="preserve"> </w:t>
            </w:r>
            <w:r w:rsidRPr="00D67D54">
              <w:rPr>
                <w:sz w:val="18"/>
                <w:szCs w:val="18"/>
              </w:rPr>
              <w:t xml:space="preserve">&amp; </w:t>
            </w:r>
            <w:r w:rsidR="007E62F6">
              <w:rPr>
                <w:sz w:val="18"/>
                <w:szCs w:val="18"/>
              </w:rPr>
              <w:t>8</w:t>
            </w:r>
            <w:r>
              <w:rPr>
                <w:sz w:val="18"/>
                <w:szCs w:val="18"/>
              </w:rPr>
              <w:t>)</w:t>
            </w:r>
          </w:p>
        </w:tc>
      </w:tr>
      <w:tr w:rsidR="00CC32E9" w:rsidRPr="00D67D54" w14:paraId="3DFAE556" w14:textId="77777777" w:rsidTr="00BA238F">
        <w:trPr>
          <w:trHeight w:val="364"/>
          <w:jc w:val="center"/>
        </w:trPr>
        <w:tc>
          <w:tcPr>
            <w:tcW w:w="2445" w:type="dxa"/>
            <w:vAlign w:val="center"/>
          </w:tcPr>
          <w:p w14:paraId="2EB9CA19" w14:textId="77777777" w:rsidR="00CC32E9" w:rsidRPr="00D67D54" w:rsidRDefault="00CC32E9" w:rsidP="00BA238F">
            <w:pPr>
              <w:spacing w:before="240" w:after="60" w:line="260" w:lineRule="atLeast"/>
              <w:outlineLvl w:val="0"/>
              <w:rPr>
                <w:sz w:val="18"/>
                <w:szCs w:val="18"/>
              </w:rPr>
            </w:pPr>
            <w:r w:rsidRPr="00D67D54">
              <w:rPr>
                <w:sz w:val="18"/>
                <w:szCs w:val="18"/>
              </w:rPr>
              <w:t xml:space="preserve">Application rate </w:t>
            </w:r>
          </w:p>
          <w:p w14:paraId="288AFCCC" w14:textId="77777777" w:rsidR="00CC32E9" w:rsidRPr="00D67D54" w:rsidRDefault="00CC32E9" w:rsidP="00BA238F">
            <w:pPr>
              <w:spacing w:before="240" w:after="60" w:line="260" w:lineRule="atLeast"/>
              <w:outlineLvl w:val="0"/>
              <w:rPr>
                <w:sz w:val="18"/>
                <w:szCs w:val="18"/>
              </w:rPr>
            </w:pPr>
            <w:r w:rsidRPr="00D67D54">
              <w:rPr>
                <w:sz w:val="18"/>
                <w:szCs w:val="18"/>
              </w:rPr>
              <w:t>(kg /ha/application)</w:t>
            </w:r>
          </w:p>
        </w:tc>
        <w:tc>
          <w:tcPr>
            <w:tcW w:w="2403" w:type="dxa"/>
            <w:vAlign w:val="center"/>
          </w:tcPr>
          <w:p w14:paraId="7710DE2C" w14:textId="62E21BDA" w:rsidR="00CC32E9" w:rsidRPr="00D67D54" w:rsidRDefault="00FD192C" w:rsidP="00BA238F">
            <w:pPr>
              <w:spacing w:before="240" w:after="60" w:line="260" w:lineRule="atLeast"/>
              <w:jc w:val="center"/>
              <w:outlineLvl w:val="0"/>
              <w:rPr>
                <w:sz w:val="18"/>
                <w:szCs w:val="18"/>
              </w:rPr>
            </w:pPr>
            <w:r>
              <w:rPr>
                <w:sz w:val="18"/>
                <w:szCs w:val="18"/>
              </w:rPr>
              <w:t>9.</w:t>
            </w:r>
            <w:r w:rsidR="00D04A56">
              <w:rPr>
                <w:sz w:val="18"/>
                <w:szCs w:val="18"/>
              </w:rPr>
              <w:t>86</w:t>
            </w:r>
            <w:r>
              <w:rPr>
                <w:sz w:val="18"/>
                <w:szCs w:val="18"/>
              </w:rPr>
              <w:t>E-01</w:t>
            </w:r>
          </w:p>
        </w:tc>
        <w:tc>
          <w:tcPr>
            <w:tcW w:w="2493" w:type="dxa"/>
            <w:vAlign w:val="center"/>
          </w:tcPr>
          <w:p w14:paraId="5D282370" w14:textId="3AFC8181" w:rsidR="00CC32E9" w:rsidRPr="00D67D54" w:rsidRDefault="00FD192C" w:rsidP="00BA238F">
            <w:pPr>
              <w:spacing w:before="240" w:after="60" w:line="260" w:lineRule="atLeast"/>
              <w:jc w:val="center"/>
              <w:outlineLvl w:val="0"/>
              <w:rPr>
                <w:sz w:val="18"/>
                <w:szCs w:val="18"/>
              </w:rPr>
            </w:pPr>
            <w:r>
              <w:rPr>
                <w:sz w:val="18"/>
                <w:szCs w:val="18"/>
              </w:rPr>
              <w:t>1.9</w:t>
            </w:r>
            <w:r w:rsidR="00D04A56">
              <w:rPr>
                <w:sz w:val="18"/>
                <w:szCs w:val="18"/>
              </w:rPr>
              <w:t>7</w:t>
            </w:r>
            <w:r>
              <w:rPr>
                <w:sz w:val="18"/>
                <w:szCs w:val="18"/>
              </w:rPr>
              <w:t>E-01</w:t>
            </w:r>
          </w:p>
        </w:tc>
        <w:tc>
          <w:tcPr>
            <w:tcW w:w="1862" w:type="dxa"/>
            <w:vAlign w:val="center"/>
          </w:tcPr>
          <w:p w14:paraId="67E4576D" w14:textId="77777777" w:rsidR="00CC32E9" w:rsidRPr="00D67D54" w:rsidRDefault="00CC32E9" w:rsidP="00BA238F">
            <w:pPr>
              <w:spacing w:before="240" w:after="60" w:line="260" w:lineRule="atLeast"/>
              <w:outlineLvl w:val="0"/>
              <w:rPr>
                <w:sz w:val="18"/>
                <w:szCs w:val="18"/>
              </w:rPr>
            </w:pPr>
            <w:r w:rsidRPr="00D67D54">
              <w:rPr>
                <w:sz w:val="18"/>
                <w:szCs w:val="18"/>
              </w:rPr>
              <w:t>Calculations are made based on the TAB Env V2, ENV-36</w:t>
            </w:r>
          </w:p>
        </w:tc>
      </w:tr>
    </w:tbl>
    <w:p w14:paraId="5D3CEDEE" w14:textId="77777777" w:rsidR="00CC32E9" w:rsidRDefault="00CC32E9" w:rsidP="00CC32E9">
      <w:pPr>
        <w:jc w:val="both"/>
        <w:rPr>
          <w:u w:val="single"/>
        </w:rPr>
      </w:pPr>
    </w:p>
    <w:p w14:paraId="0580AD90" w14:textId="77777777" w:rsidR="00CC32E9" w:rsidRPr="009106F8" w:rsidRDefault="00CC32E9" w:rsidP="00CC32E9">
      <w:pPr>
        <w:jc w:val="both"/>
        <w:rPr>
          <w:u w:val="single"/>
        </w:rPr>
      </w:pPr>
      <w:r w:rsidRPr="009106F8">
        <w:rPr>
          <w:u w:val="single"/>
        </w:rPr>
        <w:t xml:space="preserve">The results of the FOCUS modelings are presented below: </w:t>
      </w:r>
    </w:p>
    <w:p w14:paraId="348F2895" w14:textId="77777777" w:rsidR="00CC32E9" w:rsidRPr="006C2ABA" w:rsidRDefault="00CC32E9" w:rsidP="00CC32E9">
      <w:pPr>
        <w:jc w:val="both"/>
      </w:pPr>
    </w:p>
    <w:tbl>
      <w:tblPr>
        <w:tblStyle w:val="Grilledutableau"/>
        <w:tblW w:w="0" w:type="auto"/>
        <w:jc w:val="center"/>
        <w:tblInd w:w="0" w:type="dxa"/>
        <w:tblLook w:val="04A0" w:firstRow="1" w:lastRow="0" w:firstColumn="1" w:lastColumn="0" w:noHBand="0" w:noVBand="1"/>
      </w:tblPr>
      <w:tblGrid>
        <w:gridCol w:w="3503"/>
        <w:gridCol w:w="2858"/>
        <w:gridCol w:w="2652"/>
      </w:tblGrid>
      <w:tr w:rsidR="00CC32E9" w:rsidRPr="006C2ABA" w14:paraId="7ABB721A" w14:textId="77777777" w:rsidTr="00BA238F">
        <w:trPr>
          <w:trHeight w:val="357"/>
          <w:jc w:val="center"/>
        </w:trPr>
        <w:tc>
          <w:tcPr>
            <w:tcW w:w="9013" w:type="dxa"/>
            <w:gridSpan w:val="3"/>
            <w:shd w:val="clear" w:color="auto" w:fill="F8F5CC"/>
            <w:vAlign w:val="center"/>
          </w:tcPr>
          <w:p w14:paraId="7314A99A" w14:textId="24D3A12F" w:rsidR="00CC32E9" w:rsidRPr="00997465" w:rsidRDefault="00CC32E9" w:rsidP="00BA238F">
            <w:pPr>
              <w:jc w:val="center"/>
              <w:rPr>
                <w:rFonts w:eastAsia="Calibri" w:cs="Times New Roman"/>
                <w:i/>
                <w:sz w:val="18"/>
                <w:szCs w:val="18"/>
                <w:lang w:eastAsia="en-US"/>
              </w:rPr>
            </w:pPr>
            <w:r w:rsidRPr="00997465">
              <w:rPr>
                <w:rFonts w:cs="Arial"/>
                <w:b/>
                <w:bCs/>
                <w:color w:val="000000"/>
                <w:sz w:val="18"/>
                <w:szCs w:val="18"/>
                <w:lang w:eastAsia="en-GB"/>
              </w:rPr>
              <w:t>Emissions to Groundwater : PEC</w:t>
            </w:r>
            <w:r w:rsidRPr="00997465">
              <w:rPr>
                <w:rFonts w:cs="Arial"/>
                <w:b/>
                <w:bCs/>
                <w:color w:val="000000"/>
                <w:sz w:val="18"/>
                <w:szCs w:val="18"/>
                <w:vertAlign w:val="subscript"/>
                <w:lang w:eastAsia="en-GB"/>
              </w:rPr>
              <w:t xml:space="preserve">gw </w:t>
            </w:r>
            <w:r w:rsidRPr="00997465">
              <w:rPr>
                <w:rFonts w:cs="Arial"/>
                <w:b/>
                <w:bCs/>
                <w:color w:val="000000"/>
                <w:sz w:val="18"/>
                <w:szCs w:val="18"/>
                <w:lang w:eastAsia="en-GB"/>
              </w:rPr>
              <w:t xml:space="preserve">in µg/L (FOCUS PEARL 4.4.4) – </w:t>
            </w:r>
            <w:r w:rsidR="00BA2511" w:rsidRPr="001C6AF1">
              <w:rPr>
                <w:rFonts w:eastAsia="Calibri" w:cs="Arial"/>
                <w:b/>
                <w:bCs/>
                <w:sz w:val="18"/>
                <w:szCs w:val="18"/>
                <w:lang w:eastAsia="en-GB"/>
              </w:rPr>
              <w:t>a</w:t>
            </w:r>
            <w:r w:rsidR="00BA2511" w:rsidRPr="001C6AF1">
              <w:rPr>
                <w:rFonts w:eastAsia="Calibri" w:cs="Times New Roman"/>
                <w:b/>
                <w:sz w:val="18"/>
                <w:szCs w:val="18"/>
                <w:lang w:eastAsia="en-US"/>
              </w:rPr>
              <w:t>mines, coco alkyldimethyl, N-oxides</w:t>
            </w:r>
          </w:p>
        </w:tc>
      </w:tr>
      <w:tr w:rsidR="00CC32E9" w:rsidRPr="006C2ABA" w14:paraId="3EF9B7EF" w14:textId="77777777" w:rsidTr="00BA238F">
        <w:trPr>
          <w:trHeight w:val="357"/>
          <w:jc w:val="center"/>
        </w:trPr>
        <w:tc>
          <w:tcPr>
            <w:tcW w:w="9013" w:type="dxa"/>
            <w:gridSpan w:val="3"/>
            <w:shd w:val="clear" w:color="auto" w:fill="auto"/>
            <w:vAlign w:val="center"/>
          </w:tcPr>
          <w:p w14:paraId="041544B6" w14:textId="77777777" w:rsidR="00CC32E9" w:rsidRPr="00997465" w:rsidRDefault="00CC32E9" w:rsidP="00BA238F">
            <w:pPr>
              <w:rPr>
                <w:rFonts w:cs="Arial"/>
                <w:b/>
                <w:bCs/>
                <w:color w:val="000000"/>
                <w:sz w:val="18"/>
                <w:szCs w:val="18"/>
                <w:lang w:eastAsia="en-GB"/>
              </w:rPr>
            </w:pPr>
            <w:r w:rsidRPr="00997465">
              <w:rPr>
                <w:rFonts w:cs="Arial"/>
                <w:b/>
                <w:sz w:val="18"/>
                <w:szCs w:val="18"/>
                <w:lang w:eastAsia="en-GB"/>
              </w:rPr>
              <w:t>Output</w:t>
            </w:r>
          </w:p>
        </w:tc>
      </w:tr>
      <w:tr w:rsidR="00CC32E9" w:rsidRPr="006C2ABA" w14:paraId="0B642622" w14:textId="77777777" w:rsidTr="00BA238F">
        <w:trPr>
          <w:trHeight w:val="357"/>
          <w:jc w:val="center"/>
        </w:trPr>
        <w:tc>
          <w:tcPr>
            <w:tcW w:w="9013" w:type="dxa"/>
            <w:gridSpan w:val="3"/>
            <w:shd w:val="clear" w:color="auto" w:fill="auto"/>
            <w:vAlign w:val="center"/>
          </w:tcPr>
          <w:p w14:paraId="0D12200C" w14:textId="675E6FE7" w:rsidR="00CC32E9" w:rsidRPr="00997465" w:rsidRDefault="00CC32E9">
            <w:pPr>
              <w:rPr>
                <w:rFonts w:cs="Arial"/>
                <w:b/>
                <w:sz w:val="18"/>
                <w:szCs w:val="18"/>
                <w:lang w:eastAsia="en-GB"/>
              </w:rPr>
            </w:pPr>
            <w:r w:rsidRPr="00997465">
              <w:rPr>
                <w:rFonts w:cs="Arial"/>
                <w:b/>
                <w:sz w:val="18"/>
                <w:szCs w:val="18"/>
                <w:lang w:eastAsia="en-GB"/>
              </w:rPr>
              <w:t xml:space="preserve">INDIRECT EXPOSURE via the STP </w:t>
            </w:r>
          </w:p>
        </w:tc>
      </w:tr>
      <w:tr w:rsidR="00CC32E9" w:rsidRPr="006C2ABA" w14:paraId="58681167" w14:textId="77777777" w:rsidTr="00BA238F">
        <w:trPr>
          <w:trHeight w:val="379"/>
          <w:jc w:val="center"/>
        </w:trPr>
        <w:tc>
          <w:tcPr>
            <w:tcW w:w="3503" w:type="dxa"/>
            <w:vAlign w:val="center"/>
          </w:tcPr>
          <w:p w14:paraId="1C179B8E" w14:textId="77777777" w:rsidR="00CC32E9" w:rsidRPr="00997465" w:rsidRDefault="00CC32E9" w:rsidP="00BA238F">
            <w:pPr>
              <w:autoSpaceDE w:val="0"/>
              <w:autoSpaceDN w:val="0"/>
              <w:adjustRightInd w:val="0"/>
              <w:spacing w:before="60" w:after="60"/>
              <w:rPr>
                <w:rFonts w:cs="Arial"/>
                <w:b/>
                <w:sz w:val="18"/>
                <w:szCs w:val="18"/>
                <w:lang w:eastAsia="en-GB"/>
              </w:rPr>
            </w:pPr>
            <w:r w:rsidRPr="00997465">
              <w:rPr>
                <w:sz w:val="18"/>
                <w:szCs w:val="18"/>
              </w:rPr>
              <w:t>Crop</w:t>
            </w:r>
          </w:p>
        </w:tc>
        <w:tc>
          <w:tcPr>
            <w:tcW w:w="2858" w:type="dxa"/>
            <w:tcBorders>
              <w:bottom w:val="single" w:sz="4" w:space="0" w:color="auto"/>
            </w:tcBorders>
            <w:vAlign w:val="center"/>
          </w:tcPr>
          <w:p w14:paraId="50B748B6" w14:textId="77777777" w:rsidR="00CC32E9" w:rsidRPr="00997465" w:rsidDel="006C7D99" w:rsidRDefault="00CC32E9" w:rsidP="00BA238F">
            <w:pPr>
              <w:autoSpaceDE w:val="0"/>
              <w:autoSpaceDN w:val="0"/>
              <w:adjustRightInd w:val="0"/>
              <w:spacing w:before="60" w:after="60"/>
              <w:jc w:val="center"/>
              <w:rPr>
                <w:rFonts w:cs="Arial"/>
                <w:sz w:val="18"/>
                <w:szCs w:val="18"/>
                <w:lang w:eastAsia="en-GB"/>
              </w:rPr>
            </w:pPr>
            <w:r w:rsidRPr="00997465">
              <w:rPr>
                <w:rFonts w:cs="Arial"/>
                <w:sz w:val="18"/>
                <w:szCs w:val="18"/>
                <w:lang w:eastAsia="en-GB"/>
              </w:rPr>
              <w:t>Agricultural land (maize)</w:t>
            </w:r>
          </w:p>
        </w:tc>
        <w:tc>
          <w:tcPr>
            <w:tcW w:w="2652" w:type="dxa"/>
            <w:tcBorders>
              <w:bottom w:val="single" w:sz="4" w:space="0" w:color="auto"/>
            </w:tcBorders>
            <w:vAlign w:val="center"/>
          </w:tcPr>
          <w:p w14:paraId="226D5BD0" w14:textId="77777777" w:rsidR="00CC32E9" w:rsidRPr="00997465" w:rsidRDefault="00CC32E9" w:rsidP="00BA238F">
            <w:pPr>
              <w:autoSpaceDE w:val="0"/>
              <w:autoSpaceDN w:val="0"/>
              <w:adjustRightInd w:val="0"/>
              <w:spacing w:before="60" w:after="60"/>
              <w:jc w:val="center"/>
              <w:rPr>
                <w:rFonts w:cs="Arial"/>
                <w:sz w:val="18"/>
                <w:szCs w:val="18"/>
                <w:lang w:eastAsia="en-GB"/>
              </w:rPr>
            </w:pPr>
            <w:r w:rsidRPr="00997465">
              <w:rPr>
                <w:rFonts w:cs="Arial"/>
                <w:sz w:val="18"/>
                <w:szCs w:val="18"/>
                <w:lang w:eastAsia="en-GB"/>
              </w:rPr>
              <w:t>Grassland (alfala)</w:t>
            </w:r>
          </w:p>
        </w:tc>
      </w:tr>
      <w:tr w:rsidR="00747099" w:rsidRPr="006C2ABA" w14:paraId="0CC0C108" w14:textId="77777777" w:rsidTr="00BA238F">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2B708A44" w14:textId="77777777" w:rsidR="00747099" w:rsidRPr="00997465" w:rsidRDefault="00747099" w:rsidP="00747099">
            <w:pPr>
              <w:autoSpaceDE w:val="0"/>
              <w:autoSpaceDN w:val="0"/>
              <w:adjustRightInd w:val="0"/>
              <w:spacing w:before="60" w:after="60"/>
              <w:rPr>
                <w:sz w:val="18"/>
                <w:szCs w:val="18"/>
              </w:rPr>
            </w:pPr>
            <w:r w:rsidRPr="00997465">
              <w:rPr>
                <w:sz w:val="18"/>
                <w:szCs w:val="18"/>
              </w:rPr>
              <w:t>CHATEAUDUN</w:t>
            </w:r>
          </w:p>
        </w:tc>
        <w:tc>
          <w:tcPr>
            <w:tcW w:w="2858" w:type="dxa"/>
            <w:tcBorders>
              <w:top w:val="single" w:sz="4" w:space="0" w:color="auto"/>
              <w:left w:val="nil"/>
              <w:bottom w:val="single" w:sz="4" w:space="0" w:color="auto"/>
              <w:right w:val="single" w:sz="4" w:space="0" w:color="auto"/>
            </w:tcBorders>
            <w:shd w:val="clear" w:color="auto" w:fill="auto"/>
            <w:vAlign w:val="bottom"/>
          </w:tcPr>
          <w:p w14:paraId="1775111F" w14:textId="2B1E8685"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11E9181" w14:textId="62F986AE"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3A3B8771" w14:textId="77777777" w:rsidTr="00BA238F">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59BA081A" w14:textId="77777777" w:rsidR="00747099" w:rsidRPr="00997465" w:rsidRDefault="00747099" w:rsidP="00747099">
            <w:pPr>
              <w:autoSpaceDE w:val="0"/>
              <w:autoSpaceDN w:val="0"/>
              <w:adjustRightInd w:val="0"/>
              <w:spacing w:before="60" w:after="60"/>
              <w:rPr>
                <w:sz w:val="18"/>
                <w:szCs w:val="18"/>
              </w:rPr>
            </w:pPr>
            <w:r w:rsidRPr="00997465">
              <w:rPr>
                <w:sz w:val="18"/>
                <w:szCs w:val="18"/>
              </w:rPr>
              <w:lastRenderedPageBreak/>
              <w:t>HAMBURG</w:t>
            </w:r>
          </w:p>
        </w:tc>
        <w:tc>
          <w:tcPr>
            <w:tcW w:w="2858" w:type="dxa"/>
            <w:tcBorders>
              <w:top w:val="single" w:sz="4" w:space="0" w:color="auto"/>
              <w:left w:val="nil"/>
              <w:bottom w:val="single" w:sz="4" w:space="0" w:color="auto"/>
              <w:right w:val="single" w:sz="4" w:space="0" w:color="auto"/>
            </w:tcBorders>
            <w:shd w:val="clear" w:color="auto" w:fill="auto"/>
            <w:vAlign w:val="bottom"/>
          </w:tcPr>
          <w:p w14:paraId="50D5BBA0" w14:textId="7DBD6F49"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28BDA1E" w14:textId="28667386"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6A3D99C3" w14:textId="77777777" w:rsidTr="00BA238F">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18C7CC06" w14:textId="77777777" w:rsidR="00747099" w:rsidRPr="00997465" w:rsidRDefault="00747099" w:rsidP="00747099">
            <w:pPr>
              <w:autoSpaceDE w:val="0"/>
              <w:autoSpaceDN w:val="0"/>
              <w:adjustRightInd w:val="0"/>
              <w:spacing w:before="60" w:after="60"/>
              <w:rPr>
                <w:sz w:val="18"/>
                <w:szCs w:val="18"/>
              </w:rPr>
            </w:pPr>
            <w:r w:rsidRPr="00997465">
              <w:rPr>
                <w:sz w:val="18"/>
                <w:szCs w:val="18"/>
              </w:rPr>
              <w:t>JOKIOINEN</w:t>
            </w:r>
          </w:p>
        </w:tc>
        <w:tc>
          <w:tcPr>
            <w:tcW w:w="2858" w:type="dxa"/>
            <w:tcBorders>
              <w:top w:val="single" w:sz="4" w:space="0" w:color="auto"/>
              <w:left w:val="nil"/>
              <w:bottom w:val="single" w:sz="4" w:space="0" w:color="auto"/>
              <w:right w:val="single" w:sz="4" w:space="0" w:color="auto"/>
            </w:tcBorders>
            <w:shd w:val="clear" w:color="auto" w:fill="auto"/>
            <w:vAlign w:val="bottom"/>
          </w:tcPr>
          <w:p w14:paraId="43EAD114" w14:textId="734674D3" w:rsidR="00747099" w:rsidRPr="00997465" w:rsidRDefault="00747099" w:rsidP="00747099">
            <w:pPr>
              <w:autoSpaceDE w:val="0"/>
              <w:autoSpaceDN w:val="0"/>
              <w:adjustRightInd w:val="0"/>
              <w:spacing w:before="60" w:after="60"/>
              <w:jc w:val="center"/>
              <w:rPr>
                <w:rFonts w:cs="Calibri"/>
                <w:bCs/>
                <w:color w:val="000000"/>
                <w:sz w:val="18"/>
                <w:szCs w:val="18"/>
              </w:rPr>
            </w:pPr>
            <w:r w:rsidDel="001F0960">
              <w:rPr>
                <w:rFonts w:cs="Calibri"/>
                <w:bCs/>
                <w:color w:val="000000"/>
                <w:sz w:val="18"/>
                <w:szCs w:val="18"/>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2263D05F" w14:textId="2781DFB4"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3949FE2F" w14:textId="77777777" w:rsidTr="00BA238F">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5840B218" w14:textId="77777777" w:rsidR="00747099" w:rsidRPr="00997465" w:rsidRDefault="00747099" w:rsidP="00747099">
            <w:pPr>
              <w:autoSpaceDE w:val="0"/>
              <w:autoSpaceDN w:val="0"/>
              <w:adjustRightInd w:val="0"/>
              <w:spacing w:before="60" w:after="60"/>
              <w:rPr>
                <w:sz w:val="18"/>
                <w:szCs w:val="18"/>
              </w:rPr>
            </w:pPr>
            <w:r w:rsidRPr="00997465">
              <w:rPr>
                <w:sz w:val="18"/>
                <w:szCs w:val="18"/>
              </w:rPr>
              <w:t>KREMSMUENSTER</w:t>
            </w:r>
          </w:p>
        </w:tc>
        <w:tc>
          <w:tcPr>
            <w:tcW w:w="2858" w:type="dxa"/>
            <w:tcBorders>
              <w:top w:val="single" w:sz="4" w:space="0" w:color="auto"/>
              <w:left w:val="nil"/>
              <w:bottom w:val="single" w:sz="4" w:space="0" w:color="auto"/>
              <w:right w:val="single" w:sz="4" w:space="0" w:color="auto"/>
            </w:tcBorders>
            <w:shd w:val="clear" w:color="auto" w:fill="auto"/>
            <w:vAlign w:val="bottom"/>
          </w:tcPr>
          <w:p w14:paraId="44FD1DE8" w14:textId="0C6DA023"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D71294B" w14:textId="374A25CE"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017F84FF" w14:textId="77777777" w:rsidTr="00BA238F">
        <w:trPr>
          <w:trHeight w:val="38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66A9260A" w14:textId="77777777" w:rsidR="00747099" w:rsidRPr="00997465" w:rsidRDefault="00747099" w:rsidP="00747099">
            <w:pPr>
              <w:autoSpaceDE w:val="0"/>
              <w:autoSpaceDN w:val="0"/>
              <w:adjustRightInd w:val="0"/>
              <w:spacing w:before="60" w:after="60"/>
              <w:rPr>
                <w:sz w:val="18"/>
                <w:szCs w:val="18"/>
              </w:rPr>
            </w:pPr>
            <w:r w:rsidRPr="00997465">
              <w:rPr>
                <w:sz w:val="18"/>
                <w:szCs w:val="18"/>
              </w:rPr>
              <w:t>OKEHAMPTON</w:t>
            </w:r>
          </w:p>
        </w:tc>
        <w:tc>
          <w:tcPr>
            <w:tcW w:w="2858" w:type="dxa"/>
            <w:tcBorders>
              <w:top w:val="single" w:sz="4" w:space="0" w:color="auto"/>
              <w:left w:val="nil"/>
              <w:bottom w:val="single" w:sz="4" w:space="0" w:color="auto"/>
              <w:right w:val="single" w:sz="4" w:space="0" w:color="auto"/>
            </w:tcBorders>
            <w:shd w:val="clear" w:color="auto" w:fill="auto"/>
            <w:vAlign w:val="bottom"/>
          </w:tcPr>
          <w:p w14:paraId="02254D17" w14:textId="412014E5"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C0B1DB4" w14:textId="5519C425"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50516B09" w14:textId="77777777" w:rsidTr="00BA238F">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141DE5C2" w14:textId="77777777" w:rsidR="00747099" w:rsidRPr="00997465" w:rsidRDefault="00747099" w:rsidP="00747099">
            <w:pPr>
              <w:autoSpaceDE w:val="0"/>
              <w:autoSpaceDN w:val="0"/>
              <w:adjustRightInd w:val="0"/>
              <w:spacing w:before="60" w:after="60"/>
              <w:rPr>
                <w:sz w:val="18"/>
                <w:szCs w:val="18"/>
              </w:rPr>
            </w:pPr>
            <w:r w:rsidRPr="00997465">
              <w:rPr>
                <w:sz w:val="18"/>
                <w:szCs w:val="18"/>
              </w:rPr>
              <w:t>PIACENZA</w:t>
            </w:r>
          </w:p>
        </w:tc>
        <w:tc>
          <w:tcPr>
            <w:tcW w:w="2858" w:type="dxa"/>
            <w:tcBorders>
              <w:top w:val="single" w:sz="4" w:space="0" w:color="auto"/>
              <w:left w:val="nil"/>
              <w:bottom w:val="single" w:sz="4" w:space="0" w:color="auto"/>
              <w:right w:val="single" w:sz="4" w:space="0" w:color="auto"/>
            </w:tcBorders>
            <w:shd w:val="clear" w:color="auto" w:fill="auto"/>
            <w:vAlign w:val="bottom"/>
          </w:tcPr>
          <w:p w14:paraId="5A040304" w14:textId="0EF2BDF7"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6F496FE" w14:textId="5B95A5E8"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404EC8C4" w14:textId="77777777" w:rsidTr="00BA238F">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5E840D29" w14:textId="77777777" w:rsidR="00747099" w:rsidRPr="00997465" w:rsidRDefault="00747099" w:rsidP="00747099">
            <w:pPr>
              <w:autoSpaceDE w:val="0"/>
              <w:autoSpaceDN w:val="0"/>
              <w:adjustRightInd w:val="0"/>
              <w:spacing w:before="60" w:after="60"/>
              <w:rPr>
                <w:sz w:val="18"/>
                <w:szCs w:val="18"/>
              </w:rPr>
            </w:pPr>
            <w:r w:rsidRPr="00997465">
              <w:rPr>
                <w:sz w:val="18"/>
                <w:szCs w:val="18"/>
              </w:rPr>
              <w:t>PORTO</w:t>
            </w:r>
          </w:p>
        </w:tc>
        <w:tc>
          <w:tcPr>
            <w:tcW w:w="2858" w:type="dxa"/>
            <w:tcBorders>
              <w:top w:val="single" w:sz="4" w:space="0" w:color="auto"/>
              <w:left w:val="nil"/>
              <w:bottom w:val="single" w:sz="4" w:space="0" w:color="auto"/>
              <w:right w:val="single" w:sz="4" w:space="0" w:color="auto"/>
            </w:tcBorders>
            <w:shd w:val="clear" w:color="auto" w:fill="auto"/>
            <w:vAlign w:val="bottom"/>
          </w:tcPr>
          <w:p w14:paraId="0AF9D662" w14:textId="26A6BC67"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2DA22413" w14:textId="42425CE6"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0C51B8C8" w14:textId="77777777" w:rsidTr="00BA238F">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2978D535" w14:textId="77777777" w:rsidR="00747099" w:rsidRPr="00997465" w:rsidRDefault="00747099" w:rsidP="00747099">
            <w:pPr>
              <w:autoSpaceDE w:val="0"/>
              <w:autoSpaceDN w:val="0"/>
              <w:adjustRightInd w:val="0"/>
              <w:spacing w:before="60" w:after="60"/>
              <w:rPr>
                <w:sz w:val="18"/>
                <w:szCs w:val="18"/>
              </w:rPr>
            </w:pPr>
            <w:r w:rsidRPr="00997465">
              <w:rPr>
                <w:sz w:val="18"/>
                <w:szCs w:val="18"/>
              </w:rPr>
              <w:t>SEVILLA</w:t>
            </w:r>
          </w:p>
        </w:tc>
        <w:tc>
          <w:tcPr>
            <w:tcW w:w="2858" w:type="dxa"/>
            <w:tcBorders>
              <w:top w:val="single" w:sz="4" w:space="0" w:color="auto"/>
              <w:left w:val="nil"/>
              <w:bottom w:val="single" w:sz="4" w:space="0" w:color="auto"/>
              <w:right w:val="single" w:sz="4" w:space="0" w:color="auto"/>
            </w:tcBorders>
            <w:shd w:val="clear" w:color="auto" w:fill="auto"/>
            <w:vAlign w:val="bottom"/>
          </w:tcPr>
          <w:p w14:paraId="1B98091B" w14:textId="2D3AE294"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2A202C9" w14:textId="5F0BFF8A"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747099" w:rsidRPr="006C2ABA" w14:paraId="03204E76" w14:textId="77777777" w:rsidTr="00BA238F">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362A8961" w14:textId="77777777" w:rsidR="00747099" w:rsidRPr="00997465" w:rsidRDefault="00747099" w:rsidP="00747099">
            <w:pPr>
              <w:autoSpaceDE w:val="0"/>
              <w:autoSpaceDN w:val="0"/>
              <w:adjustRightInd w:val="0"/>
              <w:spacing w:before="60" w:after="60"/>
              <w:rPr>
                <w:sz w:val="18"/>
                <w:szCs w:val="18"/>
              </w:rPr>
            </w:pPr>
            <w:r w:rsidRPr="00997465">
              <w:rPr>
                <w:sz w:val="18"/>
                <w:szCs w:val="18"/>
              </w:rPr>
              <w:t>THIVA</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bottom"/>
          </w:tcPr>
          <w:p w14:paraId="18E514F9" w14:textId="14BBA506"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nil"/>
              <w:bottom w:val="single" w:sz="4" w:space="0" w:color="auto"/>
              <w:right w:val="single" w:sz="4" w:space="0" w:color="auto"/>
            </w:tcBorders>
            <w:shd w:val="clear" w:color="auto" w:fill="auto"/>
            <w:vAlign w:val="center"/>
          </w:tcPr>
          <w:p w14:paraId="276259EB" w14:textId="70B936A4" w:rsidR="00747099" w:rsidRPr="00997465" w:rsidRDefault="00747099" w:rsidP="00747099">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bl>
    <w:p w14:paraId="096EC04A" w14:textId="77777777" w:rsidR="00CC32E9" w:rsidRDefault="00CC32E9" w:rsidP="00CC32E9">
      <w:pPr>
        <w:spacing w:line="260" w:lineRule="atLeast"/>
        <w:rPr>
          <w:rFonts w:eastAsia="Calibri" w:cs="Times New Roman"/>
          <w:iCs/>
          <w:lang w:eastAsia="en-US"/>
        </w:rPr>
      </w:pPr>
    </w:p>
    <w:p w14:paraId="78D38BEE" w14:textId="77777777" w:rsidR="00CC32E9" w:rsidRDefault="00CC32E9" w:rsidP="00CC32E9">
      <w:pPr>
        <w:spacing w:line="260" w:lineRule="atLeast"/>
        <w:rPr>
          <w:rFonts w:eastAsia="Calibri" w:cs="Times New Roman"/>
          <w:iCs/>
          <w:lang w:eastAsia="en-US"/>
        </w:rPr>
      </w:pPr>
    </w:p>
    <w:p w14:paraId="66AC315F" w14:textId="6815CF96" w:rsidR="00CC32E9" w:rsidRPr="00D976CA" w:rsidRDefault="00CC32E9" w:rsidP="00CC32E9">
      <w:pPr>
        <w:spacing w:line="260" w:lineRule="atLeast"/>
        <w:jc w:val="both"/>
        <w:rPr>
          <w:rFonts w:eastAsia="Calibri" w:cs="Times New Roman"/>
          <w:iCs/>
          <w:lang w:eastAsia="en-US"/>
        </w:rPr>
      </w:pPr>
      <w:r>
        <w:rPr>
          <w:rFonts w:eastAsia="Calibri" w:cs="Times New Roman"/>
          <w:iCs/>
          <w:lang w:eastAsia="en-US"/>
        </w:rPr>
        <w:t xml:space="preserve">For all the locations, the indirect exposure via STP for agricultural land and grassland show concentrations of </w:t>
      </w:r>
      <w:r w:rsidR="00747099" w:rsidRPr="001365D5">
        <w:rPr>
          <w:rFonts w:eastAsia="Calibri" w:cs="Times New Roman"/>
          <w:lang w:eastAsia="en-US"/>
        </w:rPr>
        <w:t>amines, coco alkyldimethyl, N-oxides</w:t>
      </w:r>
      <w:r w:rsidR="00747099" w:rsidDel="00747099">
        <w:rPr>
          <w:rFonts w:eastAsia="Calibri" w:cs="Times New Roman"/>
          <w:iCs/>
          <w:lang w:eastAsia="en-US"/>
        </w:rPr>
        <w:t xml:space="preserve"> </w:t>
      </w:r>
      <w:r>
        <w:rPr>
          <w:rFonts w:eastAsia="Calibri" w:cs="Times New Roman"/>
          <w:iCs/>
          <w:lang w:eastAsia="en-US"/>
        </w:rPr>
        <w:t xml:space="preserve">below the threshold value of 0.1 µg/L after FOCUS refinement. </w:t>
      </w:r>
    </w:p>
    <w:p w14:paraId="5DB20300" w14:textId="29717C30" w:rsidR="00CC32E9" w:rsidRPr="00866D4D" w:rsidRDefault="00CC32E9" w:rsidP="00CC32E9">
      <w:pPr>
        <w:suppressAutoHyphens w:val="0"/>
        <w:spacing w:before="100" w:beforeAutospacing="1" w:after="100" w:afterAutospacing="1"/>
        <w:jc w:val="both"/>
        <w:rPr>
          <w:rFonts w:cs="Times New Roman"/>
          <w:lang w:val="en-US" w:eastAsia="fr-FR"/>
        </w:rPr>
      </w:pPr>
      <w:r w:rsidRPr="00D67D54">
        <w:rPr>
          <w:rFonts w:cs="Times New Roman"/>
          <w:lang w:val="en-US" w:eastAsia="fr-FR"/>
        </w:rPr>
        <w:t>In scenario 1</w:t>
      </w:r>
      <w:r w:rsidR="00A74737">
        <w:rPr>
          <w:rFonts w:cs="Times New Roman"/>
          <w:lang w:val="en-US" w:eastAsia="fr-FR"/>
        </w:rPr>
        <w:t>a</w:t>
      </w:r>
      <w:r>
        <w:rPr>
          <w:rFonts w:cs="Times New Roman"/>
          <w:lang w:val="en-US" w:eastAsia="fr-FR"/>
        </w:rPr>
        <w:t>, 4, 7 and 8</w:t>
      </w:r>
      <w:r w:rsidRPr="00866D4D">
        <w:rPr>
          <w:rFonts w:cs="Times New Roman"/>
          <w:lang w:val="en-US" w:eastAsia="fr-FR"/>
        </w:rPr>
        <w:t xml:space="preserve">, the concentration of the substance </w:t>
      </w:r>
      <w:r>
        <w:rPr>
          <w:rFonts w:cs="Times New Roman"/>
          <w:lang w:val="en-US" w:eastAsia="fr-FR"/>
        </w:rPr>
        <w:t xml:space="preserve">of concern </w:t>
      </w:r>
      <w:r w:rsidRPr="00DF2BEE">
        <w:rPr>
          <w:rFonts w:cs="Times New Roman"/>
          <w:lang w:val="en-US" w:eastAsia="fr-FR"/>
        </w:rPr>
        <w:t>OTNE</w:t>
      </w:r>
      <w:r w:rsidRPr="00866D4D">
        <w:rPr>
          <w:rFonts w:cs="Times New Roman"/>
          <w:lang w:val="en-US" w:eastAsia="fr-FR"/>
        </w:rPr>
        <w:t xml:space="preserve"> in groundwater exceeds the quality standard for pesticides and biocidal products according to Directive 2006/118/EC for drinking water (0.1 </w:t>
      </w:r>
      <w:r w:rsidRPr="00866D4D">
        <w:rPr>
          <w:rFonts w:cs="Times New Roman"/>
          <w:lang w:val="fr-FR" w:eastAsia="fr-FR"/>
        </w:rPr>
        <w:t>μ</w:t>
      </w:r>
      <w:r w:rsidRPr="00866D4D">
        <w:rPr>
          <w:rFonts w:cs="Times New Roman"/>
          <w:lang w:val="en-US" w:eastAsia="fr-FR"/>
        </w:rPr>
        <w:t>g/L). Thus, the groundwater assessment must be refined with a second tier model</w:t>
      </w:r>
      <w:r w:rsidR="005B2312">
        <w:rPr>
          <w:rFonts w:cs="Times New Roman"/>
          <w:lang w:val="en-US" w:eastAsia="fr-FR"/>
        </w:rPr>
        <w:t xml:space="preserve"> </w:t>
      </w:r>
      <w:r w:rsidR="005B2312">
        <w:rPr>
          <w:rFonts w:cs="Times New Roman"/>
          <w:lang w:eastAsia="fr-FR"/>
        </w:rPr>
        <w:t>(FOCUS Pearl 4.4.4)</w:t>
      </w:r>
      <w:r w:rsidRPr="00866D4D">
        <w:rPr>
          <w:rFonts w:cs="Times New Roman"/>
          <w:lang w:val="en-US" w:eastAsia="fr-FR"/>
        </w:rPr>
        <w:t>.</w:t>
      </w:r>
    </w:p>
    <w:tbl>
      <w:tblPr>
        <w:tblStyle w:val="Grilledutableau"/>
        <w:tblW w:w="5000" w:type="pct"/>
        <w:jc w:val="center"/>
        <w:tblInd w:w="0" w:type="dxa"/>
        <w:tblLook w:val="04A0" w:firstRow="1" w:lastRow="0" w:firstColumn="1" w:lastColumn="0" w:noHBand="0" w:noVBand="1"/>
      </w:tblPr>
      <w:tblGrid>
        <w:gridCol w:w="2943"/>
        <w:gridCol w:w="2027"/>
        <w:gridCol w:w="4233"/>
      </w:tblGrid>
      <w:tr w:rsidR="00CC32E9" w:rsidRPr="00D67D54" w14:paraId="144DB425" w14:textId="77777777" w:rsidTr="00BA238F">
        <w:trPr>
          <w:trHeight w:val="113"/>
          <w:jc w:val="center"/>
        </w:trPr>
        <w:tc>
          <w:tcPr>
            <w:tcW w:w="5000" w:type="pct"/>
            <w:gridSpan w:val="3"/>
            <w:shd w:val="clear" w:color="auto" w:fill="F8F5CC"/>
            <w:vAlign w:val="center"/>
          </w:tcPr>
          <w:p w14:paraId="112A06A5" w14:textId="77777777" w:rsidR="00CC32E9" w:rsidRPr="00D67D54" w:rsidRDefault="00CC32E9" w:rsidP="00BA238F">
            <w:pPr>
              <w:spacing w:before="240" w:after="60" w:line="260" w:lineRule="atLeast"/>
              <w:jc w:val="center"/>
              <w:outlineLvl w:val="0"/>
              <w:rPr>
                <w:i/>
                <w:sz w:val="18"/>
                <w:szCs w:val="18"/>
              </w:rPr>
            </w:pPr>
            <w:r w:rsidRPr="00D67D54">
              <w:rPr>
                <w:b/>
                <w:bCs/>
                <w:sz w:val="18"/>
                <w:szCs w:val="18"/>
              </w:rPr>
              <w:t>Emissions to Groundwater : Inputs for refinement (FOCUS PEARL 4.4.4)</w:t>
            </w:r>
          </w:p>
        </w:tc>
      </w:tr>
      <w:tr w:rsidR="00CC32E9" w:rsidRPr="00D67D54" w14:paraId="236DDDD3" w14:textId="77777777" w:rsidTr="00BA238F">
        <w:trPr>
          <w:trHeight w:val="1390"/>
          <w:jc w:val="center"/>
        </w:trPr>
        <w:tc>
          <w:tcPr>
            <w:tcW w:w="1599" w:type="pct"/>
            <w:shd w:val="clear" w:color="auto" w:fill="auto"/>
            <w:vAlign w:val="center"/>
          </w:tcPr>
          <w:p w14:paraId="0404BEDF" w14:textId="3D74C0D5" w:rsidR="00CC32E9" w:rsidRPr="00D67D54" w:rsidRDefault="00CC32E9" w:rsidP="000F3412">
            <w:pPr>
              <w:spacing w:before="240" w:after="60" w:line="260" w:lineRule="atLeast"/>
              <w:outlineLvl w:val="0"/>
              <w:rPr>
                <w:sz w:val="18"/>
                <w:szCs w:val="18"/>
              </w:rPr>
            </w:pPr>
            <w:r w:rsidRPr="00D67D54">
              <w:rPr>
                <w:b/>
                <w:sz w:val="18"/>
                <w:szCs w:val="18"/>
              </w:rPr>
              <w:t xml:space="preserve">Input parameters </w:t>
            </w:r>
            <w:r w:rsidRPr="00DF2BEE">
              <w:rPr>
                <w:rFonts w:cs="Times New Roman"/>
                <w:lang w:val="en-US" w:eastAsia="fr-FR"/>
              </w:rPr>
              <w:t>OTNE</w:t>
            </w:r>
          </w:p>
        </w:tc>
        <w:tc>
          <w:tcPr>
            <w:tcW w:w="1101" w:type="pct"/>
            <w:shd w:val="clear" w:color="auto" w:fill="auto"/>
            <w:vAlign w:val="center"/>
          </w:tcPr>
          <w:p w14:paraId="451B12CE" w14:textId="77777777" w:rsidR="00CC32E9" w:rsidRPr="00D67D54" w:rsidRDefault="00CC32E9" w:rsidP="00BA238F">
            <w:pPr>
              <w:spacing w:before="240" w:after="60" w:line="260" w:lineRule="atLeast"/>
              <w:jc w:val="center"/>
              <w:outlineLvl w:val="0"/>
              <w:rPr>
                <w:b/>
                <w:sz w:val="18"/>
                <w:szCs w:val="18"/>
              </w:rPr>
            </w:pPr>
            <w:r w:rsidRPr="00D67D54">
              <w:rPr>
                <w:b/>
                <w:sz w:val="18"/>
                <w:szCs w:val="18"/>
              </w:rPr>
              <w:t>Value</w:t>
            </w:r>
          </w:p>
        </w:tc>
        <w:tc>
          <w:tcPr>
            <w:tcW w:w="2300" w:type="pct"/>
            <w:shd w:val="clear" w:color="auto" w:fill="auto"/>
            <w:vAlign w:val="center"/>
          </w:tcPr>
          <w:p w14:paraId="3AAD3F9B" w14:textId="77777777" w:rsidR="00CC32E9" w:rsidRPr="00D67D54" w:rsidRDefault="00CC32E9" w:rsidP="00BA238F">
            <w:pPr>
              <w:spacing w:before="240" w:after="60" w:line="260" w:lineRule="atLeast"/>
              <w:outlineLvl w:val="0"/>
              <w:rPr>
                <w:b/>
                <w:sz w:val="18"/>
                <w:szCs w:val="18"/>
              </w:rPr>
            </w:pPr>
            <w:r w:rsidRPr="00D67D54">
              <w:rPr>
                <w:b/>
                <w:sz w:val="18"/>
                <w:szCs w:val="18"/>
              </w:rPr>
              <w:t>Reference</w:t>
            </w:r>
          </w:p>
        </w:tc>
      </w:tr>
      <w:tr w:rsidR="00CC32E9" w:rsidRPr="00A04731" w14:paraId="767954CE" w14:textId="77777777" w:rsidTr="00BA238F">
        <w:trPr>
          <w:trHeight w:val="113"/>
          <w:jc w:val="center"/>
        </w:trPr>
        <w:tc>
          <w:tcPr>
            <w:tcW w:w="1599" w:type="pct"/>
            <w:shd w:val="clear" w:color="auto" w:fill="auto"/>
            <w:vAlign w:val="center"/>
          </w:tcPr>
          <w:p w14:paraId="48E3AA30" w14:textId="77777777" w:rsidR="00CC32E9" w:rsidRPr="00D67D54" w:rsidRDefault="00CC32E9" w:rsidP="00BA238F">
            <w:pPr>
              <w:spacing w:before="240" w:after="60" w:line="260" w:lineRule="atLeast"/>
              <w:outlineLvl w:val="0"/>
              <w:rPr>
                <w:bCs/>
                <w:sz w:val="18"/>
                <w:szCs w:val="18"/>
              </w:rPr>
            </w:pPr>
            <w:r w:rsidRPr="00D67D54">
              <w:rPr>
                <w:bCs/>
                <w:sz w:val="18"/>
                <w:szCs w:val="18"/>
              </w:rPr>
              <w:t>Molecular weight (g/mol)</w:t>
            </w:r>
          </w:p>
        </w:tc>
        <w:tc>
          <w:tcPr>
            <w:tcW w:w="1101" w:type="pct"/>
            <w:shd w:val="clear" w:color="auto" w:fill="auto"/>
            <w:vAlign w:val="center"/>
          </w:tcPr>
          <w:p w14:paraId="6104D8AA" w14:textId="77777777" w:rsidR="00CC32E9" w:rsidRPr="00D67D54" w:rsidRDefault="00CC32E9" w:rsidP="00BA238F">
            <w:pPr>
              <w:spacing w:before="240" w:after="60" w:line="260" w:lineRule="atLeast"/>
              <w:jc w:val="center"/>
              <w:outlineLvl w:val="0"/>
              <w:rPr>
                <w:sz w:val="18"/>
                <w:szCs w:val="18"/>
              </w:rPr>
            </w:pPr>
            <w:r w:rsidRPr="00D67D54">
              <w:rPr>
                <w:sz w:val="18"/>
                <w:szCs w:val="18"/>
              </w:rPr>
              <w:t>234.38</w:t>
            </w:r>
          </w:p>
        </w:tc>
        <w:tc>
          <w:tcPr>
            <w:tcW w:w="2300" w:type="pct"/>
            <w:vMerge w:val="restart"/>
            <w:shd w:val="clear" w:color="auto" w:fill="auto"/>
            <w:vAlign w:val="center"/>
          </w:tcPr>
          <w:p w14:paraId="12EF0401" w14:textId="0C3EE41C" w:rsidR="00CC32E9" w:rsidRPr="00D67D54" w:rsidRDefault="00CC32E9" w:rsidP="00BA238F">
            <w:pPr>
              <w:spacing w:before="240" w:after="60" w:line="260" w:lineRule="atLeast"/>
              <w:outlineLvl w:val="0"/>
              <w:rPr>
                <w:sz w:val="18"/>
                <w:szCs w:val="18"/>
                <w:highlight w:val="yellow"/>
                <w:lang w:val="fr-FR"/>
              </w:rPr>
            </w:pPr>
            <w:r w:rsidRPr="00D67D54">
              <w:rPr>
                <w:rFonts w:eastAsia="Calibri" w:cs="Arial"/>
                <w:color w:val="000000"/>
                <w:sz w:val="18"/>
                <w:szCs w:val="18"/>
                <w:lang w:val="fr-FR" w:eastAsia="en-GB"/>
              </w:rPr>
              <w:t>ECHA registration dossier (https://echa.europa.eu/fr/registration-dossier/-/registered-dossier/15069 )</w:t>
            </w:r>
          </w:p>
        </w:tc>
      </w:tr>
      <w:tr w:rsidR="00CC32E9" w:rsidRPr="00D67D54" w14:paraId="4CC3036F" w14:textId="77777777" w:rsidTr="00BA238F">
        <w:trPr>
          <w:trHeight w:val="113"/>
          <w:jc w:val="center"/>
        </w:trPr>
        <w:tc>
          <w:tcPr>
            <w:tcW w:w="1599" w:type="pct"/>
            <w:shd w:val="clear" w:color="auto" w:fill="auto"/>
            <w:vAlign w:val="center"/>
          </w:tcPr>
          <w:p w14:paraId="27B756C0" w14:textId="77777777" w:rsidR="00CC32E9" w:rsidRPr="00D67D54" w:rsidRDefault="00CC32E9" w:rsidP="00BA238F">
            <w:pPr>
              <w:spacing w:before="240" w:after="60" w:line="260" w:lineRule="atLeast"/>
              <w:outlineLvl w:val="0"/>
              <w:rPr>
                <w:bCs/>
                <w:sz w:val="18"/>
                <w:szCs w:val="18"/>
              </w:rPr>
            </w:pPr>
            <w:r w:rsidRPr="00D67D54">
              <w:rPr>
                <w:bCs/>
                <w:sz w:val="18"/>
                <w:szCs w:val="18"/>
              </w:rPr>
              <w:t xml:space="preserve">Water solubility (mg/l) at </w:t>
            </w:r>
            <w:r>
              <w:rPr>
                <w:bCs/>
                <w:sz w:val="18"/>
                <w:szCs w:val="18"/>
              </w:rPr>
              <w:t>2</w:t>
            </w:r>
            <w:r w:rsidRPr="00D67D54">
              <w:rPr>
                <w:bCs/>
                <w:sz w:val="18"/>
                <w:szCs w:val="18"/>
              </w:rPr>
              <w:t>0°C</w:t>
            </w:r>
          </w:p>
        </w:tc>
        <w:tc>
          <w:tcPr>
            <w:tcW w:w="1101" w:type="pct"/>
            <w:shd w:val="clear" w:color="auto" w:fill="auto"/>
            <w:vAlign w:val="center"/>
          </w:tcPr>
          <w:p w14:paraId="3F87DD97" w14:textId="77777777" w:rsidR="00CC32E9" w:rsidRPr="00D67D54" w:rsidRDefault="00CC32E9" w:rsidP="00BA238F">
            <w:pPr>
              <w:spacing w:before="240" w:after="60" w:line="260" w:lineRule="atLeast"/>
              <w:jc w:val="center"/>
              <w:outlineLvl w:val="0"/>
              <w:rPr>
                <w:sz w:val="18"/>
                <w:szCs w:val="18"/>
              </w:rPr>
            </w:pPr>
            <w:r w:rsidRPr="00D67D54">
              <w:rPr>
                <w:sz w:val="18"/>
                <w:szCs w:val="18"/>
              </w:rPr>
              <w:t>2.68</w:t>
            </w:r>
          </w:p>
        </w:tc>
        <w:tc>
          <w:tcPr>
            <w:tcW w:w="2300" w:type="pct"/>
            <w:vMerge/>
            <w:shd w:val="clear" w:color="auto" w:fill="auto"/>
            <w:vAlign w:val="center"/>
          </w:tcPr>
          <w:p w14:paraId="5A4CBB87" w14:textId="77777777" w:rsidR="00CC32E9" w:rsidRPr="00D67D54" w:rsidRDefault="00CC32E9" w:rsidP="00BA238F">
            <w:pPr>
              <w:spacing w:before="240" w:after="60" w:line="260" w:lineRule="atLeast"/>
              <w:outlineLvl w:val="0"/>
              <w:rPr>
                <w:sz w:val="18"/>
                <w:szCs w:val="18"/>
              </w:rPr>
            </w:pPr>
          </w:p>
        </w:tc>
      </w:tr>
      <w:tr w:rsidR="00CC32E9" w:rsidRPr="00D67D54" w14:paraId="37983BDD" w14:textId="77777777" w:rsidTr="00BA238F">
        <w:trPr>
          <w:trHeight w:val="113"/>
          <w:jc w:val="center"/>
        </w:trPr>
        <w:tc>
          <w:tcPr>
            <w:tcW w:w="1599" w:type="pct"/>
            <w:shd w:val="clear" w:color="auto" w:fill="auto"/>
            <w:vAlign w:val="center"/>
          </w:tcPr>
          <w:p w14:paraId="7067878C" w14:textId="77777777" w:rsidR="00CC32E9" w:rsidRPr="00D67D54" w:rsidRDefault="00CC32E9" w:rsidP="00BA238F">
            <w:pPr>
              <w:spacing w:before="240" w:after="60" w:line="260" w:lineRule="atLeast"/>
              <w:outlineLvl w:val="0"/>
              <w:rPr>
                <w:bCs/>
                <w:sz w:val="18"/>
                <w:szCs w:val="18"/>
              </w:rPr>
            </w:pPr>
            <w:r w:rsidRPr="00D67D54">
              <w:rPr>
                <w:bCs/>
                <w:sz w:val="18"/>
                <w:szCs w:val="18"/>
              </w:rPr>
              <w:t>Koc (L/kg)</w:t>
            </w:r>
          </w:p>
        </w:tc>
        <w:tc>
          <w:tcPr>
            <w:tcW w:w="1101" w:type="pct"/>
            <w:shd w:val="clear" w:color="auto" w:fill="auto"/>
            <w:vAlign w:val="center"/>
          </w:tcPr>
          <w:p w14:paraId="4EC7F7F9" w14:textId="77777777" w:rsidR="00CC32E9" w:rsidRPr="00D67D54" w:rsidRDefault="00CC32E9" w:rsidP="00BA238F">
            <w:pPr>
              <w:spacing w:before="240" w:after="60" w:line="260" w:lineRule="atLeast"/>
              <w:jc w:val="center"/>
              <w:outlineLvl w:val="0"/>
              <w:rPr>
                <w:sz w:val="18"/>
                <w:szCs w:val="18"/>
              </w:rPr>
            </w:pPr>
            <w:r w:rsidRPr="00D67D54">
              <w:rPr>
                <w:sz w:val="18"/>
                <w:szCs w:val="18"/>
              </w:rPr>
              <w:t>12589</w:t>
            </w:r>
          </w:p>
        </w:tc>
        <w:tc>
          <w:tcPr>
            <w:tcW w:w="2300" w:type="pct"/>
            <w:vMerge/>
            <w:shd w:val="clear" w:color="auto" w:fill="auto"/>
            <w:vAlign w:val="center"/>
          </w:tcPr>
          <w:p w14:paraId="6880FDDF" w14:textId="77777777" w:rsidR="00CC32E9" w:rsidRPr="00D67D54" w:rsidRDefault="00CC32E9" w:rsidP="00BA238F">
            <w:pPr>
              <w:spacing w:before="240" w:after="60" w:line="260" w:lineRule="atLeast"/>
              <w:outlineLvl w:val="0"/>
              <w:rPr>
                <w:b/>
                <w:sz w:val="18"/>
                <w:szCs w:val="18"/>
              </w:rPr>
            </w:pPr>
          </w:p>
        </w:tc>
      </w:tr>
      <w:tr w:rsidR="00CC32E9" w:rsidRPr="00D67D54" w14:paraId="2DC1C5AE" w14:textId="77777777" w:rsidTr="00BA238F">
        <w:trPr>
          <w:trHeight w:val="113"/>
          <w:jc w:val="center"/>
        </w:trPr>
        <w:tc>
          <w:tcPr>
            <w:tcW w:w="1599" w:type="pct"/>
            <w:shd w:val="clear" w:color="auto" w:fill="auto"/>
            <w:vAlign w:val="center"/>
          </w:tcPr>
          <w:p w14:paraId="663D5DAE" w14:textId="77777777" w:rsidR="00CC32E9" w:rsidRPr="00D67D54" w:rsidRDefault="00CC32E9" w:rsidP="00BA238F">
            <w:pPr>
              <w:spacing w:before="240" w:after="60" w:line="260" w:lineRule="atLeast"/>
              <w:outlineLvl w:val="0"/>
              <w:rPr>
                <w:bCs/>
                <w:sz w:val="18"/>
                <w:szCs w:val="18"/>
              </w:rPr>
            </w:pPr>
            <w:r w:rsidRPr="00D67D54">
              <w:rPr>
                <w:bCs/>
                <w:sz w:val="18"/>
                <w:szCs w:val="18"/>
              </w:rPr>
              <w:t xml:space="preserve">Saturated vapour pressure (Pa) </w:t>
            </w:r>
            <w:r w:rsidRPr="00D67D54">
              <w:rPr>
                <w:sz w:val="18"/>
                <w:szCs w:val="18"/>
              </w:rPr>
              <w:t>at 23°C</w:t>
            </w:r>
          </w:p>
        </w:tc>
        <w:tc>
          <w:tcPr>
            <w:tcW w:w="1101" w:type="pct"/>
            <w:shd w:val="clear" w:color="auto" w:fill="auto"/>
            <w:vAlign w:val="center"/>
          </w:tcPr>
          <w:p w14:paraId="5B3FD897" w14:textId="77777777" w:rsidR="00CC32E9" w:rsidRPr="00D67D54" w:rsidRDefault="00CC32E9" w:rsidP="00BA238F">
            <w:pPr>
              <w:spacing w:before="240" w:after="60" w:line="260" w:lineRule="atLeast"/>
              <w:jc w:val="center"/>
              <w:outlineLvl w:val="0"/>
              <w:rPr>
                <w:sz w:val="18"/>
                <w:szCs w:val="18"/>
              </w:rPr>
            </w:pPr>
            <w:r w:rsidRPr="00D67D54">
              <w:rPr>
                <w:sz w:val="18"/>
                <w:szCs w:val="18"/>
              </w:rPr>
              <w:t>0.233</w:t>
            </w:r>
          </w:p>
        </w:tc>
        <w:tc>
          <w:tcPr>
            <w:tcW w:w="2300" w:type="pct"/>
            <w:vMerge/>
            <w:shd w:val="clear" w:color="auto" w:fill="auto"/>
            <w:vAlign w:val="center"/>
          </w:tcPr>
          <w:p w14:paraId="3B6506C7" w14:textId="77777777" w:rsidR="00CC32E9" w:rsidRPr="00D67D54" w:rsidRDefault="00CC32E9" w:rsidP="00BA238F">
            <w:pPr>
              <w:spacing w:before="240" w:after="60" w:line="260" w:lineRule="atLeast"/>
              <w:outlineLvl w:val="0"/>
              <w:rPr>
                <w:b/>
                <w:sz w:val="18"/>
                <w:szCs w:val="18"/>
              </w:rPr>
            </w:pPr>
          </w:p>
        </w:tc>
      </w:tr>
      <w:tr w:rsidR="00CC32E9" w:rsidRPr="00D67D54" w14:paraId="6E1566B8" w14:textId="77777777" w:rsidTr="00BA238F">
        <w:trPr>
          <w:trHeight w:val="113"/>
          <w:jc w:val="center"/>
        </w:trPr>
        <w:tc>
          <w:tcPr>
            <w:tcW w:w="1599" w:type="pct"/>
            <w:shd w:val="clear" w:color="auto" w:fill="auto"/>
            <w:vAlign w:val="center"/>
          </w:tcPr>
          <w:p w14:paraId="7DC95F53" w14:textId="77777777" w:rsidR="00CC32E9" w:rsidRPr="00D67D54" w:rsidRDefault="00CC32E9" w:rsidP="00BA238F">
            <w:pPr>
              <w:spacing w:before="240" w:after="60" w:line="260" w:lineRule="atLeast"/>
              <w:outlineLvl w:val="0"/>
              <w:rPr>
                <w:bCs/>
                <w:sz w:val="18"/>
                <w:szCs w:val="18"/>
              </w:rPr>
            </w:pPr>
            <w:r w:rsidRPr="00D67D54">
              <w:rPr>
                <w:bCs/>
                <w:sz w:val="18"/>
                <w:szCs w:val="18"/>
              </w:rPr>
              <w:t>DT50 in soil (d) at 12°C</w:t>
            </w:r>
          </w:p>
        </w:tc>
        <w:tc>
          <w:tcPr>
            <w:tcW w:w="1101" w:type="pct"/>
            <w:shd w:val="clear" w:color="auto" w:fill="auto"/>
            <w:vAlign w:val="center"/>
          </w:tcPr>
          <w:p w14:paraId="315AFF6B" w14:textId="77777777" w:rsidR="00CC32E9" w:rsidRPr="00D67D54" w:rsidRDefault="00CC32E9" w:rsidP="00BA238F">
            <w:pPr>
              <w:spacing w:before="240" w:after="60" w:line="260" w:lineRule="atLeast"/>
              <w:jc w:val="center"/>
              <w:outlineLvl w:val="0"/>
              <w:rPr>
                <w:sz w:val="18"/>
                <w:szCs w:val="18"/>
              </w:rPr>
            </w:pPr>
            <w:r w:rsidRPr="00A74737">
              <w:rPr>
                <w:sz w:val="18"/>
                <w:szCs w:val="18"/>
              </w:rPr>
              <w:t>17.4</w:t>
            </w:r>
          </w:p>
        </w:tc>
        <w:tc>
          <w:tcPr>
            <w:tcW w:w="2300" w:type="pct"/>
            <w:vMerge/>
            <w:shd w:val="clear" w:color="auto" w:fill="auto"/>
            <w:vAlign w:val="center"/>
          </w:tcPr>
          <w:p w14:paraId="0B0586EA" w14:textId="77777777" w:rsidR="00CC32E9" w:rsidRPr="00D67D54" w:rsidRDefault="00CC32E9" w:rsidP="00BA238F">
            <w:pPr>
              <w:spacing w:before="240" w:after="60" w:line="260" w:lineRule="atLeast"/>
              <w:outlineLvl w:val="0"/>
              <w:rPr>
                <w:sz w:val="18"/>
                <w:szCs w:val="18"/>
              </w:rPr>
            </w:pPr>
          </w:p>
        </w:tc>
      </w:tr>
      <w:tr w:rsidR="00CC32E9" w:rsidRPr="00D67D54" w14:paraId="2C08FEE4" w14:textId="77777777" w:rsidTr="00BA238F">
        <w:trPr>
          <w:trHeight w:val="113"/>
          <w:jc w:val="center"/>
        </w:trPr>
        <w:tc>
          <w:tcPr>
            <w:tcW w:w="1599" w:type="pct"/>
            <w:shd w:val="clear" w:color="auto" w:fill="auto"/>
            <w:vAlign w:val="center"/>
          </w:tcPr>
          <w:p w14:paraId="46128506" w14:textId="77777777" w:rsidR="00CC32E9" w:rsidRPr="00D67D54" w:rsidRDefault="00CC32E9" w:rsidP="00BA238F">
            <w:pPr>
              <w:spacing w:before="240" w:after="60" w:line="260" w:lineRule="atLeast"/>
              <w:outlineLvl w:val="0"/>
              <w:rPr>
                <w:bCs/>
                <w:sz w:val="18"/>
                <w:szCs w:val="18"/>
              </w:rPr>
            </w:pPr>
            <w:r w:rsidRPr="00D67D54">
              <w:rPr>
                <w:bCs/>
                <w:sz w:val="18"/>
                <w:szCs w:val="18"/>
              </w:rPr>
              <w:t>Kom (=Koc/1.724) (L/kg)</w:t>
            </w:r>
          </w:p>
        </w:tc>
        <w:tc>
          <w:tcPr>
            <w:tcW w:w="1101" w:type="pct"/>
            <w:shd w:val="clear" w:color="auto" w:fill="auto"/>
            <w:vAlign w:val="center"/>
          </w:tcPr>
          <w:p w14:paraId="4F860B79" w14:textId="77777777" w:rsidR="00CC32E9" w:rsidRPr="00D67D54" w:rsidRDefault="00CC32E9" w:rsidP="00BA238F">
            <w:pPr>
              <w:spacing w:before="240" w:after="60" w:line="260" w:lineRule="atLeast"/>
              <w:jc w:val="center"/>
              <w:outlineLvl w:val="0"/>
              <w:rPr>
                <w:sz w:val="18"/>
                <w:szCs w:val="18"/>
              </w:rPr>
            </w:pPr>
            <w:r w:rsidRPr="00D67D54">
              <w:rPr>
                <w:sz w:val="18"/>
                <w:szCs w:val="18"/>
              </w:rPr>
              <w:t>7302.204</w:t>
            </w:r>
          </w:p>
        </w:tc>
        <w:tc>
          <w:tcPr>
            <w:tcW w:w="2300" w:type="pct"/>
            <w:shd w:val="clear" w:color="auto" w:fill="auto"/>
            <w:vAlign w:val="center"/>
          </w:tcPr>
          <w:p w14:paraId="6473080E" w14:textId="77777777" w:rsidR="00CC32E9" w:rsidRPr="00D67D54" w:rsidRDefault="00CC32E9" w:rsidP="00BA238F">
            <w:pPr>
              <w:spacing w:before="240" w:after="60" w:line="260" w:lineRule="atLeast"/>
              <w:outlineLvl w:val="0"/>
              <w:rPr>
                <w:sz w:val="18"/>
                <w:szCs w:val="18"/>
              </w:rPr>
            </w:pPr>
            <w:r w:rsidRPr="00D67D54">
              <w:rPr>
                <w:sz w:val="18"/>
                <w:szCs w:val="18"/>
              </w:rPr>
              <w:t>TAB 2.1 ENV 23</w:t>
            </w:r>
          </w:p>
        </w:tc>
      </w:tr>
      <w:tr w:rsidR="00CC32E9" w:rsidRPr="00D67D54" w14:paraId="1D5B162D" w14:textId="77777777" w:rsidTr="00BA238F">
        <w:trPr>
          <w:trHeight w:val="113"/>
          <w:jc w:val="center"/>
        </w:trPr>
        <w:tc>
          <w:tcPr>
            <w:tcW w:w="1599" w:type="pct"/>
            <w:shd w:val="clear" w:color="auto" w:fill="auto"/>
            <w:vAlign w:val="center"/>
          </w:tcPr>
          <w:p w14:paraId="702749B1" w14:textId="77777777" w:rsidR="00CC32E9" w:rsidRPr="00D67D54" w:rsidRDefault="00CC32E9" w:rsidP="00BA238F">
            <w:pPr>
              <w:spacing w:before="240" w:after="60" w:line="260" w:lineRule="atLeast"/>
              <w:outlineLvl w:val="0"/>
              <w:rPr>
                <w:bCs/>
                <w:sz w:val="18"/>
                <w:szCs w:val="18"/>
              </w:rPr>
            </w:pPr>
            <w:r w:rsidRPr="00D67D54">
              <w:rPr>
                <w:color w:val="000000"/>
                <w:sz w:val="18"/>
                <w:szCs w:val="18"/>
                <w:lang w:eastAsia="en-GB"/>
              </w:rPr>
              <w:t>Freundlich exponent</w:t>
            </w:r>
          </w:p>
        </w:tc>
        <w:tc>
          <w:tcPr>
            <w:tcW w:w="1101" w:type="pct"/>
            <w:shd w:val="clear" w:color="auto" w:fill="auto"/>
            <w:vAlign w:val="center"/>
          </w:tcPr>
          <w:p w14:paraId="2E42F57A" w14:textId="77777777" w:rsidR="00CC32E9" w:rsidRPr="00D67D54" w:rsidRDefault="00CC32E9" w:rsidP="00BA238F">
            <w:pPr>
              <w:spacing w:before="240" w:after="60" w:line="260" w:lineRule="atLeast"/>
              <w:jc w:val="center"/>
              <w:outlineLvl w:val="0"/>
              <w:rPr>
                <w:sz w:val="18"/>
                <w:szCs w:val="18"/>
              </w:rPr>
            </w:pPr>
            <w:r w:rsidRPr="00D67D54">
              <w:rPr>
                <w:sz w:val="18"/>
                <w:szCs w:val="18"/>
              </w:rPr>
              <w:t>1</w:t>
            </w:r>
          </w:p>
        </w:tc>
        <w:tc>
          <w:tcPr>
            <w:tcW w:w="2300" w:type="pct"/>
            <w:shd w:val="clear" w:color="auto" w:fill="auto"/>
            <w:vAlign w:val="center"/>
          </w:tcPr>
          <w:p w14:paraId="59D00BA1" w14:textId="77777777" w:rsidR="00CC32E9" w:rsidRPr="00D67D54" w:rsidRDefault="00CC32E9" w:rsidP="00BA238F">
            <w:pPr>
              <w:spacing w:before="240" w:after="60" w:line="260" w:lineRule="atLeast"/>
              <w:outlineLvl w:val="0"/>
              <w:rPr>
                <w:sz w:val="18"/>
                <w:szCs w:val="18"/>
              </w:rPr>
            </w:pPr>
            <w:r w:rsidRPr="00D67D54">
              <w:rPr>
                <w:sz w:val="18"/>
                <w:szCs w:val="18"/>
              </w:rPr>
              <w:t>TAB 2.1 ENV 22</w:t>
            </w:r>
          </w:p>
        </w:tc>
      </w:tr>
      <w:tr w:rsidR="00CC32E9" w:rsidRPr="00D67D54" w14:paraId="5E4E8D56" w14:textId="77777777" w:rsidTr="00BA238F">
        <w:trPr>
          <w:trHeight w:val="113"/>
          <w:jc w:val="center"/>
        </w:trPr>
        <w:tc>
          <w:tcPr>
            <w:tcW w:w="1599" w:type="pct"/>
            <w:shd w:val="clear" w:color="auto" w:fill="auto"/>
            <w:vAlign w:val="center"/>
          </w:tcPr>
          <w:p w14:paraId="4A6E8B66" w14:textId="77777777" w:rsidR="00CC32E9" w:rsidRPr="00D67D54" w:rsidRDefault="00CC32E9" w:rsidP="00BA238F">
            <w:pPr>
              <w:spacing w:before="240" w:after="60" w:line="260" w:lineRule="atLeast"/>
              <w:outlineLvl w:val="0"/>
              <w:rPr>
                <w:bCs/>
                <w:sz w:val="18"/>
                <w:szCs w:val="18"/>
              </w:rPr>
            </w:pPr>
            <w:r w:rsidRPr="00D67D54">
              <w:rPr>
                <w:bCs/>
                <w:sz w:val="18"/>
                <w:szCs w:val="18"/>
              </w:rPr>
              <w:t>Plant uptake factor</w:t>
            </w:r>
          </w:p>
        </w:tc>
        <w:tc>
          <w:tcPr>
            <w:tcW w:w="1101" w:type="pct"/>
            <w:shd w:val="clear" w:color="auto" w:fill="auto"/>
            <w:vAlign w:val="center"/>
          </w:tcPr>
          <w:p w14:paraId="0DE693BC" w14:textId="77777777" w:rsidR="00CC32E9" w:rsidRPr="00D67D54" w:rsidRDefault="00CC32E9" w:rsidP="00BA238F">
            <w:pPr>
              <w:spacing w:before="240" w:after="60" w:line="260" w:lineRule="atLeast"/>
              <w:jc w:val="center"/>
              <w:outlineLvl w:val="0"/>
              <w:rPr>
                <w:sz w:val="18"/>
                <w:szCs w:val="18"/>
              </w:rPr>
            </w:pPr>
            <w:r w:rsidRPr="00D67D54">
              <w:rPr>
                <w:sz w:val="18"/>
                <w:szCs w:val="18"/>
              </w:rPr>
              <w:t>0</w:t>
            </w:r>
          </w:p>
        </w:tc>
        <w:tc>
          <w:tcPr>
            <w:tcW w:w="2300" w:type="pct"/>
            <w:shd w:val="clear" w:color="auto" w:fill="auto"/>
            <w:vAlign w:val="center"/>
          </w:tcPr>
          <w:p w14:paraId="61BE584E" w14:textId="77777777" w:rsidR="00CC32E9" w:rsidRPr="00D67D54" w:rsidRDefault="00CC32E9" w:rsidP="00BA238F">
            <w:pPr>
              <w:spacing w:before="240" w:after="60" w:line="260" w:lineRule="atLeast"/>
              <w:outlineLvl w:val="0"/>
              <w:rPr>
                <w:b/>
                <w:sz w:val="18"/>
                <w:szCs w:val="18"/>
              </w:rPr>
            </w:pPr>
            <w:r w:rsidRPr="00D67D54">
              <w:rPr>
                <w:sz w:val="18"/>
                <w:szCs w:val="18"/>
              </w:rPr>
              <w:t>TAB 2.1 ENV 23</w:t>
            </w:r>
          </w:p>
        </w:tc>
      </w:tr>
      <w:tr w:rsidR="00CC32E9" w:rsidRPr="00D67D54" w14:paraId="248A0A6B" w14:textId="77777777" w:rsidTr="00BA238F">
        <w:trPr>
          <w:trHeight w:val="113"/>
          <w:jc w:val="center"/>
        </w:trPr>
        <w:tc>
          <w:tcPr>
            <w:tcW w:w="1599" w:type="pct"/>
            <w:shd w:val="clear" w:color="auto" w:fill="auto"/>
            <w:vAlign w:val="center"/>
          </w:tcPr>
          <w:p w14:paraId="069116C1" w14:textId="77777777" w:rsidR="00CC32E9" w:rsidRPr="00D67D54" w:rsidRDefault="00CC32E9" w:rsidP="00BA238F">
            <w:pPr>
              <w:spacing w:before="240" w:after="60" w:line="260" w:lineRule="atLeast"/>
              <w:outlineLvl w:val="0"/>
              <w:rPr>
                <w:bCs/>
                <w:sz w:val="18"/>
                <w:szCs w:val="18"/>
              </w:rPr>
            </w:pPr>
            <w:r w:rsidRPr="00D67D54">
              <w:rPr>
                <w:bCs/>
                <w:sz w:val="18"/>
                <w:szCs w:val="18"/>
              </w:rPr>
              <w:lastRenderedPageBreak/>
              <w:t>Molar activation energy (kJ/mol)</w:t>
            </w:r>
          </w:p>
        </w:tc>
        <w:tc>
          <w:tcPr>
            <w:tcW w:w="1101" w:type="pct"/>
            <w:shd w:val="clear" w:color="auto" w:fill="auto"/>
            <w:vAlign w:val="center"/>
          </w:tcPr>
          <w:p w14:paraId="07229CEB" w14:textId="77777777" w:rsidR="00CC32E9" w:rsidRPr="00D67D54" w:rsidRDefault="00CC32E9" w:rsidP="00BA238F">
            <w:pPr>
              <w:spacing w:before="240" w:after="60" w:line="260" w:lineRule="atLeast"/>
              <w:jc w:val="center"/>
              <w:outlineLvl w:val="0"/>
              <w:rPr>
                <w:sz w:val="18"/>
                <w:szCs w:val="18"/>
              </w:rPr>
            </w:pPr>
            <w:r w:rsidRPr="00D67D54">
              <w:rPr>
                <w:sz w:val="18"/>
                <w:szCs w:val="18"/>
              </w:rPr>
              <w:t>65.4</w:t>
            </w:r>
          </w:p>
        </w:tc>
        <w:tc>
          <w:tcPr>
            <w:tcW w:w="2300" w:type="pct"/>
            <w:shd w:val="clear" w:color="auto" w:fill="auto"/>
            <w:vAlign w:val="center"/>
          </w:tcPr>
          <w:p w14:paraId="55EA9CB1" w14:textId="77777777" w:rsidR="00CC32E9" w:rsidRPr="00D67D54" w:rsidRDefault="00CC32E9" w:rsidP="00BA238F">
            <w:pPr>
              <w:spacing w:before="240" w:after="60" w:line="260" w:lineRule="atLeast"/>
              <w:outlineLvl w:val="0"/>
              <w:rPr>
                <w:sz w:val="18"/>
                <w:szCs w:val="18"/>
              </w:rPr>
            </w:pPr>
            <w:r w:rsidRPr="00D67D54">
              <w:rPr>
                <w:sz w:val="18"/>
                <w:szCs w:val="18"/>
              </w:rPr>
              <w:t>WG-IV 2019</w:t>
            </w:r>
          </w:p>
        </w:tc>
      </w:tr>
    </w:tbl>
    <w:p w14:paraId="5EBE75B9" w14:textId="77777777" w:rsidR="00CC32E9" w:rsidRPr="00D67D54" w:rsidRDefault="00CC32E9" w:rsidP="00CC32E9">
      <w:pPr>
        <w:spacing w:line="260" w:lineRule="atLeast"/>
        <w:rPr>
          <w:rFonts w:eastAsia="Calibri"/>
          <w:sz w:val="18"/>
          <w:szCs w:val="18"/>
          <w:lang w:val="en-US" w:eastAsia="en-US"/>
        </w:rPr>
      </w:pPr>
    </w:p>
    <w:tbl>
      <w:tblPr>
        <w:tblStyle w:val="Grilledutableau"/>
        <w:tblW w:w="0" w:type="auto"/>
        <w:jc w:val="center"/>
        <w:tblInd w:w="0" w:type="dxa"/>
        <w:tblLook w:val="04A0" w:firstRow="1" w:lastRow="0" w:firstColumn="1" w:lastColumn="0" w:noHBand="0" w:noVBand="1"/>
      </w:tblPr>
      <w:tblGrid>
        <w:gridCol w:w="2445"/>
        <w:gridCol w:w="2403"/>
        <w:gridCol w:w="2493"/>
        <w:gridCol w:w="1862"/>
      </w:tblGrid>
      <w:tr w:rsidR="00CC32E9" w:rsidRPr="00D67D54" w14:paraId="4C2C63A4" w14:textId="77777777" w:rsidTr="00BA238F">
        <w:trPr>
          <w:trHeight w:val="364"/>
          <w:jc w:val="center"/>
        </w:trPr>
        <w:tc>
          <w:tcPr>
            <w:tcW w:w="12328" w:type="dxa"/>
            <w:gridSpan w:val="4"/>
            <w:shd w:val="clear" w:color="auto" w:fill="auto"/>
            <w:vAlign w:val="center"/>
          </w:tcPr>
          <w:p w14:paraId="4BB725A7" w14:textId="77777777" w:rsidR="00CC32E9" w:rsidRPr="00D67D54" w:rsidRDefault="00CC32E9" w:rsidP="00BA238F">
            <w:pPr>
              <w:spacing w:before="240" w:after="60" w:line="260" w:lineRule="atLeast"/>
              <w:outlineLvl w:val="0"/>
              <w:rPr>
                <w:b/>
                <w:sz w:val="18"/>
                <w:szCs w:val="18"/>
              </w:rPr>
            </w:pPr>
            <w:r w:rsidRPr="00D67D54">
              <w:rPr>
                <w:b/>
                <w:sz w:val="18"/>
                <w:szCs w:val="18"/>
              </w:rPr>
              <w:t>Input parameters related to Scenarios</w:t>
            </w:r>
          </w:p>
        </w:tc>
      </w:tr>
      <w:tr w:rsidR="00CC32E9" w:rsidRPr="00D67D54" w14:paraId="474BE175" w14:textId="77777777" w:rsidTr="00BA238F">
        <w:trPr>
          <w:trHeight w:val="386"/>
          <w:jc w:val="center"/>
        </w:trPr>
        <w:tc>
          <w:tcPr>
            <w:tcW w:w="2830" w:type="dxa"/>
            <w:vAlign w:val="center"/>
          </w:tcPr>
          <w:p w14:paraId="5DF75A9A" w14:textId="77777777" w:rsidR="00CC32E9" w:rsidRPr="00D67D54" w:rsidRDefault="00CC32E9" w:rsidP="00BA238F">
            <w:pPr>
              <w:spacing w:before="240" w:after="60" w:line="260" w:lineRule="atLeast"/>
              <w:outlineLvl w:val="0"/>
              <w:rPr>
                <w:b/>
                <w:sz w:val="18"/>
                <w:szCs w:val="18"/>
              </w:rPr>
            </w:pPr>
            <w:r w:rsidRPr="00D67D54">
              <w:rPr>
                <w:sz w:val="18"/>
                <w:szCs w:val="18"/>
              </w:rPr>
              <w:t>Crop</w:t>
            </w:r>
          </w:p>
        </w:tc>
        <w:tc>
          <w:tcPr>
            <w:tcW w:w="3402" w:type="dxa"/>
            <w:vAlign w:val="center"/>
          </w:tcPr>
          <w:p w14:paraId="755B9F7B" w14:textId="77777777" w:rsidR="00CC32E9" w:rsidRPr="00D67D54" w:rsidDel="006C7D99" w:rsidRDefault="00CC32E9" w:rsidP="00BA238F">
            <w:pPr>
              <w:spacing w:before="240" w:after="60" w:line="260" w:lineRule="atLeast"/>
              <w:jc w:val="center"/>
              <w:outlineLvl w:val="0"/>
              <w:rPr>
                <w:sz w:val="18"/>
                <w:szCs w:val="18"/>
              </w:rPr>
            </w:pPr>
            <w:r w:rsidRPr="00D67D54">
              <w:rPr>
                <w:sz w:val="18"/>
                <w:szCs w:val="18"/>
              </w:rPr>
              <w:t>Agricultural land (maize)</w:t>
            </w:r>
          </w:p>
        </w:tc>
        <w:tc>
          <w:tcPr>
            <w:tcW w:w="3686" w:type="dxa"/>
            <w:vAlign w:val="center"/>
          </w:tcPr>
          <w:p w14:paraId="57023435" w14:textId="77777777" w:rsidR="00CC32E9" w:rsidRPr="00D67D54" w:rsidRDefault="00CC32E9" w:rsidP="00BA238F">
            <w:pPr>
              <w:spacing w:before="240" w:after="60" w:line="260" w:lineRule="atLeast"/>
              <w:jc w:val="center"/>
              <w:outlineLvl w:val="0"/>
              <w:rPr>
                <w:sz w:val="18"/>
                <w:szCs w:val="18"/>
              </w:rPr>
            </w:pPr>
            <w:r w:rsidRPr="00D67D54">
              <w:rPr>
                <w:sz w:val="18"/>
                <w:szCs w:val="18"/>
              </w:rPr>
              <w:t>Grassland (alfalfa)</w:t>
            </w:r>
          </w:p>
        </w:tc>
        <w:tc>
          <w:tcPr>
            <w:tcW w:w="2410" w:type="dxa"/>
            <w:vAlign w:val="center"/>
          </w:tcPr>
          <w:p w14:paraId="0A99BF48" w14:textId="77777777" w:rsidR="00CC32E9" w:rsidRPr="00D67D54" w:rsidRDefault="00CC32E9" w:rsidP="00BA238F">
            <w:pPr>
              <w:spacing w:before="240" w:after="60" w:line="260" w:lineRule="atLeast"/>
              <w:outlineLvl w:val="0"/>
              <w:rPr>
                <w:sz w:val="18"/>
                <w:szCs w:val="18"/>
              </w:rPr>
            </w:pPr>
            <w:r w:rsidRPr="00D67D54">
              <w:rPr>
                <w:sz w:val="18"/>
                <w:szCs w:val="18"/>
              </w:rPr>
              <w:t>Remarks</w:t>
            </w:r>
          </w:p>
        </w:tc>
      </w:tr>
      <w:tr w:rsidR="00CC32E9" w:rsidRPr="00D67D54" w14:paraId="0412C2F5" w14:textId="77777777" w:rsidTr="00BA238F">
        <w:trPr>
          <w:trHeight w:val="386"/>
          <w:jc w:val="center"/>
        </w:trPr>
        <w:tc>
          <w:tcPr>
            <w:tcW w:w="2830" w:type="dxa"/>
            <w:vAlign w:val="center"/>
          </w:tcPr>
          <w:p w14:paraId="4515171A" w14:textId="77777777" w:rsidR="00CC32E9" w:rsidRPr="00D67D54" w:rsidRDefault="00CC32E9" w:rsidP="00BA238F">
            <w:pPr>
              <w:spacing w:before="240" w:after="60" w:line="260" w:lineRule="atLeast"/>
              <w:outlineLvl w:val="0"/>
              <w:rPr>
                <w:b/>
                <w:sz w:val="18"/>
                <w:szCs w:val="18"/>
              </w:rPr>
            </w:pPr>
            <w:r w:rsidRPr="00D67D54">
              <w:rPr>
                <w:sz w:val="18"/>
                <w:szCs w:val="18"/>
              </w:rPr>
              <w:t>Sewage sludge application rate (kg/ha)</w:t>
            </w:r>
          </w:p>
        </w:tc>
        <w:tc>
          <w:tcPr>
            <w:tcW w:w="3402" w:type="dxa"/>
            <w:vAlign w:val="center"/>
          </w:tcPr>
          <w:p w14:paraId="552412DE" w14:textId="77777777" w:rsidR="00CC32E9" w:rsidRPr="00D67D54" w:rsidRDefault="00CC32E9" w:rsidP="00BA238F">
            <w:pPr>
              <w:spacing w:before="240" w:after="60" w:line="260" w:lineRule="atLeast"/>
              <w:jc w:val="center"/>
              <w:outlineLvl w:val="0"/>
              <w:rPr>
                <w:sz w:val="18"/>
                <w:szCs w:val="18"/>
              </w:rPr>
            </w:pPr>
            <w:r w:rsidRPr="00D67D54">
              <w:rPr>
                <w:sz w:val="18"/>
                <w:szCs w:val="18"/>
              </w:rPr>
              <w:t>5000 kg/ha</w:t>
            </w:r>
          </w:p>
        </w:tc>
        <w:tc>
          <w:tcPr>
            <w:tcW w:w="3686" w:type="dxa"/>
            <w:vAlign w:val="center"/>
          </w:tcPr>
          <w:p w14:paraId="63F4A0FE" w14:textId="77777777" w:rsidR="00CC32E9" w:rsidRPr="00D67D54" w:rsidRDefault="00CC32E9" w:rsidP="00BA238F">
            <w:pPr>
              <w:spacing w:before="240" w:after="60" w:line="260" w:lineRule="atLeast"/>
              <w:jc w:val="center"/>
              <w:outlineLvl w:val="0"/>
              <w:rPr>
                <w:sz w:val="18"/>
                <w:szCs w:val="18"/>
              </w:rPr>
            </w:pPr>
            <w:r w:rsidRPr="00D67D54">
              <w:rPr>
                <w:sz w:val="18"/>
                <w:szCs w:val="18"/>
              </w:rPr>
              <w:t>1000 kg/ha</w:t>
            </w:r>
          </w:p>
        </w:tc>
        <w:tc>
          <w:tcPr>
            <w:tcW w:w="2410" w:type="dxa"/>
            <w:vAlign w:val="center"/>
          </w:tcPr>
          <w:p w14:paraId="3AD12204"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4872FD02" w14:textId="77777777" w:rsidTr="00BA238F">
        <w:trPr>
          <w:trHeight w:val="386"/>
          <w:jc w:val="center"/>
        </w:trPr>
        <w:tc>
          <w:tcPr>
            <w:tcW w:w="2830" w:type="dxa"/>
            <w:vAlign w:val="center"/>
          </w:tcPr>
          <w:p w14:paraId="5ECDD9C3" w14:textId="77777777" w:rsidR="00CC32E9" w:rsidRPr="00D67D54" w:rsidRDefault="00CC32E9" w:rsidP="00BA238F">
            <w:pPr>
              <w:spacing w:before="240" w:after="60" w:line="260" w:lineRule="atLeast"/>
              <w:outlineLvl w:val="0"/>
              <w:rPr>
                <w:b/>
                <w:sz w:val="18"/>
                <w:szCs w:val="18"/>
              </w:rPr>
            </w:pPr>
            <w:r w:rsidRPr="00D67D54">
              <w:rPr>
                <w:sz w:val="18"/>
                <w:szCs w:val="18"/>
              </w:rPr>
              <w:t>Number of applications/interval (d)</w:t>
            </w:r>
          </w:p>
        </w:tc>
        <w:tc>
          <w:tcPr>
            <w:tcW w:w="7088" w:type="dxa"/>
            <w:gridSpan w:val="2"/>
            <w:vAlign w:val="center"/>
          </w:tcPr>
          <w:p w14:paraId="1A2806DA" w14:textId="77777777" w:rsidR="00CC32E9" w:rsidRPr="00D67D54" w:rsidRDefault="00CC32E9" w:rsidP="00BA238F">
            <w:pPr>
              <w:spacing w:before="240" w:after="60" w:line="260" w:lineRule="atLeast"/>
              <w:jc w:val="center"/>
              <w:outlineLvl w:val="0"/>
              <w:rPr>
                <w:sz w:val="18"/>
                <w:szCs w:val="18"/>
              </w:rPr>
            </w:pPr>
            <w:r w:rsidRPr="00D67D54">
              <w:rPr>
                <w:sz w:val="18"/>
                <w:szCs w:val="18"/>
              </w:rPr>
              <w:t>1 sewage sludge application /yr</w:t>
            </w:r>
          </w:p>
        </w:tc>
        <w:tc>
          <w:tcPr>
            <w:tcW w:w="2410" w:type="dxa"/>
            <w:vAlign w:val="center"/>
          </w:tcPr>
          <w:p w14:paraId="0C9B9A16"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6C772A73" w14:textId="77777777" w:rsidTr="00BA238F">
        <w:trPr>
          <w:trHeight w:val="364"/>
          <w:jc w:val="center"/>
        </w:trPr>
        <w:tc>
          <w:tcPr>
            <w:tcW w:w="2830" w:type="dxa"/>
            <w:vAlign w:val="center"/>
          </w:tcPr>
          <w:p w14:paraId="7E610659" w14:textId="77777777" w:rsidR="00CC32E9" w:rsidRPr="00D67D54" w:rsidRDefault="00CC32E9" w:rsidP="00BA238F">
            <w:pPr>
              <w:spacing w:before="240" w:after="60" w:line="260" w:lineRule="atLeast"/>
              <w:outlineLvl w:val="0"/>
              <w:rPr>
                <w:sz w:val="18"/>
                <w:szCs w:val="18"/>
              </w:rPr>
            </w:pPr>
            <w:r w:rsidRPr="00D67D54">
              <w:rPr>
                <w:sz w:val="18"/>
                <w:szCs w:val="18"/>
              </w:rPr>
              <w:t>Application date</w:t>
            </w:r>
          </w:p>
        </w:tc>
        <w:tc>
          <w:tcPr>
            <w:tcW w:w="3402" w:type="dxa"/>
            <w:vAlign w:val="center"/>
          </w:tcPr>
          <w:p w14:paraId="6B3D6F41" w14:textId="77777777" w:rsidR="00CC32E9" w:rsidRPr="00D67D54" w:rsidRDefault="00CC32E9" w:rsidP="00BA238F">
            <w:pPr>
              <w:spacing w:before="240" w:after="60" w:line="260" w:lineRule="atLeast"/>
              <w:jc w:val="center"/>
              <w:outlineLvl w:val="0"/>
              <w:rPr>
                <w:sz w:val="18"/>
                <w:szCs w:val="18"/>
              </w:rPr>
            </w:pPr>
            <w:r w:rsidRPr="00D67D54">
              <w:rPr>
                <w:sz w:val="18"/>
                <w:szCs w:val="18"/>
              </w:rPr>
              <w:t>Relative application: 20 days before crop event “emergence”</w:t>
            </w:r>
          </w:p>
        </w:tc>
        <w:tc>
          <w:tcPr>
            <w:tcW w:w="3686" w:type="dxa"/>
            <w:vAlign w:val="center"/>
          </w:tcPr>
          <w:p w14:paraId="2EE1F23F" w14:textId="77777777" w:rsidR="00CC32E9" w:rsidRPr="00D67D54" w:rsidRDefault="00CC32E9" w:rsidP="00BA238F">
            <w:pPr>
              <w:spacing w:before="240" w:after="60" w:line="260" w:lineRule="atLeast"/>
              <w:jc w:val="center"/>
              <w:outlineLvl w:val="0"/>
              <w:rPr>
                <w:sz w:val="18"/>
                <w:szCs w:val="18"/>
              </w:rPr>
            </w:pPr>
            <w:r w:rsidRPr="00D67D54">
              <w:rPr>
                <w:sz w:val="18"/>
                <w:szCs w:val="18"/>
              </w:rPr>
              <w:t>Absolute application: 1st of March</w:t>
            </w:r>
          </w:p>
        </w:tc>
        <w:tc>
          <w:tcPr>
            <w:tcW w:w="2410" w:type="dxa"/>
            <w:vAlign w:val="center"/>
          </w:tcPr>
          <w:p w14:paraId="2D172870"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3491855B" w14:textId="77777777" w:rsidTr="00BA238F">
        <w:trPr>
          <w:trHeight w:val="364"/>
          <w:jc w:val="center"/>
        </w:trPr>
        <w:tc>
          <w:tcPr>
            <w:tcW w:w="2830" w:type="dxa"/>
            <w:vAlign w:val="center"/>
          </w:tcPr>
          <w:p w14:paraId="32A46ED8" w14:textId="77777777" w:rsidR="00CC32E9" w:rsidRPr="00D67D54" w:rsidRDefault="00CC32E9" w:rsidP="00BA238F">
            <w:pPr>
              <w:spacing w:before="240" w:after="60" w:line="260" w:lineRule="atLeast"/>
              <w:outlineLvl w:val="0"/>
              <w:rPr>
                <w:sz w:val="18"/>
                <w:szCs w:val="18"/>
              </w:rPr>
            </w:pPr>
            <w:r w:rsidRPr="00D67D54">
              <w:rPr>
                <w:sz w:val="18"/>
                <w:szCs w:val="18"/>
              </w:rPr>
              <w:t>Incorporation depth (cm)</w:t>
            </w:r>
          </w:p>
        </w:tc>
        <w:tc>
          <w:tcPr>
            <w:tcW w:w="3402" w:type="dxa"/>
            <w:vAlign w:val="center"/>
          </w:tcPr>
          <w:p w14:paraId="693D320D" w14:textId="77777777" w:rsidR="00CC32E9" w:rsidRPr="00D67D54" w:rsidRDefault="00CC32E9" w:rsidP="00BA238F">
            <w:pPr>
              <w:spacing w:before="240" w:after="60" w:line="260" w:lineRule="atLeast"/>
              <w:jc w:val="center"/>
              <w:outlineLvl w:val="0"/>
              <w:rPr>
                <w:sz w:val="18"/>
                <w:szCs w:val="18"/>
              </w:rPr>
            </w:pPr>
            <w:r w:rsidRPr="00D67D54">
              <w:rPr>
                <w:sz w:val="18"/>
                <w:szCs w:val="18"/>
              </w:rPr>
              <w:t>20</w:t>
            </w:r>
          </w:p>
        </w:tc>
        <w:tc>
          <w:tcPr>
            <w:tcW w:w="3686" w:type="dxa"/>
            <w:vAlign w:val="center"/>
          </w:tcPr>
          <w:p w14:paraId="6BB617E7" w14:textId="77777777" w:rsidR="00CC32E9" w:rsidRPr="00D67D54" w:rsidRDefault="00CC32E9" w:rsidP="00BA238F">
            <w:pPr>
              <w:spacing w:before="240" w:after="60" w:line="260" w:lineRule="atLeast"/>
              <w:jc w:val="center"/>
              <w:outlineLvl w:val="0"/>
              <w:rPr>
                <w:sz w:val="18"/>
                <w:szCs w:val="18"/>
              </w:rPr>
            </w:pPr>
            <w:r w:rsidRPr="00D67D54">
              <w:rPr>
                <w:sz w:val="18"/>
                <w:szCs w:val="18"/>
              </w:rPr>
              <w:t>10</w:t>
            </w:r>
          </w:p>
        </w:tc>
        <w:tc>
          <w:tcPr>
            <w:tcW w:w="2410" w:type="dxa"/>
            <w:vAlign w:val="center"/>
          </w:tcPr>
          <w:p w14:paraId="43BFEA6F" w14:textId="77777777" w:rsidR="00CC32E9" w:rsidRPr="00D67D54" w:rsidRDefault="00CC32E9" w:rsidP="00BA238F">
            <w:pPr>
              <w:spacing w:before="240" w:after="60" w:line="260" w:lineRule="atLeast"/>
              <w:outlineLvl w:val="0"/>
              <w:rPr>
                <w:sz w:val="18"/>
                <w:szCs w:val="18"/>
              </w:rPr>
            </w:pPr>
            <w:r w:rsidRPr="00D67D54">
              <w:rPr>
                <w:sz w:val="18"/>
                <w:szCs w:val="18"/>
              </w:rPr>
              <w:t>D</w:t>
            </w:r>
          </w:p>
        </w:tc>
      </w:tr>
      <w:tr w:rsidR="00CC32E9" w:rsidRPr="00D67D54" w14:paraId="5B6FF869" w14:textId="77777777" w:rsidTr="00BA238F">
        <w:trPr>
          <w:trHeight w:val="364"/>
          <w:jc w:val="center"/>
        </w:trPr>
        <w:tc>
          <w:tcPr>
            <w:tcW w:w="2830" w:type="dxa"/>
            <w:vAlign w:val="center"/>
          </w:tcPr>
          <w:p w14:paraId="4DB5D684" w14:textId="77777777" w:rsidR="00CC32E9" w:rsidRPr="00D67D54" w:rsidRDefault="00CC32E9" w:rsidP="00BA238F">
            <w:pPr>
              <w:spacing w:before="240" w:after="60" w:line="260" w:lineRule="atLeast"/>
              <w:outlineLvl w:val="0"/>
              <w:rPr>
                <w:sz w:val="18"/>
                <w:szCs w:val="18"/>
              </w:rPr>
            </w:pPr>
            <w:r w:rsidRPr="00D67D54">
              <w:rPr>
                <w:sz w:val="18"/>
                <w:szCs w:val="18"/>
              </w:rPr>
              <w:t>Concentration of a.s. in dry sewage sludge, Csludge (mg/kg)</w:t>
            </w:r>
          </w:p>
        </w:tc>
        <w:tc>
          <w:tcPr>
            <w:tcW w:w="7088" w:type="dxa"/>
            <w:gridSpan w:val="2"/>
            <w:vAlign w:val="center"/>
          </w:tcPr>
          <w:p w14:paraId="53F3535A" w14:textId="4753CEBE" w:rsidR="00CC32E9" w:rsidRPr="00D67D54" w:rsidRDefault="00D04A56" w:rsidP="00BA238F">
            <w:pPr>
              <w:spacing w:before="240" w:after="60" w:line="260" w:lineRule="atLeast"/>
              <w:jc w:val="center"/>
              <w:outlineLvl w:val="0"/>
              <w:rPr>
                <w:sz w:val="18"/>
                <w:szCs w:val="18"/>
              </w:rPr>
            </w:pPr>
            <w:r>
              <w:rPr>
                <w:sz w:val="18"/>
                <w:szCs w:val="18"/>
              </w:rPr>
              <w:t>2.27</w:t>
            </w:r>
            <w:r w:rsidR="00CC32E9" w:rsidRPr="00D67D54">
              <w:rPr>
                <w:sz w:val="18"/>
                <w:szCs w:val="18"/>
              </w:rPr>
              <w:t>E+03</w:t>
            </w:r>
          </w:p>
        </w:tc>
        <w:tc>
          <w:tcPr>
            <w:tcW w:w="2410" w:type="dxa"/>
            <w:vAlign w:val="center"/>
          </w:tcPr>
          <w:p w14:paraId="38D195E3" w14:textId="647BFF3F" w:rsidR="00CC32E9" w:rsidRPr="00D67D54" w:rsidRDefault="00CC32E9" w:rsidP="00D04A56">
            <w:pPr>
              <w:spacing w:before="240" w:after="60" w:line="260" w:lineRule="atLeast"/>
              <w:outlineLvl w:val="0"/>
              <w:rPr>
                <w:sz w:val="18"/>
                <w:szCs w:val="18"/>
                <w:lang w:val="en-US"/>
              </w:rPr>
            </w:pPr>
            <w:r w:rsidRPr="00D67D54">
              <w:rPr>
                <w:sz w:val="18"/>
                <w:szCs w:val="18"/>
              </w:rPr>
              <w:t xml:space="preserve">S (summed values from Scenario 1, </w:t>
            </w:r>
            <w:r>
              <w:rPr>
                <w:sz w:val="18"/>
                <w:szCs w:val="18"/>
              </w:rPr>
              <w:t>2,</w:t>
            </w:r>
            <w:r w:rsidR="00D04A56">
              <w:rPr>
                <w:sz w:val="18"/>
                <w:szCs w:val="18"/>
              </w:rPr>
              <w:t xml:space="preserve"> 3,</w:t>
            </w:r>
            <w:r>
              <w:rPr>
                <w:sz w:val="18"/>
                <w:szCs w:val="18"/>
              </w:rPr>
              <w:t xml:space="preserve"> </w:t>
            </w:r>
            <w:r w:rsidRPr="00D67D54">
              <w:rPr>
                <w:sz w:val="18"/>
                <w:szCs w:val="18"/>
              </w:rPr>
              <w:t xml:space="preserve">4 &amp; </w:t>
            </w:r>
            <w:r w:rsidR="00D04A56">
              <w:rPr>
                <w:sz w:val="18"/>
                <w:szCs w:val="18"/>
              </w:rPr>
              <w:t>6)</w:t>
            </w:r>
          </w:p>
        </w:tc>
      </w:tr>
      <w:tr w:rsidR="00CC32E9" w:rsidRPr="00997465" w14:paraId="2C8F98DB" w14:textId="77777777" w:rsidTr="00BA238F">
        <w:trPr>
          <w:trHeight w:val="364"/>
          <w:jc w:val="center"/>
        </w:trPr>
        <w:tc>
          <w:tcPr>
            <w:tcW w:w="2830" w:type="dxa"/>
            <w:vAlign w:val="center"/>
          </w:tcPr>
          <w:p w14:paraId="7199B0E7" w14:textId="77777777" w:rsidR="00CC32E9" w:rsidRPr="00997465" w:rsidRDefault="00CC32E9" w:rsidP="00BA238F">
            <w:pPr>
              <w:spacing w:before="240" w:after="60" w:line="260" w:lineRule="atLeast"/>
              <w:outlineLvl w:val="0"/>
              <w:rPr>
                <w:sz w:val="18"/>
                <w:szCs w:val="18"/>
              </w:rPr>
            </w:pPr>
            <w:r w:rsidRPr="00997465">
              <w:rPr>
                <w:sz w:val="18"/>
                <w:szCs w:val="18"/>
              </w:rPr>
              <w:t xml:space="preserve">Application rate </w:t>
            </w:r>
          </w:p>
          <w:p w14:paraId="3024892D" w14:textId="77777777" w:rsidR="00CC32E9" w:rsidRPr="00997465" w:rsidRDefault="00CC32E9" w:rsidP="00BA238F">
            <w:pPr>
              <w:spacing w:before="240" w:after="60" w:line="260" w:lineRule="atLeast"/>
              <w:outlineLvl w:val="0"/>
              <w:rPr>
                <w:sz w:val="18"/>
                <w:szCs w:val="18"/>
              </w:rPr>
            </w:pPr>
            <w:r w:rsidRPr="00997465">
              <w:rPr>
                <w:sz w:val="18"/>
                <w:szCs w:val="18"/>
              </w:rPr>
              <w:t>(kg /ha/application)</w:t>
            </w:r>
          </w:p>
        </w:tc>
        <w:tc>
          <w:tcPr>
            <w:tcW w:w="3402" w:type="dxa"/>
            <w:vAlign w:val="center"/>
          </w:tcPr>
          <w:p w14:paraId="04AF558C" w14:textId="317670DD" w:rsidR="00CC32E9" w:rsidRPr="00997465" w:rsidRDefault="00D04A56" w:rsidP="00BA238F">
            <w:pPr>
              <w:spacing w:before="240" w:after="60" w:line="260" w:lineRule="atLeast"/>
              <w:jc w:val="center"/>
              <w:outlineLvl w:val="0"/>
              <w:rPr>
                <w:sz w:val="18"/>
                <w:szCs w:val="18"/>
              </w:rPr>
            </w:pPr>
            <w:r>
              <w:rPr>
                <w:sz w:val="18"/>
                <w:szCs w:val="18"/>
              </w:rPr>
              <w:t>1.13E+01</w:t>
            </w:r>
          </w:p>
        </w:tc>
        <w:tc>
          <w:tcPr>
            <w:tcW w:w="3686" w:type="dxa"/>
            <w:vAlign w:val="center"/>
          </w:tcPr>
          <w:p w14:paraId="5571994D" w14:textId="2A109C9E" w:rsidR="00CC32E9" w:rsidRPr="00997465" w:rsidRDefault="00D04A56" w:rsidP="00BA238F">
            <w:pPr>
              <w:spacing w:before="240" w:after="60" w:line="260" w:lineRule="atLeast"/>
              <w:jc w:val="center"/>
              <w:outlineLvl w:val="0"/>
              <w:rPr>
                <w:sz w:val="18"/>
                <w:szCs w:val="18"/>
              </w:rPr>
            </w:pPr>
            <w:r>
              <w:rPr>
                <w:sz w:val="18"/>
                <w:szCs w:val="18"/>
              </w:rPr>
              <w:t>2.27</w:t>
            </w:r>
          </w:p>
        </w:tc>
        <w:tc>
          <w:tcPr>
            <w:tcW w:w="2410" w:type="dxa"/>
            <w:vAlign w:val="center"/>
          </w:tcPr>
          <w:p w14:paraId="0212F6B8" w14:textId="77777777" w:rsidR="00CC32E9" w:rsidRPr="00997465" w:rsidRDefault="00CC32E9" w:rsidP="00BA238F">
            <w:pPr>
              <w:spacing w:before="240" w:after="60" w:line="260" w:lineRule="atLeast"/>
              <w:outlineLvl w:val="0"/>
              <w:rPr>
                <w:sz w:val="18"/>
                <w:szCs w:val="18"/>
              </w:rPr>
            </w:pPr>
            <w:r w:rsidRPr="00997465">
              <w:rPr>
                <w:sz w:val="18"/>
                <w:szCs w:val="18"/>
              </w:rPr>
              <w:t>Calculations are made based on the TAB Env V2, ENV-36</w:t>
            </w:r>
          </w:p>
        </w:tc>
      </w:tr>
    </w:tbl>
    <w:p w14:paraId="1BE7E341" w14:textId="77777777" w:rsidR="00CC32E9" w:rsidRDefault="00CC32E9" w:rsidP="00CC32E9">
      <w:pPr>
        <w:spacing w:line="260" w:lineRule="atLeast"/>
        <w:rPr>
          <w:rFonts w:eastAsia="Calibri"/>
          <w:lang w:val="en-US" w:eastAsia="en-US"/>
        </w:rPr>
      </w:pPr>
    </w:p>
    <w:p w14:paraId="056D7E45" w14:textId="77777777" w:rsidR="000262D7" w:rsidRPr="009106F8" w:rsidRDefault="000262D7" w:rsidP="000262D7">
      <w:pPr>
        <w:jc w:val="both"/>
        <w:rPr>
          <w:u w:val="single"/>
        </w:rPr>
      </w:pPr>
      <w:r w:rsidRPr="009106F8">
        <w:rPr>
          <w:u w:val="single"/>
        </w:rPr>
        <w:t xml:space="preserve">The results of the FOCUS modelings are presented below: </w:t>
      </w:r>
    </w:p>
    <w:p w14:paraId="5491CA52" w14:textId="77777777" w:rsidR="000262D7" w:rsidRPr="006C2ABA" w:rsidRDefault="000262D7" w:rsidP="000262D7">
      <w:pPr>
        <w:jc w:val="both"/>
      </w:pPr>
    </w:p>
    <w:tbl>
      <w:tblPr>
        <w:tblStyle w:val="Grilledutableau"/>
        <w:tblW w:w="0" w:type="auto"/>
        <w:jc w:val="center"/>
        <w:tblInd w:w="0" w:type="dxa"/>
        <w:tblLook w:val="04A0" w:firstRow="1" w:lastRow="0" w:firstColumn="1" w:lastColumn="0" w:noHBand="0" w:noVBand="1"/>
      </w:tblPr>
      <w:tblGrid>
        <w:gridCol w:w="3503"/>
        <w:gridCol w:w="2858"/>
        <w:gridCol w:w="2652"/>
      </w:tblGrid>
      <w:tr w:rsidR="000262D7" w:rsidRPr="006C2ABA" w14:paraId="71289415" w14:textId="77777777" w:rsidTr="00774E4D">
        <w:trPr>
          <w:trHeight w:val="357"/>
          <w:jc w:val="center"/>
        </w:trPr>
        <w:tc>
          <w:tcPr>
            <w:tcW w:w="9013" w:type="dxa"/>
            <w:gridSpan w:val="3"/>
            <w:shd w:val="clear" w:color="auto" w:fill="F8F5CC"/>
            <w:vAlign w:val="center"/>
          </w:tcPr>
          <w:p w14:paraId="780BA0E6" w14:textId="5314706A" w:rsidR="000262D7" w:rsidRPr="00997465" w:rsidRDefault="000262D7" w:rsidP="000262D7">
            <w:pPr>
              <w:jc w:val="center"/>
              <w:rPr>
                <w:rFonts w:eastAsia="Calibri" w:cs="Times New Roman"/>
                <w:i/>
                <w:sz w:val="18"/>
                <w:szCs w:val="18"/>
                <w:lang w:eastAsia="en-US"/>
              </w:rPr>
            </w:pPr>
            <w:r w:rsidRPr="00997465">
              <w:rPr>
                <w:rFonts w:cs="Arial"/>
                <w:b/>
                <w:bCs/>
                <w:color w:val="000000"/>
                <w:sz w:val="18"/>
                <w:szCs w:val="18"/>
                <w:lang w:eastAsia="en-GB"/>
              </w:rPr>
              <w:t>Emissions to Groundwater : PEC</w:t>
            </w:r>
            <w:r w:rsidRPr="00997465">
              <w:rPr>
                <w:rFonts w:cs="Arial"/>
                <w:b/>
                <w:bCs/>
                <w:color w:val="000000"/>
                <w:sz w:val="18"/>
                <w:szCs w:val="18"/>
                <w:vertAlign w:val="subscript"/>
                <w:lang w:eastAsia="en-GB"/>
              </w:rPr>
              <w:t xml:space="preserve">gw </w:t>
            </w:r>
            <w:r w:rsidRPr="00997465">
              <w:rPr>
                <w:rFonts w:cs="Arial"/>
                <w:b/>
                <w:bCs/>
                <w:color w:val="000000"/>
                <w:sz w:val="18"/>
                <w:szCs w:val="18"/>
                <w:lang w:eastAsia="en-GB"/>
              </w:rPr>
              <w:t xml:space="preserve">in µg/L (FOCUS PEARL 4.4.4) – </w:t>
            </w:r>
            <w:r>
              <w:rPr>
                <w:rFonts w:cs="Arial"/>
                <w:b/>
                <w:sz w:val="18"/>
                <w:szCs w:val="18"/>
                <w:lang w:eastAsia="en-GB"/>
              </w:rPr>
              <w:t>OTNE</w:t>
            </w:r>
          </w:p>
        </w:tc>
      </w:tr>
      <w:tr w:rsidR="000262D7" w:rsidRPr="006C2ABA" w14:paraId="0F07695F" w14:textId="77777777" w:rsidTr="00774E4D">
        <w:trPr>
          <w:trHeight w:val="357"/>
          <w:jc w:val="center"/>
        </w:trPr>
        <w:tc>
          <w:tcPr>
            <w:tcW w:w="9013" w:type="dxa"/>
            <w:gridSpan w:val="3"/>
            <w:shd w:val="clear" w:color="auto" w:fill="auto"/>
            <w:vAlign w:val="center"/>
          </w:tcPr>
          <w:p w14:paraId="3CC5E5A3" w14:textId="77777777" w:rsidR="000262D7" w:rsidRPr="00997465" w:rsidRDefault="000262D7" w:rsidP="00774E4D">
            <w:pPr>
              <w:rPr>
                <w:rFonts w:cs="Arial"/>
                <w:b/>
                <w:bCs/>
                <w:color w:val="000000"/>
                <w:sz w:val="18"/>
                <w:szCs w:val="18"/>
                <w:lang w:eastAsia="en-GB"/>
              </w:rPr>
            </w:pPr>
            <w:r w:rsidRPr="00997465">
              <w:rPr>
                <w:rFonts w:cs="Arial"/>
                <w:b/>
                <w:sz w:val="18"/>
                <w:szCs w:val="18"/>
                <w:lang w:eastAsia="en-GB"/>
              </w:rPr>
              <w:t>Output</w:t>
            </w:r>
          </w:p>
        </w:tc>
      </w:tr>
      <w:tr w:rsidR="000262D7" w:rsidRPr="006C2ABA" w14:paraId="10DD134D" w14:textId="77777777" w:rsidTr="00774E4D">
        <w:trPr>
          <w:trHeight w:val="357"/>
          <w:jc w:val="center"/>
        </w:trPr>
        <w:tc>
          <w:tcPr>
            <w:tcW w:w="9013" w:type="dxa"/>
            <w:gridSpan w:val="3"/>
            <w:shd w:val="clear" w:color="auto" w:fill="auto"/>
            <w:vAlign w:val="center"/>
          </w:tcPr>
          <w:p w14:paraId="2A621C1B" w14:textId="5EF35218" w:rsidR="000262D7" w:rsidRPr="00997465" w:rsidRDefault="000262D7" w:rsidP="00774E4D">
            <w:pPr>
              <w:rPr>
                <w:rFonts w:cs="Arial"/>
                <w:b/>
                <w:sz w:val="18"/>
                <w:szCs w:val="18"/>
                <w:lang w:eastAsia="en-GB"/>
              </w:rPr>
            </w:pPr>
            <w:r w:rsidRPr="00997465">
              <w:rPr>
                <w:rFonts w:cs="Arial"/>
                <w:b/>
                <w:sz w:val="18"/>
                <w:szCs w:val="18"/>
                <w:lang w:eastAsia="en-GB"/>
              </w:rPr>
              <w:t xml:space="preserve">INDIRECT EXPOSURE via the STP – </w:t>
            </w:r>
            <w:r w:rsidR="00774E4D">
              <w:rPr>
                <w:rFonts w:cs="Arial"/>
                <w:b/>
                <w:sz w:val="18"/>
                <w:szCs w:val="18"/>
                <w:lang w:eastAsia="en-GB"/>
              </w:rPr>
              <w:t>OTNE</w:t>
            </w:r>
          </w:p>
        </w:tc>
      </w:tr>
      <w:tr w:rsidR="000262D7" w:rsidRPr="006C2ABA" w14:paraId="007C0358" w14:textId="77777777" w:rsidTr="00774E4D">
        <w:trPr>
          <w:trHeight w:val="379"/>
          <w:jc w:val="center"/>
        </w:trPr>
        <w:tc>
          <w:tcPr>
            <w:tcW w:w="3503" w:type="dxa"/>
            <w:vAlign w:val="center"/>
          </w:tcPr>
          <w:p w14:paraId="0C3A1C23" w14:textId="77777777" w:rsidR="000262D7" w:rsidRPr="00997465" w:rsidRDefault="000262D7" w:rsidP="00774E4D">
            <w:pPr>
              <w:autoSpaceDE w:val="0"/>
              <w:autoSpaceDN w:val="0"/>
              <w:adjustRightInd w:val="0"/>
              <w:spacing w:before="60" w:after="60"/>
              <w:rPr>
                <w:rFonts w:cs="Arial"/>
                <w:b/>
                <w:sz w:val="18"/>
                <w:szCs w:val="18"/>
                <w:lang w:eastAsia="en-GB"/>
              </w:rPr>
            </w:pPr>
            <w:r w:rsidRPr="00997465">
              <w:rPr>
                <w:sz w:val="18"/>
                <w:szCs w:val="18"/>
              </w:rPr>
              <w:t>Crop</w:t>
            </w:r>
          </w:p>
        </w:tc>
        <w:tc>
          <w:tcPr>
            <w:tcW w:w="2858" w:type="dxa"/>
            <w:tcBorders>
              <w:bottom w:val="single" w:sz="4" w:space="0" w:color="auto"/>
            </w:tcBorders>
            <w:vAlign w:val="center"/>
          </w:tcPr>
          <w:p w14:paraId="2C560FCE" w14:textId="77777777" w:rsidR="000262D7" w:rsidRPr="00997465" w:rsidDel="006C7D99" w:rsidRDefault="000262D7" w:rsidP="00774E4D">
            <w:pPr>
              <w:autoSpaceDE w:val="0"/>
              <w:autoSpaceDN w:val="0"/>
              <w:adjustRightInd w:val="0"/>
              <w:spacing w:before="60" w:after="60"/>
              <w:jc w:val="center"/>
              <w:rPr>
                <w:rFonts w:cs="Arial"/>
                <w:sz w:val="18"/>
                <w:szCs w:val="18"/>
                <w:lang w:eastAsia="en-GB"/>
              </w:rPr>
            </w:pPr>
            <w:r w:rsidRPr="00997465">
              <w:rPr>
                <w:rFonts w:cs="Arial"/>
                <w:sz w:val="18"/>
                <w:szCs w:val="18"/>
                <w:lang w:eastAsia="en-GB"/>
              </w:rPr>
              <w:t>Agricultural land (maize)</w:t>
            </w:r>
          </w:p>
        </w:tc>
        <w:tc>
          <w:tcPr>
            <w:tcW w:w="2652" w:type="dxa"/>
            <w:tcBorders>
              <w:bottom w:val="single" w:sz="4" w:space="0" w:color="auto"/>
            </w:tcBorders>
            <w:vAlign w:val="center"/>
          </w:tcPr>
          <w:p w14:paraId="7CA9284D" w14:textId="77777777" w:rsidR="000262D7" w:rsidRPr="00997465" w:rsidRDefault="000262D7" w:rsidP="00774E4D">
            <w:pPr>
              <w:autoSpaceDE w:val="0"/>
              <w:autoSpaceDN w:val="0"/>
              <w:adjustRightInd w:val="0"/>
              <w:spacing w:before="60" w:after="60"/>
              <w:jc w:val="center"/>
              <w:rPr>
                <w:rFonts w:cs="Arial"/>
                <w:sz w:val="18"/>
                <w:szCs w:val="18"/>
                <w:lang w:eastAsia="en-GB"/>
              </w:rPr>
            </w:pPr>
            <w:r w:rsidRPr="00997465">
              <w:rPr>
                <w:rFonts w:cs="Arial"/>
                <w:sz w:val="18"/>
                <w:szCs w:val="18"/>
                <w:lang w:eastAsia="en-GB"/>
              </w:rPr>
              <w:t>Grassland (alfala)</w:t>
            </w:r>
          </w:p>
        </w:tc>
      </w:tr>
      <w:tr w:rsidR="000262D7" w:rsidRPr="006C2ABA" w14:paraId="69AE39D6" w14:textId="77777777" w:rsidTr="00774E4D">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3098F3B4" w14:textId="77777777" w:rsidR="000262D7" w:rsidRPr="00997465" w:rsidRDefault="000262D7" w:rsidP="00774E4D">
            <w:pPr>
              <w:autoSpaceDE w:val="0"/>
              <w:autoSpaceDN w:val="0"/>
              <w:adjustRightInd w:val="0"/>
              <w:spacing w:before="60" w:after="60"/>
              <w:rPr>
                <w:sz w:val="18"/>
                <w:szCs w:val="18"/>
              </w:rPr>
            </w:pPr>
            <w:r w:rsidRPr="00997465">
              <w:rPr>
                <w:sz w:val="18"/>
                <w:szCs w:val="18"/>
              </w:rPr>
              <w:t>CHATEAUDUN</w:t>
            </w:r>
          </w:p>
        </w:tc>
        <w:tc>
          <w:tcPr>
            <w:tcW w:w="2858" w:type="dxa"/>
            <w:tcBorders>
              <w:top w:val="single" w:sz="4" w:space="0" w:color="auto"/>
              <w:left w:val="nil"/>
              <w:bottom w:val="single" w:sz="4" w:space="0" w:color="auto"/>
              <w:right w:val="single" w:sz="4" w:space="0" w:color="auto"/>
            </w:tcBorders>
            <w:shd w:val="clear" w:color="auto" w:fill="auto"/>
            <w:vAlign w:val="bottom"/>
          </w:tcPr>
          <w:p w14:paraId="76CA04B9" w14:textId="112C8195" w:rsidR="000262D7" w:rsidRPr="00997465" w:rsidRDefault="000262D7" w:rsidP="000262D7">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F242BB9" w14:textId="02FD14F8"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16857CE0" w14:textId="77777777" w:rsidTr="00774E4D">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5BEDBA94" w14:textId="77777777" w:rsidR="000262D7" w:rsidRPr="00997465" w:rsidRDefault="000262D7" w:rsidP="00774E4D">
            <w:pPr>
              <w:autoSpaceDE w:val="0"/>
              <w:autoSpaceDN w:val="0"/>
              <w:adjustRightInd w:val="0"/>
              <w:spacing w:before="60" w:after="60"/>
              <w:rPr>
                <w:sz w:val="18"/>
                <w:szCs w:val="18"/>
              </w:rPr>
            </w:pPr>
            <w:r w:rsidRPr="00997465">
              <w:rPr>
                <w:sz w:val="18"/>
                <w:szCs w:val="18"/>
              </w:rPr>
              <w:t>HAMBURG</w:t>
            </w:r>
          </w:p>
        </w:tc>
        <w:tc>
          <w:tcPr>
            <w:tcW w:w="2858" w:type="dxa"/>
            <w:tcBorders>
              <w:top w:val="single" w:sz="4" w:space="0" w:color="auto"/>
              <w:left w:val="nil"/>
              <w:bottom w:val="single" w:sz="4" w:space="0" w:color="auto"/>
              <w:right w:val="single" w:sz="4" w:space="0" w:color="auto"/>
            </w:tcBorders>
            <w:shd w:val="clear" w:color="auto" w:fill="auto"/>
            <w:vAlign w:val="bottom"/>
          </w:tcPr>
          <w:p w14:paraId="4A1BB8ED" w14:textId="0EAE1CD7"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24922AED" w14:textId="7C662E1E"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1EBBB8F3" w14:textId="77777777" w:rsidTr="00774E4D">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1A144863" w14:textId="77777777" w:rsidR="000262D7" w:rsidRPr="00997465" w:rsidRDefault="000262D7" w:rsidP="00774E4D">
            <w:pPr>
              <w:autoSpaceDE w:val="0"/>
              <w:autoSpaceDN w:val="0"/>
              <w:adjustRightInd w:val="0"/>
              <w:spacing w:before="60" w:after="60"/>
              <w:rPr>
                <w:sz w:val="18"/>
                <w:szCs w:val="18"/>
              </w:rPr>
            </w:pPr>
            <w:r w:rsidRPr="00997465">
              <w:rPr>
                <w:sz w:val="18"/>
                <w:szCs w:val="18"/>
              </w:rPr>
              <w:t>JOKIOINEN</w:t>
            </w:r>
          </w:p>
        </w:tc>
        <w:tc>
          <w:tcPr>
            <w:tcW w:w="2858" w:type="dxa"/>
            <w:tcBorders>
              <w:top w:val="single" w:sz="4" w:space="0" w:color="auto"/>
              <w:left w:val="nil"/>
              <w:bottom w:val="single" w:sz="4" w:space="0" w:color="auto"/>
              <w:right w:val="single" w:sz="4" w:space="0" w:color="auto"/>
            </w:tcBorders>
            <w:shd w:val="clear" w:color="auto" w:fill="auto"/>
            <w:vAlign w:val="bottom"/>
          </w:tcPr>
          <w:p w14:paraId="1729BB7C" w14:textId="77777777" w:rsidR="000262D7" w:rsidRPr="00997465" w:rsidRDefault="000262D7" w:rsidP="00774E4D">
            <w:pPr>
              <w:autoSpaceDE w:val="0"/>
              <w:autoSpaceDN w:val="0"/>
              <w:adjustRightInd w:val="0"/>
              <w:spacing w:before="60" w:after="60"/>
              <w:jc w:val="center"/>
              <w:rPr>
                <w:rFonts w:cs="Calibri"/>
                <w:bCs/>
                <w:color w:val="000000"/>
                <w:sz w:val="18"/>
                <w:szCs w:val="18"/>
              </w:rPr>
            </w:pPr>
            <w:r>
              <w:rPr>
                <w:rFonts w:cs="Calibri"/>
                <w:bCs/>
                <w:color w:val="000000"/>
                <w:sz w:val="18"/>
                <w:szCs w:val="18"/>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70A3C65" w14:textId="747E651A"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77A2C0FA" w14:textId="77777777" w:rsidTr="00774E4D">
        <w:trPr>
          <w:trHeight w:val="379"/>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22B2F5FB" w14:textId="77777777" w:rsidR="000262D7" w:rsidRPr="00997465" w:rsidRDefault="000262D7" w:rsidP="00774E4D">
            <w:pPr>
              <w:autoSpaceDE w:val="0"/>
              <w:autoSpaceDN w:val="0"/>
              <w:adjustRightInd w:val="0"/>
              <w:spacing w:before="60" w:after="60"/>
              <w:rPr>
                <w:sz w:val="18"/>
                <w:szCs w:val="18"/>
              </w:rPr>
            </w:pPr>
            <w:r w:rsidRPr="00997465">
              <w:rPr>
                <w:sz w:val="18"/>
                <w:szCs w:val="18"/>
              </w:rPr>
              <w:t>KREMSMUENSTER</w:t>
            </w:r>
          </w:p>
        </w:tc>
        <w:tc>
          <w:tcPr>
            <w:tcW w:w="2858" w:type="dxa"/>
            <w:tcBorders>
              <w:top w:val="single" w:sz="4" w:space="0" w:color="auto"/>
              <w:left w:val="nil"/>
              <w:bottom w:val="single" w:sz="4" w:space="0" w:color="auto"/>
              <w:right w:val="single" w:sz="4" w:space="0" w:color="auto"/>
            </w:tcBorders>
            <w:shd w:val="clear" w:color="auto" w:fill="auto"/>
            <w:vAlign w:val="bottom"/>
          </w:tcPr>
          <w:p w14:paraId="46935E66" w14:textId="087BBD51"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E993C15" w14:textId="7C5296A4"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73B0BFC9" w14:textId="77777777" w:rsidTr="00774E4D">
        <w:trPr>
          <w:trHeight w:val="38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39D21E5F" w14:textId="77777777" w:rsidR="000262D7" w:rsidRPr="00997465" w:rsidRDefault="000262D7" w:rsidP="00774E4D">
            <w:pPr>
              <w:autoSpaceDE w:val="0"/>
              <w:autoSpaceDN w:val="0"/>
              <w:adjustRightInd w:val="0"/>
              <w:spacing w:before="60" w:after="60"/>
              <w:rPr>
                <w:sz w:val="18"/>
                <w:szCs w:val="18"/>
              </w:rPr>
            </w:pPr>
            <w:r w:rsidRPr="00997465">
              <w:rPr>
                <w:sz w:val="18"/>
                <w:szCs w:val="18"/>
              </w:rPr>
              <w:t>OKEHAMPTON</w:t>
            </w:r>
          </w:p>
        </w:tc>
        <w:tc>
          <w:tcPr>
            <w:tcW w:w="2858" w:type="dxa"/>
            <w:tcBorders>
              <w:top w:val="single" w:sz="4" w:space="0" w:color="auto"/>
              <w:left w:val="nil"/>
              <w:bottom w:val="single" w:sz="4" w:space="0" w:color="auto"/>
              <w:right w:val="single" w:sz="4" w:space="0" w:color="auto"/>
            </w:tcBorders>
            <w:shd w:val="clear" w:color="auto" w:fill="auto"/>
            <w:vAlign w:val="bottom"/>
          </w:tcPr>
          <w:p w14:paraId="4CE3FD8D" w14:textId="5B10246A"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182D84C" w14:textId="7C02F8C1"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6F2DCF81" w14:textId="77777777" w:rsidTr="00774E4D">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5EBA7C9A" w14:textId="77777777" w:rsidR="000262D7" w:rsidRPr="00997465" w:rsidRDefault="000262D7" w:rsidP="00774E4D">
            <w:pPr>
              <w:autoSpaceDE w:val="0"/>
              <w:autoSpaceDN w:val="0"/>
              <w:adjustRightInd w:val="0"/>
              <w:spacing w:before="60" w:after="60"/>
              <w:rPr>
                <w:sz w:val="18"/>
                <w:szCs w:val="18"/>
              </w:rPr>
            </w:pPr>
            <w:r w:rsidRPr="00997465">
              <w:rPr>
                <w:sz w:val="18"/>
                <w:szCs w:val="18"/>
              </w:rPr>
              <w:lastRenderedPageBreak/>
              <w:t>PIACENZA</w:t>
            </w:r>
          </w:p>
        </w:tc>
        <w:tc>
          <w:tcPr>
            <w:tcW w:w="2858" w:type="dxa"/>
            <w:tcBorders>
              <w:top w:val="single" w:sz="4" w:space="0" w:color="auto"/>
              <w:left w:val="nil"/>
              <w:bottom w:val="single" w:sz="4" w:space="0" w:color="auto"/>
              <w:right w:val="single" w:sz="4" w:space="0" w:color="auto"/>
            </w:tcBorders>
            <w:shd w:val="clear" w:color="auto" w:fill="auto"/>
            <w:vAlign w:val="bottom"/>
          </w:tcPr>
          <w:p w14:paraId="334B0014" w14:textId="26B40E5B"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5F4EDAD4" w14:textId="4BF393E4"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6D54C9D9" w14:textId="77777777" w:rsidTr="00774E4D">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4B7E758F" w14:textId="77777777" w:rsidR="000262D7" w:rsidRPr="00997465" w:rsidRDefault="000262D7" w:rsidP="00774E4D">
            <w:pPr>
              <w:autoSpaceDE w:val="0"/>
              <w:autoSpaceDN w:val="0"/>
              <w:adjustRightInd w:val="0"/>
              <w:spacing w:before="60" w:after="60"/>
              <w:rPr>
                <w:sz w:val="18"/>
                <w:szCs w:val="18"/>
              </w:rPr>
            </w:pPr>
            <w:r w:rsidRPr="00997465">
              <w:rPr>
                <w:sz w:val="18"/>
                <w:szCs w:val="18"/>
              </w:rPr>
              <w:t>PORTO</w:t>
            </w:r>
          </w:p>
        </w:tc>
        <w:tc>
          <w:tcPr>
            <w:tcW w:w="2858" w:type="dxa"/>
            <w:tcBorders>
              <w:top w:val="single" w:sz="4" w:space="0" w:color="auto"/>
              <w:left w:val="nil"/>
              <w:bottom w:val="single" w:sz="4" w:space="0" w:color="auto"/>
              <w:right w:val="single" w:sz="4" w:space="0" w:color="auto"/>
            </w:tcBorders>
            <w:shd w:val="clear" w:color="auto" w:fill="auto"/>
            <w:vAlign w:val="bottom"/>
          </w:tcPr>
          <w:p w14:paraId="4D70C5CA" w14:textId="465D259D"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7A60C439" w14:textId="1D6153FE"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5E4177E3" w14:textId="77777777" w:rsidTr="00774E4D">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68D06F82" w14:textId="77777777" w:rsidR="000262D7" w:rsidRPr="00997465" w:rsidRDefault="000262D7" w:rsidP="00774E4D">
            <w:pPr>
              <w:autoSpaceDE w:val="0"/>
              <w:autoSpaceDN w:val="0"/>
              <w:adjustRightInd w:val="0"/>
              <w:spacing w:before="60" w:after="60"/>
              <w:rPr>
                <w:sz w:val="18"/>
                <w:szCs w:val="18"/>
              </w:rPr>
            </w:pPr>
            <w:r w:rsidRPr="00997465">
              <w:rPr>
                <w:sz w:val="18"/>
                <w:szCs w:val="18"/>
              </w:rPr>
              <w:t>SEVILLA</w:t>
            </w:r>
          </w:p>
        </w:tc>
        <w:tc>
          <w:tcPr>
            <w:tcW w:w="2858" w:type="dxa"/>
            <w:tcBorders>
              <w:top w:val="single" w:sz="4" w:space="0" w:color="auto"/>
              <w:left w:val="nil"/>
              <w:bottom w:val="single" w:sz="4" w:space="0" w:color="auto"/>
              <w:right w:val="single" w:sz="4" w:space="0" w:color="auto"/>
            </w:tcBorders>
            <w:shd w:val="clear" w:color="auto" w:fill="auto"/>
            <w:vAlign w:val="bottom"/>
          </w:tcPr>
          <w:p w14:paraId="1F52BACD" w14:textId="0C87DAFD"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3D50584" w14:textId="080A0245"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r w:rsidR="000262D7" w:rsidRPr="006C2ABA" w14:paraId="728BE884" w14:textId="77777777" w:rsidTr="00774E4D">
        <w:trPr>
          <w:trHeight w:val="357"/>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14:paraId="10A11EA1" w14:textId="77777777" w:rsidR="000262D7" w:rsidRPr="00997465" w:rsidRDefault="000262D7" w:rsidP="00774E4D">
            <w:pPr>
              <w:autoSpaceDE w:val="0"/>
              <w:autoSpaceDN w:val="0"/>
              <w:adjustRightInd w:val="0"/>
              <w:spacing w:before="60" w:after="60"/>
              <w:rPr>
                <w:sz w:val="18"/>
                <w:szCs w:val="18"/>
              </w:rPr>
            </w:pPr>
            <w:r w:rsidRPr="00997465">
              <w:rPr>
                <w:sz w:val="18"/>
                <w:szCs w:val="18"/>
              </w:rPr>
              <w:t>THIVA</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bottom"/>
          </w:tcPr>
          <w:p w14:paraId="1020ADD4" w14:textId="43A485D3"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c>
          <w:tcPr>
            <w:tcW w:w="2652" w:type="dxa"/>
            <w:tcBorders>
              <w:top w:val="single" w:sz="4" w:space="0" w:color="auto"/>
              <w:left w:val="nil"/>
              <w:bottom w:val="single" w:sz="4" w:space="0" w:color="auto"/>
              <w:right w:val="single" w:sz="4" w:space="0" w:color="auto"/>
            </w:tcBorders>
            <w:shd w:val="clear" w:color="auto" w:fill="auto"/>
            <w:vAlign w:val="center"/>
          </w:tcPr>
          <w:p w14:paraId="50B95F5A" w14:textId="06839A5A" w:rsidR="000262D7" w:rsidRPr="00997465" w:rsidRDefault="000262D7" w:rsidP="00774E4D">
            <w:pPr>
              <w:autoSpaceDE w:val="0"/>
              <w:autoSpaceDN w:val="0"/>
              <w:adjustRightInd w:val="0"/>
              <w:spacing w:before="60" w:after="60"/>
              <w:jc w:val="center"/>
              <w:rPr>
                <w:rFonts w:cs="Calibri"/>
                <w:bCs/>
                <w:color w:val="000000"/>
                <w:sz w:val="18"/>
                <w:szCs w:val="18"/>
              </w:rPr>
            </w:pPr>
            <w:r>
              <w:rPr>
                <w:rFonts w:ascii="Calibri" w:hAnsi="Calibri" w:cs="Calibri"/>
                <w:color w:val="000000"/>
                <w:sz w:val="22"/>
                <w:szCs w:val="22"/>
              </w:rPr>
              <w:t>0.00</w:t>
            </w:r>
          </w:p>
        </w:tc>
      </w:tr>
    </w:tbl>
    <w:p w14:paraId="2A05E8FD" w14:textId="77777777" w:rsidR="00CC32E9" w:rsidRDefault="00CC32E9" w:rsidP="00CC32E9">
      <w:pPr>
        <w:spacing w:line="260" w:lineRule="atLeast"/>
        <w:rPr>
          <w:rFonts w:eastAsia="Calibri"/>
          <w:lang w:val="en-US" w:eastAsia="en-US"/>
        </w:rPr>
      </w:pPr>
    </w:p>
    <w:p w14:paraId="2B49A764" w14:textId="594F4F5F" w:rsidR="000262D7" w:rsidRPr="00D976CA" w:rsidRDefault="000262D7" w:rsidP="000262D7">
      <w:pPr>
        <w:spacing w:line="260" w:lineRule="atLeast"/>
        <w:jc w:val="both"/>
        <w:rPr>
          <w:rFonts w:eastAsia="Calibri" w:cs="Times New Roman"/>
          <w:iCs/>
          <w:lang w:eastAsia="en-US"/>
        </w:rPr>
      </w:pPr>
      <w:r>
        <w:rPr>
          <w:rFonts w:eastAsia="Calibri" w:cs="Times New Roman"/>
          <w:iCs/>
          <w:lang w:eastAsia="en-US"/>
        </w:rPr>
        <w:t xml:space="preserve">For all the locations, the indirect exposure via STP for agricultural land and grassland show concentrations of </w:t>
      </w:r>
      <w:r w:rsidR="00D83593">
        <w:rPr>
          <w:rFonts w:eastAsia="Calibri" w:cs="Times New Roman"/>
          <w:iCs/>
          <w:lang w:eastAsia="en-US"/>
        </w:rPr>
        <w:t>OTNE</w:t>
      </w:r>
      <w:r>
        <w:rPr>
          <w:rFonts w:eastAsia="Calibri" w:cs="Times New Roman"/>
          <w:iCs/>
          <w:lang w:eastAsia="en-US"/>
        </w:rPr>
        <w:t xml:space="preserve"> below the threshold value of 0.1 µg/L after FOCUS refinement. </w:t>
      </w:r>
    </w:p>
    <w:p w14:paraId="7846B89E" w14:textId="77777777" w:rsidR="00CC32E9" w:rsidRPr="00B27CB1" w:rsidRDefault="00CC32E9" w:rsidP="00CC32E9">
      <w:pPr>
        <w:spacing w:line="260" w:lineRule="atLeast"/>
        <w:rPr>
          <w:rFonts w:eastAsia="Calibri"/>
          <w:lang w:eastAsia="en-US"/>
        </w:rPr>
      </w:pPr>
    </w:p>
    <w:p w14:paraId="4C257E7B" w14:textId="77777777" w:rsidR="00CC32E9" w:rsidRPr="00B27CB1" w:rsidRDefault="00CC32E9" w:rsidP="00CC32E9">
      <w:pPr>
        <w:rPr>
          <w:rFonts w:eastAsia="Calibri"/>
          <w:b/>
          <w:i/>
          <w:sz w:val="22"/>
          <w:szCs w:val="22"/>
          <w:lang w:eastAsia="en-US"/>
        </w:rPr>
      </w:pPr>
      <w:r w:rsidRPr="00B27CB1">
        <w:rPr>
          <w:rFonts w:eastAsia="Calibri"/>
          <w:b/>
          <w:i/>
          <w:sz w:val="22"/>
          <w:szCs w:val="22"/>
          <w:lang w:eastAsia="en-US"/>
        </w:rPr>
        <w:t>Primary and secondary poisoning</w:t>
      </w:r>
    </w:p>
    <w:p w14:paraId="557222E7" w14:textId="77777777" w:rsidR="00CC32E9" w:rsidRPr="00B27CB1" w:rsidRDefault="00CC32E9" w:rsidP="00CC32E9">
      <w:pPr>
        <w:spacing w:line="260" w:lineRule="atLeast"/>
        <w:rPr>
          <w:rFonts w:eastAsia="Calibri"/>
          <w:b/>
          <w:i/>
          <w:sz w:val="22"/>
          <w:szCs w:val="22"/>
          <w:lang w:eastAsia="en-US"/>
        </w:rPr>
      </w:pPr>
    </w:p>
    <w:p w14:paraId="16B1D92E" w14:textId="77777777" w:rsidR="00CC32E9" w:rsidRDefault="00CC32E9" w:rsidP="00CC32E9">
      <w:pPr>
        <w:rPr>
          <w:rFonts w:ascii="Times New Roman" w:eastAsia="Calibri" w:hAnsi="Times New Roman" w:cs="Times New Roman"/>
          <w:i/>
          <w:lang w:eastAsia="en-US"/>
        </w:rPr>
      </w:pPr>
      <w:r>
        <w:rPr>
          <w:rFonts w:eastAsia="Calibri"/>
          <w:u w:val="single"/>
          <w:lang w:eastAsia="en-US"/>
        </w:rPr>
        <w:t xml:space="preserve">Primary poisoning </w:t>
      </w:r>
    </w:p>
    <w:p w14:paraId="3FE56458" w14:textId="77777777" w:rsidR="00CC32E9" w:rsidRDefault="00CC32E9" w:rsidP="00CC32E9">
      <w:pPr>
        <w:suppressAutoHyphens w:val="0"/>
        <w:spacing w:line="260" w:lineRule="atLeast"/>
        <w:jc w:val="both"/>
        <w:rPr>
          <w:rFonts w:eastAsia="Calibri" w:cs="Times New Roman"/>
          <w:lang w:eastAsia="en-US"/>
        </w:rPr>
      </w:pPr>
    </w:p>
    <w:p w14:paraId="5E476B5E" w14:textId="272A665A" w:rsidR="00CC32E9" w:rsidRDefault="00CC32E9" w:rsidP="00CC32E9">
      <w:pPr>
        <w:suppressAutoHyphens w:val="0"/>
        <w:spacing w:line="260" w:lineRule="atLeast"/>
        <w:jc w:val="both"/>
        <w:rPr>
          <w:rFonts w:eastAsia="Calibri" w:cs="Times New Roman"/>
          <w:lang w:eastAsia="en-US"/>
        </w:rPr>
      </w:pPr>
      <w:r w:rsidRPr="00714209">
        <w:rPr>
          <w:rFonts w:eastAsia="Calibri" w:cs="Times New Roman"/>
          <w:lang w:eastAsia="en-US"/>
        </w:rPr>
        <w:t xml:space="preserve">Primary poisoning </w:t>
      </w:r>
      <w:r>
        <w:rPr>
          <w:rFonts w:eastAsia="Calibri" w:cs="Times New Roman"/>
          <w:lang w:eastAsia="en-US"/>
        </w:rPr>
        <w:t>via the direct consumption of the products by birds and mammals is unlikely. For indoor application, the product is not accessible for poisoning. In the case of outdoor uses (Scenarios 4, 5</w:t>
      </w:r>
      <w:r w:rsidR="007F7C7F">
        <w:rPr>
          <w:rFonts w:eastAsia="Calibri" w:cs="Times New Roman"/>
          <w:lang w:eastAsia="en-US"/>
        </w:rPr>
        <w:t xml:space="preserve"> and</w:t>
      </w:r>
      <w:r>
        <w:rPr>
          <w:rFonts w:eastAsia="Calibri" w:cs="Times New Roman"/>
          <w:lang w:eastAsia="en-US"/>
        </w:rPr>
        <w:t xml:space="preserve"> 6), the product is expected to dry fast and does not contains food additives that might be attractive to non-target species. Therefore</w:t>
      </w:r>
      <w:r w:rsidR="00A576DC">
        <w:rPr>
          <w:rFonts w:eastAsia="Calibri" w:cs="Times New Roman"/>
          <w:lang w:eastAsia="en-US"/>
        </w:rPr>
        <w:t>,</w:t>
      </w:r>
      <w:r>
        <w:rPr>
          <w:rFonts w:eastAsia="Calibri" w:cs="Times New Roman"/>
          <w:lang w:eastAsia="en-US"/>
        </w:rPr>
        <w:t xml:space="preserve"> primary poisoning is</w:t>
      </w:r>
      <w:r w:rsidRPr="00714209">
        <w:rPr>
          <w:rFonts w:eastAsia="Calibri" w:cs="Times New Roman"/>
          <w:lang w:eastAsia="en-US"/>
        </w:rPr>
        <w:t xml:space="preserve"> not </w:t>
      </w:r>
      <w:r>
        <w:rPr>
          <w:rFonts w:eastAsia="Calibri" w:cs="Times New Roman"/>
          <w:lang w:eastAsia="en-US"/>
        </w:rPr>
        <w:t>considered relevant</w:t>
      </w:r>
      <w:r w:rsidRPr="00714209">
        <w:rPr>
          <w:rFonts w:eastAsia="Calibri" w:cs="Times New Roman"/>
          <w:lang w:eastAsia="en-US"/>
        </w:rPr>
        <w:t xml:space="preserve"> </w:t>
      </w:r>
      <w:r>
        <w:rPr>
          <w:rFonts w:eastAsia="Calibri" w:cs="Times New Roman"/>
          <w:lang w:eastAsia="en-US"/>
        </w:rPr>
        <w:t>for this evaluation.</w:t>
      </w:r>
    </w:p>
    <w:p w14:paraId="74EEE876" w14:textId="77777777" w:rsidR="00CC32E9" w:rsidRDefault="00CC32E9" w:rsidP="00CC32E9">
      <w:pPr>
        <w:suppressAutoHyphens w:val="0"/>
        <w:spacing w:line="260" w:lineRule="atLeast"/>
        <w:jc w:val="both"/>
        <w:rPr>
          <w:rFonts w:eastAsia="Calibri" w:cs="Times New Roman"/>
          <w:lang w:eastAsia="en-US"/>
        </w:rPr>
      </w:pPr>
    </w:p>
    <w:p w14:paraId="0C58E59D" w14:textId="77777777" w:rsidR="00CC32E9" w:rsidRDefault="00CC32E9" w:rsidP="00CC32E9">
      <w:pPr>
        <w:rPr>
          <w:rFonts w:ascii="Times New Roman" w:eastAsia="Calibri" w:hAnsi="Times New Roman" w:cs="Times New Roman"/>
          <w:i/>
          <w:lang w:eastAsia="en-US"/>
        </w:rPr>
      </w:pPr>
      <w:r w:rsidDel="005B7FC6">
        <w:rPr>
          <w:rFonts w:ascii="Times New Roman" w:eastAsia="Calibri" w:hAnsi="Times New Roman" w:cs="Times New Roman"/>
          <w:i/>
          <w:lang w:eastAsia="en-US"/>
        </w:rPr>
        <w:t xml:space="preserve"> </w:t>
      </w:r>
    </w:p>
    <w:p w14:paraId="496D7D7E" w14:textId="77777777" w:rsidR="00CC32E9" w:rsidRDefault="00CC32E9" w:rsidP="00CC32E9">
      <w:pPr>
        <w:rPr>
          <w:rFonts w:eastAsia="Calibri"/>
          <w:u w:val="single"/>
          <w:lang w:eastAsia="en-US"/>
        </w:rPr>
      </w:pPr>
      <w:r>
        <w:rPr>
          <w:rFonts w:eastAsia="Calibri"/>
          <w:u w:val="single"/>
          <w:lang w:eastAsia="en-US"/>
        </w:rPr>
        <w:t>Secondary poisoning</w:t>
      </w:r>
    </w:p>
    <w:p w14:paraId="0874333A" w14:textId="77777777" w:rsidR="00CC32E9" w:rsidRDefault="00CC32E9" w:rsidP="00CC32E9">
      <w:pPr>
        <w:spacing w:line="260" w:lineRule="atLeast"/>
        <w:rPr>
          <w:rFonts w:eastAsia="Calibri"/>
          <w:u w:val="single"/>
          <w:lang w:eastAsia="en-US"/>
        </w:rPr>
      </w:pPr>
    </w:p>
    <w:p w14:paraId="19D2DDD3" w14:textId="79BC9564" w:rsidR="00CC32E9" w:rsidRDefault="00CC32E9" w:rsidP="00747099">
      <w:pPr>
        <w:spacing w:line="260" w:lineRule="atLeast"/>
        <w:jc w:val="both"/>
      </w:pPr>
      <w:r w:rsidRPr="00295FCA">
        <w:t>The secondary poisoning assessment is not relevant for th</w:t>
      </w:r>
      <w:r>
        <w:t>e active</w:t>
      </w:r>
      <w:r w:rsidRPr="00295FCA">
        <w:t xml:space="preserve"> substance </w:t>
      </w:r>
      <w:r w:rsidRPr="005B7FC6">
        <w:rPr>
          <w:rFonts w:eastAsia="Calibri" w:cs="Times New Roman"/>
          <w:lang w:eastAsia="en-US"/>
        </w:rPr>
        <w:t>L(+) Lactic acid</w:t>
      </w:r>
      <w:r w:rsidRPr="00295FCA">
        <w:t xml:space="preserve"> </w:t>
      </w:r>
      <w:r>
        <w:t xml:space="preserve">and for </w:t>
      </w:r>
      <w:r w:rsidRPr="00863ED2">
        <w:rPr>
          <w:rFonts w:eastAsia="Calibri" w:cs="Times New Roman"/>
          <w:lang w:eastAsia="en-US"/>
        </w:rPr>
        <w:t>Amines, coco alkyldimethyl, N-oxides</w:t>
      </w:r>
      <w:r>
        <w:rPr>
          <w:rFonts w:eastAsia="Calibri" w:cs="Times New Roman"/>
          <w:lang w:eastAsia="en-US"/>
        </w:rPr>
        <w:t>. These substances are</w:t>
      </w:r>
      <w:r w:rsidRPr="00295FCA">
        <w:t xml:space="preserve"> unlike</w:t>
      </w:r>
      <w:r>
        <w:t>ly</w:t>
      </w:r>
      <w:r w:rsidRPr="00295FCA">
        <w:t xml:space="preserve"> to bioaccumulate in aquatic or terrestrial environment according to the </w:t>
      </w:r>
      <w:r>
        <w:t>ECHA Guidance Vol IV Part B+C</w:t>
      </w:r>
      <w:r w:rsidRPr="00295FCA">
        <w:t xml:space="preserve">. </w:t>
      </w:r>
      <w:r>
        <w:t>They</w:t>
      </w:r>
      <w:r w:rsidRPr="00295FCA">
        <w:t xml:space="preserve"> ha</w:t>
      </w:r>
      <w:r>
        <w:t>ve</w:t>
      </w:r>
      <w:r w:rsidRPr="00295FCA">
        <w:t xml:space="preserve"> a low Log Kow </w:t>
      </w:r>
      <w:r>
        <w:t>(</w:t>
      </w:r>
      <w:r w:rsidRPr="00295FCA">
        <w:t>&lt;3</w:t>
      </w:r>
      <w:r>
        <w:t>)</w:t>
      </w:r>
      <w:r w:rsidRPr="00295FCA">
        <w:t xml:space="preserve"> and a BCF &lt;100 (see table below). These values indicate a negligible potential for bioconcentration in biota and no accumulation of </w:t>
      </w:r>
      <w:r>
        <w:t xml:space="preserve">this </w:t>
      </w:r>
      <w:r w:rsidRPr="00295FCA">
        <w:t>substance in the food chain is expected.</w:t>
      </w:r>
    </w:p>
    <w:p w14:paraId="7F74B7B2" w14:textId="77777777" w:rsidR="00C573DD" w:rsidRDefault="00C573DD" w:rsidP="00747099">
      <w:pPr>
        <w:spacing w:line="260" w:lineRule="atLeast"/>
        <w:jc w:val="both"/>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57"/>
        <w:gridCol w:w="1457"/>
        <w:gridCol w:w="1754"/>
      </w:tblGrid>
      <w:tr w:rsidR="00CC32E9" w:rsidRPr="005B7FC6" w14:paraId="68856AD3" w14:textId="77777777" w:rsidTr="00BA238F">
        <w:trPr>
          <w:trHeight w:val="46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994B235" w14:textId="77777777" w:rsidR="00CC32E9" w:rsidRPr="0088180A" w:rsidRDefault="00CC32E9" w:rsidP="00BA238F">
            <w:pPr>
              <w:rPr>
                <w:rFonts w:eastAsia="Calibri" w:cs="Times New Roman"/>
                <w:b/>
                <w:sz w:val="18"/>
                <w:szCs w:val="18"/>
                <w:lang w:eastAsia="en-GB"/>
              </w:rPr>
            </w:pPr>
            <w:r w:rsidRPr="0088180A">
              <w:rPr>
                <w:rFonts w:eastAsia="Calibri" w:cs="Times New Roman"/>
                <w:b/>
                <w:sz w:val="18"/>
                <w:szCs w:val="18"/>
                <w:lang w:eastAsia="en-GB"/>
              </w:rPr>
              <w:t>Summary table on Log K</w:t>
            </w:r>
            <w:r w:rsidRPr="0088180A">
              <w:rPr>
                <w:rFonts w:eastAsia="Calibri" w:cs="Times New Roman"/>
                <w:b/>
                <w:sz w:val="18"/>
                <w:szCs w:val="18"/>
                <w:vertAlign w:val="subscript"/>
                <w:lang w:eastAsia="en-GB"/>
              </w:rPr>
              <w:t>ow</w:t>
            </w:r>
            <w:r w:rsidRPr="0088180A">
              <w:rPr>
                <w:rFonts w:eastAsia="Calibri" w:cs="Times New Roman"/>
                <w:b/>
                <w:sz w:val="18"/>
                <w:szCs w:val="18"/>
                <w:lang w:eastAsia="en-GB"/>
              </w:rPr>
              <w:t xml:space="preserve"> and BCF values</w:t>
            </w:r>
          </w:p>
        </w:tc>
      </w:tr>
      <w:tr w:rsidR="00CC32E9" w:rsidRPr="005B7FC6" w14:paraId="127D2E0C" w14:textId="77777777" w:rsidTr="00BA238F">
        <w:trPr>
          <w:trHeight w:val="417"/>
          <w:jc w:val="center"/>
        </w:trPr>
        <w:tc>
          <w:tcPr>
            <w:tcW w:w="2354" w:type="pct"/>
            <w:tcBorders>
              <w:top w:val="single" w:sz="4" w:space="0" w:color="auto"/>
              <w:left w:val="single" w:sz="4" w:space="0" w:color="auto"/>
              <w:bottom w:val="single" w:sz="4" w:space="0" w:color="auto"/>
              <w:right w:val="single" w:sz="4" w:space="0" w:color="auto"/>
            </w:tcBorders>
            <w:shd w:val="clear" w:color="auto" w:fill="FFFFFF"/>
            <w:vAlign w:val="center"/>
          </w:tcPr>
          <w:p w14:paraId="61601D1B" w14:textId="77777777" w:rsidR="00CC32E9" w:rsidRPr="0088180A" w:rsidRDefault="00CC32E9" w:rsidP="00BA238F">
            <w:pPr>
              <w:suppressAutoHyphens w:val="0"/>
              <w:spacing w:line="260" w:lineRule="atLeast"/>
              <w:jc w:val="both"/>
              <w:rPr>
                <w:rFonts w:eastAsia="Calibri" w:cs="Times New Roman"/>
                <w:sz w:val="18"/>
                <w:szCs w:val="18"/>
                <w:lang w:eastAsia="en-GB"/>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4989B2" w14:textId="77777777" w:rsidR="00CC32E9" w:rsidRPr="0088180A" w:rsidRDefault="00CC32E9" w:rsidP="00BA238F">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Log K</w:t>
            </w:r>
            <w:r w:rsidRPr="0088180A">
              <w:rPr>
                <w:rFonts w:eastAsia="Calibri" w:cs="Times New Roman"/>
                <w:b/>
                <w:sz w:val="18"/>
                <w:szCs w:val="18"/>
                <w:vertAlign w:val="subscript"/>
                <w:lang w:eastAsia="en-GB"/>
              </w:rPr>
              <w:t>ow</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34594B" w14:textId="77777777" w:rsidR="00CC32E9" w:rsidRPr="0088180A" w:rsidRDefault="00CC32E9" w:rsidP="00BA238F">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 xml:space="preserve">BCF </w:t>
            </w:r>
            <w:r w:rsidRPr="0088180A">
              <w:rPr>
                <w:rFonts w:eastAsia="Calibri" w:cs="Times New Roman"/>
                <w:b/>
                <w:sz w:val="18"/>
                <w:szCs w:val="18"/>
                <w:vertAlign w:val="subscript"/>
                <w:lang w:eastAsia="en-GB"/>
              </w:rPr>
              <w:t>fish</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524DBE" w14:textId="77777777" w:rsidR="00CC32E9" w:rsidRPr="0088180A" w:rsidRDefault="00CC32E9" w:rsidP="00BA238F">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 xml:space="preserve">BCF </w:t>
            </w:r>
            <w:r w:rsidRPr="0088180A">
              <w:rPr>
                <w:rFonts w:eastAsia="Calibri" w:cs="Times New Roman"/>
                <w:b/>
                <w:sz w:val="18"/>
                <w:szCs w:val="18"/>
                <w:vertAlign w:val="subscript"/>
                <w:lang w:eastAsia="en-GB"/>
              </w:rPr>
              <w:t>earthworm</w:t>
            </w:r>
          </w:p>
        </w:tc>
      </w:tr>
      <w:tr w:rsidR="00CC32E9" w:rsidRPr="005B7FC6" w14:paraId="36E6622C" w14:textId="77777777" w:rsidTr="00BA238F">
        <w:trPr>
          <w:trHeight w:val="75"/>
          <w:jc w:val="center"/>
        </w:trPr>
        <w:tc>
          <w:tcPr>
            <w:tcW w:w="2354" w:type="pct"/>
            <w:tcBorders>
              <w:top w:val="single" w:sz="4" w:space="0" w:color="auto"/>
              <w:left w:val="single" w:sz="4" w:space="0" w:color="auto"/>
              <w:bottom w:val="single" w:sz="4" w:space="0" w:color="auto"/>
              <w:right w:val="single" w:sz="4" w:space="0" w:color="auto"/>
            </w:tcBorders>
            <w:shd w:val="clear" w:color="auto" w:fill="FFFFFF"/>
            <w:hideMark/>
          </w:tcPr>
          <w:p w14:paraId="675C396C" w14:textId="77777777" w:rsidR="00CC32E9" w:rsidRPr="0088180A" w:rsidRDefault="00CC32E9" w:rsidP="00BA238F">
            <w:pPr>
              <w:suppressAutoHyphens w:val="0"/>
              <w:spacing w:line="260" w:lineRule="atLeast"/>
              <w:jc w:val="both"/>
              <w:rPr>
                <w:rFonts w:eastAsia="Calibri" w:cs="Times New Roman"/>
                <w:sz w:val="18"/>
                <w:szCs w:val="18"/>
                <w:lang w:eastAsia="en-GB"/>
              </w:rPr>
            </w:pPr>
            <w:r w:rsidRPr="0088180A">
              <w:rPr>
                <w:rFonts w:eastAsia="Calibri" w:cs="Times New Roman"/>
                <w:sz w:val="18"/>
                <w:szCs w:val="18"/>
                <w:lang w:eastAsia="de-DE"/>
              </w:rPr>
              <w:t>L</w:t>
            </w:r>
            <w:r w:rsidRPr="0088180A">
              <w:rPr>
                <w:rFonts w:eastAsia="Calibri" w:cs="Times New Roman"/>
                <w:sz w:val="18"/>
                <w:szCs w:val="18"/>
                <w:lang w:eastAsia="en-GB" w:bidi="en-GB"/>
              </w:rPr>
              <w:t>(+) L</w:t>
            </w:r>
            <w:r w:rsidRPr="0088180A">
              <w:rPr>
                <w:rFonts w:eastAsia="Calibri" w:cs="Times New Roman"/>
                <w:sz w:val="18"/>
                <w:szCs w:val="18"/>
                <w:lang w:eastAsia="de-DE"/>
              </w:rPr>
              <w:t>actic acid</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13C23B"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-0.74</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0F3970"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4.80E-02</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1B35A9"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6.78</w:t>
            </w:r>
          </w:p>
        </w:tc>
      </w:tr>
      <w:tr w:rsidR="00CC32E9" w:rsidRPr="005B7FC6" w14:paraId="17B0CADC" w14:textId="77777777" w:rsidTr="00BA238F">
        <w:trPr>
          <w:trHeight w:val="75"/>
          <w:jc w:val="center"/>
        </w:trPr>
        <w:tc>
          <w:tcPr>
            <w:tcW w:w="2354" w:type="pct"/>
            <w:shd w:val="clear" w:color="auto" w:fill="FFFFFF"/>
          </w:tcPr>
          <w:p w14:paraId="5E23A986" w14:textId="77777777" w:rsidR="00CC32E9" w:rsidRPr="0088180A" w:rsidRDefault="00CC32E9" w:rsidP="00BA238F">
            <w:pPr>
              <w:suppressAutoHyphens w:val="0"/>
              <w:spacing w:line="260" w:lineRule="atLeast"/>
              <w:jc w:val="both"/>
              <w:rPr>
                <w:rFonts w:eastAsia="Calibri" w:cs="Times New Roman"/>
                <w:b/>
                <w:sz w:val="18"/>
                <w:szCs w:val="18"/>
                <w:lang w:eastAsia="de-DE"/>
              </w:rPr>
            </w:pPr>
            <w:r w:rsidRPr="0088180A">
              <w:rPr>
                <w:sz w:val="18"/>
                <w:szCs w:val="18"/>
              </w:rPr>
              <w:t>Amines, coco alkyldimethyl, N-oxides</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192B4FB3"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2.7</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2D9D4D96"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06B638E1"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w:t>
            </w:r>
          </w:p>
        </w:tc>
      </w:tr>
      <w:tr w:rsidR="00CC32E9" w:rsidRPr="005B7FC6" w14:paraId="08C42546" w14:textId="77777777" w:rsidTr="00BA238F">
        <w:trPr>
          <w:trHeight w:val="75"/>
          <w:jc w:val="center"/>
        </w:trPr>
        <w:tc>
          <w:tcPr>
            <w:tcW w:w="2354" w:type="pct"/>
            <w:shd w:val="clear" w:color="auto" w:fill="FFFFFF"/>
          </w:tcPr>
          <w:p w14:paraId="74631975" w14:textId="52F31328" w:rsidR="00CC32E9" w:rsidRPr="0088180A" w:rsidRDefault="00CC32E9" w:rsidP="00BA238F">
            <w:pPr>
              <w:suppressAutoHyphens w:val="0"/>
              <w:spacing w:line="260" w:lineRule="atLeast"/>
              <w:jc w:val="both"/>
              <w:rPr>
                <w:rFonts w:eastAsia="Calibri" w:cs="Times New Roman"/>
                <w:b/>
                <w:sz w:val="18"/>
                <w:szCs w:val="18"/>
                <w:lang w:eastAsia="de-DE"/>
              </w:rPr>
            </w:pPr>
            <w:r w:rsidRPr="0088180A">
              <w:rPr>
                <w:rFonts w:eastAsia="Calibri" w:cs="Times New Roman"/>
                <w:sz w:val="18"/>
                <w:szCs w:val="18"/>
                <w:lang w:eastAsia="en-US"/>
              </w:rPr>
              <w:t>OTNE</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18D49EE8"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5.65</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2FE0F86F"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391</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64A77F1B" w14:textId="77777777" w:rsidR="00CC32E9" w:rsidRPr="0088180A" w:rsidRDefault="00CC32E9" w:rsidP="00BA238F">
            <w:pPr>
              <w:suppressAutoHyphens w:val="0"/>
              <w:spacing w:line="260" w:lineRule="atLeast"/>
              <w:jc w:val="center"/>
              <w:rPr>
                <w:rFonts w:eastAsia="Calibri" w:cs="Times New Roman"/>
                <w:sz w:val="18"/>
                <w:szCs w:val="18"/>
                <w:lang w:eastAsia="en-GB"/>
              </w:rPr>
            </w:pPr>
            <w:r w:rsidRPr="0088180A">
              <w:rPr>
                <w:rFonts w:eastAsia="Calibri" w:cs="Times New Roman"/>
                <w:sz w:val="18"/>
                <w:szCs w:val="18"/>
                <w:lang w:eastAsia="en-GB"/>
              </w:rPr>
              <w:t>5361</w:t>
            </w:r>
          </w:p>
        </w:tc>
      </w:tr>
    </w:tbl>
    <w:p w14:paraId="67D6A892" w14:textId="77777777" w:rsidR="00CC32E9" w:rsidRDefault="00CC32E9" w:rsidP="00CC32E9">
      <w:pPr>
        <w:spacing w:line="260" w:lineRule="atLeast"/>
        <w:jc w:val="both"/>
      </w:pPr>
    </w:p>
    <w:p w14:paraId="310DE772" w14:textId="7E54E328" w:rsidR="00CC32E9" w:rsidRDefault="00CC32E9" w:rsidP="00CC32E9">
      <w:pPr>
        <w:spacing w:line="260" w:lineRule="atLeast"/>
        <w:jc w:val="both"/>
        <w:rPr>
          <w:rFonts w:eastAsia="Calibri"/>
          <w:lang w:eastAsia="en-US"/>
        </w:rPr>
      </w:pPr>
      <w:r>
        <w:t>However, secondary poisoning evaluation was performed for OTNE</w:t>
      </w:r>
      <w:r w:rsidR="00D66EE2">
        <w:t>,</w:t>
      </w:r>
      <w:r>
        <w:t xml:space="preserve"> which is use indoor in Scenarios 1</w:t>
      </w:r>
      <w:r w:rsidR="00A74737">
        <w:t>a</w:t>
      </w:r>
      <w:r>
        <w:t xml:space="preserve"> and 2 and outdoor in Scenarios 4, 5, </w:t>
      </w:r>
      <w:r w:rsidR="007F7C7F">
        <w:t xml:space="preserve">and </w:t>
      </w:r>
      <w:r>
        <w:t>6.</w:t>
      </w:r>
      <w:r w:rsidRPr="00A14BD6">
        <w:rPr>
          <w:rFonts w:eastAsia="Calibri"/>
          <w:lang w:eastAsia="en-US"/>
        </w:rPr>
        <w:t xml:space="preserve"> </w:t>
      </w:r>
      <w:r w:rsidRPr="008D46F8">
        <w:rPr>
          <w:rFonts w:eastAsia="Calibri"/>
          <w:lang w:eastAsia="en-US"/>
        </w:rPr>
        <w:t>As soil and surface water are potential receiving compartments, there could be a</w:t>
      </w:r>
      <w:r w:rsidR="00D66EE2">
        <w:rPr>
          <w:rFonts w:eastAsia="Calibri"/>
          <w:lang w:eastAsia="en-US"/>
        </w:rPr>
        <w:t>t</w:t>
      </w:r>
      <w:r w:rsidRPr="008D46F8">
        <w:rPr>
          <w:rFonts w:eastAsia="Calibri"/>
          <w:lang w:eastAsia="en-US"/>
        </w:rPr>
        <w:t xml:space="preserve"> risk for secondary poisoning of birds and mammals by consumption of earthworms or fish. </w:t>
      </w:r>
      <w:r>
        <w:rPr>
          <w:rFonts w:eastAsia="Calibri"/>
          <w:lang w:eastAsia="en-US"/>
        </w:rPr>
        <w:t xml:space="preserve">For OTNE only PNEC oral mammal is available for </w:t>
      </w:r>
      <w:r w:rsidR="00D66EE2">
        <w:rPr>
          <w:rFonts w:eastAsia="Calibri"/>
          <w:lang w:eastAsia="en-US"/>
        </w:rPr>
        <w:t xml:space="preserve">the </w:t>
      </w:r>
      <w:r>
        <w:rPr>
          <w:rFonts w:eastAsia="Calibri"/>
          <w:lang w:eastAsia="en-US"/>
        </w:rPr>
        <w:t>evaluation, therefore</w:t>
      </w:r>
      <w:r w:rsidRPr="008D46F8">
        <w:rPr>
          <w:rFonts w:eastAsia="Calibri"/>
          <w:lang w:eastAsia="en-US"/>
        </w:rPr>
        <w:t xml:space="preserve"> only the risk for </w:t>
      </w:r>
      <w:r>
        <w:rPr>
          <w:rFonts w:eastAsia="Calibri"/>
          <w:lang w:eastAsia="en-US"/>
        </w:rPr>
        <w:t>mammals</w:t>
      </w:r>
      <w:r w:rsidRPr="008D46F8">
        <w:rPr>
          <w:rFonts w:eastAsia="Calibri"/>
          <w:lang w:eastAsia="en-US"/>
        </w:rPr>
        <w:t xml:space="preserve"> was assessed.</w:t>
      </w:r>
    </w:p>
    <w:p w14:paraId="7D74C44C" w14:textId="77777777" w:rsidR="00CC32E9" w:rsidRPr="008D46F8" w:rsidRDefault="00CC32E9" w:rsidP="00CC32E9">
      <w:pPr>
        <w:spacing w:line="260" w:lineRule="atLeast"/>
        <w:jc w:val="both"/>
        <w:rPr>
          <w:rFonts w:eastAsia="Calibri"/>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275"/>
        <w:gridCol w:w="1668"/>
        <w:gridCol w:w="2131"/>
      </w:tblGrid>
      <w:tr w:rsidR="00CC32E9" w:rsidRPr="008D46F8" w14:paraId="009DB506" w14:textId="77777777" w:rsidTr="00BA238F">
        <w:trPr>
          <w:trHeight w:val="313"/>
          <w:jc w:val="center"/>
        </w:trPr>
        <w:tc>
          <w:tcPr>
            <w:tcW w:w="9356" w:type="dxa"/>
            <w:gridSpan w:val="4"/>
            <w:shd w:val="clear" w:color="auto" w:fill="FFFFCC"/>
            <w:vAlign w:val="center"/>
          </w:tcPr>
          <w:p w14:paraId="039B872E" w14:textId="77777777" w:rsidR="00CC32E9" w:rsidRPr="0088180A" w:rsidRDefault="00CC32E9" w:rsidP="00BA238F">
            <w:pPr>
              <w:autoSpaceDE w:val="0"/>
              <w:autoSpaceDN w:val="0"/>
              <w:adjustRightInd w:val="0"/>
              <w:spacing w:line="260" w:lineRule="atLeast"/>
              <w:jc w:val="center"/>
              <w:rPr>
                <w:rFonts w:eastAsia="Calibri" w:cs="Arial"/>
                <w:b/>
                <w:color w:val="000000"/>
                <w:sz w:val="18"/>
                <w:szCs w:val="18"/>
                <w:lang w:eastAsia="en-GB"/>
              </w:rPr>
            </w:pPr>
            <w:r w:rsidRPr="0088180A">
              <w:rPr>
                <w:rFonts w:eastAsia="Calibri" w:cs="Arial"/>
                <w:b/>
                <w:color w:val="000000"/>
                <w:sz w:val="18"/>
                <w:szCs w:val="18"/>
                <w:lang w:eastAsia="en-GB"/>
              </w:rPr>
              <w:t>Input parameters for calculations of secondary poisoning</w:t>
            </w:r>
          </w:p>
        </w:tc>
      </w:tr>
      <w:tr w:rsidR="00CC32E9" w:rsidRPr="008D46F8" w14:paraId="04EAC573" w14:textId="77777777" w:rsidTr="00BA238F">
        <w:trPr>
          <w:trHeight w:val="313"/>
          <w:jc w:val="center"/>
        </w:trPr>
        <w:tc>
          <w:tcPr>
            <w:tcW w:w="4282" w:type="dxa"/>
            <w:shd w:val="clear" w:color="auto" w:fill="FFFFFF"/>
            <w:vAlign w:val="center"/>
          </w:tcPr>
          <w:p w14:paraId="3D365B55" w14:textId="77777777" w:rsidR="00CC32E9" w:rsidRPr="0088180A" w:rsidRDefault="00CC32E9" w:rsidP="00BA238F">
            <w:pPr>
              <w:autoSpaceDE w:val="0"/>
              <w:autoSpaceDN w:val="0"/>
              <w:adjustRightInd w:val="0"/>
              <w:spacing w:line="260" w:lineRule="atLeast"/>
              <w:rPr>
                <w:rFonts w:eastAsia="Calibri" w:cs="Arial"/>
                <w:b/>
                <w:color w:val="000000"/>
                <w:sz w:val="18"/>
                <w:szCs w:val="18"/>
                <w:lang w:eastAsia="en-GB"/>
              </w:rPr>
            </w:pPr>
            <w:r w:rsidRPr="0088180A">
              <w:rPr>
                <w:rFonts w:eastAsia="Calibri" w:cs="Arial"/>
                <w:b/>
                <w:bCs/>
                <w:color w:val="000000"/>
                <w:sz w:val="18"/>
                <w:szCs w:val="18"/>
                <w:lang w:eastAsia="en-GB"/>
              </w:rPr>
              <w:t xml:space="preserve">Input </w:t>
            </w:r>
          </w:p>
        </w:tc>
        <w:tc>
          <w:tcPr>
            <w:tcW w:w="1275" w:type="dxa"/>
            <w:shd w:val="clear" w:color="auto" w:fill="FFFFFF"/>
            <w:vAlign w:val="center"/>
          </w:tcPr>
          <w:p w14:paraId="695A8F8A" w14:textId="77777777" w:rsidR="00CC32E9" w:rsidRPr="0088180A" w:rsidRDefault="00CC32E9" w:rsidP="00BA238F">
            <w:pPr>
              <w:autoSpaceDE w:val="0"/>
              <w:autoSpaceDN w:val="0"/>
              <w:adjustRightInd w:val="0"/>
              <w:spacing w:line="260" w:lineRule="atLeast"/>
              <w:rPr>
                <w:rFonts w:eastAsia="Calibri" w:cs="Arial"/>
                <w:b/>
                <w:color w:val="000000"/>
                <w:sz w:val="18"/>
                <w:szCs w:val="18"/>
                <w:lang w:eastAsia="en-GB"/>
              </w:rPr>
            </w:pPr>
            <w:r w:rsidRPr="0088180A">
              <w:rPr>
                <w:rFonts w:eastAsia="Calibri" w:cs="Arial"/>
                <w:b/>
                <w:bCs/>
                <w:color w:val="000000"/>
                <w:sz w:val="18"/>
                <w:szCs w:val="18"/>
                <w:lang w:eastAsia="en-GB"/>
              </w:rPr>
              <w:t xml:space="preserve">Value </w:t>
            </w:r>
          </w:p>
        </w:tc>
        <w:tc>
          <w:tcPr>
            <w:tcW w:w="1668" w:type="dxa"/>
            <w:shd w:val="clear" w:color="auto" w:fill="FFFFFF"/>
            <w:vAlign w:val="center"/>
          </w:tcPr>
          <w:p w14:paraId="52418742" w14:textId="77777777" w:rsidR="00CC32E9" w:rsidRPr="0088180A" w:rsidRDefault="00CC32E9" w:rsidP="00BA238F">
            <w:pPr>
              <w:autoSpaceDE w:val="0"/>
              <w:autoSpaceDN w:val="0"/>
              <w:adjustRightInd w:val="0"/>
              <w:spacing w:line="260" w:lineRule="atLeast"/>
              <w:rPr>
                <w:rFonts w:eastAsia="Calibri" w:cs="Arial"/>
                <w:b/>
                <w:bCs/>
                <w:color w:val="000000"/>
                <w:sz w:val="18"/>
                <w:szCs w:val="18"/>
                <w:lang w:eastAsia="en-GB"/>
              </w:rPr>
            </w:pPr>
            <w:r w:rsidRPr="0088180A">
              <w:rPr>
                <w:rFonts w:eastAsia="Calibri" w:cs="Arial"/>
                <w:b/>
                <w:bCs/>
                <w:color w:val="000000"/>
                <w:sz w:val="18"/>
                <w:szCs w:val="18"/>
                <w:lang w:eastAsia="en-GB"/>
              </w:rPr>
              <w:t>Unit</w:t>
            </w:r>
          </w:p>
        </w:tc>
        <w:tc>
          <w:tcPr>
            <w:tcW w:w="2131" w:type="dxa"/>
            <w:shd w:val="clear" w:color="auto" w:fill="FFFFFF"/>
            <w:vAlign w:val="center"/>
          </w:tcPr>
          <w:p w14:paraId="36EEDEEC" w14:textId="77777777" w:rsidR="00CC32E9" w:rsidRPr="0088180A" w:rsidRDefault="00CC32E9" w:rsidP="00BA238F">
            <w:pPr>
              <w:autoSpaceDE w:val="0"/>
              <w:autoSpaceDN w:val="0"/>
              <w:adjustRightInd w:val="0"/>
              <w:spacing w:line="260" w:lineRule="atLeast"/>
              <w:rPr>
                <w:rFonts w:eastAsia="Calibri" w:cs="Arial"/>
                <w:b/>
                <w:bCs/>
                <w:color w:val="000000"/>
                <w:sz w:val="18"/>
                <w:szCs w:val="18"/>
                <w:lang w:eastAsia="en-GB"/>
              </w:rPr>
            </w:pPr>
            <w:r w:rsidRPr="0088180A">
              <w:rPr>
                <w:rFonts w:eastAsia="Calibri" w:cs="Arial"/>
                <w:b/>
                <w:bCs/>
                <w:color w:val="000000"/>
                <w:sz w:val="18"/>
                <w:szCs w:val="18"/>
                <w:lang w:eastAsia="en-GB"/>
              </w:rPr>
              <w:t>Remarks</w:t>
            </w:r>
          </w:p>
        </w:tc>
      </w:tr>
      <w:tr w:rsidR="00CC32E9" w:rsidRPr="008D46F8" w14:paraId="41CCE239" w14:textId="77777777" w:rsidTr="00BA238F">
        <w:trPr>
          <w:trHeight w:val="75"/>
          <w:jc w:val="center"/>
        </w:trPr>
        <w:tc>
          <w:tcPr>
            <w:tcW w:w="4282" w:type="dxa"/>
            <w:shd w:val="clear" w:color="auto" w:fill="FFFFFF"/>
            <w:vAlign w:val="center"/>
          </w:tcPr>
          <w:p w14:paraId="3DA58BB8"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t>Bioconcentration factor for mammals [BCF</w:t>
            </w:r>
            <w:r w:rsidRPr="0088180A">
              <w:rPr>
                <w:color w:val="000000"/>
                <w:sz w:val="18"/>
                <w:szCs w:val="18"/>
                <w:vertAlign w:val="subscript"/>
                <w:lang w:eastAsia="en-GB"/>
              </w:rPr>
              <w:t>fish</w:t>
            </w:r>
            <w:r w:rsidRPr="0088180A">
              <w:rPr>
                <w:color w:val="000000"/>
                <w:sz w:val="18"/>
                <w:szCs w:val="18"/>
                <w:lang w:eastAsia="en-GB"/>
              </w:rPr>
              <w:t>]</w:t>
            </w:r>
          </w:p>
        </w:tc>
        <w:tc>
          <w:tcPr>
            <w:tcW w:w="1275" w:type="dxa"/>
            <w:shd w:val="clear" w:color="auto" w:fill="FFFFFF"/>
            <w:vAlign w:val="center"/>
          </w:tcPr>
          <w:p w14:paraId="12EDDB80"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t>391</w:t>
            </w:r>
          </w:p>
        </w:tc>
        <w:tc>
          <w:tcPr>
            <w:tcW w:w="1668" w:type="dxa"/>
            <w:shd w:val="clear" w:color="auto" w:fill="FFFFFF"/>
            <w:vAlign w:val="center"/>
          </w:tcPr>
          <w:p w14:paraId="4A0A862E"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[L/kg</w:t>
            </w:r>
            <w:r w:rsidRPr="0088180A">
              <w:rPr>
                <w:rFonts w:eastAsia="Calibri" w:cs="Arial"/>
                <w:color w:val="000000"/>
                <w:sz w:val="18"/>
                <w:szCs w:val="18"/>
                <w:vertAlign w:val="subscript"/>
                <w:lang w:eastAsia="en-GB"/>
              </w:rPr>
              <w:t>wet</w:t>
            </w:r>
            <w:r w:rsidRPr="0088180A">
              <w:rPr>
                <w:rFonts w:eastAsia="Calibri" w:cs="Arial"/>
                <w:color w:val="000000"/>
                <w:sz w:val="18"/>
                <w:szCs w:val="18"/>
                <w:lang w:eastAsia="en-GB"/>
              </w:rPr>
              <w:t>]</w:t>
            </w:r>
          </w:p>
        </w:tc>
        <w:tc>
          <w:tcPr>
            <w:tcW w:w="2131" w:type="dxa"/>
            <w:shd w:val="clear" w:color="auto" w:fill="FFFFFF"/>
            <w:vAlign w:val="center"/>
          </w:tcPr>
          <w:p w14:paraId="10CA73E5"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Test OCDE 305</w:t>
            </w:r>
          </w:p>
        </w:tc>
      </w:tr>
      <w:tr w:rsidR="00CC32E9" w:rsidRPr="008D46F8" w14:paraId="038994F0" w14:textId="77777777" w:rsidTr="00BA238F">
        <w:trPr>
          <w:trHeight w:val="75"/>
          <w:jc w:val="center"/>
        </w:trPr>
        <w:tc>
          <w:tcPr>
            <w:tcW w:w="4282" w:type="dxa"/>
            <w:shd w:val="clear" w:color="auto" w:fill="FFFFFF"/>
            <w:vAlign w:val="center"/>
          </w:tcPr>
          <w:p w14:paraId="6C0F69DD"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t>Bioconcentration factor for earthworms [BCF</w:t>
            </w:r>
            <w:r w:rsidRPr="0088180A">
              <w:rPr>
                <w:color w:val="000000"/>
                <w:sz w:val="18"/>
                <w:szCs w:val="18"/>
                <w:vertAlign w:val="subscript"/>
                <w:lang w:eastAsia="en-GB"/>
              </w:rPr>
              <w:t>earthworms</w:t>
            </w:r>
            <w:r w:rsidRPr="0088180A">
              <w:rPr>
                <w:color w:val="000000"/>
                <w:sz w:val="18"/>
                <w:szCs w:val="18"/>
                <w:lang w:eastAsia="en-GB"/>
              </w:rPr>
              <w:t>]</w:t>
            </w:r>
          </w:p>
        </w:tc>
        <w:tc>
          <w:tcPr>
            <w:tcW w:w="1275" w:type="dxa"/>
            <w:shd w:val="clear" w:color="auto" w:fill="FFFFFF"/>
            <w:vAlign w:val="center"/>
          </w:tcPr>
          <w:p w14:paraId="265D363A"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t>5361</w:t>
            </w:r>
          </w:p>
        </w:tc>
        <w:tc>
          <w:tcPr>
            <w:tcW w:w="1668" w:type="dxa"/>
            <w:shd w:val="clear" w:color="auto" w:fill="FFFFFF"/>
            <w:vAlign w:val="center"/>
          </w:tcPr>
          <w:p w14:paraId="60F61B1F"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[L/kg</w:t>
            </w:r>
            <w:r w:rsidRPr="0088180A">
              <w:rPr>
                <w:rFonts w:eastAsia="Calibri" w:cs="Arial"/>
                <w:color w:val="000000"/>
                <w:sz w:val="18"/>
                <w:szCs w:val="18"/>
                <w:vertAlign w:val="subscript"/>
                <w:lang w:eastAsia="en-GB"/>
              </w:rPr>
              <w:t>wet fish</w:t>
            </w:r>
            <w:r w:rsidRPr="0088180A">
              <w:rPr>
                <w:rFonts w:eastAsia="Calibri" w:cs="Arial"/>
                <w:color w:val="000000"/>
                <w:sz w:val="18"/>
                <w:szCs w:val="18"/>
                <w:lang w:eastAsia="en-GB"/>
              </w:rPr>
              <w:t>]</w:t>
            </w:r>
          </w:p>
        </w:tc>
        <w:tc>
          <w:tcPr>
            <w:tcW w:w="2131" w:type="dxa"/>
            <w:shd w:val="clear" w:color="auto" w:fill="FFFFFF"/>
            <w:vAlign w:val="center"/>
          </w:tcPr>
          <w:p w14:paraId="5C7B5C1C"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QSAR value</w:t>
            </w:r>
          </w:p>
        </w:tc>
      </w:tr>
      <w:tr w:rsidR="00CC32E9" w:rsidRPr="008D46F8" w14:paraId="1702E56A" w14:textId="77777777" w:rsidTr="00BA238F">
        <w:trPr>
          <w:trHeight w:val="75"/>
          <w:jc w:val="center"/>
        </w:trPr>
        <w:tc>
          <w:tcPr>
            <w:tcW w:w="4282" w:type="dxa"/>
            <w:shd w:val="clear" w:color="auto" w:fill="FFFFFF"/>
            <w:vAlign w:val="center"/>
          </w:tcPr>
          <w:p w14:paraId="50236AD7"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lastRenderedPageBreak/>
              <w:t>Biomagnification factor [BMF]</w:t>
            </w:r>
          </w:p>
        </w:tc>
        <w:tc>
          <w:tcPr>
            <w:tcW w:w="1275" w:type="dxa"/>
            <w:shd w:val="clear" w:color="auto" w:fill="FFFFFF"/>
            <w:vAlign w:val="center"/>
          </w:tcPr>
          <w:p w14:paraId="79C6A806" w14:textId="77777777" w:rsidR="00CC32E9" w:rsidRPr="0088180A" w:rsidRDefault="00CC32E9" w:rsidP="00BA238F">
            <w:pPr>
              <w:spacing w:before="60" w:after="60"/>
              <w:rPr>
                <w:color w:val="000000"/>
                <w:sz w:val="18"/>
                <w:szCs w:val="18"/>
                <w:lang w:eastAsia="en-GB"/>
              </w:rPr>
            </w:pPr>
            <w:r w:rsidRPr="0088180A">
              <w:rPr>
                <w:color w:val="000000"/>
                <w:sz w:val="18"/>
                <w:szCs w:val="18"/>
                <w:lang w:eastAsia="en-GB"/>
              </w:rPr>
              <w:t>1</w:t>
            </w:r>
          </w:p>
        </w:tc>
        <w:tc>
          <w:tcPr>
            <w:tcW w:w="1668" w:type="dxa"/>
            <w:shd w:val="clear" w:color="auto" w:fill="FFFFFF"/>
            <w:vAlign w:val="center"/>
          </w:tcPr>
          <w:p w14:paraId="5528D9ED"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w:t>
            </w:r>
          </w:p>
        </w:tc>
        <w:tc>
          <w:tcPr>
            <w:tcW w:w="2131" w:type="dxa"/>
            <w:shd w:val="clear" w:color="auto" w:fill="FFFFFF"/>
            <w:vAlign w:val="center"/>
          </w:tcPr>
          <w:p w14:paraId="1B3D3ABB"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Default value based on BCF &lt; 2000.</w:t>
            </w:r>
          </w:p>
        </w:tc>
      </w:tr>
      <w:tr w:rsidR="00CC32E9" w:rsidRPr="008D46F8" w14:paraId="454E11BF" w14:textId="77777777" w:rsidTr="00BA238F">
        <w:trPr>
          <w:trHeight w:val="75"/>
          <w:jc w:val="center"/>
        </w:trPr>
        <w:tc>
          <w:tcPr>
            <w:tcW w:w="4282" w:type="dxa"/>
            <w:shd w:val="clear" w:color="auto" w:fill="FFFFFF"/>
            <w:vAlign w:val="center"/>
          </w:tcPr>
          <w:p w14:paraId="6527BFF0" w14:textId="77777777" w:rsidR="00CC32E9" w:rsidRPr="0088180A" w:rsidRDefault="00CC32E9" w:rsidP="00BA238F">
            <w:pPr>
              <w:spacing w:before="60" w:after="60" w:line="260" w:lineRule="atLeast"/>
              <w:rPr>
                <w:rFonts w:eastAsia="Calibri" w:cs="Arial"/>
                <w:color w:val="000000"/>
                <w:sz w:val="18"/>
                <w:szCs w:val="18"/>
                <w:lang w:eastAsia="en-GB"/>
              </w:rPr>
            </w:pPr>
            <w:r w:rsidRPr="0088180A">
              <w:rPr>
                <w:rFonts w:eastAsia="Calibri" w:cs="Arial"/>
                <w:color w:val="000000"/>
                <w:sz w:val="18"/>
                <w:szCs w:val="18"/>
                <w:lang w:eastAsia="en-GB"/>
              </w:rPr>
              <w:t>Proportion of predators alimentation coming from local area [FOOD</w:t>
            </w:r>
            <w:r w:rsidRPr="0088180A">
              <w:rPr>
                <w:rFonts w:eastAsia="Calibri" w:cs="Arial"/>
                <w:color w:val="000000"/>
                <w:sz w:val="18"/>
                <w:szCs w:val="18"/>
                <w:vertAlign w:val="subscript"/>
                <w:lang w:eastAsia="en-GB"/>
              </w:rPr>
              <w:t>local</w:t>
            </w:r>
            <w:r w:rsidRPr="0088180A">
              <w:rPr>
                <w:rFonts w:eastAsia="Calibri" w:cs="Arial"/>
                <w:color w:val="000000"/>
                <w:sz w:val="18"/>
                <w:szCs w:val="18"/>
                <w:lang w:eastAsia="en-GB"/>
              </w:rPr>
              <w:t>]</w:t>
            </w:r>
          </w:p>
        </w:tc>
        <w:tc>
          <w:tcPr>
            <w:tcW w:w="1275" w:type="dxa"/>
            <w:shd w:val="clear" w:color="auto" w:fill="FFFFFF"/>
            <w:vAlign w:val="center"/>
          </w:tcPr>
          <w:p w14:paraId="40FB4F60"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0.5</w:t>
            </w:r>
          </w:p>
        </w:tc>
        <w:tc>
          <w:tcPr>
            <w:tcW w:w="1668" w:type="dxa"/>
            <w:shd w:val="clear" w:color="auto" w:fill="FFFFFF"/>
            <w:vAlign w:val="center"/>
          </w:tcPr>
          <w:p w14:paraId="0420F304"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w:t>
            </w:r>
          </w:p>
        </w:tc>
        <w:tc>
          <w:tcPr>
            <w:tcW w:w="2131" w:type="dxa"/>
            <w:shd w:val="clear" w:color="auto" w:fill="FFFFFF"/>
            <w:vAlign w:val="center"/>
          </w:tcPr>
          <w:p w14:paraId="7F178B75"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r w:rsidRPr="0088180A">
              <w:rPr>
                <w:rFonts w:eastAsia="Calibri" w:cs="Arial"/>
                <w:color w:val="000000"/>
                <w:sz w:val="18"/>
                <w:szCs w:val="18"/>
                <w:lang w:eastAsia="en-GB"/>
              </w:rPr>
              <w:t>Default value (ECHA Guidance Volume IV (Parts B+C, 2017))*</w:t>
            </w:r>
          </w:p>
        </w:tc>
      </w:tr>
      <w:tr w:rsidR="00CC32E9" w:rsidRPr="008D46F8" w14:paraId="726FE066" w14:textId="77777777" w:rsidTr="00BA238F">
        <w:trPr>
          <w:trHeight w:val="75"/>
          <w:jc w:val="center"/>
        </w:trPr>
        <w:tc>
          <w:tcPr>
            <w:tcW w:w="4282" w:type="dxa"/>
            <w:shd w:val="clear" w:color="auto" w:fill="FFFFFF"/>
            <w:vAlign w:val="center"/>
          </w:tcPr>
          <w:p w14:paraId="5F0BAB2B" w14:textId="77777777" w:rsidR="00CC32E9" w:rsidRPr="0088180A" w:rsidRDefault="00CC32E9" w:rsidP="00BA238F">
            <w:pPr>
              <w:spacing w:before="60" w:after="60" w:line="260" w:lineRule="atLeast"/>
              <w:rPr>
                <w:rFonts w:eastAsia="Calibri" w:cs="Arial"/>
                <w:color w:val="000000"/>
                <w:sz w:val="18"/>
                <w:szCs w:val="18"/>
                <w:lang w:eastAsia="en-GB"/>
              </w:rPr>
            </w:pPr>
            <w:r w:rsidRPr="0088180A">
              <w:rPr>
                <w:rFonts w:eastAsia="Calibri" w:cs="Arial"/>
                <w:color w:val="000000"/>
                <w:sz w:val="18"/>
                <w:szCs w:val="18"/>
                <w:lang w:eastAsia="en-GB"/>
              </w:rPr>
              <w:t>Fraction of gut loading in worm [F</w:t>
            </w:r>
            <w:r w:rsidRPr="0088180A">
              <w:rPr>
                <w:rFonts w:eastAsia="Calibri" w:cs="Arial"/>
                <w:color w:val="000000"/>
                <w:sz w:val="18"/>
                <w:szCs w:val="18"/>
                <w:vertAlign w:val="subscript"/>
                <w:lang w:eastAsia="en-GB"/>
              </w:rPr>
              <w:t>gut]</w:t>
            </w:r>
          </w:p>
        </w:tc>
        <w:tc>
          <w:tcPr>
            <w:tcW w:w="1275" w:type="dxa"/>
            <w:shd w:val="clear" w:color="auto" w:fill="FFFFFF"/>
            <w:vAlign w:val="center"/>
          </w:tcPr>
          <w:p w14:paraId="5DB28835"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0.1</w:t>
            </w:r>
          </w:p>
        </w:tc>
        <w:tc>
          <w:tcPr>
            <w:tcW w:w="1668" w:type="dxa"/>
            <w:shd w:val="clear" w:color="auto" w:fill="FFFFFF"/>
            <w:vAlign w:val="center"/>
          </w:tcPr>
          <w:p w14:paraId="25202F33"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[kg</w:t>
            </w:r>
            <w:r w:rsidRPr="0088180A">
              <w:rPr>
                <w:rFonts w:eastAsia="Calibri" w:cs="Arial"/>
                <w:sz w:val="18"/>
                <w:szCs w:val="18"/>
                <w:vertAlign w:val="subscript"/>
                <w:lang w:eastAsia="en-GB"/>
              </w:rPr>
              <w:t>dwt</w:t>
            </w:r>
            <w:r w:rsidRPr="0088180A">
              <w:rPr>
                <w:rFonts w:eastAsia="Calibri" w:cs="Arial"/>
                <w:sz w:val="18"/>
                <w:szCs w:val="18"/>
                <w:lang w:eastAsia="en-GB"/>
              </w:rPr>
              <w:t>.kg</w:t>
            </w:r>
            <w:r w:rsidRPr="0088180A">
              <w:rPr>
                <w:rFonts w:eastAsia="Calibri" w:cs="Arial"/>
                <w:sz w:val="18"/>
                <w:szCs w:val="18"/>
                <w:vertAlign w:val="superscript"/>
                <w:lang w:eastAsia="en-GB"/>
              </w:rPr>
              <w:t>-1</w:t>
            </w:r>
            <w:r w:rsidRPr="0088180A">
              <w:rPr>
                <w:rFonts w:eastAsia="Calibri" w:cs="Arial"/>
                <w:sz w:val="18"/>
                <w:szCs w:val="18"/>
                <w:vertAlign w:val="subscript"/>
                <w:lang w:eastAsia="en-GB"/>
              </w:rPr>
              <w:t>wwt</w:t>
            </w:r>
            <w:r w:rsidRPr="0088180A">
              <w:rPr>
                <w:rFonts w:eastAsia="Calibri" w:cs="Arial"/>
                <w:sz w:val="18"/>
                <w:szCs w:val="18"/>
                <w:lang w:eastAsia="en-GB"/>
              </w:rPr>
              <w:t>]</w:t>
            </w:r>
          </w:p>
        </w:tc>
        <w:tc>
          <w:tcPr>
            <w:tcW w:w="2131" w:type="dxa"/>
            <w:shd w:val="clear" w:color="auto" w:fill="FFFFFF"/>
            <w:vAlign w:val="center"/>
          </w:tcPr>
          <w:p w14:paraId="5EBF781D"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p>
        </w:tc>
      </w:tr>
      <w:tr w:rsidR="00CC32E9" w:rsidRPr="008D46F8" w14:paraId="7A29A672" w14:textId="77777777" w:rsidTr="00BA238F">
        <w:trPr>
          <w:trHeight w:val="75"/>
          <w:jc w:val="center"/>
        </w:trPr>
        <w:tc>
          <w:tcPr>
            <w:tcW w:w="4282" w:type="dxa"/>
            <w:shd w:val="clear" w:color="auto" w:fill="FFFFFF"/>
            <w:vAlign w:val="center"/>
          </w:tcPr>
          <w:p w14:paraId="4900B086" w14:textId="77777777" w:rsidR="00CC32E9" w:rsidRPr="0088180A" w:rsidRDefault="00CC32E9" w:rsidP="00BA238F">
            <w:pPr>
              <w:spacing w:before="60" w:after="60" w:line="260" w:lineRule="atLeast"/>
              <w:rPr>
                <w:rFonts w:eastAsia="Calibri" w:cs="Arial"/>
                <w:color w:val="000000"/>
                <w:sz w:val="18"/>
                <w:szCs w:val="18"/>
                <w:lang w:eastAsia="en-GB"/>
              </w:rPr>
            </w:pPr>
            <w:r w:rsidRPr="0088180A">
              <w:rPr>
                <w:rFonts w:eastAsia="Calibri" w:cs="Arial"/>
                <w:color w:val="000000"/>
                <w:sz w:val="18"/>
                <w:szCs w:val="18"/>
                <w:lang w:eastAsia="en-GB"/>
              </w:rPr>
              <w:t>Conversion factor for soil concentration wet-dry weight soil [CONV</w:t>
            </w:r>
            <w:r w:rsidRPr="0088180A">
              <w:rPr>
                <w:rFonts w:eastAsia="Calibri" w:cs="Arial"/>
                <w:color w:val="000000"/>
                <w:sz w:val="18"/>
                <w:szCs w:val="18"/>
                <w:vertAlign w:val="subscript"/>
                <w:lang w:eastAsia="en-GB"/>
              </w:rPr>
              <w:t>soil]</w:t>
            </w:r>
          </w:p>
        </w:tc>
        <w:tc>
          <w:tcPr>
            <w:tcW w:w="1275" w:type="dxa"/>
            <w:shd w:val="clear" w:color="auto" w:fill="FFFFFF"/>
            <w:vAlign w:val="center"/>
          </w:tcPr>
          <w:p w14:paraId="3A80EE1B"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1.13</w:t>
            </w:r>
          </w:p>
        </w:tc>
        <w:tc>
          <w:tcPr>
            <w:tcW w:w="1668" w:type="dxa"/>
            <w:shd w:val="clear" w:color="auto" w:fill="FFFFFF"/>
            <w:vAlign w:val="center"/>
          </w:tcPr>
          <w:p w14:paraId="7F3B4B16"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[kg</w:t>
            </w:r>
            <w:r w:rsidRPr="0088180A">
              <w:rPr>
                <w:rFonts w:eastAsia="Calibri" w:cs="Arial"/>
                <w:sz w:val="18"/>
                <w:szCs w:val="18"/>
                <w:vertAlign w:val="subscript"/>
                <w:lang w:eastAsia="en-GB"/>
              </w:rPr>
              <w:t>wwt</w:t>
            </w:r>
            <w:r w:rsidRPr="0088180A">
              <w:rPr>
                <w:rFonts w:eastAsia="Calibri" w:cs="Arial"/>
                <w:sz w:val="18"/>
                <w:szCs w:val="18"/>
                <w:lang w:eastAsia="en-GB"/>
              </w:rPr>
              <w:t>.kg</w:t>
            </w:r>
            <w:r w:rsidRPr="0088180A">
              <w:rPr>
                <w:rFonts w:eastAsia="Calibri" w:cs="Arial"/>
                <w:sz w:val="18"/>
                <w:szCs w:val="18"/>
                <w:vertAlign w:val="superscript"/>
                <w:lang w:eastAsia="en-GB"/>
              </w:rPr>
              <w:t>-1</w:t>
            </w:r>
            <w:r w:rsidRPr="0088180A">
              <w:rPr>
                <w:rFonts w:eastAsia="Calibri" w:cs="Arial"/>
                <w:sz w:val="18"/>
                <w:szCs w:val="18"/>
                <w:vertAlign w:val="subscript"/>
                <w:lang w:eastAsia="en-GB"/>
              </w:rPr>
              <w:t>dwt</w:t>
            </w:r>
            <w:r w:rsidRPr="0088180A">
              <w:rPr>
                <w:rFonts w:eastAsia="Calibri" w:cs="Arial"/>
                <w:sz w:val="18"/>
                <w:szCs w:val="18"/>
                <w:lang w:eastAsia="en-GB"/>
              </w:rPr>
              <w:t>]</w:t>
            </w:r>
          </w:p>
        </w:tc>
        <w:tc>
          <w:tcPr>
            <w:tcW w:w="2131" w:type="dxa"/>
            <w:shd w:val="clear" w:color="auto" w:fill="FFFFFF"/>
            <w:vAlign w:val="center"/>
          </w:tcPr>
          <w:p w14:paraId="20BC7D8F"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p>
        </w:tc>
      </w:tr>
      <w:tr w:rsidR="00CC32E9" w:rsidRPr="008D46F8" w14:paraId="7FFAA6A9" w14:textId="77777777" w:rsidTr="00BA238F">
        <w:trPr>
          <w:trHeight w:val="75"/>
          <w:jc w:val="center"/>
        </w:trPr>
        <w:tc>
          <w:tcPr>
            <w:tcW w:w="4282" w:type="dxa"/>
            <w:shd w:val="clear" w:color="auto" w:fill="FFFFFF"/>
            <w:vAlign w:val="center"/>
          </w:tcPr>
          <w:p w14:paraId="2AE358E7" w14:textId="77777777" w:rsidR="00CC32E9" w:rsidRPr="0088180A" w:rsidRDefault="00CC32E9" w:rsidP="00BA238F">
            <w:pPr>
              <w:spacing w:before="60" w:after="60" w:line="260" w:lineRule="atLeast"/>
              <w:rPr>
                <w:rFonts w:eastAsia="Calibri" w:cs="Arial"/>
                <w:color w:val="000000"/>
                <w:sz w:val="18"/>
                <w:szCs w:val="18"/>
                <w:lang w:eastAsia="en-GB"/>
              </w:rPr>
            </w:pPr>
            <w:r w:rsidRPr="0088180A">
              <w:rPr>
                <w:rFonts w:eastAsia="Calibri" w:cs="Arial"/>
                <w:color w:val="000000"/>
                <w:sz w:val="18"/>
                <w:szCs w:val="18"/>
                <w:lang w:eastAsia="en-GB"/>
              </w:rPr>
              <w:t>PNEC</w:t>
            </w:r>
            <w:r w:rsidRPr="0088180A">
              <w:rPr>
                <w:rFonts w:eastAsia="Calibri" w:cs="Arial"/>
                <w:color w:val="000000"/>
                <w:sz w:val="18"/>
                <w:szCs w:val="18"/>
                <w:vertAlign w:val="subscript"/>
                <w:lang w:eastAsia="en-GB"/>
              </w:rPr>
              <w:t>oral,predator mammal</w:t>
            </w:r>
          </w:p>
        </w:tc>
        <w:tc>
          <w:tcPr>
            <w:tcW w:w="1275" w:type="dxa"/>
            <w:shd w:val="clear" w:color="auto" w:fill="FFFFFF"/>
            <w:vAlign w:val="center"/>
          </w:tcPr>
          <w:p w14:paraId="6ED66890"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sz w:val="18"/>
                <w:szCs w:val="18"/>
                <w:lang w:eastAsia="en-GB"/>
              </w:rPr>
              <w:t>2.67E+01</w:t>
            </w:r>
          </w:p>
        </w:tc>
        <w:tc>
          <w:tcPr>
            <w:tcW w:w="1668" w:type="dxa"/>
            <w:shd w:val="clear" w:color="auto" w:fill="FFFFFF"/>
            <w:vAlign w:val="center"/>
          </w:tcPr>
          <w:p w14:paraId="32764391" w14:textId="77777777" w:rsidR="00CC32E9" w:rsidRPr="0088180A" w:rsidRDefault="00CC32E9" w:rsidP="00BA238F">
            <w:pPr>
              <w:spacing w:before="60" w:after="60" w:line="260" w:lineRule="atLeast"/>
              <w:rPr>
                <w:rFonts w:eastAsia="Calibri" w:cs="Arial"/>
                <w:sz w:val="18"/>
                <w:szCs w:val="18"/>
                <w:lang w:eastAsia="en-GB"/>
              </w:rPr>
            </w:pPr>
            <w:r w:rsidRPr="0088180A">
              <w:rPr>
                <w:rFonts w:eastAsia="Calibri" w:cs="Arial"/>
                <w:color w:val="000000"/>
                <w:sz w:val="18"/>
                <w:szCs w:val="18"/>
                <w:lang w:eastAsia="en-GB"/>
              </w:rPr>
              <w:t>[mg/kg</w:t>
            </w:r>
            <w:r w:rsidRPr="0088180A">
              <w:rPr>
                <w:rFonts w:eastAsia="Calibri" w:cs="Arial"/>
                <w:color w:val="000000"/>
                <w:sz w:val="18"/>
                <w:szCs w:val="18"/>
                <w:vertAlign w:val="subscript"/>
                <w:lang w:eastAsia="en-GB"/>
              </w:rPr>
              <w:t>food</w:t>
            </w:r>
            <w:r w:rsidRPr="0088180A">
              <w:rPr>
                <w:rFonts w:eastAsia="Calibri" w:cs="Arial"/>
                <w:color w:val="000000"/>
                <w:sz w:val="18"/>
                <w:szCs w:val="18"/>
                <w:lang w:eastAsia="en-GB"/>
              </w:rPr>
              <w:t>]</w:t>
            </w:r>
          </w:p>
        </w:tc>
        <w:tc>
          <w:tcPr>
            <w:tcW w:w="2131" w:type="dxa"/>
            <w:shd w:val="clear" w:color="auto" w:fill="FFFFFF"/>
            <w:vAlign w:val="center"/>
          </w:tcPr>
          <w:p w14:paraId="7E0AD0D6" w14:textId="77777777" w:rsidR="00CC32E9" w:rsidRPr="0088180A" w:rsidRDefault="00CC32E9" w:rsidP="00BA238F">
            <w:pPr>
              <w:autoSpaceDE w:val="0"/>
              <w:autoSpaceDN w:val="0"/>
              <w:adjustRightInd w:val="0"/>
              <w:spacing w:line="260" w:lineRule="atLeast"/>
              <w:rPr>
                <w:rFonts w:eastAsia="Calibri" w:cs="Arial"/>
                <w:color w:val="000000"/>
                <w:sz w:val="18"/>
                <w:szCs w:val="18"/>
                <w:lang w:eastAsia="en-GB"/>
              </w:rPr>
            </w:pPr>
          </w:p>
        </w:tc>
      </w:tr>
    </w:tbl>
    <w:p w14:paraId="4DD8AA96" w14:textId="77777777" w:rsidR="00CC32E9" w:rsidRPr="00287304" w:rsidRDefault="00CC32E9" w:rsidP="00CC32E9">
      <w:pPr>
        <w:jc w:val="both"/>
        <w:rPr>
          <w:rFonts w:eastAsia="Calibri" w:cs="Times New Roman"/>
          <w:i/>
          <w:iCs/>
          <w:sz w:val="16"/>
          <w:szCs w:val="16"/>
          <w:lang w:eastAsia="en-US"/>
        </w:rPr>
      </w:pPr>
      <w:r w:rsidRPr="00287304">
        <w:rPr>
          <w:rFonts w:eastAsia="Calibri" w:cs="Times New Roman"/>
          <w:i/>
          <w:iCs/>
          <w:sz w:val="16"/>
          <w:szCs w:val="16"/>
          <w:lang w:eastAsia="en-US"/>
        </w:rPr>
        <w:t>*</w:t>
      </w:r>
      <w:r w:rsidRPr="00287304">
        <w:rPr>
          <w:rFonts w:cs="Arial"/>
          <w:sz w:val="16"/>
          <w:szCs w:val="16"/>
        </w:rPr>
        <w:t>50 % of the diet comes from PEClocal</w:t>
      </w:r>
    </w:p>
    <w:p w14:paraId="0C152CD0" w14:textId="77777777" w:rsidR="00CC32E9" w:rsidRDefault="00CC32E9" w:rsidP="00CC32E9">
      <w:pPr>
        <w:spacing w:line="260" w:lineRule="atLeast"/>
        <w:jc w:val="both"/>
      </w:pPr>
    </w:p>
    <w:p w14:paraId="2364E5C1" w14:textId="46A15456" w:rsidR="00CC32E9" w:rsidRDefault="00CC32E9" w:rsidP="00CC32E9">
      <w:pPr>
        <w:spacing w:line="260" w:lineRule="atLeast"/>
        <w:jc w:val="both"/>
        <w:rPr>
          <w:rFonts w:eastAsia="Calibri"/>
          <w:lang w:eastAsia="en-US"/>
        </w:rPr>
      </w:pPr>
      <w:r w:rsidRPr="008D46F8">
        <w:t xml:space="preserve">For all scenarios that lead to emissions to surface water or soil, the resulting concentrations in </w:t>
      </w:r>
      <w:r>
        <w:t>mammals</w:t>
      </w:r>
      <w:r w:rsidRPr="008D46F8">
        <w:t xml:space="preserve"> are calculated acco</w:t>
      </w:r>
      <w:r w:rsidRPr="008D46F8">
        <w:rPr>
          <w:rFonts w:eastAsia="Calibri"/>
          <w:lang w:eastAsia="en-US"/>
        </w:rPr>
        <w:t xml:space="preserve">rding to the ECHA Guidance Volume IV Part B+C (2017). </w:t>
      </w:r>
    </w:p>
    <w:p w14:paraId="70CEEDCF" w14:textId="77777777" w:rsidR="00CC32E9" w:rsidRDefault="00CC32E9" w:rsidP="00CC32E9">
      <w:pPr>
        <w:spacing w:line="260" w:lineRule="atLeast"/>
        <w:jc w:val="both"/>
        <w:rPr>
          <w:rFonts w:eastAsia="Calibri"/>
          <w:lang w:eastAsia="en-US"/>
        </w:rPr>
      </w:pPr>
    </w:p>
    <w:p w14:paraId="4D861017" w14:textId="77777777" w:rsidR="00CC32E9" w:rsidRDefault="00CC32E9" w:rsidP="00CC32E9">
      <w:pPr>
        <w:spacing w:line="26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2535"/>
        <w:gridCol w:w="2953"/>
      </w:tblGrid>
      <w:tr w:rsidR="00201FE9" w:rsidRPr="008D46F8" w14:paraId="055BAA67" w14:textId="77777777" w:rsidTr="00201FE9">
        <w:trPr>
          <w:trHeight w:val="313"/>
          <w:jc w:val="center"/>
        </w:trPr>
        <w:tc>
          <w:tcPr>
            <w:tcW w:w="9429" w:type="dxa"/>
            <w:gridSpan w:val="3"/>
            <w:shd w:val="clear" w:color="auto" w:fill="FFFFCC"/>
            <w:vAlign w:val="center"/>
          </w:tcPr>
          <w:p w14:paraId="2D4684A6" w14:textId="428A837B" w:rsidR="00201FE9" w:rsidRPr="00201FE9" w:rsidRDefault="00201FE9" w:rsidP="00201FE9">
            <w:pPr>
              <w:autoSpaceDE w:val="0"/>
              <w:spacing w:before="60" w:after="60" w:line="260" w:lineRule="atLeast"/>
              <w:jc w:val="center"/>
              <w:rPr>
                <w:rFonts w:eastAsia="Calibri" w:cs="Arial"/>
                <w:b/>
                <w:bCs/>
                <w:sz w:val="18"/>
                <w:szCs w:val="18"/>
                <w:lang w:eastAsia="en-GB"/>
              </w:rPr>
            </w:pPr>
            <w:r w:rsidRPr="00201FE9">
              <w:rPr>
                <w:rFonts w:eastAsia="Calibri" w:cs="Arial"/>
                <w:b/>
                <w:bCs/>
                <w:sz w:val="18"/>
                <w:szCs w:val="18"/>
                <w:lang w:eastAsia="en-GB"/>
              </w:rPr>
              <w:t>Summary table on calculated secondary poisoning PEC values for mammals</w:t>
            </w:r>
          </w:p>
        </w:tc>
      </w:tr>
      <w:tr w:rsidR="00201FE9" w:rsidRPr="0037583D" w14:paraId="1F454E76"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right w:val="single" w:sz="4" w:space="0" w:color="000000"/>
            </w:tcBorders>
            <w:shd w:val="clear" w:color="auto" w:fill="auto"/>
          </w:tcPr>
          <w:p w14:paraId="67DC29C2" w14:textId="0CB45333" w:rsidR="00201FE9" w:rsidRDefault="00201FE9" w:rsidP="00BA238F">
            <w:pPr>
              <w:autoSpaceDE w:val="0"/>
              <w:spacing w:before="60" w:after="60" w:line="260" w:lineRule="atLeast"/>
              <w:jc w:val="center"/>
              <w:rPr>
                <w:rFonts w:eastAsia="Calibri" w:cs="Arial"/>
                <w:b/>
                <w:bCs/>
                <w:sz w:val="18"/>
                <w:szCs w:val="18"/>
                <w:lang w:eastAsia="en-GB"/>
              </w:rPr>
            </w:pPr>
          </w:p>
          <w:p w14:paraId="534D7BA0" w14:textId="7EDB0B58" w:rsidR="00201FE9" w:rsidRDefault="00201FE9" w:rsidP="00BA238F">
            <w:pPr>
              <w:autoSpaceDE w:val="0"/>
              <w:spacing w:before="60" w:after="60" w:line="260" w:lineRule="atLeast"/>
              <w:jc w:val="center"/>
              <w:rPr>
                <w:rFonts w:eastAsia="Calibri" w:cs="Arial"/>
                <w:b/>
                <w:bCs/>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8C78EC" w14:textId="703842B5" w:rsidR="00201FE9" w:rsidRDefault="00201FE9" w:rsidP="00201FE9">
            <w:pPr>
              <w:autoSpaceDE w:val="0"/>
              <w:spacing w:before="60" w:after="60" w:line="260" w:lineRule="atLeast"/>
              <w:jc w:val="center"/>
              <w:rPr>
                <w:rFonts w:eastAsia="Calibri" w:cs="Arial"/>
                <w:b/>
                <w:sz w:val="18"/>
                <w:szCs w:val="18"/>
                <w:lang w:eastAsia="en-GB"/>
              </w:rPr>
            </w:pPr>
            <w:r>
              <w:rPr>
                <w:rFonts w:eastAsia="Calibri" w:cs="Arial"/>
                <w:b/>
                <w:sz w:val="18"/>
                <w:szCs w:val="18"/>
                <w:lang w:eastAsia="en-GB"/>
              </w:rPr>
              <w:t>Aquatic food chain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07E0BB" w14:textId="5888A1CE" w:rsidR="00201FE9" w:rsidRDefault="00201FE9" w:rsidP="00201FE9">
            <w:pPr>
              <w:autoSpaceDE w:val="0"/>
              <w:spacing w:before="60" w:after="60" w:line="260" w:lineRule="atLeast"/>
              <w:jc w:val="center"/>
              <w:rPr>
                <w:rFonts w:eastAsia="Calibri" w:cs="Arial"/>
                <w:b/>
                <w:sz w:val="18"/>
                <w:szCs w:val="18"/>
                <w:lang w:eastAsia="en-GB"/>
              </w:rPr>
            </w:pPr>
            <w:r>
              <w:rPr>
                <w:rFonts w:eastAsia="Calibri" w:cs="Arial"/>
                <w:b/>
                <w:sz w:val="18"/>
                <w:szCs w:val="18"/>
                <w:lang w:eastAsia="en-GB"/>
              </w:rPr>
              <w:t>Terrestrial food chain</w:t>
            </w:r>
          </w:p>
        </w:tc>
      </w:tr>
      <w:tr w:rsidR="00201FE9" w:rsidRPr="0037583D" w14:paraId="551EA2E8"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left w:val="single" w:sz="4" w:space="0" w:color="000000"/>
              <w:bottom w:val="single" w:sz="4" w:space="0" w:color="000000"/>
              <w:right w:val="single" w:sz="4" w:space="0" w:color="000000"/>
            </w:tcBorders>
            <w:shd w:val="clear" w:color="auto" w:fill="auto"/>
          </w:tcPr>
          <w:p w14:paraId="489C15F1" w14:textId="77777777" w:rsidR="00201FE9" w:rsidRPr="0037583D" w:rsidRDefault="00201FE9" w:rsidP="00BA238F">
            <w:pPr>
              <w:autoSpaceDE w:val="0"/>
              <w:spacing w:before="60" w:after="60" w:line="260" w:lineRule="atLeast"/>
              <w:jc w:val="center"/>
              <w:rPr>
                <w:rFonts w:eastAsia="Calibri" w:cs="Arial"/>
                <w:b/>
                <w:bCs/>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5C415D" w14:textId="17C190CA" w:rsidR="00201FE9" w:rsidRDefault="00201FE9" w:rsidP="00201FE9">
            <w:pPr>
              <w:autoSpaceDE w:val="0"/>
              <w:spacing w:before="60" w:after="60" w:line="260" w:lineRule="atLeast"/>
              <w:jc w:val="center"/>
              <w:rPr>
                <w:rFonts w:eastAsia="Calibri" w:cs="Arial"/>
                <w:b/>
                <w:sz w:val="18"/>
                <w:szCs w:val="18"/>
                <w:lang w:eastAsia="en-GB"/>
              </w:rPr>
            </w:pPr>
            <w:r w:rsidRPr="0037583D">
              <w:rPr>
                <w:rFonts w:eastAsia="Calibri" w:cs="Arial"/>
                <w:b/>
                <w:bCs/>
                <w:sz w:val="18"/>
                <w:szCs w:val="18"/>
                <w:lang w:eastAsia="en-GB"/>
              </w:rPr>
              <w:t>PEC</w:t>
            </w:r>
            <w:r>
              <w:rPr>
                <w:rFonts w:eastAsia="Calibri" w:cs="Arial"/>
                <w:b/>
                <w:bCs/>
                <w:sz w:val="18"/>
                <w:szCs w:val="18"/>
                <w:vertAlign w:val="subscript"/>
                <w:lang w:eastAsia="en-GB"/>
              </w:rPr>
              <w:t xml:space="preserve">oral,predator,aquatic </w:t>
            </w:r>
            <w:r w:rsidRPr="00287304">
              <w:rPr>
                <w:rFonts w:eastAsia="Calibri" w:cs="Arial"/>
                <w:bCs/>
                <w:color w:val="000000"/>
                <w:sz w:val="18"/>
                <w:szCs w:val="18"/>
                <w:lang w:eastAsia="en-GB"/>
              </w:rPr>
              <w:t>[mg/kg</w:t>
            </w:r>
            <w:r w:rsidRPr="00287304">
              <w:rPr>
                <w:rFonts w:eastAsia="Calibri" w:cs="Arial"/>
                <w:bCs/>
                <w:color w:val="000000"/>
                <w:sz w:val="18"/>
                <w:szCs w:val="18"/>
                <w:vertAlign w:val="subscript"/>
                <w:lang w:eastAsia="en-GB"/>
              </w:rPr>
              <w:t>ww</w:t>
            </w:r>
            <w:r>
              <w:rPr>
                <w:rFonts w:eastAsia="Calibri" w:cs="Arial"/>
                <w:bCs/>
                <w:color w:val="000000"/>
                <w:sz w:val="18"/>
                <w:szCs w:val="18"/>
                <w:vertAlign w:val="subscript"/>
                <w:lang w:eastAsia="en-GB"/>
              </w:rPr>
              <w:t>FISH</w:t>
            </w:r>
            <w:r w:rsidRPr="00287304">
              <w:rPr>
                <w:rFonts w:eastAsia="Calibri" w:cs="Arial"/>
                <w:bCs/>
                <w:color w:val="000000"/>
                <w:sz w:val="18"/>
                <w:szCs w:val="18"/>
                <w:lang w:eastAsia="en-GB"/>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4473E3" w14:textId="210CBA25" w:rsidR="00201FE9" w:rsidRDefault="00201FE9" w:rsidP="00201FE9">
            <w:pPr>
              <w:autoSpaceDE w:val="0"/>
              <w:spacing w:before="60" w:after="60" w:line="260" w:lineRule="atLeast"/>
              <w:jc w:val="center"/>
              <w:rPr>
                <w:rFonts w:eastAsia="Calibri" w:cs="Arial"/>
                <w:b/>
                <w:sz w:val="18"/>
                <w:szCs w:val="18"/>
                <w:lang w:eastAsia="en-GB"/>
              </w:rPr>
            </w:pPr>
            <w:r w:rsidRPr="0037583D">
              <w:rPr>
                <w:rFonts w:eastAsia="Calibri" w:cs="Arial"/>
                <w:b/>
                <w:bCs/>
                <w:sz w:val="18"/>
                <w:szCs w:val="18"/>
                <w:lang w:eastAsia="en-GB"/>
              </w:rPr>
              <w:t>PEC</w:t>
            </w:r>
            <w:r>
              <w:rPr>
                <w:rFonts w:eastAsia="Calibri" w:cs="Arial"/>
                <w:b/>
                <w:bCs/>
                <w:sz w:val="18"/>
                <w:szCs w:val="18"/>
                <w:vertAlign w:val="subscript"/>
                <w:lang w:eastAsia="en-GB"/>
              </w:rPr>
              <w:t xml:space="preserve">oral,predator,terrestrial </w:t>
            </w:r>
            <w:r w:rsidRPr="00287304">
              <w:rPr>
                <w:rFonts w:eastAsia="Calibri" w:cs="Arial"/>
                <w:bCs/>
                <w:color w:val="000000"/>
                <w:sz w:val="18"/>
                <w:szCs w:val="18"/>
                <w:lang w:eastAsia="en-GB"/>
              </w:rPr>
              <w:t>[mg/kg</w:t>
            </w:r>
            <w:r w:rsidRPr="00287304">
              <w:rPr>
                <w:rFonts w:eastAsia="Calibri" w:cs="Arial"/>
                <w:bCs/>
                <w:color w:val="000000"/>
                <w:sz w:val="18"/>
                <w:szCs w:val="18"/>
                <w:vertAlign w:val="subscript"/>
                <w:lang w:eastAsia="en-GB"/>
              </w:rPr>
              <w:t>ww</w:t>
            </w:r>
            <w:r>
              <w:rPr>
                <w:rFonts w:eastAsia="Calibri" w:cs="Arial"/>
                <w:bCs/>
                <w:color w:val="000000"/>
                <w:sz w:val="18"/>
                <w:szCs w:val="18"/>
                <w:vertAlign w:val="subscript"/>
                <w:lang w:eastAsia="en-GB"/>
              </w:rPr>
              <w:t>EARTHWORMS</w:t>
            </w:r>
            <w:r w:rsidRPr="00287304">
              <w:rPr>
                <w:rFonts w:eastAsia="Calibri" w:cs="Arial"/>
                <w:bCs/>
                <w:color w:val="000000"/>
                <w:sz w:val="18"/>
                <w:szCs w:val="18"/>
                <w:lang w:eastAsia="en-GB"/>
              </w:rPr>
              <w:t>]</w:t>
            </w:r>
          </w:p>
        </w:tc>
      </w:tr>
      <w:tr w:rsidR="00201FE9" w:rsidRPr="0037583D" w14:paraId="1DA8B3C4"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9EB1F3" w14:textId="77777777" w:rsidR="00201FE9" w:rsidRDefault="00201FE9" w:rsidP="00BA238F">
            <w:pPr>
              <w:spacing w:before="60" w:after="60" w:line="276" w:lineRule="auto"/>
              <w:rPr>
                <w:rFonts w:eastAsia="Calibri"/>
                <w:sz w:val="18"/>
                <w:szCs w:val="18"/>
                <w:lang w:eastAsia="en-US"/>
              </w:rPr>
            </w:pPr>
            <w:r w:rsidRPr="00DD2B9D">
              <w:rPr>
                <w:rFonts w:eastAsia="Calibri" w:cs="Arial"/>
                <w:sz w:val="18"/>
                <w:szCs w:val="18"/>
                <w:lang w:eastAsia="en-GB"/>
              </w:rPr>
              <w:t xml:space="preserve">Scenario 1 – PT02 </w:t>
            </w:r>
            <w:r w:rsidRPr="00DD2B9D">
              <w:rPr>
                <w:rFonts w:eastAsia="Calibri"/>
                <w:sz w:val="18"/>
                <w:szCs w:val="18"/>
                <w:lang w:eastAsia="en-US"/>
              </w:rPr>
              <w:t>Institutional</w:t>
            </w:r>
            <w:r>
              <w:rPr>
                <w:rFonts w:eastAsia="Calibri"/>
                <w:sz w:val="18"/>
                <w:szCs w:val="18"/>
                <w:lang w:eastAsia="en-US"/>
              </w:rPr>
              <w:t xml:space="preserve"> </w:t>
            </w:r>
            <w:r w:rsidRPr="00DD2B9D">
              <w:rPr>
                <w:rFonts w:eastAsia="Calibri"/>
                <w:sz w:val="18"/>
                <w:szCs w:val="18"/>
                <w:lang w:eastAsia="en-US"/>
              </w:rPr>
              <w:t>areas</w:t>
            </w:r>
          </w:p>
          <w:p w14:paraId="2769448A" w14:textId="7655BDD0" w:rsidR="00AC0905" w:rsidRPr="00DD2B9D" w:rsidRDefault="00AC0905" w:rsidP="00BA238F">
            <w:pPr>
              <w:spacing w:before="60" w:after="60" w:line="276" w:lineRule="auto"/>
              <w:rPr>
                <w:rFonts w:eastAsia="Calibri" w:cs="Arial"/>
                <w:b/>
                <w:bCs/>
                <w:sz w:val="18"/>
                <w:szCs w:val="18"/>
                <w:lang w:eastAsia="en-GB"/>
              </w:rPr>
            </w:pPr>
            <w:r>
              <w:rPr>
                <w:rFonts w:eastAsia="Calibri"/>
                <w:sz w:val="18"/>
                <w:szCs w:val="18"/>
                <w:lang w:eastAsia="en-US"/>
              </w:rPr>
              <w:t>Meta-SPC 9 as worst case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E5641C" w14:textId="3FEE7702"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3E5752" w14:textId="04FB585C" w:rsidR="00201FE9" w:rsidRPr="00DD2B9D" w:rsidRDefault="00AC0905"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4.98</w:t>
            </w:r>
            <w:r w:rsidR="00201FE9">
              <w:rPr>
                <w:rFonts w:eastAsia="Calibri" w:cs="Arial"/>
                <w:sz w:val="18"/>
                <w:szCs w:val="18"/>
                <w:lang w:eastAsia="en-GB"/>
              </w:rPr>
              <w:t>E-01</w:t>
            </w:r>
          </w:p>
        </w:tc>
      </w:tr>
      <w:tr w:rsidR="00201FE9" w:rsidRPr="0037583D" w14:paraId="713A8DC3"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052AE9" w14:textId="77777777" w:rsidR="00201FE9" w:rsidRPr="00DD2B9D" w:rsidRDefault="00201FE9" w:rsidP="00BA238F">
            <w:pPr>
              <w:spacing w:before="60" w:after="60" w:line="276" w:lineRule="auto"/>
              <w:rPr>
                <w:rFonts w:eastAsia="Calibri" w:cs="Arial"/>
                <w:b/>
                <w:bCs/>
                <w:sz w:val="18"/>
                <w:szCs w:val="18"/>
                <w:lang w:eastAsia="en-GB"/>
              </w:rPr>
            </w:pPr>
            <w:r w:rsidRPr="00DD2B9D">
              <w:rPr>
                <w:rFonts w:eastAsia="Calibri" w:cs="Arial"/>
                <w:sz w:val="18"/>
                <w:szCs w:val="18"/>
                <w:lang w:eastAsia="en-GB"/>
              </w:rPr>
              <w:t>Scenario 2 – PT02</w:t>
            </w:r>
            <w:r w:rsidRPr="00DD2B9D">
              <w:rPr>
                <w:sz w:val="18"/>
                <w:szCs w:val="18"/>
              </w:rPr>
              <w:t xml:space="preserve"> </w:t>
            </w:r>
            <w:r>
              <w:rPr>
                <w:rFonts w:eastAsia="Calibri" w:cs="Arial"/>
                <w:sz w:val="18"/>
                <w:szCs w:val="18"/>
                <w:lang w:eastAsia="en-GB"/>
              </w:rPr>
              <w:t>Industrial areas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14C69F" w14:textId="3F4B5906"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2</w:t>
            </w:r>
            <w:r w:rsidRPr="00DD2B9D">
              <w:rPr>
                <w:rFonts w:eastAsia="Calibri" w:cs="Arial"/>
                <w:sz w:val="18"/>
                <w:szCs w:val="18"/>
                <w:lang w:eastAsia="en-GB"/>
              </w:rPr>
              <w:t>.</w:t>
            </w:r>
            <w:r w:rsidR="00AC0905">
              <w:rPr>
                <w:rFonts w:eastAsia="Calibri" w:cs="Arial"/>
                <w:sz w:val="18"/>
                <w:szCs w:val="18"/>
                <w:lang w:eastAsia="en-GB"/>
              </w:rPr>
              <w:t>37</w:t>
            </w:r>
            <w:r w:rsidR="00AC0905" w:rsidRPr="00DD2B9D">
              <w:rPr>
                <w:rFonts w:eastAsia="Calibri" w:cs="Arial"/>
                <w:sz w:val="18"/>
                <w:szCs w:val="18"/>
                <w:lang w:eastAsia="en-GB"/>
              </w:rPr>
              <w:t>E</w:t>
            </w:r>
            <w:r w:rsidRPr="00DD2B9D">
              <w:rPr>
                <w:rFonts w:eastAsia="Calibri" w:cs="Arial"/>
                <w:sz w:val="18"/>
                <w:szCs w:val="18"/>
                <w:lang w:eastAsia="en-GB"/>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149F92" w14:textId="0F75A225" w:rsidR="00201FE9" w:rsidRPr="00DD2B9D" w:rsidRDefault="00201FE9" w:rsidP="00387E87">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1.</w:t>
            </w:r>
            <w:r w:rsidR="00AC0905">
              <w:rPr>
                <w:rFonts w:eastAsia="Calibri" w:cs="Arial"/>
                <w:sz w:val="18"/>
                <w:szCs w:val="18"/>
                <w:lang w:eastAsia="en-GB"/>
              </w:rPr>
              <w:t>14E</w:t>
            </w:r>
            <w:r>
              <w:rPr>
                <w:rFonts w:eastAsia="Calibri" w:cs="Arial"/>
                <w:sz w:val="18"/>
                <w:szCs w:val="18"/>
                <w:lang w:eastAsia="en-GB"/>
              </w:rPr>
              <w:t>-01</w:t>
            </w:r>
          </w:p>
        </w:tc>
      </w:tr>
      <w:tr w:rsidR="00201FE9" w:rsidRPr="0037583D" w14:paraId="0FD22C7B"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1FB0F7" w14:textId="6AC7A3A2" w:rsidR="00201FE9" w:rsidRPr="00DD2B9D" w:rsidRDefault="00201FE9" w:rsidP="00BA238F">
            <w:pPr>
              <w:spacing w:before="60" w:after="60" w:line="276" w:lineRule="auto"/>
              <w:rPr>
                <w:rFonts w:eastAsia="Calibri" w:cs="Arial"/>
                <w:sz w:val="18"/>
                <w:szCs w:val="18"/>
                <w:lang w:eastAsia="en-GB"/>
              </w:rPr>
            </w:pPr>
            <w:r w:rsidRPr="007F7C7F">
              <w:rPr>
                <w:rFonts w:eastAsia="Calibri" w:cs="Arial"/>
                <w:sz w:val="18"/>
                <w:szCs w:val="18"/>
                <w:lang w:eastAsia="en-GB"/>
              </w:rPr>
              <w:t>Scenario 3 - PT02 Disinfection of rooms, furniture and objects in medical sector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C28F0C" w14:textId="41E19622"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8.88E-02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F6BD8A" w14:textId="11A3F9A8"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4.</w:t>
            </w:r>
            <w:r w:rsidR="00AC0905">
              <w:rPr>
                <w:rFonts w:eastAsia="Calibri" w:cs="Arial"/>
                <w:sz w:val="18"/>
                <w:szCs w:val="18"/>
                <w:lang w:eastAsia="en-GB"/>
              </w:rPr>
              <w:t>27E</w:t>
            </w:r>
            <w:r>
              <w:rPr>
                <w:rFonts w:eastAsia="Calibri" w:cs="Arial"/>
                <w:sz w:val="18"/>
                <w:szCs w:val="18"/>
                <w:lang w:eastAsia="en-GB"/>
              </w:rPr>
              <w:t>-02</w:t>
            </w:r>
          </w:p>
        </w:tc>
      </w:tr>
      <w:tr w:rsidR="00201FE9" w:rsidRPr="0037583D" w14:paraId="484B16FC"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54A3CC" w14:textId="77777777" w:rsidR="00201FE9" w:rsidRPr="00DD2B9D" w:rsidRDefault="00201FE9" w:rsidP="00BA238F">
            <w:pPr>
              <w:spacing w:before="60" w:after="60" w:line="276" w:lineRule="auto"/>
              <w:rPr>
                <w:rFonts w:eastAsia="Calibri" w:cs="Arial"/>
                <w:sz w:val="18"/>
                <w:szCs w:val="18"/>
                <w:lang w:eastAsia="en-GB"/>
              </w:rPr>
            </w:pPr>
            <w:r w:rsidRPr="00DD2B9D">
              <w:rPr>
                <w:rFonts w:eastAsia="Calibri"/>
                <w:color w:val="000000"/>
                <w:sz w:val="18"/>
                <w:szCs w:val="18"/>
                <w:lang w:eastAsia="en-GB"/>
              </w:rPr>
              <w:t xml:space="preserve">Scenario 4 </w:t>
            </w:r>
            <w:r w:rsidRPr="00DD2B9D">
              <w:rPr>
                <w:rFonts w:eastAsia="Calibri" w:cs="Arial"/>
                <w:sz w:val="18"/>
                <w:szCs w:val="18"/>
                <w:lang w:eastAsia="en-GB"/>
              </w:rPr>
              <w:t xml:space="preserve">– PT02 </w:t>
            </w:r>
          </w:p>
          <w:p w14:paraId="381CA845" w14:textId="77777777" w:rsidR="00201FE9" w:rsidRPr="00DD2B9D" w:rsidRDefault="00201FE9" w:rsidP="00BA238F">
            <w:pPr>
              <w:widowControl w:val="0"/>
              <w:tabs>
                <w:tab w:val="center" w:pos="4536"/>
                <w:tab w:val="right" w:pos="9072"/>
              </w:tabs>
              <w:spacing w:line="260" w:lineRule="atLeast"/>
              <w:rPr>
                <w:rFonts w:eastAsia="Calibri"/>
                <w:color w:val="000000"/>
                <w:sz w:val="18"/>
                <w:szCs w:val="18"/>
                <w:lang w:eastAsia="en-GB"/>
              </w:rPr>
            </w:pPr>
            <w:r w:rsidRPr="00DD2B9D">
              <w:rPr>
                <w:sz w:val="18"/>
                <w:szCs w:val="18"/>
              </w:rPr>
              <w:t>Road ways indirect emission via STP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C0D75B" w14:textId="34249094"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3.55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12B232" w14:textId="2AA7817B"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1.</w:t>
            </w:r>
            <w:r w:rsidR="00AC0905">
              <w:rPr>
                <w:rFonts w:eastAsia="Calibri" w:cs="Arial"/>
                <w:sz w:val="18"/>
                <w:szCs w:val="18"/>
                <w:lang w:eastAsia="en-GB"/>
              </w:rPr>
              <w:t>71</w:t>
            </w:r>
          </w:p>
        </w:tc>
      </w:tr>
      <w:tr w:rsidR="00201FE9" w:rsidRPr="0037583D" w14:paraId="02690A3B"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BD8DD4" w14:textId="77777777" w:rsidR="00201FE9" w:rsidRPr="00DD2B9D" w:rsidRDefault="00201FE9" w:rsidP="00BA238F">
            <w:pPr>
              <w:widowControl w:val="0"/>
              <w:tabs>
                <w:tab w:val="center" w:pos="4536"/>
                <w:tab w:val="right" w:pos="9072"/>
              </w:tabs>
              <w:spacing w:line="260" w:lineRule="atLeast"/>
              <w:rPr>
                <w:rFonts w:eastAsia="Calibri" w:cs="Arial"/>
                <w:sz w:val="18"/>
                <w:szCs w:val="18"/>
                <w:lang w:eastAsia="en-GB"/>
              </w:rPr>
            </w:pPr>
            <w:r w:rsidRPr="00DD2B9D">
              <w:rPr>
                <w:rFonts w:eastAsia="Calibri"/>
                <w:color w:val="000000"/>
                <w:sz w:val="18"/>
                <w:szCs w:val="18"/>
                <w:lang w:eastAsia="en-GB"/>
              </w:rPr>
              <w:t xml:space="preserve">Scenario 5 </w:t>
            </w:r>
            <w:r w:rsidRPr="00DD2B9D">
              <w:rPr>
                <w:rFonts w:eastAsia="Calibri" w:cs="Arial"/>
                <w:sz w:val="18"/>
                <w:szCs w:val="18"/>
                <w:lang w:eastAsia="en-GB"/>
              </w:rPr>
              <w:t>– PT02</w:t>
            </w:r>
          </w:p>
          <w:p w14:paraId="19F6AE0C" w14:textId="6501DF98" w:rsidR="00201FE9" w:rsidRPr="00DD2B9D" w:rsidRDefault="00201FE9" w:rsidP="00BA238F">
            <w:pPr>
              <w:spacing w:before="60" w:after="60" w:line="276" w:lineRule="auto"/>
              <w:rPr>
                <w:rFonts w:eastAsia="Calibri" w:cs="Arial"/>
                <w:sz w:val="18"/>
                <w:szCs w:val="18"/>
                <w:lang w:eastAsia="en-GB"/>
              </w:rPr>
            </w:pPr>
            <w:r w:rsidRPr="00DD2B9D">
              <w:rPr>
                <w:sz w:val="18"/>
                <w:szCs w:val="18"/>
              </w:rPr>
              <w:t>Road ways direct emission to surface water</w:t>
            </w:r>
            <w:r w:rsidR="00AC0905">
              <w:rPr>
                <w:sz w:val="18"/>
                <w:szCs w:val="18"/>
              </w:rPr>
              <w:t xml:space="preserve"> (as worst case)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FE35BE" w14:textId="12F9C85F"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3.45E+01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6088B3" w14:textId="77777777" w:rsidR="00201FE9" w:rsidRPr="00DD2B9D" w:rsidRDefault="00201FE9" w:rsidP="00BA238F">
            <w:pPr>
              <w:autoSpaceDE w:val="0"/>
              <w:spacing w:before="60" w:after="60" w:line="260" w:lineRule="atLeast"/>
              <w:jc w:val="center"/>
              <w:rPr>
                <w:rFonts w:eastAsia="Calibri" w:cs="Arial"/>
                <w:sz w:val="18"/>
                <w:szCs w:val="18"/>
                <w:lang w:eastAsia="en-GB"/>
              </w:rPr>
            </w:pPr>
            <w:r w:rsidRPr="00DD2B9D">
              <w:rPr>
                <w:rFonts w:eastAsia="Calibri" w:cs="Arial"/>
                <w:sz w:val="18"/>
                <w:szCs w:val="18"/>
                <w:lang w:eastAsia="en-GB"/>
              </w:rPr>
              <w:t>-</w:t>
            </w:r>
          </w:p>
        </w:tc>
      </w:tr>
      <w:tr w:rsidR="00201FE9" w:rsidRPr="0037583D" w14:paraId="08DCAA17"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D258FB" w14:textId="31B3739D" w:rsidR="00201FE9" w:rsidRPr="00DD2B9D" w:rsidRDefault="00201FE9" w:rsidP="00BA238F">
            <w:pPr>
              <w:spacing w:before="60" w:after="60" w:line="276" w:lineRule="auto"/>
              <w:rPr>
                <w:rFonts w:eastAsia="Calibri" w:cs="Arial"/>
                <w:sz w:val="18"/>
                <w:szCs w:val="18"/>
                <w:lang w:eastAsia="en-GB"/>
              </w:rPr>
            </w:pPr>
            <w:r w:rsidRPr="00DD2B9D">
              <w:rPr>
                <w:rFonts w:eastAsia="Calibri"/>
                <w:color w:val="000000"/>
                <w:sz w:val="18"/>
                <w:szCs w:val="18"/>
                <w:lang w:eastAsia="en-GB"/>
              </w:rPr>
              <w:t xml:space="preserve">Scenario </w:t>
            </w:r>
            <w:r>
              <w:rPr>
                <w:rFonts w:eastAsia="Calibri"/>
                <w:color w:val="000000"/>
                <w:sz w:val="18"/>
                <w:szCs w:val="18"/>
                <w:lang w:eastAsia="en-GB"/>
              </w:rPr>
              <w:t>6</w:t>
            </w:r>
            <w:r w:rsidRPr="00DD2B9D">
              <w:rPr>
                <w:rFonts w:eastAsia="Calibri"/>
                <w:color w:val="000000"/>
                <w:sz w:val="18"/>
                <w:szCs w:val="18"/>
                <w:lang w:eastAsia="en-GB"/>
              </w:rPr>
              <w:t xml:space="preserve"> </w:t>
            </w:r>
            <w:r w:rsidRPr="00DD2B9D">
              <w:rPr>
                <w:rFonts w:eastAsia="Calibri" w:cs="Arial"/>
                <w:sz w:val="18"/>
                <w:szCs w:val="18"/>
                <w:lang w:eastAsia="en-GB"/>
              </w:rPr>
              <w:t xml:space="preserve">– PT03 </w:t>
            </w:r>
          </w:p>
          <w:p w14:paraId="73AC9469" w14:textId="77777777" w:rsidR="00201FE9" w:rsidRPr="00DD2B9D" w:rsidRDefault="00201FE9" w:rsidP="00BA238F">
            <w:pPr>
              <w:spacing w:before="60" w:after="60" w:line="276" w:lineRule="auto"/>
              <w:rPr>
                <w:rFonts w:eastAsia="Calibri" w:cs="Arial"/>
                <w:sz w:val="18"/>
                <w:szCs w:val="18"/>
                <w:lang w:eastAsia="en-GB"/>
              </w:rPr>
            </w:pPr>
            <w:r w:rsidRPr="00DD2B9D">
              <w:rPr>
                <w:sz w:val="18"/>
                <w:szCs w:val="18"/>
              </w:rPr>
              <w:t>Animal housing direct emission to soil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E93405" w14:textId="77777777" w:rsidR="00201FE9" w:rsidRPr="00DD2B9D" w:rsidRDefault="00201FE9" w:rsidP="00BA238F">
            <w:pPr>
              <w:autoSpaceDE w:val="0"/>
              <w:spacing w:before="60" w:after="60" w:line="260" w:lineRule="atLeast"/>
              <w:jc w:val="center"/>
              <w:rPr>
                <w:rFonts w:eastAsia="Calibri" w:cs="Arial"/>
                <w:sz w:val="18"/>
                <w:szCs w:val="18"/>
                <w:lang w:eastAsia="en-GB"/>
              </w:rPr>
            </w:pPr>
            <w:r w:rsidRPr="00DD2B9D">
              <w:rPr>
                <w:rFonts w:eastAsia="Calibri" w:cs="Arial"/>
                <w:sz w:val="18"/>
                <w:szCs w:val="18"/>
                <w:lang w:eastAsia="en-GB"/>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7D8ED0" w14:textId="06EE1B1A"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1.39E+01</w:t>
            </w:r>
          </w:p>
        </w:tc>
      </w:tr>
      <w:tr w:rsidR="00201FE9" w:rsidRPr="0037583D" w14:paraId="27632C5C" w14:textId="77777777" w:rsidTr="00201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75F6BF" w14:textId="6BC5BED1" w:rsidR="00201FE9" w:rsidRPr="00DD2B9D" w:rsidRDefault="00201FE9" w:rsidP="00BA238F">
            <w:pPr>
              <w:spacing w:before="60" w:after="60" w:line="276" w:lineRule="auto"/>
              <w:rPr>
                <w:rFonts w:eastAsia="Calibri" w:cs="Arial"/>
                <w:sz w:val="18"/>
                <w:szCs w:val="18"/>
                <w:lang w:eastAsia="en-GB"/>
              </w:rPr>
            </w:pPr>
            <w:r w:rsidRPr="00DD2B9D">
              <w:rPr>
                <w:rFonts w:eastAsia="Calibri"/>
                <w:color w:val="000000"/>
                <w:sz w:val="18"/>
                <w:szCs w:val="18"/>
                <w:lang w:eastAsia="en-GB"/>
              </w:rPr>
              <w:t xml:space="preserve">Scenario </w:t>
            </w:r>
            <w:r>
              <w:rPr>
                <w:rFonts w:eastAsia="Calibri"/>
                <w:color w:val="000000"/>
                <w:sz w:val="18"/>
                <w:szCs w:val="18"/>
                <w:lang w:eastAsia="en-GB"/>
              </w:rPr>
              <w:t>6</w:t>
            </w:r>
            <w:r w:rsidRPr="00DD2B9D">
              <w:rPr>
                <w:rFonts w:eastAsia="Calibri"/>
                <w:color w:val="000000"/>
                <w:sz w:val="18"/>
                <w:szCs w:val="18"/>
                <w:lang w:eastAsia="en-GB"/>
              </w:rPr>
              <w:t xml:space="preserve"> </w:t>
            </w:r>
            <w:r w:rsidRPr="00DD2B9D">
              <w:rPr>
                <w:rFonts w:eastAsia="Calibri" w:cs="Arial"/>
                <w:sz w:val="18"/>
                <w:szCs w:val="18"/>
                <w:lang w:eastAsia="en-GB"/>
              </w:rPr>
              <w:t xml:space="preserve">– PT03 </w:t>
            </w:r>
          </w:p>
          <w:p w14:paraId="0C87AE52" w14:textId="77777777" w:rsidR="00201FE9" w:rsidRPr="00DD2B9D" w:rsidRDefault="00201FE9" w:rsidP="00BA238F">
            <w:pPr>
              <w:spacing w:before="60" w:after="60" w:line="276" w:lineRule="auto"/>
              <w:rPr>
                <w:rFonts w:eastAsia="Calibri" w:cs="Arial"/>
                <w:sz w:val="18"/>
                <w:szCs w:val="18"/>
                <w:lang w:eastAsia="en-GB"/>
              </w:rPr>
            </w:pPr>
            <w:r w:rsidRPr="00DD2B9D">
              <w:rPr>
                <w:sz w:val="18"/>
                <w:szCs w:val="18"/>
              </w:rPr>
              <w:t>Animal housing indirect emission via STP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0803BA" w14:textId="6EF26B3E" w:rsidR="00201FE9" w:rsidRPr="00DD2B9D" w:rsidRDefault="00201FE9" w:rsidP="00201FE9">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5.33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83DA86" w14:textId="383D5271" w:rsidR="00201FE9" w:rsidRPr="00DD2B9D" w:rsidRDefault="00201FE9" w:rsidP="00BA238F">
            <w:pPr>
              <w:autoSpaceDE w:val="0"/>
              <w:spacing w:before="60" w:after="60" w:line="260" w:lineRule="atLeast"/>
              <w:jc w:val="center"/>
              <w:rPr>
                <w:rFonts w:eastAsia="Calibri" w:cs="Arial"/>
                <w:sz w:val="18"/>
                <w:szCs w:val="18"/>
                <w:lang w:eastAsia="en-GB"/>
              </w:rPr>
            </w:pPr>
            <w:r>
              <w:rPr>
                <w:rFonts w:eastAsia="Calibri" w:cs="Arial"/>
                <w:sz w:val="18"/>
                <w:szCs w:val="18"/>
                <w:lang w:eastAsia="en-GB"/>
              </w:rPr>
              <w:t>2.</w:t>
            </w:r>
            <w:r w:rsidR="00AC0905">
              <w:rPr>
                <w:rFonts w:eastAsia="Calibri" w:cs="Arial"/>
                <w:sz w:val="18"/>
                <w:szCs w:val="18"/>
                <w:lang w:eastAsia="en-GB"/>
              </w:rPr>
              <w:t>56</w:t>
            </w:r>
          </w:p>
        </w:tc>
      </w:tr>
    </w:tbl>
    <w:p w14:paraId="5D5BA106" w14:textId="77777777" w:rsidR="00CC32E9" w:rsidRPr="005B7FC6" w:rsidRDefault="00CC32E9" w:rsidP="00CC32E9">
      <w:pPr>
        <w:suppressAutoHyphens w:val="0"/>
        <w:spacing w:line="260" w:lineRule="atLeast"/>
        <w:jc w:val="both"/>
        <w:rPr>
          <w:rFonts w:eastAsia="Calibri" w:cs="Times New Roman"/>
          <w:lang w:eastAsia="en-US"/>
        </w:rPr>
      </w:pPr>
    </w:p>
    <w:p w14:paraId="218D4D25" w14:textId="59590083" w:rsidR="009D0C0B" w:rsidRPr="00B27CB1" w:rsidRDefault="00FA480B">
      <w:pPr>
        <w:pStyle w:val="Titre4"/>
        <w:rPr>
          <w:b/>
          <w:i/>
          <w:szCs w:val="22"/>
          <w:lang w:val="en-GB" w:eastAsia="en-US"/>
        </w:rPr>
      </w:pPr>
      <w:bookmarkStart w:id="183" w:name="_Toc87361210"/>
      <w:r w:rsidRPr="00B27CB1">
        <w:rPr>
          <w:lang w:val="en-GB"/>
        </w:rPr>
        <w:t>Risk characterisation</w:t>
      </w:r>
      <w:bookmarkEnd w:id="183"/>
    </w:p>
    <w:p w14:paraId="53BE9A32" w14:textId="77777777" w:rsidR="00D41568" w:rsidRPr="00825EB5" w:rsidRDefault="00D41568" w:rsidP="00825EB5">
      <w:pPr>
        <w:rPr>
          <w:rFonts w:eastAsia="Calibri"/>
          <w:b/>
          <w:i/>
          <w:sz w:val="22"/>
          <w:szCs w:val="22"/>
          <w:lang w:eastAsia="en-US"/>
        </w:rPr>
      </w:pPr>
    </w:p>
    <w:p w14:paraId="60CF63B5" w14:textId="77777777" w:rsidR="00CC32E9" w:rsidRPr="00462B12" w:rsidRDefault="00CC32E9">
      <w:pPr>
        <w:pStyle w:val="Titre5"/>
      </w:pPr>
      <w:r w:rsidRPr="00462B12">
        <w:t>Atmosphere</w:t>
      </w:r>
    </w:p>
    <w:p w14:paraId="0F310C05" w14:textId="77777777" w:rsidR="00CC32E9" w:rsidRDefault="00CC32E9" w:rsidP="00CC32E9">
      <w:pPr>
        <w:rPr>
          <w:rFonts w:eastAsia="Calibri"/>
          <w:lang w:eastAsia="en-US"/>
        </w:rPr>
      </w:pPr>
    </w:p>
    <w:p w14:paraId="67A6D98E" w14:textId="77777777" w:rsidR="00CC32E9" w:rsidRPr="00462B12" w:rsidRDefault="00CC32E9" w:rsidP="00CC32E9">
      <w:pPr>
        <w:jc w:val="both"/>
        <w:rPr>
          <w:rFonts w:eastAsia="Calibri"/>
          <w:sz w:val="22"/>
          <w:szCs w:val="22"/>
          <w:lang w:eastAsia="en-US"/>
        </w:rPr>
      </w:pPr>
      <w:r w:rsidRPr="00C153E1">
        <w:rPr>
          <w:rFonts w:eastAsia="Calibri"/>
          <w:lang w:eastAsia="en-US"/>
        </w:rPr>
        <w:lastRenderedPageBreak/>
        <w:t xml:space="preserve">Emissions and PECs in air are considered as negligible. It can be concluded that the use of the products of </w:t>
      </w:r>
      <w:r>
        <w:rPr>
          <w:rFonts w:eastAsia="Calibri"/>
          <w:lang w:eastAsia="en-US"/>
        </w:rPr>
        <w:t xml:space="preserve">LACTIC ACID BASED PRODUCTS </w:t>
      </w:r>
      <w:r w:rsidRPr="00C153E1">
        <w:rPr>
          <w:rFonts w:eastAsia="Calibri"/>
          <w:lang w:eastAsia="en-US"/>
        </w:rPr>
        <w:t>will not pose a significant risk to the atmospheric compartment.</w:t>
      </w:r>
    </w:p>
    <w:p w14:paraId="06F51034" w14:textId="77777777" w:rsidR="00CC32E9" w:rsidRDefault="00CC32E9" w:rsidP="00CC32E9">
      <w:pPr>
        <w:rPr>
          <w:rFonts w:eastAsia="Calibri"/>
          <w:b/>
          <w:i/>
          <w:sz w:val="22"/>
          <w:szCs w:val="22"/>
          <w:lang w:eastAsia="en-US"/>
        </w:rPr>
      </w:pPr>
    </w:p>
    <w:p w14:paraId="027B58C9" w14:textId="77777777" w:rsidR="00CC32E9" w:rsidRPr="00462B12" w:rsidRDefault="00CC32E9">
      <w:pPr>
        <w:pStyle w:val="Titre5"/>
        <w:rPr>
          <w:lang w:val="en-US"/>
        </w:rPr>
      </w:pPr>
      <w:r w:rsidRPr="00462B12">
        <w:rPr>
          <w:lang w:val="en-US"/>
        </w:rPr>
        <w:t>Sewage treatment plant (STP)</w:t>
      </w:r>
      <w:r>
        <w:rPr>
          <w:lang w:val="en-US"/>
        </w:rPr>
        <w:t>,</w:t>
      </w:r>
      <w:r w:rsidRPr="0053633C">
        <w:rPr>
          <w:lang w:val="en-US"/>
        </w:rPr>
        <w:t> </w:t>
      </w:r>
      <w:r w:rsidRPr="00462B12">
        <w:rPr>
          <w:lang w:val="en-US"/>
        </w:rPr>
        <w:t>Aquatic compartment</w:t>
      </w:r>
      <w:r>
        <w:rPr>
          <w:lang w:val="en-US"/>
        </w:rPr>
        <w:t>,</w:t>
      </w:r>
      <w:r w:rsidRPr="00462B12">
        <w:rPr>
          <w:lang w:val="en-US"/>
        </w:rPr>
        <w:t xml:space="preserve"> Terrestrial compartment </w:t>
      </w:r>
      <w:r>
        <w:rPr>
          <w:lang w:val="en-US"/>
        </w:rPr>
        <w:t xml:space="preserve">and </w:t>
      </w:r>
      <w:r w:rsidRPr="00462B12">
        <w:rPr>
          <w:lang w:val="en-US"/>
        </w:rPr>
        <w:t>Groundwater</w:t>
      </w:r>
    </w:p>
    <w:p w14:paraId="5109CBD8" w14:textId="77777777" w:rsidR="00CC32E9" w:rsidRDefault="00CC32E9" w:rsidP="00CC32E9">
      <w:pPr>
        <w:rPr>
          <w:rFonts w:eastAsia="Calibri"/>
          <w:b/>
          <w:i/>
          <w:sz w:val="22"/>
          <w:szCs w:val="22"/>
          <w:lang w:eastAsia="en-US"/>
        </w:rPr>
      </w:pPr>
    </w:p>
    <w:p w14:paraId="7FDDF97B" w14:textId="77777777" w:rsidR="00CC32E9" w:rsidRDefault="00CC32E9" w:rsidP="00CC32E9">
      <w:pPr>
        <w:rPr>
          <w:rFonts w:eastAsia="Calibri"/>
          <w:b/>
          <w:i/>
          <w:sz w:val="22"/>
          <w:szCs w:val="22"/>
          <w:lang w:eastAsia="en-US"/>
        </w:rPr>
      </w:pPr>
    </w:p>
    <w:tbl>
      <w:tblPr>
        <w:tblW w:w="10343" w:type="dxa"/>
        <w:tblLayout w:type="fixed"/>
        <w:tblLook w:val="0000" w:firstRow="0" w:lastRow="0" w:firstColumn="0" w:lastColumn="0" w:noHBand="0" w:noVBand="0"/>
      </w:tblPr>
      <w:tblGrid>
        <w:gridCol w:w="2802"/>
        <w:gridCol w:w="1559"/>
        <w:gridCol w:w="1701"/>
        <w:gridCol w:w="1559"/>
        <w:gridCol w:w="1418"/>
        <w:gridCol w:w="1304"/>
      </w:tblGrid>
      <w:tr w:rsidR="00CC32E9" w:rsidRPr="00610513" w14:paraId="2B0E842E" w14:textId="77777777" w:rsidTr="00BA238F">
        <w:trPr>
          <w:trHeight w:val="249"/>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01B8D6A1" w14:textId="77777777" w:rsidR="00CC32E9" w:rsidRPr="00610513" w:rsidRDefault="00CC32E9" w:rsidP="00BA238F">
            <w:pPr>
              <w:spacing w:before="240" w:after="60" w:line="260" w:lineRule="atLeast"/>
              <w:outlineLvl w:val="0"/>
              <w:rPr>
                <w:b/>
                <w:bCs/>
                <w:sz w:val="18"/>
                <w:szCs w:val="18"/>
              </w:rPr>
            </w:pPr>
            <w:r w:rsidRPr="00610513">
              <w:rPr>
                <w:b/>
                <w:bCs/>
                <w:sz w:val="18"/>
                <w:szCs w:val="18"/>
              </w:rPr>
              <w:t xml:space="preserve">Summary table on calculated PEC/PNEC values </w:t>
            </w:r>
            <w:r w:rsidRPr="00610513">
              <w:rPr>
                <w:rFonts w:eastAsia="Calibri" w:cs="Arial"/>
                <w:b/>
                <w:bCs/>
                <w:sz w:val="18"/>
                <w:szCs w:val="18"/>
                <w:lang w:eastAsia="en-GB"/>
              </w:rPr>
              <w:t>of L(+) Lactic acid</w:t>
            </w:r>
          </w:p>
        </w:tc>
      </w:tr>
      <w:tr w:rsidR="00CC32E9" w:rsidRPr="00610513" w14:paraId="4B0B5D8F" w14:textId="77777777" w:rsidTr="00DD2106">
        <w:trPr>
          <w:trHeight w:val="471"/>
        </w:trPr>
        <w:tc>
          <w:tcPr>
            <w:tcW w:w="2802" w:type="dxa"/>
            <w:tcBorders>
              <w:top w:val="single" w:sz="4" w:space="0" w:color="000000"/>
              <w:left w:val="single" w:sz="4" w:space="0" w:color="000000"/>
              <w:bottom w:val="single" w:sz="4" w:space="0" w:color="000000"/>
            </w:tcBorders>
            <w:shd w:val="clear" w:color="auto" w:fill="FFFFFF"/>
            <w:vAlign w:val="center"/>
          </w:tcPr>
          <w:p w14:paraId="66F19A33" w14:textId="77777777" w:rsidR="00CC32E9" w:rsidRPr="00D518B9" w:rsidRDefault="00CC32E9" w:rsidP="00BA238F">
            <w:pPr>
              <w:spacing w:before="240" w:after="60" w:line="260" w:lineRule="atLeast"/>
              <w:outlineLvl w:val="0"/>
              <w:rPr>
                <w:b/>
                <w:sz w:val="16"/>
                <w:szCs w:val="16"/>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DB57DED" w14:textId="77777777" w:rsidR="00CC32E9" w:rsidRPr="00D518B9" w:rsidRDefault="00CC32E9" w:rsidP="00BA238F">
            <w:pPr>
              <w:spacing w:before="240" w:after="60" w:line="260" w:lineRule="atLeast"/>
              <w:outlineLvl w:val="0"/>
              <w:rPr>
                <w:sz w:val="16"/>
                <w:szCs w:val="16"/>
              </w:rPr>
            </w:pPr>
            <w:r w:rsidRPr="00D518B9">
              <w:rPr>
                <w:b/>
                <w:sz w:val="16"/>
                <w:szCs w:val="16"/>
              </w:rPr>
              <w:t>PEC/PNEC</w:t>
            </w:r>
            <w:r w:rsidRPr="00D518B9">
              <w:rPr>
                <w:b/>
                <w:sz w:val="16"/>
                <w:szCs w:val="16"/>
                <w:vertAlign w:val="subscript"/>
              </w:rPr>
              <w:t>STP</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6ACE06A" w14:textId="77777777" w:rsidR="00CC32E9" w:rsidRPr="00D518B9" w:rsidRDefault="00CC32E9" w:rsidP="00BA238F">
            <w:pPr>
              <w:spacing w:before="240" w:after="60" w:line="260" w:lineRule="atLeast"/>
              <w:outlineLvl w:val="0"/>
              <w:rPr>
                <w:b/>
                <w:sz w:val="16"/>
                <w:szCs w:val="16"/>
              </w:rPr>
            </w:pPr>
            <w:r w:rsidRPr="00D518B9">
              <w:rPr>
                <w:b/>
                <w:sz w:val="16"/>
                <w:szCs w:val="16"/>
              </w:rPr>
              <w:t>PEC/PNEC</w:t>
            </w:r>
            <w:r w:rsidRPr="00D518B9">
              <w:rPr>
                <w:b/>
                <w:sz w:val="16"/>
                <w:szCs w:val="16"/>
                <w:vertAlign w:val="subscript"/>
              </w:rPr>
              <w:t>water</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DF4479" w14:textId="77777777" w:rsidR="00CC32E9" w:rsidRPr="00D518B9" w:rsidRDefault="00CC32E9" w:rsidP="00BA238F">
            <w:pPr>
              <w:spacing w:before="240" w:after="60" w:line="260" w:lineRule="atLeast"/>
              <w:outlineLvl w:val="0"/>
              <w:rPr>
                <w:b/>
                <w:sz w:val="16"/>
                <w:szCs w:val="16"/>
              </w:rPr>
            </w:pPr>
            <w:r w:rsidRPr="00D518B9">
              <w:rPr>
                <w:b/>
                <w:sz w:val="16"/>
                <w:szCs w:val="16"/>
              </w:rPr>
              <w:t>PEC/PNEC</w:t>
            </w:r>
            <w:r w:rsidRPr="00D518B9">
              <w:rPr>
                <w:b/>
                <w:sz w:val="16"/>
                <w:szCs w:val="16"/>
                <w:vertAlign w:val="subscript"/>
              </w:rPr>
              <w:t>sed</w:t>
            </w:r>
            <w:r w:rsidRPr="00D518B9" w:rsidDel="00E8757C">
              <w:rPr>
                <w:b/>
                <w:sz w:val="16"/>
                <w:szCs w:val="16"/>
              </w:rPr>
              <w:t xml:space="preserve"> </w:t>
            </w:r>
          </w:p>
          <w:p w14:paraId="012A0AE5" w14:textId="6679E66A" w:rsidR="0091358B" w:rsidRPr="00D518B9" w:rsidRDefault="0091358B" w:rsidP="00BA238F">
            <w:pPr>
              <w:spacing w:before="240" w:after="60" w:line="260" w:lineRule="atLeast"/>
              <w:outlineLvl w:val="0"/>
              <w:rPr>
                <w:b/>
                <w:sz w:val="16"/>
                <w:szCs w:val="16"/>
              </w:rPr>
            </w:pPr>
            <w:r w:rsidRPr="00D518B9">
              <w:rPr>
                <w:b/>
                <w:sz w:val="16"/>
                <w:szCs w:val="16"/>
              </w:rPr>
              <w:t xml:space="preserve">PNEC EPM: covered by surface water </w:t>
            </w: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4F09223" w14:textId="77777777" w:rsidR="00CC32E9" w:rsidRPr="00D518B9" w:rsidRDefault="00CC32E9" w:rsidP="00BA238F">
            <w:pPr>
              <w:spacing w:before="240" w:after="60" w:line="260" w:lineRule="atLeast"/>
              <w:outlineLvl w:val="0"/>
              <w:rPr>
                <w:sz w:val="16"/>
                <w:szCs w:val="16"/>
              </w:rPr>
            </w:pPr>
            <w:r w:rsidRPr="00D518B9">
              <w:rPr>
                <w:b/>
                <w:sz w:val="16"/>
                <w:szCs w:val="16"/>
              </w:rPr>
              <w:t>PEC/PNEC</w:t>
            </w:r>
            <w:r w:rsidRPr="00D518B9">
              <w:rPr>
                <w:b/>
                <w:sz w:val="16"/>
                <w:szCs w:val="16"/>
                <w:vertAlign w:val="subscript"/>
              </w:rPr>
              <w:t>soil</w:t>
            </w:r>
          </w:p>
        </w:tc>
        <w:tc>
          <w:tcPr>
            <w:tcW w:w="130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C23233A" w14:textId="01826F2C" w:rsidR="00CC32E9" w:rsidRPr="00D518B9" w:rsidRDefault="00CC32E9" w:rsidP="00A74737">
            <w:pPr>
              <w:spacing w:before="240" w:after="60" w:line="260" w:lineRule="atLeast"/>
              <w:outlineLvl w:val="0"/>
              <w:rPr>
                <w:b/>
                <w:sz w:val="16"/>
                <w:szCs w:val="16"/>
              </w:rPr>
            </w:pPr>
            <w:r w:rsidRPr="00D518B9">
              <w:rPr>
                <w:b/>
                <w:sz w:val="16"/>
                <w:szCs w:val="16"/>
              </w:rPr>
              <w:t xml:space="preserve">GW </w:t>
            </w:r>
            <w:r w:rsidR="0091358B" w:rsidRPr="00D518B9">
              <w:rPr>
                <w:b/>
                <w:sz w:val="16"/>
                <w:szCs w:val="16"/>
              </w:rPr>
              <w:t>(µg/L)</w:t>
            </w:r>
          </w:p>
        </w:tc>
      </w:tr>
      <w:tr w:rsidR="00CC32E9" w:rsidRPr="00610513" w14:paraId="5EA9CB2C" w14:textId="77777777" w:rsidTr="00D518B9">
        <w:trPr>
          <w:trHeight w:val="75"/>
        </w:trPr>
        <w:tc>
          <w:tcPr>
            <w:tcW w:w="280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110999" w14:textId="11CC920B" w:rsidR="00CC32E9" w:rsidRPr="00610513" w:rsidRDefault="00CC32E9" w:rsidP="00D518B9">
            <w:pPr>
              <w:spacing w:line="276" w:lineRule="auto"/>
              <w:rPr>
                <w:rFonts w:eastAsia="Calibri" w:cs="Arial"/>
                <w:sz w:val="18"/>
                <w:szCs w:val="18"/>
                <w:lang w:eastAsia="en-GB"/>
              </w:rPr>
            </w:pPr>
            <w:r w:rsidRPr="00610513">
              <w:rPr>
                <w:rFonts w:eastAsia="Calibri" w:cs="Arial"/>
                <w:sz w:val="18"/>
                <w:szCs w:val="18"/>
                <w:lang w:eastAsia="en-GB"/>
              </w:rPr>
              <w:t>Scenario 1</w:t>
            </w:r>
            <w:r w:rsidR="00D41568">
              <w:rPr>
                <w:rFonts w:eastAsia="Calibri" w:cs="Arial"/>
                <w:sz w:val="18"/>
                <w:szCs w:val="18"/>
                <w:lang w:eastAsia="en-GB"/>
              </w:rPr>
              <w:t>a</w:t>
            </w:r>
            <w:r w:rsidRPr="00610513">
              <w:rPr>
                <w:rFonts w:eastAsia="Calibri" w:cs="Arial"/>
                <w:sz w:val="18"/>
                <w:szCs w:val="18"/>
                <w:lang w:eastAsia="en-GB"/>
              </w:rPr>
              <w:t xml:space="preserve"> – PT02 </w:t>
            </w:r>
          </w:p>
          <w:p w14:paraId="3EA9F378" w14:textId="32860EAD" w:rsidR="00D41568" w:rsidRPr="00610513" w:rsidRDefault="00CC32E9" w:rsidP="00D518B9">
            <w:pPr>
              <w:spacing w:line="260" w:lineRule="atLeast"/>
              <w:outlineLvl w:val="0"/>
              <w:rPr>
                <w:sz w:val="18"/>
                <w:szCs w:val="18"/>
              </w:rPr>
            </w:pPr>
            <w:r w:rsidRPr="00610513">
              <w:rPr>
                <w:rFonts w:eastAsia="Calibri"/>
                <w:sz w:val="18"/>
                <w:szCs w:val="18"/>
                <w:lang w:eastAsia="en-US"/>
              </w:rPr>
              <w:t>Institutional areas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EE27F9" w14:textId="77777777" w:rsidR="00CC32E9" w:rsidRPr="00610513" w:rsidRDefault="00CC32E9" w:rsidP="00BA238F">
            <w:pPr>
              <w:suppressAutoHyphens w:val="0"/>
              <w:jc w:val="center"/>
              <w:rPr>
                <w:rFonts w:cs="Calibri"/>
                <w:sz w:val="18"/>
                <w:szCs w:val="18"/>
                <w:lang w:eastAsia="fr-FR"/>
              </w:rPr>
            </w:pPr>
            <w:r w:rsidRPr="00610513">
              <w:rPr>
                <w:rFonts w:cs="Calibri"/>
                <w:sz w:val="18"/>
                <w:szCs w:val="18"/>
                <w:lang w:eastAsia="fr-FR"/>
              </w:rPr>
              <w:t>1.58E-02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804C15" w14:textId="77777777" w:rsidR="00CC32E9" w:rsidRPr="00610513" w:rsidRDefault="00CC32E9" w:rsidP="00BA238F">
            <w:pPr>
              <w:suppressAutoHyphens w:val="0"/>
              <w:jc w:val="center"/>
              <w:rPr>
                <w:rFonts w:cs="Calibri"/>
                <w:sz w:val="18"/>
                <w:szCs w:val="18"/>
                <w:lang w:eastAsia="fr-FR"/>
              </w:rPr>
            </w:pPr>
            <w:r w:rsidRPr="00610513">
              <w:rPr>
                <w:rFonts w:cs="Calibri"/>
                <w:sz w:val="18"/>
                <w:szCs w:val="18"/>
                <w:lang w:eastAsia="fr-FR"/>
              </w:rPr>
              <w:t>4.04E-03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F38630" w14:textId="5AA1B11D" w:rsidR="00CC32E9" w:rsidRPr="00610513" w:rsidRDefault="00D41568" w:rsidP="00BA238F">
            <w:pPr>
              <w:suppressAutoHyphens w:val="0"/>
              <w:jc w:val="center"/>
              <w:rPr>
                <w:rFonts w:cs="Calibri"/>
                <w:sz w:val="18"/>
                <w:szCs w:val="18"/>
                <w:lang w:eastAsia="fr-FR"/>
              </w:rPr>
            </w:pPr>
            <w:r>
              <w:rPr>
                <w:rFonts w:cs="Calibri"/>
                <w:sz w:val="18"/>
                <w:szCs w:val="18"/>
                <w:lang w:eastAsia="fr-FR"/>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6FC0FE" w14:textId="77777777" w:rsidR="00CC32E9" w:rsidRPr="00610513" w:rsidRDefault="00CC32E9" w:rsidP="00BA238F">
            <w:pPr>
              <w:suppressAutoHyphens w:val="0"/>
              <w:jc w:val="center"/>
              <w:rPr>
                <w:rFonts w:cs="Calibri"/>
                <w:sz w:val="18"/>
                <w:szCs w:val="18"/>
                <w:lang w:eastAsia="fr-FR"/>
              </w:rPr>
            </w:pPr>
            <w:r w:rsidRPr="00610513">
              <w:rPr>
                <w:rFonts w:cs="Calibri"/>
                <w:sz w:val="18"/>
                <w:szCs w:val="18"/>
                <w:lang w:eastAsia="fr-FR"/>
              </w:rPr>
              <w:t>1.90E-03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24BBD4B" w14:textId="12496BBF" w:rsidR="00CC32E9" w:rsidRPr="00610513" w:rsidRDefault="00CC32E9" w:rsidP="00BA238F">
            <w:pPr>
              <w:suppressAutoHyphens w:val="0"/>
              <w:jc w:val="center"/>
              <w:rPr>
                <w:rFonts w:cs="Calibri"/>
                <w:b/>
                <w:sz w:val="18"/>
                <w:szCs w:val="18"/>
              </w:rPr>
            </w:pPr>
            <w:r w:rsidRPr="00610513">
              <w:rPr>
                <w:rFonts w:cs="Calibri"/>
                <w:b/>
                <w:sz w:val="18"/>
                <w:szCs w:val="18"/>
              </w:rPr>
              <w:t>2.34</w:t>
            </w:r>
          </w:p>
        </w:tc>
      </w:tr>
      <w:tr w:rsidR="00415337" w:rsidRPr="00610513" w14:paraId="179173B4" w14:textId="77777777" w:rsidTr="00D518B9">
        <w:trPr>
          <w:trHeight w:val="75"/>
        </w:trPr>
        <w:tc>
          <w:tcPr>
            <w:tcW w:w="2802" w:type="dxa"/>
            <w:tcBorders>
              <w:top w:val="single" w:sz="4" w:space="0" w:color="000000"/>
              <w:left w:val="single" w:sz="4" w:space="0" w:color="000000"/>
              <w:bottom w:val="single" w:sz="4" w:space="0" w:color="auto"/>
              <w:right w:val="single" w:sz="4" w:space="0" w:color="auto"/>
            </w:tcBorders>
            <w:shd w:val="clear" w:color="auto" w:fill="FFFFFF"/>
            <w:vAlign w:val="center"/>
          </w:tcPr>
          <w:p w14:paraId="00471B86" w14:textId="7D4F1E70" w:rsidR="00415337" w:rsidRPr="00610513" w:rsidRDefault="00415337" w:rsidP="00D518B9">
            <w:pPr>
              <w:spacing w:line="276" w:lineRule="auto"/>
              <w:rPr>
                <w:rFonts w:eastAsia="Calibri" w:cs="Arial"/>
                <w:sz w:val="18"/>
                <w:szCs w:val="18"/>
                <w:lang w:eastAsia="en-GB"/>
              </w:rPr>
            </w:pPr>
            <w:r w:rsidRPr="00610513">
              <w:rPr>
                <w:rFonts w:eastAsia="Calibri" w:cs="Arial"/>
                <w:sz w:val="18"/>
                <w:szCs w:val="18"/>
                <w:lang w:eastAsia="en-GB"/>
              </w:rPr>
              <w:t>Scenario 1</w:t>
            </w:r>
            <w:r>
              <w:rPr>
                <w:rFonts w:eastAsia="Calibri" w:cs="Arial"/>
                <w:sz w:val="18"/>
                <w:szCs w:val="18"/>
                <w:lang w:eastAsia="en-GB"/>
              </w:rPr>
              <w:t>b</w:t>
            </w:r>
            <w:r w:rsidRPr="00610513">
              <w:rPr>
                <w:rFonts w:eastAsia="Calibri" w:cs="Arial"/>
                <w:sz w:val="18"/>
                <w:szCs w:val="18"/>
                <w:lang w:eastAsia="en-GB"/>
              </w:rPr>
              <w:t xml:space="preserve"> – PT02 </w:t>
            </w:r>
          </w:p>
          <w:p w14:paraId="510B8D6F" w14:textId="7B7E56C0" w:rsidR="00415337" w:rsidRDefault="00415337" w:rsidP="00D518B9">
            <w:pPr>
              <w:spacing w:line="260" w:lineRule="atLeast"/>
              <w:outlineLvl w:val="0"/>
              <w:rPr>
                <w:rFonts w:eastAsia="Calibri" w:cs="Arial"/>
                <w:sz w:val="18"/>
                <w:szCs w:val="18"/>
                <w:lang w:eastAsia="en-GB"/>
              </w:rPr>
            </w:pPr>
            <w:r w:rsidRPr="00610513">
              <w:rPr>
                <w:rFonts w:eastAsia="Calibri"/>
                <w:sz w:val="18"/>
                <w:szCs w:val="18"/>
                <w:lang w:eastAsia="en-US"/>
              </w:rPr>
              <w:t>Institutional areas</w:t>
            </w:r>
            <w:r>
              <w:rPr>
                <w:rFonts w:eastAsia="Calibri"/>
                <w:sz w:val="18"/>
                <w:szCs w:val="18"/>
                <w:lang w:eastAsia="en-US"/>
              </w:rPr>
              <w:t xml:space="preserve"> (lavatory only</w:t>
            </w:r>
            <w:r w:rsidR="005B2312">
              <w:rPr>
                <w:rFonts w:eastAsia="Calibri" w:cs="Arial"/>
                <w:sz w:val="18"/>
                <w:szCs w:val="18"/>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3DAA00" w14:textId="3494F08D" w:rsidR="00415337" w:rsidRPr="00610513" w:rsidRDefault="00415337" w:rsidP="00415337">
            <w:pPr>
              <w:suppressAutoHyphens w:val="0"/>
              <w:jc w:val="center"/>
              <w:rPr>
                <w:rFonts w:cs="Calibri"/>
                <w:sz w:val="18"/>
                <w:szCs w:val="18"/>
                <w:lang w:eastAsia="fr-FR"/>
              </w:rPr>
            </w:pPr>
            <w:r w:rsidRPr="00610513">
              <w:rPr>
                <w:rFonts w:cs="Calibri"/>
                <w:sz w:val="18"/>
                <w:szCs w:val="18"/>
              </w:rPr>
              <w:t>1.80E-02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AF9133" w14:textId="50DD1422" w:rsidR="00415337" w:rsidRPr="00610513" w:rsidRDefault="00415337" w:rsidP="00415337">
            <w:pPr>
              <w:suppressAutoHyphens w:val="0"/>
              <w:jc w:val="center"/>
              <w:rPr>
                <w:rFonts w:cs="Calibri"/>
                <w:sz w:val="18"/>
                <w:szCs w:val="18"/>
                <w:lang w:eastAsia="fr-FR"/>
              </w:rPr>
            </w:pPr>
            <w:r w:rsidRPr="00610513">
              <w:rPr>
                <w:rFonts w:cs="Calibri"/>
                <w:sz w:val="18"/>
                <w:szCs w:val="18"/>
              </w:rPr>
              <w:t>4.62E-03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622B23" w14:textId="46231700" w:rsidR="00415337" w:rsidRDefault="00415337" w:rsidP="00415337">
            <w:pPr>
              <w:suppressAutoHyphens w:val="0"/>
              <w:jc w:val="center"/>
              <w:rPr>
                <w:rFonts w:cs="Calibri"/>
                <w:sz w:val="18"/>
                <w:szCs w:val="18"/>
                <w:lang w:eastAsia="fr-FR"/>
              </w:rPr>
            </w:pPr>
            <w:r>
              <w:rPr>
                <w:rFonts w:cs="Calibri"/>
                <w:sz w:val="18"/>
                <w:szCs w:val="18"/>
                <w:lang w:eastAsia="fr-FR"/>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1DE735" w14:textId="3D0B99E5" w:rsidR="00415337" w:rsidRPr="00610513" w:rsidRDefault="00415337" w:rsidP="00415337">
            <w:pPr>
              <w:suppressAutoHyphens w:val="0"/>
              <w:jc w:val="center"/>
              <w:rPr>
                <w:rFonts w:cs="Calibri"/>
                <w:sz w:val="18"/>
                <w:szCs w:val="18"/>
                <w:lang w:eastAsia="fr-FR"/>
              </w:rPr>
            </w:pPr>
            <w:r w:rsidRPr="00610513">
              <w:rPr>
                <w:rFonts w:cs="Calibri"/>
                <w:sz w:val="18"/>
                <w:szCs w:val="18"/>
              </w:rPr>
              <w:t>2.17E-03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83BC215" w14:textId="2023C2D9" w:rsidR="00415337" w:rsidRPr="00610513" w:rsidRDefault="00415337" w:rsidP="00415337">
            <w:pPr>
              <w:suppressAutoHyphens w:val="0"/>
              <w:jc w:val="center"/>
              <w:rPr>
                <w:rFonts w:cs="Calibri"/>
                <w:b/>
                <w:sz w:val="18"/>
                <w:szCs w:val="18"/>
              </w:rPr>
            </w:pPr>
            <w:r w:rsidRPr="00610513">
              <w:rPr>
                <w:rFonts w:cs="Calibri"/>
                <w:b/>
                <w:sz w:val="18"/>
                <w:szCs w:val="18"/>
              </w:rPr>
              <w:t>2.67</w:t>
            </w:r>
          </w:p>
        </w:tc>
      </w:tr>
      <w:tr w:rsidR="00415337" w:rsidRPr="00D41568" w14:paraId="72342D55" w14:textId="77777777" w:rsidTr="00D518B9">
        <w:trPr>
          <w:trHeight w:val="75"/>
        </w:trPr>
        <w:tc>
          <w:tcPr>
            <w:tcW w:w="2802" w:type="dxa"/>
            <w:tcBorders>
              <w:top w:val="single" w:sz="4" w:space="0" w:color="auto"/>
              <w:left w:val="single" w:sz="4" w:space="0" w:color="auto"/>
              <w:right w:val="single" w:sz="4" w:space="0" w:color="auto"/>
            </w:tcBorders>
            <w:shd w:val="clear" w:color="auto" w:fill="FFFFFF"/>
            <w:vAlign w:val="center"/>
          </w:tcPr>
          <w:p w14:paraId="32E44A9A" w14:textId="77777777" w:rsidR="00415337" w:rsidRPr="00610513" w:rsidRDefault="00415337" w:rsidP="00D518B9">
            <w:pPr>
              <w:spacing w:line="276" w:lineRule="auto"/>
              <w:rPr>
                <w:sz w:val="18"/>
                <w:szCs w:val="18"/>
              </w:rPr>
            </w:pPr>
            <w:r w:rsidRPr="00610513">
              <w:rPr>
                <w:rFonts w:eastAsia="Calibri" w:cs="Arial"/>
                <w:sz w:val="18"/>
                <w:szCs w:val="18"/>
                <w:lang w:eastAsia="en-GB"/>
              </w:rPr>
              <w:t>Scenario 2 – PT02</w:t>
            </w:r>
            <w:r w:rsidRPr="00610513">
              <w:rPr>
                <w:sz w:val="18"/>
                <w:szCs w:val="18"/>
              </w:rPr>
              <w:t xml:space="preserve"> </w:t>
            </w:r>
          </w:p>
          <w:p w14:paraId="7B0EB3D5" w14:textId="77777777" w:rsidR="00415337" w:rsidRPr="00610513" w:rsidRDefault="00415337" w:rsidP="00D518B9">
            <w:pPr>
              <w:spacing w:line="260" w:lineRule="atLeast"/>
              <w:outlineLvl w:val="0"/>
              <w:rPr>
                <w:sz w:val="18"/>
                <w:szCs w:val="18"/>
              </w:rPr>
            </w:pPr>
            <w:r w:rsidRPr="00610513">
              <w:rPr>
                <w:rFonts w:eastAsia="Calibri" w:cs="Arial"/>
                <w:sz w:val="18"/>
                <w:szCs w:val="18"/>
                <w:lang w:eastAsia="en-GB"/>
              </w:rPr>
              <w:t>Industrial areas</w:t>
            </w:r>
          </w:p>
        </w:tc>
        <w:tc>
          <w:tcPr>
            <w:tcW w:w="1559" w:type="dxa"/>
            <w:tcBorders>
              <w:top w:val="single" w:sz="4" w:space="0" w:color="auto"/>
              <w:left w:val="single" w:sz="4" w:space="0" w:color="auto"/>
              <w:right w:val="single" w:sz="4" w:space="0" w:color="auto"/>
            </w:tcBorders>
            <w:shd w:val="clear" w:color="auto" w:fill="FFFFFF"/>
            <w:vAlign w:val="center"/>
          </w:tcPr>
          <w:p w14:paraId="2B3BCD8D" w14:textId="1B05B035" w:rsidR="00415337" w:rsidRPr="00610513" w:rsidRDefault="00415337" w:rsidP="00415337">
            <w:pPr>
              <w:suppressAutoHyphens w:val="0"/>
              <w:jc w:val="center"/>
              <w:rPr>
                <w:rFonts w:cs="Calibri"/>
                <w:sz w:val="18"/>
                <w:szCs w:val="18"/>
                <w:lang w:val="fr-FR" w:eastAsia="fr-FR"/>
              </w:rPr>
            </w:pPr>
          </w:p>
        </w:tc>
        <w:tc>
          <w:tcPr>
            <w:tcW w:w="1701" w:type="dxa"/>
            <w:tcBorders>
              <w:top w:val="single" w:sz="4" w:space="0" w:color="auto"/>
              <w:left w:val="single" w:sz="4" w:space="0" w:color="auto"/>
              <w:right w:val="single" w:sz="4" w:space="0" w:color="auto"/>
            </w:tcBorders>
            <w:shd w:val="clear" w:color="auto" w:fill="FFFFFF"/>
            <w:vAlign w:val="center"/>
          </w:tcPr>
          <w:p w14:paraId="08954DED" w14:textId="1C53898A" w:rsidR="00415337" w:rsidRPr="00610513" w:rsidRDefault="00415337" w:rsidP="00415337">
            <w:pPr>
              <w:suppressAutoHyphens w:val="0"/>
              <w:jc w:val="center"/>
              <w:rPr>
                <w:rFonts w:cs="Calibri"/>
                <w:sz w:val="18"/>
                <w:szCs w:val="18"/>
                <w:lang w:val="fr-FR" w:eastAsia="fr-FR"/>
              </w:rPr>
            </w:pPr>
          </w:p>
        </w:tc>
        <w:tc>
          <w:tcPr>
            <w:tcW w:w="1559" w:type="dxa"/>
            <w:tcBorders>
              <w:top w:val="single" w:sz="4" w:space="0" w:color="auto"/>
              <w:left w:val="single" w:sz="4" w:space="0" w:color="auto"/>
              <w:right w:val="single" w:sz="4" w:space="0" w:color="auto"/>
            </w:tcBorders>
            <w:shd w:val="clear" w:color="auto" w:fill="FFFFFF"/>
            <w:vAlign w:val="center"/>
          </w:tcPr>
          <w:p w14:paraId="0D36D0D6" w14:textId="1D255D01" w:rsidR="00415337" w:rsidRPr="00610513" w:rsidRDefault="00415337" w:rsidP="00415337">
            <w:pPr>
              <w:suppressAutoHyphens w:val="0"/>
              <w:jc w:val="center"/>
              <w:rPr>
                <w:rFonts w:cs="Calibri"/>
                <w:sz w:val="18"/>
                <w:szCs w:val="18"/>
                <w:lang w:val="fr-FR" w:eastAsia="fr-FR"/>
              </w:rPr>
            </w:pPr>
          </w:p>
        </w:tc>
        <w:tc>
          <w:tcPr>
            <w:tcW w:w="1418" w:type="dxa"/>
            <w:tcBorders>
              <w:top w:val="single" w:sz="4" w:space="0" w:color="auto"/>
              <w:left w:val="single" w:sz="4" w:space="0" w:color="auto"/>
              <w:right w:val="single" w:sz="4" w:space="0" w:color="auto"/>
            </w:tcBorders>
            <w:shd w:val="clear" w:color="auto" w:fill="FFFFFF"/>
            <w:vAlign w:val="center"/>
          </w:tcPr>
          <w:p w14:paraId="29AE3A4F" w14:textId="336334E3" w:rsidR="00415337" w:rsidRPr="00610513" w:rsidRDefault="00415337" w:rsidP="00415337">
            <w:pPr>
              <w:suppressAutoHyphens w:val="0"/>
              <w:jc w:val="center"/>
              <w:rPr>
                <w:rFonts w:cs="Calibri"/>
                <w:sz w:val="18"/>
                <w:szCs w:val="18"/>
                <w:lang w:val="fr-FR" w:eastAsia="fr-FR"/>
              </w:rPr>
            </w:pPr>
          </w:p>
        </w:tc>
        <w:tc>
          <w:tcPr>
            <w:tcW w:w="1304" w:type="dxa"/>
            <w:tcBorders>
              <w:top w:val="single" w:sz="4" w:space="0" w:color="auto"/>
              <w:left w:val="single" w:sz="4" w:space="0" w:color="auto"/>
              <w:right w:val="single" w:sz="4" w:space="0" w:color="auto"/>
            </w:tcBorders>
            <w:shd w:val="clear" w:color="auto" w:fill="FFFFFF"/>
            <w:vAlign w:val="center"/>
          </w:tcPr>
          <w:p w14:paraId="38E632B5" w14:textId="59A63849" w:rsidR="00415337" w:rsidRPr="00610513" w:rsidRDefault="00415337" w:rsidP="00415337">
            <w:pPr>
              <w:suppressAutoHyphens w:val="0"/>
              <w:jc w:val="center"/>
              <w:rPr>
                <w:rFonts w:cs="Calibri"/>
                <w:b/>
                <w:sz w:val="18"/>
                <w:szCs w:val="18"/>
                <w:lang w:val="fr-FR"/>
              </w:rPr>
            </w:pPr>
          </w:p>
        </w:tc>
      </w:tr>
      <w:tr w:rsidR="00415337" w:rsidRPr="002F4199" w14:paraId="6CCCCA3D" w14:textId="77777777" w:rsidTr="00D518B9">
        <w:trPr>
          <w:trHeight w:val="75"/>
        </w:trPr>
        <w:tc>
          <w:tcPr>
            <w:tcW w:w="2802" w:type="dxa"/>
            <w:tcBorders>
              <w:left w:val="single" w:sz="4" w:space="0" w:color="auto"/>
              <w:right w:val="single" w:sz="4" w:space="0" w:color="auto"/>
            </w:tcBorders>
            <w:shd w:val="clear" w:color="auto" w:fill="FFFFFF"/>
            <w:vAlign w:val="center"/>
          </w:tcPr>
          <w:p w14:paraId="3CE36348" w14:textId="5E5C1D8A" w:rsidR="00415337" w:rsidRPr="00610513" w:rsidRDefault="00415337" w:rsidP="00D518B9">
            <w:pPr>
              <w:spacing w:line="276" w:lineRule="auto"/>
              <w:rPr>
                <w:sz w:val="18"/>
                <w:szCs w:val="18"/>
              </w:rPr>
            </w:pPr>
            <w:r>
              <w:rPr>
                <w:rFonts w:eastAsia="Calibri" w:cs="Arial"/>
                <w:sz w:val="18"/>
                <w:szCs w:val="18"/>
                <w:lang w:eastAsia="en-GB"/>
              </w:rPr>
              <w:t>Small scale</w:t>
            </w:r>
          </w:p>
        </w:tc>
        <w:tc>
          <w:tcPr>
            <w:tcW w:w="1559" w:type="dxa"/>
            <w:tcBorders>
              <w:left w:val="single" w:sz="4" w:space="0" w:color="auto"/>
              <w:right w:val="single" w:sz="4" w:space="0" w:color="auto"/>
            </w:tcBorders>
            <w:shd w:val="clear" w:color="auto" w:fill="FFFFFF"/>
            <w:vAlign w:val="center"/>
          </w:tcPr>
          <w:p w14:paraId="7EC94F41" w14:textId="2AEF91FC"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4.50E-04</w:t>
            </w:r>
          </w:p>
        </w:tc>
        <w:tc>
          <w:tcPr>
            <w:tcW w:w="1701" w:type="dxa"/>
            <w:tcBorders>
              <w:left w:val="single" w:sz="4" w:space="0" w:color="auto"/>
              <w:right w:val="single" w:sz="4" w:space="0" w:color="auto"/>
            </w:tcBorders>
            <w:shd w:val="clear" w:color="auto" w:fill="FFFFFF"/>
            <w:vAlign w:val="center"/>
          </w:tcPr>
          <w:p w14:paraId="711DB9CE" w14:textId="7DE80C2B"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1.15E-04</w:t>
            </w:r>
          </w:p>
        </w:tc>
        <w:tc>
          <w:tcPr>
            <w:tcW w:w="1559" w:type="dxa"/>
            <w:tcBorders>
              <w:left w:val="single" w:sz="4" w:space="0" w:color="auto"/>
              <w:right w:val="single" w:sz="4" w:space="0" w:color="auto"/>
            </w:tcBorders>
            <w:shd w:val="clear" w:color="auto" w:fill="FFFFFF"/>
            <w:vAlign w:val="center"/>
          </w:tcPr>
          <w:p w14:paraId="4434CA47" w14:textId="01AF560A" w:rsidR="00415337" w:rsidRPr="00610513" w:rsidRDefault="00415337" w:rsidP="00415337">
            <w:pPr>
              <w:suppressAutoHyphens w:val="0"/>
              <w:jc w:val="center"/>
              <w:rPr>
                <w:rFonts w:cs="Calibri"/>
                <w:sz w:val="18"/>
                <w:szCs w:val="18"/>
                <w:lang w:val="fr-FR" w:eastAsia="fr-FR"/>
              </w:rPr>
            </w:pPr>
            <w:r>
              <w:rPr>
                <w:rFonts w:cs="Calibri"/>
                <w:sz w:val="18"/>
                <w:szCs w:val="18"/>
                <w:lang w:val="fr-FR" w:eastAsia="fr-FR"/>
              </w:rPr>
              <w:t>n.r.</w:t>
            </w:r>
          </w:p>
        </w:tc>
        <w:tc>
          <w:tcPr>
            <w:tcW w:w="1418" w:type="dxa"/>
            <w:tcBorders>
              <w:left w:val="single" w:sz="4" w:space="0" w:color="auto"/>
              <w:right w:val="single" w:sz="4" w:space="0" w:color="auto"/>
            </w:tcBorders>
            <w:shd w:val="clear" w:color="auto" w:fill="FFFFFF"/>
            <w:vAlign w:val="center"/>
          </w:tcPr>
          <w:p w14:paraId="29C7D2EF" w14:textId="5692E4DB"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5.43E-05</w:t>
            </w:r>
          </w:p>
        </w:tc>
        <w:tc>
          <w:tcPr>
            <w:tcW w:w="1304" w:type="dxa"/>
            <w:tcBorders>
              <w:left w:val="single" w:sz="4" w:space="0" w:color="auto"/>
              <w:right w:val="single" w:sz="4" w:space="0" w:color="auto"/>
            </w:tcBorders>
            <w:shd w:val="clear" w:color="auto" w:fill="FFFFFF"/>
            <w:vAlign w:val="center"/>
          </w:tcPr>
          <w:p w14:paraId="33B97511" w14:textId="2C00E8B8" w:rsidR="00415337" w:rsidRPr="008D19F0" w:rsidRDefault="00415337" w:rsidP="00415337">
            <w:pPr>
              <w:suppressAutoHyphens w:val="0"/>
              <w:jc w:val="center"/>
              <w:rPr>
                <w:rFonts w:cs="Calibri"/>
                <w:sz w:val="18"/>
                <w:szCs w:val="18"/>
                <w:lang w:val="fr-FR"/>
              </w:rPr>
            </w:pPr>
            <w:r w:rsidRPr="00610513">
              <w:rPr>
                <w:rFonts w:cs="Calibri"/>
                <w:sz w:val="18"/>
                <w:szCs w:val="18"/>
                <w:lang w:val="fr-FR"/>
              </w:rPr>
              <w:t>&lt; 0.1</w:t>
            </w:r>
          </w:p>
        </w:tc>
      </w:tr>
      <w:tr w:rsidR="00415337" w:rsidRPr="002F4199" w14:paraId="34157800" w14:textId="77777777" w:rsidTr="00D518B9">
        <w:trPr>
          <w:trHeight w:val="75"/>
        </w:trPr>
        <w:tc>
          <w:tcPr>
            <w:tcW w:w="2802" w:type="dxa"/>
            <w:tcBorders>
              <w:left w:val="single" w:sz="4" w:space="0" w:color="auto"/>
              <w:bottom w:val="single" w:sz="4" w:space="0" w:color="auto"/>
              <w:right w:val="single" w:sz="4" w:space="0" w:color="auto"/>
            </w:tcBorders>
            <w:shd w:val="clear" w:color="auto" w:fill="FFFFFF"/>
            <w:vAlign w:val="center"/>
          </w:tcPr>
          <w:p w14:paraId="01B2D711" w14:textId="6DC61F78" w:rsidR="00415337" w:rsidRPr="00610513" w:rsidRDefault="00415337" w:rsidP="00D518B9">
            <w:pPr>
              <w:spacing w:line="276" w:lineRule="auto"/>
              <w:rPr>
                <w:sz w:val="18"/>
                <w:szCs w:val="18"/>
              </w:rPr>
            </w:pPr>
            <w:r>
              <w:rPr>
                <w:rFonts w:eastAsia="Calibri" w:cs="Arial"/>
                <w:sz w:val="18"/>
                <w:szCs w:val="18"/>
                <w:lang w:eastAsia="en-GB"/>
              </w:rPr>
              <w:t>Large sc</w:t>
            </w:r>
            <w:r w:rsidR="008D19F0">
              <w:rPr>
                <w:rFonts w:eastAsia="Calibri" w:cs="Arial"/>
                <w:sz w:val="18"/>
                <w:szCs w:val="18"/>
                <w:lang w:eastAsia="en-GB"/>
              </w:rPr>
              <w:t>a</w:t>
            </w:r>
            <w:r>
              <w:rPr>
                <w:rFonts w:eastAsia="Calibri" w:cs="Arial"/>
                <w:sz w:val="18"/>
                <w:szCs w:val="18"/>
                <w:lang w:eastAsia="en-GB"/>
              </w:rPr>
              <w:t>le</w:t>
            </w:r>
          </w:p>
        </w:tc>
        <w:tc>
          <w:tcPr>
            <w:tcW w:w="1559" w:type="dxa"/>
            <w:tcBorders>
              <w:left w:val="single" w:sz="4" w:space="0" w:color="auto"/>
              <w:bottom w:val="single" w:sz="4" w:space="0" w:color="auto"/>
              <w:right w:val="single" w:sz="4" w:space="0" w:color="auto"/>
            </w:tcBorders>
            <w:shd w:val="clear" w:color="auto" w:fill="FFFFFF"/>
            <w:vAlign w:val="center"/>
          </w:tcPr>
          <w:p w14:paraId="79D66E59" w14:textId="3C96E558"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2.70E-02</w:t>
            </w:r>
          </w:p>
        </w:tc>
        <w:tc>
          <w:tcPr>
            <w:tcW w:w="1701" w:type="dxa"/>
            <w:tcBorders>
              <w:left w:val="single" w:sz="4" w:space="0" w:color="auto"/>
              <w:bottom w:val="single" w:sz="4" w:space="0" w:color="auto"/>
              <w:right w:val="single" w:sz="4" w:space="0" w:color="auto"/>
            </w:tcBorders>
            <w:shd w:val="clear" w:color="auto" w:fill="FFFFFF"/>
            <w:vAlign w:val="center"/>
          </w:tcPr>
          <w:p w14:paraId="66903AF2" w14:textId="0AC5F771"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6.92E-03</w:t>
            </w:r>
          </w:p>
        </w:tc>
        <w:tc>
          <w:tcPr>
            <w:tcW w:w="1559" w:type="dxa"/>
            <w:tcBorders>
              <w:left w:val="single" w:sz="4" w:space="0" w:color="auto"/>
              <w:bottom w:val="single" w:sz="4" w:space="0" w:color="auto"/>
              <w:right w:val="single" w:sz="4" w:space="0" w:color="auto"/>
            </w:tcBorders>
            <w:shd w:val="clear" w:color="auto" w:fill="FFFFFF"/>
            <w:vAlign w:val="center"/>
          </w:tcPr>
          <w:p w14:paraId="124A03A7" w14:textId="001F0F4A" w:rsidR="00415337" w:rsidRPr="00610513" w:rsidRDefault="00415337" w:rsidP="00415337">
            <w:pPr>
              <w:suppressAutoHyphens w:val="0"/>
              <w:jc w:val="center"/>
              <w:rPr>
                <w:rFonts w:cs="Calibri"/>
                <w:sz w:val="18"/>
                <w:szCs w:val="18"/>
                <w:lang w:val="fr-FR" w:eastAsia="fr-FR"/>
              </w:rPr>
            </w:pPr>
            <w:r>
              <w:rPr>
                <w:rFonts w:cs="Calibri"/>
                <w:sz w:val="18"/>
                <w:szCs w:val="18"/>
                <w:lang w:val="fr-FR" w:eastAsia="fr-FR"/>
              </w:rPr>
              <w:t>n.r.</w:t>
            </w:r>
          </w:p>
        </w:tc>
        <w:tc>
          <w:tcPr>
            <w:tcW w:w="1418" w:type="dxa"/>
            <w:tcBorders>
              <w:left w:val="single" w:sz="4" w:space="0" w:color="auto"/>
              <w:bottom w:val="single" w:sz="4" w:space="0" w:color="auto"/>
              <w:right w:val="single" w:sz="4" w:space="0" w:color="auto"/>
            </w:tcBorders>
            <w:shd w:val="clear" w:color="auto" w:fill="FFFFFF"/>
            <w:vAlign w:val="center"/>
          </w:tcPr>
          <w:p w14:paraId="51934922" w14:textId="6A0763D8" w:rsidR="00415337" w:rsidRPr="00610513" w:rsidRDefault="00415337" w:rsidP="00415337">
            <w:pPr>
              <w:suppressAutoHyphens w:val="0"/>
              <w:jc w:val="center"/>
              <w:rPr>
                <w:rFonts w:cs="Calibri"/>
                <w:sz w:val="18"/>
                <w:szCs w:val="18"/>
                <w:lang w:val="fr-FR" w:eastAsia="fr-FR"/>
              </w:rPr>
            </w:pPr>
            <w:r w:rsidRPr="00610513">
              <w:rPr>
                <w:rFonts w:cs="Calibri"/>
                <w:sz w:val="18"/>
                <w:szCs w:val="18"/>
                <w:lang w:val="fr-FR" w:eastAsia="fr-FR"/>
              </w:rPr>
              <w:t>3.26E-03</w:t>
            </w:r>
          </w:p>
        </w:tc>
        <w:tc>
          <w:tcPr>
            <w:tcW w:w="1304" w:type="dxa"/>
            <w:tcBorders>
              <w:left w:val="single" w:sz="4" w:space="0" w:color="auto"/>
              <w:bottom w:val="single" w:sz="4" w:space="0" w:color="auto"/>
              <w:right w:val="single" w:sz="4" w:space="0" w:color="auto"/>
            </w:tcBorders>
            <w:shd w:val="clear" w:color="auto" w:fill="FFFFFF"/>
            <w:vAlign w:val="center"/>
          </w:tcPr>
          <w:p w14:paraId="5E7B1D07" w14:textId="143A1876" w:rsidR="00415337" w:rsidRPr="00610513" w:rsidRDefault="00415337" w:rsidP="00415337">
            <w:pPr>
              <w:suppressAutoHyphens w:val="0"/>
              <w:jc w:val="center"/>
              <w:rPr>
                <w:rFonts w:cs="Calibri"/>
                <w:b/>
                <w:sz w:val="18"/>
                <w:szCs w:val="18"/>
                <w:lang w:val="fr-FR"/>
              </w:rPr>
            </w:pPr>
            <w:r w:rsidRPr="00610513">
              <w:rPr>
                <w:rFonts w:cs="Calibri"/>
                <w:b/>
                <w:sz w:val="18"/>
                <w:szCs w:val="18"/>
                <w:lang w:val="fr-FR" w:eastAsia="fr-FR"/>
              </w:rPr>
              <w:t>4.0</w:t>
            </w:r>
          </w:p>
        </w:tc>
      </w:tr>
      <w:tr w:rsidR="00415337" w:rsidRPr="00610513" w14:paraId="692E68F0" w14:textId="77777777" w:rsidTr="00D518B9">
        <w:trPr>
          <w:trHeight w:val="75"/>
        </w:trPr>
        <w:tc>
          <w:tcPr>
            <w:tcW w:w="2802" w:type="dxa"/>
            <w:tcBorders>
              <w:top w:val="single" w:sz="4" w:space="0" w:color="auto"/>
              <w:left w:val="single" w:sz="4" w:space="0" w:color="000000"/>
              <w:bottom w:val="single" w:sz="4" w:space="0" w:color="000000"/>
              <w:right w:val="single" w:sz="4" w:space="0" w:color="auto"/>
            </w:tcBorders>
            <w:shd w:val="clear" w:color="auto" w:fill="FFFFFF"/>
            <w:vAlign w:val="center"/>
          </w:tcPr>
          <w:p w14:paraId="05357D02" w14:textId="3651BBE8" w:rsidR="00415337" w:rsidRPr="00610513" w:rsidRDefault="00FC3194" w:rsidP="00D518B9">
            <w:pPr>
              <w:spacing w:line="276" w:lineRule="auto"/>
              <w:rPr>
                <w:rFonts w:eastAsia="Calibri"/>
                <w:color w:val="000000"/>
                <w:sz w:val="18"/>
                <w:szCs w:val="18"/>
                <w:lang w:eastAsia="en-GB"/>
              </w:rPr>
            </w:pPr>
            <w:r>
              <w:rPr>
                <w:rFonts w:eastAsia="Calibri" w:cs="Arial"/>
                <w:sz w:val="18"/>
                <w:szCs w:val="18"/>
                <w:lang w:eastAsia="en-GB"/>
              </w:rPr>
              <w:t xml:space="preserve">Scenario 3 - </w:t>
            </w:r>
            <w:r>
              <w:rPr>
                <w:rFonts w:eastAsia="Calibri"/>
                <w:sz w:val="18"/>
                <w:szCs w:val="18"/>
                <w:lang w:eastAsia="en-US"/>
              </w:rPr>
              <w:t>PT02 Disinfection of rooms, furniture and objects in medical sector</w:t>
            </w:r>
            <w:r w:rsidRPr="00610513" w:rsidDel="00FC3194">
              <w:rPr>
                <w:rFonts w:eastAsia="Calibri" w:cs="Arial"/>
                <w:sz w:val="18"/>
                <w:szCs w:val="18"/>
                <w:lang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0967ED" w14:textId="2A6FAC45" w:rsidR="00415337" w:rsidRPr="00610513" w:rsidRDefault="00BD751D" w:rsidP="00415337">
            <w:pPr>
              <w:suppressAutoHyphens w:val="0"/>
              <w:jc w:val="center"/>
              <w:rPr>
                <w:rFonts w:cs="Calibri"/>
                <w:sz w:val="18"/>
                <w:szCs w:val="18"/>
              </w:rPr>
            </w:pPr>
            <w:r>
              <w:rPr>
                <w:rFonts w:cs="Calibri"/>
                <w:sz w:val="18"/>
                <w:szCs w:val="18"/>
              </w:rPr>
              <w:t>1.69E-02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E4E3C3" w14:textId="57818735" w:rsidR="00415337" w:rsidRPr="00610513" w:rsidRDefault="00BD751D" w:rsidP="00415337">
            <w:pPr>
              <w:suppressAutoHyphens w:val="0"/>
              <w:jc w:val="center"/>
              <w:rPr>
                <w:rFonts w:cs="Calibri"/>
                <w:sz w:val="18"/>
                <w:szCs w:val="18"/>
              </w:rPr>
            </w:pPr>
            <w:r>
              <w:rPr>
                <w:rFonts w:cs="Calibri"/>
                <w:sz w:val="18"/>
                <w:szCs w:val="18"/>
              </w:rPr>
              <w:t>4.33E-03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0282A2" w14:textId="527234DD" w:rsidR="00415337" w:rsidRPr="00610513" w:rsidRDefault="00FC3194" w:rsidP="00415337">
            <w:pPr>
              <w:suppressAutoHyphens w:val="0"/>
              <w:jc w:val="center"/>
              <w:rPr>
                <w:rFonts w:cs="Calibri"/>
                <w:sz w:val="18"/>
                <w:szCs w:val="18"/>
              </w:rPr>
            </w:pPr>
            <w:r>
              <w:rPr>
                <w:rFonts w:cs="Calibri"/>
                <w:sz w:val="18"/>
                <w:szCs w:val="18"/>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5A760A" w14:textId="0D44AFB4" w:rsidR="00415337" w:rsidRPr="00610513" w:rsidRDefault="00BD751D" w:rsidP="00415337">
            <w:pPr>
              <w:suppressAutoHyphens w:val="0"/>
              <w:jc w:val="center"/>
              <w:rPr>
                <w:rFonts w:cs="Calibri"/>
                <w:sz w:val="18"/>
                <w:szCs w:val="18"/>
              </w:rPr>
            </w:pPr>
            <w:r>
              <w:rPr>
                <w:rFonts w:cs="Calibri"/>
                <w:sz w:val="18"/>
                <w:szCs w:val="18"/>
              </w:rPr>
              <w:t>2.04E-03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F6F3AC4" w14:textId="3521003F" w:rsidR="00415337" w:rsidRPr="00610513" w:rsidRDefault="00BD751D" w:rsidP="00415337">
            <w:pPr>
              <w:suppressAutoHyphens w:val="0"/>
              <w:jc w:val="center"/>
              <w:rPr>
                <w:rFonts w:cs="Calibri"/>
                <w:sz w:val="18"/>
                <w:szCs w:val="18"/>
              </w:rPr>
            </w:pPr>
            <w:r>
              <w:rPr>
                <w:rFonts w:cs="Calibri"/>
                <w:b/>
                <w:sz w:val="18"/>
                <w:szCs w:val="18"/>
              </w:rPr>
              <w:t>2.50</w:t>
            </w:r>
          </w:p>
        </w:tc>
      </w:tr>
      <w:tr w:rsidR="00415337" w:rsidRPr="00610513" w14:paraId="1E3B8144" w14:textId="77777777" w:rsidTr="00D518B9">
        <w:trPr>
          <w:trHeight w:val="75"/>
        </w:trPr>
        <w:tc>
          <w:tcPr>
            <w:tcW w:w="280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7CA338" w14:textId="77777777" w:rsidR="00415337" w:rsidRPr="00610513" w:rsidRDefault="00415337" w:rsidP="00D518B9">
            <w:pPr>
              <w:spacing w:line="276" w:lineRule="auto"/>
              <w:rPr>
                <w:rFonts w:eastAsia="Calibri" w:cs="Arial"/>
                <w:sz w:val="18"/>
                <w:szCs w:val="18"/>
                <w:lang w:eastAsia="en-GB"/>
              </w:rPr>
            </w:pPr>
            <w:r w:rsidRPr="00610513">
              <w:rPr>
                <w:rFonts w:eastAsia="Calibri"/>
                <w:color w:val="000000"/>
                <w:sz w:val="18"/>
                <w:szCs w:val="18"/>
                <w:lang w:eastAsia="en-GB"/>
              </w:rPr>
              <w:t xml:space="preserve">Scenario 4 </w:t>
            </w:r>
            <w:r w:rsidRPr="00610513">
              <w:rPr>
                <w:rFonts w:eastAsia="Calibri" w:cs="Arial"/>
                <w:sz w:val="18"/>
                <w:szCs w:val="18"/>
                <w:lang w:eastAsia="en-GB"/>
              </w:rPr>
              <w:t xml:space="preserve">– PT02 </w:t>
            </w:r>
          </w:p>
          <w:p w14:paraId="2C8E61A1" w14:textId="77777777" w:rsidR="00415337" w:rsidRPr="00610513" w:rsidRDefault="00415337" w:rsidP="00D518B9">
            <w:pPr>
              <w:spacing w:line="260" w:lineRule="atLeast"/>
              <w:outlineLvl w:val="0"/>
              <w:rPr>
                <w:rFonts w:eastAsia="Calibri" w:cs="Arial"/>
                <w:sz w:val="18"/>
                <w:szCs w:val="18"/>
                <w:lang w:eastAsia="en-GB"/>
              </w:rPr>
            </w:pPr>
            <w:r w:rsidRPr="00610513">
              <w:rPr>
                <w:sz w:val="18"/>
                <w:szCs w:val="18"/>
              </w:rPr>
              <w:t>Road ways indirect emission via STP</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441F7F" w14:textId="77777777" w:rsidR="00415337" w:rsidRPr="00610513" w:rsidRDefault="00415337" w:rsidP="00415337">
            <w:pPr>
              <w:suppressAutoHyphens w:val="0"/>
              <w:jc w:val="center"/>
              <w:rPr>
                <w:rFonts w:cs="Calibri"/>
                <w:sz w:val="18"/>
                <w:szCs w:val="18"/>
              </w:rPr>
            </w:pPr>
            <w:r w:rsidRPr="00610513">
              <w:rPr>
                <w:rFonts w:cs="Calibri"/>
                <w:sz w:val="18"/>
                <w:szCs w:val="18"/>
              </w:rPr>
              <w:t>1.08E-01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794C50" w14:textId="77777777" w:rsidR="00415337" w:rsidRPr="00610513" w:rsidRDefault="00415337" w:rsidP="00415337">
            <w:pPr>
              <w:suppressAutoHyphens w:val="0"/>
              <w:jc w:val="center"/>
              <w:rPr>
                <w:rFonts w:cs="Calibri"/>
                <w:sz w:val="18"/>
                <w:szCs w:val="18"/>
              </w:rPr>
            </w:pPr>
            <w:r w:rsidRPr="00610513">
              <w:rPr>
                <w:rFonts w:cs="Calibri"/>
                <w:sz w:val="18"/>
                <w:szCs w:val="18"/>
              </w:rPr>
              <w:t>2.77E-02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717898" w14:textId="5C4410D8" w:rsidR="00415337" w:rsidRPr="00610513" w:rsidRDefault="00825EB5" w:rsidP="00415337">
            <w:pPr>
              <w:suppressAutoHyphens w:val="0"/>
              <w:jc w:val="center"/>
              <w:rPr>
                <w:rFonts w:cs="Calibri"/>
                <w:sz w:val="18"/>
                <w:szCs w:val="18"/>
              </w:rPr>
            </w:pPr>
            <w:r>
              <w:rPr>
                <w:rFonts w:cs="Calibri"/>
                <w:sz w:val="18"/>
                <w:szCs w:val="18"/>
                <w:lang w:val="fr-FR" w:eastAsia="fr-FR"/>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2C4FC3" w14:textId="77777777" w:rsidR="00415337" w:rsidRPr="00610513" w:rsidRDefault="00415337" w:rsidP="00415337">
            <w:pPr>
              <w:suppressAutoHyphens w:val="0"/>
              <w:jc w:val="center"/>
              <w:rPr>
                <w:rFonts w:cs="Calibri"/>
                <w:sz w:val="18"/>
                <w:szCs w:val="18"/>
              </w:rPr>
            </w:pPr>
            <w:r w:rsidRPr="00610513">
              <w:rPr>
                <w:rFonts w:cs="Calibri"/>
                <w:sz w:val="18"/>
                <w:szCs w:val="18"/>
              </w:rPr>
              <w:t>1.30E-02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FFCBF15" w14:textId="7B076BD1" w:rsidR="00415337" w:rsidRPr="00610513" w:rsidRDefault="00415337" w:rsidP="00415337">
            <w:pPr>
              <w:suppressAutoHyphens w:val="0"/>
              <w:jc w:val="center"/>
              <w:rPr>
                <w:rFonts w:cs="Calibri"/>
                <w:sz w:val="18"/>
                <w:szCs w:val="18"/>
              </w:rPr>
            </w:pPr>
            <w:r w:rsidRPr="00610513">
              <w:rPr>
                <w:rFonts w:cs="Calibri"/>
                <w:b/>
                <w:sz w:val="18"/>
                <w:szCs w:val="18"/>
              </w:rPr>
              <w:t>1.60E+01</w:t>
            </w:r>
          </w:p>
        </w:tc>
      </w:tr>
      <w:tr w:rsidR="00415337" w:rsidRPr="00610513" w14:paraId="1441D777" w14:textId="77777777" w:rsidTr="00D518B9">
        <w:trPr>
          <w:trHeight w:val="75"/>
        </w:trPr>
        <w:tc>
          <w:tcPr>
            <w:tcW w:w="2802" w:type="dxa"/>
            <w:tcBorders>
              <w:top w:val="single" w:sz="4" w:space="0" w:color="000000"/>
              <w:left w:val="single" w:sz="4" w:space="0" w:color="000000"/>
              <w:bottom w:val="single" w:sz="4" w:space="0" w:color="auto"/>
              <w:right w:val="single" w:sz="4" w:space="0" w:color="auto"/>
            </w:tcBorders>
            <w:shd w:val="clear" w:color="auto" w:fill="FFFFFF"/>
            <w:vAlign w:val="center"/>
          </w:tcPr>
          <w:p w14:paraId="6BDAD243" w14:textId="77777777" w:rsidR="00415337" w:rsidRPr="00610513" w:rsidRDefault="00415337" w:rsidP="00415337">
            <w:pPr>
              <w:widowControl w:val="0"/>
              <w:tabs>
                <w:tab w:val="center" w:pos="4536"/>
                <w:tab w:val="right" w:pos="9072"/>
              </w:tabs>
              <w:spacing w:line="260" w:lineRule="atLeast"/>
              <w:rPr>
                <w:rFonts w:eastAsia="Calibri" w:cs="Arial"/>
                <w:sz w:val="18"/>
                <w:szCs w:val="18"/>
                <w:lang w:eastAsia="en-GB"/>
              </w:rPr>
            </w:pPr>
            <w:r w:rsidRPr="00610513">
              <w:rPr>
                <w:rFonts w:eastAsia="Calibri"/>
                <w:color w:val="000000"/>
                <w:sz w:val="18"/>
                <w:szCs w:val="18"/>
                <w:lang w:eastAsia="en-GB"/>
              </w:rPr>
              <w:t xml:space="preserve">Scenario 5 </w:t>
            </w:r>
            <w:r w:rsidRPr="00610513">
              <w:rPr>
                <w:rFonts w:eastAsia="Calibri" w:cs="Arial"/>
                <w:sz w:val="18"/>
                <w:szCs w:val="18"/>
                <w:lang w:eastAsia="en-GB"/>
              </w:rPr>
              <w:t>– PT02</w:t>
            </w:r>
          </w:p>
          <w:p w14:paraId="44C135E6" w14:textId="77777777" w:rsidR="00415337" w:rsidRPr="00610513" w:rsidRDefault="00415337" w:rsidP="00D518B9">
            <w:pPr>
              <w:spacing w:line="260" w:lineRule="atLeast"/>
              <w:outlineLvl w:val="0"/>
              <w:rPr>
                <w:rFonts w:eastAsia="Calibri" w:cs="Arial"/>
                <w:sz w:val="18"/>
                <w:szCs w:val="18"/>
                <w:lang w:eastAsia="en-GB"/>
              </w:rPr>
            </w:pPr>
            <w:r w:rsidRPr="00610513">
              <w:rPr>
                <w:sz w:val="18"/>
                <w:szCs w:val="18"/>
              </w:rPr>
              <w:t>Road ways direct emission to surface water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3D7F36" w14:textId="20334E0E" w:rsidR="00415337" w:rsidRPr="00610513" w:rsidRDefault="00825EB5" w:rsidP="00415337">
            <w:pPr>
              <w:suppressAutoHyphens w:val="0"/>
              <w:jc w:val="center"/>
              <w:rPr>
                <w:rFonts w:cs="Calibri"/>
                <w:sz w:val="18"/>
                <w:szCs w:val="18"/>
              </w:rPr>
            </w:pPr>
            <w:r>
              <w:rPr>
                <w:rFonts w:cs="Calibri"/>
                <w:sz w:val="18"/>
                <w:szCs w:val="18"/>
                <w:lang w:val="fr-FR" w:eastAsia="fr-FR"/>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9461F79" w14:textId="77777777" w:rsidR="00415337" w:rsidRPr="00610513" w:rsidRDefault="00415337" w:rsidP="00415337">
            <w:pPr>
              <w:suppressAutoHyphens w:val="0"/>
              <w:jc w:val="center"/>
              <w:rPr>
                <w:rFonts w:cs="Calibri"/>
                <w:sz w:val="18"/>
                <w:szCs w:val="18"/>
              </w:rPr>
            </w:pPr>
            <w:r w:rsidRPr="00610513">
              <w:rPr>
                <w:rFonts w:cs="Calibri"/>
                <w:sz w:val="18"/>
                <w:szCs w:val="18"/>
              </w:rPr>
              <w:t>4.10E-01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322B2B" w14:textId="67D6D999" w:rsidR="00415337" w:rsidRPr="00610513" w:rsidRDefault="0091358B" w:rsidP="00415337">
            <w:pPr>
              <w:suppressAutoHyphens w:val="0"/>
              <w:jc w:val="center"/>
              <w:rPr>
                <w:rFonts w:cs="Calibri"/>
                <w:sz w:val="18"/>
                <w:szCs w:val="18"/>
              </w:rPr>
            </w:pPr>
            <w:r>
              <w:rPr>
                <w:rFonts w:cs="Calibri"/>
                <w:sz w:val="18"/>
                <w:szCs w:val="18"/>
                <w:lang w:val="fr-FR" w:eastAsia="fr-FR"/>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ECBAA" w14:textId="5BF68488" w:rsidR="00415337" w:rsidRPr="00610513" w:rsidRDefault="00825EB5" w:rsidP="00415337">
            <w:pPr>
              <w:suppressAutoHyphens w:val="0"/>
              <w:jc w:val="center"/>
              <w:rPr>
                <w:rFonts w:cs="Calibri"/>
                <w:sz w:val="18"/>
                <w:szCs w:val="18"/>
              </w:rPr>
            </w:pPr>
            <w:r>
              <w:rPr>
                <w:rFonts w:cs="Calibri"/>
                <w:sz w:val="18"/>
                <w:szCs w:val="18"/>
                <w:lang w:val="fr-FR" w:eastAsia="fr-FR"/>
              </w:rPr>
              <w:t>n.r.</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1C817B2" w14:textId="3CED93C8" w:rsidR="00415337" w:rsidRPr="00610513" w:rsidRDefault="00825EB5" w:rsidP="00415337">
            <w:pPr>
              <w:suppressAutoHyphens w:val="0"/>
              <w:jc w:val="center"/>
              <w:rPr>
                <w:rFonts w:cs="Calibri"/>
                <w:sz w:val="18"/>
                <w:szCs w:val="18"/>
              </w:rPr>
            </w:pPr>
            <w:r>
              <w:rPr>
                <w:rFonts w:cs="Calibri"/>
                <w:sz w:val="18"/>
                <w:szCs w:val="18"/>
                <w:lang w:val="fr-FR" w:eastAsia="fr-FR"/>
              </w:rPr>
              <w:t>n.r.</w:t>
            </w:r>
          </w:p>
        </w:tc>
      </w:tr>
      <w:tr w:rsidR="00415337" w:rsidRPr="00610513" w14:paraId="54563571" w14:textId="77777777" w:rsidTr="00D518B9">
        <w:trPr>
          <w:trHeight w:val="75"/>
        </w:trPr>
        <w:tc>
          <w:tcPr>
            <w:tcW w:w="2802" w:type="dxa"/>
            <w:tcBorders>
              <w:top w:val="single" w:sz="4" w:space="0" w:color="auto"/>
              <w:left w:val="single" w:sz="4" w:space="0" w:color="auto"/>
              <w:right w:val="single" w:sz="4" w:space="0" w:color="auto"/>
            </w:tcBorders>
            <w:shd w:val="clear" w:color="auto" w:fill="FFFFFF"/>
            <w:vAlign w:val="center"/>
          </w:tcPr>
          <w:p w14:paraId="063886DA" w14:textId="56A81169" w:rsidR="00415337" w:rsidRPr="00610513" w:rsidRDefault="00415337" w:rsidP="00D518B9">
            <w:pPr>
              <w:spacing w:line="276" w:lineRule="auto"/>
              <w:rPr>
                <w:rFonts w:eastAsia="Calibri" w:cs="Arial"/>
                <w:sz w:val="18"/>
                <w:szCs w:val="18"/>
                <w:lang w:eastAsia="en-GB"/>
              </w:rPr>
            </w:pPr>
            <w:r w:rsidRPr="00610513">
              <w:rPr>
                <w:rFonts w:eastAsia="Calibri"/>
                <w:color w:val="000000"/>
                <w:sz w:val="18"/>
                <w:szCs w:val="18"/>
                <w:lang w:eastAsia="en-GB"/>
              </w:rPr>
              <w:t xml:space="preserve">Scenario </w:t>
            </w:r>
            <w:r w:rsidR="002F354D">
              <w:rPr>
                <w:rFonts w:eastAsia="Calibri"/>
                <w:color w:val="000000"/>
                <w:sz w:val="18"/>
                <w:szCs w:val="18"/>
                <w:lang w:eastAsia="en-GB"/>
              </w:rPr>
              <w:t>6</w:t>
            </w:r>
            <w:r w:rsidRPr="00610513">
              <w:rPr>
                <w:rFonts w:eastAsia="Calibri"/>
                <w:color w:val="000000"/>
                <w:sz w:val="18"/>
                <w:szCs w:val="18"/>
                <w:lang w:eastAsia="en-GB"/>
              </w:rPr>
              <w:t xml:space="preserve"> </w:t>
            </w:r>
            <w:r w:rsidRPr="00610513">
              <w:rPr>
                <w:rFonts w:eastAsia="Calibri" w:cs="Arial"/>
                <w:sz w:val="18"/>
                <w:szCs w:val="18"/>
                <w:lang w:eastAsia="en-GB"/>
              </w:rPr>
              <w:t xml:space="preserve">– PT03 </w:t>
            </w:r>
          </w:p>
          <w:p w14:paraId="419A051B" w14:textId="77777777" w:rsidR="00415337" w:rsidRPr="00610513" w:rsidRDefault="00415337" w:rsidP="00D518B9">
            <w:pPr>
              <w:spacing w:line="260" w:lineRule="atLeast"/>
              <w:outlineLvl w:val="0"/>
              <w:rPr>
                <w:rFonts w:eastAsia="Calibri" w:cs="Arial"/>
                <w:sz w:val="18"/>
                <w:szCs w:val="18"/>
                <w:lang w:eastAsia="en-GB"/>
              </w:rPr>
            </w:pPr>
            <w:r w:rsidRPr="00610513">
              <w:rPr>
                <w:sz w:val="18"/>
                <w:szCs w:val="18"/>
              </w:rPr>
              <w:t>Animal housing direct emission to soil</w:t>
            </w:r>
          </w:p>
        </w:tc>
        <w:tc>
          <w:tcPr>
            <w:tcW w:w="1559" w:type="dxa"/>
            <w:tcBorders>
              <w:top w:val="single" w:sz="4" w:space="0" w:color="auto"/>
              <w:left w:val="single" w:sz="4" w:space="0" w:color="auto"/>
              <w:right w:val="single" w:sz="4" w:space="0" w:color="auto"/>
            </w:tcBorders>
            <w:shd w:val="clear" w:color="auto" w:fill="FFFFFF"/>
            <w:vAlign w:val="center"/>
          </w:tcPr>
          <w:p w14:paraId="4CC2A138" w14:textId="3235DFC4" w:rsidR="00415337" w:rsidRPr="00610513" w:rsidRDefault="00415337" w:rsidP="00415337">
            <w:pPr>
              <w:suppressAutoHyphens w:val="0"/>
              <w:jc w:val="center"/>
              <w:rPr>
                <w:rFonts w:cs="Calibri"/>
                <w:sz w:val="18"/>
                <w:szCs w:val="18"/>
              </w:rPr>
            </w:pPr>
          </w:p>
        </w:tc>
        <w:tc>
          <w:tcPr>
            <w:tcW w:w="1701" w:type="dxa"/>
            <w:tcBorders>
              <w:top w:val="single" w:sz="4" w:space="0" w:color="auto"/>
              <w:left w:val="single" w:sz="4" w:space="0" w:color="auto"/>
              <w:right w:val="single" w:sz="4" w:space="0" w:color="auto"/>
            </w:tcBorders>
            <w:shd w:val="clear" w:color="auto" w:fill="FFFFFF"/>
            <w:vAlign w:val="center"/>
          </w:tcPr>
          <w:p w14:paraId="61AFB4F6" w14:textId="60D50F1E" w:rsidR="00415337" w:rsidRPr="00610513" w:rsidRDefault="00415337" w:rsidP="00415337">
            <w:pPr>
              <w:suppressAutoHyphens w:val="0"/>
              <w:jc w:val="center"/>
              <w:rPr>
                <w:rFonts w:cs="Calibri"/>
                <w:sz w:val="18"/>
                <w:szCs w:val="18"/>
              </w:rPr>
            </w:pPr>
          </w:p>
        </w:tc>
        <w:tc>
          <w:tcPr>
            <w:tcW w:w="1559" w:type="dxa"/>
            <w:tcBorders>
              <w:top w:val="single" w:sz="4" w:space="0" w:color="auto"/>
              <w:left w:val="single" w:sz="4" w:space="0" w:color="auto"/>
              <w:right w:val="single" w:sz="4" w:space="0" w:color="auto"/>
            </w:tcBorders>
            <w:shd w:val="clear" w:color="auto" w:fill="FFFFFF"/>
            <w:vAlign w:val="center"/>
          </w:tcPr>
          <w:p w14:paraId="2CBE367B" w14:textId="3A37A098" w:rsidR="00415337" w:rsidRPr="00610513" w:rsidRDefault="00415337" w:rsidP="00415337">
            <w:pPr>
              <w:suppressAutoHyphens w:val="0"/>
              <w:jc w:val="center"/>
              <w:rPr>
                <w:rFonts w:cs="Calibri"/>
                <w:sz w:val="18"/>
                <w:szCs w:val="18"/>
              </w:rPr>
            </w:pPr>
          </w:p>
        </w:tc>
        <w:tc>
          <w:tcPr>
            <w:tcW w:w="1418" w:type="dxa"/>
            <w:tcBorders>
              <w:top w:val="single" w:sz="4" w:space="0" w:color="auto"/>
              <w:left w:val="single" w:sz="4" w:space="0" w:color="auto"/>
              <w:right w:val="single" w:sz="4" w:space="0" w:color="auto"/>
            </w:tcBorders>
            <w:shd w:val="clear" w:color="auto" w:fill="FFFFFF"/>
            <w:vAlign w:val="center"/>
          </w:tcPr>
          <w:p w14:paraId="183CE2DB" w14:textId="7D5B29EF" w:rsidR="00415337" w:rsidRPr="00610513" w:rsidRDefault="00415337" w:rsidP="00415337">
            <w:pPr>
              <w:suppressAutoHyphens w:val="0"/>
              <w:jc w:val="center"/>
              <w:rPr>
                <w:rFonts w:cs="Calibri"/>
                <w:sz w:val="18"/>
                <w:szCs w:val="18"/>
              </w:rPr>
            </w:pPr>
          </w:p>
        </w:tc>
        <w:tc>
          <w:tcPr>
            <w:tcW w:w="1304" w:type="dxa"/>
            <w:tcBorders>
              <w:top w:val="single" w:sz="4" w:space="0" w:color="auto"/>
              <w:left w:val="single" w:sz="4" w:space="0" w:color="auto"/>
              <w:right w:val="single" w:sz="4" w:space="0" w:color="auto"/>
            </w:tcBorders>
            <w:shd w:val="clear" w:color="auto" w:fill="FFFFFF"/>
            <w:vAlign w:val="center"/>
          </w:tcPr>
          <w:p w14:paraId="72D79AB0" w14:textId="45678CB3" w:rsidR="00415337" w:rsidRPr="00610513" w:rsidRDefault="00415337" w:rsidP="00BD751D">
            <w:pPr>
              <w:suppressAutoHyphens w:val="0"/>
              <w:jc w:val="center"/>
              <w:rPr>
                <w:rFonts w:cs="Calibri"/>
                <w:sz w:val="18"/>
                <w:szCs w:val="18"/>
              </w:rPr>
            </w:pPr>
          </w:p>
        </w:tc>
      </w:tr>
      <w:tr w:rsidR="00BD751D" w:rsidRPr="00610513" w14:paraId="6C7E570E" w14:textId="77777777" w:rsidTr="00D518B9">
        <w:trPr>
          <w:trHeight w:val="382"/>
        </w:trPr>
        <w:tc>
          <w:tcPr>
            <w:tcW w:w="2802" w:type="dxa"/>
            <w:tcBorders>
              <w:left w:val="single" w:sz="4" w:space="0" w:color="auto"/>
              <w:right w:val="single" w:sz="4" w:space="0" w:color="auto"/>
            </w:tcBorders>
            <w:shd w:val="clear" w:color="auto" w:fill="FFFFFF"/>
            <w:vAlign w:val="center"/>
          </w:tcPr>
          <w:p w14:paraId="4647F7A6" w14:textId="49CCA1AC" w:rsidR="00BD751D" w:rsidRPr="00BD751D" w:rsidRDefault="005B2312" w:rsidP="00D518B9">
            <w:pPr>
              <w:tabs>
                <w:tab w:val="left" w:pos="270"/>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BD751D">
              <w:rPr>
                <w:rFonts w:eastAsia="Calibri" w:cs="Arial"/>
                <w:sz w:val="18"/>
                <w:szCs w:val="18"/>
                <w:lang w:val="en-US" w:eastAsia="en-GB"/>
              </w:rPr>
              <w:t>Meta-SPC 9</w:t>
            </w:r>
          </w:p>
        </w:tc>
        <w:tc>
          <w:tcPr>
            <w:tcW w:w="1559" w:type="dxa"/>
            <w:tcBorders>
              <w:left w:val="single" w:sz="4" w:space="0" w:color="auto"/>
              <w:right w:val="single" w:sz="4" w:space="0" w:color="auto"/>
            </w:tcBorders>
            <w:shd w:val="clear" w:color="auto" w:fill="FFFFFF"/>
            <w:vAlign w:val="center"/>
          </w:tcPr>
          <w:p w14:paraId="51F484E9" w14:textId="77777777" w:rsidR="00BD751D" w:rsidRDefault="00BD751D" w:rsidP="00544235">
            <w:pPr>
              <w:suppressAutoHyphens w:val="0"/>
              <w:jc w:val="center"/>
              <w:rPr>
                <w:rFonts w:cs="Calibri"/>
                <w:sz w:val="18"/>
                <w:szCs w:val="18"/>
              </w:rPr>
            </w:pPr>
          </w:p>
        </w:tc>
        <w:tc>
          <w:tcPr>
            <w:tcW w:w="1701" w:type="dxa"/>
            <w:tcBorders>
              <w:left w:val="single" w:sz="4" w:space="0" w:color="auto"/>
              <w:right w:val="single" w:sz="4" w:space="0" w:color="auto"/>
            </w:tcBorders>
            <w:shd w:val="clear" w:color="auto" w:fill="FFFFFF"/>
            <w:vAlign w:val="center"/>
          </w:tcPr>
          <w:p w14:paraId="2C9BC4EC" w14:textId="77777777" w:rsidR="00BD751D" w:rsidRDefault="00BD751D" w:rsidP="00544235">
            <w:pPr>
              <w:suppressAutoHyphens w:val="0"/>
              <w:jc w:val="center"/>
              <w:rPr>
                <w:rFonts w:cs="Calibri"/>
                <w:sz w:val="18"/>
                <w:szCs w:val="18"/>
              </w:rPr>
            </w:pPr>
          </w:p>
        </w:tc>
        <w:tc>
          <w:tcPr>
            <w:tcW w:w="1559" w:type="dxa"/>
            <w:tcBorders>
              <w:left w:val="single" w:sz="4" w:space="0" w:color="auto"/>
              <w:right w:val="single" w:sz="4" w:space="0" w:color="auto"/>
            </w:tcBorders>
            <w:shd w:val="clear" w:color="auto" w:fill="FFFFFF"/>
            <w:vAlign w:val="center"/>
          </w:tcPr>
          <w:p w14:paraId="6EDE6940" w14:textId="77777777" w:rsidR="00BD751D" w:rsidRDefault="00BD751D" w:rsidP="00544235">
            <w:pPr>
              <w:suppressAutoHyphens w:val="0"/>
              <w:jc w:val="center"/>
              <w:rPr>
                <w:rFonts w:cs="Calibri"/>
                <w:sz w:val="18"/>
                <w:szCs w:val="18"/>
              </w:rPr>
            </w:pPr>
          </w:p>
        </w:tc>
        <w:tc>
          <w:tcPr>
            <w:tcW w:w="1418" w:type="dxa"/>
            <w:tcBorders>
              <w:left w:val="single" w:sz="4" w:space="0" w:color="auto"/>
              <w:right w:val="single" w:sz="4" w:space="0" w:color="auto"/>
            </w:tcBorders>
            <w:shd w:val="clear" w:color="auto" w:fill="FFFFFF"/>
            <w:vAlign w:val="center"/>
          </w:tcPr>
          <w:p w14:paraId="65789C15" w14:textId="412887E1" w:rsidR="00BD751D" w:rsidRPr="00BD751D" w:rsidRDefault="0091358B" w:rsidP="00544235">
            <w:pPr>
              <w:suppressAutoHyphens w:val="0"/>
              <w:jc w:val="center"/>
              <w:rPr>
                <w:rFonts w:cs="Calibri"/>
                <w:b/>
                <w:sz w:val="18"/>
                <w:szCs w:val="18"/>
              </w:rPr>
            </w:pPr>
            <w:r>
              <w:rPr>
                <w:rFonts w:cs="Calibri"/>
                <w:b/>
                <w:sz w:val="18"/>
                <w:szCs w:val="18"/>
              </w:rPr>
              <w:t>11.9</w:t>
            </w:r>
          </w:p>
        </w:tc>
        <w:tc>
          <w:tcPr>
            <w:tcW w:w="1304" w:type="dxa"/>
            <w:tcBorders>
              <w:left w:val="single" w:sz="4" w:space="0" w:color="auto"/>
              <w:right w:val="single" w:sz="4" w:space="0" w:color="auto"/>
            </w:tcBorders>
            <w:shd w:val="clear" w:color="auto" w:fill="FFFFFF"/>
            <w:vAlign w:val="center"/>
          </w:tcPr>
          <w:p w14:paraId="5F08B7C1" w14:textId="23E23FF4" w:rsidR="00BD751D" w:rsidRPr="00610513" w:rsidRDefault="0091358B" w:rsidP="00544235">
            <w:pPr>
              <w:suppressAutoHyphens w:val="0"/>
              <w:jc w:val="center"/>
              <w:rPr>
                <w:rFonts w:cs="Calibri"/>
                <w:sz w:val="18"/>
                <w:szCs w:val="18"/>
              </w:rPr>
            </w:pPr>
            <w:r>
              <w:rPr>
                <w:rFonts w:cs="Calibri"/>
                <w:b/>
                <w:sz w:val="18"/>
                <w:szCs w:val="18"/>
              </w:rPr>
              <w:t>4.80</w:t>
            </w:r>
            <w:r w:rsidR="00BD751D">
              <w:rPr>
                <w:rFonts w:cs="Calibri"/>
                <w:b/>
                <w:sz w:val="18"/>
                <w:szCs w:val="18"/>
              </w:rPr>
              <w:t>E+04</w:t>
            </w:r>
          </w:p>
        </w:tc>
      </w:tr>
      <w:tr w:rsidR="00BD751D" w:rsidRPr="00610513" w14:paraId="14FE1852" w14:textId="77777777" w:rsidTr="00D518B9">
        <w:trPr>
          <w:trHeight w:val="75"/>
        </w:trPr>
        <w:tc>
          <w:tcPr>
            <w:tcW w:w="2802" w:type="dxa"/>
            <w:tcBorders>
              <w:left w:val="single" w:sz="4" w:space="0" w:color="auto"/>
              <w:bottom w:val="single" w:sz="4" w:space="0" w:color="auto"/>
              <w:right w:val="single" w:sz="4" w:space="0" w:color="auto"/>
            </w:tcBorders>
            <w:shd w:val="clear" w:color="auto" w:fill="FFFFFF"/>
            <w:vAlign w:val="center"/>
          </w:tcPr>
          <w:p w14:paraId="38A3D9B9" w14:textId="33ADB7BD" w:rsidR="00BD751D" w:rsidRDefault="005B2312" w:rsidP="00D518B9">
            <w:pPr>
              <w:tabs>
                <w:tab w:val="left" w:pos="270"/>
              </w:tabs>
              <w:spacing w:line="260" w:lineRule="atLeast"/>
              <w:outlineLvl w:val="0"/>
              <w:rPr>
                <w:rFonts w:eastAsia="Calibri"/>
                <w:color w:val="000000"/>
                <w:sz w:val="18"/>
                <w:szCs w:val="18"/>
                <w:lang w:eastAsia="en-GB"/>
              </w:rPr>
            </w:pPr>
            <w:r>
              <w:rPr>
                <w:rFonts w:eastAsia="Calibri" w:cs="Arial"/>
                <w:sz w:val="18"/>
                <w:szCs w:val="18"/>
                <w:lang w:val="fr-FR" w:eastAsia="en-GB"/>
              </w:rPr>
              <w:tab/>
            </w:r>
            <w:r w:rsidR="00BD751D" w:rsidRPr="005843FF">
              <w:rPr>
                <w:rFonts w:eastAsia="Calibri" w:cs="Arial"/>
                <w:sz w:val="18"/>
                <w:szCs w:val="18"/>
                <w:lang w:val="fr-FR" w:eastAsia="en-GB"/>
              </w:rPr>
              <w:t>Refinement Meta-SPC 10</w:t>
            </w:r>
          </w:p>
        </w:tc>
        <w:tc>
          <w:tcPr>
            <w:tcW w:w="1559" w:type="dxa"/>
            <w:tcBorders>
              <w:left w:val="single" w:sz="4" w:space="0" w:color="auto"/>
              <w:bottom w:val="single" w:sz="4" w:space="0" w:color="auto"/>
              <w:right w:val="single" w:sz="4" w:space="0" w:color="auto"/>
            </w:tcBorders>
            <w:shd w:val="clear" w:color="auto" w:fill="FFFFFF"/>
            <w:vAlign w:val="center"/>
          </w:tcPr>
          <w:p w14:paraId="00E471B7" w14:textId="77777777" w:rsidR="00BD751D" w:rsidRDefault="00BD751D" w:rsidP="00544235">
            <w:pPr>
              <w:suppressAutoHyphens w:val="0"/>
              <w:jc w:val="center"/>
              <w:rPr>
                <w:rFonts w:cs="Calibri"/>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14:paraId="56EB3559" w14:textId="77777777" w:rsidR="00BD751D" w:rsidRDefault="00BD751D" w:rsidP="00544235">
            <w:pPr>
              <w:suppressAutoHyphens w:val="0"/>
              <w:jc w:val="center"/>
              <w:rPr>
                <w:rFonts w:cs="Calibri"/>
                <w:sz w:val="18"/>
                <w:szCs w:val="18"/>
              </w:rPr>
            </w:pPr>
          </w:p>
        </w:tc>
        <w:tc>
          <w:tcPr>
            <w:tcW w:w="1559" w:type="dxa"/>
            <w:tcBorders>
              <w:left w:val="single" w:sz="4" w:space="0" w:color="auto"/>
              <w:bottom w:val="single" w:sz="4" w:space="0" w:color="auto"/>
              <w:right w:val="single" w:sz="4" w:space="0" w:color="auto"/>
            </w:tcBorders>
            <w:shd w:val="clear" w:color="auto" w:fill="FFFFFF"/>
            <w:vAlign w:val="center"/>
          </w:tcPr>
          <w:p w14:paraId="186A7632" w14:textId="77777777" w:rsidR="00BD751D" w:rsidRDefault="00BD751D" w:rsidP="00544235">
            <w:pPr>
              <w:suppressAutoHyphens w:val="0"/>
              <w:jc w:val="center"/>
              <w:rPr>
                <w:rFonts w:cs="Calibri"/>
                <w:sz w:val="18"/>
                <w:szCs w:val="18"/>
              </w:rPr>
            </w:pPr>
          </w:p>
        </w:tc>
        <w:tc>
          <w:tcPr>
            <w:tcW w:w="1418" w:type="dxa"/>
            <w:tcBorders>
              <w:left w:val="single" w:sz="4" w:space="0" w:color="auto"/>
              <w:bottom w:val="single" w:sz="4" w:space="0" w:color="auto"/>
              <w:right w:val="single" w:sz="4" w:space="0" w:color="auto"/>
            </w:tcBorders>
            <w:shd w:val="clear" w:color="auto" w:fill="FFFFFF"/>
            <w:vAlign w:val="center"/>
          </w:tcPr>
          <w:p w14:paraId="47451975" w14:textId="6647E68D" w:rsidR="00BD751D" w:rsidRPr="00BD751D" w:rsidRDefault="0091358B" w:rsidP="00544235">
            <w:pPr>
              <w:suppressAutoHyphens w:val="0"/>
              <w:jc w:val="center"/>
              <w:rPr>
                <w:rFonts w:cs="Calibri"/>
                <w:b/>
                <w:sz w:val="18"/>
                <w:szCs w:val="18"/>
              </w:rPr>
            </w:pPr>
            <w:r>
              <w:rPr>
                <w:rFonts w:cs="Calibri"/>
                <w:b/>
                <w:sz w:val="18"/>
                <w:szCs w:val="18"/>
              </w:rPr>
              <w:t>3.96</w:t>
            </w:r>
          </w:p>
        </w:tc>
        <w:tc>
          <w:tcPr>
            <w:tcW w:w="1304" w:type="dxa"/>
            <w:tcBorders>
              <w:left w:val="single" w:sz="4" w:space="0" w:color="auto"/>
              <w:bottom w:val="single" w:sz="4" w:space="0" w:color="auto"/>
              <w:right w:val="single" w:sz="4" w:space="0" w:color="auto"/>
            </w:tcBorders>
            <w:shd w:val="clear" w:color="auto" w:fill="FFFFFF"/>
            <w:vAlign w:val="center"/>
          </w:tcPr>
          <w:p w14:paraId="40EE674F" w14:textId="327BE8B4" w:rsidR="00BD751D" w:rsidRDefault="0091358B" w:rsidP="00544235">
            <w:pPr>
              <w:suppressAutoHyphens w:val="0"/>
              <w:jc w:val="center"/>
              <w:rPr>
                <w:rFonts w:cs="Calibri"/>
                <w:sz w:val="18"/>
                <w:szCs w:val="18"/>
              </w:rPr>
            </w:pPr>
            <w:r>
              <w:rPr>
                <w:rFonts w:cs="Calibri"/>
                <w:b/>
                <w:sz w:val="18"/>
                <w:szCs w:val="18"/>
              </w:rPr>
              <w:t>1.60</w:t>
            </w:r>
            <w:r w:rsidR="00BD751D">
              <w:rPr>
                <w:rFonts w:cs="Calibri"/>
                <w:b/>
                <w:sz w:val="18"/>
                <w:szCs w:val="18"/>
              </w:rPr>
              <w:t>E+0</w:t>
            </w:r>
            <w:r>
              <w:rPr>
                <w:rFonts w:cs="Calibri"/>
                <w:b/>
                <w:sz w:val="18"/>
                <w:szCs w:val="18"/>
              </w:rPr>
              <w:t>4</w:t>
            </w:r>
          </w:p>
        </w:tc>
      </w:tr>
      <w:tr w:rsidR="00544235" w:rsidRPr="00610513" w14:paraId="48A058AA" w14:textId="77777777" w:rsidTr="00D518B9">
        <w:trPr>
          <w:trHeight w:val="75"/>
        </w:trPr>
        <w:tc>
          <w:tcPr>
            <w:tcW w:w="2802" w:type="dxa"/>
            <w:tcBorders>
              <w:top w:val="single" w:sz="4" w:space="0" w:color="auto"/>
              <w:left w:val="single" w:sz="4" w:space="0" w:color="000000"/>
              <w:bottom w:val="single" w:sz="4" w:space="0" w:color="000000"/>
              <w:right w:val="single" w:sz="4" w:space="0" w:color="auto"/>
            </w:tcBorders>
            <w:shd w:val="clear" w:color="auto" w:fill="FFFFFF"/>
            <w:vAlign w:val="center"/>
          </w:tcPr>
          <w:p w14:paraId="0A4D1249" w14:textId="5BCFCE6F" w:rsidR="00544235" w:rsidRPr="00610513" w:rsidRDefault="00544235" w:rsidP="00D518B9">
            <w:pPr>
              <w:spacing w:line="276" w:lineRule="auto"/>
              <w:rPr>
                <w:rFonts w:eastAsia="Calibri" w:cs="Arial"/>
                <w:sz w:val="18"/>
                <w:szCs w:val="18"/>
                <w:lang w:eastAsia="en-GB"/>
              </w:rPr>
            </w:pPr>
            <w:r w:rsidRPr="00610513">
              <w:rPr>
                <w:rFonts w:eastAsia="Calibri"/>
                <w:color w:val="000000"/>
                <w:sz w:val="18"/>
                <w:szCs w:val="18"/>
                <w:lang w:eastAsia="en-GB"/>
              </w:rPr>
              <w:t xml:space="preserve">Scenario </w:t>
            </w:r>
            <w:r>
              <w:rPr>
                <w:rFonts w:eastAsia="Calibri"/>
                <w:color w:val="000000"/>
                <w:sz w:val="18"/>
                <w:szCs w:val="18"/>
                <w:lang w:eastAsia="en-GB"/>
              </w:rPr>
              <w:t>6</w:t>
            </w:r>
            <w:r w:rsidRPr="00610513">
              <w:rPr>
                <w:rFonts w:eastAsia="Calibri"/>
                <w:color w:val="000000"/>
                <w:sz w:val="18"/>
                <w:szCs w:val="18"/>
                <w:lang w:eastAsia="en-GB"/>
              </w:rPr>
              <w:t xml:space="preserve"> </w:t>
            </w:r>
            <w:r w:rsidRPr="00610513">
              <w:rPr>
                <w:rFonts w:eastAsia="Calibri" w:cs="Arial"/>
                <w:sz w:val="18"/>
                <w:szCs w:val="18"/>
                <w:lang w:eastAsia="en-GB"/>
              </w:rPr>
              <w:t xml:space="preserve">– PT03 </w:t>
            </w:r>
          </w:p>
          <w:p w14:paraId="49C33304" w14:textId="77777777" w:rsidR="00544235" w:rsidRPr="00610513" w:rsidRDefault="00544235" w:rsidP="00D518B9">
            <w:pPr>
              <w:spacing w:line="260" w:lineRule="atLeast"/>
              <w:outlineLvl w:val="0"/>
              <w:rPr>
                <w:rFonts w:eastAsia="Calibri" w:cs="Arial"/>
                <w:sz w:val="18"/>
                <w:szCs w:val="18"/>
                <w:lang w:eastAsia="en-GB"/>
              </w:rPr>
            </w:pPr>
            <w:r w:rsidRPr="00610513">
              <w:rPr>
                <w:sz w:val="18"/>
                <w:szCs w:val="18"/>
              </w:rPr>
              <w:t>Animal housing indirect emission via STP</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088F8A4" w14:textId="4DB4A50F" w:rsidR="00544235" w:rsidRPr="00544235" w:rsidRDefault="00BD751D" w:rsidP="00544235">
            <w:pPr>
              <w:suppressAutoHyphens w:val="0"/>
              <w:jc w:val="center"/>
              <w:rPr>
                <w:rFonts w:cs="Calibri"/>
                <w:sz w:val="18"/>
                <w:szCs w:val="18"/>
                <w:highlight w:val="yellow"/>
              </w:rPr>
            </w:pPr>
            <w:r>
              <w:rPr>
                <w:rFonts w:cs="Calibri"/>
                <w:sz w:val="18"/>
                <w:szCs w:val="18"/>
              </w:rPr>
              <w:t>4.86E-02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B7A3C4" w14:textId="004DCE0B" w:rsidR="00544235" w:rsidRPr="00544235" w:rsidRDefault="00544235" w:rsidP="00544235">
            <w:pPr>
              <w:suppressAutoHyphens w:val="0"/>
              <w:jc w:val="center"/>
              <w:rPr>
                <w:rFonts w:cs="Calibri"/>
                <w:sz w:val="18"/>
                <w:szCs w:val="18"/>
                <w:highlight w:val="yellow"/>
              </w:rPr>
            </w:pPr>
            <w:r w:rsidDel="00BD751D">
              <w:rPr>
                <w:rFonts w:cs="Calibri"/>
                <w:sz w:val="18"/>
                <w:szCs w:val="18"/>
              </w:rPr>
              <w:t>1.</w:t>
            </w:r>
            <w:r w:rsidR="00BD751D">
              <w:rPr>
                <w:rFonts w:cs="Calibri"/>
                <w:sz w:val="18"/>
                <w:szCs w:val="18"/>
              </w:rPr>
              <w:t>25E-02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12572A" w14:textId="6994A61C" w:rsidR="00544235" w:rsidRPr="00544235" w:rsidRDefault="00544235" w:rsidP="00544235">
            <w:pPr>
              <w:suppressAutoHyphens w:val="0"/>
              <w:jc w:val="center"/>
              <w:rPr>
                <w:rFonts w:cs="Calibri"/>
                <w:sz w:val="18"/>
                <w:szCs w:val="18"/>
                <w:highlight w:val="yellow"/>
              </w:rPr>
            </w:pPr>
            <w:r>
              <w:rPr>
                <w:rFonts w:cs="Calibri"/>
                <w:sz w:val="18"/>
                <w:szCs w:val="18"/>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A6D29B" w14:textId="1D9F1725" w:rsidR="00544235" w:rsidRPr="00544235" w:rsidRDefault="00BD751D" w:rsidP="00544235">
            <w:pPr>
              <w:suppressAutoHyphens w:val="0"/>
              <w:jc w:val="center"/>
              <w:rPr>
                <w:rFonts w:cs="Calibri"/>
                <w:sz w:val="18"/>
                <w:szCs w:val="18"/>
                <w:highlight w:val="yellow"/>
              </w:rPr>
            </w:pPr>
            <w:r>
              <w:rPr>
                <w:rFonts w:cs="Calibri"/>
                <w:sz w:val="18"/>
                <w:szCs w:val="18"/>
              </w:rPr>
              <w:t>5.87E-03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EA67E3" w14:textId="44E5B84C" w:rsidR="00544235" w:rsidRPr="00544235" w:rsidRDefault="00BD751D" w:rsidP="00544235">
            <w:pPr>
              <w:suppressAutoHyphens w:val="0"/>
              <w:jc w:val="center"/>
              <w:rPr>
                <w:rFonts w:cs="Calibri"/>
                <w:sz w:val="18"/>
                <w:szCs w:val="18"/>
                <w:highlight w:val="yellow"/>
              </w:rPr>
            </w:pPr>
            <w:r w:rsidRPr="00A66FCD">
              <w:rPr>
                <w:rFonts w:cs="Calibri"/>
                <w:b/>
                <w:sz w:val="18"/>
                <w:szCs w:val="18"/>
              </w:rPr>
              <w:t>7.21</w:t>
            </w:r>
          </w:p>
        </w:tc>
      </w:tr>
      <w:tr w:rsidR="00415337" w:rsidRPr="00610513" w14:paraId="4934B309" w14:textId="77777777" w:rsidTr="00D518B9">
        <w:trPr>
          <w:trHeight w:val="75"/>
        </w:trPr>
        <w:tc>
          <w:tcPr>
            <w:tcW w:w="2802" w:type="dxa"/>
            <w:tcBorders>
              <w:top w:val="single" w:sz="4" w:space="0" w:color="000000"/>
              <w:left w:val="single" w:sz="4" w:space="0" w:color="000000"/>
              <w:bottom w:val="single" w:sz="4" w:space="0" w:color="auto"/>
              <w:right w:val="single" w:sz="4" w:space="0" w:color="auto"/>
            </w:tcBorders>
            <w:shd w:val="clear" w:color="auto" w:fill="FFFFFF"/>
            <w:vAlign w:val="center"/>
          </w:tcPr>
          <w:p w14:paraId="4A764C7F" w14:textId="751BD491" w:rsidR="00415337" w:rsidRPr="00610513" w:rsidRDefault="00415337" w:rsidP="00D518B9">
            <w:pPr>
              <w:spacing w:line="276" w:lineRule="auto"/>
              <w:rPr>
                <w:rFonts w:eastAsia="Calibri" w:cs="Arial"/>
                <w:sz w:val="18"/>
                <w:szCs w:val="18"/>
                <w:lang w:eastAsia="en-GB"/>
              </w:rPr>
            </w:pPr>
            <w:r w:rsidRPr="00610513">
              <w:rPr>
                <w:rFonts w:eastAsia="Calibri"/>
                <w:color w:val="000000"/>
                <w:sz w:val="18"/>
                <w:szCs w:val="18"/>
                <w:lang w:eastAsia="en-GB"/>
              </w:rPr>
              <w:t xml:space="preserve">Scenario </w:t>
            </w:r>
            <w:r w:rsidR="007B6DD3">
              <w:rPr>
                <w:rFonts w:eastAsia="Calibri"/>
                <w:color w:val="000000"/>
                <w:sz w:val="18"/>
                <w:szCs w:val="18"/>
                <w:lang w:eastAsia="en-GB"/>
              </w:rPr>
              <w:t>7</w:t>
            </w:r>
            <w:r w:rsidRPr="00610513">
              <w:rPr>
                <w:rFonts w:eastAsia="Calibri"/>
                <w:color w:val="000000"/>
                <w:sz w:val="18"/>
                <w:szCs w:val="18"/>
                <w:lang w:eastAsia="en-GB"/>
              </w:rPr>
              <w:t xml:space="preserve"> </w:t>
            </w:r>
            <w:r w:rsidRPr="00610513">
              <w:rPr>
                <w:rFonts w:eastAsia="Calibri" w:cs="Arial"/>
                <w:sz w:val="18"/>
                <w:szCs w:val="18"/>
                <w:lang w:eastAsia="en-GB"/>
              </w:rPr>
              <w:t xml:space="preserve">– PT04 </w:t>
            </w:r>
          </w:p>
          <w:p w14:paraId="37617CB4" w14:textId="77777777" w:rsidR="00415337" w:rsidRPr="00610513" w:rsidRDefault="00415337" w:rsidP="00D518B9">
            <w:pPr>
              <w:spacing w:line="260" w:lineRule="atLeast"/>
              <w:outlineLvl w:val="0"/>
              <w:rPr>
                <w:rFonts w:eastAsia="Calibri" w:cs="Arial"/>
                <w:sz w:val="18"/>
                <w:szCs w:val="18"/>
                <w:lang w:eastAsia="en-GB"/>
              </w:rPr>
            </w:pPr>
            <w:r w:rsidRPr="00610513">
              <w:rPr>
                <w:rFonts w:eastAsia="Calibri"/>
                <w:sz w:val="18"/>
                <w:szCs w:val="18"/>
                <w:lang w:eastAsia="en-US"/>
              </w:rPr>
              <w:t>Private use in food and feed areas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F9D3B1" w14:textId="77777777" w:rsidR="00415337" w:rsidRPr="00610513" w:rsidRDefault="00415337" w:rsidP="00415337">
            <w:pPr>
              <w:suppressAutoHyphens w:val="0"/>
              <w:jc w:val="center"/>
              <w:rPr>
                <w:rFonts w:cs="Calibri"/>
                <w:sz w:val="18"/>
                <w:szCs w:val="18"/>
              </w:rPr>
            </w:pPr>
            <w:r w:rsidRPr="00610513">
              <w:rPr>
                <w:rFonts w:cs="Calibri"/>
                <w:sz w:val="18"/>
                <w:szCs w:val="18"/>
              </w:rPr>
              <w:t>5.40E-03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3B0005" w14:textId="77777777" w:rsidR="00415337" w:rsidRPr="00610513" w:rsidRDefault="00415337" w:rsidP="00415337">
            <w:pPr>
              <w:suppressAutoHyphens w:val="0"/>
              <w:jc w:val="center"/>
              <w:rPr>
                <w:rFonts w:cs="Calibri"/>
                <w:sz w:val="18"/>
                <w:szCs w:val="18"/>
              </w:rPr>
            </w:pPr>
            <w:r w:rsidRPr="00610513">
              <w:rPr>
                <w:rFonts w:cs="Calibri"/>
                <w:sz w:val="18"/>
                <w:szCs w:val="18"/>
              </w:rPr>
              <w:t>1.39E-03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7CAE09" w14:textId="28A77422" w:rsidR="00415337" w:rsidRPr="00610513" w:rsidRDefault="0034784E" w:rsidP="00415337">
            <w:pPr>
              <w:suppressAutoHyphens w:val="0"/>
              <w:jc w:val="center"/>
              <w:rPr>
                <w:rFonts w:cs="Calibri"/>
                <w:sz w:val="18"/>
                <w:szCs w:val="18"/>
              </w:rPr>
            </w:pPr>
            <w:r>
              <w:rPr>
                <w:rFonts w:cs="Calibri"/>
                <w:sz w:val="18"/>
                <w:szCs w:val="18"/>
              </w:rPr>
              <w:t>n.r.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2D7087" w14:textId="44269481" w:rsidR="00415337" w:rsidRPr="00610513" w:rsidRDefault="00415337" w:rsidP="00415337">
            <w:pPr>
              <w:suppressAutoHyphens w:val="0"/>
              <w:jc w:val="center"/>
              <w:rPr>
                <w:rFonts w:cs="Calibri"/>
                <w:sz w:val="18"/>
                <w:szCs w:val="18"/>
              </w:rPr>
            </w:pPr>
            <w:r w:rsidRPr="00610513">
              <w:rPr>
                <w:rFonts w:cs="Calibri"/>
                <w:sz w:val="18"/>
                <w:szCs w:val="18"/>
              </w:rPr>
              <w:t>6.52E-04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642BC0B" w14:textId="008DD6C8" w:rsidR="00415337" w:rsidRPr="00610513" w:rsidRDefault="00AF798C" w:rsidP="00415337">
            <w:pPr>
              <w:suppressAutoHyphens w:val="0"/>
              <w:jc w:val="center"/>
              <w:rPr>
                <w:rFonts w:cs="Calibri"/>
                <w:sz w:val="18"/>
                <w:szCs w:val="18"/>
              </w:rPr>
            </w:pPr>
            <w:r w:rsidRPr="00A66FCD">
              <w:rPr>
                <w:rFonts w:cs="Calibri"/>
                <w:b/>
                <w:sz w:val="18"/>
                <w:szCs w:val="18"/>
              </w:rPr>
              <w:t>0.80</w:t>
            </w:r>
          </w:p>
        </w:tc>
      </w:tr>
      <w:tr w:rsidR="00544235" w:rsidRPr="00D41568" w14:paraId="44E055D7" w14:textId="77777777" w:rsidTr="00D518B9">
        <w:trPr>
          <w:trHeight w:val="75"/>
        </w:trPr>
        <w:tc>
          <w:tcPr>
            <w:tcW w:w="2802" w:type="dxa"/>
            <w:tcBorders>
              <w:top w:val="single" w:sz="4" w:space="0" w:color="auto"/>
              <w:left w:val="single" w:sz="4" w:space="0" w:color="auto"/>
              <w:right w:val="single" w:sz="4" w:space="0" w:color="auto"/>
            </w:tcBorders>
            <w:shd w:val="clear" w:color="auto" w:fill="FFFFFF"/>
            <w:vAlign w:val="center"/>
          </w:tcPr>
          <w:p w14:paraId="05C52D3A" w14:textId="70A32025" w:rsidR="00544235" w:rsidRPr="00610513" w:rsidRDefault="00544235" w:rsidP="00D518B9">
            <w:pPr>
              <w:spacing w:line="276" w:lineRule="auto"/>
              <w:rPr>
                <w:rFonts w:eastAsia="Calibri" w:cs="Arial"/>
                <w:sz w:val="18"/>
                <w:szCs w:val="18"/>
                <w:lang w:eastAsia="en-GB"/>
              </w:rPr>
            </w:pPr>
            <w:r w:rsidRPr="00610513">
              <w:rPr>
                <w:rFonts w:eastAsia="Calibri"/>
                <w:color w:val="000000"/>
                <w:sz w:val="18"/>
                <w:szCs w:val="18"/>
                <w:lang w:eastAsia="en-GB"/>
              </w:rPr>
              <w:t xml:space="preserve">Scenario </w:t>
            </w:r>
            <w:r>
              <w:rPr>
                <w:rFonts w:eastAsia="Calibri"/>
                <w:color w:val="000000"/>
                <w:sz w:val="18"/>
                <w:szCs w:val="18"/>
                <w:lang w:eastAsia="en-GB"/>
              </w:rPr>
              <w:t>8</w:t>
            </w:r>
            <w:r w:rsidRPr="00610513">
              <w:rPr>
                <w:rFonts w:eastAsia="Calibri"/>
                <w:color w:val="000000"/>
                <w:sz w:val="18"/>
                <w:szCs w:val="18"/>
                <w:lang w:eastAsia="en-GB"/>
              </w:rPr>
              <w:t xml:space="preserve"> </w:t>
            </w:r>
            <w:r w:rsidRPr="00610513">
              <w:rPr>
                <w:rFonts w:eastAsia="Calibri" w:cs="Arial"/>
                <w:sz w:val="18"/>
                <w:szCs w:val="18"/>
                <w:lang w:eastAsia="en-GB"/>
              </w:rPr>
              <w:t xml:space="preserve">– PT04 </w:t>
            </w:r>
          </w:p>
          <w:p w14:paraId="7864AC16" w14:textId="33EF0444" w:rsidR="00544235" w:rsidRPr="00610513" w:rsidRDefault="00770B5D" w:rsidP="00D518B9">
            <w:pPr>
              <w:spacing w:line="260" w:lineRule="atLeast"/>
              <w:outlineLvl w:val="0"/>
              <w:rPr>
                <w:rFonts w:eastAsia="Calibri" w:cs="Arial"/>
                <w:sz w:val="18"/>
                <w:szCs w:val="18"/>
                <w:lang w:eastAsia="en-GB"/>
              </w:rPr>
            </w:pPr>
            <w:r w:rsidRPr="00711870">
              <w:rPr>
                <w:sz w:val="18"/>
                <w:szCs w:val="18"/>
              </w:rPr>
              <w:t xml:space="preserve">Disinfection </w:t>
            </w:r>
            <w:r>
              <w:rPr>
                <w:sz w:val="18"/>
                <w:szCs w:val="18"/>
              </w:rPr>
              <w:t>in food and feed area</w:t>
            </w:r>
          </w:p>
        </w:tc>
        <w:tc>
          <w:tcPr>
            <w:tcW w:w="1559" w:type="dxa"/>
            <w:tcBorders>
              <w:top w:val="single" w:sz="4" w:space="0" w:color="auto"/>
              <w:left w:val="single" w:sz="4" w:space="0" w:color="auto"/>
              <w:right w:val="single" w:sz="4" w:space="0" w:color="auto"/>
            </w:tcBorders>
            <w:shd w:val="clear" w:color="auto" w:fill="FFFFFF"/>
            <w:vAlign w:val="center"/>
          </w:tcPr>
          <w:p w14:paraId="063B5B5A" w14:textId="79F739A2" w:rsidR="00544235" w:rsidRPr="00AE101C" w:rsidRDefault="00544235" w:rsidP="00544235">
            <w:pPr>
              <w:suppressAutoHyphens w:val="0"/>
              <w:jc w:val="center"/>
              <w:rPr>
                <w:rFonts w:cs="Calibri"/>
                <w:sz w:val="18"/>
                <w:szCs w:val="18"/>
              </w:rPr>
            </w:pPr>
          </w:p>
        </w:tc>
        <w:tc>
          <w:tcPr>
            <w:tcW w:w="1701" w:type="dxa"/>
            <w:tcBorders>
              <w:top w:val="single" w:sz="4" w:space="0" w:color="auto"/>
              <w:left w:val="single" w:sz="4" w:space="0" w:color="auto"/>
              <w:right w:val="single" w:sz="4" w:space="0" w:color="auto"/>
            </w:tcBorders>
            <w:shd w:val="clear" w:color="auto" w:fill="FFFFFF"/>
            <w:vAlign w:val="center"/>
          </w:tcPr>
          <w:p w14:paraId="7038C6E8" w14:textId="633B612A" w:rsidR="00544235" w:rsidRPr="00AE101C" w:rsidRDefault="00544235" w:rsidP="00544235">
            <w:pPr>
              <w:suppressAutoHyphens w:val="0"/>
              <w:jc w:val="center"/>
              <w:rPr>
                <w:rFonts w:cs="Calibri"/>
                <w:sz w:val="18"/>
                <w:szCs w:val="18"/>
              </w:rPr>
            </w:pPr>
          </w:p>
        </w:tc>
        <w:tc>
          <w:tcPr>
            <w:tcW w:w="1559" w:type="dxa"/>
            <w:tcBorders>
              <w:top w:val="single" w:sz="4" w:space="0" w:color="auto"/>
              <w:left w:val="single" w:sz="4" w:space="0" w:color="auto"/>
              <w:right w:val="single" w:sz="4" w:space="0" w:color="auto"/>
            </w:tcBorders>
            <w:shd w:val="clear" w:color="auto" w:fill="FFFFFF"/>
            <w:vAlign w:val="center"/>
          </w:tcPr>
          <w:p w14:paraId="52253E72" w14:textId="59E2AE1C" w:rsidR="00544235" w:rsidRPr="00AE101C" w:rsidRDefault="00544235" w:rsidP="00544235">
            <w:pPr>
              <w:suppressAutoHyphens w:val="0"/>
              <w:jc w:val="center"/>
              <w:rPr>
                <w:rFonts w:cs="Calibri"/>
                <w:sz w:val="18"/>
                <w:szCs w:val="18"/>
              </w:rPr>
            </w:pPr>
          </w:p>
        </w:tc>
        <w:tc>
          <w:tcPr>
            <w:tcW w:w="1418" w:type="dxa"/>
            <w:tcBorders>
              <w:top w:val="single" w:sz="4" w:space="0" w:color="auto"/>
              <w:left w:val="single" w:sz="4" w:space="0" w:color="auto"/>
              <w:right w:val="single" w:sz="4" w:space="0" w:color="auto"/>
            </w:tcBorders>
            <w:shd w:val="clear" w:color="auto" w:fill="FFFFFF"/>
            <w:vAlign w:val="center"/>
          </w:tcPr>
          <w:p w14:paraId="2A148684" w14:textId="5B014B50" w:rsidR="00544235" w:rsidRPr="00AE101C" w:rsidRDefault="00544235" w:rsidP="00544235">
            <w:pPr>
              <w:suppressAutoHyphens w:val="0"/>
              <w:jc w:val="center"/>
              <w:rPr>
                <w:rFonts w:cs="Calibri"/>
                <w:sz w:val="18"/>
                <w:szCs w:val="18"/>
              </w:rPr>
            </w:pPr>
          </w:p>
        </w:tc>
        <w:tc>
          <w:tcPr>
            <w:tcW w:w="1304" w:type="dxa"/>
            <w:tcBorders>
              <w:top w:val="single" w:sz="4" w:space="0" w:color="auto"/>
              <w:left w:val="single" w:sz="4" w:space="0" w:color="auto"/>
              <w:right w:val="single" w:sz="4" w:space="0" w:color="auto"/>
            </w:tcBorders>
            <w:shd w:val="clear" w:color="auto" w:fill="FFFFFF"/>
            <w:vAlign w:val="center"/>
          </w:tcPr>
          <w:p w14:paraId="74E65F3B" w14:textId="701462F6" w:rsidR="00544235" w:rsidRPr="00AE101C" w:rsidRDefault="00544235" w:rsidP="00544235">
            <w:pPr>
              <w:suppressAutoHyphens w:val="0"/>
              <w:jc w:val="center"/>
              <w:rPr>
                <w:rFonts w:cs="Calibri"/>
                <w:sz w:val="18"/>
                <w:szCs w:val="18"/>
              </w:rPr>
            </w:pPr>
          </w:p>
        </w:tc>
      </w:tr>
      <w:tr w:rsidR="00544235" w:rsidRPr="00D41568" w14:paraId="6E362E9D" w14:textId="77777777" w:rsidTr="00D518B9">
        <w:trPr>
          <w:trHeight w:val="75"/>
        </w:trPr>
        <w:tc>
          <w:tcPr>
            <w:tcW w:w="2802" w:type="dxa"/>
            <w:tcBorders>
              <w:left w:val="single" w:sz="4" w:space="0" w:color="auto"/>
              <w:right w:val="single" w:sz="4" w:space="0" w:color="auto"/>
            </w:tcBorders>
            <w:shd w:val="clear" w:color="auto" w:fill="FFFFFF"/>
            <w:vAlign w:val="center"/>
          </w:tcPr>
          <w:p w14:paraId="39958BFE" w14:textId="543B274E" w:rsidR="00544235" w:rsidRDefault="00544235" w:rsidP="00D518B9">
            <w:pPr>
              <w:spacing w:line="276" w:lineRule="auto"/>
              <w:rPr>
                <w:rFonts w:eastAsia="Calibri"/>
                <w:color w:val="000000"/>
                <w:sz w:val="18"/>
                <w:szCs w:val="18"/>
                <w:lang w:eastAsia="en-GB"/>
              </w:rPr>
            </w:pPr>
            <w:r>
              <w:rPr>
                <w:rFonts w:eastAsia="Calibri"/>
                <w:color w:val="000000"/>
                <w:sz w:val="18"/>
                <w:szCs w:val="18"/>
                <w:lang w:eastAsia="en-GB"/>
              </w:rPr>
              <w:t>Small scale</w:t>
            </w:r>
          </w:p>
        </w:tc>
        <w:tc>
          <w:tcPr>
            <w:tcW w:w="1559" w:type="dxa"/>
            <w:tcBorders>
              <w:left w:val="single" w:sz="4" w:space="0" w:color="auto"/>
              <w:right w:val="single" w:sz="4" w:space="0" w:color="auto"/>
            </w:tcBorders>
            <w:shd w:val="clear" w:color="auto" w:fill="FFFFFF"/>
            <w:vAlign w:val="center"/>
          </w:tcPr>
          <w:p w14:paraId="39285615" w14:textId="7DF94A45" w:rsidR="00544235" w:rsidRPr="00610513" w:rsidRDefault="00544235" w:rsidP="00544235">
            <w:pPr>
              <w:suppressAutoHyphens w:val="0"/>
              <w:jc w:val="center"/>
              <w:rPr>
                <w:rFonts w:cs="Calibri"/>
                <w:sz w:val="18"/>
                <w:szCs w:val="18"/>
                <w:lang w:val="fr-FR"/>
              </w:rPr>
            </w:pPr>
            <w:r w:rsidRPr="00610513">
              <w:rPr>
                <w:rFonts w:cs="Calibri"/>
                <w:sz w:val="18"/>
                <w:szCs w:val="18"/>
                <w:lang w:val="fr-FR"/>
              </w:rPr>
              <w:t>9.00E-04</w:t>
            </w:r>
          </w:p>
        </w:tc>
        <w:tc>
          <w:tcPr>
            <w:tcW w:w="1701" w:type="dxa"/>
            <w:tcBorders>
              <w:left w:val="single" w:sz="4" w:space="0" w:color="auto"/>
              <w:right w:val="single" w:sz="4" w:space="0" w:color="auto"/>
            </w:tcBorders>
            <w:shd w:val="clear" w:color="auto" w:fill="FFFFFF"/>
            <w:vAlign w:val="center"/>
          </w:tcPr>
          <w:p w14:paraId="5B7B300E" w14:textId="37289BED" w:rsidR="00544235" w:rsidRPr="00610513" w:rsidRDefault="00544235" w:rsidP="00544235">
            <w:pPr>
              <w:suppressAutoHyphens w:val="0"/>
              <w:jc w:val="center"/>
              <w:rPr>
                <w:rFonts w:cs="Calibri"/>
                <w:sz w:val="18"/>
                <w:szCs w:val="18"/>
                <w:lang w:val="fr-FR"/>
              </w:rPr>
            </w:pPr>
            <w:r w:rsidRPr="00610513">
              <w:rPr>
                <w:rFonts w:cs="Calibri"/>
                <w:sz w:val="18"/>
                <w:szCs w:val="18"/>
                <w:lang w:val="fr-FR"/>
              </w:rPr>
              <w:t>2.31E-04</w:t>
            </w:r>
          </w:p>
        </w:tc>
        <w:tc>
          <w:tcPr>
            <w:tcW w:w="1559" w:type="dxa"/>
            <w:tcBorders>
              <w:left w:val="single" w:sz="4" w:space="0" w:color="auto"/>
              <w:right w:val="single" w:sz="4" w:space="0" w:color="auto"/>
            </w:tcBorders>
            <w:shd w:val="clear" w:color="auto" w:fill="FFFFFF"/>
          </w:tcPr>
          <w:p w14:paraId="1FEF6D6B" w14:textId="5BEA183A" w:rsidR="00544235" w:rsidRPr="00610513" w:rsidRDefault="00544235" w:rsidP="00544235">
            <w:pPr>
              <w:suppressAutoHyphens w:val="0"/>
              <w:jc w:val="center"/>
              <w:rPr>
                <w:rFonts w:cs="Calibri"/>
                <w:sz w:val="18"/>
                <w:szCs w:val="18"/>
                <w:lang w:val="fr-FR"/>
              </w:rPr>
            </w:pPr>
            <w:r w:rsidRPr="007C581B">
              <w:rPr>
                <w:rFonts w:cs="Calibri"/>
                <w:sz w:val="18"/>
                <w:szCs w:val="18"/>
              </w:rPr>
              <w:t>n.r.</w:t>
            </w:r>
          </w:p>
        </w:tc>
        <w:tc>
          <w:tcPr>
            <w:tcW w:w="1418" w:type="dxa"/>
            <w:tcBorders>
              <w:left w:val="single" w:sz="4" w:space="0" w:color="auto"/>
              <w:right w:val="single" w:sz="4" w:space="0" w:color="auto"/>
            </w:tcBorders>
            <w:shd w:val="clear" w:color="auto" w:fill="FFFFFF"/>
            <w:vAlign w:val="center"/>
          </w:tcPr>
          <w:p w14:paraId="3F455DAA" w14:textId="3595EFC0" w:rsidR="00544235" w:rsidRPr="00610513" w:rsidRDefault="00544235" w:rsidP="00544235">
            <w:pPr>
              <w:suppressAutoHyphens w:val="0"/>
              <w:jc w:val="center"/>
              <w:rPr>
                <w:rFonts w:cs="Calibri"/>
                <w:sz w:val="18"/>
                <w:szCs w:val="18"/>
                <w:lang w:val="fr-FR"/>
              </w:rPr>
            </w:pPr>
            <w:r w:rsidRPr="00610513">
              <w:rPr>
                <w:rFonts w:cs="Calibri"/>
                <w:sz w:val="18"/>
                <w:szCs w:val="18"/>
                <w:lang w:val="fr-FR"/>
              </w:rPr>
              <w:t>1.09E-04</w:t>
            </w:r>
          </w:p>
        </w:tc>
        <w:tc>
          <w:tcPr>
            <w:tcW w:w="1304" w:type="dxa"/>
            <w:tcBorders>
              <w:left w:val="single" w:sz="4" w:space="0" w:color="auto"/>
              <w:right w:val="single" w:sz="4" w:space="0" w:color="auto"/>
            </w:tcBorders>
            <w:shd w:val="clear" w:color="auto" w:fill="FFFFFF"/>
            <w:vAlign w:val="center"/>
          </w:tcPr>
          <w:p w14:paraId="63271AA6" w14:textId="2DC4CCC8" w:rsidR="00544235" w:rsidRDefault="00544235" w:rsidP="00544235">
            <w:pPr>
              <w:suppressAutoHyphens w:val="0"/>
              <w:jc w:val="center"/>
              <w:rPr>
                <w:rFonts w:cs="Calibri"/>
                <w:b/>
                <w:sz w:val="18"/>
                <w:szCs w:val="18"/>
                <w:lang w:val="fr-FR"/>
              </w:rPr>
            </w:pPr>
            <w:r w:rsidRPr="00610513">
              <w:rPr>
                <w:rFonts w:cs="Calibri"/>
                <w:b/>
                <w:sz w:val="18"/>
                <w:szCs w:val="18"/>
                <w:lang w:val="fr-FR"/>
              </w:rPr>
              <w:t>0.13</w:t>
            </w:r>
          </w:p>
        </w:tc>
      </w:tr>
      <w:tr w:rsidR="00544235" w:rsidRPr="00D41568" w14:paraId="70EB1B68" w14:textId="77777777" w:rsidTr="00D518B9">
        <w:trPr>
          <w:trHeight w:val="75"/>
        </w:trPr>
        <w:tc>
          <w:tcPr>
            <w:tcW w:w="2802" w:type="dxa"/>
            <w:tcBorders>
              <w:left w:val="single" w:sz="4" w:space="0" w:color="auto"/>
              <w:bottom w:val="single" w:sz="4" w:space="0" w:color="auto"/>
              <w:right w:val="single" w:sz="4" w:space="0" w:color="auto"/>
            </w:tcBorders>
            <w:shd w:val="clear" w:color="auto" w:fill="FFFFFF"/>
            <w:vAlign w:val="center"/>
          </w:tcPr>
          <w:p w14:paraId="7B08C677" w14:textId="336AEF69" w:rsidR="00544235" w:rsidRPr="00610513" w:rsidRDefault="00544235" w:rsidP="00D518B9">
            <w:pPr>
              <w:spacing w:line="276" w:lineRule="auto"/>
              <w:rPr>
                <w:rFonts w:eastAsia="Calibri"/>
                <w:color w:val="000000"/>
                <w:sz w:val="18"/>
                <w:szCs w:val="18"/>
                <w:lang w:eastAsia="en-GB"/>
              </w:rPr>
            </w:pPr>
            <w:r>
              <w:rPr>
                <w:rFonts w:eastAsia="Calibri"/>
                <w:color w:val="000000"/>
                <w:sz w:val="18"/>
                <w:szCs w:val="18"/>
                <w:lang w:eastAsia="en-GB"/>
              </w:rPr>
              <w:lastRenderedPageBreak/>
              <w:t>Large scale</w:t>
            </w:r>
          </w:p>
        </w:tc>
        <w:tc>
          <w:tcPr>
            <w:tcW w:w="1559" w:type="dxa"/>
            <w:tcBorders>
              <w:left w:val="single" w:sz="4" w:space="0" w:color="auto"/>
              <w:bottom w:val="single" w:sz="4" w:space="0" w:color="auto"/>
              <w:right w:val="single" w:sz="4" w:space="0" w:color="auto"/>
            </w:tcBorders>
            <w:shd w:val="clear" w:color="auto" w:fill="FFFFFF"/>
            <w:vAlign w:val="center"/>
          </w:tcPr>
          <w:p w14:paraId="1AB2BF77" w14:textId="0E15ABE7" w:rsidR="00544235" w:rsidRPr="00610513" w:rsidRDefault="00A641C6" w:rsidP="00544235">
            <w:pPr>
              <w:suppressAutoHyphens w:val="0"/>
              <w:jc w:val="center"/>
              <w:rPr>
                <w:rFonts w:cs="Calibri"/>
                <w:sz w:val="18"/>
                <w:szCs w:val="18"/>
                <w:lang w:val="fr-FR"/>
              </w:rPr>
            </w:pPr>
            <w:r>
              <w:rPr>
                <w:rFonts w:cs="Calibri"/>
                <w:sz w:val="18"/>
                <w:szCs w:val="18"/>
                <w:lang w:val="fr-FR"/>
              </w:rPr>
              <w:t>2.70E-01</w:t>
            </w:r>
          </w:p>
        </w:tc>
        <w:tc>
          <w:tcPr>
            <w:tcW w:w="1701" w:type="dxa"/>
            <w:tcBorders>
              <w:left w:val="single" w:sz="4" w:space="0" w:color="auto"/>
              <w:bottom w:val="single" w:sz="4" w:space="0" w:color="auto"/>
              <w:right w:val="single" w:sz="4" w:space="0" w:color="auto"/>
            </w:tcBorders>
            <w:shd w:val="clear" w:color="auto" w:fill="FFFFFF"/>
            <w:vAlign w:val="center"/>
          </w:tcPr>
          <w:p w14:paraId="5667F200" w14:textId="437E40A1" w:rsidR="00544235" w:rsidRPr="00610513" w:rsidRDefault="00A641C6" w:rsidP="00544235">
            <w:pPr>
              <w:suppressAutoHyphens w:val="0"/>
              <w:jc w:val="center"/>
              <w:rPr>
                <w:rFonts w:cs="Calibri"/>
                <w:sz w:val="18"/>
                <w:szCs w:val="18"/>
                <w:lang w:val="fr-FR"/>
              </w:rPr>
            </w:pPr>
            <w:r>
              <w:rPr>
                <w:rFonts w:cs="Calibri"/>
                <w:sz w:val="18"/>
                <w:szCs w:val="18"/>
                <w:lang w:val="fr-FR"/>
              </w:rPr>
              <w:t>6.92E-02</w:t>
            </w:r>
          </w:p>
        </w:tc>
        <w:tc>
          <w:tcPr>
            <w:tcW w:w="1559" w:type="dxa"/>
            <w:tcBorders>
              <w:left w:val="single" w:sz="4" w:space="0" w:color="auto"/>
              <w:bottom w:val="single" w:sz="4" w:space="0" w:color="auto"/>
              <w:right w:val="single" w:sz="4" w:space="0" w:color="auto"/>
            </w:tcBorders>
            <w:shd w:val="clear" w:color="auto" w:fill="FFFFFF"/>
          </w:tcPr>
          <w:p w14:paraId="6CBBC58F" w14:textId="0A16C7F1" w:rsidR="00544235" w:rsidRPr="00610513" w:rsidRDefault="00544235" w:rsidP="00544235">
            <w:pPr>
              <w:suppressAutoHyphens w:val="0"/>
              <w:jc w:val="center"/>
              <w:rPr>
                <w:rFonts w:cs="Calibri"/>
                <w:sz w:val="18"/>
                <w:szCs w:val="18"/>
                <w:lang w:val="fr-FR"/>
              </w:rPr>
            </w:pPr>
            <w:r w:rsidRPr="007C581B">
              <w:rPr>
                <w:rFonts w:cs="Calibri"/>
                <w:sz w:val="18"/>
                <w:szCs w:val="18"/>
              </w:rPr>
              <w:t>n.r.</w:t>
            </w:r>
          </w:p>
        </w:tc>
        <w:tc>
          <w:tcPr>
            <w:tcW w:w="1418" w:type="dxa"/>
            <w:tcBorders>
              <w:left w:val="single" w:sz="4" w:space="0" w:color="auto"/>
              <w:bottom w:val="single" w:sz="4" w:space="0" w:color="auto"/>
              <w:right w:val="single" w:sz="4" w:space="0" w:color="auto"/>
            </w:tcBorders>
            <w:shd w:val="clear" w:color="auto" w:fill="FFFFFF"/>
            <w:vAlign w:val="center"/>
          </w:tcPr>
          <w:p w14:paraId="7A96FDCD" w14:textId="036E6BF4" w:rsidR="00544235" w:rsidRPr="00610513" w:rsidRDefault="00A641C6" w:rsidP="00544235">
            <w:pPr>
              <w:suppressAutoHyphens w:val="0"/>
              <w:jc w:val="center"/>
              <w:rPr>
                <w:rFonts w:cs="Calibri"/>
                <w:sz w:val="18"/>
                <w:szCs w:val="18"/>
                <w:lang w:val="fr-FR"/>
              </w:rPr>
            </w:pPr>
            <w:r>
              <w:rPr>
                <w:rFonts w:cs="Calibri"/>
                <w:sz w:val="18"/>
                <w:szCs w:val="18"/>
                <w:lang w:val="fr-FR"/>
              </w:rPr>
              <w:t>3.26E-02</w:t>
            </w:r>
          </w:p>
        </w:tc>
        <w:tc>
          <w:tcPr>
            <w:tcW w:w="1304" w:type="dxa"/>
            <w:tcBorders>
              <w:left w:val="single" w:sz="4" w:space="0" w:color="auto"/>
              <w:bottom w:val="single" w:sz="4" w:space="0" w:color="auto"/>
              <w:right w:val="single" w:sz="4" w:space="0" w:color="auto"/>
            </w:tcBorders>
            <w:shd w:val="clear" w:color="auto" w:fill="FFFFFF"/>
            <w:vAlign w:val="center"/>
          </w:tcPr>
          <w:p w14:paraId="0D938F3F" w14:textId="32C31A6D" w:rsidR="00544235" w:rsidRPr="00610513" w:rsidRDefault="00A641C6" w:rsidP="00544235">
            <w:pPr>
              <w:suppressAutoHyphens w:val="0"/>
              <w:jc w:val="center"/>
              <w:rPr>
                <w:rFonts w:cs="Calibri"/>
                <w:b/>
                <w:sz w:val="18"/>
                <w:szCs w:val="18"/>
                <w:lang w:val="fr-FR"/>
              </w:rPr>
            </w:pPr>
            <w:r>
              <w:rPr>
                <w:rFonts w:cs="Calibri"/>
                <w:b/>
                <w:sz w:val="18"/>
                <w:szCs w:val="18"/>
                <w:lang w:val="fr-FR"/>
              </w:rPr>
              <w:t>40</w:t>
            </w:r>
            <w:r w:rsidR="00544235" w:rsidRPr="00610513">
              <w:rPr>
                <w:rFonts w:cs="Calibri"/>
                <w:b/>
                <w:sz w:val="18"/>
                <w:szCs w:val="18"/>
                <w:lang w:val="fr-FR"/>
              </w:rPr>
              <w:t>.0</w:t>
            </w:r>
            <w:r>
              <w:rPr>
                <w:rFonts w:cs="Calibri"/>
                <w:b/>
                <w:sz w:val="18"/>
                <w:szCs w:val="18"/>
                <w:lang w:val="fr-FR"/>
              </w:rPr>
              <w:t>0</w:t>
            </w:r>
          </w:p>
        </w:tc>
      </w:tr>
    </w:tbl>
    <w:p w14:paraId="6D49F93C" w14:textId="77777777" w:rsidR="00CC32E9" w:rsidRPr="00610513" w:rsidRDefault="00CC32E9" w:rsidP="00CC32E9">
      <w:pPr>
        <w:suppressAutoHyphens w:val="0"/>
        <w:spacing w:line="260" w:lineRule="atLeast"/>
        <w:jc w:val="both"/>
        <w:rPr>
          <w:rFonts w:eastAsia="Calibri"/>
          <w:u w:val="single"/>
          <w:lang w:val="fr-FR" w:eastAsia="en-US"/>
        </w:rPr>
      </w:pPr>
    </w:p>
    <w:p w14:paraId="49EB74B9" w14:textId="77777777" w:rsidR="00CC32E9" w:rsidRDefault="00CC32E9" w:rsidP="00CC32E9">
      <w:pPr>
        <w:suppressAutoHyphens w:val="0"/>
        <w:spacing w:line="260" w:lineRule="atLeast"/>
        <w:jc w:val="both"/>
        <w:rPr>
          <w:rFonts w:eastAsia="Calibri"/>
          <w:lang w:eastAsia="en-US"/>
        </w:rPr>
      </w:pPr>
      <w:r w:rsidRPr="00714209">
        <w:rPr>
          <w:rFonts w:eastAsia="Calibri"/>
          <w:u w:val="single"/>
          <w:lang w:eastAsia="en-US"/>
        </w:rPr>
        <w:t>Conclusion</w:t>
      </w:r>
      <w:r w:rsidRPr="00BA0AF9">
        <w:rPr>
          <w:rFonts w:eastAsia="Calibri"/>
          <w:lang w:eastAsia="en-US"/>
        </w:rPr>
        <w:t>:</w:t>
      </w:r>
      <w:r>
        <w:rPr>
          <w:rFonts w:eastAsia="Calibri"/>
          <w:lang w:eastAsia="en-US"/>
        </w:rPr>
        <w:t xml:space="preserve"> </w:t>
      </w:r>
    </w:p>
    <w:p w14:paraId="05CFC6C6" w14:textId="77777777" w:rsidR="005B2312" w:rsidRDefault="00CC32E9" w:rsidP="00CC32E9">
      <w:pPr>
        <w:spacing w:line="260" w:lineRule="atLeast"/>
        <w:jc w:val="both"/>
      </w:pPr>
      <w:r w:rsidRPr="00C153E1">
        <w:t>For</w:t>
      </w:r>
      <w:r w:rsidRPr="00295FCA">
        <w:t xml:space="preserve"> the </w:t>
      </w:r>
      <w:r>
        <w:t>active</w:t>
      </w:r>
      <w:r w:rsidRPr="00295FCA">
        <w:t xml:space="preserve"> substan</w:t>
      </w:r>
      <w:r w:rsidRPr="00C153E1">
        <w:t xml:space="preserve">ce </w:t>
      </w:r>
      <w:r w:rsidRPr="00C153E1">
        <w:rPr>
          <w:rFonts w:eastAsia="Calibri" w:cs="Times New Roman"/>
          <w:lang w:eastAsia="de-DE"/>
        </w:rPr>
        <w:t>L</w:t>
      </w:r>
      <w:r w:rsidRPr="00C153E1">
        <w:rPr>
          <w:rFonts w:eastAsia="Calibri" w:cs="Times New Roman"/>
          <w:lang w:eastAsia="en-GB" w:bidi="en-GB"/>
        </w:rPr>
        <w:t>(+) L</w:t>
      </w:r>
      <w:r w:rsidRPr="00C153E1">
        <w:rPr>
          <w:rFonts w:eastAsia="Calibri" w:cs="Times New Roman"/>
          <w:lang w:eastAsia="de-DE"/>
        </w:rPr>
        <w:t>actic acid</w:t>
      </w:r>
      <w:r w:rsidRPr="00295FCA">
        <w:t>, risks to the STP</w:t>
      </w:r>
      <w:r>
        <w:t>, aquatic and terrestrial</w:t>
      </w:r>
      <w:r w:rsidRPr="00295FCA">
        <w:t xml:space="preserve"> compartment</w:t>
      </w:r>
      <w:r>
        <w:t>s</w:t>
      </w:r>
      <w:r w:rsidRPr="00295FCA">
        <w:t xml:space="preserve"> are acceptable for the use of the products of </w:t>
      </w:r>
      <w:r>
        <w:rPr>
          <w:rFonts w:eastAsia="Calibri"/>
          <w:lang w:eastAsia="en-US"/>
        </w:rPr>
        <w:t>LACTIC ACID BASED PRODUCTS</w:t>
      </w:r>
      <w:r w:rsidRPr="00295FCA">
        <w:t>.</w:t>
      </w:r>
      <w:r w:rsidRPr="00295FCA" w:rsidDel="00E8757C">
        <w:t xml:space="preserve"> </w:t>
      </w:r>
    </w:p>
    <w:p w14:paraId="74B0B8ED" w14:textId="77777777" w:rsidR="005B2312" w:rsidRDefault="005B2312" w:rsidP="00CC32E9">
      <w:pPr>
        <w:spacing w:line="260" w:lineRule="atLeast"/>
        <w:jc w:val="both"/>
      </w:pPr>
    </w:p>
    <w:p w14:paraId="25EBEFB6" w14:textId="2AE6D61C" w:rsidR="00BC46F2" w:rsidRDefault="00CC32E9" w:rsidP="00CC32E9">
      <w:pPr>
        <w:spacing w:line="260" w:lineRule="atLeast"/>
        <w:jc w:val="both"/>
        <w:rPr>
          <w:rFonts w:eastAsia="Calibri" w:cs="Times New Roman"/>
          <w:iCs/>
          <w:lang w:eastAsia="en-US"/>
        </w:rPr>
      </w:pPr>
      <w:r>
        <w:rPr>
          <w:rFonts w:eastAsia="Calibri" w:cs="Times New Roman"/>
          <w:iCs/>
          <w:lang w:eastAsia="en-US"/>
        </w:rPr>
        <w:t xml:space="preserve">At WGII2020, it was stated that </w:t>
      </w:r>
      <w:r w:rsidRPr="001E28FC">
        <w:rPr>
          <w:rFonts w:eastAsia="Calibri" w:cs="Times New Roman"/>
          <w:iCs/>
          <w:lang w:eastAsia="en-US"/>
        </w:rPr>
        <w:t xml:space="preserve">Lactic acid is a naturally occurring simple organic acid found in plants, animals and humans. It is an endogenous metabolite in many organisms, a common naturally occurring food constituent and also a growth regulator intended to increase nut and fruit set. Furthermore, the environment is exposed to Lactic acid via the excretion of faeces and urine by humans (and their subsequent release from the STPs), as well as the direct disposal of excreta by other mammals. In soils, L(+) </w:t>
      </w:r>
      <w:r>
        <w:rPr>
          <w:rFonts w:eastAsia="Calibri" w:cs="Times New Roman"/>
          <w:iCs/>
          <w:lang w:eastAsia="en-US"/>
        </w:rPr>
        <w:t>L</w:t>
      </w:r>
      <w:r w:rsidRPr="001E28FC">
        <w:rPr>
          <w:rFonts w:eastAsia="Calibri" w:cs="Times New Roman"/>
          <w:iCs/>
          <w:lang w:eastAsia="en-US"/>
        </w:rPr>
        <w:t>actic acid naturally occurs as a fermentation by-product of anaerobic degradation of organic matter. This substance may covalent bind with organic material in sewage sludge, manure, and soils. In microorganisms, lactate formation is one of the usual pathways for NAD+ regeneration and when formed, lactate can be further metabolized through the pathway of pyruvate metabolism. As lactate is metabolized by microorganisms, its degradation in the environment is rapid. It should also be noted that biodegradation during storage of sludge as well as transformation and dilution in deeper soil layers is not</w:t>
      </w:r>
      <w:r>
        <w:rPr>
          <w:rFonts w:eastAsia="Calibri" w:cs="Times New Roman"/>
          <w:iCs/>
          <w:lang w:eastAsia="en-US"/>
        </w:rPr>
        <w:t xml:space="preserve"> </w:t>
      </w:r>
      <w:r w:rsidRPr="001E28FC">
        <w:rPr>
          <w:rFonts w:eastAsia="Calibri" w:cs="Times New Roman"/>
          <w:iCs/>
          <w:lang w:eastAsia="en-US"/>
        </w:rPr>
        <w:t>be taken into account in soil concentration calculations – and thus in subseq</w:t>
      </w:r>
      <w:r>
        <w:rPr>
          <w:rFonts w:eastAsia="Calibri" w:cs="Times New Roman"/>
          <w:iCs/>
          <w:lang w:eastAsia="en-US"/>
        </w:rPr>
        <w:t>uent groundwater concentrations</w:t>
      </w:r>
      <w:r w:rsidRPr="001E28FC">
        <w:rPr>
          <w:rFonts w:eastAsia="Calibri" w:cs="Times New Roman"/>
          <w:iCs/>
          <w:lang w:eastAsia="en-US"/>
        </w:rPr>
        <w:t xml:space="preserve"> (</w:t>
      </w:r>
      <w:r>
        <w:rPr>
          <w:rFonts w:eastAsia="Calibri" w:cs="Times New Roman"/>
          <w:iCs/>
          <w:lang w:eastAsia="en-US"/>
        </w:rPr>
        <w:t>T</w:t>
      </w:r>
      <w:r w:rsidRPr="001E28FC">
        <w:rPr>
          <w:rFonts w:eastAsia="Calibri" w:cs="Times New Roman"/>
          <w:iCs/>
          <w:lang w:eastAsia="en-US"/>
        </w:rPr>
        <w:t xml:space="preserve">ier 1). Modelling of groundwater exposure in case of </w:t>
      </w:r>
      <w:r>
        <w:rPr>
          <w:rFonts w:eastAsia="Calibri" w:cs="Times New Roman"/>
          <w:iCs/>
          <w:lang w:eastAsia="en-US"/>
        </w:rPr>
        <w:t>L</w:t>
      </w:r>
      <w:r w:rsidRPr="001E28FC">
        <w:rPr>
          <w:rFonts w:eastAsia="Calibri" w:cs="Times New Roman"/>
          <w:iCs/>
          <w:lang w:eastAsia="en-US"/>
        </w:rPr>
        <w:t>actic acid largely overestimates concentrations and is considered unrealistic.</w:t>
      </w:r>
      <w:r>
        <w:rPr>
          <w:rFonts w:eastAsia="Calibri" w:cs="Times New Roman"/>
          <w:iCs/>
          <w:lang w:eastAsia="en-US"/>
        </w:rPr>
        <w:t xml:space="preserve"> </w:t>
      </w:r>
    </w:p>
    <w:p w14:paraId="68E9B5D8" w14:textId="6B111145" w:rsidR="00CC32E9" w:rsidRPr="001365D5" w:rsidRDefault="00CC32E9" w:rsidP="00CC32E9">
      <w:pPr>
        <w:spacing w:line="260" w:lineRule="atLeast"/>
        <w:jc w:val="both"/>
        <w:rPr>
          <w:rFonts w:eastAsia="Calibri" w:cs="Times New Roman"/>
          <w:u w:val="single"/>
          <w:lang w:eastAsia="en-US"/>
        </w:rPr>
      </w:pPr>
      <w:r w:rsidRPr="001365D5">
        <w:rPr>
          <w:rFonts w:eastAsia="Calibri" w:cs="Times New Roman"/>
          <w:u w:val="single"/>
          <w:lang w:eastAsia="en-US"/>
        </w:rPr>
        <w:t>For all these reasons, it can be stated that Lactic acid does not cause unacceptable risk for groundwater, without need for further calculations.</w:t>
      </w:r>
    </w:p>
    <w:p w14:paraId="68F21B19" w14:textId="77777777" w:rsidR="00CC32E9" w:rsidRDefault="00CC32E9" w:rsidP="00CC32E9">
      <w:pPr>
        <w:spacing w:line="260" w:lineRule="atLeast"/>
        <w:jc w:val="both"/>
        <w:rPr>
          <w:rFonts w:eastAsia="Calibri" w:cs="Times New Roman"/>
          <w:iCs/>
          <w:lang w:eastAsia="en-US"/>
        </w:rPr>
      </w:pPr>
    </w:p>
    <w:p w14:paraId="2B06830C" w14:textId="0023CAFF" w:rsidR="00CC32E9" w:rsidRPr="007A4D20" w:rsidRDefault="00CC32E9" w:rsidP="00CC32E9">
      <w:pPr>
        <w:suppressAutoHyphens w:val="0"/>
        <w:spacing w:line="260" w:lineRule="atLeast"/>
        <w:jc w:val="both"/>
        <w:rPr>
          <w:rFonts w:eastAsia="Calibri" w:cs="Times New Roman"/>
          <w:b/>
          <w:lang w:eastAsia="en-GB"/>
        </w:rPr>
      </w:pPr>
      <w:r w:rsidRPr="007A4D20">
        <w:rPr>
          <w:b/>
        </w:rPr>
        <w:t xml:space="preserve">Therefore, for the active substance </w:t>
      </w:r>
      <w:r w:rsidRPr="007A4D20">
        <w:rPr>
          <w:rFonts w:eastAsia="Calibri" w:cs="Times New Roman"/>
          <w:b/>
          <w:lang w:eastAsia="de-DE"/>
        </w:rPr>
        <w:t>L</w:t>
      </w:r>
      <w:r w:rsidRPr="007A4D20">
        <w:rPr>
          <w:rFonts w:eastAsia="Calibri" w:cs="Times New Roman"/>
          <w:b/>
          <w:lang w:eastAsia="en-GB" w:bidi="en-GB"/>
        </w:rPr>
        <w:t>(+) L</w:t>
      </w:r>
      <w:r w:rsidRPr="007A4D20">
        <w:rPr>
          <w:rFonts w:eastAsia="Calibri" w:cs="Times New Roman"/>
          <w:b/>
          <w:lang w:eastAsia="de-DE"/>
        </w:rPr>
        <w:t xml:space="preserve">actic acid, </w:t>
      </w:r>
      <w:r w:rsidRPr="007A4D20">
        <w:rPr>
          <w:b/>
        </w:rPr>
        <w:t>risks are acceptable for all compartments</w:t>
      </w:r>
      <w:r w:rsidR="0034784E">
        <w:rPr>
          <w:b/>
        </w:rPr>
        <w:t xml:space="preserve"> under all the scenarios</w:t>
      </w:r>
      <w:r w:rsidRPr="007A4D20">
        <w:rPr>
          <w:b/>
        </w:rPr>
        <w:t xml:space="preserve">. </w:t>
      </w:r>
    </w:p>
    <w:p w14:paraId="33DE2B97" w14:textId="77777777" w:rsidR="00CC32E9" w:rsidRDefault="00CC32E9" w:rsidP="00CC32E9">
      <w:pPr>
        <w:suppressAutoHyphens w:val="0"/>
        <w:spacing w:line="260" w:lineRule="atLeast"/>
        <w:jc w:val="both"/>
        <w:rPr>
          <w:rFonts w:eastAsia="Calibri"/>
          <w:u w:val="single"/>
          <w:lang w:eastAsia="en-US"/>
        </w:rPr>
      </w:pPr>
    </w:p>
    <w:p w14:paraId="09B70123" w14:textId="77777777" w:rsidR="00CC32E9" w:rsidRDefault="00CC32E9" w:rsidP="00CC32E9">
      <w:pPr>
        <w:suppressAutoHyphens w:val="0"/>
        <w:spacing w:line="260" w:lineRule="atLeast"/>
        <w:jc w:val="both"/>
        <w:rPr>
          <w:rFonts w:eastAsia="Calibri"/>
          <w:u w:val="single"/>
          <w:lang w:eastAsia="en-US"/>
        </w:rPr>
      </w:pPr>
    </w:p>
    <w:p w14:paraId="4CB353D6" w14:textId="77777777" w:rsidR="00CC32E9" w:rsidRDefault="00CC32E9" w:rsidP="00CC32E9">
      <w:pPr>
        <w:suppressAutoHyphens w:val="0"/>
        <w:spacing w:line="260" w:lineRule="atLeast"/>
        <w:jc w:val="both"/>
        <w:rPr>
          <w:rFonts w:eastAsia="Calibri"/>
          <w:u w:val="single"/>
          <w:lang w:eastAsia="en-US"/>
        </w:rPr>
      </w:pPr>
    </w:p>
    <w:tbl>
      <w:tblPr>
        <w:tblW w:w="10031" w:type="dxa"/>
        <w:tblLayout w:type="fixed"/>
        <w:tblLook w:val="0000" w:firstRow="0" w:lastRow="0" w:firstColumn="0" w:lastColumn="0" w:noHBand="0" w:noVBand="0"/>
      </w:tblPr>
      <w:tblGrid>
        <w:gridCol w:w="1574"/>
        <w:gridCol w:w="1678"/>
        <w:gridCol w:w="1705"/>
        <w:gridCol w:w="1701"/>
        <w:gridCol w:w="1701"/>
        <w:gridCol w:w="1672"/>
      </w:tblGrid>
      <w:tr w:rsidR="00CC32E9" w:rsidRPr="002859E7" w14:paraId="2FB18C92" w14:textId="77777777" w:rsidTr="00A66FCD">
        <w:trPr>
          <w:trHeight w:val="249"/>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16A41475" w14:textId="77777777" w:rsidR="00CC32E9" w:rsidRPr="002859E7" w:rsidRDefault="00CC32E9" w:rsidP="00BA238F">
            <w:pPr>
              <w:spacing w:before="240" w:after="60" w:line="260" w:lineRule="atLeast"/>
              <w:outlineLvl w:val="0"/>
              <w:rPr>
                <w:b/>
                <w:bCs/>
                <w:sz w:val="18"/>
                <w:szCs w:val="18"/>
              </w:rPr>
            </w:pPr>
            <w:r w:rsidRPr="002859E7">
              <w:rPr>
                <w:b/>
                <w:bCs/>
                <w:sz w:val="18"/>
                <w:szCs w:val="18"/>
              </w:rPr>
              <w:t xml:space="preserve">Summary table on calculated PEC/PNEC values </w:t>
            </w:r>
            <w:r w:rsidRPr="002859E7">
              <w:rPr>
                <w:rFonts w:eastAsia="Calibri" w:cs="Arial"/>
                <w:b/>
                <w:bCs/>
                <w:sz w:val="18"/>
                <w:szCs w:val="18"/>
                <w:lang w:eastAsia="en-GB"/>
              </w:rPr>
              <w:t xml:space="preserve">of </w:t>
            </w:r>
            <w:r w:rsidRPr="002859E7">
              <w:rPr>
                <w:b/>
                <w:sz w:val="18"/>
                <w:szCs w:val="18"/>
              </w:rPr>
              <w:t>Amines, coco alkyldimethyl, N-oxides</w:t>
            </w:r>
          </w:p>
        </w:tc>
      </w:tr>
      <w:tr w:rsidR="00CC32E9" w:rsidRPr="002859E7" w14:paraId="7CC79D13" w14:textId="77777777" w:rsidTr="005C5AB0">
        <w:trPr>
          <w:trHeight w:val="471"/>
        </w:trPr>
        <w:tc>
          <w:tcPr>
            <w:tcW w:w="1574" w:type="dxa"/>
            <w:tcBorders>
              <w:top w:val="single" w:sz="4" w:space="0" w:color="000000"/>
              <w:left w:val="single" w:sz="4" w:space="0" w:color="000000"/>
              <w:bottom w:val="single" w:sz="4" w:space="0" w:color="000000"/>
            </w:tcBorders>
            <w:shd w:val="clear" w:color="auto" w:fill="FFFFFF"/>
            <w:vAlign w:val="center"/>
          </w:tcPr>
          <w:p w14:paraId="496A7C21" w14:textId="77777777" w:rsidR="00CC32E9" w:rsidRPr="002859E7" w:rsidRDefault="00CC32E9">
            <w:pPr>
              <w:spacing w:line="260" w:lineRule="atLeast"/>
              <w:outlineLvl w:val="0"/>
              <w:rPr>
                <w:b/>
                <w:bCs/>
                <w:sz w:val="18"/>
                <w:szCs w:val="18"/>
              </w:rPr>
            </w:pPr>
          </w:p>
        </w:tc>
        <w:tc>
          <w:tcPr>
            <w:tcW w:w="167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528D595" w14:textId="77777777" w:rsidR="00CC32E9" w:rsidRPr="002859E7" w:rsidRDefault="00CC32E9">
            <w:pPr>
              <w:spacing w:line="260" w:lineRule="atLeast"/>
              <w:outlineLvl w:val="0"/>
              <w:rPr>
                <w:sz w:val="18"/>
                <w:szCs w:val="18"/>
              </w:rPr>
            </w:pPr>
            <w:r w:rsidRPr="002859E7">
              <w:rPr>
                <w:b/>
                <w:bCs/>
                <w:sz w:val="18"/>
                <w:szCs w:val="18"/>
              </w:rPr>
              <w:t>PEC/PNEC</w:t>
            </w:r>
            <w:r w:rsidRPr="002859E7">
              <w:rPr>
                <w:b/>
                <w:bCs/>
                <w:sz w:val="18"/>
                <w:szCs w:val="18"/>
                <w:vertAlign w:val="subscript"/>
              </w:rPr>
              <w:t>STP</w:t>
            </w:r>
          </w:p>
        </w:tc>
        <w:tc>
          <w:tcPr>
            <w:tcW w:w="170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A967591" w14:textId="77777777" w:rsidR="00CC32E9" w:rsidRPr="002859E7" w:rsidRDefault="00CC32E9">
            <w:pPr>
              <w:spacing w:line="260" w:lineRule="atLeast"/>
              <w:outlineLvl w:val="0"/>
              <w:rPr>
                <w:b/>
                <w:sz w:val="18"/>
                <w:szCs w:val="18"/>
              </w:rPr>
            </w:pPr>
            <w:r w:rsidRPr="002859E7">
              <w:rPr>
                <w:b/>
                <w:bCs/>
                <w:sz w:val="18"/>
                <w:szCs w:val="18"/>
              </w:rPr>
              <w:t>PEC/PNEC</w:t>
            </w:r>
            <w:r w:rsidRPr="002859E7">
              <w:rPr>
                <w:b/>
                <w:bCs/>
                <w:sz w:val="18"/>
                <w:szCs w:val="18"/>
                <w:vertAlign w:val="subscript"/>
              </w:rPr>
              <w:t>water</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661C299" w14:textId="77777777" w:rsidR="00CC32E9" w:rsidRDefault="00CC32E9">
            <w:pPr>
              <w:spacing w:line="260" w:lineRule="atLeast"/>
              <w:outlineLvl w:val="0"/>
              <w:rPr>
                <w:b/>
                <w:bCs/>
                <w:sz w:val="18"/>
                <w:szCs w:val="18"/>
              </w:rPr>
            </w:pPr>
            <w:r w:rsidRPr="002859E7">
              <w:rPr>
                <w:b/>
                <w:sz w:val="18"/>
                <w:szCs w:val="18"/>
              </w:rPr>
              <w:t>PEC/PNEC</w:t>
            </w:r>
            <w:r w:rsidRPr="002859E7">
              <w:rPr>
                <w:b/>
                <w:sz w:val="18"/>
                <w:szCs w:val="18"/>
                <w:vertAlign w:val="subscript"/>
              </w:rPr>
              <w:t>sed</w:t>
            </w:r>
            <w:r w:rsidRPr="002859E7" w:rsidDel="00E8757C">
              <w:rPr>
                <w:b/>
                <w:bCs/>
                <w:sz w:val="18"/>
                <w:szCs w:val="18"/>
              </w:rPr>
              <w:t xml:space="preserve"> </w:t>
            </w:r>
          </w:p>
          <w:p w14:paraId="64581F80" w14:textId="77777777" w:rsidR="00A66FCD" w:rsidRDefault="00A66FCD" w:rsidP="00A66FCD">
            <w:pPr>
              <w:spacing w:line="260" w:lineRule="atLeast"/>
              <w:outlineLvl w:val="0"/>
              <w:rPr>
                <w:b/>
                <w:bCs/>
                <w:sz w:val="18"/>
                <w:szCs w:val="18"/>
              </w:rPr>
            </w:pPr>
          </w:p>
          <w:p w14:paraId="59291D9B" w14:textId="61D1D779" w:rsidR="00E364B8" w:rsidRPr="002859E7" w:rsidRDefault="00E364B8">
            <w:pPr>
              <w:spacing w:line="260" w:lineRule="atLeast"/>
              <w:outlineLvl w:val="0"/>
              <w:rPr>
                <w:b/>
                <w:sz w:val="18"/>
                <w:szCs w:val="18"/>
              </w:rPr>
            </w:pPr>
            <w:r>
              <w:rPr>
                <w:b/>
                <w:bCs/>
                <w:sz w:val="18"/>
                <w:szCs w:val="18"/>
              </w:rPr>
              <w:t>PNEC EPM: covered by surface water</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61ACA9" w14:textId="77777777" w:rsidR="00CC32E9" w:rsidRPr="002859E7" w:rsidRDefault="00CC32E9">
            <w:pPr>
              <w:spacing w:line="260" w:lineRule="atLeast"/>
              <w:outlineLvl w:val="0"/>
              <w:rPr>
                <w:sz w:val="18"/>
                <w:szCs w:val="18"/>
              </w:rPr>
            </w:pPr>
            <w:r w:rsidRPr="002859E7">
              <w:rPr>
                <w:b/>
                <w:bCs/>
                <w:sz w:val="18"/>
                <w:szCs w:val="18"/>
              </w:rPr>
              <w:t>PEC/PNEC</w:t>
            </w:r>
            <w:r w:rsidRPr="002859E7">
              <w:rPr>
                <w:b/>
                <w:bCs/>
                <w:sz w:val="18"/>
                <w:szCs w:val="18"/>
                <w:vertAlign w:val="subscript"/>
              </w:rPr>
              <w:t>soil</w:t>
            </w:r>
          </w:p>
        </w:tc>
        <w:tc>
          <w:tcPr>
            <w:tcW w:w="167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32991B5" w14:textId="603BCF69" w:rsidR="00CC32E9" w:rsidRPr="002859E7" w:rsidRDefault="00CC32E9" w:rsidP="005C5AB0">
            <w:pPr>
              <w:spacing w:line="260" w:lineRule="atLeast"/>
              <w:outlineLvl w:val="0"/>
              <w:rPr>
                <w:b/>
                <w:bCs/>
                <w:sz w:val="18"/>
                <w:szCs w:val="18"/>
              </w:rPr>
            </w:pPr>
            <w:r w:rsidRPr="002859E7">
              <w:rPr>
                <w:b/>
                <w:bCs/>
                <w:sz w:val="18"/>
                <w:szCs w:val="18"/>
              </w:rPr>
              <w:t xml:space="preserve">GW </w:t>
            </w:r>
            <w:r w:rsidR="00E364B8">
              <w:rPr>
                <w:b/>
                <w:bCs/>
                <w:sz w:val="18"/>
                <w:szCs w:val="18"/>
              </w:rPr>
              <w:t>*(µg/L)</w:t>
            </w:r>
          </w:p>
        </w:tc>
      </w:tr>
      <w:tr w:rsidR="00CC32E9" w:rsidRPr="002859E7" w14:paraId="140469B9" w14:textId="77777777" w:rsidTr="00A66FCD">
        <w:trPr>
          <w:trHeight w:val="75"/>
        </w:trPr>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E1D751" w14:textId="74979FDC" w:rsidR="00CC32E9" w:rsidRPr="002859E7" w:rsidRDefault="00CC32E9" w:rsidP="00AE101C">
            <w:pPr>
              <w:spacing w:line="276" w:lineRule="auto"/>
              <w:rPr>
                <w:rFonts w:eastAsia="Calibri" w:cs="Arial"/>
                <w:sz w:val="18"/>
                <w:szCs w:val="18"/>
                <w:lang w:eastAsia="en-GB"/>
              </w:rPr>
            </w:pPr>
            <w:r w:rsidRPr="002859E7">
              <w:rPr>
                <w:rFonts w:eastAsia="Calibri" w:cs="Arial"/>
                <w:sz w:val="18"/>
                <w:szCs w:val="18"/>
                <w:lang w:eastAsia="en-GB"/>
              </w:rPr>
              <w:t>Scenario 1</w:t>
            </w:r>
            <w:r w:rsidR="00A74737">
              <w:rPr>
                <w:rFonts w:eastAsia="Calibri" w:cs="Arial"/>
                <w:sz w:val="18"/>
                <w:szCs w:val="18"/>
                <w:lang w:eastAsia="en-GB"/>
              </w:rPr>
              <w:t>a</w:t>
            </w:r>
            <w:r w:rsidRPr="002859E7">
              <w:rPr>
                <w:rFonts w:eastAsia="Calibri" w:cs="Arial"/>
                <w:sz w:val="18"/>
                <w:szCs w:val="18"/>
                <w:lang w:eastAsia="en-GB"/>
              </w:rPr>
              <w:t xml:space="preserve"> – PT02 </w:t>
            </w:r>
          </w:p>
          <w:p w14:paraId="430E0A2E" w14:textId="77777777" w:rsidR="00CC32E9" w:rsidRPr="002859E7" w:rsidRDefault="00CC32E9" w:rsidP="00AE101C">
            <w:pPr>
              <w:spacing w:line="260" w:lineRule="atLeast"/>
              <w:outlineLvl w:val="0"/>
              <w:rPr>
                <w:sz w:val="18"/>
                <w:szCs w:val="18"/>
              </w:rPr>
            </w:pPr>
            <w:r w:rsidRPr="002859E7">
              <w:rPr>
                <w:rFonts w:eastAsia="Calibri"/>
                <w:sz w:val="18"/>
                <w:szCs w:val="18"/>
                <w:lang w:eastAsia="en-US"/>
              </w:rPr>
              <w:t>Institutional areas</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14:paraId="0CA952B1" w14:textId="77777777" w:rsidR="00CC32E9" w:rsidRPr="002859E7" w:rsidRDefault="00CC32E9" w:rsidP="00BA238F">
            <w:pPr>
              <w:suppressAutoHyphens w:val="0"/>
              <w:jc w:val="center"/>
              <w:rPr>
                <w:rFonts w:cs="Calibri"/>
                <w:sz w:val="18"/>
                <w:szCs w:val="18"/>
                <w:lang w:eastAsia="fr-FR"/>
              </w:rPr>
            </w:pPr>
            <w:r w:rsidRPr="002859E7">
              <w:rPr>
                <w:rFonts w:cs="Calibri"/>
                <w:sz w:val="18"/>
                <w:szCs w:val="18"/>
                <w:lang w:eastAsia="fr-FR"/>
              </w:rPr>
              <w:t>5.18E-05</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14:paraId="56D60AD2" w14:textId="77777777" w:rsidR="00CC32E9" w:rsidRPr="002859E7" w:rsidRDefault="00CC32E9" w:rsidP="00BA238F">
            <w:pPr>
              <w:suppressAutoHyphens w:val="0"/>
              <w:jc w:val="center"/>
              <w:rPr>
                <w:rFonts w:cs="Calibri"/>
                <w:sz w:val="18"/>
                <w:szCs w:val="18"/>
                <w:lang w:eastAsia="fr-FR"/>
              </w:rPr>
            </w:pPr>
            <w:r w:rsidRPr="002859E7">
              <w:rPr>
                <w:rFonts w:cs="Calibri"/>
                <w:sz w:val="18"/>
                <w:szCs w:val="18"/>
                <w:lang w:eastAsia="fr-FR"/>
              </w:rPr>
              <w:t>3.63E-03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69EECE" w14:textId="7E0BD027" w:rsidR="00CC32E9" w:rsidRPr="002859E7" w:rsidRDefault="002B4190" w:rsidP="0075010C">
            <w:pPr>
              <w:suppressAutoHyphens w:val="0"/>
              <w:jc w:val="center"/>
              <w:rPr>
                <w:rFonts w:cs="Calibri"/>
                <w:sz w:val="18"/>
                <w:szCs w:val="18"/>
                <w:lang w:eastAsia="fr-FR"/>
              </w:rPr>
            </w:pPr>
            <w:r>
              <w:rPr>
                <w:rFonts w:cs="Calibri"/>
                <w:sz w:val="18"/>
                <w:szCs w:val="18"/>
                <w:lang w:eastAsia="fr-FR"/>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FB50D8" w14:textId="77777777" w:rsidR="00CC32E9" w:rsidRPr="002859E7" w:rsidRDefault="00CC32E9" w:rsidP="00BA238F">
            <w:pPr>
              <w:suppressAutoHyphens w:val="0"/>
              <w:jc w:val="center"/>
              <w:rPr>
                <w:rFonts w:cs="Calibri"/>
                <w:sz w:val="18"/>
                <w:szCs w:val="18"/>
                <w:lang w:eastAsia="fr-FR"/>
              </w:rPr>
            </w:pPr>
            <w:r w:rsidRPr="002859E7">
              <w:rPr>
                <w:rFonts w:cs="Calibri"/>
                <w:sz w:val="18"/>
                <w:szCs w:val="18"/>
                <w:lang w:eastAsia="fr-FR"/>
              </w:rPr>
              <w:t>5.94E-03</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259399F" w14:textId="3E5D260E" w:rsidR="00CC32E9" w:rsidRPr="002859E7" w:rsidRDefault="00CC32E9" w:rsidP="00983E2F">
            <w:pPr>
              <w:suppressAutoHyphens w:val="0"/>
              <w:jc w:val="center"/>
              <w:rPr>
                <w:rFonts w:cs="Calibri"/>
                <w:sz w:val="18"/>
                <w:szCs w:val="18"/>
                <w:lang w:val="fr-FR"/>
              </w:rPr>
            </w:pPr>
            <w:r w:rsidRPr="002859E7">
              <w:rPr>
                <w:rFonts w:cs="Calibri"/>
                <w:sz w:val="18"/>
                <w:szCs w:val="18"/>
                <w:lang w:val="fr-FR"/>
              </w:rPr>
              <w:t>&lt; 0.1</w:t>
            </w:r>
          </w:p>
        </w:tc>
      </w:tr>
      <w:tr w:rsidR="00CC32E9" w:rsidRPr="002859E7" w14:paraId="3001FE12" w14:textId="77777777" w:rsidTr="00A66FCD">
        <w:trPr>
          <w:trHeight w:val="75"/>
        </w:trPr>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589356" w14:textId="77777777" w:rsidR="00CC32E9" w:rsidRPr="002859E7" w:rsidRDefault="00CC32E9" w:rsidP="00AE101C">
            <w:pPr>
              <w:spacing w:line="276" w:lineRule="auto"/>
              <w:rPr>
                <w:rFonts w:eastAsia="Calibri"/>
                <w:sz w:val="18"/>
                <w:szCs w:val="18"/>
              </w:rPr>
            </w:pPr>
            <w:r w:rsidRPr="002859E7">
              <w:rPr>
                <w:rFonts w:eastAsia="Calibri" w:cs="Arial"/>
                <w:sz w:val="18"/>
                <w:szCs w:val="18"/>
                <w:lang w:eastAsia="en-GB"/>
              </w:rPr>
              <w:t>Scenario 2 – PT02</w:t>
            </w:r>
            <w:r w:rsidRPr="002859E7">
              <w:rPr>
                <w:rFonts w:eastAsia="Calibri"/>
                <w:sz w:val="18"/>
                <w:szCs w:val="18"/>
              </w:rPr>
              <w:t xml:space="preserve"> </w:t>
            </w:r>
          </w:p>
          <w:p w14:paraId="24A92FD7" w14:textId="77777777" w:rsidR="002B4190" w:rsidRDefault="00CC32E9" w:rsidP="00AE101C">
            <w:pPr>
              <w:spacing w:line="260" w:lineRule="atLeast"/>
              <w:outlineLvl w:val="0"/>
              <w:rPr>
                <w:rFonts w:eastAsia="Calibri" w:cs="Arial"/>
                <w:sz w:val="18"/>
                <w:szCs w:val="18"/>
                <w:lang w:eastAsia="en-GB"/>
              </w:rPr>
            </w:pPr>
            <w:r w:rsidRPr="002859E7">
              <w:rPr>
                <w:rFonts w:eastAsia="Calibri" w:cs="Arial"/>
                <w:sz w:val="18"/>
                <w:szCs w:val="18"/>
                <w:lang w:eastAsia="en-GB"/>
              </w:rPr>
              <w:t>Industrial areas</w:t>
            </w:r>
          </w:p>
          <w:p w14:paraId="4918F567" w14:textId="08164479" w:rsidR="00CC32E9" w:rsidRPr="002859E7" w:rsidRDefault="002B4190" w:rsidP="00AE101C">
            <w:pPr>
              <w:spacing w:line="260" w:lineRule="atLeast"/>
              <w:outlineLvl w:val="0"/>
              <w:rPr>
                <w:rFonts w:eastAsia="Calibri"/>
                <w:sz w:val="18"/>
                <w:szCs w:val="18"/>
              </w:rPr>
            </w:pPr>
            <w:r>
              <w:rPr>
                <w:rFonts w:eastAsia="Calibri" w:cs="Arial"/>
                <w:sz w:val="18"/>
                <w:szCs w:val="18"/>
                <w:lang w:eastAsia="en-GB"/>
              </w:rPr>
              <w:t>Large scale</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14:paraId="5D8B3BDF" w14:textId="05281E95" w:rsidR="00CC32E9" w:rsidRPr="002859E7" w:rsidRDefault="00CC32E9" w:rsidP="00BA238F">
            <w:pPr>
              <w:suppressAutoHyphens w:val="0"/>
              <w:jc w:val="center"/>
              <w:rPr>
                <w:rFonts w:cs="Calibri"/>
                <w:sz w:val="18"/>
                <w:szCs w:val="18"/>
                <w:lang w:val="fr-FR" w:eastAsia="fr-FR"/>
              </w:rPr>
            </w:pPr>
            <w:r w:rsidRPr="002859E7">
              <w:rPr>
                <w:rFonts w:cs="Calibri"/>
                <w:sz w:val="18"/>
                <w:szCs w:val="18"/>
                <w:lang w:val="fr-FR" w:eastAsia="fr-FR"/>
              </w:rPr>
              <w:t>1.48E-04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14:paraId="4184B07B" w14:textId="5A9B0843" w:rsidR="00CC32E9" w:rsidRPr="002859E7" w:rsidRDefault="00CC32E9" w:rsidP="00BA238F">
            <w:pPr>
              <w:suppressAutoHyphens w:val="0"/>
              <w:jc w:val="center"/>
              <w:rPr>
                <w:rFonts w:cs="Calibri"/>
                <w:sz w:val="18"/>
                <w:szCs w:val="18"/>
                <w:lang w:val="fr-FR" w:eastAsia="fr-FR"/>
              </w:rPr>
            </w:pPr>
            <w:r w:rsidRPr="002859E7">
              <w:rPr>
                <w:rFonts w:cs="Calibri"/>
                <w:sz w:val="18"/>
                <w:szCs w:val="18"/>
                <w:lang w:val="fr-FR" w:eastAsia="fr-FR"/>
              </w:rPr>
              <w:t>1.0</w:t>
            </w:r>
            <w:r w:rsidR="00983E2F">
              <w:rPr>
                <w:rFonts w:cs="Calibri"/>
                <w:sz w:val="18"/>
                <w:szCs w:val="18"/>
                <w:lang w:val="fr-FR" w:eastAsia="fr-FR"/>
              </w:rPr>
              <w:t>3</w:t>
            </w:r>
            <w:r w:rsidRPr="002859E7">
              <w:rPr>
                <w:rFonts w:cs="Calibri"/>
                <w:sz w:val="18"/>
                <w:szCs w:val="18"/>
                <w:lang w:val="fr-FR" w:eastAsia="fr-FR"/>
              </w:rPr>
              <w:t xml:space="preserve">E-02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7329B0" w14:textId="119C61AD" w:rsidR="00CC32E9" w:rsidRPr="002859E7" w:rsidRDefault="002B4190" w:rsidP="0075010C">
            <w:pPr>
              <w:suppressAutoHyphens w:val="0"/>
              <w:jc w:val="center"/>
              <w:rPr>
                <w:rFonts w:cs="Calibri"/>
                <w:sz w:val="18"/>
                <w:szCs w:val="18"/>
                <w:lang w:val="fr-FR" w:eastAsia="fr-FR"/>
              </w:rPr>
            </w:pPr>
            <w:r w:rsidRPr="009B079C">
              <w:rPr>
                <w:rFonts w:cs="Calibri"/>
                <w:sz w:val="18"/>
                <w:szCs w:val="18"/>
                <w:lang w:eastAsia="fr-FR"/>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1317F5" w14:textId="22A2F135" w:rsidR="00CC32E9" w:rsidRPr="002859E7" w:rsidRDefault="00CC32E9" w:rsidP="00BA238F">
            <w:pPr>
              <w:suppressAutoHyphens w:val="0"/>
              <w:jc w:val="center"/>
              <w:rPr>
                <w:rFonts w:cs="Calibri"/>
                <w:sz w:val="18"/>
                <w:szCs w:val="18"/>
                <w:lang w:val="en-US" w:eastAsia="fr-FR"/>
              </w:rPr>
            </w:pPr>
            <w:r w:rsidRPr="002859E7">
              <w:rPr>
                <w:rFonts w:cs="Calibri"/>
                <w:sz w:val="18"/>
                <w:szCs w:val="18"/>
                <w:lang w:val="en-US" w:eastAsia="fr-FR"/>
              </w:rPr>
              <w:t>1.</w:t>
            </w:r>
            <w:r w:rsidR="00983E2F">
              <w:rPr>
                <w:rFonts w:cs="Calibri"/>
                <w:sz w:val="18"/>
                <w:szCs w:val="18"/>
                <w:lang w:val="en-US" w:eastAsia="fr-FR"/>
              </w:rPr>
              <w:t>69</w:t>
            </w:r>
            <w:r w:rsidRPr="002859E7">
              <w:rPr>
                <w:rFonts w:cs="Calibri"/>
                <w:sz w:val="18"/>
                <w:szCs w:val="18"/>
                <w:lang w:val="en-US" w:eastAsia="fr-FR"/>
              </w:rPr>
              <w:t xml:space="preserve">E-02 </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2A8AF5BC" w14:textId="0633623F" w:rsidR="00CC32E9" w:rsidRPr="002859E7" w:rsidRDefault="00CC32E9" w:rsidP="00BA238F">
            <w:pPr>
              <w:suppressAutoHyphens w:val="0"/>
              <w:jc w:val="center"/>
              <w:rPr>
                <w:rFonts w:cs="Calibri"/>
                <w:sz w:val="18"/>
                <w:szCs w:val="18"/>
                <w:lang w:val="en-US"/>
              </w:rPr>
            </w:pPr>
            <w:r w:rsidRPr="002859E7">
              <w:rPr>
                <w:rFonts w:cs="Calibri"/>
                <w:sz w:val="18"/>
                <w:szCs w:val="18"/>
                <w:lang w:val="en-US"/>
              </w:rPr>
              <w:t>&lt; 0.1</w:t>
            </w:r>
          </w:p>
        </w:tc>
      </w:tr>
      <w:tr w:rsidR="0075010C" w:rsidRPr="002859E7" w14:paraId="262E4B49" w14:textId="77777777" w:rsidTr="00A66FCD">
        <w:trPr>
          <w:trHeight w:val="75"/>
        </w:trPr>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4FA694" w14:textId="17E3641E" w:rsidR="0075010C" w:rsidRPr="00AE101C" w:rsidRDefault="0075010C" w:rsidP="00AE101C">
            <w:pPr>
              <w:spacing w:line="276" w:lineRule="auto"/>
              <w:rPr>
                <w:rFonts w:eastAsia="Calibri" w:cs="Arial"/>
                <w:sz w:val="18"/>
                <w:szCs w:val="18"/>
                <w:lang w:eastAsia="en-GB"/>
              </w:rPr>
            </w:pPr>
            <w:r>
              <w:rPr>
                <w:rFonts w:eastAsia="Calibri" w:cs="Arial"/>
                <w:sz w:val="18"/>
                <w:szCs w:val="18"/>
                <w:lang w:eastAsia="en-GB"/>
              </w:rPr>
              <w:t xml:space="preserve">Scenario 3 - </w:t>
            </w:r>
            <w:r>
              <w:rPr>
                <w:rFonts w:eastAsia="Calibri"/>
                <w:sz w:val="18"/>
                <w:szCs w:val="18"/>
                <w:lang w:eastAsia="en-US"/>
              </w:rPr>
              <w:t xml:space="preserve">PT02 Disinfection of rooms, furniture and </w:t>
            </w:r>
            <w:r>
              <w:rPr>
                <w:rFonts w:eastAsia="Calibri"/>
                <w:sz w:val="18"/>
                <w:szCs w:val="18"/>
                <w:lang w:eastAsia="en-US"/>
              </w:rPr>
              <w:lastRenderedPageBreak/>
              <w:t>objects in medical sector</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14:paraId="66B64412" w14:textId="31308129" w:rsidR="0075010C" w:rsidRPr="002859E7" w:rsidRDefault="00983E2F" w:rsidP="00BA238F">
            <w:pPr>
              <w:suppressAutoHyphens w:val="0"/>
              <w:jc w:val="center"/>
              <w:rPr>
                <w:rFonts w:cs="Calibri"/>
                <w:sz w:val="18"/>
                <w:szCs w:val="18"/>
              </w:rPr>
            </w:pPr>
            <w:r>
              <w:rPr>
                <w:rFonts w:cs="Calibri"/>
                <w:sz w:val="18"/>
                <w:szCs w:val="18"/>
              </w:rPr>
              <w:lastRenderedPageBreak/>
              <w:t>5.5</w:t>
            </w:r>
            <w:r w:rsidR="0075010C">
              <w:rPr>
                <w:rFonts w:cs="Calibri"/>
                <w:sz w:val="18"/>
                <w:szCs w:val="18"/>
              </w:rPr>
              <w:t>4E-05</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14:paraId="795E4B3D" w14:textId="5B752C4E" w:rsidR="0075010C" w:rsidRPr="002859E7" w:rsidRDefault="00983E2F" w:rsidP="00BA238F">
            <w:pPr>
              <w:suppressAutoHyphens w:val="0"/>
              <w:jc w:val="center"/>
              <w:rPr>
                <w:rFonts w:cs="Calibri"/>
                <w:sz w:val="18"/>
                <w:szCs w:val="18"/>
              </w:rPr>
            </w:pPr>
            <w:r>
              <w:rPr>
                <w:rFonts w:cs="Calibri"/>
                <w:sz w:val="18"/>
                <w:szCs w:val="18"/>
              </w:rPr>
              <w:t>3.88</w:t>
            </w:r>
            <w:r w:rsidR="0075010C">
              <w:rPr>
                <w:rFonts w:cs="Calibri"/>
                <w:sz w:val="18"/>
                <w:szCs w:val="18"/>
              </w:rPr>
              <w:t>E-03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96829" w14:textId="76989831" w:rsidR="0075010C" w:rsidRPr="009B079C" w:rsidRDefault="0075010C" w:rsidP="0075010C">
            <w:pPr>
              <w:suppressAutoHyphens w:val="0"/>
              <w:jc w:val="center"/>
              <w:rPr>
                <w:rFonts w:cs="Calibri"/>
                <w:sz w:val="18"/>
                <w:szCs w:val="18"/>
                <w:lang w:eastAsia="fr-FR"/>
              </w:rPr>
            </w:pPr>
            <w:r>
              <w:rPr>
                <w:rFonts w:cs="Calibri"/>
                <w:sz w:val="18"/>
                <w:szCs w:val="18"/>
                <w:lang w:eastAsia="fr-FR"/>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9DB042" w14:textId="7384555F" w:rsidR="0075010C" w:rsidRPr="002859E7" w:rsidRDefault="00983E2F" w:rsidP="00BA238F">
            <w:pPr>
              <w:suppressAutoHyphens w:val="0"/>
              <w:jc w:val="center"/>
              <w:rPr>
                <w:rFonts w:cs="Calibri"/>
                <w:sz w:val="18"/>
                <w:szCs w:val="18"/>
              </w:rPr>
            </w:pPr>
            <w:r>
              <w:rPr>
                <w:rFonts w:cs="Calibri"/>
                <w:sz w:val="18"/>
                <w:szCs w:val="18"/>
              </w:rPr>
              <w:t>6.36</w:t>
            </w:r>
            <w:r w:rsidR="0075010C">
              <w:rPr>
                <w:rFonts w:cs="Calibri"/>
                <w:sz w:val="18"/>
                <w:szCs w:val="18"/>
              </w:rPr>
              <w:t>E-03</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517F92C4" w14:textId="7182048F" w:rsidR="0075010C" w:rsidRPr="0075010C" w:rsidRDefault="0075010C" w:rsidP="00BA238F">
            <w:pPr>
              <w:suppressAutoHyphens w:val="0"/>
              <w:jc w:val="center"/>
              <w:rPr>
                <w:rFonts w:cs="Calibri"/>
                <w:sz w:val="18"/>
                <w:szCs w:val="18"/>
                <w:lang w:val="en-US"/>
              </w:rPr>
            </w:pPr>
            <w:r w:rsidRPr="002859E7">
              <w:rPr>
                <w:rFonts w:cs="Calibri"/>
                <w:sz w:val="18"/>
                <w:szCs w:val="18"/>
                <w:lang w:val="en-US"/>
              </w:rPr>
              <w:t>&lt; 0.</w:t>
            </w:r>
            <w:r w:rsidR="001A421B">
              <w:rPr>
                <w:rFonts w:cs="Calibri"/>
                <w:sz w:val="18"/>
                <w:szCs w:val="18"/>
                <w:lang w:val="en-US"/>
              </w:rPr>
              <w:t>1</w:t>
            </w:r>
          </w:p>
        </w:tc>
      </w:tr>
      <w:tr w:rsidR="00CC32E9" w:rsidRPr="002859E7" w14:paraId="09992BFA" w14:textId="77777777" w:rsidTr="00A66FCD">
        <w:trPr>
          <w:trHeight w:val="75"/>
        </w:trPr>
        <w:tc>
          <w:tcPr>
            <w:tcW w:w="157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7CCB09" w14:textId="2C6695A4" w:rsidR="00CC32E9" w:rsidRPr="002859E7" w:rsidRDefault="00CC32E9" w:rsidP="00AE101C">
            <w:pPr>
              <w:spacing w:line="276" w:lineRule="auto"/>
              <w:rPr>
                <w:rFonts w:eastAsia="Calibri" w:cs="Arial"/>
                <w:sz w:val="18"/>
                <w:szCs w:val="18"/>
                <w:lang w:eastAsia="en-GB"/>
              </w:rPr>
            </w:pPr>
            <w:r w:rsidRPr="00AE101C">
              <w:rPr>
                <w:rFonts w:eastAsia="Calibri" w:cs="Arial"/>
                <w:sz w:val="18"/>
                <w:szCs w:val="18"/>
                <w:lang w:eastAsia="en-GB"/>
              </w:rPr>
              <w:t xml:space="preserve">Scenario </w:t>
            </w:r>
            <w:r w:rsidR="007B6DD3">
              <w:rPr>
                <w:rFonts w:eastAsia="Calibri" w:cs="Arial"/>
                <w:sz w:val="18"/>
                <w:szCs w:val="18"/>
                <w:lang w:eastAsia="en-GB"/>
              </w:rPr>
              <w:t>8</w:t>
            </w:r>
            <w:r w:rsidRPr="00AE101C">
              <w:rPr>
                <w:rFonts w:eastAsia="Calibri" w:cs="Arial"/>
                <w:sz w:val="18"/>
                <w:szCs w:val="18"/>
                <w:lang w:eastAsia="en-GB"/>
              </w:rPr>
              <w:t xml:space="preserve"> </w:t>
            </w:r>
            <w:r w:rsidRPr="002859E7">
              <w:rPr>
                <w:rFonts w:eastAsia="Calibri" w:cs="Arial"/>
                <w:sz w:val="18"/>
                <w:szCs w:val="18"/>
                <w:lang w:eastAsia="en-GB"/>
              </w:rPr>
              <w:t xml:space="preserve">– PT04 </w:t>
            </w:r>
          </w:p>
          <w:p w14:paraId="6985F195" w14:textId="2163EEBE" w:rsidR="00CC32E9" w:rsidRPr="002859E7" w:rsidRDefault="00770B5D" w:rsidP="00AE101C">
            <w:pPr>
              <w:spacing w:line="260" w:lineRule="atLeast"/>
              <w:outlineLvl w:val="0"/>
              <w:rPr>
                <w:rFonts w:eastAsia="Calibri" w:cs="Arial"/>
                <w:sz w:val="18"/>
                <w:szCs w:val="18"/>
                <w:lang w:eastAsia="en-GB"/>
              </w:rPr>
            </w:pPr>
            <w:r w:rsidRPr="00711870">
              <w:rPr>
                <w:sz w:val="18"/>
                <w:szCs w:val="18"/>
              </w:rPr>
              <w:t xml:space="preserve">Disinfection </w:t>
            </w:r>
            <w:r>
              <w:rPr>
                <w:sz w:val="18"/>
                <w:szCs w:val="18"/>
              </w:rPr>
              <w:t xml:space="preserve">in food and feed area </w:t>
            </w:r>
            <w:r w:rsidR="00CC32E9" w:rsidRPr="002859E7">
              <w:rPr>
                <w:rFonts w:eastAsia="Calibri"/>
                <w:sz w:val="18"/>
                <w:szCs w:val="18"/>
              </w:rPr>
              <w:t>Large scale</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14:paraId="5291CEC0" w14:textId="48D3A0D4" w:rsidR="00CC32E9" w:rsidRPr="002859E7" w:rsidRDefault="00983E2F" w:rsidP="00BA238F">
            <w:pPr>
              <w:suppressAutoHyphens w:val="0"/>
              <w:jc w:val="center"/>
              <w:rPr>
                <w:rFonts w:cs="Calibri"/>
                <w:sz w:val="18"/>
                <w:szCs w:val="18"/>
              </w:rPr>
            </w:pPr>
            <w:r>
              <w:rPr>
                <w:rFonts w:cs="Calibri"/>
                <w:sz w:val="18"/>
                <w:szCs w:val="18"/>
              </w:rPr>
              <w:t>1.48E-03</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14:paraId="3EB56BA0" w14:textId="462EF7D2" w:rsidR="00CC32E9" w:rsidRPr="002859E7" w:rsidRDefault="00983E2F" w:rsidP="00BA238F">
            <w:pPr>
              <w:suppressAutoHyphens w:val="0"/>
              <w:jc w:val="center"/>
              <w:rPr>
                <w:rFonts w:cs="Calibri"/>
                <w:sz w:val="18"/>
                <w:szCs w:val="18"/>
              </w:rPr>
            </w:pPr>
            <w:r>
              <w:rPr>
                <w:rFonts w:cs="Calibri"/>
                <w:sz w:val="18"/>
                <w:szCs w:val="18"/>
              </w:rPr>
              <w:t>1.04E-01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EEA4BA" w14:textId="343CBF04" w:rsidR="00CC32E9" w:rsidRPr="002859E7" w:rsidRDefault="002B4190" w:rsidP="0075010C">
            <w:pPr>
              <w:suppressAutoHyphens w:val="0"/>
              <w:jc w:val="center"/>
              <w:rPr>
                <w:rFonts w:cs="Calibri"/>
                <w:sz w:val="18"/>
                <w:szCs w:val="18"/>
              </w:rPr>
            </w:pPr>
            <w:r w:rsidRPr="009B079C">
              <w:rPr>
                <w:rFonts w:cs="Calibri"/>
                <w:sz w:val="18"/>
                <w:szCs w:val="18"/>
                <w:lang w:eastAsia="fr-FR"/>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3257F9" w14:textId="5334C3D9" w:rsidR="00CC32E9" w:rsidRPr="002859E7" w:rsidRDefault="00983E2F" w:rsidP="00BA238F">
            <w:pPr>
              <w:suppressAutoHyphens w:val="0"/>
              <w:jc w:val="center"/>
              <w:rPr>
                <w:rFonts w:cs="Calibri"/>
                <w:sz w:val="18"/>
                <w:szCs w:val="18"/>
              </w:rPr>
            </w:pPr>
            <w:r>
              <w:rPr>
                <w:rFonts w:cs="Calibri"/>
                <w:sz w:val="18"/>
                <w:szCs w:val="18"/>
              </w:rPr>
              <w:t>1.70E-01</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1C65D495" w14:textId="28E1E365" w:rsidR="00CC32E9" w:rsidRPr="002859E7" w:rsidRDefault="00CC32E9" w:rsidP="00BA238F">
            <w:pPr>
              <w:suppressAutoHyphens w:val="0"/>
              <w:jc w:val="center"/>
              <w:rPr>
                <w:rFonts w:cs="Calibri"/>
                <w:sz w:val="18"/>
                <w:szCs w:val="18"/>
              </w:rPr>
            </w:pPr>
            <w:r w:rsidRPr="002859E7">
              <w:rPr>
                <w:rFonts w:cs="Calibri"/>
                <w:sz w:val="18"/>
                <w:szCs w:val="18"/>
                <w:lang w:val="fr-FR"/>
              </w:rPr>
              <w:t>&lt; 0.1</w:t>
            </w:r>
          </w:p>
        </w:tc>
      </w:tr>
    </w:tbl>
    <w:p w14:paraId="5438D31C" w14:textId="3944A230" w:rsidR="00CC32E9" w:rsidRPr="00DD2106" w:rsidRDefault="0075010C" w:rsidP="00CC32E9">
      <w:pPr>
        <w:suppressAutoHyphens w:val="0"/>
        <w:spacing w:line="260" w:lineRule="atLeast"/>
        <w:jc w:val="both"/>
        <w:rPr>
          <w:rFonts w:eastAsia="Calibri"/>
          <w:lang w:eastAsia="en-US"/>
        </w:rPr>
      </w:pPr>
      <w:r w:rsidRPr="00DD2106">
        <w:rPr>
          <w:rFonts w:eastAsia="Calibri"/>
          <w:lang w:eastAsia="en-US"/>
        </w:rPr>
        <w:t>* After Focus refinement</w:t>
      </w:r>
    </w:p>
    <w:p w14:paraId="72BEBB99" w14:textId="77777777" w:rsidR="007B6DD3" w:rsidRDefault="007B6DD3" w:rsidP="00CC32E9">
      <w:pPr>
        <w:suppressAutoHyphens w:val="0"/>
        <w:spacing w:line="260" w:lineRule="atLeast"/>
        <w:jc w:val="both"/>
        <w:rPr>
          <w:rFonts w:eastAsia="Calibri"/>
          <w:u w:val="single"/>
          <w:lang w:eastAsia="en-US"/>
        </w:rPr>
      </w:pPr>
    </w:p>
    <w:p w14:paraId="2307C957" w14:textId="091E841B" w:rsidR="00CC32E9" w:rsidRDefault="00CC32E9" w:rsidP="00CC32E9">
      <w:pPr>
        <w:suppressAutoHyphens w:val="0"/>
        <w:spacing w:line="260" w:lineRule="atLeast"/>
        <w:jc w:val="both"/>
        <w:rPr>
          <w:rFonts w:eastAsia="Calibri"/>
          <w:lang w:eastAsia="en-US"/>
        </w:rPr>
      </w:pPr>
      <w:r w:rsidRPr="00714209">
        <w:rPr>
          <w:rFonts w:eastAsia="Calibri"/>
          <w:u w:val="single"/>
          <w:lang w:eastAsia="en-US"/>
        </w:rPr>
        <w:t>Conclusion</w:t>
      </w:r>
      <w:r w:rsidRPr="00BA0AF9">
        <w:rPr>
          <w:rFonts w:eastAsia="Calibri"/>
          <w:lang w:eastAsia="en-US"/>
        </w:rPr>
        <w:t>:</w:t>
      </w:r>
      <w:r w:rsidRPr="00BA0AF9">
        <w:rPr>
          <w:rFonts w:eastAsia="Calibri"/>
          <w:i/>
          <w:lang w:eastAsia="en-US"/>
        </w:rPr>
        <w:t xml:space="preserve"> </w:t>
      </w:r>
    </w:p>
    <w:p w14:paraId="7CC3E538" w14:textId="77777777" w:rsidR="00CC32E9" w:rsidRPr="00983E2F" w:rsidRDefault="00CC32E9" w:rsidP="00983E2F">
      <w:pPr>
        <w:suppressAutoHyphens w:val="0"/>
        <w:spacing w:line="260" w:lineRule="atLeast"/>
        <w:jc w:val="both"/>
        <w:rPr>
          <w:rFonts w:eastAsia="Calibri" w:cs="Times New Roman"/>
          <w:lang w:eastAsia="en-GB"/>
        </w:rPr>
      </w:pPr>
      <w:r w:rsidRPr="00983E2F">
        <w:t xml:space="preserve">For the substance of concern Amines, coco alkyldimethyl, N-oxides, risks to the STP, aquatic and terrestrial compartments and for groundwater are acceptable for the use of the products of </w:t>
      </w:r>
      <w:r w:rsidRPr="00983E2F">
        <w:rPr>
          <w:rFonts w:eastAsia="Calibri"/>
          <w:lang w:eastAsia="en-US"/>
        </w:rPr>
        <w:t>LACTIC ACID BASED PRODUCTS</w:t>
      </w:r>
      <w:r w:rsidRPr="00983E2F">
        <w:t>.</w:t>
      </w:r>
    </w:p>
    <w:p w14:paraId="023D94A7" w14:textId="77777777" w:rsidR="00CC32E9" w:rsidRDefault="00CC32E9" w:rsidP="00CC32E9">
      <w:pPr>
        <w:suppressAutoHyphens w:val="0"/>
        <w:spacing w:line="260" w:lineRule="atLeast"/>
        <w:jc w:val="both"/>
        <w:rPr>
          <w:rFonts w:eastAsia="Calibri"/>
          <w:u w:val="single"/>
          <w:lang w:eastAsia="en-US"/>
        </w:rPr>
      </w:pPr>
    </w:p>
    <w:p w14:paraId="0F7C6F29" w14:textId="77777777" w:rsidR="00CC32E9" w:rsidRDefault="00CC32E9" w:rsidP="00CC32E9">
      <w:pPr>
        <w:suppressAutoHyphens w:val="0"/>
        <w:spacing w:line="260" w:lineRule="atLeast"/>
        <w:jc w:val="both"/>
        <w:rPr>
          <w:rFonts w:eastAsia="Calibri"/>
          <w:u w:val="single"/>
          <w:lang w:eastAsia="en-US"/>
        </w:rPr>
      </w:pPr>
    </w:p>
    <w:tbl>
      <w:tblPr>
        <w:tblW w:w="10343" w:type="dxa"/>
        <w:tblLayout w:type="fixed"/>
        <w:tblLook w:val="0000" w:firstRow="0" w:lastRow="0" w:firstColumn="0" w:lastColumn="0" w:noHBand="0" w:noVBand="0"/>
      </w:tblPr>
      <w:tblGrid>
        <w:gridCol w:w="2660"/>
        <w:gridCol w:w="1559"/>
        <w:gridCol w:w="1843"/>
        <w:gridCol w:w="1559"/>
        <w:gridCol w:w="1559"/>
        <w:gridCol w:w="1163"/>
      </w:tblGrid>
      <w:tr w:rsidR="00CC32E9" w:rsidRPr="00594510" w14:paraId="174D45CC" w14:textId="77777777" w:rsidTr="00BA238F">
        <w:trPr>
          <w:trHeight w:val="249"/>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33C13CFB" w14:textId="7B8AA46B" w:rsidR="00CC32E9" w:rsidRPr="00594510" w:rsidRDefault="00CC32E9" w:rsidP="000F3412">
            <w:pPr>
              <w:spacing w:before="240" w:after="60" w:line="260" w:lineRule="atLeast"/>
              <w:outlineLvl w:val="0"/>
              <w:rPr>
                <w:b/>
                <w:bCs/>
                <w:sz w:val="18"/>
                <w:szCs w:val="18"/>
              </w:rPr>
            </w:pPr>
            <w:r w:rsidRPr="00594510">
              <w:rPr>
                <w:b/>
                <w:bCs/>
                <w:sz w:val="18"/>
                <w:szCs w:val="18"/>
              </w:rPr>
              <w:t xml:space="preserve">Summary table on calculated PEC/PNEC values </w:t>
            </w:r>
            <w:r w:rsidRPr="00594510">
              <w:rPr>
                <w:rFonts w:eastAsia="Calibri" w:cs="Arial"/>
                <w:b/>
                <w:bCs/>
                <w:sz w:val="18"/>
                <w:szCs w:val="18"/>
                <w:lang w:eastAsia="en-GB"/>
              </w:rPr>
              <w:t>of OTNE</w:t>
            </w:r>
          </w:p>
        </w:tc>
      </w:tr>
      <w:tr w:rsidR="00CC32E9" w:rsidRPr="00594510" w14:paraId="6D39850D" w14:textId="77777777" w:rsidTr="00A74737">
        <w:trPr>
          <w:trHeight w:val="471"/>
        </w:trPr>
        <w:tc>
          <w:tcPr>
            <w:tcW w:w="2660" w:type="dxa"/>
            <w:tcBorders>
              <w:top w:val="single" w:sz="4" w:space="0" w:color="000000"/>
              <w:left w:val="single" w:sz="4" w:space="0" w:color="000000"/>
              <w:bottom w:val="single" w:sz="4" w:space="0" w:color="auto"/>
            </w:tcBorders>
            <w:shd w:val="clear" w:color="auto" w:fill="FFFFFF"/>
            <w:vAlign w:val="center"/>
          </w:tcPr>
          <w:p w14:paraId="0A7B6A12" w14:textId="77777777" w:rsidR="00CC32E9" w:rsidRPr="00594510" w:rsidRDefault="00CC32E9">
            <w:pPr>
              <w:spacing w:line="260" w:lineRule="atLeast"/>
              <w:outlineLvl w:val="0"/>
              <w:rPr>
                <w:b/>
                <w:bCs/>
                <w:sz w:val="18"/>
                <w:szCs w:val="18"/>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BA0E88A" w14:textId="77777777" w:rsidR="00CC32E9" w:rsidRPr="00594510" w:rsidRDefault="00CC32E9">
            <w:pPr>
              <w:spacing w:line="260" w:lineRule="atLeast"/>
              <w:outlineLvl w:val="0"/>
              <w:rPr>
                <w:sz w:val="18"/>
                <w:szCs w:val="18"/>
              </w:rPr>
            </w:pPr>
            <w:r w:rsidRPr="00594510">
              <w:rPr>
                <w:b/>
                <w:bCs/>
                <w:sz w:val="18"/>
                <w:szCs w:val="18"/>
              </w:rPr>
              <w:t>PEC/PNEC</w:t>
            </w:r>
            <w:r w:rsidRPr="00594510">
              <w:rPr>
                <w:b/>
                <w:bCs/>
                <w:sz w:val="18"/>
                <w:szCs w:val="18"/>
                <w:vertAlign w:val="subscript"/>
              </w:rPr>
              <w:t>STP</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705D239" w14:textId="77777777" w:rsidR="00CC32E9" w:rsidRPr="00594510" w:rsidRDefault="00CC32E9">
            <w:pPr>
              <w:spacing w:line="260" w:lineRule="atLeast"/>
              <w:outlineLvl w:val="0"/>
              <w:rPr>
                <w:b/>
                <w:sz w:val="18"/>
                <w:szCs w:val="18"/>
              </w:rPr>
            </w:pPr>
            <w:r w:rsidRPr="00594510">
              <w:rPr>
                <w:b/>
                <w:bCs/>
                <w:sz w:val="18"/>
                <w:szCs w:val="18"/>
              </w:rPr>
              <w:t>PEC/PNEC</w:t>
            </w:r>
            <w:r w:rsidRPr="00594510">
              <w:rPr>
                <w:b/>
                <w:bCs/>
                <w:sz w:val="18"/>
                <w:szCs w:val="18"/>
                <w:vertAlign w:val="subscript"/>
              </w:rPr>
              <w:t>water</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55E9140" w14:textId="77777777" w:rsidR="00CC32E9" w:rsidRPr="00594510" w:rsidRDefault="00CC32E9">
            <w:pPr>
              <w:spacing w:line="260" w:lineRule="atLeast"/>
              <w:outlineLvl w:val="0"/>
              <w:rPr>
                <w:b/>
                <w:sz w:val="18"/>
                <w:szCs w:val="18"/>
              </w:rPr>
            </w:pPr>
            <w:r w:rsidRPr="00594510">
              <w:rPr>
                <w:b/>
                <w:sz w:val="18"/>
                <w:szCs w:val="18"/>
              </w:rPr>
              <w:t>PEC/PNEC</w:t>
            </w:r>
            <w:r w:rsidRPr="00594510">
              <w:rPr>
                <w:b/>
                <w:sz w:val="18"/>
                <w:szCs w:val="18"/>
                <w:vertAlign w:val="subscript"/>
              </w:rPr>
              <w:t>sed</w:t>
            </w:r>
            <w:r w:rsidRPr="00594510" w:rsidDel="00E8757C">
              <w:rPr>
                <w:b/>
                <w:bCs/>
                <w:sz w:val="18"/>
                <w:szCs w:val="18"/>
              </w:rPr>
              <w:t xml:space="preserve">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7F71519" w14:textId="77777777" w:rsidR="00CC32E9" w:rsidRPr="00594510" w:rsidRDefault="00CC32E9">
            <w:pPr>
              <w:spacing w:line="260" w:lineRule="atLeast"/>
              <w:outlineLvl w:val="0"/>
              <w:rPr>
                <w:sz w:val="18"/>
                <w:szCs w:val="18"/>
              </w:rPr>
            </w:pPr>
            <w:r w:rsidRPr="00594510">
              <w:rPr>
                <w:b/>
                <w:bCs/>
                <w:sz w:val="18"/>
                <w:szCs w:val="18"/>
              </w:rPr>
              <w:t>PEC/PNEC</w:t>
            </w:r>
            <w:r w:rsidRPr="00594510">
              <w:rPr>
                <w:b/>
                <w:bCs/>
                <w:sz w:val="18"/>
                <w:szCs w:val="18"/>
                <w:vertAlign w:val="subscript"/>
              </w:rPr>
              <w:t>soil</w:t>
            </w:r>
          </w:p>
        </w:tc>
        <w:tc>
          <w:tcPr>
            <w:tcW w:w="1163" w:type="dxa"/>
            <w:tcBorders>
              <w:top w:val="single" w:sz="4" w:space="0" w:color="000000"/>
              <w:left w:val="single" w:sz="4" w:space="0" w:color="000000"/>
              <w:bottom w:val="single" w:sz="4" w:space="0" w:color="auto"/>
              <w:right w:val="single" w:sz="4" w:space="0" w:color="000000"/>
            </w:tcBorders>
            <w:shd w:val="clear" w:color="auto" w:fill="FFFFFF"/>
          </w:tcPr>
          <w:p w14:paraId="14DC4D2D" w14:textId="15327599" w:rsidR="001A421B" w:rsidRDefault="00CC32E9">
            <w:pPr>
              <w:spacing w:line="260" w:lineRule="atLeast"/>
              <w:outlineLvl w:val="0"/>
              <w:rPr>
                <w:b/>
                <w:bCs/>
                <w:sz w:val="18"/>
                <w:szCs w:val="18"/>
              </w:rPr>
            </w:pPr>
            <w:r w:rsidRPr="00594510">
              <w:rPr>
                <w:b/>
                <w:bCs/>
                <w:sz w:val="18"/>
                <w:szCs w:val="18"/>
              </w:rPr>
              <w:t>GW</w:t>
            </w:r>
            <w:r w:rsidR="001A421B">
              <w:rPr>
                <w:b/>
                <w:bCs/>
                <w:sz w:val="18"/>
                <w:szCs w:val="18"/>
              </w:rPr>
              <w:t>*</w:t>
            </w:r>
          </w:p>
          <w:p w14:paraId="1CF1398D" w14:textId="62897024" w:rsidR="00CC32E9" w:rsidRPr="00594510" w:rsidRDefault="001A421B">
            <w:pPr>
              <w:spacing w:line="260" w:lineRule="atLeast"/>
              <w:outlineLvl w:val="0"/>
              <w:rPr>
                <w:b/>
                <w:bCs/>
                <w:sz w:val="18"/>
                <w:szCs w:val="18"/>
              </w:rPr>
            </w:pPr>
            <w:r>
              <w:rPr>
                <w:b/>
                <w:bCs/>
                <w:sz w:val="18"/>
                <w:szCs w:val="18"/>
              </w:rPr>
              <w:t>(µg/L)</w:t>
            </w:r>
          </w:p>
        </w:tc>
      </w:tr>
      <w:tr w:rsidR="00CC32E9" w:rsidRPr="00594510" w14:paraId="0F95BB0C" w14:textId="77777777" w:rsidTr="00A74737">
        <w:trPr>
          <w:trHeight w:val="75"/>
        </w:trPr>
        <w:tc>
          <w:tcPr>
            <w:tcW w:w="2660" w:type="dxa"/>
            <w:tcBorders>
              <w:top w:val="single" w:sz="4" w:space="0" w:color="auto"/>
              <w:left w:val="single" w:sz="4" w:space="0" w:color="000000"/>
              <w:right w:val="single" w:sz="4" w:space="0" w:color="auto"/>
            </w:tcBorders>
            <w:shd w:val="clear" w:color="auto" w:fill="FFFFFF"/>
            <w:vAlign w:val="center"/>
          </w:tcPr>
          <w:p w14:paraId="52B231B7" w14:textId="4BC3004B" w:rsidR="00CC32E9" w:rsidRPr="00594510" w:rsidRDefault="00CC32E9" w:rsidP="00AE101C">
            <w:pPr>
              <w:spacing w:line="276" w:lineRule="auto"/>
              <w:rPr>
                <w:rFonts w:eastAsia="Calibri" w:cs="Arial"/>
                <w:sz w:val="18"/>
                <w:szCs w:val="18"/>
                <w:lang w:eastAsia="en-GB"/>
              </w:rPr>
            </w:pPr>
            <w:r w:rsidRPr="00594510">
              <w:rPr>
                <w:rFonts w:eastAsia="Calibri" w:cs="Arial"/>
                <w:sz w:val="18"/>
                <w:szCs w:val="18"/>
                <w:lang w:eastAsia="en-GB"/>
              </w:rPr>
              <w:t>Scenario 1</w:t>
            </w:r>
            <w:r w:rsidR="00A74737">
              <w:rPr>
                <w:rFonts w:eastAsia="Calibri" w:cs="Arial"/>
                <w:sz w:val="18"/>
                <w:szCs w:val="18"/>
                <w:lang w:eastAsia="en-GB"/>
              </w:rPr>
              <w:t>a</w:t>
            </w:r>
            <w:r w:rsidRPr="00594510">
              <w:rPr>
                <w:rFonts w:eastAsia="Calibri" w:cs="Arial"/>
                <w:sz w:val="18"/>
                <w:szCs w:val="18"/>
                <w:lang w:eastAsia="en-GB"/>
              </w:rPr>
              <w:t xml:space="preserve"> – PT02 </w:t>
            </w:r>
          </w:p>
          <w:p w14:paraId="192A2C33" w14:textId="368395E4" w:rsidR="00A966C3" w:rsidRPr="00FD178B" w:rsidRDefault="00CC32E9" w:rsidP="00AE101C">
            <w:pPr>
              <w:spacing w:line="260" w:lineRule="atLeast"/>
              <w:outlineLvl w:val="0"/>
              <w:rPr>
                <w:rFonts w:eastAsia="Calibri" w:cs="Arial"/>
                <w:sz w:val="18"/>
                <w:szCs w:val="18"/>
                <w:lang w:eastAsia="en-GB"/>
              </w:rPr>
            </w:pPr>
            <w:r w:rsidRPr="00AE101C">
              <w:rPr>
                <w:rFonts w:eastAsia="Calibri" w:cs="Arial"/>
                <w:sz w:val="18"/>
                <w:szCs w:val="18"/>
                <w:lang w:eastAsia="en-GB"/>
              </w:rPr>
              <w:t>Institutional areas</w:t>
            </w:r>
          </w:p>
        </w:tc>
        <w:tc>
          <w:tcPr>
            <w:tcW w:w="1559" w:type="dxa"/>
            <w:tcBorders>
              <w:top w:val="single" w:sz="4" w:space="0" w:color="auto"/>
              <w:left w:val="single" w:sz="4" w:space="0" w:color="auto"/>
              <w:right w:val="single" w:sz="4" w:space="0" w:color="auto"/>
            </w:tcBorders>
            <w:shd w:val="clear" w:color="auto" w:fill="FFFFFF"/>
            <w:vAlign w:val="center"/>
          </w:tcPr>
          <w:p w14:paraId="01EE5787" w14:textId="7CEB3B20" w:rsidR="00A966C3" w:rsidRPr="00594510" w:rsidRDefault="00A966C3" w:rsidP="00FD178B">
            <w:pPr>
              <w:suppressAutoHyphens w:val="0"/>
              <w:jc w:val="center"/>
              <w:rPr>
                <w:rFonts w:cs="Calibri"/>
                <w:sz w:val="18"/>
                <w:szCs w:val="18"/>
                <w:lang w:eastAsia="fr-FR"/>
              </w:rPr>
            </w:pPr>
          </w:p>
        </w:tc>
        <w:tc>
          <w:tcPr>
            <w:tcW w:w="1843" w:type="dxa"/>
            <w:tcBorders>
              <w:top w:val="single" w:sz="4" w:space="0" w:color="auto"/>
              <w:left w:val="single" w:sz="4" w:space="0" w:color="auto"/>
              <w:right w:val="single" w:sz="4" w:space="0" w:color="auto"/>
            </w:tcBorders>
            <w:shd w:val="clear" w:color="auto" w:fill="FFFFFF"/>
            <w:vAlign w:val="center"/>
          </w:tcPr>
          <w:p w14:paraId="0663D8C8" w14:textId="39E0382A" w:rsidR="00CC32E9" w:rsidRDefault="00CC32E9" w:rsidP="00BA238F">
            <w:pPr>
              <w:suppressAutoHyphens w:val="0"/>
              <w:jc w:val="center"/>
              <w:rPr>
                <w:rFonts w:cs="Calibri"/>
                <w:b/>
                <w:sz w:val="18"/>
                <w:szCs w:val="18"/>
                <w:lang w:eastAsia="fr-FR"/>
              </w:rPr>
            </w:pPr>
          </w:p>
          <w:p w14:paraId="2FA095F5" w14:textId="0FEF2641" w:rsidR="00A966C3" w:rsidRPr="00A966C3" w:rsidRDefault="00A966C3" w:rsidP="00BA238F">
            <w:pPr>
              <w:suppressAutoHyphens w:val="0"/>
              <w:jc w:val="center"/>
              <w:rPr>
                <w:rFonts w:cs="Calibri"/>
                <w:sz w:val="18"/>
                <w:szCs w:val="18"/>
                <w:lang w:eastAsia="fr-FR"/>
              </w:rPr>
            </w:pPr>
          </w:p>
        </w:tc>
        <w:tc>
          <w:tcPr>
            <w:tcW w:w="1559" w:type="dxa"/>
            <w:tcBorders>
              <w:top w:val="single" w:sz="4" w:space="0" w:color="auto"/>
              <w:left w:val="single" w:sz="4" w:space="0" w:color="auto"/>
              <w:right w:val="single" w:sz="4" w:space="0" w:color="auto"/>
            </w:tcBorders>
            <w:shd w:val="clear" w:color="auto" w:fill="FFFFFF"/>
            <w:vAlign w:val="center"/>
          </w:tcPr>
          <w:p w14:paraId="1552AC69" w14:textId="371D9FEF" w:rsidR="00CC32E9" w:rsidRDefault="00CC32E9" w:rsidP="00BA238F">
            <w:pPr>
              <w:suppressAutoHyphens w:val="0"/>
              <w:jc w:val="center"/>
              <w:rPr>
                <w:rFonts w:cs="Calibri"/>
                <w:sz w:val="18"/>
                <w:szCs w:val="18"/>
                <w:lang w:eastAsia="fr-FR"/>
              </w:rPr>
            </w:pPr>
          </w:p>
          <w:p w14:paraId="3EA5AF86" w14:textId="3BAF9B4B" w:rsidR="00A966C3" w:rsidRPr="00594510" w:rsidRDefault="00A966C3" w:rsidP="00BA238F">
            <w:pPr>
              <w:suppressAutoHyphens w:val="0"/>
              <w:jc w:val="center"/>
              <w:rPr>
                <w:rFonts w:cs="Calibri"/>
                <w:sz w:val="18"/>
                <w:szCs w:val="18"/>
                <w:lang w:eastAsia="fr-FR"/>
              </w:rPr>
            </w:pPr>
          </w:p>
        </w:tc>
        <w:tc>
          <w:tcPr>
            <w:tcW w:w="1559" w:type="dxa"/>
            <w:tcBorders>
              <w:top w:val="single" w:sz="4" w:space="0" w:color="auto"/>
              <w:left w:val="single" w:sz="4" w:space="0" w:color="auto"/>
              <w:right w:val="single" w:sz="4" w:space="0" w:color="auto"/>
            </w:tcBorders>
            <w:shd w:val="clear" w:color="auto" w:fill="FFFFFF"/>
            <w:vAlign w:val="center"/>
          </w:tcPr>
          <w:p w14:paraId="754B7826" w14:textId="7E6BE672" w:rsidR="00A966C3" w:rsidRPr="00594510" w:rsidRDefault="00A966C3" w:rsidP="00FD178B">
            <w:pPr>
              <w:suppressAutoHyphens w:val="0"/>
              <w:jc w:val="center"/>
              <w:rPr>
                <w:rFonts w:cs="Calibri"/>
                <w:sz w:val="18"/>
                <w:szCs w:val="18"/>
                <w:lang w:eastAsia="fr-FR"/>
              </w:rPr>
            </w:pPr>
          </w:p>
        </w:tc>
        <w:tc>
          <w:tcPr>
            <w:tcW w:w="1163" w:type="dxa"/>
            <w:tcBorders>
              <w:top w:val="single" w:sz="4" w:space="0" w:color="auto"/>
              <w:left w:val="single" w:sz="4" w:space="0" w:color="auto"/>
              <w:right w:val="single" w:sz="4" w:space="0" w:color="auto"/>
            </w:tcBorders>
            <w:shd w:val="clear" w:color="auto" w:fill="FFFFFF"/>
            <w:vAlign w:val="center"/>
          </w:tcPr>
          <w:p w14:paraId="08A7BCBE" w14:textId="77777777" w:rsidR="00FD178B" w:rsidRPr="00594510" w:rsidDel="00FD178B" w:rsidRDefault="00FD178B" w:rsidP="00FD178B">
            <w:pPr>
              <w:suppressAutoHyphens w:val="0"/>
              <w:jc w:val="center"/>
              <w:rPr>
                <w:rFonts w:cs="Calibri"/>
                <w:sz w:val="18"/>
                <w:szCs w:val="18"/>
                <w:lang w:val="en-US"/>
              </w:rPr>
            </w:pPr>
          </w:p>
          <w:p w14:paraId="6B4D4D27" w14:textId="1EF0A094" w:rsidR="00A966C3" w:rsidRPr="00594510" w:rsidRDefault="00A966C3" w:rsidP="00FD178B">
            <w:pPr>
              <w:suppressAutoHyphens w:val="0"/>
              <w:jc w:val="center"/>
              <w:rPr>
                <w:rFonts w:cs="Calibri"/>
                <w:b/>
                <w:sz w:val="18"/>
                <w:szCs w:val="18"/>
              </w:rPr>
            </w:pPr>
          </w:p>
        </w:tc>
      </w:tr>
      <w:tr w:rsidR="00FD178B" w:rsidRPr="00594510" w14:paraId="31C5CB5E" w14:textId="77777777" w:rsidTr="00A74737">
        <w:trPr>
          <w:trHeight w:val="75"/>
        </w:trPr>
        <w:tc>
          <w:tcPr>
            <w:tcW w:w="2660" w:type="dxa"/>
            <w:tcBorders>
              <w:left w:val="single" w:sz="4" w:space="0" w:color="000000"/>
              <w:right w:val="single" w:sz="4" w:space="0" w:color="auto"/>
            </w:tcBorders>
            <w:shd w:val="clear" w:color="auto" w:fill="FFFFFF"/>
            <w:vAlign w:val="center"/>
          </w:tcPr>
          <w:p w14:paraId="51993FAB" w14:textId="3F7557A0" w:rsidR="00FD178B" w:rsidRPr="00FD178B" w:rsidRDefault="00597914" w:rsidP="00A74737">
            <w:pPr>
              <w:tabs>
                <w:tab w:val="left" w:pos="142"/>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FD178B">
              <w:rPr>
                <w:rFonts w:eastAsia="Calibri" w:cs="Arial"/>
                <w:sz w:val="18"/>
                <w:szCs w:val="18"/>
                <w:lang w:val="en-US" w:eastAsia="en-GB"/>
              </w:rPr>
              <w:t>Meta-SPC 9</w:t>
            </w:r>
          </w:p>
        </w:tc>
        <w:tc>
          <w:tcPr>
            <w:tcW w:w="1559" w:type="dxa"/>
            <w:tcBorders>
              <w:left w:val="single" w:sz="4" w:space="0" w:color="auto"/>
              <w:right w:val="single" w:sz="4" w:space="0" w:color="auto"/>
            </w:tcBorders>
            <w:shd w:val="clear" w:color="auto" w:fill="FFFFFF"/>
            <w:vAlign w:val="center"/>
          </w:tcPr>
          <w:p w14:paraId="7F2C60A1" w14:textId="71DC23FC" w:rsidR="00FD178B" w:rsidRPr="00594510" w:rsidRDefault="00FD178B" w:rsidP="00FD178B">
            <w:pPr>
              <w:suppressAutoHyphens w:val="0"/>
              <w:jc w:val="center"/>
              <w:rPr>
                <w:rFonts w:cs="Calibri"/>
                <w:sz w:val="18"/>
                <w:szCs w:val="18"/>
                <w:lang w:eastAsia="fr-FR"/>
              </w:rPr>
            </w:pPr>
            <w:r w:rsidRPr="00594510">
              <w:rPr>
                <w:rFonts w:cs="Calibri"/>
                <w:sz w:val="18"/>
                <w:szCs w:val="18"/>
                <w:lang w:eastAsia="fr-FR"/>
              </w:rPr>
              <w:t>5.40E-03</w:t>
            </w:r>
          </w:p>
        </w:tc>
        <w:tc>
          <w:tcPr>
            <w:tcW w:w="1843" w:type="dxa"/>
            <w:tcBorders>
              <w:left w:val="single" w:sz="4" w:space="0" w:color="auto"/>
              <w:right w:val="single" w:sz="4" w:space="0" w:color="auto"/>
            </w:tcBorders>
            <w:shd w:val="clear" w:color="auto" w:fill="FFFFFF"/>
            <w:vAlign w:val="center"/>
          </w:tcPr>
          <w:p w14:paraId="6483F4B3" w14:textId="40D60233" w:rsidR="00FD178B" w:rsidRPr="00594510" w:rsidDel="004539DD" w:rsidRDefault="00FD178B" w:rsidP="00BA238F">
            <w:pPr>
              <w:suppressAutoHyphens w:val="0"/>
              <w:jc w:val="center"/>
              <w:rPr>
                <w:rFonts w:cs="Calibri"/>
                <w:sz w:val="18"/>
                <w:szCs w:val="18"/>
                <w:lang w:eastAsia="fr-FR"/>
              </w:rPr>
            </w:pPr>
            <w:r w:rsidRPr="0098331E">
              <w:rPr>
                <w:rFonts w:cs="Calibri"/>
                <w:b/>
                <w:sz w:val="18"/>
                <w:szCs w:val="18"/>
                <w:lang w:eastAsia="fr-FR"/>
              </w:rPr>
              <w:t>1.20</w:t>
            </w:r>
          </w:p>
        </w:tc>
        <w:tc>
          <w:tcPr>
            <w:tcW w:w="1559" w:type="dxa"/>
            <w:tcBorders>
              <w:left w:val="single" w:sz="4" w:space="0" w:color="auto"/>
              <w:right w:val="single" w:sz="4" w:space="0" w:color="auto"/>
            </w:tcBorders>
            <w:shd w:val="clear" w:color="auto" w:fill="FFFFFF"/>
            <w:vAlign w:val="center"/>
          </w:tcPr>
          <w:p w14:paraId="354F6CBE" w14:textId="7171ECD3" w:rsidR="00FD178B" w:rsidRPr="00594510" w:rsidDel="004539DD" w:rsidRDefault="00FD178B" w:rsidP="00BA238F">
            <w:pPr>
              <w:suppressAutoHyphens w:val="0"/>
              <w:jc w:val="center"/>
              <w:rPr>
                <w:rFonts w:cs="Calibri"/>
                <w:sz w:val="18"/>
                <w:szCs w:val="18"/>
                <w:lang w:eastAsia="fr-FR"/>
              </w:rPr>
            </w:pPr>
            <w:r>
              <w:rPr>
                <w:rFonts w:cs="Calibri"/>
                <w:sz w:val="18"/>
                <w:szCs w:val="18"/>
                <w:lang w:eastAsia="fr-FR"/>
              </w:rPr>
              <w:t>8.98E</w:t>
            </w:r>
            <w:r w:rsidRPr="00594510">
              <w:rPr>
                <w:rFonts w:cs="Calibri"/>
                <w:sz w:val="18"/>
                <w:szCs w:val="18"/>
                <w:lang w:eastAsia="fr-FR"/>
              </w:rPr>
              <w:t>-01</w:t>
            </w:r>
          </w:p>
        </w:tc>
        <w:tc>
          <w:tcPr>
            <w:tcW w:w="1559" w:type="dxa"/>
            <w:tcBorders>
              <w:left w:val="single" w:sz="4" w:space="0" w:color="auto"/>
              <w:right w:val="single" w:sz="4" w:space="0" w:color="auto"/>
            </w:tcBorders>
            <w:shd w:val="clear" w:color="auto" w:fill="FFFFFF"/>
            <w:vAlign w:val="center"/>
          </w:tcPr>
          <w:p w14:paraId="430B7636" w14:textId="07CF55DF" w:rsidR="00FD178B" w:rsidRDefault="00FD178B" w:rsidP="00FD178B">
            <w:pPr>
              <w:suppressAutoHyphens w:val="0"/>
              <w:jc w:val="center"/>
              <w:rPr>
                <w:rFonts w:cs="Calibri"/>
                <w:sz w:val="18"/>
                <w:szCs w:val="18"/>
                <w:lang w:eastAsia="fr-FR"/>
              </w:rPr>
            </w:pPr>
            <w:r>
              <w:rPr>
                <w:rFonts w:cs="Calibri"/>
                <w:sz w:val="18"/>
                <w:szCs w:val="18"/>
                <w:lang w:eastAsia="fr-FR"/>
              </w:rPr>
              <w:t>1.44</w:t>
            </w:r>
            <w:r w:rsidRPr="00594510">
              <w:rPr>
                <w:rFonts w:cs="Calibri"/>
                <w:sz w:val="18"/>
                <w:szCs w:val="18"/>
                <w:lang w:eastAsia="fr-FR"/>
              </w:rPr>
              <w:t>E-0</w:t>
            </w:r>
            <w:r>
              <w:rPr>
                <w:rFonts w:cs="Calibri"/>
                <w:sz w:val="18"/>
                <w:szCs w:val="18"/>
                <w:lang w:eastAsia="fr-FR"/>
              </w:rPr>
              <w:t>1</w:t>
            </w:r>
          </w:p>
        </w:tc>
        <w:tc>
          <w:tcPr>
            <w:tcW w:w="1163" w:type="dxa"/>
            <w:tcBorders>
              <w:left w:val="single" w:sz="4" w:space="0" w:color="auto"/>
              <w:right w:val="single" w:sz="4" w:space="0" w:color="auto"/>
            </w:tcBorders>
            <w:shd w:val="clear" w:color="auto" w:fill="FFFFFF"/>
            <w:vAlign w:val="center"/>
          </w:tcPr>
          <w:p w14:paraId="29C2D082" w14:textId="240B6A1E" w:rsidR="00FD178B" w:rsidRDefault="00FD178B" w:rsidP="00BA238F">
            <w:pPr>
              <w:suppressAutoHyphens w:val="0"/>
              <w:jc w:val="center"/>
              <w:rPr>
                <w:rFonts w:cs="Calibri"/>
                <w:sz w:val="18"/>
                <w:szCs w:val="18"/>
                <w:lang w:val="en-US"/>
              </w:rPr>
            </w:pPr>
            <w:r w:rsidRPr="00594510">
              <w:rPr>
                <w:rFonts w:cs="Calibri"/>
                <w:sz w:val="18"/>
                <w:szCs w:val="18"/>
                <w:lang w:val="en-US"/>
              </w:rPr>
              <w:t>&lt; 0.1</w:t>
            </w:r>
          </w:p>
        </w:tc>
      </w:tr>
      <w:tr w:rsidR="00FD178B" w:rsidRPr="00594510" w14:paraId="31AD1C29" w14:textId="77777777" w:rsidTr="00A74737">
        <w:trPr>
          <w:trHeight w:val="75"/>
        </w:trPr>
        <w:tc>
          <w:tcPr>
            <w:tcW w:w="2660" w:type="dxa"/>
            <w:tcBorders>
              <w:left w:val="single" w:sz="4" w:space="0" w:color="000000"/>
              <w:bottom w:val="single" w:sz="4" w:space="0" w:color="auto"/>
              <w:right w:val="single" w:sz="4" w:space="0" w:color="auto"/>
            </w:tcBorders>
            <w:shd w:val="clear" w:color="auto" w:fill="FFFFFF"/>
            <w:vAlign w:val="center"/>
          </w:tcPr>
          <w:p w14:paraId="51C09E51" w14:textId="4CA9F86B" w:rsidR="00FD178B" w:rsidRPr="00594510" w:rsidRDefault="00597914" w:rsidP="00A74737">
            <w:pPr>
              <w:tabs>
                <w:tab w:val="left" w:pos="142"/>
              </w:tabs>
              <w:spacing w:line="276" w:lineRule="auto"/>
              <w:rPr>
                <w:rFonts w:eastAsia="Calibri" w:cs="Arial"/>
                <w:sz w:val="18"/>
                <w:szCs w:val="18"/>
                <w:lang w:eastAsia="en-GB"/>
              </w:rPr>
            </w:pPr>
            <w:r>
              <w:rPr>
                <w:rFonts w:eastAsia="Calibri" w:cs="Arial"/>
                <w:sz w:val="18"/>
                <w:szCs w:val="18"/>
                <w:lang w:val="fr-FR" w:eastAsia="en-GB"/>
              </w:rPr>
              <w:tab/>
            </w:r>
            <w:r w:rsidR="00FD178B" w:rsidRPr="00963A62">
              <w:rPr>
                <w:rFonts w:eastAsia="Calibri" w:cs="Arial"/>
                <w:sz w:val="18"/>
                <w:szCs w:val="18"/>
                <w:lang w:val="fr-FR" w:eastAsia="en-GB"/>
              </w:rPr>
              <w:t>Refinement Me</w:t>
            </w:r>
            <w:r w:rsidR="00FD178B" w:rsidRPr="006C38B3">
              <w:rPr>
                <w:rFonts w:eastAsia="Calibri" w:cs="Arial"/>
                <w:sz w:val="18"/>
                <w:szCs w:val="18"/>
                <w:lang w:val="fr-FR" w:eastAsia="en-GB"/>
              </w:rPr>
              <w:t>ta-SPC 10</w:t>
            </w:r>
          </w:p>
        </w:tc>
        <w:tc>
          <w:tcPr>
            <w:tcW w:w="1559" w:type="dxa"/>
            <w:tcBorders>
              <w:left w:val="single" w:sz="4" w:space="0" w:color="auto"/>
              <w:bottom w:val="single" w:sz="4" w:space="0" w:color="auto"/>
              <w:right w:val="single" w:sz="4" w:space="0" w:color="auto"/>
            </w:tcBorders>
            <w:shd w:val="clear" w:color="auto" w:fill="FFFFFF"/>
            <w:vAlign w:val="center"/>
          </w:tcPr>
          <w:p w14:paraId="65865E3E" w14:textId="1947B269" w:rsidR="00FD178B" w:rsidRPr="00594510" w:rsidRDefault="00FD178B" w:rsidP="00BA238F">
            <w:pPr>
              <w:suppressAutoHyphens w:val="0"/>
              <w:jc w:val="center"/>
              <w:rPr>
                <w:rFonts w:cs="Calibri"/>
                <w:sz w:val="18"/>
                <w:szCs w:val="18"/>
                <w:lang w:eastAsia="fr-FR"/>
              </w:rPr>
            </w:pPr>
            <w:r>
              <w:rPr>
                <w:rFonts w:cs="Calibri"/>
                <w:sz w:val="18"/>
                <w:szCs w:val="18"/>
                <w:lang w:eastAsia="fr-FR"/>
              </w:rPr>
              <w:t>5.40E-04</w:t>
            </w:r>
          </w:p>
        </w:tc>
        <w:tc>
          <w:tcPr>
            <w:tcW w:w="1843" w:type="dxa"/>
            <w:tcBorders>
              <w:left w:val="single" w:sz="4" w:space="0" w:color="auto"/>
              <w:bottom w:val="single" w:sz="4" w:space="0" w:color="auto"/>
              <w:right w:val="single" w:sz="4" w:space="0" w:color="auto"/>
            </w:tcBorders>
            <w:shd w:val="clear" w:color="auto" w:fill="FFFFFF"/>
            <w:vAlign w:val="center"/>
          </w:tcPr>
          <w:p w14:paraId="6EDA620A" w14:textId="69060CBE" w:rsidR="00FD178B" w:rsidRPr="00594510" w:rsidDel="004539DD" w:rsidRDefault="00FD178B" w:rsidP="00BA238F">
            <w:pPr>
              <w:suppressAutoHyphens w:val="0"/>
              <w:jc w:val="center"/>
              <w:rPr>
                <w:rFonts w:cs="Calibri"/>
                <w:sz w:val="18"/>
                <w:szCs w:val="18"/>
                <w:lang w:eastAsia="fr-FR"/>
              </w:rPr>
            </w:pPr>
            <w:r w:rsidRPr="00D341E1">
              <w:rPr>
                <w:rFonts w:cs="Calibri"/>
                <w:sz w:val="18"/>
                <w:szCs w:val="18"/>
                <w:lang w:eastAsia="fr-FR"/>
              </w:rPr>
              <w:t>1.20E-01</w:t>
            </w:r>
          </w:p>
        </w:tc>
        <w:tc>
          <w:tcPr>
            <w:tcW w:w="1559" w:type="dxa"/>
            <w:tcBorders>
              <w:left w:val="single" w:sz="4" w:space="0" w:color="auto"/>
              <w:bottom w:val="single" w:sz="4" w:space="0" w:color="auto"/>
              <w:right w:val="single" w:sz="4" w:space="0" w:color="auto"/>
            </w:tcBorders>
            <w:shd w:val="clear" w:color="auto" w:fill="FFFFFF"/>
            <w:vAlign w:val="center"/>
          </w:tcPr>
          <w:p w14:paraId="4AEFFA97" w14:textId="02D1E6EF" w:rsidR="00FD178B" w:rsidRPr="00594510" w:rsidDel="004539DD" w:rsidRDefault="00FD178B" w:rsidP="00BA238F">
            <w:pPr>
              <w:suppressAutoHyphens w:val="0"/>
              <w:jc w:val="center"/>
              <w:rPr>
                <w:rFonts w:cs="Calibri"/>
                <w:sz w:val="18"/>
                <w:szCs w:val="18"/>
                <w:lang w:eastAsia="fr-FR"/>
              </w:rPr>
            </w:pPr>
            <w:r>
              <w:rPr>
                <w:rFonts w:cs="Calibri"/>
                <w:sz w:val="18"/>
                <w:szCs w:val="18"/>
                <w:lang w:eastAsia="fr-FR"/>
              </w:rPr>
              <w:t>8.98E-02</w:t>
            </w:r>
          </w:p>
        </w:tc>
        <w:tc>
          <w:tcPr>
            <w:tcW w:w="1559" w:type="dxa"/>
            <w:tcBorders>
              <w:left w:val="single" w:sz="4" w:space="0" w:color="auto"/>
              <w:bottom w:val="single" w:sz="4" w:space="0" w:color="auto"/>
              <w:right w:val="single" w:sz="4" w:space="0" w:color="auto"/>
            </w:tcBorders>
            <w:shd w:val="clear" w:color="auto" w:fill="FFFFFF"/>
            <w:vAlign w:val="center"/>
          </w:tcPr>
          <w:p w14:paraId="736D4E7D" w14:textId="0A693884" w:rsidR="00FD178B" w:rsidRDefault="00FD178B" w:rsidP="00BA238F">
            <w:pPr>
              <w:suppressAutoHyphens w:val="0"/>
              <w:jc w:val="center"/>
              <w:rPr>
                <w:rFonts w:cs="Calibri"/>
                <w:sz w:val="18"/>
                <w:szCs w:val="18"/>
                <w:lang w:eastAsia="fr-FR"/>
              </w:rPr>
            </w:pPr>
            <w:r>
              <w:rPr>
                <w:rFonts w:cs="Calibri"/>
                <w:sz w:val="18"/>
                <w:szCs w:val="18"/>
                <w:lang w:eastAsia="fr-FR"/>
              </w:rPr>
              <w:t>1.44E-02</w:t>
            </w:r>
          </w:p>
        </w:tc>
        <w:tc>
          <w:tcPr>
            <w:tcW w:w="1163" w:type="dxa"/>
            <w:tcBorders>
              <w:left w:val="single" w:sz="4" w:space="0" w:color="auto"/>
              <w:bottom w:val="single" w:sz="4" w:space="0" w:color="auto"/>
              <w:right w:val="single" w:sz="4" w:space="0" w:color="auto"/>
            </w:tcBorders>
            <w:shd w:val="clear" w:color="auto" w:fill="FFFFFF"/>
            <w:vAlign w:val="center"/>
          </w:tcPr>
          <w:p w14:paraId="4369173B" w14:textId="37605E4A" w:rsidR="00FD178B" w:rsidRPr="00594510" w:rsidRDefault="00FD178B" w:rsidP="00BA238F">
            <w:pPr>
              <w:suppressAutoHyphens w:val="0"/>
              <w:jc w:val="center"/>
              <w:rPr>
                <w:rFonts w:cs="Calibri"/>
                <w:sz w:val="18"/>
                <w:szCs w:val="18"/>
                <w:lang w:val="en-US"/>
              </w:rPr>
            </w:pPr>
            <w:r w:rsidRPr="00594510">
              <w:rPr>
                <w:rFonts w:cs="Calibri"/>
                <w:sz w:val="18"/>
                <w:szCs w:val="18"/>
                <w:lang w:val="en-US"/>
              </w:rPr>
              <w:t>&lt; 0.1</w:t>
            </w:r>
          </w:p>
        </w:tc>
      </w:tr>
      <w:tr w:rsidR="00CC32E9" w:rsidRPr="00594510" w14:paraId="5DDEC657" w14:textId="77777777" w:rsidTr="00A74737">
        <w:trPr>
          <w:trHeight w:val="75"/>
        </w:trPr>
        <w:tc>
          <w:tcPr>
            <w:tcW w:w="2660" w:type="dxa"/>
            <w:tcBorders>
              <w:top w:val="single" w:sz="4" w:space="0" w:color="auto"/>
              <w:left w:val="single" w:sz="4" w:space="0" w:color="000000"/>
              <w:bottom w:val="single" w:sz="4" w:space="0" w:color="000000"/>
              <w:right w:val="single" w:sz="4" w:space="0" w:color="auto"/>
            </w:tcBorders>
            <w:shd w:val="clear" w:color="auto" w:fill="FFFFFF"/>
            <w:vAlign w:val="center"/>
          </w:tcPr>
          <w:p w14:paraId="7E3561CB" w14:textId="77777777" w:rsidR="00CC32E9" w:rsidRPr="00AE101C" w:rsidRDefault="00CC32E9" w:rsidP="00AE101C">
            <w:pPr>
              <w:spacing w:line="276" w:lineRule="auto"/>
              <w:rPr>
                <w:rFonts w:eastAsia="Calibri" w:cs="Arial"/>
                <w:sz w:val="18"/>
                <w:szCs w:val="18"/>
                <w:lang w:eastAsia="en-GB"/>
              </w:rPr>
            </w:pPr>
            <w:r w:rsidRPr="00594510">
              <w:rPr>
                <w:rFonts w:eastAsia="Calibri" w:cs="Arial"/>
                <w:sz w:val="18"/>
                <w:szCs w:val="18"/>
                <w:lang w:eastAsia="en-GB"/>
              </w:rPr>
              <w:t>Scenario 2 – PT02</w:t>
            </w:r>
            <w:r w:rsidRPr="00AE101C">
              <w:rPr>
                <w:rFonts w:eastAsia="Calibri" w:cs="Arial"/>
                <w:sz w:val="18"/>
                <w:szCs w:val="18"/>
                <w:lang w:eastAsia="en-GB"/>
              </w:rPr>
              <w:t xml:space="preserve"> </w:t>
            </w:r>
          </w:p>
          <w:p w14:paraId="35687196" w14:textId="77777777" w:rsidR="00CC32E9" w:rsidRDefault="00CC32E9" w:rsidP="00AE101C">
            <w:pPr>
              <w:spacing w:line="260" w:lineRule="atLeast"/>
              <w:outlineLvl w:val="0"/>
              <w:rPr>
                <w:rFonts w:eastAsia="Calibri" w:cs="Arial"/>
                <w:sz w:val="18"/>
                <w:szCs w:val="18"/>
                <w:lang w:eastAsia="en-GB"/>
              </w:rPr>
            </w:pPr>
            <w:r w:rsidRPr="00594510">
              <w:rPr>
                <w:rFonts w:eastAsia="Calibri" w:cs="Arial"/>
                <w:sz w:val="18"/>
                <w:szCs w:val="18"/>
                <w:lang w:eastAsia="en-GB"/>
              </w:rPr>
              <w:t>Industrial areas</w:t>
            </w:r>
          </w:p>
          <w:p w14:paraId="60F5AFEA" w14:textId="1121168A" w:rsidR="00CC32E9" w:rsidRPr="00AE101C" w:rsidRDefault="008E6134" w:rsidP="00AE101C">
            <w:pPr>
              <w:spacing w:line="260" w:lineRule="atLeast"/>
              <w:outlineLvl w:val="0"/>
              <w:rPr>
                <w:rFonts w:eastAsia="Calibri" w:cs="Arial"/>
                <w:sz w:val="18"/>
                <w:szCs w:val="18"/>
                <w:lang w:eastAsia="en-GB"/>
              </w:rPr>
            </w:pPr>
            <w:r w:rsidRPr="00594510">
              <w:rPr>
                <w:rFonts w:cs="Calibri"/>
                <w:sz w:val="18"/>
                <w:szCs w:val="18"/>
                <w:lang w:val="fr-FR" w:eastAsia="fr-FR"/>
              </w:rPr>
              <w:t>Large Scale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6A97EC" w14:textId="576731C7" w:rsidR="00CC32E9" w:rsidRPr="00594510" w:rsidRDefault="00CC32E9" w:rsidP="00BA238F">
            <w:pPr>
              <w:suppressAutoHyphens w:val="0"/>
              <w:jc w:val="center"/>
              <w:rPr>
                <w:rFonts w:cs="Calibri"/>
                <w:sz w:val="18"/>
                <w:szCs w:val="18"/>
                <w:lang w:val="fr-FR" w:eastAsia="fr-FR"/>
              </w:rPr>
            </w:pPr>
            <w:r w:rsidRPr="00594510">
              <w:rPr>
                <w:rFonts w:cs="Calibri"/>
                <w:sz w:val="18"/>
                <w:szCs w:val="18"/>
                <w:lang w:val="fr-FR" w:eastAsia="fr-FR"/>
              </w:rPr>
              <w:t>1.23E-03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0531280" w14:textId="41A326EE" w:rsidR="00CC32E9" w:rsidRPr="00594510" w:rsidRDefault="00CC32E9" w:rsidP="00BA238F">
            <w:pPr>
              <w:suppressAutoHyphens w:val="0"/>
              <w:jc w:val="center"/>
              <w:rPr>
                <w:rFonts w:cs="Calibri"/>
                <w:sz w:val="18"/>
                <w:szCs w:val="18"/>
                <w:lang w:val="fr-FR" w:eastAsia="fr-FR"/>
              </w:rPr>
            </w:pPr>
            <w:r w:rsidRPr="00594510">
              <w:rPr>
                <w:rFonts w:cs="Calibri"/>
                <w:sz w:val="18"/>
                <w:szCs w:val="18"/>
                <w:lang w:val="fr-FR" w:eastAsia="fr-FR"/>
              </w:rPr>
              <w:t>2.</w:t>
            </w:r>
            <w:r w:rsidR="004539DD">
              <w:rPr>
                <w:rFonts w:cs="Calibri"/>
                <w:sz w:val="18"/>
                <w:szCs w:val="18"/>
                <w:lang w:val="fr-FR" w:eastAsia="fr-FR"/>
              </w:rPr>
              <w:t>75</w:t>
            </w:r>
            <w:r w:rsidRPr="00594510">
              <w:rPr>
                <w:rFonts w:cs="Calibri"/>
                <w:sz w:val="18"/>
                <w:szCs w:val="18"/>
                <w:lang w:val="fr-FR" w:eastAsia="fr-FR"/>
              </w:rPr>
              <w:t>E-01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F98333" w14:textId="143BB72B" w:rsidR="00CC32E9" w:rsidRPr="004539DD" w:rsidRDefault="004539DD" w:rsidP="00BA238F">
            <w:pPr>
              <w:suppressAutoHyphens w:val="0"/>
              <w:jc w:val="center"/>
              <w:rPr>
                <w:rFonts w:cs="Calibri"/>
                <w:sz w:val="18"/>
                <w:szCs w:val="18"/>
                <w:lang w:val="en-US" w:eastAsia="fr-FR"/>
              </w:rPr>
            </w:pPr>
            <w:r w:rsidRPr="00A66FCD">
              <w:rPr>
                <w:rFonts w:cs="Calibri"/>
                <w:sz w:val="18"/>
                <w:szCs w:val="18"/>
                <w:lang w:val="en-US" w:eastAsia="fr-FR"/>
              </w:rPr>
              <w:t>2</w:t>
            </w:r>
            <w:r w:rsidRPr="004539DD">
              <w:rPr>
                <w:rFonts w:cs="Calibri"/>
                <w:sz w:val="18"/>
                <w:szCs w:val="18"/>
                <w:lang w:val="en-US" w:eastAsia="fr-FR"/>
              </w:rPr>
              <w:t>.</w:t>
            </w:r>
            <w:r>
              <w:rPr>
                <w:rFonts w:cs="Calibri"/>
                <w:sz w:val="18"/>
                <w:szCs w:val="18"/>
                <w:lang w:val="en-US" w:eastAsia="fr-FR"/>
              </w:rPr>
              <w:t>05E</w:t>
            </w:r>
            <w:r w:rsidR="00CC32E9" w:rsidRPr="004539DD">
              <w:rPr>
                <w:rFonts w:cs="Calibri"/>
                <w:sz w:val="18"/>
                <w:szCs w:val="18"/>
                <w:lang w:val="en-US" w:eastAsia="fr-FR"/>
              </w:rPr>
              <w:t xml:space="preserve">-01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2B3F66" w14:textId="694A497A" w:rsidR="00CC32E9" w:rsidRPr="00594510" w:rsidRDefault="00CC32E9" w:rsidP="00BA238F">
            <w:pPr>
              <w:suppressAutoHyphens w:val="0"/>
              <w:jc w:val="center"/>
              <w:rPr>
                <w:rFonts w:cs="Calibri"/>
                <w:sz w:val="18"/>
                <w:szCs w:val="18"/>
                <w:lang w:val="en-US" w:eastAsia="fr-FR"/>
              </w:rPr>
            </w:pPr>
            <w:r>
              <w:rPr>
                <w:rFonts w:cs="Calibri"/>
                <w:sz w:val="18"/>
                <w:szCs w:val="18"/>
                <w:lang w:val="en-US" w:eastAsia="fr-FR"/>
              </w:rPr>
              <w:t>3.29</w:t>
            </w:r>
            <w:r w:rsidRPr="00594510">
              <w:rPr>
                <w:rFonts w:cs="Calibri"/>
                <w:sz w:val="18"/>
                <w:szCs w:val="18"/>
                <w:lang w:val="en-US" w:eastAsia="fr-FR"/>
              </w:rPr>
              <w:t xml:space="preserve">E-02 </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E2C2044" w14:textId="3F46747C" w:rsidR="00CC32E9" w:rsidRPr="00594510" w:rsidRDefault="00CC32E9" w:rsidP="00BA238F">
            <w:pPr>
              <w:suppressAutoHyphens w:val="0"/>
              <w:jc w:val="center"/>
              <w:rPr>
                <w:rFonts w:cs="Calibri"/>
                <w:b/>
                <w:sz w:val="18"/>
                <w:szCs w:val="18"/>
                <w:lang w:val="en-US"/>
              </w:rPr>
            </w:pPr>
            <w:r w:rsidRPr="00594510">
              <w:rPr>
                <w:rFonts w:cs="Calibri"/>
                <w:sz w:val="18"/>
                <w:szCs w:val="18"/>
                <w:lang w:val="en-US"/>
              </w:rPr>
              <w:t>&lt; 0.1</w:t>
            </w:r>
          </w:p>
        </w:tc>
      </w:tr>
      <w:tr w:rsidR="004539DD" w:rsidRPr="00594510" w14:paraId="3176F5FB" w14:textId="77777777" w:rsidTr="00A74737">
        <w:trPr>
          <w:trHeight w:val="75"/>
        </w:trPr>
        <w:tc>
          <w:tcPr>
            <w:tcW w:w="266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49BF67" w14:textId="04714548" w:rsidR="004539DD" w:rsidRPr="00594510" w:rsidRDefault="004539DD" w:rsidP="00AE101C">
            <w:pPr>
              <w:spacing w:line="276" w:lineRule="auto"/>
              <w:rPr>
                <w:rFonts w:eastAsia="Calibri" w:cs="Arial"/>
                <w:sz w:val="18"/>
                <w:szCs w:val="18"/>
                <w:lang w:eastAsia="en-GB"/>
              </w:rPr>
            </w:pPr>
            <w:r>
              <w:rPr>
                <w:rFonts w:eastAsia="Calibri" w:cs="Arial"/>
                <w:sz w:val="18"/>
                <w:szCs w:val="18"/>
                <w:lang w:eastAsia="en-GB"/>
              </w:rPr>
              <w:t xml:space="preserve">Scenario 3 - </w:t>
            </w:r>
            <w:r>
              <w:rPr>
                <w:rFonts w:eastAsia="Calibri"/>
                <w:sz w:val="18"/>
                <w:szCs w:val="18"/>
                <w:lang w:eastAsia="en-US"/>
              </w:rPr>
              <w:t>PT02 Disinfection of rooms, furniture and objects in medical sector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4086B7" w14:textId="172F2D9C" w:rsidR="004539DD" w:rsidRPr="004539DD" w:rsidRDefault="00FD178B" w:rsidP="00BA238F">
            <w:pPr>
              <w:suppressAutoHyphens w:val="0"/>
              <w:jc w:val="center"/>
              <w:rPr>
                <w:rFonts w:cs="Calibri"/>
                <w:sz w:val="18"/>
                <w:szCs w:val="18"/>
                <w:lang w:val="en-US" w:eastAsia="fr-FR"/>
              </w:rPr>
            </w:pPr>
            <w:r>
              <w:rPr>
                <w:rFonts w:cs="Calibri"/>
                <w:sz w:val="18"/>
                <w:szCs w:val="18"/>
                <w:lang w:val="en-US" w:eastAsia="fr-FR"/>
              </w:rPr>
              <w:t>4.63</w:t>
            </w:r>
            <w:r w:rsidR="004539DD">
              <w:rPr>
                <w:rFonts w:cs="Calibri"/>
                <w:sz w:val="18"/>
                <w:szCs w:val="18"/>
                <w:lang w:val="en-US" w:eastAsia="fr-FR"/>
              </w:rPr>
              <w:t>E-04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7D1271" w14:textId="671B8F42" w:rsidR="004539DD" w:rsidRPr="004539DD" w:rsidRDefault="00FD178B" w:rsidP="00BA238F">
            <w:pPr>
              <w:suppressAutoHyphens w:val="0"/>
              <w:jc w:val="center"/>
              <w:rPr>
                <w:rFonts w:cs="Calibri"/>
                <w:sz w:val="18"/>
                <w:szCs w:val="18"/>
                <w:lang w:val="en-US" w:eastAsia="fr-FR"/>
              </w:rPr>
            </w:pPr>
            <w:r>
              <w:rPr>
                <w:rFonts w:cs="Calibri"/>
                <w:sz w:val="18"/>
                <w:szCs w:val="18"/>
                <w:lang w:val="en-US" w:eastAsia="fr-FR"/>
              </w:rPr>
              <w:t>1.03E-01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E394B78" w14:textId="43E0AD04" w:rsidR="004539DD" w:rsidRPr="004539DD" w:rsidRDefault="00FD178B" w:rsidP="00BA238F">
            <w:pPr>
              <w:suppressAutoHyphens w:val="0"/>
              <w:jc w:val="center"/>
              <w:rPr>
                <w:rFonts w:cs="Calibri"/>
                <w:sz w:val="18"/>
                <w:szCs w:val="18"/>
                <w:lang w:val="en-US" w:eastAsia="fr-FR"/>
              </w:rPr>
            </w:pPr>
            <w:r>
              <w:rPr>
                <w:rFonts w:cs="Calibri"/>
                <w:sz w:val="18"/>
                <w:szCs w:val="18"/>
                <w:lang w:val="en-US" w:eastAsia="fr-FR"/>
              </w:rPr>
              <w:t>7.69E-02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11334D" w14:textId="73E9E49F" w:rsidR="004539DD" w:rsidRDefault="00FD178B" w:rsidP="00BA238F">
            <w:pPr>
              <w:suppressAutoHyphens w:val="0"/>
              <w:jc w:val="center"/>
              <w:rPr>
                <w:rFonts w:cs="Calibri"/>
                <w:sz w:val="18"/>
                <w:szCs w:val="18"/>
                <w:lang w:val="en-US" w:eastAsia="fr-FR"/>
              </w:rPr>
            </w:pPr>
            <w:r>
              <w:rPr>
                <w:rFonts w:cs="Calibri"/>
                <w:sz w:val="18"/>
                <w:szCs w:val="18"/>
                <w:lang w:val="en-US" w:eastAsia="fr-FR"/>
              </w:rPr>
              <w:t>1.23E-02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9EA02B7" w14:textId="6E89C548" w:rsidR="004539DD" w:rsidRPr="00594510" w:rsidRDefault="004539DD" w:rsidP="00BA238F">
            <w:pPr>
              <w:suppressAutoHyphens w:val="0"/>
              <w:jc w:val="center"/>
              <w:rPr>
                <w:rFonts w:cs="Calibri"/>
                <w:sz w:val="18"/>
                <w:szCs w:val="18"/>
                <w:lang w:val="en-US"/>
              </w:rPr>
            </w:pPr>
            <w:r w:rsidRPr="00594510">
              <w:rPr>
                <w:rFonts w:cs="Calibri"/>
                <w:sz w:val="18"/>
                <w:szCs w:val="18"/>
                <w:lang w:val="en-US"/>
              </w:rPr>
              <w:t>&lt; 0.1</w:t>
            </w:r>
          </w:p>
        </w:tc>
      </w:tr>
      <w:tr w:rsidR="00CC32E9" w:rsidRPr="00594510" w14:paraId="4B8BB50F" w14:textId="77777777" w:rsidTr="00A74737">
        <w:trPr>
          <w:trHeight w:val="75"/>
        </w:trPr>
        <w:tc>
          <w:tcPr>
            <w:tcW w:w="266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6BD830" w14:textId="77777777" w:rsidR="00CC32E9" w:rsidRPr="00594510" w:rsidRDefault="00CC32E9" w:rsidP="00AE101C">
            <w:pPr>
              <w:spacing w:line="276" w:lineRule="auto"/>
              <w:rPr>
                <w:rFonts w:eastAsia="Calibri" w:cs="Arial"/>
                <w:sz w:val="18"/>
                <w:szCs w:val="18"/>
                <w:lang w:eastAsia="en-GB"/>
              </w:rPr>
            </w:pPr>
            <w:r w:rsidRPr="00AE101C">
              <w:rPr>
                <w:rFonts w:eastAsia="Calibri" w:cs="Arial"/>
                <w:sz w:val="18"/>
                <w:szCs w:val="18"/>
                <w:lang w:eastAsia="en-GB"/>
              </w:rPr>
              <w:t xml:space="preserve">Scenario 4 </w:t>
            </w:r>
            <w:r w:rsidRPr="00594510">
              <w:rPr>
                <w:rFonts w:eastAsia="Calibri" w:cs="Arial"/>
                <w:sz w:val="18"/>
                <w:szCs w:val="18"/>
                <w:lang w:eastAsia="en-GB"/>
              </w:rPr>
              <w:t xml:space="preserve">– PT02 </w:t>
            </w:r>
          </w:p>
          <w:p w14:paraId="32518873" w14:textId="77777777" w:rsidR="00CC32E9" w:rsidRPr="00594510" w:rsidRDefault="00CC32E9" w:rsidP="00AE101C">
            <w:pPr>
              <w:spacing w:line="260" w:lineRule="atLeast"/>
              <w:outlineLvl w:val="0"/>
              <w:rPr>
                <w:rFonts w:eastAsia="Calibri" w:cs="Arial"/>
                <w:sz w:val="18"/>
                <w:szCs w:val="18"/>
                <w:lang w:eastAsia="en-GB"/>
              </w:rPr>
            </w:pPr>
            <w:r w:rsidRPr="00AE101C">
              <w:rPr>
                <w:rFonts w:eastAsia="Calibri" w:cs="Arial"/>
                <w:sz w:val="18"/>
                <w:szCs w:val="18"/>
                <w:lang w:eastAsia="en-GB"/>
              </w:rPr>
              <w:t>Road ways indirect emission via STP</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EC638A" w14:textId="77777777" w:rsidR="00CC32E9" w:rsidRPr="00594510" w:rsidRDefault="00CC32E9" w:rsidP="00BA238F">
            <w:pPr>
              <w:suppressAutoHyphens w:val="0"/>
              <w:jc w:val="center"/>
              <w:rPr>
                <w:rFonts w:cs="Calibri"/>
                <w:sz w:val="18"/>
                <w:szCs w:val="18"/>
              </w:rPr>
            </w:pPr>
            <w:r w:rsidRPr="00594510">
              <w:rPr>
                <w:rFonts w:cs="Calibri"/>
                <w:sz w:val="18"/>
                <w:szCs w:val="18"/>
              </w:rPr>
              <w:t>1.85E-02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B39514" w14:textId="39059A4E" w:rsidR="00CC32E9" w:rsidRPr="00594510" w:rsidRDefault="004539DD" w:rsidP="00BA238F">
            <w:pPr>
              <w:suppressAutoHyphens w:val="0"/>
              <w:jc w:val="center"/>
              <w:rPr>
                <w:rFonts w:cs="Calibri"/>
                <w:b/>
                <w:sz w:val="18"/>
                <w:szCs w:val="18"/>
              </w:rPr>
            </w:pPr>
            <w:r>
              <w:rPr>
                <w:rFonts w:cs="Calibri"/>
                <w:b/>
                <w:sz w:val="18"/>
                <w:szCs w:val="18"/>
              </w:rPr>
              <w:t>4.13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6AE220" w14:textId="6B999111" w:rsidR="00CC32E9" w:rsidRPr="00594510" w:rsidRDefault="004539DD" w:rsidP="00BA238F">
            <w:pPr>
              <w:suppressAutoHyphens w:val="0"/>
              <w:jc w:val="center"/>
              <w:rPr>
                <w:rFonts w:cs="Calibri"/>
                <w:b/>
                <w:sz w:val="18"/>
                <w:szCs w:val="18"/>
              </w:rPr>
            </w:pPr>
            <w:r>
              <w:rPr>
                <w:rFonts w:cs="Calibri"/>
                <w:b/>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71D8DC" w14:textId="77777777" w:rsidR="00CC32E9" w:rsidRPr="00594510" w:rsidRDefault="00CC32E9" w:rsidP="00BA238F">
            <w:pPr>
              <w:suppressAutoHyphens w:val="0"/>
              <w:jc w:val="center"/>
              <w:rPr>
                <w:rFonts w:cs="Calibri"/>
                <w:sz w:val="18"/>
                <w:szCs w:val="18"/>
              </w:rPr>
            </w:pPr>
            <w:r>
              <w:rPr>
                <w:rFonts w:cs="Calibri"/>
                <w:sz w:val="18"/>
                <w:szCs w:val="18"/>
              </w:rPr>
              <w:t>4.93</w:t>
            </w:r>
            <w:r w:rsidRPr="00594510">
              <w:rPr>
                <w:rFonts w:cs="Calibri"/>
                <w:sz w:val="18"/>
                <w:szCs w:val="18"/>
              </w:rPr>
              <w:t>E-01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0997E35" w14:textId="50A84D23" w:rsidR="00CC32E9" w:rsidRPr="00594510" w:rsidRDefault="00CC32E9" w:rsidP="00BA238F">
            <w:pPr>
              <w:suppressAutoHyphens w:val="0"/>
              <w:jc w:val="center"/>
              <w:rPr>
                <w:rFonts w:cs="Calibri"/>
                <w:b/>
                <w:sz w:val="18"/>
                <w:szCs w:val="18"/>
              </w:rPr>
            </w:pPr>
            <w:r w:rsidRPr="00594510">
              <w:rPr>
                <w:rFonts w:cs="Calibri"/>
                <w:sz w:val="18"/>
                <w:szCs w:val="18"/>
                <w:lang w:val="en-US"/>
              </w:rPr>
              <w:t>&lt; 0.1</w:t>
            </w:r>
          </w:p>
        </w:tc>
      </w:tr>
      <w:tr w:rsidR="00CC32E9" w:rsidRPr="00594510" w14:paraId="05D3D068" w14:textId="77777777" w:rsidTr="00A74737">
        <w:trPr>
          <w:trHeight w:val="75"/>
        </w:trPr>
        <w:tc>
          <w:tcPr>
            <w:tcW w:w="266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ADD964" w14:textId="77777777" w:rsidR="00CC32E9" w:rsidRPr="00594510" w:rsidRDefault="00CC32E9" w:rsidP="00AE101C">
            <w:pPr>
              <w:spacing w:line="276" w:lineRule="auto"/>
              <w:rPr>
                <w:rFonts w:eastAsia="Calibri" w:cs="Arial"/>
                <w:sz w:val="18"/>
                <w:szCs w:val="18"/>
                <w:lang w:eastAsia="en-GB"/>
              </w:rPr>
            </w:pPr>
            <w:r w:rsidRPr="00AE101C">
              <w:rPr>
                <w:rFonts w:eastAsia="Calibri" w:cs="Arial"/>
                <w:sz w:val="18"/>
                <w:szCs w:val="18"/>
                <w:lang w:eastAsia="en-GB"/>
              </w:rPr>
              <w:t xml:space="preserve">Scenario 5 </w:t>
            </w:r>
            <w:r w:rsidRPr="00594510">
              <w:rPr>
                <w:rFonts w:eastAsia="Calibri" w:cs="Arial"/>
                <w:sz w:val="18"/>
                <w:szCs w:val="18"/>
                <w:lang w:eastAsia="en-GB"/>
              </w:rPr>
              <w:t>– PT02</w:t>
            </w:r>
          </w:p>
          <w:p w14:paraId="2D799C1C" w14:textId="77777777" w:rsidR="00CC32E9" w:rsidRPr="00594510" w:rsidRDefault="00CC32E9" w:rsidP="00A74737">
            <w:pPr>
              <w:spacing w:line="276" w:lineRule="auto"/>
              <w:outlineLvl w:val="0"/>
              <w:rPr>
                <w:rFonts w:eastAsia="Calibri" w:cs="Arial"/>
                <w:sz w:val="18"/>
                <w:szCs w:val="18"/>
                <w:lang w:eastAsia="en-GB"/>
              </w:rPr>
            </w:pPr>
            <w:r w:rsidRPr="00AE101C">
              <w:rPr>
                <w:rFonts w:eastAsia="Calibri" w:cs="Arial"/>
                <w:sz w:val="18"/>
                <w:szCs w:val="18"/>
                <w:lang w:eastAsia="en-GB"/>
              </w:rPr>
              <w:t>Road ways direct emission to surface water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669C4A"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868C9C" w14:textId="2C98B12A" w:rsidR="00CC32E9" w:rsidRPr="00594510" w:rsidRDefault="004539DD" w:rsidP="00BA238F">
            <w:pPr>
              <w:suppressAutoHyphens w:val="0"/>
              <w:jc w:val="center"/>
              <w:rPr>
                <w:rFonts w:cs="Calibri"/>
                <w:b/>
                <w:sz w:val="18"/>
                <w:szCs w:val="18"/>
              </w:rPr>
            </w:pPr>
            <w:r>
              <w:rPr>
                <w:rFonts w:cs="Calibri"/>
                <w:b/>
                <w:sz w:val="18"/>
                <w:szCs w:val="18"/>
              </w:rPr>
              <w:t>4.02E</w:t>
            </w:r>
            <w:r w:rsidR="00CC32E9" w:rsidRPr="00594510">
              <w:rPr>
                <w:rFonts w:cs="Calibri"/>
                <w:b/>
                <w:sz w:val="18"/>
                <w:szCs w:val="18"/>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CD32AF" w14:textId="37613E6F" w:rsidR="00CC32E9" w:rsidRPr="00594510" w:rsidRDefault="00CC32E9" w:rsidP="00BA238F">
            <w:pPr>
              <w:suppressAutoHyphens w:val="0"/>
              <w:jc w:val="center"/>
              <w:rPr>
                <w:rFonts w:cs="Calibri"/>
                <w:b/>
                <w:sz w:val="18"/>
                <w:szCs w:val="18"/>
              </w:rPr>
            </w:pPr>
            <w:r w:rsidRPr="00594510">
              <w:rPr>
                <w:rFonts w:cs="Calibri"/>
                <w:b/>
                <w:sz w:val="18"/>
                <w:szCs w:val="18"/>
              </w:rPr>
              <w:t>2.</w:t>
            </w:r>
            <w:r w:rsidR="004539DD">
              <w:rPr>
                <w:rFonts w:cs="Calibri"/>
                <w:b/>
                <w:sz w:val="18"/>
                <w:szCs w:val="18"/>
              </w:rPr>
              <w:t>99</w:t>
            </w:r>
            <w:r w:rsidRPr="00594510">
              <w:rPr>
                <w:rFonts w:cs="Calibri"/>
                <w:b/>
                <w:sz w:val="18"/>
                <w:szCs w:val="18"/>
              </w:rPr>
              <w:t>E+01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1E40A4"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3AA2779F"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r>
      <w:tr w:rsidR="00CC32E9" w:rsidRPr="00594510" w14:paraId="2EE28B33" w14:textId="77777777" w:rsidTr="00A74737">
        <w:trPr>
          <w:trHeight w:val="75"/>
        </w:trPr>
        <w:tc>
          <w:tcPr>
            <w:tcW w:w="2660" w:type="dxa"/>
            <w:tcBorders>
              <w:top w:val="single" w:sz="4" w:space="0" w:color="000000"/>
              <w:left w:val="single" w:sz="4" w:space="0" w:color="000000"/>
              <w:right w:val="single" w:sz="4" w:space="0" w:color="auto"/>
            </w:tcBorders>
            <w:shd w:val="clear" w:color="auto" w:fill="FFFFFF"/>
            <w:vAlign w:val="center"/>
          </w:tcPr>
          <w:p w14:paraId="0DE50541" w14:textId="7FAAE981" w:rsidR="00CC32E9" w:rsidRPr="00594510" w:rsidRDefault="00CC32E9" w:rsidP="00AE101C">
            <w:pPr>
              <w:spacing w:line="276" w:lineRule="auto"/>
              <w:rPr>
                <w:rFonts w:eastAsia="Calibri" w:cs="Arial"/>
                <w:sz w:val="18"/>
                <w:szCs w:val="18"/>
                <w:lang w:eastAsia="en-GB"/>
              </w:rPr>
            </w:pPr>
            <w:r w:rsidRPr="00AE101C">
              <w:rPr>
                <w:rFonts w:eastAsia="Calibri" w:cs="Arial"/>
                <w:sz w:val="18"/>
                <w:szCs w:val="18"/>
                <w:lang w:eastAsia="en-GB"/>
              </w:rPr>
              <w:t xml:space="preserve">Scenario </w:t>
            </w:r>
            <w:r w:rsidR="007B6DD3">
              <w:rPr>
                <w:rFonts w:eastAsia="Calibri" w:cs="Arial"/>
                <w:sz w:val="18"/>
                <w:szCs w:val="18"/>
                <w:lang w:eastAsia="en-GB"/>
              </w:rPr>
              <w:t>6</w:t>
            </w:r>
            <w:r w:rsidRPr="00AE101C">
              <w:rPr>
                <w:rFonts w:eastAsia="Calibri" w:cs="Arial"/>
                <w:sz w:val="18"/>
                <w:szCs w:val="18"/>
                <w:lang w:eastAsia="en-GB"/>
              </w:rPr>
              <w:t xml:space="preserve"> </w:t>
            </w:r>
            <w:r w:rsidRPr="00594510">
              <w:rPr>
                <w:rFonts w:eastAsia="Calibri" w:cs="Arial"/>
                <w:sz w:val="18"/>
                <w:szCs w:val="18"/>
                <w:lang w:eastAsia="en-GB"/>
              </w:rPr>
              <w:t xml:space="preserve">– PT03 </w:t>
            </w:r>
          </w:p>
          <w:p w14:paraId="26074144" w14:textId="77777777" w:rsidR="00CC32E9" w:rsidRPr="00594510" w:rsidRDefault="00CC32E9" w:rsidP="00AE101C">
            <w:pPr>
              <w:spacing w:line="260" w:lineRule="atLeast"/>
              <w:outlineLvl w:val="0"/>
              <w:rPr>
                <w:rFonts w:eastAsia="Calibri" w:cs="Arial"/>
                <w:sz w:val="18"/>
                <w:szCs w:val="18"/>
                <w:lang w:eastAsia="en-GB"/>
              </w:rPr>
            </w:pPr>
            <w:r w:rsidRPr="00AE101C">
              <w:rPr>
                <w:rFonts w:eastAsia="Calibri" w:cs="Arial"/>
                <w:sz w:val="18"/>
                <w:szCs w:val="18"/>
                <w:lang w:eastAsia="en-GB"/>
              </w:rPr>
              <w:t>Animal housing direct emission to soil</w:t>
            </w:r>
          </w:p>
        </w:tc>
        <w:tc>
          <w:tcPr>
            <w:tcW w:w="1559" w:type="dxa"/>
            <w:tcBorders>
              <w:top w:val="single" w:sz="4" w:space="0" w:color="auto"/>
              <w:left w:val="single" w:sz="4" w:space="0" w:color="auto"/>
              <w:right w:val="single" w:sz="4" w:space="0" w:color="auto"/>
            </w:tcBorders>
            <w:shd w:val="clear" w:color="auto" w:fill="FFFFFF"/>
            <w:vAlign w:val="center"/>
          </w:tcPr>
          <w:p w14:paraId="7F5F9F72"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c>
          <w:tcPr>
            <w:tcW w:w="1843" w:type="dxa"/>
            <w:tcBorders>
              <w:top w:val="single" w:sz="4" w:space="0" w:color="auto"/>
              <w:left w:val="single" w:sz="4" w:space="0" w:color="auto"/>
              <w:right w:val="single" w:sz="4" w:space="0" w:color="auto"/>
            </w:tcBorders>
            <w:shd w:val="clear" w:color="auto" w:fill="FFFFFF"/>
            <w:vAlign w:val="center"/>
          </w:tcPr>
          <w:p w14:paraId="1274DF23"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c>
          <w:tcPr>
            <w:tcW w:w="1559" w:type="dxa"/>
            <w:tcBorders>
              <w:top w:val="single" w:sz="4" w:space="0" w:color="auto"/>
              <w:left w:val="single" w:sz="4" w:space="0" w:color="auto"/>
              <w:right w:val="single" w:sz="4" w:space="0" w:color="auto"/>
            </w:tcBorders>
            <w:shd w:val="clear" w:color="auto" w:fill="FFFFFF"/>
            <w:vAlign w:val="center"/>
          </w:tcPr>
          <w:p w14:paraId="28A10BF8" w14:textId="77777777" w:rsidR="00CC32E9" w:rsidRPr="00594510" w:rsidRDefault="00CC32E9" w:rsidP="00BA238F">
            <w:pPr>
              <w:suppressAutoHyphens w:val="0"/>
              <w:jc w:val="center"/>
              <w:rPr>
                <w:rFonts w:cs="Calibri"/>
                <w:sz w:val="18"/>
                <w:szCs w:val="18"/>
              </w:rPr>
            </w:pPr>
            <w:r w:rsidRPr="00594510">
              <w:rPr>
                <w:rFonts w:cs="Calibri"/>
                <w:sz w:val="18"/>
                <w:szCs w:val="18"/>
              </w:rPr>
              <w:t>-</w:t>
            </w:r>
          </w:p>
        </w:tc>
        <w:tc>
          <w:tcPr>
            <w:tcW w:w="1559" w:type="dxa"/>
            <w:tcBorders>
              <w:top w:val="single" w:sz="4" w:space="0" w:color="auto"/>
              <w:left w:val="single" w:sz="4" w:space="0" w:color="auto"/>
              <w:right w:val="single" w:sz="4" w:space="0" w:color="auto"/>
            </w:tcBorders>
            <w:shd w:val="clear" w:color="auto" w:fill="FFFFFF"/>
            <w:vAlign w:val="center"/>
          </w:tcPr>
          <w:p w14:paraId="45550328" w14:textId="0415499F" w:rsidR="00CC32E9" w:rsidRPr="00594510" w:rsidRDefault="00CC32E9" w:rsidP="00BA238F">
            <w:pPr>
              <w:suppressAutoHyphens w:val="0"/>
              <w:jc w:val="center"/>
              <w:rPr>
                <w:rFonts w:cs="Calibri"/>
                <w:sz w:val="18"/>
                <w:szCs w:val="18"/>
              </w:rPr>
            </w:pPr>
          </w:p>
        </w:tc>
        <w:tc>
          <w:tcPr>
            <w:tcW w:w="1163" w:type="dxa"/>
            <w:tcBorders>
              <w:top w:val="single" w:sz="4" w:space="0" w:color="auto"/>
              <w:left w:val="single" w:sz="4" w:space="0" w:color="auto"/>
              <w:right w:val="single" w:sz="4" w:space="0" w:color="auto"/>
            </w:tcBorders>
            <w:shd w:val="clear" w:color="auto" w:fill="FFFFFF"/>
            <w:vAlign w:val="center"/>
          </w:tcPr>
          <w:p w14:paraId="6966FC1B" w14:textId="4188DB5B" w:rsidR="00CC32E9" w:rsidRPr="00594510" w:rsidRDefault="00CC32E9" w:rsidP="00BA238F">
            <w:pPr>
              <w:suppressAutoHyphens w:val="0"/>
              <w:jc w:val="center"/>
              <w:rPr>
                <w:rFonts w:cs="Calibri"/>
                <w:b/>
                <w:sz w:val="18"/>
                <w:szCs w:val="18"/>
              </w:rPr>
            </w:pPr>
          </w:p>
        </w:tc>
      </w:tr>
      <w:tr w:rsidR="00FD178B" w:rsidRPr="00594510" w14:paraId="6A12E34D" w14:textId="77777777" w:rsidTr="00A74737">
        <w:trPr>
          <w:trHeight w:val="75"/>
        </w:trPr>
        <w:tc>
          <w:tcPr>
            <w:tcW w:w="2660" w:type="dxa"/>
            <w:tcBorders>
              <w:left w:val="single" w:sz="4" w:space="0" w:color="000000"/>
              <w:right w:val="single" w:sz="4" w:space="0" w:color="auto"/>
            </w:tcBorders>
            <w:shd w:val="clear" w:color="auto" w:fill="FFFFFF"/>
            <w:vAlign w:val="center"/>
          </w:tcPr>
          <w:p w14:paraId="754567CA" w14:textId="4BEF2F5C" w:rsidR="00FD178B" w:rsidRPr="00A74737" w:rsidRDefault="00597914" w:rsidP="00A74737">
            <w:pPr>
              <w:tabs>
                <w:tab w:val="left" w:pos="142"/>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FD178B">
              <w:rPr>
                <w:rFonts w:eastAsia="Calibri" w:cs="Arial"/>
                <w:sz w:val="18"/>
                <w:szCs w:val="18"/>
                <w:lang w:val="en-US" w:eastAsia="en-GB"/>
              </w:rPr>
              <w:t>Meta-SPC 9</w:t>
            </w:r>
          </w:p>
        </w:tc>
        <w:tc>
          <w:tcPr>
            <w:tcW w:w="1559" w:type="dxa"/>
            <w:tcBorders>
              <w:left w:val="single" w:sz="4" w:space="0" w:color="auto"/>
              <w:right w:val="single" w:sz="4" w:space="0" w:color="auto"/>
            </w:tcBorders>
            <w:shd w:val="clear" w:color="auto" w:fill="FFFFFF"/>
            <w:vAlign w:val="center"/>
          </w:tcPr>
          <w:p w14:paraId="02ABA3C7" w14:textId="77777777" w:rsidR="00FD178B" w:rsidRPr="00594510" w:rsidRDefault="00FD178B" w:rsidP="00BA238F">
            <w:pPr>
              <w:suppressAutoHyphens w:val="0"/>
              <w:jc w:val="center"/>
              <w:rPr>
                <w:rFonts w:cs="Calibri"/>
                <w:sz w:val="18"/>
                <w:szCs w:val="18"/>
              </w:rPr>
            </w:pPr>
          </w:p>
        </w:tc>
        <w:tc>
          <w:tcPr>
            <w:tcW w:w="1843" w:type="dxa"/>
            <w:tcBorders>
              <w:left w:val="single" w:sz="4" w:space="0" w:color="auto"/>
              <w:right w:val="single" w:sz="4" w:space="0" w:color="auto"/>
            </w:tcBorders>
            <w:shd w:val="clear" w:color="auto" w:fill="FFFFFF"/>
            <w:vAlign w:val="center"/>
          </w:tcPr>
          <w:p w14:paraId="0DB6B248" w14:textId="77777777" w:rsidR="00FD178B" w:rsidRPr="00594510" w:rsidRDefault="00FD178B" w:rsidP="00BA238F">
            <w:pPr>
              <w:suppressAutoHyphens w:val="0"/>
              <w:jc w:val="center"/>
              <w:rPr>
                <w:rFonts w:cs="Calibri"/>
                <w:sz w:val="18"/>
                <w:szCs w:val="18"/>
              </w:rPr>
            </w:pPr>
          </w:p>
        </w:tc>
        <w:tc>
          <w:tcPr>
            <w:tcW w:w="1559" w:type="dxa"/>
            <w:tcBorders>
              <w:left w:val="single" w:sz="4" w:space="0" w:color="auto"/>
              <w:right w:val="single" w:sz="4" w:space="0" w:color="auto"/>
            </w:tcBorders>
            <w:shd w:val="clear" w:color="auto" w:fill="FFFFFF"/>
            <w:vAlign w:val="center"/>
          </w:tcPr>
          <w:p w14:paraId="34E23559" w14:textId="77777777" w:rsidR="00FD178B" w:rsidRPr="00594510" w:rsidRDefault="00FD178B" w:rsidP="00BA238F">
            <w:pPr>
              <w:suppressAutoHyphens w:val="0"/>
              <w:jc w:val="center"/>
              <w:rPr>
                <w:rFonts w:cs="Calibri"/>
                <w:sz w:val="18"/>
                <w:szCs w:val="18"/>
              </w:rPr>
            </w:pPr>
          </w:p>
        </w:tc>
        <w:tc>
          <w:tcPr>
            <w:tcW w:w="1559" w:type="dxa"/>
            <w:tcBorders>
              <w:left w:val="single" w:sz="4" w:space="0" w:color="auto"/>
              <w:right w:val="single" w:sz="4" w:space="0" w:color="auto"/>
            </w:tcBorders>
            <w:shd w:val="clear" w:color="auto" w:fill="FFFFFF"/>
            <w:vAlign w:val="center"/>
          </w:tcPr>
          <w:p w14:paraId="652562DC" w14:textId="75B1E14B" w:rsidR="00FD178B" w:rsidRPr="004C27A8" w:rsidRDefault="002367DD" w:rsidP="00BA238F">
            <w:pPr>
              <w:suppressAutoHyphens w:val="0"/>
              <w:jc w:val="center"/>
              <w:rPr>
                <w:rFonts w:cs="Calibri"/>
                <w:b/>
                <w:sz w:val="18"/>
                <w:szCs w:val="18"/>
              </w:rPr>
            </w:pPr>
            <w:r>
              <w:rPr>
                <w:rFonts w:cs="Calibri"/>
                <w:b/>
                <w:sz w:val="18"/>
                <w:szCs w:val="18"/>
              </w:rPr>
              <w:t>6.27</w:t>
            </w:r>
          </w:p>
        </w:tc>
        <w:tc>
          <w:tcPr>
            <w:tcW w:w="1163" w:type="dxa"/>
            <w:tcBorders>
              <w:left w:val="single" w:sz="4" w:space="0" w:color="auto"/>
              <w:right w:val="single" w:sz="4" w:space="0" w:color="auto"/>
            </w:tcBorders>
            <w:shd w:val="clear" w:color="auto" w:fill="FFFFFF"/>
            <w:vAlign w:val="center"/>
          </w:tcPr>
          <w:p w14:paraId="664E6F5B" w14:textId="7F5191C8" w:rsidR="00FD178B" w:rsidRDefault="00FD178B" w:rsidP="00BA238F">
            <w:pPr>
              <w:suppressAutoHyphens w:val="0"/>
              <w:jc w:val="center"/>
              <w:rPr>
                <w:rFonts w:cs="Calibri"/>
                <w:sz w:val="18"/>
                <w:szCs w:val="18"/>
                <w:lang w:val="en-US"/>
              </w:rPr>
            </w:pPr>
            <w:r w:rsidRPr="00594510">
              <w:rPr>
                <w:rFonts w:cs="Calibri"/>
                <w:sz w:val="18"/>
                <w:szCs w:val="18"/>
                <w:lang w:val="en-US"/>
              </w:rPr>
              <w:t>&lt; 0.1</w:t>
            </w:r>
          </w:p>
        </w:tc>
      </w:tr>
      <w:tr w:rsidR="00FD178B" w:rsidRPr="00594510" w14:paraId="7E97DD6B" w14:textId="77777777" w:rsidTr="00A74737">
        <w:trPr>
          <w:trHeight w:val="75"/>
        </w:trPr>
        <w:tc>
          <w:tcPr>
            <w:tcW w:w="2660" w:type="dxa"/>
            <w:tcBorders>
              <w:left w:val="single" w:sz="4" w:space="0" w:color="000000"/>
              <w:bottom w:val="single" w:sz="4" w:space="0" w:color="000000"/>
              <w:right w:val="single" w:sz="4" w:space="0" w:color="auto"/>
            </w:tcBorders>
            <w:shd w:val="clear" w:color="auto" w:fill="FFFFFF"/>
            <w:vAlign w:val="center"/>
          </w:tcPr>
          <w:p w14:paraId="7BF669E7" w14:textId="17DFDC4E" w:rsidR="00FD178B" w:rsidRPr="00A74737" w:rsidRDefault="00597914" w:rsidP="00A74737">
            <w:pPr>
              <w:tabs>
                <w:tab w:val="left" w:pos="142"/>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FD178B" w:rsidRPr="00A74737">
              <w:rPr>
                <w:rFonts w:eastAsia="Calibri" w:cs="Arial"/>
                <w:sz w:val="18"/>
                <w:szCs w:val="18"/>
                <w:lang w:val="en-US" w:eastAsia="en-GB"/>
              </w:rPr>
              <w:t>Refinement Meta-SPC 10</w:t>
            </w:r>
          </w:p>
        </w:tc>
        <w:tc>
          <w:tcPr>
            <w:tcW w:w="1559" w:type="dxa"/>
            <w:tcBorders>
              <w:left w:val="single" w:sz="4" w:space="0" w:color="auto"/>
              <w:bottom w:val="single" w:sz="4" w:space="0" w:color="auto"/>
              <w:right w:val="single" w:sz="4" w:space="0" w:color="auto"/>
            </w:tcBorders>
            <w:shd w:val="clear" w:color="auto" w:fill="FFFFFF"/>
            <w:vAlign w:val="center"/>
          </w:tcPr>
          <w:p w14:paraId="3749AB38" w14:textId="77777777" w:rsidR="00FD178B" w:rsidRPr="00594510" w:rsidRDefault="00FD178B" w:rsidP="00BA238F">
            <w:pPr>
              <w:suppressAutoHyphens w:val="0"/>
              <w:jc w:val="center"/>
              <w:rPr>
                <w:rFonts w:cs="Calibri"/>
                <w:sz w:val="18"/>
                <w:szCs w:val="18"/>
              </w:rPr>
            </w:pPr>
          </w:p>
        </w:tc>
        <w:tc>
          <w:tcPr>
            <w:tcW w:w="1843" w:type="dxa"/>
            <w:tcBorders>
              <w:left w:val="single" w:sz="4" w:space="0" w:color="auto"/>
              <w:bottom w:val="single" w:sz="4" w:space="0" w:color="auto"/>
              <w:right w:val="single" w:sz="4" w:space="0" w:color="auto"/>
            </w:tcBorders>
            <w:shd w:val="clear" w:color="auto" w:fill="FFFFFF"/>
            <w:vAlign w:val="center"/>
          </w:tcPr>
          <w:p w14:paraId="203A5731" w14:textId="77777777" w:rsidR="00FD178B" w:rsidRPr="00594510" w:rsidRDefault="00FD178B" w:rsidP="00BA238F">
            <w:pPr>
              <w:suppressAutoHyphens w:val="0"/>
              <w:jc w:val="center"/>
              <w:rPr>
                <w:rFonts w:cs="Calibri"/>
                <w:sz w:val="18"/>
                <w:szCs w:val="18"/>
              </w:rPr>
            </w:pPr>
          </w:p>
        </w:tc>
        <w:tc>
          <w:tcPr>
            <w:tcW w:w="1559" w:type="dxa"/>
            <w:tcBorders>
              <w:left w:val="single" w:sz="4" w:space="0" w:color="auto"/>
              <w:bottom w:val="single" w:sz="4" w:space="0" w:color="auto"/>
              <w:right w:val="single" w:sz="4" w:space="0" w:color="auto"/>
            </w:tcBorders>
            <w:shd w:val="clear" w:color="auto" w:fill="FFFFFF"/>
            <w:vAlign w:val="center"/>
          </w:tcPr>
          <w:p w14:paraId="792FB017" w14:textId="77777777" w:rsidR="00FD178B" w:rsidRPr="00594510" w:rsidRDefault="00FD178B" w:rsidP="00BA238F">
            <w:pPr>
              <w:suppressAutoHyphens w:val="0"/>
              <w:jc w:val="center"/>
              <w:rPr>
                <w:rFonts w:cs="Calibri"/>
                <w:sz w:val="18"/>
                <w:szCs w:val="18"/>
              </w:rPr>
            </w:pPr>
          </w:p>
        </w:tc>
        <w:tc>
          <w:tcPr>
            <w:tcW w:w="1559" w:type="dxa"/>
            <w:tcBorders>
              <w:left w:val="single" w:sz="4" w:space="0" w:color="auto"/>
              <w:bottom w:val="single" w:sz="4" w:space="0" w:color="auto"/>
              <w:right w:val="single" w:sz="4" w:space="0" w:color="auto"/>
            </w:tcBorders>
            <w:shd w:val="clear" w:color="auto" w:fill="FFFFFF"/>
            <w:vAlign w:val="center"/>
          </w:tcPr>
          <w:p w14:paraId="35835286" w14:textId="56B7AC4C" w:rsidR="00FD178B" w:rsidRDefault="002367DD" w:rsidP="00BA238F">
            <w:pPr>
              <w:suppressAutoHyphens w:val="0"/>
              <w:jc w:val="center"/>
              <w:rPr>
                <w:rFonts w:cs="Calibri"/>
                <w:sz w:val="18"/>
                <w:szCs w:val="18"/>
              </w:rPr>
            </w:pPr>
            <w:r>
              <w:rPr>
                <w:rFonts w:cs="Calibri"/>
                <w:sz w:val="18"/>
                <w:szCs w:val="18"/>
              </w:rPr>
              <w:t>6.27</w:t>
            </w:r>
            <w:r w:rsidR="004C27A8">
              <w:rPr>
                <w:rFonts w:cs="Calibri"/>
                <w:sz w:val="18"/>
                <w:szCs w:val="18"/>
              </w:rPr>
              <w:t>E-01</w:t>
            </w:r>
          </w:p>
        </w:tc>
        <w:tc>
          <w:tcPr>
            <w:tcW w:w="1163" w:type="dxa"/>
            <w:tcBorders>
              <w:left w:val="single" w:sz="4" w:space="0" w:color="auto"/>
              <w:bottom w:val="single" w:sz="4" w:space="0" w:color="auto"/>
              <w:right w:val="single" w:sz="4" w:space="0" w:color="auto"/>
            </w:tcBorders>
            <w:shd w:val="clear" w:color="auto" w:fill="FFFFFF"/>
            <w:vAlign w:val="center"/>
          </w:tcPr>
          <w:p w14:paraId="0A01B560" w14:textId="37A6D8B5" w:rsidR="00FD178B" w:rsidRPr="00594510" w:rsidRDefault="00FD178B" w:rsidP="00BA238F">
            <w:pPr>
              <w:suppressAutoHyphens w:val="0"/>
              <w:jc w:val="center"/>
              <w:rPr>
                <w:rFonts w:cs="Calibri"/>
                <w:sz w:val="18"/>
                <w:szCs w:val="18"/>
                <w:lang w:val="en-US"/>
              </w:rPr>
            </w:pPr>
            <w:r w:rsidRPr="00594510">
              <w:rPr>
                <w:rFonts w:cs="Calibri"/>
                <w:sz w:val="18"/>
                <w:szCs w:val="18"/>
                <w:lang w:val="en-US"/>
              </w:rPr>
              <w:t>&lt; 0.1</w:t>
            </w:r>
          </w:p>
        </w:tc>
      </w:tr>
      <w:tr w:rsidR="00CC32E9" w:rsidRPr="00594510" w14:paraId="493D6351" w14:textId="77777777" w:rsidTr="00A74737">
        <w:trPr>
          <w:trHeight w:val="75"/>
        </w:trPr>
        <w:tc>
          <w:tcPr>
            <w:tcW w:w="2660" w:type="dxa"/>
            <w:tcBorders>
              <w:top w:val="single" w:sz="4" w:space="0" w:color="000000"/>
              <w:left w:val="single" w:sz="4" w:space="0" w:color="000000"/>
              <w:right w:val="single" w:sz="4" w:space="0" w:color="auto"/>
            </w:tcBorders>
            <w:shd w:val="clear" w:color="auto" w:fill="FFFFFF"/>
            <w:vAlign w:val="center"/>
          </w:tcPr>
          <w:p w14:paraId="4402F2E0" w14:textId="521A59B7" w:rsidR="00CC32E9" w:rsidRPr="00594510" w:rsidRDefault="00CC32E9" w:rsidP="00AE101C">
            <w:pPr>
              <w:spacing w:line="276" w:lineRule="auto"/>
              <w:rPr>
                <w:rFonts w:eastAsia="Calibri" w:cs="Arial"/>
                <w:sz w:val="18"/>
                <w:szCs w:val="18"/>
                <w:lang w:eastAsia="en-GB"/>
              </w:rPr>
            </w:pPr>
            <w:r w:rsidRPr="00AE101C">
              <w:rPr>
                <w:rFonts w:eastAsia="Calibri" w:cs="Arial"/>
                <w:sz w:val="18"/>
                <w:szCs w:val="18"/>
                <w:lang w:eastAsia="en-GB"/>
              </w:rPr>
              <w:t xml:space="preserve">Scenario </w:t>
            </w:r>
            <w:r w:rsidR="007B6DD3">
              <w:rPr>
                <w:rFonts w:eastAsia="Calibri" w:cs="Arial"/>
                <w:sz w:val="18"/>
                <w:szCs w:val="18"/>
                <w:lang w:eastAsia="en-GB"/>
              </w:rPr>
              <w:t>6</w:t>
            </w:r>
            <w:r w:rsidRPr="00AE101C">
              <w:rPr>
                <w:rFonts w:eastAsia="Calibri" w:cs="Arial"/>
                <w:sz w:val="18"/>
                <w:szCs w:val="18"/>
                <w:lang w:eastAsia="en-GB"/>
              </w:rPr>
              <w:t xml:space="preserve"> </w:t>
            </w:r>
            <w:r w:rsidRPr="00594510">
              <w:rPr>
                <w:rFonts w:eastAsia="Calibri" w:cs="Arial"/>
                <w:sz w:val="18"/>
                <w:szCs w:val="18"/>
                <w:lang w:eastAsia="en-GB"/>
              </w:rPr>
              <w:t xml:space="preserve">– PT03 </w:t>
            </w:r>
          </w:p>
          <w:p w14:paraId="402C62ED" w14:textId="77777777" w:rsidR="00CC32E9" w:rsidRPr="00594510" w:rsidRDefault="00CC32E9" w:rsidP="00AE101C">
            <w:pPr>
              <w:spacing w:line="260" w:lineRule="atLeast"/>
              <w:outlineLvl w:val="0"/>
              <w:rPr>
                <w:rFonts w:eastAsia="Calibri" w:cs="Arial"/>
                <w:sz w:val="18"/>
                <w:szCs w:val="18"/>
                <w:lang w:eastAsia="en-GB"/>
              </w:rPr>
            </w:pPr>
            <w:r w:rsidRPr="00AE101C">
              <w:rPr>
                <w:rFonts w:eastAsia="Calibri" w:cs="Arial"/>
                <w:sz w:val="18"/>
                <w:szCs w:val="18"/>
                <w:lang w:eastAsia="en-GB"/>
              </w:rPr>
              <w:t>Animal housing indirect emission via STP</w:t>
            </w:r>
          </w:p>
        </w:tc>
        <w:tc>
          <w:tcPr>
            <w:tcW w:w="1559" w:type="dxa"/>
            <w:tcBorders>
              <w:top w:val="single" w:sz="4" w:space="0" w:color="auto"/>
              <w:left w:val="single" w:sz="4" w:space="0" w:color="auto"/>
              <w:right w:val="single" w:sz="4" w:space="0" w:color="auto"/>
            </w:tcBorders>
            <w:shd w:val="clear" w:color="auto" w:fill="FFFFFF"/>
            <w:vAlign w:val="center"/>
          </w:tcPr>
          <w:p w14:paraId="01DBF8FD" w14:textId="769426B7" w:rsidR="00CC32E9" w:rsidRPr="004C27A8" w:rsidRDefault="00CC32E9" w:rsidP="00BA238F">
            <w:pPr>
              <w:suppressAutoHyphens w:val="0"/>
              <w:jc w:val="center"/>
              <w:rPr>
                <w:rFonts w:cs="Calibri"/>
                <w:sz w:val="18"/>
                <w:szCs w:val="18"/>
              </w:rPr>
            </w:pPr>
          </w:p>
        </w:tc>
        <w:tc>
          <w:tcPr>
            <w:tcW w:w="1843" w:type="dxa"/>
            <w:tcBorders>
              <w:top w:val="single" w:sz="4" w:space="0" w:color="auto"/>
              <w:left w:val="single" w:sz="4" w:space="0" w:color="auto"/>
              <w:right w:val="single" w:sz="4" w:space="0" w:color="auto"/>
            </w:tcBorders>
            <w:shd w:val="clear" w:color="auto" w:fill="FFFFFF"/>
            <w:vAlign w:val="center"/>
          </w:tcPr>
          <w:p w14:paraId="6EEBC20C" w14:textId="5BC6D90C" w:rsidR="00CC32E9" w:rsidRPr="004C27A8" w:rsidRDefault="00CC32E9" w:rsidP="00BA238F">
            <w:pPr>
              <w:suppressAutoHyphens w:val="0"/>
              <w:jc w:val="center"/>
              <w:rPr>
                <w:rFonts w:cs="Calibri"/>
                <w:sz w:val="18"/>
                <w:szCs w:val="18"/>
              </w:rPr>
            </w:pPr>
          </w:p>
        </w:tc>
        <w:tc>
          <w:tcPr>
            <w:tcW w:w="1559" w:type="dxa"/>
            <w:tcBorders>
              <w:top w:val="single" w:sz="4" w:space="0" w:color="auto"/>
              <w:left w:val="single" w:sz="4" w:space="0" w:color="auto"/>
              <w:right w:val="single" w:sz="4" w:space="0" w:color="auto"/>
            </w:tcBorders>
            <w:shd w:val="clear" w:color="auto" w:fill="FFFFFF"/>
            <w:vAlign w:val="center"/>
          </w:tcPr>
          <w:p w14:paraId="658032C8" w14:textId="242FA0D7" w:rsidR="00CC32E9" w:rsidRPr="004C27A8" w:rsidRDefault="00CC32E9" w:rsidP="00BA238F">
            <w:pPr>
              <w:suppressAutoHyphens w:val="0"/>
              <w:jc w:val="center"/>
              <w:rPr>
                <w:rFonts w:cs="Calibri"/>
                <w:sz w:val="18"/>
                <w:szCs w:val="18"/>
              </w:rPr>
            </w:pPr>
          </w:p>
        </w:tc>
        <w:tc>
          <w:tcPr>
            <w:tcW w:w="1559" w:type="dxa"/>
            <w:tcBorders>
              <w:top w:val="single" w:sz="4" w:space="0" w:color="auto"/>
              <w:left w:val="single" w:sz="4" w:space="0" w:color="auto"/>
              <w:right w:val="single" w:sz="4" w:space="0" w:color="auto"/>
            </w:tcBorders>
            <w:shd w:val="clear" w:color="auto" w:fill="FFFFFF"/>
            <w:vAlign w:val="center"/>
          </w:tcPr>
          <w:p w14:paraId="02290D22" w14:textId="6141D948" w:rsidR="00CC32E9" w:rsidRPr="004C27A8" w:rsidRDefault="00CC32E9" w:rsidP="00BA238F">
            <w:pPr>
              <w:suppressAutoHyphens w:val="0"/>
              <w:jc w:val="center"/>
              <w:rPr>
                <w:rFonts w:cs="Calibri"/>
                <w:sz w:val="18"/>
                <w:szCs w:val="18"/>
              </w:rPr>
            </w:pPr>
          </w:p>
        </w:tc>
        <w:tc>
          <w:tcPr>
            <w:tcW w:w="1163" w:type="dxa"/>
            <w:tcBorders>
              <w:top w:val="single" w:sz="4" w:space="0" w:color="auto"/>
              <w:left w:val="single" w:sz="4" w:space="0" w:color="auto"/>
              <w:right w:val="single" w:sz="4" w:space="0" w:color="auto"/>
            </w:tcBorders>
            <w:shd w:val="clear" w:color="auto" w:fill="FFFFFF"/>
            <w:vAlign w:val="center"/>
          </w:tcPr>
          <w:p w14:paraId="7BE98918" w14:textId="16E3E69B" w:rsidR="00CC32E9" w:rsidRPr="004C27A8" w:rsidRDefault="00CC32E9" w:rsidP="00BA238F">
            <w:pPr>
              <w:suppressAutoHyphens w:val="0"/>
              <w:jc w:val="center"/>
              <w:rPr>
                <w:rFonts w:cs="Calibri"/>
                <w:sz w:val="18"/>
                <w:szCs w:val="18"/>
              </w:rPr>
            </w:pPr>
          </w:p>
        </w:tc>
      </w:tr>
      <w:tr w:rsidR="00FD178B" w:rsidRPr="00594510" w14:paraId="1AABEB3A" w14:textId="77777777" w:rsidTr="00A74737">
        <w:trPr>
          <w:trHeight w:val="75"/>
        </w:trPr>
        <w:tc>
          <w:tcPr>
            <w:tcW w:w="2660" w:type="dxa"/>
            <w:tcBorders>
              <w:left w:val="single" w:sz="4" w:space="0" w:color="000000"/>
              <w:right w:val="single" w:sz="4" w:space="0" w:color="auto"/>
            </w:tcBorders>
            <w:shd w:val="clear" w:color="auto" w:fill="FFFFFF"/>
            <w:vAlign w:val="center"/>
          </w:tcPr>
          <w:p w14:paraId="571EB90A" w14:textId="09E36435" w:rsidR="00FD178B" w:rsidRPr="00A74737" w:rsidRDefault="00597914" w:rsidP="00A74737">
            <w:pPr>
              <w:tabs>
                <w:tab w:val="left" w:pos="142"/>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FD178B">
              <w:rPr>
                <w:rFonts w:eastAsia="Calibri" w:cs="Arial"/>
                <w:sz w:val="18"/>
                <w:szCs w:val="18"/>
                <w:lang w:val="en-US" w:eastAsia="en-GB"/>
              </w:rPr>
              <w:t>Meta-SPC 9</w:t>
            </w:r>
          </w:p>
        </w:tc>
        <w:tc>
          <w:tcPr>
            <w:tcW w:w="1559" w:type="dxa"/>
            <w:tcBorders>
              <w:left w:val="single" w:sz="4" w:space="0" w:color="auto"/>
              <w:right w:val="single" w:sz="4" w:space="0" w:color="auto"/>
            </w:tcBorders>
            <w:shd w:val="clear" w:color="auto" w:fill="FFFFFF"/>
            <w:vAlign w:val="center"/>
          </w:tcPr>
          <w:p w14:paraId="50AD931E" w14:textId="0ADCD199" w:rsidR="00FD178B" w:rsidRPr="004C27A8" w:rsidRDefault="004C27A8" w:rsidP="00BA238F">
            <w:pPr>
              <w:suppressAutoHyphens w:val="0"/>
              <w:jc w:val="center"/>
              <w:rPr>
                <w:rFonts w:cs="Calibri"/>
                <w:sz w:val="18"/>
                <w:szCs w:val="18"/>
              </w:rPr>
            </w:pPr>
            <w:r w:rsidRPr="004C27A8">
              <w:rPr>
                <w:rFonts w:cs="Calibri"/>
                <w:sz w:val="18"/>
                <w:szCs w:val="18"/>
              </w:rPr>
              <w:t>2.78E-02</w:t>
            </w:r>
          </w:p>
        </w:tc>
        <w:tc>
          <w:tcPr>
            <w:tcW w:w="1843" w:type="dxa"/>
            <w:tcBorders>
              <w:left w:val="single" w:sz="4" w:space="0" w:color="auto"/>
              <w:right w:val="single" w:sz="4" w:space="0" w:color="auto"/>
            </w:tcBorders>
            <w:shd w:val="clear" w:color="auto" w:fill="FFFFFF"/>
            <w:vAlign w:val="center"/>
          </w:tcPr>
          <w:p w14:paraId="2DF1C19D" w14:textId="28ECC2CC" w:rsidR="00FD178B" w:rsidRPr="004C27A8" w:rsidRDefault="004C27A8" w:rsidP="00BA238F">
            <w:pPr>
              <w:suppressAutoHyphens w:val="0"/>
              <w:jc w:val="center"/>
              <w:rPr>
                <w:rFonts w:cs="Calibri"/>
                <w:b/>
                <w:sz w:val="18"/>
                <w:szCs w:val="18"/>
              </w:rPr>
            </w:pPr>
            <w:r w:rsidRPr="004C27A8">
              <w:rPr>
                <w:rFonts w:cs="Calibri"/>
                <w:b/>
                <w:sz w:val="18"/>
                <w:szCs w:val="18"/>
              </w:rPr>
              <w:t>6.19</w:t>
            </w:r>
          </w:p>
        </w:tc>
        <w:tc>
          <w:tcPr>
            <w:tcW w:w="1559" w:type="dxa"/>
            <w:tcBorders>
              <w:left w:val="single" w:sz="4" w:space="0" w:color="auto"/>
              <w:right w:val="single" w:sz="4" w:space="0" w:color="auto"/>
            </w:tcBorders>
            <w:shd w:val="clear" w:color="auto" w:fill="FFFFFF"/>
            <w:vAlign w:val="center"/>
          </w:tcPr>
          <w:p w14:paraId="2E9D641A" w14:textId="7337044A" w:rsidR="00FD178B" w:rsidRPr="004C27A8" w:rsidRDefault="004C27A8" w:rsidP="00BA238F">
            <w:pPr>
              <w:suppressAutoHyphens w:val="0"/>
              <w:jc w:val="center"/>
              <w:rPr>
                <w:rFonts w:cs="Calibri"/>
                <w:b/>
                <w:sz w:val="18"/>
                <w:szCs w:val="18"/>
              </w:rPr>
            </w:pPr>
            <w:r w:rsidRPr="004C27A8">
              <w:rPr>
                <w:rFonts w:cs="Calibri"/>
                <w:b/>
                <w:sz w:val="18"/>
                <w:szCs w:val="18"/>
              </w:rPr>
              <w:t>4.62</w:t>
            </w:r>
          </w:p>
        </w:tc>
        <w:tc>
          <w:tcPr>
            <w:tcW w:w="1559" w:type="dxa"/>
            <w:tcBorders>
              <w:left w:val="single" w:sz="4" w:space="0" w:color="auto"/>
              <w:right w:val="single" w:sz="4" w:space="0" w:color="auto"/>
            </w:tcBorders>
            <w:shd w:val="clear" w:color="auto" w:fill="FFFFFF"/>
            <w:vAlign w:val="center"/>
          </w:tcPr>
          <w:p w14:paraId="6715F888" w14:textId="30C230C2" w:rsidR="00FD178B" w:rsidRPr="004C27A8" w:rsidRDefault="004C27A8" w:rsidP="00BA238F">
            <w:pPr>
              <w:suppressAutoHyphens w:val="0"/>
              <w:jc w:val="center"/>
              <w:rPr>
                <w:rFonts w:cs="Calibri"/>
                <w:sz w:val="18"/>
                <w:szCs w:val="18"/>
              </w:rPr>
            </w:pPr>
            <w:r>
              <w:rPr>
                <w:rFonts w:cs="Calibri"/>
                <w:sz w:val="18"/>
                <w:szCs w:val="18"/>
              </w:rPr>
              <w:t>7.40E-01</w:t>
            </w:r>
          </w:p>
        </w:tc>
        <w:tc>
          <w:tcPr>
            <w:tcW w:w="1163" w:type="dxa"/>
            <w:tcBorders>
              <w:left w:val="single" w:sz="4" w:space="0" w:color="auto"/>
              <w:right w:val="single" w:sz="4" w:space="0" w:color="auto"/>
            </w:tcBorders>
            <w:shd w:val="clear" w:color="auto" w:fill="FFFFFF"/>
            <w:vAlign w:val="center"/>
          </w:tcPr>
          <w:p w14:paraId="50EC775C" w14:textId="1E9F94AB" w:rsidR="00FD178B" w:rsidRPr="004C27A8" w:rsidRDefault="004C27A8" w:rsidP="00BA238F">
            <w:pPr>
              <w:suppressAutoHyphens w:val="0"/>
              <w:jc w:val="center"/>
              <w:rPr>
                <w:rFonts w:cs="Calibri"/>
                <w:sz w:val="18"/>
                <w:szCs w:val="18"/>
                <w:lang w:val="en-US"/>
              </w:rPr>
            </w:pPr>
            <w:r w:rsidRPr="00594510">
              <w:rPr>
                <w:rFonts w:cs="Calibri"/>
                <w:sz w:val="18"/>
                <w:szCs w:val="18"/>
                <w:lang w:val="en-US"/>
              </w:rPr>
              <w:t>&lt; 0.1</w:t>
            </w:r>
          </w:p>
        </w:tc>
      </w:tr>
      <w:tr w:rsidR="00FD178B" w:rsidRPr="00594510" w14:paraId="7C599284" w14:textId="77777777" w:rsidTr="00A74737">
        <w:trPr>
          <w:trHeight w:val="75"/>
        </w:trPr>
        <w:tc>
          <w:tcPr>
            <w:tcW w:w="2660" w:type="dxa"/>
            <w:tcBorders>
              <w:left w:val="single" w:sz="4" w:space="0" w:color="000000"/>
              <w:bottom w:val="single" w:sz="4" w:space="0" w:color="000000"/>
              <w:right w:val="single" w:sz="4" w:space="0" w:color="auto"/>
            </w:tcBorders>
            <w:shd w:val="clear" w:color="auto" w:fill="FFFFFF"/>
            <w:vAlign w:val="center"/>
          </w:tcPr>
          <w:p w14:paraId="3CBEDB69" w14:textId="5B9F6C8A" w:rsidR="00FD178B" w:rsidRPr="00A74737" w:rsidRDefault="00597914" w:rsidP="00A74737">
            <w:pPr>
              <w:tabs>
                <w:tab w:val="left" w:pos="142"/>
              </w:tabs>
              <w:spacing w:line="260" w:lineRule="atLeast"/>
              <w:outlineLvl w:val="0"/>
              <w:rPr>
                <w:rFonts w:eastAsia="Calibri" w:cs="Arial"/>
                <w:sz w:val="18"/>
                <w:szCs w:val="18"/>
                <w:lang w:val="en-US" w:eastAsia="en-GB"/>
              </w:rPr>
            </w:pPr>
            <w:r>
              <w:rPr>
                <w:rFonts w:eastAsia="Calibri" w:cs="Arial"/>
                <w:sz w:val="18"/>
                <w:szCs w:val="18"/>
                <w:lang w:val="en-US" w:eastAsia="en-GB"/>
              </w:rPr>
              <w:tab/>
            </w:r>
            <w:r w:rsidR="00FD178B" w:rsidRPr="00A74737">
              <w:rPr>
                <w:rFonts w:eastAsia="Calibri" w:cs="Arial"/>
                <w:sz w:val="18"/>
                <w:szCs w:val="18"/>
                <w:lang w:val="en-US" w:eastAsia="en-GB"/>
              </w:rPr>
              <w:t>Refinement Meta-SPC 10</w:t>
            </w:r>
          </w:p>
        </w:tc>
        <w:tc>
          <w:tcPr>
            <w:tcW w:w="1559" w:type="dxa"/>
            <w:tcBorders>
              <w:left w:val="single" w:sz="4" w:space="0" w:color="auto"/>
              <w:bottom w:val="single" w:sz="4" w:space="0" w:color="auto"/>
              <w:right w:val="single" w:sz="4" w:space="0" w:color="auto"/>
            </w:tcBorders>
            <w:shd w:val="clear" w:color="auto" w:fill="FFFFFF"/>
            <w:vAlign w:val="center"/>
          </w:tcPr>
          <w:p w14:paraId="00F4169A" w14:textId="51537F6D" w:rsidR="00FD178B" w:rsidRPr="004C27A8" w:rsidRDefault="004C27A8" w:rsidP="00BA238F">
            <w:pPr>
              <w:suppressAutoHyphens w:val="0"/>
              <w:jc w:val="center"/>
              <w:rPr>
                <w:rFonts w:cs="Calibri"/>
                <w:sz w:val="18"/>
                <w:szCs w:val="18"/>
              </w:rPr>
            </w:pPr>
            <w:r>
              <w:rPr>
                <w:rFonts w:cs="Calibri"/>
                <w:sz w:val="18"/>
                <w:szCs w:val="18"/>
              </w:rPr>
              <w:t>2.78E-03</w:t>
            </w:r>
          </w:p>
        </w:tc>
        <w:tc>
          <w:tcPr>
            <w:tcW w:w="1843" w:type="dxa"/>
            <w:tcBorders>
              <w:left w:val="single" w:sz="4" w:space="0" w:color="auto"/>
              <w:bottom w:val="single" w:sz="4" w:space="0" w:color="auto"/>
              <w:right w:val="single" w:sz="4" w:space="0" w:color="auto"/>
            </w:tcBorders>
            <w:shd w:val="clear" w:color="auto" w:fill="FFFFFF"/>
            <w:vAlign w:val="center"/>
          </w:tcPr>
          <w:p w14:paraId="2F13C20D" w14:textId="4A2B01D0" w:rsidR="00FD178B" w:rsidRPr="004C27A8" w:rsidRDefault="004C27A8" w:rsidP="00BA238F">
            <w:pPr>
              <w:suppressAutoHyphens w:val="0"/>
              <w:jc w:val="center"/>
              <w:rPr>
                <w:rFonts w:cs="Calibri"/>
                <w:sz w:val="18"/>
                <w:szCs w:val="18"/>
              </w:rPr>
            </w:pPr>
            <w:r>
              <w:rPr>
                <w:rFonts w:cs="Calibri"/>
                <w:sz w:val="18"/>
                <w:szCs w:val="18"/>
              </w:rPr>
              <w:t>6.19E-01</w:t>
            </w:r>
          </w:p>
        </w:tc>
        <w:tc>
          <w:tcPr>
            <w:tcW w:w="1559" w:type="dxa"/>
            <w:tcBorders>
              <w:left w:val="single" w:sz="4" w:space="0" w:color="auto"/>
              <w:bottom w:val="single" w:sz="4" w:space="0" w:color="auto"/>
              <w:right w:val="single" w:sz="4" w:space="0" w:color="auto"/>
            </w:tcBorders>
            <w:shd w:val="clear" w:color="auto" w:fill="FFFFFF"/>
            <w:vAlign w:val="center"/>
          </w:tcPr>
          <w:p w14:paraId="240837BB" w14:textId="4C30EF26" w:rsidR="00FD178B" w:rsidRPr="004C27A8" w:rsidRDefault="004C27A8" w:rsidP="00BA238F">
            <w:pPr>
              <w:suppressAutoHyphens w:val="0"/>
              <w:jc w:val="center"/>
              <w:rPr>
                <w:rFonts w:cs="Calibri"/>
                <w:sz w:val="18"/>
                <w:szCs w:val="18"/>
              </w:rPr>
            </w:pPr>
            <w:r>
              <w:rPr>
                <w:rFonts w:cs="Calibri"/>
                <w:sz w:val="18"/>
                <w:szCs w:val="18"/>
              </w:rPr>
              <w:t>4.62E-01</w:t>
            </w:r>
          </w:p>
        </w:tc>
        <w:tc>
          <w:tcPr>
            <w:tcW w:w="1559" w:type="dxa"/>
            <w:tcBorders>
              <w:left w:val="single" w:sz="4" w:space="0" w:color="auto"/>
              <w:bottom w:val="single" w:sz="4" w:space="0" w:color="auto"/>
              <w:right w:val="single" w:sz="4" w:space="0" w:color="auto"/>
            </w:tcBorders>
            <w:shd w:val="clear" w:color="auto" w:fill="FFFFFF"/>
            <w:vAlign w:val="center"/>
          </w:tcPr>
          <w:p w14:paraId="6A4EB917" w14:textId="4C67664D" w:rsidR="00FD178B" w:rsidRPr="004C27A8" w:rsidRDefault="004C27A8" w:rsidP="00BA238F">
            <w:pPr>
              <w:suppressAutoHyphens w:val="0"/>
              <w:jc w:val="center"/>
              <w:rPr>
                <w:rFonts w:cs="Calibri"/>
                <w:sz w:val="18"/>
                <w:szCs w:val="18"/>
              </w:rPr>
            </w:pPr>
            <w:r>
              <w:rPr>
                <w:rFonts w:cs="Calibri"/>
                <w:sz w:val="18"/>
                <w:szCs w:val="18"/>
              </w:rPr>
              <w:t>7.40E-02</w:t>
            </w:r>
          </w:p>
        </w:tc>
        <w:tc>
          <w:tcPr>
            <w:tcW w:w="1163" w:type="dxa"/>
            <w:tcBorders>
              <w:left w:val="single" w:sz="4" w:space="0" w:color="auto"/>
              <w:bottom w:val="single" w:sz="4" w:space="0" w:color="auto"/>
              <w:right w:val="single" w:sz="4" w:space="0" w:color="auto"/>
            </w:tcBorders>
            <w:shd w:val="clear" w:color="auto" w:fill="FFFFFF"/>
            <w:vAlign w:val="center"/>
          </w:tcPr>
          <w:p w14:paraId="691F99BB" w14:textId="4C1E0958" w:rsidR="00FD178B" w:rsidRPr="004C27A8" w:rsidRDefault="004C27A8" w:rsidP="00BA238F">
            <w:pPr>
              <w:suppressAutoHyphens w:val="0"/>
              <w:jc w:val="center"/>
              <w:rPr>
                <w:rFonts w:cs="Calibri"/>
                <w:sz w:val="18"/>
                <w:szCs w:val="18"/>
                <w:lang w:val="en-US"/>
              </w:rPr>
            </w:pPr>
            <w:r w:rsidRPr="00594510">
              <w:rPr>
                <w:rFonts w:cs="Calibri"/>
                <w:sz w:val="18"/>
                <w:szCs w:val="18"/>
                <w:lang w:val="en-US"/>
              </w:rPr>
              <w:t>&lt; 0.1</w:t>
            </w:r>
          </w:p>
        </w:tc>
      </w:tr>
    </w:tbl>
    <w:p w14:paraId="53180619" w14:textId="77777777" w:rsidR="00CC32E9" w:rsidRPr="00594510" w:rsidRDefault="00CC32E9" w:rsidP="00CC32E9">
      <w:pPr>
        <w:suppressAutoHyphens w:val="0"/>
        <w:spacing w:line="260" w:lineRule="atLeast"/>
        <w:jc w:val="both"/>
        <w:rPr>
          <w:rFonts w:eastAsia="Calibri"/>
          <w:u w:val="single"/>
          <w:lang w:eastAsia="en-US"/>
        </w:rPr>
      </w:pPr>
      <w:r w:rsidRPr="00A261A2">
        <w:t>* FOCUS refinement</w:t>
      </w:r>
    </w:p>
    <w:p w14:paraId="5BAEC798" w14:textId="77777777" w:rsidR="00CC32E9" w:rsidRDefault="00CC32E9" w:rsidP="00CC32E9">
      <w:pPr>
        <w:rPr>
          <w:rFonts w:eastAsia="Calibri"/>
          <w:b/>
          <w:i/>
          <w:sz w:val="22"/>
          <w:szCs w:val="22"/>
          <w:lang w:eastAsia="en-US"/>
        </w:rPr>
      </w:pPr>
    </w:p>
    <w:p w14:paraId="5B2BFC3E" w14:textId="77777777" w:rsidR="00CC32E9" w:rsidRPr="00B27CB1" w:rsidRDefault="00CC32E9" w:rsidP="00CC32E9">
      <w:pPr>
        <w:rPr>
          <w:rFonts w:ascii="Times New Roman" w:eastAsia="Calibri" w:hAnsi="Times New Roman" w:cs="Times New Roman"/>
          <w:i/>
          <w:lang w:eastAsia="en-US"/>
        </w:rPr>
      </w:pPr>
    </w:p>
    <w:p w14:paraId="4178B130" w14:textId="797963E3" w:rsidR="00CC32E9" w:rsidRPr="00594510" w:rsidRDefault="00CC32E9" w:rsidP="00CC32E9">
      <w:pPr>
        <w:spacing w:before="60" w:line="276" w:lineRule="auto"/>
        <w:ind w:left="142"/>
        <w:jc w:val="both"/>
        <w:rPr>
          <w:rFonts w:ascii="Times New Roman" w:eastAsia="Calibri" w:hAnsi="Times New Roman" w:cs="Times New Roman"/>
          <w:i/>
          <w:lang w:val="en-US" w:eastAsia="en-US"/>
        </w:rPr>
      </w:pPr>
      <w:r w:rsidRPr="00594510">
        <w:rPr>
          <w:rFonts w:eastAsia="Calibri"/>
          <w:u w:val="single"/>
          <w:lang w:val="en-US" w:eastAsia="en-US"/>
        </w:rPr>
        <w:lastRenderedPageBreak/>
        <w:t>Conclusion</w:t>
      </w:r>
      <w:r w:rsidRPr="00594510">
        <w:rPr>
          <w:rFonts w:eastAsia="Calibri"/>
          <w:lang w:val="en-US" w:eastAsia="en-US"/>
        </w:rPr>
        <w:t xml:space="preserve">: </w:t>
      </w:r>
      <w:r w:rsidRPr="002C0044">
        <w:t xml:space="preserve">For the substance of concern OTNE, risks to the STP, and for groundwater are acceptable for the use of the products of </w:t>
      </w:r>
      <w:r w:rsidRPr="002C0044">
        <w:rPr>
          <w:rFonts w:eastAsia="Calibri"/>
          <w:lang w:eastAsia="en-US"/>
        </w:rPr>
        <w:t>LACTIC ACID BASED PRODUCTS</w:t>
      </w:r>
      <w:r w:rsidRPr="002C0044">
        <w:t>. However</w:t>
      </w:r>
      <w:r w:rsidR="002C0044">
        <w:t>,</w:t>
      </w:r>
      <w:r w:rsidRPr="002C0044">
        <w:t xml:space="preserve"> risk are not acceptable in</w:t>
      </w:r>
      <w:r w:rsidR="008A49D1">
        <w:t xml:space="preserve"> Scenario 1 (Meta-SPC 9) for surface water, in </w:t>
      </w:r>
      <w:r w:rsidRPr="002C0044">
        <w:t>Scenario 4</w:t>
      </w:r>
      <w:r w:rsidR="00C47C4F">
        <w:t xml:space="preserve"> </w:t>
      </w:r>
      <w:r w:rsidR="008A49D1">
        <w:t>(Meta-SPC 13),</w:t>
      </w:r>
      <w:r w:rsidRPr="002C0044">
        <w:t xml:space="preserve"> 5</w:t>
      </w:r>
      <w:r w:rsidR="00C47C4F">
        <w:t xml:space="preserve"> </w:t>
      </w:r>
      <w:r w:rsidR="008A49D1">
        <w:t>(Meta-SPC 13) and 6</w:t>
      </w:r>
      <w:r w:rsidR="00C47C4F">
        <w:t xml:space="preserve"> </w:t>
      </w:r>
      <w:r w:rsidR="008A49D1">
        <w:t>(via STP-Meta SPC 9)</w:t>
      </w:r>
      <w:r w:rsidRPr="002C0044">
        <w:t xml:space="preserve"> for the aquatic compartment (surface water and </w:t>
      </w:r>
      <w:r w:rsidRPr="002367DD">
        <w:t>sediment</w:t>
      </w:r>
      <w:r w:rsidRPr="002C0044">
        <w:t>)</w:t>
      </w:r>
      <w:r w:rsidR="008A49D1">
        <w:t xml:space="preserve"> and in Scenario 6</w:t>
      </w:r>
      <w:r w:rsidR="00C47C4F">
        <w:t xml:space="preserve"> </w:t>
      </w:r>
      <w:r w:rsidR="008A49D1">
        <w:t>(direct emission to soil-Meta-SPC 9)</w:t>
      </w:r>
      <w:r w:rsidR="008A49D1" w:rsidRPr="008A49D1">
        <w:t xml:space="preserve"> </w:t>
      </w:r>
      <w:r w:rsidR="008A49D1">
        <w:t xml:space="preserve">for </w:t>
      </w:r>
      <w:r w:rsidR="008A49D1" w:rsidRPr="005012E9">
        <w:t>terrestrial compartment</w:t>
      </w:r>
      <w:r w:rsidR="008A49D1">
        <w:t xml:space="preserve">. </w:t>
      </w:r>
    </w:p>
    <w:p w14:paraId="4E325009" w14:textId="77777777" w:rsidR="00CC32E9" w:rsidRPr="00594510" w:rsidRDefault="00CC32E9" w:rsidP="00CC32E9">
      <w:pPr>
        <w:spacing w:before="60" w:line="276" w:lineRule="auto"/>
        <w:ind w:left="142"/>
        <w:rPr>
          <w:rFonts w:ascii="Times New Roman" w:eastAsia="Calibri" w:hAnsi="Times New Roman" w:cs="Times New Roman"/>
          <w:i/>
          <w:lang w:val="en-US" w:eastAsia="en-US"/>
        </w:rPr>
      </w:pPr>
    </w:p>
    <w:p w14:paraId="7B353BB0" w14:textId="77777777" w:rsidR="00CC32E9" w:rsidRPr="00B27CB1" w:rsidRDefault="00CC32E9" w:rsidP="00CC32E9">
      <w:pPr>
        <w:rPr>
          <w:rFonts w:eastAsia="Calibri"/>
          <w:b/>
          <w:i/>
          <w:sz w:val="22"/>
          <w:szCs w:val="22"/>
          <w:u w:val="single"/>
          <w:lang w:eastAsia="en-US"/>
        </w:rPr>
      </w:pPr>
      <w:r w:rsidRPr="00B27CB1">
        <w:rPr>
          <w:rFonts w:eastAsia="Calibri"/>
          <w:b/>
          <w:i/>
          <w:sz w:val="22"/>
          <w:szCs w:val="22"/>
          <w:lang w:eastAsia="en-US"/>
        </w:rPr>
        <w:t>Primary and secondary poisoning</w:t>
      </w:r>
    </w:p>
    <w:p w14:paraId="443FC7A6" w14:textId="77777777" w:rsidR="00CC32E9" w:rsidRPr="00B27CB1" w:rsidRDefault="00CC32E9" w:rsidP="00CC32E9">
      <w:pPr>
        <w:rPr>
          <w:rFonts w:eastAsia="Calibri"/>
          <w:b/>
          <w:i/>
          <w:sz w:val="22"/>
          <w:szCs w:val="22"/>
          <w:u w:val="single"/>
          <w:lang w:eastAsia="en-US"/>
        </w:rPr>
      </w:pPr>
    </w:p>
    <w:p w14:paraId="5DDAF6C2" w14:textId="77777777" w:rsidR="00CC32E9" w:rsidRPr="00B27CB1" w:rsidRDefault="00CC32E9" w:rsidP="00CC32E9">
      <w:pPr>
        <w:rPr>
          <w:rFonts w:eastAsia="Calibri"/>
          <w:u w:val="single"/>
          <w:lang w:eastAsia="en-US"/>
        </w:rPr>
      </w:pPr>
      <w:r w:rsidRPr="00B27CB1">
        <w:rPr>
          <w:rFonts w:eastAsia="Calibri"/>
          <w:u w:val="single"/>
          <w:lang w:eastAsia="en-US"/>
        </w:rPr>
        <w:t>Primary poisoning</w:t>
      </w:r>
    </w:p>
    <w:p w14:paraId="343946F2" w14:textId="77777777" w:rsidR="00CC32E9" w:rsidRDefault="00CC32E9" w:rsidP="00CC32E9">
      <w:pPr>
        <w:spacing w:before="60" w:line="276" w:lineRule="auto"/>
        <w:jc w:val="both"/>
        <w:rPr>
          <w:rFonts w:ascii="Times New Roman" w:eastAsia="Calibri" w:hAnsi="Times New Roman" w:cs="Times New Roman"/>
          <w:i/>
          <w:lang w:eastAsia="en-US"/>
        </w:rPr>
      </w:pPr>
      <w:r>
        <w:rPr>
          <w:rFonts w:eastAsia="Calibri"/>
          <w:lang w:eastAsia="en-US"/>
        </w:rPr>
        <w:t>P</w:t>
      </w:r>
      <w:r w:rsidRPr="001F6710">
        <w:rPr>
          <w:rFonts w:eastAsia="Calibri"/>
          <w:lang w:eastAsia="en-US"/>
        </w:rPr>
        <w:t xml:space="preserve">rimary poisoning is not expected as direct exposure of the environment is not </w:t>
      </w:r>
      <w:r>
        <w:rPr>
          <w:rFonts w:eastAsia="Calibri"/>
          <w:lang w:eastAsia="en-US"/>
        </w:rPr>
        <w:t>an intended use</w:t>
      </w:r>
      <w:r w:rsidRPr="001F6710">
        <w:rPr>
          <w:rFonts w:eastAsia="Calibri"/>
          <w:lang w:eastAsia="en-US"/>
        </w:rPr>
        <w:t>.</w:t>
      </w:r>
      <w:r>
        <w:rPr>
          <w:rFonts w:eastAsia="Calibri"/>
          <w:lang w:eastAsia="en-US"/>
        </w:rPr>
        <w:t xml:space="preserve"> Therefore, risk are acceptable for primary poisoning.</w:t>
      </w:r>
    </w:p>
    <w:p w14:paraId="14637CEC" w14:textId="77777777" w:rsidR="00CC32E9" w:rsidRPr="00C10DD6" w:rsidRDefault="00CC32E9" w:rsidP="00CC32E9">
      <w:pPr>
        <w:jc w:val="both"/>
        <w:rPr>
          <w:rFonts w:eastAsia="Calibri"/>
          <w:u w:val="single"/>
          <w:lang w:eastAsia="en-US"/>
        </w:rPr>
      </w:pPr>
    </w:p>
    <w:p w14:paraId="47BC1664" w14:textId="77777777" w:rsidR="00CC32E9" w:rsidRPr="00B27CB1" w:rsidRDefault="00CC32E9" w:rsidP="00CC32E9">
      <w:pPr>
        <w:rPr>
          <w:rFonts w:ascii="Times New Roman" w:eastAsia="Calibri" w:hAnsi="Times New Roman" w:cs="Times New Roman"/>
          <w:i/>
          <w:lang w:eastAsia="en-US"/>
        </w:rPr>
      </w:pPr>
    </w:p>
    <w:p w14:paraId="15B3DE10" w14:textId="77777777" w:rsidR="00CC32E9" w:rsidRDefault="00CC32E9" w:rsidP="00CC32E9">
      <w:pPr>
        <w:jc w:val="both"/>
        <w:rPr>
          <w:rFonts w:eastAsia="Calibri"/>
          <w:lang w:eastAsia="en-US"/>
        </w:rPr>
      </w:pPr>
      <w:r w:rsidRPr="00B27CB1">
        <w:rPr>
          <w:rFonts w:eastAsia="Calibri"/>
          <w:u w:val="single"/>
          <w:lang w:eastAsia="en-US"/>
        </w:rPr>
        <w:t>Secondary poisoning</w:t>
      </w:r>
      <w:r w:rsidRPr="008C3598">
        <w:rPr>
          <w:rFonts w:eastAsia="Calibri"/>
          <w:lang w:eastAsia="en-US"/>
        </w:rPr>
        <w:t xml:space="preserve"> </w:t>
      </w:r>
    </w:p>
    <w:p w14:paraId="305AB639" w14:textId="77777777" w:rsidR="00CC32E9" w:rsidRDefault="00CC32E9" w:rsidP="00CC32E9">
      <w:pPr>
        <w:jc w:val="both"/>
        <w:rPr>
          <w:rFonts w:eastAsia="Calibri"/>
          <w:lang w:eastAsia="en-US"/>
        </w:rPr>
      </w:pPr>
    </w:p>
    <w:p w14:paraId="230D7B35" w14:textId="6F62C8D2" w:rsidR="00CC32E9" w:rsidRDefault="00CC32E9" w:rsidP="00CC32E9">
      <w:pPr>
        <w:jc w:val="both"/>
        <w:rPr>
          <w:rFonts w:eastAsia="Calibri"/>
          <w:lang w:eastAsia="en-US"/>
        </w:rPr>
      </w:pPr>
      <w:r>
        <w:rPr>
          <w:rFonts w:eastAsia="Calibri"/>
          <w:lang w:eastAsia="en-US"/>
        </w:rPr>
        <w:t xml:space="preserve">As detailed in the exposure assessment section above, Active substance </w:t>
      </w:r>
      <w:r w:rsidRPr="00CD0084">
        <w:rPr>
          <w:rFonts w:eastAsia="Calibri"/>
          <w:lang w:eastAsia="en-US"/>
        </w:rPr>
        <w:t>L(+)</w:t>
      </w:r>
      <w:r>
        <w:rPr>
          <w:rFonts w:eastAsia="Calibri"/>
          <w:lang w:eastAsia="en-US"/>
        </w:rPr>
        <w:t xml:space="preserve"> Lactic Acid, SoCs </w:t>
      </w:r>
      <w:r w:rsidRPr="006F476E">
        <w:t>Amines, coco alkyldimethyl, N-oxides</w:t>
      </w:r>
      <w:r>
        <w:rPr>
          <w:rFonts w:eastAsia="Calibri"/>
          <w:lang w:eastAsia="en-US"/>
        </w:rPr>
        <w:t xml:space="preserve"> have</w:t>
      </w:r>
      <w:r w:rsidRPr="00CD0084">
        <w:rPr>
          <w:rFonts w:eastAsia="Calibri"/>
          <w:lang w:eastAsia="en-US"/>
        </w:rPr>
        <w:t xml:space="preserve"> a log Kow &lt;3 and a BCF &lt;100. Thus, these values indicate a negligible potential for bioconcentration in biota and no accumulation of substances in the food chain is expected. The secondary poisoning asse</w:t>
      </w:r>
      <w:r>
        <w:rPr>
          <w:rFonts w:eastAsia="Calibri"/>
          <w:lang w:eastAsia="en-US"/>
        </w:rPr>
        <w:t>ssment is not relevant for this substance</w:t>
      </w:r>
      <w:r w:rsidRPr="00CD0084">
        <w:rPr>
          <w:rFonts w:eastAsia="Calibri"/>
          <w:lang w:eastAsia="en-US"/>
        </w:rPr>
        <w:t>.</w:t>
      </w:r>
    </w:p>
    <w:p w14:paraId="573C5334" w14:textId="77777777" w:rsidR="00CC32E9" w:rsidRDefault="00CC32E9" w:rsidP="00CC32E9">
      <w:pPr>
        <w:jc w:val="both"/>
        <w:rPr>
          <w:rFonts w:eastAsia="Calibri"/>
          <w:lang w:eastAsia="en-US"/>
        </w:rPr>
      </w:pPr>
    </w:p>
    <w:p w14:paraId="4050DF83" w14:textId="4FF3CF8E" w:rsidR="00CC32E9" w:rsidRPr="00E91F85" w:rsidRDefault="00CC32E9" w:rsidP="00CC32E9">
      <w:pPr>
        <w:jc w:val="both"/>
        <w:rPr>
          <w:rFonts w:eastAsia="Calibri"/>
          <w:u w:val="single"/>
          <w:lang w:val="en-US" w:eastAsia="en-US"/>
        </w:rPr>
      </w:pPr>
      <w:r>
        <w:rPr>
          <w:rFonts w:eastAsia="Calibri"/>
          <w:lang w:eastAsia="en-US"/>
        </w:rPr>
        <w:t>For SoC OTNE the summary table for Risk ratio calculation is presented below:</w:t>
      </w:r>
    </w:p>
    <w:p w14:paraId="799B7476" w14:textId="77777777" w:rsidR="00CC32E9" w:rsidRPr="00B27CB1" w:rsidRDefault="00CC32E9" w:rsidP="00CC32E9">
      <w:pPr>
        <w:rPr>
          <w:rFonts w:eastAsia="Calibri"/>
          <w:u w:val="single"/>
          <w:lang w:eastAsia="en-US"/>
        </w:rPr>
      </w:pPr>
    </w:p>
    <w:p w14:paraId="5BCFC4D5" w14:textId="77777777" w:rsidR="00CC32E9" w:rsidRPr="00B27CB1" w:rsidRDefault="00CC32E9" w:rsidP="00CC32E9">
      <w:pPr>
        <w:rPr>
          <w:rFonts w:eastAsia="Calibri"/>
          <w:u w:val="single"/>
          <w:lang w:eastAsia="en-US"/>
        </w:rPr>
      </w:pPr>
    </w:p>
    <w:tbl>
      <w:tblPr>
        <w:tblW w:w="0" w:type="auto"/>
        <w:tblInd w:w="245" w:type="dxa"/>
        <w:tblLook w:val="0000" w:firstRow="0" w:lastRow="0" w:firstColumn="0" w:lastColumn="0" w:noHBand="0" w:noVBand="0"/>
      </w:tblPr>
      <w:tblGrid>
        <w:gridCol w:w="4676"/>
        <w:gridCol w:w="2274"/>
        <w:gridCol w:w="2008"/>
      </w:tblGrid>
      <w:tr w:rsidR="00CC32E9" w:rsidRPr="00C10DD6" w14:paraId="5703D8A6" w14:textId="77777777" w:rsidTr="00BA238F">
        <w:trPr>
          <w:trHeight w:val="24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CBF03DB" w14:textId="77777777" w:rsidR="00CC32E9" w:rsidRPr="00C10DD6" w:rsidRDefault="00CC32E9" w:rsidP="00BA238F">
            <w:pPr>
              <w:autoSpaceDE w:val="0"/>
              <w:spacing w:before="60" w:after="60" w:line="260" w:lineRule="atLeast"/>
              <w:jc w:val="center"/>
              <w:rPr>
                <w:sz w:val="18"/>
                <w:szCs w:val="18"/>
              </w:rPr>
            </w:pPr>
            <w:r w:rsidRPr="00594510">
              <w:rPr>
                <w:rFonts w:eastAsia="Calibri"/>
                <w:b/>
                <w:sz w:val="18"/>
                <w:szCs w:val="18"/>
                <w:lang w:eastAsia="en-US"/>
              </w:rPr>
              <w:t>Summary table on secondary poisoning</w:t>
            </w:r>
          </w:p>
        </w:tc>
      </w:tr>
      <w:tr w:rsidR="00D20C12" w:rsidRPr="00C10DD6" w14:paraId="4B34D228"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499B4E51" w14:textId="77777777" w:rsidR="00D20C12" w:rsidRPr="00594510" w:rsidRDefault="00D20C12" w:rsidP="00BA238F">
            <w:pPr>
              <w:autoSpaceDE w:val="0"/>
              <w:spacing w:before="60" w:after="60" w:line="260" w:lineRule="atLeast"/>
              <w:jc w:val="center"/>
              <w:rPr>
                <w:rFonts w:eastAsia="Calibri"/>
                <w:b/>
                <w:sz w:val="18"/>
                <w:szCs w:val="18"/>
                <w:lang w:eastAsia="en-US"/>
              </w:rPr>
            </w:pPr>
            <w:r w:rsidRPr="00594510">
              <w:rPr>
                <w:rFonts w:eastAsia="Calibri" w:cs="Arial"/>
                <w:b/>
                <w:color w:val="000000"/>
                <w:sz w:val="18"/>
                <w:szCs w:val="18"/>
                <w:lang w:eastAsia="en-GB"/>
              </w:rPr>
              <w:t>Scenario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EBAC3D0" w14:textId="77777777" w:rsidR="00D20C12" w:rsidRPr="001B2FE0" w:rsidRDefault="00D20C12" w:rsidP="00BA238F">
            <w:pPr>
              <w:autoSpaceDE w:val="0"/>
              <w:spacing w:before="60" w:after="60" w:line="260" w:lineRule="atLeast"/>
              <w:jc w:val="center"/>
              <w:rPr>
                <w:rFonts w:eastAsia="Calibri"/>
                <w:b/>
                <w:sz w:val="18"/>
                <w:szCs w:val="18"/>
                <w:lang w:eastAsia="en-US"/>
              </w:rPr>
            </w:pPr>
            <w:r w:rsidRPr="00594510">
              <w:rPr>
                <w:rFonts w:eastAsia="Calibri" w:cs="Arial"/>
                <w:b/>
                <w:bCs/>
                <w:color w:val="000000"/>
                <w:sz w:val="18"/>
                <w:szCs w:val="18"/>
                <w:lang w:eastAsia="en-GB"/>
              </w:rPr>
              <w:t>PEC/PNEC</w:t>
            </w:r>
            <w:r w:rsidRPr="00594510">
              <w:rPr>
                <w:rFonts w:eastAsia="Calibri" w:cs="Arial"/>
                <w:b/>
                <w:bCs/>
                <w:color w:val="000000"/>
                <w:sz w:val="18"/>
                <w:szCs w:val="18"/>
                <w:vertAlign w:val="subscript"/>
                <w:lang w:eastAsia="en-GB"/>
              </w:rPr>
              <w:t>mammals</w:t>
            </w:r>
            <w:r w:rsidRPr="001B2FE0">
              <w:rPr>
                <w:rFonts w:eastAsia="Calibri" w:cs="Arial"/>
                <w:b/>
                <w:bCs/>
                <w:color w:val="000000"/>
                <w:sz w:val="18"/>
                <w:szCs w:val="18"/>
                <w:vertAlign w:val="subscript"/>
                <w:lang w:eastAsia="en-GB"/>
              </w:rPr>
              <w:t xml:space="preserve"> aquatic</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49174A6" w14:textId="77777777" w:rsidR="00D20C12" w:rsidRPr="00594510" w:rsidRDefault="00D20C12" w:rsidP="00BA238F">
            <w:pPr>
              <w:autoSpaceDE w:val="0"/>
              <w:spacing w:before="60" w:after="60" w:line="260" w:lineRule="atLeast"/>
              <w:jc w:val="center"/>
              <w:rPr>
                <w:rFonts w:eastAsia="Calibri"/>
                <w:b/>
                <w:sz w:val="18"/>
                <w:szCs w:val="18"/>
                <w:lang w:eastAsia="en-US"/>
              </w:rPr>
            </w:pPr>
            <w:r w:rsidRPr="001B2FE0">
              <w:rPr>
                <w:rFonts w:eastAsia="Calibri" w:cs="Arial"/>
                <w:b/>
                <w:bCs/>
                <w:color w:val="000000"/>
                <w:sz w:val="18"/>
                <w:szCs w:val="18"/>
                <w:lang w:eastAsia="en-GB"/>
              </w:rPr>
              <w:t>PEC/PNEC</w:t>
            </w:r>
            <w:r w:rsidRPr="001B2FE0">
              <w:rPr>
                <w:rFonts w:eastAsia="Calibri" w:cs="Arial"/>
                <w:b/>
                <w:bCs/>
                <w:color w:val="000000"/>
                <w:sz w:val="18"/>
                <w:szCs w:val="18"/>
                <w:vertAlign w:val="subscript"/>
                <w:lang w:eastAsia="en-GB"/>
              </w:rPr>
              <w:t>mammals terrestrial</w:t>
            </w:r>
          </w:p>
        </w:tc>
      </w:tr>
      <w:tr w:rsidR="00D20C12" w:rsidRPr="00C10DD6" w14:paraId="6B8D7D8F"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446F17CE" w14:textId="77777777" w:rsidR="00D20C12" w:rsidRPr="00594510" w:rsidRDefault="00D20C12" w:rsidP="00BA238F">
            <w:pPr>
              <w:spacing w:before="60" w:after="60" w:line="276" w:lineRule="auto"/>
              <w:rPr>
                <w:rFonts w:eastAsia="Calibri" w:cs="Arial"/>
                <w:sz w:val="18"/>
                <w:szCs w:val="18"/>
                <w:lang w:eastAsia="en-GB"/>
              </w:rPr>
            </w:pPr>
            <w:r w:rsidRPr="00594510">
              <w:rPr>
                <w:rFonts w:eastAsia="Calibri" w:cs="Arial"/>
                <w:sz w:val="18"/>
                <w:szCs w:val="18"/>
                <w:lang w:eastAsia="en-GB"/>
              </w:rPr>
              <w:t xml:space="preserve">Scenario 1 – PT02 </w:t>
            </w:r>
          </w:p>
          <w:p w14:paraId="74F11A6A"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C10DD6">
              <w:rPr>
                <w:rFonts w:eastAsia="Calibri"/>
                <w:sz w:val="18"/>
                <w:szCs w:val="18"/>
                <w:lang w:eastAsia="en-US"/>
              </w:rPr>
              <w:t>Institutional areas</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677F2DD" w14:textId="653F6FF9" w:rsidR="00D20C12" w:rsidRPr="00594510" w:rsidRDefault="00D20C12" w:rsidP="00BA238F">
            <w:pPr>
              <w:autoSpaceDE w:val="0"/>
              <w:spacing w:before="60" w:after="60" w:line="260" w:lineRule="atLeast"/>
              <w:jc w:val="center"/>
              <w:rPr>
                <w:rFonts w:eastAsia="Calibri" w:cs="Arial"/>
                <w:bCs/>
                <w:sz w:val="18"/>
                <w:szCs w:val="18"/>
                <w:lang w:eastAsia="en-GB"/>
              </w:rPr>
            </w:pPr>
            <w:r>
              <w:rPr>
                <w:rFonts w:eastAsia="Calibri" w:cs="Arial"/>
                <w:bCs/>
                <w:sz w:val="18"/>
                <w:szCs w:val="18"/>
                <w:lang w:eastAsia="en-GB"/>
              </w:rPr>
              <w:t>3.88E-02</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70BBB14B" w14:textId="3210CE3E"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1.86E-03</w:t>
            </w:r>
          </w:p>
        </w:tc>
      </w:tr>
      <w:tr w:rsidR="00D20C12" w:rsidRPr="00C10DD6" w14:paraId="53B8DA20"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E16C5C5" w14:textId="77777777" w:rsidR="00D20C12" w:rsidRPr="00C10DD6" w:rsidRDefault="00D20C12" w:rsidP="00BA238F">
            <w:pPr>
              <w:spacing w:before="60" w:after="60" w:line="276" w:lineRule="auto"/>
              <w:rPr>
                <w:sz w:val="18"/>
                <w:szCs w:val="18"/>
              </w:rPr>
            </w:pPr>
            <w:r w:rsidRPr="00594510">
              <w:rPr>
                <w:rFonts w:eastAsia="Calibri" w:cs="Arial"/>
                <w:sz w:val="18"/>
                <w:szCs w:val="18"/>
                <w:lang w:eastAsia="en-GB"/>
              </w:rPr>
              <w:t>Scenario 2 – PT02</w:t>
            </w:r>
            <w:r w:rsidRPr="00C10DD6">
              <w:rPr>
                <w:sz w:val="18"/>
                <w:szCs w:val="18"/>
              </w:rPr>
              <w:t xml:space="preserve"> </w:t>
            </w:r>
          </w:p>
          <w:p w14:paraId="3AADE2EB"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594510">
              <w:rPr>
                <w:rFonts w:eastAsia="Calibri" w:cs="Arial"/>
                <w:sz w:val="18"/>
                <w:szCs w:val="18"/>
                <w:lang w:eastAsia="en-GB"/>
              </w:rPr>
              <w:t>Industrial areas</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EF8A236" w14:textId="6BE908BD" w:rsidR="00D20C12" w:rsidRPr="00594510" w:rsidRDefault="00D20C12" w:rsidP="00BA238F">
            <w:pPr>
              <w:autoSpaceDE w:val="0"/>
              <w:spacing w:before="60" w:after="60" w:line="260" w:lineRule="atLeast"/>
              <w:jc w:val="center"/>
              <w:rPr>
                <w:rFonts w:eastAsia="Calibri" w:cs="Arial"/>
                <w:bCs/>
                <w:sz w:val="18"/>
                <w:szCs w:val="18"/>
                <w:lang w:eastAsia="en-GB"/>
              </w:rPr>
            </w:pPr>
            <w:r>
              <w:rPr>
                <w:rFonts w:eastAsia="Calibri" w:cs="Arial"/>
                <w:bCs/>
                <w:sz w:val="18"/>
                <w:szCs w:val="18"/>
                <w:lang w:eastAsia="en-GB"/>
              </w:rPr>
              <w:t>8.87E-03</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5BF7FD2F" w14:textId="4FE67024"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sidDel="00C47C4F">
              <w:rPr>
                <w:rFonts w:eastAsia="Calibri" w:cs="Arial"/>
                <w:bCs/>
                <w:color w:val="000000"/>
                <w:sz w:val="18"/>
                <w:szCs w:val="18"/>
                <w:lang w:eastAsia="en-GB"/>
              </w:rPr>
              <w:t>4.</w:t>
            </w:r>
            <w:r>
              <w:rPr>
                <w:rFonts w:eastAsia="Calibri" w:cs="Arial"/>
                <w:bCs/>
                <w:color w:val="000000"/>
                <w:sz w:val="18"/>
                <w:szCs w:val="18"/>
                <w:lang w:eastAsia="en-GB"/>
              </w:rPr>
              <w:t>26E-03</w:t>
            </w:r>
          </w:p>
        </w:tc>
      </w:tr>
      <w:tr w:rsidR="00D20C12" w:rsidRPr="00C10DD6" w14:paraId="08A97EC7"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25EC5C90" w14:textId="47E4ADDE" w:rsidR="00D20C12" w:rsidRPr="00594510" w:rsidRDefault="00D20C12" w:rsidP="00BA238F">
            <w:pPr>
              <w:spacing w:before="60" w:after="60" w:line="276" w:lineRule="auto"/>
              <w:rPr>
                <w:rFonts w:eastAsia="Calibri" w:cs="Arial"/>
                <w:sz w:val="18"/>
                <w:szCs w:val="18"/>
                <w:lang w:eastAsia="en-GB"/>
              </w:rPr>
            </w:pPr>
            <w:r>
              <w:rPr>
                <w:rFonts w:eastAsia="Calibri" w:cs="Arial"/>
                <w:sz w:val="18"/>
                <w:szCs w:val="18"/>
                <w:lang w:eastAsia="en-GB"/>
              </w:rPr>
              <w:t xml:space="preserve">Scenario 3 - </w:t>
            </w:r>
            <w:r>
              <w:rPr>
                <w:rFonts w:eastAsia="Calibri"/>
                <w:sz w:val="18"/>
                <w:szCs w:val="18"/>
                <w:lang w:eastAsia="en-US"/>
              </w:rPr>
              <w:t>PT02 Disinfection of rooms, furniture and objects in medical sector</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B5233E4" w14:textId="739D1FF5" w:rsidR="00D20C12" w:rsidRPr="00594510" w:rsidRDefault="00D20C12" w:rsidP="00BA238F">
            <w:pPr>
              <w:autoSpaceDE w:val="0"/>
              <w:spacing w:before="60" w:after="60" w:line="260" w:lineRule="atLeast"/>
              <w:jc w:val="center"/>
              <w:rPr>
                <w:rFonts w:eastAsia="Calibri" w:cs="Arial"/>
                <w:bCs/>
                <w:sz w:val="18"/>
                <w:szCs w:val="18"/>
                <w:lang w:eastAsia="en-GB"/>
              </w:rPr>
            </w:pPr>
            <w:r>
              <w:rPr>
                <w:rFonts w:eastAsia="Calibri" w:cs="Arial"/>
                <w:bCs/>
                <w:sz w:val="18"/>
                <w:szCs w:val="18"/>
                <w:lang w:eastAsia="en-GB"/>
              </w:rPr>
              <w:t>3.33E-03</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0B95B0BA" w14:textId="0E78EA83"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1.60E-03</w:t>
            </w:r>
          </w:p>
        </w:tc>
      </w:tr>
      <w:tr w:rsidR="00D20C12" w:rsidRPr="00C10DD6" w14:paraId="7CEBB244"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594E699" w14:textId="77777777" w:rsidR="00D20C12" w:rsidRPr="00594510" w:rsidRDefault="00D20C12" w:rsidP="00BA238F">
            <w:pPr>
              <w:spacing w:before="60" w:after="60" w:line="276" w:lineRule="auto"/>
              <w:rPr>
                <w:rFonts w:eastAsia="Calibri" w:cs="Arial"/>
                <w:sz w:val="18"/>
                <w:szCs w:val="18"/>
                <w:lang w:eastAsia="en-GB"/>
              </w:rPr>
            </w:pPr>
            <w:r w:rsidRPr="00C10DD6">
              <w:rPr>
                <w:rFonts w:eastAsia="Calibri"/>
                <w:color w:val="000000"/>
                <w:sz w:val="18"/>
                <w:szCs w:val="18"/>
                <w:lang w:eastAsia="en-GB"/>
              </w:rPr>
              <w:t xml:space="preserve">Scenario 4 </w:t>
            </w:r>
            <w:r w:rsidRPr="00594510">
              <w:rPr>
                <w:rFonts w:eastAsia="Calibri" w:cs="Arial"/>
                <w:sz w:val="18"/>
                <w:szCs w:val="18"/>
                <w:lang w:eastAsia="en-GB"/>
              </w:rPr>
              <w:t xml:space="preserve">– PT02 </w:t>
            </w:r>
          </w:p>
          <w:p w14:paraId="6C5F67C7"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C10DD6">
              <w:rPr>
                <w:sz w:val="18"/>
                <w:szCs w:val="18"/>
              </w:rPr>
              <w:t>Road ways indirect emission via STP</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FB6B1F6" w14:textId="7AF6B195" w:rsidR="00D20C12" w:rsidRPr="00594510" w:rsidRDefault="00D20C12" w:rsidP="00EB5C18">
            <w:pPr>
              <w:autoSpaceDE w:val="0"/>
              <w:spacing w:before="60" w:after="60" w:line="260" w:lineRule="atLeast"/>
              <w:jc w:val="center"/>
              <w:rPr>
                <w:rFonts w:eastAsia="Calibri" w:cs="Arial"/>
                <w:bCs/>
                <w:sz w:val="18"/>
                <w:szCs w:val="18"/>
                <w:lang w:eastAsia="en-GB"/>
              </w:rPr>
            </w:pPr>
            <w:r>
              <w:rPr>
                <w:rFonts w:eastAsia="Calibri" w:cs="Arial"/>
                <w:bCs/>
                <w:sz w:val="18"/>
                <w:szCs w:val="18"/>
                <w:lang w:eastAsia="en-GB"/>
              </w:rPr>
              <w:t>1.33E-01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F3C072A" w14:textId="35F20847"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6.39E-02</w:t>
            </w:r>
          </w:p>
        </w:tc>
      </w:tr>
      <w:tr w:rsidR="00D20C12" w:rsidRPr="00C10DD6" w14:paraId="31EB0781"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7922DD00" w14:textId="77777777" w:rsidR="00D20C12" w:rsidRPr="00594510" w:rsidRDefault="00D20C12" w:rsidP="00BA238F">
            <w:pPr>
              <w:widowControl w:val="0"/>
              <w:tabs>
                <w:tab w:val="center" w:pos="4536"/>
                <w:tab w:val="right" w:pos="9072"/>
              </w:tabs>
              <w:spacing w:line="260" w:lineRule="atLeast"/>
              <w:rPr>
                <w:rFonts w:eastAsia="Calibri" w:cs="Arial"/>
                <w:sz w:val="18"/>
                <w:szCs w:val="18"/>
                <w:lang w:eastAsia="en-GB"/>
              </w:rPr>
            </w:pPr>
            <w:r w:rsidRPr="00C10DD6">
              <w:rPr>
                <w:rFonts w:eastAsia="Calibri"/>
                <w:color w:val="000000"/>
                <w:sz w:val="18"/>
                <w:szCs w:val="18"/>
                <w:lang w:eastAsia="en-GB"/>
              </w:rPr>
              <w:t xml:space="preserve">Scenario 5 </w:t>
            </w:r>
            <w:r w:rsidRPr="00594510">
              <w:rPr>
                <w:rFonts w:eastAsia="Calibri" w:cs="Arial"/>
                <w:sz w:val="18"/>
                <w:szCs w:val="18"/>
                <w:lang w:eastAsia="en-GB"/>
              </w:rPr>
              <w:t>– PT02</w:t>
            </w:r>
          </w:p>
          <w:p w14:paraId="49854468"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C10DD6">
              <w:rPr>
                <w:sz w:val="18"/>
                <w:szCs w:val="18"/>
              </w:rPr>
              <w:t>Road ways direct emission to surface water</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06BAD193" w14:textId="075BC132" w:rsidR="00D20C12" w:rsidRPr="00594510" w:rsidRDefault="00D20C12" w:rsidP="00BA238F">
            <w:pPr>
              <w:autoSpaceDE w:val="0"/>
              <w:spacing w:before="60" w:after="60" w:line="260" w:lineRule="atLeast"/>
              <w:jc w:val="center"/>
              <w:rPr>
                <w:rFonts w:eastAsia="Calibri" w:cs="Arial"/>
                <w:bCs/>
                <w:sz w:val="18"/>
                <w:szCs w:val="18"/>
                <w:lang w:eastAsia="en-GB"/>
              </w:rPr>
            </w:pPr>
            <w:r w:rsidRPr="002367DD">
              <w:rPr>
                <w:rFonts w:eastAsia="Calibri" w:cs="Arial"/>
                <w:b/>
                <w:bCs/>
                <w:sz w:val="18"/>
                <w:szCs w:val="18"/>
                <w:lang w:eastAsia="en-GB"/>
              </w:rPr>
              <w:t>1.29</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422F76BD" w14:textId="77777777"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sidRPr="001B2FE0">
              <w:rPr>
                <w:rFonts w:eastAsia="Calibri" w:cs="Arial"/>
                <w:bCs/>
                <w:color w:val="000000"/>
                <w:sz w:val="18"/>
                <w:szCs w:val="18"/>
                <w:lang w:eastAsia="en-GB"/>
              </w:rPr>
              <w:t>-</w:t>
            </w:r>
          </w:p>
        </w:tc>
      </w:tr>
      <w:tr w:rsidR="00D20C12" w:rsidRPr="00C10DD6" w14:paraId="2771CCB8"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584161CB" w14:textId="7D8FC1B2" w:rsidR="00D20C12" w:rsidRPr="00594510" w:rsidRDefault="00D20C12" w:rsidP="00BA238F">
            <w:pPr>
              <w:spacing w:before="60" w:after="60" w:line="276" w:lineRule="auto"/>
              <w:rPr>
                <w:rFonts w:eastAsia="Calibri" w:cs="Arial"/>
                <w:sz w:val="18"/>
                <w:szCs w:val="18"/>
                <w:lang w:eastAsia="en-GB"/>
              </w:rPr>
            </w:pPr>
            <w:r w:rsidRPr="00C10DD6">
              <w:rPr>
                <w:rFonts w:eastAsia="Calibri"/>
                <w:color w:val="000000"/>
                <w:sz w:val="18"/>
                <w:szCs w:val="18"/>
                <w:lang w:eastAsia="en-GB"/>
              </w:rPr>
              <w:t xml:space="preserve">Scenario </w:t>
            </w:r>
            <w:r>
              <w:rPr>
                <w:rFonts w:eastAsia="Calibri"/>
                <w:color w:val="000000"/>
                <w:sz w:val="18"/>
                <w:szCs w:val="18"/>
                <w:lang w:eastAsia="en-GB"/>
              </w:rPr>
              <w:t>6</w:t>
            </w:r>
            <w:r w:rsidRPr="00C10DD6">
              <w:rPr>
                <w:rFonts w:eastAsia="Calibri"/>
                <w:color w:val="000000"/>
                <w:sz w:val="18"/>
                <w:szCs w:val="18"/>
                <w:lang w:eastAsia="en-GB"/>
              </w:rPr>
              <w:t xml:space="preserve"> </w:t>
            </w:r>
            <w:r w:rsidRPr="00594510">
              <w:rPr>
                <w:rFonts w:eastAsia="Calibri" w:cs="Arial"/>
                <w:sz w:val="18"/>
                <w:szCs w:val="18"/>
                <w:lang w:eastAsia="en-GB"/>
              </w:rPr>
              <w:t xml:space="preserve">– PT03 </w:t>
            </w:r>
          </w:p>
          <w:p w14:paraId="5F519ADD"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C10DD6">
              <w:rPr>
                <w:sz w:val="18"/>
                <w:szCs w:val="18"/>
              </w:rPr>
              <w:t>Animal housing direct emission to soil</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94FFFAF" w14:textId="77777777" w:rsidR="00D20C12" w:rsidRPr="00594510" w:rsidRDefault="00D20C12" w:rsidP="00BA238F">
            <w:pPr>
              <w:autoSpaceDE w:val="0"/>
              <w:spacing w:before="60" w:after="60" w:line="260" w:lineRule="atLeast"/>
              <w:jc w:val="center"/>
              <w:rPr>
                <w:rFonts w:eastAsia="Calibri" w:cs="Arial"/>
                <w:bCs/>
                <w:sz w:val="18"/>
                <w:szCs w:val="18"/>
                <w:lang w:eastAsia="en-GB"/>
              </w:rPr>
            </w:pPr>
            <w:r w:rsidRPr="00594510">
              <w:rPr>
                <w:rFonts w:eastAsia="Calibri" w:cs="Arial"/>
                <w:bCs/>
                <w:sz w:val="18"/>
                <w:szCs w:val="18"/>
                <w:lang w:eastAsia="en-GB"/>
              </w:rPr>
              <w:t>-</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26FBDD9E" w14:textId="4EFE4008"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5.22E</w:t>
            </w:r>
            <w:r w:rsidRPr="001B2FE0">
              <w:rPr>
                <w:rFonts w:eastAsia="Calibri" w:cs="Arial"/>
                <w:bCs/>
                <w:color w:val="000000"/>
                <w:sz w:val="18"/>
                <w:szCs w:val="18"/>
                <w:lang w:eastAsia="en-GB"/>
              </w:rPr>
              <w:t>-01</w:t>
            </w:r>
          </w:p>
        </w:tc>
      </w:tr>
      <w:tr w:rsidR="00D20C12" w:rsidRPr="00C10DD6" w14:paraId="51285606" w14:textId="77777777" w:rsidTr="00D20C12">
        <w:trPr>
          <w:trHeight w:val="249"/>
        </w:trPr>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53C76BE9" w14:textId="0AA9DC5A" w:rsidR="00D20C12" w:rsidRPr="00594510" w:rsidRDefault="00D20C12" w:rsidP="00BA238F">
            <w:pPr>
              <w:spacing w:before="60" w:after="60" w:line="276" w:lineRule="auto"/>
              <w:rPr>
                <w:rFonts w:eastAsia="Calibri" w:cs="Arial"/>
                <w:sz w:val="18"/>
                <w:szCs w:val="18"/>
                <w:lang w:eastAsia="en-GB"/>
              </w:rPr>
            </w:pPr>
            <w:r w:rsidRPr="00C10DD6">
              <w:rPr>
                <w:rFonts w:eastAsia="Calibri"/>
                <w:color w:val="000000"/>
                <w:sz w:val="18"/>
                <w:szCs w:val="18"/>
                <w:lang w:eastAsia="en-GB"/>
              </w:rPr>
              <w:t xml:space="preserve">Scenario </w:t>
            </w:r>
            <w:r>
              <w:rPr>
                <w:rFonts w:eastAsia="Calibri"/>
                <w:color w:val="000000"/>
                <w:sz w:val="18"/>
                <w:szCs w:val="18"/>
                <w:lang w:eastAsia="en-GB"/>
              </w:rPr>
              <w:t>6</w:t>
            </w:r>
            <w:r w:rsidRPr="00C10DD6">
              <w:rPr>
                <w:rFonts w:eastAsia="Calibri"/>
                <w:color w:val="000000"/>
                <w:sz w:val="18"/>
                <w:szCs w:val="18"/>
                <w:lang w:eastAsia="en-GB"/>
              </w:rPr>
              <w:t xml:space="preserve"> </w:t>
            </w:r>
            <w:r w:rsidRPr="00594510">
              <w:rPr>
                <w:rFonts w:eastAsia="Calibri" w:cs="Arial"/>
                <w:sz w:val="18"/>
                <w:szCs w:val="18"/>
                <w:lang w:eastAsia="en-GB"/>
              </w:rPr>
              <w:t xml:space="preserve">– PT03 </w:t>
            </w:r>
          </w:p>
          <w:p w14:paraId="2483A4E9" w14:textId="77777777" w:rsidR="00D20C12" w:rsidRPr="00594510" w:rsidRDefault="00D20C12" w:rsidP="00BA238F">
            <w:pPr>
              <w:autoSpaceDE w:val="0"/>
              <w:spacing w:before="60" w:after="60" w:line="260" w:lineRule="atLeast"/>
              <w:rPr>
                <w:rFonts w:eastAsia="Calibri" w:cs="Arial"/>
                <w:b/>
                <w:color w:val="000000"/>
                <w:sz w:val="18"/>
                <w:szCs w:val="18"/>
                <w:lang w:eastAsia="en-GB"/>
              </w:rPr>
            </w:pPr>
            <w:r w:rsidRPr="00C10DD6">
              <w:rPr>
                <w:sz w:val="18"/>
                <w:szCs w:val="18"/>
              </w:rPr>
              <w:t>Animal housing indirect emission via STP</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5A05128" w14:textId="6EDAC2D8" w:rsidR="00D20C12" w:rsidRPr="00594510" w:rsidRDefault="00D20C12" w:rsidP="00BA238F">
            <w:pPr>
              <w:autoSpaceDE w:val="0"/>
              <w:spacing w:before="60" w:after="60" w:line="260" w:lineRule="atLeast"/>
              <w:jc w:val="center"/>
              <w:rPr>
                <w:rFonts w:eastAsia="Calibri" w:cs="Arial"/>
                <w:bCs/>
                <w:sz w:val="18"/>
                <w:szCs w:val="18"/>
                <w:lang w:eastAsia="en-GB"/>
              </w:rPr>
            </w:pPr>
            <w:r>
              <w:rPr>
                <w:rFonts w:eastAsia="Calibri" w:cs="Arial"/>
                <w:bCs/>
                <w:sz w:val="18"/>
                <w:szCs w:val="18"/>
                <w:lang w:eastAsia="en-GB"/>
              </w:rPr>
              <w:t>2.00E-01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203A6F2" w14:textId="2C7836D0" w:rsidR="00D20C12" w:rsidRPr="001B2FE0" w:rsidRDefault="00D20C12" w:rsidP="00BA238F">
            <w:pPr>
              <w:autoSpaceDE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9.59E-02</w:t>
            </w:r>
          </w:p>
        </w:tc>
      </w:tr>
    </w:tbl>
    <w:p w14:paraId="1379024B" w14:textId="77777777" w:rsidR="00CC32E9" w:rsidRPr="00B27CB1" w:rsidRDefault="00CC32E9" w:rsidP="00CC32E9">
      <w:pPr>
        <w:spacing w:before="60" w:line="276" w:lineRule="auto"/>
        <w:rPr>
          <w:rFonts w:ascii="Times New Roman" w:eastAsia="Calibri" w:hAnsi="Times New Roman" w:cs="Times New Roman"/>
          <w:i/>
          <w:lang w:eastAsia="en-US"/>
        </w:rPr>
      </w:pPr>
    </w:p>
    <w:p w14:paraId="2459B01E" w14:textId="07C270E4" w:rsidR="00CC32E9" w:rsidRDefault="00CC32E9" w:rsidP="00CC32E9">
      <w:pPr>
        <w:spacing w:before="60" w:line="276" w:lineRule="auto"/>
        <w:jc w:val="both"/>
        <w:rPr>
          <w:rFonts w:ascii="Times New Roman" w:eastAsia="Calibri" w:hAnsi="Times New Roman" w:cs="Times New Roman"/>
          <w:i/>
          <w:lang w:eastAsia="en-US"/>
        </w:rPr>
      </w:pPr>
      <w:r>
        <w:rPr>
          <w:rFonts w:eastAsia="Calibri"/>
          <w:u w:val="single"/>
          <w:lang w:eastAsia="en-US"/>
        </w:rPr>
        <w:lastRenderedPageBreak/>
        <w:t>Conclusion</w:t>
      </w:r>
      <w:r>
        <w:rPr>
          <w:rFonts w:eastAsia="Calibri"/>
          <w:lang w:eastAsia="en-US"/>
        </w:rPr>
        <w:t>: For all the assessed substance</w:t>
      </w:r>
      <w:r w:rsidRPr="009E776E">
        <w:rPr>
          <w:rFonts w:eastAsia="Calibri"/>
          <w:lang w:eastAsia="en-US"/>
        </w:rPr>
        <w:t xml:space="preserve">, risks of primary and secondary poisoning are acceptable for the use of the products of </w:t>
      </w:r>
      <w:r>
        <w:rPr>
          <w:rFonts w:eastAsia="Calibri"/>
          <w:lang w:eastAsia="en-US"/>
        </w:rPr>
        <w:t>LACTIC ACID BASED PRODUCTS</w:t>
      </w:r>
      <w:r w:rsidR="00840EE4">
        <w:rPr>
          <w:rFonts w:eastAsia="Calibri"/>
          <w:lang w:eastAsia="en-US"/>
        </w:rPr>
        <w:t>, except for scenario 5</w:t>
      </w:r>
      <w:r>
        <w:rPr>
          <w:rFonts w:eastAsia="Calibri"/>
          <w:lang w:eastAsia="en-US"/>
        </w:rPr>
        <w:t>.</w:t>
      </w:r>
      <w:r w:rsidRPr="009E776E" w:rsidDel="00CD0084">
        <w:rPr>
          <w:rFonts w:eastAsia="Calibri"/>
          <w:lang w:eastAsia="en-US"/>
        </w:rPr>
        <w:t xml:space="preserve"> </w:t>
      </w:r>
    </w:p>
    <w:p w14:paraId="1FC64392" w14:textId="77777777" w:rsidR="00CC32E9" w:rsidRPr="00B27CB1" w:rsidRDefault="00CC32E9" w:rsidP="00CC32E9">
      <w:pPr>
        <w:spacing w:line="260" w:lineRule="atLeast"/>
        <w:rPr>
          <w:rFonts w:ascii="Times New Roman" w:eastAsia="Calibri" w:hAnsi="Times New Roman" w:cs="Times New Roman"/>
          <w:i/>
          <w:lang w:eastAsia="en-US"/>
        </w:rPr>
      </w:pPr>
    </w:p>
    <w:p w14:paraId="141AF542" w14:textId="77777777" w:rsidR="00CC32E9" w:rsidRPr="00B27CB1" w:rsidRDefault="00CC32E9" w:rsidP="00CC32E9">
      <w:pPr>
        <w:rPr>
          <w:rFonts w:eastAsia="Calibri"/>
          <w:b/>
          <w:i/>
          <w:sz w:val="22"/>
          <w:szCs w:val="22"/>
          <w:lang w:eastAsia="en-US"/>
        </w:rPr>
      </w:pPr>
      <w:r w:rsidRPr="00B27CB1">
        <w:rPr>
          <w:rFonts w:eastAsia="Calibri"/>
          <w:b/>
          <w:i/>
          <w:sz w:val="22"/>
          <w:szCs w:val="22"/>
          <w:lang w:eastAsia="en-US"/>
        </w:rPr>
        <w:t>Mixture toxicity</w:t>
      </w:r>
    </w:p>
    <w:p w14:paraId="693FA7CF" w14:textId="77777777" w:rsidR="00CC32E9" w:rsidRPr="00B27CB1" w:rsidRDefault="00CC32E9" w:rsidP="00CC32E9">
      <w:pPr>
        <w:rPr>
          <w:rFonts w:eastAsia="Calibri"/>
          <w:b/>
          <w:i/>
          <w:sz w:val="22"/>
          <w:szCs w:val="22"/>
          <w:lang w:eastAsia="en-US"/>
        </w:rPr>
      </w:pPr>
    </w:p>
    <w:p w14:paraId="3D3FAF8A" w14:textId="41034BD7" w:rsidR="00CC32E9" w:rsidRPr="002D29B2" w:rsidRDefault="00CC32E9" w:rsidP="00CC32E9">
      <w:pPr>
        <w:jc w:val="both"/>
      </w:pPr>
      <w:r w:rsidRPr="002D29B2">
        <w:rPr>
          <w:rFonts w:eastAsia="Calibri"/>
          <w:lang w:eastAsia="en-US"/>
        </w:rPr>
        <w:t>All the environmental compartments are concerned</w:t>
      </w:r>
      <w:r>
        <w:rPr>
          <w:rFonts w:eastAsia="Calibri"/>
          <w:lang w:eastAsia="en-US"/>
        </w:rPr>
        <w:t xml:space="preserve"> for this assessment and </w:t>
      </w:r>
      <w:r w:rsidR="00AF66F6">
        <w:rPr>
          <w:rFonts w:eastAsia="Calibri"/>
          <w:lang w:eastAsia="en-US"/>
        </w:rPr>
        <w:t>two</w:t>
      </w:r>
      <w:r w:rsidRPr="002D29B2">
        <w:rPr>
          <w:rFonts w:eastAsia="Calibri"/>
          <w:lang w:eastAsia="en-US"/>
        </w:rPr>
        <w:t xml:space="preserve"> co-formulants have been identified as substances of concern for the environment according to Article 3 of the </w:t>
      </w:r>
      <w:r w:rsidRPr="002D29B2">
        <w:t>Regulation (EU) No 528/2012</w:t>
      </w:r>
      <w:r w:rsidRPr="002D29B2">
        <w:rPr>
          <w:rFonts w:eastAsia="Calibri"/>
          <w:lang w:eastAsia="en-US"/>
        </w:rPr>
        <w:t xml:space="preserve">. These substances are </w:t>
      </w:r>
      <w:r w:rsidRPr="002D29B2">
        <w:t xml:space="preserve">Amines, coco alkyldimethyl, N-oxides, and </w:t>
      </w:r>
      <w:r w:rsidRPr="002D29B2">
        <w:rPr>
          <w:rFonts w:eastAsia="Calibri"/>
          <w:lang w:eastAsia="en-US"/>
        </w:rPr>
        <w:t>OTNE</w:t>
      </w:r>
      <w:r w:rsidRPr="002D29B2">
        <w:t>.</w:t>
      </w:r>
    </w:p>
    <w:p w14:paraId="4F3E0F6F" w14:textId="2EB40693" w:rsidR="00CC32E9" w:rsidRDefault="00CC32E9" w:rsidP="00CC32E9">
      <w:pPr>
        <w:jc w:val="both"/>
        <w:rPr>
          <w:rFonts w:eastAsia="Calibri"/>
          <w:lang w:eastAsia="en-US"/>
        </w:rPr>
      </w:pPr>
      <w:r w:rsidRPr="002D29B2">
        <w:br/>
        <w:t xml:space="preserve">These substances are </w:t>
      </w:r>
      <w:r w:rsidR="00EB5C18">
        <w:t>included</w:t>
      </w:r>
      <w:r w:rsidR="00EB5C18" w:rsidRPr="002D29B2">
        <w:t xml:space="preserve"> </w:t>
      </w:r>
      <w:r w:rsidRPr="002D29B2">
        <w:t xml:space="preserve">in the products in Meta-SPC 3, 9, 10, 11 and 13. </w:t>
      </w:r>
      <w:r>
        <w:t>S</w:t>
      </w:r>
      <w:r w:rsidRPr="002D29B2">
        <w:t xml:space="preserve">cenario </w:t>
      </w:r>
      <w:r w:rsidR="006677C0">
        <w:t>1b</w:t>
      </w:r>
      <w:r w:rsidR="00662204">
        <w:t xml:space="preserve"> and scenario 7</w:t>
      </w:r>
      <w:r w:rsidR="00E104B4">
        <w:t xml:space="preserve"> </w:t>
      </w:r>
      <w:r w:rsidRPr="002D29B2">
        <w:t xml:space="preserve">are </w:t>
      </w:r>
      <w:r>
        <w:t xml:space="preserve">not </w:t>
      </w:r>
      <w:r w:rsidRPr="002D29B2">
        <w:t xml:space="preserve">relevant for the assessment </w:t>
      </w:r>
      <w:r>
        <w:t>because they only include L(+)Lactic acid and no other co-formulant classified as SoC</w:t>
      </w:r>
      <w:r w:rsidRPr="00FD6C3A">
        <w:rPr>
          <w:i/>
          <w:lang w:eastAsia="en-US"/>
        </w:rPr>
        <w:t xml:space="preserve">. </w:t>
      </w:r>
      <w:r w:rsidRPr="00FD6C3A">
        <w:rPr>
          <w:lang w:eastAsia="en-US"/>
        </w:rPr>
        <w:t xml:space="preserve">Moreover, </w:t>
      </w:r>
      <w:r w:rsidR="00A73719">
        <w:rPr>
          <w:lang w:eastAsia="en-US"/>
        </w:rPr>
        <w:t>scenario 1</w:t>
      </w:r>
      <w:r w:rsidR="00F12367">
        <w:rPr>
          <w:lang w:eastAsia="en-US"/>
        </w:rPr>
        <w:t>a</w:t>
      </w:r>
      <w:r w:rsidR="00A73719">
        <w:rPr>
          <w:lang w:eastAsia="en-US"/>
        </w:rPr>
        <w:t xml:space="preserve"> </w:t>
      </w:r>
      <w:r w:rsidR="00840EE4">
        <w:rPr>
          <w:lang w:eastAsia="en-US"/>
        </w:rPr>
        <w:t>for</w:t>
      </w:r>
      <w:r w:rsidR="00A73719">
        <w:rPr>
          <w:lang w:eastAsia="en-US"/>
        </w:rPr>
        <w:t xml:space="preserve"> Meta-SPC 9, </w:t>
      </w:r>
      <w:r>
        <w:rPr>
          <w:rFonts w:eastAsia="Calibri"/>
          <w:lang w:eastAsia="en-US"/>
        </w:rPr>
        <w:t>s</w:t>
      </w:r>
      <w:r w:rsidRPr="00FD6C3A">
        <w:rPr>
          <w:rFonts w:eastAsia="Calibri"/>
          <w:lang w:eastAsia="en-US"/>
        </w:rPr>
        <w:t>cenario</w:t>
      </w:r>
      <w:r>
        <w:rPr>
          <w:rFonts w:eastAsia="Calibri"/>
          <w:lang w:eastAsia="en-US"/>
        </w:rPr>
        <w:t>s 4</w:t>
      </w:r>
      <w:r w:rsidR="002367DD">
        <w:rPr>
          <w:rFonts w:eastAsia="Calibri"/>
          <w:lang w:eastAsia="en-US"/>
        </w:rPr>
        <w:t>,</w:t>
      </w:r>
      <w:r>
        <w:rPr>
          <w:rFonts w:eastAsia="Calibri"/>
          <w:lang w:eastAsia="en-US"/>
        </w:rPr>
        <w:t xml:space="preserve"> 5 and </w:t>
      </w:r>
      <w:r w:rsidR="002367DD">
        <w:rPr>
          <w:rFonts w:eastAsia="Calibri"/>
          <w:lang w:eastAsia="en-US"/>
        </w:rPr>
        <w:t>6 (direct release to soil)</w:t>
      </w:r>
      <w:r>
        <w:rPr>
          <w:rFonts w:eastAsia="Calibri"/>
          <w:lang w:eastAsia="en-US"/>
        </w:rPr>
        <w:t xml:space="preserve"> already show </w:t>
      </w:r>
      <w:r w:rsidRPr="00A73719">
        <w:rPr>
          <w:rFonts w:eastAsia="Calibri"/>
          <w:u w:val="single"/>
          <w:lang w:eastAsia="en-US"/>
        </w:rPr>
        <w:t>unacceptable</w:t>
      </w:r>
      <w:r>
        <w:rPr>
          <w:rFonts w:eastAsia="Calibri"/>
          <w:lang w:eastAsia="en-US"/>
        </w:rPr>
        <w:t xml:space="preserve"> risks</w:t>
      </w:r>
      <w:r w:rsidR="00A73719">
        <w:rPr>
          <w:rFonts w:eastAsia="Calibri"/>
          <w:lang w:eastAsia="en-US"/>
        </w:rPr>
        <w:t xml:space="preserve"> for one individual substance</w:t>
      </w:r>
      <w:r>
        <w:rPr>
          <w:rFonts w:eastAsia="Calibri"/>
          <w:lang w:eastAsia="en-US"/>
        </w:rPr>
        <w:t xml:space="preserve"> and are not include in the mixture assessment.</w:t>
      </w:r>
    </w:p>
    <w:p w14:paraId="1AE2E80C" w14:textId="77777777" w:rsidR="00CC32E9" w:rsidRPr="00FD6C3A" w:rsidRDefault="00CC32E9" w:rsidP="00CC32E9">
      <w:pPr>
        <w:jc w:val="both"/>
        <w:rPr>
          <w:lang w:eastAsia="en-US"/>
        </w:rPr>
      </w:pPr>
    </w:p>
    <w:p w14:paraId="0DECDC38" w14:textId="77777777" w:rsidR="00CC32E9" w:rsidRPr="00B27CB1" w:rsidRDefault="00CC32E9" w:rsidP="00CC32E9">
      <w:pPr>
        <w:spacing w:line="276" w:lineRule="auto"/>
        <w:jc w:val="both"/>
        <w:rPr>
          <w:rFonts w:ascii="Times New Roman" w:eastAsia="Calibri" w:hAnsi="Times New Roman" w:cs="Times New Roman"/>
          <w:i/>
          <w:lang w:eastAsia="en-US"/>
        </w:rPr>
      </w:pPr>
      <w:r w:rsidRPr="002D29B2">
        <w:rPr>
          <w:lang w:val="en-US"/>
        </w:rPr>
        <w:t xml:space="preserve">No synergistic interaction is foreseen between </w:t>
      </w:r>
      <w:r>
        <w:rPr>
          <w:lang w:val="en-US"/>
        </w:rPr>
        <w:t>L(+) L</w:t>
      </w:r>
      <w:r w:rsidRPr="002D29B2">
        <w:rPr>
          <w:lang w:val="en-US"/>
        </w:rPr>
        <w:t xml:space="preserve">actic acid and </w:t>
      </w:r>
      <w:r w:rsidRPr="002D29B2">
        <w:t>SoCs</w:t>
      </w:r>
      <w:r w:rsidRPr="002D29B2">
        <w:rPr>
          <w:lang w:val="en-US"/>
        </w:rPr>
        <w:t>.</w:t>
      </w:r>
    </w:p>
    <w:p w14:paraId="52C90B3D" w14:textId="77777777" w:rsidR="00CC32E9" w:rsidRPr="001917AF" w:rsidRDefault="00CC32E9" w:rsidP="00CC32E9">
      <w:pPr>
        <w:jc w:val="both"/>
        <w:rPr>
          <w:lang w:val="en-US"/>
        </w:rPr>
      </w:pPr>
    </w:p>
    <w:p w14:paraId="566389EE" w14:textId="5AD66EB2" w:rsidR="00CC32E9" w:rsidRDefault="00CC32E9" w:rsidP="00CC32E9">
      <w:pPr>
        <w:jc w:val="both"/>
        <w:rPr>
          <w:rFonts w:eastAsia="Calibri"/>
          <w:lang w:eastAsia="en-US"/>
        </w:rPr>
      </w:pPr>
      <w:r>
        <w:rPr>
          <w:rFonts w:eastAsia="Calibri"/>
          <w:lang w:eastAsia="en-US"/>
        </w:rPr>
        <w:t xml:space="preserve">Considering that only a qualitative assessment is required for active substance L(+) Lactic acid, it has not been included in the mixture risk assessment calculation for groundwater. </w:t>
      </w:r>
      <w:r w:rsidRPr="00A52782">
        <w:rPr>
          <w:rFonts w:eastAsia="Calibri"/>
          <w:lang w:eastAsia="en-US"/>
        </w:rPr>
        <w:t>The result of mixture toxicity assessment of the product</w:t>
      </w:r>
      <w:r>
        <w:rPr>
          <w:rFonts w:eastAsia="Calibri"/>
          <w:lang w:eastAsia="en-US"/>
        </w:rPr>
        <w:t>s of</w:t>
      </w:r>
      <w:r w:rsidRPr="00A52782">
        <w:rPr>
          <w:rFonts w:eastAsia="Calibri"/>
          <w:lang w:eastAsia="en-US"/>
        </w:rPr>
        <w:t xml:space="preserve"> </w:t>
      </w:r>
      <w:r>
        <w:rPr>
          <w:rFonts w:eastAsia="Calibri"/>
          <w:lang w:eastAsia="en-US"/>
        </w:rPr>
        <w:t xml:space="preserve">LACTIC ACID BASED </w:t>
      </w:r>
      <w:r w:rsidRPr="00434491">
        <w:rPr>
          <w:rFonts w:eastAsia="Calibri"/>
          <w:lang w:eastAsia="en-US"/>
        </w:rPr>
        <w:t>PRODUCTS containing the active substance</w:t>
      </w:r>
      <w:r>
        <w:rPr>
          <w:rFonts w:eastAsia="Calibri"/>
          <w:lang w:eastAsia="en-US"/>
        </w:rPr>
        <w:t xml:space="preserve"> L(+) Lactic acid (except for groundwater)</w:t>
      </w:r>
      <w:r w:rsidRPr="00434491">
        <w:rPr>
          <w:rFonts w:eastAsia="Calibri"/>
          <w:lang w:eastAsia="en-US"/>
        </w:rPr>
        <w:t xml:space="preserve">, </w:t>
      </w:r>
      <w:r w:rsidRPr="001917AF">
        <w:rPr>
          <w:rFonts w:eastAsia="Calibri"/>
          <w:lang w:eastAsia="en-US"/>
        </w:rPr>
        <w:t xml:space="preserve">SoC </w:t>
      </w:r>
      <w:r w:rsidRPr="001917AF">
        <w:t>Amines, coco alkyldimethyl, N-oxides</w:t>
      </w:r>
      <w:r w:rsidRPr="001917AF">
        <w:rPr>
          <w:rFonts w:eastAsia="Calibri"/>
          <w:lang w:eastAsia="en-US"/>
        </w:rPr>
        <w:t xml:space="preserve"> and</w:t>
      </w:r>
      <w:r>
        <w:rPr>
          <w:rFonts w:eastAsia="Calibri"/>
          <w:i/>
          <w:lang w:eastAsia="en-US"/>
        </w:rPr>
        <w:t xml:space="preserve"> </w:t>
      </w:r>
      <w:r>
        <w:rPr>
          <w:rFonts w:eastAsia="Calibri"/>
          <w:lang w:eastAsia="en-US"/>
        </w:rPr>
        <w:t>SoC OTNE</w:t>
      </w:r>
      <w:r w:rsidRPr="00A52782">
        <w:rPr>
          <w:rFonts w:eastAsia="Calibri"/>
          <w:lang w:eastAsia="en-US"/>
        </w:rPr>
        <w:t xml:space="preserve"> is summarized in the following table</w:t>
      </w:r>
      <w:r>
        <w:rPr>
          <w:rFonts w:eastAsia="Calibri"/>
          <w:lang w:eastAsia="en-US"/>
        </w:rPr>
        <w:t>.</w:t>
      </w:r>
    </w:p>
    <w:p w14:paraId="43AF62C7" w14:textId="77777777" w:rsidR="00CC32E9" w:rsidRDefault="00CC32E9" w:rsidP="00CC32E9">
      <w:pPr>
        <w:jc w:val="both"/>
        <w:rPr>
          <w:rFonts w:eastAsia="Calibri"/>
          <w:lang w:eastAsia="en-US"/>
        </w:rPr>
      </w:pPr>
    </w:p>
    <w:p w14:paraId="3A6D34AD" w14:textId="6CB71878" w:rsidR="00CC32E9" w:rsidRPr="00A52782" w:rsidRDefault="00AA3A14" w:rsidP="00CC32E9">
      <w:pPr>
        <w:jc w:val="both"/>
        <w:rPr>
          <w:rFonts w:eastAsia="Calibri"/>
          <w:lang w:eastAsia="en-US"/>
        </w:rPr>
      </w:pPr>
      <w:r w:rsidRPr="003E3B29">
        <w:rPr>
          <w:rFonts w:cs="Calibri"/>
          <w:b/>
          <w:bCs/>
          <w:color w:val="000000"/>
          <w:sz w:val="18"/>
          <w:szCs w:val="18"/>
          <w:lang w:eastAsia="es-ES"/>
        </w:rPr>
        <w:t>∑PEC/PNEC</w:t>
      </w:r>
      <w:r w:rsidRPr="003E3B29">
        <w:rPr>
          <w:rFonts w:cs="Calibri"/>
          <w:b/>
          <w:bCs/>
          <w:color w:val="000000"/>
          <w:sz w:val="18"/>
          <w:szCs w:val="18"/>
          <w:vertAlign w:val="subscript"/>
          <w:lang w:eastAsia="es-ES"/>
        </w:rPr>
        <w:t>water</w:t>
      </w:r>
      <w:r>
        <w:rPr>
          <w:rFonts w:cs="Calibri"/>
          <w:b/>
          <w:bCs/>
          <w:color w:val="000000"/>
          <w:sz w:val="18"/>
          <w:szCs w:val="18"/>
          <w:vertAlign w:val="subscript"/>
          <w:lang w:eastAsia="es-ES"/>
        </w:rPr>
        <w:t xml:space="preserve"> </w:t>
      </w:r>
      <w:r>
        <w:rPr>
          <w:rFonts w:cs="Calibri"/>
          <w:b/>
          <w:bCs/>
          <w:color w:val="000000"/>
          <w:sz w:val="18"/>
          <w:szCs w:val="18"/>
          <w:lang w:eastAsia="es-ES"/>
        </w:rPr>
        <w:t>covers the risks for the sediment and the aggregated values are not presented.</w:t>
      </w:r>
    </w:p>
    <w:p w14:paraId="0A8A9629" w14:textId="77777777" w:rsidR="00CC32E9" w:rsidRPr="00A52782" w:rsidRDefault="00CC32E9" w:rsidP="00CC32E9">
      <w:pPr>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1843"/>
        <w:gridCol w:w="1417"/>
        <w:gridCol w:w="1626"/>
        <w:gridCol w:w="1134"/>
      </w:tblGrid>
      <w:tr w:rsidR="00CC32E9" w:rsidRPr="00A52782" w14:paraId="3EAB2B05" w14:textId="77777777" w:rsidTr="00BA238F">
        <w:trPr>
          <w:trHeight w:val="300"/>
        </w:trPr>
        <w:tc>
          <w:tcPr>
            <w:tcW w:w="9634" w:type="dxa"/>
            <w:gridSpan w:val="5"/>
            <w:shd w:val="clear" w:color="000000" w:fill="FFFFCC"/>
            <w:noWrap/>
            <w:vAlign w:val="center"/>
            <w:hideMark/>
          </w:tcPr>
          <w:p w14:paraId="01AF570C" w14:textId="77777777" w:rsidR="00CC32E9" w:rsidRPr="003E3B29" w:rsidRDefault="00CC32E9" w:rsidP="00BA238F">
            <w:pPr>
              <w:jc w:val="center"/>
              <w:rPr>
                <w:rFonts w:cs="Calibri"/>
                <w:b/>
                <w:bCs/>
                <w:color w:val="000000"/>
                <w:sz w:val="18"/>
                <w:szCs w:val="18"/>
                <w:lang w:eastAsia="es-ES"/>
              </w:rPr>
            </w:pPr>
            <w:r w:rsidRPr="003E3B29">
              <w:rPr>
                <w:rFonts w:cs="Calibri"/>
                <w:b/>
                <w:bCs/>
                <w:color w:val="000000"/>
                <w:sz w:val="18"/>
                <w:szCs w:val="18"/>
                <w:lang w:eastAsia="es-ES"/>
              </w:rPr>
              <w:t>Summary table on calculated ∑PEC/PNEC values</w:t>
            </w:r>
          </w:p>
        </w:tc>
      </w:tr>
      <w:tr w:rsidR="00AA3A14" w:rsidRPr="00A52782" w14:paraId="241D8EA1" w14:textId="77777777" w:rsidTr="00DD2106">
        <w:trPr>
          <w:trHeight w:val="564"/>
        </w:trPr>
        <w:tc>
          <w:tcPr>
            <w:tcW w:w="3614" w:type="dxa"/>
            <w:shd w:val="clear" w:color="000000" w:fill="FFFFFF"/>
            <w:vAlign w:val="center"/>
            <w:hideMark/>
          </w:tcPr>
          <w:p w14:paraId="479E397B" w14:textId="77777777" w:rsidR="00AA3A14" w:rsidRPr="003E3B29" w:rsidRDefault="00AA3A14" w:rsidP="00BA238F">
            <w:pPr>
              <w:rPr>
                <w:rFonts w:cs="Calibri"/>
                <w:color w:val="000000"/>
                <w:sz w:val="18"/>
                <w:szCs w:val="18"/>
                <w:lang w:eastAsia="es-ES"/>
              </w:rPr>
            </w:pPr>
            <w:r w:rsidRPr="003E3B29">
              <w:rPr>
                <w:rFonts w:cs="Calibri"/>
                <w:color w:val="000000"/>
                <w:sz w:val="18"/>
                <w:szCs w:val="18"/>
                <w:lang w:eastAsia="es-ES"/>
              </w:rPr>
              <w:t> </w:t>
            </w:r>
          </w:p>
        </w:tc>
        <w:tc>
          <w:tcPr>
            <w:tcW w:w="1843" w:type="dxa"/>
            <w:tcBorders>
              <w:bottom w:val="single" w:sz="4" w:space="0" w:color="auto"/>
            </w:tcBorders>
            <w:shd w:val="clear" w:color="000000" w:fill="FFFFFF"/>
            <w:vAlign w:val="center"/>
            <w:hideMark/>
          </w:tcPr>
          <w:p w14:paraId="1C100C49" w14:textId="77777777" w:rsidR="00AA3A14" w:rsidRPr="003E3B29" w:rsidRDefault="00AA3A14" w:rsidP="00BA238F">
            <w:pPr>
              <w:jc w:val="center"/>
              <w:rPr>
                <w:rFonts w:cs="Calibri"/>
                <w:b/>
                <w:bCs/>
                <w:color w:val="000000"/>
                <w:sz w:val="18"/>
                <w:szCs w:val="18"/>
                <w:lang w:eastAsia="es-ES"/>
              </w:rPr>
            </w:pPr>
            <w:r w:rsidRPr="003E3B29">
              <w:rPr>
                <w:rFonts w:cs="Calibri"/>
                <w:b/>
                <w:bCs/>
                <w:color w:val="000000"/>
                <w:sz w:val="18"/>
                <w:szCs w:val="18"/>
                <w:lang w:eastAsia="es-ES"/>
              </w:rPr>
              <w:t>∑PEC/PNEC</w:t>
            </w:r>
            <w:r w:rsidRPr="003E3B29">
              <w:rPr>
                <w:rFonts w:cs="Calibri"/>
                <w:b/>
                <w:bCs/>
                <w:color w:val="000000"/>
                <w:sz w:val="18"/>
                <w:szCs w:val="18"/>
                <w:vertAlign w:val="subscript"/>
                <w:lang w:eastAsia="es-ES"/>
              </w:rPr>
              <w:t>STP</w:t>
            </w:r>
          </w:p>
        </w:tc>
        <w:tc>
          <w:tcPr>
            <w:tcW w:w="1417" w:type="dxa"/>
            <w:tcBorders>
              <w:bottom w:val="single" w:sz="4" w:space="0" w:color="auto"/>
            </w:tcBorders>
            <w:shd w:val="clear" w:color="000000" w:fill="FFFFFF"/>
            <w:noWrap/>
            <w:vAlign w:val="center"/>
            <w:hideMark/>
          </w:tcPr>
          <w:p w14:paraId="2EB415E0" w14:textId="77777777" w:rsidR="00AA3A14" w:rsidRPr="003E3B29" w:rsidRDefault="00AA3A14" w:rsidP="00BA238F">
            <w:pPr>
              <w:jc w:val="center"/>
              <w:rPr>
                <w:rFonts w:cs="Calibri"/>
                <w:b/>
                <w:bCs/>
                <w:color w:val="000000"/>
                <w:sz w:val="18"/>
                <w:szCs w:val="18"/>
                <w:lang w:eastAsia="es-ES"/>
              </w:rPr>
            </w:pPr>
            <w:r w:rsidRPr="003E3B29">
              <w:rPr>
                <w:rFonts w:cs="Calibri"/>
                <w:b/>
                <w:bCs/>
                <w:color w:val="000000"/>
                <w:sz w:val="18"/>
                <w:szCs w:val="18"/>
                <w:lang w:eastAsia="es-ES"/>
              </w:rPr>
              <w:t>∑PEC/PNEC</w:t>
            </w:r>
            <w:r w:rsidRPr="003E3B29">
              <w:rPr>
                <w:rFonts w:cs="Calibri"/>
                <w:b/>
                <w:bCs/>
                <w:color w:val="000000"/>
                <w:sz w:val="18"/>
                <w:szCs w:val="18"/>
                <w:vertAlign w:val="subscript"/>
                <w:lang w:eastAsia="es-ES"/>
              </w:rPr>
              <w:t>water</w:t>
            </w:r>
          </w:p>
        </w:tc>
        <w:tc>
          <w:tcPr>
            <w:tcW w:w="1626" w:type="dxa"/>
            <w:tcBorders>
              <w:bottom w:val="single" w:sz="4" w:space="0" w:color="auto"/>
            </w:tcBorders>
            <w:shd w:val="clear" w:color="000000" w:fill="FFFFFF"/>
            <w:vAlign w:val="center"/>
            <w:hideMark/>
          </w:tcPr>
          <w:p w14:paraId="27B9972A" w14:textId="77777777" w:rsidR="00AA3A14" w:rsidRPr="003E3B29" w:rsidRDefault="00AA3A14" w:rsidP="00DD2106">
            <w:pPr>
              <w:rPr>
                <w:rFonts w:cs="Calibri"/>
                <w:b/>
                <w:bCs/>
                <w:color w:val="000000"/>
                <w:sz w:val="18"/>
                <w:szCs w:val="18"/>
                <w:lang w:eastAsia="es-ES"/>
              </w:rPr>
            </w:pPr>
            <w:r w:rsidRPr="003E3B29">
              <w:rPr>
                <w:rFonts w:cs="Calibri"/>
                <w:b/>
                <w:bCs/>
                <w:color w:val="000000"/>
                <w:sz w:val="18"/>
                <w:szCs w:val="18"/>
                <w:lang w:eastAsia="es-ES"/>
              </w:rPr>
              <w:t>∑PEC/PNEC</w:t>
            </w:r>
            <w:r w:rsidRPr="003E3B29">
              <w:rPr>
                <w:rFonts w:cs="Calibri"/>
                <w:b/>
                <w:bCs/>
                <w:color w:val="000000"/>
                <w:sz w:val="18"/>
                <w:szCs w:val="18"/>
                <w:vertAlign w:val="subscript"/>
                <w:lang w:eastAsia="es-ES"/>
              </w:rPr>
              <w:t>Soil</w:t>
            </w:r>
          </w:p>
        </w:tc>
        <w:tc>
          <w:tcPr>
            <w:tcW w:w="1134" w:type="dxa"/>
            <w:tcBorders>
              <w:bottom w:val="single" w:sz="4" w:space="0" w:color="auto"/>
            </w:tcBorders>
            <w:shd w:val="clear" w:color="000000" w:fill="FFFFFF"/>
            <w:vAlign w:val="center"/>
          </w:tcPr>
          <w:p w14:paraId="36B97639" w14:textId="77777777" w:rsidR="00AA3A14" w:rsidRDefault="00AA3A14" w:rsidP="00BA238F">
            <w:pPr>
              <w:jc w:val="center"/>
              <w:rPr>
                <w:rFonts w:cs="Calibri"/>
                <w:b/>
                <w:bCs/>
                <w:color w:val="000000"/>
                <w:sz w:val="18"/>
                <w:szCs w:val="18"/>
                <w:vertAlign w:val="superscript"/>
                <w:lang w:eastAsia="es-ES"/>
              </w:rPr>
            </w:pPr>
            <w:r w:rsidRPr="003E3B29">
              <w:rPr>
                <w:rFonts w:cs="Calibri"/>
                <w:b/>
                <w:bCs/>
                <w:color w:val="000000"/>
                <w:sz w:val="18"/>
                <w:szCs w:val="18"/>
                <w:lang w:eastAsia="es-ES"/>
              </w:rPr>
              <w:t>∑PEC</w:t>
            </w:r>
            <w:r w:rsidRPr="003E3B29">
              <w:rPr>
                <w:rFonts w:cs="Calibri"/>
                <w:b/>
                <w:bCs/>
                <w:color w:val="000000"/>
                <w:sz w:val="18"/>
                <w:szCs w:val="18"/>
                <w:vertAlign w:val="subscript"/>
                <w:lang w:eastAsia="es-ES"/>
              </w:rPr>
              <w:t>GW</w:t>
            </w:r>
            <w:r w:rsidRPr="003E3B29">
              <w:rPr>
                <w:rFonts w:cs="Calibri"/>
                <w:b/>
                <w:bCs/>
                <w:color w:val="000000"/>
                <w:sz w:val="18"/>
                <w:szCs w:val="18"/>
                <w:vertAlign w:val="superscript"/>
                <w:lang w:eastAsia="es-ES"/>
              </w:rPr>
              <w:t>*</w:t>
            </w:r>
          </w:p>
          <w:p w14:paraId="15E8EECB" w14:textId="0CFEDBD2" w:rsidR="00FC2322" w:rsidRPr="003E3B29" w:rsidRDefault="00FC2322" w:rsidP="00BA238F">
            <w:pPr>
              <w:jc w:val="center"/>
              <w:rPr>
                <w:rFonts w:cs="Calibri"/>
                <w:b/>
                <w:color w:val="000000"/>
                <w:sz w:val="18"/>
                <w:szCs w:val="18"/>
                <w:lang w:eastAsia="es-ES"/>
              </w:rPr>
            </w:pPr>
            <w:r w:rsidRPr="001365D5">
              <w:rPr>
                <w:rFonts w:cs="Calibri"/>
                <w:b/>
                <w:color w:val="000000"/>
                <w:sz w:val="18"/>
                <w:szCs w:val="18"/>
                <w:lang w:eastAsia="es-ES"/>
              </w:rPr>
              <w:t>(µg/L)</w:t>
            </w:r>
          </w:p>
        </w:tc>
      </w:tr>
      <w:tr w:rsidR="00AA3A14" w:rsidRPr="00A52782" w14:paraId="026FB711" w14:textId="77777777" w:rsidTr="00DD2106">
        <w:trPr>
          <w:trHeight w:val="300"/>
        </w:trPr>
        <w:tc>
          <w:tcPr>
            <w:tcW w:w="3614" w:type="dxa"/>
            <w:shd w:val="clear" w:color="000000" w:fill="FFFFFF"/>
            <w:vAlign w:val="center"/>
            <w:hideMark/>
          </w:tcPr>
          <w:p w14:paraId="1CF588C3" w14:textId="732E376A" w:rsidR="00AA3A14" w:rsidRPr="00AA3A14" w:rsidRDefault="00AA3A14" w:rsidP="00BA238F">
            <w:pPr>
              <w:spacing w:before="60" w:after="60" w:line="276" w:lineRule="auto"/>
              <w:rPr>
                <w:rFonts w:eastAsia="Calibri" w:cs="Arial"/>
                <w:sz w:val="18"/>
                <w:szCs w:val="18"/>
                <w:u w:val="single"/>
                <w:lang w:eastAsia="en-GB"/>
              </w:rPr>
            </w:pPr>
            <w:r w:rsidRPr="00AA3A14">
              <w:rPr>
                <w:rFonts w:eastAsia="Calibri" w:cs="Arial"/>
                <w:sz w:val="18"/>
                <w:szCs w:val="18"/>
                <w:u w:val="single"/>
                <w:lang w:eastAsia="en-GB"/>
              </w:rPr>
              <w:t>Scenario 1a – PT02</w:t>
            </w:r>
          </w:p>
          <w:p w14:paraId="1897F7F0" w14:textId="4F10C475" w:rsidR="00AA3A14" w:rsidRDefault="00AA3A14">
            <w:pPr>
              <w:spacing w:before="60" w:after="60" w:line="276" w:lineRule="auto"/>
              <w:rPr>
                <w:rFonts w:eastAsia="Calibri" w:cs="Arial"/>
                <w:sz w:val="18"/>
                <w:szCs w:val="18"/>
                <w:lang w:eastAsia="en-GB"/>
              </w:rPr>
            </w:pPr>
            <w:r w:rsidRPr="003E3B29">
              <w:rPr>
                <w:rFonts w:eastAsia="Calibri"/>
                <w:sz w:val="18"/>
                <w:szCs w:val="18"/>
                <w:lang w:eastAsia="en-US"/>
              </w:rPr>
              <w:t>Institutional areas</w:t>
            </w:r>
          </w:p>
          <w:p w14:paraId="4053572C" w14:textId="0A5F6DA0" w:rsidR="00AA3A14" w:rsidRDefault="00AA3A14">
            <w:pPr>
              <w:spacing w:before="60" w:after="60" w:line="276" w:lineRule="auto"/>
              <w:rPr>
                <w:rFonts w:eastAsia="Calibri" w:cs="Arial"/>
                <w:sz w:val="18"/>
                <w:szCs w:val="18"/>
                <w:lang w:eastAsia="en-GB"/>
              </w:rPr>
            </w:pPr>
            <w:r>
              <w:rPr>
                <w:rFonts w:eastAsia="Calibri"/>
                <w:sz w:val="18"/>
                <w:szCs w:val="18"/>
                <w:lang w:eastAsia="en-US"/>
              </w:rPr>
              <w:t>(</w:t>
            </w:r>
            <w:r w:rsidRPr="00EB565D">
              <w:rPr>
                <w:rFonts w:eastAsia="Calibri"/>
                <w:sz w:val="18"/>
                <w:szCs w:val="18"/>
                <w:lang w:eastAsia="en-US"/>
              </w:rPr>
              <w:t xml:space="preserve">L(+) Lactic acid </w:t>
            </w:r>
            <w:r w:rsidRPr="00A73719">
              <w:rPr>
                <w:rFonts w:eastAsia="Calibri" w:cs="Arial"/>
                <w:sz w:val="18"/>
                <w:szCs w:val="18"/>
                <w:lang w:eastAsia="en-GB"/>
              </w:rPr>
              <w:t>+ Amines, coco alkyldimethyl, N-oxides + OTNE</w:t>
            </w:r>
          </w:p>
          <w:p w14:paraId="128C6541" w14:textId="41B45B7A" w:rsidR="00AA3A14" w:rsidRPr="003E3B29" w:rsidRDefault="004F2118">
            <w:pPr>
              <w:spacing w:before="60" w:after="60" w:line="276" w:lineRule="auto"/>
              <w:rPr>
                <w:rFonts w:cs="Calibri"/>
                <w:b/>
                <w:color w:val="000000"/>
                <w:sz w:val="18"/>
                <w:szCs w:val="18"/>
                <w:lang w:eastAsia="es-ES"/>
              </w:rPr>
            </w:pPr>
            <w:r>
              <w:rPr>
                <w:rFonts w:eastAsia="Calibri" w:cs="Arial"/>
                <w:b/>
                <w:sz w:val="18"/>
                <w:szCs w:val="18"/>
                <w:lang w:eastAsia="en-GB"/>
              </w:rPr>
              <w:t>For OTNE:</w:t>
            </w:r>
            <w:r w:rsidRPr="00AA3A14">
              <w:rPr>
                <w:rFonts w:eastAsia="Calibri" w:cs="Arial"/>
                <w:b/>
                <w:sz w:val="18"/>
                <w:szCs w:val="18"/>
                <w:lang w:eastAsia="en-GB"/>
              </w:rPr>
              <w:t xml:space="preserve"> </w:t>
            </w:r>
            <w:r w:rsidR="00AA3A14" w:rsidRPr="00AA3A14">
              <w:rPr>
                <w:rFonts w:eastAsia="Calibri" w:cs="Arial"/>
                <w:b/>
                <w:sz w:val="18"/>
                <w:szCs w:val="18"/>
                <w:lang w:eastAsia="en-GB"/>
              </w:rPr>
              <w:t>Meta-SPC 10 as a refinement of Meta SPC 9 that leads to unacceptable risks</w:t>
            </w:r>
            <w:r w:rsidR="00AA3A14">
              <w:rPr>
                <w:rFonts w:eastAsia="Calibri" w:cs="Arial"/>
                <w:b/>
                <w:sz w:val="18"/>
                <w:szCs w:val="18"/>
                <w:lang w:eastAsia="en-GB"/>
              </w:rPr>
              <w:t xml:space="preserve"> for OTNE alone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151BDF" w14:textId="58C29333" w:rsidR="00AA3A14" w:rsidRPr="003E3B29" w:rsidRDefault="004F2118" w:rsidP="00BA238F">
            <w:pPr>
              <w:jc w:val="center"/>
              <w:rPr>
                <w:rFonts w:cs="Calibri"/>
                <w:b/>
                <w:bCs/>
                <w:color w:val="000000"/>
                <w:sz w:val="18"/>
                <w:szCs w:val="18"/>
                <w:lang w:eastAsia="es-ES"/>
              </w:rPr>
            </w:pPr>
            <w:r>
              <w:rPr>
                <w:rFonts w:cs="Calibri"/>
                <w:color w:val="000000"/>
                <w:sz w:val="18"/>
                <w:szCs w:val="18"/>
              </w:rPr>
              <w:t>1.63</w:t>
            </w:r>
            <w:r w:rsidR="00AA3A14" w:rsidRPr="003E3B29">
              <w:rPr>
                <w:rFonts w:cs="Calibri"/>
                <w:color w:val="000000"/>
                <w:sz w:val="18"/>
                <w:szCs w:val="18"/>
              </w:rPr>
              <w:t>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08C3" w14:textId="0B56342C" w:rsidR="00AA3A14" w:rsidRPr="003E3B29" w:rsidRDefault="00AA3A14" w:rsidP="00BA238F">
            <w:pPr>
              <w:jc w:val="center"/>
              <w:rPr>
                <w:rFonts w:cs="Calibri"/>
                <w:b/>
                <w:bCs/>
                <w:color w:val="000000"/>
                <w:sz w:val="18"/>
                <w:szCs w:val="18"/>
                <w:lang w:eastAsia="es-ES"/>
              </w:rPr>
            </w:pPr>
            <w:r w:rsidRPr="00E16734">
              <w:rPr>
                <w:rFonts w:cs="Calibri"/>
                <w:color w:val="000000"/>
                <w:sz w:val="18"/>
                <w:szCs w:val="18"/>
              </w:rPr>
              <w:t>1.2</w:t>
            </w:r>
            <w:r w:rsidRPr="00EB565D">
              <w:rPr>
                <w:rFonts w:cs="Calibri"/>
                <w:color w:val="000000"/>
                <w:sz w:val="18"/>
                <w:szCs w:val="18"/>
              </w:rPr>
              <w:t>8E-01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F6FDD38" w14:textId="7BDB8206" w:rsidR="00AA3A14" w:rsidRPr="003E3B29" w:rsidRDefault="002367DD" w:rsidP="00BA238F">
            <w:pPr>
              <w:jc w:val="center"/>
              <w:rPr>
                <w:rFonts w:cs="Calibri"/>
                <w:b/>
                <w:bCs/>
                <w:color w:val="000000"/>
                <w:sz w:val="18"/>
                <w:szCs w:val="18"/>
                <w:lang w:eastAsia="es-ES"/>
              </w:rPr>
            </w:pPr>
            <w:r>
              <w:rPr>
                <w:rFonts w:cs="Calibri"/>
                <w:color w:val="000000"/>
                <w:sz w:val="18"/>
                <w:szCs w:val="18"/>
              </w:rPr>
              <w:t>2.22E-02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690D9" w14:textId="4F9A7198" w:rsidR="00AA3A14" w:rsidRPr="003E3B29" w:rsidRDefault="00AA3A14" w:rsidP="00E16734">
            <w:pPr>
              <w:jc w:val="center"/>
              <w:rPr>
                <w:rFonts w:cs="Calibri"/>
                <w:b/>
                <w:bCs/>
                <w:color w:val="000000"/>
                <w:sz w:val="18"/>
                <w:szCs w:val="18"/>
                <w:lang w:eastAsia="es-ES"/>
              </w:rPr>
            </w:pPr>
            <w:r>
              <w:rPr>
                <w:rFonts w:cs="Calibri"/>
                <w:sz w:val="18"/>
                <w:szCs w:val="18"/>
                <w:lang w:val="en-US"/>
              </w:rPr>
              <w:t>&lt;0.5</w:t>
            </w:r>
          </w:p>
        </w:tc>
      </w:tr>
      <w:tr w:rsidR="00AA3A14" w:rsidRPr="00A52782" w14:paraId="3ABB843B" w14:textId="77777777" w:rsidTr="00DD2106">
        <w:trPr>
          <w:trHeight w:val="300"/>
        </w:trPr>
        <w:tc>
          <w:tcPr>
            <w:tcW w:w="3614" w:type="dxa"/>
            <w:shd w:val="clear" w:color="000000" w:fill="FFFFFF"/>
            <w:vAlign w:val="center"/>
          </w:tcPr>
          <w:p w14:paraId="12CEBFAD" w14:textId="1EB245ED" w:rsidR="00AA3A14" w:rsidRPr="00AA3A14" w:rsidRDefault="00AA3A14" w:rsidP="00BA238F">
            <w:pPr>
              <w:spacing w:before="60" w:after="60" w:line="276" w:lineRule="auto"/>
              <w:rPr>
                <w:rFonts w:eastAsia="Calibri" w:cs="Arial"/>
                <w:sz w:val="18"/>
                <w:szCs w:val="18"/>
                <w:u w:val="single"/>
                <w:lang w:eastAsia="en-GB"/>
              </w:rPr>
            </w:pPr>
            <w:r w:rsidRPr="00AA3A14">
              <w:rPr>
                <w:rFonts w:eastAsia="Calibri" w:cs="Arial"/>
                <w:sz w:val="18"/>
                <w:szCs w:val="18"/>
                <w:u w:val="single"/>
                <w:lang w:eastAsia="en-GB"/>
              </w:rPr>
              <w:t>Scenario 2 – PT02</w:t>
            </w:r>
          </w:p>
          <w:p w14:paraId="181AB8BC" w14:textId="38316A5E" w:rsidR="00AA3A14" w:rsidRDefault="00AA3A14" w:rsidP="00BA238F">
            <w:pPr>
              <w:rPr>
                <w:rFonts w:eastAsia="Calibri" w:cs="Arial"/>
                <w:sz w:val="18"/>
                <w:szCs w:val="18"/>
                <w:lang w:eastAsia="en-GB"/>
              </w:rPr>
            </w:pPr>
            <w:r w:rsidRPr="003E3B29">
              <w:rPr>
                <w:rFonts w:eastAsia="Calibri" w:cs="Arial"/>
                <w:sz w:val="18"/>
                <w:szCs w:val="18"/>
                <w:lang w:eastAsia="en-GB"/>
              </w:rPr>
              <w:t>Industrial areas</w:t>
            </w:r>
            <w:r>
              <w:rPr>
                <w:rFonts w:eastAsia="Calibri" w:cs="Arial"/>
                <w:sz w:val="18"/>
                <w:szCs w:val="18"/>
                <w:lang w:eastAsia="en-GB"/>
              </w:rPr>
              <w:t xml:space="preserve">, </w:t>
            </w:r>
            <w:r w:rsidRPr="003E3B29">
              <w:rPr>
                <w:rFonts w:eastAsia="Calibri" w:cs="Arial"/>
                <w:sz w:val="18"/>
                <w:szCs w:val="18"/>
                <w:lang w:eastAsia="en-GB"/>
              </w:rPr>
              <w:t>Large Scale</w:t>
            </w:r>
          </w:p>
          <w:p w14:paraId="47BF16BF" w14:textId="540059D3" w:rsidR="00AA3A14" w:rsidRDefault="00AA3A14" w:rsidP="00BA238F">
            <w:pPr>
              <w:rPr>
                <w:rFonts w:eastAsia="Calibri" w:cs="Arial"/>
                <w:sz w:val="18"/>
                <w:szCs w:val="18"/>
                <w:lang w:eastAsia="en-GB"/>
              </w:rPr>
            </w:pPr>
            <w:r>
              <w:rPr>
                <w:rFonts w:eastAsia="Calibri"/>
                <w:sz w:val="18"/>
                <w:szCs w:val="18"/>
                <w:lang w:eastAsia="en-US"/>
              </w:rPr>
              <w:t>(</w:t>
            </w:r>
            <w:r w:rsidRPr="005843FF">
              <w:rPr>
                <w:rFonts w:eastAsia="Calibri"/>
                <w:sz w:val="18"/>
                <w:szCs w:val="18"/>
                <w:lang w:eastAsia="en-US"/>
              </w:rPr>
              <w:t xml:space="preserve">L(+) Lactic acid </w:t>
            </w:r>
            <w:r w:rsidRPr="00AA3A14">
              <w:rPr>
                <w:rFonts w:eastAsia="Calibri" w:cs="Arial"/>
                <w:sz w:val="18"/>
                <w:szCs w:val="18"/>
                <w:lang w:eastAsia="en-GB"/>
              </w:rPr>
              <w:t>+ Amines, coco alkyldimethyl, N-oxides + OTNE)</w:t>
            </w:r>
          </w:p>
          <w:p w14:paraId="735BA332" w14:textId="77777777" w:rsidR="00AA3A14" w:rsidRDefault="00AA3A14" w:rsidP="00BA238F">
            <w:pPr>
              <w:rPr>
                <w:rFonts w:eastAsia="Calibri" w:cs="Arial"/>
                <w:sz w:val="18"/>
                <w:szCs w:val="18"/>
                <w:lang w:eastAsia="en-GB"/>
              </w:rPr>
            </w:pPr>
          </w:p>
          <w:p w14:paraId="209C01AE" w14:textId="66BDB3BA" w:rsidR="00AA3A14" w:rsidRPr="00AA3A14" w:rsidRDefault="00AA3A14" w:rsidP="00BA238F">
            <w:pPr>
              <w:rPr>
                <w:rFonts w:eastAsia="Calibri" w:cs="Arial"/>
                <w:b/>
                <w:sz w:val="18"/>
                <w:szCs w:val="18"/>
                <w:lang w:eastAsia="en-GB"/>
              </w:rPr>
            </w:pPr>
            <w:r w:rsidRPr="00AA3A14">
              <w:rPr>
                <w:rFonts w:eastAsia="Calibri" w:cs="Arial"/>
                <w:b/>
                <w:sz w:val="18"/>
                <w:szCs w:val="18"/>
                <w:lang w:eastAsia="en-GB"/>
              </w:rPr>
              <w:t>Large scale applications as a worst case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F932AD" w14:textId="77777777" w:rsidR="00AA3A14" w:rsidRPr="003E3B29" w:rsidRDefault="00AA3A14" w:rsidP="00BA238F">
            <w:pPr>
              <w:jc w:val="center"/>
              <w:rPr>
                <w:rFonts w:cs="Calibri"/>
                <w:b/>
                <w:bCs/>
                <w:color w:val="000000"/>
                <w:sz w:val="18"/>
                <w:szCs w:val="18"/>
                <w:lang w:eastAsia="es-ES"/>
              </w:rPr>
            </w:pPr>
            <w:r w:rsidRPr="003E3B29">
              <w:rPr>
                <w:rFonts w:cs="Calibri"/>
                <w:color w:val="000000"/>
                <w:sz w:val="18"/>
                <w:szCs w:val="18"/>
              </w:rPr>
              <w:t>2.84E-02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9CEBF" w14:textId="3C2AE229" w:rsidR="00AA3A14" w:rsidRPr="003E3B29" w:rsidRDefault="00AA3A14" w:rsidP="00BA238F">
            <w:pPr>
              <w:jc w:val="center"/>
              <w:rPr>
                <w:rFonts w:cs="Calibri"/>
                <w:b/>
                <w:bCs/>
                <w:color w:val="000000"/>
                <w:sz w:val="18"/>
                <w:szCs w:val="18"/>
                <w:lang w:eastAsia="es-ES"/>
              </w:rPr>
            </w:pPr>
            <w:r w:rsidRPr="003E3B29">
              <w:rPr>
                <w:rFonts w:cs="Calibri"/>
                <w:color w:val="000000"/>
                <w:sz w:val="18"/>
                <w:szCs w:val="18"/>
              </w:rPr>
              <w:t>2.</w:t>
            </w:r>
            <w:r>
              <w:rPr>
                <w:rFonts w:cs="Calibri"/>
                <w:color w:val="000000"/>
                <w:sz w:val="18"/>
                <w:szCs w:val="18"/>
              </w:rPr>
              <w:t>93</w:t>
            </w:r>
            <w:r w:rsidRPr="003E3B29">
              <w:rPr>
                <w:rFonts w:cs="Calibri"/>
                <w:color w:val="000000"/>
                <w:sz w:val="18"/>
                <w:szCs w:val="18"/>
              </w:rPr>
              <w:t>E-01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39B1697" w14:textId="1262F341" w:rsidR="00AA3A14" w:rsidRPr="003E3B29" w:rsidRDefault="00AA3A14" w:rsidP="00BA238F">
            <w:pPr>
              <w:jc w:val="center"/>
              <w:rPr>
                <w:rFonts w:cs="Calibri"/>
                <w:b/>
                <w:bCs/>
                <w:color w:val="000000"/>
                <w:sz w:val="18"/>
                <w:szCs w:val="18"/>
                <w:lang w:eastAsia="es-ES"/>
              </w:rPr>
            </w:pPr>
            <w:r>
              <w:rPr>
                <w:rFonts w:cs="Calibri"/>
                <w:color w:val="000000"/>
                <w:sz w:val="18"/>
                <w:szCs w:val="18"/>
              </w:rPr>
              <w:t>5.31</w:t>
            </w:r>
            <w:r w:rsidRPr="003E3B29">
              <w:rPr>
                <w:rFonts w:cs="Calibri"/>
                <w:color w:val="000000"/>
                <w:sz w:val="18"/>
                <w:szCs w:val="18"/>
              </w:rPr>
              <w:t>E-02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E8330" w14:textId="2BC55000" w:rsidR="00AA3A14" w:rsidRPr="003E3B29" w:rsidRDefault="00AA3A14" w:rsidP="00BA238F">
            <w:pPr>
              <w:jc w:val="center"/>
              <w:rPr>
                <w:rFonts w:cs="Calibri"/>
                <w:b/>
                <w:bCs/>
                <w:color w:val="000000"/>
                <w:sz w:val="18"/>
                <w:szCs w:val="18"/>
                <w:lang w:eastAsia="es-ES"/>
              </w:rPr>
            </w:pPr>
            <w:r>
              <w:rPr>
                <w:rFonts w:cs="Calibri"/>
                <w:sz w:val="18"/>
                <w:szCs w:val="18"/>
                <w:lang w:val="en-US"/>
              </w:rPr>
              <w:t>&lt;0.5</w:t>
            </w:r>
          </w:p>
        </w:tc>
      </w:tr>
      <w:tr w:rsidR="00AA3A14" w:rsidRPr="00A52782" w14:paraId="363209F6" w14:textId="77777777" w:rsidTr="00DD2106">
        <w:trPr>
          <w:trHeight w:val="300"/>
        </w:trPr>
        <w:tc>
          <w:tcPr>
            <w:tcW w:w="3614" w:type="dxa"/>
            <w:shd w:val="clear" w:color="000000" w:fill="FFFFFF"/>
            <w:vAlign w:val="center"/>
          </w:tcPr>
          <w:p w14:paraId="57E08AF1" w14:textId="33112836" w:rsidR="00AA3A14" w:rsidRDefault="00AA3A14" w:rsidP="00EB565D">
            <w:pPr>
              <w:spacing w:before="60" w:after="60" w:line="276" w:lineRule="auto"/>
              <w:rPr>
                <w:rFonts w:eastAsia="Calibri" w:cs="Arial"/>
                <w:sz w:val="18"/>
                <w:szCs w:val="18"/>
                <w:lang w:eastAsia="en-GB"/>
              </w:rPr>
            </w:pPr>
            <w:r w:rsidRPr="00AA3A14">
              <w:rPr>
                <w:rFonts w:eastAsia="Calibri" w:cs="Arial"/>
                <w:sz w:val="18"/>
                <w:szCs w:val="18"/>
                <w:u w:val="single"/>
                <w:lang w:eastAsia="en-GB"/>
              </w:rPr>
              <w:t>Scenario 3 - PT02</w:t>
            </w:r>
          </w:p>
          <w:p w14:paraId="0C7E1216" w14:textId="34406D2B" w:rsidR="00AA3A14" w:rsidRDefault="00AA3A14" w:rsidP="00EB565D">
            <w:pPr>
              <w:spacing w:before="60" w:after="60" w:line="276" w:lineRule="auto"/>
              <w:rPr>
                <w:rFonts w:eastAsia="Calibri" w:cs="Arial"/>
                <w:sz w:val="18"/>
                <w:szCs w:val="18"/>
                <w:lang w:eastAsia="en-GB"/>
              </w:rPr>
            </w:pPr>
            <w:r>
              <w:rPr>
                <w:rFonts w:eastAsia="Calibri"/>
                <w:sz w:val="18"/>
                <w:szCs w:val="18"/>
                <w:lang w:eastAsia="en-US"/>
              </w:rPr>
              <w:t>Disinfection of rooms, furniture and objects in medical sector</w:t>
            </w:r>
          </w:p>
          <w:p w14:paraId="28DA3004" w14:textId="019A86B7" w:rsidR="00AA3A14" w:rsidRPr="003E3B29" w:rsidRDefault="00AA3A14" w:rsidP="000F3412">
            <w:pPr>
              <w:spacing w:before="60" w:after="60" w:line="276" w:lineRule="auto"/>
              <w:rPr>
                <w:rFonts w:eastAsia="Calibri" w:cs="Arial"/>
                <w:sz w:val="18"/>
                <w:szCs w:val="18"/>
                <w:lang w:eastAsia="en-GB"/>
              </w:rPr>
            </w:pPr>
            <w:r>
              <w:rPr>
                <w:rFonts w:eastAsia="Calibri"/>
                <w:sz w:val="18"/>
                <w:szCs w:val="18"/>
                <w:lang w:eastAsia="en-US"/>
              </w:rPr>
              <w:lastRenderedPageBreak/>
              <w:t>(</w:t>
            </w:r>
            <w:r w:rsidRPr="005843FF">
              <w:rPr>
                <w:rFonts w:eastAsia="Calibri"/>
                <w:sz w:val="18"/>
                <w:szCs w:val="18"/>
                <w:lang w:eastAsia="en-US"/>
              </w:rPr>
              <w:t>L(+) Lactic acid</w:t>
            </w:r>
            <w:r w:rsidRPr="00AA3A14">
              <w:rPr>
                <w:rFonts w:eastAsia="Calibri" w:cs="Arial"/>
                <w:sz w:val="18"/>
                <w:szCs w:val="18"/>
                <w:lang w:eastAsia="en-GB"/>
              </w:rPr>
              <w:t xml:space="preserve"> + Amines, coco alkyldimethyl, N-oxides + OTNE)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70DEDF" w14:textId="4E66D867" w:rsidR="00AA3A14" w:rsidRPr="003E3B29" w:rsidRDefault="00AA3A14" w:rsidP="00BA238F">
            <w:pPr>
              <w:jc w:val="center"/>
              <w:rPr>
                <w:rFonts w:cs="Calibri"/>
                <w:color w:val="000000"/>
                <w:sz w:val="18"/>
                <w:szCs w:val="18"/>
              </w:rPr>
            </w:pPr>
            <w:r>
              <w:rPr>
                <w:rFonts w:cs="Calibri"/>
                <w:color w:val="000000"/>
                <w:sz w:val="18"/>
                <w:szCs w:val="18"/>
              </w:rPr>
              <w:lastRenderedPageBreak/>
              <w:t>1.74E-02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2ED8C" w14:textId="35231F42" w:rsidR="00AA3A14" w:rsidRDefault="00AA3A14" w:rsidP="00BA238F">
            <w:pPr>
              <w:jc w:val="center"/>
              <w:rPr>
                <w:rFonts w:cs="Calibri"/>
                <w:color w:val="000000"/>
                <w:sz w:val="18"/>
                <w:szCs w:val="18"/>
              </w:rPr>
            </w:pPr>
            <w:r>
              <w:rPr>
                <w:rFonts w:cs="Calibri"/>
                <w:color w:val="000000"/>
                <w:sz w:val="18"/>
                <w:szCs w:val="18"/>
              </w:rPr>
              <w:t>1.11E-01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B2EC81A" w14:textId="1BD08903" w:rsidR="00AA3A14" w:rsidRDefault="00AA3A14" w:rsidP="00BA238F">
            <w:pPr>
              <w:jc w:val="center"/>
              <w:rPr>
                <w:rFonts w:cs="Calibri"/>
                <w:color w:val="000000"/>
                <w:sz w:val="18"/>
                <w:szCs w:val="18"/>
              </w:rPr>
            </w:pPr>
            <w:r>
              <w:rPr>
                <w:rFonts w:cs="Calibri"/>
                <w:color w:val="000000"/>
                <w:sz w:val="18"/>
                <w:szCs w:val="18"/>
              </w:rPr>
              <w:t>2.07E-02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F6928" w14:textId="72B70746" w:rsidR="00AA3A14" w:rsidRPr="00EB565D" w:rsidRDefault="00AA3A14" w:rsidP="00BA238F">
            <w:pPr>
              <w:jc w:val="center"/>
              <w:rPr>
                <w:rFonts w:cs="Calibri"/>
                <w:b/>
                <w:sz w:val="18"/>
                <w:szCs w:val="18"/>
                <w:lang w:val="en-US"/>
              </w:rPr>
            </w:pPr>
            <w:r>
              <w:rPr>
                <w:rFonts w:cs="Calibri"/>
                <w:sz w:val="18"/>
                <w:szCs w:val="18"/>
                <w:lang w:val="en-US"/>
              </w:rPr>
              <w:t>&lt;0.5</w:t>
            </w:r>
          </w:p>
        </w:tc>
      </w:tr>
      <w:tr w:rsidR="00AA3A14" w:rsidRPr="00A52782" w14:paraId="7EB83FFF" w14:textId="77777777" w:rsidTr="00DD2106">
        <w:trPr>
          <w:trHeight w:val="300"/>
        </w:trPr>
        <w:tc>
          <w:tcPr>
            <w:tcW w:w="3614" w:type="dxa"/>
            <w:shd w:val="clear" w:color="000000" w:fill="FFFFFF"/>
            <w:vAlign w:val="center"/>
          </w:tcPr>
          <w:p w14:paraId="0736BA2F" w14:textId="7F27B064" w:rsidR="00AA3A14" w:rsidRPr="00AA3A14" w:rsidRDefault="00AA3A14" w:rsidP="00E104B4">
            <w:pPr>
              <w:spacing w:before="60" w:after="60" w:line="276" w:lineRule="auto"/>
              <w:rPr>
                <w:rFonts w:eastAsia="Calibri" w:cs="Arial"/>
                <w:sz w:val="18"/>
                <w:szCs w:val="18"/>
                <w:u w:val="single"/>
                <w:lang w:eastAsia="en-GB"/>
              </w:rPr>
            </w:pPr>
            <w:r w:rsidRPr="00AA3A14">
              <w:rPr>
                <w:rFonts w:eastAsia="Calibri" w:cs="Arial"/>
                <w:sz w:val="18"/>
                <w:szCs w:val="18"/>
                <w:u w:val="single"/>
                <w:lang w:eastAsia="en-GB"/>
              </w:rPr>
              <w:t>Scenario 6 – PT03</w:t>
            </w:r>
          </w:p>
          <w:p w14:paraId="730320ED" w14:textId="427544E9" w:rsidR="00AA3A14" w:rsidRDefault="00AA3A14" w:rsidP="00E104B4">
            <w:pPr>
              <w:spacing w:before="60" w:after="60" w:line="276" w:lineRule="auto"/>
              <w:rPr>
                <w:rFonts w:eastAsia="Calibri" w:cs="Arial"/>
                <w:sz w:val="18"/>
                <w:szCs w:val="18"/>
                <w:lang w:eastAsia="en-GB"/>
              </w:rPr>
            </w:pPr>
            <w:r w:rsidRPr="00C10DD6">
              <w:rPr>
                <w:rFonts w:eastAsia="Calibri"/>
                <w:sz w:val="18"/>
                <w:szCs w:val="18"/>
              </w:rPr>
              <w:t>Animal housing indirect emission via STP</w:t>
            </w:r>
            <w:r>
              <w:rPr>
                <w:rFonts w:eastAsia="Calibri"/>
                <w:sz w:val="18"/>
                <w:szCs w:val="18"/>
              </w:rPr>
              <w:t xml:space="preserve"> </w:t>
            </w:r>
            <w:r>
              <w:rPr>
                <w:rFonts w:eastAsia="Calibri"/>
                <w:sz w:val="18"/>
                <w:szCs w:val="18"/>
                <w:lang w:eastAsia="en-US"/>
              </w:rPr>
              <w:t xml:space="preserve">(L(+) Lactic acid </w:t>
            </w:r>
            <w:r w:rsidRPr="00AA3A14">
              <w:rPr>
                <w:rFonts w:eastAsia="Calibri" w:cs="Arial"/>
                <w:sz w:val="18"/>
                <w:szCs w:val="18"/>
                <w:lang w:eastAsia="en-GB"/>
              </w:rPr>
              <w:t>and OTNE)</w:t>
            </w:r>
          </w:p>
          <w:p w14:paraId="41CD79D5" w14:textId="4E344C38" w:rsidR="00FC2322" w:rsidRPr="00AA3A14" w:rsidRDefault="004F2118" w:rsidP="00E104B4">
            <w:pPr>
              <w:spacing w:before="60" w:after="60" w:line="276" w:lineRule="auto"/>
              <w:rPr>
                <w:rFonts w:eastAsia="Calibri" w:cs="Arial"/>
                <w:sz w:val="18"/>
                <w:szCs w:val="18"/>
                <w:lang w:eastAsia="en-GB"/>
              </w:rPr>
            </w:pPr>
            <w:r>
              <w:rPr>
                <w:rFonts w:eastAsia="Calibri" w:cs="Arial"/>
                <w:b/>
                <w:sz w:val="18"/>
                <w:szCs w:val="18"/>
                <w:lang w:eastAsia="en-GB"/>
              </w:rPr>
              <w:t xml:space="preserve">For OTNE: </w:t>
            </w:r>
            <w:r w:rsidR="00FC2322" w:rsidRPr="001342B3">
              <w:rPr>
                <w:rFonts w:eastAsia="Calibri" w:cs="Arial"/>
                <w:b/>
                <w:sz w:val="18"/>
                <w:szCs w:val="18"/>
                <w:lang w:eastAsia="en-GB"/>
              </w:rPr>
              <w:t>Meta-SPC 10 as a refinement of Meta SPC 9 that leads to unacceptable risks</w:t>
            </w:r>
            <w:r w:rsidR="00FC2322">
              <w:rPr>
                <w:rFonts w:eastAsia="Calibri" w:cs="Arial"/>
                <w:b/>
                <w:sz w:val="18"/>
                <w:szCs w:val="18"/>
                <w:lang w:eastAsia="en-GB"/>
              </w:rPr>
              <w:t xml:space="preserve"> for OTNE alone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C7BA72" w14:textId="4FCA4226" w:rsidR="00AA3A14" w:rsidRDefault="00AA3A14" w:rsidP="00BA238F">
            <w:pPr>
              <w:jc w:val="center"/>
              <w:rPr>
                <w:rFonts w:cs="Calibri"/>
                <w:color w:val="000000"/>
                <w:sz w:val="18"/>
                <w:szCs w:val="18"/>
              </w:rPr>
            </w:pPr>
            <w:r>
              <w:rPr>
                <w:rFonts w:cs="Calibri"/>
                <w:color w:val="000000"/>
                <w:sz w:val="18"/>
                <w:szCs w:val="18"/>
              </w:rPr>
              <w:t>5.14E-02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4867A1" w14:textId="066E9DE1" w:rsidR="00AA3A14" w:rsidRDefault="00AA3A14" w:rsidP="00BA238F">
            <w:pPr>
              <w:jc w:val="center"/>
              <w:rPr>
                <w:rFonts w:cs="Calibri"/>
                <w:color w:val="000000"/>
                <w:sz w:val="18"/>
                <w:szCs w:val="18"/>
              </w:rPr>
            </w:pPr>
            <w:r>
              <w:rPr>
                <w:rFonts w:cs="Calibri"/>
                <w:color w:val="000000"/>
                <w:sz w:val="18"/>
                <w:szCs w:val="18"/>
              </w:rPr>
              <w:t>6.32E-01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39CA64F" w14:textId="1EF9D6AC" w:rsidR="00AA3A14" w:rsidRDefault="00AA3A14" w:rsidP="00BA238F">
            <w:pPr>
              <w:jc w:val="center"/>
              <w:rPr>
                <w:rFonts w:cs="Calibri"/>
                <w:color w:val="000000"/>
                <w:sz w:val="18"/>
                <w:szCs w:val="18"/>
              </w:rPr>
            </w:pPr>
            <w:r>
              <w:rPr>
                <w:rFonts w:cs="Calibri"/>
                <w:color w:val="000000"/>
                <w:sz w:val="18"/>
                <w:szCs w:val="18"/>
              </w:rPr>
              <w:t>7.</w:t>
            </w:r>
            <w:r w:rsidR="00FC2322">
              <w:rPr>
                <w:rFonts w:cs="Calibri"/>
                <w:color w:val="000000"/>
                <w:sz w:val="18"/>
                <w:szCs w:val="18"/>
              </w:rPr>
              <w:t>98E-02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4DCD1" w14:textId="03775638" w:rsidR="00AA3A14" w:rsidRPr="00EB565D" w:rsidRDefault="00AA3A14" w:rsidP="00BA238F">
            <w:pPr>
              <w:jc w:val="center"/>
              <w:rPr>
                <w:rFonts w:cs="Calibri"/>
                <w:b/>
                <w:sz w:val="18"/>
                <w:szCs w:val="18"/>
                <w:lang w:val="en-US"/>
              </w:rPr>
            </w:pPr>
            <w:r>
              <w:rPr>
                <w:rFonts w:cs="Calibri"/>
                <w:sz w:val="18"/>
                <w:szCs w:val="18"/>
                <w:lang w:val="en-US"/>
              </w:rPr>
              <w:t>&lt;0.5</w:t>
            </w:r>
          </w:p>
        </w:tc>
      </w:tr>
      <w:tr w:rsidR="00AA3A14" w:rsidRPr="00A52782" w14:paraId="416ABF5F" w14:textId="77777777" w:rsidTr="00DD2106">
        <w:trPr>
          <w:trHeight w:val="300"/>
        </w:trPr>
        <w:tc>
          <w:tcPr>
            <w:tcW w:w="3614" w:type="dxa"/>
            <w:shd w:val="clear" w:color="000000" w:fill="FFFFFF"/>
            <w:vAlign w:val="center"/>
          </w:tcPr>
          <w:p w14:paraId="11B55951" w14:textId="6851FDDF" w:rsidR="00AA3A14" w:rsidRPr="00391557" w:rsidRDefault="00AA3A14" w:rsidP="00EB565D">
            <w:pPr>
              <w:spacing w:before="60" w:after="60" w:line="276" w:lineRule="auto"/>
              <w:rPr>
                <w:rFonts w:eastAsia="Calibri" w:cs="Arial"/>
                <w:sz w:val="18"/>
                <w:szCs w:val="18"/>
                <w:u w:val="single"/>
                <w:lang w:eastAsia="en-GB"/>
              </w:rPr>
            </w:pPr>
            <w:r w:rsidRPr="00391557">
              <w:rPr>
                <w:rFonts w:eastAsia="Calibri" w:cs="Arial"/>
                <w:sz w:val="18"/>
                <w:szCs w:val="18"/>
                <w:u w:val="single"/>
                <w:lang w:eastAsia="en-GB"/>
              </w:rPr>
              <w:t>Scenario 8 – PT04</w:t>
            </w:r>
          </w:p>
          <w:p w14:paraId="59F41541" w14:textId="410A05DF" w:rsidR="00AA3A14" w:rsidRPr="00AA3A14" w:rsidRDefault="00770B5D" w:rsidP="00D516C0">
            <w:pPr>
              <w:spacing w:before="60" w:after="60" w:line="276" w:lineRule="auto"/>
              <w:rPr>
                <w:rFonts w:eastAsia="Calibri" w:cs="Arial"/>
                <w:sz w:val="18"/>
                <w:szCs w:val="18"/>
                <w:lang w:eastAsia="en-GB"/>
              </w:rPr>
            </w:pPr>
            <w:r w:rsidRPr="00711870">
              <w:rPr>
                <w:sz w:val="18"/>
                <w:szCs w:val="18"/>
              </w:rPr>
              <w:t xml:space="preserve">Disinfection </w:t>
            </w:r>
            <w:r>
              <w:rPr>
                <w:sz w:val="18"/>
                <w:szCs w:val="18"/>
              </w:rPr>
              <w:t xml:space="preserve">in food and feed area </w:t>
            </w:r>
            <w:r w:rsidR="001A6FDC">
              <w:rPr>
                <w:sz w:val="18"/>
                <w:szCs w:val="18"/>
              </w:rPr>
              <w:t xml:space="preserve">(large scale) </w:t>
            </w:r>
            <w:r w:rsidR="00AA3A14">
              <w:rPr>
                <w:rFonts w:eastAsia="Calibri"/>
                <w:sz w:val="18"/>
                <w:szCs w:val="18"/>
                <w:lang w:eastAsia="en-US"/>
              </w:rPr>
              <w:t>(</w:t>
            </w:r>
            <w:r w:rsidR="00AA3A14" w:rsidRPr="005843FF">
              <w:rPr>
                <w:rFonts w:eastAsia="Calibri"/>
                <w:sz w:val="18"/>
                <w:szCs w:val="18"/>
                <w:lang w:eastAsia="en-US"/>
              </w:rPr>
              <w:t>L(+) Lactic acid</w:t>
            </w:r>
            <w:r w:rsidR="00AA3A14" w:rsidRPr="00AA3A14">
              <w:rPr>
                <w:rFonts w:eastAsia="Calibri" w:cs="Arial"/>
                <w:sz w:val="18"/>
                <w:szCs w:val="18"/>
                <w:lang w:eastAsia="en-GB"/>
              </w:rPr>
              <w:t xml:space="preserve"> + Amines, coco alkyldimethyl, N-oxides)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E03D2D" w14:textId="78B8CD61" w:rsidR="00AA3A14" w:rsidRPr="00D516C0" w:rsidRDefault="00AA3A14" w:rsidP="00BA238F">
            <w:pPr>
              <w:jc w:val="center"/>
              <w:rPr>
                <w:rFonts w:cs="Calibri"/>
                <w:bCs/>
                <w:color w:val="000000"/>
                <w:sz w:val="18"/>
                <w:szCs w:val="18"/>
                <w:lang w:eastAsia="es-ES"/>
              </w:rPr>
            </w:pPr>
            <w:r w:rsidRPr="00D516C0">
              <w:rPr>
                <w:rFonts w:cs="Calibri"/>
                <w:bCs/>
                <w:color w:val="000000"/>
                <w:sz w:val="18"/>
                <w:szCs w:val="18"/>
                <w:lang w:eastAsia="es-ES"/>
              </w:rPr>
              <w:t>2.72E-01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97A3AA" w14:textId="6CB600DD" w:rsidR="00AA3A14" w:rsidRPr="00D516C0" w:rsidRDefault="00AA3A14" w:rsidP="00BA238F">
            <w:pPr>
              <w:jc w:val="center"/>
              <w:rPr>
                <w:rFonts w:cs="Calibri"/>
                <w:bCs/>
                <w:color w:val="000000"/>
                <w:sz w:val="18"/>
                <w:szCs w:val="18"/>
                <w:lang w:eastAsia="es-ES"/>
              </w:rPr>
            </w:pPr>
            <w:r w:rsidRPr="00D516C0">
              <w:rPr>
                <w:rFonts w:cs="Calibri"/>
                <w:bCs/>
                <w:color w:val="000000"/>
                <w:sz w:val="18"/>
                <w:szCs w:val="18"/>
                <w:lang w:eastAsia="es-ES"/>
              </w:rPr>
              <w:t>1.74E-01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D0CB2A3" w14:textId="368B4EBE" w:rsidR="00AA3A14" w:rsidRPr="00D516C0" w:rsidRDefault="00AA3A14" w:rsidP="00BA238F">
            <w:pPr>
              <w:jc w:val="center"/>
              <w:rPr>
                <w:rFonts w:cs="Calibri"/>
                <w:bCs/>
                <w:color w:val="000000"/>
                <w:sz w:val="18"/>
                <w:szCs w:val="18"/>
                <w:lang w:eastAsia="es-ES"/>
              </w:rPr>
            </w:pPr>
            <w:r w:rsidRPr="00D516C0">
              <w:rPr>
                <w:rFonts w:cs="Calibri"/>
                <w:bCs/>
                <w:color w:val="000000"/>
                <w:sz w:val="18"/>
                <w:szCs w:val="18"/>
                <w:lang w:eastAsia="es-ES"/>
              </w:rPr>
              <w:t>2.02E-01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E11B9" w14:textId="3C08E8C2" w:rsidR="00AA3A14" w:rsidRPr="003E3B29" w:rsidRDefault="00FC2322" w:rsidP="00662204">
            <w:pPr>
              <w:jc w:val="center"/>
              <w:rPr>
                <w:rFonts w:cs="Calibri"/>
                <w:b/>
                <w:bCs/>
                <w:color w:val="000000"/>
                <w:sz w:val="18"/>
                <w:szCs w:val="18"/>
                <w:lang w:eastAsia="es-ES"/>
              </w:rPr>
            </w:pPr>
            <w:r>
              <w:rPr>
                <w:rFonts w:cs="Calibri"/>
                <w:sz w:val="18"/>
                <w:szCs w:val="18"/>
                <w:lang w:val="en-US"/>
              </w:rPr>
              <w:t>&lt;0.5</w:t>
            </w:r>
          </w:p>
        </w:tc>
      </w:tr>
    </w:tbl>
    <w:p w14:paraId="340F0A68" w14:textId="77777777" w:rsidR="00CC32E9" w:rsidRPr="00A52782" w:rsidRDefault="00CC32E9" w:rsidP="00CC32E9">
      <w:pPr>
        <w:jc w:val="both"/>
        <w:rPr>
          <w:rFonts w:eastAsia="Calibri"/>
          <w:lang w:eastAsia="en-US"/>
        </w:rPr>
      </w:pPr>
      <w:r>
        <w:rPr>
          <w:rFonts w:eastAsia="Calibri"/>
          <w:lang w:eastAsia="en-US"/>
        </w:rPr>
        <w:t>*Considering that only a qualitative assessment is required for active substance L(+) Lactic acid, it has not been included in the mixture risk assessment calculation for groundwater.</w:t>
      </w:r>
    </w:p>
    <w:p w14:paraId="1D437C84" w14:textId="7408445B" w:rsidR="00CC32E9" w:rsidRDefault="00CC32E9" w:rsidP="00CC32E9">
      <w:pPr>
        <w:spacing w:before="60" w:line="276" w:lineRule="auto"/>
        <w:rPr>
          <w:rFonts w:eastAsia="Calibri"/>
          <w:u w:val="single"/>
          <w:lang w:eastAsia="en-US"/>
        </w:rPr>
      </w:pPr>
    </w:p>
    <w:p w14:paraId="410C8EB2" w14:textId="4C36363F" w:rsidR="00CC32E9" w:rsidRPr="00A52782" w:rsidRDefault="00CC32E9" w:rsidP="00CC32E9">
      <w:pPr>
        <w:spacing w:before="60" w:line="276" w:lineRule="auto"/>
        <w:jc w:val="both"/>
        <w:rPr>
          <w:rFonts w:ascii="Times New Roman" w:eastAsia="Calibri" w:hAnsi="Times New Roman"/>
          <w:i/>
          <w:lang w:eastAsia="en-US"/>
        </w:rPr>
      </w:pPr>
      <w:r w:rsidRPr="00A52782">
        <w:rPr>
          <w:rFonts w:eastAsia="Calibri"/>
          <w:u w:val="single"/>
          <w:lang w:eastAsia="en-US"/>
        </w:rPr>
        <w:t>Conclusion</w:t>
      </w:r>
      <w:r w:rsidRPr="00A52782">
        <w:rPr>
          <w:rFonts w:eastAsia="Calibri"/>
          <w:lang w:eastAsia="en-US"/>
        </w:rPr>
        <w:t xml:space="preserve">: </w:t>
      </w:r>
      <w:r w:rsidR="00FC2322">
        <w:rPr>
          <w:rFonts w:eastAsia="Calibri"/>
          <w:lang w:eastAsia="en-US"/>
        </w:rPr>
        <w:t>I</w:t>
      </w:r>
      <w:r w:rsidR="00B9232F">
        <w:rPr>
          <w:rFonts w:eastAsia="Calibri"/>
          <w:lang w:eastAsia="en-US"/>
        </w:rPr>
        <w:t>t can be concluded that t</w:t>
      </w:r>
      <w:r w:rsidRPr="00A52782">
        <w:rPr>
          <w:rFonts w:eastAsia="Calibri"/>
          <w:lang w:eastAsia="en-US"/>
        </w:rPr>
        <w:t>he</w:t>
      </w:r>
      <w:r>
        <w:rPr>
          <w:rFonts w:eastAsia="Calibri"/>
          <w:lang w:eastAsia="en-US"/>
        </w:rPr>
        <w:t xml:space="preserve"> mixture toxicity assessment show</w:t>
      </w:r>
      <w:r w:rsidR="004F12E5">
        <w:rPr>
          <w:rFonts w:eastAsia="Calibri"/>
          <w:lang w:eastAsia="en-US"/>
        </w:rPr>
        <w:t>s</w:t>
      </w:r>
      <w:r>
        <w:rPr>
          <w:rFonts w:eastAsia="Calibri"/>
          <w:lang w:eastAsia="en-US"/>
        </w:rPr>
        <w:t xml:space="preserve"> acceptable risks for all the compartments and groundwater</w:t>
      </w:r>
      <w:r w:rsidRPr="00A52782">
        <w:rPr>
          <w:rFonts w:eastAsia="Calibri"/>
          <w:lang w:eastAsia="en-US"/>
        </w:rPr>
        <w:t xml:space="preserve"> </w:t>
      </w:r>
      <w:r w:rsidRPr="009E776E">
        <w:rPr>
          <w:rFonts w:eastAsia="Calibri"/>
          <w:lang w:eastAsia="en-US"/>
        </w:rPr>
        <w:t xml:space="preserve">for the use of the products of </w:t>
      </w:r>
      <w:r>
        <w:rPr>
          <w:rFonts w:eastAsia="Calibri"/>
          <w:lang w:eastAsia="en-US"/>
        </w:rPr>
        <w:t>LACTIC ACID BASED PRODUCTS</w:t>
      </w:r>
      <w:r w:rsidR="00FC2322">
        <w:rPr>
          <w:rFonts w:eastAsia="Calibri"/>
          <w:lang w:eastAsia="en-US"/>
        </w:rPr>
        <w:t xml:space="preserve"> that show acceptable risks for the different substances individually</w:t>
      </w:r>
      <w:r>
        <w:rPr>
          <w:rFonts w:eastAsia="Calibri"/>
          <w:lang w:eastAsia="en-US"/>
        </w:rPr>
        <w:t>.</w:t>
      </w:r>
    </w:p>
    <w:p w14:paraId="00E23754" w14:textId="77777777" w:rsidR="009D0C0B" w:rsidRPr="00B27CB1" w:rsidRDefault="00FA480B">
      <w:pPr>
        <w:pageBreakBefore/>
        <w:rPr>
          <w:rFonts w:ascii="Times New Roman" w:eastAsia="Calibri" w:hAnsi="Times New Roman" w:cs="Times New Roman"/>
          <w:b/>
          <w:i/>
          <w:sz w:val="22"/>
          <w:szCs w:val="22"/>
          <w:lang w:eastAsia="en-US"/>
        </w:rPr>
      </w:pPr>
      <w:r w:rsidRPr="00B27CB1">
        <w:rPr>
          <w:rFonts w:eastAsia="Calibri"/>
          <w:b/>
          <w:i/>
          <w:sz w:val="22"/>
          <w:szCs w:val="22"/>
          <w:lang w:eastAsia="en-US"/>
        </w:rPr>
        <w:lastRenderedPageBreak/>
        <w:t>Aggregated exposure (combined for relevant emmission sources)</w:t>
      </w:r>
    </w:p>
    <w:p w14:paraId="017153AE" w14:textId="77777777" w:rsidR="009D0C0B" w:rsidRPr="00B27CB1" w:rsidRDefault="009D0C0B">
      <w:pPr>
        <w:spacing w:before="60" w:line="276" w:lineRule="auto"/>
        <w:ind w:left="142"/>
        <w:rPr>
          <w:rFonts w:ascii="Times New Roman" w:eastAsia="Calibri" w:hAnsi="Times New Roman" w:cs="Times New Roman"/>
          <w:b/>
          <w:i/>
          <w:sz w:val="22"/>
          <w:szCs w:val="22"/>
          <w:lang w:eastAsia="en-US"/>
        </w:rPr>
      </w:pPr>
    </w:p>
    <w:p w14:paraId="751E5C5F" w14:textId="77777777" w:rsidR="009D0C0B" w:rsidRPr="00B27CB1" w:rsidRDefault="009D0C0B">
      <w:pPr>
        <w:spacing w:line="260" w:lineRule="atLeast"/>
        <w:rPr>
          <w:rFonts w:ascii="Times New Roman" w:eastAsia="Calibri" w:hAnsi="Times New Roman" w:cs="Times New Roman"/>
          <w:i/>
          <w:lang w:eastAsia="en-US"/>
        </w:rPr>
      </w:pPr>
    </w:p>
    <w:p w14:paraId="28CA917D" w14:textId="77777777" w:rsidR="009D0C0B" w:rsidRPr="00B27CB1" w:rsidRDefault="00FA480B">
      <w:pPr>
        <w:tabs>
          <w:tab w:val="left" w:pos="1418"/>
        </w:tabs>
        <w:ind w:left="2498" w:hanging="1418"/>
        <w:rPr>
          <w:rFonts w:ascii="Times New Roman" w:eastAsia="Calibri" w:hAnsi="Times New Roman" w:cs="Times New Roman"/>
          <w:i/>
          <w:lang w:eastAsia="en-US"/>
        </w:rPr>
      </w:pPr>
      <w:r w:rsidRPr="00B27CB1">
        <w:rPr>
          <w:rFonts w:ascii="Times New Roman" w:hAnsi="Times New Roman" w:cs="Times New Roman"/>
          <w:noProof/>
          <w:lang w:val="fr-FR" w:eastAsia="fr-FR"/>
        </w:rPr>
        <w:drawing>
          <wp:inline distT="0" distB="0" distL="0" distR="0" wp14:anchorId="2BCE79D3" wp14:editId="2B24572A">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sidRPr="00B27CB1">
        <w:rPr>
          <w:rFonts w:ascii="Times New Roman" w:hAnsi="Times New Roman" w:cs="Times New Roman"/>
        </w:rPr>
        <w:t xml:space="preserve"> </w:t>
      </w:r>
    </w:p>
    <w:p w14:paraId="7E3C2E51" w14:textId="77777777" w:rsidR="009D0C0B" w:rsidRPr="00B27CB1" w:rsidRDefault="00FA480B">
      <w:pPr>
        <w:tabs>
          <w:tab w:val="left" w:pos="1418"/>
        </w:tabs>
        <w:spacing w:after="255"/>
        <w:ind w:left="2498" w:hanging="1418"/>
        <w:rPr>
          <w:rFonts w:ascii="Times New Roman" w:eastAsia="Calibri" w:hAnsi="Times New Roman" w:cs="Times New Roman"/>
          <w:i/>
          <w:color w:val="000000"/>
          <w:szCs w:val="24"/>
          <w:lang w:eastAsia="en-US"/>
        </w:rPr>
      </w:pPr>
      <w:r w:rsidRPr="00B27CB1">
        <w:rPr>
          <w:rFonts w:ascii="Times New Roman" w:eastAsia="Calibri" w:hAnsi="Times New Roman" w:cs="Times New Roman"/>
          <w:i/>
          <w:lang w:eastAsia="en-US"/>
        </w:rPr>
        <w:t>Figure 1: Decision tree on the need for estimation of aggregated exposure</w:t>
      </w:r>
    </w:p>
    <w:p w14:paraId="13BDCC79" w14:textId="77777777" w:rsidR="00CC32E9" w:rsidRPr="0040391E" w:rsidRDefault="00CC32E9" w:rsidP="00CC32E9">
      <w:pPr>
        <w:spacing w:before="60" w:line="276" w:lineRule="auto"/>
        <w:jc w:val="both"/>
        <w:rPr>
          <w:rFonts w:eastAsia="Calibri"/>
          <w:lang w:eastAsia="en-US"/>
        </w:rPr>
      </w:pPr>
      <w:r w:rsidRPr="0040391E">
        <w:rPr>
          <w:rFonts w:eastAsia="Calibri"/>
          <w:lang w:eastAsia="en-US"/>
        </w:rPr>
        <w:t>According to Article 10(1) of BPD a cumulative risk assessment shall be performed where relevant. The decision tree above was used to evaluate the need for estimation of aggregated exposure.</w:t>
      </w:r>
    </w:p>
    <w:p w14:paraId="7359F51A" w14:textId="77777777" w:rsidR="00CC32E9" w:rsidRPr="0040391E" w:rsidRDefault="00CC32E9" w:rsidP="00CC32E9">
      <w:pPr>
        <w:spacing w:before="60" w:line="276" w:lineRule="auto"/>
        <w:jc w:val="both"/>
        <w:rPr>
          <w:rFonts w:eastAsia="Calibri"/>
          <w:lang w:eastAsia="en-US"/>
        </w:rPr>
      </w:pPr>
    </w:p>
    <w:p w14:paraId="5D1CDAA8" w14:textId="0C190727" w:rsidR="00CC32E9" w:rsidRDefault="00CC32E9" w:rsidP="00CC32E9">
      <w:pPr>
        <w:jc w:val="both"/>
        <w:rPr>
          <w:rFonts w:eastAsia="Calibri"/>
          <w:lang w:eastAsia="en-US"/>
        </w:rPr>
      </w:pPr>
      <w:r w:rsidRPr="0040391E">
        <w:rPr>
          <w:rFonts w:eastAsia="Calibri"/>
          <w:lang w:eastAsia="en-US"/>
        </w:rPr>
        <w:t>Since the amount of L(+)Lactic acid that is used annually in biocidal products accounts for less than 10% compared to the annual production and import volume of L(+) Lactic acid in the EU, no aggregated risk assessment was performed.</w:t>
      </w:r>
      <w:r w:rsidR="008A3048">
        <w:rPr>
          <w:rFonts w:eastAsia="Calibri"/>
          <w:lang w:eastAsia="en-US"/>
        </w:rPr>
        <w:t xml:space="preserve"> </w:t>
      </w:r>
      <w:r>
        <w:rPr>
          <w:rFonts w:eastAsia="Calibri"/>
          <w:lang w:eastAsia="en-US"/>
        </w:rPr>
        <w:t>Moreover</w:t>
      </w:r>
      <w:r w:rsidRPr="00FD6C3A">
        <w:rPr>
          <w:lang w:eastAsia="en-US"/>
        </w:rPr>
        <w:t xml:space="preserve">, </w:t>
      </w:r>
      <w:r>
        <w:rPr>
          <w:rFonts w:eastAsia="Calibri"/>
          <w:lang w:eastAsia="en-US"/>
        </w:rPr>
        <w:t>s</w:t>
      </w:r>
      <w:r w:rsidRPr="00FD6C3A">
        <w:rPr>
          <w:rFonts w:eastAsia="Calibri"/>
          <w:lang w:eastAsia="en-US"/>
        </w:rPr>
        <w:t>cenario</w:t>
      </w:r>
      <w:r>
        <w:rPr>
          <w:rFonts w:eastAsia="Calibri"/>
          <w:lang w:eastAsia="en-US"/>
        </w:rPr>
        <w:t>s</w:t>
      </w:r>
      <w:r w:rsidR="00FC2322">
        <w:rPr>
          <w:rFonts w:eastAsia="Calibri"/>
          <w:lang w:eastAsia="en-US"/>
        </w:rPr>
        <w:t xml:space="preserve"> 1 (Meta-SPC 9)</w:t>
      </w:r>
      <w:r w:rsidR="008A3048">
        <w:rPr>
          <w:rFonts w:eastAsia="Calibri"/>
          <w:lang w:eastAsia="en-US"/>
        </w:rPr>
        <w:t>,</w:t>
      </w:r>
      <w:r>
        <w:rPr>
          <w:rFonts w:eastAsia="Calibri"/>
          <w:lang w:eastAsia="en-US"/>
        </w:rPr>
        <w:t xml:space="preserve"> 4</w:t>
      </w:r>
      <w:r w:rsidR="008A3048">
        <w:rPr>
          <w:rFonts w:eastAsia="Calibri"/>
          <w:lang w:eastAsia="en-US"/>
        </w:rPr>
        <w:t>,</w:t>
      </w:r>
      <w:r>
        <w:rPr>
          <w:rFonts w:eastAsia="Calibri"/>
          <w:lang w:eastAsia="en-US"/>
        </w:rPr>
        <w:t xml:space="preserve"> 5 and </w:t>
      </w:r>
      <w:r w:rsidR="008A3048">
        <w:rPr>
          <w:rFonts w:eastAsia="Calibri"/>
          <w:lang w:eastAsia="en-US"/>
        </w:rPr>
        <w:t>6 (direct release to soil)</w:t>
      </w:r>
      <w:r>
        <w:rPr>
          <w:rFonts w:eastAsia="Calibri"/>
          <w:lang w:eastAsia="en-US"/>
        </w:rPr>
        <w:t xml:space="preserve"> already show unacceptable risks and are not include in the aggregated exposure assessment.</w:t>
      </w:r>
    </w:p>
    <w:p w14:paraId="36FD54BF" w14:textId="77777777" w:rsidR="00CC32E9" w:rsidRDefault="00CC32E9" w:rsidP="00CC32E9">
      <w:pPr>
        <w:spacing w:before="60" w:line="276" w:lineRule="auto"/>
        <w:jc w:val="both"/>
        <w:rPr>
          <w:rFonts w:eastAsia="Calibri"/>
          <w:lang w:eastAsia="en-US"/>
        </w:rPr>
      </w:pPr>
    </w:p>
    <w:p w14:paraId="2FA8E493" w14:textId="37342A0D" w:rsidR="00CC32E9" w:rsidRPr="00B27CB1" w:rsidRDefault="00CC32E9" w:rsidP="00CC32E9">
      <w:pPr>
        <w:spacing w:before="60" w:line="276" w:lineRule="auto"/>
        <w:jc w:val="both"/>
        <w:rPr>
          <w:rFonts w:ascii="Times New Roman" w:eastAsia="Calibri" w:hAnsi="Times New Roman" w:cs="Times New Roman"/>
          <w:i/>
          <w:color w:val="000000"/>
          <w:szCs w:val="24"/>
          <w:lang w:eastAsia="en-US"/>
        </w:rPr>
      </w:pPr>
      <w:r w:rsidRPr="0040391E">
        <w:rPr>
          <w:rFonts w:eastAsia="Calibri"/>
          <w:lang w:eastAsia="en-US"/>
        </w:rPr>
        <w:t xml:space="preserve">For SoCs, an aggregated exposure has to be evaluated for each substance: </w:t>
      </w:r>
      <w:r w:rsidRPr="0040391E">
        <w:t xml:space="preserve">Amines, coco alkyldimethyl, N-oxides and OTNE. </w:t>
      </w:r>
    </w:p>
    <w:p w14:paraId="7D55B649" w14:textId="77777777" w:rsidR="00CC32E9" w:rsidRPr="00B27CB1" w:rsidRDefault="00CC32E9" w:rsidP="00CC32E9">
      <w:pPr>
        <w:widowControl w:val="0"/>
        <w:autoSpaceDE w:val="0"/>
        <w:spacing w:before="200" w:after="120"/>
        <w:rPr>
          <w:rFonts w:ascii="Times New Roman" w:eastAsia="Calibri" w:hAnsi="Times New Roman" w:cs="Times New Roman"/>
          <w:i/>
          <w:color w:val="000000"/>
          <w:szCs w:val="24"/>
          <w:lang w:eastAsia="en-US"/>
        </w:rPr>
      </w:pPr>
    </w:p>
    <w:tbl>
      <w:tblPr>
        <w:tblW w:w="0" w:type="auto"/>
        <w:tblInd w:w="-5" w:type="dxa"/>
        <w:tblLook w:val="0000" w:firstRow="0" w:lastRow="0" w:firstColumn="0" w:lastColumn="0" w:noHBand="0" w:noVBand="0"/>
      </w:tblPr>
      <w:tblGrid>
        <w:gridCol w:w="1539"/>
        <w:gridCol w:w="1644"/>
        <w:gridCol w:w="1781"/>
        <w:gridCol w:w="1659"/>
        <w:gridCol w:w="1625"/>
        <w:gridCol w:w="960"/>
      </w:tblGrid>
      <w:tr w:rsidR="00CC32E9" w:rsidRPr="00932E8E" w14:paraId="7C0A6B05" w14:textId="77777777" w:rsidTr="00BA238F">
        <w:trPr>
          <w:trHeight w:val="249"/>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5C3F1B62" w14:textId="77777777" w:rsidR="00CC32E9" w:rsidRPr="00932E8E" w:rsidRDefault="00CC32E9" w:rsidP="00BA238F">
            <w:pPr>
              <w:autoSpaceDE w:val="0"/>
              <w:spacing w:before="60" w:after="60" w:line="260" w:lineRule="atLeast"/>
              <w:jc w:val="center"/>
              <w:rPr>
                <w:sz w:val="18"/>
                <w:szCs w:val="18"/>
              </w:rPr>
            </w:pPr>
            <w:r w:rsidRPr="00932E8E">
              <w:rPr>
                <w:rFonts w:eastAsia="Calibri"/>
                <w:b/>
                <w:sz w:val="18"/>
                <w:szCs w:val="18"/>
                <w:lang w:eastAsia="en-US"/>
              </w:rPr>
              <w:t xml:space="preserve">Summary table on calculated </w:t>
            </w:r>
            <w:r w:rsidRPr="003E3B29">
              <w:rPr>
                <w:rFonts w:cs="Calibri"/>
                <w:b/>
                <w:bCs/>
                <w:color w:val="000000"/>
                <w:sz w:val="18"/>
                <w:szCs w:val="18"/>
                <w:lang w:eastAsia="es-ES"/>
              </w:rPr>
              <w:t>∑</w:t>
            </w:r>
            <w:r w:rsidRPr="00932E8E">
              <w:rPr>
                <w:rFonts w:eastAsia="Calibri"/>
                <w:b/>
                <w:sz w:val="18"/>
                <w:szCs w:val="18"/>
                <w:lang w:eastAsia="en-US"/>
              </w:rPr>
              <w:t>PEC/PNEC values</w:t>
            </w:r>
          </w:p>
        </w:tc>
      </w:tr>
      <w:tr w:rsidR="0041686E" w:rsidRPr="00932E8E" w14:paraId="5190586B" w14:textId="77777777" w:rsidTr="00BA238F">
        <w:trPr>
          <w:trHeight w:val="437"/>
        </w:trPr>
        <w:tc>
          <w:tcPr>
            <w:tcW w:w="0" w:type="auto"/>
            <w:tcBorders>
              <w:top w:val="single" w:sz="4" w:space="0" w:color="000000"/>
              <w:left w:val="single" w:sz="4" w:space="0" w:color="000000"/>
              <w:bottom w:val="single" w:sz="4" w:space="0" w:color="000000"/>
            </w:tcBorders>
            <w:shd w:val="clear" w:color="auto" w:fill="FFFFFF"/>
            <w:vAlign w:val="center"/>
          </w:tcPr>
          <w:p w14:paraId="36B898A7" w14:textId="77777777" w:rsidR="00CC32E9" w:rsidRPr="00932E8E" w:rsidRDefault="00CC32E9" w:rsidP="00BA238F">
            <w:pPr>
              <w:autoSpaceDE w:val="0"/>
              <w:snapToGrid w:val="0"/>
              <w:spacing w:before="60" w:after="60" w:line="260" w:lineRule="atLeast"/>
              <w:jc w:val="center"/>
              <w:rPr>
                <w:rFonts w:eastAsia="Calibri" w:cs="Arial"/>
                <w:color w:val="000000"/>
                <w:sz w:val="18"/>
                <w:szCs w:val="18"/>
                <w:lang w:eastAsia="en-GB"/>
              </w:rPr>
            </w:pPr>
            <w:r w:rsidRPr="00932E8E">
              <w:rPr>
                <w:rFonts w:eastAsia="Calibri" w:cs="Arial"/>
                <w:color w:val="000000"/>
                <w:sz w:val="18"/>
                <w:szCs w:val="18"/>
                <w:lang w:eastAsia="en-GB"/>
              </w:rPr>
              <w:t>Substance</w:t>
            </w:r>
          </w:p>
        </w:tc>
        <w:tc>
          <w:tcPr>
            <w:tcW w:w="0" w:type="auto"/>
            <w:tcBorders>
              <w:top w:val="single" w:sz="4" w:space="0" w:color="000000"/>
              <w:left w:val="single" w:sz="4" w:space="0" w:color="000000"/>
              <w:bottom w:val="single" w:sz="4" w:space="0" w:color="auto"/>
            </w:tcBorders>
            <w:shd w:val="clear" w:color="auto" w:fill="FFFFFF"/>
            <w:vAlign w:val="center"/>
          </w:tcPr>
          <w:p w14:paraId="62C4FFA1" w14:textId="77777777" w:rsidR="00CC32E9" w:rsidRPr="00932E8E" w:rsidRDefault="00CC32E9" w:rsidP="00BA238F">
            <w:pPr>
              <w:autoSpaceDE w:val="0"/>
              <w:spacing w:before="60" w:after="60" w:line="260" w:lineRule="atLeast"/>
              <w:jc w:val="center"/>
              <w:rPr>
                <w:b/>
                <w:bCs/>
                <w:color w:val="000000"/>
                <w:sz w:val="18"/>
                <w:szCs w:val="18"/>
                <w:lang w:eastAsia="en-GB"/>
              </w:rPr>
            </w:pPr>
            <w:r w:rsidRPr="003E3B29">
              <w:rPr>
                <w:rFonts w:cs="Calibri"/>
                <w:b/>
                <w:bCs/>
                <w:color w:val="000000"/>
                <w:sz w:val="18"/>
                <w:szCs w:val="18"/>
                <w:lang w:eastAsia="es-ES"/>
              </w:rPr>
              <w:t>∑</w:t>
            </w:r>
            <w:r w:rsidRPr="00932E8E">
              <w:rPr>
                <w:rFonts w:eastAsia="Calibri" w:cs="Arial"/>
                <w:b/>
                <w:bCs/>
                <w:color w:val="000000"/>
                <w:sz w:val="18"/>
                <w:szCs w:val="18"/>
                <w:lang w:eastAsia="en-GB"/>
              </w:rPr>
              <w:t>PEC/PNEC</w:t>
            </w:r>
            <w:r w:rsidRPr="00932E8E">
              <w:rPr>
                <w:rFonts w:eastAsia="Calibri" w:cs="Arial"/>
                <w:b/>
                <w:bCs/>
                <w:color w:val="000000"/>
                <w:sz w:val="18"/>
                <w:szCs w:val="18"/>
                <w:vertAlign w:val="subscript"/>
                <w:lang w:eastAsia="en-GB"/>
              </w:rPr>
              <w:t>STP</w:t>
            </w:r>
          </w:p>
        </w:tc>
        <w:tc>
          <w:tcPr>
            <w:tcW w:w="0" w:type="auto"/>
            <w:tcBorders>
              <w:top w:val="single" w:sz="4" w:space="0" w:color="000000"/>
              <w:left w:val="single" w:sz="4" w:space="0" w:color="000000"/>
              <w:bottom w:val="single" w:sz="4" w:space="0" w:color="auto"/>
            </w:tcBorders>
            <w:shd w:val="clear" w:color="auto" w:fill="FFFFFF"/>
            <w:vAlign w:val="center"/>
          </w:tcPr>
          <w:p w14:paraId="3A8FAFD6" w14:textId="77777777" w:rsidR="00CC32E9" w:rsidRPr="00932E8E" w:rsidRDefault="00CC32E9" w:rsidP="00BA238F">
            <w:pPr>
              <w:autoSpaceDE w:val="0"/>
              <w:spacing w:before="60" w:after="60" w:line="260" w:lineRule="atLeast"/>
              <w:jc w:val="center"/>
              <w:rPr>
                <w:b/>
                <w:bCs/>
                <w:color w:val="000000"/>
                <w:sz w:val="18"/>
                <w:szCs w:val="18"/>
                <w:lang w:eastAsia="en-GB"/>
              </w:rPr>
            </w:pPr>
            <w:r w:rsidRPr="003E3B29">
              <w:rPr>
                <w:rFonts w:cs="Calibri"/>
                <w:b/>
                <w:bCs/>
                <w:color w:val="000000"/>
                <w:sz w:val="18"/>
                <w:szCs w:val="18"/>
                <w:lang w:eastAsia="es-ES"/>
              </w:rPr>
              <w:t>∑</w:t>
            </w:r>
            <w:r w:rsidRPr="00932E8E">
              <w:rPr>
                <w:rFonts w:eastAsia="Calibri" w:cs="Arial"/>
                <w:b/>
                <w:bCs/>
                <w:color w:val="000000"/>
                <w:sz w:val="18"/>
                <w:szCs w:val="18"/>
                <w:lang w:eastAsia="en-GB"/>
              </w:rPr>
              <w:t>PEC/PNEC</w:t>
            </w:r>
            <w:r w:rsidRPr="00932E8E">
              <w:rPr>
                <w:rFonts w:eastAsia="Calibri" w:cs="Arial"/>
                <w:b/>
                <w:bCs/>
                <w:color w:val="000000"/>
                <w:sz w:val="18"/>
                <w:szCs w:val="18"/>
                <w:vertAlign w:val="subscript"/>
                <w:lang w:eastAsia="en-GB"/>
              </w:rPr>
              <w:t>water</w:t>
            </w:r>
          </w:p>
        </w:tc>
        <w:tc>
          <w:tcPr>
            <w:tcW w:w="0" w:type="auto"/>
            <w:tcBorders>
              <w:top w:val="single" w:sz="4" w:space="0" w:color="000000"/>
              <w:left w:val="single" w:sz="4" w:space="0" w:color="000000"/>
              <w:bottom w:val="single" w:sz="4" w:space="0" w:color="auto"/>
            </w:tcBorders>
            <w:shd w:val="clear" w:color="auto" w:fill="FFFFFF"/>
            <w:vAlign w:val="center"/>
          </w:tcPr>
          <w:p w14:paraId="3559713F" w14:textId="77777777" w:rsidR="00CC32E9" w:rsidRPr="00932E8E" w:rsidRDefault="00CC32E9" w:rsidP="00BA238F">
            <w:pPr>
              <w:autoSpaceDE w:val="0"/>
              <w:spacing w:before="60" w:after="60" w:line="260" w:lineRule="atLeast"/>
              <w:jc w:val="center"/>
              <w:rPr>
                <w:b/>
                <w:bCs/>
                <w:color w:val="000000"/>
                <w:sz w:val="18"/>
                <w:szCs w:val="18"/>
                <w:lang w:eastAsia="en-GB"/>
              </w:rPr>
            </w:pPr>
            <w:r w:rsidRPr="003E3B29">
              <w:rPr>
                <w:rFonts w:cs="Calibri"/>
                <w:b/>
                <w:bCs/>
                <w:color w:val="000000"/>
                <w:sz w:val="18"/>
                <w:szCs w:val="18"/>
                <w:lang w:eastAsia="es-ES"/>
              </w:rPr>
              <w:t>∑</w:t>
            </w:r>
            <w:r w:rsidRPr="00932E8E">
              <w:rPr>
                <w:rFonts w:eastAsia="Calibri" w:cs="Arial"/>
                <w:b/>
                <w:color w:val="000000"/>
                <w:sz w:val="18"/>
                <w:szCs w:val="18"/>
                <w:lang w:eastAsia="en-GB"/>
              </w:rPr>
              <w:t>PEC/PNEC</w:t>
            </w:r>
            <w:r w:rsidRPr="00932E8E">
              <w:rPr>
                <w:rFonts w:eastAsia="Calibri" w:cs="Arial"/>
                <w:b/>
                <w:color w:val="000000"/>
                <w:sz w:val="18"/>
                <w:szCs w:val="18"/>
                <w:vertAlign w:val="subscript"/>
                <w:lang w:eastAsia="en-GB"/>
              </w:rPr>
              <w:t>sed</w:t>
            </w:r>
          </w:p>
        </w:tc>
        <w:tc>
          <w:tcPr>
            <w:tcW w:w="0" w:type="auto"/>
            <w:tcBorders>
              <w:top w:val="single" w:sz="4" w:space="0" w:color="000000"/>
              <w:left w:val="single" w:sz="4" w:space="0" w:color="000000"/>
              <w:bottom w:val="single" w:sz="4" w:space="0" w:color="auto"/>
            </w:tcBorders>
            <w:shd w:val="clear" w:color="auto" w:fill="FFFFFF"/>
            <w:vAlign w:val="center"/>
          </w:tcPr>
          <w:p w14:paraId="435A42D2" w14:textId="77777777" w:rsidR="00CC32E9" w:rsidRPr="00932E8E" w:rsidRDefault="00CC32E9" w:rsidP="00BA238F">
            <w:pPr>
              <w:autoSpaceDE w:val="0"/>
              <w:spacing w:before="60" w:after="60" w:line="260" w:lineRule="atLeast"/>
              <w:rPr>
                <w:b/>
                <w:bCs/>
                <w:color w:val="000000"/>
                <w:sz w:val="18"/>
                <w:szCs w:val="18"/>
                <w:lang w:eastAsia="en-GB"/>
              </w:rPr>
            </w:pPr>
            <w:r w:rsidRPr="003E3B29">
              <w:rPr>
                <w:rFonts w:cs="Calibri"/>
                <w:b/>
                <w:bCs/>
                <w:color w:val="000000"/>
                <w:sz w:val="18"/>
                <w:szCs w:val="18"/>
                <w:lang w:eastAsia="es-ES"/>
              </w:rPr>
              <w:t>∑</w:t>
            </w:r>
            <w:r w:rsidRPr="00932E8E">
              <w:rPr>
                <w:rFonts w:eastAsia="Calibri" w:cs="Arial"/>
                <w:b/>
                <w:bCs/>
                <w:color w:val="000000"/>
                <w:sz w:val="18"/>
                <w:szCs w:val="18"/>
                <w:lang w:eastAsia="en-GB"/>
              </w:rPr>
              <w:t>PEC/PNEC</w:t>
            </w:r>
            <w:r w:rsidRPr="00932E8E">
              <w:rPr>
                <w:rFonts w:eastAsia="Calibri" w:cs="Arial"/>
                <w:b/>
                <w:bCs/>
                <w:color w:val="000000"/>
                <w:sz w:val="18"/>
                <w:szCs w:val="18"/>
                <w:vertAlign w:val="subscript"/>
                <w:lang w:eastAsia="en-GB"/>
              </w:rPr>
              <w:t>soil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3C90C7" w14:textId="77777777" w:rsidR="00CC32E9" w:rsidRDefault="00CC32E9" w:rsidP="00BA238F">
            <w:pPr>
              <w:autoSpaceDE w:val="0"/>
              <w:spacing w:before="60" w:after="60" w:line="260" w:lineRule="atLeast"/>
              <w:jc w:val="center"/>
              <w:rPr>
                <w:rFonts w:eastAsia="Calibri" w:cs="Arial"/>
                <w:b/>
                <w:bCs/>
                <w:color w:val="000000"/>
                <w:sz w:val="18"/>
                <w:szCs w:val="18"/>
                <w:vertAlign w:val="subscript"/>
                <w:lang w:eastAsia="en-GB"/>
              </w:rPr>
            </w:pPr>
            <w:r w:rsidRPr="003E3B29">
              <w:rPr>
                <w:rFonts w:cs="Calibri"/>
                <w:b/>
                <w:bCs/>
                <w:color w:val="000000"/>
                <w:sz w:val="18"/>
                <w:szCs w:val="18"/>
                <w:lang w:eastAsia="es-ES"/>
              </w:rPr>
              <w:t>∑</w:t>
            </w:r>
            <w:r w:rsidRPr="00932E8E">
              <w:rPr>
                <w:rFonts w:eastAsia="Calibri" w:cs="Arial"/>
                <w:b/>
                <w:bCs/>
                <w:color w:val="000000"/>
                <w:sz w:val="18"/>
                <w:szCs w:val="18"/>
                <w:lang w:eastAsia="en-GB"/>
              </w:rPr>
              <w:t>PEC</w:t>
            </w:r>
            <w:r w:rsidRPr="00932E8E">
              <w:rPr>
                <w:rFonts w:eastAsia="Calibri" w:cs="Arial"/>
                <w:b/>
                <w:bCs/>
                <w:color w:val="000000"/>
                <w:sz w:val="18"/>
                <w:szCs w:val="18"/>
                <w:vertAlign w:val="subscript"/>
                <w:lang w:eastAsia="en-GB"/>
              </w:rPr>
              <w:t>GW</w:t>
            </w:r>
          </w:p>
          <w:p w14:paraId="78C25052" w14:textId="214BE158" w:rsidR="00E06312" w:rsidRPr="00932E8E" w:rsidRDefault="00E06312" w:rsidP="00BA238F">
            <w:pPr>
              <w:autoSpaceDE w:val="0"/>
              <w:spacing w:before="60" w:after="60" w:line="260" w:lineRule="atLeast"/>
              <w:jc w:val="center"/>
              <w:rPr>
                <w:sz w:val="18"/>
                <w:szCs w:val="18"/>
              </w:rPr>
            </w:pPr>
            <w:r w:rsidRPr="001365D5">
              <w:rPr>
                <w:rFonts w:eastAsia="Calibri" w:cs="Arial"/>
                <w:b/>
                <w:color w:val="000000"/>
                <w:sz w:val="18"/>
                <w:szCs w:val="18"/>
                <w:lang w:eastAsia="en-GB"/>
              </w:rPr>
              <w:t>(µg/L)</w:t>
            </w:r>
          </w:p>
        </w:tc>
      </w:tr>
      <w:tr w:rsidR="0041686E" w:rsidRPr="00932E8E" w14:paraId="4B427657" w14:textId="77777777" w:rsidTr="00BA238F">
        <w:trPr>
          <w:trHeight w:val="75"/>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589A6B5A" w14:textId="77777777" w:rsidR="0018303B" w:rsidRDefault="00CC32E9" w:rsidP="00BA238F">
            <w:pPr>
              <w:autoSpaceDE w:val="0"/>
              <w:snapToGrid w:val="0"/>
              <w:spacing w:before="60" w:after="60" w:line="260" w:lineRule="atLeast"/>
              <w:jc w:val="center"/>
              <w:rPr>
                <w:sz w:val="18"/>
                <w:szCs w:val="18"/>
              </w:rPr>
            </w:pPr>
            <w:r w:rsidRPr="00932E8E">
              <w:rPr>
                <w:sz w:val="18"/>
                <w:szCs w:val="18"/>
              </w:rPr>
              <w:t xml:space="preserve">Amines, coco alkyldimethyl, N-oxides </w:t>
            </w:r>
          </w:p>
          <w:p w14:paraId="202C1C49" w14:textId="7C549D16" w:rsidR="00CC32E9" w:rsidRPr="00932E8E" w:rsidRDefault="00CC32E9" w:rsidP="00BA238F">
            <w:pPr>
              <w:autoSpaceDE w:val="0"/>
              <w:snapToGrid w:val="0"/>
              <w:spacing w:before="60" w:after="60" w:line="260" w:lineRule="atLeast"/>
              <w:jc w:val="center"/>
              <w:rPr>
                <w:rFonts w:eastAsia="Calibri" w:cs="Arial"/>
                <w:color w:val="000000"/>
                <w:sz w:val="18"/>
                <w:szCs w:val="18"/>
                <w:lang w:eastAsia="en-GB"/>
              </w:rPr>
            </w:pPr>
            <w:r w:rsidRPr="00932E8E">
              <w:rPr>
                <w:rFonts w:eastAsia="Calibri" w:cs="Arial"/>
                <w:color w:val="000000"/>
                <w:sz w:val="18"/>
                <w:szCs w:val="18"/>
                <w:lang w:eastAsia="en-GB"/>
              </w:rPr>
              <w:lastRenderedPageBreak/>
              <w:t xml:space="preserve">Scenario </w:t>
            </w:r>
            <w:r w:rsidR="00B9232F" w:rsidRPr="00932E8E">
              <w:rPr>
                <w:rFonts w:eastAsia="Calibri" w:cs="Arial"/>
                <w:color w:val="000000"/>
                <w:sz w:val="18"/>
                <w:szCs w:val="18"/>
                <w:lang w:eastAsia="en-GB"/>
              </w:rPr>
              <w:t>1</w:t>
            </w:r>
            <w:r w:rsidR="0041686E">
              <w:rPr>
                <w:rFonts w:eastAsia="Calibri" w:cs="Arial"/>
                <w:color w:val="000000"/>
                <w:sz w:val="18"/>
                <w:szCs w:val="18"/>
                <w:lang w:eastAsia="en-GB"/>
              </w:rPr>
              <w:t>a</w:t>
            </w:r>
            <w:r w:rsidR="00B9232F" w:rsidRPr="00932E8E">
              <w:rPr>
                <w:rFonts w:eastAsia="Calibri" w:cs="Arial"/>
                <w:color w:val="000000"/>
                <w:sz w:val="18"/>
                <w:szCs w:val="18"/>
                <w:lang w:eastAsia="en-GB"/>
              </w:rPr>
              <w:t>,</w:t>
            </w:r>
            <w:r w:rsidR="00B9232F">
              <w:rPr>
                <w:rFonts w:eastAsia="Calibri" w:cs="Arial"/>
                <w:color w:val="000000"/>
                <w:sz w:val="18"/>
                <w:szCs w:val="18"/>
                <w:lang w:eastAsia="en-GB"/>
              </w:rPr>
              <w:t xml:space="preserve"> </w:t>
            </w:r>
            <w:r w:rsidR="00B9232F" w:rsidRPr="00932E8E">
              <w:rPr>
                <w:rFonts w:eastAsia="Calibri" w:cs="Arial"/>
                <w:color w:val="000000"/>
                <w:sz w:val="18"/>
                <w:szCs w:val="18"/>
                <w:lang w:eastAsia="en-GB"/>
              </w:rPr>
              <w:t>2,</w:t>
            </w:r>
            <w:r w:rsidR="00B9232F">
              <w:rPr>
                <w:rFonts w:eastAsia="Calibri" w:cs="Arial"/>
                <w:color w:val="000000"/>
                <w:sz w:val="18"/>
                <w:szCs w:val="18"/>
                <w:lang w:eastAsia="en-GB"/>
              </w:rPr>
              <w:t xml:space="preserve"> 3 &amp; 8 (large scale)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5D2D7" w14:textId="54885135" w:rsidR="00CC32E9" w:rsidRPr="00932E8E" w:rsidRDefault="0018303B" w:rsidP="00BA238F">
            <w:pPr>
              <w:autoSpaceDE w:val="0"/>
              <w:snapToGrid w:val="0"/>
              <w:spacing w:before="60" w:after="60" w:line="260" w:lineRule="atLeast"/>
              <w:jc w:val="center"/>
              <w:rPr>
                <w:rFonts w:eastAsia="Calibri" w:cs="Arial"/>
                <w:color w:val="000000"/>
                <w:sz w:val="18"/>
                <w:szCs w:val="18"/>
                <w:lang w:eastAsia="en-GB"/>
              </w:rPr>
            </w:pPr>
            <w:r>
              <w:rPr>
                <w:rFonts w:cs="Calibri"/>
                <w:color w:val="000000"/>
                <w:sz w:val="18"/>
                <w:szCs w:val="18"/>
              </w:rPr>
              <w:lastRenderedPageBreak/>
              <w:t>1.73E-03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67665" w14:textId="6679B59C" w:rsidR="00CC32E9" w:rsidRPr="00932E8E" w:rsidRDefault="0018303B" w:rsidP="00BA238F">
            <w:pPr>
              <w:autoSpaceDE w:val="0"/>
              <w:snapToGrid w:val="0"/>
              <w:spacing w:before="60" w:after="60" w:line="260" w:lineRule="atLeast"/>
              <w:jc w:val="center"/>
              <w:rPr>
                <w:rFonts w:eastAsia="Calibri" w:cs="Arial"/>
                <w:color w:val="000000"/>
                <w:sz w:val="18"/>
                <w:szCs w:val="18"/>
                <w:lang w:eastAsia="en-GB"/>
              </w:rPr>
            </w:pPr>
            <w:r>
              <w:rPr>
                <w:rFonts w:cs="Calibri"/>
                <w:color w:val="000000"/>
                <w:sz w:val="18"/>
                <w:szCs w:val="18"/>
              </w:rPr>
              <w:t>1.22E-01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8D6EE" w14:textId="5D085AAE" w:rsidR="00CC32E9" w:rsidRPr="00932E8E" w:rsidRDefault="0018303B" w:rsidP="0018303B">
            <w:pPr>
              <w:autoSpaceDE w:val="0"/>
              <w:snapToGrid w:val="0"/>
              <w:spacing w:before="60" w:after="60" w:line="260" w:lineRule="atLeast"/>
              <w:jc w:val="center"/>
              <w:rPr>
                <w:rFonts w:eastAsia="Calibri" w:cs="Arial"/>
                <w:b/>
                <w:color w:val="000000"/>
                <w:sz w:val="18"/>
                <w:szCs w:val="18"/>
                <w:lang w:eastAsia="en-GB"/>
              </w:rPr>
            </w:pPr>
            <w:r>
              <w:rPr>
                <w:rFonts w:cs="Calibri"/>
                <w:color w:val="000000"/>
                <w:sz w:val="18"/>
                <w:szCs w:val="18"/>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A6B48" w14:textId="50E18EDC" w:rsidR="00CC32E9" w:rsidRPr="00932E8E" w:rsidRDefault="0018303B" w:rsidP="00BA238F">
            <w:pPr>
              <w:autoSpaceDE w:val="0"/>
              <w:snapToGrid w:val="0"/>
              <w:spacing w:before="60" w:after="60" w:line="260" w:lineRule="atLeast"/>
              <w:jc w:val="center"/>
              <w:rPr>
                <w:rFonts w:eastAsia="Calibri" w:cs="Arial"/>
                <w:color w:val="000000"/>
                <w:sz w:val="18"/>
                <w:szCs w:val="18"/>
                <w:lang w:eastAsia="en-GB"/>
              </w:rPr>
            </w:pPr>
            <w:r>
              <w:rPr>
                <w:rFonts w:cs="Calibri"/>
                <w:color w:val="000000"/>
                <w:sz w:val="18"/>
                <w:szCs w:val="18"/>
              </w:rPr>
              <w:t>1.99E-01</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5A42AF0D" w14:textId="1E3AB12C" w:rsidR="00CC32E9" w:rsidRPr="00932E8E" w:rsidRDefault="00E06312" w:rsidP="00BA238F">
            <w:pPr>
              <w:autoSpaceDE w:val="0"/>
              <w:snapToGrid w:val="0"/>
              <w:spacing w:before="60" w:after="60" w:line="260" w:lineRule="atLeast"/>
              <w:jc w:val="center"/>
              <w:rPr>
                <w:rFonts w:eastAsia="Calibri" w:cs="Arial"/>
                <w:color w:val="000000"/>
                <w:sz w:val="18"/>
                <w:szCs w:val="18"/>
                <w:lang w:eastAsia="en-GB"/>
              </w:rPr>
            </w:pPr>
            <w:r w:rsidRPr="00594510">
              <w:rPr>
                <w:rFonts w:cs="Calibri"/>
                <w:sz w:val="18"/>
                <w:szCs w:val="18"/>
                <w:lang w:val="en-US"/>
              </w:rPr>
              <w:t>&lt; 0.1</w:t>
            </w:r>
          </w:p>
        </w:tc>
      </w:tr>
      <w:tr w:rsidR="0041686E" w:rsidRPr="00932E8E" w14:paraId="7C7CCCD7" w14:textId="77777777" w:rsidTr="00BA238F">
        <w:trPr>
          <w:trHeight w:val="75"/>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FC2C1AB" w14:textId="3DCD3C75" w:rsidR="00CC32E9" w:rsidRPr="00932E8E" w:rsidRDefault="00CC32E9" w:rsidP="00BA238F">
            <w:pPr>
              <w:autoSpaceDE w:val="0"/>
              <w:snapToGrid w:val="0"/>
              <w:spacing w:before="60" w:after="60" w:line="260" w:lineRule="atLeast"/>
              <w:jc w:val="center"/>
              <w:rPr>
                <w:sz w:val="18"/>
                <w:szCs w:val="18"/>
              </w:rPr>
            </w:pPr>
            <w:r w:rsidRPr="00932E8E">
              <w:rPr>
                <w:sz w:val="18"/>
                <w:szCs w:val="18"/>
              </w:rPr>
              <w:t>OTNE</w:t>
            </w:r>
            <w:r w:rsidR="0018303B">
              <w:rPr>
                <w:sz w:val="18"/>
                <w:szCs w:val="18"/>
              </w:rPr>
              <w:t>*</w:t>
            </w:r>
            <w:r w:rsidRPr="00932E8E">
              <w:rPr>
                <w:sz w:val="18"/>
                <w:szCs w:val="18"/>
              </w:rPr>
              <w:t xml:space="preserve"> </w:t>
            </w:r>
            <w:r w:rsidRPr="00932E8E">
              <w:rPr>
                <w:rFonts w:eastAsia="Calibri" w:cs="Arial"/>
                <w:color w:val="000000"/>
                <w:sz w:val="18"/>
                <w:szCs w:val="18"/>
                <w:lang w:eastAsia="en-GB"/>
              </w:rPr>
              <w:t>Scenario 1</w:t>
            </w:r>
            <w:r w:rsidR="0041686E">
              <w:rPr>
                <w:rFonts w:eastAsia="Calibri" w:cs="Arial"/>
                <w:color w:val="000000"/>
                <w:sz w:val="18"/>
                <w:szCs w:val="18"/>
                <w:lang w:eastAsia="en-GB"/>
              </w:rPr>
              <w:t>a</w:t>
            </w:r>
            <w:r w:rsidRPr="00932E8E">
              <w:rPr>
                <w:rFonts w:eastAsia="Calibri" w:cs="Arial"/>
                <w:color w:val="000000"/>
                <w:sz w:val="18"/>
                <w:szCs w:val="18"/>
                <w:lang w:eastAsia="en-GB"/>
              </w:rPr>
              <w:t>,</w:t>
            </w:r>
            <w:r w:rsidR="00B9232F">
              <w:rPr>
                <w:rFonts w:eastAsia="Calibri" w:cs="Arial"/>
                <w:color w:val="000000"/>
                <w:sz w:val="18"/>
                <w:szCs w:val="18"/>
                <w:lang w:eastAsia="en-GB"/>
              </w:rPr>
              <w:t xml:space="preserve"> </w:t>
            </w:r>
            <w:r w:rsidRPr="00932E8E">
              <w:rPr>
                <w:rFonts w:eastAsia="Calibri" w:cs="Arial"/>
                <w:color w:val="000000"/>
                <w:sz w:val="18"/>
                <w:szCs w:val="18"/>
                <w:lang w:eastAsia="en-GB"/>
              </w:rPr>
              <w:t xml:space="preserve">2, </w:t>
            </w:r>
            <w:r w:rsidR="00B9232F">
              <w:rPr>
                <w:rFonts w:eastAsia="Calibri" w:cs="Arial"/>
                <w:color w:val="000000"/>
                <w:sz w:val="18"/>
                <w:szCs w:val="18"/>
                <w:lang w:eastAsia="en-GB"/>
              </w:rPr>
              <w:t xml:space="preserve">3, </w:t>
            </w:r>
            <w:r w:rsidRPr="00932E8E" w:rsidDel="00E06312">
              <w:rPr>
                <w:rFonts w:eastAsia="Calibri" w:cs="Arial"/>
                <w:color w:val="000000"/>
                <w:sz w:val="18"/>
                <w:szCs w:val="18"/>
                <w:lang w:eastAsia="en-GB"/>
              </w:rPr>
              <w:t>6</w:t>
            </w:r>
            <w:r w:rsidR="007536D6">
              <w:rPr>
                <w:rFonts w:eastAsia="Calibri" w:cs="Arial"/>
                <w:color w:val="000000"/>
                <w:sz w:val="18"/>
                <w:szCs w:val="18"/>
                <w:lang w:eastAsia="en-GB"/>
              </w:rPr>
              <w:t xml:space="preserve"> </w:t>
            </w:r>
            <w:r w:rsidR="00B9232F">
              <w:rPr>
                <w:rFonts w:eastAsia="Calibri" w:cs="Arial"/>
                <w:color w:val="000000"/>
                <w:sz w:val="18"/>
                <w:szCs w:val="18"/>
                <w:lang w:eastAsia="en-GB"/>
              </w:rPr>
              <w:t>(via STP)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CA3B2" w14:textId="7FF7FF44" w:rsidR="00CC32E9" w:rsidRPr="00932E8E" w:rsidRDefault="0018303B" w:rsidP="00BA238F">
            <w:pPr>
              <w:autoSpaceDE w:val="0"/>
              <w:snapToGrid w:val="0"/>
              <w:spacing w:before="60" w:after="60" w:line="260" w:lineRule="atLeast"/>
              <w:jc w:val="center"/>
              <w:rPr>
                <w:rFonts w:eastAsia="Calibri" w:cs="Arial"/>
                <w:color w:val="000000"/>
                <w:sz w:val="18"/>
                <w:szCs w:val="18"/>
                <w:lang w:eastAsia="en-GB"/>
              </w:rPr>
            </w:pPr>
            <w:r>
              <w:rPr>
                <w:rFonts w:cs="Calibri"/>
                <w:color w:val="000000"/>
                <w:sz w:val="18"/>
                <w:szCs w:val="18"/>
              </w:rPr>
              <w:t>5.01E-03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0D70E" w14:textId="23F0B741" w:rsidR="00CC32E9" w:rsidRPr="00932E8E" w:rsidRDefault="0018303B" w:rsidP="00BA238F">
            <w:pPr>
              <w:autoSpaceDE w:val="0"/>
              <w:snapToGrid w:val="0"/>
              <w:spacing w:before="60" w:after="60" w:line="260" w:lineRule="atLeast"/>
              <w:jc w:val="center"/>
              <w:rPr>
                <w:rFonts w:eastAsia="Calibri" w:cs="Arial"/>
                <w:color w:val="000000"/>
                <w:sz w:val="18"/>
                <w:szCs w:val="18"/>
                <w:lang w:eastAsia="en-GB"/>
              </w:rPr>
            </w:pPr>
            <w:r>
              <w:rPr>
                <w:rFonts w:cs="Calibri"/>
                <w:b/>
                <w:bCs/>
                <w:color w:val="000000"/>
                <w:sz w:val="18"/>
                <w:szCs w:val="18"/>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F7036F" w14:textId="6052818E" w:rsidR="00CC32E9" w:rsidRPr="0018303B" w:rsidRDefault="00E06312" w:rsidP="00BA238F">
            <w:pPr>
              <w:autoSpaceDE w:val="0"/>
              <w:snapToGrid w:val="0"/>
              <w:spacing w:before="60" w:after="60" w:line="260" w:lineRule="atLeast"/>
              <w:jc w:val="center"/>
              <w:rPr>
                <w:rFonts w:eastAsia="Calibri" w:cs="Arial"/>
                <w:color w:val="000000"/>
                <w:sz w:val="18"/>
                <w:szCs w:val="18"/>
                <w:lang w:eastAsia="en-GB"/>
              </w:rPr>
            </w:pPr>
            <w:r>
              <w:rPr>
                <w:rFonts w:cs="Calibri"/>
                <w:bCs/>
                <w:color w:val="000000"/>
                <w:sz w:val="18"/>
                <w:szCs w:val="18"/>
              </w:rPr>
              <w:t>n.r. (covered by surface water)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BA0E0" w14:textId="59BA5D26" w:rsidR="00CC32E9" w:rsidRPr="00932E8E" w:rsidRDefault="00E06312" w:rsidP="00BA238F">
            <w:pPr>
              <w:autoSpaceDE w:val="0"/>
              <w:snapToGrid w:val="0"/>
              <w:spacing w:before="60" w:after="60" w:line="260" w:lineRule="atLeast"/>
              <w:jc w:val="center"/>
              <w:rPr>
                <w:rFonts w:eastAsia="Calibri" w:cs="Arial"/>
                <w:color w:val="000000"/>
                <w:sz w:val="18"/>
                <w:szCs w:val="18"/>
                <w:lang w:eastAsia="en-GB"/>
              </w:rPr>
            </w:pPr>
            <w:r>
              <w:rPr>
                <w:rFonts w:cs="Calibri"/>
                <w:bCs/>
                <w:color w:val="000000"/>
                <w:sz w:val="18"/>
                <w:szCs w:val="18"/>
              </w:rPr>
              <w:t>1.34</w:t>
            </w:r>
            <w:r w:rsidRPr="0018303B">
              <w:rPr>
                <w:rFonts w:cs="Calibri"/>
                <w:bCs/>
                <w:color w:val="000000"/>
                <w:sz w:val="18"/>
                <w:szCs w:val="18"/>
              </w:rPr>
              <w:t>E-01</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1678C44" w14:textId="48089DA5" w:rsidR="00CC32E9" w:rsidRPr="00932E8E" w:rsidRDefault="00E06312" w:rsidP="00BA238F">
            <w:pPr>
              <w:autoSpaceDE w:val="0"/>
              <w:snapToGrid w:val="0"/>
              <w:spacing w:before="60" w:after="60" w:line="260" w:lineRule="atLeast"/>
              <w:jc w:val="center"/>
              <w:rPr>
                <w:rFonts w:eastAsia="Calibri" w:cs="Arial"/>
                <w:color w:val="000000"/>
                <w:sz w:val="18"/>
                <w:szCs w:val="18"/>
                <w:lang w:eastAsia="en-GB"/>
              </w:rPr>
            </w:pPr>
            <w:r w:rsidRPr="00594510">
              <w:rPr>
                <w:rFonts w:cs="Calibri"/>
                <w:sz w:val="18"/>
                <w:szCs w:val="18"/>
                <w:lang w:val="en-US"/>
              </w:rPr>
              <w:t>&lt; 0.1</w:t>
            </w:r>
          </w:p>
        </w:tc>
      </w:tr>
      <w:tr w:rsidR="00E06312" w:rsidRPr="00932E8E" w14:paraId="6596D6F2" w14:textId="77777777" w:rsidTr="00BA238F">
        <w:trPr>
          <w:trHeight w:val="75"/>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049407E" w14:textId="44DD0C40" w:rsidR="00E06312" w:rsidRPr="00932E8E" w:rsidRDefault="00E06312" w:rsidP="00BA238F">
            <w:pPr>
              <w:autoSpaceDE w:val="0"/>
              <w:snapToGrid w:val="0"/>
              <w:spacing w:before="60" w:after="60" w:line="260" w:lineRule="atLeast"/>
              <w:jc w:val="center"/>
              <w:rPr>
                <w:sz w:val="18"/>
                <w:szCs w:val="18"/>
              </w:rPr>
            </w:pPr>
            <w:r>
              <w:rPr>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BFA56" w14:textId="11F89523" w:rsidR="00E06312" w:rsidRDefault="00F9105E" w:rsidP="00BA238F">
            <w:pPr>
              <w:autoSpaceDE w:val="0"/>
              <w:snapToGrid w:val="0"/>
              <w:spacing w:before="60" w:after="60" w:line="260" w:lineRule="atLeast"/>
              <w:jc w:val="center"/>
              <w:rPr>
                <w:rFonts w:cs="Calibri"/>
                <w:color w:val="000000"/>
                <w:sz w:val="18"/>
                <w:szCs w:val="18"/>
              </w:rPr>
            </w:pPr>
            <w:r>
              <w:rPr>
                <w:rFonts w:cs="Calibri"/>
                <w:color w:val="000000"/>
                <w:sz w:val="18"/>
                <w:szCs w:val="18"/>
              </w:rPr>
              <w:t>6.75</w:t>
            </w:r>
            <w:r w:rsidR="00E06312">
              <w:rPr>
                <w:rFonts w:cs="Calibri"/>
                <w:color w:val="000000"/>
                <w:sz w:val="18"/>
                <w:szCs w:val="18"/>
              </w:rPr>
              <w:t>E-03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FA9E7" w14:textId="12BDBB9C" w:rsidR="00E06312" w:rsidRDefault="00E06312" w:rsidP="00BA238F">
            <w:pPr>
              <w:autoSpaceDE w:val="0"/>
              <w:snapToGrid w:val="0"/>
              <w:spacing w:before="60" w:after="60" w:line="260" w:lineRule="atLeast"/>
              <w:jc w:val="center"/>
              <w:rPr>
                <w:rFonts w:cs="Calibri"/>
                <w:b/>
                <w:bCs/>
                <w:color w:val="000000"/>
                <w:sz w:val="18"/>
                <w:szCs w:val="18"/>
              </w:rPr>
            </w:pPr>
            <w:r>
              <w:rPr>
                <w:rFonts w:cs="Calibri"/>
                <w:b/>
                <w:bCs/>
                <w:color w:val="000000"/>
                <w:sz w:val="18"/>
                <w:szCs w:val="18"/>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25FC02" w14:textId="36FF95BD" w:rsidR="00E06312" w:rsidRPr="0018303B" w:rsidRDefault="00E06312" w:rsidP="00BA238F">
            <w:pPr>
              <w:autoSpaceDE w:val="0"/>
              <w:snapToGrid w:val="0"/>
              <w:spacing w:before="60" w:after="60" w:line="260" w:lineRule="atLeast"/>
              <w:jc w:val="center"/>
              <w:rPr>
                <w:rFonts w:cs="Calibri"/>
                <w:bCs/>
                <w:color w:val="000000"/>
                <w:sz w:val="18"/>
                <w:szCs w:val="18"/>
              </w:rPr>
            </w:pPr>
            <w:r>
              <w:rPr>
                <w:rFonts w:cs="Calibri"/>
                <w:bCs/>
                <w:color w:val="000000"/>
                <w:sz w:val="18"/>
                <w:szCs w:val="18"/>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417A38" w14:textId="352AD8F5" w:rsidR="00E06312" w:rsidRDefault="00E06312" w:rsidP="00BA238F">
            <w:pPr>
              <w:autoSpaceDE w:val="0"/>
              <w:snapToGrid w:val="0"/>
              <w:spacing w:before="60" w:after="60" w:line="260" w:lineRule="atLeast"/>
              <w:jc w:val="center"/>
              <w:rPr>
                <w:rFonts w:cs="Calibri"/>
                <w:color w:val="000000"/>
                <w:sz w:val="18"/>
                <w:szCs w:val="18"/>
              </w:rPr>
            </w:pPr>
            <w:r>
              <w:rPr>
                <w:rFonts w:cs="Calibri"/>
                <w:color w:val="000000"/>
                <w:sz w:val="18"/>
                <w:szCs w:val="18"/>
              </w:rPr>
              <w:t>3.33E-01</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61FA979A" w14:textId="77777777" w:rsidR="00E06312" w:rsidRPr="0018303B" w:rsidRDefault="00E06312" w:rsidP="00BA238F">
            <w:pPr>
              <w:autoSpaceDE w:val="0"/>
              <w:snapToGrid w:val="0"/>
              <w:spacing w:before="60" w:after="60" w:line="260" w:lineRule="atLeast"/>
              <w:jc w:val="center"/>
              <w:rPr>
                <w:rFonts w:cs="Calibri"/>
                <w:b/>
                <w:sz w:val="18"/>
                <w:szCs w:val="18"/>
                <w:lang w:val="en-US"/>
              </w:rPr>
            </w:pPr>
          </w:p>
        </w:tc>
      </w:tr>
    </w:tbl>
    <w:p w14:paraId="5ACB4087" w14:textId="06E74A83" w:rsidR="00CC32E9" w:rsidRPr="00594510" w:rsidRDefault="00CC32E9" w:rsidP="00CC32E9">
      <w:pPr>
        <w:suppressAutoHyphens w:val="0"/>
        <w:spacing w:line="260" w:lineRule="atLeast"/>
        <w:jc w:val="both"/>
        <w:rPr>
          <w:rFonts w:eastAsia="Calibri"/>
          <w:u w:val="single"/>
          <w:lang w:eastAsia="en-US"/>
        </w:rPr>
      </w:pPr>
      <w:r>
        <w:rPr>
          <w:rFonts w:eastAsia="Calibri"/>
          <w:lang w:eastAsia="en-US"/>
        </w:rPr>
        <w:t>*</w:t>
      </w:r>
      <w:r w:rsidRPr="00A261A2">
        <w:t xml:space="preserve"> </w:t>
      </w:r>
      <w:r w:rsidR="0018303B">
        <w:t>After refinement with Meta-SPC 10</w:t>
      </w:r>
    </w:p>
    <w:p w14:paraId="42775A21" w14:textId="77777777" w:rsidR="00CC32E9" w:rsidRPr="00B27CB1" w:rsidRDefault="00CC32E9" w:rsidP="00CC32E9">
      <w:pPr>
        <w:spacing w:before="60" w:line="276" w:lineRule="auto"/>
        <w:ind w:left="142"/>
        <w:rPr>
          <w:rFonts w:ascii="Times New Roman" w:eastAsia="Calibri" w:hAnsi="Times New Roman" w:cs="Times New Roman"/>
          <w:i/>
          <w:lang w:eastAsia="en-US"/>
        </w:rPr>
      </w:pPr>
    </w:p>
    <w:p w14:paraId="051000AB" w14:textId="5CF90295" w:rsidR="00CC32E9" w:rsidRDefault="00CC32E9" w:rsidP="00CC32E9">
      <w:pPr>
        <w:spacing w:line="260" w:lineRule="atLeast"/>
        <w:jc w:val="both"/>
        <w:rPr>
          <w:rFonts w:eastAsia="Calibri"/>
          <w:lang w:eastAsia="en-US"/>
        </w:rPr>
      </w:pPr>
      <w:r w:rsidRPr="00B27CB1">
        <w:rPr>
          <w:rFonts w:eastAsia="Calibri"/>
          <w:u w:val="single"/>
          <w:lang w:eastAsia="en-US"/>
        </w:rPr>
        <w:t>Conclusion</w:t>
      </w:r>
      <w:r w:rsidRPr="00B27CB1">
        <w:rPr>
          <w:rFonts w:eastAsia="Calibri"/>
          <w:lang w:eastAsia="en-US"/>
        </w:rPr>
        <w:t>:</w:t>
      </w:r>
      <w:r>
        <w:rPr>
          <w:rFonts w:ascii="Times New Roman" w:eastAsia="Calibri" w:hAnsi="Times New Roman" w:cs="Times New Roman"/>
          <w:i/>
          <w:lang w:eastAsia="en-US"/>
        </w:rPr>
        <w:t xml:space="preserve"> </w:t>
      </w:r>
      <w:r w:rsidR="0018303B" w:rsidDel="00E06312">
        <w:rPr>
          <w:rFonts w:eastAsia="Calibri"/>
          <w:lang w:eastAsia="en-US"/>
        </w:rPr>
        <w:t xml:space="preserve">Unacceptable </w:t>
      </w:r>
      <w:r w:rsidR="00996D57">
        <w:t xml:space="preserve">risks are observed for surface water following the aggregate assessment </w:t>
      </w:r>
      <w:r w:rsidR="00E06312">
        <w:t>of</w:t>
      </w:r>
      <w:r w:rsidR="00996D57" w:rsidRPr="009E776E">
        <w:rPr>
          <w:rFonts w:eastAsia="Calibri"/>
          <w:lang w:eastAsia="en-US"/>
        </w:rPr>
        <w:t xml:space="preserve"> </w:t>
      </w:r>
      <w:r w:rsidR="0018303B" w:rsidRPr="009E776E">
        <w:rPr>
          <w:rFonts w:eastAsia="Calibri"/>
          <w:lang w:eastAsia="en-US"/>
        </w:rPr>
        <w:t xml:space="preserve">the use of the products of </w:t>
      </w:r>
      <w:r w:rsidR="0018303B">
        <w:rPr>
          <w:rFonts w:eastAsia="Calibri"/>
          <w:lang w:eastAsia="en-US"/>
        </w:rPr>
        <w:t>LACTIC ACID BASED PRODUCTS.</w:t>
      </w:r>
    </w:p>
    <w:p w14:paraId="15772282" w14:textId="21AD4410" w:rsidR="007536D6" w:rsidRDefault="007536D6" w:rsidP="00CC32E9">
      <w:pPr>
        <w:spacing w:line="260" w:lineRule="atLeast"/>
        <w:jc w:val="both"/>
        <w:rPr>
          <w:rFonts w:eastAsia="Calibri"/>
          <w:i/>
          <w:lang w:eastAsia="en-US"/>
        </w:rPr>
      </w:pPr>
    </w:p>
    <w:p w14:paraId="0F18DB87" w14:textId="7464F118" w:rsidR="007536D6" w:rsidRDefault="00366A9C" w:rsidP="00CC32E9">
      <w:pPr>
        <w:spacing w:line="260" w:lineRule="atLeast"/>
        <w:jc w:val="both"/>
        <w:rPr>
          <w:rFonts w:eastAsia="Calibri"/>
          <w:lang w:eastAsia="en-US"/>
        </w:rPr>
      </w:pPr>
      <w:r>
        <w:rPr>
          <w:rFonts w:eastAsia="Calibri"/>
          <w:lang w:eastAsia="en-US"/>
        </w:rPr>
        <w:t>C</w:t>
      </w:r>
      <w:r w:rsidR="000D660C" w:rsidRPr="00DD2106">
        <w:rPr>
          <w:rFonts w:eastAsia="Calibri"/>
          <w:lang w:eastAsia="en-US"/>
        </w:rPr>
        <w:t xml:space="preserve">onsidering the releases to different STP in function of the </w:t>
      </w:r>
      <w:r w:rsidRPr="00DD2106">
        <w:rPr>
          <w:rFonts w:eastAsia="Calibri"/>
          <w:lang w:eastAsia="en-US"/>
        </w:rPr>
        <w:t>sector where the products are applied</w:t>
      </w:r>
      <w:r>
        <w:rPr>
          <w:rFonts w:eastAsia="Calibri"/>
          <w:lang w:eastAsia="en-US"/>
        </w:rPr>
        <w:t xml:space="preserve">, this </w:t>
      </w:r>
      <w:r w:rsidR="00DF39D5">
        <w:rPr>
          <w:rFonts w:eastAsia="Calibri"/>
          <w:lang w:eastAsia="en-US"/>
        </w:rPr>
        <w:t xml:space="preserve">aggregated </w:t>
      </w:r>
      <w:r>
        <w:rPr>
          <w:rFonts w:eastAsia="Calibri"/>
          <w:lang w:eastAsia="en-US"/>
        </w:rPr>
        <w:t>approach is an unrealistic worst case</w:t>
      </w:r>
      <w:r w:rsidRPr="00DD2106">
        <w:rPr>
          <w:rFonts w:eastAsia="Calibri"/>
          <w:lang w:eastAsia="en-US"/>
        </w:rPr>
        <w:t xml:space="preserve">. In fact, we can consider </w:t>
      </w:r>
      <w:r w:rsidR="00DF39D5">
        <w:rPr>
          <w:rFonts w:eastAsia="Calibri"/>
          <w:lang w:eastAsia="en-US"/>
        </w:rPr>
        <w:t xml:space="preserve">that </w:t>
      </w:r>
      <w:r w:rsidRPr="00DD2106">
        <w:rPr>
          <w:rFonts w:eastAsia="Calibri"/>
          <w:lang w:eastAsia="en-US"/>
        </w:rPr>
        <w:t xml:space="preserve">wide dispersive uses </w:t>
      </w:r>
      <w:r w:rsidR="00DF39D5">
        <w:rPr>
          <w:rFonts w:eastAsia="Calibri"/>
          <w:lang w:eastAsia="en-US"/>
        </w:rPr>
        <w:t>are only un</w:t>
      </w:r>
      <w:r w:rsidRPr="00DD2106">
        <w:rPr>
          <w:rFonts w:eastAsia="Calibri"/>
          <w:lang w:eastAsia="en-US"/>
        </w:rPr>
        <w:t>der scenario 1</w:t>
      </w:r>
      <w:r>
        <w:rPr>
          <w:rFonts w:eastAsia="Calibri"/>
          <w:lang w:eastAsia="en-US"/>
        </w:rPr>
        <w:t>a</w:t>
      </w:r>
      <w:r w:rsidRPr="00DD2106">
        <w:rPr>
          <w:rFonts w:eastAsia="Calibri"/>
          <w:lang w:eastAsia="en-US"/>
        </w:rPr>
        <w:t xml:space="preserve"> (Institutional areas) and scenario 6 (Animal housing indirect emission via STP). Otherwise it seems unrealistic to sum up the emissions from industrial areas (scenario 2), heath care areas (scenario 3) and food and feed areas/slaugtherhouse (scenario 8)</w:t>
      </w:r>
      <w:r>
        <w:rPr>
          <w:rFonts w:eastAsia="Calibri"/>
          <w:lang w:eastAsia="en-US"/>
        </w:rPr>
        <w:t xml:space="preserve"> that release their waste water to separate STP</w:t>
      </w:r>
      <w:r w:rsidRPr="00DD2106">
        <w:rPr>
          <w:rFonts w:eastAsia="Calibri"/>
          <w:lang w:eastAsia="en-US"/>
        </w:rPr>
        <w:t>.</w:t>
      </w:r>
      <w:r>
        <w:rPr>
          <w:rFonts w:eastAsia="Calibri"/>
          <w:lang w:eastAsia="en-US"/>
        </w:rPr>
        <w:t xml:space="preserve"> Moreover the proposed scenarios </w:t>
      </w:r>
      <w:r w:rsidR="00DF39D5">
        <w:rPr>
          <w:rFonts w:eastAsia="Calibri"/>
          <w:lang w:eastAsia="en-US"/>
        </w:rPr>
        <w:t>are the worst ones covering all the related uses.</w:t>
      </w:r>
    </w:p>
    <w:p w14:paraId="5F821F07" w14:textId="77777777" w:rsidR="00F9105E" w:rsidRDefault="00F9105E" w:rsidP="00CC32E9">
      <w:pPr>
        <w:spacing w:line="260" w:lineRule="atLeast"/>
        <w:jc w:val="both"/>
        <w:rPr>
          <w:rFonts w:eastAsia="Calibri"/>
          <w:lang w:eastAsia="en-US"/>
        </w:rPr>
      </w:pPr>
    </w:p>
    <w:p w14:paraId="0DAB4417" w14:textId="6736862A" w:rsidR="00DF39D5" w:rsidRPr="00DD2106" w:rsidRDefault="00DF39D5" w:rsidP="00CC32E9">
      <w:pPr>
        <w:spacing w:line="260" w:lineRule="atLeast"/>
        <w:jc w:val="both"/>
        <w:rPr>
          <w:rFonts w:eastAsia="Calibri"/>
          <w:lang w:eastAsia="en-US"/>
        </w:rPr>
      </w:pPr>
      <w:r>
        <w:rPr>
          <w:rFonts w:eastAsia="Calibri"/>
          <w:lang w:eastAsia="en-US"/>
        </w:rPr>
        <w:t>Considering all these points, the aggregate risk assessment can be considered acceptable</w:t>
      </w:r>
      <w:r w:rsidR="00CF0A7D">
        <w:rPr>
          <w:rFonts w:eastAsia="Calibri"/>
          <w:lang w:eastAsia="en-US"/>
        </w:rPr>
        <w:t xml:space="preserve"> </w:t>
      </w:r>
      <w:r>
        <w:rPr>
          <w:rFonts w:eastAsia="Calibri"/>
          <w:lang w:eastAsia="en-US"/>
        </w:rPr>
        <w:t>for the authorised uses.</w:t>
      </w:r>
    </w:p>
    <w:p w14:paraId="7899FC6F" w14:textId="77777777" w:rsidR="007536D6" w:rsidRDefault="007536D6" w:rsidP="00CC32E9">
      <w:pPr>
        <w:spacing w:line="260" w:lineRule="atLeast"/>
        <w:jc w:val="both"/>
        <w:rPr>
          <w:rFonts w:eastAsia="Calibri"/>
          <w:i/>
          <w:lang w:eastAsia="en-US"/>
        </w:rPr>
        <w:sectPr w:rsidR="007536D6" w:rsidSect="00E91F85">
          <w:pgSz w:w="11906" w:h="16838"/>
          <w:pgMar w:top="1474" w:right="1247" w:bottom="2013" w:left="1446" w:header="851" w:footer="851" w:gutter="0"/>
          <w:cols w:space="720"/>
          <w:docGrid w:linePitch="272"/>
        </w:sectPr>
      </w:pPr>
    </w:p>
    <w:tbl>
      <w:tblPr>
        <w:tblpPr w:leftFromText="141" w:rightFromText="141" w:vertAnchor="text" w:horzAnchor="margin" w:tblpY="-1445"/>
        <w:tblW w:w="13134" w:type="dxa"/>
        <w:tblLayout w:type="fixed"/>
        <w:tblLook w:val="0000" w:firstRow="0" w:lastRow="0" w:firstColumn="0" w:lastColumn="0" w:noHBand="0" w:noVBand="0"/>
      </w:tblPr>
      <w:tblGrid>
        <w:gridCol w:w="3409"/>
        <w:gridCol w:w="2369"/>
        <w:gridCol w:w="1985"/>
        <w:gridCol w:w="1843"/>
        <w:gridCol w:w="3528"/>
      </w:tblGrid>
      <w:tr w:rsidR="00C92973" w:rsidRPr="00667B16" w14:paraId="5863BB6D" w14:textId="77777777" w:rsidTr="00C92973">
        <w:trPr>
          <w:trHeight w:val="249"/>
        </w:trPr>
        <w:tc>
          <w:tcPr>
            <w:tcW w:w="13134"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F2A64A4" w14:textId="77777777" w:rsidR="00C92973" w:rsidRPr="007536D6" w:rsidRDefault="00C92973" w:rsidP="00C92973">
            <w:pPr>
              <w:autoSpaceDE w:val="0"/>
              <w:spacing w:before="60" w:after="60" w:line="260" w:lineRule="atLeast"/>
              <w:rPr>
                <w:rFonts w:eastAsia="Calibri"/>
                <w:b/>
                <w:sz w:val="18"/>
                <w:szCs w:val="18"/>
                <w:lang w:eastAsia="en-US"/>
              </w:rPr>
            </w:pPr>
            <w:r w:rsidRPr="00B27CB1">
              <w:rPr>
                <w:rFonts w:eastAsia="Calibri"/>
                <w:b/>
                <w:sz w:val="18"/>
                <w:szCs w:val="18"/>
                <w:lang w:eastAsia="en-US"/>
              </w:rPr>
              <w:lastRenderedPageBreak/>
              <w:t>Overall conclusion on the risk assessment for the environment of the product</w:t>
            </w:r>
          </w:p>
        </w:tc>
      </w:tr>
      <w:tr w:rsidR="00C92973" w:rsidRPr="00667B16" w14:paraId="5539C9EE" w14:textId="77777777" w:rsidTr="00C92973">
        <w:trPr>
          <w:trHeight w:val="249"/>
        </w:trPr>
        <w:tc>
          <w:tcPr>
            <w:tcW w:w="13134"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051A18E5" w14:textId="77777777" w:rsidR="00C92973" w:rsidRDefault="00C92973" w:rsidP="00C92973">
            <w:pPr>
              <w:autoSpaceDE w:val="0"/>
              <w:spacing w:before="60" w:after="60" w:line="260" w:lineRule="atLeast"/>
              <w:rPr>
                <w:rFonts w:eastAsia="Calibri"/>
                <w:b/>
                <w:sz w:val="18"/>
                <w:szCs w:val="18"/>
                <w:lang w:eastAsia="en-US"/>
              </w:rPr>
            </w:pPr>
            <w:r w:rsidRPr="007536D6">
              <w:rPr>
                <w:rFonts w:eastAsia="Calibri"/>
                <w:b/>
                <w:sz w:val="18"/>
                <w:szCs w:val="18"/>
                <w:lang w:eastAsia="en-US"/>
              </w:rPr>
              <w:t>Summary table for the risk assessment of the products LACTIC ACID BASED PRODUCTS</w:t>
            </w:r>
          </w:p>
        </w:tc>
      </w:tr>
      <w:tr w:rsidR="00C92973" w:rsidRPr="00667B16" w14:paraId="473EDBB1"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bottom w:val="nil"/>
            </w:tcBorders>
            <w:shd w:val="clear" w:color="auto" w:fill="FFFFFF"/>
          </w:tcPr>
          <w:p w14:paraId="250486E7" w14:textId="77777777" w:rsidR="00C92973" w:rsidRDefault="00C92973" w:rsidP="00C92973">
            <w:pPr>
              <w:autoSpaceDE w:val="0"/>
              <w:snapToGrid w:val="0"/>
              <w:spacing w:before="60" w:after="60" w:line="260" w:lineRule="atLeast"/>
              <w:rPr>
                <w:rFonts w:eastAsia="Calibri" w:cs="Arial"/>
                <w:color w:val="000000"/>
                <w:sz w:val="18"/>
                <w:szCs w:val="18"/>
                <w:lang w:val="en-US" w:eastAsia="en-GB"/>
              </w:rPr>
            </w:pPr>
          </w:p>
        </w:tc>
        <w:tc>
          <w:tcPr>
            <w:tcW w:w="2369" w:type="dxa"/>
            <w:tcBorders>
              <w:bottom w:val="nil"/>
            </w:tcBorders>
            <w:shd w:val="clear" w:color="auto" w:fill="FFFFFF"/>
            <w:vAlign w:val="center"/>
          </w:tcPr>
          <w:p w14:paraId="39B824C9"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STP</w:t>
            </w:r>
          </w:p>
        </w:tc>
        <w:tc>
          <w:tcPr>
            <w:tcW w:w="1985" w:type="dxa"/>
            <w:tcBorders>
              <w:bottom w:val="nil"/>
            </w:tcBorders>
            <w:shd w:val="clear" w:color="auto" w:fill="FFFFFF"/>
            <w:vAlign w:val="center"/>
          </w:tcPr>
          <w:p w14:paraId="6867F6D4"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r>
              <w:rPr>
                <w:rFonts w:eastAsia="Calibri" w:cs="Arial"/>
                <w:b/>
                <w:color w:val="000000"/>
                <w:sz w:val="18"/>
                <w:szCs w:val="18"/>
                <w:lang w:val="en-US" w:eastAsia="en-GB"/>
              </w:rPr>
              <w:t>Surface water</w:t>
            </w:r>
          </w:p>
          <w:p w14:paraId="77750B9D" w14:textId="77777777" w:rsidR="00C92973" w:rsidRPr="00792B28" w:rsidRDefault="00C92973" w:rsidP="00C92973">
            <w:pPr>
              <w:autoSpaceDE w:val="0"/>
              <w:snapToGrid w:val="0"/>
              <w:spacing w:before="60" w:after="60" w:line="260" w:lineRule="atLeast"/>
              <w:jc w:val="center"/>
              <w:rPr>
                <w:rFonts w:eastAsia="Calibri" w:cs="Arial"/>
                <w:b/>
                <w:color w:val="000000"/>
                <w:sz w:val="18"/>
                <w:szCs w:val="18"/>
                <w:lang w:val="en-US" w:eastAsia="en-GB"/>
              </w:rPr>
            </w:pPr>
            <w:r>
              <w:rPr>
                <w:rFonts w:eastAsia="Calibri" w:cs="Arial"/>
                <w:b/>
                <w:color w:val="000000"/>
                <w:sz w:val="18"/>
                <w:szCs w:val="18"/>
                <w:lang w:val="en-US" w:eastAsia="en-GB"/>
              </w:rPr>
              <w:t>covering sediment</w:t>
            </w:r>
          </w:p>
        </w:tc>
        <w:tc>
          <w:tcPr>
            <w:tcW w:w="1843" w:type="dxa"/>
            <w:tcBorders>
              <w:bottom w:val="nil"/>
            </w:tcBorders>
            <w:shd w:val="clear" w:color="auto" w:fill="FFFFFF" w:themeFill="background1"/>
            <w:vAlign w:val="center"/>
          </w:tcPr>
          <w:p w14:paraId="604B75C0"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Soil</w:t>
            </w:r>
          </w:p>
        </w:tc>
        <w:tc>
          <w:tcPr>
            <w:tcW w:w="3528" w:type="dxa"/>
            <w:shd w:val="clear" w:color="auto" w:fill="FFFFFF" w:themeFill="background1"/>
            <w:vAlign w:val="center"/>
          </w:tcPr>
          <w:p w14:paraId="49F1405C"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 xml:space="preserve">Groundwater </w:t>
            </w:r>
          </w:p>
        </w:tc>
      </w:tr>
      <w:tr w:rsidR="00C92973" w:rsidRPr="00667B16" w14:paraId="56FC075B"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bottom w:val="nil"/>
            </w:tcBorders>
            <w:shd w:val="clear" w:color="auto" w:fill="FFFFFF"/>
          </w:tcPr>
          <w:p w14:paraId="517F0013" w14:textId="77777777" w:rsidR="00C92973" w:rsidRDefault="00C92973" w:rsidP="00C92973">
            <w:pPr>
              <w:autoSpaceDE w:val="0"/>
              <w:snapToGrid w:val="0"/>
              <w:spacing w:before="60" w:after="60" w:line="260" w:lineRule="atLeast"/>
              <w:rPr>
                <w:color w:val="221E1F"/>
                <w:sz w:val="18"/>
                <w:szCs w:val="18"/>
                <w:lang w:val="en-US"/>
              </w:rPr>
            </w:pPr>
            <w:r>
              <w:rPr>
                <w:rFonts w:eastAsia="Calibri" w:cs="Arial"/>
                <w:color w:val="000000"/>
                <w:sz w:val="18"/>
                <w:szCs w:val="18"/>
                <w:lang w:val="en-US" w:eastAsia="en-GB"/>
              </w:rPr>
              <w:t xml:space="preserve">PT02 </w:t>
            </w:r>
            <w:r w:rsidRPr="00667B16">
              <w:rPr>
                <w:rFonts w:eastAsia="Calibri" w:cs="Arial"/>
                <w:color w:val="000000"/>
                <w:sz w:val="18"/>
                <w:szCs w:val="18"/>
                <w:lang w:val="en-US" w:eastAsia="en-GB"/>
              </w:rPr>
              <w:t>Scenario 1</w:t>
            </w:r>
            <w:r>
              <w:rPr>
                <w:rFonts w:eastAsia="Calibri" w:cs="Arial"/>
                <w:color w:val="000000"/>
                <w:sz w:val="18"/>
                <w:szCs w:val="18"/>
                <w:lang w:val="en-US" w:eastAsia="en-GB"/>
              </w:rPr>
              <w:t xml:space="preserve">a: </w:t>
            </w:r>
            <w:r w:rsidRPr="00711870">
              <w:rPr>
                <w:color w:val="221E1F"/>
                <w:sz w:val="18"/>
                <w:szCs w:val="18"/>
                <w:lang w:val="en-US"/>
              </w:rPr>
              <w:t xml:space="preserve">Indoor - </w:t>
            </w:r>
            <w:r w:rsidRPr="00711870">
              <w:rPr>
                <w:rFonts w:eastAsia="Calibri"/>
                <w:sz w:val="18"/>
                <w:szCs w:val="18"/>
                <w:lang w:eastAsia="en-US"/>
              </w:rPr>
              <w:t>Disinfection 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1032AC87" w14:textId="77777777" w:rsidR="00C92973" w:rsidRPr="00A84D03" w:rsidRDefault="00C92973" w:rsidP="00C92973">
            <w:pPr>
              <w:autoSpaceDE w:val="0"/>
              <w:snapToGrid w:val="0"/>
              <w:spacing w:before="60" w:after="60" w:line="260" w:lineRule="atLeast"/>
              <w:rPr>
                <w:rFonts w:eastAsia="Calibri" w:cs="Arial"/>
                <w:color w:val="000000"/>
                <w:sz w:val="18"/>
                <w:szCs w:val="18"/>
                <w:u w:val="single"/>
                <w:lang w:val="en-US" w:eastAsia="en-GB"/>
              </w:rPr>
            </w:pPr>
            <w:r w:rsidRPr="00A84D03">
              <w:rPr>
                <w:color w:val="221E1F"/>
                <w:sz w:val="18"/>
                <w:szCs w:val="18"/>
                <w:u w:val="single"/>
                <w:lang w:val="en-US"/>
              </w:rPr>
              <w:t>Meta-SPC 9 (absolute worst case)</w:t>
            </w:r>
          </w:p>
        </w:tc>
        <w:tc>
          <w:tcPr>
            <w:tcW w:w="2369" w:type="dxa"/>
            <w:tcBorders>
              <w:bottom w:val="nil"/>
            </w:tcBorders>
            <w:shd w:val="clear" w:color="auto" w:fill="FFFFFF"/>
            <w:vAlign w:val="center"/>
          </w:tcPr>
          <w:p w14:paraId="03115F6F"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4C86D521"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6BAB287B"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203CF132"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tcBorders>
              <w:bottom w:val="nil"/>
            </w:tcBorders>
            <w:shd w:val="clear" w:color="auto" w:fill="FFFFFF"/>
            <w:vAlign w:val="center"/>
          </w:tcPr>
          <w:p w14:paraId="5CFDBE0A"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p>
          <w:p w14:paraId="0D706C4A"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p>
          <w:p w14:paraId="2CF70084"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p>
          <w:p w14:paraId="1ADB932F"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8B4B0E">
              <w:rPr>
                <w:rFonts w:eastAsia="Calibri" w:cs="Arial"/>
                <w:b/>
                <w:color w:val="000000"/>
                <w:sz w:val="18"/>
                <w:szCs w:val="18"/>
                <w:lang w:val="en-US" w:eastAsia="en-GB"/>
              </w:rPr>
              <w:t>Unacceptable</w:t>
            </w:r>
          </w:p>
        </w:tc>
        <w:tc>
          <w:tcPr>
            <w:tcW w:w="1843" w:type="dxa"/>
            <w:tcBorders>
              <w:bottom w:val="nil"/>
            </w:tcBorders>
            <w:shd w:val="clear" w:color="auto" w:fill="FFFFFF" w:themeFill="background1"/>
            <w:vAlign w:val="center"/>
          </w:tcPr>
          <w:p w14:paraId="74AA33A2"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408BCB95"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4E0DE52D"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061DC538"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val="restart"/>
            <w:shd w:val="clear" w:color="auto" w:fill="FFFFFF" w:themeFill="background1"/>
            <w:vAlign w:val="center"/>
          </w:tcPr>
          <w:p w14:paraId="3F23AEF7"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Acceptable</w:t>
            </w:r>
          </w:p>
        </w:tc>
      </w:tr>
      <w:tr w:rsidR="00C92973" w:rsidRPr="00667B16" w14:paraId="29F90C1F"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top w:val="nil"/>
            </w:tcBorders>
            <w:shd w:val="clear" w:color="auto" w:fill="FFFFFF"/>
          </w:tcPr>
          <w:p w14:paraId="1DB30ECB" w14:textId="77777777" w:rsidR="00C92973" w:rsidRDefault="00C92973" w:rsidP="00C92973">
            <w:pPr>
              <w:autoSpaceDE w:val="0"/>
              <w:snapToGrid w:val="0"/>
              <w:spacing w:before="60" w:after="60" w:line="260" w:lineRule="atLeast"/>
              <w:rPr>
                <w:rFonts w:eastAsia="Calibri" w:cs="Arial"/>
                <w:color w:val="000000"/>
                <w:sz w:val="18"/>
                <w:szCs w:val="18"/>
                <w:u w:val="single"/>
                <w:lang w:val="en-US" w:eastAsia="en-GB"/>
              </w:rPr>
            </w:pPr>
            <w:r w:rsidRPr="00A84D03">
              <w:rPr>
                <w:rFonts w:eastAsia="Calibri" w:cs="Arial"/>
                <w:color w:val="000000"/>
                <w:sz w:val="18"/>
                <w:szCs w:val="18"/>
                <w:u w:val="single"/>
                <w:lang w:val="en-US" w:eastAsia="en-GB"/>
              </w:rPr>
              <w:t>Meta-SPC 10 (as a refinement covering all the other relevant Meta-SPC)</w:t>
            </w:r>
          </w:p>
          <w:p w14:paraId="794B4853" w14:textId="77777777" w:rsidR="00C92973" w:rsidRPr="00A84D03" w:rsidRDefault="00C92973" w:rsidP="00C92973">
            <w:pPr>
              <w:autoSpaceDE w:val="0"/>
              <w:snapToGrid w:val="0"/>
              <w:spacing w:before="60" w:after="60" w:line="260" w:lineRule="atLeast"/>
              <w:rPr>
                <w:rFonts w:eastAsia="Calibri" w:cs="Arial"/>
                <w:color w:val="000000"/>
                <w:sz w:val="18"/>
                <w:szCs w:val="18"/>
                <w:lang w:val="en-US" w:eastAsia="en-GB"/>
              </w:rPr>
            </w:pPr>
            <w:r w:rsidRPr="00A84D03">
              <w:rPr>
                <w:rFonts w:eastAsia="Calibri" w:cs="Arial"/>
                <w:color w:val="000000"/>
                <w:sz w:val="18"/>
                <w:szCs w:val="18"/>
                <w:lang w:val="en-US" w:eastAsia="en-GB"/>
              </w:rPr>
              <w:t>This scenario also covers the releases of indoor disinfection</w:t>
            </w:r>
            <w:r>
              <w:rPr>
                <w:rFonts w:eastAsia="Calibri" w:cs="Arial"/>
                <w:color w:val="000000"/>
                <w:sz w:val="18"/>
                <w:szCs w:val="18"/>
                <w:lang w:val="en-US" w:eastAsia="en-GB"/>
              </w:rPr>
              <w:t xml:space="preserve"> of animal housing</w:t>
            </w:r>
          </w:p>
        </w:tc>
        <w:tc>
          <w:tcPr>
            <w:tcW w:w="2369" w:type="dxa"/>
            <w:tcBorders>
              <w:top w:val="nil"/>
            </w:tcBorders>
            <w:shd w:val="clear" w:color="auto" w:fill="FFFFFF"/>
          </w:tcPr>
          <w:p w14:paraId="58229C66"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tcBorders>
              <w:top w:val="nil"/>
            </w:tcBorders>
            <w:shd w:val="clear" w:color="auto" w:fill="FFFFFF"/>
          </w:tcPr>
          <w:p w14:paraId="42D6E5D2"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tcBorders>
              <w:top w:val="nil"/>
            </w:tcBorders>
            <w:shd w:val="clear" w:color="auto" w:fill="FFFFFF" w:themeFill="background1"/>
          </w:tcPr>
          <w:p w14:paraId="493B914A"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0D41A239"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tc>
      </w:tr>
      <w:tr w:rsidR="00C92973" w:rsidRPr="00667B16" w14:paraId="452ABC0B"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5252C991"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PT02 </w:t>
            </w:r>
            <w:r w:rsidRPr="00667B16">
              <w:rPr>
                <w:rFonts w:eastAsia="Calibri" w:cs="Arial"/>
                <w:color w:val="000000"/>
                <w:sz w:val="18"/>
                <w:szCs w:val="18"/>
                <w:lang w:val="en-US" w:eastAsia="en-GB"/>
              </w:rPr>
              <w:t>Scenario 1</w:t>
            </w:r>
            <w:r>
              <w:rPr>
                <w:rFonts w:eastAsia="Calibri" w:cs="Arial"/>
                <w:color w:val="000000"/>
                <w:sz w:val="18"/>
                <w:szCs w:val="18"/>
                <w:lang w:val="en-US" w:eastAsia="en-GB"/>
              </w:rPr>
              <w:t>b:</w:t>
            </w:r>
            <w:r w:rsidRPr="00711870">
              <w:rPr>
                <w:color w:val="221E1F"/>
                <w:sz w:val="18"/>
                <w:szCs w:val="18"/>
                <w:lang w:val="en-US"/>
              </w:rPr>
              <w:t xml:space="preserve"> Indoor - </w:t>
            </w:r>
            <w:r w:rsidRPr="00711870">
              <w:rPr>
                <w:rFonts w:eastAsia="Calibri"/>
                <w:sz w:val="18"/>
                <w:szCs w:val="18"/>
                <w:lang w:eastAsia="en-US"/>
              </w:rPr>
              <w:t>Disinfection 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 (toilet bowls only)</w:t>
            </w:r>
          </w:p>
        </w:tc>
        <w:tc>
          <w:tcPr>
            <w:tcW w:w="2369" w:type="dxa"/>
            <w:shd w:val="clear" w:color="auto" w:fill="FFFFFF"/>
            <w:vAlign w:val="center"/>
          </w:tcPr>
          <w:p w14:paraId="4D0BA461"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52ADFBDF"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shd w:val="clear" w:color="auto" w:fill="FFFFFF" w:themeFill="background1"/>
            <w:vAlign w:val="center"/>
          </w:tcPr>
          <w:p w14:paraId="77A483A8"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7D5BC893"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tc>
      </w:tr>
      <w:tr w:rsidR="00C92973" w:rsidRPr="00667B16" w14:paraId="7A604B82"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137CC997" w14:textId="77777777" w:rsidR="00C92973" w:rsidRDefault="00C92973" w:rsidP="00C92973">
            <w:pPr>
              <w:rPr>
                <w:rFonts w:eastAsia="Calibri"/>
                <w:sz w:val="18"/>
                <w:szCs w:val="18"/>
                <w:lang w:eastAsia="en-US"/>
              </w:rPr>
            </w:pPr>
            <w:r>
              <w:rPr>
                <w:rFonts w:eastAsia="Calibri" w:cs="Arial"/>
                <w:color w:val="000000"/>
                <w:sz w:val="18"/>
                <w:szCs w:val="18"/>
                <w:lang w:val="en-US" w:eastAsia="en-GB"/>
              </w:rPr>
              <w:t xml:space="preserve">PT02 </w:t>
            </w:r>
            <w:r w:rsidRPr="00667B16">
              <w:rPr>
                <w:rFonts w:eastAsia="Calibri" w:cs="Arial"/>
                <w:color w:val="000000"/>
                <w:sz w:val="18"/>
                <w:szCs w:val="18"/>
                <w:lang w:val="en-US" w:eastAsia="en-GB"/>
              </w:rPr>
              <w:t>Scenario 2</w:t>
            </w:r>
            <w:r>
              <w:rPr>
                <w:rFonts w:eastAsia="Calibri" w:cs="Arial"/>
                <w:color w:val="000000"/>
                <w:sz w:val="18"/>
                <w:szCs w:val="18"/>
                <w:lang w:val="en-US" w:eastAsia="en-GB"/>
              </w:rPr>
              <w:t xml:space="preserve">: </w:t>
            </w:r>
            <w:r w:rsidRPr="00711870">
              <w:rPr>
                <w:color w:val="221E1F"/>
                <w:sz w:val="18"/>
                <w:szCs w:val="18"/>
                <w:lang w:val="en-US"/>
              </w:rPr>
              <w:t>Indoor - Disinfection of</w:t>
            </w:r>
            <w:r w:rsidRPr="00711870">
              <w:rPr>
                <w:rFonts w:eastAsia="Calibri"/>
                <w:sz w:val="18"/>
                <w:szCs w:val="18"/>
                <w:lang w:eastAsia="en-US"/>
              </w:rPr>
              <w:t xml:space="preserve"> industrial areas</w:t>
            </w:r>
          </w:p>
          <w:p w14:paraId="354E664B" w14:textId="77777777" w:rsidR="00C92973" w:rsidRPr="007536D6" w:rsidRDefault="00C92973" w:rsidP="00C92973">
            <w:pPr>
              <w:rPr>
                <w:rFonts w:eastAsia="Calibri"/>
                <w:sz w:val="18"/>
                <w:szCs w:val="18"/>
                <w:lang w:eastAsia="en-US"/>
              </w:rPr>
            </w:pPr>
          </w:p>
        </w:tc>
        <w:tc>
          <w:tcPr>
            <w:tcW w:w="2369" w:type="dxa"/>
            <w:shd w:val="clear" w:color="auto" w:fill="FFFFFF"/>
            <w:vAlign w:val="center"/>
          </w:tcPr>
          <w:p w14:paraId="1BB72D2E"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5D4D00B2"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shd w:val="clear" w:color="auto" w:fill="FFFFFF" w:themeFill="background1"/>
            <w:vAlign w:val="center"/>
          </w:tcPr>
          <w:p w14:paraId="6E209556"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730DFAED"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2AB609CD"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5B3DAC57"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PT02 Scenario 3: </w:t>
            </w:r>
            <w:r>
              <w:rPr>
                <w:rFonts w:eastAsia="Calibri"/>
                <w:sz w:val="18"/>
                <w:szCs w:val="18"/>
                <w:lang w:eastAsia="en-US"/>
              </w:rPr>
              <w:t>Indoor – Disinfection of rooms, furniture and objects in medical sector</w:t>
            </w:r>
          </w:p>
        </w:tc>
        <w:tc>
          <w:tcPr>
            <w:tcW w:w="2369" w:type="dxa"/>
            <w:shd w:val="clear" w:color="auto" w:fill="FFFFFF"/>
            <w:vAlign w:val="center"/>
          </w:tcPr>
          <w:p w14:paraId="68097805"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4E4E3FAB"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shd w:val="clear" w:color="auto" w:fill="FFFFFF" w:themeFill="background1"/>
            <w:vAlign w:val="center"/>
          </w:tcPr>
          <w:p w14:paraId="2AED5385"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6DA9EB55"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19F4F398"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24A2C2EF" w14:textId="0F6FC1B2"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lastRenderedPageBreak/>
              <w:t xml:space="preserve">PT02 Scenario 4: </w:t>
            </w:r>
            <w:r w:rsidRPr="00711870">
              <w:rPr>
                <w:iCs/>
                <w:sz w:val="18"/>
                <w:szCs w:val="18"/>
              </w:rPr>
              <w:t xml:space="preserve">Outdoor - </w:t>
            </w:r>
            <w:r w:rsidRPr="00711870">
              <w:rPr>
                <w:sz w:val="18"/>
                <w:szCs w:val="18"/>
              </w:rPr>
              <w:t>Disinfection of road ways indirect emission via STP</w:t>
            </w:r>
            <w:r w:rsidR="00CF0A7D">
              <w:rPr>
                <w:sz w:val="18"/>
                <w:szCs w:val="18"/>
              </w:rPr>
              <w:t xml:space="preserve"> (Meta-SPC 13)</w:t>
            </w:r>
          </w:p>
        </w:tc>
        <w:tc>
          <w:tcPr>
            <w:tcW w:w="2369" w:type="dxa"/>
            <w:shd w:val="clear" w:color="auto" w:fill="FFFFFF"/>
            <w:vAlign w:val="center"/>
          </w:tcPr>
          <w:p w14:paraId="131D0CEA"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5C85286D" w14:textId="77777777" w:rsidR="00C92973" w:rsidRPr="008B4B0E" w:rsidRDefault="00C92973" w:rsidP="00C92973">
            <w:pPr>
              <w:autoSpaceDE w:val="0"/>
              <w:snapToGrid w:val="0"/>
              <w:spacing w:before="60" w:after="60" w:line="260" w:lineRule="atLeast"/>
              <w:jc w:val="center"/>
              <w:rPr>
                <w:rFonts w:eastAsia="Calibri" w:cs="Arial"/>
                <w:b/>
                <w:color w:val="000000"/>
                <w:sz w:val="18"/>
                <w:szCs w:val="18"/>
                <w:lang w:val="en-US" w:eastAsia="en-GB"/>
              </w:rPr>
            </w:pPr>
            <w:r w:rsidRPr="008B4B0E">
              <w:rPr>
                <w:rFonts w:eastAsia="Calibri" w:cs="Arial"/>
                <w:b/>
                <w:color w:val="000000"/>
                <w:sz w:val="18"/>
                <w:szCs w:val="18"/>
                <w:lang w:val="en-US" w:eastAsia="en-GB"/>
              </w:rPr>
              <w:t>Unacceptable</w:t>
            </w:r>
          </w:p>
        </w:tc>
        <w:tc>
          <w:tcPr>
            <w:tcW w:w="1843" w:type="dxa"/>
            <w:shd w:val="clear" w:color="auto" w:fill="FFFFFF" w:themeFill="background1"/>
            <w:vAlign w:val="center"/>
          </w:tcPr>
          <w:p w14:paraId="7B6CB902"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150272A5"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18D43BC6"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bottom w:val="single" w:sz="4" w:space="0" w:color="auto"/>
            </w:tcBorders>
            <w:shd w:val="clear" w:color="auto" w:fill="FFFFFF"/>
          </w:tcPr>
          <w:p w14:paraId="6531C4EA" w14:textId="6D9438DF"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PT02 Scenario 5: </w:t>
            </w:r>
            <w:r w:rsidRPr="00711870">
              <w:rPr>
                <w:iCs/>
                <w:sz w:val="18"/>
                <w:szCs w:val="18"/>
              </w:rPr>
              <w:t xml:space="preserve">Outdoor - </w:t>
            </w:r>
            <w:r w:rsidRPr="00711870">
              <w:rPr>
                <w:sz w:val="18"/>
                <w:szCs w:val="18"/>
              </w:rPr>
              <w:t>Disinfection of road ways direct emission to surface water</w:t>
            </w:r>
            <w:r w:rsidR="00CF0A7D">
              <w:rPr>
                <w:sz w:val="18"/>
                <w:szCs w:val="18"/>
              </w:rPr>
              <w:t xml:space="preserve"> (Meta-SPC 13)</w:t>
            </w:r>
          </w:p>
        </w:tc>
        <w:tc>
          <w:tcPr>
            <w:tcW w:w="2369" w:type="dxa"/>
            <w:tcBorders>
              <w:bottom w:val="single" w:sz="4" w:space="0" w:color="auto"/>
            </w:tcBorders>
            <w:shd w:val="clear" w:color="auto" w:fill="FFFFFF"/>
            <w:vAlign w:val="center"/>
          </w:tcPr>
          <w:p w14:paraId="415C35C6"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tcBorders>
              <w:bottom w:val="single" w:sz="4" w:space="0" w:color="auto"/>
            </w:tcBorders>
            <w:shd w:val="clear" w:color="auto" w:fill="FFFFFF"/>
            <w:vAlign w:val="center"/>
          </w:tcPr>
          <w:p w14:paraId="0987D4EF" w14:textId="77777777" w:rsidR="00C92973" w:rsidRPr="008B4B0E" w:rsidRDefault="00C92973" w:rsidP="00C92973">
            <w:pPr>
              <w:autoSpaceDE w:val="0"/>
              <w:snapToGrid w:val="0"/>
              <w:spacing w:before="60" w:after="60" w:line="260" w:lineRule="atLeast"/>
              <w:jc w:val="center"/>
              <w:rPr>
                <w:rFonts w:eastAsia="Calibri" w:cs="Arial"/>
                <w:b/>
                <w:color w:val="000000"/>
                <w:sz w:val="18"/>
                <w:szCs w:val="18"/>
                <w:lang w:val="en-US" w:eastAsia="en-GB"/>
              </w:rPr>
            </w:pPr>
            <w:r w:rsidRPr="008B4B0E">
              <w:rPr>
                <w:rFonts w:eastAsia="Calibri" w:cs="Arial"/>
                <w:b/>
                <w:color w:val="000000"/>
                <w:sz w:val="18"/>
                <w:szCs w:val="18"/>
                <w:lang w:val="en-US" w:eastAsia="en-GB"/>
              </w:rPr>
              <w:t>Unacceptable</w:t>
            </w:r>
          </w:p>
        </w:tc>
        <w:tc>
          <w:tcPr>
            <w:tcW w:w="1843" w:type="dxa"/>
            <w:tcBorders>
              <w:bottom w:val="single" w:sz="4" w:space="0" w:color="auto"/>
            </w:tcBorders>
            <w:shd w:val="clear" w:color="auto" w:fill="FFFFFF" w:themeFill="background1"/>
            <w:vAlign w:val="center"/>
          </w:tcPr>
          <w:p w14:paraId="3B008CCC"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1F263BE3"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767A2747"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bottom w:val="nil"/>
            </w:tcBorders>
            <w:shd w:val="clear" w:color="auto" w:fill="FFFFFF"/>
          </w:tcPr>
          <w:p w14:paraId="2105D946" w14:textId="77777777" w:rsidR="00C92973"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PT02 Scenario 6: </w:t>
            </w:r>
            <w:r w:rsidRPr="00711870">
              <w:rPr>
                <w:sz w:val="18"/>
                <w:szCs w:val="18"/>
              </w:rPr>
              <w:t xml:space="preserve">Outdoor - Disinfection of domestic animal housing </w:t>
            </w:r>
            <w:r>
              <w:rPr>
                <w:rFonts w:eastAsia="Calibri" w:cs="Arial"/>
                <w:color w:val="000000"/>
                <w:sz w:val="18"/>
                <w:szCs w:val="18"/>
                <w:lang w:val="en-US" w:eastAsia="en-GB"/>
              </w:rPr>
              <w:t>(direct emission soil)</w:t>
            </w:r>
          </w:p>
          <w:p w14:paraId="786D0AB3"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sidRPr="001342B3">
              <w:rPr>
                <w:color w:val="221E1F"/>
                <w:sz w:val="18"/>
                <w:szCs w:val="18"/>
                <w:u w:val="single"/>
                <w:lang w:val="en-US"/>
              </w:rPr>
              <w:t>Meta-SPC 9 (absolute worst case)</w:t>
            </w:r>
          </w:p>
        </w:tc>
        <w:tc>
          <w:tcPr>
            <w:tcW w:w="2369" w:type="dxa"/>
            <w:tcBorders>
              <w:bottom w:val="nil"/>
            </w:tcBorders>
            <w:shd w:val="clear" w:color="auto" w:fill="FFFFFF"/>
            <w:vAlign w:val="center"/>
          </w:tcPr>
          <w:p w14:paraId="3CDE4308"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6F0CFDD9"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0A405EAE" w14:textId="054CD17B"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n.r.</w:t>
            </w:r>
          </w:p>
        </w:tc>
        <w:tc>
          <w:tcPr>
            <w:tcW w:w="1985" w:type="dxa"/>
            <w:tcBorders>
              <w:bottom w:val="nil"/>
            </w:tcBorders>
            <w:shd w:val="clear" w:color="auto" w:fill="FFFFFF"/>
            <w:vAlign w:val="center"/>
          </w:tcPr>
          <w:p w14:paraId="0377C7A3"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1674F056"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627CF12E" w14:textId="71850099"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n.r.</w:t>
            </w:r>
          </w:p>
        </w:tc>
        <w:tc>
          <w:tcPr>
            <w:tcW w:w="1843" w:type="dxa"/>
            <w:tcBorders>
              <w:bottom w:val="nil"/>
            </w:tcBorders>
            <w:shd w:val="clear" w:color="auto" w:fill="FFFFFF" w:themeFill="background1"/>
            <w:vAlign w:val="center"/>
          </w:tcPr>
          <w:p w14:paraId="666D4B41"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p>
          <w:p w14:paraId="32FDBCAB" w14:textId="77777777" w:rsidR="00C92973" w:rsidRDefault="00C92973" w:rsidP="00C92973">
            <w:pPr>
              <w:autoSpaceDE w:val="0"/>
              <w:snapToGrid w:val="0"/>
              <w:spacing w:before="60" w:after="60" w:line="260" w:lineRule="atLeast"/>
              <w:jc w:val="center"/>
              <w:rPr>
                <w:rFonts w:eastAsia="Calibri" w:cs="Arial"/>
                <w:b/>
                <w:color w:val="000000"/>
                <w:sz w:val="18"/>
                <w:szCs w:val="18"/>
                <w:lang w:val="en-US" w:eastAsia="en-GB"/>
              </w:rPr>
            </w:pPr>
          </w:p>
          <w:p w14:paraId="6E3D65D9" w14:textId="3695FC53" w:rsidR="00C92973" w:rsidRPr="00E07531" w:rsidRDefault="00C92973" w:rsidP="00C92973">
            <w:pPr>
              <w:autoSpaceDE w:val="0"/>
              <w:snapToGrid w:val="0"/>
              <w:spacing w:before="60" w:after="60" w:line="260" w:lineRule="atLeast"/>
              <w:jc w:val="center"/>
              <w:rPr>
                <w:rFonts w:eastAsia="Calibri" w:cs="Arial"/>
                <w:b/>
                <w:color w:val="000000"/>
                <w:sz w:val="18"/>
                <w:szCs w:val="18"/>
                <w:lang w:val="en-US" w:eastAsia="en-GB"/>
              </w:rPr>
            </w:pPr>
            <w:r w:rsidRPr="008B4B0E">
              <w:rPr>
                <w:rFonts w:eastAsia="Calibri" w:cs="Arial"/>
                <w:b/>
                <w:color w:val="000000"/>
                <w:sz w:val="18"/>
                <w:szCs w:val="18"/>
                <w:lang w:val="en-US" w:eastAsia="en-GB"/>
              </w:rPr>
              <w:t>Unacceptable</w:t>
            </w:r>
          </w:p>
        </w:tc>
        <w:tc>
          <w:tcPr>
            <w:tcW w:w="3528" w:type="dxa"/>
            <w:vMerge/>
            <w:shd w:val="clear" w:color="auto" w:fill="FFFFFF" w:themeFill="background1"/>
            <w:vAlign w:val="center"/>
          </w:tcPr>
          <w:p w14:paraId="44792480"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33CF134B"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top w:val="nil"/>
              <w:bottom w:val="single" w:sz="4" w:space="0" w:color="auto"/>
            </w:tcBorders>
            <w:shd w:val="clear" w:color="auto" w:fill="FFFFFF"/>
          </w:tcPr>
          <w:p w14:paraId="4741B465" w14:textId="77777777" w:rsidR="00C92973" w:rsidRPr="00165D86" w:rsidRDefault="00C92973" w:rsidP="00C92973">
            <w:pPr>
              <w:autoSpaceDE w:val="0"/>
              <w:snapToGrid w:val="0"/>
              <w:spacing w:before="60" w:after="60" w:line="260" w:lineRule="atLeast"/>
              <w:rPr>
                <w:rFonts w:eastAsia="Calibri" w:cs="Arial"/>
                <w:color w:val="000000"/>
                <w:sz w:val="18"/>
                <w:szCs w:val="18"/>
                <w:u w:val="single"/>
                <w:lang w:val="en-US" w:eastAsia="en-GB"/>
              </w:rPr>
            </w:pPr>
            <w:r w:rsidRPr="001342B3">
              <w:rPr>
                <w:rFonts w:eastAsia="Calibri" w:cs="Arial"/>
                <w:color w:val="000000"/>
                <w:sz w:val="18"/>
                <w:szCs w:val="18"/>
                <w:u w:val="single"/>
                <w:lang w:val="en-US" w:eastAsia="en-GB"/>
              </w:rPr>
              <w:t>Meta-SPC 10 (as a refinement)</w:t>
            </w:r>
          </w:p>
        </w:tc>
        <w:tc>
          <w:tcPr>
            <w:tcW w:w="2369" w:type="dxa"/>
            <w:tcBorders>
              <w:top w:val="nil"/>
              <w:bottom w:val="single" w:sz="4" w:space="0" w:color="auto"/>
            </w:tcBorders>
            <w:shd w:val="clear" w:color="auto" w:fill="FFFFFF"/>
            <w:vAlign w:val="center"/>
          </w:tcPr>
          <w:p w14:paraId="3EB26C38"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n.r.</w:t>
            </w:r>
          </w:p>
        </w:tc>
        <w:tc>
          <w:tcPr>
            <w:tcW w:w="1985" w:type="dxa"/>
            <w:tcBorders>
              <w:top w:val="nil"/>
              <w:bottom w:val="single" w:sz="4" w:space="0" w:color="auto"/>
            </w:tcBorders>
            <w:shd w:val="clear" w:color="auto" w:fill="FFFFFF"/>
            <w:vAlign w:val="center"/>
          </w:tcPr>
          <w:p w14:paraId="5DEE7EE7"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Pr>
                <w:rFonts w:eastAsia="Calibri" w:cs="Arial"/>
                <w:color w:val="000000"/>
                <w:sz w:val="18"/>
                <w:szCs w:val="18"/>
                <w:lang w:val="en-US" w:eastAsia="en-GB"/>
              </w:rPr>
              <w:t>n.r.</w:t>
            </w:r>
          </w:p>
        </w:tc>
        <w:tc>
          <w:tcPr>
            <w:tcW w:w="1843" w:type="dxa"/>
            <w:tcBorders>
              <w:top w:val="nil"/>
              <w:bottom w:val="single" w:sz="4" w:space="0" w:color="auto"/>
            </w:tcBorders>
            <w:shd w:val="clear" w:color="auto" w:fill="FFFFFF" w:themeFill="background1"/>
            <w:vAlign w:val="center"/>
          </w:tcPr>
          <w:p w14:paraId="2187469A" w14:textId="77777777" w:rsidR="00C92973" w:rsidRPr="00165D8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tcBorders>
              <w:bottom w:val="single" w:sz="4" w:space="0" w:color="auto"/>
            </w:tcBorders>
            <w:shd w:val="clear" w:color="auto" w:fill="FFFFFF" w:themeFill="background1"/>
            <w:vAlign w:val="center"/>
          </w:tcPr>
          <w:p w14:paraId="5DAC3DE3"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6795CC21"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bottom w:val="nil"/>
            </w:tcBorders>
            <w:shd w:val="clear" w:color="auto" w:fill="FFFFFF"/>
          </w:tcPr>
          <w:p w14:paraId="2A23F851" w14:textId="77777777" w:rsidR="00C92973"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PT02 Scenario 6: </w:t>
            </w:r>
            <w:r w:rsidRPr="00711870">
              <w:rPr>
                <w:sz w:val="18"/>
                <w:szCs w:val="18"/>
              </w:rPr>
              <w:t>Outdoor - Disinfection of domestic animal housing</w:t>
            </w:r>
            <w:r>
              <w:rPr>
                <w:rFonts w:eastAsia="Calibri" w:cs="Arial"/>
                <w:color w:val="000000"/>
                <w:sz w:val="18"/>
                <w:szCs w:val="18"/>
                <w:lang w:val="en-US" w:eastAsia="en-GB"/>
              </w:rPr>
              <w:t xml:space="preserve"> (indirect emission via STP)</w:t>
            </w:r>
          </w:p>
          <w:p w14:paraId="40FA0D9F"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sidRPr="001342B3">
              <w:rPr>
                <w:color w:val="221E1F"/>
                <w:sz w:val="18"/>
                <w:szCs w:val="18"/>
                <w:u w:val="single"/>
                <w:lang w:val="en-US"/>
              </w:rPr>
              <w:t>Meta-SPC 9 (absolute worst case)</w:t>
            </w:r>
          </w:p>
        </w:tc>
        <w:tc>
          <w:tcPr>
            <w:tcW w:w="2369" w:type="dxa"/>
            <w:tcBorders>
              <w:bottom w:val="nil"/>
            </w:tcBorders>
            <w:shd w:val="clear" w:color="auto" w:fill="FFFFFF"/>
            <w:vAlign w:val="center"/>
          </w:tcPr>
          <w:p w14:paraId="6D2CA5F8"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6AA271A8"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28C4568A"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53E97091" w14:textId="72E3D08B"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tcBorders>
              <w:bottom w:val="nil"/>
            </w:tcBorders>
            <w:shd w:val="clear" w:color="auto" w:fill="FFFFFF"/>
            <w:vAlign w:val="center"/>
          </w:tcPr>
          <w:p w14:paraId="30C57F76" w14:textId="77777777" w:rsidR="00C92973" w:rsidRDefault="00C92973" w:rsidP="00337F3C">
            <w:pPr>
              <w:autoSpaceDE w:val="0"/>
              <w:snapToGrid w:val="0"/>
              <w:spacing w:before="60" w:after="60" w:line="260" w:lineRule="atLeast"/>
              <w:jc w:val="center"/>
              <w:rPr>
                <w:rFonts w:eastAsia="Calibri" w:cs="Arial"/>
                <w:b/>
                <w:color w:val="000000"/>
                <w:sz w:val="18"/>
                <w:szCs w:val="18"/>
                <w:lang w:val="en-US" w:eastAsia="en-GB"/>
              </w:rPr>
            </w:pPr>
          </w:p>
          <w:p w14:paraId="66319B84" w14:textId="77777777" w:rsidR="00C92973" w:rsidRDefault="00C92973" w:rsidP="00337F3C">
            <w:pPr>
              <w:autoSpaceDE w:val="0"/>
              <w:snapToGrid w:val="0"/>
              <w:spacing w:before="60" w:after="60" w:line="260" w:lineRule="atLeast"/>
              <w:jc w:val="center"/>
              <w:rPr>
                <w:rFonts w:eastAsia="Calibri" w:cs="Arial"/>
                <w:b/>
                <w:color w:val="000000"/>
                <w:sz w:val="18"/>
                <w:szCs w:val="18"/>
                <w:lang w:val="en-US" w:eastAsia="en-GB"/>
              </w:rPr>
            </w:pPr>
          </w:p>
          <w:p w14:paraId="6AD81FF2" w14:textId="77777777" w:rsidR="00C92973" w:rsidRDefault="00C92973" w:rsidP="005B6CA6">
            <w:pPr>
              <w:autoSpaceDE w:val="0"/>
              <w:snapToGrid w:val="0"/>
              <w:spacing w:before="60" w:after="60" w:line="260" w:lineRule="atLeast"/>
              <w:jc w:val="center"/>
              <w:rPr>
                <w:rFonts w:eastAsia="Calibri" w:cs="Arial"/>
                <w:b/>
                <w:color w:val="000000"/>
                <w:sz w:val="18"/>
                <w:szCs w:val="18"/>
                <w:lang w:val="en-US" w:eastAsia="en-GB"/>
              </w:rPr>
            </w:pPr>
          </w:p>
          <w:p w14:paraId="6250D13F" w14:textId="07B2A106" w:rsidR="00C92973" w:rsidRPr="00667B16" w:rsidRDefault="00C92973" w:rsidP="005B6CA6">
            <w:pPr>
              <w:autoSpaceDE w:val="0"/>
              <w:snapToGrid w:val="0"/>
              <w:spacing w:before="60" w:after="60" w:line="260" w:lineRule="atLeast"/>
              <w:jc w:val="center"/>
              <w:rPr>
                <w:rFonts w:eastAsia="Calibri" w:cs="Arial"/>
                <w:color w:val="000000"/>
                <w:sz w:val="18"/>
                <w:szCs w:val="18"/>
                <w:lang w:val="en-US" w:eastAsia="en-GB"/>
              </w:rPr>
            </w:pPr>
            <w:r w:rsidRPr="008B4B0E">
              <w:rPr>
                <w:rFonts w:eastAsia="Calibri" w:cs="Arial"/>
                <w:b/>
                <w:color w:val="000000"/>
                <w:sz w:val="18"/>
                <w:szCs w:val="18"/>
                <w:lang w:val="en-US" w:eastAsia="en-GB"/>
              </w:rPr>
              <w:t>Unacceptable</w:t>
            </w:r>
          </w:p>
        </w:tc>
        <w:tc>
          <w:tcPr>
            <w:tcW w:w="1843" w:type="dxa"/>
            <w:tcBorders>
              <w:bottom w:val="nil"/>
            </w:tcBorders>
            <w:shd w:val="clear" w:color="auto" w:fill="FFFFFF" w:themeFill="background1"/>
            <w:vAlign w:val="center"/>
          </w:tcPr>
          <w:p w14:paraId="639D69E2"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2AEEF71F"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4F537F99" w14:textId="77777777" w:rsidR="00C92973" w:rsidRDefault="00C92973" w:rsidP="00C92973">
            <w:pPr>
              <w:autoSpaceDE w:val="0"/>
              <w:snapToGrid w:val="0"/>
              <w:spacing w:before="60" w:after="60" w:line="260" w:lineRule="atLeast"/>
              <w:jc w:val="center"/>
              <w:rPr>
                <w:rFonts w:eastAsia="Calibri" w:cs="Arial"/>
                <w:color w:val="000000"/>
                <w:sz w:val="18"/>
                <w:szCs w:val="18"/>
                <w:lang w:val="en-US" w:eastAsia="en-GB"/>
              </w:rPr>
            </w:pPr>
          </w:p>
          <w:p w14:paraId="51783793" w14:textId="26B02A4C"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tcBorders>
              <w:bottom w:val="nil"/>
            </w:tcBorders>
            <w:shd w:val="clear" w:color="auto" w:fill="FFFFFF" w:themeFill="background1"/>
            <w:vAlign w:val="center"/>
          </w:tcPr>
          <w:p w14:paraId="0BF8EC81"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304F4FEB"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tcBorders>
              <w:top w:val="nil"/>
            </w:tcBorders>
            <w:shd w:val="clear" w:color="auto" w:fill="FFFFFF"/>
          </w:tcPr>
          <w:p w14:paraId="78C501D3" w14:textId="77777777" w:rsidR="00C92973" w:rsidRPr="00165D86" w:rsidRDefault="00C92973" w:rsidP="00C92973">
            <w:pPr>
              <w:autoSpaceDE w:val="0"/>
              <w:snapToGrid w:val="0"/>
              <w:spacing w:before="60" w:after="60" w:line="260" w:lineRule="atLeast"/>
              <w:rPr>
                <w:rFonts w:eastAsia="Calibri" w:cs="Arial"/>
                <w:color w:val="000000"/>
                <w:sz w:val="18"/>
                <w:szCs w:val="18"/>
                <w:u w:val="single"/>
                <w:lang w:val="en-US" w:eastAsia="en-GB"/>
              </w:rPr>
            </w:pPr>
            <w:r w:rsidRPr="001342B3">
              <w:rPr>
                <w:rFonts w:eastAsia="Calibri" w:cs="Arial"/>
                <w:color w:val="000000"/>
                <w:sz w:val="18"/>
                <w:szCs w:val="18"/>
                <w:u w:val="single"/>
                <w:lang w:val="en-US" w:eastAsia="en-GB"/>
              </w:rPr>
              <w:t>Meta-SPC 10 (as a refinement)</w:t>
            </w:r>
          </w:p>
        </w:tc>
        <w:tc>
          <w:tcPr>
            <w:tcW w:w="2369" w:type="dxa"/>
            <w:tcBorders>
              <w:top w:val="nil"/>
            </w:tcBorders>
            <w:shd w:val="clear" w:color="auto" w:fill="FFFFFF"/>
            <w:vAlign w:val="center"/>
          </w:tcPr>
          <w:p w14:paraId="38E3F4D0"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tcBorders>
              <w:top w:val="nil"/>
            </w:tcBorders>
            <w:shd w:val="clear" w:color="auto" w:fill="FFFFFF"/>
            <w:vAlign w:val="center"/>
          </w:tcPr>
          <w:p w14:paraId="0352F8FA" w14:textId="09051CBC" w:rsidR="00C92973" w:rsidRPr="00667B16" w:rsidRDefault="00C92973" w:rsidP="00337F3C">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tcBorders>
              <w:top w:val="nil"/>
            </w:tcBorders>
            <w:shd w:val="clear" w:color="auto" w:fill="FFFFFF" w:themeFill="background1"/>
            <w:vAlign w:val="center"/>
          </w:tcPr>
          <w:p w14:paraId="212635B6"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tcBorders>
              <w:top w:val="nil"/>
            </w:tcBorders>
            <w:shd w:val="clear" w:color="auto" w:fill="FFFFFF" w:themeFill="background1"/>
            <w:vAlign w:val="center"/>
          </w:tcPr>
          <w:p w14:paraId="51E74502"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78CA85D3"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6DB9BD50"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 xml:space="preserve">PT04 Scenario 7: </w:t>
            </w:r>
            <w:r w:rsidRPr="00711870">
              <w:rPr>
                <w:rFonts w:eastAsia="Calibri"/>
                <w:sz w:val="18"/>
                <w:szCs w:val="18"/>
                <w:lang w:eastAsia="en-US"/>
              </w:rPr>
              <w:t>Indoor - Private use of disinfectants used in food and feed areas</w:t>
            </w:r>
          </w:p>
        </w:tc>
        <w:tc>
          <w:tcPr>
            <w:tcW w:w="2369" w:type="dxa"/>
            <w:shd w:val="clear" w:color="auto" w:fill="FFFFFF"/>
            <w:vAlign w:val="center"/>
          </w:tcPr>
          <w:p w14:paraId="09A0A931"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2D332DBE" w14:textId="0665C9BB" w:rsidR="00C92973" w:rsidRPr="00667B16" w:rsidRDefault="00C92973" w:rsidP="00337F3C">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shd w:val="clear" w:color="auto" w:fill="FFFFFF" w:themeFill="background1"/>
            <w:vAlign w:val="center"/>
          </w:tcPr>
          <w:p w14:paraId="1F6EA6C5"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730097C0" w14:textId="77777777" w:rsidR="00C92973" w:rsidRPr="0090117E" w:rsidRDefault="00C92973" w:rsidP="00C92973">
            <w:pPr>
              <w:autoSpaceDE w:val="0"/>
              <w:spacing w:before="60" w:after="60"/>
              <w:jc w:val="center"/>
              <w:rPr>
                <w:rFonts w:ascii="Times New Roman" w:hAnsi="Times New Roman" w:cs="Times New Roman"/>
                <w:lang w:eastAsia="en-GB"/>
              </w:rPr>
            </w:pPr>
          </w:p>
        </w:tc>
      </w:tr>
      <w:tr w:rsidR="00C92973" w:rsidRPr="00667B16" w14:paraId="778B2A51" w14:textId="77777777" w:rsidTr="00DD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409" w:type="dxa"/>
            <w:shd w:val="clear" w:color="auto" w:fill="FFFFFF"/>
          </w:tcPr>
          <w:p w14:paraId="0C7CF135" w14:textId="77777777" w:rsidR="00C92973" w:rsidRPr="00667B16" w:rsidRDefault="00C92973" w:rsidP="00C92973">
            <w:pPr>
              <w:autoSpaceDE w:val="0"/>
              <w:snapToGrid w:val="0"/>
              <w:spacing w:before="60" w:after="60" w:line="260" w:lineRule="atLeast"/>
              <w:rPr>
                <w:rFonts w:eastAsia="Calibri" w:cs="Arial"/>
                <w:color w:val="000000"/>
                <w:sz w:val="18"/>
                <w:szCs w:val="18"/>
                <w:lang w:val="en-US" w:eastAsia="en-GB"/>
              </w:rPr>
            </w:pPr>
            <w:r>
              <w:rPr>
                <w:rFonts w:eastAsia="Calibri" w:cs="Arial"/>
                <w:color w:val="000000"/>
                <w:sz w:val="18"/>
                <w:szCs w:val="18"/>
                <w:lang w:val="en-US" w:eastAsia="en-GB"/>
              </w:rPr>
              <w:t>PT04 Scenario 8</w:t>
            </w:r>
            <w:r w:rsidRPr="00711870">
              <w:rPr>
                <w:sz w:val="18"/>
                <w:szCs w:val="18"/>
              </w:rPr>
              <w:t xml:space="preserve"> Indoor - Disinfection of large scale </w:t>
            </w:r>
            <w:r>
              <w:rPr>
                <w:sz w:val="18"/>
                <w:szCs w:val="18"/>
              </w:rPr>
              <w:t>feed and food areas</w:t>
            </w:r>
          </w:p>
        </w:tc>
        <w:tc>
          <w:tcPr>
            <w:tcW w:w="2369" w:type="dxa"/>
            <w:shd w:val="clear" w:color="auto" w:fill="FFFFFF"/>
            <w:vAlign w:val="center"/>
          </w:tcPr>
          <w:p w14:paraId="303E33FB"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985" w:type="dxa"/>
            <w:shd w:val="clear" w:color="auto" w:fill="FFFFFF"/>
            <w:vAlign w:val="center"/>
          </w:tcPr>
          <w:p w14:paraId="4F26106B" w14:textId="420E569D" w:rsidR="00C92973" w:rsidRPr="00667B16" w:rsidRDefault="00C92973" w:rsidP="00337F3C">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1843" w:type="dxa"/>
            <w:shd w:val="clear" w:color="auto" w:fill="FFFFFF" w:themeFill="background1"/>
            <w:vAlign w:val="center"/>
          </w:tcPr>
          <w:p w14:paraId="0250B257" w14:textId="77777777" w:rsidR="00C92973" w:rsidRPr="00667B16" w:rsidRDefault="00C92973" w:rsidP="00C92973">
            <w:pPr>
              <w:autoSpaceDE w:val="0"/>
              <w:snapToGrid w:val="0"/>
              <w:spacing w:before="60" w:after="60" w:line="260" w:lineRule="atLeast"/>
              <w:jc w:val="center"/>
              <w:rPr>
                <w:rFonts w:eastAsia="Calibri" w:cs="Arial"/>
                <w:color w:val="000000"/>
                <w:sz w:val="18"/>
                <w:szCs w:val="18"/>
                <w:lang w:val="en-US" w:eastAsia="en-GB"/>
              </w:rPr>
            </w:pPr>
            <w:r w:rsidRPr="00667B16">
              <w:rPr>
                <w:rFonts w:eastAsia="Calibri" w:cs="Arial"/>
                <w:color w:val="000000"/>
                <w:sz w:val="18"/>
                <w:szCs w:val="18"/>
                <w:lang w:val="en-US" w:eastAsia="en-GB"/>
              </w:rPr>
              <w:t>Acceptable</w:t>
            </w:r>
          </w:p>
        </w:tc>
        <w:tc>
          <w:tcPr>
            <w:tcW w:w="3528" w:type="dxa"/>
            <w:vMerge/>
            <w:shd w:val="clear" w:color="auto" w:fill="FFFFFF" w:themeFill="background1"/>
            <w:vAlign w:val="center"/>
          </w:tcPr>
          <w:p w14:paraId="6CD6626F" w14:textId="77777777" w:rsidR="00C92973" w:rsidRPr="0090117E" w:rsidRDefault="00C92973" w:rsidP="00C92973">
            <w:pPr>
              <w:autoSpaceDE w:val="0"/>
              <w:spacing w:before="60" w:after="60"/>
              <w:jc w:val="center"/>
              <w:rPr>
                <w:rFonts w:ascii="Times New Roman" w:hAnsi="Times New Roman" w:cs="Times New Roman"/>
                <w:lang w:eastAsia="en-GB"/>
              </w:rPr>
            </w:pPr>
          </w:p>
        </w:tc>
      </w:tr>
    </w:tbl>
    <w:p w14:paraId="51F66248" w14:textId="77777777" w:rsidR="00CC32E9" w:rsidRPr="00B27CB1" w:rsidRDefault="00CC32E9" w:rsidP="00CC32E9">
      <w:pPr>
        <w:spacing w:line="260" w:lineRule="atLeast"/>
        <w:jc w:val="both"/>
        <w:rPr>
          <w:rFonts w:eastAsia="Calibri"/>
          <w:i/>
          <w:lang w:eastAsia="en-US"/>
        </w:rPr>
      </w:pPr>
    </w:p>
    <w:p w14:paraId="01915B60" w14:textId="77777777" w:rsidR="00CC32E9" w:rsidRPr="00B27CB1" w:rsidRDefault="00CC32E9" w:rsidP="00CC32E9">
      <w:pPr>
        <w:spacing w:line="260" w:lineRule="atLeast"/>
        <w:rPr>
          <w:rFonts w:eastAsia="Calibri"/>
          <w:lang w:eastAsia="en-US"/>
        </w:rPr>
      </w:pPr>
    </w:p>
    <w:tbl>
      <w:tblPr>
        <w:tblStyle w:val="Grilledutableau"/>
        <w:tblW w:w="5000" w:type="pct"/>
        <w:jc w:val="center"/>
        <w:tblInd w:w="0" w:type="dxa"/>
        <w:tblLook w:val="04A0" w:firstRow="1" w:lastRow="0" w:firstColumn="1" w:lastColumn="0" w:noHBand="0" w:noVBand="1"/>
      </w:tblPr>
      <w:tblGrid>
        <w:gridCol w:w="1334"/>
        <w:gridCol w:w="843"/>
        <w:gridCol w:w="1452"/>
        <w:gridCol w:w="3765"/>
        <w:gridCol w:w="2975"/>
        <w:gridCol w:w="2972"/>
      </w:tblGrid>
      <w:tr w:rsidR="00730EAA" w14:paraId="26CAC48E" w14:textId="08503D41" w:rsidTr="009D6BF5">
        <w:trPr>
          <w:trHeight w:val="479"/>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706CBD75" w14:textId="6D60F8AB" w:rsidR="00730EAA" w:rsidRPr="00711870" w:rsidRDefault="00730EAA" w:rsidP="00165D86">
            <w:pPr>
              <w:jc w:val="center"/>
              <w:rPr>
                <w:b/>
                <w:color w:val="17365D" w:themeColor="text2" w:themeShade="BF"/>
                <w:sz w:val="18"/>
                <w:szCs w:val="18"/>
              </w:rPr>
            </w:pPr>
            <w:r w:rsidRPr="00711870">
              <w:rPr>
                <w:b/>
                <w:color w:val="17365D" w:themeColor="text2" w:themeShade="BF"/>
                <w:sz w:val="18"/>
                <w:szCs w:val="18"/>
              </w:rPr>
              <w:t>Meta-SPC</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D3109" w14:textId="77777777" w:rsidR="00730EAA" w:rsidRPr="00711870" w:rsidRDefault="00730EAA" w:rsidP="00165D86">
            <w:pPr>
              <w:jc w:val="center"/>
              <w:rPr>
                <w:b/>
                <w:sz w:val="18"/>
                <w:szCs w:val="18"/>
              </w:rPr>
            </w:pPr>
            <w:r w:rsidRPr="00711870">
              <w:rPr>
                <w:b/>
                <w:sz w:val="18"/>
                <w:szCs w:val="18"/>
              </w:rPr>
              <w:t>PT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3EDFBE" w14:textId="77777777" w:rsidR="00730EAA" w:rsidRPr="00711870" w:rsidRDefault="00730EAA" w:rsidP="00165D86">
            <w:pPr>
              <w:jc w:val="center"/>
              <w:rPr>
                <w:b/>
                <w:sz w:val="18"/>
                <w:szCs w:val="18"/>
                <w:lang w:val="en-US"/>
              </w:rPr>
            </w:pPr>
            <w:r w:rsidRPr="00711870">
              <w:rPr>
                <w:b/>
                <w:sz w:val="18"/>
                <w:szCs w:val="18"/>
                <w:lang w:val="en-US"/>
              </w:rPr>
              <w:t>Claimed use</w:t>
            </w:r>
            <w:r>
              <w:rPr>
                <w:b/>
                <w:sz w:val="18"/>
                <w:szCs w:val="18"/>
                <w:lang w:val="en-US"/>
              </w:rPr>
              <w:t xml:space="preserve"> from SPC</w:t>
            </w:r>
          </w:p>
        </w:tc>
        <w:tc>
          <w:tcPr>
            <w:tcW w:w="1411" w:type="pct"/>
            <w:tcBorders>
              <w:top w:val="single" w:sz="4" w:space="0" w:color="auto"/>
              <w:left w:val="single" w:sz="4" w:space="0" w:color="auto"/>
              <w:bottom w:val="single" w:sz="4" w:space="0" w:color="auto"/>
              <w:right w:val="single" w:sz="4" w:space="0" w:color="auto"/>
            </w:tcBorders>
            <w:vAlign w:val="center"/>
            <w:hideMark/>
          </w:tcPr>
          <w:p w14:paraId="401A3BB6" w14:textId="77777777" w:rsidR="00730EAA" w:rsidRPr="00711870" w:rsidRDefault="00730EAA" w:rsidP="00165D86">
            <w:pPr>
              <w:jc w:val="center"/>
              <w:rPr>
                <w:b/>
                <w:sz w:val="18"/>
                <w:szCs w:val="18"/>
              </w:rPr>
            </w:pPr>
            <w:r w:rsidRPr="00711870">
              <w:rPr>
                <w:b/>
                <w:sz w:val="18"/>
                <w:szCs w:val="18"/>
              </w:rPr>
              <w:t>Description of use</w:t>
            </w:r>
          </w:p>
        </w:tc>
        <w:tc>
          <w:tcPr>
            <w:tcW w:w="1115" w:type="pct"/>
            <w:tcBorders>
              <w:top w:val="single" w:sz="4" w:space="0" w:color="auto"/>
              <w:left w:val="single" w:sz="4" w:space="0" w:color="auto"/>
              <w:bottom w:val="single" w:sz="4" w:space="0" w:color="auto"/>
              <w:right w:val="single" w:sz="4" w:space="0" w:color="auto"/>
            </w:tcBorders>
            <w:vAlign w:val="center"/>
            <w:hideMark/>
          </w:tcPr>
          <w:p w14:paraId="49719E17" w14:textId="77777777" w:rsidR="00730EAA" w:rsidRPr="00711870" w:rsidRDefault="00730EAA" w:rsidP="00165D86">
            <w:pPr>
              <w:spacing w:after="120"/>
              <w:jc w:val="center"/>
              <w:rPr>
                <w:rFonts w:cstheme="minorHAnsi"/>
                <w:b/>
                <w:color w:val="221E1F"/>
                <w:sz w:val="18"/>
                <w:szCs w:val="18"/>
                <w:lang w:val="en-US"/>
              </w:rPr>
            </w:pPr>
            <w:r w:rsidRPr="00711870">
              <w:rPr>
                <w:rFonts w:cstheme="minorHAnsi"/>
                <w:b/>
                <w:color w:val="221E1F"/>
                <w:sz w:val="18"/>
                <w:szCs w:val="18"/>
                <w:lang w:val="en-US"/>
              </w:rPr>
              <w:t>Covered by</w:t>
            </w:r>
          </w:p>
        </w:tc>
        <w:tc>
          <w:tcPr>
            <w:tcW w:w="1114" w:type="pct"/>
            <w:tcBorders>
              <w:top w:val="single" w:sz="4" w:space="0" w:color="auto"/>
              <w:left w:val="single" w:sz="4" w:space="0" w:color="auto"/>
              <w:bottom w:val="single" w:sz="4" w:space="0" w:color="auto"/>
              <w:right w:val="single" w:sz="4" w:space="0" w:color="auto"/>
            </w:tcBorders>
            <w:vAlign w:val="center"/>
          </w:tcPr>
          <w:p w14:paraId="094AA781" w14:textId="390EF8B3" w:rsidR="00730EAA" w:rsidRPr="00711870" w:rsidRDefault="00730EAA">
            <w:pPr>
              <w:spacing w:after="120"/>
              <w:jc w:val="center"/>
              <w:rPr>
                <w:rFonts w:cstheme="minorHAnsi"/>
                <w:b/>
                <w:color w:val="221E1F"/>
                <w:sz w:val="18"/>
                <w:szCs w:val="18"/>
                <w:lang w:val="en-US"/>
              </w:rPr>
            </w:pPr>
            <w:r>
              <w:rPr>
                <w:rFonts w:cstheme="minorHAnsi"/>
                <w:b/>
                <w:color w:val="221E1F"/>
                <w:sz w:val="18"/>
                <w:szCs w:val="18"/>
                <w:lang w:val="en-US"/>
              </w:rPr>
              <w:t>Conclusions</w:t>
            </w:r>
          </w:p>
        </w:tc>
      </w:tr>
      <w:tr w:rsidR="00730EAA" w:rsidRPr="002D6BBB" w14:paraId="5D3CF4F8" w14:textId="30554A59" w:rsidTr="00DD2106">
        <w:trPr>
          <w:trHeight w:val="479"/>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4BE33A27" w14:textId="77777777" w:rsidR="00730EAA" w:rsidRPr="00711870" w:rsidRDefault="00730EAA" w:rsidP="00165D86">
            <w:pPr>
              <w:jc w:val="center"/>
              <w:rPr>
                <w:color w:val="17365D" w:themeColor="text2" w:themeShade="BF"/>
                <w:sz w:val="18"/>
                <w:szCs w:val="18"/>
              </w:rPr>
            </w:pPr>
            <w:r w:rsidRPr="00711870">
              <w:rPr>
                <w:color w:val="17365D" w:themeColor="text2" w:themeShade="BF"/>
                <w:sz w:val="18"/>
                <w:szCs w:val="18"/>
                <w:lang w:val="en-US"/>
              </w:rPr>
              <w:t>1</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3AB758" w14:textId="77777777" w:rsidR="00730EAA" w:rsidRPr="00711870" w:rsidRDefault="00730EAA" w:rsidP="00165D86">
            <w:pPr>
              <w:jc w:val="center"/>
              <w:rPr>
                <w:sz w:val="18"/>
                <w:szCs w:val="18"/>
              </w:rPr>
            </w:pPr>
            <w:r w:rsidRPr="00711870">
              <w:rPr>
                <w:sz w:val="18"/>
                <w:szCs w:val="18"/>
              </w:rPr>
              <w:t>2</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88841" w14:textId="77777777" w:rsidR="00730EAA" w:rsidRPr="00711870" w:rsidRDefault="00730EAA" w:rsidP="00165D86">
            <w:pPr>
              <w:jc w:val="center"/>
              <w:rPr>
                <w:sz w:val="18"/>
                <w:szCs w:val="18"/>
                <w:lang w:val="en-US"/>
              </w:rPr>
            </w:pPr>
            <w:r w:rsidRPr="00711870">
              <w:rPr>
                <w:sz w:val="18"/>
                <w:szCs w:val="18"/>
                <w:lang w:val="en-US"/>
              </w:rPr>
              <w:t>1.1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40B004EC" w14:textId="77777777" w:rsidR="00730EAA" w:rsidRPr="00711870" w:rsidRDefault="00730EAA" w:rsidP="00165D86">
            <w:pPr>
              <w:rPr>
                <w:sz w:val="18"/>
                <w:szCs w:val="18"/>
              </w:rPr>
            </w:pPr>
            <w:r>
              <w:rPr>
                <w:sz w:val="18"/>
                <w:szCs w:val="18"/>
                <w:lang w:val="en-US"/>
              </w:rPr>
              <w:t>PT2 - RTU p</w:t>
            </w:r>
            <w:r w:rsidRPr="00047A32">
              <w:rPr>
                <w:sz w:val="18"/>
                <w:szCs w:val="18"/>
              </w:rPr>
              <w:t>roduct used for the disinfection of households surfaces including toilets bowls</w:t>
            </w:r>
            <w:r w:rsidRPr="00711870" w:rsidDel="00BA238F">
              <w:rPr>
                <w:sz w:val="18"/>
                <w:szCs w:val="18"/>
              </w:rPr>
              <w:t xml:space="preserve"> </w:t>
            </w:r>
            <w:r w:rsidRPr="00711870">
              <w:rPr>
                <w:sz w:val="18"/>
                <w:szCs w:val="18"/>
              </w:rPr>
              <w:t>(non-pro)</w:t>
            </w:r>
          </w:p>
        </w:tc>
        <w:tc>
          <w:tcPr>
            <w:tcW w:w="1115" w:type="pct"/>
            <w:tcBorders>
              <w:top w:val="single" w:sz="4" w:space="0" w:color="auto"/>
              <w:left w:val="single" w:sz="4" w:space="0" w:color="auto"/>
              <w:bottom w:val="single" w:sz="4" w:space="0" w:color="auto"/>
              <w:right w:val="single" w:sz="4" w:space="0" w:color="auto"/>
            </w:tcBorders>
          </w:tcPr>
          <w:p w14:paraId="3BB9AD5F" w14:textId="6A363734" w:rsidR="00730EAA" w:rsidRPr="00711870" w:rsidRDefault="00730EAA" w:rsidP="00165D86">
            <w:pPr>
              <w:suppressAutoHyphens w:val="0"/>
              <w:spacing w:after="120"/>
              <w:contextualSpacing/>
              <w:rPr>
                <w:color w:val="221E1F"/>
                <w:sz w:val="18"/>
                <w:szCs w:val="18"/>
                <w:lang w:val="en-US"/>
              </w:rPr>
            </w:pPr>
            <w:r w:rsidRPr="00711870">
              <w:rPr>
                <w:color w:val="221E1F"/>
                <w:sz w:val="18"/>
                <w:szCs w:val="18"/>
                <w:lang w:val="en-US"/>
              </w:rPr>
              <w:t>PT2- Scenario 1</w:t>
            </w:r>
            <w:r w:rsidR="00CF0A7D">
              <w:rPr>
                <w:color w:val="221E1F"/>
                <w:sz w:val="18"/>
                <w:szCs w:val="18"/>
                <w:lang w:val="en-US"/>
              </w:rPr>
              <w:t>a</w:t>
            </w:r>
            <w:r w:rsidRPr="00711870">
              <w:rPr>
                <w:color w:val="221E1F"/>
                <w:sz w:val="18"/>
                <w:szCs w:val="18"/>
                <w:lang w:val="en-US"/>
              </w:rPr>
              <w:t xml:space="preserve">: Indoor - </w:t>
            </w:r>
            <w:r w:rsidRPr="00711870">
              <w:rPr>
                <w:rFonts w:eastAsia="Calibri"/>
                <w:sz w:val="18"/>
                <w:szCs w:val="18"/>
                <w:lang w:eastAsia="en-US"/>
              </w:rPr>
              <w:t>Disinfection 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tc>
        <w:tc>
          <w:tcPr>
            <w:tcW w:w="1114" w:type="pct"/>
            <w:tcBorders>
              <w:top w:val="single" w:sz="4" w:space="0" w:color="auto"/>
              <w:left w:val="single" w:sz="4" w:space="0" w:color="auto"/>
              <w:bottom w:val="single" w:sz="4" w:space="0" w:color="auto"/>
              <w:right w:val="single" w:sz="4" w:space="0" w:color="auto"/>
            </w:tcBorders>
          </w:tcPr>
          <w:p w14:paraId="5311F386" w14:textId="2F45A986" w:rsidR="00730EAA" w:rsidRPr="00711870" w:rsidRDefault="00730EAA" w:rsidP="00CF0A7D">
            <w:pPr>
              <w:suppressAutoHyphens w:val="0"/>
              <w:spacing w:after="120"/>
              <w:contextualSpacing/>
              <w:rPr>
                <w:color w:val="221E1F"/>
                <w:sz w:val="18"/>
                <w:szCs w:val="18"/>
                <w:lang w:val="en-US"/>
              </w:rPr>
            </w:pPr>
            <w:r>
              <w:rPr>
                <w:color w:val="221E1F"/>
                <w:sz w:val="18"/>
                <w:szCs w:val="18"/>
                <w:lang w:val="en-US"/>
              </w:rPr>
              <w:t>Acceptable</w:t>
            </w:r>
          </w:p>
        </w:tc>
      </w:tr>
      <w:tr w:rsidR="00730EAA" w:rsidRPr="002D6BBB" w14:paraId="2D950C28" w14:textId="5911D387" w:rsidTr="00DD2106">
        <w:trPr>
          <w:trHeight w:val="479"/>
          <w:jc w:val="center"/>
        </w:trPr>
        <w:tc>
          <w:tcPr>
            <w:tcW w:w="500" w:type="pct"/>
            <w:vMerge w:val="restart"/>
            <w:tcBorders>
              <w:top w:val="single" w:sz="4" w:space="0" w:color="auto"/>
              <w:left w:val="single" w:sz="4" w:space="0" w:color="auto"/>
              <w:right w:val="single" w:sz="4" w:space="0" w:color="auto"/>
            </w:tcBorders>
            <w:vAlign w:val="center"/>
            <w:hideMark/>
          </w:tcPr>
          <w:p w14:paraId="068EB7AC"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2</w:t>
            </w:r>
          </w:p>
        </w:tc>
        <w:tc>
          <w:tcPr>
            <w:tcW w:w="316"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C28F257" w14:textId="77777777" w:rsidR="00730EAA" w:rsidRPr="00711870" w:rsidRDefault="00730EAA" w:rsidP="00165D86">
            <w:pPr>
              <w:jc w:val="center"/>
              <w:rPr>
                <w:sz w:val="18"/>
                <w:szCs w:val="18"/>
              </w:rPr>
            </w:pPr>
            <w:r w:rsidRPr="00711870">
              <w:rPr>
                <w:sz w:val="18"/>
                <w:szCs w:val="18"/>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E5B791" w14:textId="77777777" w:rsidR="00730EAA" w:rsidRDefault="00730EAA" w:rsidP="00165D86">
            <w:pPr>
              <w:jc w:val="center"/>
              <w:rPr>
                <w:sz w:val="18"/>
                <w:szCs w:val="18"/>
                <w:lang w:val="en-US"/>
              </w:rPr>
            </w:pPr>
            <w:r w:rsidRPr="00711870">
              <w:rPr>
                <w:sz w:val="18"/>
                <w:szCs w:val="18"/>
                <w:lang w:val="en-US"/>
              </w:rPr>
              <w:t>2.1</w:t>
            </w:r>
          </w:p>
          <w:p w14:paraId="3CC005D9" w14:textId="77777777" w:rsidR="00730EAA" w:rsidRDefault="00730EAA" w:rsidP="00165D86">
            <w:pPr>
              <w:jc w:val="center"/>
              <w:rPr>
                <w:sz w:val="18"/>
                <w:szCs w:val="18"/>
                <w:lang w:val="en-US"/>
              </w:rPr>
            </w:pPr>
            <w:r>
              <w:rPr>
                <w:sz w:val="18"/>
                <w:szCs w:val="18"/>
                <w:lang w:val="en-US"/>
              </w:rPr>
              <w:t>2.2</w:t>
            </w:r>
          </w:p>
          <w:p w14:paraId="2DAD3D4F" w14:textId="77777777" w:rsidR="00730EAA" w:rsidRDefault="00730EAA" w:rsidP="00165D86">
            <w:pPr>
              <w:jc w:val="center"/>
              <w:rPr>
                <w:sz w:val="18"/>
                <w:szCs w:val="18"/>
                <w:lang w:val="en-US"/>
              </w:rPr>
            </w:pPr>
            <w:r>
              <w:rPr>
                <w:sz w:val="18"/>
                <w:szCs w:val="18"/>
                <w:lang w:val="en-US"/>
              </w:rPr>
              <w:t>2.3</w:t>
            </w:r>
          </w:p>
          <w:p w14:paraId="6A15D39E" w14:textId="77777777" w:rsidR="00730EAA" w:rsidRPr="00711870" w:rsidRDefault="00730EAA" w:rsidP="00165D86">
            <w:pPr>
              <w:jc w:val="center"/>
              <w:rPr>
                <w:sz w:val="18"/>
                <w:szCs w:val="18"/>
                <w:lang w:val="en-US"/>
              </w:rPr>
            </w:pPr>
            <w:r>
              <w:rPr>
                <w:sz w:val="18"/>
                <w:szCs w:val="18"/>
                <w:lang w:val="en-US"/>
              </w:rPr>
              <w:t>2.4</w:t>
            </w:r>
          </w:p>
          <w:p w14:paraId="62643F05" w14:textId="77777777" w:rsidR="00730EAA" w:rsidRPr="00711870" w:rsidRDefault="00730EAA" w:rsidP="00165D86">
            <w:pPr>
              <w:jc w:val="center"/>
              <w:rPr>
                <w:sz w:val="18"/>
                <w:szCs w:val="18"/>
                <w:lang w:val="en-US"/>
              </w:rPr>
            </w:pPr>
          </w:p>
        </w:tc>
        <w:tc>
          <w:tcPr>
            <w:tcW w:w="1411" w:type="pct"/>
            <w:tcBorders>
              <w:top w:val="single" w:sz="4" w:space="0" w:color="auto"/>
              <w:left w:val="single" w:sz="4" w:space="0" w:color="auto"/>
              <w:bottom w:val="single" w:sz="4" w:space="0" w:color="auto"/>
              <w:right w:val="single" w:sz="4" w:space="0" w:color="auto"/>
            </w:tcBorders>
            <w:hideMark/>
          </w:tcPr>
          <w:p w14:paraId="3AD28EDD" w14:textId="77777777" w:rsidR="00730EAA" w:rsidRPr="00711870" w:rsidRDefault="00730EAA" w:rsidP="00165D86">
            <w:pPr>
              <w:rPr>
                <w:sz w:val="18"/>
                <w:szCs w:val="18"/>
              </w:rPr>
            </w:pPr>
            <w:r>
              <w:rPr>
                <w:sz w:val="18"/>
                <w:szCs w:val="18"/>
              </w:rPr>
              <w:t>PT2 -</w:t>
            </w:r>
            <w:r>
              <w:rPr>
                <w:sz w:val="18"/>
                <w:szCs w:val="18"/>
                <w:lang w:val="en-US"/>
              </w:rPr>
              <w:t xml:space="preserve"> RTU p</w:t>
            </w:r>
            <w:r w:rsidRPr="00927EB1">
              <w:rPr>
                <w:sz w:val="18"/>
                <w:szCs w:val="18"/>
              </w:rPr>
              <w:t>roduct used for the disinfection of households surfaces including toilets bowls</w:t>
            </w:r>
            <w:r w:rsidRPr="00711870">
              <w:rPr>
                <w:sz w:val="18"/>
                <w:szCs w:val="18"/>
              </w:rPr>
              <w:t xml:space="preserve"> (non-pro)</w:t>
            </w:r>
          </w:p>
        </w:tc>
        <w:tc>
          <w:tcPr>
            <w:tcW w:w="1115" w:type="pct"/>
            <w:tcBorders>
              <w:top w:val="single" w:sz="4" w:space="0" w:color="auto"/>
              <w:left w:val="single" w:sz="4" w:space="0" w:color="auto"/>
              <w:bottom w:val="single" w:sz="4" w:space="0" w:color="auto"/>
              <w:right w:val="single" w:sz="4" w:space="0" w:color="auto"/>
            </w:tcBorders>
            <w:hideMark/>
          </w:tcPr>
          <w:p w14:paraId="3ABF8B47" w14:textId="21245DF8" w:rsidR="00730EAA" w:rsidRPr="00711870" w:rsidRDefault="00730EAA" w:rsidP="00165D86">
            <w:pPr>
              <w:spacing w:after="120"/>
              <w:rPr>
                <w:color w:val="221E1F"/>
                <w:sz w:val="18"/>
                <w:szCs w:val="18"/>
                <w:lang w:val="en-US"/>
              </w:rPr>
            </w:pPr>
            <w:r w:rsidRPr="00711870">
              <w:rPr>
                <w:color w:val="221E1F"/>
                <w:sz w:val="18"/>
                <w:szCs w:val="18"/>
                <w:lang w:val="en-US"/>
              </w:rPr>
              <w:t>PT2- Scenario 1</w:t>
            </w:r>
            <w:r w:rsidR="00CF0A7D">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614EF836" w14:textId="77777777" w:rsidR="00730EAA" w:rsidRPr="00711870" w:rsidRDefault="00730EAA" w:rsidP="00165D86">
            <w:pPr>
              <w:spacing w:after="120"/>
              <w:rPr>
                <w:rFonts w:cstheme="minorHAnsi"/>
                <w:color w:val="221E1F"/>
                <w:sz w:val="18"/>
                <w:szCs w:val="18"/>
                <w:lang w:val="en-US"/>
              </w:rPr>
            </w:pPr>
          </w:p>
        </w:tc>
        <w:tc>
          <w:tcPr>
            <w:tcW w:w="1114" w:type="pct"/>
            <w:tcBorders>
              <w:top w:val="single" w:sz="4" w:space="0" w:color="auto"/>
              <w:left w:val="single" w:sz="4" w:space="0" w:color="auto"/>
              <w:bottom w:val="single" w:sz="4" w:space="0" w:color="auto"/>
              <w:right w:val="single" w:sz="4" w:space="0" w:color="auto"/>
            </w:tcBorders>
          </w:tcPr>
          <w:p w14:paraId="1BECC2B4" w14:textId="46A17096"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rsidRPr="002D6BBB" w14:paraId="3319AEC1" w14:textId="73FBF977" w:rsidTr="00DD2106">
        <w:trPr>
          <w:trHeight w:val="479"/>
          <w:jc w:val="center"/>
        </w:trPr>
        <w:tc>
          <w:tcPr>
            <w:tcW w:w="500" w:type="pct"/>
            <w:vMerge/>
            <w:tcBorders>
              <w:left w:val="single" w:sz="4" w:space="0" w:color="auto"/>
              <w:right w:val="single" w:sz="4" w:space="0" w:color="auto"/>
            </w:tcBorders>
            <w:vAlign w:val="center"/>
          </w:tcPr>
          <w:p w14:paraId="4A001A85" w14:textId="77777777" w:rsidR="00730EAA" w:rsidRPr="00711870" w:rsidRDefault="00730EAA" w:rsidP="00165D86">
            <w:pPr>
              <w:jc w:val="center"/>
              <w:rPr>
                <w:color w:val="17365D" w:themeColor="text2" w:themeShade="BF"/>
                <w:sz w:val="18"/>
                <w:szCs w:val="18"/>
                <w:lang w:val="en-US"/>
              </w:rPr>
            </w:pPr>
          </w:p>
        </w:tc>
        <w:tc>
          <w:tcPr>
            <w:tcW w:w="316" w:type="pct"/>
            <w:vMerge/>
            <w:tcBorders>
              <w:left w:val="single" w:sz="4" w:space="0" w:color="auto"/>
              <w:right w:val="single" w:sz="4" w:space="0" w:color="auto"/>
            </w:tcBorders>
            <w:shd w:val="clear" w:color="auto" w:fill="F2F2F2" w:themeFill="background1" w:themeFillShade="F2"/>
            <w:vAlign w:val="center"/>
          </w:tcPr>
          <w:p w14:paraId="01063ECE" w14:textId="77777777" w:rsidR="00730EAA" w:rsidRPr="00711870" w:rsidRDefault="00730EAA" w:rsidP="00165D86">
            <w:pPr>
              <w:jc w:val="center"/>
              <w:rPr>
                <w:sz w:val="18"/>
                <w:szCs w:val="18"/>
              </w:rPr>
            </w:pP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41A2F" w14:textId="77777777" w:rsidR="00730EAA" w:rsidRPr="00711870" w:rsidRDefault="00730EAA" w:rsidP="00165D86">
            <w:pPr>
              <w:jc w:val="center"/>
              <w:rPr>
                <w:sz w:val="18"/>
                <w:szCs w:val="18"/>
                <w:lang w:val="en-US"/>
              </w:rPr>
            </w:pPr>
            <w:r w:rsidRPr="00711870">
              <w:rPr>
                <w:sz w:val="18"/>
                <w:szCs w:val="18"/>
                <w:lang w:val="en-US"/>
              </w:rPr>
              <w:t>2.2</w:t>
            </w:r>
          </w:p>
        </w:tc>
        <w:tc>
          <w:tcPr>
            <w:tcW w:w="1411" w:type="pct"/>
            <w:tcBorders>
              <w:top w:val="single" w:sz="4" w:space="0" w:color="auto"/>
              <w:left w:val="single" w:sz="4" w:space="0" w:color="auto"/>
              <w:bottom w:val="single" w:sz="4" w:space="0" w:color="auto"/>
              <w:right w:val="single" w:sz="4" w:space="0" w:color="auto"/>
            </w:tcBorders>
          </w:tcPr>
          <w:p w14:paraId="1D8D6381" w14:textId="77777777" w:rsidR="00730EAA" w:rsidRPr="00711870" w:rsidRDefault="00730EAA" w:rsidP="00165D86">
            <w:pPr>
              <w:rPr>
                <w:sz w:val="18"/>
                <w:szCs w:val="18"/>
              </w:rPr>
            </w:pPr>
            <w:r>
              <w:rPr>
                <w:sz w:val="18"/>
                <w:szCs w:val="18"/>
              </w:rPr>
              <w:t xml:space="preserve">PT2/4 - </w:t>
            </w:r>
            <w:r w:rsidRPr="00711870">
              <w:rPr>
                <w:sz w:val="18"/>
                <w:szCs w:val="18"/>
              </w:rPr>
              <w:t xml:space="preserve">RTU </w:t>
            </w:r>
            <w:r w:rsidRPr="00047A32">
              <w:rPr>
                <w:sz w:val="18"/>
                <w:szCs w:val="18"/>
              </w:rPr>
              <w:t>product used for the disinfection of households food contact surfaces</w:t>
            </w:r>
            <w:r>
              <w:rPr>
                <w:sz w:val="18"/>
                <w:szCs w:val="18"/>
              </w:rPr>
              <w:t xml:space="preserve"> </w:t>
            </w:r>
            <w:r w:rsidRPr="00047A32">
              <w:rPr>
                <w:sz w:val="18"/>
                <w:szCs w:val="18"/>
              </w:rPr>
              <w:t>and devices for baby care and other risk groups.</w:t>
            </w:r>
            <w:r w:rsidRPr="00711870" w:rsidDel="00BA238F">
              <w:rPr>
                <w:sz w:val="18"/>
                <w:szCs w:val="18"/>
              </w:rPr>
              <w:t xml:space="preserve"> </w:t>
            </w:r>
            <w:r w:rsidRPr="00711870">
              <w:rPr>
                <w:sz w:val="18"/>
                <w:szCs w:val="18"/>
              </w:rPr>
              <w:t>(non-pro)</w:t>
            </w:r>
          </w:p>
          <w:p w14:paraId="542F166B" w14:textId="77777777" w:rsidR="00730EAA" w:rsidRPr="00711870" w:rsidRDefault="00730EAA" w:rsidP="00165D86">
            <w:pPr>
              <w:rPr>
                <w:sz w:val="18"/>
                <w:szCs w:val="18"/>
              </w:rPr>
            </w:pPr>
          </w:p>
        </w:tc>
        <w:tc>
          <w:tcPr>
            <w:tcW w:w="1115" w:type="pct"/>
            <w:tcBorders>
              <w:top w:val="single" w:sz="4" w:space="0" w:color="auto"/>
              <w:left w:val="single" w:sz="4" w:space="0" w:color="auto"/>
              <w:bottom w:val="single" w:sz="4" w:space="0" w:color="auto"/>
              <w:right w:val="single" w:sz="4" w:space="0" w:color="auto"/>
            </w:tcBorders>
          </w:tcPr>
          <w:p w14:paraId="2D7BD672" w14:textId="77777777" w:rsidR="00730EAA" w:rsidRPr="00711870" w:rsidRDefault="00730EAA" w:rsidP="00165D86">
            <w:pPr>
              <w:spacing w:after="120"/>
              <w:rPr>
                <w:rFonts w:cstheme="minorHAnsi"/>
                <w:color w:val="221E1F"/>
                <w:sz w:val="18"/>
                <w:szCs w:val="18"/>
              </w:rPr>
            </w:pPr>
            <w:r w:rsidRPr="00711870">
              <w:rPr>
                <w:rFonts w:eastAsia="Calibri"/>
                <w:bCs/>
                <w:sz w:val="18"/>
                <w:szCs w:val="18"/>
                <w:lang w:eastAsia="en-US"/>
              </w:rPr>
              <w:t xml:space="preserve">PT4- </w:t>
            </w:r>
            <w:r w:rsidRPr="00711870">
              <w:rPr>
                <w:rFonts w:eastAsia="Calibri"/>
                <w:sz w:val="18"/>
                <w:szCs w:val="18"/>
                <w:lang w:eastAsia="en-US"/>
              </w:rPr>
              <w:t xml:space="preserve">Scenario </w:t>
            </w:r>
            <w:r>
              <w:rPr>
                <w:rFonts w:eastAsia="Calibri"/>
                <w:sz w:val="18"/>
                <w:szCs w:val="18"/>
                <w:lang w:eastAsia="en-US"/>
              </w:rPr>
              <w:t>7</w:t>
            </w:r>
            <w:r w:rsidRPr="00711870">
              <w:rPr>
                <w:rFonts w:eastAsia="Calibri"/>
                <w:sz w:val="18"/>
                <w:szCs w:val="18"/>
                <w:lang w:eastAsia="en-US"/>
              </w:rPr>
              <w:t>: Indoor - Private use of disinfectants used in food and feed areas</w:t>
            </w:r>
          </w:p>
          <w:p w14:paraId="02DEA983" w14:textId="77777777" w:rsidR="00730EAA" w:rsidRPr="00711870" w:rsidRDefault="00730EAA" w:rsidP="00165D86">
            <w:pPr>
              <w:spacing w:after="120"/>
              <w:rPr>
                <w:color w:val="221E1F"/>
                <w:sz w:val="18"/>
                <w:szCs w:val="18"/>
                <w:lang w:val="en-US"/>
              </w:rPr>
            </w:pPr>
          </w:p>
        </w:tc>
        <w:tc>
          <w:tcPr>
            <w:tcW w:w="1114" w:type="pct"/>
            <w:tcBorders>
              <w:top w:val="single" w:sz="4" w:space="0" w:color="auto"/>
              <w:left w:val="single" w:sz="4" w:space="0" w:color="auto"/>
              <w:bottom w:val="single" w:sz="4" w:space="0" w:color="auto"/>
              <w:right w:val="single" w:sz="4" w:space="0" w:color="auto"/>
            </w:tcBorders>
          </w:tcPr>
          <w:p w14:paraId="249E2EC9" w14:textId="0C3E7720" w:rsidR="00730EAA" w:rsidRPr="00711870" w:rsidRDefault="00730EAA" w:rsidP="00165D86">
            <w:pPr>
              <w:spacing w:after="120"/>
              <w:rPr>
                <w:rFonts w:eastAsia="Calibri"/>
                <w:bCs/>
                <w:sz w:val="18"/>
                <w:szCs w:val="18"/>
                <w:lang w:eastAsia="en-US"/>
              </w:rPr>
            </w:pPr>
            <w:r>
              <w:rPr>
                <w:color w:val="221E1F"/>
                <w:sz w:val="18"/>
                <w:szCs w:val="18"/>
                <w:lang w:val="en-US"/>
              </w:rPr>
              <w:t>Acceptable</w:t>
            </w:r>
          </w:p>
        </w:tc>
      </w:tr>
      <w:tr w:rsidR="00730EAA" w:rsidRPr="002D6BBB" w14:paraId="42147FBD" w14:textId="6075A0BA" w:rsidTr="00DD2106">
        <w:trPr>
          <w:trHeight w:val="1823"/>
          <w:jc w:val="center"/>
        </w:trPr>
        <w:tc>
          <w:tcPr>
            <w:tcW w:w="500" w:type="pct"/>
            <w:vMerge/>
            <w:tcBorders>
              <w:left w:val="single" w:sz="4" w:space="0" w:color="auto"/>
              <w:right w:val="single" w:sz="4" w:space="0" w:color="auto"/>
            </w:tcBorders>
            <w:vAlign w:val="center"/>
          </w:tcPr>
          <w:p w14:paraId="7B51E360" w14:textId="77777777" w:rsidR="00730EAA" w:rsidRPr="00711870" w:rsidRDefault="00730EAA" w:rsidP="00165D86">
            <w:pPr>
              <w:jc w:val="center"/>
              <w:rPr>
                <w:color w:val="17365D" w:themeColor="text2" w:themeShade="BF"/>
                <w:sz w:val="18"/>
                <w:szCs w:val="18"/>
                <w:lang w:val="en-US"/>
              </w:rPr>
            </w:pPr>
          </w:p>
        </w:tc>
        <w:tc>
          <w:tcPr>
            <w:tcW w:w="316" w:type="pct"/>
            <w:vMerge/>
            <w:tcBorders>
              <w:left w:val="single" w:sz="4" w:space="0" w:color="auto"/>
              <w:right w:val="single" w:sz="4" w:space="0" w:color="auto"/>
            </w:tcBorders>
            <w:shd w:val="clear" w:color="auto" w:fill="F2F2F2" w:themeFill="background1" w:themeFillShade="F2"/>
            <w:vAlign w:val="center"/>
          </w:tcPr>
          <w:p w14:paraId="0F8CD2BD" w14:textId="77777777" w:rsidR="00730EAA" w:rsidRPr="00711870" w:rsidRDefault="00730EAA" w:rsidP="00165D86">
            <w:pPr>
              <w:jc w:val="center"/>
              <w:rPr>
                <w:sz w:val="18"/>
                <w:szCs w:val="18"/>
              </w:rPr>
            </w:pPr>
          </w:p>
        </w:tc>
        <w:tc>
          <w:tcPr>
            <w:tcW w:w="544" w:type="pct"/>
            <w:tcBorders>
              <w:top w:val="single" w:sz="4" w:space="0" w:color="auto"/>
              <w:left w:val="single" w:sz="4" w:space="0" w:color="auto"/>
              <w:right w:val="single" w:sz="4" w:space="0" w:color="auto"/>
            </w:tcBorders>
            <w:shd w:val="clear" w:color="auto" w:fill="F2F2F2" w:themeFill="background1" w:themeFillShade="F2"/>
          </w:tcPr>
          <w:p w14:paraId="287D4FB0" w14:textId="77777777" w:rsidR="00730EAA" w:rsidRDefault="00730EAA" w:rsidP="00165D86">
            <w:pPr>
              <w:jc w:val="center"/>
              <w:rPr>
                <w:sz w:val="18"/>
                <w:szCs w:val="18"/>
                <w:lang w:val="en-US"/>
              </w:rPr>
            </w:pPr>
            <w:r w:rsidRPr="00711870">
              <w:rPr>
                <w:sz w:val="18"/>
                <w:szCs w:val="18"/>
                <w:lang w:val="en-US"/>
              </w:rPr>
              <w:t>2.3</w:t>
            </w:r>
          </w:p>
          <w:p w14:paraId="6A66E129" w14:textId="77777777" w:rsidR="00730EAA" w:rsidRPr="00711870" w:rsidRDefault="00730EAA" w:rsidP="00165D86">
            <w:pPr>
              <w:jc w:val="center"/>
              <w:rPr>
                <w:sz w:val="18"/>
                <w:szCs w:val="18"/>
                <w:lang w:val="en-US"/>
              </w:rPr>
            </w:pPr>
            <w:r>
              <w:rPr>
                <w:sz w:val="18"/>
                <w:szCs w:val="18"/>
                <w:lang w:val="en-US"/>
              </w:rPr>
              <w:t>2.4</w:t>
            </w:r>
          </w:p>
          <w:p w14:paraId="07D8D404" w14:textId="77777777" w:rsidR="00730EAA" w:rsidRPr="00711870" w:rsidRDefault="00730EAA" w:rsidP="00165D86">
            <w:pPr>
              <w:jc w:val="center"/>
              <w:rPr>
                <w:sz w:val="18"/>
                <w:szCs w:val="18"/>
                <w:lang w:val="en-US"/>
              </w:rPr>
            </w:pPr>
          </w:p>
        </w:tc>
        <w:tc>
          <w:tcPr>
            <w:tcW w:w="1411" w:type="pct"/>
            <w:tcBorders>
              <w:top w:val="single" w:sz="4" w:space="0" w:color="auto"/>
              <w:left w:val="single" w:sz="4" w:space="0" w:color="auto"/>
              <w:right w:val="single" w:sz="4" w:space="0" w:color="auto"/>
            </w:tcBorders>
          </w:tcPr>
          <w:p w14:paraId="244A4312" w14:textId="77777777" w:rsidR="00730EAA" w:rsidRPr="008469D8" w:rsidRDefault="00730EAA" w:rsidP="00165D86">
            <w:pPr>
              <w:suppressAutoHyphens w:val="0"/>
              <w:autoSpaceDE w:val="0"/>
              <w:autoSpaceDN w:val="0"/>
              <w:adjustRightInd w:val="0"/>
              <w:rPr>
                <w:sz w:val="18"/>
                <w:szCs w:val="18"/>
              </w:rPr>
            </w:pPr>
            <w:r w:rsidRPr="00047A32">
              <w:rPr>
                <w:sz w:val="18"/>
                <w:szCs w:val="18"/>
              </w:rPr>
              <w:t>PT2/4: RTU product used for the disinfection for industry, institution and healthcare facilities and food preparation and handling area.</w:t>
            </w:r>
          </w:p>
        </w:tc>
        <w:tc>
          <w:tcPr>
            <w:tcW w:w="1115" w:type="pct"/>
            <w:tcBorders>
              <w:top w:val="single" w:sz="4" w:space="0" w:color="auto"/>
              <w:left w:val="single" w:sz="4" w:space="0" w:color="auto"/>
              <w:right w:val="single" w:sz="4" w:space="0" w:color="auto"/>
            </w:tcBorders>
          </w:tcPr>
          <w:p w14:paraId="4FFBC40F" w14:textId="77777777" w:rsidR="00730EAA" w:rsidRDefault="00730EAA" w:rsidP="00165D86">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089D47F9"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14DECABD" w14:textId="6213AA5F" w:rsidR="00730EAA" w:rsidRPr="00711870" w:rsidRDefault="00730EAA" w:rsidP="00165D86">
            <w:pPr>
              <w:spacing w:after="120"/>
              <w:rPr>
                <w:color w:val="221E1F"/>
                <w:sz w:val="18"/>
                <w:szCs w:val="18"/>
                <w:lang w:val="en-US"/>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right w:val="single" w:sz="4" w:space="0" w:color="auto"/>
            </w:tcBorders>
          </w:tcPr>
          <w:p w14:paraId="1BA3ED91" w14:textId="080B31E5"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rsidRPr="002D6BBB" w14:paraId="62EF7953" w14:textId="76F5C958" w:rsidTr="00DD2106">
        <w:trPr>
          <w:trHeight w:val="479"/>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27754FA7" w14:textId="77777777" w:rsidR="00730EAA" w:rsidRPr="00711870" w:rsidRDefault="00730EAA" w:rsidP="00165D86">
            <w:pPr>
              <w:jc w:val="center"/>
              <w:rPr>
                <w:color w:val="17365D" w:themeColor="text2" w:themeShade="BF"/>
                <w:sz w:val="18"/>
                <w:szCs w:val="18"/>
              </w:rPr>
            </w:pPr>
            <w:r w:rsidRPr="00711870">
              <w:rPr>
                <w:color w:val="17365D" w:themeColor="text2" w:themeShade="BF"/>
                <w:sz w:val="18"/>
                <w:szCs w:val="18"/>
                <w:lang w:val="en-US"/>
              </w:rPr>
              <w:lastRenderedPageBreak/>
              <w:t>3</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7D72E9" w14:textId="77777777" w:rsidR="00730EAA" w:rsidRPr="00711870" w:rsidRDefault="00730EAA" w:rsidP="00165D86">
            <w:pPr>
              <w:jc w:val="center"/>
              <w:rPr>
                <w:sz w:val="18"/>
                <w:szCs w:val="18"/>
              </w:rPr>
            </w:pPr>
            <w:r w:rsidRPr="00711870">
              <w:rPr>
                <w:sz w:val="18"/>
                <w:szCs w:val="18"/>
                <w:lang w:val="en-US"/>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E4C28" w14:textId="77777777" w:rsidR="00730EAA" w:rsidRPr="00711870" w:rsidRDefault="00730EAA" w:rsidP="00165D86">
            <w:pPr>
              <w:jc w:val="center"/>
              <w:rPr>
                <w:sz w:val="18"/>
                <w:szCs w:val="18"/>
                <w:lang w:val="en-US"/>
              </w:rPr>
            </w:pPr>
          </w:p>
          <w:p w14:paraId="4EAC6981" w14:textId="77777777" w:rsidR="00730EAA" w:rsidRPr="00711870" w:rsidRDefault="00730EAA" w:rsidP="00165D86">
            <w:pPr>
              <w:jc w:val="center"/>
              <w:rPr>
                <w:sz w:val="18"/>
                <w:szCs w:val="18"/>
                <w:lang w:val="en-US"/>
              </w:rPr>
            </w:pPr>
            <w:r w:rsidRPr="00711870">
              <w:rPr>
                <w:sz w:val="18"/>
                <w:szCs w:val="18"/>
                <w:lang w:val="en-US"/>
              </w:rPr>
              <w:t>3.1</w:t>
            </w:r>
          </w:p>
          <w:p w14:paraId="475864F0" w14:textId="77777777" w:rsidR="00730EAA" w:rsidRPr="00711870" w:rsidRDefault="00730EAA" w:rsidP="00165D86">
            <w:pPr>
              <w:jc w:val="center"/>
              <w:rPr>
                <w:sz w:val="18"/>
                <w:szCs w:val="18"/>
                <w:lang w:val="en-US"/>
              </w:rPr>
            </w:pPr>
          </w:p>
          <w:p w14:paraId="25251452" w14:textId="77777777" w:rsidR="00730EAA" w:rsidRPr="00711870" w:rsidRDefault="00730EAA" w:rsidP="00165D86">
            <w:pPr>
              <w:rPr>
                <w:sz w:val="18"/>
                <w:szCs w:val="18"/>
                <w:lang w:val="en-US"/>
              </w:rPr>
            </w:pPr>
          </w:p>
          <w:p w14:paraId="1A894C0F" w14:textId="77777777" w:rsidR="00730EAA" w:rsidRPr="00711870" w:rsidRDefault="00730EAA" w:rsidP="00165D86">
            <w:pPr>
              <w:rPr>
                <w:sz w:val="18"/>
                <w:szCs w:val="18"/>
                <w:lang w:val="en-US"/>
              </w:rPr>
            </w:pPr>
          </w:p>
          <w:p w14:paraId="20378CC1" w14:textId="77777777" w:rsidR="00730EAA" w:rsidRDefault="00730EAA" w:rsidP="00165D86">
            <w:pPr>
              <w:jc w:val="center"/>
              <w:rPr>
                <w:sz w:val="18"/>
                <w:szCs w:val="18"/>
                <w:lang w:val="en-US"/>
              </w:rPr>
            </w:pPr>
          </w:p>
          <w:p w14:paraId="0E1F8F86" w14:textId="77777777" w:rsidR="00730EAA" w:rsidRPr="00711870" w:rsidRDefault="00730EAA" w:rsidP="00165D86">
            <w:pPr>
              <w:jc w:val="center"/>
              <w:rPr>
                <w:sz w:val="18"/>
                <w:szCs w:val="18"/>
                <w:lang w:val="en-US"/>
              </w:rPr>
            </w:pPr>
          </w:p>
          <w:p w14:paraId="6BD1BF20" w14:textId="77777777" w:rsidR="00730EAA" w:rsidRPr="00711870" w:rsidRDefault="00730EAA" w:rsidP="00165D86">
            <w:pPr>
              <w:jc w:val="center"/>
              <w:rPr>
                <w:sz w:val="18"/>
                <w:szCs w:val="18"/>
                <w:lang w:val="en-US"/>
              </w:rPr>
            </w:pPr>
            <w:r w:rsidRPr="00711870">
              <w:rPr>
                <w:sz w:val="18"/>
                <w:szCs w:val="18"/>
                <w:lang w:val="en-US"/>
              </w:rPr>
              <w:t>3.2</w:t>
            </w:r>
          </w:p>
        </w:tc>
        <w:tc>
          <w:tcPr>
            <w:tcW w:w="1411" w:type="pct"/>
            <w:tcBorders>
              <w:top w:val="single" w:sz="4" w:space="0" w:color="auto"/>
              <w:left w:val="single" w:sz="4" w:space="0" w:color="auto"/>
              <w:bottom w:val="single" w:sz="4" w:space="0" w:color="auto"/>
              <w:right w:val="single" w:sz="4" w:space="0" w:color="auto"/>
            </w:tcBorders>
          </w:tcPr>
          <w:p w14:paraId="689E1859" w14:textId="77777777" w:rsidR="00730EAA" w:rsidRPr="00711870" w:rsidRDefault="00730EAA" w:rsidP="00165D86">
            <w:pPr>
              <w:rPr>
                <w:sz w:val="18"/>
                <w:szCs w:val="18"/>
              </w:rPr>
            </w:pPr>
            <w:r>
              <w:rPr>
                <w:sz w:val="18"/>
                <w:szCs w:val="18"/>
              </w:rPr>
              <w:t xml:space="preserve">PT2/4 - </w:t>
            </w:r>
            <w:r w:rsidRPr="00711870">
              <w:rPr>
                <w:sz w:val="18"/>
                <w:szCs w:val="18"/>
              </w:rPr>
              <w:t>RTU disinfectants for hard surfaces for industry, institution, healthcare facilities, health care</w:t>
            </w:r>
            <w:r w:rsidRPr="001644F6">
              <w:rPr>
                <w:sz w:val="18"/>
                <w:szCs w:val="18"/>
              </w:rPr>
              <w:t xml:space="preserve"> and food preparation and handling area</w:t>
            </w:r>
          </w:p>
          <w:p w14:paraId="1418F390" w14:textId="77777777" w:rsidR="00730EAA" w:rsidRDefault="00730EAA" w:rsidP="00165D86">
            <w:pPr>
              <w:rPr>
                <w:sz w:val="18"/>
                <w:szCs w:val="18"/>
              </w:rPr>
            </w:pPr>
          </w:p>
          <w:p w14:paraId="1C449E00" w14:textId="77777777" w:rsidR="00730EAA" w:rsidRDefault="00730EAA" w:rsidP="00165D86">
            <w:pPr>
              <w:rPr>
                <w:sz w:val="18"/>
                <w:szCs w:val="18"/>
              </w:rPr>
            </w:pPr>
          </w:p>
          <w:p w14:paraId="0F6E32CE" w14:textId="77777777" w:rsidR="00730EAA" w:rsidRPr="00711870" w:rsidRDefault="00730EAA" w:rsidP="00165D86">
            <w:pPr>
              <w:rPr>
                <w:sz w:val="18"/>
                <w:szCs w:val="18"/>
              </w:rPr>
            </w:pPr>
            <w:r>
              <w:rPr>
                <w:sz w:val="18"/>
                <w:szCs w:val="18"/>
              </w:rPr>
              <w:t xml:space="preserve">PT2 - </w:t>
            </w:r>
            <w:r w:rsidRPr="00711870">
              <w:rPr>
                <w:sz w:val="18"/>
                <w:szCs w:val="18"/>
              </w:rPr>
              <w:t>RTU disinfectants for hard surfaces for industry, institution, healthcare facilities and health care</w:t>
            </w:r>
          </w:p>
        </w:tc>
        <w:tc>
          <w:tcPr>
            <w:tcW w:w="1115" w:type="pct"/>
            <w:tcBorders>
              <w:top w:val="single" w:sz="4" w:space="0" w:color="auto"/>
              <w:left w:val="single" w:sz="4" w:space="0" w:color="auto"/>
              <w:bottom w:val="single" w:sz="4" w:space="0" w:color="auto"/>
              <w:right w:val="single" w:sz="4" w:space="0" w:color="auto"/>
            </w:tcBorders>
            <w:vAlign w:val="center"/>
            <w:hideMark/>
          </w:tcPr>
          <w:p w14:paraId="119FC348" w14:textId="469040F4" w:rsidR="00730EAA" w:rsidRPr="00711870" w:rsidRDefault="00730EAA" w:rsidP="00165D86">
            <w:pPr>
              <w:spacing w:after="120"/>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39136EB5" w14:textId="77777777" w:rsidR="00730EAA" w:rsidRDefault="00730EAA" w:rsidP="00165D86">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398AEF85"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22138C06" w14:textId="482CF31D" w:rsidR="00730EAA" w:rsidRPr="00711870" w:rsidRDefault="00730EAA" w:rsidP="00165D86">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bottom w:val="single" w:sz="4" w:space="0" w:color="auto"/>
              <w:right w:val="single" w:sz="4" w:space="0" w:color="auto"/>
            </w:tcBorders>
          </w:tcPr>
          <w:p w14:paraId="4E3A1A6C" w14:textId="3EC3602A"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rsidRPr="002D6BBB" w14:paraId="0496EDFD" w14:textId="7D3FA0DA" w:rsidTr="00DD2106">
        <w:trPr>
          <w:trHeight w:val="479"/>
          <w:jc w:val="center"/>
        </w:trPr>
        <w:tc>
          <w:tcPr>
            <w:tcW w:w="500" w:type="pct"/>
            <w:tcBorders>
              <w:top w:val="single" w:sz="4" w:space="0" w:color="auto"/>
              <w:left w:val="single" w:sz="4" w:space="0" w:color="auto"/>
              <w:bottom w:val="single" w:sz="4" w:space="0" w:color="auto"/>
              <w:right w:val="single" w:sz="4" w:space="0" w:color="auto"/>
            </w:tcBorders>
            <w:vAlign w:val="center"/>
          </w:tcPr>
          <w:p w14:paraId="180E595E"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4</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73A6B" w14:textId="77777777" w:rsidR="00730EAA" w:rsidRPr="00711870" w:rsidRDefault="00730EAA" w:rsidP="00165D86">
            <w:pPr>
              <w:rPr>
                <w:sz w:val="18"/>
                <w:szCs w:val="18"/>
              </w:rPr>
            </w:pPr>
            <w:r w:rsidRPr="00711870">
              <w:rPr>
                <w:sz w:val="18"/>
                <w:szCs w:val="18"/>
                <w:lang w:val="en-US"/>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921D1" w14:textId="77777777" w:rsidR="00730EAA" w:rsidRPr="00711870" w:rsidRDefault="00730EAA" w:rsidP="00165D86">
            <w:pPr>
              <w:jc w:val="center"/>
              <w:rPr>
                <w:sz w:val="18"/>
                <w:szCs w:val="18"/>
                <w:lang w:val="en-US"/>
              </w:rPr>
            </w:pPr>
            <w:r w:rsidRPr="00711870">
              <w:rPr>
                <w:sz w:val="18"/>
                <w:szCs w:val="18"/>
                <w:lang w:val="en-US"/>
              </w:rPr>
              <w:t>4.1</w:t>
            </w:r>
          </w:p>
        </w:tc>
        <w:tc>
          <w:tcPr>
            <w:tcW w:w="1411" w:type="pct"/>
            <w:tcBorders>
              <w:top w:val="single" w:sz="4" w:space="0" w:color="auto"/>
              <w:left w:val="single" w:sz="4" w:space="0" w:color="auto"/>
              <w:bottom w:val="single" w:sz="4" w:space="0" w:color="auto"/>
              <w:right w:val="single" w:sz="4" w:space="0" w:color="auto"/>
            </w:tcBorders>
            <w:vAlign w:val="center"/>
          </w:tcPr>
          <w:p w14:paraId="4BF32E02" w14:textId="77777777" w:rsidR="00730EAA" w:rsidRPr="00711870" w:rsidRDefault="00730EAA" w:rsidP="00165D86">
            <w:pPr>
              <w:suppressAutoHyphens w:val="0"/>
              <w:rPr>
                <w:sz w:val="18"/>
                <w:szCs w:val="18"/>
              </w:rPr>
            </w:pPr>
            <w:r>
              <w:rPr>
                <w:sz w:val="18"/>
                <w:szCs w:val="18"/>
              </w:rPr>
              <w:t xml:space="preserve">PT2/4 - </w:t>
            </w:r>
            <w:r w:rsidRPr="00711870">
              <w:rPr>
                <w:sz w:val="18"/>
                <w:szCs w:val="18"/>
              </w:rPr>
              <w:t xml:space="preserve">RTU disinfectants for hard surfaces of industry, institution, healthcare facilities </w:t>
            </w:r>
            <w:r w:rsidRPr="001644F6">
              <w:rPr>
                <w:sz w:val="18"/>
                <w:szCs w:val="18"/>
              </w:rPr>
              <w:t>and food preparation and handling area</w:t>
            </w:r>
          </w:p>
        </w:tc>
        <w:tc>
          <w:tcPr>
            <w:tcW w:w="1115" w:type="pct"/>
            <w:tcBorders>
              <w:top w:val="single" w:sz="4" w:space="0" w:color="auto"/>
              <w:left w:val="single" w:sz="4" w:space="0" w:color="auto"/>
              <w:bottom w:val="single" w:sz="4" w:space="0" w:color="auto"/>
              <w:right w:val="single" w:sz="4" w:space="0" w:color="auto"/>
            </w:tcBorders>
            <w:vAlign w:val="center"/>
            <w:hideMark/>
          </w:tcPr>
          <w:p w14:paraId="4B38EFD2" w14:textId="3D7CD88E" w:rsidR="00730EAA" w:rsidRPr="00711870" w:rsidRDefault="00730EAA" w:rsidP="00165D86">
            <w:pPr>
              <w:spacing w:after="120"/>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6255371C" w14:textId="77777777" w:rsidR="00730EAA" w:rsidRDefault="00730EAA" w:rsidP="00165D86">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7A30159E"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21BA568C" w14:textId="6F1EFA28" w:rsidR="00730EAA" w:rsidRPr="00711870" w:rsidRDefault="00730EAA" w:rsidP="00165D86">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bottom w:val="single" w:sz="4" w:space="0" w:color="auto"/>
              <w:right w:val="single" w:sz="4" w:space="0" w:color="auto"/>
            </w:tcBorders>
          </w:tcPr>
          <w:p w14:paraId="0D0AB55F" w14:textId="561E4E18"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rsidRPr="002D6BBB" w14:paraId="6B24C385" w14:textId="17FF32DF" w:rsidTr="00DD2106">
        <w:trPr>
          <w:trHeight w:val="975"/>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2D34AE12" w14:textId="77777777" w:rsidR="00730EAA" w:rsidRPr="00711870" w:rsidRDefault="00730EAA" w:rsidP="00165D86">
            <w:pPr>
              <w:jc w:val="center"/>
              <w:rPr>
                <w:color w:val="17365D" w:themeColor="text2" w:themeShade="BF"/>
                <w:sz w:val="18"/>
                <w:szCs w:val="18"/>
              </w:rPr>
            </w:pPr>
            <w:r w:rsidRPr="00711870">
              <w:rPr>
                <w:color w:val="17365D" w:themeColor="text2" w:themeShade="BF"/>
                <w:sz w:val="18"/>
                <w:szCs w:val="18"/>
              </w:rPr>
              <w:lastRenderedPageBreak/>
              <w:t>6</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06B3FE" w14:textId="77777777" w:rsidR="00730EAA" w:rsidRPr="00711870" w:rsidRDefault="00730EAA" w:rsidP="00165D86">
            <w:pPr>
              <w:jc w:val="center"/>
              <w:rPr>
                <w:sz w:val="18"/>
                <w:szCs w:val="18"/>
              </w:rPr>
            </w:pPr>
            <w:r w:rsidRPr="00711870">
              <w:rPr>
                <w:sz w:val="18"/>
                <w:szCs w:val="18"/>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33EDBD" w14:textId="77777777" w:rsidR="00730EAA" w:rsidRPr="00711870" w:rsidRDefault="00730EAA" w:rsidP="00165D86">
            <w:pPr>
              <w:jc w:val="center"/>
              <w:rPr>
                <w:sz w:val="18"/>
                <w:szCs w:val="18"/>
                <w:lang w:val="en-US"/>
              </w:rPr>
            </w:pPr>
            <w:r w:rsidRPr="00711870">
              <w:rPr>
                <w:sz w:val="18"/>
                <w:szCs w:val="18"/>
                <w:lang w:val="en-US"/>
              </w:rPr>
              <w:t>6.1</w:t>
            </w:r>
          </w:p>
          <w:p w14:paraId="70345D06" w14:textId="77777777" w:rsidR="00730EAA" w:rsidRPr="00711870" w:rsidRDefault="00730EAA" w:rsidP="00165D86">
            <w:pPr>
              <w:jc w:val="center"/>
              <w:rPr>
                <w:sz w:val="18"/>
                <w:szCs w:val="18"/>
                <w:lang w:val="en-US"/>
              </w:rPr>
            </w:pPr>
            <w:r w:rsidRPr="00711870">
              <w:rPr>
                <w:sz w:val="18"/>
                <w:szCs w:val="18"/>
                <w:lang w:val="en-US"/>
              </w:rPr>
              <w:t>6.2</w:t>
            </w:r>
          </w:p>
          <w:p w14:paraId="23E1A8A4" w14:textId="77777777" w:rsidR="00730EAA" w:rsidRPr="00711870" w:rsidRDefault="00730EAA" w:rsidP="00165D86">
            <w:pPr>
              <w:jc w:val="center"/>
              <w:rPr>
                <w:sz w:val="18"/>
                <w:szCs w:val="18"/>
                <w:lang w:val="en-US"/>
              </w:rPr>
            </w:pPr>
            <w:r w:rsidRPr="00711870">
              <w:rPr>
                <w:sz w:val="18"/>
                <w:szCs w:val="18"/>
                <w:lang w:val="en-US"/>
              </w:rPr>
              <w:t>6.3</w:t>
            </w:r>
          </w:p>
          <w:p w14:paraId="230F5FFD" w14:textId="77777777" w:rsidR="00730EAA" w:rsidRPr="00711870" w:rsidRDefault="00730EAA" w:rsidP="00165D86">
            <w:pPr>
              <w:jc w:val="center"/>
              <w:rPr>
                <w:sz w:val="18"/>
                <w:szCs w:val="18"/>
                <w:lang w:val="en-US"/>
              </w:rPr>
            </w:pPr>
            <w:r w:rsidRPr="00711870">
              <w:rPr>
                <w:sz w:val="18"/>
                <w:szCs w:val="18"/>
                <w:lang w:val="en-US"/>
              </w:rPr>
              <w:t>6.4</w:t>
            </w:r>
          </w:p>
        </w:tc>
        <w:tc>
          <w:tcPr>
            <w:tcW w:w="1411" w:type="pct"/>
            <w:tcBorders>
              <w:top w:val="single" w:sz="4" w:space="0" w:color="auto"/>
              <w:left w:val="single" w:sz="4" w:space="0" w:color="auto"/>
              <w:bottom w:val="single" w:sz="4" w:space="0" w:color="auto"/>
              <w:right w:val="single" w:sz="4" w:space="0" w:color="auto"/>
            </w:tcBorders>
            <w:vAlign w:val="center"/>
            <w:hideMark/>
          </w:tcPr>
          <w:p w14:paraId="1FE24088" w14:textId="77777777" w:rsidR="00730EAA" w:rsidRPr="00711870" w:rsidRDefault="00730EAA" w:rsidP="00165D86">
            <w:pPr>
              <w:rPr>
                <w:rFonts w:cstheme="minorHAnsi"/>
                <w:sz w:val="18"/>
                <w:szCs w:val="18"/>
                <w:lang w:val="en-US"/>
              </w:rPr>
            </w:pPr>
            <w:r>
              <w:rPr>
                <w:rFonts w:cstheme="minorHAnsi"/>
                <w:sz w:val="18"/>
                <w:szCs w:val="18"/>
                <w:lang w:val="en-US"/>
              </w:rPr>
              <w:t xml:space="preserve">PT2/4 - </w:t>
            </w:r>
            <w:r w:rsidRPr="00711870">
              <w:rPr>
                <w:rFonts w:cstheme="minorHAnsi"/>
                <w:sz w:val="18"/>
                <w:szCs w:val="18"/>
                <w:lang w:val="en-US"/>
              </w:rPr>
              <w:t xml:space="preserve">Concentrated disinfectants for hard surfaces of industry, institution, healthcare facilities, health care and </w:t>
            </w:r>
            <w:r w:rsidRPr="001644F6">
              <w:rPr>
                <w:sz w:val="18"/>
                <w:szCs w:val="18"/>
              </w:rPr>
              <w:t>food preparation and handling area</w:t>
            </w:r>
          </w:p>
        </w:tc>
        <w:tc>
          <w:tcPr>
            <w:tcW w:w="1115" w:type="pct"/>
            <w:tcBorders>
              <w:top w:val="single" w:sz="4" w:space="0" w:color="auto"/>
              <w:left w:val="single" w:sz="4" w:space="0" w:color="auto"/>
              <w:bottom w:val="single" w:sz="4" w:space="0" w:color="auto"/>
              <w:right w:val="single" w:sz="4" w:space="0" w:color="auto"/>
            </w:tcBorders>
            <w:hideMark/>
          </w:tcPr>
          <w:p w14:paraId="45D27028" w14:textId="3850BA9F" w:rsidR="00730EAA" w:rsidRPr="00711870" w:rsidRDefault="00730EAA" w:rsidP="00165D86">
            <w:pPr>
              <w:spacing w:after="120"/>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 </w:t>
            </w:r>
          </w:p>
          <w:p w14:paraId="352584B3" w14:textId="77777777" w:rsidR="00730EAA" w:rsidRDefault="00730EAA" w:rsidP="00165D86">
            <w:pPr>
              <w:spacing w:after="120"/>
              <w:rPr>
                <w:rFonts w:eastAsia="Calibri"/>
                <w:sz w:val="18"/>
                <w:szCs w:val="18"/>
                <w:lang w:eastAsia="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7B609C84"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44617DD2" w14:textId="1B9878E6" w:rsidR="00730EAA" w:rsidRPr="00711870" w:rsidRDefault="00730EAA" w:rsidP="00165D86">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bottom w:val="single" w:sz="4" w:space="0" w:color="auto"/>
              <w:right w:val="single" w:sz="4" w:space="0" w:color="auto"/>
            </w:tcBorders>
          </w:tcPr>
          <w:p w14:paraId="344F60B1" w14:textId="44550926"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rsidRPr="002D6BBB" w14:paraId="47FEBB11" w14:textId="10AB7F8A" w:rsidTr="00DD2106">
        <w:trPr>
          <w:trHeight w:val="468"/>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7C6DA42C"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rPr>
              <w:t>7</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02AB1" w14:textId="77777777" w:rsidR="00730EAA" w:rsidRPr="00711870" w:rsidRDefault="00730EAA" w:rsidP="00165D86">
            <w:pPr>
              <w:jc w:val="center"/>
              <w:rPr>
                <w:sz w:val="18"/>
                <w:szCs w:val="18"/>
              </w:rPr>
            </w:pPr>
            <w:r w:rsidRPr="00711870">
              <w:rPr>
                <w:sz w:val="18"/>
                <w:szCs w:val="18"/>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281C5" w14:textId="77777777" w:rsidR="00730EAA" w:rsidRPr="00711870" w:rsidRDefault="00730EAA" w:rsidP="00165D86">
            <w:pPr>
              <w:jc w:val="center"/>
              <w:rPr>
                <w:sz w:val="18"/>
                <w:szCs w:val="18"/>
              </w:rPr>
            </w:pPr>
            <w:r w:rsidRPr="00711870">
              <w:rPr>
                <w:sz w:val="18"/>
                <w:szCs w:val="18"/>
              </w:rPr>
              <w:t>7.1</w:t>
            </w:r>
          </w:p>
          <w:p w14:paraId="3029489F" w14:textId="77777777" w:rsidR="00730EAA" w:rsidRPr="00711870" w:rsidRDefault="00730EAA" w:rsidP="00165D86">
            <w:pPr>
              <w:jc w:val="center"/>
              <w:rPr>
                <w:sz w:val="18"/>
                <w:szCs w:val="18"/>
              </w:rPr>
            </w:pPr>
            <w:r w:rsidRPr="00711870">
              <w:rPr>
                <w:sz w:val="18"/>
                <w:szCs w:val="18"/>
              </w:rPr>
              <w:t>7.2</w:t>
            </w:r>
          </w:p>
          <w:p w14:paraId="3AD3BE60" w14:textId="77777777" w:rsidR="00730EAA" w:rsidRPr="00711870" w:rsidRDefault="00730EAA" w:rsidP="00165D86">
            <w:pPr>
              <w:jc w:val="center"/>
              <w:rPr>
                <w:sz w:val="18"/>
                <w:szCs w:val="18"/>
              </w:rPr>
            </w:pPr>
            <w:r w:rsidRPr="00711870">
              <w:rPr>
                <w:sz w:val="18"/>
                <w:szCs w:val="18"/>
              </w:rPr>
              <w:t>7.3</w:t>
            </w:r>
          </w:p>
          <w:p w14:paraId="683B2EB5" w14:textId="77777777" w:rsidR="00730EAA" w:rsidRPr="00711870" w:rsidRDefault="00730EAA" w:rsidP="00165D86">
            <w:pPr>
              <w:rPr>
                <w:sz w:val="18"/>
                <w:szCs w:val="18"/>
              </w:rPr>
            </w:pPr>
          </w:p>
          <w:p w14:paraId="417BBAAF" w14:textId="77777777" w:rsidR="00730EAA" w:rsidRDefault="00730EAA" w:rsidP="00165D86">
            <w:pPr>
              <w:jc w:val="center"/>
              <w:rPr>
                <w:sz w:val="18"/>
                <w:szCs w:val="18"/>
              </w:rPr>
            </w:pPr>
          </w:p>
          <w:p w14:paraId="42B598C0" w14:textId="77777777" w:rsidR="00730EAA" w:rsidRPr="00711870" w:rsidRDefault="00730EAA" w:rsidP="00165D86">
            <w:pPr>
              <w:jc w:val="center"/>
              <w:rPr>
                <w:sz w:val="18"/>
                <w:szCs w:val="18"/>
              </w:rPr>
            </w:pPr>
          </w:p>
          <w:p w14:paraId="4BB1DB09" w14:textId="77777777" w:rsidR="00730EAA" w:rsidRPr="00711870" w:rsidRDefault="00730EAA" w:rsidP="00165D86">
            <w:pPr>
              <w:jc w:val="center"/>
              <w:rPr>
                <w:sz w:val="18"/>
                <w:szCs w:val="18"/>
              </w:rPr>
            </w:pPr>
            <w:r w:rsidRPr="00711870">
              <w:rPr>
                <w:sz w:val="18"/>
                <w:szCs w:val="18"/>
              </w:rPr>
              <w:t>7.4</w:t>
            </w:r>
          </w:p>
          <w:p w14:paraId="012CC795" w14:textId="77777777" w:rsidR="00730EAA" w:rsidRPr="00711870" w:rsidRDefault="00730EAA" w:rsidP="00165D86">
            <w:pPr>
              <w:jc w:val="center"/>
              <w:rPr>
                <w:sz w:val="18"/>
                <w:szCs w:val="18"/>
              </w:rPr>
            </w:pPr>
          </w:p>
        </w:tc>
        <w:tc>
          <w:tcPr>
            <w:tcW w:w="1411" w:type="pct"/>
            <w:tcBorders>
              <w:top w:val="single" w:sz="4" w:space="0" w:color="auto"/>
              <w:left w:val="single" w:sz="4" w:space="0" w:color="auto"/>
              <w:bottom w:val="single" w:sz="4" w:space="0" w:color="auto"/>
              <w:right w:val="single" w:sz="4" w:space="0" w:color="auto"/>
            </w:tcBorders>
            <w:hideMark/>
          </w:tcPr>
          <w:p w14:paraId="2DF15468" w14:textId="77777777" w:rsidR="00730EAA" w:rsidRPr="00711870" w:rsidRDefault="00730EAA" w:rsidP="00165D86">
            <w:pPr>
              <w:rPr>
                <w:rFonts w:cstheme="minorHAnsi"/>
                <w:sz w:val="18"/>
                <w:szCs w:val="18"/>
                <w:lang w:val="en-US"/>
              </w:rPr>
            </w:pPr>
            <w:r>
              <w:rPr>
                <w:rFonts w:cstheme="minorHAnsi"/>
                <w:sz w:val="18"/>
                <w:szCs w:val="18"/>
                <w:lang w:val="en-US"/>
              </w:rPr>
              <w:t xml:space="preserve">PT2/4 - </w:t>
            </w:r>
            <w:r w:rsidRPr="00711870">
              <w:rPr>
                <w:rFonts w:cstheme="minorHAnsi"/>
                <w:sz w:val="18"/>
                <w:szCs w:val="18"/>
                <w:lang w:val="en-US"/>
              </w:rPr>
              <w:t xml:space="preserve">Concentrated disinfectants for hard surfaces of industry, institution, healthcare facilities, health care and </w:t>
            </w:r>
            <w:r w:rsidRPr="001644F6">
              <w:rPr>
                <w:sz w:val="18"/>
                <w:szCs w:val="18"/>
              </w:rPr>
              <w:t>food preparation and handling area</w:t>
            </w:r>
          </w:p>
          <w:p w14:paraId="1E3FD2E1" w14:textId="77777777" w:rsidR="00730EAA" w:rsidRDefault="00730EAA" w:rsidP="00165D86">
            <w:pPr>
              <w:rPr>
                <w:rFonts w:cstheme="minorHAnsi"/>
                <w:sz w:val="18"/>
                <w:szCs w:val="18"/>
                <w:lang w:val="en-US"/>
              </w:rPr>
            </w:pPr>
          </w:p>
          <w:p w14:paraId="1189D074" w14:textId="77777777" w:rsidR="00730EAA" w:rsidRPr="00711870" w:rsidRDefault="00730EAA" w:rsidP="00165D86">
            <w:pPr>
              <w:rPr>
                <w:rFonts w:cstheme="minorHAnsi"/>
                <w:sz w:val="18"/>
                <w:szCs w:val="18"/>
                <w:lang w:val="en-US"/>
              </w:rPr>
            </w:pPr>
            <w:r>
              <w:rPr>
                <w:rFonts w:cstheme="minorHAnsi"/>
                <w:sz w:val="18"/>
                <w:szCs w:val="18"/>
                <w:lang w:val="en-US"/>
              </w:rPr>
              <w:t xml:space="preserve">PT2 - </w:t>
            </w:r>
            <w:r w:rsidRPr="00711870">
              <w:rPr>
                <w:rFonts w:cstheme="minorHAnsi"/>
                <w:sz w:val="18"/>
                <w:szCs w:val="18"/>
                <w:lang w:val="en-US"/>
              </w:rPr>
              <w:t>Concentrated disinfectants for hard surfaces of industry, institution and healthcare facilities areas</w:t>
            </w:r>
          </w:p>
        </w:tc>
        <w:tc>
          <w:tcPr>
            <w:tcW w:w="1115" w:type="pct"/>
            <w:tcBorders>
              <w:top w:val="single" w:sz="4" w:space="0" w:color="auto"/>
              <w:left w:val="single" w:sz="4" w:space="0" w:color="auto"/>
              <w:bottom w:val="single" w:sz="4" w:space="0" w:color="auto"/>
              <w:right w:val="single" w:sz="4" w:space="0" w:color="auto"/>
            </w:tcBorders>
            <w:hideMark/>
          </w:tcPr>
          <w:p w14:paraId="6F0EB1A4" w14:textId="0C2EF0DA" w:rsidR="00730EAA" w:rsidRPr="00711870" w:rsidRDefault="00730EAA" w:rsidP="00165D86">
            <w:pPr>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w:t>
            </w:r>
          </w:p>
          <w:p w14:paraId="21C1CB51" w14:textId="77777777" w:rsidR="00730EAA" w:rsidRPr="00711870" w:rsidRDefault="00730EAA" w:rsidP="00165D86">
            <w:pPr>
              <w:rPr>
                <w:color w:val="221E1F"/>
                <w:sz w:val="18"/>
                <w:szCs w:val="18"/>
                <w:lang w:val="en-US"/>
              </w:rPr>
            </w:pPr>
          </w:p>
          <w:p w14:paraId="22A19F7F" w14:textId="77777777" w:rsidR="00730EAA" w:rsidRPr="00711870" w:rsidRDefault="00730EAA" w:rsidP="00165D86">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w:t>
            </w:r>
            <w:r w:rsidRPr="00711870">
              <w:rPr>
                <w:rFonts w:cstheme="minorHAnsi"/>
                <w:color w:val="221E1F"/>
                <w:sz w:val="18"/>
                <w:szCs w:val="18"/>
                <w:lang w:val="en-US"/>
              </w:rPr>
              <w:t>s</w:t>
            </w:r>
          </w:p>
          <w:p w14:paraId="2D70800A"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4FECBC40" w14:textId="4A3E6B11" w:rsidR="00730EAA" w:rsidRPr="00711870" w:rsidRDefault="00730EAA" w:rsidP="00165D86">
            <w:pPr>
              <w:spacing w:after="120"/>
              <w:rPr>
                <w:color w:val="221E1F"/>
                <w:sz w:val="18"/>
                <w:szCs w:val="18"/>
                <w:lang w:val="en-US"/>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bottom w:val="single" w:sz="4" w:space="0" w:color="auto"/>
              <w:right w:val="single" w:sz="4" w:space="0" w:color="auto"/>
            </w:tcBorders>
          </w:tcPr>
          <w:p w14:paraId="1E4883F0" w14:textId="7456A54F" w:rsidR="00730EAA" w:rsidRPr="00711870" w:rsidRDefault="00730EAA" w:rsidP="00165D86">
            <w:pPr>
              <w:rPr>
                <w:color w:val="221E1F"/>
                <w:sz w:val="18"/>
                <w:szCs w:val="18"/>
                <w:lang w:val="en-US"/>
              </w:rPr>
            </w:pPr>
            <w:r>
              <w:rPr>
                <w:color w:val="221E1F"/>
                <w:sz w:val="18"/>
                <w:szCs w:val="18"/>
                <w:lang w:val="en-US"/>
              </w:rPr>
              <w:t>Acceptable</w:t>
            </w:r>
          </w:p>
        </w:tc>
      </w:tr>
      <w:tr w:rsidR="00730EAA" w14:paraId="4318EB52" w14:textId="1416E0D3" w:rsidTr="00DD2106">
        <w:trPr>
          <w:trHeight w:val="578"/>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125B5086" w14:textId="77777777" w:rsidR="00730EAA" w:rsidRPr="00711870" w:rsidRDefault="00730EAA" w:rsidP="00165D86">
            <w:pPr>
              <w:jc w:val="center"/>
              <w:rPr>
                <w:color w:val="17365D" w:themeColor="text2" w:themeShade="BF"/>
                <w:sz w:val="18"/>
                <w:szCs w:val="18"/>
              </w:rPr>
            </w:pPr>
            <w:r w:rsidRPr="00711870">
              <w:rPr>
                <w:color w:val="17365D" w:themeColor="text2" w:themeShade="BF"/>
                <w:sz w:val="18"/>
                <w:szCs w:val="18"/>
              </w:rPr>
              <w:lastRenderedPageBreak/>
              <w:t>8</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CD3E2" w14:textId="77777777" w:rsidR="00730EAA" w:rsidRPr="00711870" w:rsidRDefault="00730EAA" w:rsidP="00165D86">
            <w:pPr>
              <w:jc w:val="center"/>
              <w:rPr>
                <w:sz w:val="18"/>
                <w:szCs w:val="18"/>
              </w:rPr>
            </w:pPr>
            <w:r w:rsidRPr="00711870">
              <w:rPr>
                <w:sz w:val="18"/>
                <w:szCs w:val="18"/>
              </w:rPr>
              <w:t>2</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96F93" w14:textId="77777777" w:rsidR="00730EAA" w:rsidRPr="00711870" w:rsidRDefault="00730EAA" w:rsidP="00165D86">
            <w:pPr>
              <w:jc w:val="center"/>
              <w:rPr>
                <w:sz w:val="18"/>
                <w:szCs w:val="18"/>
              </w:rPr>
            </w:pPr>
            <w:r w:rsidRPr="00711870">
              <w:rPr>
                <w:sz w:val="18"/>
                <w:szCs w:val="18"/>
              </w:rPr>
              <w:t>8.1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08CA3884" w14:textId="77777777" w:rsidR="00730EAA" w:rsidRPr="00711870" w:rsidRDefault="00730EAA" w:rsidP="00165D86">
            <w:pPr>
              <w:widowControl w:val="0"/>
              <w:suppressAutoHyphens w:val="0"/>
              <w:autoSpaceDE w:val="0"/>
              <w:autoSpaceDN w:val="0"/>
              <w:adjustRightInd w:val="0"/>
              <w:rPr>
                <w:rFonts w:cstheme="minorHAnsi"/>
                <w:sz w:val="18"/>
                <w:szCs w:val="18"/>
              </w:rPr>
            </w:pPr>
            <w:r>
              <w:rPr>
                <w:rFonts w:cstheme="minorHAnsi"/>
                <w:sz w:val="18"/>
                <w:szCs w:val="18"/>
              </w:rPr>
              <w:t xml:space="preserve">PT2 - </w:t>
            </w:r>
            <w:r w:rsidRPr="00711870">
              <w:rPr>
                <w:rFonts w:cstheme="minorHAnsi"/>
                <w:sz w:val="18"/>
                <w:szCs w:val="18"/>
              </w:rPr>
              <w:t xml:space="preserve">Concentrated disinfectants for hard surfaces of domestic area </w:t>
            </w:r>
            <w:r w:rsidRPr="003D6D39">
              <w:rPr>
                <w:rFonts w:cstheme="minorHAnsi"/>
                <w:sz w:val="18"/>
                <w:szCs w:val="18"/>
              </w:rPr>
              <w:t xml:space="preserve">including toilets bowls </w:t>
            </w:r>
            <w:r w:rsidRPr="00711870">
              <w:rPr>
                <w:rFonts w:cstheme="minorHAnsi"/>
                <w:sz w:val="18"/>
                <w:szCs w:val="18"/>
              </w:rPr>
              <w:t>(non-pro)</w:t>
            </w:r>
          </w:p>
        </w:tc>
        <w:tc>
          <w:tcPr>
            <w:tcW w:w="1115" w:type="pct"/>
            <w:tcBorders>
              <w:top w:val="single" w:sz="4" w:space="0" w:color="auto"/>
              <w:left w:val="single" w:sz="4" w:space="0" w:color="auto"/>
              <w:bottom w:val="single" w:sz="4" w:space="0" w:color="auto"/>
              <w:right w:val="single" w:sz="4" w:space="0" w:color="auto"/>
            </w:tcBorders>
            <w:vAlign w:val="center"/>
            <w:hideMark/>
          </w:tcPr>
          <w:p w14:paraId="50E6D8D3" w14:textId="25D2BF60" w:rsidR="00730EAA" w:rsidRPr="00711870" w:rsidRDefault="00730EAA" w:rsidP="00165D86">
            <w:pPr>
              <w:spacing w:after="120"/>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tc>
        <w:tc>
          <w:tcPr>
            <w:tcW w:w="1114" w:type="pct"/>
            <w:tcBorders>
              <w:top w:val="single" w:sz="4" w:space="0" w:color="auto"/>
              <w:left w:val="single" w:sz="4" w:space="0" w:color="auto"/>
              <w:bottom w:val="single" w:sz="4" w:space="0" w:color="auto"/>
              <w:right w:val="single" w:sz="4" w:space="0" w:color="auto"/>
            </w:tcBorders>
          </w:tcPr>
          <w:p w14:paraId="4CBBC3BC" w14:textId="687810CA" w:rsidR="00730EAA" w:rsidRPr="00711870" w:rsidRDefault="00730EAA" w:rsidP="00165D86">
            <w:pPr>
              <w:spacing w:after="120"/>
              <w:rPr>
                <w:color w:val="221E1F"/>
                <w:sz w:val="18"/>
                <w:szCs w:val="18"/>
                <w:lang w:val="en-US"/>
              </w:rPr>
            </w:pPr>
            <w:r>
              <w:rPr>
                <w:color w:val="221E1F"/>
                <w:sz w:val="18"/>
                <w:szCs w:val="18"/>
                <w:lang w:val="en-US"/>
              </w:rPr>
              <w:t>Acceptable</w:t>
            </w:r>
          </w:p>
        </w:tc>
      </w:tr>
      <w:tr w:rsidR="00730EAA" w14:paraId="10526193" w14:textId="5D421DE5" w:rsidTr="00DD2106">
        <w:trPr>
          <w:trHeight w:val="1809"/>
          <w:jc w:val="center"/>
        </w:trPr>
        <w:tc>
          <w:tcPr>
            <w:tcW w:w="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088C5F"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9</w:t>
            </w:r>
          </w:p>
        </w:tc>
        <w:tc>
          <w:tcPr>
            <w:tcW w:w="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FDDB5A" w14:textId="77777777" w:rsidR="00730EAA" w:rsidRPr="00711870" w:rsidRDefault="00730EAA" w:rsidP="00165D86">
            <w:pPr>
              <w:jc w:val="center"/>
              <w:rPr>
                <w:sz w:val="18"/>
                <w:szCs w:val="18"/>
                <w:lang w:val="en-US"/>
              </w:rPr>
            </w:pPr>
            <w:r w:rsidRPr="00711870">
              <w:rPr>
                <w:sz w:val="18"/>
                <w:szCs w:val="18"/>
              </w:rPr>
              <w:t>2, 3</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4C012" w14:textId="77777777" w:rsidR="00730EAA" w:rsidRPr="00711870" w:rsidRDefault="00730EAA" w:rsidP="00165D86">
            <w:pPr>
              <w:jc w:val="center"/>
              <w:rPr>
                <w:sz w:val="18"/>
                <w:szCs w:val="18"/>
                <w:lang w:val="en-US"/>
              </w:rPr>
            </w:pPr>
            <w:r w:rsidRPr="00711870">
              <w:rPr>
                <w:sz w:val="18"/>
                <w:szCs w:val="18"/>
                <w:lang w:val="en-US"/>
              </w:rPr>
              <w:t>9.1</w:t>
            </w:r>
          </w:p>
          <w:p w14:paraId="45D94B1B" w14:textId="77777777" w:rsidR="00730EAA" w:rsidRPr="00711870" w:rsidRDefault="00730EAA" w:rsidP="00165D86">
            <w:pPr>
              <w:jc w:val="center"/>
              <w:rPr>
                <w:sz w:val="18"/>
                <w:szCs w:val="18"/>
                <w:lang w:val="en-US"/>
              </w:rPr>
            </w:pPr>
          </w:p>
          <w:p w14:paraId="3C23191C" w14:textId="77777777" w:rsidR="00730EAA" w:rsidRDefault="00730EAA" w:rsidP="00165D86">
            <w:pPr>
              <w:jc w:val="center"/>
              <w:rPr>
                <w:sz w:val="18"/>
                <w:szCs w:val="18"/>
                <w:lang w:val="en-US"/>
              </w:rPr>
            </w:pPr>
          </w:p>
          <w:p w14:paraId="298719E5" w14:textId="77777777" w:rsidR="00730EAA" w:rsidRPr="00711870" w:rsidRDefault="00730EAA" w:rsidP="00165D86">
            <w:pPr>
              <w:jc w:val="center"/>
              <w:rPr>
                <w:sz w:val="18"/>
                <w:szCs w:val="18"/>
                <w:lang w:val="en-US"/>
              </w:rPr>
            </w:pPr>
          </w:p>
          <w:p w14:paraId="3EF92E0C" w14:textId="77777777" w:rsidR="00730EAA" w:rsidRPr="00711870" w:rsidRDefault="00730EAA" w:rsidP="00165D86">
            <w:pPr>
              <w:jc w:val="center"/>
              <w:rPr>
                <w:sz w:val="18"/>
                <w:szCs w:val="18"/>
                <w:lang w:val="en-US"/>
              </w:rPr>
            </w:pPr>
            <w:r w:rsidRPr="00711870">
              <w:rPr>
                <w:sz w:val="18"/>
                <w:szCs w:val="18"/>
                <w:lang w:val="en-US"/>
              </w:rPr>
              <w:t>9.2</w:t>
            </w:r>
          </w:p>
        </w:tc>
        <w:tc>
          <w:tcPr>
            <w:tcW w:w="14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8639D" w14:textId="77777777" w:rsidR="00730EAA" w:rsidRPr="00711870" w:rsidRDefault="00730EAA" w:rsidP="00165D86">
            <w:pPr>
              <w:rPr>
                <w:sz w:val="18"/>
                <w:szCs w:val="18"/>
              </w:rPr>
            </w:pPr>
            <w:r>
              <w:rPr>
                <w:sz w:val="18"/>
                <w:szCs w:val="18"/>
              </w:rPr>
              <w:t xml:space="preserve">PT2 - </w:t>
            </w:r>
            <w:r w:rsidRPr="00711870">
              <w:rPr>
                <w:sz w:val="18"/>
                <w:szCs w:val="18"/>
              </w:rPr>
              <w:t xml:space="preserve">RTU disinfectants for hard surfaces of domestic area </w:t>
            </w:r>
            <w:r w:rsidRPr="003D6D39">
              <w:rPr>
                <w:rFonts w:cstheme="minorHAnsi"/>
                <w:sz w:val="18"/>
                <w:szCs w:val="18"/>
              </w:rPr>
              <w:t xml:space="preserve">including toilets bowls </w:t>
            </w:r>
            <w:r w:rsidRPr="00711870">
              <w:rPr>
                <w:sz w:val="18"/>
                <w:szCs w:val="18"/>
              </w:rPr>
              <w:t>(non-pro)</w:t>
            </w:r>
          </w:p>
          <w:p w14:paraId="57C27565" w14:textId="77777777" w:rsidR="00730EAA" w:rsidRDefault="00730EAA" w:rsidP="00165D86">
            <w:pPr>
              <w:rPr>
                <w:sz w:val="18"/>
                <w:szCs w:val="18"/>
              </w:rPr>
            </w:pPr>
          </w:p>
          <w:p w14:paraId="5A1E8B2B" w14:textId="77777777" w:rsidR="00730EAA" w:rsidRPr="00711870" w:rsidRDefault="00730EAA" w:rsidP="00165D86">
            <w:pPr>
              <w:rPr>
                <w:sz w:val="18"/>
                <w:szCs w:val="18"/>
              </w:rPr>
            </w:pPr>
            <w:r>
              <w:rPr>
                <w:sz w:val="18"/>
                <w:szCs w:val="18"/>
              </w:rPr>
              <w:t xml:space="preserve">PT3 - </w:t>
            </w:r>
            <w:r w:rsidRPr="00711870">
              <w:rPr>
                <w:sz w:val="18"/>
                <w:szCs w:val="18"/>
              </w:rPr>
              <w:t>RTU disinfectants for hard surfaces in companion animals’ environment for private homes ( non-pro)</w:t>
            </w:r>
          </w:p>
        </w:tc>
        <w:tc>
          <w:tcPr>
            <w:tcW w:w="11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DC48A" w14:textId="41FE5161" w:rsidR="00730EAA" w:rsidRPr="00711870" w:rsidRDefault="00730EAA" w:rsidP="00165D86">
            <w:pPr>
              <w:suppressAutoHyphens w:val="0"/>
              <w:spacing w:after="120"/>
              <w:contextualSpacing/>
              <w:rPr>
                <w:rFonts w:cstheme="minorHAnsi"/>
                <w:color w:val="191617"/>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areas</w:t>
            </w:r>
          </w:p>
          <w:p w14:paraId="50F9CCC1" w14:textId="77777777" w:rsidR="00730EAA" w:rsidRPr="00711870" w:rsidRDefault="00730EAA" w:rsidP="00165D86">
            <w:pPr>
              <w:suppressAutoHyphens w:val="0"/>
              <w:spacing w:after="120"/>
              <w:contextualSpacing/>
              <w:rPr>
                <w:rFonts w:cstheme="minorHAnsi"/>
                <w:color w:val="191617"/>
                <w:sz w:val="18"/>
                <w:szCs w:val="18"/>
                <w:lang w:val="en-US"/>
              </w:rPr>
            </w:pPr>
          </w:p>
          <w:p w14:paraId="1A30F42A" w14:textId="77777777" w:rsidR="00730EAA" w:rsidRPr="00711870" w:rsidRDefault="00730EAA" w:rsidP="00165D86">
            <w:pPr>
              <w:suppressAutoHyphens w:val="0"/>
              <w:spacing w:after="120"/>
              <w:contextualSpacing/>
              <w:rPr>
                <w:sz w:val="18"/>
                <w:szCs w:val="18"/>
                <w:lang w:val="en-US"/>
              </w:rPr>
            </w:pPr>
          </w:p>
          <w:p w14:paraId="63139FE2" w14:textId="3AD4B876" w:rsidR="00730EAA" w:rsidRPr="00711870" w:rsidRDefault="00730EAA" w:rsidP="00165D86">
            <w:pPr>
              <w:suppressAutoHyphens w:val="0"/>
              <w:spacing w:after="120"/>
              <w:contextualSpacing/>
              <w:rPr>
                <w:sz w:val="18"/>
                <w:szCs w:val="18"/>
              </w:rPr>
            </w:pPr>
            <w:r w:rsidRPr="00711870">
              <w:rPr>
                <w:sz w:val="18"/>
                <w:szCs w:val="18"/>
              </w:rPr>
              <w:t xml:space="preserve">PT3- Scenario </w:t>
            </w:r>
            <w:r>
              <w:rPr>
                <w:sz w:val="18"/>
                <w:szCs w:val="18"/>
              </w:rPr>
              <w:t xml:space="preserve">6: </w:t>
            </w:r>
            <w:r w:rsidRPr="00711870">
              <w:rPr>
                <w:sz w:val="18"/>
                <w:szCs w:val="18"/>
              </w:rPr>
              <w:t>Outdoor - Disinfection of domestic animal housing - direct emission to soil</w:t>
            </w:r>
            <w:r>
              <w:rPr>
                <w:sz w:val="18"/>
                <w:szCs w:val="18"/>
              </w:rPr>
              <w:t xml:space="preserve"> and indirect emission to the STP</w:t>
            </w:r>
          </w:p>
          <w:p w14:paraId="02E99CE3" w14:textId="77777777" w:rsidR="00730EAA" w:rsidRPr="00711870" w:rsidRDefault="00730EAA" w:rsidP="00165D86">
            <w:pPr>
              <w:suppressAutoHyphens w:val="0"/>
              <w:spacing w:after="120"/>
              <w:contextualSpacing/>
              <w:rPr>
                <w:sz w:val="18"/>
                <w:szCs w:val="18"/>
              </w:rPr>
            </w:pPr>
          </w:p>
          <w:p w14:paraId="573466A3" w14:textId="77777777" w:rsidR="00730EAA" w:rsidRPr="00711870" w:rsidRDefault="00730EAA" w:rsidP="00165D86">
            <w:pPr>
              <w:suppressAutoHyphens w:val="0"/>
              <w:spacing w:after="120"/>
              <w:contextualSpacing/>
              <w:rPr>
                <w:sz w:val="18"/>
                <w:szCs w:val="18"/>
              </w:rPr>
            </w:pPr>
          </w:p>
        </w:tc>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83268" w14:textId="77777777" w:rsidR="00730EAA" w:rsidRPr="00730EAA" w:rsidRDefault="00730EAA">
            <w:pPr>
              <w:suppressAutoHyphens w:val="0"/>
              <w:spacing w:after="120"/>
              <w:contextualSpacing/>
              <w:rPr>
                <w:b/>
                <w:color w:val="221E1F"/>
                <w:sz w:val="18"/>
                <w:szCs w:val="18"/>
                <w:lang w:val="en-US"/>
              </w:rPr>
            </w:pPr>
            <w:r w:rsidRPr="00730EAA">
              <w:rPr>
                <w:b/>
                <w:color w:val="221E1F"/>
                <w:sz w:val="18"/>
                <w:szCs w:val="18"/>
                <w:lang w:val="en-US"/>
              </w:rPr>
              <w:t>Non acceptable risks for the aquatic compartment for use 9.1</w:t>
            </w:r>
          </w:p>
          <w:p w14:paraId="0B8A1E7A" w14:textId="77777777" w:rsidR="00730EAA" w:rsidRPr="00730EAA" w:rsidRDefault="00730EAA">
            <w:pPr>
              <w:suppressAutoHyphens w:val="0"/>
              <w:spacing w:after="120"/>
              <w:contextualSpacing/>
              <w:rPr>
                <w:b/>
                <w:color w:val="221E1F"/>
                <w:sz w:val="18"/>
                <w:szCs w:val="18"/>
                <w:lang w:val="en-US"/>
              </w:rPr>
            </w:pPr>
          </w:p>
          <w:p w14:paraId="108D5EEB" w14:textId="77777777" w:rsidR="00730EAA" w:rsidRPr="00730EAA" w:rsidRDefault="00730EAA">
            <w:pPr>
              <w:suppressAutoHyphens w:val="0"/>
              <w:spacing w:after="120"/>
              <w:contextualSpacing/>
              <w:rPr>
                <w:b/>
                <w:color w:val="221E1F"/>
                <w:sz w:val="18"/>
                <w:szCs w:val="18"/>
                <w:lang w:val="en-US"/>
              </w:rPr>
            </w:pPr>
            <w:r w:rsidRPr="00730EAA">
              <w:rPr>
                <w:b/>
                <w:color w:val="221E1F"/>
                <w:sz w:val="18"/>
                <w:szCs w:val="18"/>
                <w:lang w:val="en-US"/>
              </w:rPr>
              <w:t>Non acceptable risks for the aquatic and terrestrial compartments for use 9.2</w:t>
            </w:r>
          </w:p>
          <w:p w14:paraId="5AFF7EC2" w14:textId="77777777" w:rsidR="00730EAA" w:rsidRDefault="00730EAA">
            <w:pPr>
              <w:suppressAutoHyphens w:val="0"/>
              <w:spacing w:after="120"/>
              <w:contextualSpacing/>
              <w:rPr>
                <w:color w:val="221E1F"/>
                <w:sz w:val="18"/>
                <w:szCs w:val="18"/>
                <w:lang w:val="en-US"/>
              </w:rPr>
            </w:pPr>
          </w:p>
          <w:p w14:paraId="4C81B66D" w14:textId="5A110BD3" w:rsidR="00730EAA" w:rsidRPr="00711870" w:rsidRDefault="00730EAA">
            <w:pPr>
              <w:suppressAutoHyphens w:val="0"/>
              <w:spacing w:after="120"/>
              <w:contextualSpacing/>
              <w:rPr>
                <w:color w:val="221E1F"/>
                <w:sz w:val="18"/>
                <w:szCs w:val="18"/>
                <w:lang w:val="en-US"/>
              </w:rPr>
            </w:pPr>
            <w:r>
              <w:rPr>
                <w:color w:val="221E1F"/>
                <w:sz w:val="18"/>
                <w:szCs w:val="18"/>
                <w:lang w:val="en-US"/>
              </w:rPr>
              <w:t xml:space="preserve"> </w:t>
            </w:r>
          </w:p>
        </w:tc>
      </w:tr>
      <w:tr w:rsidR="00730EAA" w14:paraId="5A6BA354" w14:textId="557E063E" w:rsidTr="00DD2106">
        <w:trPr>
          <w:trHeight w:val="732"/>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4375ED2A"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10</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1836E8" w14:textId="77777777" w:rsidR="00730EAA" w:rsidRPr="00711870" w:rsidRDefault="00730EAA" w:rsidP="00165D86">
            <w:pPr>
              <w:jc w:val="center"/>
              <w:rPr>
                <w:sz w:val="18"/>
                <w:szCs w:val="18"/>
                <w:lang w:val="en-US"/>
              </w:rPr>
            </w:pPr>
            <w:r w:rsidRPr="00711870">
              <w:rPr>
                <w:sz w:val="18"/>
                <w:szCs w:val="18"/>
                <w:lang w:val="en-US"/>
              </w:rPr>
              <w:t>2, 3</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F232C" w14:textId="77777777" w:rsidR="00730EAA" w:rsidRPr="00711870" w:rsidRDefault="00730EAA" w:rsidP="00165D86">
            <w:pPr>
              <w:jc w:val="center"/>
              <w:rPr>
                <w:sz w:val="18"/>
                <w:szCs w:val="18"/>
                <w:lang w:val="en-US"/>
              </w:rPr>
            </w:pPr>
            <w:r w:rsidRPr="00711870">
              <w:rPr>
                <w:sz w:val="18"/>
                <w:szCs w:val="18"/>
                <w:lang w:val="en-US"/>
              </w:rPr>
              <w:t>10.1</w:t>
            </w:r>
          </w:p>
          <w:p w14:paraId="53F50E00" w14:textId="77777777" w:rsidR="00730EAA" w:rsidRPr="00711870" w:rsidRDefault="00730EAA" w:rsidP="00165D86">
            <w:pPr>
              <w:jc w:val="center"/>
              <w:rPr>
                <w:sz w:val="18"/>
                <w:szCs w:val="18"/>
                <w:lang w:val="en-US"/>
              </w:rPr>
            </w:pPr>
          </w:p>
          <w:p w14:paraId="7B26E69F" w14:textId="77777777" w:rsidR="00730EAA" w:rsidRDefault="00730EAA" w:rsidP="00165D86">
            <w:pPr>
              <w:jc w:val="center"/>
              <w:rPr>
                <w:sz w:val="18"/>
                <w:szCs w:val="18"/>
                <w:lang w:val="en-US"/>
              </w:rPr>
            </w:pPr>
          </w:p>
          <w:p w14:paraId="1E6A4CB0" w14:textId="77777777" w:rsidR="00730EAA" w:rsidRPr="00711870" w:rsidRDefault="00730EAA" w:rsidP="00165D86">
            <w:pPr>
              <w:jc w:val="center"/>
              <w:rPr>
                <w:sz w:val="18"/>
                <w:szCs w:val="18"/>
                <w:lang w:val="en-US"/>
              </w:rPr>
            </w:pPr>
          </w:p>
          <w:p w14:paraId="6F0CB734" w14:textId="77777777" w:rsidR="00730EAA" w:rsidRPr="00711870" w:rsidRDefault="00730EAA" w:rsidP="00165D86">
            <w:pPr>
              <w:jc w:val="center"/>
              <w:rPr>
                <w:sz w:val="18"/>
                <w:szCs w:val="18"/>
                <w:lang w:val="en-US"/>
              </w:rPr>
            </w:pPr>
            <w:r w:rsidRPr="00711870">
              <w:rPr>
                <w:sz w:val="18"/>
                <w:szCs w:val="18"/>
                <w:lang w:val="en-US"/>
              </w:rPr>
              <w:t>10.2</w:t>
            </w:r>
          </w:p>
        </w:tc>
        <w:tc>
          <w:tcPr>
            <w:tcW w:w="1411" w:type="pct"/>
            <w:tcBorders>
              <w:top w:val="single" w:sz="4" w:space="0" w:color="auto"/>
              <w:left w:val="single" w:sz="4" w:space="0" w:color="auto"/>
              <w:bottom w:val="single" w:sz="4" w:space="0" w:color="auto"/>
              <w:right w:val="single" w:sz="4" w:space="0" w:color="auto"/>
            </w:tcBorders>
            <w:hideMark/>
          </w:tcPr>
          <w:p w14:paraId="55DD39BB" w14:textId="77777777" w:rsidR="00730EAA" w:rsidRDefault="00730EAA" w:rsidP="00165D86">
            <w:pPr>
              <w:rPr>
                <w:sz w:val="18"/>
                <w:szCs w:val="18"/>
              </w:rPr>
            </w:pPr>
            <w:r>
              <w:rPr>
                <w:sz w:val="18"/>
                <w:szCs w:val="18"/>
              </w:rPr>
              <w:t xml:space="preserve">PT2 - </w:t>
            </w:r>
            <w:r w:rsidRPr="00711870">
              <w:rPr>
                <w:sz w:val="18"/>
                <w:szCs w:val="18"/>
              </w:rPr>
              <w:t>Concentrated disinfectants for hard surfaces of domestic area (non-pro)</w:t>
            </w:r>
          </w:p>
          <w:p w14:paraId="22FC8DE2" w14:textId="77777777" w:rsidR="00730EAA" w:rsidRPr="00711870" w:rsidRDefault="00730EAA" w:rsidP="00165D86">
            <w:pPr>
              <w:rPr>
                <w:sz w:val="18"/>
                <w:szCs w:val="18"/>
              </w:rPr>
            </w:pPr>
          </w:p>
          <w:p w14:paraId="4DDBCD80" w14:textId="77777777" w:rsidR="00730EAA" w:rsidRPr="00711870" w:rsidRDefault="00730EAA" w:rsidP="00165D86">
            <w:pPr>
              <w:rPr>
                <w:sz w:val="18"/>
                <w:szCs w:val="18"/>
              </w:rPr>
            </w:pPr>
            <w:r>
              <w:rPr>
                <w:sz w:val="18"/>
                <w:szCs w:val="18"/>
              </w:rPr>
              <w:t xml:space="preserve">PT3 - </w:t>
            </w:r>
            <w:r w:rsidRPr="00711870">
              <w:rPr>
                <w:sz w:val="18"/>
                <w:szCs w:val="18"/>
              </w:rPr>
              <w:t>Concentrated disinfectants for hard surfaces in companion animals’ environment for private homes (non-pro)</w:t>
            </w:r>
          </w:p>
        </w:tc>
        <w:tc>
          <w:tcPr>
            <w:tcW w:w="1115" w:type="pct"/>
            <w:tcBorders>
              <w:top w:val="single" w:sz="4" w:space="0" w:color="auto"/>
              <w:left w:val="single" w:sz="4" w:space="0" w:color="auto"/>
              <w:bottom w:val="single" w:sz="4" w:space="0" w:color="auto"/>
              <w:right w:val="single" w:sz="4" w:space="0" w:color="auto"/>
            </w:tcBorders>
            <w:vAlign w:val="center"/>
          </w:tcPr>
          <w:p w14:paraId="04677C66" w14:textId="1B0EFD5D" w:rsidR="00730EAA" w:rsidRPr="00711870" w:rsidRDefault="00730EAA" w:rsidP="00165D86">
            <w:pPr>
              <w:suppressAutoHyphens w:val="0"/>
              <w:spacing w:after="120"/>
              <w:contextualSpacing/>
              <w:rPr>
                <w:rFonts w:cstheme="minorHAnsi"/>
                <w:color w:val="191617"/>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111C00D1" w14:textId="77777777" w:rsidR="00730EAA" w:rsidRPr="00711870" w:rsidRDefault="00730EAA" w:rsidP="00165D86">
            <w:pPr>
              <w:suppressAutoHyphens w:val="0"/>
              <w:spacing w:after="120"/>
              <w:contextualSpacing/>
              <w:rPr>
                <w:rFonts w:cstheme="minorHAnsi"/>
                <w:color w:val="191617"/>
                <w:sz w:val="18"/>
                <w:szCs w:val="18"/>
                <w:lang w:val="en-US"/>
              </w:rPr>
            </w:pPr>
          </w:p>
          <w:p w14:paraId="7A580865" w14:textId="77777777" w:rsidR="00730EAA" w:rsidRPr="00711870" w:rsidRDefault="00730EAA" w:rsidP="00165D86">
            <w:pPr>
              <w:suppressAutoHyphens w:val="0"/>
              <w:spacing w:after="120"/>
              <w:contextualSpacing/>
              <w:rPr>
                <w:sz w:val="18"/>
                <w:szCs w:val="18"/>
                <w:lang w:val="en-US"/>
              </w:rPr>
            </w:pPr>
          </w:p>
          <w:p w14:paraId="1E470CEB" w14:textId="77777777" w:rsidR="00730EAA" w:rsidRPr="00711870" w:rsidRDefault="00730EAA" w:rsidP="00165D86">
            <w:pPr>
              <w:suppressAutoHyphens w:val="0"/>
              <w:spacing w:after="120"/>
              <w:contextualSpacing/>
              <w:rPr>
                <w:sz w:val="18"/>
                <w:szCs w:val="18"/>
              </w:rPr>
            </w:pPr>
            <w:r w:rsidRPr="00711870">
              <w:rPr>
                <w:sz w:val="18"/>
                <w:szCs w:val="18"/>
              </w:rPr>
              <w:t xml:space="preserve">PT3- Scenario </w:t>
            </w:r>
            <w:r>
              <w:rPr>
                <w:sz w:val="18"/>
                <w:szCs w:val="18"/>
              </w:rPr>
              <w:t>6</w:t>
            </w:r>
            <w:r w:rsidRPr="00711870">
              <w:rPr>
                <w:sz w:val="18"/>
                <w:szCs w:val="18"/>
              </w:rPr>
              <w:t xml:space="preserve">: </w:t>
            </w:r>
            <w:r>
              <w:rPr>
                <w:sz w:val="18"/>
                <w:szCs w:val="18"/>
              </w:rPr>
              <w:t xml:space="preserve">Indoor &amp; </w:t>
            </w:r>
            <w:r w:rsidRPr="00711870">
              <w:rPr>
                <w:sz w:val="18"/>
                <w:szCs w:val="18"/>
              </w:rPr>
              <w:t>Outdoor - Disinfection of domestic animal housing - direct emission to soil</w:t>
            </w:r>
            <w:r>
              <w:rPr>
                <w:sz w:val="18"/>
                <w:szCs w:val="18"/>
              </w:rPr>
              <w:t xml:space="preserve"> and indirect emission to the STP</w:t>
            </w:r>
          </w:p>
          <w:p w14:paraId="26C76186" w14:textId="77777777" w:rsidR="00730EAA" w:rsidRPr="00711870" w:rsidRDefault="00730EAA" w:rsidP="00165D86">
            <w:pPr>
              <w:suppressAutoHyphens w:val="0"/>
              <w:spacing w:after="120"/>
              <w:contextualSpacing/>
              <w:rPr>
                <w:sz w:val="18"/>
                <w:szCs w:val="18"/>
              </w:rPr>
            </w:pPr>
            <w:r w:rsidRPr="00711870" w:rsidDel="004C0867">
              <w:rPr>
                <w:sz w:val="18"/>
                <w:szCs w:val="18"/>
              </w:rPr>
              <w:lastRenderedPageBreak/>
              <w:t xml:space="preserve"> </w:t>
            </w:r>
          </w:p>
          <w:p w14:paraId="49F51677" w14:textId="77777777" w:rsidR="00730EAA" w:rsidRPr="00711870" w:rsidRDefault="00730EAA" w:rsidP="00165D86">
            <w:pPr>
              <w:suppressAutoHyphens w:val="0"/>
              <w:spacing w:after="120"/>
              <w:contextualSpacing/>
              <w:rPr>
                <w:sz w:val="18"/>
                <w:szCs w:val="18"/>
              </w:rPr>
            </w:pPr>
          </w:p>
        </w:tc>
        <w:tc>
          <w:tcPr>
            <w:tcW w:w="1114" w:type="pct"/>
            <w:tcBorders>
              <w:top w:val="single" w:sz="4" w:space="0" w:color="auto"/>
              <w:left w:val="single" w:sz="4" w:space="0" w:color="auto"/>
              <w:bottom w:val="single" w:sz="4" w:space="0" w:color="auto"/>
              <w:right w:val="single" w:sz="4" w:space="0" w:color="auto"/>
            </w:tcBorders>
          </w:tcPr>
          <w:p w14:paraId="7DA74762" w14:textId="77777777" w:rsidR="00730EAA" w:rsidRDefault="009D6BF5" w:rsidP="00165D86">
            <w:pPr>
              <w:suppressAutoHyphens w:val="0"/>
              <w:spacing w:after="120"/>
              <w:contextualSpacing/>
              <w:rPr>
                <w:color w:val="221E1F"/>
                <w:sz w:val="18"/>
                <w:szCs w:val="18"/>
                <w:lang w:val="en-US"/>
              </w:rPr>
            </w:pPr>
            <w:r>
              <w:rPr>
                <w:color w:val="221E1F"/>
                <w:sz w:val="18"/>
                <w:szCs w:val="18"/>
                <w:lang w:val="en-US"/>
              </w:rPr>
              <w:lastRenderedPageBreak/>
              <w:t>Acceptable risks for use 10.1</w:t>
            </w:r>
          </w:p>
          <w:p w14:paraId="1270BFF8" w14:textId="77777777" w:rsidR="009D6BF5" w:rsidRDefault="009D6BF5" w:rsidP="00165D86">
            <w:pPr>
              <w:suppressAutoHyphens w:val="0"/>
              <w:spacing w:after="120"/>
              <w:contextualSpacing/>
              <w:rPr>
                <w:color w:val="221E1F"/>
                <w:sz w:val="18"/>
                <w:szCs w:val="18"/>
                <w:lang w:val="en-US"/>
              </w:rPr>
            </w:pPr>
          </w:p>
          <w:p w14:paraId="7467CD85" w14:textId="77777777" w:rsidR="009D6BF5" w:rsidRDefault="009D6BF5" w:rsidP="00165D86">
            <w:pPr>
              <w:suppressAutoHyphens w:val="0"/>
              <w:spacing w:after="120"/>
              <w:contextualSpacing/>
              <w:rPr>
                <w:color w:val="221E1F"/>
                <w:sz w:val="18"/>
                <w:szCs w:val="18"/>
                <w:lang w:val="en-US"/>
              </w:rPr>
            </w:pPr>
            <w:r>
              <w:rPr>
                <w:color w:val="221E1F"/>
                <w:sz w:val="18"/>
                <w:szCs w:val="18"/>
                <w:lang w:val="en-US"/>
              </w:rPr>
              <w:t xml:space="preserve">Acceptable riss for use 10.2 providing the application of the </w:t>
            </w:r>
            <w:r w:rsidRPr="009D6BF5">
              <w:rPr>
                <w:color w:val="221E1F"/>
                <w:sz w:val="18"/>
                <w:szCs w:val="18"/>
                <w:lang w:val="en-US"/>
              </w:rPr>
              <w:t xml:space="preserve">RMM: </w:t>
            </w:r>
          </w:p>
          <w:p w14:paraId="24B755D5" w14:textId="77777777" w:rsidR="009D6BF5" w:rsidRDefault="009D6BF5" w:rsidP="00165D86">
            <w:pPr>
              <w:suppressAutoHyphens w:val="0"/>
              <w:spacing w:after="120"/>
              <w:contextualSpacing/>
              <w:rPr>
                <w:color w:val="221E1F"/>
                <w:sz w:val="18"/>
                <w:szCs w:val="18"/>
                <w:lang w:val="en-US"/>
              </w:rPr>
            </w:pPr>
          </w:p>
          <w:p w14:paraId="5EC26D09" w14:textId="3D313B29" w:rsidR="009D6BF5" w:rsidRPr="00711870" w:rsidRDefault="009D6BF5" w:rsidP="00165D86">
            <w:pPr>
              <w:suppressAutoHyphens w:val="0"/>
              <w:spacing w:after="120"/>
              <w:contextualSpacing/>
              <w:rPr>
                <w:color w:val="221E1F"/>
                <w:sz w:val="18"/>
                <w:szCs w:val="18"/>
                <w:lang w:val="en-US"/>
              </w:rPr>
            </w:pPr>
            <w:r w:rsidRPr="009D6BF5">
              <w:rPr>
                <w:rFonts w:eastAsia="Calibri"/>
                <w:b/>
                <w:i/>
                <w:sz w:val="18"/>
                <w:szCs w:val="18"/>
                <w:lang w:eastAsia="en-US"/>
              </w:rPr>
              <w:t>Do not rinse the treated surfaces when the product is used outdoor</w:t>
            </w:r>
          </w:p>
        </w:tc>
      </w:tr>
      <w:tr w:rsidR="00730EAA" w:rsidRPr="002D6BBB" w14:paraId="466F2781" w14:textId="5518079A" w:rsidTr="00DD2106">
        <w:trPr>
          <w:trHeight w:val="1111"/>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6E65AE05"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11</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1F438" w14:textId="77777777" w:rsidR="00730EAA" w:rsidRPr="00711870" w:rsidRDefault="00730EAA" w:rsidP="00165D86">
            <w:pPr>
              <w:jc w:val="center"/>
              <w:rPr>
                <w:sz w:val="18"/>
                <w:szCs w:val="18"/>
                <w:lang w:val="en-US"/>
              </w:rPr>
            </w:pPr>
            <w:r w:rsidRPr="00711870">
              <w:rPr>
                <w:sz w:val="18"/>
                <w:szCs w:val="18"/>
                <w:lang w:val="en-US"/>
              </w:rPr>
              <w:t>2, 4</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92F2AC" w14:textId="77777777" w:rsidR="00730EAA" w:rsidRPr="00711870" w:rsidRDefault="00730EAA" w:rsidP="00165D86">
            <w:pPr>
              <w:jc w:val="center"/>
              <w:rPr>
                <w:sz w:val="18"/>
                <w:szCs w:val="18"/>
                <w:lang w:val="en-US"/>
              </w:rPr>
            </w:pPr>
            <w:r w:rsidRPr="00711870">
              <w:rPr>
                <w:sz w:val="18"/>
                <w:szCs w:val="18"/>
                <w:lang w:val="en-US"/>
              </w:rPr>
              <w:t>11.1</w:t>
            </w:r>
          </w:p>
        </w:tc>
        <w:tc>
          <w:tcPr>
            <w:tcW w:w="1411" w:type="pct"/>
            <w:tcBorders>
              <w:top w:val="single" w:sz="4" w:space="0" w:color="auto"/>
              <w:left w:val="single" w:sz="4" w:space="0" w:color="auto"/>
              <w:bottom w:val="single" w:sz="4" w:space="0" w:color="auto"/>
              <w:right w:val="single" w:sz="4" w:space="0" w:color="auto"/>
            </w:tcBorders>
            <w:vAlign w:val="center"/>
            <w:hideMark/>
          </w:tcPr>
          <w:p w14:paraId="42745A4B" w14:textId="77777777" w:rsidR="00730EAA" w:rsidRPr="00711870" w:rsidRDefault="00730EAA" w:rsidP="00165D86">
            <w:pPr>
              <w:rPr>
                <w:sz w:val="18"/>
                <w:szCs w:val="18"/>
              </w:rPr>
            </w:pPr>
            <w:r>
              <w:rPr>
                <w:sz w:val="18"/>
                <w:szCs w:val="18"/>
              </w:rPr>
              <w:t xml:space="preserve">PT2/4 - </w:t>
            </w:r>
            <w:r w:rsidRPr="00711870">
              <w:rPr>
                <w:sz w:val="18"/>
                <w:szCs w:val="18"/>
              </w:rPr>
              <w:t>Concentrated disinfectants for hard surfaces of industry, institution and healthcare facilities and food</w:t>
            </w:r>
            <w:r w:rsidRPr="001644F6">
              <w:rPr>
                <w:sz w:val="18"/>
                <w:szCs w:val="18"/>
              </w:rPr>
              <w:t xml:space="preserve"> preparation and handling area</w:t>
            </w:r>
          </w:p>
        </w:tc>
        <w:tc>
          <w:tcPr>
            <w:tcW w:w="1115" w:type="pct"/>
            <w:tcBorders>
              <w:top w:val="single" w:sz="4" w:space="0" w:color="auto"/>
              <w:left w:val="single" w:sz="4" w:space="0" w:color="auto"/>
              <w:bottom w:val="single" w:sz="4" w:space="0" w:color="auto"/>
              <w:right w:val="single" w:sz="4" w:space="0" w:color="auto"/>
            </w:tcBorders>
            <w:vAlign w:val="center"/>
            <w:hideMark/>
          </w:tcPr>
          <w:p w14:paraId="04B8D6BA" w14:textId="2B5877CD" w:rsidR="00730EAA" w:rsidRPr="00711870" w:rsidRDefault="00730EAA" w:rsidP="00165D86">
            <w:pPr>
              <w:suppressAutoHyphens w:val="0"/>
              <w:rPr>
                <w:color w:val="221E1F"/>
                <w:sz w:val="18"/>
                <w:szCs w:val="18"/>
                <w:lang w:val="en-US"/>
              </w:rPr>
            </w:pPr>
            <w:r w:rsidRPr="00711870">
              <w:rPr>
                <w:color w:val="221E1F"/>
                <w:sz w:val="18"/>
                <w:szCs w:val="18"/>
                <w:lang w:val="en-US"/>
              </w:rPr>
              <w:t>PT2- Scenario 1</w:t>
            </w:r>
            <w:r w:rsidR="00DC670B">
              <w:rPr>
                <w:color w:val="221E1F"/>
                <w:sz w:val="18"/>
                <w:szCs w:val="18"/>
                <w:lang w:val="en-US"/>
              </w:rPr>
              <w:t>a</w:t>
            </w:r>
            <w:r w:rsidRPr="00711870">
              <w:rPr>
                <w:color w:val="221E1F"/>
                <w:sz w:val="18"/>
                <w:szCs w:val="18"/>
                <w:lang w:val="en-US"/>
              </w:rPr>
              <w:t xml:space="preserve">: Indoor - Disinfection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42124B20" w14:textId="77777777" w:rsidR="00730EAA" w:rsidRPr="00711870" w:rsidRDefault="00730EAA" w:rsidP="00165D86">
            <w:pPr>
              <w:suppressAutoHyphens w:val="0"/>
              <w:rPr>
                <w:color w:val="221E1F"/>
                <w:sz w:val="18"/>
                <w:szCs w:val="18"/>
                <w:lang w:val="en-US"/>
              </w:rPr>
            </w:pPr>
          </w:p>
          <w:p w14:paraId="52D8F53F" w14:textId="77777777" w:rsidR="00730EAA" w:rsidRPr="00711870" w:rsidRDefault="00730EAA" w:rsidP="00165D86">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68455DEE" w14:textId="77777777" w:rsidR="00730EAA" w:rsidRPr="00711870" w:rsidRDefault="00730EAA"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483170D1" w14:textId="77777777" w:rsidR="00730EAA" w:rsidRPr="00711870" w:rsidRDefault="00730EAA" w:rsidP="00165D86">
            <w:pPr>
              <w:spacing w:line="276" w:lineRule="auto"/>
              <w:rPr>
                <w:rFonts w:cstheme="minorHAnsi"/>
                <w:color w:val="221E1F"/>
                <w:sz w:val="18"/>
                <w:szCs w:val="18"/>
                <w:lang w:val="en-US"/>
              </w:rPr>
            </w:pPr>
          </w:p>
          <w:p w14:paraId="2BC1D758" w14:textId="2E35D35E" w:rsidR="00730EAA" w:rsidRPr="00711870" w:rsidRDefault="00730EAA" w:rsidP="00165D86">
            <w:pPr>
              <w:spacing w:line="276" w:lineRule="auto"/>
              <w:rPr>
                <w:sz w:val="18"/>
                <w:szCs w:val="18"/>
              </w:rPr>
            </w:pPr>
            <w:r w:rsidRPr="00711870">
              <w:rPr>
                <w:rFonts w:cstheme="minorHAnsi"/>
                <w:color w:val="221E1F"/>
                <w:sz w:val="18"/>
                <w:szCs w:val="18"/>
                <w:lang w:val="en-US"/>
              </w:rPr>
              <w:t xml:space="preserve">PT4- </w:t>
            </w:r>
            <w:r w:rsidRPr="00711870">
              <w:rPr>
                <w:rFonts w:eastAsia="Calibri"/>
                <w:color w:val="000000"/>
                <w:sz w:val="18"/>
                <w:szCs w:val="18"/>
                <w:lang w:eastAsia="en-GB"/>
              </w:rPr>
              <w:t xml:space="preserve">Scenario </w:t>
            </w:r>
            <w:r>
              <w:rPr>
                <w:rFonts w:eastAsia="Calibri"/>
                <w:color w:val="000000"/>
                <w:sz w:val="18"/>
                <w:szCs w:val="18"/>
                <w:lang w:eastAsia="en-GB"/>
              </w:rPr>
              <w:t>8</w:t>
            </w:r>
            <w:r w:rsidRPr="00711870">
              <w:rPr>
                <w:rFonts w:eastAsia="Calibri"/>
                <w:color w:val="000000"/>
                <w:sz w:val="18"/>
                <w:szCs w:val="18"/>
                <w:lang w:eastAsia="en-GB"/>
              </w:rPr>
              <w:t>:</w:t>
            </w:r>
            <w:r w:rsidRPr="00711870">
              <w:rPr>
                <w:rFonts w:eastAsia="Calibri"/>
                <w:i/>
                <w:color w:val="FF0000"/>
                <w:sz w:val="18"/>
                <w:szCs w:val="18"/>
                <w:lang w:eastAsia="en-GB"/>
              </w:rPr>
              <w:t xml:space="preserve"> </w:t>
            </w:r>
            <w:r w:rsidRPr="00711870">
              <w:rPr>
                <w:sz w:val="18"/>
                <w:szCs w:val="18"/>
              </w:rPr>
              <w:t xml:space="preserve">Indoor - Disinfection </w:t>
            </w:r>
            <w:r w:rsidR="008A3048">
              <w:rPr>
                <w:sz w:val="18"/>
                <w:szCs w:val="18"/>
              </w:rPr>
              <w:t>in food and feed area</w:t>
            </w:r>
          </w:p>
        </w:tc>
        <w:tc>
          <w:tcPr>
            <w:tcW w:w="1114" w:type="pct"/>
            <w:tcBorders>
              <w:top w:val="single" w:sz="4" w:space="0" w:color="auto"/>
              <w:left w:val="single" w:sz="4" w:space="0" w:color="auto"/>
              <w:bottom w:val="single" w:sz="4" w:space="0" w:color="auto"/>
              <w:right w:val="single" w:sz="4" w:space="0" w:color="auto"/>
            </w:tcBorders>
          </w:tcPr>
          <w:p w14:paraId="15E876FD" w14:textId="5CB80A2C" w:rsidR="00730EAA" w:rsidRPr="00711870" w:rsidRDefault="009D6BF5" w:rsidP="00165D86">
            <w:pPr>
              <w:suppressAutoHyphens w:val="0"/>
              <w:rPr>
                <w:color w:val="221E1F"/>
                <w:sz w:val="18"/>
                <w:szCs w:val="18"/>
                <w:lang w:val="en-US"/>
              </w:rPr>
            </w:pPr>
            <w:r>
              <w:rPr>
                <w:color w:val="221E1F"/>
                <w:sz w:val="18"/>
                <w:szCs w:val="18"/>
                <w:lang w:val="en-US"/>
              </w:rPr>
              <w:t>Acceptable</w:t>
            </w:r>
          </w:p>
        </w:tc>
      </w:tr>
      <w:tr w:rsidR="00730EAA" w:rsidRPr="002D6BBB" w14:paraId="509260C1" w14:textId="0C981AAA" w:rsidTr="00DD2106">
        <w:trPr>
          <w:trHeight w:val="1111"/>
          <w:jc w:val="center"/>
        </w:trPr>
        <w:tc>
          <w:tcPr>
            <w:tcW w:w="500" w:type="pct"/>
            <w:tcBorders>
              <w:top w:val="single" w:sz="4" w:space="0" w:color="auto"/>
              <w:left w:val="single" w:sz="4" w:space="0" w:color="auto"/>
              <w:bottom w:val="single" w:sz="4" w:space="0" w:color="auto"/>
              <w:right w:val="single" w:sz="4" w:space="0" w:color="auto"/>
            </w:tcBorders>
            <w:vAlign w:val="center"/>
          </w:tcPr>
          <w:p w14:paraId="314B6637" w14:textId="77777777" w:rsidR="00730EAA" w:rsidRPr="00711870" w:rsidRDefault="00730EAA" w:rsidP="00165D86">
            <w:pPr>
              <w:jc w:val="center"/>
              <w:rPr>
                <w:color w:val="17365D" w:themeColor="text2" w:themeShade="BF"/>
                <w:sz w:val="18"/>
                <w:szCs w:val="18"/>
                <w:lang w:val="en-US"/>
              </w:rPr>
            </w:pPr>
            <w:r w:rsidRPr="00711870">
              <w:rPr>
                <w:color w:val="17365D" w:themeColor="text2" w:themeShade="BF"/>
                <w:sz w:val="18"/>
                <w:szCs w:val="18"/>
                <w:lang w:val="en-US"/>
              </w:rPr>
              <w:t>12</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D2A77" w14:textId="77777777" w:rsidR="00730EAA" w:rsidRPr="00711870" w:rsidRDefault="00730EAA" w:rsidP="00165D86">
            <w:pPr>
              <w:jc w:val="center"/>
              <w:rPr>
                <w:sz w:val="18"/>
                <w:szCs w:val="18"/>
                <w:lang w:val="en-US"/>
              </w:rPr>
            </w:pPr>
            <w:r w:rsidRPr="00711870">
              <w:rPr>
                <w:sz w:val="18"/>
                <w:szCs w:val="18"/>
                <w:lang w:val="en-US"/>
              </w:rPr>
              <w:t>2</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2F2F2" w14:textId="77777777" w:rsidR="00730EAA" w:rsidRPr="00711870" w:rsidRDefault="00730EAA" w:rsidP="00165D86">
            <w:pPr>
              <w:jc w:val="center"/>
              <w:rPr>
                <w:sz w:val="18"/>
                <w:szCs w:val="18"/>
                <w:lang w:val="en-US"/>
              </w:rPr>
            </w:pPr>
            <w:r w:rsidRPr="00711870">
              <w:rPr>
                <w:sz w:val="18"/>
                <w:szCs w:val="18"/>
                <w:lang w:val="en-US"/>
              </w:rPr>
              <w:t>12.1</w:t>
            </w:r>
          </w:p>
        </w:tc>
        <w:tc>
          <w:tcPr>
            <w:tcW w:w="1411" w:type="pct"/>
            <w:tcBorders>
              <w:top w:val="single" w:sz="4" w:space="0" w:color="auto"/>
              <w:left w:val="single" w:sz="4" w:space="0" w:color="auto"/>
              <w:bottom w:val="single" w:sz="4" w:space="0" w:color="auto"/>
              <w:right w:val="single" w:sz="4" w:space="0" w:color="auto"/>
            </w:tcBorders>
            <w:vAlign w:val="center"/>
          </w:tcPr>
          <w:p w14:paraId="30DEEDFB" w14:textId="77777777" w:rsidR="00730EAA" w:rsidRPr="00711870" w:rsidRDefault="00730EAA" w:rsidP="00165D86">
            <w:pPr>
              <w:rPr>
                <w:sz w:val="18"/>
                <w:szCs w:val="18"/>
              </w:rPr>
            </w:pPr>
            <w:r>
              <w:rPr>
                <w:sz w:val="18"/>
                <w:szCs w:val="18"/>
                <w:lang w:val="en-US"/>
              </w:rPr>
              <w:t xml:space="preserve">PT2 - </w:t>
            </w:r>
            <w:r w:rsidRPr="00711870">
              <w:rPr>
                <w:sz w:val="18"/>
                <w:szCs w:val="18"/>
                <w:lang w:val="en-US"/>
              </w:rPr>
              <w:t>RTU</w:t>
            </w:r>
            <w:r w:rsidRPr="00711870">
              <w:rPr>
                <w:sz w:val="18"/>
                <w:szCs w:val="18"/>
              </w:rPr>
              <w:t xml:space="preserve"> disinfectants </w:t>
            </w:r>
            <w:r w:rsidRPr="00790E27">
              <w:rPr>
                <w:sz w:val="18"/>
                <w:szCs w:val="18"/>
              </w:rPr>
              <w:t>used for the disinfection of toilet bowls in industry, institution, healthcare facilities and health care</w:t>
            </w:r>
          </w:p>
        </w:tc>
        <w:tc>
          <w:tcPr>
            <w:tcW w:w="1115" w:type="pct"/>
            <w:tcBorders>
              <w:top w:val="single" w:sz="4" w:space="0" w:color="auto"/>
              <w:left w:val="single" w:sz="4" w:space="0" w:color="auto"/>
              <w:bottom w:val="single" w:sz="4" w:space="0" w:color="auto"/>
              <w:right w:val="single" w:sz="4" w:space="0" w:color="auto"/>
            </w:tcBorders>
            <w:vAlign w:val="center"/>
          </w:tcPr>
          <w:p w14:paraId="735C7545" w14:textId="4590D88A" w:rsidR="00730EAA" w:rsidRDefault="00730EAA" w:rsidP="00165D86">
            <w:pPr>
              <w:suppressAutoHyphens w:val="0"/>
              <w:rPr>
                <w:color w:val="221E1F"/>
                <w:sz w:val="18"/>
                <w:szCs w:val="18"/>
                <w:lang w:val="en-US"/>
              </w:rPr>
            </w:pPr>
            <w:r w:rsidRPr="00711870">
              <w:rPr>
                <w:color w:val="221E1F"/>
                <w:sz w:val="18"/>
                <w:szCs w:val="18"/>
                <w:lang w:val="en-US"/>
              </w:rPr>
              <w:t>PT2- Scenario 1</w:t>
            </w:r>
            <w:r w:rsidR="00695080">
              <w:rPr>
                <w:color w:val="221E1F"/>
                <w:sz w:val="18"/>
                <w:szCs w:val="18"/>
                <w:lang w:val="en-US"/>
              </w:rPr>
              <w:t>b</w:t>
            </w:r>
            <w:r w:rsidRPr="00711870">
              <w:rPr>
                <w:color w:val="221E1F"/>
                <w:sz w:val="18"/>
                <w:szCs w:val="18"/>
                <w:lang w:val="en-US"/>
              </w:rPr>
              <w:t xml:space="preserve">: </w:t>
            </w:r>
            <w:r w:rsidR="00695080" w:rsidRPr="005450B5">
              <w:rPr>
                <w:color w:val="221E1F"/>
                <w:sz w:val="18"/>
                <w:szCs w:val="18"/>
                <w:lang w:val="en-US"/>
              </w:rPr>
              <w:t>Indoor - Disinfection of institutional areas - releases of disinfectants used for sanitary purposes based on average consumption approach (household and institutional applications) - Disinfection of the lavatory only</w:t>
            </w:r>
          </w:p>
          <w:p w14:paraId="3D0BD605" w14:textId="77777777" w:rsidR="00730EAA" w:rsidRDefault="00730EAA" w:rsidP="00165D86">
            <w:pPr>
              <w:suppressAutoHyphens w:val="0"/>
              <w:rPr>
                <w:color w:val="221E1F"/>
                <w:sz w:val="18"/>
                <w:szCs w:val="18"/>
                <w:lang w:val="en-US"/>
              </w:rPr>
            </w:pPr>
          </w:p>
          <w:p w14:paraId="0A1E64B2" w14:textId="77777777" w:rsidR="00730EAA" w:rsidRPr="00711870" w:rsidRDefault="00730EAA" w:rsidP="00165D86">
            <w:pPr>
              <w:suppressAutoHyphens w:val="0"/>
              <w:rPr>
                <w:color w:val="221E1F"/>
                <w:sz w:val="18"/>
                <w:szCs w:val="18"/>
                <w:lang w:val="en-US"/>
              </w:rPr>
            </w:pPr>
          </w:p>
          <w:p w14:paraId="4B09C333" w14:textId="77777777" w:rsidR="00730EAA" w:rsidRPr="00711870" w:rsidRDefault="00730EAA" w:rsidP="00165D86">
            <w:pPr>
              <w:spacing w:line="276" w:lineRule="auto"/>
              <w:rPr>
                <w:iCs/>
                <w:sz w:val="18"/>
                <w:szCs w:val="18"/>
              </w:rPr>
            </w:pPr>
          </w:p>
        </w:tc>
        <w:tc>
          <w:tcPr>
            <w:tcW w:w="1114" w:type="pct"/>
            <w:tcBorders>
              <w:top w:val="single" w:sz="4" w:space="0" w:color="auto"/>
              <w:left w:val="single" w:sz="4" w:space="0" w:color="auto"/>
              <w:bottom w:val="single" w:sz="4" w:space="0" w:color="auto"/>
              <w:right w:val="single" w:sz="4" w:space="0" w:color="auto"/>
            </w:tcBorders>
          </w:tcPr>
          <w:p w14:paraId="424398F1" w14:textId="7756A12F" w:rsidR="00730EAA" w:rsidRPr="00711870" w:rsidRDefault="009D6BF5" w:rsidP="00165D86">
            <w:pPr>
              <w:suppressAutoHyphens w:val="0"/>
              <w:rPr>
                <w:color w:val="221E1F"/>
                <w:sz w:val="18"/>
                <w:szCs w:val="18"/>
                <w:lang w:val="en-US"/>
              </w:rPr>
            </w:pPr>
            <w:r>
              <w:rPr>
                <w:color w:val="221E1F"/>
                <w:sz w:val="18"/>
                <w:szCs w:val="18"/>
                <w:lang w:val="en-US"/>
              </w:rPr>
              <w:t>Acceptable</w:t>
            </w:r>
          </w:p>
        </w:tc>
      </w:tr>
      <w:tr w:rsidR="009D6BF5" w:rsidRPr="002D6BBB" w14:paraId="1324B908" w14:textId="6F4FE6BD" w:rsidTr="009D6BF5">
        <w:trPr>
          <w:trHeight w:val="2981"/>
          <w:jc w:val="center"/>
        </w:trPr>
        <w:tc>
          <w:tcPr>
            <w:tcW w:w="500" w:type="pct"/>
            <w:vMerge w:val="restart"/>
            <w:tcBorders>
              <w:top w:val="single" w:sz="4" w:space="0" w:color="auto"/>
              <w:left w:val="single" w:sz="4" w:space="0" w:color="auto"/>
              <w:right w:val="single" w:sz="4" w:space="0" w:color="auto"/>
            </w:tcBorders>
            <w:vAlign w:val="center"/>
          </w:tcPr>
          <w:p w14:paraId="1A96B52A" w14:textId="77777777" w:rsidR="009D6BF5" w:rsidRPr="00711870" w:rsidRDefault="009D6BF5" w:rsidP="00165D86">
            <w:pPr>
              <w:jc w:val="center"/>
              <w:rPr>
                <w:color w:val="17365D" w:themeColor="text2" w:themeShade="BF"/>
                <w:sz w:val="18"/>
                <w:szCs w:val="18"/>
                <w:lang w:val="en-US"/>
              </w:rPr>
            </w:pPr>
            <w:r w:rsidRPr="00711870">
              <w:rPr>
                <w:color w:val="17365D" w:themeColor="text2" w:themeShade="BF"/>
                <w:sz w:val="18"/>
                <w:szCs w:val="18"/>
                <w:lang w:val="en-US"/>
              </w:rPr>
              <w:lastRenderedPageBreak/>
              <w:t>13</w:t>
            </w:r>
          </w:p>
        </w:tc>
        <w:tc>
          <w:tcPr>
            <w:tcW w:w="31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2B0D910" w14:textId="77777777" w:rsidR="009D6BF5" w:rsidRPr="00711870" w:rsidRDefault="009D6BF5" w:rsidP="00165D86">
            <w:pPr>
              <w:jc w:val="center"/>
              <w:rPr>
                <w:sz w:val="18"/>
                <w:szCs w:val="18"/>
                <w:lang w:val="en-US"/>
              </w:rPr>
            </w:pPr>
            <w:r w:rsidRPr="00711870">
              <w:rPr>
                <w:sz w:val="18"/>
                <w:szCs w:val="18"/>
                <w:lang w:val="en-US"/>
              </w:rPr>
              <w:t>2</w:t>
            </w:r>
          </w:p>
        </w:tc>
        <w:tc>
          <w:tcPr>
            <w:tcW w:w="5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83F541" w14:textId="77777777" w:rsidR="009D6BF5" w:rsidRPr="00711870" w:rsidRDefault="009D6BF5" w:rsidP="00165D86">
            <w:pPr>
              <w:jc w:val="center"/>
              <w:rPr>
                <w:sz w:val="18"/>
                <w:szCs w:val="18"/>
                <w:lang w:val="en-US"/>
              </w:rPr>
            </w:pPr>
            <w:r w:rsidRPr="00711870">
              <w:rPr>
                <w:sz w:val="18"/>
                <w:szCs w:val="18"/>
                <w:lang w:val="en-US"/>
              </w:rPr>
              <w:t>13.1</w:t>
            </w:r>
          </w:p>
        </w:tc>
        <w:tc>
          <w:tcPr>
            <w:tcW w:w="1411" w:type="pct"/>
            <w:vMerge w:val="restart"/>
            <w:tcBorders>
              <w:top w:val="single" w:sz="4" w:space="0" w:color="auto"/>
              <w:left w:val="single" w:sz="4" w:space="0" w:color="auto"/>
              <w:right w:val="single" w:sz="4" w:space="0" w:color="auto"/>
            </w:tcBorders>
            <w:vAlign w:val="center"/>
          </w:tcPr>
          <w:p w14:paraId="6264B287" w14:textId="77777777" w:rsidR="009D6BF5" w:rsidRPr="00B5436B" w:rsidRDefault="009D6BF5" w:rsidP="00165D86">
            <w:pPr>
              <w:rPr>
                <w:sz w:val="18"/>
                <w:szCs w:val="18"/>
              </w:rPr>
            </w:pPr>
            <w:r>
              <w:rPr>
                <w:sz w:val="18"/>
                <w:szCs w:val="18"/>
              </w:rPr>
              <w:t xml:space="preserve">PT2 - </w:t>
            </w:r>
            <w:r w:rsidRPr="00711870">
              <w:rPr>
                <w:sz w:val="18"/>
                <w:szCs w:val="18"/>
              </w:rPr>
              <w:t xml:space="preserve">Concentrated </w:t>
            </w:r>
            <w:r>
              <w:rPr>
                <w:sz w:val="18"/>
                <w:szCs w:val="18"/>
              </w:rPr>
              <w:t>disinfectants</w:t>
            </w:r>
            <w:r w:rsidRPr="00B5436B">
              <w:rPr>
                <w:sz w:val="18"/>
                <w:szCs w:val="18"/>
              </w:rPr>
              <w:t xml:space="preserve"> for </w:t>
            </w:r>
            <w:r>
              <w:rPr>
                <w:sz w:val="18"/>
                <w:szCs w:val="18"/>
              </w:rPr>
              <w:t>hard surfaces</w:t>
            </w:r>
            <w:r w:rsidRPr="00B5436B">
              <w:rPr>
                <w:sz w:val="18"/>
                <w:szCs w:val="18"/>
              </w:rPr>
              <w:t xml:space="preserve"> of industry, institution and healthcare facilities including</w:t>
            </w:r>
          </w:p>
          <w:p w14:paraId="4C21BEE2" w14:textId="77777777" w:rsidR="009D6BF5" w:rsidRPr="00711870" w:rsidRDefault="009D6BF5" w:rsidP="00165D86">
            <w:pPr>
              <w:rPr>
                <w:sz w:val="18"/>
                <w:szCs w:val="18"/>
              </w:rPr>
            </w:pPr>
            <w:r w:rsidRPr="00B5436B">
              <w:rPr>
                <w:sz w:val="18"/>
                <w:szCs w:val="18"/>
              </w:rPr>
              <w:t>roadways (marketplaces, city events...) and waste containers and the floor around.</w:t>
            </w:r>
          </w:p>
        </w:tc>
        <w:tc>
          <w:tcPr>
            <w:tcW w:w="1115" w:type="pct"/>
            <w:vMerge w:val="restart"/>
            <w:tcBorders>
              <w:top w:val="single" w:sz="4" w:space="0" w:color="auto"/>
              <w:left w:val="single" w:sz="4" w:space="0" w:color="auto"/>
              <w:right w:val="single" w:sz="4" w:space="0" w:color="auto"/>
            </w:tcBorders>
            <w:vAlign w:val="center"/>
          </w:tcPr>
          <w:p w14:paraId="45A4B5C6" w14:textId="4D52E1D4" w:rsidR="009D6BF5" w:rsidRPr="00711870" w:rsidRDefault="009D6BF5" w:rsidP="00165D86">
            <w:pPr>
              <w:suppressAutoHyphens w:val="0"/>
              <w:spacing w:after="120"/>
              <w:contextualSpacing/>
              <w:rPr>
                <w:color w:val="221E1F"/>
                <w:sz w:val="18"/>
                <w:szCs w:val="18"/>
                <w:lang w:val="en-US"/>
              </w:rPr>
            </w:pPr>
            <w:r w:rsidRPr="00711870">
              <w:rPr>
                <w:sz w:val="18"/>
                <w:szCs w:val="18"/>
              </w:rPr>
              <w:t xml:space="preserve">PT2- </w:t>
            </w:r>
            <w:r w:rsidRPr="00711870">
              <w:rPr>
                <w:color w:val="221E1F"/>
                <w:sz w:val="18"/>
                <w:szCs w:val="18"/>
                <w:lang w:val="en-US"/>
              </w:rPr>
              <w:t>Scenario 1</w:t>
            </w:r>
            <w:r w:rsidR="00DC670B">
              <w:rPr>
                <w:color w:val="221E1F"/>
                <w:sz w:val="18"/>
                <w:szCs w:val="18"/>
                <w:lang w:val="en-US"/>
              </w:rPr>
              <w:t>a</w:t>
            </w:r>
            <w:r w:rsidRPr="00711870">
              <w:rPr>
                <w:color w:val="221E1F"/>
                <w:sz w:val="18"/>
                <w:szCs w:val="18"/>
                <w:lang w:val="en-US"/>
              </w:rPr>
              <w:t xml:space="preserve">: Indoor - Disinfection of </w:t>
            </w:r>
            <w:r w:rsidRPr="00711870">
              <w:rPr>
                <w:rFonts w:eastAsia="Calibri"/>
                <w:sz w:val="18"/>
                <w:szCs w:val="18"/>
                <w:lang w:eastAsia="en-US"/>
              </w:rPr>
              <w:t>of institutional areas - releases of disinfectants used for sanitary purposes based on average consumption</w:t>
            </w:r>
            <w:r w:rsidRPr="00711870">
              <w:rPr>
                <w:color w:val="221E1F"/>
                <w:sz w:val="18"/>
                <w:szCs w:val="18"/>
                <w:lang w:val="en-US"/>
              </w:rPr>
              <w:t xml:space="preserve"> </w:t>
            </w:r>
            <w:r>
              <w:rPr>
                <w:color w:val="221E1F"/>
                <w:sz w:val="18"/>
                <w:szCs w:val="18"/>
                <w:lang w:val="en-US"/>
              </w:rPr>
              <w:t>approach</w:t>
            </w:r>
          </w:p>
          <w:p w14:paraId="5ADE4651" w14:textId="77777777" w:rsidR="009D6BF5" w:rsidRPr="00711870" w:rsidRDefault="009D6BF5" w:rsidP="00165D86">
            <w:pPr>
              <w:spacing w:after="120"/>
              <w:rPr>
                <w:color w:val="221E1F"/>
                <w:sz w:val="18"/>
                <w:szCs w:val="18"/>
                <w:lang w:val="en-US"/>
              </w:rPr>
            </w:pPr>
          </w:p>
          <w:p w14:paraId="1C3C8604" w14:textId="77777777" w:rsidR="009D6BF5" w:rsidRPr="00711870" w:rsidRDefault="009D6BF5" w:rsidP="00165D86">
            <w:pPr>
              <w:spacing w:after="120"/>
              <w:rPr>
                <w:rFonts w:cstheme="minorHAnsi"/>
                <w:color w:val="221E1F"/>
                <w:sz w:val="18"/>
                <w:szCs w:val="18"/>
                <w:lang w:val="en-US"/>
              </w:rPr>
            </w:pPr>
            <w:r w:rsidRPr="00711870">
              <w:rPr>
                <w:color w:val="221E1F"/>
                <w:sz w:val="18"/>
                <w:szCs w:val="18"/>
                <w:lang w:val="en-US"/>
              </w:rPr>
              <w:t>PT2- Scenario 2: Indoor - Disinfection of</w:t>
            </w:r>
            <w:r w:rsidRPr="00711870">
              <w:rPr>
                <w:rFonts w:eastAsia="Calibri"/>
                <w:sz w:val="18"/>
                <w:szCs w:val="18"/>
                <w:lang w:eastAsia="en-US"/>
              </w:rPr>
              <w:t xml:space="preserve"> industrial areas</w:t>
            </w:r>
          </w:p>
          <w:p w14:paraId="58EE1334" w14:textId="77777777" w:rsidR="009D6BF5" w:rsidRPr="00711870" w:rsidRDefault="009D6BF5" w:rsidP="00165D86">
            <w:pPr>
              <w:spacing w:after="120"/>
              <w:rPr>
                <w:rFonts w:cstheme="minorHAnsi"/>
                <w:color w:val="221E1F"/>
                <w:sz w:val="18"/>
                <w:szCs w:val="18"/>
                <w:lang w:val="en-US"/>
              </w:rPr>
            </w:pPr>
            <w:r>
              <w:rPr>
                <w:rFonts w:eastAsia="Calibri"/>
                <w:sz w:val="18"/>
                <w:szCs w:val="18"/>
                <w:lang w:eastAsia="en-US"/>
              </w:rPr>
              <w:t>PT2- Scenario 3: Indoor – Disinfection of rooms, furniture and objects in medical sector</w:t>
            </w:r>
          </w:p>
          <w:p w14:paraId="4063A43B" w14:textId="77777777" w:rsidR="009D6BF5" w:rsidRPr="00711870" w:rsidRDefault="009D6BF5" w:rsidP="00165D86">
            <w:pPr>
              <w:suppressAutoHyphens w:val="0"/>
              <w:spacing w:after="120"/>
              <w:contextualSpacing/>
              <w:rPr>
                <w:color w:val="221E1F"/>
                <w:sz w:val="18"/>
                <w:szCs w:val="18"/>
                <w:lang w:val="en-US"/>
              </w:rPr>
            </w:pPr>
          </w:p>
          <w:p w14:paraId="49A04C51" w14:textId="77777777" w:rsidR="009D6BF5" w:rsidRPr="00711870" w:rsidRDefault="009D6BF5" w:rsidP="00165D86">
            <w:pPr>
              <w:suppressAutoHyphens w:val="0"/>
              <w:spacing w:after="120"/>
              <w:contextualSpacing/>
              <w:rPr>
                <w:color w:val="221E1F"/>
                <w:sz w:val="18"/>
                <w:szCs w:val="18"/>
                <w:lang w:val="en-US"/>
              </w:rPr>
            </w:pPr>
            <w:r w:rsidRPr="00711870">
              <w:rPr>
                <w:sz w:val="18"/>
                <w:szCs w:val="18"/>
              </w:rPr>
              <w:t xml:space="preserve">PT2- </w:t>
            </w:r>
            <w:r w:rsidRPr="00711870">
              <w:rPr>
                <w:iCs/>
                <w:sz w:val="18"/>
                <w:szCs w:val="18"/>
              </w:rPr>
              <w:t xml:space="preserve">Scenario 4: Outdoor - </w:t>
            </w:r>
            <w:r w:rsidRPr="00711870">
              <w:rPr>
                <w:sz w:val="18"/>
                <w:szCs w:val="18"/>
              </w:rPr>
              <w:t>Disinfection of road ways indirect emission via STP</w:t>
            </w:r>
          </w:p>
          <w:p w14:paraId="259C93F2" w14:textId="77777777" w:rsidR="009D6BF5" w:rsidRPr="00711870" w:rsidRDefault="009D6BF5" w:rsidP="00165D86">
            <w:pPr>
              <w:spacing w:line="276" w:lineRule="auto"/>
              <w:rPr>
                <w:iCs/>
                <w:sz w:val="18"/>
                <w:szCs w:val="18"/>
              </w:rPr>
            </w:pPr>
          </w:p>
          <w:p w14:paraId="02E48090" w14:textId="2EC16DAE" w:rsidR="009D6BF5" w:rsidRPr="00711870" w:rsidRDefault="009D6BF5" w:rsidP="00165D86">
            <w:pPr>
              <w:spacing w:line="276" w:lineRule="auto"/>
              <w:rPr>
                <w:iCs/>
                <w:sz w:val="18"/>
                <w:szCs w:val="18"/>
              </w:rPr>
            </w:pPr>
            <w:r w:rsidRPr="00711870">
              <w:rPr>
                <w:sz w:val="18"/>
                <w:szCs w:val="18"/>
              </w:rPr>
              <w:t xml:space="preserve">PT2- </w:t>
            </w:r>
            <w:r w:rsidRPr="00711870">
              <w:rPr>
                <w:iCs/>
                <w:sz w:val="18"/>
                <w:szCs w:val="18"/>
              </w:rPr>
              <w:t xml:space="preserve">Scenario 5: Outdoor - </w:t>
            </w:r>
            <w:r w:rsidRPr="00711870">
              <w:rPr>
                <w:sz w:val="18"/>
                <w:szCs w:val="18"/>
              </w:rPr>
              <w:t>Disinfection of road ways direct emission to surface water</w:t>
            </w:r>
          </w:p>
        </w:tc>
        <w:tc>
          <w:tcPr>
            <w:tcW w:w="1114" w:type="pct"/>
            <w:tcBorders>
              <w:top w:val="single" w:sz="4" w:space="0" w:color="auto"/>
              <w:left w:val="single" w:sz="4" w:space="0" w:color="auto"/>
              <w:bottom w:val="single" w:sz="4" w:space="0" w:color="auto"/>
              <w:right w:val="single" w:sz="4" w:space="0" w:color="auto"/>
            </w:tcBorders>
          </w:tcPr>
          <w:p w14:paraId="535FC2A4" w14:textId="55260D69" w:rsidR="009D6BF5" w:rsidRPr="00B5436B" w:rsidRDefault="009D6BF5" w:rsidP="009D6BF5">
            <w:pPr>
              <w:rPr>
                <w:sz w:val="18"/>
                <w:szCs w:val="18"/>
              </w:rPr>
            </w:pPr>
            <w:r>
              <w:rPr>
                <w:sz w:val="18"/>
                <w:szCs w:val="18"/>
              </w:rPr>
              <w:t xml:space="preserve">Acceptable for </w:t>
            </w:r>
            <w:r w:rsidRPr="00DD2106">
              <w:rPr>
                <w:sz w:val="18"/>
                <w:szCs w:val="18"/>
                <w:u w:val="single"/>
              </w:rPr>
              <w:t>indoor</w:t>
            </w:r>
            <w:r>
              <w:rPr>
                <w:sz w:val="18"/>
                <w:szCs w:val="18"/>
              </w:rPr>
              <w:t xml:space="preserve"> disinfection of hard surfaces</w:t>
            </w:r>
            <w:r w:rsidRPr="00B5436B">
              <w:rPr>
                <w:sz w:val="18"/>
                <w:szCs w:val="18"/>
              </w:rPr>
              <w:t xml:space="preserve"> of industry, institution and healthcare facilities including</w:t>
            </w:r>
          </w:p>
          <w:p w14:paraId="41C30004" w14:textId="77777777" w:rsidR="009D6BF5" w:rsidRDefault="009D6BF5" w:rsidP="009D6BF5">
            <w:pPr>
              <w:suppressAutoHyphens w:val="0"/>
              <w:spacing w:after="120"/>
              <w:contextualSpacing/>
              <w:rPr>
                <w:sz w:val="18"/>
                <w:szCs w:val="18"/>
              </w:rPr>
            </w:pPr>
            <w:r w:rsidRPr="00B5436B">
              <w:rPr>
                <w:sz w:val="18"/>
                <w:szCs w:val="18"/>
              </w:rPr>
              <w:t>waste containers and the floor around</w:t>
            </w:r>
          </w:p>
          <w:p w14:paraId="1E440792" w14:textId="77777777" w:rsidR="009D6BF5" w:rsidRDefault="009D6BF5" w:rsidP="009D6BF5">
            <w:pPr>
              <w:suppressAutoHyphens w:val="0"/>
              <w:spacing w:after="120"/>
              <w:contextualSpacing/>
              <w:rPr>
                <w:sz w:val="18"/>
                <w:szCs w:val="18"/>
              </w:rPr>
            </w:pPr>
          </w:p>
          <w:p w14:paraId="6753C7AF" w14:textId="459EA3CB" w:rsidR="009D6BF5" w:rsidRPr="009D6BF5" w:rsidRDefault="009D6BF5" w:rsidP="009D6BF5">
            <w:pPr>
              <w:suppressAutoHyphens w:val="0"/>
              <w:spacing w:after="120"/>
              <w:contextualSpacing/>
              <w:rPr>
                <w:b/>
                <w:i/>
                <w:sz w:val="18"/>
                <w:szCs w:val="18"/>
              </w:rPr>
            </w:pPr>
          </w:p>
        </w:tc>
      </w:tr>
      <w:tr w:rsidR="009D6BF5" w:rsidRPr="002D6BBB" w14:paraId="3A93385F" w14:textId="77777777" w:rsidTr="009D6BF5">
        <w:trPr>
          <w:trHeight w:val="2980"/>
          <w:jc w:val="center"/>
        </w:trPr>
        <w:tc>
          <w:tcPr>
            <w:tcW w:w="500" w:type="pct"/>
            <w:vMerge/>
            <w:tcBorders>
              <w:left w:val="single" w:sz="4" w:space="0" w:color="auto"/>
              <w:bottom w:val="single" w:sz="4" w:space="0" w:color="auto"/>
              <w:right w:val="single" w:sz="4" w:space="0" w:color="auto"/>
            </w:tcBorders>
            <w:vAlign w:val="center"/>
          </w:tcPr>
          <w:p w14:paraId="1D135196" w14:textId="77777777" w:rsidR="009D6BF5" w:rsidRPr="00711870" w:rsidRDefault="009D6BF5" w:rsidP="00165D86">
            <w:pPr>
              <w:jc w:val="center"/>
              <w:rPr>
                <w:color w:val="17365D" w:themeColor="text2" w:themeShade="BF"/>
                <w:sz w:val="18"/>
                <w:szCs w:val="18"/>
                <w:lang w:val="en-US"/>
              </w:rPr>
            </w:pPr>
          </w:p>
        </w:tc>
        <w:tc>
          <w:tcPr>
            <w:tcW w:w="316"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92D9726" w14:textId="77777777" w:rsidR="009D6BF5" w:rsidRPr="00711870" w:rsidRDefault="009D6BF5" w:rsidP="00165D86">
            <w:pPr>
              <w:jc w:val="center"/>
              <w:rPr>
                <w:sz w:val="18"/>
                <w:szCs w:val="18"/>
                <w:lang w:val="en-US"/>
              </w:rPr>
            </w:pPr>
          </w:p>
        </w:tc>
        <w:tc>
          <w:tcPr>
            <w:tcW w:w="5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50C545D" w14:textId="77777777" w:rsidR="009D6BF5" w:rsidRPr="00711870" w:rsidRDefault="009D6BF5" w:rsidP="00165D86">
            <w:pPr>
              <w:jc w:val="center"/>
              <w:rPr>
                <w:sz w:val="18"/>
                <w:szCs w:val="18"/>
                <w:lang w:val="en-US"/>
              </w:rPr>
            </w:pPr>
          </w:p>
        </w:tc>
        <w:tc>
          <w:tcPr>
            <w:tcW w:w="1411" w:type="pct"/>
            <w:vMerge/>
            <w:tcBorders>
              <w:left w:val="single" w:sz="4" w:space="0" w:color="auto"/>
              <w:bottom w:val="single" w:sz="4" w:space="0" w:color="auto"/>
              <w:right w:val="single" w:sz="4" w:space="0" w:color="auto"/>
            </w:tcBorders>
            <w:vAlign w:val="center"/>
          </w:tcPr>
          <w:p w14:paraId="350D392B" w14:textId="77777777" w:rsidR="009D6BF5" w:rsidRDefault="009D6BF5" w:rsidP="00165D86">
            <w:pPr>
              <w:rPr>
                <w:sz w:val="18"/>
                <w:szCs w:val="18"/>
              </w:rPr>
            </w:pPr>
          </w:p>
        </w:tc>
        <w:tc>
          <w:tcPr>
            <w:tcW w:w="1115" w:type="pct"/>
            <w:vMerge/>
            <w:tcBorders>
              <w:left w:val="single" w:sz="4" w:space="0" w:color="auto"/>
              <w:bottom w:val="single" w:sz="4" w:space="0" w:color="auto"/>
              <w:right w:val="single" w:sz="4" w:space="0" w:color="auto"/>
            </w:tcBorders>
            <w:vAlign w:val="center"/>
          </w:tcPr>
          <w:p w14:paraId="5757081A" w14:textId="77777777" w:rsidR="009D6BF5" w:rsidRPr="00711870" w:rsidRDefault="009D6BF5" w:rsidP="00165D86">
            <w:pPr>
              <w:suppressAutoHyphens w:val="0"/>
              <w:spacing w:after="120"/>
              <w:contextualSpacing/>
              <w:rPr>
                <w:sz w:val="18"/>
                <w:szCs w:val="18"/>
              </w:rPr>
            </w:pPr>
          </w:p>
        </w:tc>
        <w:tc>
          <w:tcPr>
            <w:tcW w:w="1114" w:type="pct"/>
            <w:tcBorders>
              <w:top w:val="single" w:sz="4" w:space="0" w:color="auto"/>
              <w:left w:val="single" w:sz="4" w:space="0" w:color="auto"/>
              <w:bottom w:val="single" w:sz="4" w:space="0" w:color="auto"/>
              <w:right w:val="single" w:sz="4" w:space="0" w:color="auto"/>
            </w:tcBorders>
          </w:tcPr>
          <w:p w14:paraId="2F4E3EC1" w14:textId="77777777" w:rsidR="009D6BF5" w:rsidRDefault="009D6BF5">
            <w:pPr>
              <w:shd w:val="clear" w:color="auto" w:fill="BFBFBF" w:themeFill="background1" w:themeFillShade="BF"/>
              <w:suppressAutoHyphens w:val="0"/>
              <w:spacing w:after="120"/>
              <w:contextualSpacing/>
              <w:rPr>
                <w:sz w:val="18"/>
                <w:szCs w:val="18"/>
              </w:rPr>
            </w:pPr>
            <w:r w:rsidRPr="009D6BF5">
              <w:rPr>
                <w:b/>
                <w:sz w:val="18"/>
                <w:szCs w:val="18"/>
              </w:rPr>
              <w:t>Unacceptable</w:t>
            </w:r>
            <w:r>
              <w:rPr>
                <w:sz w:val="18"/>
                <w:szCs w:val="18"/>
              </w:rPr>
              <w:t xml:space="preserve"> for </w:t>
            </w:r>
            <w:r w:rsidRPr="00DD2106">
              <w:rPr>
                <w:sz w:val="18"/>
                <w:szCs w:val="18"/>
                <w:u w:val="single"/>
              </w:rPr>
              <w:t>outdoor</w:t>
            </w:r>
            <w:r>
              <w:rPr>
                <w:sz w:val="18"/>
                <w:szCs w:val="18"/>
              </w:rPr>
              <w:t xml:space="preserve"> disinfection especially</w:t>
            </w:r>
            <w:r w:rsidRPr="00B5436B">
              <w:rPr>
                <w:sz w:val="18"/>
                <w:szCs w:val="18"/>
              </w:rPr>
              <w:t xml:space="preserve"> roadways (marketplaces, city events...)</w:t>
            </w:r>
          </w:p>
          <w:p w14:paraId="67CA3F83" w14:textId="77777777" w:rsidR="009D6BF5" w:rsidRDefault="009D6BF5">
            <w:pPr>
              <w:shd w:val="clear" w:color="auto" w:fill="BFBFBF" w:themeFill="background1" w:themeFillShade="BF"/>
              <w:suppressAutoHyphens w:val="0"/>
              <w:spacing w:after="120"/>
              <w:contextualSpacing/>
              <w:rPr>
                <w:sz w:val="18"/>
                <w:szCs w:val="18"/>
              </w:rPr>
            </w:pPr>
          </w:p>
          <w:p w14:paraId="54F376C8" w14:textId="77777777" w:rsidR="009D6BF5" w:rsidRDefault="009D6BF5">
            <w:pPr>
              <w:shd w:val="clear" w:color="auto" w:fill="BFBFBF" w:themeFill="background1" w:themeFillShade="BF"/>
              <w:suppressAutoHyphens w:val="0"/>
              <w:spacing w:after="120"/>
              <w:contextualSpacing/>
              <w:rPr>
                <w:sz w:val="18"/>
                <w:szCs w:val="18"/>
              </w:rPr>
            </w:pPr>
            <w:r>
              <w:rPr>
                <w:sz w:val="18"/>
                <w:szCs w:val="18"/>
              </w:rPr>
              <w:t xml:space="preserve">The disinfection of </w:t>
            </w:r>
            <w:r w:rsidRPr="00B5436B">
              <w:rPr>
                <w:sz w:val="18"/>
                <w:szCs w:val="18"/>
              </w:rPr>
              <w:t>roadways (marketplaces, city events...)</w:t>
            </w:r>
            <w:r>
              <w:rPr>
                <w:sz w:val="18"/>
                <w:szCs w:val="18"/>
              </w:rPr>
              <w:t xml:space="preserve"> is not proposed for the authorisation and the following RMM is proposed:</w:t>
            </w:r>
          </w:p>
          <w:p w14:paraId="1B20A99B" w14:textId="77777777" w:rsidR="009D6BF5" w:rsidRDefault="009D6BF5">
            <w:pPr>
              <w:shd w:val="clear" w:color="auto" w:fill="BFBFBF" w:themeFill="background1" w:themeFillShade="BF"/>
              <w:suppressAutoHyphens w:val="0"/>
              <w:spacing w:after="120"/>
              <w:contextualSpacing/>
              <w:rPr>
                <w:sz w:val="18"/>
                <w:szCs w:val="18"/>
              </w:rPr>
            </w:pPr>
          </w:p>
          <w:p w14:paraId="40DEB359" w14:textId="4F1755B5" w:rsidR="009D6BF5" w:rsidRDefault="009D6BF5">
            <w:pPr>
              <w:shd w:val="clear" w:color="auto" w:fill="BFBFBF" w:themeFill="background1" w:themeFillShade="BF"/>
              <w:rPr>
                <w:sz w:val="18"/>
                <w:szCs w:val="18"/>
              </w:rPr>
            </w:pPr>
            <w:r w:rsidRPr="00797A23">
              <w:rPr>
                <w:b/>
                <w:i/>
                <w:sz w:val="18"/>
                <w:szCs w:val="18"/>
              </w:rPr>
              <w:t>The product is for an indoor use only</w:t>
            </w:r>
          </w:p>
        </w:tc>
      </w:tr>
    </w:tbl>
    <w:p w14:paraId="79B6CA59" w14:textId="32B304EA" w:rsidR="009D0C0B" w:rsidRPr="00B27CB1" w:rsidRDefault="009D0C0B">
      <w:pPr>
        <w:spacing w:line="260" w:lineRule="atLeast"/>
        <w:rPr>
          <w:rFonts w:eastAsia="Calibri"/>
          <w:lang w:eastAsia="en-US"/>
        </w:rPr>
      </w:pPr>
    </w:p>
    <w:p w14:paraId="43F50285" w14:textId="77777777" w:rsidR="007536D6" w:rsidRDefault="007536D6">
      <w:pPr>
        <w:spacing w:line="260" w:lineRule="atLeast"/>
        <w:rPr>
          <w:rFonts w:eastAsia="Calibri"/>
          <w:lang w:eastAsia="en-US"/>
        </w:rPr>
        <w:sectPr w:rsidR="007536D6" w:rsidSect="00E91F85">
          <w:pgSz w:w="16838" w:h="11906" w:orient="landscape"/>
          <w:pgMar w:top="2893" w:right="1474" w:bottom="1247" w:left="2013" w:header="851" w:footer="851" w:gutter="0"/>
          <w:cols w:space="720"/>
          <w:docGrid w:linePitch="272"/>
        </w:sectPr>
      </w:pPr>
    </w:p>
    <w:p w14:paraId="747DAE57" w14:textId="77777777" w:rsidR="009D0C0B" w:rsidRPr="00B27CB1" w:rsidRDefault="009D0C0B">
      <w:pPr>
        <w:spacing w:line="260" w:lineRule="atLeast"/>
        <w:rPr>
          <w:rFonts w:eastAsia="Calibri"/>
          <w:lang w:eastAsia="en-US"/>
        </w:rPr>
      </w:pPr>
    </w:p>
    <w:p w14:paraId="1496431C" w14:textId="77777777" w:rsidR="009D0C0B" w:rsidRPr="00B27CB1" w:rsidRDefault="009D0C0B">
      <w:pPr>
        <w:spacing w:line="260" w:lineRule="atLeast"/>
        <w:rPr>
          <w:rFonts w:eastAsia="Calibri"/>
          <w:lang w:eastAsia="en-US"/>
        </w:rPr>
      </w:pPr>
    </w:p>
    <w:p w14:paraId="63993441" w14:textId="77777777" w:rsidR="009D0C0B" w:rsidRPr="00B27CB1" w:rsidRDefault="00FA480B">
      <w:pPr>
        <w:pStyle w:val="Titre3"/>
        <w:rPr>
          <w:rFonts w:ascii="Times New Roman" w:eastAsia="Calibri" w:hAnsi="Times New Roman" w:cs="Times New Roman"/>
          <w:i/>
          <w:iCs/>
          <w:lang w:val="en-GB" w:eastAsia="en-US"/>
        </w:rPr>
      </w:pPr>
      <w:bookmarkStart w:id="184" w:name="_Toc87361211"/>
      <w:r w:rsidRPr="00B27CB1">
        <w:rPr>
          <w:lang w:val="en-GB"/>
        </w:rPr>
        <w:t>Measures to protect man, animals and the environment</w:t>
      </w:r>
      <w:bookmarkEnd w:id="184"/>
    </w:p>
    <w:p w14:paraId="07768C77" w14:textId="43F7FBFB" w:rsidR="009D0C0B" w:rsidRDefault="009D0C0B">
      <w:pPr>
        <w:spacing w:line="260" w:lineRule="atLeast"/>
        <w:rPr>
          <w:rFonts w:ascii="Times New Roman" w:eastAsia="Calibri" w:hAnsi="Times New Roman" w:cs="Times New Roman"/>
          <w:i/>
          <w:iCs/>
          <w:lang w:eastAsia="en-US"/>
        </w:rPr>
      </w:pPr>
    </w:p>
    <w:p w14:paraId="2FAF7C55" w14:textId="447E38B7" w:rsidR="008607FE" w:rsidRPr="00E91F85" w:rsidRDefault="008607FE">
      <w:pPr>
        <w:spacing w:line="260" w:lineRule="atLeast"/>
        <w:rPr>
          <w:rFonts w:eastAsia="Calibri" w:cs="Times New Roman"/>
          <w:i/>
          <w:iCs/>
          <w:lang w:eastAsia="en-US"/>
        </w:rPr>
      </w:pPr>
      <w:r w:rsidRPr="00E91F85">
        <w:rPr>
          <w:rFonts w:eastAsia="Calibri" w:cs="Times New Roman"/>
          <w:i/>
          <w:iCs/>
          <w:lang w:eastAsia="en-US"/>
        </w:rPr>
        <w:t>See the SPC</w:t>
      </w:r>
    </w:p>
    <w:p w14:paraId="69F76574" w14:textId="77777777" w:rsidR="009D0C0B" w:rsidRPr="00B27CB1" w:rsidRDefault="009D0C0B">
      <w:pPr>
        <w:spacing w:line="260" w:lineRule="atLeast"/>
        <w:rPr>
          <w:rFonts w:ascii="Times New Roman" w:eastAsia="Calibri" w:hAnsi="Times New Roman" w:cs="Times New Roman"/>
          <w:i/>
          <w:iCs/>
          <w:lang w:eastAsia="en-US"/>
        </w:rPr>
      </w:pPr>
    </w:p>
    <w:p w14:paraId="52FC0422" w14:textId="77777777" w:rsidR="009D0C0B" w:rsidRPr="00B27CB1" w:rsidRDefault="00FA480B">
      <w:pPr>
        <w:pStyle w:val="Titre3"/>
        <w:rPr>
          <w:rFonts w:eastAsia="Calibri"/>
          <w:lang w:val="en-GB" w:eastAsia="en-US"/>
        </w:rPr>
      </w:pPr>
      <w:bookmarkStart w:id="185" w:name="_Toc87361212"/>
      <w:r w:rsidRPr="00B27CB1">
        <w:rPr>
          <w:lang w:val="en-GB"/>
        </w:rPr>
        <w:t>Assessment of a combination of biocidal products</w:t>
      </w:r>
      <w:bookmarkEnd w:id="185"/>
    </w:p>
    <w:p w14:paraId="293762E5" w14:textId="77777777" w:rsidR="009D0C0B" w:rsidRPr="00B27CB1" w:rsidRDefault="00FA480B">
      <w:pPr>
        <w:spacing w:line="260" w:lineRule="atLeast"/>
        <w:rPr>
          <w:rFonts w:ascii="Times New Roman" w:hAnsi="Times New Roman" w:cs="Times New Roman"/>
          <w:i/>
          <w:iCs/>
          <w:lang w:eastAsia="en-US"/>
        </w:rPr>
      </w:pPr>
      <w:r w:rsidRPr="00B27CB1">
        <w:rPr>
          <w:rFonts w:eastAsia="Calibri"/>
          <w:lang w:eastAsia="en-US"/>
        </w:rPr>
        <w:t xml:space="preserve">For biocidal products that are intended to be authorised for the use with other biocidal products. </w:t>
      </w:r>
    </w:p>
    <w:p w14:paraId="583AC328" w14:textId="77777777" w:rsidR="009D0C0B" w:rsidRPr="00B27CB1" w:rsidRDefault="009D0C0B">
      <w:pPr>
        <w:spacing w:line="260" w:lineRule="atLeast"/>
        <w:rPr>
          <w:rFonts w:ascii="Times New Roman" w:eastAsia="Calibri" w:hAnsi="Times New Roman" w:cs="Times New Roman"/>
          <w:i/>
          <w:iCs/>
          <w:lang w:eastAsia="en-US"/>
        </w:rPr>
      </w:pPr>
    </w:p>
    <w:p w14:paraId="404A2CF8" w14:textId="77777777" w:rsidR="009D0C0B" w:rsidRPr="00B27CB1" w:rsidRDefault="009D0C0B">
      <w:pPr>
        <w:pageBreakBefore/>
        <w:rPr>
          <w:rFonts w:eastAsia="Calibri"/>
          <w:b/>
          <w:i/>
          <w:lang w:eastAsia="en-US"/>
        </w:rPr>
      </w:pPr>
    </w:p>
    <w:p w14:paraId="78ABF810" w14:textId="77777777" w:rsidR="009D0C0B" w:rsidRPr="00B27CB1" w:rsidRDefault="00FA480B">
      <w:pPr>
        <w:pStyle w:val="Titre1"/>
        <w:rPr>
          <w:lang w:val="en-GB"/>
        </w:rPr>
      </w:pPr>
      <w:bookmarkStart w:id="186" w:name="_Toc87361213"/>
      <w:r w:rsidRPr="00B27CB1">
        <w:rPr>
          <w:rFonts w:eastAsia="Calibri"/>
          <w:lang w:val="en-GB"/>
        </w:rPr>
        <w:t>Annexes</w:t>
      </w:r>
      <w:r w:rsidRPr="00B27CB1">
        <w:rPr>
          <w:rStyle w:val="Appelnotedebasdep"/>
          <w:rFonts w:eastAsia="Calibri"/>
          <w:lang w:val="en-GB"/>
        </w:rPr>
        <w:footnoteReference w:id="5"/>
      </w:r>
      <w:bookmarkEnd w:id="186"/>
    </w:p>
    <w:p w14:paraId="78587312" w14:textId="274719E3" w:rsidR="009D0C0B" w:rsidRPr="00B27CB1" w:rsidRDefault="00FA480B">
      <w:pPr>
        <w:pStyle w:val="Titre2"/>
      </w:pPr>
      <w:bookmarkStart w:id="187" w:name="_Toc87361214"/>
      <w:r w:rsidRPr="00B27CB1">
        <w:t>List of st</w:t>
      </w:r>
      <w:r w:rsidR="00A72F8F" w:rsidRPr="00B27CB1">
        <w:t xml:space="preserve">udies for the biocidal product </w:t>
      </w:r>
      <w:r w:rsidRPr="00B27CB1">
        <w:t>family</w:t>
      </w:r>
      <w:bookmarkEnd w:id="187"/>
    </w:p>
    <w:p w14:paraId="2C69D0BE" w14:textId="6E344541" w:rsidR="003418DC" w:rsidRPr="00B27CB1" w:rsidRDefault="003418DC" w:rsidP="003418DC">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3418DC" w:rsidRPr="00B27CB1" w14:paraId="6B26BFD1" w14:textId="77777777" w:rsidTr="00DD2106">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37669372" w14:textId="77777777" w:rsidR="003418DC" w:rsidRPr="00B27CB1" w:rsidRDefault="003418DC" w:rsidP="00310531">
            <w:pPr>
              <w:jc w:val="center"/>
              <w:rPr>
                <w:rFonts w:cs="Arial"/>
                <w:b/>
                <w:bCs/>
                <w:lang w:eastAsia="en-US"/>
              </w:rPr>
            </w:pPr>
            <w:r w:rsidRPr="00B27CB1">
              <w:rPr>
                <w:rFonts w:cs="Arial"/>
                <w:b/>
                <w:bCs/>
                <w:lang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533494A" w14:textId="77777777" w:rsidR="003418DC" w:rsidRPr="00B27CB1" w:rsidRDefault="003418DC" w:rsidP="00310531">
            <w:pPr>
              <w:jc w:val="center"/>
              <w:rPr>
                <w:rFonts w:cs="Arial"/>
                <w:b/>
                <w:bCs/>
                <w:lang w:eastAsia="en-US"/>
              </w:rPr>
            </w:pPr>
            <w:r w:rsidRPr="00B27CB1">
              <w:rPr>
                <w:rFonts w:cs="Arial"/>
                <w:b/>
                <w:bCs/>
                <w:lang w:eastAsia="en-US"/>
              </w:rPr>
              <w:t>Year</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4B8F83A8" w14:textId="77777777" w:rsidR="003418DC" w:rsidRPr="00B27CB1" w:rsidRDefault="003418DC">
            <w:pPr>
              <w:jc w:val="center"/>
              <w:rPr>
                <w:rFonts w:cs="Arial"/>
                <w:b/>
                <w:bCs/>
                <w:lang w:eastAsia="en-US"/>
              </w:rPr>
            </w:pPr>
            <w:r w:rsidRPr="00B27CB1">
              <w:rPr>
                <w:rFonts w:cs="Arial"/>
                <w:b/>
                <w:bCs/>
                <w:lang w:eastAsia="en-US"/>
              </w:rPr>
              <w:t>Title.</w:t>
            </w:r>
            <w:r w:rsidRPr="00B27CB1">
              <w:rPr>
                <w:rFonts w:cs="Arial"/>
                <w:b/>
                <w:bCs/>
                <w:lang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5BBAB3E6" w14:textId="77777777" w:rsidR="003418DC" w:rsidRPr="00B27CB1" w:rsidRDefault="003418DC" w:rsidP="00310531">
            <w:pPr>
              <w:jc w:val="center"/>
              <w:rPr>
                <w:rFonts w:cs="Arial"/>
                <w:b/>
                <w:bCs/>
                <w:lang w:eastAsia="en-US"/>
              </w:rPr>
            </w:pPr>
            <w:r w:rsidRPr="00B27CB1">
              <w:rPr>
                <w:rFonts w:cs="Arial"/>
                <w:b/>
                <w:bCs/>
                <w:lang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24945FAA" w14:textId="77777777" w:rsidR="003418DC" w:rsidRPr="00B27CB1" w:rsidRDefault="003418DC" w:rsidP="00310531">
            <w:pPr>
              <w:jc w:val="center"/>
              <w:rPr>
                <w:rFonts w:cs="Arial"/>
                <w:b/>
                <w:bCs/>
                <w:lang w:eastAsia="en-US"/>
              </w:rPr>
            </w:pPr>
            <w:r w:rsidRPr="00B27CB1">
              <w:rPr>
                <w:rFonts w:cs="Arial"/>
                <w:b/>
                <w:bCs/>
                <w:lang w:eastAsia="en-US"/>
              </w:rPr>
              <w:t>Owner (PUB / ORG)</w:t>
            </w:r>
          </w:p>
        </w:tc>
      </w:tr>
      <w:tr w:rsidR="00B06009" w:rsidRPr="00B27CB1" w14:paraId="7F14CCF7"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899A492" w14:textId="778A8FC6"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494B4164" w14:textId="19BA9DB6"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671876B0" w14:textId="27410F7C"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DESINFECTANT ECOCERT, In compliance with SANCO/3030/99 rev. 4 from 11/07/00</w:t>
            </w:r>
            <w:r w:rsidRPr="00E91F85">
              <w:rPr>
                <w:color w:val="000000"/>
                <w:lang w:val="en-US" w:eastAsia="fr-FR"/>
              </w:rPr>
              <w:br/>
              <w:t>Report No 17-901011-001</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8E2437" w14:textId="547CA32D"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10297F" w14:textId="086165BB"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55C72989"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A72BB74" w14:textId="5220CB46"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E8E2750" w14:textId="27834843"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7E86D730" w14:textId="7277EFA1"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AL-S7-2-0, In compliance with SANCO/3030/99 rev. 4 from 11/07/00</w:t>
            </w:r>
            <w:r w:rsidRPr="00E91F85">
              <w:rPr>
                <w:color w:val="000000"/>
                <w:lang w:val="en-US" w:eastAsia="fr-FR"/>
              </w:rPr>
              <w:br/>
              <w:t>Report No 18-901011-038</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FA564F" w14:textId="7DB70A61"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CDD091" w14:textId="1B887C2B"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695E547E"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BAACC23" w14:textId="086A5FF4"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62665C0A" w14:textId="5EE5846D"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0BE5D942" w14:textId="26162A55"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AL-S8-2-0, In compliance with SANCO/3030/99 rev. 4 from 11/07/00</w:t>
            </w:r>
            <w:r w:rsidRPr="00E91F85">
              <w:rPr>
                <w:color w:val="000000"/>
                <w:lang w:val="en-US" w:eastAsia="fr-FR"/>
              </w:rPr>
              <w:br/>
              <w:t>Report No 18-901011-043</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CC627E" w14:textId="6EBE1413"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EB2103" w14:textId="5E10512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6E26A835"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BB584BB" w14:textId="70F895E7"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6DB1C935" w14:textId="03B1763E"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5880D6D6" w14:textId="4A11E91D"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AL-S9-2-0, In compliance with SANCO/3030/99 rev. 4 from 11/07/00</w:t>
            </w:r>
            <w:r w:rsidRPr="00E91F85">
              <w:rPr>
                <w:color w:val="000000"/>
                <w:lang w:val="en-US" w:eastAsia="fr-FR"/>
              </w:rPr>
              <w:br/>
              <w:t>Report No 18-901011-048</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BEAED3" w14:textId="5F64CA54"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45C1BF" w14:textId="66D41362"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425C16AA"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A245148" w14:textId="4D483989" w:rsidR="00B06009" w:rsidRPr="00B06009" w:rsidRDefault="00B06009">
            <w:pPr>
              <w:jc w:val="center"/>
              <w:rPr>
                <w:rFonts w:cs="Arial"/>
                <w:color w:val="000000"/>
                <w:lang w:eastAsia="fr-FR"/>
              </w:rPr>
            </w:pPr>
            <w:r w:rsidRPr="00E91F85">
              <w:rPr>
                <w:color w:val="000000"/>
                <w:lang w:val="fr-FR" w:eastAsia="fr-FR"/>
              </w:rPr>
              <w:lastRenderedPageBreak/>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3E4F27EC" w14:textId="50602445"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7DBB70BB" w14:textId="135C5DA3"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AL-S10-2-1, In compliance with SANCO/3030/99 rev. 4 from 11/07/00</w:t>
            </w:r>
            <w:r w:rsidRPr="00E91F85">
              <w:rPr>
                <w:color w:val="000000"/>
                <w:lang w:val="en-US" w:eastAsia="fr-FR"/>
              </w:rPr>
              <w:br/>
              <w:t>Report No 18-901011-054</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E0BAA2" w14:textId="38B2D4C1"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64A6B4" w14:textId="36B15CF7"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A904475"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9D77AB2" w14:textId="2C904B9C"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5A8AF187" w14:textId="6AB787DF"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1F60B36B" w14:textId="1DE45EEA"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AL-S12-2-0, In compliance with SANCO/3030/99 rev. 4 from 11/07/00</w:t>
            </w:r>
            <w:r w:rsidRPr="00E91F85">
              <w:rPr>
                <w:color w:val="000000"/>
                <w:lang w:val="en-US" w:eastAsia="fr-FR"/>
              </w:rPr>
              <w:br/>
              <w:t>Report No 18-901011-062</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CFCE83" w14:textId="3F98BA98"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324BBC" w14:textId="3C97F49F"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3BA4128"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C3178AD" w14:textId="0DC7947B"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70EF7191" w14:textId="70634ED7" w:rsidR="00B06009" w:rsidRPr="00B06009" w:rsidRDefault="00B06009">
            <w:pPr>
              <w:jc w:val="center"/>
              <w:rPr>
                <w:rFonts w:cs="Arial"/>
                <w:color w:val="000000"/>
                <w:lang w:eastAsia="fr-FR"/>
              </w:rPr>
            </w:pPr>
            <w:r w:rsidRPr="00E91F85">
              <w:rPr>
                <w:color w:val="000000"/>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vAlign w:val="center"/>
          </w:tcPr>
          <w:p w14:paraId="2CE4B705" w14:textId="2CD48205"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AL-S13-2-1, In compliance with SANCO/3030/99 rev. 4 from 11/07/00</w:t>
            </w:r>
            <w:r w:rsidRPr="00E91F85">
              <w:rPr>
                <w:color w:val="000000"/>
                <w:lang w:val="en-US" w:eastAsia="fr-FR"/>
              </w:rPr>
              <w:br/>
              <w:t>Report No 18-901011-064</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4E11A8" w14:textId="086929C9"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0847E1" w14:textId="5D908EE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66F87EE"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B47B53B" w14:textId="1FD8DC85"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900A05B" w14:textId="5CC65D9F"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781489B6" w14:textId="410286A3"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AL-S1-2-0, In compliance with SANCO/3030/99 rev. 4 from 11/07/00</w:t>
            </w:r>
            <w:r w:rsidRPr="00E91F85">
              <w:rPr>
                <w:color w:val="000000"/>
                <w:lang w:val="en-US" w:eastAsia="fr-FR"/>
              </w:rPr>
              <w:br/>
              <w:t>Report No 18-901011-012</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F41655" w14:textId="4574B21A"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09A79A" w14:textId="2EEB9C53"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60F0FED8"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D6FF2E1" w14:textId="73E4E329"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AC56E3E" w14:textId="2CC454EA"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3230575" w14:textId="02FA64BC"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AL-S2-2-0, In compliance with SANCO/3030/99 rev. 4 from 11/07/00</w:t>
            </w:r>
            <w:r w:rsidRPr="00E91F85">
              <w:rPr>
                <w:color w:val="000000"/>
                <w:lang w:val="en-US" w:eastAsia="fr-FR"/>
              </w:rPr>
              <w:br/>
              <w:t>Report No 18-901011-016</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95378B" w14:textId="28E15E1F"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808166" w14:textId="0419FBF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A54E76D"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F58C230" w14:textId="1C3A4FF4"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B1E9743" w14:textId="75A30256"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2F9DA781" w14:textId="099DA3F8"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AL-S3-2-0, In compliance with SANCO/3030/99 rev. 4 from 11/07/00</w:t>
            </w:r>
            <w:r w:rsidRPr="00E91F85">
              <w:rPr>
                <w:color w:val="000000"/>
                <w:lang w:val="en-US" w:eastAsia="fr-FR"/>
              </w:rPr>
              <w:br/>
              <w:t>Report No 18-901011-020</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2FC240" w14:textId="65424605"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3BE88B" w14:textId="2895F73B"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EFD22E0"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BBAE7F7" w14:textId="7D4058A7" w:rsidR="00B06009" w:rsidRPr="00B06009" w:rsidRDefault="00B06009">
            <w:pPr>
              <w:jc w:val="center"/>
              <w:rPr>
                <w:rFonts w:cs="Arial"/>
                <w:color w:val="000000"/>
                <w:lang w:eastAsia="fr-FR"/>
              </w:rPr>
            </w:pPr>
            <w:r w:rsidRPr="00E91F85">
              <w:rPr>
                <w:color w:val="000000"/>
                <w:lang w:val="fr-FR" w:eastAsia="fr-FR"/>
              </w:rPr>
              <w:lastRenderedPageBreak/>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2C61E80A" w14:textId="42E24818"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430FA465" w14:textId="7DF48ECA" w:rsidR="00B06009" w:rsidRPr="00B06009" w:rsidRDefault="00B06009">
            <w:pPr>
              <w:rPr>
                <w:rFonts w:cs="Arial"/>
                <w:color w:val="000000"/>
                <w:lang w:eastAsia="fr-FR"/>
              </w:rPr>
            </w:pPr>
            <w:r w:rsidRPr="00E91F85">
              <w:rPr>
                <w:color w:val="000000"/>
                <w:lang w:val="en-US" w:eastAsia="fr-FR"/>
              </w:rPr>
              <w:t>Validation of the analytical method for the determination of citric acid in AL-S3-2-0, In compliance with SANCO/3030/99 rev. 4 from 11/07/00</w:t>
            </w:r>
            <w:r w:rsidRPr="00E91F85">
              <w:rPr>
                <w:color w:val="000000"/>
                <w:lang w:val="en-US" w:eastAsia="fr-FR"/>
              </w:rPr>
              <w:br/>
              <w:t>Report No 18-901011-021</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228B96" w14:textId="3A851F7C"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51CB9E" w14:textId="1E99618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859A0C8"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8EC9757" w14:textId="38BBFB03"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5776D42C" w14:textId="3E385B67"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4B68796" w14:textId="1317575C"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AL-S4-2-0, In compliance with SANCO/3030/99 rev. 4 from 11/07/00</w:t>
            </w:r>
            <w:r w:rsidRPr="00E91F85">
              <w:rPr>
                <w:color w:val="000000"/>
                <w:lang w:val="en-US" w:eastAsia="fr-FR"/>
              </w:rPr>
              <w:br/>
              <w:t>Report No 18-901011-026</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7C32AC" w14:textId="2015A094"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B0DEA1" w14:textId="7FF01754"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61467C17"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254EA79" w14:textId="2079E919"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5EB3DBDA" w14:textId="249BDDA8" w:rsidR="00B06009" w:rsidRPr="00B06009" w:rsidRDefault="00B06009">
            <w:pPr>
              <w:jc w:val="center"/>
              <w:rPr>
                <w:rFonts w:cs="Arial"/>
                <w:color w:val="000000"/>
                <w:lang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3506275E" w14:textId="0A933B62"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AL-S6-2-0, In compliance with SANCO/3030/99 rev. 5 from 22/03/2019</w:t>
            </w:r>
            <w:r w:rsidRPr="00E91F85">
              <w:rPr>
                <w:color w:val="000000"/>
                <w:lang w:val="en-US" w:eastAsia="fr-FR"/>
              </w:rPr>
              <w:br/>
              <w:t>Report No 19-901011-018</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210D93" w14:textId="087A514C"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12A4BB" w14:textId="62097928"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07D55782"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A098E28" w14:textId="19F834AC" w:rsidR="00B06009" w:rsidRPr="00B06009" w:rsidRDefault="00B06009">
            <w:pPr>
              <w:jc w:val="center"/>
              <w:rPr>
                <w:rFonts w:cs="Arial"/>
                <w:color w:val="000000"/>
                <w:lang w:eastAsia="fr-FR"/>
              </w:rPr>
            </w:pPr>
            <w:r w:rsidRPr="00E91F85">
              <w:rPr>
                <w:color w:val="000000"/>
                <w:lang w:val="en-US"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2B9F3C78" w14:textId="41F25C98" w:rsidR="00B06009" w:rsidRPr="00B06009" w:rsidRDefault="00B06009">
            <w:pPr>
              <w:jc w:val="center"/>
              <w:rPr>
                <w:rFonts w:cs="Arial"/>
                <w:color w:val="000000"/>
                <w:lang w:eastAsia="fr-FR"/>
              </w:rPr>
            </w:pPr>
            <w:r w:rsidRPr="00E91F85">
              <w:rPr>
                <w:color w:val="000000"/>
                <w:lang w:val="en-US"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16DF9A51" w14:textId="09D712AE" w:rsidR="00B06009" w:rsidRPr="00B06009" w:rsidRDefault="00B06009">
            <w:pPr>
              <w:rPr>
                <w:rFonts w:cs="Arial"/>
                <w:color w:val="000000"/>
                <w:lang w:eastAsia="fr-FR"/>
              </w:rPr>
            </w:pPr>
            <w:r w:rsidRPr="00E91F85">
              <w:rPr>
                <w:color w:val="000000"/>
                <w:lang w:val="en-US" w:eastAsia="fr-FR"/>
              </w:rPr>
              <w:t>Validation of the analytical method for the determination of lactic acid in AL-S11-2-0, In compliance with SANCO/3030/99 rev. 4 from 11/07/00</w:t>
            </w:r>
            <w:r w:rsidRPr="00E91F85">
              <w:rPr>
                <w:color w:val="000000"/>
                <w:lang w:val="en-US" w:eastAsia="fr-FR"/>
              </w:rPr>
              <w:br/>
              <w:t>Report No 18-901011-059</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2FDD49" w14:textId="578D90AC"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48F46B" w14:textId="0A4F2983"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B344ED6"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56EA3AC" w14:textId="7E43CE52"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1089ED21" w14:textId="31A6199F"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165AD731" w14:textId="4C31AA06" w:rsidR="00B06009" w:rsidRPr="00B06009" w:rsidRDefault="00B06009">
            <w:pPr>
              <w:rPr>
                <w:rFonts w:cs="Arial"/>
                <w:color w:val="000000"/>
                <w:lang w:eastAsia="fr-FR"/>
              </w:rPr>
            </w:pPr>
            <w:r w:rsidRPr="00E91F85">
              <w:rPr>
                <w:color w:val="000000"/>
                <w:lang w:val="en-US" w:eastAsia="fr-FR"/>
              </w:rPr>
              <w:t>Validation of the analytical method for the determination of potassium sorbate in AL-S11-2-0, In compliance with SANCO/3030/99 rev. 4 from 11/07/00</w:t>
            </w:r>
            <w:r w:rsidRPr="00E91F85">
              <w:rPr>
                <w:color w:val="000000"/>
                <w:lang w:val="en-US" w:eastAsia="fr-FR"/>
              </w:rPr>
              <w:br/>
              <w:t>Report No 18-901011-060</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FE423A" w14:textId="6CF3FBEF"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3F7339" w14:textId="644D22F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B9D9C48"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322A36B" w14:textId="1543C79A"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12E4385C" w14:textId="6C6C3364"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852D7E5" w14:textId="0DFC7C44" w:rsidR="00B06009" w:rsidRPr="00B06009" w:rsidRDefault="00B06009">
            <w:pPr>
              <w:rPr>
                <w:rFonts w:cs="Arial"/>
                <w:color w:val="000000"/>
                <w:lang w:eastAsia="fr-FR"/>
              </w:rPr>
            </w:pPr>
            <w:r w:rsidRPr="00E91F85">
              <w:rPr>
                <w:color w:val="000000"/>
                <w:lang w:val="en-US" w:eastAsia="fr-FR"/>
              </w:rPr>
              <w:t>Validation of the analytical method for the determination of amines, coco alkyldimethyl, N-oxides in AL-S11-2-0, In compliance with SANCO/3030/99 rev. 4 from 11/07/00</w:t>
            </w:r>
            <w:r w:rsidRPr="00E91F85">
              <w:rPr>
                <w:color w:val="000000"/>
                <w:lang w:val="en-US" w:eastAsia="fr-FR"/>
              </w:rPr>
              <w:br/>
              <w:t>Report No 18-901011-066</w:t>
            </w:r>
            <w:r w:rsidRPr="00E91F85">
              <w:rPr>
                <w:color w:val="000000"/>
                <w:lang w:val="en-US" w:eastAsia="fr-FR"/>
              </w:rPr>
              <w:br/>
            </w:r>
            <w:r w:rsidRPr="00E91F85">
              <w:rPr>
                <w:color w:val="000000"/>
                <w:lang w:val="en-US" w:eastAsia="fr-FR"/>
              </w:rPr>
              <w:lastRenderedPageBreak/>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31480D" w14:textId="20F330B2" w:rsidR="00B06009" w:rsidRPr="00B06009" w:rsidRDefault="00B06009">
            <w:pPr>
              <w:jc w:val="center"/>
              <w:rPr>
                <w:rFonts w:cs="Arial"/>
                <w:color w:val="000000"/>
                <w:lang w:eastAsia="en-US"/>
              </w:rPr>
            </w:pPr>
            <w:r w:rsidRPr="00B06009">
              <w:rPr>
                <w:rFonts w:cs="Arial"/>
                <w:color w:val="000000"/>
                <w:lang w:eastAsia="en-US"/>
              </w:rPr>
              <w:lastRenderedPageBreak/>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A60F16" w14:textId="136498B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76A4740"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E5E5A56" w14:textId="7A8D222A"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24BC60E2" w14:textId="1D0E6E58"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69DD7BCE" w14:textId="4DABEEB9" w:rsidR="00B06009" w:rsidRPr="00B06009" w:rsidRDefault="00B06009">
            <w:pPr>
              <w:rPr>
                <w:rFonts w:cs="Arial"/>
                <w:color w:val="000000"/>
                <w:lang w:eastAsia="fr-FR"/>
              </w:rPr>
            </w:pPr>
            <w:r w:rsidRPr="00E91F85">
              <w:rPr>
                <w:color w:val="000000"/>
                <w:lang w:val="en-US" w:eastAsia="fr-FR"/>
              </w:rPr>
              <w:t>Validation of the analytical method for the determination of butyldiglycol in AL-S13-2-1, In compliance with SANCO/3030/99 rev. 4 from 11/07/00</w:t>
            </w:r>
            <w:r w:rsidRPr="00E91F85">
              <w:rPr>
                <w:color w:val="000000"/>
                <w:lang w:val="en-US" w:eastAsia="fr-FR"/>
              </w:rPr>
              <w:br/>
              <w:t>Report No 18-901011-065</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E36AC8" w14:textId="2C9FDD7B"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847430" w14:textId="110B5373"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5772654"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33902A6" w14:textId="0DA86A86" w:rsidR="00B06009" w:rsidRPr="00B06009" w:rsidRDefault="00B06009">
            <w:pPr>
              <w:jc w:val="center"/>
              <w:rPr>
                <w:rFonts w:cs="Arial"/>
                <w:color w:val="000000"/>
                <w:lang w:eastAsia="fr-FR"/>
              </w:rPr>
            </w:pPr>
            <w:r w:rsidRPr="00E91F85">
              <w:rPr>
                <w:color w:val="000000"/>
                <w:lang w:val="fr-FR" w:eastAsia="fr-FR"/>
              </w:rPr>
              <w:t>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D274B03" w14:textId="3667B8FB"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3775681D" w14:textId="44303BD7" w:rsidR="00B06009" w:rsidRPr="00B06009" w:rsidRDefault="00B06009">
            <w:pPr>
              <w:rPr>
                <w:rFonts w:cs="Arial"/>
                <w:color w:val="000000"/>
                <w:lang w:eastAsia="fr-FR"/>
              </w:rPr>
            </w:pPr>
            <w:r w:rsidRPr="00E91F85">
              <w:rPr>
                <w:color w:val="000000"/>
                <w:lang w:val="en-US" w:eastAsia="fr-FR"/>
              </w:rPr>
              <w:t>Validation of the analytical method for the determination of butyldiglycol in AL-S10-2-1, In compliance with SANCO/3030/99 rev. 4 from 11/07/00</w:t>
            </w:r>
            <w:r w:rsidRPr="00E91F85">
              <w:rPr>
                <w:color w:val="000000"/>
                <w:lang w:val="en-US" w:eastAsia="fr-FR"/>
              </w:rPr>
              <w:br/>
              <w:t>Report No 18-901011-055</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27F8F4" w14:textId="0C006FBC"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866901" w14:textId="0EE1F609"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567020F5"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E4D3B7F" w14:textId="3281E362" w:rsidR="00B06009" w:rsidRPr="00B06009" w:rsidRDefault="00B06009">
            <w:pPr>
              <w:jc w:val="center"/>
              <w:rPr>
                <w:rFonts w:cs="Arial"/>
                <w:color w:val="000000"/>
                <w:lang w:eastAsia="fr-FR"/>
              </w:rPr>
            </w:pPr>
            <w:r w:rsidRPr="00E91F85">
              <w:rPr>
                <w:color w:val="000000"/>
                <w:lang w:val="en-US"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13F04A4F" w14:textId="414C2F6F" w:rsidR="00B06009" w:rsidRPr="00B06009" w:rsidRDefault="00B06009">
            <w:pPr>
              <w:jc w:val="center"/>
              <w:rPr>
                <w:rFonts w:cs="Arial"/>
                <w:color w:val="000000"/>
                <w:lang w:eastAsia="fr-FR"/>
              </w:rPr>
            </w:pPr>
            <w:r w:rsidRPr="00E91F85">
              <w:rPr>
                <w:color w:val="000000"/>
                <w:lang w:val="en-US"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45F8402" w14:textId="22C49E27" w:rsidR="00B06009" w:rsidRPr="00B06009" w:rsidRDefault="00B06009">
            <w:pPr>
              <w:rPr>
                <w:rFonts w:cs="Arial"/>
                <w:color w:val="000000"/>
                <w:lang w:eastAsia="fr-FR"/>
              </w:rPr>
            </w:pPr>
            <w:r w:rsidRPr="00E91F85">
              <w:rPr>
                <w:color w:val="000000"/>
                <w:lang w:val="en-US" w:eastAsia="fr-FR"/>
              </w:rPr>
              <w:t>Physico-chemical tests on AL-S1-2-0</w:t>
            </w:r>
            <w:r w:rsidRPr="00E91F85">
              <w:rPr>
                <w:color w:val="000000"/>
                <w:lang w:val="en-US" w:eastAsia="fr-FR"/>
              </w:rPr>
              <w:br/>
              <w:t>Report No 18-901011-008</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57E2E4" w14:textId="38C8A07E"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A83E70" w14:textId="6AA0B663"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274ED4FF"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3E4E39A" w14:textId="6DD39FA7" w:rsidR="00B06009" w:rsidRPr="00B06009" w:rsidRDefault="00B06009">
            <w:pPr>
              <w:jc w:val="center"/>
              <w:rPr>
                <w:rFonts w:cs="Arial"/>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7EFC33B4" w14:textId="305237A8"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2C587967" w14:textId="5D2E0611" w:rsidR="00B06009" w:rsidRPr="00B06009" w:rsidRDefault="00B06009">
            <w:pPr>
              <w:rPr>
                <w:rFonts w:cs="Arial"/>
                <w:color w:val="000000"/>
                <w:lang w:eastAsia="fr-FR"/>
              </w:rPr>
            </w:pPr>
            <w:r w:rsidRPr="00E91F85">
              <w:rPr>
                <w:color w:val="000000"/>
                <w:lang w:val="en-US" w:eastAsia="fr-FR"/>
              </w:rPr>
              <w:t>Physico-chemical tests and analyses before and after an accelerated storage procedure for 14 days at 54 °C ± 2 °C on AL-S1-2-0, In compliance with CIPAC Handbook J - MT 46.3 method (2000)</w:t>
            </w:r>
            <w:r w:rsidRPr="00E91F85">
              <w:rPr>
                <w:color w:val="000000"/>
                <w:lang w:val="en-US" w:eastAsia="fr-FR"/>
              </w:rPr>
              <w:br/>
              <w:t>Report No 18-901011-009</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362561" w14:textId="03C1E56F"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44E697" w14:textId="6CA0BF31"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00F423C"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4A775B6" w14:textId="2B94201D" w:rsidR="00B06009" w:rsidRPr="00B06009" w:rsidRDefault="00B06009">
            <w:pPr>
              <w:jc w:val="center"/>
              <w:rPr>
                <w:rFonts w:cs="Arial"/>
                <w:color w:val="000000"/>
                <w:lang w:eastAsia="fr-FR"/>
              </w:rPr>
            </w:pPr>
            <w:r w:rsidRPr="00E91F85">
              <w:rPr>
                <w:color w:val="000000"/>
                <w:lang w:val="fr-FR" w:eastAsia="fr-FR"/>
              </w:rPr>
              <w:t>Bulidon N.</w:t>
            </w:r>
          </w:p>
        </w:tc>
        <w:tc>
          <w:tcPr>
            <w:tcW w:w="855" w:type="dxa"/>
            <w:tcBorders>
              <w:top w:val="single" w:sz="4" w:space="0" w:color="auto"/>
              <w:left w:val="nil"/>
              <w:bottom w:val="single" w:sz="4" w:space="0" w:color="auto"/>
              <w:right w:val="single" w:sz="4" w:space="0" w:color="auto"/>
            </w:tcBorders>
            <w:shd w:val="clear" w:color="auto" w:fill="auto"/>
            <w:vAlign w:val="center"/>
          </w:tcPr>
          <w:p w14:paraId="675BAD3E" w14:textId="4F519F74" w:rsidR="00B06009" w:rsidRPr="00B06009" w:rsidRDefault="00B06009">
            <w:pPr>
              <w:jc w:val="center"/>
              <w:rPr>
                <w:rFonts w:cs="Arial"/>
                <w:color w:val="000000"/>
                <w:lang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095F0248"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AL-S1-2-0</w:t>
            </w:r>
          </w:p>
          <w:p w14:paraId="1CE72F2B" w14:textId="77777777" w:rsidR="00B06009" w:rsidRPr="00E91F85" w:rsidRDefault="00B06009">
            <w:pPr>
              <w:rPr>
                <w:color w:val="000000"/>
                <w:lang w:val="fr-FR" w:eastAsia="fr-FR"/>
              </w:rPr>
            </w:pPr>
            <w:r w:rsidRPr="00E91F85">
              <w:rPr>
                <w:color w:val="000000"/>
                <w:lang w:val="fr-FR" w:eastAsia="fr-FR"/>
              </w:rPr>
              <w:t>Report No IC 860008-1</w:t>
            </w:r>
          </w:p>
          <w:p w14:paraId="6C094223" w14:textId="77777777" w:rsidR="00B06009" w:rsidRPr="00E91F85" w:rsidRDefault="00B06009">
            <w:pPr>
              <w:rPr>
                <w:color w:val="000000"/>
                <w:lang w:val="fr-FR" w:eastAsia="fr-FR"/>
              </w:rPr>
            </w:pPr>
            <w:r w:rsidRPr="00E91F85">
              <w:rPr>
                <w:color w:val="000000"/>
                <w:lang w:val="fr-FR" w:eastAsia="fr-FR"/>
              </w:rPr>
              <w:t>Institut de la Corrosion</w:t>
            </w:r>
          </w:p>
          <w:p w14:paraId="43121377" w14:textId="3A3B176D" w:rsidR="00B06009" w:rsidRPr="00B06009" w:rsidRDefault="00B06009">
            <w:pPr>
              <w:rPr>
                <w:rFonts w:cs="Arial"/>
                <w:color w:val="000000"/>
                <w:lang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81A44F" w14:textId="408B76C4"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8929A4" w14:textId="5D9155C4"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6C98508"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4057F8B" w14:textId="6334042E" w:rsidR="00B06009" w:rsidRPr="00B06009" w:rsidRDefault="00B06009">
            <w:pPr>
              <w:jc w:val="center"/>
              <w:rPr>
                <w:rFonts w:cs="Arial"/>
                <w:color w:val="000000"/>
                <w:lang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01FACEDE" w14:textId="069C459E"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DDEC62F" w14:textId="34276763" w:rsidR="00B06009" w:rsidRPr="00B06009" w:rsidRDefault="00B06009">
            <w:pPr>
              <w:rPr>
                <w:rFonts w:cs="Arial"/>
                <w:color w:val="000000"/>
                <w:lang w:eastAsia="fr-FR"/>
              </w:rPr>
            </w:pPr>
            <w:r w:rsidRPr="00E91F85">
              <w:rPr>
                <w:color w:val="000000"/>
                <w:lang w:val="en-US" w:eastAsia="fr-FR"/>
              </w:rPr>
              <w:t>Physico-chemical tests on AL-S2-2-0</w:t>
            </w:r>
            <w:r w:rsidRPr="00E91F85">
              <w:rPr>
                <w:color w:val="000000"/>
                <w:lang w:val="en-US" w:eastAsia="fr-FR"/>
              </w:rPr>
              <w:br/>
              <w:t>Report No 18-901011-013</w:t>
            </w:r>
            <w:r w:rsidRPr="00E91F85">
              <w:rPr>
                <w:color w:val="000000"/>
                <w:lang w:val="en-US" w:eastAsia="fr-FR"/>
              </w:rPr>
              <w:br/>
              <w:t>Defitraces</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65C102" w14:textId="415813D2"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AA4297" w14:textId="505B8CC3"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5759C48A"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F2AC330" w14:textId="1F13A988" w:rsidR="00B06009" w:rsidRPr="00B06009" w:rsidRDefault="00B06009">
            <w:pPr>
              <w:jc w:val="center"/>
              <w:rPr>
                <w:rFonts w:cs="Arial"/>
                <w:color w:val="000000"/>
                <w:lang w:eastAsia="fr-FR"/>
              </w:rPr>
            </w:pPr>
            <w:r w:rsidRPr="00E91F85">
              <w:rPr>
                <w:color w:val="000000"/>
                <w:lang w:val="en-US" w:eastAsia="fr-FR"/>
              </w:rPr>
              <w:lastRenderedPageBreak/>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368EE6EC" w14:textId="1F639EEA"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233DC773" w14:textId="4BD44A7A" w:rsidR="00B06009" w:rsidRPr="00B06009" w:rsidRDefault="00B06009">
            <w:pPr>
              <w:rPr>
                <w:rFonts w:cs="Arial"/>
                <w:color w:val="000000"/>
                <w:lang w:eastAsia="fr-FR"/>
              </w:rPr>
            </w:pPr>
            <w:r w:rsidRPr="00E91F85">
              <w:rPr>
                <w:color w:val="000000"/>
                <w:lang w:val="en-US" w:eastAsia="fr-FR"/>
              </w:rPr>
              <w:t>Physico-chemical tests and analyses before and after an accelerated storage procedure for 14 days at 54 °C ± 2 °C on AL-S2-2-0, In compliance with CIPAC Handbook J - MT 46.3 method (2000)</w:t>
            </w:r>
            <w:r w:rsidRPr="00E91F85">
              <w:rPr>
                <w:color w:val="000000"/>
                <w:lang w:val="en-US" w:eastAsia="fr-FR"/>
              </w:rPr>
              <w:br/>
              <w:t>Report No 18-901011-014</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1946D8" w14:textId="6AFD383A"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BF8B8F" w14:textId="6BA4746F"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B5E94D4"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77B6790" w14:textId="4D7A65E9" w:rsidR="00B06009" w:rsidRPr="00B06009" w:rsidRDefault="00B06009">
            <w:pPr>
              <w:jc w:val="center"/>
              <w:rPr>
                <w:rFonts w:cs="Arial"/>
                <w:color w:val="000000"/>
                <w:lang w:eastAsia="fr-FR"/>
              </w:rPr>
            </w:pPr>
            <w:r w:rsidRPr="00E91F85">
              <w:rPr>
                <w:color w:val="000000"/>
                <w:lang w:val="fr-FR" w:eastAsia="fr-FR"/>
              </w:rPr>
              <w:t>Bulidon N.</w:t>
            </w:r>
          </w:p>
        </w:tc>
        <w:tc>
          <w:tcPr>
            <w:tcW w:w="855" w:type="dxa"/>
            <w:tcBorders>
              <w:top w:val="single" w:sz="4" w:space="0" w:color="auto"/>
              <w:left w:val="nil"/>
              <w:bottom w:val="single" w:sz="4" w:space="0" w:color="auto"/>
              <w:right w:val="single" w:sz="4" w:space="0" w:color="auto"/>
            </w:tcBorders>
            <w:shd w:val="clear" w:color="auto" w:fill="auto"/>
            <w:vAlign w:val="center"/>
          </w:tcPr>
          <w:p w14:paraId="1440C78C" w14:textId="216A1C7F" w:rsidR="00B06009" w:rsidRPr="00B06009" w:rsidRDefault="00B06009">
            <w:pPr>
              <w:jc w:val="center"/>
              <w:rPr>
                <w:rFonts w:cs="Arial"/>
                <w:color w:val="000000"/>
                <w:lang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7ED3F2D9"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AL-S2-2-0</w:t>
            </w:r>
          </w:p>
          <w:p w14:paraId="2418704F" w14:textId="77777777" w:rsidR="00B06009" w:rsidRPr="00E91F85" w:rsidRDefault="00B06009">
            <w:pPr>
              <w:rPr>
                <w:color w:val="000000"/>
                <w:lang w:val="fr-FR" w:eastAsia="fr-FR"/>
              </w:rPr>
            </w:pPr>
            <w:r w:rsidRPr="00E91F85">
              <w:rPr>
                <w:color w:val="000000"/>
                <w:lang w:val="fr-FR" w:eastAsia="fr-FR"/>
              </w:rPr>
              <w:t>Report No IC 860008-2</w:t>
            </w:r>
          </w:p>
          <w:p w14:paraId="58995BBE" w14:textId="77777777" w:rsidR="00B06009" w:rsidRPr="00E91F85" w:rsidRDefault="00B06009">
            <w:pPr>
              <w:rPr>
                <w:color w:val="000000"/>
                <w:lang w:val="fr-FR" w:eastAsia="fr-FR"/>
              </w:rPr>
            </w:pPr>
            <w:r w:rsidRPr="00E91F85">
              <w:rPr>
                <w:color w:val="000000"/>
                <w:lang w:val="fr-FR" w:eastAsia="fr-FR"/>
              </w:rPr>
              <w:t>Institut de la Corrosion</w:t>
            </w:r>
          </w:p>
          <w:p w14:paraId="1433FD3C" w14:textId="0E616816" w:rsidR="00B06009" w:rsidRPr="00B06009" w:rsidRDefault="00B06009">
            <w:pPr>
              <w:rPr>
                <w:rFonts w:cs="Arial"/>
                <w:color w:val="000000"/>
                <w:lang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86A331" w14:textId="0F62FA37"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2F51B7" w14:textId="5324FFE9"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8A165B4"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CF5B671" w14:textId="56A2324F" w:rsidR="00B06009" w:rsidRPr="00B06009" w:rsidRDefault="00B06009">
            <w:pPr>
              <w:jc w:val="center"/>
              <w:rPr>
                <w:rFonts w:cs="Arial"/>
                <w:color w:val="000000"/>
                <w:lang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6964DC19" w14:textId="6E6270C1"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D5C9D1F" w14:textId="518C7F51" w:rsidR="00B06009" w:rsidRPr="00B06009" w:rsidRDefault="00B06009">
            <w:pPr>
              <w:rPr>
                <w:rFonts w:cs="Arial"/>
                <w:color w:val="000000"/>
                <w:lang w:eastAsia="fr-FR"/>
              </w:rPr>
            </w:pPr>
            <w:r w:rsidRPr="00E91F85">
              <w:rPr>
                <w:color w:val="000000"/>
                <w:lang w:val="en-US" w:eastAsia="fr-FR"/>
              </w:rPr>
              <w:t>Physico-chemical tests on AL-S3-2-0</w:t>
            </w:r>
            <w:r w:rsidRPr="00E91F85">
              <w:rPr>
                <w:color w:val="000000"/>
                <w:lang w:val="en-US" w:eastAsia="fr-FR"/>
              </w:rPr>
              <w:br/>
              <w:t>Report No 18-901011-017</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0499A2" w14:textId="308CBC50"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6C0DA" w14:textId="53469A81"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5FEC2B01"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F4260C1" w14:textId="5E5DE5D2" w:rsidR="00B06009" w:rsidRPr="00B06009" w:rsidRDefault="00B06009">
            <w:pPr>
              <w:jc w:val="center"/>
              <w:rPr>
                <w:rFonts w:cs="Arial"/>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5086982A" w14:textId="0C7EF007"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6886B1B" w14:textId="7CCB0332" w:rsidR="00B06009" w:rsidRPr="00B06009" w:rsidRDefault="00B06009">
            <w:pPr>
              <w:rPr>
                <w:rFonts w:cs="Arial"/>
                <w:color w:val="000000"/>
                <w:lang w:eastAsia="fr-FR"/>
              </w:rPr>
            </w:pPr>
            <w:r w:rsidRPr="00E91F85">
              <w:rPr>
                <w:color w:val="000000"/>
                <w:lang w:val="en-US" w:eastAsia="fr-FR"/>
              </w:rPr>
              <w:t>Physico-chemical tests and analyses before and after an accelerated storage procedure for 14 days at 54 °C ± 2 °C on AL-S3-2-0, In compliance with CIPAC Handbook J - MT 46.3 method (2000)</w:t>
            </w:r>
            <w:r w:rsidRPr="00E91F85">
              <w:rPr>
                <w:color w:val="000000"/>
                <w:lang w:val="en-US" w:eastAsia="fr-FR"/>
              </w:rPr>
              <w:br/>
              <w:t>Report No 18-901011-018</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81E192" w14:textId="22212108"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B7740E" w14:textId="7D526E49"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67D079A0"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1DD34C3" w14:textId="6C61C1BD" w:rsidR="00B06009" w:rsidRPr="00B06009" w:rsidRDefault="00B06009">
            <w:pPr>
              <w:jc w:val="center"/>
              <w:rPr>
                <w:rFonts w:cs="Arial"/>
                <w:color w:val="000000"/>
                <w:lang w:eastAsia="fr-FR"/>
              </w:rPr>
            </w:pPr>
            <w:r w:rsidRPr="00E91F85">
              <w:rPr>
                <w:color w:val="000000"/>
                <w:lang w:val="fr-FR" w:eastAsia="fr-FR"/>
              </w:rPr>
              <w:t>Fourny P.</w:t>
            </w:r>
          </w:p>
        </w:tc>
        <w:tc>
          <w:tcPr>
            <w:tcW w:w="855" w:type="dxa"/>
            <w:tcBorders>
              <w:top w:val="single" w:sz="4" w:space="0" w:color="auto"/>
              <w:left w:val="nil"/>
              <w:bottom w:val="single" w:sz="4" w:space="0" w:color="auto"/>
              <w:right w:val="single" w:sz="4" w:space="0" w:color="auto"/>
            </w:tcBorders>
            <w:shd w:val="clear" w:color="auto" w:fill="auto"/>
            <w:vAlign w:val="center"/>
          </w:tcPr>
          <w:p w14:paraId="1E3DC262" w14:textId="21187807" w:rsidR="00B06009" w:rsidRPr="00B06009" w:rsidRDefault="00B06009">
            <w:pPr>
              <w:jc w:val="center"/>
              <w:rPr>
                <w:rFonts w:cs="Arial"/>
                <w:color w:val="000000"/>
                <w:lang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42C15E17"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AL-S3-2-0</w:t>
            </w:r>
          </w:p>
          <w:p w14:paraId="0F435F04" w14:textId="77777777" w:rsidR="00B06009" w:rsidRPr="00E91F85" w:rsidRDefault="00B06009">
            <w:pPr>
              <w:rPr>
                <w:color w:val="000000"/>
                <w:lang w:val="fr-FR" w:eastAsia="fr-FR"/>
              </w:rPr>
            </w:pPr>
            <w:r w:rsidRPr="00E91F85">
              <w:rPr>
                <w:color w:val="000000"/>
                <w:lang w:val="fr-FR" w:eastAsia="fr-FR"/>
              </w:rPr>
              <w:t>Report No IC 860008-3</w:t>
            </w:r>
          </w:p>
          <w:p w14:paraId="26A0DAF2" w14:textId="77777777" w:rsidR="00B06009" w:rsidRPr="00E91F85" w:rsidRDefault="00B06009">
            <w:pPr>
              <w:rPr>
                <w:color w:val="000000"/>
                <w:lang w:val="fr-FR" w:eastAsia="fr-FR"/>
              </w:rPr>
            </w:pPr>
            <w:r w:rsidRPr="00E91F85">
              <w:rPr>
                <w:color w:val="000000"/>
                <w:lang w:val="fr-FR" w:eastAsia="fr-FR"/>
              </w:rPr>
              <w:t>Institut de la Corrosion</w:t>
            </w:r>
          </w:p>
          <w:p w14:paraId="4256DD28" w14:textId="03FC3C20" w:rsidR="00B06009" w:rsidRPr="00B06009" w:rsidRDefault="00B06009">
            <w:pPr>
              <w:rPr>
                <w:rFonts w:cs="Arial"/>
                <w:color w:val="000000"/>
                <w:lang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6F10D0" w14:textId="6BFCECD2"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E4C7C3" w14:textId="271BB0F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F4B03D6"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4ED32A5" w14:textId="0D5F9675" w:rsidR="00B06009" w:rsidRPr="00B06009" w:rsidRDefault="00B06009">
            <w:pPr>
              <w:jc w:val="center"/>
              <w:rPr>
                <w:rFonts w:cs="Arial"/>
                <w:color w:val="000000"/>
                <w:lang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5ABCB59D" w14:textId="0D6E8776" w:rsidR="00B06009" w:rsidRPr="00B06009" w:rsidRDefault="00B06009">
            <w:pPr>
              <w:jc w:val="center"/>
              <w:rPr>
                <w:rFonts w:cs="Arial"/>
                <w:color w:val="000000"/>
                <w:lang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1490216D" w14:textId="644F773B" w:rsidR="00B06009" w:rsidRPr="00B06009" w:rsidRDefault="00B06009">
            <w:pPr>
              <w:rPr>
                <w:rFonts w:cs="Arial"/>
                <w:color w:val="000000"/>
                <w:lang w:eastAsia="fr-FR"/>
              </w:rPr>
            </w:pPr>
            <w:r w:rsidRPr="00E91F85">
              <w:rPr>
                <w:color w:val="000000"/>
                <w:lang w:val="en-US" w:eastAsia="fr-FR"/>
              </w:rPr>
              <w:t>Physico-chemical tests on AL-S4-2-0</w:t>
            </w:r>
            <w:r w:rsidRPr="00E91F85">
              <w:rPr>
                <w:color w:val="000000"/>
                <w:lang w:val="en-US" w:eastAsia="fr-FR"/>
              </w:rPr>
              <w:br/>
              <w:t>Report No 18-901011-022</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5F20D2" w14:textId="611627FA"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7B0A67" w14:textId="0031B0FD"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94C5610"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AFAC334" w14:textId="48304E1E" w:rsidR="00B06009" w:rsidRPr="00E91F85" w:rsidRDefault="00B06009">
            <w:pPr>
              <w:jc w:val="center"/>
              <w:rPr>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111F810E" w14:textId="0992FE0F"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0A69D6D" w14:textId="67294AE8" w:rsidR="00B06009" w:rsidRPr="00E91F85" w:rsidRDefault="00B06009">
            <w:pPr>
              <w:rPr>
                <w:color w:val="000000"/>
                <w:lang w:val="en-US" w:eastAsia="fr-FR"/>
              </w:rPr>
            </w:pPr>
            <w:r w:rsidRPr="00E91F85">
              <w:rPr>
                <w:color w:val="000000"/>
                <w:lang w:val="en-US" w:eastAsia="fr-FR"/>
              </w:rPr>
              <w:t xml:space="preserve">Physico-chemical tests and analyses before and after an accelerated storage procedure for 14 days at 54 °C ± 2 °C on AL-S4-2-0, in compliance with CIPAC Handbook J - MT </w:t>
            </w:r>
            <w:r w:rsidRPr="00E91F85">
              <w:rPr>
                <w:color w:val="000000"/>
                <w:lang w:val="en-US" w:eastAsia="fr-FR"/>
              </w:rPr>
              <w:lastRenderedPageBreak/>
              <w:t>46.3 method (2000)</w:t>
            </w:r>
            <w:r w:rsidRPr="00E91F85">
              <w:rPr>
                <w:color w:val="000000"/>
                <w:lang w:val="en-US" w:eastAsia="fr-FR"/>
              </w:rPr>
              <w:br/>
              <w:t>Report No 18-901011-023</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F21FF0" w14:textId="2A088D0B" w:rsidR="00B06009" w:rsidRPr="00B06009" w:rsidRDefault="00B06009">
            <w:pPr>
              <w:jc w:val="center"/>
              <w:rPr>
                <w:rFonts w:cs="Arial"/>
                <w:color w:val="000000"/>
                <w:lang w:eastAsia="en-US"/>
              </w:rPr>
            </w:pPr>
            <w:r w:rsidRPr="00B06009">
              <w:rPr>
                <w:rFonts w:cs="Arial"/>
                <w:color w:val="000000"/>
                <w:lang w:eastAsia="en-US"/>
              </w:rPr>
              <w:lastRenderedPageBreak/>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BFFCA6" w14:textId="1D7C64B6"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7699691"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FAF4C9D" w14:textId="15C0B8C0" w:rsidR="00B06009" w:rsidRPr="00E91F85" w:rsidRDefault="00B06009">
            <w:pPr>
              <w:jc w:val="center"/>
              <w:rPr>
                <w:color w:val="000000"/>
                <w:lang w:val="en-US"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531AD922" w14:textId="41A1B072"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72FAD775" w14:textId="77777777" w:rsidR="00B06009" w:rsidRPr="00E91F85" w:rsidRDefault="00B06009">
            <w:pPr>
              <w:rPr>
                <w:bCs/>
                <w:color w:val="000000"/>
                <w:lang w:val="en-US" w:eastAsia="fr-FR"/>
              </w:rPr>
            </w:pPr>
            <w:r w:rsidRPr="00E91F85">
              <w:rPr>
                <w:bCs/>
                <w:color w:val="000000"/>
                <w:lang w:val="en-US" w:eastAsia="fr-FR"/>
              </w:rPr>
              <w:t>Physico-chemical tests and chemical stability after a storage procedure for 24 months at 20 °C ± 2 °C</w:t>
            </w:r>
          </w:p>
          <w:p w14:paraId="1C289FBD" w14:textId="77777777" w:rsidR="00B06009" w:rsidRPr="00E91F85" w:rsidRDefault="00B06009">
            <w:pPr>
              <w:autoSpaceDE w:val="0"/>
              <w:autoSpaceDN w:val="0"/>
              <w:adjustRightInd w:val="0"/>
              <w:rPr>
                <w:rFonts w:cs="Arial"/>
                <w:bCs/>
                <w:lang w:val="en-US" w:eastAsia="fr-FR"/>
              </w:rPr>
            </w:pPr>
            <w:r w:rsidRPr="00E91F85">
              <w:rPr>
                <w:bCs/>
                <w:color w:val="000000"/>
                <w:lang w:val="en-US" w:eastAsia="fr-FR"/>
              </w:rPr>
              <w:t xml:space="preserve">on AL-S4-2-0 - </w:t>
            </w:r>
            <w:r w:rsidRPr="00E91F85">
              <w:rPr>
                <w:bCs/>
                <w:iCs/>
                <w:color w:val="000000"/>
                <w:lang w:val="en-US" w:eastAsia="fr-FR"/>
              </w:rPr>
              <w:t xml:space="preserve">Spray droplet size distribution by laser diffraction at T = 0, </w:t>
            </w:r>
            <w:r w:rsidRPr="00E91F85">
              <w:rPr>
                <w:rFonts w:cs="Arial"/>
                <w:bCs/>
                <w:lang w:val="en-US" w:eastAsia="fr-FR"/>
              </w:rPr>
              <w:t>In compliance with Technical Monograph No. 17, 2nd edition</w:t>
            </w:r>
          </w:p>
          <w:p w14:paraId="5D84CF6E" w14:textId="77777777" w:rsidR="00B06009" w:rsidRPr="00E91F85" w:rsidRDefault="00B06009">
            <w:pPr>
              <w:rPr>
                <w:rFonts w:cs="Arial"/>
                <w:bCs/>
                <w:lang w:val="en-US" w:eastAsia="fr-FR"/>
              </w:rPr>
            </w:pPr>
            <w:r w:rsidRPr="00E91F85">
              <w:rPr>
                <w:rFonts w:cs="Arial"/>
                <w:bCs/>
                <w:lang w:val="en-US" w:eastAsia="fr-FR"/>
              </w:rPr>
              <w:t>CropLife International</w:t>
            </w:r>
          </w:p>
          <w:p w14:paraId="4B168A86" w14:textId="77777777" w:rsidR="00B06009" w:rsidRPr="00E91F85" w:rsidRDefault="00B06009">
            <w:pPr>
              <w:rPr>
                <w:rFonts w:cs="Arial"/>
                <w:bCs/>
                <w:lang w:val="en-US" w:eastAsia="fr-FR"/>
              </w:rPr>
            </w:pPr>
            <w:r w:rsidRPr="00E91F85">
              <w:rPr>
                <w:rFonts w:cs="Arial"/>
                <w:bCs/>
                <w:lang w:val="en-US" w:eastAsia="fr-FR"/>
              </w:rPr>
              <w:t>Report No 18-901011-024</w:t>
            </w:r>
          </w:p>
          <w:p w14:paraId="3ACD0F2C" w14:textId="77777777" w:rsidR="00B06009" w:rsidRPr="00E91F85" w:rsidRDefault="00B06009">
            <w:pPr>
              <w:rPr>
                <w:rFonts w:cs="Arial"/>
                <w:bCs/>
                <w:lang w:val="en-US" w:eastAsia="fr-FR"/>
              </w:rPr>
            </w:pPr>
            <w:r w:rsidRPr="00E91F85">
              <w:rPr>
                <w:rFonts w:cs="Arial"/>
                <w:bCs/>
                <w:lang w:val="en-US" w:eastAsia="fr-FR"/>
              </w:rPr>
              <w:t>Defitraces</w:t>
            </w:r>
          </w:p>
          <w:p w14:paraId="4808CCBC" w14:textId="67CBD250" w:rsidR="00B06009" w:rsidRPr="00E91F85" w:rsidRDefault="00B06009">
            <w:pPr>
              <w:rPr>
                <w:color w:val="000000"/>
                <w:lang w:val="en-US" w:eastAsia="fr-FR"/>
              </w:rPr>
            </w:pPr>
            <w:r w:rsidRPr="00E91F85">
              <w:rPr>
                <w:rFonts w:cs="Arial"/>
                <w:bCs/>
                <w:lang w:val="en-US" w:eastAsia="fr-FR"/>
              </w:rP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A32AE8" w14:textId="2517B611"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B1BB41" w14:textId="06EEE480"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3D1D839"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D416AB3" w14:textId="3447B471" w:rsidR="00B06009" w:rsidRPr="00E91F85" w:rsidRDefault="00B06009">
            <w:pPr>
              <w:jc w:val="center"/>
              <w:rPr>
                <w:color w:val="000000"/>
                <w:lang w:val="fr-FR" w:eastAsia="fr-FR"/>
              </w:rPr>
            </w:pPr>
            <w:r w:rsidRPr="00E91F85">
              <w:rPr>
                <w:color w:val="000000"/>
                <w:lang w:val="fr-FR" w:eastAsia="fr-FR"/>
              </w:rPr>
              <w:t>Fourny P.</w:t>
            </w:r>
          </w:p>
        </w:tc>
        <w:tc>
          <w:tcPr>
            <w:tcW w:w="855" w:type="dxa"/>
            <w:tcBorders>
              <w:top w:val="single" w:sz="4" w:space="0" w:color="auto"/>
              <w:left w:val="nil"/>
              <w:bottom w:val="single" w:sz="4" w:space="0" w:color="auto"/>
              <w:right w:val="single" w:sz="4" w:space="0" w:color="auto"/>
            </w:tcBorders>
            <w:shd w:val="clear" w:color="auto" w:fill="auto"/>
            <w:vAlign w:val="center"/>
          </w:tcPr>
          <w:p w14:paraId="11A737DC" w14:textId="2E4B0E76"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10769664"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AL-S4-2-0</w:t>
            </w:r>
          </w:p>
          <w:p w14:paraId="307445C8" w14:textId="77777777" w:rsidR="00B06009" w:rsidRPr="00E91F85" w:rsidRDefault="00B06009">
            <w:pPr>
              <w:rPr>
                <w:color w:val="000000"/>
                <w:lang w:val="fr-FR" w:eastAsia="fr-FR"/>
              </w:rPr>
            </w:pPr>
            <w:r w:rsidRPr="00E91F85">
              <w:rPr>
                <w:color w:val="000000"/>
                <w:lang w:val="fr-FR" w:eastAsia="fr-FR"/>
              </w:rPr>
              <w:t>Report No IC 860008-4</w:t>
            </w:r>
          </w:p>
          <w:p w14:paraId="77A5E01F" w14:textId="77777777" w:rsidR="00B06009" w:rsidRPr="00E91F85" w:rsidRDefault="00B06009">
            <w:pPr>
              <w:rPr>
                <w:color w:val="000000"/>
                <w:lang w:val="fr-FR" w:eastAsia="fr-FR"/>
              </w:rPr>
            </w:pPr>
            <w:r w:rsidRPr="00E91F85">
              <w:rPr>
                <w:color w:val="000000"/>
                <w:lang w:val="fr-FR" w:eastAsia="fr-FR"/>
              </w:rPr>
              <w:t>Institut de la Corrosion</w:t>
            </w:r>
          </w:p>
          <w:p w14:paraId="5716BCCD" w14:textId="3193F6A1" w:rsidR="00B06009" w:rsidRPr="00E91F85" w:rsidRDefault="00B06009">
            <w:pPr>
              <w:rPr>
                <w:bCs/>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55E20F" w14:textId="7CA66755"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CE2E44" w14:textId="73C05347"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7082F6BC"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8E4E532" w14:textId="537612E9" w:rsidR="00B06009" w:rsidRPr="00E91F85" w:rsidRDefault="00B06009">
            <w:pPr>
              <w:jc w:val="center"/>
              <w:rPr>
                <w:color w:val="000000"/>
                <w:lang w:val="fr-FR"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50395A8C" w14:textId="2405D9BB"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43538D38" w14:textId="0F7EACFC" w:rsidR="00B06009" w:rsidRPr="00E91F85" w:rsidRDefault="00B06009">
            <w:pPr>
              <w:rPr>
                <w:color w:val="000000"/>
                <w:lang w:val="en-US" w:eastAsia="fr-FR"/>
              </w:rPr>
            </w:pPr>
            <w:r w:rsidRPr="00E91F85">
              <w:rPr>
                <w:color w:val="000000"/>
                <w:lang w:val="en-US" w:eastAsia="fr-FR"/>
              </w:rPr>
              <w:t>Physico-chemical tests on AL-S6-2-0</w:t>
            </w:r>
            <w:r w:rsidRPr="00E91F85">
              <w:rPr>
                <w:color w:val="000000"/>
                <w:lang w:val="en-US" w:eastAsia="fr-FR"/>
              </w:rPr>
              <w:br/>
              <w:t>Report No 19-901011-015</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5D6772" w14:textId="16D730A0"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5672E7" w14:textId="71F808C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B332B59"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4837F84" w14:textId="29991CF1" w:rsidR="00B06009" w:rsidRPr="00E91F85" w:rsidRDefault="00B06009">
            <w:pPr>
              <w:jc w:val="center"/>
              <w:rPr>
                <w:color w:val="000000"/>
                <w:lang w:eastAsia="fr-FR"/>
              </w:rPr>
            </w:pPr>
            <w:r w:rsidRPr="00E91F85">
              <w:rPr>
                <w:color w:val="000000"/>
                <w:lang w:val="en-US" w:eastAsia="fr-FR"/>
              </w:rPr>
              <w:t>Halbwachs P.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53BFDBB8" w14:textId="0827DBC5"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025D09D9" w14:textId="7C26D7C6"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AL-S6-2-0, In compliance with CIPAC Handbook J - MT 46.3 method (2000)</w:t>
            </w:r>
            <w:r w:rsidRPr="00E91F85">
              <w:rPr>
                <w:color w:val="000000"/>
                <w:lang w:val="en-US" w:eastAsia="fr-FR"/>
              </w:rPr>
              <w:br/>
              <w:t>Report No 19-901011-016</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4F81CE" w14:textId="587130A2"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33899C" w14:textId="1FB6243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87E4892"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A2E71F5" w14:textId="17AB3FAA" w:rsidR="00B06009" w:rsidRPr="00E91F85" w:rsidRDefault="00B06009">
            <w:pPr>
              <w:jc w:val="center"/>
              <w:rPr>
                <w:color w:val="000000"/>
                <w:lang w:val="en-US" w:eastAsia="fr-FR"/>
              </w:rPr>
            </w:pPr>
            <w:r w:rsidRPr="00E91F85">
              <w:rPr>
                <w:color w:val="000000"/>
                <w:lang w:val="fr-FR" w:eastAsia="fr-FR"/>
              </w:rPr>
              <w:t>Fourny P.</w:t>
            </w:r>
          </w:p>
        </w:tc>
        <w:tc>
          <w:tcPr>
            <w:tcW w:w="855" w:type="dxa"/>
            <w:tcBorders>
              <w:top w:val="single" w:sz="4" w:space="0" w:color="auto"/>
              <w:left w:val="nil"/>
              <w:bottom w:val="single" w:sz="4" w:space="0" w:color="auto"/>
              <w:right w:val="single" w:sz="4" w:space="0" w:color="auto"/>
            </w:tcBorders>
            <w:shd w:val="clear" w:color="auto" w:fill="auto"/>
            <w:vAlign w:val="center"/>
          </w:tcPr>
          <w:p w14:paraId="62D6AC87" w14:textId="58895385" w:rsidR="00B06009" w:rsidRPr="00E91F85" w:rsidRDefault="00B06009">
            <w:pPr>
              <w:jc w:val="center"/>
              <w:rPr>
                <w:color w:val="000000"/>
                <w:lang w:val="fr-FR" w:eastAsia="fr-FR"/>
              </w:rPr>
            </w:pPr>
            <w:r w:rsidRPr="00E91F85">
              <w:rPr>
                <w:color w:val="000000"/>
                <w:lang w:val="fr-FR" w:eastAsia="fr-FR"/>
              </w:rPr>
              <w:t>2016</w:t>
            </w:r>
          </w:p>
        </w:tc>
        <w:tc>
          <w:tcPr>
            <w:tcW w:w="3311" w:type="dxa"/>
            <w:tcBorders>
              <w:top w:val="single" w:sz="4" w:space="0" w:color="auto"/>
              <w:left w:val="nil"/>
              <w:bottom w:val="single" w:sz="4" w:space="0" w:color="auto"/>
              <w:right w:val="single" w:sz="4" w:space="0" w:color="auto"/>
            </w:tcBorders>
            <w:shd w:val="clear" w:color="auto" w:fill="auto"/>
            <w:vAlign w:val="center"/>
          </w:tcPr>
          <w:p w14:paraId="2755ED36" w14:textId="77777777" w:rsidR="00B06009" w:rsidRPr="00E91F85" w:rsidRDefault="00B06009">
            <w:pPr>
              <w:rPr>
                <w:color w:val="000000"/>
                <w:lang w:val="en-US" w:eastAsia="fr-FR"/>
              </w:rPr>
            </w:pPr>
            <w:r w:rsidRPr="00E91F85">
              <w:rPr>
                <w:color w:val="000000"/>
                <w:lang w:val="en-US" w:eastAsia="fr-FR"/>
              </w:rPr>
              <w:t>Determination of the corrosiveness of a solution in the presence of steel and aluminium alloy “Enzypin détartrant disinfectant sanitaires concentré”</w:t>
            </w:r>
          </w:p>
          <w:p w14:paraId="2679E691" w14:textId="77777777" w:rsidR="00B06009" w:rsidRPr="00E91F85" w:rsidRDefault="00B06009">
            <w:pPr>
              <w:rPr>
                <w:color w:val="000000"/>
                <w:lang w:val="fr-FR" w:eastAsia="fr-FR"/>
              </w:rPr>
            </w:pPr>
            <w:r w:rsidRPr="00E91F85">
              <w:rPr>
                <w:color w:val="000000"/>
                <w:lang w:val="fr-FR" w:eastAsia="fr-FR"/>
              </w:rPr>
              <w:t>Report No PV/066/16/LC</w:t>
            </w:r>
          </w:p>
          <w:p w14:paraId="2D8F1A20" w14:textId="77777777" w:rsidR="00B06009" w:rsidRPr="00E91F85" w:rsidRDefault="00B06009">
            <w:pPr>
              <w:rPr>
                <w:color w:val="000000"/>
                <w:lang w:val="fr-FR" w:eastAsia="fr-FR"/>
              </w:rPr>
            </w:pPr>
            <w:r w:rsidRPr="00E91F85">
              <w:rPr>
                <w:color w:val="000000"/>
                <w:lang w:val="fr-FR" w:eastAsia="fr-FR"/>
              </w:rPr>
              <w:t>Institut de la Corrosion</w:t>
            </w:r>
          </w:p>
          <w:p w14:paraId="60A59FDE" w14:textId="65EA021C" w:rsidR="00B06009" w:rsidRPr="00E91F85" w:rsidRDefault="00B06009">
            <w:pPr>
              <w:rPr>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F2E5E8" w14:textId="09638DC6"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6AE274" w14:textId="3AA99AFA"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F399859"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17ED6A9" w14:textId="26D0FDE9" w:rsidR="00B06009" w:rsidRPr="00E91F85" w:rsidRDefault="00B06009">
            <w:pPr>
              <w:jc w:val="center"/>
              <w:rPr>
                <w:color w:val="000000"/>
                <w:highlight w:val="yellow"/>
                <w:lang w:val="fr-FR" w:eastAsia="fr-FR"/>
              </w:rPr>
            </w:pPr>
            <w:r w:rsidRPr="00E91F85">
              <w:rPr>
                <w:color w:val="000000"/>
                <w:lang w:val="fr-FR" w:eastAsia="fr-FR"/>
              </w:rPr>
              <w:lastRenderedPageBreak/>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09FE03BD" w14:textId="326D339D" w:rsidR="00B06009" w:rsidRPr="00E91F85" w:rsidRDefault="00B06009">
            <w:pPr>
              <w:jc w:val="center"/>
              <w:rPr>
                <w:color w:val="000000"/>
                <w:highlight w:val="yellow"/>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70E2242D" w14:textId="2261DF2F" w:rsidR="00B06009" w:rsidRPr="00E91F85" w:rsidRDefault="00B06009">
            <w:pPr>
              <w:rPr>
                <w:color w:val="000000"/>
                <w:highlight w:val="yellow"/>
                <w:lang w:val="en-US" w:eastAsia="fr-FR"/>
              </w:rPr>
            </w:pPr>
            <w:r w:rsidRPr="00E91F85">
              <w:rPr>
                <w:color w:val="000000"/>
                <w:lang w:val="en-US" w:eastAsia="fr-FR"/>
              </w:rPr>
              <w:t>Physico-chemical tests on AL-S7-2-0</w:t>
            </w:r>
            <w:r w:rsidRPr="00E91F85">
              <w:rPr>
                <w:color w:val="000000"/>
                <w:lang w:val="en-US" w:eastAsia="fr-FR"/>
              </w:rPr>
              <w:br/>
              <w:t>Report No 18-901011-035</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92CD3B" w14:textId="4B428D04"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D82613" w14:textId="2B102E67"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5956434"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5C19B35" w14:textId="35A8E2C3" w:rsidR="00B06009" w:rsidRPr="00E91F85" w:rsidRDefault="00B06009">
            <w:pPr>
              <w:jc w:val="center"/>
              <w:rPr>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2F6C0EB5" w14:textId="3CBAFD43"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F7CF00C" w14:textId="6C92CCE0"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AL-S7-2-0, In compliance with CIPAC Handbook J - MT 46.3 method (2000)</w:t>
            </w:r>
            <w:r w:rsidRPr="00E91F85">
              <w:rPr>
                <w:color w:val="000000"/>
                <w:lang w:val="en-US" w:eastAsia="fr-FR"/>
              </w:rPr>
              <w:br/>
              <w:t>Report No 18-901011-036</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11E256" w14:textId="5328B31C"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24DF3F" w14:textId="28148116"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41EFF916"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EB31FDB" w14:textId="157B19B9" w:rsidR="00B06009" w:rsidRPr="00E91F85" w:rsidRDefault="00B06009">
            <w:pPr>
              <w:jc w:val="center"/>
              <w:rPr>
                <w:color w:val="000000"/>
                <w:lang w:val="en-US" w:eastAsia="fr-FR"/>
              </w:rPr>
            </w:pPr>
            <w:r w:rsidRPr="00E91F85">
              <w:rPr>
                <w:color w:val="000000"/>
                <w:lang w:val="fr-FR" w:eastAsia="fr-FR"/>
              </w:rPr>
              <w:t>Fourny P.</w:t>
            </w:r>
          </w:p>
        </w:tc>
        <w:tc>
          <w:tcPr>
            <w:tcW w:w="855" w:type="dxa"/>
            <w:tcBorders>
              <w:top w:val="single" w:sz="4" w:space="0" w:color="auto"/>
              <w:left w:val="nil"/>
              <w:bottom w:val="single" w:sz="4" w:space="0" w:color="auto"/>
              <w:right w:val="single" w:sz="4" w:space="0" w:color="auto"/>
            </w:tcBorders>
            <w:shd w:val="clear" w:color="auto" w:fill="auto"/>
            <w:vAlign w:val="center"/>
          </w:tcPr>
          <w:p w14:paraId="68DA064C" w14:textId="0D74274B"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3C14308D"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AL-S7-2-0</w:t>
            </w:r>
          </w:p>
          <w:p w14:paraId="6D9775EC" w14:textId="77777777" w:rsidR="00B06009" w:rsidRPr="00E91F85" w:rsidRDefault="00B06009">
            <w:pPr>
              <w:rPr>
                <w:color w:val="000000"/>
                <w:lang w:val="fr-FR" w:eastAsia="fr-FR"/>
              </w:rPr>
            </w:pPr>
            <w:r w:rsidRPr="00E91F85">
              <w:rPr>
                <w:color w:val="000000"/>
                <w:lang w:val="fr-FR" w:eastAsia="fr-FR"/>
              </w:rPr>
              <w:t>Report No IC 860008-5</w:t>
            </w:r>
          </w:p>
          <w:p w14:paraId="6693E3BB" w14:textId="77777777" w:rsidR="00B06009" w:rsidRPr="00E91F85" w:rsidRDefault="00B06009">
            <w:pPr>
              <w:rPr>
                <w:color w:val="000000"/>
                <w:lang w:val="fr-FR" w:eastAsia="fr-FR"/>
              </w:rPr>
            </w:pPr>
            <w:r w:rsidRPr="00E91F85">
              <w:rPr>
                <w:color w:val="000000"/>
                <w:lang w:val="fr-FR" w:eastAsia="fr-FR"/>
              </w:rPr>
              <w:t>Institut de la Corrosion</w:t>
            </w:r>
          </w:p>
          <w:p w14:paraId="0F3087A0" w14:textId="529466A8" w:rsidR="00B06009" w:rsidRPr="00E91F85" w:rsidRDefault="00B06009">
            <w:pPr>
              <w:rPr>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CFBBD2" w14:textId="6FE7D16F"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65580E" w14:textId="2B41C6F9"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3FFA4D83"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CDD8255" w14:textId="3937C307" w:rsidR="00B06009" w:rsidRPr="00E91F85" w:rsidRDefault="00B06009">
            <w:pPr>
              <w:jc w:val="center"/>
              <w:rPr>
                <w:color w:val="000000"/>
                <w:highlight w:val="yellow"/>
                <w:lang w:val="fr-FR"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28DDB05A" w14:textId="3FA5A77D" w:rsidR="00B06009" w:rsidRPr="00E91F85" w:rsidRDefault="00B06009">
            <w:pPr>
              <w:jc w:val="center"/>
              <w:rPr>
                <w:color w:val="000000"/>
                <w:highlight w:val="yellow"/>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BC32C62" w14:textId="511745B8" w:rsidR="00B06009" w:rsidRPr="00E91F85" w:rsidRDefault="00B06009">
            <w:pPr>
              <w:rPr>
                <w:color w:val="000000"/>
                <w:highlight w:val="yellow"/>
                <w:lang w:val="en-US" w:eastAsia="fr-FR"/>
              </w:rPr>
            </w:pPr>
            <w:r w:rsidRPr="00E91F85">
              <w:rPr>
                <w:color w:val="000000"/>
                <w:lang w:val="en-US" w:eastAsia="fr-FR"/>
              </w:rPr>
              <w:t>Physico-chemical tests on AL-S8-2-0</w:t>
            </w:r>
            <w:r w:rsidRPr="00E91F85">
              <w:rPr>
                <w:color w:val="000000"/>
                <w:lang w:val="en-US" w:eastAsia="fr-FR"/>
              </w:rPr>
              <w:br/>
              <w:t>Report No 18-901011-039</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8A9493" w14:textId="2B5A8B1B"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72B79A" w14:textId="7B63A82D"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2F67EB4"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A951675" w14:textId="36D3EE24" w:rsidR="00B06009" w:rsidRPr="00E91F85" w:rsidRDefault="00B06009">
            <w:pPr>
              <w:jc w:val="center"/>
              <w:rPr>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48B59AE" w14:textId="3F382318"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70FC0D26" w14:textId="67A71E77"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AL-S8-2-0, In compliance with CIPAC Handbook J - MT 46.3 method (2000)</w:t>
            </w:r>
            <w:r w:rsidRPr="00E91F85">
              <w:rPr>
                <w:color w:val="000000"/>
                <w:lang w:val="en-US" w:eastAsia="fr-FR"/>
              </w:rPr>
              <w:br/>
              <w:t>Report No 18-901011-040</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9159B4" w14:textId="4B976758"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2AFB46" w14:textId="5FBB7DBF"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40ED33A3"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0363BDB" w14:textId="15725F37" w:rsidR="00B06009" w:rsidRPr="00E91F85" w:rsidRDefault="00B06009">
            <w:pPr>
              <w:jc w:val="center"/>
              <w:rPr>
                <w:color w:val="000000"/>
                <w:lang w:val="en-US" w:eastAsia="fr-FR"/>
              </w:rPr>
            </w:pPr>
            <w:r w:rsidRPr="00E91F85">
              <w:rPr>
                <w:color w:val="000000"/>
                <w:lang w:val="fr-FR" w:eastAsia="fr-FR"/>
              </w:rPr>
              <w:t>Bulidon N.</w:t>
            </w:r>
          </w:p>
        </w:tc>
        <w:tc>
          <w:tcPr>
            <w:tcW w:w="855" w:type="dxa"/>
            <w:tcBorders>
              <w:top w:val="single" w:sz="4" w:space="0" w:color="auto"/>
              <w:left w:val="nil"/>
              <w:bottom w:val="single" w:sz="4" w:space="0" w:color="auto"/>
              <w:right w:val="single" w:sz="4" w:space="0" w:color="auto"/>
            </w:tcBorders>
            <w:shd w:val="clear" w:color="auto" w:fill="auto"/>
            <w:vAlign w:val="center"/>
          </w:tcPr>
          <w:p w14:paraId="3BA2FAB4" w14:textId="23222220"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6F83F413"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AL-S8-2-0</w:t>
            </w:r>
          </w:p>
          <w:p w14:paraId="34375D90" w14:textId="77777777" w:rsidR="00B06009" w:rsidRPr="00E91F85" w:rsidRDefault="00B06009">
            <w:pPr>
              <w:rPr>
                <w:color w:val="000000"/>
                <w:lang w:val="fr-FR" w:eastAsia="fr-FR"/>
              </w:rPr>
            </w:pPr>
            <w:r w:rsidRPr="00E91F85">
              <w:rPr>
                <w:color w:val="000000"/>
                <w:lang w:val="fr-FR" w:eastAsia="fr-FR"/>
              </w:rPr>
              <w:t>Report No IC 860008-6</w:t>
            </w:r>
          </w:p>
          <w:p w14:paraId="4B0D1D13" w14:textId="77777777" w:rsidR="00B06009" w:rsidRPr="00E91F85" w:rsidRDefault="00B06009">
            <w:pPr>
              <w:rPr>
                <w:color w:val="000000"/>
                <w:lang w:val="fr-FR" w:eastAsia="fr-FR"/>
              </w:rPr>
            </w:pPr>
            <w:r w:rsidRPr="00E91F85">
              <w:rPr>
                <w:color w:val="000000"/>
                <w:lang w:val="fr-FR" w:eastAsia="fr-FR"/>
              </w:rPr>
              <w:t>Institut de la Corrosion</w:t>
            </w:r>
          </w:p>
          <w:p w14:paraId="7678A36E" w14:textId="512151D8" w:rsidR="00B06009" w:rsidRPr="00E91F85" w:rsidRDefault="00B06009">
            <w:pPr>
              <w:rPr>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22AB99" w14:textId="0A648153"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1DD125" w14:textId="7F8110E7"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979D155"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D821541" w14:textId="02F4AC42" w:rsidR="00B06009" w:rsidRPr="00E91F85" w:rsidRDefault="00B06009">
            <w:pPr>
              <w:jc w:val="center"/>
              <w:rPr>
                <w:color w:val="000000"/>
                <w:highlight w:val="yellow"/>
                <w:lang w:val="fr-FR"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12764A83" w14:textId="2A09B0CD" w:rsidR="00B06009" w:rsidRPr="00E91F85" w:rsidRDefault="00B06009">
            <w:pPr>
              <w:jc w:val="center"/>
              <w:rPr>
                <w:color w:val="000000"/>
                <w:highlight w:val="yellow"/>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F154CA5" w14:textId="50D06563" w:rsidR="00B06009" w:rsidRPr="00E91F85" w:rsidRDefault="00B06009">
            <w:pPr>
              <w:rPr>
                <w:color w:val="000000"/>
                <w:highlight w:val="yellow"/>
                <w:lang w:val="en-US" w:eastAsia="fr-FR"/>
              </w:rPr>
            </w:pPr>
            <w:r w:rsidRPr="00E91F85">
              <w:rPr>
                <w:color w:val="000000"/>
                <w:lang w:val="en-US" w:eastAsia="fr-FR"/>
              </w:rPr>
              <w:t>Physico-chemical tests on AL-S9-2-0</w:t>
            </w:r>
            <w:r w:rsidRPr="00E91F85">
              <w:rPr>
                <w:color w:val="000000"/>
                <w:lang w:val="en-US" w:eastAsia="fr-FR"/>
              </w:rPr>
              <w:br/>
              <w:t>Report No 18-901011-044</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2A339A" w14:textId="4CC20546"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0A76BC" w14:textId="2BF57776"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582A7F82"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859E662" w14:textId="0F041DBC" w:rsidR="00B06009" w:rsidRPr="00E91F85" w:rsidRDefault="00B06009">
            <w:pPr>
              <w:jc w:val="center"/>
              <w:rPr>
                <w:color w:val="000000"/>
                <w:lang w:eastAsia="fr-FR"/>
              </w:rPr>
            </w:pPr>
            <w:r w:rsidRPr="00E91F85">
              <w:rPr>
                <w:color w:val="000000"/>
                <w:lang w:val="en-US" w:eastAsia="fr-FR"/>
              </w:rPr>
              <w:lastRenderedPageBreak/>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0BE81B6A" w14:textId="1D89EA78"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627074DE" w14:textId="4EF4C5C0"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AL-S9-2-0, In compliance with CIPAC Handbook J - MT 46.3 method (2000)</w:t>
            </w:r>
            <w:r w:rsidRPr="00E91F85">
              <w:rPr>
                <w:color w:val="000000"/>
                <w:lang w:val="en-US" w:eastAsia="fr-FR"/>
              </w:rPr>
              <w:br/>
              <w:t>Report No 18-901011-045</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404DCE" w14:textId="4A512A24"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F5938E" w14:textId="6D9BD9EC"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0504C85"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A501DA2" w14:textId="2620345B" w:rsidR="00B06009" w:rsidRPr="00E91F85" w:rsidRDefault="00B06009">
            <w:pPr>
              <w:jc w:val="center"/>
              <w:rPr>
                <w:color w:val="000000"/>
                <w:lang w:val="en-US" w:eastAsia="fr-FR"/>
              </w:rPr>
            </w:pPr>
            <w:r w:rsidRPr="00E91F85">
              <w:rPr>
                <w:color w:val="000000"/>
                <w:lang w:val="fr-FR" w:eastAsia="fr-FR"/>
              </w:rPr>
              <w:t>Bulidon N.</w:t>
            </w:r>
          </w:p>
        </w:tc>
        <w:tc>
          <w:tcPr>
            <w:tcW w:w="855" w:type="dxa"/>
            <w:tcBorders>
              <w:top w:val="single" w:sz="4" w:space="0" w:color="auto"/>
              <w:left w:val="nil"/>
              <w:bottom w:val="single" w:sz="4" w:space="0" w:color="auto"/>
              <w:right w:val="single" w:sz="4" w:space="0" w:color="auto"/>
            </w:tcBorders>
            <w:shd w:val="clear" w:color="auto" w:fill="auto"/>
            <w:vAlign w:val="center"/>
          </w:tcPr>
          <w:p w14:paraId="2E8DB0A9" w14:textId="3D0738E5"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591E89C6"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AL-S9-2-0</w:t>
            </w:r>
          </w:p>
          <w:p w14:paraId="03984FF1" w14:textId="77777777" w:rsidR="00B06009" w:rsidRPr="00E91F85" w:rsidRDefault="00B06009">
            <w:pPr>
              <w:rPr>
                <w:color w:val="000000"/>
                <w:lang w:val="fr-FR" w:eastAsia="fr-FR"/>
              </w:rPr>
            </w:pPr>
            <w:r w:rsidRPr="00E91F85">
              <w:rPr>
                <w:color w:val="000000"/>
                <w:lang w:val="fr-FR" w:eastAsia="fr-FR"/>
              </w:rPr>
              <w:t>Report No IC 860008-7</w:t>
            </w:r>
          </w:p>
          <w:p w14:paraId="053F9052" w14:textId="77777777" w:rsidR="00B06009" w:rsidRPr="00E91F85" w:rsidRDefault="00B06009">
            <w:pPr>
              <w:rPr>
                <w:color w:val="000000"/>
                <w:lang w:val="fr-FR" w:eastAsia="fr-FR"/>
              </w:rPr>
            </w:pPr>
            <w:r w:rsidRPr="00E91F85">
              <w:rPr>
                <w:color w:val="000000"/>
                <w:lang w:val="fr-FR" w:eastAsia="fr-FR"/>
              </w:rPr>
              <w:t>Institut de la Corrosion</w:t>
            </w:r>
          </w:p>
          <w:p w14:paraId="0CBF10F3" w14:textId="72903D01" w:rsidR="00B06009" w:rsidRPr="00E91F85" w:rsidRDefault="00B06009">
            <w:pPr>
              <w:rPr>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F9EDAE" w14:textId="02578778"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1FF6EA" w14:textId="0B1E57EF" w:rsidR="00B06009" w:rsidRPr="00B06009" w:rsidRDefault="00B06009">
            <w:pPr>
              <w:jc w:val="center"/>
              <w:rPr>
                <w:rFonts w:cs="Arial"/>
                <w:color w:val="000000"/>
                <w:lang w:eastAsia="fr-FR"/>
              </w:rPr>
            </w:pPr>
            <w:r w:rsidRPr="00E91F85">
              <w:rPr>
                <w:color w:val="000000"/>
                <w:lang w:val="en-US" w:eastAsia="fr-FR"/>
              </w:rPr>
              <w:t>Action Pin</w:t>
            </w:r>
          </w:p>
        </w:tc>
      </w:tr>
      <w:tr w:rsidR="00B06009" w:rsidRPr="00B27CB1" w14:paraId="6AD7D2B2"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10FC9BD" w14:textId="33B39315" w:rsidR="00B06009" w:rsidRPr="00E91F85" w:rsidRDefault="00B06009">
            <w:pPr>
              <w:jc w:val="center"/>
              <w:rPr>
                <w:color w:val="000000"/>
                <w:highlight w:val="yellow"/>
                <w:lang w:val="fr-FR"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75BB2E93" w14:textId="414A6F17" w:rsidR="00B06009" w:rsidRPr="00E91F85" w:rsidRDefault="00B06009">
            <w:pPr>
              <w:jc w:val="center"/>
              <w:rPr>
                <w:color w:val="000000"/>
                <w:highlight w:val="yellow"/>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28F6B238" w14:textId="5F94A7E2" w:rsidR="00B06009" w:rsidRPr="00E91F85" w:rsidRDefault="00B06009">
            <w:pPr>
              <w:rPr>
                <w:color w:val="000000"/>
                <w:highlight w:val="yellow"/>
                <w:lang w:val="en-US" w:eastAsia="fr-FR"/>
              </w:rPr>
            </w:pPr>
            <w:r w:rsidRPr="00E91F85">
              <w:rPr>
                <w:color w:val="000000"/>
                <w:lang w:val="en-US" w:eastAsia="fr-FR"/>
              </w:rPr>
              <w:t>Physico-chemical tests on AL-S10-2-1</w:t>
            </w:r>
            <w:r w:rsidRPr="00E91F85">
              <w:rPr>
                <w:color w:val="000000"/>
                <w:lang w:val="en-US" w:eastAsia="fr-FR"/>
              </w:rPr>
              <w:br/>
              <w:t>Report No 18-901011-049</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1FC8B7" w14:textId="72F4AD1B"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63DB10" w14:textId="420ACEFD"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3EFD4461"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510460C" w14:textId="155A3E0A" w:rsidR="00B06009" w:rsidRPr="00E91F85" w:rsidRDefault="00B06009">
            <w:pPr>
              <w:jc w:val="center"/>
              <w:rPr>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2C5C0597" w14:textId="32EB131C"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614F336B" w14:textId="7F48DA95"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AL-S10-2-1, In compliance with CIPAC Handbook J - MT 46.3 method (2000)</w:t>
            </w:r>
            <w:r w:rsidRPr="00E91F85">
              <w:rPr>
                <w:color w:val="000000"/>
                <w:lang w:val="en-US" w:eastAsia="fr-FR"/>
              </w:rPr>
              <w:br/>
              <w:t>Report No 18-901011-051</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74673D" w14:textId="2FA1D816"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A9610F" w14:textId="6FE09252"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1C521C9B"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787812F" w14:textId="07B96EE9" w:rsidR="00B06009" w:rsidRPr="00E91F85" w:rsidRDefault="00B06009">
            <w:pPr>
              <w:jc w:val="center"/>
              <w:rPr>
                <w:color w:val="000000"/>
                <w:lang w:val="en-US"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3473D4B9" w14:textId="0F3BBB25"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AB49638" w14:textId="018746B9" w:rsidR="00B06009" w:rsidRPr="00E91F85" w:rsidRDefault="00B06009">
            <w:pPr>
              <w:rPr>
                <w:color w:val="000000"/>
                <w:lang w:val="en-US" w:eastAsia="fr-FR"/>
              </w:rPr>
            </w:pPr>
            <w:r w:rsidRPr="00E91F85">
              <w:rPr>
                <w:color w:val="000000"/>
                <w:lang w:val="en-US" w:eastAsia="fr-FR"/>
              </w:rPr>
              <w:t>Physico-chemical tests after a low temperature storage procedure for 7 days at 0 ± 2 °C on AL-S10-2-1, In compliance with CIPAC MT 39.3 CIPAC Handbook J (2000)</w:t>
            </w:r>
            <w:r w:rsidRPr="00E91F85">
              <w:rPr>
                <w:color w:val="000000"/>
                <w:lang w:val="en-US" w:eastAsia="fr-FR"/>
              </w:rPr>
              <w:br/>
              <w:t>Report No 18-901011-050</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F3DA74" w14:textId="6EEB851A"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107480" w14:textId="31B8559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059549C6"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2DCD657" w14:textId="3D4F9949" w:rsidR="00B06009" w:rsidRPr="00E91F85" w:rsidRDefault="00B06009">
            <w:pPr>
              <w:jc w:val="center"/>
              <w:rPr>
                <w:color w:val="000000"/>
                <w:lang w:val="fr-FR" w:eastAsia="fr-FR"/>
              </w:rPr>
            </w:pPr>
            <w:r w:rsidRPr="00E91F85">
              <w:rPr>
                <w:color w:val="000000"/>
                <w:lang w:val="fr-FR" w:eastAsia="fr-FR"/>
              </w:rPr>
              <w:t>Bulidon N.</w:t>
            </w:r>
          </w:p>
        </w:tc>
        <w:tc>
          <w:tcPr>
            <w:tcW w:w="855" w:type="dxa"/>
            <w:tcBorders>
              <w:top w:val="single" w:sz="4" w:space="0" w:color="auto"/>
              <w:left w:val="nil"/>
              <w:bottom w:val="single" w:sz="4" w:space="0" w:color="auto"/>
              <w:right w:val="single" w:sz="4" w:space="0" w:color="auto"/>
            </w:tcBorders>
            <w:shd w:val="clear" w:color="auto" w:fill="auto"/>
            <w:vAlign w:val="center"/>
          </w:tcPr>
          <w:p w14:paraId="4D17C3C3" w14:textId="51A8331E" w:rsidR="00B06009" w:rsidRPr="00E91F85" w:rsidRDefault="00B06009">
            <w:pPr>
              <w:jc w:val="center"/>
              <w:rPr>
                <w:color w:val="000000"/>
                <w:lang w:val="fr-FR" w:eastAsia="fr-FR"/>
              </w:rPr>
            </w:pPr>
            <w:r w:rsidRPr="00E91F85">
              <w:rPr>
                <w:color w:val="000000"/>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3CBDF88A" w14:textId="77777777" w:rsidR="00B06009" w:rsidRPr="00E91F85" w:rsidRDefault="00B06009">
            <w:pPr>
              <w:rPr>
                <w:color w:val="000000"/>
                <w:lang w:val="en-US" w:eastAsia="fr-FR"/>
              </w:rPr>
            </w:pPr>
            <w:r w:rsidRPr="00E91F85">
              <w:rPr>
                <w:color w:val="000000"/>
                <w:lang w:val="en-US" w:eastAsia="fr-FR"/>
              </w:rPr>
              <w:t>Immersion test according to the Manual of Tests and Criteria of the United Nations part 37- classification of corrosive substances of Class 8 – AL-S10-2-1</w:t>
            </w:r>
          </w:p>
          <w:p w14:paraId="5EF49C86" w14:textId="77777777" w:rsidR="00B06009" w:rsidRPr="00E91F85" w:rsidRDefault="00B06009">
            <w:pPr>
              <w:rPr>
                <w:color w:val="000000"/>
                <w:lang w:val="fr-FR" w:eastAsia="fr-FR"/>
              </w:rPr>
            </w:pPr>
            <w:r w:rsidRPr="00E91F85">
              <w:rPr>
                <w:color w:val="000000"/>
                <w:lang w:val="fr-FR" w:eastAsia="fr-FR"/>
              </w:rPr>
              <w:t>Report No IC 860008-8</w:t>
            </w:r>
          </w:p>
          <w:p w14:paraId="6925AB13" w14:textId="77777777" w:rsidR="00B06009" w:rsidRPr="00E91F85" w:rsidRDefault="00B06009">
            <w:pPr>
              <w:rPr>
                <w:color w:val="000000"/>
                <w:lang w:val="fr-FR" w:eastAsia="fr-FR"/>
              </w:rPr>
            </w:pPr>
            <w:r w:rsidRPr="00E91F85">
              <w:rPr>
                <w:color w:val="000000"/>
                <w:lang w:val="fr-FR" w:eastAsia="fr-FR"/>
              </w:rPr>
              <w:t>Institut de la Corrosion</w:t>
            </w:r>
          </w:p>
          <w:p w14:paraId="23BDE8DB" w14:textId="6520F568" w:rsidR="00B06009" w:rsidRPr="00E91F85" w:rsidRDefault="00B06009">
            <w:pPr>
              <w:rPr>
                <w:color w:val="000000"/>
                <w:lang w:val="en-US" w:eastAsia="fr-FR"/>
              </w:rPr>
            </w:pPr>
            <w:r w:rsidRPr="00E91F85">
              <w:rPr>
                <w:color w:val="000000"/>
                <w:lang w:val="fr-FR" w:eastAsia="fr-FR"/>
              </w:rPr>
              <w:t>Non 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9AEB4E" w14:textId="5C5E30BA"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41EFB2" w14:textId="3FE7DE80"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D9ACF07"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0BD2D52" w14:textId="1BFC7A2D" w:rsidR="00B06009" w:rsidRPr="00E91F85" w:rsidRDefault="00B06009">
            <w:pPr>
              <w:jc w:val="center"/>
              <w:rPr>
                <w:color w:val="000000"/>
                <w:highlight w:val="yellow"/>
                <w:lang w:val="fr-FR" w:eastAsia="fr-FR"/>
              </w:rPr>
            </w:pPr>
            <w:r w:rsidRPr="00E91F85">
              <w:rPr>
                <w:color w:val="000000"/>
                <w:lang w:val="fr-FR" w:eastAsia="fr-FR"/>
              </w:rPr>
              <w:lastRenderedPageBreak/>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24808B65" w14:textId="05E001FD" w:rsidR="00B06009" w:rsidRPr="00E91F85" w:rsidRDefault="00B06009">
            <w:pPr>
              <w:jc w:val="center"/>
              <w:rPr>
                <w:color w:val="000000"/>
                <w:highlight w:val="yellow"/>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72705BC2" w14:textId="7DB905C6" w:rsidR="00B06009" w:rsidRPr="00E91F85" w:rsidRDefault="00B06009">
            <w:pPr>
              <w:rPr>
                <w:color w:val="000000"/>
                <w:highlight w:val="yellow"/>
                <w:lang w:val="en-US" w:eastAsia="fr-FR"/>
              </w:rPr>
            </w:pPr>
            <w:r w:rsidRPr="00E91F85">
              <w:rPr>
                <w:color w:val="000000"/>
                <w:lang w:val="en-US" w:eastAsia="fr-FR"/>
              </w:rPr>
              <w:t>Physico-chemical tests on AL-S11-2-0</w:t>
            </w:r>
            <w:r w:rsidRPr="00E91F85">
              <w:rPr>
                <w:color w:val="000000"/>
                <w:lang w:val="en-US" w:eastAsia="fr-FR"/>
              </w:rPr>
              <w:br/>
              <w:t>Report No 18-901011-056</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7D18E9" w14:textId="24803A32"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319129" w14:textId="7877837E"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2F6FB8FD"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956B221" w14:textId="7559289A" w:rsidR="00B06009" w:rsidRPr="00E91F85" w:rsidRDefault="00B06009">
            <w:pPr>
              <w:jc w:val="center"/>
              <w:rPr>
                <w:color w:val="000000"/>
                <w:lang w:eastAsia="fr-FR"/>
              </w:rPr>
            </w:pPr>
            <w:r w:rsidRPr="00E91F85">
              <w:rPr>
                <w:color w:val="000000"/>
                <w:lang w:val="en-US" w:eastAsia="fr-FR"/>
              </w:rPr>
              <w:t>Demangel B. and Ricau H.</w:t>
            </w:r>
          </w:p>
        </w:tc>
        <w:tc>
          <w:tcPr>
            <w:tcW w:w="855" w:type="dxa"/>
            <w:tcBorders>
              <w:top w:val="single" w:sz="4" w:space="0" w:color="auto"/>
              <w:left w:val="nil"/>
              <w:bottom w:val="single" w:sz="4" w:space="0" w:color="auto"/>
              <w:right w:val="single" w:sz="4" w:space="0" w:color="auto"/>
            </w:tcBorders>
            <w:shd w:val="clear" w:color="auto" w:fill="auto"/>
            <w:vAlign w:val="center"/>
          </w:tcPr>
          <w:p w14:paraId="6DFC76B9" w14:textId="02985A6A"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9639624" w14:textId="29D14E94" w:rsidR="00B06009" w:rsidRPr="00E91F85" w:rsidRDefault="00B06009">
            <w:pPr>
              <w:rPr>
                <w:color w:val="000000"/>
                <w:lang w:val="en-US" w:eastAsia="fr-FR"/>
              </w:rPr>
            </w:pPr>
            <w:r w:rsidRPr="00E91F85">
              <w:rPr>
                <w:color w:val="000000"/>
                <w:lang w:val="en-US" w:eastAsia="fr-FR"/>
              </w:rPr>
              <w:t>Physico-chemical tests and analyses before and after an accelerated storage procedure for 14 days at 54 °C ± 2 °C on AL-S11-2-0, In compliance with CIPAC Handbook J - MT 46.3 method (2000)</w:t>
            </w:r>
            <w:r w:rsidRPr="00E91F85">
              <w:rPr>
                <w:color w:val="000000"/>
                <w:lang w:val="en-US" w:eastAsia="fr-FR"/>
              </w:rPr>
              <w:br/>
              <w:t>Report No 18-901011-057</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838B2A" w14:textId="06C1D8D2"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7EAAEA" w14:textId="438F951D"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56B3D91A"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3B5E378" w14:textId="793DF727" w:rsidR="00B06009" w:rsidRPr="00E91F85" w:rsidRDefault="00B06009">
            <w:pPr>
              <w:jc w:val="center"/>
              <w:rPr>
                <w:color w:val="000000"/>
                <w:lang w:val="en-US"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33E45A5F" w14:textId="2E841F99"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A6BB7F1" w14:textId="1DBCF79E" w:rsidR="00B06009" w:rsidRPr="00E91F85" w:rsidRDefault="00B06009">
            <w:pPr>
              <w:rPr>
                <w:color w:val="000000"/>
                <w:lang w:val="en-US" w:eastAsia="fr-FR"/>
              </w:rPr>
            </w:pPr>
            <w:r w:rsidRPr="00E91F85">
              <w:rPr>
                <w:color w:val="000000"/>
                <w:lang w:val="en-US" w:eastAsia="fr-FR"/>
              </w:rPr>
              <w:t>Physico-chemical tests on AL-S12-2-0</w:t>
            </w:r>
            <w:r w:rsidRPr="00E91F85">
              <w:rPr>
                <w:color w:val="000000"/>
                <w:lang w:val="en-US" w:eastAsia="fr-FR"/>
              </w:rPr>
              <w:br/>
              <w:t>Report No 18-901011-061</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7C72B0" w14:textId="28410A4D"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48B77B" w14:textId="25F5BBC4" w:rsidR="00B06009" w:rsidRPr="00B06009" w:rsidRDefault="00B06009">
            <w:pPr>
              <w:jc w:val="center"/>
              <w:rPr>
                <w:rFonts w:cs="Arial"/>
                <w:color w:val="000000"/>
                <w:lang w:eastAsia="fr-FR"/>
              </w:rPr>
            </w:pPr>
            <w:r w:rsidRPr="00E91F85">
              <w:rPr>
                <w:color w:val="000000"/>
                <w:lang w:val="fr-FR" w:eastAsia="fr-FR"/>
              </w:rPr>
              <w:t>Action Pin</w:t>
            </w:r>
          </w:p>
        </w:tc>
      </w:tr>
      <w:tr w:rsidR="00B06009" w:rsidRPr="00B27CB1" w14:paraId="70CD3A1F" w14:textId="77777777" w:rsidTr="00DD210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7F1D066D" w14:textId="4072ECCD" w:rsidR="00B06009" w:rsidRPr="00E91F85" w:rsidRDefault="00B06009">
            <w:pPr>
              <w:jc w:val="center"/>
              <w:rPr>
                <w:color w:val="000000"/>
                <w:lang w:val="fr-FR" w:eastAsia="fr-FR"/>
              </w:rPr>
            </w:pPr>
            <w:r w:rsidRPr="00E91F85">
              <w:rPr>
                <w:color w:val="000000"/>
                <w:lang w:val="fr-FR" w:eastAsia="fr-FR"/>
              </w:rPr>
              <w:t>Demangel B.</w:t>
            </w:r>
          </w:p>
        </w:tc>
        <w:tc>
          <w:tcPr>
            <w:tcW w:w="855" w:type="dxa"/>
            <w:tcBorders>
              <w:top w:val="single" w:sz="4" w:space="0" w:color="auto"/>
              <w:left w:val="nil"/>
              <w:bottom w:val="single" w:sz="4" w:space="0" w:color="auto"/>
              <w:right w:val="single" w:sz="4" w:space="0" w:color="auto"/>
            </w:tcBorders>
            <w:shd w:val="clear" w:color="auto" w:fill="auto"/>
            <w:vAlign w:val="center"/>
          </w:tcPr>
          <w:p w14:paraId="178C7F4F" w14:textId="68ACB0FA" w:rsidR="00B06009" w:rsidRPr="00E91F85" w:rsidRDefault="00B06009">
            <w:pPr>
              <w:jc w:val="center"/>
              <w:rPr>
                <w:color w:val="000000"/>
                <w:lang w:val="fr-FR" w:eastAsia="fr-FR"/>
              </w:rPr>
            </w:pPr>
            <w:r w:rsidRPr="00E91F85">
              <w:rPr>
                <w:color w:val="000000"/>
                <w:lang w:val="fr-FR" w:eastAsia="fr-FR"/>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03FCA8FC" w14:textId="440E58DC" w:rsidR="00B06009" w:rsidRPr="00E91F85" w:rsidRDefault="00B06009">
            <w:pPr>
              <w:rPr>
                <w:color w:val="000000"/>
                <w:lang w:val="en-US" w:eastAsia="fr-FR"/>
              </w:rPr>
            </w:pPr>
            <w:r w:rsidRPr="00E91F85">
              <w:rPr>
                <w:color w:val="000000"/>
                <w:lang w:val="en-US" w:eastAsia="fr-FR"/>
              </w:rPr>
              <w:t>Physico-chemical tests on AL-S13-2-1</w:t>
            </w:r>
            <w:r w:rsidRPr="00E91F85">
              <w:rPr>
                <w:color w:val="000000"/>
                <w:lang w:val="en-US" w:eastAsia="fr-FR"/>
              </w:rPr>
              <w:br/>
              <w:t>Report No 18-901011-063</w:t>
            </w:r>
            <w:r w:rsidRPr="00E91F85">
              <w:rPr>
                <w:color w:val="000000"/>
                <w:lang w:val="en-US" w:eastAsia="fr-FR"/>
              </w:rPr>
              <w:br/>
              <w:t xml:space="preserve">Defitraces </w:t>
            </w:r>
            <w:r w:rsidRPr="00E91F85">
              <w:rPr>
                <w:color w:val="000000"/>
                <w:lang w:val="en-US" w:eastAsia="fr-FR"/>
              </w:rPr>
              <w:br/>
              <w:t>GLP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EB7044" w14:textId="12D5035B" w:rsidR="00B06009" w:rsidRPr="00B06009" w:rsidRDefault="00B06009">
            <w:pPr>
              <w:jc w:val="center"/>
              <w:rPr>
                <w:rFonts w:cs="Arial"/>
                <w:color w:val="000000"/>
                <w:lang w:eastAsia="en-US"/>
              </w:rPr>
            </w:pPr>
            <w:r w:rsidRPr="00B06009">
              <w:rPr>
                <w:rFonts w:cs="Arial"/>
                <w:color w:val="000000"/>
                <w:lang w:eastAsia="en-US"/>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3E9453" w14:textId="645CDF84" w:rsidR="00B06009" w:rsidRPr="00B06009" w:rsidRDefault="00B06009">
            <w:pPr>
              <w:jc w:val="center"/>
              <w:rPr>
                <w:rFonts w:cs="Arial"/>
                <w:color w:val="000000"/>
                <w:lang w:eastAsia="fr-FR"/>
              </w:rPr>
            </w:pPr>
            <w:r w:rsidRPr="00E91F85">
              <w:rPr>
                <w:color w:val="000000"/>
                <w:lang w:val="fr-FR" w:eastAsia="fr-FR"/>
              </w:rPr>
              <w:t>Action Pin</w:t>
            </w:r>
          </w:p>
        </w:tc>
      </w:tr>
    </w:tbl>
    <w:p w14:paraId="6651D153" w14:textId="77777777" w:rsidR="003418DC" w:rsidRPr="00B27CB1" w:rsidRDefault="003418DC" w:rsidP="003418DC">
      <w:pPr>
        <w:pStyle w:val="Absatz"/>
      </w:pPr>
    </w:p>
    <w:p w14:paraId="74438414" w14:textId="77777777" w:rsidR="009D0C0B" w:rsidRPr="00B27CB1" w:rsidRDefault="009D0C0B">
      <w:pPr>
        <w:rPr>
          <w:rFonts w:eastAsia="Calibri"/>
          <w:b/>
          <w:caps/>
          <w:sz w:val="28"/>
          <w:szCs w:val="28"/>
          <w:lang w:eastAsia="en-US"/>
        </w:rPr>
      </w:pPr>
    </w:p>
    <w:p w14:paraId="5D2EEDEC" w14:textId="77777777" w:rsidR="009D0C0B" w:rsidRPr="00B27CB1" w:rsidRDefault="00FA480B">
      <w:pPr>
        <w:pStyle w:val="Titre2"/>
        <w:rPr>
          <w:caps/>
          <w:sz w:val="28"/>
          <w:szCs w:val="28"/>
          <w:lang w:eastAsia="en-US"/>
        </w:rPr>
      </w:pPr>
      <w:bookmarkStart w:id="188" w:name="_Toc87361215"/>
      <w:r w:rsidRPr="00B27CB1">
        <w:t>Output tables from exposure assessment tools</w:t>
      </w:r>
      <w:bookmarkEnd w:id="188"/>
    </w:p>
    <w:p w14:paraId="6C6A5DE9" w14:textId="18B1CAEA" w:rsidR="009D0C0B" w:rsidRPr="00B27CB1" w:rsidRDefault="00E833F0">
      <w:pPr>
        <w:rPr>
          <w:rFonts w:eastAsia="Calibri"/>
          <w:b/>
          <w:caps/>
          <w:sz w:val="28"/>
          <w:szCs w:val="28"/>
          <w:lang w:eastAsia="en-US"/>
        </w:rPr>
      </w:pPr>
      <w:r>
        <w:rPr>
          <w:rFonts w:eastAsia="Calibri"/>
          <w:b/>
          <w:caps/>
          <w:sz w:val="28"/>
          <w:szCs w:val="28"/>
          <w:lang w:eastAsia="en-US"/>
        </w:rPr>
        <w:object w:dxaOrig="1544" w:dyaOrig="998" w14:anchorId="77C2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35pt" o:ole="">
            <v:imagedata r:id="rId22" o:title=""/>
          </v:shape>
          <o:OLEObject Type="Embed" ProgID="Excel.Sheet.12" ShapeID="_x0000_i1025" DrawAspect="Icon" ObjectID="_1705846701" r:id="rId23"/>
        </w:object>
      </w:r>
    </w:p>
    <w:p w14:paraId="3878F218" w14:textId="77777777" w:rsidR="009D0C0B" w:rsidRPr="00B27CB1" w:rsidRDefault="009D0C0B">
      <w:pPr>
        <w:rPr>
          <w:rFonts w:eastAsia="Calibri"/>
          <w:b/>
          <w:caps/>
          <w:sz w:val="28"/>
          <w:szCs w:val="28"/>
          <w:lang w:eastAsia="en-US"/>
        </w:rPr>
      </w:pPr>
    </w:p>
    <w:p w14:paraId="12EC62C8" w14:textId="50DBFD98" w:rsidR="009D0C0B" w:rsidRPr="00B27CB1" w:rsidRDefault="00FA480B">
      <w:pPr>
        <w:pStyle w:val="Titre2"/>
      </w:pPr>
      <w:bookmarkStart w:id="189" w:name="_Toc87361219"/>
      <w:r w:rsidRPr="00B27CB1">
        <w:t>Confidential annex</w:t>
      </w:r>
      <w:bookmarkEnd w:id="189"/>
      <w:r w:rsidRPr="00B27CB1">
        <w:t xml:space="preserve"> </w:t>
      </w:r>
    </w:p>
    <w:p w14:paraId="229CA017" w14:textId="3019391C" w:rsidR="003418DC" w:rsidRPr="00E91F85" w:rsidRDefault="003418DC" w:rsidP="003418DC">
      <w:pPr>
        <w:pStyle w:val="Absatz"/>
        <w:rPr>
          <w:rFonts w:ascii="Verdana" w:eastAsia="Verdana" w:hAnsi="Verdana"/>
        </w:rPr>
      </w:pPr>
    </w:p>
    <w:p w14:paraId="52B0BEE9" w14:textId="035E8FE4" w:rsidR="003418DC" w:rsidRPr="00E91F85" w:rsidRDefault="003418DC" w:rsidP="00E91F85">
      <w:pPr>
        <w:pStyle w:val="Absatz"/>
        <w:ind w:left="0"/>
        <w:rPr>
          <w:rFonts w:ascii="Verdana" w:eastAsia="Verdana" w:hAnsi="Verdana"/>
        </w:rPr>
      </w:pPr>
      <w:r w:rsidRPr="00E91F85">
        <w:rPr>
          <w:rFonts w:ascii="Verdana" w:eastAsia="Verdana" w:hAnsi="Verdana"/>
        </w:rPr>
        <w:t>See the confidential PAR</w:t>
      </w:r>
    </w:p>
    <w:p w14:paraId="119640E4" w14:textId="13EF97E6" w:rsidR="009D0C0B" w:rsidRPr="00B27CB1" w:rsidRDefault="009D0C0B"/>
    <w:p w14:paraId="53CBD8C3" w14:textId="33413C82" w:rsidR="009D0C0B" w:rsidRPr="00B27CB1" w:rsidRDefault="009D0C0B">
      <w:pPr>
        <w:pStyle w:val="Default"/>
        <w:spacing w:before="360"/>
      </w:pPr>
    </w:p>
    <w:sectPr w:rsidR="009D0C0B" w:rsidRPr="00B27CB1" w:rsidSect="0073642B">
      <w:pgSz w:w="11906" w:h="16838"/>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AFCA" w14:textId="77777777" w:rsidR="00A04731" w:rsidRDefault="00A04731">
      <w:r>
        <w:separator/>
      </w:r>
    </w:p>
  </w:endnote>
  <w:endnote w:type="continuationSeparator" w:id="0">
    <w:p w14:paraId="22185408" w14:textId="77777777" w:rsidR="00A04731" w:rsidRDefault="00A04731">
      <w:r>
        <w:continuationSeparator/>
      </w:r>
    </w:p>
  </w:endnote>
  <w:endnote w:type="continuationNotice" w:id="1">
    <w:p w14:paraId="6BA58701" w14:textId="77777777" w:rsidR="00A04731" w:rsidRDefault="00A04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76598"/>
      <w:docPartObj>
        <w:docPartGallery w:val="Page Numbers (Bottom of Page)"/>
        <w:docPartUnique/>
      </w:docPartObj>
    </w:sdtPr>
    <w:sdtEndPr>
      <w:rPr>
        <w:rFonts w:ascii="Verdana" w:hAnsi="Verdana"/>
      </w:rPr>
    </w:sdtEndPr>
    <w:sdtContent>
      <w:p w14:paraId="600B3FC8" w14:textId="6C2F2289" w:rsidR="00A04731" w:rsidRPr="003C0312" w:rsidRDefault="00A04731">
        <w:pPr>
          <w:pStyle w:val="Pieddepage"/>
          <w:jc w:val="center"/>
          <w:rPr>
            <w:rFonts w:ascii="Verdana" w:hAnsi="Verdana"/>
          </w:rPr>
        </w:pPr>
        <w:r w:rsidRPr="003C0312">
          <w:rPr>
            <w:rFonts w:ascii="Verdana" w:hAnsi="Verdana"/>
          </w:rPr>
          <w:fldChar w:fldCharType="begin"/>
        </w:r>
        <w:r w:rsidRPr="003C0312">
          <w:rPr>
            <w:rFonts w:ascii="Verdana" w:hAnsi="Verdana"/>
          </w:rPr>
          <w:instrText>PAGE   \* MERGEFORMAT</w:instrText>
        </w:r>
        <w:r w:rsidRPr="003C0312">
          <w:rPr>
            <w:rFonts w:ascii="Verdana" w:hAnsi="Verdana"/>
          </w:rPr>
          <w:fldChar w:fldCharType="separate"/>
        </w:r>
        <w:r w:rsidR="00E70520" w:rsidRPr="00E70520">
          <w:rPr>
            <w:rFonts w:ascii="Verdana" w:hAnsi="Verdana"/>
            <w:noProof/>
            <w:lang w:val="fr-FR"/>
          </w:rPr>
          <w:t>1</w:t>
        </w:r>
        <w:r w:rsidRPr="003C0312">
          <w:rPr>
            <w:rFonts w:ascii="Verdana" w:hAnsi="Verdana"/>
          </w:rPr>
          <w:fldChar w:fldCharType="end"/>
        </w:r>
      </w:p>
    </w:sdtContent>
  </w:sdt>
  <w:p w14:paraId="266DB22B" w14:textId="77777777" w:rsidR="00A04731" w:rsidRDefault="00A04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44EA" w14:textId="77777777" w:rsidR="00A04731" w:rsidRDefault="00A0473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5F6" w14:textId="6EE7F5EB" w:rsidR="00A04731" w:rsidRPr="00B10ACB" w:rsidRDefault="00A04731">
    <w:pPr>
      <w:pStyle w:val="Pieddepage"/>
      <w:jc w:val="right"/>
      <w:rPr>
        <w:rFonts w:ascii="Verdana" w:hAnsi="Verdana" w:cs="Verdana"/>
      </w:rPr>
    </w:pPr>
    <w:r w:rsidRPr="00B10ACB">
      <w:rPr>
        <w:rFonts w:ascii="Verdana" w:hAnsi="Verdana" w:cs="Verdana"/>
      </w:rPr>
      <w:fldChar w:fldCharType="begin"/>
    </w:r>
    <w:r w:rsidRPr="00B10ACB">
      <w:rPr>
        <w:rFonts w:ascii="Verdana" w:hAnsi="Verdana" w:cs="Verdana"/>
      </w:rPr>
      <w:instrText xml:space="preserve"> PAGE </w:instrText>
    </w:r>
    <w:r w:rsidRPr="00B10ACB">
      <w:rPr>
        <w:rFonts w:ascii="Verdana" w:hAnsi="Verdana" w:cs="Verdana"/>
      </w:rPr>
      <w:fldChar w:fldCharType="separate"/>
    </w:r>
    <w:r w:rsidR="00E70520">
      <w:rPr>
        <w:rFonts w:ascii="Verdana" w:hAnsi="Verdana" w:cs="Verdana"/>
        <w:noProof/>
      </w:rPr>
      <w:t>87</w:t>
    </w:r>
    <w:r w:rsidRPr="00B10ACB">
      <w:rPr>
        <w:rFonts w:ascii="Verdana" w:hAnsi="Verdana" w:cs="Verdana"/>
      </w:rPr>
      <w:fldChar w:fldCharType="end"/>
    </w:r>
  </w:p>
  <w:p w14:paraId="3D02BDAC" w14:textId="77777777" w:rsidR="00A04731" w:rsidRDefault="00A04731">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18E6" w14:textId="77777777" w:rsidR="00A04731" w:rsidRDefault="00A047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9632" w14:textId="77777777" w:rsidR="00A04731" w:rsidRDefault="00A04731">
      <w:r>
        <w:separator/>
      </w:r>
    </w:p>
  </w:footnote>
  <w:footnote w:type="continuationSeparator" w:id="0">
    <w:p w14:paraId="3687C5C3" w14:textId="77777777" w:rsidR="00A04731" w:rsidRDefault="00A04731">
      <w:r>
        <w:continuationSeparator/>
      </w:r>
    </w:p>
  </w:footnote>
  <w:footnote w:type="continuationNotice" w:id="1">
    <w:p w14:paraId="3E79CF27" w14:textId="77777777" w:rsidR="00A04731" w:rsidRDefault="00A04731"/>
  </w:footnote>
  <w:footnote w:id="2">
    <w:p w14:paraId="7F8D0434" w14:textId="3032B111" w:rsidR="00A04731" w:rsidRPr="00F375E4" w:rsidRDefault="00A04731">
      <w:pPr>
        <w:pStyle w:val="Notedebasdepage"/>
        <w:rPr>
          <w:lang w:val="en-US"/>
        </w:rPr>
      </w:pPr>
      <w:r>
        <w:rPr>
          <w:rStyle w:val="Appelnotedebasdep"/>
        </w:rPr>
        <w:footnoteRef/>
      </w:r>
      <w:r w:rsidRPr="00F375E4">
        <w:rPr>
          <w:lang w:val="en-US"/>
        </w:rPr>
        <w:t xml:space="preserve"> Given the inacceptable risk for non-professionals regarding to the meta </w:t>
      </w:r>
      <w:r>
        <w:rPr>
          <w:lang w:val="en-US"/>
        </w:rPr>
        <w:t>SPC 8 and 10, the risk for general public is therefore not considered.</w:t>
      </w:r>
    </w:p>
  </w:footnote>
  <w:footnote w:id="3">
    <w:p w14:paraId="4CD47BE5" w14:textId="77777777" w:rsidR="00A04731" w:rsidRPr="00941979" w:rsidRDefault="00A04731" w:rsidP="000F4274">
      <w:pPr>
        <w:pStyle w:val="Bibliographie"/>
        <w:rPr>
          <w:sz w:val="18"/>
          <w:szCs w:val="18"/>
        </w:rPr>
      </w:pPr>
      <w:r>
        <w:rPr>
          <w:rStyle w:val="Appelnotedebasdep"/>
        </w:rPr>
        <w:footnoteRef/>
      </w:r>
      <w:r w:rsidRPr="00146FA5">
        <w:rPr>
          <w:lang w:val="fr-FR"/>
        </w:rPr>
        <w:t xml:space="preserve"> </w:t>
      </w:r>
      <w:r w:rsidRPr="00941979">
        <w:rPr>
          <w:sz w:val="18"/>
          <w:szCs w:val="18"/>
          <w:lang w:val="fr-FR"/>
        </w:rPr>
        <w:t xml:space="preserve">Nomenclature officielle des voies de Paris (place d’Aligre) [Internet]. </w:t>
      </w:r>
      <w:r w:rsidRPr="00941979">
        <w:rPr>
          <w:sz w:val="18"/>
          <w:szCs w:val="18"/>
          <w:lang w:val="en-US"/>
        </w:rPr>
        <w:t xml:space="preserve">[cited 2019 Mar 8]. </w:t>
      </w:r>
      <w:r w:rsidRPr="00941979">
        <w:rPr>
          <w:sz w:val="18"/>
          <w:szCs w:val="18"/>
        </w:rPr>
        <w:t>Available from: http://www.v2asp.paris.fr/commun/v2asp/v2/nomenclature_voies/Voieactu/0217.nom.htm</w:t>
      </w:r>
    </w:p>
    <w:p w14:paraId="6B2599E7" w14:textId="12D0E61A" w:rsidR="00A04731" w:rsidRPr="000F4274" w:rsidRDefault="00A04731">
      <w:pPr>
        <w:pStyle w:val="Notedebasdepage"/>
      </w:pPr>
    </w:p>
  </w:footnote>
  <w:footnote w:id="4">
    <w:p w14:paraId="1F2038FA" w14:textId="57B64414" w:rsidR="00A04731" w:rsidRPr="00941979" w:rsidRDefault="00A04731" w:rsidP="00941979">
      <w:pPr>
        <w:pStyle w:val="Notedebasdepage"/>
        <w:ind w:left="0" w:firstLine="0"/>
        <w:rPr>
          <w:lang w:val="en-US"/>
        </w:rPr>
      </w:pPr>
      <w:r w:rsidRPr="00941979">
        <w:rPr>
          <w:rStyle w:val="Appelnotedebasdep"/>
          <w:sz w:val="18"/>
          <w:szCs w:val="18"/>
        </w:rPr>
        <w:footnoteRef/>
      </w:r>
      <w:r w:rsidRPr="00D016EC">
        <w:rPr>
          <w:sz w:val="18"/>
          <w:szCs w:val="18"/>
        </w:rPr>
        <w:t xml:space="preserve"> Place des Lices (Vannes). In: Wikipédia [Internet]. </w:t>
      </w:r>
      <w:r w:rsidRPr="00941979">
        <w:rPr>
          <w:sz w:val="18"/>
          <w:szCs w:val="18"/>
        </w:rPr>
        <w:t>2019 [cited 2019 Mar 8]. Available from: https://fr.wikipedia.org/w/index.php?title=Place_des_Lices_(Vannes)&amp;oldid=155763344</w:t>
      </w:r>
    </w:p>
  </w:footnote>
  <w:footnote w:id="5">
    <w:p w14:paraId="0A0B3CEB" w14:textId="77777777" w:rsidR="00A04731" w:rsidRDefault="00A04731">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04731" w14:paraId="04807B2C" w14:textId="77777777" w:rsidTr="005B7759">
      <w:tc>
        <w:tcPr>
          <w:tcW w:w="1276" w:type="dxa"/>
          <w:tcBorders>
            <w:bottom w:val="single" w:sz="4" w:space="0" w:color="000000"/>
          </w:tcBorders>
          <w:shd w:val="clear" w:color="auto" w:fill="auto"/>
          <w:vAlign w:val="center"/>
        </w:tcPr>
        <w:p w14:paraId="771BD3EA" w14:textId="77777777" w:rsidR="00A04731" w:rsidRDefault="00A04731" w:rsidP="003C0312">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019DA662" w14:textId="77777777" w:rsidR="00A04731" w:rsidRDefault="00A04731" w:rsidP="003C0312">
          <w:pPr>
            <w:widowControl w:val="0"/>
            <w:autoSpaceDE w:val="0"/>
            <w:jc w:val="center"/>
            <w:rPr>
              <w:rFonts w:cs="Times"/>
              <w:color w:val="000000"/>
              <w:sz w:val="18"/>
              <w:szCs w:val="18"/>
            </w:rPr>
          </w:pPr>
          <w:r>
            <w:rPr>
              <w:rFonts w:cs="Times"/>
              <w:color w:val="000000"/>
              <w:sz w:val="18"/>
              <w:szCs w:val="18"/>
            </w:rPr>
            <w:t>&lt;LACTIC ACID BASED PRODUCTS&gt;</w:t>
          </w:r>
        </w:p>
      </w:tc>
      <w:tc>
        <w:tcPr>
          <w:tcW w:w="2552" w:type="dxa"/>
          <w:tcBorders>
            <w:bottom w:val="single" w:sz="4" w:space="0" w:color="000000"/>
          </w:tcBorders>
          <w:shd w:val="clear" w:color="auto" w:fill="auto"/>
          <w:vAlign w:val="center"/>
        </w:tcPr>
        <w:p w14:paraId="1804A025" w14:textId="77777777" w:rsidR="00A04731" w:rsidRDefault="00A04731" w:rsidP="003C0312">
          <w:pPr>
            <w:widowControl w:val="0"/>
            <w:autoSpaceDE w:val="0"/>
            <w:jc w:val="center"/>
          </w:pPr>
          <w:r>
            <w:rPr>
              <w:rFonts w:cs="Times"/>
              <w:color w:val="000000"/>
              <w:sz w:val="18"/>
              <w:szCs w:val="18"/>
            </w:rPr>
            <w:t>&lt;PT2, 3, 4&gt;</w:t>
          </w:r>
        </w:p>
      </w:tc>
    </w:tr>
  </w:tbl>
  <w:p w14:paraId="75D8F473" w14:textId="77777777" w:rsidR="00A04731" w:rsidRDefault="00A04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65D" w14:textId="77777777" w:rsidR="00A04731" w:rsidRDefault="00A0473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8CC6" w14:textId="77777777" w:rsidR="00A04731" w:rsidRDefault="00A047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9092B4"/>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0"/>
        </w:tabs>
        <w:ind w:left="720" w:hanging="720"/>
      </w:pPr>
      <w:rPr>
        <w:rFonts w:ascii="Verdana" w:hAnsi="Verdana" w:cs="Arial" w:hint="default"/>
        <w:b/>
        <w:i w:val="0"/>
        <w:sz w:val="24"/>
        <w:szCs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3CB1F49"/>
    <w:multiLevelType w:val="hybridMultilevel"/>
    <w:tmpl w:val="21285B0A"/>
    <w:lvl w:ilvl="0" w:tplc="EC9A7E2A">
      <w:start w:val="1"/>
      <w:numFmt w:val="bullet"/>
      <w:lvlText w:val=""/>
      <w:lvlJc w:val="left"/>
      <w:pPr>
        <w:ind w:left="486" w:hanging="360"/>
      </w:pPr>
      <w:rPr>
        <w:rFonts w:ascii="Symbol" w:hAnsi="Symbol" w:hint="default"/>
        <w:color w:val="auto"/>
        <w:u w:val="none"/>
      </w:rPr>
    </w:lvl>
    <w:lvl w:ilvl="1" w:tplc="040C0003">
      <w:start w:val="1"/>
      <w:numFmt w:val="bullet"/>
      <w:lvlText w:val="o"/>
      <w:lvlJc w:val="left"/>
      <w:pPr>
        <w:ind w:left="1206" w:hanging="360"/>
      </w:pPr>
      <w:rPr>
        <w:rFonts w:ascii="Courier New" w:hAnsi="Courier New" w:cs="Courier New" w:hint="default"/>
      </w:rPr>
    </w:lvl>
    <w:lvl w:ilvl="2" w:tplc="040C0005">
      <w:start w:val="1"/>
      <w:numFmt w:val="bullet"/>
      <w:lvlText w:val=""/>
      <w:lvlJc w:val="left"/>
      <w:pPr>
        <w:ind w:left="1926" w:hanging="360"/>
      </w:pPr>
      <w:rPr>
        <w:rFonts w:ascii="Wingdings" w:hAnsi="Wingdings" w:hint="default"/>
      </w:rPr>
    </w:lvl>
    <w:lvl w:ilvl="3" w:tplc="040C000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6" w15:restartNumberingAfterBreak="0">
    <w:nsid w:val="04EC036F"/>
    <w:multiLevelType w:val="hybridMultilevel"/>
    <w:tmpl w:val="AD5C3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3B4448"/>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80859D6"/>
    <w:multiLevelType w:val="hybridMultilevel"/>
    <w:tmpl w:val="73949A38"/>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2A66D6"/>
    <w:multiLevelType w:val="hybridMultilevel"/>
    <w:tmpl w:val="CCDCC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594517"/>
    <w:multiLevelType w:val="hybridMultilevel"/>
    <w:tmpl w:val="977E57DA"/>
    <w:lvl w:ilvl="0" w:tplc="CA2C7442">
      <w:start w:val="500"/>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1843242"/>
    <w:multiLevelType w:val="hybridMultilevel"/>
    <w:tmpl w:val="AFF24FF8"/>
    <w:lvl w:ilvl="0" w:tplc="A4E0CE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7910A9"/>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105BE9"/>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9612300"/>
    <w:multiLevelType w:val="hybridMultilevel"/>
    <w:tmpl w:val="F3860A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AE58F9"/>
    <w:multiLevelType w:val="hybridMultilevel"/>
    <w:tmpl w:val="5DDC46AC"/>
    <w:lvl w:ilvl="0" w:tplc="42E0E464">
      <w:start w:val="90"/>
      <w:numFmt w:val="bullet"/>
      <w:lvlText w:val="-"/>
      <w:lvlJc w:val="left"/>
      <w:pPr>
        <w:ind w:left="360" w:hanging="360"/>
      </w:pPr>
      <w:rPr>
        <w:rFonts w:ascii="Verdana" w:eastAsia="Times New Roman" w:hAnsi="Verdana" w:cs="Times New Roman" w:hint="default"/>
        <w:sz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2E65159D"/>
    <w:multiLevelType w:val="hybridMultilevel"/>
    <w:tmpl w:val="C2E415BC"/>
    <w:lvl w:ilvl="0" w:tplc="040C000D">
      <w:start w:val="1"/>
      <w:numFmt w:val="bullet"/>
      <w:lvlText w:val=""/>
      <w:lvlJc w:val="left"/>
      <w:pPr>
        <w:ind w:left="720" w:hanging="360"/>
      </w:pPr>
      <w:rPr>
        <w:rFonts w:ascii="Wingdings" w:hAnsi="Wingdings"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0365427"/>
    <w:multiLevelType w:val="hybridMultilevel"/>
    <w:tmpl w:val="65CCDA90"/>
    <w:lvl w:ilvl="0" w:tplc="42E0E464">
      <w:start w:val="90"/>
      <w:numFmt w:val="bullet"/>
      <w:lvlText w:val="-"/>
      <w:lvlJc w:val="left"/>
      <w:pPr>
        <w:ind w:left="785" w:hanging="360"/>
      </w:pPr>
      <w:rPr>
        <w:rFonts w:ascii="Verdana" w:eastAsia="Times New Roman" w:hAnsi="Verdana" w:cs="Times New Roman" w:hint="default"/>
        <w:sz w:val="2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15:restartNumberingAfterBreak="0">
    <w:nsid w:val="34491BE1"/>
    <w:multiLevelType w:val="hybridMultilevel"/>
    <w:tmpl w:val="A216B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9D1883"/>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0C5BF9"/>
    <w:multiLevelType w:val="hybridMultilevel"/>
    <w:tmpl w:val="4B847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E2003"/>
    <w:multiLevelType w:val="hybridMultilevel"/>
    <w:tmpl w:val="AF9CA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AA0814"/>
    <w:multiLevelType w:val="hybridMultilevel"/>
    <w:tmpl w:val="120CD090"/>
    <w:lvl w:ilvl="0" w:tplc="A4E0CE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5B5C9A"/>
    <w:multiLevelType w:val="hybridMultilevel"/>
    <w:tmpl w:val="94CCDCD0"/>
    <w:lvl w:ilvl="0" w:tplc="16DC41DA">
      <w:numFmt w:val="bullet"/>
      <w:lvlText w:val="-"/>
      <w:lvlJc w:val="left"/>
      <w:pPr>
        <w:ind w:left="786" w:hanging="360"/>
      </w:pPr>
      <w:rPr>
        <w:rFonts w:ascii="Verdana" w:eastAsia="Times New Roman" w:hAnsi="Verdana" w:cs="Verdana"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29E5F8D"/>
    <w:multiLevelType w:val="hybridMultilevel"/>
    <w:tmpl w:val="1D3ABE3A"/>
    <w:lvl w:ilvl="0" w:tplc="4F40BA60">
      <w:start w:val="67"/>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492459B2">
      <w:start w:val="1"/>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4C7564"/>
    <w:multiLevelType w:val="hybridMultilevel"/>
    <w:tmpl w:val="E7F8D3EA"/>
    <w:lvl w:ilvl="0" w:tplc="BA0A960C">
      <w:numFmt w:val="bullet"/>
      <w:lvlText w:val="-"/>
      <w:lvlJc w:val="left"/>
      <w:pPr>
        <w:ind w:left="36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45219"/>
    <w:multiLevelType w:val="hybridMultilevel"/>
    <w:tmpl w:val="DDA20C80"/>
    <w:lvl w:ilvl="0" w:tplc="D1286E94">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C21745"/>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C92425"/>
    <w:multiLevelType w:val="hybridMultilevel"/>
    <w:tmpl w:val="277E5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0A3A1C"/>
    <w:multiLevelType w:val="hybridMultilevel"/>
    <w:tmpl w:val="EA882928"/>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2B2478"/>
    <w:multiLevelType w:val="hybridMultilevel"/>
    <w:tmpl w:val="D2CEBC3C"/>
    <w:lvl w:ilvl="0" w:tplc="FB78E5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C01583"/>
    <w:multiLevelType w:val="hybridMultilevel"/>
    <w:tmpl w:val="00C26A1C"/>
    <w:lvl w:ilvl="0" w:tplc="76C01A7A">
      <w:numFmt w:val="bullet"/>
      <w:lvlText w:val="-"/>
      <w:lvlJc w:val="left"/>
      <w:pPr>
        <w:ind w:left="720" w:hanging="360"/>
      </w:pPr>
      <w:rPr>
        <w:rFonts w:ascii="Verdana" w:eastAsia="Calibri"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AE36B0"/>
    <w:multiLevelType w:val="hybridMultilevel"/>
    <w:tmpl w:val="93989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797C45"/>
    <w:multiLevelType w:val="hybridMultilevel"/>
    <w:tmpl w:val="E6C490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B2500A"/>
    <w:multiLevelType w:val="hybridMultilevel"/>
    <w:tmpl w:val="9A4E4A8A"/>
    <w:lvl w:ilvl="0" w:tplc="DEE49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8D76A2"/>
    <w:multiLevelType w:val="hybridMultilevel"/>
    <w:tmpl w:val="77A0A13A"/>
    <w:lvl w:ilvl="0" w:tplc="A4E0CE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FB7FD4"/>
    <w:multiLevelType w:val="hybridMultilevel"/>
    <w:tmpl w:val="40B8396C"/>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12C26"/>
    <w:multiLevelType w:val="hybridMultilevel"/>
    <w:tmpl w:val="1C149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F94AD6"/>
    <w:multiLevelType w:val="multilevel"/>
    <w:tmpl w:val="BECC411E"/>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9CB57F3"/>
    <w:multiLevelType w:val="hybridMultilevel"/>
    <w:tmpl w:val="42226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C6A84"/>
    <w:multiLevelType w:val="hybridMultilevel"/>
    <w:tmpl w:val="EA22A56A"/>
    <w:lvl w:ilvl="0" w:tplc="79D2CAE6">
      <w:start w:val="1"/>
      <w:numFmt w:val="decimal"/>
      <w:lvlText w:val="%1."/>
      <w:lvlJc w:val="left"/>
      <w:pPr>
        <w:ind w:left="720" w:hanging="360"/>
      </w:pPr>
      <w:rPr>
        <w:rFonts w:ascii="Verdana" w:hAnsi="Verdana"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0D0AF4"/>
    <w:multiLevelType w:val="hybridMultilevel"/>
    <w:tmpl w:val="8D825DE2"/>
    <w:lvl w:ilvl="0" w:tplc="4D589A0E">
      <w:start w:val="2"/>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4B71EF"/>
    <w:multiLevelType w:val="hybridMultilevel"/>
    <w:tmpl w:val="5BD8E12E"/>
    <w:lvl w:ilvl="0" w:tplc="FB78E55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8396F43"/>
    <w:multiLevelType w:val="hybridMultilevel"/>
    <w:tmpl w:val="C8E48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44"/>
  </w:num>
  <w:num w:numId="13">
    <w:abstractNumId w:val="10"/>
  </w:num>
  <w:num w:numId="14">
    <w:abstractNumId w:val="26"/>
  </w:num>
  <w:num w:numId="15">
    <w:abstractNumId w:val="24"/>
  </w:num>
  <w:num w:numId="16">
    <w:abstractNumId w:val="31"/>
  </w:num>
  <w:num w:numId="17">
    <w:abstractNumId w:val="43"/>
  </w:num>
  <w:num w:numId="18">
    <w:abstractNumId w:val="34"/>
  </w:num>
  <w:num w:numId="19">
    <w:abstractNumId w:val="5"/>
  </w:num>
  <w:num w:numId="20">
    <w:abstractNumId w:val="37"/>
  </w:num>
  <w:num w:numId="21">
    <w:abstractNumId w:val="6"/>
  </w:num>
  <w:num w:numId="22">
    <w:abstractNumId w:val="35"/>
  </w:num>
  <w:num w:numId="23">
    <w:abstractNumId w:val="21"/>
  </w:num>
  <w:num w:numId="24">
    <w:abstractNumId w:val="40"/>
  </w:num>
  <w:num w:numId="25">
    <w:abstractNumId w:val="39"/>
  </w:num>
  <w:num w:numId="26">
    <w:abstractNumId w:val="14"/>
  </w:num>
  <w:num w:numId="27">
    <w:abstractNumId w:val="27"/>
  </w:num>
  <w:num w:numId="28">
    <w:abstractNumId w:val="20"/>
  </w:num>
  <w:num w:numId="29">
    <w:abstractNumId w:val="12"/>
  </w:num>
  <w:num w:numId="30">
    <w:abstractNumId w:val="41"/>
  </w:num>
  <w:num w:numId="31">
    <w:abstractNumId w:val="13"/>
  </w:num>
  <w:num w:numId="32">
    <w:abstractNumId w:val="7"/>
  </w:num>
  <w:num w:numId="33">
    <w:abstractNumId w:val="38"/>
  </w:num>
  <w:num w:numId="34">
    <w:abstractNumId w:val="28"/>
  </w:num>
  <w:num w:numId="35">
    <w:abstractNumId w:val="32"/>
  </w:num>
  <w:num w:numId="36">
    <w:abstractNumId w:val="42"/>
  </w:num>
  <w:num w:numId="37">
    <w:abstractNumId w:val="17"/>
  </w:num>
  <w:num w:numId="38">
    <w:abstractNumId w:val="16"/>
  </w:num>
  <w:num w:numId="39">
    <w:abstractNumId w:val="32"/>
  </w:num>
  <w:num w:numId="40">
    <w:abstractNumId w:val="24"/>
  </w:num>
  <w:num w:numId="41">
    <w:abstractNumId w:val="17"/>
  </w:num>
  <w:num w:numId="42">
    <w:abstractNumId w:val="15"/>
  </w:num>
  <w:num w:numId="43">
    <w:abstractNumId w:val="18"/>
  </w:num>
  <w:num w:numId="44">
    <w:abstractNumId w:val="24"/>
  </w:num>
  <w:num w:numId="45">
    <w:abstractNumId w:val="30"/>
  </w:num>
  <w:num w:numId="46">
    <w:abstractNumId w:val="36"/>
  </w:num>
  <w:num w:numId="47">
    <w:abstractNumId w:val="22"/>
  </w:num>
  <w:num w:numId="48">
    <w:abstractNumId w:val="11"/>
  </w:num>
  <w:num w:numId="49">
    <w:abstractNumId w:val="29"/>
  </w:num>
  <w:num w:numId="50">
    <w:abstractNumId w:val="23"/>
  </w:num>
  <w:num w:numId="51">
    <w:abstractNumId w:val="9"/>
  </w:num>
  <w:num w:numId="52">
    <w:abstractNumId w:val="19"/>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565"/>
    <w:rsid w:val="00001AC9"/>
    <w:rsid w:val="00005A09"/>
    <w:rsid w:val="000106FF"/>
    <w:rsid w:val="00012AAF"/>
    <w:rsid w:val="000148E9"/>
    <w:rsid w:val="00016FE6"/>
    <w:rsid w:val="000211A3"/>
    <w:rsid w:val="000228FA"/>
    <w:rsid w:val="00023205"/>
    <w:rsid w:val="000234D6"/>
    <w:rsid w:val="00023B98"/>
    <w:rsid w:val="000262D7"/>
    <w:rsid w:val="000262ED"/>
    <w:rsid w:val="0002714A"/>
    <w:rsid w:val="00031020"/>
    <w:rsid w:val="0003272E"/>
    <w:rsid w:val="00032ACB"/>
    <w:rsid w:val="00032F20"/>
    <w:rsid w:val="0003334B"/>
    <w:rsid w:val="000341AC"/>
    <w:rsid w:val="00040093"/>
    <w:rsid w:val="00040BC4"/>
    <w:rsid w:val="00042049"/>
    <w:rsid w:val="0004436A"/>
    <w:rsid w:val="000463AD"/>
    <w:rsid w:val="00047A32"/>
    <w:rsid w:val="0005077E"/>
    <w:rsid w:val="00051056"/>
    <w:rsid w:val="00053E88"/>
    <w:rsid w:val="00056D82"/>
    <w:rsid w:val="00057188"/>
    <w:rsid w:val="000574FF"/>
    <w:rsid w:val="00060DB8"/>
    <w:rsid w:val="00061590"/>
    <w:rsid w:val="000626B6"/>
    <w:rsid w:val="0006353D"/>
    <w:rsid w:val="00065D21"/>
    <w:rsid w:val="000664C6"/>
    <w:rsid w:val="00066CE1"/>
    <w:rsid w:val="000702EE"/>
    <w:rsid w:val="000721BC"/>
    <w:rsid w:val="00075547"/>
    <w:rsid w:val="000761A0"/>
    <w:rsid w:val="0007720E"/>
    <w:rsid w:val="00080982"/>
    <w:rsid w:val="000837A9"/>
    <w:rsid w:val="00084C76"/>
    <w:rsid w:val="0008515B"/>
    <w:rsid w:val="00086325"/>
    <w:rsid w:val="000923EF"/>
    <w:rsid w:val="0009258C"/>
    <w:rsid w:val="00092D3E"/>
    <w:rsid w:val="00094408"/>
    <w:rsid w:val="000A0D6E"/>
    <w:rsid w:val="000A36E0"/>
    <w:rsid w:val="000A4B02"/>
    <w:rsid w:val="000A4C19"/>
    <w:rsid w:val="000A5A0D"/>
    <w:rsid w:val="000A637D"/>
    <w:rsid w:val="000A6C8A"/>
    <w:rsid w:val="000B02AF"/>
    <w:rsid w:val="000B0E58"/>
    <w:rsid w:val="000C0F54"/>
    <w:rsid w:val="000C1481"/>
    <w:rsid w:val="000C20F2"/>
    <w:rsid w:val="000C2F90"/>
    <w:rsid w:val="000C2FE0"/>
    <w:rsid w:val="000C4CD0"/>
    <w:rsid w:val="000C78AD"/>
    <w:rsid w:val="000D08A5"/>
    <w:rsid w:val="000D41B7"/>
    <w:rsid w:val="000D4761"/>
    <w:rsid w:val="000D5B32"/>
    <w:rsid w:val="000D632C"/>
    <w:rsid w:val="000D660C"/>
    <w:rsid w:val="000D7420"/>
    <w:rsid w:val="000E1C82"/>
    <w:rsid w:val="000E26AC"/>
    <w:rsid w:val="000E677D"/>
    <w:rsid w:val="000E6782"/>
    <w:rsid w:val="000E7F0F"/>
    <w:rsid w:val="000F1ED0"/>
    <w:rsid w:val="000F3412"/>
    <w:rsid w:val="000F3520"/>
    <w:rsid w:val="000F4186"/>
    <w:rsid w:val="000F4274"/>
    <w:rsid w:val="000F4DC2"/>
    <w:rsid w:val="000F556B"/>
    <w:rsid w:val="000F6656"/>
    <w:rsid w:val="000F6935"/>
    <w:rsid w:val="0010136F"/>
    <w:rsid w:val="00104912"/>
    <w:rsid w:val="00104946"/>
    <w:rsid w:val="00104E90"/>
    <w:rsid w:val="00106E51"/>
    <w:rsid w:val="00107671"/>
    <w:rsid w:val="00114C3B"/>
    <w:rsid w:val="00114E8D"/>
    <w:rsid w:val="00120F90"/>
    <w:rsid w:val="001238A8"/>
    <w:rsid w:val="001337EA"/>
    <w:rsid w:val="00134A8A"/>
    <w:rsid w:val="00135833"/>
    <w:rsid w:val="001365D5"/>
    <w:rsid w:val="001371E5"/>
    <w:rsid w:val="00137FDC"/>
    <w:rsid w:val="001404D1"/>
    <w:rsid w:val="001404DF"/>
    <w:rsid w:val="00140D45"/>
    <w:rsid w:val="00141ABF"/>
    <w:rsid w:val="00142049"/>
    <w:rsid w:val="001425DE"/>
    <w:rsid w:val="00143458"/>
    <w:rsid w:val="001465C2"/>
    <w:rsid w:val="00146FA5"/>
    <w:rsid w:val="0015013A"/>
    <w:rsid w:val="00151864"/>
    <w:rsid w:val="001518D7"/>
    <w:rsid w:val="0015321A"/>
    <w:rsid w:val="00155571"/>
    <w:rsid w:val="00155D44"/>
    <w:rsid w:val="001616B2"/>
    <w:rsid w:val="0016248F"/>
    <w:rsid w:val="001624E6"/>
    <w:rsid w:val="00164467"/>
    <w:rsid w:val="00164CB8"/>
    <w:rsid w:val="00165D86"/>
    <w:rsid w:val="00167628"/>
    <w:rsid w:val="00170E00"/>
    <w:rsid w:val="00170ECE"/>
    <w:rsid w:val="00172CBC"/>
    <w:rsid w:val="001779DD"/>
    <w:rsid w:val="00177EC1"/>
    <w:rsid w:val="001803F1"/>
    <w:rsid w:val="001819DA"/>
    <w:rsid w:val="0018303B"/>
    <w:rsid w:val="00183CD9"/>
    <w:rsid w:val="001841D7"/>
    <w:rsid w:val="00190F34"/>
    <w:rsid w:val="001928C0"/>
    <w:rsid w:val="001945B7"/>
    <w:rsid w:val="00196397"/>
    <w:rsid w:val="00196BFE"/>
    <w:rsid w:val="001A04DF"/>
    <w:rsid w:val="001A0799"/>
    <w:rsid w:val="001A0D2D"/>
    <w:rsid w:val="001A3296"/>
    <w:rsid w:val="001A421B"/>
    <w:rsid w:val="001A4C84"/>
    <w:rsid w:val="001A5D4D"/>
    <w:rsid w:val="001A6FDC"/>
    <w:rsid w:val="001B2D31"/>
    <w:rsid w:val="001B2DA4"/>
    <w:rsid w:val="001B386C"/>
    <w:rsid w:val="001B3C6C"/>
    <w:rsid w:val="001B3D89"/>
    <w:rsid w:val="001B500D"/>
    <w:rsid w:val="001B7970"/>
    <w:rsid w:val="001C0755"/>
    <w:rsid w:val="001C1407"/>
    <w:rsid w:val="001C4C92"/>
    <w:rsid w:val="001C730D"/>
    <w:rsid w:val="001C747E"/>
    <w:rsid w:val="001C7F17"/>
    <w:rsid w:val="001D17DD"/>
    <w:rsid w:val="001D3539"/>
    <w:rsid w:val="001D393C"/>
    <w:rsid w:val="001D3B94"/>
    <w:rsid w:val="001D4BA3"/>
    <w:rsid w:val="001D5E60"/>
    <w:rsid w:val="001D7BED"/>
    <w:rsid w:val="001E157E"/>
    <w:rsid w:val="001E1877"/>
    <w:rsid w:val="001E4D37"/>
    <w:rsid w:val="001E514A"/>
    <w:rsid w:val="001E568F"/>
    <w:rsid w:val="001E6458"/>
    <w:rsid w:val="001F00D1"/>
    <w:rsid w:val="001F04F8"/>
    <w:rsid w:val="001F27B9"/>
    <w:rsid w:val="001F28AC"/>
    <w:rsid w:val="001F46B3"/>
    <w:rsid w:val="001F4E1D"/>
    <w:rsid w:val="001F5329"/>
    <w:rsid w:val="001F534D"/>
    <w:rsid w:val="001F5863"/>
    <w:rsid w:val="001F788C"/>
    <w:rsid w:val="00201FE9"/>
    <w:rsid w:val="002057DC"/>
    <w:rsid w:val="0020710F"/>
    <w:rsid w:val="00207E8D"/>
    <w:rsid w:val="00210D62"/>
    <w:rsid w:val="0021218F"/>
    <w:rsid w:val="00214CC6"/>
    <w:rsid w:val="00216C69"/>
    <w:rsid w:val="00216F55"/>
    <w:rsid w:val="00221469"/>
    <w:rsid w:val="00222731"/>
    <w:rsid w:val="00226345"/>
    <w:rsid w:val="00230A69"/>
    <w:rsid w:val="002311D2"/>
    <w:rsid w:val="00231690"/>
    <w:rsid w:val="00233840"/>
    <w:rsid w:val="002367DD"/>
    <w:rsid w:val="00240760"/>
    <w:rsid w:val="00240849"/>
    <w:rsid w:val="00241A48"/>
    <w:rsid w:val="00241B64"/>
    <w:rsid w:val="0024322E"/>
    <w:rsid w:val="00243541"/>
    <w:rsid w:val="00245178"/>
    <w:rsid w:val="00245F8D"/>
    <w:rsid w:val="00246292"/>
    <w:rsid w:val="0025173F"/>
    <w:rsid w:val="00251C8D"/>
    <w:rsid w:val="00251ED2"/>
    <w:rsid w:val="002531D8"/>
    <w:rsid w:val="002547BB"/>
    <w:rsid w:val="0025502D"/>
    <w:rsid w:val="00255FD1"/>
    <w:rsid w:val="002574EF"/>
    <w:rsid w:val="0026245F"/>
    <w:rsid w:val="00262D42"/>
    <w:rsid w:val="00263E9F"/>
    <w:rsid w:val="0026429B"/>
    <w:rsid w:val="00265579"/>
    <w:rsid w:val="002656C7"/>
    <w:rsid w:val="002662A3"/>
    <w:rsid w:val="00267576"/>
    <w:rsid w:val="00270AFC"/>
    <w:rsid w:val="002726CA"/>
    <w:rsid w:val="002732DE"/>
    <w:rsid w:val="002763E4"/>
    <w:rsid w:val="00276D1D"/>
    <w:rsid w:val="00277F80"/>
    <w:rsid w:val="00280428"/>
    <w:rsid w:val="00280C0E"/>
    <w:rsid w:val="0028225F"/>
    <w:rsid w:val="00282926"/>
    <w:rsid w:val="002846E7"/>
    <w:rsid w:val="00285396"/>
    <w:rsid w:val="00287947"/>
    <w:rsid w:val="00287CE2"/>
    <w:rsid w:val="00287D34"/>
    <w:rsid w:val="00291C27"/>
    <w:rsid w:val="00292231"/>
    <w:rsid w:val="00293640"/>
    <w:rsid w:val="00295CAA"/>
    <w:rsid w:val="0029639D"/>
    <w:rsid w:val="002977D5"/>
    <w:rsid w:val="002A1128"/>
    <w:rsid w:val="002A4FA5"/>
    <w:rsid w:val="002A568B"/>
    <w:rsid w:val="002A6A18"/>
    <w:rsid w:val="002A7B8F"/>
    <w:rsid w:val="002B147A"/>
    <w:rsid w:val="002B174E"/>
    <w:rsid w:val="002B1B56"/>
    <w:rsid w:val="002B246B"/>
    <w:rsid w:val="002B3D54"/>
    <w:rsid w:val="002B4190"/>
    <w:rsid w:val="002B4786"/>
    <w:rsid w:val="002B73BC"/>
    <w:rsid w:val="002B7590"/>
    <w:rsid w:val="002B7A93"/>
    <w:rsid w:val="002C0044"/>
    <w:rsid w:val="002C181D"/>
    <w:rsid w:val="002C24C2"/>
    <w:rsid w:val="002C51CD"/>
    <w:rsid w:val="002C60C2"/>
    <w:rsid w:val="002C7AED"/>
    <w:rsid w:val="002D3123"/>
    <w:rsid w:val="002D36C3"/>
    <w:rsid w:val="002D4AA2"/>
    <w:rsid w:val="002D544F"/>
    <w:rsid w:val="002D5E6D"/>
    <w:rsid w:val="002D6910"/>
    <w:rsid w:val="002D6E5B"/>
    <w:rsid w:val="002E057C"/>
    <w:rsid w:val="002E212A"/>
    <w:rsid w:val="002E215D"/>
    <w:rsid w:val="002E47FA"/>
    <w:rsid w:val="002E4E8F"/>
    <w:rsid w:val="002E5811"/>
    <w:rsid w:val="002E66E4"/>
    <w:rsid w:val="002F078C"/>
    <w:rsid w:val="002F1F3A"/>
    <w:rsid w:val="002F354D"/>
    <w:rsid w:val="002F5491"/>
    <w:rsid w:val="002F571C"/>
    <w:rsid w:val="002F675F"/>
    <w:rsid w:val="002F6E1B"/>
    <w:rsid w:val="003002DE"/>
    <w:rsid w:val="0030113C"/>
    <w:rsid w:val="0030116B"/>
    <w:rsid w:val="003020A4"/>
    <w:rsid w:val="0030419B"/>
    <w:rsid w:val="00305DEF"/>
    <w:rsid w:val="00310531"/>
    <w:rsid w:val="00313165"/>
    <w:rsid w:val="00314D43"/>
    <w:rsid w:val="00314F9C"/>
    <w:rsid w:val="0031579A"/>
    <w:rsid w:val="003158F5"/>
    <w:rsid w:val="00316B7F"/>
    <w:rsid w:val="003178BB"/>
    <w:rsid w:val="00321136"/>
    <w:rsid w:val="003213B9"/>
    <w:rsid w:val="003217FD"/>
    <w:rsid w:val="00322012"/>
    <w:rsid w:val="00324B98"/>
    <w:rsid w:val="003259C8"/>
    <w:rsid w:val="0033064C"/>
    <w:rsid w:val="00332E74"/>
    <w:rsid w:val="0033300F"/>
    <w:rsid w:val="00334C3D"/>
    <w:rsid w:val="00334C77"/>
    <w:rsid w:val="003370B9"/>
    <w:rsid w:val="003371CD"/>
    <w:rsid w:val="00337B6A"/>
    <w:rsid w:val="00337F3C"/>
    <w:rsid w:val="003400D2"/>
    <w:rsid w:val="00341746"/>
    <w:rsid w:val="003418DC"/>
    <w:rsid w:val="003419A9"/>
    <w:rsid w:val="0034743D"/>
    <w:rsid w:val="0034784E"/>
    <w:rsid w:val="00354982"/>
    <w:rsid w:val="00356B7F"/>
    <w:rsid w:val="00357F13"/>
    <w:rsid w:val="00361600"/>
    <w:rsid w:val="00366A9C"/>
    <w:rsid w:val="00367700"/>
    <w:rsid w:val="003704A2"/>
    <w:rsid w:val="00371546"/>
    <w:rsid w:val="00376064"/>
    <w:rsid w:val="00376D82"/>
    <w:rsid w:val="00380F9F"/>
    <w:rsid w:val="00381FD4"/>
    <w:rsid w:val="003821D4"/>
    <w:rsid w:val="003827C3"/>
    <w:rsid w:val="00382DC5"/>
    <w:rsid w:val="00383D6E"/>
    <w:rsid w:val="00383E12"/>
    <w:rsid w:val="003852BF"/>
    <w:rsid w:val="00385B50"/>
    <w:rsid w:val="003863E2"/>
    <w:rsid w:val="00387D42"/>
    <w:rsid w:val="00387E87"/>
    <w:rsid w:val="00390574"/>
    <w:rsid w:val="00390D34"/>
    <w:rsid w:val="00391557"/>
    <w:rsid w:val="00391BF1"/>
    <w:rsid w:val="00392114"/>
    <w:rsid w:val="00392E52"/>
    <w:rsid w:val="00393131"/>
    <w:rsid w:val="0039498E"/>
    <w:rsid w:val="003949ED"/>
    <w:rsid w:val="0039508C"/>
    <w:rsid w:val="00397538"/>
    <w:rsid w:val="00397C2A"/>
    <w:rsid w:val="003A0E08"/>
    <w:rsid w:val="003A3948"/>
    <w:rsid w:val="003A4E4C"/>
    <w:rsid w:val="003A64E5"/>
    <w:rsid w:val="003B01FF"/>
    <w:rsid w:val="003B05F7"/>
    <w:rsid w:val="003B2A58"/>
    <w:rsid w:val="003B38DA"/>
    <w:rsid w:val="003B4AF0"/>
    <w:rsid w:val="003B507C"/>
    <w:rsid w:val="003B653A"/>
    <w:rsid w:val="003B6713"/>
    <w:rsid w:val="003B6AF8"/>
    <w:rsid w:val="003B740B"/>
    <w:rsid w:val="003C0312"/>
    <w:rsid w:val="003C1F63"/>
    <w:rsid w:val="003C350F"/>
    <w:rsid w:val="003C5A0C"/>
    <w:rsid w:val="003D0D7E"/>
    <w:rsid w:val="003D2D51"/>
    <w:rsid w:val="003D3245"/>
    <w:rsid w:val="003D46CF"/>
    <w:rsid w:val="003D4922"/>
    <w:rsid w:val="003D65CC"/>
    <w:rsid w:val="003D6D39"/>
    <w:rsid w:val="003D6EF7"/>
    <w:rsid w:val="003E375C"/>
    <w:rsid w:val="003E39C7"/>
    <w:rsid w:val="003E4245"/>
    <w:rsid w:val="003E6B21"/>
    <w:rsid w:val="003E7568"/>
    <w:rsid w:val="003E7958"/>
    <w:rsid w:val="003F1647"/>
    <w:rsid w:val="003F167B"/>
    <w:rsid w:val="003F1E71"/>
    <w:rsid w:val="003F1FC2"/>
    <w:rsid w:val="003F2D03"/>
    <w:rsid w:val="003F3AA2"/>
    <w:rsid w:val="003F3E6C"/>
    <w:rsid w:val="003F62C1"/>
    <w:rsid w:val="003F6943"/>
    <w:rsid w:val="003F7735"/>
    <w:rsid w:val="003F7D38"/>
    <w:rsid w:val="003F7F4C"/>
    <w:rsid w:val="00403050"/>
    <w:rsid w:val="00403A35"/>
    <w:rsid w:val="00404D6F"/>
    <w:rsid w:val="004060AE"/>
    <w:rsid w:val="00406F10"/>
    <w:rsid w:val="00406F7F"/>
    <w:rsid w:val="0040796C"/>
    <w:rsid w:val="004106E5"/>
    <w:rsid w:val="00412653"/>
    <w:rsid w:val="00412ADF"/>
    <w:rsid w:val="00413983"/>
    <w:rsid w:val="00414D0C"/>
    <w:rsid w:val="00415337"/>
    <w:rsid w:val="00415946"/>
    <w:rsid w:val="0041686E"/>
    <w:rsid w:val="00416AEC"/>
    <w:rsid w:val="0041730A"/>
    <w:rsid w:val="004216D7"/>
    <w:rsid w:val="00424ACA"/>
    <w:rsid w:val="004254C7"/>
    <w:rsid w:val="004273DE"/>
    <w:rsid w:val="004278DF"/>
    <w:rsid w:val="00430684"/>
    <w:rsid w:val="004339C7"/>
    <w:rsid w:val="00434119"/>
    <w:rsid w:val="0043548F"/>
    <w:rsid w:val="004362D9"/>
    <w:rsid w:val="00436BAC"/>
    <w:rsid w:val="00440A6B"/>
    <w:rsid w:val="004436CE"/>
    <w:rsid w:val="00443FAD"/>
    <w:rsid w:val="0044401A"/>
    <w:rsid w:val="00444453"/>
    <w:rsid w:val="0044575E"/>
    <w:rsid w:val="004465B9"/>
    <w:rsid w:val="00447C49"/>
    <w:rsid w:val="004505B0"/>
    <w:rsid w:val="00451801"/>
    <w:rsid w:val="00451C51"/>
    <w:rsid w:val="00452F4D"/>
    <w:rsid w:val="004539DD"/>
    <w:rsid w:val="00453B14"/>
    <w:rsid w:val="004546B6"/>
    <w:rsid w:val="0045519B"/>
    <w:rsid w:val="0045758C"/>
    <w:rsid w:val="00457B54"/>
    <w:rsid w:val="00460BEB"/>
    <w:rsid w:val="00463576"/>
    <w:rsid w:val="00463C60"/>
    <w:rsid w:val="00463E99"/>
    <w:rsid w:val="00463F7E"/>
    <w:rsid w:val="0046478A"/>
    <w:rsid w:val="00466356"/>
    <w:rsid w:val="00470428"/>
    <w:rsid w:val="00470C2C"/>
    <w:rsid w:val="0047175C"/>
    <w:rsid w:val="00472164"/>
    <w:rsid w:val="00476D22"/>
    <w:rsid w:val="00477C28"/>
    <w:rsid w:val="00480A68"/>
    <w:rsid w:val="004817E2"/>
    <w:rsid w:val="00481FAB"/>
    <w:rsid w:val="0048381B"/>
    <w:rsid w:val="0048431E"/>
    <w:rsid w:val="0048575D"/>
    <w:rsid w:val="0048647F"/>
    <w:rsid w:val="00486D72"/>
    <w:rsid w:val="0049324E"/>
    <w:rsid w:val="00493E51"/>
    <w:rsid w:val="00493EA0"/>
    <w:rsid w:val="00494049"/>
    <w:rsid w:val="004A04B4"/>
    <w:rsid w:val="004A2138"/>
    <w:rsid w:val="004A347E"/>
    <w:rsid w:val="004A3C02"/>
    <w:rsid w:val="004A5442"/>
    <w:rsid w:val="004A7B3F"/>
    <w:rsid w:val="004B0E6D"/>
    <w:rsid w:val="004B274C"/>
    <w:rsid w:val="004B3648"/>
    <w:rsid w:val="004B3C5B"/>
    <w:rsid w:val="004B7C5C"/>
    <w:rsid w:val="004C0867"/>
    <w:rsid w:val="004C27A8"/>
    <w:rsid w:val="004C574F"/>
    <w:rsid w:val="004C5D14"/>
    <w:rsid w:val="004C7FAE"/>
    <w:rsid w:val="004D0A54"/>
    <w:rsid w:val="004D132B"/>
    <w:rsid w:val="004D2886"/>
    <w:rsid w:val="004D4CBF"/>
    <w:rsid w:val="004E1ABA"/>
    <w:rsid w:val="004E2CF1"/>
    <w:rsid w:val="004E3347"/>
    <w:rsid w:val="004E40A3"/>
    <w:rsid w:val="004E5C8E"/>
    <w:rsid w:val="004E6102"/>
    <w:rsid w:val="004E61D3"/>
    <w:rsid w:val="004E654D"/>
    <w:rsid w:val="004E65B5"/>
    <w:rsid w:val="004F12E5"/>
    <w:rsid w:val="004F131D"/>
    <w:rsid w:val="004F2118"/>
    <w:rsid w:val="004F3FB8"/>
    <w:rsid w:val="004F5D20"/>
    <w:rsid w:val="00504405"/>
    <w:rsid w:val="00504580"/>
    <w:rsid w:val="00507EE2"/>
    <w:rsid w:val="00510ACF"/>
    <w:rsid w:val="00511583"/>
    <w:rsid w:val="00511875"/>
    <w:rsid w:val="005119E1"/>
    <w:rsid w:val="00513739"/>
    <w:rsid w:val="00516DC3"/>
    <w:rsid w:val="005172F8"/>
    <w:rsid w:val="00517FA9"/>
    <w:rsid w:val="00520111"/>
    <w:rsid w:val="00520BF1"/>
    <w:rsid w:val="00524067"/>
    <w:rsid w:val="005254E3"/>
    <w:rsid w:val="0052669C"/>
    <w:rsid w:val="00526D5D"/>
    <w:rsid w:val="0052789A"/>
    <w:rsid w:val="00527B58"/>
    <w:rsid w:val="00531325"/>
    <w:rsid w:val="00532D54"/>
    <w:rsid w:val="00533628"/>
    <w:rsid w:val="00536139"/>
    <w:rsid w:val="00536872"/>
    <w:rsid w:val="005415B5"/>
    <w:rsid w:val="0054236D"/>
    <w:rsid w:val="00544235"/>
    <w:rsid w:val="005450B5"/>
    <w:rsid w:val="00545751"/>
    <w:rsid w:val="005460BF"/>
    <w:rsid w:val="00551AD5"/>
    <w:rsid w:val="0055250E"/>
    <w:rsid w:val="00552730"/>
    <w:rsid w:val="005531C2"/>
    <w:rsid w:val="005555F6"/>
    <w:rsid w:val="0055567E"/>
    <w:rsid w:val="00556609"/>
    <w:rsid w:val="00560148"/>
    <w:rsid w:val="005617FD"/>
    <w:rsid w:val="00561978"/>
    <w:rsid w:val="00562217"/>
    <w:rsid w:val="00572477"/>
    <w:rsid w:val="0058122E"/>
    <w:rsid w:val="005812E0"/>
    <w:rsid w:val="00581745"/>
    <w:rsid w:val="00582BED"/>
    <w:rsid w:val="005841B7"/>
    <w:rsid w:val="00584A59"/>
    <w:rsid w:val="00585620"/>
    <w:rsid w:val="00585B02"/>
    <w:rsid w:val="00593265"/>
    <w:rsid w:val="00593A0E"/>
    <w:rsid w:val="00596081"/>
    <w:rsid w:val="00596138"/>
    <w:rsid w:val="005972B4"/>
    <w:rsid w:val="00597914"/>
    <w:rsid w:val="005A1094"/>
    <w:rsid w:val="005A150D"/>
    <w:rsid w:val="005A1749"/>
    <w:rsid w:val="005A4517"/>
    <w:rsid w:val="005A6D00"/>
    <w:rsid w:val="005B0EFF"/>
    <w:rsid w:val="005B2312"/>
    <w:rsid w:val="005B2932"/>
    <w:rsid w:val="005B3692"/>
    <w:rsid w:val="005B6CA6"/>
    <w:rsid w:val="005B7091"/>
    <w:rsid w:val="005B7759"/>
    <w:rsid w:val="005C0DBC"/>
    <w:rsid w:val="005C2D84"/>
    <w:rsid w:val="005C3442"/>
    <w:rsid w:val="005C3BBE"/>
    <w:rsid w:val="005C58E3"/>
    <w:rsid w:val="005C5AB0"/>
    <w:rsid w:val="005C7CD7"/>
    <w:rsid w:val="005D1166"/>
    <w:rsid w:val="005D30A6"/>
    <w:rsid w:val="005D552F"/>
    <w:rsid w:val="005D6792"/>
    <w:rsid w:val="005D6910"/>
    <w:rsid w:val="005D69C5"/>
    <w:rsid w:val="005E216B"/>
    <w:rsid w:val="005F27B1"/>
    <w:rsid w:val="005F2ADC"/>
    <w:rsid w:val="005F31A2"/>
    <w:rsid w:val="005F375D"/>
    <w:rsid w:val="005F40FE"/>
    <w:rsid w:val="005F7753"/>
    <w:rsid w:val="005F776A"/>
    <w:rsid w:val="0060086F"/>
    <w:rsid w:val="00600BDC"/>
    <w:rsid w:val="00600DA3"/>
    <w:rsid w:val="00601E39"/>
    <w:rsid w:val="0060329F"/>
    <w:rsid w:val="00604A5E"/>
    <w:rsid w:val="00604A80"/>
    <w:rsid w:val="0060536D"/>
    <w:rsid w:val="00605898"/>
    <w:rsid w:val="00607CF6"/>
    <w:rsid w:val="0061245A"/>
    <w:rsid w:val="00612885"/>
    <w:rsid w:val="00612E99"/>
    <w:rsid w:val="0061439F"/>
    <w:rsid w:val="006148AF"/>
    <w:rsid w:val="00614B7A"/>
    <w:rsid w:val="006157C2"/>
    <w:rsid w:val="00615D68"/>
    <w:rsid w:val="00616E4D"/>
    <w:rsid w:val="00617D74"/>
    <w:rsid w:val="00617F53"/>
    <w:rsid w:val="006217F4"/>
    <w:rsid w:val="00622E82"/>
    <w:rsid w:val="0062417E"/>
    <w:rsid w:val="006258CC"/>
    <w:rsid w:val="00626F16"/>
    <w:rsid w:val="006279CD"/>
    <w:rsid w:val="006279EA"/>
    <w:rsid w:val="00627B6C"/>
    <w:rsid w:val="00630FD2"/>
    <w:rsid w:val="00631E3C"/>
    <w:rsid w:val="00633A48"/>
    <w:rsid w:val="00634844"/>
    <w:rsid w:val="00636650"/>
    <w:rsid w:val="006449D2"/>
    <w:rsid w:val="00645186"/>
    <w:rsid w:val="006458E0"/>
    <w:rsid w:val="006459D7"/>
    <w:rsid w:val="0064650F"/>
    <w:rsid w:val="00647BB1"/>
    <w:rsid w:val="00650A2C"/>
    <w:rsid w:val="00650C20"/>
    <w:rsid w:val="00650FC6"/>
    <w:rsid w:val="006541C5"/>
    <w:rsid w:val="00656797"/>
    <w:rsid w:val="006576EB"/>
    <w:rsid w:val="00657948"/>
    <w:rsid w:val="00657F12"/>
    <w:rsid w:val="006612CE"/>
    <w:rsid w:val="00661688"/>
    <w:rsid w:val="00662157"/>
    <w:rsid w:val="00662204"/>
    <w:rsid w:val="00665914"/>
    <w:rsid w:val="00666182"/>
    <w:rsid w:val="00666A27"/>
    <w:rsid w:val="00667385"/>
    <w:rsid w:val="00667565"/>
    <w:rsid w:val="006677C0"/>
    <w:rsid w:val="0067238E"/>
    <w:rsid w:val="006746DA"/>
    <w:rsid w:val="006746E1"/>
    <w:rsid w:val="006747A4"/>
    <w:rsid w:val="00675538"/>
    <w:rsid w:val="00675A7F"/>
    <w:rsid w:val="00675C8F"/>
    <w:rsid w:val="00676B98"/>
    <w:rsid w:val="0068018B"/>
    <w:rsid w:val="00681F00"/>
    <w:rsid w:val="00682BDF"/>
    <w:rsid w:val="00684D05"/>
    <w:rsid w:val="006853A4"/>
    <w:rsid w:val="00685495"/>
    <w:rsid w:val="00685AE8"/>
    <w:rsid w:val="00686508"/>
    <w:rsid w:val="00690C0E"/>
    <w:rsid w:val="00691327"/>
    <w:rsid w:val="00692808"/>
    <w:rsid w:val="00693804"/>
    <w:rsid w:val="00694455"/>
    <w:rsid w:val="00695080"/>
    <w:rsid w:val="00697C64"/>
    <w:rsid w:val="006A230E"/>
    <w:rsid w:val="006A3579"/>
    <w:rsid w:val="006A4D7D"/>
    <w:rsid w:val="006A6808"/>
    <w:rsid w:val="006A7E7B"/>
    <w:rsid w:val="006B190F"/>
    <w:rsid w:val="006B1E8A"/>
    <w:rsid w:val="006B2D5E"/>
    <w:rsid w:val="006B38B0"/>
    <w:rsid w:val="006B4703"/>
    <w:rsid w:val="006B5FCD"/>
    <w:rsid w:val="006B6A7A"/>
    <w:rsid w:val="006C32D8"/>
    <w:rsid w:val="006C3EFF"/>
    <w:rsid w:val="006C412F"/>
    <w:rsid w:val="006D17DE"/>
    <w:rsid w:val="006D1C61"/>
    <w:rsid w:val="006D333E"/>
    <w:rsid w:val="006E0118"/>
    <w:rsid w:val="006E3153"/>
    <w:rsid w:val="006E32AD"/>
    <w:rsid w:val="006E3B50"/>
    <w:rsid w:val="006E4342"/>
    <w:rsid w:val="006E4ABF"/>
    <w:rsid w:val="006E539D"/>
    <w:rsid w:val="006E596F"/>
    <w:rsid w:val="006E7602"/>
    <w:rsid w:val="006F1F95"/>
    <w:rsid w:val="006F4205"/>
    <w:rsid w:val="006F5102"/>
    <w:rsid w:val="006F6D4C"/>
    <w:rsid w:val="007018A5"/>
    <w:rsid w:val="007031BB"/>
    <w:rsid w:val="00703FF6"/>
    <w:rsid w:val="00706FF5"/>
    <w:rsid w:val="0071009D"/>
    <w:rsid w:val="00710E82"/>
    <w:rsid w:val="00716598"/>
    <w:rsid w:val="00721647"/>
    <w:rsid w:val="00724DC3"/>
    <w:rsid w:val="00725A50"/>
    <w:rsid w:val="00727883"/>
    <w:rsid w:val="00730EAA"/>
    <w:rsid w:val="00731A30"/>
    <w:rsid w:val="007325F4"/>
    <w:rsid w:val="00732AF5"/>
    <w:rsid w:val="00733CE3"/>
    <w:rsid w:val="00733D14"/>
    <w:rsid w:val="0073563E"/>
    <w:rsid w:val="00735EE4"/>
    <w:rsid w:val="0073642B"/>
    <w:rsid w:val="00736B23"/>
    <w:rsid w:val="007379FC"/>
    <w:rsid w:val="00737EA1"/>
    <w:rsid w:val="00737EEF"/>
    <w:rsid w:val="00741124"/>
    <w:rsid w:val="00744A54"/>
    <w:rsid w:val="0074689D"/>
    <w:rsid w:val="00746E95"/>
    <w:rsid w:val="00747099"/>
    <w:rsid w:val="007478E7"/>
    <w:rsid w:val="0075010C"/>
    <w:rsid w:val="0075104A"/>
    <w:rsid w:val="00753187"/>
    <w:rsid w:val="007536D6"/>
    <w:rsid w:val="00756157"/>
    <w:rsid w:val="00757C80"/>
    <w:rsid w:val="00760FDC"/>
    <w:rsid w:val="00761AEB"/>
    <w:rsid w:val="00764766"/>
    <w:rsid w:val="00765025"/>
    <w:rsid w:val="00765572"/>
    <w:rsid w:val="00770B5D"/>
    <w:rsid w:val="0077170A"/>
    <w:rsid w:val="00771ED2"/>
    <w:rsid w:val="00772618"/>
    <w:rsid w:val="007729A3"/>
    <w:rsid w:val="00773D2D"/>
    <w:rsid w:val="00774730"/>
    <w:rsid w:val="00774E4D"/>
    <w:rsid w:val="007755BA"/>
    <w:rsid w:val="00775ABA"/>
    <w:rsid w:val="00777509"/>
    <w:rsid w:val="00780BC3"/>
    <w:rsid w:val="00781AF9"/>
    <w:rsid w:val="00782496"/>
    <w:rsid w:val="00783F15"/>
    <w:rsid w:val="00785AB8"/>
    <w:rsid w:val="007878B2"/>
    <w:rsid w:val="00790E27"/>
    <w:rsid w:val="00791036"/>
    <w:rsid w:val="007910B6"/>
    <w:rsid w:val="0079217E"/>
    <w:rsid w:val="00794397"/>
    <w:rsid w:val="007947B5"/>
    <w:rsid w:val="00795C2F"/>
    <w:rsid w:val="0079656A"/>
    <w:rsid w:val="007979D4"/>
    <w:rsid w:val="00797D71"/>
    <w:rsid w:val="007A4DA8"/>
    <w:rsid w:val="007A5FF3"/>
    <w:rsid w:val="007B0F8D"/>
    <w:rsid w:val="007B2D53"/>
    <w:rsid w:val="007B636F"/>
    <w:rsid w:val="007B6AAA"/>
    <w:rsid w:val="007B6DD3"/>
    <w:rsid w:val="007C236E"/>
    <w:rsid w:val="007C3C99"/>
    <w:rsid w:val="007C6DAB"/>
    <w:rsid w:val="007C6E11"/>
    <w:rsid w:val="007D2B01"/>
    <w:rsid w:val="007D2BA2"/>
    <w:rsid w:val="007D55D1"/>
    <w:rsid w:val="007D561D"/>
    <w:rsid w:val="007D5805"/>
    <w:rsid w:val="007D66C6"/>
    <w:rsid w:val="007D6F55"/>
    <w:rsid w:val="007E0E36"/>
    <w:rsid w:val="007E1416"/>
    <w:rsid w:val="007E1591"/>
    <w:rsid w:val="007E1794"/>
    <w:rsid w:val="007E1CD0"/>
    <w:rsid w:val="007E2600"/>
    <w:rsid w:val="007E337E"/>
    <w:rsid w:val="007E5EB2"/>
    <w:rsid w:val="007E62F6"/>
    <w:rsid w:val="007F264A"/>
    <w:rsid w:val="007F3F6A"/>
    <w:rsid w:val="007F6A7E"/>
    <w:rsid w:val="007F73C9"/>
    <w:rsid w:val="007F7C7F"/>
    <w:rsid w:val="008007CB"/>
    <w:rsid w:val="008020EB"/>
    <w:rsid w:val="00802A84"/>
    <w:rsid w:val="00802E19"/>
    <w:rsid w:val="008031BE"/>
    <w:rsid w:val="00804514"/>
    <w:rsid w:val="00804F5F"/>
    <w:rsid w:val="00806DB7"/>
    <w:rsid w:val="008101B2"/>
    <w:rsid w:val="00810DE8"/>
    <w:rsid w:val="00814162"/>
    <w:rsid w:val="008147D5"/>
    <w:rsid w:val="008158F1"/>
    <w:rsid w:val="00815DCB"/>
    <w:rsid w:val="00817221"/>
    <w:rsid w:val="00817FE7"/>
    <w:rsid w:val="00820023"/>
    <w:rsid w:val="008218CC"/>
    <w:rsid w:val="00821F50"/>
    <w:rsid w:val="0082303C"/>
    <w:rsid w:val="0082386A"/>
    <w:rsid w:val="00825EB5"/>
    <w:rsid w:val="008264A0"/>
    <w:rsid w:val="0083007B"/>
    <w:rsid w:val="008328BB"/>
    <w:rsid w:val="00833685"/>
    <w:rsid w:val="008374FF"/>
    <w:rsid w:val="00837D62"/>
    <w:rsid w:val="008405AC"/>
    <w:rsid w:val="00840EE4"/>
    <w:rsid w:val="0084136A"/>
    <w:rsid w:val="008415B4"/>
    <w:rsid w:val="00843E26"/>
    <w:rsid w:val="00844EAA"/>
    <w:rsid w:val="00845450"/>
    <w:rsid w:val="0084573E"/>
    <w:rsid w:val="00846366"/>
    <w:rsid w:val="008469D8"/>
    <w:rsid w:val="00850176"/>
    <w:rsid w:val="00850412"/>
    <w:rsid w:val="00851564"/>
    <w:rsid w:val="00853F2D"/>
    <w:rsid w:val="00854659"/>
    <w:rsid w:val="00854EF9"/>
    <w:rsid w:val="008575AF"/>
    <w:rsid w:val="008579C8"/>
    <w:rsid w:val="00857BE8"/>
    <w:rsid w:val="008607FE"/>
    <w:rsid w:val="00862602"/>
    <w:rsid w:val="00863DED"/>
    <w:rsid w:val="00864C9E"/>
    <w:rsid w:val="00864E35"/>
    <w:rsid w:val="008662B7"/>
    <w:rsid w:val="0087011C"/>
    <w:rsid w:val="00870D67"/>
    <w:rsid w:val="008727C0"/>
    <w:rsid w:val="00874B51"/>
    <w:rsid w:val="008801EB"/>
    <w:rsid w:val="008816B7"/>
    <w:rsid w:val="008818A4"/>
    <w:rsid w:val="008818C0"/>
    <w:rsid w:val="00881E55"/>
    <w:rsid w:val="00885D1C"/>
    <w:rsid w:val="0089140B"/>
    <w:rsid w:val="0089334C"/>
    <w:rsid w:val="00894FE0"/>
    <w:rsid w:val="00895D90"/>
    <w:rsid w:val="008966FC"/>
    <w:rsid w:val="008A028D"/>
    <w:rsid w:val="008A0A66"/>
    <w:rsid w:val="008A3048"/>
    <w:rsid w:val="008A47C6"/>
    <w:rsid w:val="008A49D1"/>
    <w:rsid w:val="008A6AC5"/>
    <w:rsid w:val="008B0A02"/>
    <w:rsid w:val="008B0C86"/>
    <w:rsid w:val="008B467E"/>
    <w:rsid w:val="008B4A16"/>
    <w:rsid w:val="008B6C93"/>
    <w:rsid w:val="008B7430"/>
    <w:rsid w:val="008B7A9C"/>
    <w:rsid w:val="008B7F1C"/>
    <w:rsid w:val="008C098E"/>
    <w:rsid w:val="008C0BD0"/>
    <w:rsid w:val="008C0C41"/>
    <w:rsid w:val="008C0E41"/>
    <w:rsid w:val="008C4338"/>
    <w:rsid w:val="008C4DE8"/>
    <w:rsid w:val="008C595A"/>
    <w:rsid w:val="008C604B"/>
    <w:rsid w:val="008D11E9"/>
    <w:rsid w:val="008D19F0"/>
    <w:rsid w:val="008D207C"/>
    <w:rsid w:val="008D2273"/>
    <w:rsid w:val="008D35E9"/>
    <w:rsid w:val="008D4CEC"/>
    <w:rsid w:val="008D4F6C"/>
    <w:rsid w:val="008D54BA"/>
    <w:rsid w:val="008D6A0B"/>
    <w:rsid w:val="008D723B"/>
    <w:rsid w:val="008E2937"/>
    <w:rsid w:val="008E3DAB"/>
    <w:rsid w:val="008E4099"/>
    <w:rsid w:val="008E446C"/>
    <w:rsid w:val="008E4D56"/>
    <w:rsid w:val="008E6134"/>
    <w:rsid w:val="008E6C85"/>
    <w:rsid w:val="008E787E"/>
    <w:rsid w:val="008F0609"/>
    <w:rsid w:val="008F3CD9"/>
    <w:rsid w:val="008F63BF"/>
    <w:rsid w:val="00900EB4"/>
    <w:rsid w:val="009027DD"/>
    <w:rsid w:val="00902CC6"/>
    <w:rsid w:val="00902E04"/>
    <w:rsid w:val="00906B0C"/>
    <w:rsid w:val="00910492"/>
    <w:rsid w:val="0091358B"/>
    <w:rsid w:val="00913D4D"/>
    <w:rsid w:val="00914C9A"/>
    <w:rsid w:val="00914EB6"/>
    <w:rsid w:val="00914F45"/>
    <w:rsid w:val="00917A0E"/>
    <w:rsid w:val="009217C2"/>
    <w:rsid w:val="009226F8"/>
    <w:rsid w:val="00923ECF"/>
    <w:rsid w:val="00924205"/>
    <w:rsid w:val="00924D67"/>
    <w:rsid w:val="0092537A"/>
    <w:rsid w:val="009254CA"/>
    <w:rsid w:val="009303A7"/>
    <w:rsid w:val="00931312"/>
    <w:rsid w:val="00931A9B"/>
    <w:rsid w:val="00932744"/>
    <w:rsid w:val="00932929"/>
    <w:rsid w:val="00934956"/>
    <w:rsid w:val="00934EAC"/>
    <w:rsid w:val="00935274"/>
    <w:rsid w:val="00935DFE"/>
    <w:rsid w:val="00941275"/>
    <w:rsid w:val="0094171C"/>
    <w:rsid w:val="00941979"/>
    <w:rsid w:val="009427C2"/>
    <w:rsid w:val="00942C39"/>
    <w:rsid w:val="00943029"/>
    <w:rsid w:val="009448D4"/>
    <w:rsid w:val="00945DFD"/>
    <w:rsid w:val="00946BFD"/>
    <w:rsid w:val="0095110C"/>
    <w:rsid w:val="00953167"/>
    <w:rsid w:val="009552B6"/>
    <w:rsid w:val="00956CDD"/>
    <w:rsid w:val="00956DD5"/>
    <w:rsid w:val="009573D4"/>
    <w:rsid w:val="00960B2A"/>
    <w:rsid w:val="00960B6A"/>
    <w:rsid w:val="00961D1A"/>
    <w:rsid w:val="00962E5D"/>
    <w:rsid w:val="0096350C"/>
    <w:rsid w:val="00963A62"/>
    <w:rsid w:val="0096520C"/>
    <w:rsid w:val="009658D0"/>
    <w:rsid w:val="00966DB2"/>
    <w:rsid w:val="00967F7E"/>
    <w:rsid w:val="009700D3"/>
    <w:rsid w:val="00970CF7"/>
    <w:rsid w:val="00971D56"/>
    <w:rsid w:val="00972CC0"/>
    <w:rsid w:val="00972DE9"/>
    <w:rsid w:val="00975EFB"/>
    <w:rsid w:val="00976902"/>
    <w:rsid w:val="009806C9"/>
    <w:rsid w:val="00980AC3"/>
    <w:rsid w:val="00980E7B"/>
    <w:rsid w:val="0098138A"/>
    <w:rsid w:val="0098184F"/>
    <w:rsid w:val="00982CD6"/>
    <w:rsid w:val="0098396D"/>
    <w:rsid w:val="00983E2F"/>
    <w:rsid w:val="009865C3"/>
    <w:rsid w:val="0098661C"/>
    <w:rsid w:val="00987E30"/>
    <w:rsid w:val="00987FA5"/>
    <w:rsid w:val="00990154"/>
    <w:rsid w:val="009908DF"/>
    <w:rsid w:val="0099202E"/>
    <w:rsid w:val="00992CA6"/>
    <w:rsid w:val="00994C7C"/>
    <w:rsid w:val="009964DC"/>
    <w:rsid w:val="00996D57"/>
    <w:rsid w:val="009972F1"/>
    <w:rsid w:val="009973D6"/>
    <w:rsid w:val="009A028B"/>
    <w:rsid w:val="009A192E"/>
    <w:rsid w:val="009A20F3"/>
    <w:rsid w:val="009A23C1"/>
    <w:rsid w:val="009A33F6"/>
    <w:rsid w:val="009A35BE"/>
    <w:rsid w:val="009A6691"/>
    <w:rsid w:val="009A6698"/>
    <w:rsid w:val="009A797D"/>
    <w:rsid w:val="009A79CC"/>
    <w:rsid w:val="009B0D50"/>
    <w:rsid w:val="009B2E87"/>
    <w:rsid w:val="009B459D"/>
    <w:rsid w:val="009B4803"/>
    <w:rsid w:val="009B6F17"/>
    <w:rsid w:val="009B7672"/>
    <w:rsid w:val="009C5AB3"/>
    <w:rsid w:val="009C78AF"/>
    <w:rsid w:val="009D0C0B"/>
    <w:rsid w:val="009D2800"/>
    <w:rsid w:val="009D3E87"/>
    <w:rsid w:val="009D48A4"/>
    <w:rsid w:val="009D49AC"/>
    <w:rsid w:val="009D507F"/>
    <w:rsid w:val="009D61F3"/>
    <w:rsid w:val="009D6BF5"/>
    <w:rsid w:val="009D6FC5"/>
    <w:rsid w:val="009E07D6"/>
    <w:rsid w:val="009E2168"/>
    <w:rsid w:val="009E4041"/>
    <w:rsid w:val="009E61E6"/>
    <w:rsid w:val="009E65A9"/>
    <w:rsid w:val="009F0C12"/>
    <w:rsid w:val="009F0ECD"/>
    <w:rsid w:val="009F205D"/>
    <w:rsid w:val="009F62F1"/>
    <w:rsid w:val="00A005DD"/>
    <w:rsid w:val="00A01F6A"/>
    <w:rsid w:val="00A03C13"/>
    <w:rsid w:val="00A04731"/>
    <w:rsid w:val="00A06D53"/>
    <w:rsid w:val="00A06E8F"/>
    <w:rsid w:val="00A07426"/>
    <w:rsid w:val="00A07CFC"/>
    <w:rsid w:val="00A1353E"/>
    <w:rsid w:val="00A1491A"/>
    <w:rsid w:val="00A16CF5"/>
    <w:rsid w:val="00A20786"/>
    <w:rsid w:val="00A24B53"/>
    <w:rsid w:val="00A30795"/>
    <w:rsid w:val="00A30929"/>
    <w:rsid w:val="00A31266"/>
    <w:rsid w:val="00A31EC3"/>
    <w:rsid w:val="00A33516"/>
    <w:rsid w:val="00A34894"/>
    <w:rsid w:val="00A358C5"/>
    <w:rsid w:val="00A36219"/>
    <w:rsid w:val="00A36BB1"/>
    <w:rsid w:val="00A36D24"/>
    <w:rsid w:val="00A37CDD"/>
    <w:rsid w:val="00A4159E"/>
    <w:rsid w:val="00A41921"/>
    <w:rsid w:val="00A42425"/>
    <w:rsid w:val="00A42DBE"/>
    <w:rsid w:val="00A438D8"/>
    <w:rsid w:val="00A43DB7"/>
    <w:rsid w:val="00A44631"/>
    <w:rsid w:val="00A458E2"/>
    <w:rsid w:val="00A46E1B"/>
    <w:rsid w:val="00A47A73"/>
    <w:rsid w:val="00A505D4"/>
    <w:rsid w:val="00A50B77"/>
    <w:rsid w:val="00A54E18"/>
    <w:rsid w:val="00A576DC"/>
    <w:rsid w:val="00A60495"/>
    <w:rsid w:val="00A6057F"/>
    <w:rsid w:val="00A641C6"/>
    <w:rsid w:val="00A6563A"/>
    <w:rsid w:val="00A65E2D"/>
    <w:rsid w:val="00A66FCD"/>
    <w:rsid w:val="00A67447"/>
    <w:rsid w:val="00A67859"/>
    <w:rsid w:val="00A67A55"/>
    <w:rsid w:val="00A7086B"/>
    <w:rsid w:val="00A70A2E"/>
    <w:rsid w:val="00A70D9F"/>
    <w:rsid w:val="00A71B2D"/>
    <w:rsid w:val="00A7279D"/>
    <w:rsid w:val="00A72F8F"/>
    <w:rsid w:val="00A73719"/>
    <w:rsid w:val="00A74737"/>
    <w:rsid w:val="00A75339"/>
    <w:rsid w:val="00A76627"/>
    <w:rsid w:val="00A77676"/>
    <w:rsid w:val="00A804C8"/>
    <w:rsid w:val="00A80768"/>
    <w:rsid w:val="00A81BFA"/>
    <w:rsid w:val="00A82596"/>
    <w:rsid w:val="00A84D03"/>
    <w:rsid w:val="00A859EB"/>
    <w:rsid w:val="00A85BC4"/>
    <w:rsid w:val="00A8787D"/>
    <w:rsid w:val="00A9062E"/>
    <w:rsid w:val="00A90E08"/>
    <w:rsid w:val="00A9179E"/>
    <w:rsid w:val="00A932DC"/>
    <w:rsid w:val="00A94903"/>
    <w:rsid w:val="00A95284"/>
    <w:rsid w:val="00A9557A"/>
    <w:rsid w:val="00A95581"/>
    <w:rsid w:val="00A95ED2"/>
    <w:rsid w:val="00A966C3"/>
    <w:rsid w:val="00AA039B"/>
    <w:rsid w:val="00AA08BE"/>
    <w:rsid w:val="00AA1731"/>
    <w:rsid w:val="00AA2161"/>
    <w:rsid w:val="00AA3A14"/>
    <w:rsid w:val="00AA5364"/>
    <w:rsid w:val="00AB1818"/>
    <w:rsid w:val="00AB1E94"/>
    <w:rsid w:val="00AB26BB"/>
    <w:rsid w:val="00AB467C"/>
    <w:rsid w:val="00AC0905"/>
    <w:rsid w:val="00AC0A52"/>
    <w:rsid w:val="00AC14FB"/>
    <w:rsid w:val="00AD44D2"/>
    <w:rsid w:val="00AD5174"/>
    <w:rsid w:val="00AD6561"/>
    <w:rsid w:val="00AE101C"/>
    <w:rsid w:val="00AE3069"/>
    <w:rsid w:val="00AE3876"/>
    <w:rsid w:val="00AE52B6"/>
    <w:rsid w:val="00AE6C72"/>
    <w:rsid w:val="00AE7103"/>
    <w:rsid w:val="00AF19B8"/>
    <w:rsid w:val="00AF38A5"/>
    <w:rsid w:val="00AF543C"/>
    <w:rsid w:val="00AF5FB7"/>
    <w:rsid w:val="00AF66F6"/>
    <w:rsid w:val="00AF670A"/>
    <w:rsid w:val="00AF686D"/>
    <w:rsid w:val="00AF798C"/>
    <w:rsid w:val="00B006A0"/>
    <w:rsid w:val="00B00E6F"/>
    <w:rsid w:val="00B0180E"/>
    <w:rsid w:val="00B03977"/>
    <w:rsid w:val="00B03C84"/>
    <w:rsid w:val="00B0429C"/>
    <w:rsid w:val="00B06009"/>
    <w:rsid w:val="00B06F00"/>
    <w:rsid w:val="00B07A5B"/>
    <w:rsid w:val="00B101A1"/>
    <w:rsid w:val="00B101C3"/>
    <w:rsid w:val="00B10ACB"/>
    <w:rsid w:val="00B13145"/>
    <w:rsid w:val="00B13D28"/>
    <w:rsid w:val="00B146C9"/>
    <w:rsid w:val="00B15A5D"/>
    <w:rsid w:val="00B17EF5"/>
    <w:rsid w:val="00B17F2E"/>
    <w:rsid w:val="00B202B3"/>
    <w:rsid w:val="00B2105A"/>
    <w:rsid w:val="00B23088"/>
    <w:rsid w:val="00B23690"/>
    <w:rsid w:val="00B236AE"/>
    <w:rsid w:val="00B2431F"/>
    <w:rsid w:val="00B25A33"/>
    <w:rsid w:val="00B26630"/>
    <w:rsid w:val="00B27CB1"/>
    <w:rsid w:val="00B27D71"/>
    <w:rsid w:val="00B363D6"/>
    <w:rsid w:val="00B36E30"/>
    <w:rsid w:val="00B40AF4"/>
    <w:rsid w:val="00B4144E"/>
    <w:rsid w:val="00B43612"/>
    <w:rsid w:val="00B43747"/>
    <w:rsid w:val="00B4611D"/>
    <w:rsid w:val="00B50D55"/>
    <w:rsid w:val="00B52977"/>
    <w:rsid w:val="00B53D8A"/>
    <w:rsid w:val="00B5436B"/>
    <w:rsid w:val="00B56E24"/>
    <w:rsid w:val="00B61651"/>
    <w:rsid w:val="00B61E55"/>
    <w:rsid w:val="00B624F0"/>
    <w:rsid w:val="00B62592"/>
    <w:rsid w:val="00B630CC"/>
    <w:rsid w:val="00B63384"/>
    <w:rsid w:val="00B639F8"/>
    <w:rsid w:val="00B6513A"/>
    <w:rsid w:val="00B66049"/>
    <w:rsid w:val="00B67D83"/>
    <w:rsid w:val="00B73E8D"/>
    <w:rsid w:val="00B74263"/>
    <w:rsid w:val="00B74636"/>
    <w:rsid w:val="00B75003"/>
    <w:rsid w:val="00B76A35"/>
    <w:rsid w:val="00B81765"/>
    <w:rsid w:val="00B8249F"/>
    <w:rsid w:val="00B82B5B"/>
    <w:rsid w:val="00B83295"/>
    <w:rsid w:val="00B87D8D"/>
    <w:rsid w:val="00B90358"/>
    <w:rsid w:val="00B90DD8"/>
    <w:rsid w:val="00B9232F"/>
    <w:rsid w:val="00B931E8"/>
    <w:rsid w:val="00B93A89"/>
    <w:rsid w:val="00B95C48"/>
    <w:rsid w:val="00BA03CD"/>
    <w:rsid w:val="00BA238F"/>
    <w:rsid w:val="00BA2511"/>
    <w:rsid w:val="00BA3981"/>
    <w:rsid w:val="00BA5762"/>
    <w:rsid w:val="00BA57DA"/>
    <w:rsid w:val="00BA7DA7"/>
    <w:rsid w:val="00BB3563"/>
    <w:rsid w:val="00BC0472"/>
    <w:rsid w:val="00BC204B"/>
    <w:rsid w:val="00BC46F2"/>
    <w:rsid w:val="00BC6185"/>
    <w:rsid w:val="00BC667C"/>
    <w:rsid w:val="00BC6C9B"/>
    <w:rsid w:val="00BC7070"/>
    <w:rsid w:val="00BC7450"/>
    <w:rsid w:val="00BC79D9"/>
    <w:rsid w:val="00BD008D"/>
    <w:rsid w:val="00BD183C"/>
    <w:rsid w:val="00BD32A0"/>
    <w:rsid w:val="00BD49AE"/>
    <w:rsid w:val="00BD751D"/>
    <w:rsid w:val="00BD7B1F"/>
    <w:rsid w:val="00BE002E"/>
    <w:rsid w:val="00BE0D93"/>
    <w:rsid w:val="00BE42E1"/>
    <w:rsid w:val="00BE6D03"/>
    <w:rsid w:val="00BF2C29"/>
    <w:rsid w:val="00BF4DC1"/>
    <w:rsid w:val="00BF7E3E"/>
    <w:rsid w:val="00C01546"/>
    <w:rsid w:val="00C03636"/>
    <w:rsid w:val="00C047E6"/>
    <w:rsid w:val="00C073E3"/>
    <w:rsid w:val="00C10222"/>
    <w:rsid w:val="00C102F9"/>
    <w:rsid w:val="00C10919"/>
    <w:rsid w:val="00C1183E"/>
    <w:rsid w:val="00C12569"/>
    <w:rsid w:val="00C128DF"/>
    <w:rsid w:val="00C12C27"/>
    <w:rsid w:val="00C142D7"/>
    <w:rsid w:val="00C15939"/>
    <w:rsid w:val="00C15EF0"/>
    <w:rsid w:val="00C174D4"/>
    <w:rsid w:val="00C1783F"/>
    <w:rsid w:val="00C17BC8"/>
    <w:rsid w:val="00C2001F"/>
    <w:rsid w:val="00C20A61"/>
    <w:rsid w:val="00C20E1E"/>
    <w:rsid w:val="00C211D1"/>
    <w:rsid w:val="00C21372"/>
    <w:rsid w:val="00C2345D"/>
    <w:rsid w:val="00C27417"/>
    <w:rsid w:val="00C30B6F"/>
    <w:rsid w:val="00C3233E"/>
    <w:rsid w:val="00C32EB5"/>
    <w:rsid w:val="00C33CC3"/>
    <w:rsid w:val="00C36B6C"/>
    <w:rsid w:val="00C37186"/>
    <w:rsid w:val="00C37587"/>
    <w:rsid w:val="00C41434"/>
    <w:rsid w:val="00C44B83"/>
    <w:rsid w:val="00C47426"/>
    <w:rsid w:val="00C47C4F"/>
    <w:rsid w:val="00C573DD"/>
    <w:rsid w:val="00C574E4"/>
    <w:rsid w:val="00C57FF4"/>
    <w:rsid w:val="00C609FB"/>
    <w:rsid w:val="00C60F24"/>
    <w:rsid w:val="00C62EC8"/>
    <w:rsid w:val="00C6327C"/>
    <w:rsid w:val="00C63528"/>
    <w:rsid w:val="00C63C36"/>
    <w:rsid w:val="00C63C55"/>
    <w:rsid w:val="00C64FF3"/>
    <w:rsid w:val="00C71856"/>
    <w:rsid w:val="00C73D10"/>
    <w:rsid w:val="00C75177"/>
    <w:rsid w:val="00C770F5"/>
    <w:rsid w:val="00C77C3E"/>
    <w:rsid w:val="00C77DE3"/>
    <w:rsid w:val="00C80B7A"/>
    <w:rsid w:val="00C80E3A"/>
    <w:rsid w:val="00C826CA"/>
    <w:rsid w:val="00C841B8"/>
    <w:rsid w:val="00C857BE"/>
    <w:rsid w:val="00C92213"/>
    <w:rsid w:val="00C92973"/>
    <w:rsid w:val="00C94B2D"/>
    <w:rsid w:val="00C95170"/>
    <w:rsid w:val="00C97330"/>
    <w:rsid w:val="00C97335"/>
    <w:rsid w:val="00CA6A14"/>
    <w:rsid w:val="00CA7025"/>
    <w:rsid w:val="00CA7C6D"/>
    <w:rsid w:val="00CB2C87"/>
    <w:rsid w:val="00CB4A8C"/>
    <w:rsid w:val="00CB4CF1"/>
    <w:rsid w:val="00CB5D30"/>
    <w:rsid w:val="00CB6749"/>
    <w:rsid w:val="00CC262E"/>
    <w:rsid w:val="00CC2CB3"/>
    <w:rsid w:val="00CC32E9"/>
    <w:rsid w:val="00CC407B"/>
    <w:rsid w:val="00CC4F60"/>
    <w:rsid w:val="00CC5335"/>
    <w:rsid w:val="00CC53DE"/>
    <w:rsid w:val="00CC62FC"/>
    <w:rsid w:val="00CC6483"/>
    <w:rsid w:val="00CC6631"/>
    <w:rsid w:val="00CC6EE5"/>
    <w:rsid w:val="00CD08F7"/>
    <w:rsid w:val="00CD173D"/>
    <w:rsid w:val="00CD2767"/>
    <w:rsid w:val="00CD31D4"/>
    <w:rsid w:val="00CD3A30"/>
    <w:rsid w:val="00CD4916"/>
    <w:rsid w:val="00CD5B0D"/>
    <w:rsid w:val="00CD5E7A"/>
    <w:rsid w:val="00CD63DA"/>
    <w:rsid w:val="00CE2973"/>
    <w:rsid w:val="00CE3037"/>
    <w:rsid w:val="00CE3CF9"/>
    <w:rsid w:val="00CE6249"/>
    <w:rsid w:val="00CE64E6"/>
    <w:rsid w:val="00CE761C"/>
    <w:rsid w:val="00CF0A7D"/>
    <w:rsid w:val="00CF2A0F"/>
    <w:rsid w:val="00CF2FA8"/>
    <w:rsid w:val="00CF41A1"/>
    <w:rsid w:val="00CF5163"/>
    <w:rsid w:val="00CF6513"/>
    <w:rsid w:val="00CF7FB7"/>
    <w:rsid w:val="00D00653"/>
    <w:rsid w:val="00D00D27"/>
    <w:rsid w:val="00D016EC"/>
    <w:rsid w:val="00D030A9"/>
    <w:rsid w:val="00D04429"/>
    <w:rsid w:val="00D04A56"/>
    <w:rsid w:val="00D0590D"/>
    <w:rsid w:val="00D07629"/>
    <w:rsid w:val="00D115B1"/>
    <w:rsid w:val="00D12AA5"/>
    <w:rsid w:val="00D12AAD"/>
    <w:rsid w:val="00D130C7"/>
    <w:rsid w:val="00D1372D"/>
    <w:rsid w:val="00D141D8"/>
    <w:rsid w:val="00D1442F"/>
    <w:rsid w:val="00D14490"/>
    <w:rsid w:val="00D15A72"/>
    <w:rsid w:val="00D168E8"/>
    <w:rsid w:val="00D16FF5"/>
    <w:rsid w:val="00D1707F"/>
    <w:rsid w:val="00D175BF"/>
    <w:rsid w:val="00D17862"/>
    <w:rsid w:val="00D20C12"/>
    <w:rsid w:val="00D20EDF"/>
    <w:rsid w:val="00D224D2"/>
    <w:rsid w:val="00D22BF9"/>
    <w:rsid w:val="00D24264"/>
    <w:rsid w:val="00D250B6"/>
    <w:rsid w:val="00D27FF6"/>
    <w:rsid w:val="00D337F7"/>
    <w:rsid w:val="00D33AFC"/>
    <w:rsid w:val="00D34D25"/>
    <w:rsid w:val="00D34D33"/>
    <w:rsid w:val="00D363BA"/>
    <w:rsid w:val="00D37CB1"/>
    <w:rsid w:val="00D40475"/>
    <w:rsid w:val="00D40591"/>
    <w:rsid w:val="00D408C8"/>
    <w:rsid w:val="00D41568"/>
    <w:rsid w:val="00D42D9E"/>
    <w:rsid w:val="00D432DF"/>
    <w:rsid w:val="00D438D3"/>
    <w:rsid w:val="00D43EDB"/>
    <w:rsid w:val="00D4579C"/>
    <w:rsid w:val="00D463CD"/>
    <w:rsid w:val="00D46AEA"/>
    <w:rsid w:val="00D51182"/>
    <w:rsid w:val="00D516C0"/>
    <w:rsid w:val="00D518B9"/>
    <w:rsid w:val="00D525E4"/>
    <w:rsid w:val="00D54A84"/>
    <w:rsid w:val="00D575F0"/>
    <w:rsid w:val="00D6010B"/>
    <w:rsid w:val="00D61026"/>
    <w:rsid w:val="00D63D86"/>
    <w:rsid w:val="00D648C9"/>
    <w:rsid w:val="00D64D93"/>
    <w:rsid w:val="00D65F68"/>
    <w:rsid w:val="00D662F1"/>
    <w:rsid w:val="00D66EE2"/>
    <w:rsid w:val="00D71505"/>
    <w:rsid w:val="00D71B9A"/>
    <w:rsid w:val="00D72134"/>
    <w:rsid w:val="00D73134"/>
    <w:rsid w:val="00D737C6"/>
    <w:rsid w:val="00D75525"/>
    <w:rsid w:val="00D75EFA"/>
    <w:rsid w:val="00D76329"/>
    <w:rsid w:val="00D76A43"/>
    <w:rsid w:val="00D8000A"/>
    <w:rsid w:val="00D80179"/>
    <w:rsid w:val="00D82C19"/>
    <w:rsid w:val="00D83593"/>
    <w:rsid w:val="00D83D34"/>
    <w:rsid w:val="00D8527F"/>
    <w:rsid w:val="00D90358"/>
    <w:rsid w:val="00D918B7"/>
    <w:rsid w:val="00D92172"/>
    <w:rsid w:val="00D92FE1"/>
    <w:rsid w:val="00D9630D"/>
    <w:rsid w:val="00D96784"/>
    <w:rsid w:val="00D97E7C"/>
    <w:rsid w:val="00DA024A"/>
    <w:rsid w:val="00DA2105"/>
    <w:rsid w:val="00DA301B"/>
    <w:rsid w:val="00DA4054"/>
    <w:rsid w:val="00DA4205"/>
    <w:rsid w:val="00DA4213"/>
    <w:rsid w:val="00DA75BD"/>
    <w:rsid w:val="00DB1098"/>
    <w:rsid w:val="00DB17E3"/>
    <w:rsid w:val="00DB1E44"/>
    <w:rsid w:val="00DB4359"/>
    <w:rsid w:val="00DB43CD"/>
    <w:rsid w:val="00DB527A"/>
    <w:rsid w:val="00DB5B6B"/>
    <w:rsid w:val="00DB723B"/>
    <w:rsid w:val="00DB7B9F"/>
    <w:rsid w:val="00DC1DDA"/>
    <w:rsid w:val="00DC3BC9"/>
    <w:rsid w:val="00DC4106"/>
    <w:rsid w:val="00DC5F8C"/>
    <w:rsid w:val="00DC670B"/>
    <w:rsid w:val="00DC6AB3"/>
    <w:rsid w:val="00DC78BC"/>
    <w:rsid w:val="00DD2106"/>
    <w:rsid w:val="00DD3844"/>
    <w:rsid w:val="00DD3D25"/>
    <w:rsid w:val="00DD4C84"/>
    <w:rsid w:val="00DD4E5F"/>
    <w:rsid w:val="00DD557B"/>
    <w:rsid w:val="00DD6719"/>
    <w:rsid w:val="00DD7111"/>
    <w:rsid w:val="00DE0BD6"/>
    <w:rsid w:val="00DE17BE"/>
    <w:rsid w:val="00DE1844"/>
    <w:rsid w:val="00DE3497"/>
    <w:rsid w:val="00DE54E2"/>
    <w:rsid w:val="00DE5BF9"/>
    <w:rsid w:val="00DE5D07"/>
    <w:rsid w:val="00DF01C2"/>
    <w:rsid w:val="00DF2F36"/>
    <w:rsid w:val="00DF3642"/>
    <w:rsid w:val="00DF39D5"/>
    <w:rsid w:val="00DF446C"/>
    <w:rsid w:val="00DF4A3A"/>
    <w:rsid w:val="00DF5A21"/>
    <w:rsid w:val="00DF689F"/>
    <w:rsid w:val="00DF7304"/>
    <w:rsid w:val="00DF7346"/>
    <w:rsid w:val="00E007D8"/>
    <w:rsid w:val="00E042E9"/>
    <w:rsid w:val="00E04639"/>
    <w:rsid w:val="00E06312"/>
    <w:rsid w:val="00E06F5B"/>
    <w:rsid w:val="00E10489"/>
    <w:rsid w:val="00E104B4"/>
    <w:rsid w:val="00E12D8D"/>
    <w:rsid w:val="00E12E34"/>
    <w:rsid w:val="00E158A1"/>
    <w:rsid w:val="00E160A1"/>
    <w:rsid w:val="00E162D1"/>
    <w:rsid w:val="00E16734"/>
    <w:rsid w:val="00E16D2D"/>
    <w:rsid w:val="00E2130D"/>
    <w:rsid w:val="00E230D9"/>
    <w:rsid w:val="00E23911"/>
    <w:rsid w:val="00E267DF"/>
    <w:rsid w:val="00E318A3"/>
    <w:rsid w:val="00E33709"/>
    <w:rsid w:val="00E3407C"/>
    <w:rsid w:val="00E35910"/>
    <w:rsid w:val="00E364B8"/>
    <w:rsid w:val="00E420BD"/>
    <w:rsid w:val="00E423E2"/>
    <w:rsid w:val="00E4266E"/>
    <w:rsid w:val="00E42CB8"/>
    <w:rsid w:val="00E44966"/>
    <w:rsid w:val="00E50233"/>
    <w:rsid w:val="00E50648"/>
    <w:rsid w:val="00E51879"/>
    <w:rsid w:val="00E5311F"/>
    <w:rsid w:val="00E56333"/>
    <w:rsid w:val="00E56B28"/>
    <w:rsid w:val="00E6157A"/>
    <w:rsid w:val="00E61B76"/>
    <w:rsid w:val="00E623B1"/>
    <w:rsid w:val="00E631AF"/>
    <w:rsid w:val="00E64813"/>
    <w:rsid w:val="00E648D1"/>
    <w:rsid w:val="00E67A4D"/>
    <w:rsid w:val="00E67BC6"/>
    <w:rsid w:val="00E70520"/>
    <w:rsid w:val="00E70671"/>
    <w:rsid w:val="00E71862"/>
    <w:rsid w:val="00E72EBE"/>
    <w:rsid w:val="00E7308D"/>
    <w:rsid w:val="00E7364E"/>
    <w:rsid w:val="00E82BD3"/>
    <w:rsid w:val="00E833F0"/>
    <w:rsid w:val="00E8362B"/>
    <w:rsid w:val="00E83890"/>
    <w:rsid w:val="00E84DCB"/>
    <w:rsid w:val="00E85188"/>
    <w:rsid w:val="00E860AF"/>
    <w:rsid w:val="00E8669E"/>
    <w:rsid w:val="00E86C5A"/>
    <w:rsid w:val="00E91EB3"/>
    <w:rsid w:val="00E91F85"/>
    <w:rsid w:val="00E93785"/>
    <w:rsid w:val="00E943B3"/>
    <w:rsid w:val="00E950FD"/>
    <w:rsid w:val="00E95AE6"/>
    <w:rsid w:val="00E974B3"/>
    <w:rsid w:val="00EA0688"/>
    <w:rsid w:val="00EA2653"/>
    <w:rsid w:val="00EA3328"/>
    <w:rsid w:val="00EA3D10"/>
    <w:rsid w:val="00EA57E6"/>
    <w:rsid w:val="00EA5C1F"/>
    <w:rsid w:val="00EA6F69"/>
    <w:rsid w:val="00EB1131"/>
    <w:rsid w:val="00EB197B"/>
    <w:rsid w:val="00EB2248"/>
    <w:rsid w:val="00EB3809"/>
    <w:rsid w:val="00EB3EF3"/>
    <w:rsid w:val="00EB4930"/>
    <w:rsid w:val="00EB565D"/>
    <w:rsid w:val="00EB5C18"/>
    <w:rsid w:val="00EB6EF4"/>
    <w:rsid w:val="00EB7FE1"/>
    <w:rsid w:val="00EC1B59"/>
    <w:rsid w:val="00EC1BDB"/>
    <w:rsid w:val="00EC797A"/>
    <w:rsid w:val="00ED063C"/>
    <w:rsid w:val="00ED151B"/>
    <w:rsid w:val="00ED1ECE"/>
    <w:rsid w:val="00ED221C"/>
    <w:rsid w:val="00ED2ECB"/>
    <w:rsid w:val="00ED3438"/>
    <w:rsid w:val="00ED3C34"/>
    <w:rsid w:val="00EE0250"/>
    <w:rsid w:val="00EE184F"/>
    <w:rsid w:val="00EE524E"/>
    <w:rsid w:val="00EE5406"/>
    <w:rsid w:val="00EE5888"/>
    <w:rsid w:val="00EE5FBC"/>
    <w:rsid w:val="00EE6487"/>
    <w:rsid w:val="00EE69EB"/>
    <w:rsid w:val="00EE6D1A"/>
    <w:rsid w:val="00EE6FD1"/>
    <w:rsid w:val="00EE7164"/>
    <w:rsid w:val="00EF19A6"/>
    <w:rsid w:val="00EF4D91"/>
    <w:rsid w:val="00EF6076"/>
    <w:rsid w:val="00EF6425"/>
    <w:rsid w:val="00F010FD"/>
    <w:rsid w:val="00F02435"/>
    <w:rsid w:val="00F03D06"/>
    <w:rsid w:val="00F03F11"/>
    <w:rsid w:val="00F068A9"/>
    <w:rsid w:val="00F12367"/>
    <w:rsid w:val="00F20D2F"/>
    <w:rsid w:val="00F21571"/>
    <w:rsid w:val="00F21917"/>
    <w:rsid w:val="00F22323"/>
    <w:rsid w:val="00F23C85"/>
    <w:rsid w:val="00F25074"/>
    <w:rsid w:val="00F30854"/>
    <w:rsid w:val="00F30988"/>
    <w:rsid w:val="00F3249E"/>
    <w:rsid w:val="00F329F9"/>
    <w:rsid w:val="00F33B28"/>
    <w:rsid w:val="00F33E23"/>
    <w:rsid w:val="00F340E3"/>
    <w:rsid w:val="00F34568"/>
    <w:rsid w:val="00F345A2"/>
    <w:rsid w:val="00F34A61"/>
    <w:rsid w:val="00F372B1"/>
    <w:rsid w:val="00F375E4"/>
    <w:rsid w:val="00F4005C"/>
    <w:rsid w:val="00F41EFA"/>
    <w:rsid w:val="00F4344A"/>
    <w:rsid w:val="00F4551A"/>
    <w:rsid w:val="00F45C99"/>
    <w:rsid w:val="00F46876"/>
    <w:rsid w:val="00F50777"/>
    <w:rsid w:val="00F518E3"/>
    <w:rsid w:val="00F5320F"/>
    <w:rsid w:val="00F5532D"/>
    <w:rsid w:val="00F56248"/>
    <w:rsid w:val="00F60168"/>
    <w:rsid w:val="00F62078"/>
    <w:rsid w:val="00F7024C"/>
    <w:rsid w:val="00F71C45"/>
    <w:rsid w:val="00F71E19"/>
    <w:rsid w:val="00F74E84"/>
    <w:rsid w:val="00F76F6F"/>
    <w:rsid w:val="00F77295"/>
    <w:rsid w:val="00F77A88"/>
    <w:rsid w:val="00F77D27"/>
    <w:rsid w:val="00F814CC"/>
    <w:rsid w:val="00F83460"/>
    <w:rsid w:val="00F84E20"/>
    <w:rsid w:val="00F9105E"/>
    <w:rsid w:val="00FA11E3"/>
    <w:rsid w:val="00FA314B"/>
    <w:rsid w:val="00FA480B"/>
    <w:rsid w:val="00FA5027"/>
    <w:rsid w:val="00FB30C5"/>
    <w:rsid w:val="00FB455A"/>
    <w:rsid w:val="00FB5572"/>
    <w:rsid w:val="00FC04E0"/>
    <w:rsid w:val="00FC0BF3"/>
    <w:rsid w:val="00FC1BB9"/>
    <w:rsid w:val="00FC20B4"/>
    <w:rsid w:val="00FC2322"/>
    <w:rsid w:val="00FC3194"/>
    <w:rsid w:val="00FC3C8D"/>
    <w:rsid w:val="00FC44CE"/>
    <w:rsid w:val="00FC4EB5"/>
    <w:rsid w:val="00FC5B7E"/>
    <w:rsid w:val="00FD178B"/>
    <w:rsid w:val="00FD192C"/>
    <w:rsid w:val="00FD28AF"/>
    <w:rsid w:val="00FD4D2F"/>
    <w:rsid w:val="00FD54CB"/>
    <w:rsid w:val="00FD5BB7"/>
    <w:rsid w:val="00FD60FF"/>
    <w:rsid w:val="00FE0A89"/>
    <w:rsid w:val="00FE1D3D"/>
    <w:rsid w:val="00FE38FC"/>
    <w:rsid w:val="00FE5B1A"/>
    <w:rsid w:val="00FE5B2D"/>
    <w:rsid w:val="00FE67A2"/>
    <w:rsid w:val="00FE6B83"/>
    <w:rsid w:val="00FE733D"/>
    <w:rsid w:val="00FE7D07"/>
    <w:rsid w:val="00FF0264"/>
    <w:rsid w:val="00FF3729"/>
    <w:rsid w:val="00FF373A"/>
    <w:rsid w:val="00FF3977"/>
    <w:rsid w:val="00FF4872"/>
    <w:rsid w:val="00FF4A61"/>
    <w:rsid w:val="00FF6BA7"/>
    <w:rsid w:val="00FF6E19"/>
    <w:rsid w:val="00FF6FB9"/>
    <w:rsid w:val="00FF7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3E267B04"/>
  <w15:docId w15:val="{0B31BB86-C775-46CD-9FA6-ED8A19A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23"/>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Normal"/>
    <w:next w:val="Absatz"/>
    <w:qFormat/>
    <w:rsid w:val="0054236D"/>
    <w:pPr>
      <w:spacing w:line="260" w:lineRule="atLeast"/>
      <w:jc w:val="both"/>
      <w:outlineLvl w:val="4"/>
    </w:pPr>
    <w:rPr>
      <w:rFonts w:eastAsia="Calibri"/>
      <w:b/>
      <w:bCs/>
      <w:lang w:eastAsia="en-US"/>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uiPriority w:val="99"/>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Footnote"/>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rsid w:val="0075104A"/>
    <w:rPr>
      <w:rFonts w:ascii="Verdana" w:hAnsi="Verdana" w:cs="Verdana"/>
      <w:lang w:val="en-GB" w:eastAsia="zh-CN"/>
    </w:rPr>
  </w:style>
  <w:style w:type="numbering" w:customStyle="1" w:styleId="Aucuneliste1">
    <w:name w:val="Aucune liste1"/>
    <w:next w:val="Aucuneliste"/>
    <w:uiPriority w:val="99"/>
    <w:semiHidden/>
    <w:unhideWhenUsed/>
    <w:rsid w:val="00A932DC"/>
  </w:style>
  <w:style w:type="character" w:customStyle="1" w:styleId="CorpsdetexteCar1">
    <w:name w:val="Corps de texte Car1"/>
    <w:basedOn w:val="Policepardfaut"/>
    <w:link w:val="Corpsdetexte"/>
    <w:rsid w:val="00931312"/>
    <w:rPr>
      <w:rFonts w:ascii="Verdana" w:hAnsi="Verdana" w:cs="Verdana"/>
      <w:lang w:val="en-GB" w:eastAsia="zh-CN"/>
    </w:rPr>
  </w:style>
  <w:style w:type="table" w:styleId="Grilledutableau">
    <w:name w:val="Table Grid"/>
    <w:basedOn w:val="TableauNormal"/>
    <w:uiPriority w:val="59"/>
    <w:rsid w:val="009313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941979"/>
  </w:style>
  <w:style w:type="paragraph" w:customStyle="1" w:styleId="titre40">
    <w:name w:val="titre 4"/>
    <w:basedOn w:val="Titre4"/>
    <w:link w:val="titre4Car0"/>
    <w:qFormat/>
    <w:rsid w:val="0015321A"/>
    <w:pPr>
      <w:tabs>
        <w:tab w:val="clear" w:pos="0"/>
        <w:tab w:val="left" w:pos="993"/>
      </w:tabs>
      <w:suppressAutoHyphens w:val="0"/>
    </w:pPr>
    <w:rPr>
      <w:rFonts w:cs="Times New Roman"/>
      <w:i/>
      <w:sz w:val="20"/>
      <w:lang w:eastAsia="en-US"/>
    </w:rPr>
  </w:style>
  <w:style w:type="character" w:customStyle="1" w:styleId="titre4Car0">
    <w:name w:val="titre 4 Car"/>
    <w:link w:val="titre40"/>
    <w:rsid w:val="0015321A"/>
    <w:rPr>
      <w:rFonts w:ascii="Verdana" w:eastAsia="Calibri" w:hAnsi="Verdana"/>
      <w:i/>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437">
      <w:bodyDiv w:val="1"/>
      <w:marLeft w:val="0"/>
      <w:marRight w:val="0"/>
      <w:marTop w:val="0"/>
      <w:marBottom w:val="0"/>
      <w:divBdr>
        <w:top w:val="none" w:sz="0" w:space="0" w:color="auto"/>
        <w:left w:val="none" w:sz="0" w:space="0" w:color="auto"/>
        <w:bottom w:val="none" w:sz="0" w:space="0" w:color="auto"/>
        <w:right w:val="none" w:sz="0" w:space="0" w:color="auto"/>
      </w:divBdr>
    </w:div>
    <w:div w:id="677776176">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767971922">
      <w:bodyDiv w:val="1"/>
      <w:marLeft w:val="0"/>
      <w:marRight w:val="0"/>
      <w:marTop w:val="0"/>
      <w:marBottom w:val="0"/>
      <w:divBdr>
        <w:top w:val="none" w:sz="0" w:space="0" w:color="auto"/>
        <w:left w:val="none" w:sz="0" w:space="0" w:color="auto"/>
        <w:bottom w:val="none" w:sz="0" w:space="0" w:color="auto"/>
        <w:right w:val="none" w:sz="0" w:space="0" w:color="auto"/>
      </w:divBdr>
    </w:div>
    <w:div w:id="773406195">
      <w:bodyDiv w:val="1"/>
      <w:marLeft w:val="0"/>
      <w:marRight w:val="0"/>
      <w:marTop w:val="0"/>
      <w:marBottom w:val="0"/>
      <w:divBdr>
        <w:top w:val="none" w:sz="0" w:space="0" w:color="auto"/>
        <w:left w:val="none" w:sz="0" w:space="0" w:color="auto"/>
        <w:bottom w:val="none" w:sz="0" w:space="0" w:color="auto"/>
        <w:right w:val="none" w:sz="0" w:space="0" w:color="auto"/>
      </w:divBdr>
    </w:div>
    <w:div w:id="873423908">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299069166">
      <w:bodyDiv w:val="1"/>
      <w:marLeft w:val="0"/>
      <w:marRight w:val="0"/>
      <w:marTop w:val="0"/>
      <w:marBottom w:val="0"/>
      <w:divBdr>
        <w:top w:val="none" w:sz="0" w:space="0" w:color="auto"/>
        <w:left w:val="none" w:sz="0" w:space="0" w:color="auto"/>
        <w:bottom w:val="none" w:sz="0" w:space="0" w:color="auto"/>
        <w:right w:val="none" w:sz="0" w:space="0" w:color="auto"/>
      </w:divBdr>
    </w:div>
    <w:div w:id="1320497944">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499882316">
      <w:bodyDiv w:val="1"/>
      <w:marLeft w:val="0"/>
      <w:marRight w:val="0"/>
      <w:marTop w:val="0"/>
      <w:marBottom w:val="0"/>
      <w:divBdr>
        <w:top w:val="none" w:sz="0" w:space="0" w:color="auto"/>
        <w:left w:val="none" w:sz="0" w:space="0" w:color="auto"/>
        <w:bottom w:val="none" w:sz="0" w:space="0" w:color="auto"/>
        <w:right w:val="none" w:sz="0" w:space="0" w:color="auto"/>
      </w:divBdr>
    </w:div>
    <w:div w:id="1509128411">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1878665715">
      <w:bodyDiv w:val="1"/>
      <w:marLeft w:val="0"/>
      <w:marRight w:val="0"/>
      <w:marTop w:val="0"/>
      <w:marBottom w:val="0"/>
      <w:divBdr>
        <w:top w:val="none" w:sz="0" w:space="0" w:color="auto"/>
        <w:left w:val="none" w:sz="0" w:space="0" w:color="auto"/>
        <w:bottom w:val="none" w:sz="0" w:space="0" w:color="auto"/>
        <w:right w:val="none" w:sz="0" w:space="0" w:color="auto"/>
      </w:divBdr>
    </w:div>
    <w:div w:id="1888297182">
      <w:bodyDiv w:val="1"/>
      <w:marLeft w:val="0"/>
      <w:marRight w:val="0"/>
      <w:marTop w:val="0"/>
      <w:marBottom w:val="0"/>
      <w:divBdr>
        <w:top w:val="none" w:sz="0" w:space="0" w:color="auto"/>
        <w:left w:val="none" w:sz="0" w:space="0" w:color="auto"/>
        <w:bottom w:val="none" w:sz="0" w:space="0" w:color="auto"/>
        <w:right w:val="none" w:sz="0" w:space="0" w:color="auto"/>
      </w:divBdr>
    </w:div>
    <w:div w:id="1969046499">
      <w:bodyDiv w:val="1"/>
      <w:marLeft w:val="0"/>
      <w:marRight w:val="0"/>
      <w:marTop w:val="0"/>
      <w:marBottom w:val="0"/>
      <w:divBdr>
        <w:top w:val="none" w:sz="0" w:space="0" w:color="auto"/>
        <w:left w:val="none" w:sz="0" w:space="0" w:color="auto"/>
        <w:bottom w:val="none" w:sz="0" w:space="0" w:color="auto"/>
        <w:right w:val="none" w:sz="0" w:space="0" w:color="auto"/>
      </w:divBdr>
    </w:div>
    <w:div w:id="2002342458">
      <w:bodyDiv w:val="1"/>
      <w:marLeft w:val="0"/>
      <w:marRight w:val="0"/>
      <w:marTop w:val="0"/>
      <w:marBottom w:val="0"/>
      <w:divBdr>
        <w:top w:val="none" w:sz="0" w:space="0" w:color="auto"/>
        <w:left w:val="none" w:sz="0" w:space="0" w:color="auto"/>
        <w:bottom w:val="none" w:sz="0" w:space="0" w:color="auto"/>
        <w:right w:val="none" w:sz="0" w:space="0" w:color="auto"/>
      </w:divBdr>
    </w:div>
    <w:div w:id="2108378208">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Feuille_de_calcul_Microsoft_Excel.xlsx"/><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 rédaction</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212D-6513-4ED9-9F72-B9BBA84B2245}">
  <ds:schemaRefs>
    <ds:schemaRef ds:uri="http://schemas.microsoft.com/sharepoint/v3/contenttype/forms"/>
  </ds:schemaRefs>
</ds:datastoreItem>
</file>

<file path=customXml/itemProps2.xml><?xml version="1.0" encoding="utf-8"?>
<ds:datastoreItem xmlns:ds="http://schemas.openxmlformats.org/officeDocument/2006/customXml" ds:itemID="{3E4043F0-4FC4-47A7-B82B-49611294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B6F2F-DB8B-4B87-AA30-35FAD18BC4C2}">
  <ds:schemaRefs>
    <ds:schemaRef ds:uri="764a75d7-b33f-4a9f-acbd-b0607662a84d"/>
    <ds:schemaRef ds:uri="http://purl.org/dc/elements/1.1/"/>
    <ds:schemaRef ds:uri="http://purl.org/dc/terms/"/>
    <ds:schemaRef ds:uri="http://purl.org/dc/dcmitype/"/>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ad92bc46-598f-4ca9-bdb2-45c880761d9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671CA6C-BBCE-44EE-BBCF-B8918377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373</Pages>
  <Words>96119</Words>
  <Characters>528656</Characters>
  <Application>Microsoft Office Word</Application>
  <DocSecurity>0</DocSecurity>
  <Lines>4405</Lines>
  <Paragraphs>1247</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623528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PITSA Vasiliki</dc:creator>
  <cp:keywords/>
  <dc:description/>
  <cp:lastModifiedBy>GOUR Annabelle</cp:lastModifiedBy>
  <cp:revision>3</cp:revision>
  <cp:lastPrinted>2021-11-09T09:28:00Z</cp:lastPrinted>
  <dcterms:created xsi:type="dcterms:W3CDTF">2022-02-08T16:32:00Z</dcterms:created>
  <dcterms:modified xsi:type="dcterms:W3CDTF">2022-02-08T16:32:00Z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